
<file path=[Content_Types].xml><?xml version="1.0" encoding="utf-8"?>
<Types xmlns="http://schemas.openxmlformats.org/package/2006/content-types">
  <Default Extension="png" ContentType="image/png"/>
  <Default Extension="bin" ContentType="application/vnd.openxmlformats-officedocument.oleObject"/>
  <Default Extension="1&amp;Size=2&amp;Lang=A"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42" w:rightFromText="142" w:vertAnchor="page" w:horzAnchor="page" w:tblpX="1135" w:tblpY="285"/>
        <w:tblOverlap w:val="never"/>
        <w:bidiVisual/>
        <w:tblW w:w="9639" w:type="dxa"/>
        <w:tblBorders>
          <w:top w:val="none" w:sz="0" w:space="0" w:color="auto"/>
          <w:left w:val="none" w:sz="0" w:space="0" w:color="auto"/>
          <w:right w:val="none" w:sz="0" w:space="0" w:color="auto"/>
          <w:insideV w:val="none" w:sz="0" w:space="0" w:color="auto"/>
        </w:tblBorders>
        <w:tblLayout w:type="fixed"/>
        <w:tblLook w:val="01E0" w:firstRow="1" w:lastRow="1" w:firstColumn="1" w:lastColumn="1" w:noHBand="0" w:noVBand="0"/>
      </w:tblPr>
      <w:tblGrid>
        <w:gridCol w:w="1274"/>
        <w:gridCol w:w="4963"/>
        <w:gridCol w:w="3402"/>
      </w:tblGrid>
      <w:tr w:rsidR="00F93E40" w:rsidRPr="00ED7442" w14:paraId="3C17761A" w14:textId="77777777" w:rsidTr="004D497B">
        <w:trPr>
          <w:trHeight w:hRule="exact" w:val="851"/>
        </w:trPr>
        <w:tc>
          <w:tcPr>
            <w:tcW w:w="1274" w:type="dxa"/>
            <w:tcBorders>
              <w:bottom w:val="single" w:sz="4" w:space="0" w:color="auto"/>
            </w:tcBorders>
          </w:tcPr>
          <w:p w14:paraId="59AFDFF8" w14:textId="77777777" w:rsidR="00F93E40" w:rsidRPr="003E159A" w:rsidRDefault="00F93E40" w:rsidP="00F93E40">
            <w:pPr>
              <w:pStyle w:val="H4GA"/>
              <w:bidi w:val="0"/>
            </w:pPr>
            <w:bookmarkStart w:id="0" w:name="_GoBack"/>
            <w:bookmarkEnd w:id="0"/>
          </w:p>
        </w:tc>
        <w:tc>
          <w:tcPr>
            <w:tcW w:w="4963" w:type="dxa"/>
            <w:tcBorders>
              <w:bottom w:val="single" w:sz="4" w:space="0" w:color="auto"/>
            </w:tcBorders>
            <w:vAlign w:val="bottom"/>
          </w:tcPr>
          <w:p w14:paraId="4B301F36" w14:textId="37B2CEA6" w:rsidR="00F93E40" w:rsidRPr="00517BC9" w:rsidRDefault="00F93E40" w:rsidP="00F93E40">
            <w:pPr>
              <w:spacing w:after="80" w:line="480" w:lineRule="exact"/>
              <w:rPr>
                <w:sz w:val="40"/>
                <w:szCs w:val="40"/>
                <w:rtl/>
              </w:rPr>
            </w:pPr>
          </w:p>
        </w:tc>
        <w:tc>
          <w:tcPr>
            <w:tcW w:w="3402" w:type="dxa"/>
            <w:tcBorders>
              <w:bottom w:val="single" w:sz="4" w:space="0" w:color="auto"/>
            </w:tcBorders>
            <w:vAlign w:val="bottom"/>
          </w:tcPr>
          <w:p w14:paraId="102A2699" w14:textId="77777777" w:rsidR="00F93E40" w:rsidRPr="003E159A" w:rsidRDefault="00F93E40" w:rsidP="00F93E40">
            <w:pPr>
              <w:spacing w:after="20"/>
            </w:pPr>
            <w:r w:rsidRPr="00681575">
              <w:rPr>
                <w:sz w:val="40"/>
              </w:rPr>
              <w:t>A</w:t>
            </w:r>
            <w:r>
              <w:t>/HRC/42/CRP.1</w:t>
            </w:r>
          </w:p>
        </w:tc>
      </w:tr>
      <w:tr w:rsidR="00F93E40" w:rsidRPr="00ED7442" w14:paraId="0B5090FC" w14:textId="77777777" w:rsidTr="004D497B">
        <w:trPr>
          <w:trHeight w:hRule="exact" w:val="2835"/>
        </w:trPr>
        <w:tc>
          <w:tcPr>
            <w:tcW w:w="1274" w:type="dxa"/>
            <w:tcBorders>
              <w:top w:val="single" w:sz="4" w:space="0" w:color="auto"/>
              <w:bottom w:val="single" w:sz="12" w:space="0" w:color="auto"/>
            </w:tcBorders>
          </w:tcPr>
          <w:p w14:paraId="6B1A97F6" w14:textId="61AE922A" w:rsidR="00F93E40" w:rsidRPr="00ED7442" w:rsidRDefault="00F93E40" w:rsidP="00F93E40">
            <w:pPr>
              <w:jc w:val="center"/>
              <w:rPr>
                <w:sz w:val="56"/>
                <w:szCs w:val="56"/>
                <w:rtl/>
              </w:rPr>
            </w:pPr>
          </w:p>
        </w:tc>
        <w:tc>
          <w:tcPr>
            <w:tcW w:w="4963" w:type="dxa"/>
            <w:tcBorders>
              <w:top w:val="single" w:sz="4" w:space="0" w:color="auto"/>
              <w:bottom w:val="single" w:sz="12" w:space="0" w:color="auto"/>
            </w:tcBorders>
          </w:tcPr>
          <w:p w14:paraId="7644B45F" w14:textId="012A49A0" w:rsidR="00F93E40" w:rsidRPr="008930DB" w:rsidRDefault="00F93E40" w:rsidP="00F93E40">
            <w:pPr>
              <w:spacing w:before="120" w:after="40" w:line="640" w:lineRule="exact"/>
              <w:rPr>
                <w:b/>
                <w:bCs/>
                <w:sz w:val="56"/>
                <w:szCs w:val="56"/>
              </w:rPr>
            </w:pPr>
          </w:p>
        </w:tc>
        <w:tc>
          <w:tcPr>
            <w:tcW w:w="3402" w:type="dxa"/>
            <w:tcBorders>
              <w:top w:val="single" w:sz="4" w:space="0" w:color="auto"/>
              <w:bottom w:val="single" w:sz="12" w:space="0" w:color="auto"/>
            </w:tcBorders>
          </w:tcPr>
          <w:p w14:paraId="6E735576" w14:textId="77777777" w:rsidR="00F93E40" w:rsidRDefault="00F93E40" w:rsidP="00F93E40">
            <w:pPr>
              <w:spacing w:before="120" w:line="240" w:lineRule="exact"/>
              <w:ind w:left="-14" w:right="1089"/>
              <w:rPr>
                <w:rFonts w:asciiTheme="majorBidi" w:hAnsiTheme="majorBidi" w:cstheme="majorBidi"/>
              </w:rPr>
            </w:pPr>
            <w:r w:rsidRPr="008E3AB8">
              <w:rPr>
                <w:rFonts w:asciiTheme="majorBidi" w:hAnsiTheme="majorBidi" w:cstheme="majorBidi"/>
              </w:rPr>
              <w:t>3 September 2019</w:t>
            </w:r>
          </w:p>
          <w:p w14:paraId="5E555952" w14:textId="59A27252" w:rsidR="00F93E40" w:rsidRPr="003E159A" w:rsidRDefault="00F93E40" w:rsidP="00F93E40">
            <w:r>
              <w:rPr>
                <w:rFonts w:asciiTheme="majorBidi" w:hAnsiTheme="majorBidi" w:cstheme="majorBidi"/>
              </w:rPr>
              <w:t>Arabic and English only</w:t>
            </w:r>
          </w:p>
        </w:tc>
      </w:tr>
    </w:tbl>
    <w:p w14:paraId="2CD6C021" w14:textId="77777777" w:rsidR="00F93E40" w:rsidRDefault="00F93E40" w:rsidP="00F93E40">
      <w:pPr>
        <w:bidi/>
        <w:spacing w:before="120" w:line="380" w:lineRule="exact"/>
        <w:rPr>
          <w:b/>
          <w:bCs/>
          <w:sz w:val="36"/>
          <w:szCs w:val="36"/>
          <w:rtl/>
        </w:rPr>
      </w:pPr>
      <w:r w:rsidRPr="00F93E40">
        <w:rPr>
          <w:rFonts w:ascii="Traditional Arabic" w:hAnsi="Traditional Arabic" w:cs="Traditional Arabic" w:hint="cs"/>
          <w:b/>
          <w:bCs/>
          <w:sz w:val="36"/>
          <w:szCs w:val="36"/>
          <w:rtl/>
        </w:rPr>
        <w:t>مجلس حقوق</w:t>
      </w:r>
      <w:r w:rsidRPr="001773DB">
        <w:rPr>
          <w:rFonts w:hint="cs"/>
          <w:b/>
          <w:bCs/>
          <w:sz w:val="36"/>
          <w:szCs w:val="36"/>
          <w:rtl/>
        </w:rPr>
        <w:t xml:space="preserve"> </w:t>
      </w:r>
      <w:r w:rsidRPr="00F93E40">
        <w:rPr>
          <w:rFonts w:ascii="Traditional Arabic" w:hAnsi="Traditional Arabic" w:cs="Traditional Arabic"/>
          <w:b/>
          <w:bCs/>
          <w:sz w:val="36"/>
          <w:szCs w:val="36"/>
          <w:rtl/>
        </w:rPr>
        <w:t>الإنسان</w:t>
      </w:r>
    </w:p>
    <w:p w14:paraId="64715F8C" w14:textId="302CBC70" w:rsidR="0064235D" w:rsidRPr="00650836" w:rsidRDefault="0064235D" w:rsidP="00361237">
      <w:pPr>
        <w:pStyle w:val="Footer"/>
        <w:tabs>
          <w:tab w:val="left" w:pos="720"/>
        </w:tabs>
        <w:bidi/>
        <w:ind w:right="1089"/>
        <w:jc w:val="both"/>
        <w:rPr>
          <w:rFonts w:ascii="Traditional Arabic" w:hAnsi="Traditional Arabic" w:cs="Traditional Arabic"/>
          <w:b/>
          <w:bCs/>
          <w:sz w:val="30"/>
          <w:szCs w:val="30"/>
          <w:rtl/>
          <w:lang w:bidi="ar-LB"/>
        </w:rPr>
      </w:pPr>
      <w:r w:rsidRPr="00650836">
        <w:rPr>
          <w:rFonts w:ascii="Traditional Arabic" w:hAnsi="Traditional Arabic" w:cs="Traditional Arabic"/>
          <w:b/>
          <w:bCs/>
          <w:sz w:val="30"/>
          <w:szCs w:val="30"/>
          <w:rtl/>
        </w:rPr>
        <w:t>الدورة الثانية والأربعون</w:t>
      </w:r>
    </w:p>
    <w:p w14:paraId="2CB68BBD" w14:textId="56150C24" w:rsidR="0064235D" w:rsidRPr="00650836" w:rsidRDefault="0064235D" w:rsidP="00361237">
      <w:pPr>
        <w:pStyle w:val="Footer"/>
        <w:tabs>
          <w:tab w:val="left" w:pos="720"/>
        </w:tabs>
        <w:bidi/>
        <w:ind w:right="1089"/>
        <w:jc w:val="both"/>
        <w:rPr>
          <w:rFonts w:ascii="Traditional Arabic" w:hAnsi="Traditional Arabic" w:cs="Traditional Arabic"/>
          <w:b/>
          <w:sz w:val="30"/>
          <w:szCs w:val="30"/>
          <w:rtl/>
          <w:lang w:bidi="ar-EG"/>
        </w:rPr>
      </w:pPr>
      <w:r w:rsidRPr="00650836">
        <w:rPr>
          <w:rFonts w:ascii="Traditional Arabic" w:hAnsi="Traditional Arabic" w:cs="Traditional Arabic"/>
          <w:b/>
          <w:sz w:val="30"/>
          <w:szCs w:val="30"/>
          <w:rtl/>
        </w:rPr>
        <w:t>09-27</w:t>
      </w:r>
      <w:r w:rsidRPr="00650836">
        <w:rPr>
          <w:rFonts w:ascii="Traditional Arabic" w:hAnsi="Traditional Arabic" w:cs="Traditional Arabic"/>
          <w:b/>
          <w:sz w:val="30"/>
          <w:szCs w:val="30"/>
        </w:rPr>
        <w:t xml:space="preserve"> </w:t>
      </w:r>
      <w:r w:rsidRPr="00650836">
        <w:rPr>
          <w:rFonts w:ascii="Traditional Arabic" w:hAnsi="Traditional Arabic" w:cs="Traditional Arabic"/>
          <w:b/>
          <w:sz w:val="30"/>
          <w:szCs w:val="30"/>
          <w:rtl/>
        </w:rPr>
        <w:t xml:space="preserve">أيلول/سبتمبر </w:t>
      </w:r>
      <w:r w:rsidR="002F1DF8" w:rsidRPr="002F1DF8">
        <w:rPr>
          <w:rFonts w:ascii="Traditional Arabic" w:hAnsi="Traditional Arabic" w:cs="Traditional Arabic" w:hint="cs"/>
          <w:b/>
          <w:sz w:val="30"/>
          <w:szCs w:val="30"/>
          <w:rtl/>
        </w:rPr>
        <w:t>2019</w:t>
      </w:r>
    </w:p>
    <w:p w14:paraId="07D63FA6" w14:textId="77777777" w:rsidR="0064235D" w:rsidRPr="00AE11BF" w:rsidRDefault="0064235D" w:rsidP="00361237">
      <w:pPr>
        <w:pStyle w:val="Footer"/>
        <w:tabs>
          <w:tab w:val="left" w:pos="720"/>
        </w:tabs>
        <w:bidi/>
        <w:ind w:right="1089"/>
        <w:jc w:val="both"/>
        <w:rPr>
          <w:rFonts w:ascii="Traditional Arabic" w:hAnsi="Traditional Arabic" w:cs="Traditional Arabic"/>
          <w:b/>
          <w:sz w:val="30"/>
          <w:szCs w:val="30"/>
          <w:lang w:val="en-US"/>
        </w:rPr>
      </w:pPr>
      <w:r w:rsidRPr="00650836">
        <w:rPr>
          <w:rFonts w:ascii="Traditional Arabic" w:hAnsi="Traditional Arabic" w:cs="Traditional Arabic"/>
          <w:b/>
          <w:sz w:val="30"/>
          <w:szCs w:val="30"/>
          <w:rtl/>
        </w:rPr>
        <w:t>البند 2 من جدول الأعمال</w:t>
      </w:r>
    </w:p>
    <w:p w14:paraId="7A7BFD63" w14:textId="77777777" w:rsidR="00650836" w:rsidRDefault="0064235D" w:rsidP="00361237">
      <w:pPr>
        <w:pStyle w:val="Footer"/>
        <w:tabs>
          <w:tab w:val="left" w:pos="720"/>
        </w:tabs>
        <w:bidi/>
        <w:ind w:right="1089"/>
        <w:jc w:val="both"/>
        <w:rPr>
          <w:rFonts w:ascii="Traditional Arabic" w:hAnsi="Traditional Arabic" w:cs="Traditional Arabic"/>
          <w:b/>
          <w:bCs/>
          <w:sz w:val="30"/>
          <w:szCs w:val="30"/>
        </w:rPr>
      </w:pPr>
      <w:r w:rsidRPr="00650836">
        <w:rPr>
          <w:rFonts w:ascii="Traditional Arabic" w:hAnsi="Traditional Arabic" w:cs="Traditional Arabic"/>
          <w:b/>
          <w:bCs/>
          <w:sz w:val="30"/>
          <w:szCs w:val="30"/>
          <w:rtl/>
        </w:rPr>
        <w:t>التقرير السنوي لمفوض الأمم المتحدة السامي لحقوق الإنسان</w:t>
      </w:r>
    </w:p>
    <w:p w14:paraId="25BDF6A8" w14:textId="3320557A" w:rsidR="0064235D" w:rsidRPr="00650836" w:rsidRDefault="0064235D" w:rsidP="00361237">
      <w:pPr>
        <w:pStyle w:val="Footer"/>
        <w:tabs>
          <w:tab w:val="left" w:pos="720"/>
        </w:tabs>
        <w:bidi/>
        <w:ind w:right="1089"/>
        <w:jc w:val="both"/>
        <w:rPr>
          <w:rFonts w:ascii="Traditional Arabic" w:hAnsi="Traditional Arabic" w:cs="Traditional Arabic"/>
          <w:b/>
          <w:sz w:val="30"/>
          <w:szCs w:val="30"/>
          <w:rtl/>
        </w:rPr>
      </w:pPr>
      <w:r w:rsidRPr="00650836">
        <w:rPr>
          <w:rFonts w:ascii="Traditional Arabic" w:hAnsi="Traditional Arabic" w:cs="Traditional Arabic"/>
          <w:b/>
          <w:bCs/>
          <w:sz w:val="30"/>
          <w:szCs w:val="30"/>
          <w:rtl/>
        </w:rPr>
        <w:t xml:space="preserve"> وتقارير المفوضية السامية والأمين العام</w:t>
      </w:r>
    </w:p>
    <w:p w14:paraId="74AFDFA5" w14:textId="77777777" w:rsidR="0064235D" w:rsidRPr="00C6383B" w:rsidRDefault="0064235D" w:rsidP="00361237">
      <w:pPr>
        <w:pStyle w:val="Footer"/>
        <w:tabs>
          <w:tab w:val="left" w:pos="720"/>
        </w:tabs>
        <w:ind w:right="1089"/>
        <w:jc w:val="both"/>
        <w:rPr>
          <w:rFonts w:ascii="Traditional Arabic" w:hAnsi="Traditional Arabic" w:cs="Traditional Arabic"/>
          <w:b/>
          <w:bCs/>
          <w:sz w:val="24"/>
          <w:szCs w:val="24"/>
        </w:rPr>
      </w:pPr>
    </w:p>
    <w:p w14:paraId="3E0EC3F8" w14:textId="620E9B9D" w:rsidR="0064235D" w:rsidRPr="00650836" w:rsidRDefault="0064235D" w:rsidP="00FE4B26">
      <w:pPr>
        <w:pStyle w:val="Footer"/>
        <w:tabs>
          <w:tab w:val="left" w:pos="720"/>
        </w:tabs>
        <w:bidi/>
        <w:spacing w:after="240"/>
        <w:ind w:left="1270" w:right="1259" w:firstLine="6"/>
        <w:jc w:val="both"/>
        <w:rPr>
          <w:rFonts w:ascii="Traditional Arabic" w:hAnsi="Traditional Arabic" w:cs="Traditional Arabic"/>
          <w:b/>
          <w:bCs/>
          <w:sz w:val="38"/>
          <w:szCs w:val="38"/>
          <w:rtl/>
        </w:rPr>
      </w:pPr>
      <w:bookmarkStart w:id="1" w:name="_Toc524106298"/>
      <w:r w:rsidRPr="00650836">
        <w:rPr>
          <w:rFonts w:cs="Traditional Arabic"/>
          <w:b/>
          <w:bCs/>
          <w:sz w:val="28"/>
          <w:szCs w:val="38"/>
          <w:rtl/>
          <w:lang w:val="en-US"/>
        </w:rPr>
        <w:t>حالة حقوق الإنسان في اليمن، بما في ذلك الانتهاكات والتجاوزات المرتكبة منذ أيلول/سبتمبر 2014</w:t>
      </w:r>
      <w:bookmarkEnd w:id="1"/>
    </w:p>
    <w:p w14:paraId="7CA4A72E" w14:textId="24AEFFE2" w:rsidR="0064235D" w:rsidRPr="00650836" w:rsidRDefault="00276984" w:rsidP="00361237">
      <w:pPr>
        <w:pStyle w:val="Footer"/>
        <w:tabs>
          <w:tab w:val="left" w:pos="720"/>
        </w:tabs>
        <w:bidi/>
        <w:ind w:left="1269" w:right="1089"/>
        <w:jc w:val="both"/>
        <w:rPr>
          <w:rFonts w:cs="Traditional Arabic"/>
          <w:b/>
          <w:bCs/>
          <w:sz w:val="24"/>
          <w:szCs w:val="34"/>
          <w:rtl/>
          <w:lang w:val="en-US"/>
        </w:rPr>
      </w:pPr>
      <w:r w:rsidRPr="00650836">
        <w:rPr>
          <w:rFonts w:cs="Traditional Arabic"/>
          <w:b/>
          <w:bCs/>
          <w:sz w:val="24"/>
          <w:szCs w:val="34"/>
          <w:rtl/>
          <w:lang w:val="en-US"/>
        </w:rPr>
        <w:t>ت</w:t>
      </w:r>
      <w:r w:rsidR="0064235D" w:rsidRPr="00650836">
        <w:rPr>
          <w:rFonts w:cs="Traditional Arabic"/>
          <w:b/>
          <w:bCs/>
          <w:sz w:val="24"/>
          <w:szCs w:val="34"/>
          <w:rtl/>
          <w:lang w:val="en-US"/>
        </w:rPr>
        <w:t>قرير بالنتائج التفصيلية التي توصّل اليها فريق الخبراء الدوليين والإقليميين البارزين</w:t>
      </w:r>
      <w:r w:rsidRPr="00650836">
        <w:rPr>
          <w:rFonts w:cs="Traditional Arabic"/>
          <w:b/>
          <w:bCs/>
          <w:sz w:val="24"/>
          <w:szCs w:val="34"/>
          <w:rtl/>
          <w:lang w:val="en-US"/>
        </w:rPr>
        <w:t xml:space="preserve"> </w:t>
      </w:r>
      <w:r w:rsidR="0064235D" w:rsidRPr="00650836">
        <w:rPr>
          <w:rFonts w:cs="Traditional Arabic"/>
          <w:b/>
          <w:bCs/>
          <w:sz w:val="24"/>
          <w:szCs w:val="34"/>
          <w:rtl/>
          <w:lang w:val="en-US"/>
        </w:rPr>
        <w:t>بشأن اليمن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629"/>
      </w:tblGrid>
      <w:tr w:rsidR="0030493B" w:rsidRPr="00C6383B" w14:paraId="4F76A243" w14:textId="77777777" w:rsidTr="009147B8">
        <w:tc>
          <w:tcPr>
            <w:tcW w:w="9629" w:type="dxa"/>
          </w:tcPr>
          <w:p w14:paraId="7FF0C6F5" w14:textId="3F307C59" w:rsidR="00247F20" w:rsidRPr="00C6383B" w:rsidRDefault="00E43B52" w:rsidP="00605878">
            <w:pPr>
              <w:tabs>
                <w:tab w:val="left" w:pos="255"/>
                <w:tab w:val="left" w:pos="720"/>
              </w:tabs>
              <w:suppressAutoHyphens w:val="0"/>
              <w:bidi/>
              <w:spacing w:before="120" w:after="120" w:line="216" w:lineRule="auto"/>
              <w:jc w:val="lowKashida"/>
              <w:rPr>
                <w:rFonts w:ascii="Traditional Arabic" w:hAnsi="Traditional Arabic" w:cs="Traditional Arabic"/>
                <w:sz w:val="24"/>
                <w:szCs w:val="24"/>
                <w:rtl/>
              </w:rPr>
            </w:pPr>
            <w:r w:rsidRPr="00C6383B">
              <w:rPr>
                <w:rFonts w:ascii="Traditional Arabic" w:hAnsi="Traditional Arabic" w:cs="Traditional Arabic"/>
                <w:sz w:val="24"/>
                <w:szCs w:val="24"/>
                <w:rtl/>
              </w:rPr>
              <w:t xml:space="preserve">            </w:t>
            </w:r>
            <w:r w:rsidRPr="00650836">
              <w:rPr>
                <w:rFonts w:ascii="Traditional Arabic" w:hAnsi="Traditional Arabic" w:cs="Traditional Arabic"/>
                <w:i/>
                <w:iCs/>
                <w:sz w:val="36"/>
                <w:szCs w:val="36"/>
                <w:rtl/>
                <w:lang w:val="en-US"/>
              </w:rPr>
              <w:t>موجز</w:t>
            </w:r>
          </w:p>
          <w:p w14:paraId="10312D73" w14:textId="77777777" w:rsidR="00ED5FAF" w:rsidRDefault="00247F20" w:rsidP="00605878">
            <w:pPr>
              <w:pStyle w:val="Footer"/>
              <w:tabs>
                <w:tab w:val="left" w:pos="720"/>
              </w:tabs>
              <w:bidi/>
              <w:spacing w:line="216" w:lineRule="auto"/>
              <w:ind w:left="541" w:right="1089" w:hanging="112"/>
              <w:jc w:val="both"/>
              <w:rPr>
                <w:rFonts w:cs="Traditional Arabic"/>
                <w:sz w:val="20"/>
                <w:szCs w:val="30"/>
                <w:lang w:val="en-US"/>
              </w:rPr>
            </w:pPr>
            <w:r w:rsidRPr="00C6383B">
              <w:rPr>
                <w:rFonts w:ascii="Traditional Arabic" w:hAnsi="Traditional Arabic" w:cs="Traditional Arabic"/>
                <w:sz w:val="24"/>
                <w:szCs w:val="24"/>
                <w:rtl/>
              </w:rPr>
              <w:t xml:space="preserve">  </w:t>
            </w:r>
            <w:r w:rsidR="005E46D3" w:rsidRPr="005E46D3">
              <w:rPr>
                <w:rFonts w:cs="Traditional Arabic"/>
                <w:sz w:val="20"/>
                <w:szCs w:val="30"/>
                <w:rtl/>
                <w:lang w:val="en-US"/>
              </w:rPr>
              <w:t>يُقدّم هذا التقرير كملحق للقرار</w:t>
            </w:r>
            <w:r w:rsidR="005E46D3" w:rsidRPr="005E46D3">
              <w:rPr>
                <w:rFonts w:cs="Traditional Arabic"/>
                <w:sz w:val="20"/>
                <w:szCs w:val="30"/>
                <w:lang w:val="en-US"/>
              </w:rPr>
              <w:t xml:space="preserve">  A/HRC/42/17</w:t>
            </w:r>
            <w:r w:rsidR="005E46D3" w:rsidRPr="005E46D3">
              <w:rPr>
                <w:rFonts w:cs="Traditional Arabic"/>
                <w:sz w:val="20"/>
                <w:szCs w:val="30"/>
                <w:rtl/>
                <w:lang w:val="en-US"/>
              </w:rPr>
              <w:t>ويتضمن النتائج التفصيلية لما توصّل إليه فريق الخبراء البارزين الدوليين والإقليميين بشأن اليمن المكلف بالتحقيق في انتهاكات الأطراف في النزاع منذ أيلول/ سبتمبر 2014</w:t>
            </w:r>
            <w:r w:rsidR="005E46D3" w:rsidRPr="005E46D3">
              <w:rPr>
                <w:rFonts w:cs="Traditional Arabic"/>
                <w:sz w:val="20"/>
                <w:szCs w:val="30"/>
                <w:lang w:val="en-US"/>
              </w:rPr>
              <w:t xml:space="preserve">. </w:t>
            </w:r>
          </w:p>
          <w:p w14:paraId="396FEEC7" w14:textId="43F5A3C8"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اختار بعض أطراف النزاع، وبالتحديد حكومات اليمن والمملكة العربية السعودية والإمارات العربية المتحدة ومصر عدم التعاون مع فريق الخبراء البارزين. ردت سلطات الأمر الواقع على الأسئلة المطروحة كتابة ووافقت على زيارة فريق الخبراء إلى صنعاء، لكن عدم تعاون الحكومة والدول الأعضاء في التحالف حال دون وصول اليمن. بالرغم من القيود المفروضة على الوصول، جمع فريق الخبراء مجموعة واسعة من الأدلة المتعلقة بادعاءات انتهاكات للقانون الدولي في اليمن منذ أيلول/ سبتمبر 2014</w:t>
            </w:r>
            <w:r w:rsidRPr="005E46D3">
              <w:rPr>
                <w:rFonts w:cs="Traditional Arabic"/>
                <w:sz w:val="20"/>
                <w:szCs w:val="30"/>
                <w:lang w:val="en-US"/>
              </w:rPr>
              <w:t>.</w:t>
            </w:r>
          </w:p>
          <w:p w14:paraId="5DB409F1"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وجد فريق الخبراء أسبابًا معقولة للاعتقاد بأن أطراف النزاع في اليمن مسؤولة عن مجموعة من انتهاكات حقوق الإنسان وانتهاكات القانون الدولي الإنساني. من المحتمل أن تصل بعض هذه الانتهاكات إلى مستوى جرائم حرب. يمكن الاطلاع على موجز هذه النتائج في</w:t>
            </w:r>
            <w:r w:rsidRPr="005E46D3">
              <w:rPr>
                <w:rFonts w:cs="Traditional Arabic"/>
                <w:sz w:val="20"/>
                <w:szCs w:val="30"/>
                <w:lang w:val="en-US"/>
              </w:rPr>
              <w:t xml:space="preserve"> A/HRC/42/17.</w:t>
            </w:r>
          </w:p>
          <w:p w14:paraId="09032B24"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 xml:space="preserve">يقدم هذا التقرير الاستنتاجات المفصلة التي توصل إليها فريق الخبراء فيما يتعلق بالتأثير العملي لهذه الانتهاكات على حياة اليمنيين المدنيين، والذي كان هائلا وواسع </w:t>
            </w:r>
            <w:r w:rsidRPr="005E46D3">
              <w:rPr>
                <w:rFonts w:cs="Traditional Arabic"/>
                <w:sz w:val="20"/>
                <w:szCs w:val="30"/>
                <w:rtl/>
                <w:lang w:val="en-US"/>
              </w:rPr>
              <w:lastRenderedPageBreak/>
              <w:t>النطاق. القصف والغارات الجوية تخلق شعورًا بعدم وجود مكان آمن للاختباء من القتال. الألغام الأرضية التي تركها الحوثيون تقتل وتشوه الناس بعد فترة طويلة من تهدئة المعارك. إن الحصار واعتماد الحصار العسكري كأسلوب قتال والهجمات التي تؤثر على المواد الأساسية لبقاء السكان على قيد الحياة والعوائق التي تحول دون إيصال المساعدات جميعها يحرم السكان من المواد الأساسية وسط الأزمة الإنسانية غير المسبوقة. يتم إعتقال الأشخاص واحتجازهم بشكل تعسفي واخفاءهم وتعذيبهم وسوء معاملتهم بما في ذلك العنف الجنسي. يعيش السكان في خوف من الاعتقال أو الاستهداف بأي شكل من الأشكال لاعتبارهم معارضين. تنشط أطراف النزاع بتجنيد الأطفال بما في ذلك عن طريق القوة وتقيّد عمل النشطاء والصحفيين والمدافعين عن حقوق الإنسان والعاملين في المجال الإنساني</w:t>
            </w:r>
            <w:r w:rsidRPr="005E46D3">
              <w:rPr>
                <w:rFonts w:cs="Traditional Arabic"/>
                <w:sz w:val="20"/>
                <w:szCs w:val="30"/>
                <w:lang w:val="en-US"/>
              </w:rPr>
              <w:t>.</w:t>
            </w:r>
          </w:p>
          <w:p w14:paraId="40810EBA" w14:textId="77777777" w:rsidR="00ED5FAF" w:rsidRDefault="005E46D3" w:rsidP="00605878">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حدّد فريق الخبراء عددًا من الأفراد الذين قد يتحملون مسؤولية الانتهاكات والجرائم المحتملة. ينبغي التحقيق مع الأفراد المعنيين بغرض مقاضاتهم. وقد تم إبلاغ أسمائهم على أساس سري للغاية إلى المفوض السامي لحقوق الإنسان</w:t>
            </w:r>
            <w:r w:rsidRPr="005E46D3">
              <w:rPr>
                <w:rFonts w:cs="Traditional Arabic"/>
                <w:sz w:val="20"/>
                <w:szCs w:val="30"/>
                <w:lang w:val="en-US"/>
              </w:rPr>
              <w:t>.</w:t>
            </w:r>
          </w:p>
          <w:p w14:paraId="1347D083" w14:textId="0A26FE20"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lang w:val="en-US"/>
              </w:rPr>
              <w:tab/>
            </w:r>
            <w:r w:rsidRPr="005E46D3">
              <w:rPr>
                <w:rFonts w:cs="Traditional Arabic"/>
                <w:sz w:val="20"/>
                <w:szCs w:val="30"/>
                <w:rtl/>
                <w:lang w:val="en-US"/>
              </w:rPr>
              <w:t xml:space="preserve">أدى فشل الأطراف في الاعتراف بمسؤوليتها عن أي انتهاكات ورفضها اتخاذ أي خطوات ذات مغزى لتصحيح المواقف التي نتج عنها انتهاكات إلى إنتشار إنعدام المساءلة، الأمر الذي يشجع على مزيد من التجاهل لحقوق </w:t>
            </w:r>
            <w:r w:rsidR="00973954">
              <w:rPr>
                <w:rFonts w:cs="Traditional Arabic" w:hint="cs"/>
                <w:sz w:val="20"/>
                <w:szCs w:val="30"/>
                <w:rtl/>
                <w:lang w:val="en-US"/>
              </w:rPr>
              <w:t xml:space="preserve">المدنيين </w:t>
            </w:r>
            <w:r w:rsidRPr="005E46D3">
              <w:rPr>
                <w:rFonts w:cs="Traditional Arabic"/>
                <w:sz w:val="20"/>
                <w:szCs w:val="30"/>
                <w:rtl/>
                <w:lang w:val="en-US"/>
              </w:rPr>
              <w:t xml:space="preserve">اليمنيين والتحريض على الإفلات من العقاب على الجرائم المرتكبة في اليمن. تتحمل الحكومة اليمنية مسؤولية معالجة الانتهاكات على وجه الاستعجال. تتحمل سلطات الأمر الواقع والدول الأعضاء في التحالف بما في ذلك المملكة العربية السعودية والإمارات العربية المتحدة مسؤولية جسيمة ويجب عليها اتخاذ إجراءات ضد المسؤولين داخل صفوفها. يقع العبء أيضًا على المجتمع الدولي، وخاصة الدول التي لها تأثير على أطراف النزاع، لإدانة </w:t>
            </w:r>
            <w:r w:rsidR="006042AE">
              <w:rPr>
                <w:rFonts w:cs="Traditional Arabic" w:hint="cs"/>
                <w:sz w:val="20"/>
                <w:szCs w:val="30"/>
                <w:rtl/>
                <w:lang w:val="en-US"/>
              </w:rPr>
              <w:t>واتخا</w:t>
            </w:r>
            <w:r w:rsidR="006042AE">
              <w:rPr>
                <w:rFonts w:cs="Traditional Arabic" w:hint="cs"/>
                <w:sz w:val="20"/>
                <w:szCs w:val="30"/>
                <w:rtl/>
                <w:lang w:bidi="ar-JO"/>
              </w:rPr>
              <w:t>ذ الخطوات المناسبة لمنع حدوث</w:t>
            </w:r>
            <w:r w:rsidR="006042AE" w:rsidRPr="005E46D3">
              <w:rPr>
                <w:rFonts w:cs="Traditional Arabic"/>
                <w:sz w:val="20"/>
                <w:szCs w:val="30"/>
                <w:rtl/>
                <w:lang w:val="en-US"/>
              </w:rPr>
              <w:t xml:space="preserve"> </w:t>
            </w:r>
            <w:r w:rsidRPr="005E46D3">
              <w:rPr>
                <w:rFonts w:cs="Traditional Arabic"/>
                <w:sz w:val="20"/>
                <w:szCs w:val="30"/>
                <w:rtl/>
                <w:lang w:val="en-US"/>
              </w:rPr>
              <w:t>الانتهاكات ومساعدة اليمن في ضمان محاسبة مرتكبي الجرائم. علاوة على ذلك، فإن استمرار توريد الأسلحة للأطراف المشاركة في النزاع في اليمن يديم الصراع ومعاناة السكان</w:t>
            </w:r>
            <w:r w:rsidRPr="005E46D3">
              <w:rPr>
                <w:rFonts w:cs="Traditional Arabic"/>
                <w:sz w:val="20"/>
                <w:szCs w:val="30"/>
                <w:lang w:val="en-US"/>
              </w:rPr>
              <w:t xml:space="preserve">. </w:t>
            </w:r>
          </w:p>
          <w:p w14:paraId="5FBEA7A7" w14:textId="4EE585B9" w:rsidR="00ED5FAF" w:rsidRDefault="005E46D3" w:rsidP="00973954">
            <w:pPr>
              <w:pStyle w:val="Footer"/>
              <w:tabs>
                <w:tab w:val="left" w:pos="720"/>
              </w:tabs>
              <w:bidi/>
              <w:spacing w:line="216" w:lineRule="auto"/>
              <w:ind w:left="541" w:right="1089" w:hanging="112"/>
              <w:jc w:val="both"/>
              <w:rPr>
                <w:rFonts w:cs="Traditional Arabic"/>
                <w:sz w:val="20"/>
                <w:szCs w:val="30"/>
                <w:lang w:val="en-US"/>
              </w:rPr>
            </w:pPr>
            <w:r w:rsidRPr="005E46D3">
              <w:rPr>
                <w:rFonts w:cs="Traditional Arabic"/>
                <w:sz w:val="20"/>
                <w:szCs w:val="30"/>
                <w:rtl/>
                <w:lang w:val="en-US"/>
              </w:rPr>
              <w:t>قام فريق الخبراء ومفوضية الأمم المتحدة السامية لحقوق الإنسان بصياغة توصيات ملموسة في التقارير المقدمة إلى مجلس حقوق الإنسان</w:t>
            </w:r>
            <w:r w:rsidR="00973954">
              <w:rPr>
                <w:rFonts w:cs="Traditional Arabic" w:hint="cs"/>
                <w:sz w:val="20"/>
                <w:szCs w:val="30"/>
                <w:rtl/>
                <w:lang w:val="en-US"/>
              </w:rPr>
              <w:t xml:space="preserve"> (</w:t>
            </w:r>
            <w:r w:rsidRPr="005E46D3">
              <w:rPr>
                <w:rFonts w:cs="Traditional Arabic"/>
                <w:sz w:val="20"/>
                <w:szCs w:val="30"/>
                <w:lang w:val="en-US"/>
              </w:rPr>
              <w:t xml:space="preserve"> A/HRC/30/31</w:t>
            </w:r>
            <w:r w:rsidRPr="005E46D3">
              <w:rPr>
                <w:rFonts w:cs="Traditional Arabic"/>
                <w:sz w:val="20"/>
                <w:szCs w:val="30"/>
                <w:rtl/>
                <w:lang w:val="en-US"/>
              </w:rPr>
              <w:t>و</w:t>
            </w:r>
            <w:r w:rsidRPr="005E46D3">
              <w:rPr>
                <w:rFonts w:cs="Traditional Arabic"/>
                <w:sz w:val="20"/>
                <w:szCs w:val="30"/>
                <w:lang w:val="en-US"/>
              </w:rPr>
              <w:t xml:space="preserve"> A/HRC/33/38</w:t>
            </w:r>
            <w:r w:rsidRPr="005E46D3">
              <w:rPr>
                <w:rFonts w:cs="Traditional Arabic"/>
                <w:sz w:val="20"/>
                <w:szCs w:val="30"/>
                <w:rtl/>
                <w:lang w:val="en-US"/>
              </w:rPr>
              <w:t>و</w:t>
            </w:r>
            <w:r w:rsidRPr="005E46D3">
              <w:rPr>
                <w:rFonts w:cs="Traditional Arabic"/>
                <w:sz w:val="20"/>
                <w:szCs w:val="30"/>
                <w:lang w:val="en-US"/>
              </w:rPr>
              <w:t xml:space="preserve"> A/HRC/36/33</w:t>
            </w:r>
            <w:r w:rsidRPr="005E46D3">
              <w:rPr>
                <w:rFonts w:cs="Traditional Arabic"/>
                <w:sz w:val="20"/>
                <w:szCs w:val="30"/>
                <w:rtl/>
                <w:lang w:val="en-US"/>
              </w:rPr>
              <w:t>و</w:t>
            </w:r>
            <w:r w:rsidRPr="005E46D3">
              <w:rPr>
                <w:rFonts w:cs="Traditional Arabic"/>
                <w:sz w:val="20"/>
                <w:szCs w:val="30"/>
                <w:lang w:val="en-US"/>
              </w:rPr>
              <w:t xml:space="preserve"> A/HRC39/43</w:t>
            </w:r>
            <w:r w:rsidRPr="005E46D3">
              <w:rPr>
                <w:rFonts w:cs="Traditional Arabic"/>
                <w:sz w:val="20"/>
                <w:szCs w:val="30"/>
                <w:rtl/>
                <w:lang w:val="en-US"/>
              </w:rPr>
              <w:t>و</w:t>
            </w:r>
            <w:r w:rsidRPr="005E46D3">
              <w:rPr>
                <w:rFonts w:cs="Traditional Arabic"/>
                <w:sz w:val="20"/>
                <w:szCs w:val="30"/>
                <w:lang w:val="en-US"/>
              </w:rPr>
              <w:t xml:space="preserve"> A/HRC/42/17</w:t>
            </w:r>
            <w:r w:rsidR="00973954">
              <w:rPr>
                <w:rFonts w:cs="Traditional Arabic" w:hint="cs"/>
                <w:sz w:val="20"/>
                <w:szCs w:val="30"/>
                <w:rtl/>
                <w:lang w:val="en-US"/>
              </w:rPr>
              <w:t xml:space="preserve">) </w:t>
            </w:r>
            <w:r w:rsidRPr="005E46D3">
              <w:rPr>
                <w:rFonts w:cs="Traditional Arabic"/>
                <w:sz w:val="20"/>
                <w:szCs w:val="30"/>
                <w:rtl/>
                <w:lang w:val="en-US"/>
              </w:rPr>
              <w:t xml:space="preserve">مثلها مثل العديد من منظمات المجتمع المدني الدولية </w:t>
            </w:r>
            <w:r w:rsidR="00973954" w:rsidRPr="005E46D3">
              <w:rPr>
                <w:rFonts w:cs="Traditional Arabic"/>
                <w:sz w:val="20"/>
                <w:szCs w:val="30"/>
                <w:rtl/>
                <w:lang w:val="en-US"/>
              </w:rPr>
              <w:t>وال</w:t>
            </w:r>
            <w:r w:rsidR="00973954">
              <w:rPr>
                <w:rFonts w:cs="Traditional Arabic" w:hint="cs"/>
                <w:sz w:val="20"/>
                <w:szCs w:val="30"/>
                <w:rtl/>
                <w:lang w:val="en-US"/>
              </w:rPr>
              <w:t>محلية</w:t>
            </w:r>
            <w:r w:rsidRPr="005E46D3">
              <w:rPr>
                <w:rFonts w:cs="Traditional Arabic"/>
                <w:sz w:val="20"/>
                <w:szCs w:val="30"/>
                <w:rtl/>
                <w:lang w:val="en-US"/>
              </w:rPr>
              <w:t>. يجب أن تنفذ هذه التوصيات على الفور</w:t>
            </w:r>
            <w:r w:rsidRPr="005E46D3">
              <w:rPr>
                <w:rFonts w:cs="Traditional Arabic"/>
                <w:sz w:val="20"/>
                <w:szCs w:val="30"/>
                <w:lang w:val="en-US"/>
              </w:rPr>
              <w:t>.</w:t>
            </w:r>
          </w:p>
          <w:p w14:paraId="1AC9EC30" w14:textId="5E5BE5DF" w:rsidR="0030493B" w:rsidRPr="00C6383B" w:rsidRDefault="005E46D3" w:rsidP="00605878">
            <w:pPr>
              <w:pStyle w:val="Footer"/>
              <w:tabs>
                <w:tab w:val="left" w:pos="720"/>
              </w:tabs>
              <w:bidi/>
              <w:spacing w:line="216" w:lineRule="auto"/>
              <w:ind w:left="541" w:right="1089" w:hanging="112"/>
              <w:jc w:val="both"/>
              <w:rPr>
                <w:rFonts w:ascii="Traditional Arabic" w:hAnsi="Traditional Arabic" w:cs="Traditional Arabic"/>
                <w:sz w:val="24"/>
                <w:szCs w:val="24"/>
              </w:rPr>
            </w:pPr>
            <w:r w:rsidRPr="005E46D3">
              <w:rPr>
                <w:rFonts w:cs="Traditional Arabic"/>
                <w:sz w:val="20"/>
                <w:szCs w:val="30"/>
                <w:rtl/>
                <w:lang w:val="en-US"/>
              </w:rPr>
              <w:t xml:space="preserve">يكرر فريق الخبراء التأكيد على أن الخطوات اللازمة للتصدي لانتهاكات حقوق الإنسان والقانون الدولي في اليمن قد نوقشت باستمرار، ولم يعد يوجد أي مبرر لعدم اتخاذ خطوات مجدية للتصدي لها. أفضل طريقة لحماية </w:t>
            </w:r>
            <w:r w:rsidR="00973954">
              <w:rPr>
                <w:rFonts w:cs="Traditional Arabic" w:hint="cs"/>
                <w:sz w:val="20"/>
                <w:szCs w:val="30"/>
                <w:rtl/>
                <w:lang w:val="en-US"/>
              </w:rPr>
              <w:t xml:space="preserve">المدنيين </w:t>
            </w:r>
            <w:r w:rsidRPr="005E46D3">
              <w:rPr>
                <w:rFonts w:cs="Traditional Arabic"/>
                <w:sz w:val="20"/>
                <w:szCs w:val="30"/>
                <w:rtl/>
                <w:lang w:val="en-US"/>
              </w:rPr>
              <w:t>اليمنيين هي وقف القتال من خلال التوصل إلى تسوية سياسية تتضمن تدابير للمساءلة</w:t>
            </w:r>
            <w:r w:rsidRPr="005E46D3">
              <w:rPr>
                <w:rFonts w:cs="Traditional Arabic"/>
                <w:sz w:val="20"/>
                <w:szCs w:val="30"/>
                <w:lang w:val="en-US"/>
              </w:rPr>
              <w:t>.</w:t>
            </w:r>
            <w:r w:rsidR="0030493B" w:rsidRPr="00650836">
              <w:rPr>
                <w:rFonts w:cs="Traditional Arabic"/>
                <w:sz w:val="20"/>
                <w:szCs w:val="30"/>
                <w:lang w:val="en-US"/>
              </w:rPr>
              <w:t> </w:t>
            </w:r>
            <w:r w:rsidR="00ED5FAF" w:rsidRPr="00C6383B">
              <w:rPr>
                <w:rFonts w:ascii="Traditional Arabic" w:hAnsi="Traditional Arabic" w:cs="Traditional Arabic"/>
                <w:sz w:val="24"/>
                <w:szCs w:val="24"/>
              </w:rPr>
              <w:t xml:space="preserve"> </w:t>
            </w:r>
          </w:p>
        </w:tc>
      </w:tr>
      <w:tr w:rsidR="005E46D3" w:rsidRPr="00C6383B" w14:paraId="7F6D170A" w14:textId="77777777" w:rsidTr="009147B8">
        <w:tc>
          <w:tcPr>
            <w:tcW w:w="9629" w:type="dxa"/>
          </w:tcPr>
          <w:p w14:paraId="44AEC29F" w14:textId="77777777" w:rsidR="005E46D3" w:rsidRPr="00C6383B" w:rsidRDefault="005E46D3" w:rsidP="00361237">
            <w:pPr>
              <w:tabs>
                <w:tab w:val="left" w:pos="255"/>
                <w:tab w:val="left" w:pos="720"/>
              </w:tabs>
              <w:suppressAutoHyphens w:val="0"/>
              <w:bidi/>
              <w:spacing w:before="120" w:after="120" w:line="380" w:lineRule="exact"/>
              <w:jc w:val="lowKashida"/>
              <w:rPr>
                <w:rFonts w:ascii="Traditional Arabic" w:hAnsi="Traditional Arabic" w:cs="Traditional Arabic"/>
                <w:sz w:val="24"/>
                <w:szCs w:val="24"/>
                <w:rtl/>
              </w:rPr>
            </w:pPr>
          </w:p>
        </w:tc>
      </w:tr>
    </w:tbl>
    <w:p w14:paraId="3E2C163E" w14:textId="618D5FF8" w:rsidR="00AD6670" w:rsidRPr="002F6CE5" w:rsidRDefault="00AD6670" w:rsidP="00361237">
      <w:pPr>
        <w:pStyle w:val="Footer"/>
        <w:tabs>
          <w:tab w:val="left" w:pos="720"/>
        </w:tabs>
        <w:ind w:right="1089"/>
        <w:jc w:val="both"/>
        <w:rPr>
          <w:b/>
          <w:bCs/>
          <w:sz w:val="24"/>
          <w:szCs w:val="24"/>
        </w:rPr>
      </w:pPr>
    </w:p>
    <w:p w14:paraId="0084B79E" w14:textId="77777777" w:rsidR="00AD6670" w:rsidRPr="002F6CE5" w:rsidRDefault="00AD6670" w:rsidP="00361237">
      <w:pPr>
        <w:pStyle w:val="Footer"/>
        <w:tabs>
          <w:tab w:val="left" w:pos="720"/>
        </w:tabs>
        <w:ind w:right="1089"/>
        <w:jc w:val="both"/>
        <w:rPr>
          <w:sz w:val="24"/>
          <w:szCs w:val="24"/>
        </w:rPr>
      </w:pPr>
    </w:p>
    <w:p w14:paraId="4A7B0BF8" w14:textId="52879FB3" w:rsidR="00AD6670" w:rsidRPr="004B5BF9" w:rsidRDefault="00AD6670" w:rsidP="00361237">
      <w:pPr>
        <w:pStyle w:val="Footer"/>
        <w:tabs>
          <w:tab w:val="left" w:pos="720"/>
        </w:tabs>
        <w:bidi/>
        <w:ind w:left="459" w:right="1089" w:hanging="450"/>
        <w:jc w:val="both"/>
        <w:rPr>
          <w:rFonts w:ascii="Traditional Arabic" w:hAnsi="Traditional Arabic" w:cs="Traditional Arabic"/>
          <w:sz w:val="36"/>
          <w:szCs w:val="36"/>
        </w:rPr>
      </w:pPr>
      <w:r w:rsidRPr="002F6CE5">
        <w:rPr>
          <w:sz w:val="24"/>
          <w:szCs w:val="24"/>
        </w:rPr>
        <w:br w:type="page"/>
      </w:r>
      <w:r w:rsidR="0064235D" w:rsidRPr="004B5BF9">
        <w:rPr>
          <w:rFonts w:ascii="Traditional Arabic" w:hAnsi="Traditional Arabic" w:cs="Traditional Arabic"/>
          <w:sz w:val="36"/>
          <w:szCs w:val="36"/>
          <w:rtl/>
        </w:rPr>
        <w:lastRenderedPageBreak/>
        <w:t xml:space="preserve">المحتويات </w:t>
      </w:r>
    </w:p>
    <w:bookmarkStart w:id="2" w:name="_Toc18001334" w:displacedByCustomXml="next"/>
    <w:sdt>
      <w:sdtPr>
        <w:rPr>
          <w:sz w:val="20"/>
          <w:szCs w:val="20"/>
          <w:rtl/>
        </w:rPr>
        <w:id w:val="746771104"/>
        <w:docPartObj>
          <w:docPartGallery w:val="Table of Contents"/>
          <w:docPartUnique/>
        </w:docPartObj>
      </w:sdtPr>
      <w:sdtEndPr>
        <w:rPr>
          <w:noProof/>
        </w:rPr>
      </w:sdtEndPr>
      <w:sdtContent>
        <w:bookmarkEnd w:id="2" w:displacedByCustomXml="prev"/>
        <w:p w14:paraId="00E8E67D" w14:textId="32CD336D" w:rsidR="00C836A4" w:rsidRPr="006968FD" w:rsidRDefault="001C0C82" w:rsidP="00C836A4">
          <w:pPr>
            <w:pStyle w:val="TOC2"/>
            <w:rPr>
              <w:rFonts w:asciiTheme="minorHAnsi" w:eastAsiaTheme="minorEastAsia" w:hAnsiTheme="minorHAnsi" w:cstheme="minorBidi"/>
              <w:noProof/>
              <w:lang w:eastAsia="en-GB"/>
            </w:rPr>
          </w:pPr>
          <w:r w:rsidRPr="006968FD">
            <w:fldChar w:fldCharType="begin"/>
          </w:r>
          <w:r w:rsidRPr="006968FD">
            <w:instrText xml:space="preserve"> TOC \o "1-3" \h \z \u </w:instrText>
          </w:r>
          <w:r w:rsidRPr="006968FD">
            <w:fldChar w:fldCharType="separate"/>
          </w:r>
          <w:hyperlink w:anchor="_Toc18918088" w:history="1">
            <w:r w:rsidR="00C836A4" w:rsidRPr="006968FD">
              <w:rPr>
                <w:rStyle w:val="Hyperlink"/>
                <w:rFonts w:cs="Traditional Arabic"/>
                <w:noProof/>
                <w:lang w:val="en-US"/>
              </w:rPr>
              <w:t>I</w:t>
            </w:r>
            <w:r w:rsidR="00C836A4" w:rsidRPr="006968FD">
              <w:rPr>
                <w:rStyle w:val="Hyperlink"/>
                <w:rFonts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المقدمة والولاية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_Toc18918088 \h </w:instrText>
            </w:r>
            <w:r w:rsidR="00C836A4" w:rsidRPr="006968FD">
              <w:rPr>
                <w:noProof/>
                <w:webHidden/>
              </w:rPr>
            </w:r>
            <w:r w:rsidR="00C836A4" w:rsidRPr="006968FD">
              <w:rPr>
                <w:noProof/>
                <w:webHidden/>
              </w:rPr>
              <w:fldChar w:fldCharType="separate"/>
            </w:r>
            <w:r w:rsidR="00002246">
              <w:rPr>
                <w:noProof/>
                <w:webHidden/>
                <w:rtl/>
              </w:rPr>
              <w:t>4</w:t>
            </w:r>
            <w:r w:rsidR="00C836A4" w:rsidRPr="006968FD">
              <w:rPr>
                <w:noProof/>
                <w:webHidden/>
              </w:rPr>
              <w:fldChar w:fldCharType="end"/>
            </w:r>
          </w:hyperlink>
        </w:p>
        <w:p w14:paraId="01DEFC97" w14:textId="7C3B58D5" w:rsidR="00C836A4" w:rsidRPr="006968FD" w:rsidRDefault="0068660E" w:rsidP="00C836A4">
          <w:pPr>
            <w:pStyle w:val="TOC2"/>
            <w:rPr>
              <w:rFonts w:asciiTheme="minorHAnsi" w:eastAsiaTheme="minorEastAsia" w:hAnsiTheme="minorHAnsi" w:cstheme="minorBidi"/>
              <w:noProof/>
              <w:lang w:eastAsia="en-GB"/>
            </w:rPr>
          </w:pPr>
          <w:hyperlink w:anchor="_Toc18918089" w:history="1">
            <w:r w:rsidR="00C836A4" w:rsidRPr="006968FD">
              <w:rPr>
                <w:rStyle w:val="Hyperlink"/>
                <w:rFonts w:cs="Traditional Arabic"/>
                <w:noProof/>
                <w:lang w:val="en-US"/>
              </w:rPr>
              <w:t>II.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المنهجية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_Toc18918089 \h </w:instrText>
            </w:r>
            <w:r w:rsidR="00C836A4" w:rsidRPr="006968FD">
              <w:rPr>
                <w:noProof/>
                <w:webHidden/>
              </w:rPr>
            </w:r>
            <w:r w:rsidR="00C836A4" w:rsidRPr="006968FD">
              <w:rPr>
                <w:noProof/>
                <w:webHidden/>
              </w:rPr>
              <w:fldChar w:fldCharType="separate"/>
            </w:r>
            <w:r w:rsidR="00002246">
              <w:rPr>
                <w:noProof/>
                <w:webHidden/>
                <w:rtl/>
              </w:rPr>
              <w:t>7</w:t>
            </w:r>
            <w:r w:rsidR="00C836A4" w:rsidRPr="006968FD">
              <w:rPr>
                <w:noProof/>
                <w:webHidden/>
              </w:rPr>
              <w:fldChar w:fldCharType="end"/>
            </w:r>
          </w:hyperlink>
        </w:p>
        <w:p w14:paraId="628CE2A7" w14:textId="26BE8A20" w:rsidR="00C836A4" w:rsidRPr="006968FD" w:rsidRDefault="0068660E" w:rsidP="00C836A4">
          <w:pPr>
            <w:pStyle w:val="TOC3"/>
            <w:tabs>
              <w:tab w:val="left" w:pos="2059"/>
              <w:tab w:val="right" w:leader="dot" w:pos="9629"/>
            </w:tabs>
            <w:bidi/>
            <w:rPr>
              <w:rFonts w:asciiTheme="minorHAnsi" w:eastAsiaTheme="minorEastAsia" w:hAnsiTheme="minorHAnsi" w:cstheme="minorBidi"/>
              <w:noProof/>
              <w:lang w:eastAsia="en-GB"/>
            </w:rPr>
          </w:pPr>
          <w:hyperlink w:anchor="_Toc18918090" w:history="1">
            <w:r w:rsidR="00C836A4" w:rsidRPr="006968FD">
              <w:rPr>
                <w:rStyle w:val="Hyperlink"/>
                <w:rFonts w:ascii="Traditional Arabic" w:hAnsi="Traditional Arabic" w:cs="Traditional Arabic"/>
                <w:noProof/>
                <w:rtl/>
                <w:lang w:bidi="ar-JO"/>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معيار الإثبات</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_Toc18918090 \h </w:instrText>
            </w:r>
            <w:r w:rsidR="00C836A4" w:rsidRPr="006968FD">
              <w:rPr>
                <w:noProof/>
                <w:webHidden/>
              </w:rPr>
            </w:r>
            <w:r w:rsidR="00C836A4" w:rsidRPr="006968FD">
              <w:rPr>
                <w:noProof/>
                <w:webHidden/>
              </w:rPr>
              <w:fldChar w:fldCharType="separate"/>
            </w:r>
            <w:r w:rsidR="00002246">
              <w:rPr>
                <w:noProof/>
                <w:webHidden/>
                <w:rtl/>
              </w:rPr>
              <w:t>7</w:t>
            </w:r>
            <w:r w:rsidR="00C836A4" w:rsidRPr="006968FD">
              <w:rPr>
                <w:noProof/>
                <w:webHidden/>
              </w:rPr>
              <w:fldChar w:fldCharType="end"/>
            </w:r>
          </w:hyperlink>
        </w:p>
        <w:p w14:paraId="51E0160A" w14:textId="170FD0A1" w:rsidR="00C836A4" w:rsidRPr="006968FD" w:rsidRDefault="0068660E" w:rsidP="00C836A4">
          <w:pPr>
            <w:pStyle w:val="TOC3"/>
            <w:tabs>
              <w:tab w:val="left" w:pos="2162"/>
              <w:tab w:val="right" w:leader="dot" w:pos="9629"/>
            </w:tabs>
            <w:bidi/>
            <w:rPr>
              <w:rFonts w:asciiTheme="minorHAnsi" w:eastAsiaTheme="minorEastAsia" w:hAnsiTheme="minorHAnsi" w:cstheme="minorBidi"/>
              <w:noProof/>
              <w:lang w:eastAsia="en-GB"/>
            </w:rPr>
          </w:pPr>
          <w:hyperlink w:anchor="_Toc18918091" w:history="1">
            <w:r w:rsidR="00C836A4" w:rsidRPr="006968FD">
              <w:rPr>
                <w:rStyle w:val="Hyperlink"/>
                <w:rFonts w:ascii="Traditional Arabic" w:hAnsi="Traditional Arabic" w:cs="Traditional Arabic"/>
                <w:noProof/>
                <w:rtl/>
              </w:rPr>
              <w:t xml:space="preserve">ب.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إسناد المسؤولية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_Toc18918091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1CBA6868" w14:textId="67630674" w:rsidR="00C836A4" w:rsidRPr="006968FD" w:rsidRDefault="0068660E" w:rsidP="00C836A4">
          <w:pPr>
            <w:pStyle w:val="TOC3"/>
            <w:tabs>
              <w:tab w:val="left" w:pos="3196"/>
              <w:tab w:val="right" w:leader="dot" w:pos="9629"/>
            </w:tabs>
            <w:bidi/>
            <w:rPr>
              <w:rFonts w:asciiTheme="minorHAnsi" w:eastAsiaTheme="minorEastAsia" w:hAnsiTheme="minorHAnsi" w:cstheme="minorBidi"/>
              <w:noProof/>
              <w:lang w:eastAsia="en-GB"/>
            </w:rPr>
          </w:pPr>
          <w:hyperlink w:anchor="_Toc18918092" w:history="1">
            <w:r w:rsidR="00C836A4" w:rsidRPr="006968FD">
              <w:rPr>
                <w:rStyle w:val="Hyperlink"/>
                <w:rFonts w:ascii="Traditional Arabic" w:hAnsi="Traditional Arabic" w:cs="Traditional Arabic"/>
                <w:noProof/>
                <w:rtl/>
              </w:rPr>
              <w:t xml:space="preserve">جـ.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حماية المصادر والضحايا والشهود</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_Toc18918092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36443167" w14:textId="346290C1" w:rsidR="00C836A4" w:rsidRPr="006968FD" w:rsidRDefault="0068660E" w:rsidP="00C836A4">
          <w:pPr>
            <w:pStyle w:val="TOC3"/>
            <w:tabs>
              <w:tab w:val="left" w:pos="5136"/>
              <w:tab w:val="right" w:leader="dot" w:pos="9629"/>
            </w:tabs>
            <w:bidi/>
            <w:rPr>
              <w:rFonts w:asciiTheme="minorHAnsi" w:eastAsiaTheme="minorEastAsia" w:hAnsiTheme="minorHAnsi" w:cstheme="minorBidi"/>
              <w:noProof/>
              <w:lang w:eastAsia="en-GB"/>
            </w:rPr>
          </w:pPr>
          <w:hyperlink w:anchor="_Toc18918093" w:history="1">
            <w:r w:rsidR="00C836A4" w:rsidRPr="006968FD">
              <w:rPr>
                <w:rStyle w:val="Hyperlink"/>
                <w:rFonts w:ascii="Traditional Arabic" w:hAnsi="Traditional Arabic" w:cs="Traditional Arabic"/>
                <w:noProof/>
                <w:rtl/>
              </w:rPr>
              <w:t xml:space="preserve">د. </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مصادر الأدلة وطرق إجراء المقابلات والقيود ذات الصلة بالوصول</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_Toc18918093 \h </w:instrText>
            </w:r>
            <w:r w:rsidR="00C836A4" w:rsidRPr="006968FD">
              <w:rPr>
                <w:noProof/>
                <w:webHidden/>
              </w:rPr>
            </w:r>
            <w:r w:rsidR="00C836A4" w:rsidRPr="006968FD">
              <w:rPr>
                <w:noProof/>
                <w:webHidden/>
              </w:rPr>
              <w:fldChar w:fldCharType="separate"/>
            </w:r>
            <w:r w:rsidR="00002246">
              <w:rPr>
                <w:noProof/>
                <w:webHidden/>
                <w:rtl/>
              </w:rPr>
              <w:t>9</w:t>
            </w:r>
            <w:r w:rsidR="00C836A4" w:rsidRPr="006968FD">
              <w:rPr>
                <w:noProof/>
                <w:webHidden/>
              </w:rPr>
              <w:fldChar w:fldCharType="end"/>
            </w:r>
          </w:hyperlink>
        </w:p>
        <w:p w14:paraId="71280B2A" w14:textId="7EEAEA5E" w:rsidR="00C836A4" w:rsidRPr="006968FD" w:rsidRDefault="0068660E" w:rsidP="00C836A4">
          <w:pPr>
            <w:pStyle w:val="TOC2"/>
            <w:rPr>
              <w:rFonts w:asciiTheme="minorHAnsi" w:eastAsiaTheme="minorEastAsia" w:hAnsiTheme="minorHAnsi" w:cstheme="minorBidi"/>
              <w:noProof/>
              <w:lang w:eastAsia="en-GB"/>
            </w:rPr>
          </w:pPr>
          <w:hyperlink w:anchor="_Toc18918094" w:history="1">
            <w:r w:rsidR="00C836A4" w:rsidRPr="006968FD">
              <w:rPr>
                <w:rStyle w:val="Hyperlink"/>
                <w:rFonts w:cs="Traditional Arabic"/>
                <w:noProof/>
                <w:lang w:val="en-US"/>
              </w:rPr>
              <w:t>III.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الإطار القانوني</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_Toc18918094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284146CA" w14:textId="2121AC35" w:rsidR="00C836A4" w:rsidRPr="006968FD" w:rsidRDefault="0068660E" w:rsidP="00C836A4">
          <w:pPr>
            <w:pStyle w:val="TOC3"/>
            <w:tabs>
              <w:tab w:val="left" w:pos="1760"/>
              <w:tab w:val="right" w:leader="dot" w:pos="9629"/>
            </w:tabs>
            <w:bidi/>
            <w:rPr>
              <w:rFonts w:asciiTheme="minorHAnsi" w:eastAsiaTheme="minorEastAsia" w:hAnsiTheme="minorHAnsi" w:cstheme="minorBidi"/>
              <w:noProof/>
              <w:lang w:eastAsia="en-GB"/>
            </w:rPr>
          </w:pPr>
          <w:hyperlink w:anchor="_Toc18918095" w:history="1">
            <w:r w:rsidR="00C836A4" w:rsidRPr="006968FD">
              <w:rPr>
                <w:rStyle w:val="Hyperlink"/>
                <w:rFonts w:ascii="Traditional Arabic" w:hAnsi="Traditional Arabic" w:cs="Traditional Arabic"/>
                <w:noProof/>
                <w:rtl/>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المقدمة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_Toc18918095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6B458906" w14:textId="3882F40B" w:rsidR="00C836A4" w:rsidRPr="006968FD" w:rsidRDefault="0068660E" w:rsidP="00C836A4">
          <w:pPr>
            <w:pStyle w:val="TOC3"/>
            <w:tabs>
              <w:tab w:val="left" w:pos="2653"/>
              <w:tab w:val="right" w:leader="dot" w:pos="9629"/>
            </w:tabs>
            <w:bidi/>
            <w:rPr>
              <w:rFonts w:asciiTheme="minorHAnsi" w:eastAsiaTheme="minorEastAsia" w:hAnsiTheme="minorHAnsi" w:cstheme="minorBidi"/>
              <w:noProof/>
              <w:lang w:eastAsia="en-GB"/>
            </w:rPr>
          </w:pPr>
          <w:hyperlink w:anchor="_Toc18918096" w:history="1">
            <w:r w:rsidR="00C836A4" w:rsidRPr="006968FD">
              <w:rPr>
                <w:rStyle w:val="Hyperlink"/>
                <w:rFonts w:ascii="Traditional Arabic" w:hAnsi="Traditional Arabic" w:cs="Traditional Arabic"/>
                <w:noProof/>
                <w:rtl/>
              </w:rPr>
              <w:t>ب‌.</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القانون الواجب التطبيق</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_Toc18918096 \h </w:instrText>
            </w:r>
            <w:r w:rsidR="00C836A4" w:rsidRPr="006968FD">
              <w:rPr>
                <w:noProof/>
                <w:webHidden/>
              </w:rPr>
            </w:r>
            <w:r w:rsidR="00C836A4" w:rsidRPr="006968FD">
              <w:rPr>
                <w:noProof/>
                <w:webHidden/>
              </w:rPr>
              <w:fldChar w:fldCharType="separate"/>
            </w:r>
            <w:r w:rsidR="00002246">
              <w:rPr>
                <w:noProof/>
                <w:webHidden/>
                <w:rtl/>
              </w:rPr>
              <w:t>14</w:t>
            </w:r>
            <w:r w:rsidR="00C836A4" w:rsidRPr="006968FD">
              <w:rPr>
                <w:noProof/>
                <w:webHidden/>
              </w:rPr>
              <w:fldChar w:fldCharType="end"/>
            </w:r>
          </w:hyperlink>
        </w:p>
        <w:p w14:paraId="34EC405A" w14:textId="2C131F04" w:rsidR="00C836A4" w:rsidRPr="006968FD" w:rsidRDefault="0068660E" w:rsidP="00C836A4">
          <w:pPr>
            <w:pStyle w:val="TOC3"/>
            <w:tabs>
              <w:tab w:val="right" w:leader="dot" w:pos="9629"/>
            </w:tabs>
            <w:bidi/>
            <w:rPr>
              <w:rFonts w:asciiTheme="minorHAnsi" w:eastAsiaTheme="minorEastAsia" w:hAnsiTheme="minorHAnsi" w:cstheme="minorBidi"/>
              <w:noProof/>
              <w:lang w:eastAsia="en-GB"/>
            </w:rPr>
          </w:pPr>
          <w:hyperlink w:anchor="_Toc18918100" w:history="1">
            <w:r w:rsidR="00C836A4" w:rsidRPr="006968FD">
              <w:rPr>
                <w:rStyle w:val="Hyperlink"/>
                <w:rFonts w:ascii="Traditional Arabic" w:hAnsi="Traditional Arabic" w:cs="Traditional Arabic"/>
                <w:noProof/>
                <w:rtl/>
              </w:rPr>
              <w:t>جـ. التحليل القانوني</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_Toc18918100 \h </w:instrText>
            </w:r>
            <w:r w:rsidR="00C836A4" w:rsidRPr="006968FD">
              <w:rPr>
                <w:noProof/>
                <w:webHidden/>
              </w:rPr>
            </w:r>
            <w:r w:rsidR="00C836A4" w:rsidRPr="006968FD">
              <w:rPr>
                <w:noProof/>
                <w:webHidden/>
              </w:rPr>
              <w:fldChar w:fldCharType="separate"/>
            </w:r>
            <w:r w:rsidR="00002246">
              <w:rPr>
                <w:noProof/>
                <w:webHidden/>
                <w:rtl/>
              </w:rPr>
              <w:t>19</w:t>
            </w:r>
            <w:r w:rsidR="00C836A4" w:rsidRPr="006968FD">
              <w:rPr>
                <w:noProof/>
                <w:webHidden/>
              </w:rPr>
              <w:fldChar w:fldCharType="end"/>
            </w:r>
          </w:hyperlink>
        </w:p>
        <w:p w14:paraId="00180C34" w14:textId="446F7566" w:rsidR="00C836A4" w:rsidRPr="006968FD" w:rsidRDefault="0068660E" w:rsidP="00C836A4">
          <w:pPr>
            <w:pStyle w:val="TOC2"/>
            <w:tabs>
              <w:tab w:val="left" w:pos="2333"/>
            </w:tabs>
            <w:rPr>
              <w:rFonts w:asciiTheme="minorHAnsi" w:eastAsiaTheme="minorEastAsia" w:hAnsiTheme="minorHAnsi" w:cstheme="minorBidi"/>
              <w:noProof/>
              <w:lang w:eastAsia="en-GB"/>
            </w:rPr>
          </w:pPr>
          <w:hyperlink w:anchor="_Toc18918103" w:history="1">
            <w:r w:rsidR="00C836A4" w:rsidRPr="006968FD">
              <w:rPr>
                <w:rStyle w:val="Hyperlink"/>
                <w:rFonts w:cs="Traditional Arabic"/>
                <w:noProof/>
                <w:lang w:val="en-US"/>
              </w:rPr>
              <w:t>IV.</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التعاون مع فريق الخبراء البارزين</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_Toc18918103 \h </w:instrText>
            </w:r>
            <w:r w:rsidR="00C836A4" w:rsidRPr="006968FD">
              <w:rPr>
                <w:noProof/>
                <w:webHidden/>
              </w:rPr>
            </w:r>
            <w:r w:rsidR="00C836A4" w:rsidRPr="006968FD">
              <w:rPr>
                <w:noProof/>
                <w:webHidden/>
              </w:rPr>
              <w:fldChar w:fldCharType="separate"/>
            </w:r>
            <w:r w:rsidR="00002246">
              <w:rPr>
                <w:noProof/>
                <w:webHidden/>
                <w:rtl/>
              </w:rPr>
              <w:t>28</w:t>
            </w:r>
            <w:r w:rsidR="00C836A4" w:rsidRPr="006968FD">
              <w:rPr>
                <w:noProof/>
                <w:webHidden/>
              </w:rPr>
              <w:fldChar w:fldCharType="end"/>
            </w:r>
          </w:hyperlink>
        </w:p>
        <w:p w14:paraId="3598E8E7" w14:textId="6F1E3378" w:rsidR="00C836A4" w:rsidRPr="006968FD" w:rsidRDefault="0068660E" w:rsidP="00C836A4">
          <w:pPr>
            <w:pStyle w:val="TOC2"/>
            <w:tabs>
              <w:tab w:val="left" w:pos="2907"/>
            </w:tabs>
            <w:rPr>
              <w:rFonts w:asciiTheme="minorHAnsi" w:eastAsiaTheme="minorEastAsia" w:hAnsiTheme="minorHAnsi" w:cstheme="minorBidi"/>
              <w:noProof/>
              <w:lang w:eastAsia="en-GB"/>
            </w:rPr>
          </w:pPr>
          <w:hyperlink w:anchor="_Toc18918104" w:history="1">
            <w:r w:rsidR="00C836A4" w:rsidRPr="006968FD">
              <w:rPr>
                <w:rStyle w:val="Hyperlink"/>
                <w:rFonts w:cs="Traditional Arabic"/>
                <w:noProof/>
                <w:lang w:val="en-US"/>
              </w:rPr>
              <w:t>V</w:t>
            </w:r>
            <w:r w:rsidR="00C836A4" w:rsidRPr="006968FD">
              <w:rPr>
                <w:rStyle w:val="Hyperlink"/>
                <w:rFonts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السياق، الخلفية، وتطورات الوضع السياسي</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_Toc18918104 \h </w:instrText>
            </w:r>
            <w:r w:rsidR="00C836A4" w:rsidRPr="006968FD">
              <w:rPr>
                <w:noProof/>
                <w:webHidden/>
              </w:rPr>
            </w:r>
            <w:r w:rsidR="00C836A4" w:rsidRPr="006968FD">
              <w:rPr>
                <w:noProof/>
                <w:webHidden/>
              </w:rPr>
              <w:fldChar w:fldCharType="separate"/>
            </w:r>
            <w:r w:rsidR="00002246">
              <w:rPr>
                <w:noProof/>
                <w:webHidden/>
                <w:rtl/>
              </w:rPr>
              <w:t>29</w:t>
            </w:r>
            <w:r w:rsidR="00C836A4" w:rsidRPr="006968FD">
              <w:rPr>
                <w:noProof/>
                <w:webHidden/>
              </w:rPr>
              <w:fldChar w:fldCharType="end"/>
            </w:r>
          </w:hyperlink>
        </w:p>
        <w:p w14:paraId="462BC0BB" w14:textId="21C765EE" w:rsidR="00C836A4" w:rsidRPr="006968FD" w:rsidRDefault="0068660E" w:rsidP="00C836A4">
          <w:pPr>
            <w:pStyle w:val="TOC2"/>
            <w:rPr>
              <w:rFonts w:asciiTheme="minorHAnsi" w:eastAsiaTheme="minorEastAsia" w:hAnsiTheme="minorHAnsi" w:cstheme="minorBidi"/>
              <w:noProof/>
              <w:lang w:eastAsia="en-GB"/>
            </w:rPr>
          </w:pPr>
          <w:hyperlink w:anchor="_Toc18918105" w:history="1">
            <w:r w:rsidR="00C836A4" w:rsidRPr="006968FD">
              <w:rPr>
                <w:rStyle w:val="Hyperlink"/>
                <w:rFonts w:cs="Traditional Arabic"/>
                <w:noProof/>
                <w:lang w:val="en-US"/>
              </w:rPr>
              <w:t>VI.</w:t>
            </w:r>
            <w:r w:rsidR="00C836A4" w:rsidRPr="006968FD">
              <w:rPr>
                <w:rFonts w:asciiTheme="minorHAnsi" w:eastAsiaTheme="minorEastAsia" w:hAnsiTheme="minorHAnsi" w:cstheme="minorBidi"/>
                <w:noProof/>
                <w:lang w:eastAsia="en-GB"/>
              </w:rPr>
              <w:tab/>
            </w:r>
            <w:r w:rsidR="00C836A4" w:rsidRPr="006968FD">
              <w:rPr>
                <w:rStyle w:val="Hyperlink"/>
                <w:rFonts w:cs="Traditional Arabic"/>
                <w:noProof/>
                <w:rtl/>
                <w:lang w:val="en-US"/>
              </w:rPr>
              <w:t>الحالات الرمزية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_Toc18918105 \h </w:instrText>
            </w:r>
            <w:r w:rsidR="00C836A4" w:rsidRPr="006968FD">
              <w:rPr>
                <w:noProof/>
                <w:webHidden/>
              </w:rPr>
            </w:r>
            <w:r w:rsidR="00C836A4" w:rsidRPr="006968FD">
              <w:rPr>
                <w:noProof/>
                <w:webHidden/>
              </w:rPr>
              <w:fldChar w:fldCharType="separate"/>
            </w:r>
            <w:r w:rsidR="00002246">
              <w:rPr>
                <w:noProof/>
                <w:webHidden/>
                <w:rtl/>
              </w:rPr>
              <w:t>38</w:t>
            </w:r>
            <w:r w:rsidR="00C836A4" w:rsidRPr="006968FD">
              <w:rPr>
                <w:noProof/>
                <w:webHidden/>
              </w:rPr>
              <w:fldChar w:fldCharType="end"/>
            </w:r>
          </w:hyperlink>
        </w:p>
        <w:p w14:paraId="178DB31B" w14:textId="42FCF8D6" w:rsidR="00C836A4" w:rsidRPr="006968FD" w:rsidRDefault="0068660E" w:rsidP="00C836A4">
          <w:pPr>
            <w:pStyle w:val="TOC3"/>
            <w:tabs>
              <w:tab w:val="left" w:pos="4050"/>
              <w:tab w:val="right" w:leader="dot" w:pos="9629"/>
            </w:tabs>
            <w:bidi/>
            <w:rPr>
              <w:rFonts w:asciiTheme="minorHAnsi" w:eastAsiaTheme="minorEastAsia" w:hAnsiTheme="minorHAnsi" w:cstheme="minorBidi"/>
              <w:noProof/>
              <w:lang w:eastAsia="en-GB"/>
            </w:rPr>
          </w:pPr>
          <w:hyperlink w:anchor="_Toc18918106" w:history="1">
            <w:r w:rsidR="00C836A4" w:rsidRPr="006968FD">
              <w:rPr>
                <w:rStyle w:val="Hyperlink"/>
                <w:rFonts w:ascii="Traditional Arabic" w:hAnsi="Traditional Arabic" w:cs="Traditional Arabic"/>
                <w:noProof/>
                <w:rtl/>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معركة عدن (مارس/آذار – تموز/ يوليو 2015)</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_Toc18918106 \h </w:instrText>
            </w:r>
            <w:r w:rsidR="00C836A4" w:rsidRPr="006968FD">
              <w:rPr>
                <w:noProof/>
                <w:webHidden/>
              </w:rPr>
            </w:r>
            <w:r w:rsidR="00C836A4" w:rsidRPr="006968FD">
              <w:rPr>
                <w:noProof/>
                <w:webHidden/>
              </w:rPr>
              <w:fldChar w:fldCharType="separate"/>
            </w:r>
            <w:r w:rsidR="00002246">
              <w:rPr>
                <w:noProof/>
                <w:webHidden/>
                <w:rtl/>
              </w:rPr>
              <w:t>38</w:t>
            </w:r>
            <w:r w:rsidR="00C836A4" w:rsidRPr="006968FD">
              <w:rPr>
                <w:noProof/>
                <w:webHidden/>
              </w:rPr>
              <w:fldChar w:fldCharType="end"/>
            </w:r>
          </w:hyperlink>
        </w:p>
        <w:p w14:paraId="321CDF3D" w14:textId="0B6321E8" w:rsidR="00C836A4" w:rsidRPr="006968FD" w:rsidRDefault="0068660E" w:rsidP="00C836A4">
          <w:pPr>
            <w:pStyle w:val="TOC3"/>
            <w:tabs>
              <w:tab w:val="left" w:pos="1418"/>
              <w:tab w:val="right" w:leader="dot" w:pos="9629"/>
            </w:tabs>
            <w:bidi/>
            <w:rPr>
              <w:rFonts w:asciiTheme="minorHAnsi" w:eastAsiaTheme="minorEastAsia" w:hAnsiTheme="minorHAnsi" w:cstheme="minorBidi"/>
              <w:noProof/>
              <w:lang w:eastAsia="en-GB"/>
            </w:rPr>
          </w:pPr>
          <w:hyperlink w:anchor="_Toc18918107" w:history="1">
            <w:r w:rsidR="00C836A4" w:rsidRPr="006968FD">
              <w:rPr>
                <w:rStyle w:val="Hyperlink"/>
                <w:rFonts w:ascii="Traditional Arabic" w:hAnsi="Traditional Arabic" w:cs="Traditional Arabic"/>
                <w:noProof/>
                <w:rtl/>
              </w:rPr>
              <w:t>ب.</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عدن والجنوب</w:t>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(2016- 2019)</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_Toc18918107 \h </w:instrText>
            </w:r>
            <w:r w:rsidR="00C836A4" w:rsidRPr="006968FD">
              <w:rPr>
                <w:noProof/>
                <w:webHidden/>
              </w:rPr>
            </w:r>
            <w:r w:rsidR="00C836A4" w:rsidRPr="006968FD">
              <w:rPr>
                <w:noProof/>
                <w:webHidden/>
              </w:rPr>
              <w:fldChar w:fldCharType="separate"/>
            </w:r>
            <w:r w:rsidR="00002246">
              <w:rPr>
                <w:noProof/>
                <w:webHidden/>
                <w:rtl/>
              </w:rPr>
              <w:t>67</w:t>
            </w:r>
            <w:r w:rsidR="00C836A4" w:rsidRPr="006968FD">
              <w:rPr>
                <w:noProof/>
                <w:webHidden/>
              </w:rPr>
              <w:fldChar w:fldCharType="end"/>
            </w:r>
          </w:hyperlink>
        </w:p>
        <w:p w14:paraId="18ACE521" w14:textId="443E9F6D" w:rsidR="00C836A4" w:rsidRPr="006968FD" w:rsidRDefault="0068660E" w:rsidP="00C836A4">
          <w:pPr>
            <w:pStyle w:val="TOC3"/>
            <w:tabs>
              <w:tab w:val="left" w:pos="2823"/>
              <w:tab w:val="right" w:leader="dot" w:pos="9629"/>
            </w:tabs>
            <w:bidi/>
            <w:rPr>
              <w:rFonts w:asciiTheme="minorHAnsi" w:eastAsiaTheme="minorEastAsia" w:hAnsiTheme="minorHAnsi" w:cstheme="minorBidi"/>
              <w:noProof/>
              <w:lang w:eastAsia="en-GB"/>
            </w:rPr>
          </w:pPr>
          <w:hyperlink w:anchor="_Toc18918108" w:history="1">
            <w:r w:rsidR="00C836A4" w:rsidRPr="006968FD">
              <w:rPr>
                <w:rStyle w:val="Hyperlink"/>
                <w:rFonts w:ascii="Traditional Arabic" w:hAnsi="Traditional Arabic" w:cs="Traditional Arabic"/>
                <w:noProof/>
                <w:rtl/>
              </w:rPr>
              <w:t>جـ.</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تعز، خط المواجهة المستمر</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_Toc18918108 \h </w:instrText>
            </w:r>
            <w:r w:rsidR="00C836A4" w:rsidRPr="006968FD">
              <w:rPr>
                <w:noProof/>
                <w:webHidden/>
              </w:rPr>
            </w:r>
            <w:r w:rsidR="00C836A4" w:rsidRPr="006968FD">
              <w:rPr>
                <w:noProof/>
                <w:webHidden/>
              </w:rPr>
              <w:fldChar w:fldCharType="separate"/>
            </w:r>
            <w:r w:rsidR="00002246">
              <w:rPr>
                <w:noProof/>
                <w:webHidden/>
                <w:rtl/>
              </w:rPr>
              <w:t>96</w:t>
            </w:r>
            <w:r w:rsidR="00C836A4" w:rsidRPr="006968FD">
              <w:rPr>
                <w:noProof/>
                <w:webHidden/>
              </w:rPr>
              <w:fldChar w:fldCharType="end"/>
            </w:r>
          </w:hyperlink>
        </w:p>
        <w:p w14:paraId="3BDEDEC8" w14:textId="3D226EA2" w:rsidR="00C836A4" w:rsidRPr="006968FD" w:rsidRDefault="0068660E" w:rsidP="00C836A4">
          <w:pPr>
            <w:pStyle w:val="TOC3"/>
            <w:tabs>
              <w:tab w:val="left" w:pos="1418"/>
              <w:tab w:val="right" w:leader="dot" w:pos="9629"/>
            </w:tabs>
            <w:bidi/>
            <w:rPr>
              <w:rFonts w:asciiTheme="minorHAnsi" w:eastAsiaTheme="minorEastAsia" w:hAnsiTheme="minorHAnsi" w:cstheme="minorBidi"/>
              <w:noProof/>
              <w:lang w:eastAsia="en-GB"/>
            </w:rPr>
          </w:pPr>
          <w:hyperlink w:anchor="_Toc18918109" w:history="1">
            <w:r w:rsidR="00C836A4" w:rsidRPr="006968FD">
              <w:rPr>
                <w:rStyle w:val="Hyperlink"/>
                <w:rFonts w:ascii="Traditional Arabic" w:hAnsi="Traditional Arabic" w:cs="Traditional Arabic"/>
                <w:noProof/>
                <w:rtl/>
              </w:rPr>
              <w:t>د.</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Pr>
              <w:t xml:space="preserve"> </w:t>
            </w:r>
            <w:r w:rsidR="00C836A4" w:rsidRPr="006968FD">
              <w:rPr>
                <w:rStyle w:val="Hyperlink"/>
                <w:rFonts w:ascii="Traditional Arabic" w:hAnsi="Traditional Arabic" w:cs="Traditional Arabic"/>
                <w:noProof/>
                <w:rtl/>
              </w:rPr>
              <w:t>الحياة في المناطق الخاضعة لسيطرة سلطات الأمر الواقع</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_Toc18918109 \h </w:instrText>
            </w:r>
            <w:r w:rsidR="00C836A4" w:rsidRPr="006968FD">
              <w:rPr>
                <w:noProof/>
                <w:webHidden/>
              </w:rPr>
            </w:r>
            <w:r w:rsidR="00C836A4" w:rsidRPr="006968FD">
              <w:rPr>
                <w:noProof/>
                <w:webHidden/>
              </w:rPr>
              <w:fldChar w:fldCharType="separate"/>
            </w:r>
            <w:r w:rsidR="00002246">
              <w:rPr>
                <w:noProof/>
                <w:webHidden/>
                <w:rtl/>
              </w:rPr>
              <w:t>125</w:t>
            </w:r>
            <w:r w:rsidR="00C836A4" w:rsidRPr="006968FD">
              <w:rPr>
                <w:noProof/>
                <w:webHidden/>
              </w:rPr>
              <w:fldChar w:fldCharType="end"/>
            </w:r>
          </w:hyperlink>
        </w:p>
        <w:p w14:paraId="7015768B" w14:textId="774C19D9" w:rsidR="00C836A4" w:rsidRPr="006968FD" w:rsidRDefault="0068660E" w:rsidP="00C836A4">
          <w:pPr>
            <w:pStyle w:val="TOC3"/>
            <w:tabs>
              <w:tab w:val="left" w:pos="2859"/>
              <w:tab w:val="right" w:leader="dot" w:pos="9629"/>
            </w:tabs>
            <w:bidi/>
            <w:rPr>
              <w:rFonts w:asciiTheme="minorHAnsi" w:eastAsiaTheme="minorEastAsia" w:hAnsiTheme="minorHAnsi" w:cstheme="minorBidi"/>
              <w:noProof/>
              <w:lang w:eastAsia="en-GB"/>
            </w:rPr>
          </w:pPr>
          <w:hyperlink w:anchor="_Toc18918110" w:history="1">
            <w:r w:rsidR="00C836A4" w:rsidRPr="006968FD">
              <w:rPr>
                <w:rStyle w:val="Hyperlink"/>
                <w:rFonts w:ascii="Traditional Arabic" w:hAnsi="Traditional Arabic" w:cs="Traditional Arabic"/>
                <w:noProof/>
                <w:rtl/>
              </w:rPr>
              <w:t>و.</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rPr>
              <w:t>المهرة ( 2017- 2019)</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_Toc18918110 \h </w:instrText>
            </w:r>
            <w:r w:rsidR="00C836A4" w:rsidRPr="006968FD">
              <w:rPr>
                <w:noProof/>
                <w:webHidden/>
              </w:rPr>
            </w:r>
            <w:r w:rsidR="00C836A4" w:rsidRPr="006968FD">
              <w:rPr>
                <w:noProof/>
                <w:webHidden/>
              </w:rPr>
              <w:fldChar w:fldCharType="separate"/>
            </w:r>
            <w:r w:rsidR="00002246">
              <w:rPr>
                <w:noProof/>
                <w:webHidden/>
                <w:rtl/>
              </w:rPr>
              <w:t>207</w:t>
            </w:r>
            <w:r w:rsidR="00C836A4" w:rsidRPr="006968FD">
              <w:rPr>
                <w:noProof/>
                <w:webHidden/>
              </w:rPr>
              <w:fldChar w:fldCharType="end"/>
            </w:r>
          </w:hyperlink>
        </w:p>
        <w:p w14:paraId="0271B52D" w14:textId="3DC08F0D" w:rsidR="00C836A4" w:rsidRPr="006968FD" w:rsidRDefault="0068660E" w:rsidP="00C836A4">
          <w:pPr>
            <w:pStyle w:val="TOC2"/>
            <w:tabs>
              <w:tab w:val="left" w:pos="3337"/>
            </w:tabs>
            <w:rPr>
              <w:rFonts w:asciiTheme="minorHAnsi" w:eastAsiaTheme="minorEastAsia" w:hAnsiTheme="minorHAnsi" w:cstheme="minorBidi"/>
              <w:noProof/>
              <w:lang w:eastAsia="en-GB"/>
            </w:rPr>
          </w:pPr>
          <w:hyperlink w:anchor="_Toc18918111" w:history="1">
            <w:r w:rsidR="00C836A4" w:rsidRPr="006968FD">
              <w:rPr>
                <w:rStyle w:val="Hyperlink"/>
                <w:rFonts w:ascii="Traditional Arabic" w:hAnsi="Traditional Arabic" w:cs="Traditional Arabic"/>
                <w:noProof/>
                <w:lang w:val="en-US"/>
              </w:rPr>
              <w:t>VII</w:t>
            </w:r>
            <w:r w:rsidR="00C836A4" w:rsidRPr="006968FD">
              <w:rPr>
                <w:rStyle w:val="Hyperlink"/>
                <w:rFonts w:ascii="Traditional Arabic" w:hAnsi="Traditional Arabic"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التحليل الجنساني والعنف القائم على نوع الجنس</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_Toc18918111 \h </w:instrText>
            </w:r>
            <w:r w:rsidR="00C836A4" w:rsidRPr="006968FD">
              <w:rPr>
                <w:noProof/>
                <w:webHidden/>
              </w:rPr>
            </w:r>
            <w:r w:rsidR="00C836A4" w:rsidRPr="006968FD">
              <w:rPr>
                <w:noProof/>
                <w:webHidden/>
              </w:rPr>
              <w:fldChar w:fldCharType="separate"/>
            </w:r>
            <w:r w:rsidR="00002246">
              <w:rPr>
                <w:noProof/>
                <w:webHidden/>
                <w:rtl/>
              </w:rPr>
              <w:t>211</w:t>
            </w:r>
            <w:r w:rsidR="00C836A4" w:rsidRPr="006968FD">
              <w:rPr>
                <w:noProof/>
                <w:webHidden/>
              </w:rPr>
              <w:fldChar w:fldCharType="end"/>
            </w:r>
          </w:hyperlink>
        </w:p>
        <w:p w14:paraId="5F402A6E" w14:textId="76128590" w:rsidR="00C836A4" w:rsidRPr="006968FD" w:rsidRDefault="0068660E" w:rsidP="00C836A4">
          <w:pPr>
            <w:pStyle w:val="TOC2"/>
            <w:tabs>
              <w:tab w:val="left" w:pos="2490"/>
            </w:tabs>
            <w:rPr>
              <w:rFonts w:asciiTheme="minorHAnsi" w:eastAsiaTheme="minorEastAsia" w:hAnsiTheme="minorHAnsi" w:cstheme="minorBidi"/>
              <w:noProof/>
              <w:lang w:eastAsia="en-GB"/>
            </w:rPr>
          </w:pPr>
          <w:hyperlink w:anchor="_Toc18918112" w:history="1">
            <w:r w:rsidR="00C836A4" w:rsidRPr="006968FD">
              <w:rPr>
                <w:rStyle w:val="Hyperlink"/>
                <w:rFonts w:ascii="Traditional Arabic" w:hAnsi="Traditional Arabic" w:cs="Traditional Arabic"/>
                <w:noProof/>
                <w:lang w:val="en-US"/>
              </w:rPr>
              <w:t>VIII</w:t>
            </w:r>
            <w:r w:rsidR="00C836A4" w:rsidRPr="006968FD">
              <w:rPr>
                <w:rStyle w:val="Hyperlink"/>
                <w:rFonts w:ascii="Traditional Arabic" w:hAnsi="Traditional Arabic" w:cs="Traditional Arabic"/>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تأثير النزاع المسلح على الأطفال</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_Toc18918112 \h </w:instrText>
            </w:r>
            <w:r w:rsidR="00C836A4" w:rsidRPr="006968FD">
              <w:rPr>
                <w:noProof/>
                <w:webHidden/>
              </w:rPr>
            </w:r>
            <w:r w:rsidR="00C836A4" w:rsidRPr="006968FD">
              <w:rPr>
                <w:noProof/>
                <w:webHidden/>
              </w:rPr>
              <w:fldChar w:fldCharType="separate"/>
            </w:r>
            <w:r w:rsidR="00002246">
              <w:rPr>
                <w:noProof/>
                <w:webHidden/>
                <w:rtl/>
              </w:rPr>
              <w:t>228</w:t>
            </w:r>
            <w:r w:rsidR="00C836A4" w:rsidRPr="006968FD">
              <w:rPr>
                <w:noProof/>
                <w:webHidden/>
              </w:rPr>
              <w:fldChar w:fldCharType="end"/>
            </w:r>
          </w:hyperlink>
        </w:p>
        <w:p w14:paraId="3BA8A8D0" w14:textId="32D43C9A" w:rsidR="00C836A4" w:rsidRPr="006968FD" w:rsidRDefault="0068660E" w:rsidP="00C836A4">
          <w:pPr>
            <w:pStyle w:val="TOC2"/>
            <w:tabs>
              <w:tab w:val="left" w:pos="1760"/>
            </w:tabs>
            <w:rPr>
              <w:rFonts w:asciiTheme="minorHAnsi" w:eastAsiaTheme="minorEastAsia" w:hAnsiTheme="minorHAnsi" w:cstheme="minorBidi"/>
              <w:noProof/>
              <w:lang w:eastAsia="en-GB"/>
            </w:rPr>
          </w:pPr>
          <w:hyperlink w:anchor="_Toc18918113" w:history="1">
            <w:r w:rsidR="00C836A4" w:rsidRPr="006968FD">
              <w:rPr>
                <w:rStyle w:val="Hyperlink"/>
                <w:noProof/>
                <w:lang w:val="en-US"/>
              </w:rPr>
              <w:t>IX.</w:t>
            </w:r>
            <w:r w:rsidR="00C836A4" w:rsidRPr="006968FD">
              <w:rPr>
                <w:rFonts w:asciiTheme="minorHAnsi" w:eastAsiaTheme="minorEastAsia" w:hAnsiTheme="minorHAnsi" w:cstheme="minorBidi"/>
                <w:noProof/>
                <w:lang w:eastAsia="en-GB"/>
              </w:rPr>
              <w:tab/>
            </w:r>
            <w:r w:rsidR="00C836A4" w:rsidRPr="006968FD">
              <w:rPr>
                <w:rStyle w:val="Hyperlink"/>
                <w:noProof/>
                <w:rtl/>
                <w:lang w:val="en-US"/>
              </w:rPr>
              <w:t>قضايا مواضيعية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_Toc18918113 \h </w:instrText>
            </w:r>
            <w:r w:rsidR="00C836A4" w:rsidRPr="006968FD">
              <w:rPr>
                <w:noProof/>
                <w:webHidden/>
              </w:rPr>
            </w:r>
            <w:r w:rsidR="00C836A4" w:rsidRPr="006968FD">
              <w:rPr>
                <w:noProof/>
                <w:webHidden/>
              </w:rPr>
              <w:fldChar w:fldCharType="separate"/>
            </w:r>
            <w:r w:rsidR="00002246">
              <w:rPr>
                <w:noProof/>
                <w:webHidden/>
                <w:rtl/>
              </w:rPr>
              <w:t>253</w:t>
            </w:r>
            <w:r w:rsidR="00C836A4" w:rsidRPr="006968FD">
              <w:rPr>
                <w:noProof/>
                <w:webHidden/>
              </w:rPr>
              <w:fldChar w:fldCharType="end"/>
            </w:r>
          </w:hyperlink>
        </w:p>
        <w:p w14:paraId="5060FECA" w14:textId="28DF4AFF" w:rsidR="00C836A4" w:rsidRPr="006968FD" w:rsidRDefault="0068660E" w:rsidP="00C836A4">
          <w:pPr>
            <w:pStyle w:val="TOC2"/>
            <w:tabs>
              <w:tab w:val="left" w:pos="2271"/>
            </w:tabs>
            <w:ind w:left="992"/>
            <w:rPr>
              <w:rFonts w:asciiTheme="minorHAnsi" w:eastAsiaTheme="minorEastAsia" w:hAnsiTheme="minorHAnsi" w:cstheme="minorBidi"/>
              <w:noProof/>
              <w:lang w:eastAsia="en-GB"/>
            </w:rPr>
          </w:pPr>
          <w:hyperlink w:anchor="_Toc18918114" w:history="1">
            <w:r w:rsidR="00C836A4" w:rsidRPr="006968FD">
              <w:rPr>
                <w:rStyle w:val="Hyperlink"/>
                <w:rFonts w:ascii="Traditional Arabic" w:hAnsi="Traditional Arabic" w:cs="Traditional Arabic"/>
                <w:noProof/>
                <w:rtl/>
                <w:lang w:val="en-US" w:bidi="ar-JO"/>
              </w:rPr>
              <w:t>أ.</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الانتهاكات المتعلقة بالحالة الإنسانية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_Toc18918114 \h </w:instrText>
            </w:r>
            <w:r w:rsidR="00C836A4" w:rsidRPr="006968FD">
              <w:rPr>
                <w:noProof/>
                <w:webHidden/>
              </w:rPr>
            </w:r>
            <w:r w:rsidR="00C836A4" w:rsidRPr="006968FD">
              <w:rPr>
                <w:noProof/>
                <w:webHidden/>
              </w:rPr>
              <w:fldChar w:fldCharType="separate"/>
            </w:r>
            <w:r w:rsidR="00002246">
              <w:rPr>
                <w:noProof/>
                <w:webHidden/>
                <w:rtl/>
              </w:rPr>
              <w:t>253</w:t>
            </w:r>
            <w:r w:rsidR="00C836A4" w:rsidRPr="006968FD">
              <w:rPr>
                <w:noProof/>
                <w:webHidden/>
              </w:rPr>
              <w:fldChar w:fldCharType="end"/>
            </w:r>
          </w:hyperlink>
        </w:p>
        <w:p w14:paraId="341B734F" w14:textId="34810C37" w:rsidR="00C836A4" w:rsidRPr="006968FD" w:rsidRDefault="0068660E" w:rsidP="00C836A4">
          <w:pPr>
            <w:pStyle w:val="TOC2"/>
            <w:ind w:left="992"/>
            <w:rPr>
              <w:rFonts w:asciiTheme="minorHAnsi" w:eastAsiaTheme="minorEastAsia" w:hAnsiTheme="minorHAnsi" w:cstheme="minorBidi"/>
              <w:noProof/>
              <w:lang w:eastAsia="en-GB"/>
            </w:rPr>
          </w:pPr>
          <w:hyperlink w:anchor="_Toc18918115" w:history="1">
            <w:r w:rsidR="00C836A4" w:rsidRPr="006968FD">
              <w:rPr>
                <w:rStyle w:val="Hyperlink"/>
                <w:rFonts w:ascii="Traditional Arabic" w:eastAsiaTheme="minorHAnsi" w:hAnsi="Traditional Arabic" w:cs="Traditional Arabic"/>
                <w:noProof/>
                <w:rtl/>
              </w:rPr>
              <w:t>ب.</w:t>
            </w:r>
            <w:r w:rsidR="00C836A4" w:rsidRPr="006968FD">
              <w:rPr>
                <w:rStyle w:val="Hyperlink"/>
                <w:rFonts w:ascii="Traditional Arabic" w:eastAsiaTheme="minorHAnsi" w:hAnsi="Traditional Arabic" w:cs="Traditional Arabic"/>
                <w:noProof/>
                <w:rtl/>
              </w:rPr>
              <w:tab/>
              <w:t xml:space="preserve"> أثر النزاع على الأقليات والمهاجرين</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_Toc18918115 \h </w:instrText>
            </w:r>
            <w:r w:rsidR="00C836A4" w:rsidRPr="006968FD">
              <w:rPr>
                <w:noProof/>
                <w:webHidden/>
              </w:rPr>
            </w:r>
            <w:r w:rsidR="00C836A4" w:rsidRPr="006968FD">
              <w:rPr>
                <w:noProof/>
                <w:webHidden/>
              </w:rPr>
              <w:fldChar w:fldCharType="separate"/>
            </w:r>
            <w:r w:rsidR="00002246">
              <w:rPr>
                <w:noProof/>
                <w:webHidden/>
                <w:rtl/>
              </w:rPr>
              <w:t>281</w:t>
            </w:r>
            <w:r w:rsidR="00C836A4" w:rsidRPr="006968FD">
              <w:rPr>
                <w:noProof/>
                <w:webHidden/>
              </w:rPr>
              <w:fldChar w:fldCharType="end"/>
            </w:r>
          </w:hyperlink>
        </w:p>
        <w:p w14:paraId="1C237511" w14:textId="02F5D8ED" w:rsidR="00C836A4" w:rsidRPr="006968FD" w:rsidRDefault="0068660E" w:rsidP="00C836A4">
          <w:pPr>
            <w:pStyle w:val="TOC2"/>
            <w:tabs>
              <w:tab w:val="left" w:pos="3245"/>
            </w:tabs>
            <w:ind w:left="992"/>
            <w:rPr>
              <w:rFonts w:asciiTheme="minorHAnsi" w:eastAsiaTheme="minorEastAsia" w:hAnsiTheme="minorHAnsi" w:cstheme="minorBidi"/>
              <w:noProof/>
              <w:lang w:eastAsia="en-GB"/>
            </w:rPr>
          </w:pPr>
          <w:hyperlink w:anchor="_Toc18918116" w:history="1">
            <w:r w:rsidR="00C836A4" w:rsidRPr="006968FD">
              <w:rPr>
                <w:rStyle w:val="Hyperlink"/>
                <w:rFonts w:ascii="Traditional Arabic" w:hAnsi="Traditional Arabic" w:cs="Traditional Arabic"/>
                <w:noProof/>
                <w:rtl/>
              </w:rPr>
              <w:t>جـ.</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eastAsiaTheme="minorHAnsi" w:hAnsi="Traditional Arabic" w:cs="Traditional Arabic"/>
                <w:noProof/>
                <w:rtl/>
                <w:lang w:eastAsia="zh-CN"/>
              </w:rPr>
              <w:t>الاستخدام العسكري وتدمير المواقع الدينية والثقافية</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_Toc18918116 \h </w:instrText>
            </w:r>
            <w:r w:rsidR="00C836A4" w:rsidRPr="006968FD">
              <w:rPr>
                <w:noProof/>
                <w:webHidden/>
              </w:rPr>
            </w:r>
            <w:r w:rsidR="00C836A4" w:rsidRPr="006968FD">
              <w:rPr>
                <w:noProof/>
                <w:webHidden/>
              </w:rPr>
              <w:fldChar w:fldCharType="separate"/>
            </w:r>
            <w:r w:rsidR="00002246">
              <w:rPr>
                <w:noProof/>
                <w:webHidden/>
                <w:rtl/>
              </w:rPr>
              <w:t>290</w:t>
            </w:r>
            <w:r w:rsidR="00C836A4" w:rsidRPr="006968FD">
              <w:rPr>
                <w:noProof/>
                <w:webHidden/>
              </w:rPr>
              <w:fldChar w:fldCharType="end"/>
            </w:r>
          </w:hyperlink>
        </w:p>
        <w:p w14:paraId="174EDF13" w14:textId="205AC00D" w:rsidR="00C836A4" w:rsidRPr="006968FD" w:rsidRDefault="0068660E" w:rsidP="00C836A4">
          <w:pPr>
            <w:pStyle w:val="TOC2"/>
            <w:rPr>
              <w:rFonts w:asciiTheme="minorHAnsi" w:eastAsiaTheme="minorEastAsia" w:hAnsiTheme="minorHAnsi" w:cstheme="minorBidi"/>
              <w:noProof/>
              <w:lang w:eastAsia="en-GB"/>
            </w:rPr>
          </w:pPr>
          <w:hyperlink w:anchor="_Toc18918117" w:history="1">
            <w:r w:rsidR="00C836A4" w:rsidRPr="006968FD">
              <w:rPr>
                <w:rStyle w:val="Hyperlink"/>
                <w:rFonts w:ascii="Traditional Arabic" w:hAnsi="Traditional Arabic" w:cs="Traditional Arabic"/>
                <w:noProof/>
                <w:lang w:val="en-US"/>
              </w:rPr>
              <w:t>X.</w:t>
            </w:r>
            <w:r w:rsidR="00C836A4" w:rsidRPr="006968FD">
              <w:rPr>
                <w:rFonts w:asciiTheme="minorHAnsi" w:eastAsiaTheme="minorEastAsia" w:hAnsiTheme="minorHAnsi" w:cstheme="minorBidi"/>
                <w:noProof/>
                <w:lang w:eastAsia="en-GB"/>
              </w:rPr>
              <w:tab/>
            </w:r>
            <w:r w:rsidR="00C836A4" w:rsidRPr="006968FD">
              <w:rPr>
                <w:rStyle w:val="Hyperlink"/>
                <w:rFonts w:ascii="Traditional Arabic" w:hAnsi="Traditional Arabic" w:cs="Traditional Arabic"/>
                <w:noProof/>
                <w:rtl/>
                <w:lang w:val="en-US"/>
              </w:rPr>
              <w:t>المساءلة</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_Toc18918117 \h </w:instrText>
            </w:r>
            <w:r w:rsidR="00C836A4" w:rsidRPr="006968FD">
              <w:rPr>
                <w:noProof/>
                <w:webHidden/>
              </w:rPr>
            </w:r>
            <w:r w:rsidR="00C836A4" w:rsidRPr="006968FD">
              <w:rPr>
                <w:noProof/>
                <w:webHidden/>
              </w:rPr>
              <w:fldChar w:fldCharType="separate"/>
            </w:r>
            <w:r w:rsidR="00002246">
              <w:rPr>
                <w:noProof/>
                <w:webHidden/>
                <w:rtl/>
              </w:rPr>
              <w:t>295</w:t>
            </w:r>
            <w:r w:rsidR="00C836A4" w:rsidRPr="006968FD">
              <w:rPr>
                <w:noProof/>
                <w:webHidden/>
              </w:rPr>
              <w:fldChar w:fldCharType="end"/>
            </w:r>
          </w:hyperlink>
        </w:p>
        <w:p w14:paraId="47D0A3D5" w14:textId="467B1CA0" w:rsidR="00C836A4" w:rsidRPr="006968FD" w:rsidRDefault="0068660E" w:rsidP="00C836A4">
          <w:pPr>
            <w:pStyle w:val="TOC2"/>
            <w:tabs>
              <w:tab w:val="left" w:pos="2107"/>
            </w:tabs>
            <w:rPr>
              <w:rFonts w:asciiTheme="minorHAnsi" w:eastAsiaTheme="minorEastAsia" w:hAnsiTheme="minorHAnsi" w:cstheme="minorBidi"/>
              <w:noProof/>
              <w:lang w:eastAsia="en-GB"/>
            </w:rPr>
          </w:pPr>
          <w:hyperlink w:anchor="_Toc18918118" w:history="1">
            <w:r w:rsidR="00C836A4" w:rsidRPr="006968FD">
              <w:rPr>
                <w:rStyle w:val="Hyperlink"/>
                <w:noProof/>
                <w:lang w:val="en-US"/>
              </w:rPr>
              <w:t>XI</w:t>
            </w:r>
            <w:r w:rsidR="00C836A4" w:rsidRPr="006968FD">
              <w:rPr>
                <w:rStyle w:val="Hyperlink"/>
                <w:noProof/>
                <w:rtl/>
                <w:lang w:val="en-US"/>
              </w:rPr>
              <w:t>.</w:t>
            </w:r>
            <w:r w:rsidR="00C836A4" w:rsidRPr="006968FD">
              <w:rPr>
                <w:rFonts w:asciiTheme="minorHAnsi" w:eastAsiaTheme="minorEastAsia" w:hAnsiTheme="minorHAnsi" w:cstheme="minorBidi"/>
                <w:noProof/>
                <w:lang w:eastAsia="en-GB"/>
              </w:rPr>
              <w:tab/>
            </w:r>
            <w:r w:rsidR="00C836A4" w:rsidRPr="006968FD">
              <w:rPr>
                <w:rStyle w:val="Hyperlink"/>
                <w:noProof/>
                <w:rtl/>
                <w:lang w:val="en-US"/>
              </w:rPr>
              <w:t>الاستنتاجات والتوصيات</w:t>
            </w:r>
            <w:r w:rsidR="00C836A4" w:rsidRPr="006968FD">
              <w:rPr>
                <w:noProof/>
                <w:webHidden/>
              </w:rPr>
              <w:tab/>
            </w:r>
            <w:r w:rsidR="00C836A4" w:rsidRPr="006968FD">
              <w:rPr>
                <w:noProof/>
                <w:webHidden/>
                <w:rtl/>
              </w:rPr>
              <w:tab/>
            </w:r>
            <w:r w:rsidR="00C836A4" w:rsidRPr="006968FD">
              <w:rPr>
                <w:noProof/>
                <w:webHidden/>
              </w:rPr>
              <w:fldChar w:fldCharType="begin"/>
            </w:r>
            <w:r w:rsidR="00C836A4" w:rsidRPr="006968FD">
              <w:rPr>
                <w:noProof/>
                <w:webHidden/>
              </w:rPr>
              <w:instrText xml:space="preserve"> PAGEREF _Toc18918118 \h </w:instrText>
            </w:r>
            <w:r w:rsidR="00C836A4" w:rsidRPr="006968FD">
              <w:rPr>
                <w:noProof/>
                <w:webHidden/>
              </w:rPr>
            </w:r>
            <w:r w:rsidR="00C836A4" w:rsidRPr="006968FD">
              <w:rPr>
                <w:noProof/>
                <w:webHidden/>
              </w:rPr>
              <w:fldChar w:fldCharType="separate"/>
            </w:r>
            <w:r w:rsidR="00002246">
              <w:rPr>
                <w:noProof/>
                <w:webHidden/>
                <w:rtl/>
              </w:rPr>
              <w:t>317</w:t>
            </w:r>
            <w:r w:rsidR="00C836A4" w:rsidRPr="006968FD">
              <w:rPr>
                <w:noProof/>
                <w:webHidden/>
              </w:rPr>
              <w:fldChar w:fldCharType="end"/>
            </w:r>
          </w:hyperlink>
        </w:p>
        <w:p w14:paraId="2A2A0A9B" w14:textId="0DE5F0A5" w:rsidR="00C836A4" w:rsidRPr="006968FD" w:rsidRDefault="0068660E" w:rsidP="00C836A4">
          <w:pPr>
            <w:pStyle w:val="TOC2"/>
            <w:rPr>
              <w:rFonts w:asciiTheme="minorHAnsi" w:eastAsiaTheme="minorEastAsia" w:hAnsiTheme="minorHAnsi" w:cstheme="minorBidi"/>
              <w:noProof/>
              <w:lang w:eastAsia="en-GB"/>
            </w:rPr>
          </w:pPr>
          <w:hyperlink w:anchor="_Toc18918119" w:history="1">
            <w:r w:rsidR="00C836A4" w:rsidRPr="006968FD">
              <w:rPr>
                <w:rStyle w:val="Hyperlink"/>
                <w:noProof/>
              </w:rPr>
              <w:t>Annex I: Mapping of military and security apparatus and armed groups</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_Toc18918119 \h </w:instrText>
            </w:r>
            <w:r w:rsidR="00C836A4" w:rsidRPr="006968FD">
              <w:rPr>
                <w:noProof/>
                <w:webHidden/>
              </w:rPr>
            </w:r>
            <w:r w:rsidR="00C836A4" w:rsidRPr="006968FD">
              <w:rPr>
                <w:noProof/>
                <w:webHidden/>
              </w:rPr>
              <w:fldChar w:fldCharType="separate"/>
            </w:r>
            <w:r w:rsidR="00002246">
              <w:rPr>
                <w:noProof/>
                <w:webHidden/>
                <w:rtl/>
              </w:rPr>
              <w:t>326</w:t>
            </w:r>
            <w:r w:rsidR="00C836A4" w:rsidRPr="006968FD">
              <w:rPr>
                <w:noProof/>
                <w:webHidden/>
              </w:rPr>
              <w:fldChar w:fldCharType="end"/>
            </w:r>
          </w:hyperlink>
        </w:p>
        <w:p w14:paraId="29E5A930" w14:textId="46559F77" w:rsidR="00C836A4" w:rsidRPr="006968FD" w:rsidRDefault="0068660E" w:rsidP="00C836A4">
          <w:pPr>
            <w:pStyle w:val="TOC2"/>
            <w:rPr>
              <w:rFonts w:asciiTheme="minorHAnsi" w:eastAsiaTheme="minorEastAsia" w:hAnsiTheme="minorHAnsi" w:cstheme="minorBidi"/>
              <w:noProof/>
              <w:lang w:eastAsia="en-GB"/>
            </w:rPr>
          </w:pPr>
          <w:hyperlink w:anchor="_Toc18918120" w:history="1">
            <w:r w:rsidR="00C836A4" w:rsidRPr="006968FD">
              <w:rPr>
                <w:rStyle w:val="Hyperlink"/>
                <w:noProof/>
              </w:rPr>
              <w:t>Annex II: Selected communications with parties related to access restrictions</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_Toc18918120 \h </w:instrText>
            </w:r>
            <w:r w:rsidR="00C836A4" w:rsidRPr="006968FD">
              <w:rPr>
                <w:noProof/>
                <w:webHidden/>
              </w:rPr>
            </w:r>
            <w:r w:rsidR="00C836A4" w:rsidRPr="006968FD">
              <w:rPr>
                <w:noProof/>
                <w:webHidden/>
              </w:rPr>
              <w:fldChar w:fldCharType="separate"/>
            </w:r>
            <w:r w:rsidR="00002246">
              <w:rPr>
                <w:b/>
                <w:bCs/>
                <w:noProof/>
                <w:webHidden/>
                <w:lang w:val="en-US"/>
              </w:rPr>
              <w:t>Error! Bookmark not defined.</w:t>
            </w:r>
            <w:r w:rsidR="00C836A4" w:rsidRPr="006968FD">
              <w:rPr>
                <w:noProof/>
                <w:webHidden/>
              </w:rPr>
              <w:fldChar w:fldCharType="end"/>
            </w:r>
          </w:hyperlink>
        </w:p>
        <w:p w14:paraId="6A9857D9" w14:textId="42873EA7" w:rsidR="00C836A4" w:rsidRPr="006968FD" w:rsidRDefault="0068660E" w:rsidP="00C836A4">
          <w:pPr>
            <w:pStyle w:val="TOC2"/>
            <w:rPr>
              <w:rFonts w:asciiTheme="minorHAnsi" w:eastAsiaTheme="minorEastAsia" w:hAnsiTheme="minorHAnsi" w:cstheme="minorBidi"/>
              <w:noProof/>
              <w:lang w:eastAsia="en-GB"/>
            </w:rPr>
          </w:pPr>
          <w:hyperlink w:anchor="_Toc18918121" w:history="1">
            <w:r w:rsidR="00C836A4" w:rsidRPr="006968FD">
              <w:rPr>
                <w:rStyle w:val="Hyperlink"/>
                <w:noProof/>
              </w:rPr>
              <w:t>Annex III: Maps of Yemen</w:t>
            </w:r>
            <w:r w:rsidR="00C836A4" w:rsidRPr="006968FD">
              <w:rPr>
                <w:noProof/>
                <w:webHidden/>
              </w:rPr>
              <w:tab/>
            </w:r>
            <w:r w:rsidR="00C836A4" w:rsidRPr="006968FD">
              <w:rPr>
                <w:noProof/>
                <w:webHidden/>
              </w:rPr>
              <w:fldChar w:fldCharType="begin"/>
            </w:r>
            <w:r w:rsidR="00C836A4" w:rsidRPr="006968FD">
              <w:rPr>
                <w:noProof/>
                <w:webHidden/>
              </w:rPr>
              <w:instrText xml:space="preserve"> PAGEREF _Toc18918121 \h </w:instrText>
            </w:r>
            <w:r w:rsidR="00C836A4" w:rsidRPr="006968FD">
              <w:rPr>
                <w:noProof/>
                <w:webHidden/>
              </w:rPr>
            </w:r>
            <w:r w:rsidR="00C836A4" w:rsidRPr="006968FD">
              <w:rPr>
                <w:noProof/>
                <w:webHidden/>
              </w:rPr>
              <w:fldChar w:fldCharType="separate"/>
            </w:r>
            <w:r w:rsidR="00002246">
              <w:rPr>
                <w:b/>
                <w:bCs/>
                <w:noProof/>
                <w:webHidden/>
                <w:lang w:val="en-US"/>
              </w:rPr>
              <w:t>Error! Bookmark not defined.</w:t>
            </w:r>
            <w:r w:rsidR="00C836A4" w:rsidRPr="006968FD">
              <w:rPr>
                <w:noProof/>
                <w:webHidden/>
              </w:rPr>
              <w:fldChar w:fldCharType="end"/>
            </w:r>
          </w:hyperlink>
        </w:p>
        <w:p w14:paraId="3464E6BE" w14:textId="2FDF91E4" w:rsidR="001C0C82" w:rsidRPr="006968FD" w:rsidRDefault="001C0C82" w:rsidP="00C836A4">
          <w:pPr>
            <w:tabs>
              <w:tab w:val="left" w:pos="720"/>
            </w:tabs>
            <w:bidi/>
          </w:pPr>
          <w:r w:rsidRPr="006968FD">
            <w:rPr>
              <w:noProof/>
            </w:rPr>
            <w:fldChar w:fldCharType="end"/>
          </w:r>
        </w:p>
      </w:sdtContent>
    </w:sdt>
    <w:p w14:paraId="7D5A3628" w14:textId="77777777" w:rsidR="001C0C82" w:rsidRDefault="001C0C82" w:rsidP="00C836A4">
      <w:pPr>
        <w:pStyle w:val="Footer"/>
        <w:tabs>
          <w:tab w:val="left" w:pos="720"/>
        </w:tabs>
        <w:bidi/>
        <w:ind w:left="459" w:right="-90"/>
        <w:jc w:val="center"/>
        <w:rPr>
          <w:rFonts w:ascii="Traditional Arabic" w:hAnsi="Traditional Arabic" w:cs="Traditional Arabic"/>
          <w:sz w:val="36"/>
          <w:szCs w:val="36"/>
          <w:lang w:bidi="ar-JO"/>
        </w:rPr>
      </w:pPr>
    </w:p>
    <w:p w14:paraId="3A4C98DA" w14:textId="385F9997" w:rsidR="00AD6670" w:rsidRPr="00863822" w:rsidRDefault="00AD6670" w:rsidP="00361237">
      <w:pPr>
        <w:tabs>
          <w:tab w:val="left" w:pos="720"/>
        </w:tabs>
        <w:suppressAutoHyphens w:val="0"/>
        <w:spacing w:line="240" w:lineRule="auto"/>
        <w:rPr>
          <w:b/>
          <w:bCs/>
          <w:sz w:val="24"/>
          <w:szCs w:val="24"/>
        </w:rPr>
      </w:pPr>
    </w:p>
    <w:p w14:paraId="62055100" w14:textId="1166B9FF" w:rsidR="000F3757" w:rsidRPr="00C64D61" w:rsidRDefault="000F3757" w:rsidP="00162F52">
      <w:pPr>
        <w:pStyle w:val="HChGA"/>
        <w:numPr>
          <w:ilvl w:val="0"/>
          <w:numId w:val="4"/>
        </w:numPr>
        <w:tabs>
          <w:tab w:val="clear" w:pos="1021"/>
          <w:tab w:val="left" w:pos="1089"/>
        </w:tabs>
        <w:ind w:left="549" w:firstLine="9"/>
        <w:rPr>
          <w:rStyle w:val="Heading2Char"/>
          <w:sz w:val="38"/>
          <w:rtl/>
        </w:rPr>
      </w:pPr>
      <w:bookmarkStart w:id="3" w:name="_Toc18918088"/>
      <w:r w:rsidRPr="00C64D61">
        <w:rPr>
          <w:rStyle w:val="Heading2Char"/>
          <w:sz w:val="38"/>
          <w:rtl/>
        </w:rPr>
        <w:lastRenderedPageBreak/>
        <w:t>المقدمة والولاية</w:t>
      </w:r>
      <w:bookmarkEnd w:id="3"/>
      <w:r w:rsidR="00E8250A">
        <w:rPr>
          <w:rStyle w:val="Heading2Char"/>
          <w:sz w:val="38"/>
        </w:rPr>
        <w:t xml:space="preserve"> </w:t>
      </w:r>
    </w:p>
    <w:p w14:paraId="17CA284A" w14:textId="6B092A0B" w:rsidR="0057736D" w:rsidRPr="008850E5" w:rsidRDefault="00744382" w:rsidP="00973954">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إن  مجلس حقوق الإنسان</w:t>
      </w:r>
      <w:r w:rsidR="000F3757" w:rsidRPr="008850E5">
        <w:rPr>
          <w:rFonts w:ascii="Traditional Arabic" w:hAnsi="Traditional Arabic" w:cs="Traditional Arabic"/>
          <w:sz w:val="28"/>
          <w:szCs w:val="28"/>
          <w:rtl/>
        </w:rPr>
        <w:t>، وإذ يساوره القلق إزاء التقارير المستمرة التي تفيد عن انتهاكات القانون الدولي في اليمن، وتحديداً تلك الناشئة مباشرة عن النزاع المسلح المستمر، طل</w:t>
      </w:r>
      <w:r w:rsidR="000F3757" w:rsidRPr="008850E5">
        <w:rPr>
          <w:rFonts w:ascii="Traditional Arabic" w:hAnsi="Traditional Arabic" w:cs="Traditional Arabic"/>
          <w:sz w:val="28"/>
          <w:szCs w:val="28"/>
          <w:rtl/>
          <w:lang w:bidi="ar-LB"/>
        </w:rPr>
        <w:t xml:space="preserve">ب </w:t>
      </w:r>
      <w:r w:rsidR="000F3757" w:rsidRPr="008850E5">
        <w:rPr>
          <w:rFonts w:ascii="Traditional Arabic" w:hAnsi="Traditional Arabic" w:cs="Traditional Arabic"/>
          <w:sz w:val="28"/>
          <w:szCs w:val="28"/>
          <w:rtl/>
        </w:rPr>
        <w:t xml:space="preserve">في قراره 36/31 المؤرخ 29 سبتمبر/أيلول 2017، </w:t>
      </w:r>
      <w:r w:rsidR="00973954">
        <w:rPr>
          <w:rFonts w:ascii="Traditional Arabic" w:hAnsi="Traditional Arabic" w:cs="Traditional Arabic" w:hint="cs"/>
          <w:sz w:val="28"/>
          <w:szCs w:val="28"/>
          <w:rtl/>
        </w:rPr>
        <w:t>من</w:t>
      </w:r>
      <w:r w:rsidR="00973954" w:rsidRPr="008850E5">
        <w:rPr>
          <w:rFonts w:ascii="Traditional Arabic" w:hAnsi="Traditional Arabic" w:cs="Traditional Arabic"/>
          <w:sz w:val="28"/>
          <w:szCs w:val="28"/>
          <w:rtl/>
        </w:rPr>
        <w:t xml:space="preserve"> </w:t>
      </w:r>
      <w:r w:rsidR="000F3757" w:rsidRPr="008850E5">
        <w:rPr>
          <w:rFonts w:ascii="Traditional Arabic" w:hAnsi="Traditional Arabic" w:cs="Traditional Arabic"/>
          <w:sz w:val="28"/>
          <w:szCs w:val="28"/>
          <w:rtl/>
        </w:rPr>
        <w:t>المفوض السامي لحقوق الإنسان إنشاء فريق معني باليمن من الخبراء الدوليين والإقليميين البارزين</w:t>
      </w:r>
      <w:r w:rsidR="00863822" w:rsidRPr="008850E5">
        <w:rPr>
          <w:rFonts w:ascii="Traditional Arabic" w:hAnsi="Traditional Arabic" w:cs="Traditional Arabic"/>
          <w:sz w:val="28"/>
          <w:szCs w:val="28"/>
        </w:rPr>
        <w:t xml:space="preserve"> </w:t>
      </w:r>
      <w:r w:rsidR="00863822" w:rsidRPr="008850E5">
        <w:rPr>
          <w:rFonts w:ascii="Traditional Arabic" w:hAnsi="Traditional Arabic" w:cs="Traditional Arabic" w:hint="cs"/>
          <w:sz w:val="28"/>
          <w:szCs w:val="28"/>
          <w:rtl/>
          <w:lang w:bidi="ar-JO"/>
        </w:rPr>
        <w:t>(فريق الخبراء)</w:t>
      </w:r>
      <w:r w:rsidR="000F3757" w:rsidRPr="008850E5">
        <w:rPr>
          <w:rFonts w:ascii="Traditional Arabic" w:hAnsi="Traditional Arabic" w:cs="Traditional Arabic"/>
          <w:sz w:val="28"/>
          <w:szCs w:val="28"/>
          <w:rtl/>
        </w:rPr>
        <w:t xml:space="preserve"> من أجل رصد حالة حقوق الإنسان والإبلاغ عنها. </w:t>
      </w:r>
    </w:p>
    <w:p w14:paraId="4A77F191" w14:textId="06E8DF54" w:rsidR="007B3734" w:rsidRPr="008850E5" w:rsidRDefault="0057736D" w:rsidP="00973954">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 xml:space="preserve">وكُلف الفريق </w:t>
      </w:r>
      <w:r w:rsidR="000F3757" w:rsidRPr="008850E5">
        <w:rPr>
          <w:rFonts w:ascii="Traditional Arabic" w:hAnsi="Traditional Arabic" w:cs="Traditional Arabic"/>
          <w:sz w:val="28"/>
          <w:szCs w:val="28"/>
          <w:rtl/>
        </w:rPr>
        <w:t xml:space="preserve">إجراء استقصاء شامل لجميع الانتهاكات والتجاوزات المزعومة للقانون الدولي لحقوق الإنسان ولمجالات القانون الدولي الأخرى </w:t>
      </w:r>
      <w:r w:rsidR="00973954" w:rsidRPr="008850E5">
        <w:rPr>
          <w:rFonts w:ascii="Traditional Arabic" w:hAnsi="Traditional Arabic" w:cs="Traditional Arabic"/>
          <w:sz w:val="28"/>
          <w:szCs w:val="28"/>
          <w:rtl/>
        </w:rPr>
        <w:t>الم</w:t>
      </w:r>
      <w:r w:rsidR="00973954">
        <w:rPr>
          <w:rFonts w:ascii="Traditional Arabic" w:hAnsi="Traditional Arabic" w:cs="Traditional Arabic" w:hint="cs"/>
          <w:sz w:val="28"/>
          <w:szCs w:val="28"/>
          <w:rtl/>
        </w:rPr>
        <w:t>ختصة</w:t>
      </w:r>
      <w:r w:rsidR="00973954" w:rsidRPr="008850E5">
        <w:rPr>
          <w:rFonts w:ascii="Traditional Arabic" w:hAnsi="Traditional Arabic" w:cs="Traditional Arabic"/>
          <w:sz w:val="28"/>
          <w:szCs w:val="28"/>
          <w:rtl/>
        </w:rPr>
        <w:t xml:space="preserve"> </w:t>
      </w:r>
      <w:r w:rsidR="000F3757" w:rsidRPr="008850E5">
        <w:rPr>
          <w:rFonts w:ascii="Traditional Arabic" w:hAnsi="Traditional Arabic" w:cs="Traditional Arabic"/>
          <w:sz w:val="28"/>
          <w:szCs w:val="28"/>
          <w:rtl/>
        </w:rPr>
        <w:t>والقا</w:t>
      </w:r>
      <w:r w:rsidR="00973954">
        <w:rPr>
          <w:rFonts w:ascii="Traditional Arabic" w:hAnsi="Traditional Arabic" w:cs="Traditional Arabic"/>
          <w:sz w:val="28"/>
          <w:szCs w:val="28"/>
          <w:rtl/>
        </w:rPr>
        <w:t xml:space="preserve">بلة للتطبيق التي ارتكبتها جميع </w:t>
      </w:r>
      <w:r w:rsidR="000F3757" w:rsidRPr="008850E5">
        <w:rPr>
          <w:rFonts w:ascii="Traditional Arabic" w:hAnsi="Traditional Arabic" w:cs="Traditional Arabic"/>
          <w:sz w:val="28"/>
          <w:szCs w:val="28"/>
          <w:rtl/>
        </w:rPr>
        <w:t>أطراف النزاع منذ أيلول/سبتمبر 2014، بما في ذلك الأبعاد الجنسانية المحتملة لتلك الانتهاكات، فضلاَ عن إثبات الوقائع والملابسات المحيطة بالانتهاكات والتجاوزات المزعومة، وتحديد المسؤولين عنها حيثما أمكن، وتقديم التوصيات، حسب الاقتضاء، بشأن تعزيز احترام حقوق الإنسان، وحمايتها والإعمال بها، وتقديم التوجيه بشأن الوصول إلى العدالة والمساءلة والمصالحة والتعافي</w:t>
      </w:r>
      <w:r w:rsidR="000F3757" w:rsidRPr="008850E5">
        <w:rPr>
          <w:rFonts w:ascii="Traditional Arabic" w:hAnsi="Traditional Arabic" w:cs="Traditional Arabic"/>
          <w:sz w:val="28"/>
          <w:szCs w:val="28"/>
        </w:rPr>
        <w:t>.</w:t>
      </w:r>
    </w:p>
    <w:p w14:paraId="366A6E63" w14:textId="746BE2F7" w:rsidR="0057736D" w:rsidRPr="008850E5" w:rsidRDefault="0057736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28"/>
          <w:szCs w:val="28"/>
        </w:rPr>
      </w:pPr>
      <w:r w:rsidRPr="008850E5">
        <w:rPr>
          <w:rFonts w:ascii="Traditional Arabic" w:hAnsi="Traditional Arabic" w:cs="Traditional Arabic"/>
          <w:sz w:val="28"/>
          <w:szCs w:val="28"/>
          <w:rtl/>
        </w:rPr>
        <w:t>وتنص ولاية فريق الخبراء على "المشاركة مع السلطات اليمنية وجميع أصحاب المصلحة" وبخاصة وكالات الأمم المتحدة والمفوضية السامية لحقوق الإنسان في اليمن، ودول الخليج وجامعة الدول العربية، "بهدف تبادل المعلومات وتقديم الدعم للجهود الوطنية والإقليمية والدولية بغية تعزيز المساءلة عن انتهاكات حقوق الإنسان في اليمن</w:t>
      </w:r>
      <w:r w:rsidRPr="008850E5">
        <w:rPr>
          <w:rFonts w:ascii="Traditional Arabic" w:hAnsi="Traditional Arabic" w:cs="Traditional Arabic"/>
          <w:sz w:val="28"/>
          <w:szCs w:val="28"/>
        </w:rPr>
        <w:t xml:space="preserve"> ".</w:t>
      </w:r>
    </w:p>
    <w:p w14:paraId="6A6C9A4E" w14:textId="6E5A0812" w:rsidR="000F3757" w:rsidRPr="00973954" w:rsidRDefault="000F3757" w:rsidP="00770135">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73954">
        <w:rPr>
          <w:rFonts w:ascii="Traditional Arabic" w:hAnsi="Traditional Arabic" w:cs="Traditional Arabic"/>
          <w:sz w:val="30"/>
          <w:szCs w:val="30"/>
          <w:rtl/>
        </w:rPr>
        <w:t xml:space="preserve">وينص القرار 36/31 الذي اتخذه المجلس بتوافق الآراء على الطلب إلى المفوض السامي تعيين الخبراء في موعد لا يتجاوز نهاية عام 2017، وطلب إلى فريق الخبراء تقديم تقرير مكتوب وشامل إلى المفوض السامي قبل الدورة التاسعة والثلاثين للمجلس في أيلول/سبتمبر 2018، يليه حوار تفاعلي، وشجّع جميع أطراف النزاع المسلح على إتاحة الوصول للخبراء والتعاون معهم بشكل كامل وشفاف. كما يطلب القرار من المفوض السامي توفير  الدعم القانوني للجنة </w:t>
      </w:r>
      <w:r w:rsidR="00770135" w:rsidRPr="00973954">
        <w:rPr>
          <w:rFonts w:ascii="Traditional Arabic" w:hAnsi="Traditional Arabic" w:cs="Traditional Arabic"/>
          <w:sz w:val="30"/>
          <w:szCs w:val="30"/>
          <w:rtl/>
        </w:rPr>
        <w:t xml:space="preserve">الوطنية </w:t>
      </w:r>
      <w:r w:rsidR="00770135" w:rsidRPr="00973954">
        <w:rPr>
          <w:rFonts w:ascii="Traditional Arabic" w:hAnsi="Traditional Arabic" w:cs="Traditional Arabic" w:hint="cs"/>
          <w:sz w:val="30"/>
          <w:szCs w:val="30"/>
          <w:rtl/>
        </w:rPr>
        <w:t>ل</w:t>
      </w:r>
      <w:r w:rsidR="00770135" w:rsidRPr="00973954">
        <w:rPr>
          <w:rFonts w:ascii="Traditional Arabic" w:hAnsi="Traditional Arabic" w:cs="Traditional Arabic"/>
          <w:sz w:val="30"/>
          <w:szCs w:val="30"/>
          <w:rtl/>
        </w:rPr>
        <w:t xml:space="preserve">لتحقيق </w:t>
      </w:r>
      <w:r w:rsidRPr="00973954">
        <w:rPr>
          <w:rFonts w:ascii="Traditional Arabic" w:hAnsi="Traditional Arabic" w:cs="Traditional Arabic"/>
          <w:sz w:val="30"/>
          <w:szCs w:val="30"/>
          <w:rtl/>
        </w:rPr>
        <w:t xml:space="preserve">في اليمن من خلال بناء القدرات، وتوفير المساعدة الفنية والمشورة والدعم القانوني. </w:t>
      </w:r>
      <w:r w:rsidR="002F6CE5" w:rsidRPr="00973954">
        <w:rPr>
          <w:rStyle w:val="FootnoteReference"/>
          <w:rFonts w:ascii="Traditional Arabic" w:hAnsi="Traditional Arabic" w:cs="Traditional Arabic"/>
          <w:sz w:val="30"/>
          <w:szCs w:val="30"/>
          <w:rtl/>
        </w:rPr>
        <w:footnoteReference w:id="2"/>
      </w:r>
    </w:p>
    <w:p w14:paraId="0B54F88D" w14:textId="1A940A55" w:rsidR="000F3757" w:rsidRPr="00973954" w:rsidRDefault="000F3757" w:rsidP="00973954">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lang w:val="de-AT"/>
        </w:rPr>
      </w:pPr>
      <w:r w:rsidRPr="00973954">
        <w:rPr>
          <w:rFonts w:ascii="Traditional Arabic" w:eastAsia="Calibri" w:hAnsi="Traditional Arabic" w:cs="Traditional Arabic"/>
          <w:spacing w:val="-4"/>
          <w:sz w:val="30"/>
          <w:szCs w:val="30"/>
          <w:rtl/>
          <w:lang w:val="de-AT"/>
        </w:rPr>
        <w:t>وفي 4 كانون الأول/ديسمبر 2017، أنشأ المفوض السامي فريق الخبراء الدوليين والإقليميين البارزين، حيث عيّن تشارلز غاراوي (المملكة المتحدة لبريطانيا العظمى وآيرلندا الشمالية)، وكمال الجندوبي (تونس) وميليسا بارك (أستراليا) خبراء، والسيد الجندوبي رئيساً.</w:t>
      </w:r>
      <w:r w:rsidRPr="00973954">
        <w:rPr>
          <w:rFonts w:ascii="Traditional Arabic" w:eastAsia="Calibri" w:hAnsi="Traditional Arabic" w:cs="Traditional Arabic"/>
          <w:sz w:val="30"/>
          <w:szCs w:val="30"/>
          <w:rtl/>
          <w:lang w:val="de-AT"/>
        </w:rPr>
        <w:t xml:space="preserve"> وتدعم فريق الخبراء أمانة مؤلّفة من موظفين تقنيين تابعين لمكتب مفوض الأمم المتحدة السامي لحقوق الإنسان، ومقرّها بيروت. وهي تتألف من منسّق، ومحقّقين ومحلّلين في مجال حقوق الإنسان، ومن مستشارين في مجال القانون، والشؤون العسكرية، وحماية الطفل، والنوع الجنساني، وموظفي الدعم اللغوي والأمني والإداري. وقد بدأ أول موظفي أمانة المفوضية العمل في كانون الأول/ديسمبر 2017؛ فيما بدأت غالبية أمانة </w:t>
      </w:r>
      <w:r w:rsidRPr="00973954">
        <w:rPr>
          <w:rFonts w:ascii="Traditional Arabic" w:eastAsia="Calibri" w:hAnsi="Traditional Arabic" w:cs="Traditional Arabic"/>
          <w:sz w:val="30"/>
          <w:szCs w:val="30"/>
          <w:rtl/>
          <w:lang w:val="de-AT"/>
        </w:rPr>
        <w:lastRenderedPageBreak/>
        <w:t xml:space="preserve">المفوضية العمل في الفترة من كانون الثاني/يناير إلى شباط/فبراير 2018؛ ولم يصل الموظف الأخير </w:t>
      </w:r>
      <w:r w:rsidR="00EF1C67" w:rsidRPr="00973954">
        <w:rPr>
          <w:rFonts w:ascii="Traditional Arabic" w:eastAsia="Calibri" w:hAnsi="Traditional Arabic" w:cs="Traditional Arabic"/>
          <w:sz w:val="30"/>
          <w:szCs w:val="30"/>
          <w:rtl/>
          <w:lang w:val="de-AT"/>
        </w:rPr>
        <w:t xml:space="preserve">من الولاية الأولى </w:t>
      </w:r>
      <w:r w:rsidRPr="00973954">
        <w:rPr>
          <w:rFonts w:ascii="Traditional Arabic" w:eastAsia="Calibri" w:hAnsi="Traditional Arabic" w:cs="Traditional Arabic"/>
          <w:sz w:val="30"/>
          <w:szCs w:val="30"/>
          <w:rtl/>
          <w:lang w:val="de-AT"/>
        </w:rPr>
        <w:t xml:space="preserve">إلا في أوائل حزيران/يونيو 2018. أما النتائج التي توصل إليها فريق الخبراء، على النحو الوارد في الوثيقة </w:t>
      </w:r>
      <w:r w:rsidRPr="00973954">
        <w:rPr>
          <w:rFonts w:ascii="Traditional Arabic" w:eastAsia="Calibri" w:hAnsi="Traditional Arabic" w:cs="Traditional Arabic"/>
          <w:sz w:val="30"/>
          <w:szCs w:val="30"/>
          <w:lang w:val="de-AT"/>
        </w:rPr>
        <w:t>A / HRC / 39/43</w:t>
      </w:r>
      <w:r w:rsidRPr="00973954">
        <w:rPr>
          <w:rFonts w:ascii="Traditional Arabic" w:eastAsia="Calibri" w:hAnsi="Traditional Arabic" w:cs="Traditional Arabic"/>
          <w:sz w:val="30"/>
          <w:szCs w:val="30"/>
          <w:rtl/>
          <w:lang w:val="de-AT"/>
        </w:rPr>
        <w:t>، فقد رُفعت بحلول أواخر تموز/يوليو</w:t>
      </w:r>
      <w:r w:rsidR="00EF1C67" w:rsidRPr="00973954">
        <w:rPr>
          <w:rFonts w:ascii="Traditional Arabic" w:eastAsia="Calibri" w:hAnsi="Traditional Arabic" w:cs="Traditional Arabic"/>
          <w:sz w:val="30"/>
          <w:szCs w:val="30"/>
          <w:rtl/>
          <w:lang w:val="de-AT"/>
        </w:rPr>
        <w:t xml:space="preserve"> </w:t>
      </w:r>
      <w:r w:rsidRPr="00973954">
        <w:rPr>
          <w:rFonts w:ascii="Traditional Arabic" w:eastAsia="Calibri" w:hAnsi="Traditional Arabic" w:cs="Traditional Arabic"/>
          <w:sz w:val="30"/>
          <w:szCs w:val="30"/>
          <w:rtl/>
          <w:lang w:val="de-AT"/>
        </w:rPr>
        <w:t>بغية تحريرها تقنياً قبل انعقاد دورة المجلس</w:t>
      </w:r>
      <w:r w:rsidRPr="00973954">
        <w:rPr>
          <w:rFonts w:ascii="Traditional Arabic" w:eastAsia="Calibri" w:hAnsi="Traditional Arabic" w:cs="Traditional Arabic"/>
          <w:sz w:val="30"/>
          <w:szCs w:val="30"/>
          <w:lang w:val="de-AT"/>
        </w:rPr>
        <w:t>.</w:t>
      </w:r>
    </w:p>
    <w:p w14:paraId="6ABC31F1" w14:textId="10D518CE" w:rsidR="006B3D6B" w:rsidRPr="00895CED" w:rsidRDefault="006B3D6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28 آب / أغسطس 2018، أصدر فريق الخبراء تقريره المكتوب الأول الذي تضمن النتائج والتوصيات الأولية التي أحالها المفوض السامي إلى المجلس خلال دورته التاسعة والثلاثين</w:t>
      </w:r>
      <w:r w:rsidRPr="00895CED">
        <w:rPr>
          <w:rFonts w:ascii="Traditional Arabic" w:hAnsi="Traditional Arabic" w:cs="Traditional Arabic"/>
          <w:sz w:val="30"/>
          <w:szCs w:val="30"/>
        </w:rPr>
        <w:t xml:space="preserve"> (A / HRC / 39 / 43)</w:t>
      </w:r>
      <w:r w:rsidRPr="00895CED">
        <w:rPr>
          <w:rFonts w:ascii="Traditional Arabic" w:hAnsi="Traditional Arabic" w:cs="Traditional Arabic"/>
          <w:sz w:val="30"/>
          <w:szCs w:val="30"/>
          <w:rtl/>
        </w:rPr>
        <w:t xml:space="preserve">. وقد </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تضمنت هذه الوثيقة أيضاً تقرير المفوض السامي حول المساعدة التقنية المقدّمة للجنة التحقيق الوطنية. عقب تقديم تقريره إلى المجلس، أجرى فريق الخبراء حواراً تفاعلياً في 26 أيلول/ سبتمبر 2018 في جنيف</w:t>
      </w:r>
      <w:r w:rsidRPr="00895CED">
        <w:rPr>
          <w:rFonts w:ascii="Traditional Arabic" w:hAnsi="Traditional Arabic" w:cs="Traditional Arabic"/>
          <w:sz w:val="30"/>
          <w:szCs w:val="30"/>
        </w:rPr>
        <w:t>.</w:t>
      </w:r>
    </w:p>
    <w:p w14:paraId="6385F8DD" w14:textId="1BB39D14"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tl/>
        </w:rPr>
      </w:pPr>
      <w:r w:rsidRPr="00895CED">
        <w:rPr>
          <w:rFonts w:ascii="Traditional Arabic" w:eastAsiaTheme="minorHAnsi" w:hAnsi="Traditional Arabic" w:cs="Traditional Arabic"/>
          <w:sz w:val="30"/>
          <w:szCs w:val="30"/>
          <w:rtl/>
          <w:lang w:val="fr-FR"/>
        </w:rPr>
        <w:t xml:space="preserve">في 28 أيلول / سبتمبر 2018، اعتمد المجلس القرار 39/16 الذي مدّد ولاية فريق الخبراء لمدة سنة أخرى، وطلب رفع </w:t>
      </w:r>
      <w:r w:rsidR="00A6698E"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تقرير</w:t>
      </w:r>
      <w:r w:rsidR="00A6698E" w:rsidRPr="00895CED">
        <w:rPr>
          <w:rFonts w:ascii="Traditional Arabic" w:eastAsiaTheme="minorHAnsi" w:hAnsi="Traditional Arabic" w:cs="Traditional Arabic"/>
          <w:sz w:val="30"/>
          <w:szCs w:val="30"/>
          <w:rtl/>
          <w:lang w:val="fr-FR"/>
        </w:rPr>
        <w:t xml:space="preserve"> التالي الصادر عن الفريق</w:t>
      </w:r>
      <w:r w:rsidRPr="00895CED">
        <w:rPr>
          <w:rFonts w:ascii="Traditional Arabic" w:eastAsiaTheme="minorHAnsi" w:hAnsi="Traditional Arabic" w:cs="Traditional Arabic"/>
          <w:sz w:val="30"/>
          <w:szCs w:val="30"/>
          <w:rtl/>
          <w:lang w:val="fr-FR"/>
        </w:rPr>
        <w:t xml:space="preserve"> إلى المفوض السامي لتقديمه في الدورة الثانية والأربعين للمجلس في أيلول / سبتمبر 2019. وتبقى الولاية قابلة للتجديد وفقاً لما أذن به المجلس. وصدر القرار 39/16 بتصويت 21 صوتا مقابل 8 أصوات ، مع امتناع 18 عضواً عن التصويت. وقد عارضته بوروندي والصين وكوبا ومصر وباكستان والمملكة العربية السعودية والإمارات العربية المتحدة وفنزويلا</w:t>
      </w:r>
      <w:r w:rsidRPr="00895CED">
        <w:rPr>
          <w:rFonts w:ascii="Traditional Arabic" w:eastAsiaTheme="minorHAnsi" w:hAnsi="Traditional Arabic" w:cs="Traditional Arabic"/>
          <w:sz w:val="30"/>
          <w:szCs w:val="30"/>
          <w:lang w:val="fr-FR"/>
        </w:rPr>
        <w:t>.</w:t>
      </w:r>
    </w:p>
    <w:p w14:paraId="317E28BD" w14:textId="0E078A23" w:rsidR="007B3734"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eastAsia="Calibri" w:hAnsi="Traditional Arabic" w:cs="Traditional Arabic"/>
          <w:sz w:val="30"/>
          <w:szCs w:val="30"/>
          <w:rtl/>
          <w:lang w:val="de-AT"/>
        </w:rPr>
        <w:t>قام فريق الخبراء في تقريره الأول الذي يغطي الفترة من 1 أيلول / سبتمبر 2014 إلى 30 حزيران / يونيه 2018، "باستقصاء حوادث تستند إلى خطورة الانتهاكات المزعومة، وأهميتها في إظهار أنماط الانتهاكات المزعومة، والوصول إلى الضحايا والشهود والوثائق الداعمة، والمواقع الجغرافية للحوادث"، مع الإشارة الى عدم قدرته على توثيق "العدد الكبير للحوادث ذات الصلة" التي وقعت خلال تلك الفترة، مشيراً إلى أنه نظر في التقرير الذي يوضح أنماط الانتهاكات الرئيسية وأنواعها. كذلك، أشار التقرير الأول إلى العديد من القضايا التي لم يتمكن فريق الخبراء من التحقيق فيها بشكل كامل، مشيراً إلى الانتهاكات والتجاوزات المزعومة التي تتطلب مزيدًا من التحقيق</w:t>
      </w:r>
      <w:r w:rsidRPr="00895CED">
        <w:rPr>
          <w:rFonts w:ascii="Traditional Arabic" w:eastAsia="Calibri" w:hAnsi="Traditional Arabic" w:cs="Traditional Arabic"/>
          <w:sz w:val="30"/>
          <w:szCs w:val="30"/>
          <w:lang w:val="de-AT"/>
        </w:rPr>
        <w:t>.</w:t>
      </w:r>
    </w:p>
    <w:p w14:paraId="792F95AC" w14:textId="612EDCEB" w:rsidR="000F3757" w:rsidRPr="00895CED" w:rsidRDefault="000F3757" w:rsidP="00162F52">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val="fr-FR"/>
        </w:rPr>
      </w:pPr>
      <w:r w:rsidRPr="00895CED">
        <w:rPr>
          <w:rFonts w:ascii="Traditional Arabic" w:eastAsiaTheme="minorHAnsi" w:hAnsi="Traditional Arabic" w:cs="Traditional Arabic"/>
          <w:sz w:val="30"/>
          <w:szCs w:val="30"/>
          <w:rtl/>
          <w:lang w:val="fr-FR"/>
        </w:rPr>
        <w:t>تمشياً مع الولاي</w:t>
      </w:r>
      <w:r w:rsidR="00A6698E" w:rsidRPr="00895CED">
        <w:rPr>
          <w:rFonts w:ascii="Traditional Arabic" w:eastAsiaTheme="minorHAnsi" w:hAnsi="Traditional Arabic" w:cs="Traditional Arabic"/>
          <w:sz w:val="30"/>
          <w:szCs w:val="30"/>
          <w:rtl/>
          <w:lang w:val="fr-FR"/>
        </w:rPr>
        <w:t xml:space="preserve">ة المجدّدة في القرار 39/16، </w:t>
      </w:r>
      <w:r w:rsidRPr="00895CED">
        <w:rPr>
          <w:rFonts w:ascii="Traditional Arabic" w:eastAsiaTheme="minorHAnsi" w:hAnsi="Traditional Arabic" w:cs="Traditional Arabic"/>
          <w:sz w:val="30"/>
          <w:szCs w:val="30"/>
          <w:rtl/>
          <w:lang w:val="fr-FR"/>
        </w:rPr>
        <w:t xml:space="preserve">هذا التقرير </w:t>
      </w:r>
      <w:r w:rsidR="00A6698E" w:rsidRPr="00895CED">
        <w:rPr>
          <w:rFonts w:ascii="Traditional Arabic" w:eastAsiaTheme="minorHAnsi" w:hAnsi="Traditional Arabic" w:cs="Traditional Arabic"/>
          <w:sz w:val="30"/>
          <w:szCs w:val="30"/>
          <w:rtl/>
          <w:lang w:val="fr-FR"/>
        </w:rPr>
        <w:t>الذي يعرض للنتائج المفصّلة التي توصّل اليها الفريق،</w:t>
      </w:r>
      <w:r w:rsidR="00B31568" w:rsidRPr="00895CED">
        <w:rPr>
          <w:rFonts w:ascii="Traditional Arabic" w:eastAsiaTheme="minorHAnsi" w:hAnsi="Traditional Arabic" w:cs="Traditional Arabic"/>
          <w:sz w:val="30"/>
          <w:szCs w:val="30"/>
          <w:rtl/>
          <w:lang w:val="fr-FR"/>
        </w:rPr>
        <w:t xml:space="preserve"> والذي لا بدّ من قراءته</w:t>
      </w:r>
      <w:r w:rsidR="00A6698E" w:rsidRPr="00895CED">
        <w:rPr>
          <w:rFonts w:ascii="Traditional Arabic" w:eastAsiaTheme="minorHAnsi" w:hAnsi="Traditional Arabic" w:cs="Traditional Arabic"/>
          <w:sz w:val="30"/>
          <w:szCs w:val="30"/>
          <w:rtl/>
          <w:lang w:val="fr-FR"/>
        </w:rPr>
        <w:t xml:space="preserve"> </w:t>
      </w:r>
      <w:r w:rsidRPr="00895CED">
        <w:rPr>
          <w:rFonts w:ascii="Traditional Arabic" w:eastAsiaTheme="minorHAnsi" w:hAnsi="Traditional Arabic" w:cs="Traditional Arabic"/>
          <w:sz w:val="30"/>
          <w:szCs w:val="30"/>
          <w:rtl/>
          <w:lang w:val="fr-CH" w:bidi="ar-LB"/>
        </w:rPr>
        <w:t xml:space="preserve">كتقرير استكمالي، </w:t>
      </w:r>
      <w:r w:rsidRPr="00895CED">
        <w:rPr>
          <w:rFonts w:ascii="Traditional Arabic" w:eastAsiaTheme="minorHAnsi" w:hAnsi="Traditional Arabic" w:cs="Traditional Arabic"/>
          <w:sz w:val="30"/>
          <w:szCs w:val="30"/>
          <w:rtl/>
          <w:lang w:val="fr-FR"/>
        </w:rPr>
        <w:t xml:space="preserve">بالاقتران مع تقرير </w:t>
      </w:r>
      <w:r w:rsidR="00A6698E" w:rsidRPr="00895CED">
        <w:rPr>
          <w:rFonts w:ascii="Traditional Arabic" w:eastAsiaTheme="minorHAnsi" w:hAnsi="Traditional Arabic" w:cs="Traditional Arabic"/>
          <w:sz w:val="30"/>
          <w:szCs w:val="30"/>
          <w:rtl/>
          <w:lang w:val="fr-FR"/>
        </w:rPr>
        <w:t xml:space="preserve">آب/أغسطس </w:t>
      </w:r>
      <w:r w:rsidRPr="00895CED">
        <w:rPr>
          <w:rFonts w:ascii="Traditional Arabic" w:eastAsiaTheme="minorHAnsi" w:hAnsi="Traditional Arabic" w:cs="Traditional Arabic"/>
          <w:sz w:val="30"/>
          <w:szCs w:val="30"/>
          <w:rtl/>
          <w:lang w:val="fr-FR"/>
        </w:rPr>
        <w:t xml:space="preserve">2019 </w:t>
      </w:r>
      <w:r w:rsidR="00A6698E" w:rsidRPr="00895CED">
        <w:rPr>
          <w:rFonts w:ascii="Traditional Arabic" w:eastAsiaTheme="minorHAnsi" w:hAnsi="Traditional Arabic" w:cs="Traditional Arabic"/>
          <w:sz w:val="30"/>
          <w:szCs w:val="30"/>
          <w:rtl/>
          <w:lang w:val="fr-FR"/>
        </w:rPr>
        <w:t>الصادر عن فريق الخبراء الدوليين والاقليميين البارزين</w:t>
      </w:r>
      <w:r w:rsidR="00B31568" w:rsidRPr="00895CED">
        <w:rPr>
          <w:rFonts w:ascii="Traditional Arabic" w:eastAsiaTheme="minorHAnsi" w:hAnsi="Traditional Arabic" w:cs="Traditional Arabic"/>
          <w:sz w:val="30"/>
          <w:szCs w:val="30"/>
          <w:rtl/>
          <w:lang w:val="fr-FR"/>
        </w:rPr>
        <w:t>، كما أحيل الى مفوض الأمم المتحدة السامي لحقوق الإنسان (</w:t>
      </w:r>
      <w:r w:rsidRPr="00895CED">
        <w:rPr>
          <w:rFonts w:ascii="Traditional Arabic" w:eastAsiaTheme="minorHAnsi" w:hAnsi="Traditional Arabic" w:cs="Traditional Arabic"/>
          <w:sz w:val="30"/>
          <w:szCs w:val="30"/>
          <w:lang w:val="fr-FR"/>
        </w:rPr>
        <w:t xml:space="preserve"> (A / HRC / 42 / 17</w:t>
      </w:r>
      <w:r w:rsidRPr="00895CED">
        <w:rPr>
          <w:rFonts w:ascii="Traditional Arabic" w:eastAsiaTheme="minorHAnsi" w:hAnsi="Traditional Arabic" w:cs="Traditional Arabic"/>
          <w:sz w:val="30"/>
          <w:szCs w:val="30"/>
          <w:rtl/>
          <w:lang w:val="fr-FR"/>
        </w:rPr>
        <w:t>، يغطي القضايا المتعلقة بحالة حقوق الإنسان في اليمن بين أيلول/سبتمبر 2014 وحزيران/يونيو 2019</w:t>
      </w:r>
      <w:r w:rsidRPr="00895CED">
        <w:rPr>
          <w:rFonts w:ascii="Traditional Arabic" w:eastAsiaTheme="minorHAnsi" w:hAnsi="Traditional Arabic" w:cs="Traditional Arabic"/>
          <w:sz w:val="30"/>
          <w:szCs w:val="30"/>
          <w:lang w:val="fr-FR"/>
        </w:rPr>
        <w:t>.</w:t>
      </w:r>
    </w:p>
    <w:p w14:paraId="5904F81A" w14:textId="1DC3551A"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وعلى الرغم من تزايد التضييق على الوصول الذي اصطدم به فريق الخبراء في أعقاب تجديد ولايته في أيلول / سبتمبر 2018، واصل هذا الأخير العمل سعياً للوفاء بولايته من خلال إعطاء الأولوية للتحقيق في الحوادث التي وقعت منذ أيلول/سبتمبر 2014 على أساس خطورة الانتهاكات ا</w:t>
      </w:r>
      <w:r w:rsidR="00CF2EF2" w:rsidRPr="00895CED">
        <w:rPr>
          <w:rFonts w:ascii="Traditional Arabic" w:hAnsi="Traditional Arabic" w:cs="Traditional Arabic"/>
          <w:sz w:val="30"/>
          <w:szCs w:val="30"/>
          <w:rtl/>
        </w:rPr>
        <w:t>لمزعومة</w:t>
      </w:r>
      <w:r w:rsidRPr="00895CED">
        <w:rPr>
          <w:rFonts w:ascii="Traditional Arabic" w:hAnsi="Traditional Arabic" w:cs="Traditional Arabic"/>
          <w:sz w:val="30"/>
          <w:szCs w:val="30"/>
          <w:rtl/>
        </w:rPr>
        <w:t xml:space="preserve"> وأهميتها في </w:t>
      </w:r>
      <w:r w:rsidR="00CF2EF2" w:rsidRPr="00895CED">
        <w:rPr>
          <w:rFonts w:ascii="Traditional Arabic" w:hAnsi="Traditional Arabic" w:cs="Traditional Arabic"/>
          <w:sz w:val="30"/>
          <w:szCs w:val="30"/>
          <w:rtl/>
        </w:rPr>
        <w:t xml:space="preserve">إبراز </w:t>
      </w:r>
      <w:r w:rsidR="000F17D7">
        <w:rPr>
          <w:rFonts w:ascii="Traditional Arabic" w:hAnsi="Traditional Arabic" w:cs="Traditional Arabic" w:hint="cs"/>
          <w:sz w:val="30"/>
          <w:szCs w:val="30"/>
          <w:rtl/>
        </w:rPr>
        <w:t>ال</w:t>
      </w:r>
      <w:r w:rsidR="00CF2EF2" w:rsidRPr="00895CED">
        <w:rPr>
          <w:rFonts w:ascii="Traditional Arabic" w:hAnsi="Traditional Arabic" w:cs="Traditional Arabic"/>
          <w:sz w:val="30"/>
          <w:szCs w:val="30"/>
          <w:rtl/>
        </w:rPr>
        <w:t>أنماط</w:t>
      </w:r>
      <w:r w:rsidRPr="00895CED">
        <w:rPr>
          <w:rFonts w:ascii="Traditional Arabic" w:hAnsi="Traditional Arabic" w:cs="Traditional Arabic"/>
          <w:sz w:val="30"/>
          <w:szCs w:val="30"/>
          <w:rtl/>
        </w:rPr>
        <w:t>. وقد تمّ اختيار ال</w:t>
      </w:r>
      <w:r w:rsidR="000F17D7">
        <w:rPr>
          <w:rFonts w:ascii="Traditional Arabic" w:hAnsi="Traditional Arabic" w:cs="Traditional Arabic"/>
          <w:sz w:val="30"/>
          <w:szCs w:val="30"/>
          <w:rtl/>
        </w:rPr>
        <w:t xml:space="preserve">حالات والحوادث المشار إليها </w:t>
      </w:r>
      <w:r w:rsidR="000F17D7">
        <w:rPr>
          <w:rFonts w:ascii="Traditional Arabic" w:hAnsi="Traditional Arabic" w:cs="Traditional Arabic" w:hint="cs"/>
          <w:sz w:val="30"/>
          <w:szCs w:val="30"/>
          <w:rtl/>
        </w:rPr>
        <w:t xml:space="preserve">في هذا </w:t>
      </w:r>
      <w:r w:rsidR="000F17D7">
        <w:rPr>
          <w:rFonts w:ascii="Traditional Arabic" w:hAnsi="Traditional Arabic" w:cs="Traditional Arabic" w:hint="cs"/>
          <w:sz w:val="30"/>
          <w:szCs w:val="30"/>
          <w:rtl/>
        </w:rPr>
        <w:lastRenderedPageBreak/>
        <w:t xml:space="preserve">التقرير </w:t>
      </w:r>
      <w:r w:rsidRPr="00895CED">
        <w:rPr>
          <w:rFonts w:ascii="Traditional Arabic" w:hAnsi="Traditional Arabic" w:cs="Traditional Arabic"/>
          <w:sz w:val="30"/>
          <w:szCs w:val="30"/>
          <w:rtl/>
        </w:rPr>
        <w:t>على هذا الأساس. وخلال فترة الولاية الثانية، ساهمت الأمانة المؤلّفة من الموظفين الفنيين في المفوضية بتوفير الدعم مع زيادة في الموارد بالمقارنة مع العام السابق. وبدأ فريق انتقالي صغير من موظفي أمانة المفوضية العمل بعد تجديد الولاية في تشرين الأول/أكتوبر 2018، فيما بدأت غالبية أمانة المفوضية العمل في الفترة من كانون الثاني/ يناير إلى شباط/ فبراير 2019، ووصل آخر أعضاء الأمانة في أوائل نيسان/ أبريل 2019. أما النتائج التي توصل إليها فريق الخبراء على النحو الوارد في</w:t>
      </w:r>
      <w:r w:rsidRPr="00895CED">
        <w:rPr>
          <w:rFonts w:ascii="Traditional Arabic" w:hAnsi="Traditional Arabic" w:cs="Traditional Arabic"/>
          <w:sz w:val="30"/>
          <w:szCs w:val="30"/>
        </w:rPr>
        <w:t xml:space="preserve"> A / HRC / 42/17 </w:t>
      </w:r>
      <w:r w:rsidR="00BE4441"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فكان المطلوب لتقديمها بحلول نهاية تموز/يوليو من أجل إخضاعها للتحرير الفني قبل انعقاد دورة المجلس</w:t>
      </w:r>
      <w:r w:rsidRPr="00895CED">
        <w:rPr>
          <w:rFonts w:ascii="Traditional Arabic" w:hAnsi="Traditional Arabic" w:cs="Traditional Arabic"/>
          <w:sz w:val="30"/>
          <w:szCs w:val="30"/>
        </w:rPr>
        <w:t>.</w:t>
      </w:r>
    </w:p>
    <w:p w14:paraId="0B41E8BD" w14:textId="1EA19409" w:rsidR="00066353"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eastAsia="Calibri" w:hAnsi="Traditional Arabic" w:cs="Traditional Arabic"/>
          <w:sz w:val="30"/>
          <w:szCs w:val="30"/>
          <w:rtl/>
          <w:lang w:val="de-AT"/>
        </w:rPr>
        <w:t>هذا التقرير المفصّل وتقرير المفوض السامي الذي يتضمن استنتاجات فريق الخبراء</w:t>
      </w:r>
      <w:r w:rsidRPr="00895CED">
        <w:rPr>
          <w:rFonts w:ascii="Traditional Arabic" w:eastAsia="Calibri" w:hAnsi="Traditional Arabic" w:cs="Traditional Arabic"/>
          <w:sz w:val="30"/>
          <w:szCs w:val="30"/>
          <w:lang w:val="de-AT"/>
        </w:rPr>
        <w:t xml:space="preserve"> (A / HRC / 42/17) </w:t>
      </w:r>
      <w:r w:rsidR="00BE4441" w:rsidRPr="00895CED">
        <w:rPr>
          <w:rFonts w:ascii="Traditional Arabic" w:eastAsia="Calibri" w:hAnsi="Traditional Arabic" w:cs="Traditional Arabic"/>
          <w:sz w:val="30"/>
          <w:szCs w:val="30"/>
          <w:rtl/>
          <w:lang w:val="de-AT"/>
        </w:rPr>
        <w:t xml:space="preserve"> </w:t>
      </w:r>
      <w:r w:rsidRPr="00895CED">
        <w:rPr>
          <w:rFonts w:ascii="Traditional Arabic" w:eastAsia="Calibri" w:hAnsi="Traditional Arabic" w:cs="Traditional Arabic"/>
          <w:sz w:val="30"/>
          <w:szCs w:val="30"/>
          <w:rtl/>
          <w:lang w:val="de-AT"/>
        </w:rPr>
        <w:t xml:space="preserve">يستندان إلى </w:t>
      </w:r>
      <w:r w:rsidR="00CF2EF2" w:rsidRPr="00895CED">
        <w:rPr>
          <w:rFonts w:ascii="Traditional Arabic" w:eastAsia="Calibri" w:hAnsi="Traditional Arabic" w:cs="Traditional Arabic"/>
          <w:sz w:val="30"/>
          <w:szCs w:val="30"/>
          <w:rtl/>
          <w:lang w:val="de-AT"/>
        </w:rPr>
        <w:t>المعلومات</w:t>
      </w:r>
      <w:r w:rsidRPr="00895CED">
        <w:rPr>
          <w:rFonts w:ascii="Traditional Arabic" w:eastAsia="Calibri" w:hAnsi="Traditional Arabic" w:cs="Traditional Arabic"/>
          <w:sz w:val="30"/>
          <w:szCs w:val="30"/>
          <w:rtl/>
          <w:lang w:val="de-AT"/>
        </w:rPr>
        <w:t xml:space="preserve"> التي قام فريق الخبراء بجمعها وتحليلها منذ إنشائه، بما في ذلك الأدلة المتعلقة بالمسائل والقضايا المشار إليها في تقرير فريق الخبراء الصادر في آب/ أغسطس 2018، وأدلّة إضافية تمّ جمعها خلال السنة الأولى من الولاية واستحالت الإشارة إليها أو استخدامها في ذلك التق</w:t>
      </w:r>
      <w:r w:rsidR="00CF2EF2" w:rsidRPr="00895CED">
        <w:rPr>
          <w:rFonts w:ascii="Traditional Arabic" w:eastAsia="Calibri" w:hAnsi="Traditional Arabic" w:cs="Traditional Arabic"/>
          <w:sz w:val="30"/>
          <w:szCs w:val="30"/>
          <w:rtl/>
          <w:lang w:val="de-AT"/>
        </w:rPr>
        <w:t>رير أو بقيت قيد التحقيق، والمعلومات</w:t>
      </w:r>
      <w:r w:rsidRPr="00895CED">
        <w:rPr>
          <w:rFonts w:ascii="Traditional Arabic" w:eastAsia="Calibri" w:hAnsi="Traditional Arabic" w:cs="Traditional Arabic"/>
          <w:sz w:val="30"/>
          <w:szCs w:val="30"/>
          <w:rtl/>
          <w:lang w:val="de-AT"/>
        </w:rPr>
        <w:t xml:space="preserve"> الأخرى التي تمّ جمعها وتحليلها بين آب/ أغسطس 2018 وحزيران/ يونيو 2019</w:t>
      </w:r>
      <w:r w:rsidRPr="00895CED">
        <w:rPr>
          <w:rFonts w:ascii="Traditional Arabic" w:eastAsia="Calibri" w:hAnsi="Traditional Arabic" w:cs="Traditional Arabic"/>
          <w:sz w:val="30"/>
          <w:szCs w:val="30"/>
          <w:lang w:val="de-AT"/>
        </w:rPr>
        <w:t>.</w:t>
      </w:r>
    </w:p>
    <w:p w14:paraId="41262E96" w14:textId="595F3EB4" w:rsidR="000F3757" w:rsidRPr="00895CED" w:rsidRDefault="000F3757" w:rsidP="00361237">
      <w:pPr>
        <w:pStyle w:val="Footer"/>
        <w:numPr>
          <w:ilvl w:val="0"/>
          <w:numId w:val="3"/>
        </w:numPr>
        <w:tabs>
          <w:tab w:val="left" w:pos="720"/>
        </w:tabs>
        <w:bidi/>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يعرب فريق الخبراء عن امتنانه للمساعدة </w:t>
      </w:r>
      <w:r w:rsidR="00142843" w:rsidRPr="00895CED">
        <w:rPr>
          <w:rFonts w:ascii="Traditional Arabic" w:hAnsi="Traditional Arabic" w:cs="Traditional Arabic"/>
          <w:sz w:val="30"/>
          <w:szCs w:val="30"/>
          <w:rtl/>
        </w:rPr>
        <w:t>والدعم اللذين حصل عليهما من الهيئات</w:t>
      </w:r>
      <w:r w:rsidRPr="00895CED">
        <w:rPr>
          <w:rFonts w:ascii="Traditional Arabic" w:hAnsi="Traditional Arabic" w:cs="Traditional Arabic"/>
          <w:sz w:val="30"/>
          <w:szCs w:val="30"/>
          <w:rtl/>
        </w:rPr>
        <w:t xml:space="preserve"> الحكومية وغير الحكومية</w:t>
      </w:r>
      <w:r w:rsidR="00142843" w:rsidRPr="00895CED">
        <w:rPr>
          <w:rFonts w:ascii="Traditional Arabic" w:hAnsi="Traditional Arabic" w:cs="Traditional Arabic"/>
          <w:sz w:val="30"/>
          <w:szCs w:val="30"/>
          <w:rtl/>
        </w:rPr>
        <w:t xml:space="preserve"> و</w:t>
      </w:r>
      <w:r w:rsidRPr="00895CED">
        <w:rPr>
          <w:rFonts w:ascii="Traditional Arabic" w:hAnsi="Traditional Arabic" w:cs="Traditional Arabic"/>
          <w:sz w:val="30"/>
          <w:szCs w:val="30"/>
          <w:rtl/>
        </w:rPr>
        <w:t>من وكالات الأمم المتحدة والشركاء العاملين في اليمن. ويشير فريق الخبراء الى أن المملكة العربية السعودية والإمارات العربية المتحدة وحكومة اليمن، والتي تعاونت كلها مع فريق الخبراء في عامه الأول، أرسلت الى قيادة الأمم المتحدة قوائم المسائل المفصّلة التي انتقدتها في التقرير الأول الصادر عن فريق الخبراء، وأشارت إلى أنها لن تتعاون مع فريق الخبراء بعد تجديد ولايته في أيلول/ سبتمبر 2018. وقد نظر الفريق في جميع المسائل المذكورة في هذه الرسائل؛ في حين أن كثيراً من هذه المسائل هي تكرار لما أثير سابقًا وتمّ الرد عليه خلال الحوار التفاعلي في أيلول/سبتمبر 2018 ، فقد أثيرت مسائل أخرى للمرة الأولى، جرى أخذها في الاعتبار عند التخطيط والتنفيذ للتحقيقات التي أُجريت خلال فترة ولاية الفريق المتجددة</w:t>
      </w:r>
      <w:r w:rsidR="00142843"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بعد أن تمكّن فريق الخبراء من الوصول إلى اليمن وتسنّت له الفرصة لمقابلة المسؤولين الذين يمثلون أطراف النزاع خلال ولايته الأولى، لم يتمكن من زيارة اليمن خلال فترة الولاية الثانية لأن طلباته المتكررة لل</w:t>
      </w:r>
      <w:r w:rsidR="00142843" w:rsidRPr="00895CED">
        <w:rPr>
          <w:rFonts w:ascii="Traditional Arabic" w:hAnsi="Traditional Arabic" w:cs="Traditional Arabic"/>
          <w:sz w:val="30"/>
          <w:szCs w:val="30"/>
          <w:rtl/>
        </w:rPr>
        <w:t>حصول على إذن للقيام بالزيارات بقيت بدون</w:t>
      </w:r>
      <w:r w:rsidRPr="00895CED">
        <w:rPr>
          <w:rFonts w:ascii="Traditional Arabic" w:hAnsi="Traditional Arabic" w:cs="Traditional Arabic"/>
          <w:sz w:val="30"/>
          <w:szCs w:val="30"/>
          <w:rtl/>
        </w:rPr>
        <w:t xml:space="preserve"> إجابة. وحدها سلطات الأمر الواقع وافقت كتابةً على استقبال فريق الخبراء، لكن هذه الزيارة لم تتحقق لأ</w:t>
      </w:r>
      <w:r w:rsidR="00142843" w:rsidRPr="00895CED">
        <w:rPr>
          <w:rFonts w:ascii="Traditional Arabic" w:hAnsi="Traditional Arabic" w:cs="Traditional Arabic"/>
          <w:sz w:val="30"/>
          <w:szCs w:val="30"/>
          <w:rtl/>
        </w:rPr>
        <w:t xml:space="preserve">ن الحكومة اليمنية لم توافق على </w:t>
      </w:r>
      <w:r w:rsidRPr="00895CED">
        <w:rPr>
          <w:rFonts w:ascii="Traditional Arabic" w:hAnsi="Traditional Arabic" w:cs="Traditional Arabic"/>
          <w:sz w:val="30"/>
          <w:szCs w:val="30"/>
          <w:rtl/>
        </w:rPr>
        <w:t>تأشيرات</w:t>
      </w:r>
      <w:r w:rsidR="00142843" w:rsidRPr="00895CED">
        <w:rPr>
          <w:rFonts w:ascii="Traditional Arabic" w:hAnsi="Traditional Arabic" w:cs="Traditional Arabic"/>
          <w:sz w:val="30"/>
          <w:szCs w:val="30"/>
          <w:rtl/>
        </w:rPr>
        <w:t xml:space="preserve"> الدخول</w:t>
      </w:r>
      <w:r w:rsidRPr="00895CED">
        <w:rPr>
          <w:rFonts w:ascii="Traditional Arabic" w:hAnsi="Traditional Arabic" w:cs="Traditional Arabic"/>
          <w:sz w:val="30"/>
          <w:szCs w:val="30"/>
          <w:rtl/>
        </w:rPr>
        <w:t xml:space="preserve"> المطلوبة</w:t>
      </w:r>
      <w:r w:rsidRPr="00895CED">
        <w:rPr>
          <w:rFonts w:ascii="Traditional Arabic" w:hAnsi="Traditional Arabic" w:cs="Traditional Arabic"/>
          <w:sz w:val="30"/>
          <w:szCs w:val="30"/>
          <w:vertAlign w:val="superscript"/>
        </w:rPr>
        <w:footnoteReference w:id="3"/>
      </w:r>
      <w:r w:rsidR="00142843" w:rsidRPr="00895CED">
        <w:rPr>
          <w:rFonts w:ascii="Traditional Arabic" w:hAnsi="Traditional Arabic" w:cs="Traditional Arabic"/>
          <w:sz w:val="30"/>
          <w:szCs w:val="30"/>
          <w:rtl/>
        </w:rPr>
        <w:t>. وبقيت طلبات الفريق</w:t>
      </w:r>
      <w:r w:rsidRPr="00895CED">
        <w:rPr>
          <w:rFonts w:ascii="Traditional Arabic" w:hAnsi="Traditional Arabic" w:cs="Traditional Arabic"/>
          <w:sz w:val="30"/>
          <w:szCs w:val="30"/>
          <w:rtl/>
        </w:rPr>
        <w:t xml:space="preserve"> المتكررة لعقد اجتماعات مع المسؤولين في الحكومة اليمنية والمملكة العربية السعودية والإمارات العربية المتحدة</w:t>
      </w:r>
      <w:r w:rsidR="00142843" w:rsidRPr="00895CED">
        <w:rPr>
          <w:rFonts w:ascii="Traditional Arabic" w:hAnsi="Traditional Arabic" w:cs="Traditional Arabic"/>
          <w:sz w:val="30"/>
          <w:szCs w:val="30"/>
          <w:rtl/>
        </w:rPr>
        <w:t xml:space="preserve"> منذ </w:t>
      </w:r>
      <w:r w:rsidR="000F17D7">
        <w:rPr>
          <w:rFonts w:ascii="Traditional Arabic" w:hAnsi="Traditional Arabic" w:cs="Traditional Arabic" w:hint="cs"/>
          <w:sz w:val="30"/>
          <w:szCs w:val="30"/>
          <w:rtl/>
        </w:rPr>
        <w:t>أيلول/ سبتمبر</w:t>
      </w:r>
      <w:r w:rsidR="00142843" w:rsidRPr="00895CED">
        <w:rPr>
          <w:rFonts w:ascii="Traditional Arabic" w:hAnsi="Traditional Arabic" w:cs="Traditional Arabic"/>
          <w:sz w:val="30"/>
          <w:szCs w:val="30"/>
          <w:rtl/>
        </w:rPr>
        <w:t xml:space="preserve"> 2018</w:t>
      </w:r>
      <w:r w:rsidRPr="00895CED">
        <w:rPr>
          <w:rFonts w:ascii="Traditional Arabic" w:hAnsi="Traditional Arabic" w:cs="Traditional Arabic"/>
          <w:sz w:val="30"/>
          <w:szCs w:val="30"/>
          <w:rtl/>
        </w:rPr>
        <w:t xml:space="preserve"> بدون جواب</w:t>
      </w:r>
      <w:r w:rsidR="00142843" w:rsidRPr="00895CED">
        <w:rPr>
          <w:rFonts w:ascii="Traditional Arabic" w:hAnsi="Traditional Arabic" w:cs="Traditional Arabic"/>
          <w:sz w:val="30"/>
          <w:szCs w:val="30"/>
          <w:rtl/>
        </w:rPr>
        <w:t xml:space="preserve"> حتى وقت صياغة هذا التقرير</w:t>
      </w:r>
      <w:r w:rsidRPr="00895CED">
        <w:rPr>
          <w:rFonts w:ascii="Traditional Arabic" w:hAnsi="Traditional Arabic" w:cs="Traditional Arabic"/>
          <w:sz w:val="30"/>
          <w:szCs w:val="30"/>
        </w:rPr>
        <w:t>.</w:t>
      </w:r>
    </w:p>
    <w:p w14:paraId="30F3167B" w14:textId="362FD5A2" w:rsidR="000F3757" w:rsidRPr="00C64D61" w:rsidRDefault="000F3757" w:rsidP="00162F52">
      <w:pPr>
        <w:pStyle w:val="HChGA"/>
        <w:numPr>
          <w:ilvl w:val="0"/>
          <w:numId w:val="4"/>
        </w:numPr>
        <w:tabs>
          <w:tab w:val="clear" w:pos="1021"/>
          <w:tab w:val="left" w:pos="1089"/>
        </w:tabs>
        <w:ind w:left="549" w:firstLine="9"/>
        <w:rPr>
          <w:rStyle w:val="Heading2Char"/>
          <w:b w:val="0"/>
          <w:bCs w:val="0"/>
          <w:sz w:val="38"/>
        </w:rPr>
      </w:pPr>
      <w:bookmarkStart w:id="4" w:name="_Toc18918089"/>
      <w:r w:rsidRPr="00C64D61">
        <w:rPr>
          <w:rStyle w:val="Heading2Char"/>
          <w:sz w:val="38"/>
          <w:rtl/>
        </w:rPr>
        <w:lastRenderedPageBreak/>
        <w:t>المنهجية</w:t>
      </w:r>
      <w:bookmarkEnd w:id="4"/>
    </w:p>
    <w:p w14:paraId="78B23D87" w14:textId="5B4E7E86" w:rsidR="000F3757" w:rsidRPr="00895CED" w:rsidRDefault="00066353" w:rsidP="00973954">
      <w:pPr>
        <w:pStyle w:val="Footer"/>
        <w:numPr>
          <w:ilvl w:val="0"/>
          <w:numId w:val="3"/>
        </w:numPr>
        <w:tabs>
          <w:tab w:val="left" w:pos="720"/>
        </w:tabs>
        <w:bidi/>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 </w:t>
      </w:r>
      <w:r w:rsidR="000F3757" w:rsidRPr="00895CED">
        <w:rPr>
          <w:rFonts w:ascii="Traditional Arabic" w:hAnsi="Traditional Arabic" w:cs="Traditional Arabic"/>
          <w:sz w:val="30"/>
          <w:szCs w:val="30"/>
          <w:rtl/>
        </w:rPr>
        <w:t>اتّبع فريق الخبراء أفضل الممارسات والمنهجيات الراسخة لتقصي الحقائق في مجال حقوق الإنسان</w:t>
      </w:r>
      <w:r w:rsidR="000F3757" w:rsidRPr="00895CED">
        <w:rPr>
          <w:rFonts w:ascii="Traditional Arabic" w:hAnsi="Traditional Arabic" w:cs="Traditional Arabic"/>
          <w:sz w:val="30"/>
          <w:szCs w:val="30"/>
          <w:vertAlign w:val="superscript"/>
        </w:rPr>
        <w:footnoteReference w:id="4"/>
      </w:r>
      <w:r w:rsidR="000F3757" w:rsidRPr="00895CED">
        <w:rPr>
          <w:rFonts w:ascii="Traditional Arabic" w:hAnsi="Traditional Arabic" w:cs="Traditional Arabic"/>
          <w:sz w:val="30"/>
          <w:szCs w:val="30"/>
          <w:rtl/>
        </w:rPr>
        <w:t xml:space="preserve">، بما يكفل التقيد الصارم بمبادئ "عدم الإضرار"، والاستقلالية، والنزاهة، والموضوعية، والشفافية، </w:t>
      </w:r>
      <w:r w:rsidR="00973954" w:rsidRPr="00895CED">
        <w:rPr>
          <w:rFonts w:ascii="Traditional Arabic" w:hAnsi="Traditional Arabic" w:cs="Traditional Arabic"/>
          <w:sz w:val="30"/>
          <w:szCs w:val="30"/>
          <w:rtl/>
        </w:rPr>
        <w:t>وال</w:t>
      </w:r>
      <w:r w:rsidR="00973954">
        <w:rPr>
          <w:rFonts w:ascii="Traditional Arabic" w:hAnsi="Traditional Arabic" w:cs="Traditional Arabic" w:hint="cs"/>
          <w:sz w:val="30"/>
          <w:szCs w:val="30"/>
          <w:rtl/>
        </w:rPr>
        <w:t xml:space="preserve">استقامة </w:t>
      </w:r>
      <w:r w:rsidR="000F3757" w:rsidRPr="00895CED">
        <w:rPr>
          <w:rFonts w:ascii="Traditional Arabic" w:hAnsi="Traditional Arabic" w:cs="Traditional Arabic"/>
          <w:sz w:val="30"/>
          <w:szCs w:val="30"/>
          <w:rtl/>
        </w:rPr>
        <w:t>في جميع مراحل عمله</w:t>
      </w:r>
      <w:r w:rsidR="000F3757" w:rsidRPr="00895CED">
        <w:rPr>
          <w:rFonts w:ascii="Traditional Arabic" w:hAnsi="Traditional Arabic" w:cs="Traditional Arabic"/>
          <w:sz w:val="30"/>
          <w:szCs w:val="30"/>
        </w:rPr>
        <w:t>.</w:t>
      </w:r>
    </w:p>
    <w:p w14:paraId="68EF63DE" w14:textId="77777777" w:rsidR="000F3757" w:rsidRPr="002F6CE5" w:rsidRDefault="000F3757" w:rsidP="00361237">
      <w:pPr>
        <w:pStyle w:val="Footer"/>
        <w:tabs>
          <w:tab w:val="left" w:pos="720"/>
        </w:tabs>
        <w:bidi/>
        <w:ind w:right="1089"/>
        <w:jc w:val="both"/>
        <w:rPr>
          <w:sz w:val="24"/>
          <w:szCs w:val="24"/>
          <w:rtl/>
        </w:rPr>
      </w:pPr>
    </w:p>
    <w:p w14:paraId="42D7375B" w14:textId="66FC53DF" w:rsidR="000F3757" w:rsidRPr="00863822" w:rsidRDefault="00162F52" w:rsidP="00480E1D">
      <w:pPr>
        <w:pStyle w:val="Heading3"/>
        <w:bidi/>
        <w:spacing w:after="240"/>
        <w:ind w:left="1089" w:hanging="630"/>
        <w:rPr>
          <w:rStyle w:val="Heading2Char"/>
          <w:rFonts w:ascii="Traditional Arabic" w:hAnsi="Traditional Arabic" w:cs="Traditional Arabic"/>
          <w:b/>
          <w:bCs/>
          <w:sz w:val="30"/>
          <w:szCs w:val="30"/>
        </w:rPr>
      </w:pPr>
      <w:bookmarkStart w:id="5" w:name="_Toc18918090"/>
      <w:r>
        <w:rPr>
          <w:rStyle w:val="Heading2Char"/>
          <w:rFonts w:ascii="Traditional Arabic" w:hAnsi="Traditional Arabic" w:cs="Traditional Arabic" w:hint="cs"/>
          <w:b/>
          <w:bCs/>
          <w:sz w:val="30"/>
          <w:szCs w:val="30"/>
          <w:rtl/>
          <w:lang w:bidi="ar-JO"/>
        </w:rPr>
        <w:t>أ.</w:t>
      </w:r>
      <w:r>
        <w:rPr>
          <w:rStyle w:val="Heading2Char"/>
          <w:rFonts w:ascii="Traditional Arabic" w:hAnsi="Traditional Arabic" w:cs="Traditional Arabic" w:hint="cs"/>
          <w:b/>
          <w:bCs/>
          <w:sz w:val="30"/>
          <w:szCs w:val="30"/>
          <w:rtl/>
          <w:lang w:bidi="ar-JO"/>
        </w:rPr>
        <w:tab/>
      </w:r>
      <w:r w:rsidR="000F3757" w:rsidRPr="00863822">
        <w:rPr>
          <w:rStyle w:val="Heading2Char"/>
          <w:rFonts w:ascii="Traditional Arabic" w:hAnsi="Traditional Arabic" w:cs="Traditional Arabic"/>
          <w:b/>
          <w:bCs/>
          <w:sz w:val="30"/>
          <w:szCs w:val="30"/>
          <w:rtl/>
        </w:rPr>
        <w:t>معيار الإثبات</w:t>
      </w:r>
      <w:bookmarkEnd w:id="5"/>
    </w:p>
    <w:p w14:paraId="557373A0" w14:textId="34C6B790"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تمشيا مع الممارسة المعمول بها في هيئات تقصي الحقائق التابعة للأمم المتحدة، نظر فريق الخبراء فيما إذا كانت لديه "أسباب معقولة للاعتقاد" بأن حوادث وأنماط سلوكية فردية قد وقعت. وقد اعتمد فريق الخبراء على هذا الموقف باعتباره معياراً لإثبات استنتاجاته الوقائعية التي سمحت بتحديد ما إذا كانت مثل هذه الحوادث والأنماط السلوكية ترقى إلى انتهاكات القانون الدولي لحقوق الإنس</w:t>
      </w:r>
      <w:r w:rsidR="00142843" w:rsidRPr="00895CED">
        <w:rPr>
          <w:rFonts w:ascii="Traditional Arabic" w:hAnsi="Traditional Arabic" w:cs="Traditional Arabic"/>
          <w:sz w:val="30"/>
          <w:szCs w:val="30"/>
          <w:rtl/>
        </w:rPr>
        <w:t>ان أو القانون الدولي الإنساني، وحيث كان ذلك مناسباً،</w:t>
      </w:r>
      <w:r w:rsidRPr="00895CED">
        <w:rPr>
          <w:rFonts w:ascii="Traditional Arabic" w:hAnsi="Traditional Arabic" w:cs="Traditional Arabic"/>
          <w:sz w:val="30"/>
          <w:szCs w:val="30"/>
          <w:rtl/>
        </w:rPr>
        <w:t xml:space="preserve"> </w:t>
      </w:r>
      <w:r w:rsidR="00142843" w:rsidRPr="00895CED">
        <w:rPr>
          <w:rFonts w:ascii="Traditional Arabic" w:hAnsi="Traditional Arabic" w:cs="Traditional Arabic"/>
          <w:sz w:val="30"/>
          <w:szCs w:val="30"/>
          <w:rtl/>
        </w:rPr>
        <w:t xml:space="preserve">الى </w:t>
      </w:r>
      <w:r w:rsidRPr="00895CED">
        <w:rPr>
          <w:rFonts w:ascii="Traditional Arabic" w:hAnsi="Traditional Arabic" w:cs="Traditional Arabic"/>
          <w:sz w:val="30"/>
          <w:szCs w:val="30"/>
          <w:rtl/>
        </w:rPr>
        <w:t>جرائم دولية</w:t>
      </w:r>
      <w:r w:rsidRPr="00895CED">
        <w:rPr>
          <w:rFonts w:ascii="Traditional Arabic" w:hAnsi="Traditional Arabic" w:cs="Traditional Arabic"/>
          <w:sz w:val="30"/>
          <w:szCs w:val="30"/>
        </w:rPr>
        <w:t>.</w:t>
      </w:r>
    </w:p>
    <w:p w14:paraId="483747E4" w14:textId="673A39D0" w:rsidR="000F3757" w:rsidRPr="00895CED" w:rsidRDefault="000F3757"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Theme="minorHAnsi" w:hAnsi="Traditional Arabic" w:cs="Traditional Arabic"/>
          <w:sz w:val="30"/>
          <w:szCs w:val="30"/>
          <w:rtl/>
          <w:lang w:val="fr-FR"/>
        </w:rPr>
        <w:t xml:space="preserve">أشار فريق الخبراء </w:t>
      </w:r>
      <w:r w:rsidR="000F17D7">
        <w:rPr>
          <w:rFonts w:ascii="Traditional Arabic" w:eastAsiaTheme="minorHAnsi" w:hAnsi="Traditional Arabic" w:cs="Traditional Arabic" w:hint="cs"/>
          <w:sz w:val="30"/>
          <w:szCs w:val="30"/>
          <w:rtl/>
          <w:lang w:val="fr-FR"/>
        </w:rPr>
        <w:t>في هذا التقرير</w:t>
      </w:r>
      <w:r w:rsidRPr="00895CED">
        <w:rPr>
          <w:rFonts w:ascii="Traditional Arabic" w:eastAsiaTheme="minorHAnsi" w:hAnsi="Traditional Arabic" w:cs="Traditional Arabic"/>
          <w:sz w:val="30"/>
          <w:szCs w:val="30"/>
          <w:rtl/>
          <w:lang w:val="fr-FR"/>
        </w:rPr>
        <w:t xml:space="preserve"> إلى الحالات التي وجد فيها أسبابًا معقولة للاعتقاد بأنه ينبغي أن تواصل سلطة مختصة التحقيق في الحوادث أو الأنماط السلوكية</w:t>
      </w:r>
      <w:r w:rsidR="00262736" w:rsidRPr="00895CED">
        <w:rPr>
          <w:rFonts w:ascii="Traditional Arabic" w:eastAsiaTheme="minorHAnsi" w:hAnsi="Traditional Arabic" w:cs="Traditional Arabic"/>
          <w:sz w:val="30"/>
          <w:szCs w:val="30"/>
          <w:rtl/>
          <w:lang w:val="fr-FR"/>
        </w:rPr>
        <w:t xml:space="preserve">. وهذه النتائج </w:t>
      </w:r>
      <w:r w:rsidR="000F17D7">
        <w:rPr>
          <w:rFonts w:ascii="Traditional Arabic" w:eastAsiaTheme="minorHAnsi" w:hAnsi="Traditional Arabic" w:cs="Traditional Arabic" w:hint="cs"/>
          <w:sz w:val="30"/>
          <w:szCs w:val="30"/>
          <w:rtl/>
          <w:lang w:val="fr-FR"/>
        </w:rPr>
        <w:t xml:space="preserve">ترتكز </w:t>
      </w:r>
      <w:r w:rsidRPr="00895CED">
        <w:rPr>
          <w:rFonts w:ascii="Traditional Arabic" w:eastAsiaTheme="minorHAnsi" w:hAnsi="Traditional Arabic" w:cs="Traditional Arabic"/>
          <w:sz w:val="30"/>
          <w:szCs w:val="30"/>
          <w:rtl/>
          <w:lang w:val="fr-FR"/>
        </w:rPr>
        <w:t xml:space="preserve">على </w:t>
      </w:r>
      <w:r w:rsidR="00262736" w:rsidRPr="00895CED">
        <w:rPr>
          <w:rFonts w:ascii="Traditional Arabic" w:eastAsiaTheme="minorHAnsi" w:hAnsi="Traditional Arabic" w:cs="Traditional Arabic"/>
          <w:sz w:val="30"/>
          <w:szCs w:val="30"/>
          <w:rtl/>
          <w:lang w:val="fr-FR"/>
        </w:rPr>
        <w:t xml:space="preserve">ما حصل عليه الفريق من مجموعة </w:t>
      </w:r>
      <w:r w:rsidRPr="00895CED">
        <w:rPr>
          <w:rFonts w:ascii="Traditional Arabic" w:eastAsiaTheme="minorHAnsi" w:hAnsi="Traditional Arabic" w:cs="Traditional Arabic"/>
          <w:sz w:val="30"/>
          <w:szCs w:val="30"/>
          <w:rtl/>
          <w:lang w:val="fr-FR"/>
        </w:rPr>
        <w:t>معلومات</w:t>
      </w:r>
      <w:r w:rsidR="00262736" w:rsidRPr="00895CED">
        <w:rPr>
          <w:rFonts w:ascii="Traditional Arabic" w:eastAsiaTheme="minorHAnsi" w:hAnsi="Traditional Arabic" w:cs="Traditional Arabic"/>
          <w:sz w:val="30"/>
          <w:szCs w:val="30"/>
          <w:rtl/>
          <w:lang w:val="fr-FR"/>
        </w:rPr>
        <w:t xml:space="preserve"> موثوق بها</w:t>
      </w:r>
      <w:r w:rsidRPr="00895CED">
        <w:rPr>
          <w:rFonts w:ascii="Traditional Arabic" w:eastAsiaTheme="minorHAnsi" w:hAnsi="Traditional Arabic" w:cs="Traditional Arabic"/>
          <w:sz w:val="30"/>
          <w:szCs w:val="30"/>
          <w:rtl/>
          <w:lang w:val="fr-FR"/>
        </w:rPr>
        <w:t>، بما يتفق مع مواد أخرى، والتي على أساسها يعتبر شخص منطقي وحذر في العادة أن الحادث أو النمط السلوكي قد حصل فعلاً. إن معيار الإثبات المتمثّل "بالأسباب المعقولة للاعتقاد" هو دون المعيار المطلوب عادةّ في الإجراءات الجنائية للوصول الى الإدانة</w:t>
      </w:r>
      <w:r w:rsidR="00262736" w:rsidRPr="00895CED">
        <w:rPr>
          <w:rFonts w:ascii="Traditional Arabic" w:eastAsiaTheme="minorHAnsi" w:hAnsi="Traditional Arabic" w:cs="Traditional Arabic"/>
          <w:sz w:val="30"/>
          <w:szCs w:val="30"/>
          <w:rtl/>
          <w:lang w:val="fr-FR"/>
        </w:rPr>
        <w:t>. لكن</w:t>
      </w:r>
      <w:r w:rsidRPr="00895CED">
        <w:rPr>
          <w:rFonts w:ascii="Traditional Arabic" w:eastAsiaTheme="minorHAnsi" w:hAnsi="Traditional Arabic" w:cs="Traditional Arabic"/>
          <w:sz w:val="30"/>
          <w:szCs w:val="30"/>
          <w:rtl/>
          <w:lang w:val="fr-FR"/>
        </w:rPr>
        <w:t xml:space="preserve"> يُعتبر كافياً للمطالبة بإجراء مزيد من التحقيقات من جانب سلطة مختصة، وقام فريق الخبراء بتطبيقه على هذا النحو</w:t>
      </w:r>
      <w:r w:rsidRPr="00895CED">
        <w:rPr>
          <w:rFonts w:ascii="Traditional Arabic" w:eastAsiaTheme="minorHAnsi" w:hAnsi="Traditional Arabic" w:cs="Traditional Arabic"/>
          <w:sz w:val="30"/>
          <w:szCs w:val="30"/>
          <w:lang w:val="fr-FR"/>
        </w:rPr>
        <w:t xml:space="preserve"> .</w:t>
      </w:r>
    </w:p>
    <w:p w14:paraId="4429EB7E" w14:textId="42250EBE" w:rsidR="000F3757" w:rsidRPr="00895CED" w:rsidRDefault="000F3757" w:rsidP="00445CD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للتوصل الى الاستنتاجات الوقائعية التي تستند إلى </w:t>
      </w:r>
      <w:r w:rsidR="0062364F" w:rsidRPr="00895CED">
        <w:rPr>
          <w:rFonts w:ascii="Traditional Arabic" w:hAnsi="Traditional Arabic" w:cs="Traditional Arabic"/>
          <w:sz w:val="30"/>
          <w:szCs w:val="30"/>
          <w:rtl/>
          <w:lang w:bidi="ar-LB"/>
        </w:rPr>
        <w:t>ال</w:t>
      </w:r>
      <w:r w:rsidRPr="00895CED">
        <w:rPr>
          <w:rFonts w:ascii="Traditional Arabic" w:hAnsi="Traditional Arabic" w:cs="Traditional Arabic"/>
          <w:sz w:val="30"/>
          <w:szCs w:val="30"/>
          <w:rtl/>
        </w:rPr>
        <w:t>تحقيقات، اتّبع فريق الخبراء منهجية معيار الإثبات المعتمدة، حيث يشترط وجود على الأقل مصدر مباشر للمعلومات موثوق به، يدعمه بشكل مستقل مصدر واحد على الأقل</w:t>
      </w:r>
      <w:r w:rsidR="003A06FD" w:rsidRPr="00895CED">
        <w:rPr>
          <w:rFonts w:ascii="Traditional Arabic" w:hAnsi="Traditional Arabic" w:cs="Traditional Arabic"/>
          <w:sz w:val="30"/>
          <w:szCs w:val="30"/>
        </w:rPr>
        <w:t xml:space="preserve"> </w:t>
      </w:r>
      <w:r w:rsidR="003A06FD" w:rsidRPr="00895CED">
        <w:rPr>
          <w:rFonts w:ascii="Traditional Arabic" w:hAnsi="Traditional Arabic" w:cs="Traditional Arabic"/>
          <w:sz w:val="30"/>
          <w:szCs w:val="30"/>
          <w:rtl/>
          <w:lang w:bidi="ar-LB"/>
        </w:rPr>
        <w:t xml:space="preserve"> من</w:t>
      </w:r>
      <w:r w:rsidRPr="00895CED">
        <w:rPr>
          <w:rFonts w:ascii="Traditional Arabic" w:hAnsi="Traditional Arabic" w:cs="Traditional Arabic"/>
          <w:sz w:val="30"/>
          <w:szCs w:val="30"/>
          <w:rtl/>
        </w:rPr>
        <w:t xml:space="preserve"> </w:t>
      </w:r>
      <w:r w:rsidR="003A06FD" w:rsidRPr="00895CED">
        <w:rPr>
          <w:rFonts w:ascii="Traditional Arabic" w:hAnsi="Traditional Arabic" w:cs="Traditional Arabic"/>
          <w:sz w:val="30"/>
          <w:szCs w:val="30"/>
          <w:rtl/>
        </w:rPr>
        <w:t xml:space="preserve">المعلومات الموثوقة </w:t>
      </w:r>
      <w:r w:rsidRPr="00895CED">
        <w:rPr>
          <w:rFonts w:ascii="Traditional Arabic" w:hAnsi="Traditional Arabic" w:cs="Traditional Arabic"/>
          <w:sz w:val="30"/>
          <w:szCs w:val="30"/>
          <w:rtl/>
        </w:rPr>
        <w:t>أو أكثر</w:t>
      </w:r>
      <w:r w:rsidRPr="00895CED">
        <w:rPr>
          <w:rFonts w:ascii="Traditional Arabic" w:hAnsi="Traditional Arabic" w:cs="Traditional Arabic"/>
          <w:sz w:val="30"/>
          <w:szCs w:val="30"/>
        </w:rPr>
        <w:t>.</w:t>
      </w:r>
    </w:p>
    <w:p w14:paraId="2C892E2D" w14:textId="731FBB6A" w:rsidR="00066353"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eastAsiaTheme="minorHAnsi" w:hAnsi="Traditional Arabic" w:cs="Traditional Arabic"/>
          <w:sz w:val="30"/>
          <w:szCs w:val="30"/>
          <w:rtl/>
          <w:lang w:val="fr-FR"/>
        </w:rPr>
        <w:t xml:space="preserve">اعتبر فريق الخبراء أن ما يلي هي مصادر معلومات مباشرة: </w:t>
      </w:r>
      <w:r w:rsidR="00066353"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 xml:space="preserve">مقابلات مع الضحايا؛ </w:t>
      </w:r>
      <w:r w:rsidR="00066353" w:rsidRPr="00895CED">
        <w:rPr>
          <w:rFonts w:ascii="Traditional Arabic" w:eastAsiaTheme="minorHAnsi" w:hAnsi="Traditional Arabic" w:cs="Traditional Arabic"/>
          <w:sz w:val="30"/>
          <w:szCs w:val="30"/>
          <w:rtl/>
          <w:lang w:val="fr-FR"/>
        </w:rPr>
        <w:t>ال</w:t>
      </w:r>
      <w:r w:rsidRPr="00895CED">
        <w:rPr>
          <w:rFonts w:ascii="Traditional Arabic" w:eastAsiaTheme="minorHAnsi" w:hAnsi="Traditional Arabic" w:cs="Traditional Arabic"/>
          <w:sz w:val="30"/>
          <w:szCs w:val="30"/>
          <w:rtl/>
          <w:lang w:val="fr-FR"/>
        </w:rPr>
        <w:t xml:space="preserve">مقابلات مع شهود عيان مباشرين على حدث ما؛ أشرطة الفيديو، والصور الفوتوغرافية، وصور الأقمار الصناعية، والوثائق التي تم التأكد من صحتها؛ </w:t>
      </w:r>
      <w:r w:rsidR="00066353" w:rsidRPr="00895CED">
        <w:rPr>
          <w:rFonts w:ascii="Traditional Arabic" w:eastAsiaTheme="minorHAnsi" w:hAnsi="Traditional Arabic" w:cs="Traditional Arabic"/>
          <w:sz w:val="30"/>
          <w:szCs w:val="30"/>
          <w:rtl/>
          <w:lang w:val="fr-FR"/>
        </w:rPr>
        <w:t xml:space="preserve">المراسيم، واللوائح، والتوجيهات الصادرة عن الحكومات؛ </w:t>
      </w:r>
      <w:r w:rsidRPr="00895CED">
        <w:rPr>
          <w:rFonts w:ascii="Traditional Arabic" w:eastAsiaTheme="minorHAnsi" w:hAnsi="Traditional Arabic" w:cs="Traditional Arabic"/>
          <w:sz w:val="30"/>
          <w:szCs w:val="30"/>
          <w:rtl/>
          <w:lang w:val="fr-FR"/>
        </w:rPr>
        <w:t>البيانات المتاحة للجمهور والصادرة عن أطراف النزاع، بما في ذلك البيانات التي يتم الإدلاء بها عبر وسائل الإعلام الحكومية؛ الإحصاءات، والدراسات الاستقصائية، والتقارير وغيرها من المعلومات الكمية والنوعية التي تصدرها منظمات الأمم المتحدة وهيئاتها ووكالاتها وصناديقها وبرامجها</w:t>
      </w:r>
      <w:r w:rsidR="00066353" w:rsidRPr="00895CED">
        <w:rPr>
          <w:rFonts w:ascii="Traditional Arabic" w:eastAsiaTheme="minorHAnsi" w:hAnsi="Traditional Arabic" w:cs="Traditional Arabic"/>
          <w:sz w:val="30"/>
          <w:szCs w:val="30"/>
          <w:rtl/>
          <w:lang w:val="fr-FR"/>
        </w:rPr>
        <w:t>.</w:t>
      </w:r>
      <w:r w:rsidR="006C23FB">
        <w:rPr>
          <w:rFonts w:ascii="Traditional Arabic" w:eastAsiaTheme="minorHAnsi" w:hAnsi="Traditional Arabic" w:cs="Traditional Arabic" w:hint="cs"/>
          <w:sz w:val="30"/>
          <w:szCs w:val="30"/>
          <w:rtl/>
          <w:lang w:val="fr-FR"/>
        </w:rPr>
        <w:t xml:space="preserve"> </w:t>
      </w:r>
    </w:p>
    <w:p w14:paraId="1DAE20D7" w14:textId="5384134B"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lastRenderedPageBreak/>
        <w:t xml:space="preserve">نظر فريق الخبراء في ما يلي لأغراض تأكيد المعلومات الآتية من مصادر مباشرة، وللسماح بفهم </w:t>
      </w:r>
      <w:r w:rsidR="00066353" w:rsidRPr="00895CED">
        <w:rPr>
          <w:rFonts w:ascii="Traditional Arabic" w:hAnsi="Traditional Arabic" w:cs="Traditional Arabic"/>
          <w:sz w:val="30"/>
          <w:szCs w:val="30"/>
          <w:rtl/>
        </w:rPr>
        <w:t xml:space="preserve">القضايا ضمن </w:t>
      </w:r>
      <w:r w:rsidRPr="00895CED">
        <w:rPr>
          <w:rFonts w:ascii="Traditional Arabic" w:hAnsi="Traditional Arabic" w:cs="Traditional Arabic"/>
          <w:sz w:val="30"/>
          <w:szCs w:val="30"/>
          <w:rtl/>
        </w:rPr>
        <w:t>السياق: المعلومات، بما في ذلك شهادات الشهود، وتحليل الحالة، ووصف أنماط السلوك وغيرها من المواد، من منشورات أو إسهامات مقدمة من الأمم المتحدة، والحكومات، ومنظمات حقوق الإنسان والمنظمات الإنسانية؛ شهادات خطية أو شهادات شهود موثقة أخرى مقدمة لمنظمات حقوق الإنسان ذات السمعة الطيبة حيث تمكن فريق الخبراء من التحقق من صحة المنهجية المستخدمة للحصول على البيان</w:t>
      </w:r>
      <w:r w:rsidR="00066353" w:rsidRPr="00895CED">
        <w:rPr>
          <w:rFonts w:ascii="Traditional Arabic" w:hAnsi="Traditional Arabic" w:cs="Traditional Arabic"/>
          <w:sz w:val="30"/>
          <w:szCs w:val="30"/>
          <w:rtl/>
        </w:rPr>
        <w:t>.</w:t>
      </w:r>
      <w:r w:rsidRPr="00895CED">
        <w:rPr>
          <w:rFonts w:ascii="Traditional Arabic" w:hAnsi="Traditional Arabic" w:cs="Traditional Arabic"/>
          <w:color w:val="FF0000"/>
          <w:sz w:val="30"/>
          <w:szCs w:val="30"/>
          <w:rtl/>
        </w:rPr>
        <w:t xml:space="preserve"> </w:t>
      </w:r>
      <w:r w:rsidRPr="00895CED">
        <w:rPr>
          <w:rFonts w:ascii="Traditional Arabic" w:hAnsi="Traditional Arabic" w:cs="Traditional Arabic"/>
          <w:sz w:val="30"/>
          <w:szCs w:val="30"/>
          <w:rtl/>
        </w:rPr>
        <w:t>في الحالات حيث اعتمد فريق الخبراء على المعلومات الواردة في المنشورات، كان الهدف مناقشة المنهجية والنتائج و / أو التحليل مع المؤلف كلما أمكن ذلك</w:t>
      </w:r>
      <w:r w:rsidRPr="00895CED">
        <w:rPr>
          <w:rFonts w:ascii="Traditional Arabic" w:hAnsi="Traditional Arabic" w:cs="Traditional Arabic"/>
          <w:sz w:val="30"/>
          <w:szCs w:val="30"/>
        </w:rPr>
        <w:t>.</w:t>
      </w:r>
    </w:p>
    <w:p w14:paraId="5EE918A3" w14:textId="5F242D56"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لدى تقييم مصداقية وموثوقية كل مصدر مباشر، نظر فريق الخبراء، في جملة أمور، في الوسائل التي حصل الشاهد من خلالها على المعلومات؛ أسباب قيام الشاهد بتقديم المعلومات؛ الموقع الفعلي للشاهد بالنسبة الى الحدث أو الحادث؛ التحيزات المحتملة بما في ذلك الانتماءات السياسية والمصالح الشخصية؛ الموقع المادي الذي قدم فيه الشاهد البيان وإذا كان </w:t>
      </w:r>
      <w:r w:rsidR="00F60C9C" w:rsidRPr="00895CED">
        <w:rPr>
          <w:rFonts w:ascii="Traditional Arabic" w:hAnsi="Traditional Arabic" w:cs="Traditional Arabic"/>
          <w:sz w:val="30"/>
          <w:szCs w:val="30"/>
          <w:rtl/>
          <w:lang w:bidi="ar-LB"/>
        </w:rPr>
        <w:t>ل</w:t>
      </w:r>
      <w:r w:rsidRPr="00895CED">
        <w:rPr>
          <w:rFonts w:ascii="Traditional Arabic" w:hAnsi="Traditional Arabic" w:cs="Traditional Arabic"/>
          <w:sz w:val="30"/>
          <w:szCs w:val="30"/>
          <w:rtl/>
        </w:rPr>
        <w:t>هذا</w:t>
      </w:r>
      <w:r w:rsidR="00F60C9C" w:rsidRPr="00895CED">
        <w:rPr>
          <w:rFonts w:ascii="Traditional Arabic" w:hAnsi="Traditional Arabic" w:cs="Traditional Arabic"/>
          <w:sz w:val="30"/>
          <w:szCs w:val="30"/>
          <w:rtl/>
        </w:rPr>
        <w:t xml:space="preserve"> الأمر أن يؤدّي</w:t>
      </w:r>
      <w:r w:rsidRPr="00895CED">
        <w:rPr>
          <w:rFonts w:ascii="Traditional Arabic" w:hAnsi="Traditional Arabic" w:cs="Traditional Arabic"/>
          <w:sz w:val="30"/>
          <w:szCs w:val="30"/>
          <w:rtl/>
        </w:rPr>
        <w:t xml:space="preserve"> إلى الإكراه أو </w:t>
      </w:r>
      <w:r w:rsidR="00474265">
        <w:rPr>
          <w:rFonts w:ascii="Traditional Arabic" w:hAnsi="Traditional Arabic" w:cs="Traditional Arabic" w:hint="cs"/>
          <w:sz w:val="30"/>
          <w:szCs w:val="30"/>
          <w:rtl/>
        </w:rPr>
        <w:t>ي</w:t>
      </w:r>
      <w:r w:rsidRPr="00895CED">
        <w:rPr>
          <w:rFonts w:ascii="Traditional Arabic" w:hAnsi="Traditional Arabic" w:cs="Traditional Arabic"/>
          <w:sz w:val="30"/>
          <w:szCs w:val="30"/>
          <w:rtl/>
        </w:rPr>
        <w:t>تسبب في جعل المصدر يوفّر معلومات غير دقيقة بسبب اعتبارات السلامة؛ وقدرة الشاهد على تذكر الأحداث بدقة بالنظر إلى الوقت الذي مرّ منذ وقوع الحادث والعوامل التي قد تضيف الى أو تنتقص من قدرة الشاهد على تذكر الموقف بدقة.</w:t>
      </w:r>
    </w:p>
    <w:p w14:paraId="0B8D662F" w14:textId="4325859D"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قام فريق الخبراء أيضًا بتقييم صحة المعلومات من خلال النظر في صلتها بالتحقيق واتساقها الداخلي وتماسكها ومنطقها واتساقها مع معلومات أخرى وتأكيد تلك المعلومات عليها. كما ميّز فريق الخبراء بين موثوقية المصدر ومصداقيته وصحة المعلومات المقدمة. لذلك، لم يفترض الفريق أن الشاهد، الذي يُعتبر مصدرًا ذات مصداقية وموثوقًا به، سيوفر بالضرورة معلومات دقيقة وصحيحة تمامًا في جميع جوانب شهادته</w:t>
      </w:r>
      <w:r w:rsidRPr="00895CED">
        <w:rPr>
          <w:rFonts w:ascii="Traditional Arabic" w:hAnsi="Traditional Arabic" w:cs="Traditional Arabic"/>
          <w:sz w:val="30"/>
          <w:szCs w:val="30"/>
        </w:rPr>
        <w:t>.</w:t>
      </w:r>
    </w:p>
    <w:p w14:paraId="34FF9352" w14:textId="61072F5E" w:rsidR="004615B2" w:rsidRPr="00895CED" w:rsidRDefault="004615B2" w:rsidP="0036085D">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حيث يشير هذا التقرير إلى سرد للشاهد، قام فريق الخبراء بتقييم البيان على أنه صادق وذات صلة، ما لم يرد خلاف ذلك. أدرجت إفادات الشهود وروايات الأحداث في التقرير لإبراز الأدلة فقط، ولا ينبغي اعتبارها الأساس الوحيد للحكم في المسائل قيد التحليل</w:t>
      </w:r>
      <w:r w:rsidRPr="00895CED">
        <w:rPr>
          <w:rFonts w:ascii="Traditional Arabic" w:eastAsia="Calibri" w:hAnsi="Traditional Arabic" w:cs="Traditional Arabic"/>
          <w:sz w:val="30"/>
          <w:szCs w:val="30"/>
        </w:rPr>
        <w:t>.</w:t>
      </w:r>
    </w:p>
    <w:p w14:paraId="31DD5AE9" w14:textId="17599443" w:rsidR="004615B2" w:rsidRPr="00895CED" w:rsidRDefault="004615B2" w:rsidP="00361237">
      <w:pPr>
        <w:pStyle w:val="Footer"/>
        <w:numPr>
          <w:ilvl w:val="0"/>
          <w:numId w:val="3"/>
        </w:numPr>
        <w:tabs>
          <w:tab w:val="left" w:pos="720"/>
        </w:tabs>
        <w:bidi/>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حدّد فريق الخبراء أيضا الحوادث والأنماط السلوكية التي شعر أنها قد تؤدي إلى نتائج في المستقبل بعد إجراء مزيد من التحقيقات، لا سيما في الحالات حيث قد يكون الوصول متاحاً بشكل أفضل. يتم تحديد مثل هذه الحوادث والأنماط السلوكية على أنها مزاعم تتطلب مزيدًا من التحقيق. </w:t>
      </w:r>
    </w:p>
    <w:p w14:paraId="6B278203" w14:textId="7A62B412" w:rsidR="00AD6670" w:rsidRPr="002F6CE5" w:rsidRDefault="00AD6670" w:rsidP="00361237">
      <w:pPr>
        <w:pStyle w:val="Footer"/>
        <w:tabs>
          <w:tab w:val="left" w:pos="720"/>
        </w:tabs>
        <w:ind w:right="1089"/>
        <w:jc w:val="both"/>
        <w:rPr>
          <w:sz w:val="24"/>
          <w:szCs w:val="24"/>
          <w:lang w:val="de-AT"/>
        </w:rPr>
      </w:pPr>
    </w:p>
    <w:p w14:paraId="1EF71DE6" w14:textId="3C5D3054" w:rsidR="004615B2" w:rsidRPr="00863822" w:rsidRDefault="004615B2" w:rsidP="00480E1D">
      <w:pPr>
        <w:pStyle w:val="Heading3"/>
        <w:tabs>
          <w:tab w:val="left" w:pos="720"/>
        </w:tabs>
        <w:bidi/>
        <w:spacing w:after="240"/>
        <w:ind w:left="369"/>
        <w:rPr>
          <w:rFonts w:ascii="Traditional Arabic" w:hAnsi="Traditional Arabic" w:cs="Traditional Arabic"/>
          <w:b/>
          <w:bCs/>
          <w:sz w:val="30"/>
          <w:szCs w:val="30"/>
        </w:rPr>
      </w:pPr>
      <w:bookmarkStart w:id="6" w:name="_Toc18918091"/>
      <w:r w:rsidRPr="00863822">
        <w:rPr>
          <w:rFonts w:ascii="Traditional Arabic" w:hAnsi="Traditional Arabic" w:cs="Traditional Arabic"/>
          <w:b/>
          <w:bCs/>
          <w:sz w:val="30"/>
          <w:szCs w:val="30"/>
          <w:rtl/>
        </w:rPr>
        <w:t xml:space="preserve">ب. </w:t>
      </w:r>
      <w:r w:rsidR="00D26C67" w:rsidRPr="00863822">
        <w:rPr>
          <w:rFonts w:ascii="Traditional Arabic" w:hAnsi="Traditional Arabic" w:cs="Traditional Arabic"/>
          <w:b/>
          <w:bCs/>
          <w:sz w:val="30"/>
          <w:szCs w:val="30"/>
          <w:rtl/>
        </w:rPr>
        <w:tab/>
      </w:r>
      <w:r w:rsidRPr="00863822">
        <w:rPr>
          <w:rFonts w:ascii="Traditional Arabic" w:hAnsi="Traditional Arabic" w:cs="Traditional Arabic"/>
          <w:b/>
          <w:bCs/>
          <w:sz w:val="30"/>
          <w:szCs w:val="30"/>
          <w:rtl/>
        </w:rPr>
        <w:t>إسناد المسؤولية</w:t>
      </w:r>
      <w:bookmarkEnd w:id="6"/>
    </w:p>
    <w:p w14:paraId="0942D11B" w14:textId="4750ECC4" w:rsidR="004615B2" w:rsidRPr="00895CED" w:rsidRDefault="004615B2"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254B8">
        <w:rPr>
          <w:rFonts w:ascii="Traditional Arabic" w:hAnsi="Traditional Arabic" w:cs="Traditional Arabic"/>
          <w:sz w:val="30"/>
          <w:szCs w:val="30"/>
          <w:rtl/>
        </w:rPr>
        <w:t xml:space="preserve">بذل فريق الخبراء، وفاءً بولايته، بجهود لتحديد المسؤولين عن الانتهاكات. عندما وجد </w:t>
      </w:r>
      <w:r w:rsidRPr="00895CED">
        <w:rPr>
          <w:rFonts w:ascii="Traditional Arabic" w:hAnsi="Traditional Arabic" w:cs="Traditional Arabic"/>
          <w:sz w:val="30"/>
          <w:szCs w:val="30"/>
          <w:rtl/>
        </w:rPr>
        <w:t>معلومات تربط بين جناة مزعومين وانتهاكات أو أنماط محددة من الانتهاكات، أحيلت هذه المعلومات إلى المفوض السامي على أساس السرية التامة</w:t>
      </w:r>
      <w:r w:rsidRPr="00895CED">
        <w:rPr>
          <w:rFonts w:ascii="Traditional Arabic" w:hAnsi="Traditional Arabic" w:cs="Traditional Arabic"/>
          <w:sz w:val="30"/>
          <w:szCs w:val="30"/>
        </w:rPr>
        <w:t>.</w:t>
      </w:r>
    </w:p>
    <w:p w14:paraId="2C888EAC" w14:textId="50633727" w:rsidR="004615B2" w:rsidRPr="00895CED" w:rsidRDefault="004615B2" w:rsidP="00361237">
      <w:pPr>
        <w:pStyle w:val="Footer"/>
        <w:numPr>
          <w:ilvl w:val="0"/>
          <w:numId w:val="3"/>
        </w:numPr>
        <w:tabs>
          <w:tab w:val="left" w:pos="720"/>
        </w:tabs>
        <w:bidi/>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lastRenderedPageBreak/>
        <w:t>في الحالات حيث لم تتوفّر معلومات كافية لتحديد أفراد معينين مسؤولين عن الانتهاكات، تم تحديد الطرف أو المجموعة المسؤولة، حيثما أمكن، في هذا التقرير، وإلى الحد الذي تسمح به المساحة، في تقرير المفوض السامي لحقوق الإنسان الذي يحتوي على نتائج فريق الخبراء الدوليين والإقليميين البارزين في اليمن</w:t>
      </w:r>
      <w:r w:rsidRPr="00895CED">
        <w:rPr>
          <w:rFonts w:ascii="Traditional Arabic" w:eastAsia="Calibri" w:hAnsi="Traditional Arabic" w:cs="Traditional Arabic"/>
          <w:sz w:val="30"/>
          <w:szCs w:val="30"/>
        </w:rPr>
        <w:t>.</w:t>
      </w:r>
    </w:p>
    <w:p w14:paraId="1075B127" w14:textId="77777777" w:rsidR="004615B2" w:rsidRPr="002F6CE5" w:rsidRDefault="004615B2" w:rsidP="00361237">
      <w:pPr>
        <w:pStyle w:val="Footer"/>
        <w:tabs>
          <w:tab w:val="left" w:pos="720"/>
        </w:tabs>
        <w:ind w:right="1089"/>
        <w:jc w:val="both"/>
        <w:rPr>
          <w:sz w:val="24"/>
          <w:szCs w:val="24"/>
        </w:rPr>
      </w:pPr>
    </w:p>
    <w:p w14:paraId="49512B2C" w14:textId="3D8024FC" w:rsidR="004A49E1" w:rsidRPr="00863822" w:rsidRDefault="004A49E1" w:rsidP="00480E1D">
      <w:pPr>
        <w:pStyle w:val="Heading3"/>
        <w:bidi/>
        <w:spacing w:after="240"/>
        <w:ind w:left="1089" w:hanging="720"/>
        <w:rPr>
          <w:rFonts w:ascii="Traditional Arabic" w:hAnsi="Traditional Arabic" w:cs="Traditional Arabic"/>
          <w:b/>
          <w:bCs/>
          <w:sz w:val="30"/>
          <w:szCs w:val="30"/>
        </w:rPr>
      </w:pPr>
      <w:bookmarkStart w:id="7" w:name="_Toc18918092"/>
      <w:r w:rsidRPr="00863822">
        <w:rPr>
          <w:rFonts w:ascii="Traditional Arabic" w:hAnsi="Traditional Arabic" w:cs="Traditional Arabic"/>
          <w:b/>
          <w:bCs/>
          <w:sz w:val="30"/>
          <w:szCs w:val="30"/>
          <w:rtl/>
        </w:rPr>
        <w:t>ج</w:t>
      </w:r>
      <w:r w:rsidR="00D26C67" w:rsidRPr="00863822">
        <w:rPr>
          <w:rFonts w:ascii="Traditional Arabic" w:hAnsi="Traditional Arabic" w:cs="Traditional Arabic" w:hint="cs"/>
          <w:b/>
          <w:bCs/>
          <w:sz w:val="30"/>
          <w:szCs w:val="30"/>
          <w:rtl/>
        </w:rPr>
        <w:t>ـ</w:t>
      </w:r>
      <w:r w:rsidRPr="00863822">
        <w:rPr>
          <w:rFonts w:ascii="Traditional Arabic" w:hAnsi="Traditional Arabic" w:cs="Traditional Arabic"/>
          <w:b/>
          <w:bCs/>
          <w:sz w:val="30"/>
          <w:szCs w:val="30"/>
          <w:rtl/>
        </w:rPr>
        <w:t xml:space="preserve">. </w:t>
      </w:r>
      <w:r w:rsidR="00D26C67" w:rsidRPr="00863822">
        <w:rPr>
          <w:rFonts w:ascii="Traditional Arabic" w:hAnsi="Traditional Arabic" w:cs="Traditional Arabic"/>
          <w:b/>
          <w:bCs/>
          <w:sz w:val="30"/>
          <w:szCs w:val="30"/>
          <w:rtl/>
        </w:rPr>
        <w:tab/>
      </w:r>
      <w:r w:rsidRPr="00863822">
        <w:rPr>
          <w:rFonts w:ascii="Traditional Arabic" w:hAnsi="Traditional Arabic" w:cs="Traditional Arabic"/>
          <w:b/>
          <w:bCs/>
          <w:sz w:val="30"/>
          <w:szCs w:val="30"/>
          <w:rtl/>
        </w:rPr>
        <w:t>حماية المصادر والضحايا والشهود</w:t>
      </w:r>
      <w:bookmarkEnd w:id="7"/>
    </w:p>
    <w:p w14:paraId="49F22641" w14:textId="0515E37E" w:rsidR="004A49E1" w:rsidRPr="00895CED" w:rsidRDefault="004A49E1"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tl/>
        </w:rPr>
      </w:pPr>
      <w:r w:rsidRPr="00895CED">
        <w:rPr>
          <w:rFonts w:ascii="Traditional Arabic" w:eastAsia="Calibri" w:hAnsi="Traditional Arabic" w:cs="Traditional Arabic"/>
          <w:sz w:val="30"/>
          <w:szCs w:val="30"/>
          <w:rtl/>
        </w:rPr>
        <w:t>قام فريق الخبراء وأمانته بجمع معلومات حول الوضع في اليمن من خلال جملة أمور من بينها إجراء مقابلات مع الضحايا، وعائلات الضحايا، واللاجئين، والنازحين، وممثلي المجتمع المحلي، والسلطات المحلية، وأعضاء المنظمات غير الحكومية، والمسؤولين الحكوميين ومسؤولي الأمم المتحدة</w:t>
      </w:r>
      <w:r w:rsidRPr="00895CED">
        <w:rPr>
          <w:rFonts w:ascii="Traditional Arabic" w:eastAsia="Calibri" w:hAnsi="Traditional Arabic" w:cs="Traditional Arabic"/>
          <w:sz w:val="30"/>
          <w:szCs w:val="30"/>
        </w:rPr>
        <w:t>.</w:t>
      </w:r>
    </w:p>
    <w:p w14:paraId="58BDBF60" w14:textId="2B2011A7" w:rsidR="003E51FE" w:rsidRPr="00895CED" w:rsidRDefault="003E51FE"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كأولوية، استخدم فريق الخبراء أفضل الممارسات في مجال تقصّي الحقائق الهادفة إلى ضمان سلامة وأمن الشهود والضحايا. وتحقيقًا لهذه الغاية، لا يتضمن هذا التقرير سوى المعلومات التي أعطت فيها المصادر موافقة مستنيرة وحيث لا يؤدي الإفصاح إلى أي تحديد للهوية أو إلى أي ضرر</w:t>
      </w:r>
      <w:r w:rsidRPr="00895CED">
        <w:rPr>
          <w:rFonts w:ascii="Traditional Arabic" w:eastAsia="Calibri" w:hAnsi="Traditional Arabic" w:cs="Traditional Arabic"/>
          <w:sz w:val="30"/>
          <w:szCs w:val="30"/>
        </w:rPr>
        <w:t>.</w:t>
      </w:r>
    </w:p>
    <w:p w14:paraId="5C5D9183" w14:textId="08520CD6"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eastAsia="Calibri" w:hAnsi="Traditional Arabic" w:cs="Traditional Arabic"/>
          <w:sz w:val="30"/>
          <w:szCs w:val="30"/>
        </w:rPr>
      </w:pPr>
      <w:r w:rsidRPr="00895CED">
        <w:rPr>
          <w:rFonts w:ascii="Traditional Arabic" w:eastAsia="Calibri" w:hAnsi="Traditional Arabic" w:cs="Traditional Arabic"/>
          <w:sz w:val="30"/>
          <w:szCs w:val="30"/>
          <w:rtl/>
        </w:rPr>
        <w:t>تقع المسؤولية الأساسية عن حماية الضحايا والشهود والأشخاص الآخرين المتعاونين مع فريق الخبراء على دول الإقامة والجنسية. يشكر فريق الخبراء الضحايا والشهود الذين تبادلوا تجاربهم</w:t>
      </w:r>
      <w:r w:rsidRPr="00895CED">
        <w:rPr>
          <w:rFonts w:ascii="Traditional Arabic" w:eastAsia="Calibri" w:hAnsi="Traditional Arabic" w:cs="Traditional Arabic"/>
          <w:sz w:val="30"/>
          <w:szCs w:val="30"/>
        </w:rPr>
        <w:t>.</w:t>
      </w:r>
    </w:p>
    <w:p w14:paraId="11426F0A" w14:textId="1A56E332" w:rsidR="006778CD" w:rsidRPr="002F6CE5" w:rsidRDefault="006778CD" w:rsidP="00361237">
      <w:pPr>
        <w:pStyle w:val="Footer"/>
        <w:numPr>
          <w:ilvl w:val="0"/>
          <w:numId w:val="3"/>
        </w:numPr>
        <w:tabs>
          <w:tab w:val="left" w:pos="720"/>
        </w:tabs>
        <w:bidi/>
        <w:ind w:left="1089" w:right="1089" w:firstLine="0"/>
        <w:jc w:val="both"/>
        <w:rPr>
          <w:sz w:val="24"/>
          <w:szCs w:val="24"/>
        </w:rPr>
      </w:pPr>
      <w:r w:rsidRPr="00895CED">
        <w:rPr>
          <w:rFonts w:ascii="Traditional Arabic" w:eastAsia="Calibri" w:hAnsi="Traditional Arabic" w:cs="Traditional Arabic"/>
          <w:sz w:val="30"/>
          <w:szCs w:val="30"/>
          <w:rtl/>
        </w:rPr>
        <w:t xml:space="preserve"> تمشيا مع سياسات الأمم المتحدة الحالية بشأن حساسية المعلومات وتصنيفها ومعالجتها، تم تصنيف المعلومات التي قدمها الشهود والمواد السرية الأخرى على أنها سرية للغاية</w:t>
      </w:r>
      <w:r w:rsidRPr="002F6CE5">
        <w:rPr>
          <w:sz w:val="24"/>
          <w:szCs w:val="24"/>
          <w:vertAlign w:val="superscript"/>
        </w:rPr>
        <w:footnoteReference w:id="5"/>
      </w:r>
      <w:r w:rsidRPr="002F6CE5">
        <w:rPr>
          <w:sz w:val="24"/>
          <w:szCs w:val="24"/>
        </w:rPr>
        <w:t>.</w:t>
      </w:r>
    </w:p>
    <w:p w14:paraId="2C0B9C47" w14:textId="77777777" w:rsidR="006778CD" w:rsidRPr="002F6CE5" w:rsidRDefault="006778CD" w:rsidP="00361237">
      <w:pPr>
        <w:pStyle w:val="Footer"/>
        <w:tabs>
          <w:tab w:val="left" w:pos="720"/>
        </w:tabs>
        <w:ind w:right="1089"/>
        <w:jc w:val="both"/>
        <w:rPr>
          <w:sz w:val="24"/>
          <w:szCs w:val="24"/>
          <w:lang w:val="de-AT"/>
        </w:rPr>
      </w:pPr>
    </w:p>
    <w:p w14:paraId="0FC9E70F" w14:textId="43308695" w:rsidR="006778CD" w:rsidRPr="00863822" w:rsidRDefault="006778CD" w:rsidP="00480E1D">
      <w:pPr>
        <w:pStyle w:val="Heading3"/>
        <w:bidi/>
        <w:spacing w:after="240"/>
        <w:ind w:left="1089" w:hanging="720"/>
        <w:rPr>
          <w:rFonts w:ascii="Traditional Arabic" w:hAnsi="Traditional Arabic" w:cs="Traditional Arabic"/>
          <w:b/>
          <w:bCs/>
          <w:sz w:val="30"/>
          <w:szCs w:val="30"/>
        </w:rPr>
      </w:pPr>
      <w:bookmarkStart w:id="8" w:name="_Toc18918093"/>
      <w:r w:rsidRPr="00863822">
        <w:rPr>
          <w:rFonts w:ascii="Traditional Arabic" w:hAnsi="Traditional Arabic" w:cs="Traditional Arabic"/>
          <w:b/>
          <w:bCs/>
          <w:sz w:val="30"/>
          <w:szCs w:val="30"/>
          <w:rtl/>
        </w:rPr>
        <w:t xml:space="preserve">د. </w:t>
      </w:r>
      <w:r w:rsidR="00361237">
        <w:rPr>
          <w:rFonts w:ascii="Traditional Arabic" w:hAnsi="Traditional Arabic" w:cs="Traditional Arabic"/>
          <w:b/>
          <w:bCs/>
          <w:sz w:val="30"/>
          <w:szCs w:val="30"/>
        </w:rPr>
        <w:tab/>
      </w:r>
      <w:r w:rsidRPr="00863822">
        <w:rPr>
          <w:rFonts w:ascii="Traditional Arabic" w:hAnsi="Traditional Arabic" w:cs="Traditional Arabic"/>
          <w:b/>
          <w:bCs/>
          <w:sz w:val="30"/>
          <w:szCs w:val="30"/>
          <w:rtl/>
        </w:rPr>
        <w:t>مصادر الأدلة وطرق إجراء المقابلات و</w:t>
      </w:r>
      <w:r w:rsidR="003E51FE" w:rsidRPr="00863822">
        <w:rPr>
          <w:rFonts w:ascii="Traditional Arabic" w:hAnsi="Traditional Arabic" w:cs="Traditional Arabic" w:hint="eastAsia"/>
          <w:b/>
          <w:bCs/>
          <w:sz w:val="30"/>
          <w:szCs w:val="30"/>
          <w:rtl/>
        </w:rPr>
        <w:t>ال</w:t>
      </w:r>
      <w:r w:rsidRPr="00863822">
        <w:rPr>
          <w:rFonts w:ascii="Traditional Arabic" w:hAnsi="Traditional Arabic" w:cs="Traditional Arabic"/>
          <w:b/>
          <w:bCs/>
          <w:sz w:val="30"/>
          <w:szCs w:val="30"/>
          <w:rtl/>
        </w:rPr>
        <w:t>قيود</w:t>
      </w:r>
      <w:r w:rsidR="003E51FE" w:rsidRPr="00863822">
        <w:rPr>
          <w:rFonts w:ascii="Traditional Arabic" w:hAnsi="Traditional Arabic" w:cs="Traditional Arabic"/>
          <w:b/>
          <w:bCs/>
          <w:sz w:val="30"/>
          <w:szCs w:val="30"/>
          <w:rtl/>
        </w:rPr>
        <w:t xml:space="preserve"> ذات الصلة ب</w:t>
      </w:r>
      <w:r w:rsidRPr="00863822">
        <w:rPr>
          <w:rFonts w:ascii="Traditional Arabic" w:hAnsi="Traditional Arabic" w:cs="Traditional Arabic"/>
          <w:b/>
          <w:bCs/>
          <w:sz w:val="30"/>
          <w:szCs w:val="30"/>
          <w:rtl/>
        </w:rPr>
        <w:t>الوصول</w:t>
      </w:r>
      <w:bookmarkEnd w:id="8"/>
    </w:p>
    <w:p w14:paraId="4FB1E904" w14:textId="16606B9A" w:rsidR="006778CD" w:rsidRPr="00895CED" w:rsidRDefault="006778C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 xml:space="preserve">طرق جمع الأدلة </w:t>
      </w:r>
      <w:r w:rsidR="003E51FE" w:rsidRPr="00895CED">
        <w:rPr>
          <w:rFonts w:ascii="Traditional Arabic" w:hAnsi="Traditional Arabic" w:cs="Traditional Arabic"/>
          <w:b/>
          <w:bCs/>
          <w:sz w:val="30"/>
          <w:szCs w:val="30"/>
          <w:rtl/>
        </w:rPr>
        <w:t>وال</w:t>
      </w:r>
      <w:r w:rsidRPr="00895CED">
        <w:rPr>
          <w:rFonts w:ascii="Traditional Arabic" w:hAnsi="Traditional Arabic" w:cs="Traditional Arabic"/>
          <w:b/>
          <w:bCs/>
          <w:sz w:val="30"/>
          <w:szCs w:val="30"/>
          <w:rtl/>
        </w:rPr>
        <w:t>قيود</w:t>
      </w:r>
      <w:r w:rsidR="003E51FE" w:rsidRPr="00895CED">
        <w:rPr>
          <w:rFonts w:ascii="Traditional Arabic" w:hAnsi="Traditional Arabic" w:cs="Traditional Arabic"/>
          <w:b/>
          <w:bCs/>
          <w:sz w:val="30"/>
          <w:szCs w:val="30"/>
          <w:rtl/>
        </w:rPr>
        <w:t xml:space="preserve"> ذات الصلة ب</w:t>
      </w:r>
      <w:r w:rsidRPr="00895CED">
        <w:rPr>
          <w:rFonts w:ascii="Traditional Arabic" w:hAnsi="Traditional Arabic" w:cs="Traditional Arabic"/>
          <w:b/>
          <w:bCs/>
          <w:sz w:val="30"/>
          <w:szCs w:val="30"/>
          <w:rtl/>
        </w:rPr>
        <w:t>الوصول</w:t>
      </w:r>
    </w:p>
    <w:p w14:paraId="2C44392A" w14:textId="6D80AAF3" w:rsidR="003E51FE" w:rsidRPr="00895CED" w:rsidRDefault="003E51F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استعرض </w:t>
      </w:r>
      <w:r w:rsidR="006778CD" w:rsidRPr="00895CED">
        <w:rPr>
          <w:rFonts w:ascii="Traditional Arabic" w:hAnsi="Traditional Arabic" w:cs="Traditional Arabic"/>
          <w:sz w:val="30"/>
          <w:szCs w:val="30"/>
          <w:rtl/>
        </w:rPr>
        <w:t>فريق الخبراء كمية كبيرة من المعلومات ذات المصدر الأولي والثانوي، وأجرى أكثر من</w:t>
      </w:r>
      <w:r w:rsidRPr="00895CED">
        <w:rPr>
          <w:rFonts w:ascii="Traditional Arabic" w:hAnsi="Traditional Arabic" w:cs="Traditional Arabic"/>
          <w:sz w:val="30"/>
          <w:szCs w:val="30"/>
          <w:rtl/>
        </w:rPr>
        <w:t xml:space="preserve"> ستمائة </w:t>
      </w:r>
      <w:r w:rsidR="006778CD" w:rsidRPr="00895CED">
        <w:rPr>
          <w:rFonts w:ascii="Traditional Arabic" w:hAnsi="Traditional Arabic" w:cs="Traditional Arabic"/>
          <w:sz w:val="30"/>
          <w:szCs w:val="30"/>
          <w:rtl/>
        </w:rPr>
        <w:t>مقابلة مع ضحايا وشهود</w:t>
      </w:r>
      <w:r w:rsidRPr="00895CED">
        <w:rPr>
          <w:rFonts w:ascii="Traditional Arabic" w:hAnsi="Traditional Arabic" w:cs="Traditional Arabic"/>
          <w:sz w:val="30"/>
          <w:szCs w:val="30"/>
          <w:rtl/>
        </w:rPr>
        <w:t xml:space="preserve"> خلال فترة التحقيق بعد تمديد ولايته في أيلول/سبتمبر.</w:t>
      </w:r>
      <w:r w:rsidR="006778CD" w:rsidRPr="00895CED">
        <w:rPr>
          <w:rFonts w:ascii="Traditional Arabic" w:hAnsi="Traditional Arabic" w:cs="Traditional Arabic"/>
          <w:sz w:val="30"/>
          <w:szCs w:val="30"/>
          <w:rtl/>
        </w:rPr>
        <w:t xml:space="preserve"> وحرص فريق الخبراء </w:t>
      </w:r>
      <w:r w:rsidRPr="00895CED">
        <w:rPr>
          <w:rFonts w:ascii="Traditional Arabic" w:hAnsi="Traditional Arabic" w:cs="Traditional Arabic"/>
          <w:sz w:val="30"/>
          <w:szCs w:val="30"/>
          <w:rtl/>
        </w:rPr>
        <w:t xml:space="preserve">قدر المستطاع </w:t>
      </w:r>
      <w:r w:rsidR="006778CD" w:rsidRPr="00895CED">
        <w:rPr>
          <w:rFonts w:ascii="Traditional Arabic" w:hAnsi="Traditional Arabic" w:cs="Traditional Arabic"/>
          <w:sz w:val="30"/>
          <w:szCs w:val="30"/>
          <w:rtl/>
        </w:rPr>
        <w:t xml:space="preserve">على أن تشمل المقابلات </w:t>
      </w:r>
      <w:r w:rsidRPr="00895CED">
        <w:rPr>
          <w:rFonts w:ascii="Traditional Arabic" w:hAnsi="Traditional Arabic" w:cs="Traditional Arabic"/>
          <w:sz w:val="30"/>
          <w:szCs w:val="30"/>
          <w:rtl/>
        </w:rPr>
        <w:t>المنظور الجنساني و</w:t>
      </w:r>
      <w:r w:rsidR="006778CD" w:rsidRPr="00895CED">
        <w:rPr>
          <w:rFonts w:ascii="Traditional Arabic" w:hAnsi="Traditional Arabic" w:cs="Traditional Arabic"/>
          <w:sz w:val="30"/>
          <w:szCs w:val="30"/>
          <w:rtl/>
        </w:rPr>
        <w:t xml:space="preserve">مجموعة واسعة من الأشخاص </w:t>
      </w:r>
      <w:r w:rsidRPr="00895CED">
        <w:rPr>
          <w:rFonts w:ascii="Traditional Arabic" w:hAnsi="Traditional Arabic" w:cs="Traditional Arabic"/>
          <w:sz w:val="30"/>
          <w:szCs w:val="30"/>
          <w:rtl/>
        </w:rPr>
        <w:t>من مختلف الانتماءات على الصعيد</w:t>
      </w:r>
      <w:r w:rsidR="006778CD" w:rsidRPr="00895CED">
        <w:rPr>
          <w:rFonts w:ascii="Traditional Arabic" w:hAnsi="Traditional Arabic" w:cs="Traditional Arabic"/>
          <w:sz w:val="30"/>
          <w:szCs w:val="30"/>
          <w:rtl/>
        </w:rPr>
        <w:t xml:space="preserve"> العرقي والديني والسياسي والجغرافي، وذلك بشكل عام وعلى ضوء حادث أو نمط سلوكي معيّن قيد المراجعة</w:t>
      </w:r>
      <w:r w:rsidRPr="00895CED">
        <w:rPr>
          <w:rFonts w:ascii="Traditional Arabic" w:hAnsi="Traditional Arabic" w:cs="Traditional Arabic"/>
          <w:sz w:val="30"/>
          <w:szCs w:val="30"/>
          <w:rtl/>
        </w:rPr>
        <w:t>. و</w:t>
      </w:r>
      <w:r w:rsidR="006778CD" w:rsidRPr="00895CED">
        <w:rPr>
          <w:rFonts w:ascii="Traditional Arabic" w:hAnsi="Traditional Arabic" w:cs="Traditional Arabic"/>
          <w:sz w:val="30"/>
          <w:szCs w:val="30"/>
          <w:rtl/>
        </w:rPr>
        <w:t>تمّ إجراء المقابلات شخصيًا كلما كان ذلك ممكنًا، في بيئة آمنة وخاصة وبحضور مترجم موثوق به ومحترف عند الاقتضاء. وأجريت مقابلات أخرى عن بعد، من خلال قنوات اتصال آمنة ومع اتخاذ احتياطات إضافية لضمان موثوقية وسلامة الشخص المستجوب</w:t>
      </w:r>
      <w:r w:rsidR="006778CD" w:rsidRPr="00895CED">
        <w:rPr>
          <w:rFonts w:ascii="Traditional Arabic" w:hAnsi="Traditional Arabic" w:cs="Traditional Arabic"/>
          <w:sz w:val="30"/>
          <w:szCs w:val="30"/>
        </w:rPr>
        <w:t>.</w:t>
      </w:r>
    </w:p>
    <w:p w14:paraId="4E40EA1A" w14:textId="3B5B2601"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Pr>
        <w:lastRenderedPageBreak/>
        <w:t xml:space="preserve"> </w:t>
      </w:r>
      <w:r w:rsidRPr="00895CED">
        <w:rPr>
          <w:rFonts w:ascii="Traditional Arabic" w:hAnsi="Traditional Arabic" w:cs="Traditional Arabic"/>
          <w:sz w:val="30"/>
          <w:szCs w:val="30"/>
          <w:rtl/>
        </w:rPr>
        <w:t xml:space="preserve">تستند النتائج الواردة في هذا التقرير إلى التحقيقات المستقلة التي أجراها فريق الخبراء. </w:t>
      </w:r>
      <w:r w:rsidR="00CC1CE1" w:rsidRPr="00895CED">
        <w:rPr>
          <w:rFonts w:ascii="Traditional Arabic" w:hAnsi="Traditional Arabic" w:cs="Traditional Arabic"/>
          <w:sz w:val="30"/>
          <w:szCs w:val="30"/>
          <w:rtl/>
        </w:rPr>
        <w:t xml:space="preserve">كلما </w:t>
      </w:r>
      <w:r w:rsidR="003E51FE" w:rsidRPr="00895CED">
        <w:rPr>
          <w:rFonts w:ascii="Traditional Arabic" w:hAnsi="Traditional Arabic" w:cs="Traditional Arabic"/>
          <w:sz w:val="30"/>
          <w:szCs w:val="30"/>
          <w:rtl/>
        </w:rPr>
        <w:t xml:space="preserve">كان </w:t>
      </w:r>
      <w:r w:rsidRPr="00895CED">
        <w:rPr>
          <w:rFonts w:ascii="Traditional Arabic" w:hAnsi="Traditional Arabic" w:cs="Traditional Arabic"/>
          <w:sz w:val="30"/>
          <w:szCs w:val="30"/>
          <w:rtl/>
        </w:rPr>
        <w:t xml:space="preserve">ذلك متاحًا ومناسبًا، </w:t>
      </w:r>
      <w:r w:rsidR="00AC3DAD" w:rsidRPr="00895CED">
        <w:rPr>
          <w:rFonts w:ascii="Traditional Arabic" w:hAnsi="Traditional Arabic" w:cs="Traditional Arabic"/>
          <w:sz w:val="30"/>
          <w:szCs w:val="30"/>
          <w:rtl/>
        </w:rPr>
        <w:t xml:space="preserve">نظر الفريق في </w:t>
      </w:r>
      <w:r w:rsidRPr="00895CED">
        <w:rPr>
          <w:rFonts w:ascii="Traditional Arabic" w:hAnsi="Traditional Arabic" w:cs="Traditional Arabic"/>
          <w:sz w:val="30"/>
          <w:szCs w:val="30"/>
          <w:rtl/>
        </w:rPr>
        <w:t xml:space="preserve">معلومات </w:t>
      </w:r>
      <w:r w:rsidR="00AC3DAD" w:rsidRPr="00895CED">
        <w:rPr>
          <w:rFonts w:ascii="Traditional Arabic" w:hAnsi="Traditional Arabic" w:cs="Traditional Arabic"/>
          <w:sz w:val="30"/>
          <w:szCs w:val="30"/>
          <w:rtl/>
        </w:rPr>
        <w:t xml:space="preserve">آتية </w:t>
      </w:r>
      <w:r w:rsidRPr="00895CED">
        <w:rPr>
          <w:rFonts w:ascii="Traditional Arabic" w:hAnsi="Traditional Arabic" w:cs="Traditional Arabic"/>
          <w:sz w:val="30"/>
          <w:szCs w:val="30"/>
          <w:rtl/>
        </w:rPr>
        <w:t xml:space="preserve">من مصادر أخرى </w:t>
      </w:r>
      <w:r w:rsidR="00AC3DAD" w:rsidRPr="00895CED">
        <w:rPr>
          <w:rFonts w:ascii="Traditional Arabic" w:hAnsi="Traditional Arabic" w:cs="Traditional Arabic"/>
          <w:sz w:val="30"/>
          <w:szCs w:val="30"/>
          <w:rtl/>
        </w:rPr>
        <w:t xml:space="preserve">وذلك </w:t>
      </w:r>
      <w:r w:rsidRPr="00895CED">
        <w:rPr>
          <w:rFonts w:ascii="Traditional Arabic" w:hAnsi="Traditional Arabic" w:cs="Traditional Arabic"/>
          <w:sz w:val="30"/>
          <w:szCs w:val="30"/>
          <w:rtl/>
        </w:rPr>
        <w:t>كجزء من عملية مراجعة الأدلة الداعمة أو المبررة ذات الصلة. وتوصل فريق الخبراء إلى استنتاجات مستقلة بشأن</w:t>
      </w:r>
      <w:r w:rsidR="00AC3DAD"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المحتوى، سواء بالنسبة للحوادث الفردية أو حيثما كان ذلك مفيدًا لأغراض تحديد ما إذا كان هذا السلوك جزءًا من نمط ما. في جميع الحالات التي فحص فيها الفريق المعلومات الخارجية المتعلقة بحوادث وأنماط السلوك، توص</w:t>
      </w:r>
      <w:r w:rsidR="00AC3DAD"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ل إلى استنتاجات مستقلة</w:t>
      </w:r>
      <w:r w:rsidR="00AC3DAD" w:rsidRPr="00895CED">
        <w:rPr>
          <w:rFonts w:ascii="Traditional Arabic" w:hAnsi="Traditional Arabic" w:cs="Traditional Arabic"/>
          <w:sz w:val="30"/>
          <w:szCs w:val="30"/>
          <w:rtl/>
        </w:rPr>
        <w:t xml:space="preserve"> خاصة به</w:t>
      </w:r>
      <w:r w:rsidRPr="00895CED">
        <w:rPr>
          <w:rFonts w:ascii="Traditional Arabic" w:hAnsi="Traditional Arabic" w:cs="Traditional Arabic"/>
          <w:sz w:val="30"/>
          <w:szCs w:val="30"/>
          <w:rtl/>
        </w:rPr>
        <w:t xml:space="preserve"> بعد تقييم موثوقية المعلومات و</w:t>
      </w:r>
      <w:r w:rsidR="0035199B">
        <w:rPr>
          <w:rFonts w:ascii="Traditional Arabic" w:hAnsi="Traditional Arabic" w:cs="Traditional Arabic" w:hint="cs"/>
          <w:sz w:val="30"/>
          <w:szCs w:val="30"/>
          <w:rtl/>
        </w:rPr>
        <w:t>ال</w:t>
      </w:r>
      <w:r w:rsidR="0035199B">
        <w:rPr>
          <w:rFonts w:ascii="Traditional Arabic" w:hAnsi="Traditional Arabic" w:cs="Traditional Arabic"/>
          <w:sz w:val="30"/>
          <w:szCs w:val="30"/>
          <w:rtl/>
        </w:rPr>
        <w:t xml:space="preserve">مصداقية </w:t>
      </w:r>
      <w:r w:rsidR="0035199B">
        <w:rPr>
          <w:rFonts w:ascii="Traditional Arabic" w:hAnsi="Traditional Arabic" w:cs="Traditional Arabic" w:hint="cs"/>
          <w:sz w:val="30"/>
          <w:szCs w:val="30"/>
          <w:rtl/>
        </w:rPr>
        <w:t>ل</w:t>
      </w:r>
      <w:r w:rsidRPr="00895CED">
        <w:rPr>
          <w:rFonts w:ascii="Traditional Arabic" w:hAnsi="Traditional Arabic" w:cs="Traditional Arabic"/>
          <w:sz w:val="30"/>
          <w:szCs w:val="30"/>
          <w:rtl/>
        </w:rPr>
        <w:t>لمصادر التي جاءت منها</w:t>
      </w:r>
      <w:r w:rsidRPr="00895CED">
        <w:rPr>
          <w:rFonts w:ascii="Traditional Arabic" w:hAnsi="Traditional Arabic" w:cs="Traditional Arabic"/>
          <w:sz w:val="30"/>
          <w:szCs w:val="30"/>
        </w:rPr>
        <w:t>.</w:t>
      </w:r>
    </w:p>
    <w:p w14:paraId="51100AC3" w14:textId="60B72EEA"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عام 2018، عندما مُنح فريق الخبراء وأعضاء الأمانة حق الوصول إلى اليمن، تمت زيارة عدن وصنعاء وصعدة والحديدة. كما جرت زيارات في عام 2018 إلى جيبوتي والمملكة الأردنية الهاشمية والمملكة العربية السعودية وسويسرا</w:t>
      </w:r>
      <w:r w:rsidRPr="00895CED">
        <w:rPr>
          <w:rFonts w:ascii="Traditional Arabic" w:hAnsi="Traditional Arabic" w:cs="Traditional Arabic"/>
          <w:sz w:val="30"/>
          <w:szCs w:val="30"/>
        </w:rPr>
        <w:t>.</w:t>
      </w:r>
    </w:p>
    <w:p w14:paraId="3ABE7726" w14:textId="5EA3C8B8"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من خلال الزيارات إلى اليمن والبلدان التي استضافت</w:t>
      </w:r>
      <w:r w:rsidR="00AC3DAD" w:rsidRPr="00895CED">
        <w:rPr>
          <w:rFonts w:ascii="Traditional Arabic" w:hAnsi="Traditional Arabic" w:cs="Traditional Arabic"/>
          <w:sz w:val="30"/>
          <w:szCs w:val="30"/>
          <w:rtl/>
        </w:rPr>
        <w:t xml:space="preserve"> نازحين</w:t>
      </w:r>
      <w:r w:rsidRPr="00895CED">
        <w:rPr>
          <w:rFonts w:ascii="Traditional Arabic" w:hAnsi="Traditional Arabic" w:cs="Traditional Arabic"/>
          <w:sz w:val="30"/>
          <w:szCs w:val="30"/>
          <w:rtl/>
        </w:rPr>
        <w:t xml:space="preserve"> يمنيين في عام 2018، أجرى فريق الخبراء وأمانته مقابلات شخصية مع الضحايا والشهود وغيرهم ممن لديهم معلومات مباشرة عن الحوادث والأنماط السلوكية التي شهدها اليمن منذ أيلول/ سبتمبر 2014. كما استكمل فريق الخبراء المقابلات الشخصية بالمقابلات عن بعد.. وعلى الرغم من أن فريق الخبراء والأمانة واجها قيودًا أمنية ولوجستية وإدارية كبيرة في ترتيب بعض الزيارات المخطط لها لليمن في عام 2018 ، ولم يتمكنا في النهاية من زيارة جميع المحافظات المتضررة (لا سيما تعز)، وفّرت الزيارات إلى اليمن والبلدان المجاورة أدلة مباشرة وثانوية كافية ذات صلة بولاية فريق الخبراء</w:t>
      </w:r>
      <w:r w:rsidRPr="00895CED">
        <w:rPr>
          <w:rFonts w:ascii="Traditional Arabic" w:hAnsi="Traditional Arabic" w:cs="Traditional Arabic"/>
          <w:sz w:val="30"/>
          <w:szCs w:val="30"/>
        </w:rPr>
        <w:t>.</w:t>
      </w:r>
    </w:p>
    <w:p w14:paraId="2B463E5E" w14:textId="222F0AA1" w:rsidR="00496DA7"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للأسف، واجه فريق الخبراء قيودًا كبيرة أعاقت عمله عقب صدور تقريره الأول في آب/ أغسطس 2018، إذ لم يُمنح الخبراء وأعضاء الأمانة تأشيرات من جانب الحكومة اليمنية أو المملكة العربية السعودية</w:t>
      </w:r>
      <w:r w:rsidR="00B42880"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على الرغم من </w:t>
      </w:r>
      <w:r w:rsidR="00B42880" w:rsidRPr="00895CED">
        <w:rPr>
          <w:rFonts w:ascii="Traditional Arabic" w:hAnsi="Traditional Arabic" w:cs="Traditional Arabic"/>
          <w:sz w:val="30"/>
          <w:szCs w:val="30"/>
          <w:rtl/>
        </w:rPr>
        <w:t>هذه ا</w:t>
      </w:r>
      <w:r w:rsidRPr="00895CED">
        <w:rPr>
          <w:rFonts w:ascii="Traditional Arabic" w:hAnsi="Traditional Arabic" w:cs="Traditional Arabic"/>
          <w:sz w:val="30"/>
          <w:szCs w:val="30"/>
          <w:rtl/>
        </w:rPr>
        <w:t>لقيود</w:t>
      </w:r>
      <w:r w:rsidR="00B42880" w:rsidRPr="00895CED">
        <w:rPr>
          <w:rFonts w:ascii="Traditional Arabic" w:hAnsi="Traditional Arabic" w:cs="Traditional Arabic"/>
          <w:sz w:val="30"/>
          <w:szCs w:val="30"/>
          <w:rtl/>
        </w:rPr>
        <w:t xml:space="preserve">، قام </w:t>
      </w:r>
      <w:r w:rsidRPr="00895CED">
        <w:rPr>
          <w:rFonts w:ascii="Traditional Arabic" w:hAnsi="Traditional Arabic" w:cs="Traditional Arabic"/>
          <w:sz w:val="30"/>
          <w:szCs w:val="30"/>
          <w:rtl/>
        </w:rPr>
        <w:t xml:space="preserve">فريق الخبراء في عام 2019 </w:t>
      </w:r>
      <w:r w:rsidR="00B42880" w:rsidRPr="00895CED">
        <w:rPr>
          <w:rFonts w:ascii="Traditional Arabic" w:hAnsi="Traditional Arabic" w:cs="Traditional Arabic"/>
          <w:sz w:val="30"/>
          <w:szCs w:val="30"/>
          <w:rtl/>
        </w:rPr>
        <w:t>ب</w:t>
      </w:r>
      <w:r w:rsidRPr="00895CED">
        <w:rPr>
          <w:rFonts w:ascii="Traditional Arabic" w:hAnsi="Traditional Arabic" w:cs="Traditional Arabic"/>
          <w:sz w:val="30"/>
          <w:szCs w:val="30"/>
          <w:rtl/>
        </w:rPr>
        <w:t xml:space="preserve">زيارات إلى </w:t>
      </w:r>
      <w:r w:rsidR="00B42880" w:rsidRPr="00895CED">
        <w:rPr>
          <w:rFonts w:ascii="Traditional Arabic" w:hAnsi="Traditional Arabic" w:cs="Traditional Arabic"/>
          <w:sz w:val="30"/>
          <w:szCs w:val="30"/>
          <w:rtl/>
        </w:rPr>
        <w:t xml:space="preserve">دول أخرى لمقابلة نازحين يمنيين. </w:t>
      </w:r>
      <w:r w:rsidRPr="00895CED">
        <w:rPr>
          <w:rFonts w:ascii="Traditional Arabic" w:hAnsi="Traditional Arabic" w:cs="Traditional Arabic"/>
          <w:sz w:val="30"/>
          <w:szCs w:val="30"/>
          <w:rtl/>
        </w:rPr>
        <w:t xml:space="preserve">اتّبع فريق الخبراء أفضل الممارسات </w:t>
      </w:r>
      <w:r w:rsidR="00496DA7" w:rsidRPr="00895CED">
        <w:rPr>
          <w:rFonts w:ascii="Traditional Arabic" w:hAnsi="Traditional Arabic" w:cs="Traditional Arabic"/>
          <w:sz w:val="30"/>
          <w:szCs w:val="30"/>
          <w:rtl/>
        </w:rPr>
        <w:t xml:space="preserve">التي تتطوّر </w:t>
      </w:r>
      <w:r w:rsidRPr="00895CED">
        <w:rPr>
          <w:rFonts w:ascii="Traditional Arabic" w:hAnsi="Traditional Arabic" w:cs="Traditional Arabic"/>
          <w:sz w:val="30"/>
          <w:szCs w:val="30"/>
          <w:rtl/>
        </w:rPr>
        <w:t xml:space="preserve">باستمرار </w:t>
      </w:r>
      <w:r w:rsidR="00496DA7" w:rsidRPr="00895CED">
        <w:rPr>
          <w:rFonts w:ascii="Traditional Arabic" w:hAnsi="Traditional Arabic" w:cs="Traditional Arabic"/>
          <w:sz w:val="30"/>
          <w:szCs w:val="30"/>
          <w:rtl/>
        </w:rPr>
        <w:t xml:space="preserve">والتي تعلّمها </w:t>
      </w:r>
      <w:r w:rsidRPr="00895CED">
        <w:rPr>
          <w:rFonts w:ascii="Traditional Arabic" w:hAnsi="Traditional Arabic" w:cs="Traditional Arabic"/>
          <w:sz w:val="30"/>
          <w:szCs w:val="30"/>
          <w:rtl/>
        </w:rPr>
        <w:t xml:space="preserve">من هيئات تقصي الحقائق </w:t>
      </w:r>
      <w:r w:rsidR="0035199B">
        <w:rPr>
          <w:rFonts w:ascii="Traditional Arabic" w:hAnsi="Traditional Arabic" w:cs="Traditional Arabic" w:hint="cs"/>
          <w:sz w:val="30"/>
          <w:szCs w:val="30"/>
          <w:rtl/>
        </w:rPr>
        <w:t xml:space="preserve">الاخرى </w:t>
      </w:r>
      <w:r w:rsidRPr="00895CED">
        <w:rPr>
          <w:rFonts w:ascii="Traditional Arabic" w:hAnsi="Traditional Arabic" w:cs="Traditional Arabic"/>
          <w:sz w:val="30"/>
          <w:szCs w:val="30"/>
          <w:rtl/>
        </w:rPr>
        <w:t>التي تواجه قيوداً في الوصول، و</w:t>
      </w:r>
      <w:r w:rsidR="00496DA7" w:rsidRPr="00895CED">
        <w:rPr>
          <w:rFonts w:ascii="Traditional Arabic" w:hAnsi="Traditional Arabic" w:cs="Traditional Arabic"/>
          <w:sz w:val="30"/>
          <w:szCs w:val="30"/>
          <w:rtl/>
        </w:rPr>
        <w:t xml:space="preserve">نجح في </w:t>
      </w:r>
      <w:r w:rsidRPr="00895CED">
        <w:rPr>
          <w:rFonts w:ascii="Traditional Arabic" w:hAnsi="Traditional Arabic" w:cs="Traditional Arabic"/>
          <w:sz w:val="30"/>
          <w:szCs w:val="30"/>
          <w:rtl/>
        </w:rPr>
        <w:t xml:space="preserve">جمع مجموعة من الأدلة الموثوقة وذات المصداقية التي استندت إليها </w:t>
      </w:r>
      <w:r w:rsidR="00496DA7" w:rsidRPr="00895CED">
        <w:rPr>
          <w:rFonts w:ascii="Traditional Arabic" w:hAnsi="Traditional Arabic" w:cs="Traditional Arabic"/>
          <w:sz w:val="30"/>
          <w:szCs w:val="30"/>
          <w:rtl/>
        </w:rPr>
        <w:t xml:space="preserve">في </w:t>
      </w:r>
      <w:r w:rsidRPr="00895CED">
        <w:rPr>
          <w:rFonts w:ascii="Traditional Arabic" w:hAnsi="Traditional Arabic" w:cs="Traditional Arabic"/>
          <w:sz w:val="30"/>
          <w:szCs w:val="30"/>
          <w:rtl/>
        </w:rPr>
        <w:t>استنتاجات</w:t>
      </w:r>
      <w:r w:rsidR="00496DA7" w:rsidRPr="00895CED">
        <w:rPr>
          <w:rFonts w:ascii="Traditional Arabic" w:hAnsi="Traditional Arabic" w:cs="Traditional Arabic"/>
          <w:sz w:val="30"/>
          <w:szCs w:val="30"/>
          <w:rtl/>
        </w:rPr>
        <w:t>ه</w:t>
      </w:r>
      <w:r w:rsidRPr="00895CED">
        <w:rPr>
          <w:rFonts w:ascii="Traditional Arabic" w:hAnsi="Traditional Arabic" w:cs="Traditional Arabic"/>
          <w:sz w:val="30"/>
          <w:szCs w:val="30"/>
          <w:rtl/>
        </w:rPr>
        <w:t xml:space="preserve">. على سبيل المثال، أجرى فريق الخبراء مقابلات شخصية خارج اليمن مع ضحايا وشهود وغيرهم ممن لديهم معلومات مباشرة عن الحوادث قيد التحقيق. كما استكمل فريق الخبراء المقابلات الشخصية بالمقابلات عن بعد. </w:t>
      </w:r>
    </w:p>
    <w:p w14:paraId="17B2563C" w14:textId="13E555B1" w:rsidR="006778CD" w:rsidRPr="00895CED" w:rsidRDefault="00496D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استعرض فريق الخبراء صور الأقمار الصناعية وحصل على تحليل خبير من يونوسات</w:t>
      </w:r>
      <w:r w:rsidRPr="00895CED">
        <w:rPr>
          <w:rFonts w:ascii="Traditional Arabic" w:hAnsi="Traditional Arabic" w:cs="Traditional Arabic"/>
          <w:sz w:val="30"/>
          <w:szCs w:val="30"/>
          <w:vertAlign w:val="superscript"/>
        </w:rPr>
        <w:footnoteReference w:id="6"/>
      </w:r>
      <w:r w:rsidRPr="00895CED">
        <w:rPr>
          <w:rFonts w:ascii="Traditional Arabic" w:hAnsi="Traditional Arabic" w:cs="Traditional Arabic"/>
          <w:sz w:val="30"/>
          <w:szCs w:val="30"/>
          <w:rtl/>
        </w:rPr>
        <w:t xml:space="preserve"> التي استكملت استعراضها الداخلي للصور. واستعرض فريق الخبراء الوثائق، والصور، ومقاطع الفيديو، بما في ذلك تسجيلات أدلى بها شهود على حدث ووثائق قضائية، بما في ذلك ملفات الادعاء، تضمنت شهادات مفصّلة واستجواب المحتجزين. تم التوصّل الى النتائج باستخدام فقط المواد التي تمكّن فريق الخبراء من المصادقة عليها. وقام فريق الخبراء أيضًا بجمع واستعراض </w:t>
      </w:r>
      <w:r w:rsidRPr="00895CED">
        <w:rPr>
          <w:rFonts w:ascii="Traditional Arabic" w:hAnsi="Traditional Arabic" w:cs="Traditional Arabic"/>
          <w:sz w:val="30"/>
          <w:szCs w:val="30"/>
          <w:rtl/>
        </w:rPr>
        <w:lastRenderedPageBreak/>
        <w:t xml:space="preserve">وتحليل المعلومات المستقاة من مجموعة متنوعة من المصادر المفتوحة. ومن الأمثلة عن هذه المصادر وسائل التواصل الاجتماعي، والأخبار، ووسائل الإعلام، والصور الجغرافية والمنتديات. وقد خدم تحليل المعلومات المستقاة من هذه المصادر في تحقيق غرضين. أولاً، المعلومات المستقاة من المصادر المفتوحة استُخدمت في بعض الأحيان كمصدر أولي للمعلومات المتعلقة بحوادث أو أحداث محددة، ووفّرت أساسًا لمزيد من التحقيقات التي سعى خلالها الفريق للتحقق من وجود أدلة كافية تدعمها. </w:t>
      </w:r>
      <w:r w:rsidR="006778CD" w:rsidRPr="00895CED">
        <w:rPr>
          <w:rFonts w:ascii="Traditional Arabic" w:hAnsi="Traditional Arabic" w:cs="Traditional Arabic"/>
          <w:sz w:val="30"/>
          <w:szCs w:val="30"/>
          <w:rtl/>
        </w:rPr>
        <w:t xml:space="preserve">ثانياً، المعلومات المستمدة من المصادر المفتوحة استُخدمت في بعض الأحيان للتأكيد والتحقق من المعلومات المقدمة إلى فريق الخبراء من خلال </w:t>
      </w:r>
      <w:r w:rsidR="0035199B">
        <w:rPr>
          <w:rFonts w:ascii="Traditional Arabic" w:hAnsi="Traditional Arabic" w:cs="Traditional Arabic" w:hint="cs"/>
          <w:sz w:val="30"/>
          <w:szCs w:val="30"/>
          <w:rtl/>
        </w:rPr>
        <w:t>ال</w:t>
      </w:r>
      <w:r w:rsidR="006778CD" w:rsidRPr="00895CED">
        <w:rPr>
          <w:rFonts w:ascii="Traditional Arabic" w:hAnsi="Traditional Arabic" w:cs="Traditional Arabic"/>
          <w:sz w:val="30"/>
          <w:szCs w:val="30"/>
          <w:rtl/>
        </w:rPr>
        <w:t>ممارسات التحقيق</w:t>
      </w:r>
      <w:r w:rsidR="0035199B">
        <w:rPr>
          <w:rFonts w:ascii="Traditional Arabic" w:hAnsi="Traditional Arabic" w:cs="Traditional Arabic" w:hint="cs"/>
          <w:sz w:val="30"/>
          <w:szCs w:val="30"/>
          <w:rtl/>
        </w:rPr>
        <w:t>ية</w:t>
      </w:r>
      <w:r w:rsidR="006778CD" w:rsidRPr="00895CED">
        <w:rPr>
          <w:rFonts w:ascii="Traditional Arabic" w:hAnsi="Traditional Arabic" w:cs="Traditional Arabic"/>
          <w:sz w:val="30"/>
          <w:szCs w:val="30"/>
          <w:rtl/>
        </w:rPr>
        <w:t xml:space="preserve"> التقليدية في مجال حقوق الإنسان، مثل المقابلات مع الشهود والضحايا والخبراء. في جميع حالات مراجعة مواد المصادر المفتوحة، تمّ إثبات صحة المحتوى ودقته ومصداقيته من خلال أفضل الممارسات </w:t>
      </w:r>
      <w:r w:rsidR="0035199B">
        <w:rPr>
          <w:rFonts w:ascii="Traditional Arabic" w:hAnsi="Traditional Arabic" w:cs="Traditional Arabic" w:hint="cs"/>
          <w:sz w:val="30"/>
          <w:szCs w:val="30"/>
          <w:rtl/>
        </w:rPr>
        <w:t>ل</w:t>
      </w:r>
      <w:r w:rsidR="006778CD" w:rsidRPr="00895CED">
        <w:rPr>
          <w:rFonts w:ascii="Traditional Arabic" w:hAnsi="Traditional Arabic" w:cs="Traditional Arabic"/>
          <w:sz w:val="30"/>
          <w:szCs w:val="30"/>
          <w:rtl/>
        </w:rPr>
        <w:t>لأساليب التحليلية الحالية للمصادر المفتوحة</w:t>
      </w:r>
      <w:r w:rsidR="006778CD" w:rsidRPr="00895CED">
        <w:rPr>
          <w:rFonts w:ascii="Traditional Arabic" w:hAnsi="Traditional Arabic" w:cs="Traditional Arabic"/>
          <w:sz w:val="30"/>
          <w:szCs w:val="30"/>
        </w:rPr>
        <w:t>.</w:t>
      </w:r>
    </w:p>
    <w:p w14:paraId="59192968" w14:textId="26FD2B0D" w:rsidR="006778CD" w:rsidRPr="00895CED" w:rsidRDefault="006778CD" w:rsidP="00474265">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على الرغم من</w:t>
      </w:r>
      <w:r w:rsidR="00B60A10" w:rsidRPr="00895CED">
        <w:rPr>
          <w:rFonts w:ascii="Traditional Arabic" w:hAnsi="Traditional Arabic" w:cs="Traditional Arabic"/>
          <w:sz w:val="30"/>
          <w:szCs w:val="30"/>
          <w:rtl/>
        </w:rPr>
        <w:t xml:space="preserve"> ال</w:t>
      </w:r>
      <w:r w:rsidRPr="00895CED">
        <w:rPr>
          <w:rFonts w:ascii="Traditional Arabic" w:hAnsi="Traditional Arabic" w:cs="Traditional Arabic"/>
          <w:sz w:val="30"/>
          <w:szCs w:val="30"/>
          <w:rtl/>
        </w:rPr>
        <w:t xml:space="preserve">قيود </w:t>
      </w:r>
      <w:r w:rsidR="00B60A10" w:rsidRPr="00895CED">
        <w:rPr>
          <w:rFonts w:ascii="Traditional Arabic" w:hAnsi="Traditional Arabic" w:cs="Traditional Arabic"/>
          <w:sz w:val="30"/>
          <w:szCs w:val="30"/>
          <w:rtl/>
        </w:rPr>
        <w:t xml:space="preserve">المفروضة </w:t>
      </w:r>
      <w:r w:rsidRPr="00895CED">
        <w:rPr>
          <w:rFonts w:ascii="Traditional Arabic" w:hAnsi="Traditional Arabic" w:cs="Traditional Arabic"/>
          <w:sz w:val="30"/>
          <w:szCs w:val="30"/>
          <w:rtl/>
        </w:rPr>
        <w:t xml:space="preserve">على الوصول </w:t>
      </w:r>
      <w:r w:rsidR="00B60A10" w:rsidRPr="00895CED">
        <w:rPr>
          <w:rFonts w:ascii="Traditional Arabic" w:hAnsi="Traditional Arabic" w:cs="Traditional Arabic"/>
          <w:sz w:val="30"/>
          <w:szCs w:val="30"/>
          <w:rtl/>
        </w:rPr>
        <w:t>وال</w:t>
      </w:r>
      <w:r w:rsidRPr="00895CED">
        <w:rPr>
          <w:rFonts w:ascii="Traditional Arabic" w:hAnsi="Traditional Arabic" w:cs="Traditional Arabic"/>
          <w:sz w:val="30"/>
          <w:szCs w:val="30"/>
          <w:rtl/>
        </w:rPr>
        <w:t xml:space="preserve">ناتجة عن عدم الرغبة في التعاون والخوف الذي تسبّب به تهديد بعض الأطراف للشهود والضحايا والمنظمات التي تعاونت مع فريق الخبراء، تمكّن هذا الأخير من جمع الأدلة لدعم النتائج الواردة في هذا التقرير. ويلاحظ فريق الخبراء أن النتائج الواردة في هذا التقرير، على الرغم من محدوديتها الناتجة عن محدودية الموارد، والوقت، والوصول، </w:t>
      </w:r>
      <w:r w:rsidR="00B60A10" w:rsidRPr="00895CED">
        <w:rPr>
          <w:rFonts w:ascii="Traditional Arabic" w:hAnsi="Traditional Arabic" w:cs="Traditional Arabic"/>
          <w:sz w:val="30"/>
          <w:szCs w:val="30"/>
          <w:rtl/>
        </w:rPr>
        <w:t>تهدف الى عيّنة دلاليّة عن</w:t>
      </w:r>
      <w:r w:rsidRPr="00895CED">
        <w:rPr>
          <w:rFonts w:ascii="Traditional Arabic" w:hAnsi="Traditional Arabic" w:cs="Traditional Arabic"/>
          <w:sz w:val="30"/>
          <w:szCs w:val="30"/>
          <w:rtl/>
        </w:rPr>
        <w:t xml:space="preserve"> انتهاكات حقوق الإنسان التي تحدث في اليمن، لا سيما الأخطر بينها. ويؤكد فريق الخبراء مجدداً أن تحقيقاته حتى الآن لم تتطرق إلا إلى عدد صغير للغاية من المزاعم، ويوصي بمواصلة التحقيقات في الحوادث والأنماط السلوكية التي نوقشت في</w:t>
      </w:r>
      <w:r w:rsidR="00B60A10"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تقريرَ</w:t>
      </w:r>
      <w:r w:rsidR="00B60A10" w:rsidRPr="00895CED">
        <w:rPr>
          <w:rFonts w:ascii="Traditional Arabic" w:hAnsi="Traditional Arabic" w:cs="Traditional Arabic"/>
          <w:sz w:val="30"/>
          <w:szCs w:val="30"/>
          <w:rtl/>
        </w:rPr>
        <w:t>يه المرفوعين الى مجلس حقوق الانسان (</w:t>
      </w:r>
      <w:r w:rsidR="00B60A10" w:rsidRPr="00895CED">
        <w:rPr>
          <w:rFonts w:ascii="Traditional Arabic" w:hAnsi="Traditional Arabic" w:cs="Traditional Arabic"/>
          <w:sz w:val="30"/>
          <w:szCs w:val="30"/>
        </w:rPr>
        <w:t>A/HRC/39/43</w:t>
      </w:r>
      <w:r w:rsidR="00B60A10" w:rsidRPr="00895CED">
        <w:rPr>
          <w:rFonts w:ascii="Traditional Arabic" w:hAnsi="Traditional Arabic" w:cs="Traditional Arabic"/>
          <w:sz w:val="30"/>
          <w:szCs w:val="30"/>
          <w:rtl/>
        </w:rPr>
        <w:t xml:space="preserve"> و</w:t>
      </w:r>
      <w:r w:rsidR="00B60A10" w:rsidRPr="00895CED">
        <w:rPr>
          <w:rFonts w:ascii="Traditional Arabic" w:hAnsi="Traditional Arabic" w:cs="Traditional Arabic"/>
          <w:sz w:val="30"/>
          <w:szCs w:val="30"/>
        </w:rPr>
        <w:t>A/HRC/42/17</w:t>
      </w:r>
      <w:r w:rsidR="00B60A10" w:rsidRPr="00895CED">
        <w:rPr>
          <w:rFonts w:ascii="Traditional Arabic" w:hAnsi="Traditional Arabic" w:cs="Traditional Arabic"/>
          <w:sz w:val="30"/>
          <w:szCs w:val="30"/>
          <w:rtl/>
        </w:rPr>
        <w:t xml:space="preserve">) </w:t>
      </w:r>
    </w:p>
    <w:p w14:paraId="71DE42C4" w14:textId="1EF1034F" w:rsidR="006778CD" w:rsidRPr="00895CED" w:rsidRDefault="006778C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دعوات للمساهمة</w:t>
      </w:r>
    </w:p>
    <w:p w14:paraId="76B44938" w14:textId="0ADF344A" w:rsidR="006778CD" w:rsidRPr="00895CED" w:rsidRDefault="006778C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بالإضافة إلى جمع الأدلة عن طريق إجراء مقابلات مع الضحايا والشهود المعروفين ومصادر مباشرة أخرى علم فريق الخبراء بوجودهم مسبقاً، وجّه هذا الأخير دعوات عبر مذكرات </w:t>
      </w:r>
      <w:r w:rsidR="00FF41D3" w:rsidRPr="00895CED">
        <w:rPr>
          <w:rFonts w:ascii="Traditional Arabic" w:hAnsi="Traditional Arabic" w:cs="Traditional Arabic"/>
          <w:sz w:val="30"/>
          <w:szCs w:val="30"/>
          <w:rtl/>
        </w:rPr>
        <w:t xml:space="preserve">رسمية </w:t>
      </w:r>
      <w:r w:rsidRPr="00895CED">
        <w:rPr>
          <w:rFonts w:ascii="Traditional Arabic" w:hAnsi="Traditional Arabic" w:cs="Traditional Arabic"/>
          <w:sz w:val="30"/>
          <w:szCs w:val="30"/>
          <w:rtl/>
        </w:rPr>
        <w:t>إلى الدول الأعضاء في الأمم المتحدة والى وكالات الأمم المتحدة وإداراتها وهيئاتها وإلى منظمات إقليمية لتقديم معلومات ذات صلة بالتحقيقات. كما عمّم فريق الخبراء على نطاق واسع دعو</w:t>
      </w:r>
      <w:r w:rsidR="00CE696E" w:rsidRPr="00895CED">
        <w:rPr>
          <w:rFonts w:ascii="Traditional Arabic" w:hAnsi="Traditional Arabic" w:cs="Traditional Arabic"/>
          <w:sz w:val="30"/>
          <w:szCs w:val="30"/>
          <w:rtl/>
        </w:rPr>
        <w:t>ات</w:t>
      </w:r>
      <w:r w:rsidRPr="00895CED">
        <w:rPr>
          <w:rFonts w:ascii="Traditional Arabic" w:hAnsi="Traditional Arabic" w:cs="Traditional Arabic"/>
          <w:sz w:val="30"/>
          <w:szCs w:val="30"/>
          <w:rtl/>
        </w:rPr>
        <w:t xml:space="preserve"> عامة لتقديم إسهامات مكتوبة من المنظمات غير الحكومية وغيرها من المنظمات والأفراد المهتمين بإطلاع فريق الخبراء على المعلومات</w:t>
      </w:r>
      <w:r w:rsidR="00CE696E" w:rsidRPr="00895CED">
        <w:rPr>
          <w:rFonts w:ascii="Traditional Arabic" w:hAnsi="Traditional Arabic" w:cs="Traditional Arabic"/>
          <w:sz w:val="30"/>
          <w:szCs w:val="30"/>
          <w:rtl/>
        </w:rPr>
        <w:t xml:space="preserve"> وذلك في شباط/فبراير 2018 وشباط/ فبراير 2019</w:t>
      </w:r>
      <w:r w:rsidRPr="00895CED">
        <w:rPr>
          <w:rFonts w:ascii="Traditional Arabic" w:hAnsi="Traditional Arabic" w:cs="Traditional Arabic"/>
          <w:sz w:val="30"/>
          <w:szCs w:val="30"/>
          <w:rtl/>
        </w:rPr>
        <w:t xml:space="preserve">. </w:t>
      </w:r>
      <w:r w:rsidR="00CE696E" w:rsidRPr="00895CED">
        <w:rPr>
          <w:rFonts w:ascii="Traditional Arabic" w:hAnsi="Traditional Arabic" w:cs="Traditional Arabic"/>
          <w:sz w:val="30"/>
          <w:szCs w:val="30"/>
          <w:rtl/>
        </w:rPr>
        <w:t xml:space="preserve">ويعرب فريق الخبراء عن تقديره لكافة المنظمات والأفراد الذين </w:t>
      </w:r>
      <w:r w:rsidR="00256526" w:rsidRPr="00895CED">
        <w:rPr>
          <w:rFonts w:ascii="Traditional Arabic" w:hAnsi="Traditional Arabic" w:cs="Traditional Arabic"/>
          <w:sz w:val="30"/>
          <w:szCs w:val="30"/>
          <w:rtl/>
        </w:rPr>
        <w:t xml:space="preserve">وفّروا معلومات استجابةً للدعوات لتقديم المساهمات.  </w:t>
      </w:r>
    </w:p>
    <w:p w14:paraId="3F23ABB4" w14:textId="396A8573" w:rsidR="000B076D" w:rsidRPr="00895CED" w:rsidRDefault="000B076D" w:rsidP="005F4D22">
      <w:pPr>
        <w:pStyle w:val="Footer"/>
        <w:numPr>
          <w:ilvl w:val="0"/>
          <w:numId w:val="39"/>
        </w:numPr>
        <w:bidi/>
        <w:spacing w:after="240"/>
        <w:ind w:left="1089" w:right="1089" w:hanging="450"/>
        <w:jc w:val="both"/>
        <w:rPr>
          <w:rFonts w:ascii="Traditional Arabic" w:hAnsi="Traditional Arabic" w:cs="Traditional Arabic"/>
          <w:b/>
          <w:bCs/>
          <w:sz w:val="30"/>
          <w:szCs w:val="30"/>
        </w:rPr>
      </w:pPr>
      <w:r w:rsidRPr="00895CED">
        <w:rPr>
          <w:rFonts w:ascii="Traditional Arabic" w:hAnsi="Traditional Arabic" w:cs="Traditional Arabic"/>
          <w:b/>
          <w:bCs/>
          <w:sz w:val="30"/>
          <w:szCs w:val="30"/>
          <w:rtl/>
        </w:rPr>
        <w:t>ر</w:t>
      </w:r>
      <w:r w:rsidR="00473FEE" w:rsidRPr="00895CED">
        <w:rPr>
          <w:rFonts w:ascii="Traditional Arabic" w:hAnsi="Traditional Arabic" w:cs="Traditional Arabic"/>
          <w:b/>
          <w:bCs/>
          <w:sz w:val="30"/>
          <w:szCs w:val="30"/>
          <w:rtl/>
        </w:rPr>
        <w:t>سائل إلى أطراف النزاع بينها</w:t>
      </w:r>
      <w:r w:rsidRPr="00895CED">
        <w:rPr>
          <w:rFonts w:ascii="Traditional Arabic" w:hAnsi="Traditional Arabic" w:cs="Traditional Arabic"/>
          <w:b/>
          <w:bCs/>
          <w:sz w:val="30"/>
          <w:szCs w:val="30"/>
          <w:rtl/>
        </w:rPr>
        <w:t xml:space="preserve"> قوائم ا</w:t>
      </w:r>
      <w:r w:rsidRPr="00895CED">
        <w:rPr>
          <w:rFonts w:ascii="Traditional Arabic" w:hAnsi="Traditional Arabic" w:cs="Traditional Arabic"/>
          <w:b/>
          <w:bCs/>
          <w:sz w:val="30"/>
          <w:szCs w:val="30"/>
          <w:rtl/>
          <w:lang w:bidi="ar-LB"/>
        </w:rPr>
        <w:t>لمسائل</w:t>
      </w:r>
      <w:r w:rsidRPr="00895CED">
        <w:rPr>
          <w:rFonts w:ascii="Traditional Arabic" w:hAnsi="Traditional Arabic" w:cs="Traditional Arabic"/>
          <w:b/>
          <w:bCs/>
          <w:sz w:val="30"/>
          <w:szCs w:val="30"/>
          <w:rtl/>
        </w:rPr>
        <w:t xml:space="preserve"> وطلبات الوصول إلى اليمن</w:t>
      </w:r>
    </w:p>
    <w:p w14:paraId="644BFBDD" w14:textId="38E68193" w:rsidR="000B076D" w:rsidRPr="00895CED" w:rsidRDefault="000B076D" w:rsidP="001A7801">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473FEE"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أبريل 2018، أرسل فريق الخبرا</w:t>
      </w:r>
      <w:r w:rsidR="001108C8" w:rsidRPr="00895CED">
        <w:rPr>
          <w:rFonts w:ascii="Traditional Arabic" w:hAnsi="Traditional Arabic" w:cs="Traditional Arabic"/>
          <w:sz w:val="30"/>
          <w:szCs w:val="30"/>
          <w:rtl/>
        </w:rPr>
        <w:t>ء رسائل تفصيلية إلى أطراف النزاع طلب فيها منحه إمكانية</w:t>
      </w:r>
      <w:r w:rsidR="00473FEE" w:rsidRPr="00895CED">
        <w:rPr>
          <w:rFonts w:ascii="Traditional Arabic" w:hAnsi="Traditional Arabic" w:cs="Traditional Arabic"/>
          <w:sz w:val="30"/>
          <w:szCs w:val="30"/>
          <w:rtl/>
        </w:rPr>
        <w:t xml:space="preserve"> الوصول إلى اليمن</w:t>
      </w:r>
      <w:r w:rsidR="001108C8" w:rsidRPr="00895CED">
        <w:rPr>
          <w:rFonts w:ascii="Traditional Arabic" w:hAnsi="Traditional Arabic" w:cs="Traditional Arabic"/>
          <w:sz w:val="30"/>
          <w:szCs w:val="30"/>
          <w:rtl/>
        </w:rPr>
        <w:t xml:space="preserve">، وعقد اجتماعات مع المسؤولين، فضلاً عن إعطائه </w:t>
      </w:r>
      <w:r w:rsidRPr="00895CED">
        <w:rPr>
          <w:rFonts w:ascii="Traditional Arabic" w:hAnsi="Traditional Arabic" w:cs="Traditional Arabic"/>
          <w:sz w:val="30"/>
          <w:szCs w:val="30"/>
          <w:rtl/>
        </w:rPr>
        <w:t>توضيحات وم</w:t>
      </w:r>
      <w:r w:rsidR="001108C8" w:rsidRPr="00895CED">
        <w:rPr>
          <w:rFonts w:ascii="Traditional Arabic" w:hAnsi="Traditional Arabic" w:cs="Traditional Arabic"/>
          <w:sz w:val="30"/>
          <w:szCs w:val="30"/>
          <w:rtl/>
        </w:rPr>
        <w:t xml:space="preserve">علومات مكتوبة حول عدد من </w:t>
      </w:r>
      <w:r w:rsidR="001108C8" w:rsidRPr="00895CED">
        <w:rPr>
          <w:rFonts w:ascii="Traditional Arabic" w:hAnsi="Traditional Arabic" w:cs="Traditional Arabic"/>
          <w:sz w:val="30"/>
          <w:szCs w:val="30"/>
          <w:rtl/>
        </w:rPr>
        <w:lastRenderedPageBreak/>
        <w:t>المسائل</w:t>
      </w:r>
      <w:r w:rsidRPr="00895CED">
        <w:rPr>
          <w:rFonts w:ascii="Traditional Arabic" w:hAnsi="Traditional Arabic" w:cs="Traditional Arabic"/>
          <w:sz w:val="30"/>
          <w:szCs w:val="30"/>
          <w:rtl/>
        </w:rPr>
        <w:t xml:space="preserve"> المتعلقة ب</w:t>
      </w:r>
      <w:r w:rsidR="001108C8" w:rsidRPr="00895CED">
        <w:rPr>
          <w:rFonts w:ascii="Traditional Arabic" w:hAnsi="Traditional Arabic" w:cs="Traditional Arabic"/>
          <w:sz w:val="30"/>
          <w:szCs w:val="30"/>
          <w:rtl/>
        </w:rPr>
        <w:t>ال</w:t>
      </w:r>
      <w:r w:rsidRPr="00895CED">
        <w:rPr>
          <w:rFonts w:ascii="Traditional Arabic" w:hAnsi="Traditional Arabic" w:cs="Traditional Arabic"/>
          <w:sz w:val="30"/>
          <w:szCs w:val="30"/>
          <w:rtl/>
        </w:rPr>
        <w:t>تحقيقات</w:t>
      </w:r>
      <w:r w:rsidR="001108C8" w:rsidRPr="00895CED">
        <w:rPr>
          <w:rFonts w:ascii="Traditional Arabic" w:hAnsi="Traditional Arabic" w:cs="Traditional Arabic"/>
          <w:sz w:val="30"/>
          <w:szCs w:val="30"/>
          <w:rtl/>
        </w:rPr>
        <w:t xml:space="preserve"> التي يجريها</w:t>
      </w:r>
      <w:r w:rsidR="001108C8" w:rsidRPr="00895CED">
        <w:rPr>
          <w:rStyle w:val="FootnoteReference"/>
          <w:rFonts w:ascii="Traditional Arabic" w:hAnsi="Traditional Arabic" w:cs="Traditional Arabic"/>
          <w:sz w:val="30"/>
          <w:szCs w:val="30"/>
        </w:rPr>
        <w:footnoteReference w:id="7"/>
      </w:r>
      <w:r w:rsidRPr="00895CED">
        <w:rPr>
          <w:rFonts w:ascii="Traditional Arabic" w:hAnsi="Traditional Arabic" w:cs="Traditional Arabic"/>
          <w:sz w:val="30"/>
          <w:szCs w:val="30"/>
          <w:rtl/>
        </w:rPr>
        <w:t xml:space="preserve">. </w:t>
      </w:r>
      <w:r w:rsidR="001108C8"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طلب فريق الخبراء ردودًا من الأطراف بحلول أيار/ مايو - حزيران/ يوني</w:t>
      </w:r>
      <w:r w:rsidR="001A7801">
        <w:rPr>
          <w:rFonts w:ascii="Traditional Arabic" w:hAnsi="Traditional Arabic" w:cs="Traditional Arabic" w:hint="cs"/>
          <w:sz w:val="30"/>
          <w:szCs w:val="30"/>
          <w:rtl/>
        </w:rPr>
        <w:t>و</w:t>
      </w:r>
      <w:r w:rsidRPr="00895CED">
        <w:rPr>
          <w:rFonts w:ascii="Traditional Arabic" w:hAnsi="Traditional Arabic" w:cs="Traditional Arabic"/>
          <w:sz w:val="30"/>
          <w:szCs w:val="30"/>
          <w:rtl/>
        </w:rPr>
        <w:t xml:space="preserve"> 2018 حتى </w:t>
      </w:r>
      <w:r w:rsidR="001108C8" w:rsidRPr="00895CED">
        <w:rPr>
          <w:rFonts w:ascii="Traditional Arabic" w:hAnsi="Traditional Arabic" w:cs="Traditional Arabic"/>
          <w:sz w:val="30"/>
          <w:szCs w:val="30"/>
          <w:rtl/>
        </w:rPr>
        <w:t xml:space="preserve">يتمكن من إدراج المعلومات التي ترده في التقرير المقدم إلى </w:t>
      </w:r>
      <w:r w:rsidRPr="00895CED">
        <w:rPr>
          <w:rFonts w:ascii="Traditional Arabic" w:hAnsi="Traditional Arabic" w:cs="Traditional Arabic"/>
          <w:sz w:val="30"/>
          <w:szCs w:val="30"/>
          <w:rtl/>
        </w:rPr>
        <w:t>مجلس</w:t>
      </w:r>
      <w:r w:rsidR="001108C8" w:rsidRPr="00895CED">
        <w:rPr>
          <w:rFonts w:ascii="Traditional Arabic" w:hAnsi="Traditional Arabic" w:cs="Traditional Arabic"/>
          <w:sz w:val="30"/>
          <w:szCs w:val="30"/>
          <w:rtl/>
        </w:rPr>
        <w:t xml:space="preserve"> حقوق الإنسان</w:t>
      </w:r>
      <w:r w:rsidRPr="00895CED">
        <w:rPr>
          <w:rFonts w:ascii="Traditional Arabic" w:hAnsi="Traditional Arabic" w:cs="Traditional Arabic"/>
          <w:sz w:val="30"/>
          <w:szCs w:val="30"/>
          <w:rtl/>
        </w:rPr>
        <w:t xml:space="preserve"> في دورته التاسعة والثلاثين. </w:t>
      </w:r>
      <w:r w:rsidR="001108C8" w:rsidRPr="00895CED">
        <w:rPr>
          <w:rFonts w:ascii="Traditional Arabic" w:hAnsi="Traditional Arabic" w:cs="Traditional Arabic"/>
          <w:sz w:val="30"/>
          <w:szCs w:val="30"/>
          <w:rtl/>
        </w:rPr>
        <w:t xml:space="preserve">كما </w:t>
      </w:r>
      <w:r w:rsidRPr="00895CED">
        <w:rPr>
          <w:rFonts w:ascii="Traditional Arabic" w:hAnsi="Traditional Arabic" w:cs="Traditional Arabic"/>
          <w:sz w:val="30"/>
          <w:szCs w:val="30"/>
          <w:rtl/>
        </w:rPr>
        <w:t>أرسل فريق الخبراء استفسارات مفص</w:t>
      </w:r>
      <w:r w:rsidR="001108C8"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لة حول حالات / حوادث محددة في </w:t>
      </w:r>
      <w:r w:rsidR="001108C8" w:rsidRPr="00895CED">
        <w:rPr>
          <w:rFonts w:ascii="Traditional Arabic" w:hAnsi="Traditional Arabic" w:cs="Traditional Arabic"/>
          <w:sz w:val="30"/>
          <w:szCs w:val="30"/>
          <w:rtl/>
        </w:rPr>
        <w:t>حزيران/</w:t>
      </w:r>
      <w:r w:rsidRPr="00895CED">
        <w:rPr>
          <w:rFonts w:ascii="Traditional Arabic" w:hAnsi="Traditional Arabic" w:cs="Traditional Arabic"/>
          <w:sz w:val="30"/>
          <w:szCs w:val="30"/>
          <w:rtl/>
        </w:rPr>
        <w:t>يونيو 2018</w:t>
      </w:r>
      <w:r w:rsidRPr="00895CED">
        <w:rPr>
          <w:rFonts w:ascii="Traditional Arabic" w:hAnsi="Traditional Arabic" w:cs="Traditional Arabic"/>
          <w:sz w:val="30"/>
          <w:szCs w:val="30"/>
        </w:rPr>
        <w:t>.</w:t>
      </w:r>
    </w:p>
    <w:p w14:paraId="4EFE0992" w14:textId="5EB75A92"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التقت الحكومة اليمنية ومسؤولون من قوات التحالف ب</w:t>
      </w:r>
      <w:r w:rsidR="001108C8" w:rsidRPr="00895CED">
        <w:rPr>
          <w:rFonts w:ascii="Traditional Arabic" w:hAnsi="Traditional Arabic" w:cs="Traditional Arabic"/>
          <w:sz w:val="30"/>
          <w:szCs w:val="30"/>
          <w:rtl/>
        </w:rPr>
        <w:t>قيادة المملكة العربية السعودية التي ت</w:t>
      </w:r>
      <w:r w:rsidRPr="00895CED">
        <w:rPr>
          <w:rFonts w:ascii="Traditional Arabic" w:hAnsi="Traditional Arabic" w:cs="Traditional Arabic"/>
          <w:sz w:val="30"/>
          <w:szCs w:val="30"/>
          <w:rtl/>
        </w:rPr>
        <w:t>دعم الحكومة اليمنية ("التحالف")</w:t>
      </w:r>
      <w:r w:rsidR="001108C8" w:rsidRPr="00895CED">
        <w:rPr>
          <w:rStyle w:val="FootnoteReference"/>
          <w:rFonts w:ascii="Traditional Arabic" w:hAnsi="Traditional Arabic" w:cs="Traditional Arabic"/>
          <w:sz w:val="30"/>
          <w:szCs w:val="30"/>
        </w:rPr>
        <w:footnoteReference w:id="8"/>
      </w:r>
      <w:r w:rsidRPr="00895CED">
        <w:rPr>
          <w:rFonts w:ascii="Traditional Arabic" w:hAnsi="Traditional Arabic" w:cs="Traditional Arabic"/>
          <w:sz w:val="30"/>
          <w:szCs w:val="30"/>
          <w:rtl/>
        </w:rPr>
        <w:t xml:space="preserve"> مع فريق الخبراء في </w:t>
      </w:r>
      <w:r w:rsidR="001108C8" w:rsidRPr="00895CED">
        <w:rPr>
          <w:rFonts w:ascii="Traditional Arabic" w:hAnsi="Traditional Arabic" w:cs="Traditional Arabic"/>
          <w:sz w:val="30"/>
          <w:szCs w:val="30"/>
          <w:rtl/>
        </w:rPr>
        <w:t>آذار/ مارس 2018</w:t>
      </w:r>
      <w:r w:rsidRPr="00895CED">
        <w:rPr>
          <w:rFonts w:ascii="Traditional Arabic" w:hAnsi="Traditional Arabic" w:cs="Traditional Arabic"/>
          <w:sz w:val="30"/>
          <w:szCs w:val="30"/>
          <w:rtl/>
        </w:rPr>
        <w:t xml:space="preserve">، ومع أعضاء </w:t>
      </w:r>
      <w:r w:rsidR="001108C8" w:rsidRPr="00895CED">
        <w:rPr>
          <w:rFonts w:ascii="Traditional Arabic" w:hAnsi="Traditional Arabic" w:cs="Traditional Arabic"/>
          <w:sz w:val="30"/>
          <w:szCs w:val="30"/>
          <w:rtl/>
        </w:rPr>
        <w:t xml:space="preserve">من </w:t>
      </w:r>
      <w:r w:rsidRPr="00895CED">
        <w:rPr>
          <w:rFonts w:ascii="Traditional Arabic" w:hAnsi="Traditional Arabic" w:cs="Traditional Arabic"/>
          <w:sz w:val="30"/>
          <w:szCs w:val="30"/>
          <w:rtl/>
        </w:rPr>
        <w:t xml:space="preserve">الأمانة في الرياض في </w:t>
      </w:r>
      <w:r w:rsidR="001108C8" w:rsidRPr="00895CED">
        <w:rPr>
          <w:rFonts w:ascii="Traditional Arabic" w:hAnsi="Traditional Arabic" w:cs="Traditional Arabic"/>
          <w:sz w:val="30"/>
          <w:szCs w:val="30"/>
          <w:rtl/>
        </w:rPr>
        <w:t xml:space="preserve">تموز/ </w:t>
      </w:r>
      <w:r w:rsidRPr="00895CED">
        <w:rPr>
          <w:rFonts w:ascii="Traditional Arabic" w:hAnsi="Traditional Arabic" w:cs="Traditional Arabic"/>
          <w:sz w:val="30"/>
          <w:szCs w:val="30"/>
          <w:rtl/>
        </w:rPr>
        <w:t xml:space="preserve">يوليو 2018. </w:t>
      </w:r>
      <w:r w:rsidR="001108C8"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قدمت الحكومة اليمنية والتحالف رداً مكتوبًا مشتركًا لفريق الخبراء في</w:t>
      </w:r>
      <w:r w:rsidR="001108C8" w:rsidRPr="00895CED">
        <w:rPr>
          <w:rFonts w:ascii="Traditional Arabic" w:hAnsi="Traditional Arabic" w:cs="Traditional Arabic"/>
          <w:sz w:val="30"/>
          <w:szCs w:val="30"/>
          <w:rtl/>
        </w:rPr>
        <w:t xml:space="preserve"> آب/ أغسطس 2018، </w:t>
      </w:r>
      <w:r w:rsidRPr="00895CED">
        <w:rPr>
          <w:rFonts w:ascii="Traditional Arabic" w:hAnsi="Traditional Arabic" w:cs="Traditional Arabic"/>
          <w:sz w:val="30"/>
          <w:szCs w:val="30"/>
          <w:rtl/>
        </w:rPr>
        <w:t>وصل بعد إرسال تقر</w:t>
      </w:r>
      <w:r w:rsidR="001108C8" w:rsidRPr="00895CED">
        <w:rPr>
          <w:rFonts w:ascii="Traditional Arabic" w:hAnsi="Traditional Arabic" w:cs="Traditional Arabic"/>
          <w:sz w:val="30"/>
          <w:szCs w:val="30"/>
          <w:rtl/>
        </w:rPr>
        <w:t xml:space="preserve">ير فريق الخبراء للنشر. وقد أُخذ التقرير هذه الردود في الاعتبار، وقد </w:t>
      </w:r>
      <w:r w:rsidRPr="00895CED">
        <w:rPr>
          <w:rFonts w:ascii="Traditional Arabic" w:hAnsi="Traditional Arabic" w:cs="Traditional Arabic"/>
          <w:sz w:val="30"/>
          <w:szCs w:val="30"/>
          <w:rtl/>
        </w:rPr>
        <w:t>است</w:t>
      </w:r>
      <w:r w:rsidR="001108C8"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خدمت لإعداد استفسارات أخرى </w:t>
      </w:r>
      <w:r w:rsidR="001108C8" w:rsidRPr="00895CED">
        <w:rPr>
          <w:rFonts w:ascii="Traditional Arabic" w:hAnsi="Traditional Arabic" w:cs="Traditional Arabic"/>
          <w:sz w:val="30"/>
          <w:szCs w:val="30"/>
          <w:rtl/>
        </w:rPr>
        <w:t xml:space="preserve">وُجهت </w:t>
      </w:r>
      <w:r w:rsidRPr="00895CED">
        <w:rPr>
          <w:rFonts w:ascii="Traditional Arabic" w:hAnsi="Traditional Arabic" w:cs="Traditional Arabic"/>
          <w:sz w:val="30"/>
          <w:szCs w:val="30"/>
          <w:rtl/>
        </w:rPr>
        <w:t xml:space="preserve">إلى الأطراف في </w:t>
      </w:r>
      <w:r w:rsidR="001108C8"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 xml:space="preserve">أبريل 2019. والتقى ممثلون من سلطات الأمر الواقع مع فريق الخبراء وأمانته في صنعاء في </w:t>
      </w:r>
      <w:r w:rsidR="001108C8" w:rsidRPr="00895CED">
        <w:rPr>
          <w:rFonts w:ascii="Traditional Arabic" w:hAnsi="Traditional Arabic" w:cs="Traditional Arabic"/>
          <w:sz w:val="30"/>
          <w:szCs w:val="30"/>
          <w:rtl/>
        </w:rPr>
        <w:t xml:space="preserve">آذار/ مارس 2018، حيث </w:t>
      </w:r>
      <w:r w:rsidRPr="00895CED">
        <w:rPr>
          <w:rFonts w:ascii="Traditional Arabic" w:hAnsi="Traditional Arabic" w:cs="Traditional Arabic"/>
          <w:sz w:val="30"/>
          <w:szCs w:val="30"/>
          <w:rtl/>
        </w:rPr>
        <w:t xml:space="preserve">تمت مناقشة </w:t>
      </w:r>
      <w:r w:rsidR="001108C8" w:rsidRPr="00895CED">
        <w:rPr>
          <w:rFonts w:ascii="Traditional Arabic" w:hAnsi="Traditional Arabic" w:cs="Traditional Arabic"/>
          <w:sz w:val="30"/>
          <w:szCs w:val="30"/>
          <w:rtl/>
        </w:rPr>
        <w:t xml:space="preserve">بعض المسائل التي أثيرت كتابيًا، إلا أنّهم لم يردّوا كتابيًا على </w:t>
      </w:r>
      <w:r w:rsidRPr="00895CED">
        <w:rPr>
          <w:rFonts w:ascii="Traditional Arabic" w:hAnsi="Traditional Arabic" w:cs="Traditional Arabic"/>
          <w:sz w:val="30"/>
          <w:szCs w:val="30"/>
          <w:rtl/>
        </w:rPr>
        <w:t>قائمة</w:t>
      </w:r>
      <w:r w:rsidR="001108C8" w:rsidRPr="00895CED">
        <w:rPr>
          <w:rFonts w:ascii="Traditional Arabic" w:hAnsi="Traditional Arabic" w:cs="Traditional Arabic"/>
          <w:sz w:val="30"/>
          <w:szCs w:val="30"/>
          <w:rtl/>
        </w:rPr>
        <w:t xml:space="preserve"> المسائل الصادرة </w:t>
      </w:r>
      <w:r w:rsidRPr="00895CED">
        <w:rPr>
          <w:rFonts w:ascii="Traditional Arabic" w:hAnsi="Traditional Arabic" w:cs="Traditional Arabic"/>
          <w:sz w:val="30"/>
          <w:szCs w:val="30"/>
          <w:rtl/>
        </w:rPr>
        <w:t>في</w:t>
      </w:r>
      <w:r w:rsidR="001108C8" w:rsidRPr="00895CED">
        <w:rPr>
          <w:rFonts w:ascii="Traditional Arabic" w:hAnsi="Traditional Arabic" w:cs="Traditional Arabic"/>
          <w:sz w:val="30"/>
          <w:szCs w:val="30"/>
          <w:rtl/>
        </w:rPr>
        <w:t xml:space="preserve"> نيسان/</w:t>
      </w:r>
      <w:r w:rsidRPr="00895CED">
        <w:rPr>
          <w:rFonts w:ascii="Traditional Arabic" w:hAnsi="Traditional Arabic" w:cs="Traditional Arabic"/>
          <w:sz w:val="30"/>
          <w:szCs w:val="30"/>
          <w:rtl/>
        </w:rPr>
        <w:t xml:space="preserve"> أبريل 2018.</w:t>
      </w:r>
    </w:p>
    <w:p w14:paraId="58937929" w14:textId="5E675C61" w:rsidR="00B03976" w:rsidRPr="00895CED" w:rsidRDefault="001108C8"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عام 2019</w:t>
      </w:r>
      <w:r w:rsidR="00B03976" w:rsidRPr="00895CED">
        <w:rPr>
          <w:rFonts w:ascii="Traditional Arabic" w:hAnsi="Traditional Arabic" w:cs="Traditional Arabic"/>
          <w:sz w:val="30"/>
          <w:szCs w:val="30"/>
          <w:rtl/>
        </w:rPr>
        <w:t xml:space="preserve">، أرسل فريق الخبراء رسائل متعددة إلى أطراف النزاع </w:t>
      </w:r>
      <w:r w:rsidRPr="00895CED">
        <w:rPr>
          <w:rFonts w:ascii="Traditional Arabic" w:hAnsi="Traditional Arabic" w:cs="Traditional Arabic"/>
          <w:sz w:val="30"/>
          <w:szCs w:val="30"/>
          <w:rtl/>
        </w:rPr>
        <w:t>ي</w:t>
      </w:r>
      <w:r w:rsidR="00B03976" w:rsidRPr="00895CED">
        <w:rPr>
          <w:rFonts w:ascii="Traditional Arabic" w:hAnsi="Traditional Arabic" w:cs="Traditional Arabic"/>
          <w:sz w:val="30"/>
          <w:szCs w:val="30"/>
          <w:rtl/>
        </w:rPr>
        <w:t>طلب فيها</w:t>
      </w:r>
      <w:r w:rsidRPr="00895CED">
        <w:rPr>
          <w:rFonts w:ascii="Traditional Arabic" w:hAnsi="Traditional Arabic" w:cs="Traditional Arabic"/>
          <w:sz w:val="30"/>
          <w:szCs w:val="30"/>
          <w:rtl/>
        </w:rPr>
        <w:t xml:space="preserve"> مجدداّ </w:t>
      </w:r>
      <w:r w:rsidR="00320974" w:rsidRPr="00895CED">
        <w:rPr>
          <w:rFonts w:ascii="Traditional Arabic" w:hAnsi="Traditional Arabic" w:cs="Traditional Arabic"/>
          <w:sz w:val="30"/>
          <w:szCs w:val="30"/>
          <w:rtl/>
        </w:rPr>
        <w:t>الوصول إلى اليمن، وعقد اجتماعات لمناقشة المسائل</w:t>
      </w:r>
      <w:r w:rsidR="00B03976" w:rsidRPr="00895CED">
        <w:rPr>
          <w:rFonts w:ascii="Traditional Arabic" w:hAnsi="Traditional Arabic" w:cs="Traditional Arabic"/>
          <w:sz w:val="30"/>
          <w:szCs w:val="30"/>
          <w:rtl/>
        </w:rPr>
        <w:t xml:space="preserve"> المفص</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لة في الرسائل</w:t>
      </w:r>
      <w:r w:rsidR="00320974"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وردود</w:t>
      </w:r>
      <w:r w:rsidR="00320974" w:rsidRPr="00895CED">
        <w:rPr>
          <w:rFonts w:ascii="Traditional Arabic" w:hAnsi="Traditional Arabic" w:cs="Traditional Arabic"/>
          <w:sz w:val="30"/>
          <w:szCs w:val="30"/>
          <w:rtl/>
        </w:rPr>
        <w:t>اً خطية على المسائل التي تحتاج الى المزيد من المتابعة والتي وردت في الردّ</w:t>
      </w:r>
      <w:r w:rsidR="00B03976" w:rsidRPr="00895CED">
        <w:rPr>
          <w:rFonts w:ascii="Traditional Arabic" w:hAnsi="Traditional Arabic" w:cs="Traditional Arabic"/>
          <w:sz w:val="30"/>
          <w:szCs w:val="30"/>
          <w:rtl/>
        </w:rPr>
        <w:t xml:space="preserve"> المشترك </w:t>
      </w:r>
      <w:r w:rsidR="00320974" w:rsidRPr="00895CED">
        <w:rPr>
          <w:rFonts w:ascii="Traditional Arabic" w:hAnsi="Traditional Arabic" w:cs="Traditional Arabic"/>
          <w:sz w:val="30"/>
          <w:szCs w:val="30"/>
          <w:rtl/>
        </w:rPr>
        <w:t>الصادر عن ا</w:t>
      </w:r>
      <w:r w:rsidR="00B03976" w:rsidRPr="00895CED">
        <w:rPr>
          <w:rFonts w:ascii="Traditional Arabic" w:hAnsi="Traditional Arabic" w:cs="Traditional Arabic"/>
          <w:sz w:val="30"/>
          <w:szCs w:val="30"/>
          <w:rtl/>
        </w:rPr>
        <w:t xml:space="preserve">لحكومة اليمنية والتحالف في </w:t>
      </w:r>
      <w:r w:rsidR="00320974" w:rsidRPr="00895CED">
        <w:rPr>
          <w:rFonts w:ascii="Traditional Arabic" w:hAnsi="Traditional Arabic" w:cs="Traditional Arabic"/>
          <w:sz w:val="30"/>
          <w:szCs w:val="30"/>
          <w:rtl/>
        </w:rPr>
        <w:t xml:space="preserve">آب/ </w:t>
      </w:r>
      <w:r w:rsidR="00B03976" w:rsidRPr="00895CED">
        <w:rPr>
          <w:rFonts w:ascii="Traditional Arabic" w:hAnsi="Traditional Arabic" w:cs="Traditional Arabic"/>
          <w:sz w:val="30"/>
          <w:szCs w:val="30"/>
          <w:rtl/>
        </w:rPr>
        <w:t xml:space="preserve">أغسطس 2018. لم يستجب </w:t>
      </w:r>
      <w:r w:rsidR="007356FB" w:rsidRPr="00895CED">
        <w:rPr>
          <w:rFonts w:ascii="Traditional Arabic" w:hAnsi="Traditional Arabic" w:cs="Traditional Arabic"/>
          <w:sz w:val="30"/>
          <w:szCs w:val="30"/>
          <w:rtl/>
          <w:lang w:bidi="ar-JO"/>
        </w:rPr>
        <w:t>التحالف</w:t>
      </w:r>
      <w:r w:rsidR="007356FB"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 xml:space="preserve">والحكومة اليمنية للطلبات المكتوبة، وأعربا بوضوح </w:t>
      </w:r>
      <w:r w:rsidR="00320974" w:rsidRPr="00895CED">
        <w:rPr>
          <w:rFonts w:ascii="Traditional Arabic" w:hAnsi="Traditional Arabic" w:cs="Traditional Arabic"/>
          <w:sz w:val="30"/>
          <w:szCs w:val="30"/>
          <w:rtl/>
        </w:rPr>
        <w:t xml:space="preserve">عن عدم رغبتهما في لقاء </w:t>
      </w:r>
      <w:r w:rsidR="007356FB" w:rsidRPr="00895CED">
        <w:rPr>
          <w:rFonts w:ascii="Traditional Arabic" w:hAnsi="Traditional Arabic" w:cs="Traditional Arabic"/>
          <w:sz w:val="30"/>
          <w:szCs w:val="30"/>
          <w:rtl/>
        </w:rPr>
        <w:t>ا</w:t>
      </w:r>
      <w:r w:rsidR="00320974" w:rsidRPr="00895CED">
        <w:rPr>
          <w:rFonts w:ascii="Traditional Arabic" w:hAnsi="Traditional Arabic" w:cs="Traditional Arabic"/>
          <w:sz w:val="30"/>
          <w:szCs w:val="30"/>
          <w:rtl/>
        </w:rPr>
        <w:t>لفريق</w:t>
      </w:r>
      <w:r w:rsidR="00B03976" w:rsidRPr="00895CED">
        <w:rPr>
          <w:rFonts w:ascii="Traditional Arabic" w:hAnsi="Traditional Arabic" w:cs="Traditional Arabic"/>
          <w:sz w:val="30"/>
          <w:szCs w:val="30"/>
          <w:rtl/>
        </w:rPr>
        <w:t xml:space="preserve"> أو التعاون مع</w:t>
      </w:r>
      <w:r w:rsidR="00320974" w:rsidRPr="00895CED">
        <w:rPr>
          <w:rFonts w:ascii="Traditional Arabic" w:hAnsi="Traditional Arabic" w:cs="Traditional Arabic"/>
          <w:sz w:val="30"/>
          <w:szCs w:val="30"/>
          <w:rtl/>
        </w:rPr>
        <w:t>ه</w:t>
      </w:r>
      <w:r w:rsidR="00B03976" w:rsidRPr="00895CED">
        <w:rPr>
          <w:rFonts w:ascii="Traditional Arabic" w:hAnsi="Traditional Arabic" w:cs="Traditional Arabic"/>
          <w:sz w:val="30"/>
          <w:szCs w:val="30"/>
          <w:rtl/>
        </w:rPr>
        <w:t>، بما في ذلك عدم الاستجابة للطلبات المتعددة للوصول إلى اليمن. ورد</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ت سلطات الأمر الواقع في أواخر </w:t>
      </w:r>
      <w:r w:rsidR="00320974" w:rsidRPr="00895CED">
        <w:rPr>
          <w:rFonts w:ascii="Traditional Arabic" w:hAnsi="Traditional Arabic" w:cs="Traditional Arabic"/>
          <w:sz w:val="30"/>
          <w:szCs w:val="30"/>
          <w:rtl/>
        </w:rPr>
        <w:t xml:space="preserve">نيسان/ </w:t>
      </w:r>
      <w:r w:rsidR="00B03976" w:rsidRPr="00895CED">
        <w:rPr>
          <w:rFonts w:ascii="Traditional Arabic" w:hAnsi="Traditional Arabic" w:cs="Traditional Arabic"/>
          <w:sz w:val="30"/>
          <w:szCs w:val="30"/>
          <w:rtl/>
        </w:rPr>
        <w:t>أبريل 2019 بأن فريق الخبراء مخو</w:t>
      </w:r>
      <w:r w:rsidR="00320974"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ل لزيارة صنعاء لإجراء تحقيقاته</w:t>
      </w:r>
      <w:r w:rsidR="00320974" w:rsidRPr="00895CED">
        <w:rPr>
          <w:rFonts w:ascii="Traditional Arabic" w:hAnsi="Traditional Arabic" w:cs="Traditional Arabic"/>
          <w:sz w:val="30"/>
          <w:szCs w:val="30"/>
          <w:rtl/>
        </w:rPr>
        <w:t xml:space="preserve"> وأرسلت</w:t>
      </w:r>
      <w:r w:rsidR="00B03976" w:rsidRPr="00895CED">
        <w:rPr>
          <w:rFonts w:ascii="Traditional Arabic" w:hAnsi="Traditional Arabic" w:cs="Traditional Arabic"/>
          <w:sz w:val="30"/>
          <w:szCs w:val="30"/>
          <w:rtl/>
        </w:rPr>
        <w:t xml:space="preserve"> ال</w:t>
      </w:r>
      <w:r w:rsidR="00320974" w:rsidRPr="00895CED">
        <w:rPr>
          <w:rFonts w:ascii="Traditional Arabic" w:hAnsi="Traditional Arabic" w:cs="Traditional Arabic"/>
          <w:sz w:val="30"/>
          <w:szCs w:val="30"/>
          <w:rtl/>
        </w:rPr>
        <w:t>مزيد من الردود على قائمة المسائل</w:t>
      </w:r>
      <w:r w:rsidR="00B03976" w:rsidRPr="00895CED">
        <w:rPr>
          <w:rFonts w:ascii="Traditional Arabic" w:hAnsi="Traditional Arabic" w:cs="Traditional Arabic"/>
          <w:sz w:val="30"/>
          <w:szCs w:val="30"/>
          <w:rtl/>
        </w:rPr>
        <w:t xml:space="preserve"> التي أرسلها فريق الخبراء في 31 </w:t>
      </w:r>
      <w:r w:rsidR="00320974" w:rsidRPr="00895CED">
        <w:rPr>
          <w:rFonts w:ascii="Traditional Arabic" w:hAnsi="Traditional Arabic" w:cs="Traditional Arabic"/>
          <w:sz w:val="30"/>
          <w:szCs w:val="30"/>
          <w:rtl/>
        </w:rPr>
        <w:t xml:space="preserve">أيار/ </w:t>
      </w:r>
      <w:r w:rsidR="00B03976" w:rsidRPr="00895CED">
        <w:rPr>
          <w:rFonts w:ascii="Traditional Arabic" w:hAnsi="Traditional Arabic" w:cs="Traditional Arabic"/>
          <w:sz w:val="30"/>
          <w:szCs w:val="30"/>
          <w:rtl/>
        </w:rPr>
        <w:t xml:space="preserve">مايو و10 </w:t>
      </w:r>
      <w:r w:rsidR="00320974" w:rsidRPr="00895CED">
        <w:rPr>
          <w:rFonts w:ascii="Traditional Arabic" w:hAnsi="Traditional Arabic" w:cs="Traditional Arabic"/>
          <w:sz w:val="30"/>
          <w:szCs w:val="30"/>
          <w:rtl/>
        </w:rPr>
        <w:t xml:space="preserve">تموز/ </w:t>
      </w:r>
      <w:r w:rsidR="00B03976" w:rsidRPr="00895CED">
        <w:rPr>
          <w:rFonts w:ascii="Traditional Arabic" w:hAnsi="Traditional Arabic" w:cs="Traditional Arabic"/>
          <w:sz w:val="30"/>
          <w:szCs w:val="30"/>
          <w:rtl/>
        </w:rPr>
        <w:t xml:space="preserve">يوليو و29 </w:t>
      </w:r>
      <w:r w:rsidR="00320974" w:rsidRPr="00895CED">
        <w:rPr>
          <w:rFonts w:ascii="Traditional Arabic" w:hAnsi="Traditional Arabic" w:cs="Traditional Arabic"/>
          <w:sz w:val="30"/>
          <w:szCs w:val="30"/>
          <w:rtl/>
        </w:rPr>
        <w:t xml:space="preserve">تموز/ </w:t>
      </w:r>
      <w:r w:rsidR="00B03976" w:rsidRPr="00895CED">
        <w:rPr>
          <w:rFonts w:ascii="Traditional Arabic" w:hAnsi="Traditional Arabic" w:cs="Traditional Arabic"/>
          <w:sz w:val="30"/>
          <w:szCs w:val="30"/>
          <w:rtl/>
        </w:rPr>
        <w:t>يوليو 2019 (انظر المراسلات المرفقة)</w:t>
      </w:r>
      <w:r w:rsidR="00B03976" w:rsidRPr="00895CED">
        <w:rPr>
          <w:rFonts w:ascii="Traditional Arabic" w:hAnsi="Traditional Arabic" w:cs="Traditional Arabic"/>
          <w:sz w:val="30"/>
          <w:szCs w:val="30"/>
        </w:rPr>
        <w:t>.</w:t>
      </w:r>
    </w:p>
    <w:p w14:paraId="2DC4537E" w14:textId="66CC9DDE" w:rsidR="00B03976" w:rsidRPr="00895CED" w:rsidRDefault="00B03976" w:rsidP="005F4D22">
      <w:pPr>
        <w:pStyle w:val="Footer"/>
        <w:numPr>
          <w:ilvl w:val="0"/>
          <w:numId w:val="39"/>
        </w:numPr>
        <w:bidi/>
        <w:spacing w:after="240"/>
        <w:ind w:left="1089" w:right="1089" w:hanging="450"/>
        <w:jc w:val="both"/>
        <w:rPr>
          <w:rFonts w:ascii="Traditional Arabic" w:hAnsi="Traditional Arabic" w:cs="Traditional Arabic"/>
          <w:i/>
          <w:iCs/>
          <w:sz w:val="30"/>
          <w:szCs w:val="30"/>
          <w:rtl/>
        </w:rPr>
      </w:pPr>
      <w:r w:rsidRPr="00895CED">
        <w:rPr>
          <w:rFonts w:ascii="Traditional Arabic" w:hAnsi="Traditional Arabic" w:cs="Traditional Arabic"/>
          <w:b/>
          <w:bCs/>
          <w:sz w:val="30"/>
          <w:szCs w:val="30"/>
          <w:rtl/>
        </w:rPr>
        <w:t>الاعتبارات والتحديات المنهجية المحيطة بالأشخاص المستضعفين والحالات الحساسة</w:t>
      </w:r>
    </w:p>
    <w:p w14:paraId="13151D6C" w14:textId="0BB43F79" w:rsidR="006828A3" w:rsidRPr="00895CED" w:rsidRDefault="0015556F" w:rsidP="005F4D22">
      <w:pPr>
        <w:pStyle w:val="Footer"/>
        <w:numPr>
          <w:ilvl w:val="0"/>
          <w:numId w:val="3"/>
        </w:numPr>
        <w:tabs>
          <w:tab w:val="left" w:pos="720"/>
        </w:tabs>
        <w:bidi/>
        <w:spacing w:after="240"/>
        <w:ind w:left="1089" w:right="1089" w:firstLine="0"/>
        <w:jc w:val="both"/>
        <w:rPr>
          <w:rFonts w:ascii="Traditional Arabic" w:hAnsi="Traditional Arabic" w:cs="Traditional Arabic"/>
          <w:b/>
          <w:bCs/>
          <w:sz w:val="30"/>
          <w:szCs w:val="30"/>
          <w:rtl/>
        </w:rPr>
      </w:pPr>
      <w:r w:rsidRPr="00895CED">
        <w:rPr>
          <w:rFonts w:ascii="Traditional Arabic" w:hAnsi="Traditional Arabic" w:cs="Traditional Arabic"/>
          <w:sz w:val="30"/>
          <w:szCs w:val="30"/>
          <w:rtl/>
        </w:rPr>
        <w:t>ل</w:t>
      </w:r>
      <w:r w:rsidR="00B03976" w:rsidRPr="00895CED">
        <w:rPr>
          <w:rFonts w:ascii="Traditional Arabic" w:hAnsi="Traditional Arabic" w:cs="Traditional Arabic"/>
          <w:sz w:val="30"/>
          <w:szCs w:val="30"/>
          <w:rtl/>
        </w:rPr>
        <w:t>لتحديات والافتقار إلى أماكن آمنة لإجراء مقابلات</w:t>
      </w:r>
      <w:r w:rsidR="00696C50">
        <w:rPr>
          <w:rFonts w:ascii="Traditional Arabic" w:hAnsi="Traditional Arabic" w:cs="Traditional Arabic" w:hint="cs"/>
          <w:sz w:val="30"/>
          <w:szCs w:val="30"/>
          <w:rtl/>
        </w:rPr>
        <w:t xml:space="preserve"> مع الشهود</w:t>
      </w:r>
      <w:r w:rsidR="00696C50">
        <w:rPr>
          <w:rFonts w:ascii="Traditional Arabic" w:hAnsi="Traditional Arabic" w:cs="Traditional Arabic"/>
          <w:sz w:val="30"/>
          <w:szCs w:val="30"/>
        </w:rPr>
        <w:t xml:space="preserve"> </w:t>
      </w:r>
      <w:r w:rsidR="00B03976" w:rsidRPr="00895CED">
        <w:rPr>
          <w:rFonts w:ascii="Traditional Arabic" w:hAnsi="Traditional Arabic" w:cs="Traditional Arabic"/>
          <w:sz w:val="30"/>
          <w:szCs w:val="30"/>
          <w:rtl/>
        </w:rPr>
        <w:t xml:space="preserve"> والتحقيق</w:t>
      </w:r>
      <w:r w:rsidR="00696C50">
        <w:rPr>
          <w:rFonts w:ascii="Traditional Arabic" w:hAnsi="Traditional Arabic" w:cs="Traditional Arabic" w:hint="cs"/>
          <w:sz w:val="30"/>
          <w:szCs w:val="30"/>
          <w:rtl/>
        </w:rPr>
        <w:t xml:space="preserve"> في الانتهاكات المزعومة في اليمن كان لها </w:t>
      </w:r>
      <w:r w:rsidRPr="00895CED">
        <w:rPr>
          <w:rFonts w:ascii="Traditional Arabic" w:hAnsi="Traditional Arabic" w:cs="Traditional Arabic"/>
          <w:sz w:val="30"/>
          <w:szCs w:val="30"/>
          <w:rtl/>
        </w:rPr>
        <w:t>أثر</w:t>
      </w:r>
      <w:r w:rsidR="006828A3"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 xml:space="preserve">خاص على </w:t>
      </w:r>
      <w:r w:rsidRPr="00895CED">
        <w:rPr>
          <w:rFonts w:ascii="Traditional Arabic" w:hAnsi="Traditional Arabic" w:cs="Traditional Arabic"/>
          <w:sz w:val="30"/>
          <w:szCs w:val="30"/>
          <w:rtl/>
        </w:rPr>
        <w:t xml:space="preserve">عملية </w:t>
      </w:r>
      <w:r w:rsidR="00B03976" w:rsidRPr="00895CED">
        <w:rPr>
          <w:rFonts w:ascii="Traditional Arabic" w:hAnsi="Traditional Arabic" w:cs="Traditional Arabic"/>
          <w:sz w:val="30"/>
          <w:szCs w:val="30"/>
          <w:rtl/>
        </w:rPr>
        <w:t xml:space="preserve">التحقيق في الحالات التي تؤثر على الأشخاص الأكثر ضعفًا وتهميشًا، لا سيما في حالات العنف الجنسي والجنساني والانتهاكات ضد الأطفال. </w:t>
      </w:r>
      <w:r w:rsidR="00696C50">
        <w:rPr>
          <w:rFonts w:ascii="Traditional Arabic" w:hAnsi="Traditional Arabic" w:cs="Traditional Arabic" w:hint="cs"/>
          <w:sz w:val="30"/>
          <w:szCs w:val="30"/>
          <w:rtl/>
        </w:rPr>
        <w:t>كان ل</w:t>
      </w:r>
      <w:r w:rsidR="00696C50" w:rsidRPr="00696C50">
        <w:rPr>
          <w:rFonts w:ascii="Traditional Arabic" w:hAnsi="Traditional Arabic" w:cs="Traditional Arabic"/>
          <w:sz w:val="30"/>
          <w:szCs w:val="30"/>
          <w:rtl/>
        </w:rPr>
        <w:t>كل من المساحات المادية والخصوصية الإلكترونية شواغل تحد بشدة من قدرة الناس على التحدث بحرية</w:t>
      </w:r>
      <w:r w:rsidR="00696C50">
        <w:rPr>
          <w:rFonts w:ascii="Traditional Arabic" w:hAnsi="Traditional Arabic" w:cs="Traditional Arabic" w:hint="cs"/>
          <w:sz w:val="30"/>
          <w:szCs w:val="30"/>
          <w:rtl/>
          <w:lang w:bidi="ar-JO"/>
        </w:rPr>
        <w:t xml:space="preserve">. </w:t>
      </w:r>
      <w:r w:rsidRPr="00895CED">
        <w:rPr>
          <w:rFonts w:ascii="Traditional Arabic" w:hAnsi="Traditional Arabic" w:cs="Traditional Arabic"/>
          <w:sz w:val="30"/>
          <w:szCs w:val="30"/>
          <w:rtl/>
        </w:rPr>
        <w:t xml:space="preserve">ما أن </w:t>
      </w:r>
      <w:r w:rsidR="00B03976" w:rsidRPr="00895CED">
        <w:rPr>
          <w:rFonts w:ascii="Traditional Arabic" w:hAnsi="Traditional Arabic" w:cs="Traditional Arabic"/>
          <w:sz w:val="30"/>
          <w:szCs w:val="30"/>
          <w:rtl/>
        </w:rPr>
        <w:t>خطر الانتقام</w:t>
      </w:r>
      <w:r w:rsidRPr="00895CED">
        <w:rPr>
          <w:rFonts w:ascii="Traditional Arabic" w:hAnsi="Traditional Arabic" w:cs="Traditional Arabic"/>
          <w:sz w:val="30"/>
          <w:szCs w:val="30"/>
          <w:rtl/>
        </w:rPr>
        <w:t>، والشواغل المتعلقة بـ "الشرف"، والتبعية</w:t>
      </w:r>
      <w:r w:rsidR="00B03976" w:rsidRPr="00895CED">
        <w:rPr>
          <w:rFonts w:ascii="Traditional Arabic" w:hAnsi="Traditional Arabic" w:cs="Traditional Arabic"/>
          <w:sz w:val="30"/>
          <w:szCs w:val="30"/>
          <w:rtl/>
        </w:rPr>
        <w:t xml:space="preserve"> النفسي</w:t>
      </w:r>
      <w:r w:rsidRPr="00895CED">
        <w:rPr>
          <w:rFonts w:ascii="Traditional Arabic" w:hAnsi="Traditional Arabic" w:cs="Traditional Arabic"/>
          <w:sz w:val="30"/>
          <w:szCs w:val="30"/>
          <w:rtl/>
        </w:rPr>
        <w:t>ة</w:t>
      </w:r>
      <w:r w:rsidR="00B03976"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lastRenderedPageBreak/>
        <w:t>والاجتماعي</w:t>
      </w:r>
      <w:r w:rsidRPr="00895CED">
        <w:rPr>
          <w:rFonts w:ascii="Traditional Arabic" w:hAnsi="Traditional Arabic" w:cs="Traditional Arabic"/>
          <w:sz w:val="30"/>
          <w:szCs w:val="30"/>
          <w:rtl/>
        </w:rPr>
        <w:t>ة</w:t>
      </w:r>
      <w:r w:rsidR="00B03976" w:rsidRPr="00895CED">
        <w:rPr>
          <w:rFonts w:ascii="Traditional Arabic" w:hAnsi="Traditional Arabic" w:cs="Traditional Arabic"/>
          <w:sz w:val="30"/>
          <w:szCs w:val="30"/>
          <w:rtl/>
        </w:rPr>
        <w:t>، والاستغلال، والعزلة</w:t>
      </w:r>
      <w:r w:rsidRPr="00895CED">
        <w:rPr>
          <w:rFonts w:ascii="Traditional Arabic" w:hAnsi="Traditional Arabic" w:cs="Traditional Arabic"/>
          <w:sz w:val="30"/>
          <w:szCs w:val="30"/>
          <w:rtl/>
        </w:rPr>
        <w:t>، والتهميش، وبقاء</w:t>
      </w:r>
      <w:r w:rsidR="00B03976" w:rsidRPr="00895CED">
        <w:rPr>
          <w:rFonts w:ascii="Traditional Arabic" w:hAnsi="Traditional Arabic" w:cs="Traditional Arabic"/>
          <w:sz w:val="30"/>
          <w:szCs w:val="30"/>
          <w:rtl/>
        </w:rPr>
        <w:t xml:space="preserve"> غالبية الناجين في مناطق النزاع </w:t>
      </w:r>
      <w:r w:rsidRPr="00895CED">
        <w:rPr>
          <w:rFonts w:ascii="Traditional Arabic" w:hAnsi="Traditional Arabic" w:cs="Traditional Arabic"/>
          <w:sz w:val="30"/>
          <w:szCs w:val="30"/>
          <w:rtl/>
        </w:rPr>
        <w:t>في حالة رعب و</w:t>
      </w:r>
      <w:r w:rsidR="00B03976" w:rsidRPr="00895CED">
        <w:rPr>
          <w:rFonts w:ascii="Traditional Arabic" w:hAnsi="Traditional Arabic" w:cs="Traditional Arabic"/>
          <w:sz w:val="30"/>
          <w:szCs w:val="30"/>
          <w:rtl/>
        </w:rPr>
        <w:t>تهديد</w:t>
      </w:r>
      <w:r w:rsidRPr="00895CED">
        <w:rPr>
          <w:rFonts w:ascii="Traditional Arabic" w:hAnsi="Traditional Arabic" w:cs="Traditional Arabic"/>
          <w:sz w:val="30"/>
          <w:szCs w:val="30"/>
          <w:rtl/>
        </w:rPr>
        <w:t xml:space="preserve"> الجناة</w:t>
      </w:r>
      <w:r w:rsidR="00B03976" w:rsidRPr="00895CED">
        <w:rPr>
          <w:rFonts w:ascii="Traditional Arabic" w:hAnsi="Traditional Arabic" w:cs="Traditional Arabic"/>
          <w:sz w:val="30"/>
          <w:szCs w:val="30"/>
          <w:rtl/>
        </w:rPr>
        <w:t xml:space="preserve">، </w:t>
      </w:r>
      <w:r w:rsidR="006828A3" w:rsidRPr="00895CED">
        <w:rPr>
          <w:rFonts w:ascii="Traditional Arabic" w:hAnsi="Traditional Arabic" w:cs="Traditional Arabic"/>
          <w:sz w:val="30"/>
          <w:szCs w:val="30"/>
          <w:rtl/>
        </w:rPr>
        <w:t xml:space="preserve">قد </w:t>
      </w:r>
      <w:r w:rsidR="00B03976" w:rsidRPr="00895CED">
        <w:rPr>
          <w:rFonts w:ascii="Traditional Arabic" w:hAnsi="Traditional Arabic" w:cs="Traditional Arabic"/>
          <w:sz w:val="30"/>
          <w:szCs w:val="30"/>
          <w:rtl/>
        </w:rPr>
        <w:t xml:space="preserve">شكلت </w:t>
      </w:r>
      <w:r w:rsidRPr="00895CED">
        <w:rPr>
          <w:rFonts w:ascii="Traditional Arabic" w:hAnsi="Traditional Arabic" w:cs="Traditional Arabic"/>
          <w:sz w:val="30"/>
          <w:szCs w:val="30"/>
          <w:rtl/>
        </w:rPr>
        <w:t xml:space="preserve">كلها </w:t>
      </w:r>
      <w:r w:rsidR="006828A3" w:rsidRPr="00895CED">
        <w:rPr>
          <w:rFonts w:ascii="Traditional Arabic" w:hAnsi="Traditional Arabic" w:cs="Traditional Arabic"/>
          <w:sz w:val="30"/>
          <w:szCs w:val="30"/>
          <w:rtl/>
        </w:rPr>
        <w:t xml:space="preserve">تحديات خطيرة أمام </w:t>
      </w:r>
      <w:r w:rsidR="00227670">
        <w:rPr>
          <w:rFonts w:ascii="Traditional Arabic" w:hAnsi="Traditional Arabic" w:cs="Traditional Arabic" w:hint="cs"/>
          <w:sz w:val="30"/>
          <w:szCs w:val="30"/>
          <w:rtl/>
        </w:rPr>
        <w:t>العديد من تحقيقات الفريق</w:t>
      </w:r>
      <w:r w:rsidR="00B0397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أما </w:t>
      </w:r>
      <w:r w:rsidR="00B03976" w:rsidRPr="00895CED">
        <w:rPr>
          <w:rFonts w:ascii="Traditional Arabic" w:hAnsi="Traditional Arabic" w:cs="Traditional Arabic"/>
          <w:sz w:val="30"/>
          <w:szCs w:val="30"/>
          <w:rtl/>
        </w:rPr>
        <w:t>الانتهاكات التي تم</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التحقق منها في هذا التقرير </w:t>
      </w:r>
      <w:r w:rsidRPr="00895CED">
        <w:rPr>
          <w:rFonts w:ascii="Traditional Arabic" w:hAnsi="Traditional Arabic" w:cs="Traditional Arabic"/>
          <w:sz w:val="30"/>
          <w:szCs w:val="30"/>
          <w:rtl/>
        </w:rPr>
        <w:t xml:space="preserve">فهي مؤشرات على </w:t>
      </w:r>
      <w:r w:rsidR="006828A3" w:rsidRPr="00895CED">
        <w:rPr>
          <w:rFonts w:ascii="Traditional Arabic" w:hAnsi="Traditional Arabic" w:cs="Traditional Arabic"/>
          <w:sz w:val="30"/>
          <w:szCs w:val="30"/>
          <w:rtl/>
        </w:rPr>
        <w:t xml:space="preserve">احتمال وجود المزيد من العنف الجنساني </w:t>
      </w:r>
      <w:r w:rsidR="00227670">
        <w:rPr>
          <w:rFonts w:ascii="Traditional Arabic" w:hAnsi="Traditional Arabic" w:cs="Traditional Arabic" w:hint="cs"/>
          <w:sz w:val="30"/>
          <w:szCs w:val="30"/>
          <w:rtl/>
        </w:rPr>
        <w:t xml:space="preserve">وانتهاكات اخرى ضد الاشخاص الاكثر ضعفاً </w:t>
      </w:r>
      <w:r w:rsidR="006828A3" w:rsidRPr="00895CED">
        <w:rPr>
          <w:rFonts w:ascii="Traditional Arabic" w:hAnsi="Traditional Arabic" w:cs="Traditional Arabic"/>
          <w:sz w:val="30"/>
          <w:szCs w:val="30"/>
          <w:rtl/>
        </w:rPr>
        <w:t>من جانب أطراف النزاع والذي ي</w:t>
      </w:r>
      <w:r w:rsidR="00B03976" w:rsidRPr="00895CED">
        <w:rPr>
          <w:rFonts w:ascii="Traditional Arabic" w:hAnsi="Traditional Arabic" w:cs="Traditional Arabic"/>
          <w:sz w:val="30"/>
          <w:szCs w:val="30"/>
          <w:rtl/>
        </w:rPr>
        <w:t>تطلب المزيد من التحقيق.</w:t>
      </w:r>
    </w:p>
    <w:p w14:paraId="522B8D44" w14:textId="17F17958" w:rsidR="00B03976" w:rsidRPr="00895CED" w:rsidRDefault="00B03976" w:rsidP="00910A89">
      <w:pPr>
        <w:pStyle w:val="Footer"/>
        <w:numPr>
          <w:ilvl w:val="0"/>
          <w:numId w:val="39"/>
        </w:numPr>
        <w:bidi/>
        <w:spacing w:after="240"/>
        <w:ind w:left="1089" w:right="1089" w:hanging="450"/>
        <w:jc w:val="both"/>
        <w:rPr>
          <w:rFonts w:ascii="Traditional Arabic" w:hAnsi="Traditional Arabic" w:cs="Traditional Arabic"/>
          <w:b/>
          <w:bCs/>
          <w:sz w:val="30"/>
          <w:szCs w:val="30"/>
          <w:rtl/>
        </w:rPr>
      </w:pPr>
      <w:r w:rsidRPr="00895CED">
        <w:rPr>
          <w:rFonts w:ascii="Traditional Arabic" w:hAnsi="Traditional Arabic" w:cs="Traditional Arabic"/>
          <w:b/>
          <w:bCs/>
          <w:sz w:val="30"/>
          <w:szCs w:val="30"/>
          <w:rtl/>
        </w:rPr>
        <w:t xml:space="preserve">رصد حقوق الإنسان </w:t>
      </w:r>
      <w:r w:rsidR="00910A89">
        <w:rPr>
          <w:rFonts w:ascii="Traditional Arabic" w:hAnsi="Traditional Arabic" w:cs="Traditional Arabic" w:hint="cs"/>
          <w:b/>
          <w:bCs/>
          <w:sz w:val="30"/>
          <w:szCs w:val="30"/>
          <w:rtl/>
        </w:rPr>
        <w:t>من قبل</w:t>
      </w:r>
      <w:r w:rsidRPr="00895CED">
        <w:rPr>
          <w:rFonts w:ascii="Traditional Arabic" w:hAnsi="Traditional Arabic" w:cs="Traditional Arabic"/>
          <w:b/>
          <w:bCs/>
          <w:sz w:val="30"/>
          <w:szCs w:val="30"/>
          <w:rtl/>
        </w:rPr>
        <w:t xml:space="preserve"> المفوضية</w:t>
      </w:r>
      <w:r w:rsidR="00D70327" w:rsidRPr="00895CED">
        <w:rPr>
          <w:rFonts w:ascii="Traditional Arabic" w:hAnsi="Traditional Arabic" w:cs="Traditional Arabic"/>
          <w:b/>
          <w:bCs/>
          <w:sz w:val="30"/>
          <w:szCs w:val="30"/>
          <w:rtl/>
        </w:rPr>
        <w:t xml:space="preserve"> السامية لحقوق الانسان</w:t>
      </w:r>
    </w:p>
    <w:p w14:paraId="6BD74D81" w14:textId="7110A791"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أصدر مفوض الأمم المتحدة السامي لحقوق الإنسان ثلاثة تقارير عن حالة حقوق الإنسان في اليمن خلال الفترة التي تغطيها ولاية فريق الخبراء ("تقارير المفوضية")</w:t>
      </w:r>
      <w:r w:rsidR="00D70327" w:rsidRPr="00895CED">
        <w:rPr>
          <w:rStyle w:val="FootnoteReference"/>
          <w:rFonts w:ascii="Traditional Arabic" w:hAnsi="Traditional Arabic" w:cs="Traditional Arabic"/>
          <w:sz w:val="30"/>
          <w:szCs w:val="30"/>
        </w:rPr>
        <w:footnoteReference w:id="9"/>
      </w:r>
      <w:r w:rsidRPr="00895CED">
        <w:rPr>
          <w:rFonts w:ascii="Traditional Arabic" w:hAnsi="Traditional Arabic" w:cs="Traditional Arabic"/>
          <w:sz w:val="30"/>
          <w:szCs w:val="30"/>
          <w:rtl/>
        </w:rPr>
        <w:t xml:space="preserve">. </w:t>
      </w:r>
      <w:r w:rsidR="00D70327" w:rsidRPr="00895CED">
        <w:rPr>
          <w:rFonts w:ascii="Traditional Arabic" w:hAnsi="Traditional Arabic" w:cs="Traditional Arabic"/>
          <w:sz w:val="30"/>
          <w:szCs w:val="30"/>
          <w:rtl/>
        </w:rPr>
        <w:t xml:space="preserve">وقد </w:t>
      </w:r>
      <w:r w:rsidRPr="00895CED">
        <w:rPr>
          <w:rFonts w:ascii="Traditional Arabic" w:hAnsi="Traditional Arabic" w:cs="Traditional Arabic"/>
          <w:sz w:val="30"/>
          <w:szCs w:val="30"/>
          <w:rtl/>
        </w:rPr>
        <w:t>استندت المعلومات الواردة في التقارير الثلاثة إلى</w:t>
      </w:r>
      <w:r w:rsidR="00D70327" w:rsidRPr="00895CED">
        <w:rPr>
          <w:rFonts w:ascii="Traditional Arabic" w:hAnsi="Traditional Arabic" w:cs="Traditional Arabic"/>
          <w:sz w:val="30"/>
          <w:szCs w:val="30"/>
          <w:rtl/>
        </w:rPr>
        <w:t xml:space="preserve"> مراقبة حقوق الإنسان من جانب</w:t>
      </w:r>
      <w:r w:rsidRPr="00895CED">
        <w:rPr>
          <w:rFonts w:ascii="Traditional Arabic" w:hAnsi="Traditional Arabic" w:cs="Traditional Arabic"/>
          <w:sz w:val="30"/>
          <w:szCs w:val="30"/>
          <w:rtl/>
        </w:rPr>
        <w:t xml:space="preserve"> مكتب المفوضية في اليمن</w:t>
      </w:r>
      <w:r w:rsidRPr="00895CED">
        <w:rPr>
          <w:rFonts w:ascii="Traditional Arabic" w:hAnsi="Traditional Arabic" w:cs="Traditional Arabic"/>
          <w:sz w:val="30"/>
          <w:szCs w:val="30"/>
        </w:rPr>
        <w:t>.</w:t>
      </w:r>
    </w:p>
    <w:p w14:paraId="06FCA7C5" w14:textId="3C399D5D" w:rsidR="00B03976" w:rsidRPr="00895CED" w:rsidRDefault="000669D7" w:rsidP="001A7801">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إعتمد في </w:t>
      </w:r>
      <w:r w:rsidR="00B03976" w:rsidRPr="00895CED">
        <w:rPr>
          <w:rFonts w:ascii="Traditional Arabic" w:hAnsi="Traditional Arabic" w:cs="Traditional Arabic"/>
          <w:sz w:val="30"/>
          <w:szCs w:val="30"/>
          <w:rtl/>
        </w:rPr>
        <w:t>تقرير المفوض السامي لعام 2015 (</w:t>
      </w:r>
      <w:r w:rsidR="00B03976" w:rsidRPr="00895CED">
        <w:rPr>
          <w:rFonts w:ascii="Traditional Arabic" w:hAnsi="Traditional Arabic" w:cs="Traditional Arabic"/>
          <w:sz w:val="30"/>
          <w:szCs w:val="30"/>
        </w:rPr>
        <w:t>A/HRC/30/31</w:t>
      </w:r>
      <w:r w:rsidR="00A200D7"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وتقرير المفوض السامي لعام 2016 (</w:t>
      </w:r>
      <w:r w:rsidR="00B03976" w:rsidRPr="00895CED">
        <w:rPr>
          <w:rFonts w:ascii="Traditional Arabic" w:hAnsi="Traditional Arabic" w:cs="Traditional Arabic"/>
          <w:sz w:val="30"/>
          <w:szCs w:val="30"/>
        </w:rPr>
        <w:t>A/HRC/33/38</w:t>
      </w:r>
      <w:r w:rsidR="00B03976" w:rsidRPr="00895CED">
        <w:rPr>
          <w:rFonts w:ascii="Traditional Arabic" w:hAnsi="Traditional Arabic" w:cs="Traditional Arabic"/>
          <w:sz w:val="30"/>
          <w:szCs w:val="30"/>
          <w:rtl/>
        </w:rPr>
        <w:t>)</w:t>
      </w:r>
      <w:r w:rsidR="00A200D7" w:rsidRPr="00895CED">
        <w:rPr>
          <w:rFonts w:ascii="Traditional Arabic" w:hAnsi="Traditional Arabic" w:cs="Traditional Arabic"/>
          <w:sz w:val="30"/>
          <w:szCs w:val="30"/>
          <w:rtl/>
          <w:lang w:bidi="ar-LB"/>
        </w:rPr>
        <w:t>،</w:t>
      </w:r>
      <w:r w:rsidR="00B03976" w:rsidRPr="00895CED">
        <w:rPr>
          <w:rFonts w:ascii="Traditional Arabic" w:hAnsi="Traditional Arabic" w:cs="Traditional Arabic"/>
          <w:sz w:val="30"/>
          <w:szCs w:val="30"/>
          <w:rtl/>
        </w:rPr>
        <w:t xml:space="preserve"> وتقرير المفوض السامي لعام 2017 (</w:t>
      </w:r>
      <w:r w:rsidR="00B03976" w:rsidRPr="00895CED">
        <w:rPr>
          <w:rFonts w:ascii="Traditional Arabic" w:hAnsi="Traditional Arabic" w:cs="Traditional Arabic"/>
          <w:sz w:val="30"/>
          <w:szCs w:val="30"/>
        </w:rPr>
        <w:t>A / HRC / 36/33</w:t>
      </w:r>
      <w:r w:rsidR="00AC5019"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الذي يغطي </w:t>
      </w:r>
      <w:r w:rsidR="00B03976" w:rsidRPr="00895CED">
        <w:rPr>
          <w:rFonts w:ascii="Traditional Arabic" w:hAnsi="Traditional Arabic" w:cs="Traditional Arabic"/>
          <w:sz w:val="30"/>
          <w:szCs w:val="30"/>
          <w:rtl/>
        </w:rPr>
        <w:t xml:space="preserve">طوال الفترة من </w:t>
      </w:r>
      <w:r w:rsidRPr="00895CED">
        <w:rPr>
          <w:rFonts w:ascii="Traditional Arabic" w:hAnsi="Traditional Arabic" w:cs="Traditional Arabic"/>
          <w:sz w:val="30"/>
          <w:szCs w:val="30"/>
          <w:rtl/>
        </w:rPr>
        <w:t xml:space="preserve">أيلول/ </w:t>
      </w:r>
      <w:r w:rsidR="00B03976" w:rsidRPr="00895CED">
        <w:rPr>
          <w:rFonts w:ascii="Traditional Arabic" w:hAnsi="Traditional Arabic" w:cs="Traditional Arabic"/>
          <w:sz w:val="30"/>
          <w:szCs w:val="30"/>
          <w:rtl/>
        </w:rPr>
        <w:t xml:space="preserve">سبتمبر 2014 إلى </w:t>
      </w:r>
      <w:r w:rsidRPr="00895CED">
        <w:rPr>
          <w:rFonts w:ascii="Traditional Arabic" w:hAnsi="Traditional Arabic" w:cs="Traditional Arabic"/>
          <w:sz w:val="30"/>
          <w:szCs w:val="30"/>
          <w:rtl/>
        </w:rPr>
        <w:t>حزيران/ يونيو 2017</w:t>
      </w:r>
      <w:r w:rsidR="00B03976"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w:t>
      </w:r>
      <w:r w:rsidR="00B03976" w:rsidRPr="00895CED">
        <w:rPr>
          <w:rFonts w:ascii="Traditional Arabic" w:hAnsi="Traditional Arabic" w:cs="Traditional Arabic"/>
          <w:sz w:val="30"/>
          <w:szCs w:val="30"/>
          <w:rtl/>
        </w:rPr>
        <w:t>معيار الإثبات</w:t>
      </w:r>
      <w:r w:rsidRPr="00895CED">
        <w:rPr>
          <w:rFonts w:ascii="Traditional Arabic" w:hAnsi="Traditional Arabic" w:cs="Traditional Arabic"/>
          <w:sz w:val="30"/>
          <w:szCs w:val="30"/>
          <w:rtl/>
        </w:rPr>
        <w:t xml:space="preserve"> نفسه</w:t>
      </w:r>
      <w:r w:rsidR="00B03976" w:rsidRPr="00895CED">
        <w:rPr>
          <w:rFonts w:ascii="Traditional Arabic" w:hAnsi="Traditional Arabic" w:cs="Traditional Arabic"/>
          <w:sz w:val="30"/>
          <w:szCs w:val="30"/>
          <w:rtl/>
        </w:rPr>
        <w:t xml:space="preserve"> الذي اتبعه فريق الخبراء، أي "</w:t>
      </w:r>
      <w:r w:rsidRPr="00895CED">
        <w:rPr>
          <w:rFonts w:ascii="Traditional Arabic" w:hAnsi="Traditional Arabic" w:cs="Traditional Arabic"/>
          <w:sz w:val="30"/>
          <w:szCs w:val="30"/>
          <w:rtl/>
        </w:rPr>
        <w:t>الأ</w:t>
      </w:r>
      <w:r w:rsidR="00B03976" w:rsidRPr="00895CED">
        <w:rPr>
          <w:rFonts w:ascii="Traditional Arabic" w:hAnsi="Traditional Arabic" w:cs="Traditional Arabic"/>
          <w:sz w:val="30"/>
          <w:szCs w:val="30"/>
          <w:rtl/>
        </w:rPr>
        <w:t xml:space="preserve">سباب </w:t>
      </w:r>
      <w:r w:rsidRPr="00895CED">
        <w:rPr>
          <w:rFonts w:ascii="Traditional Arabic" w:hAnsi="Traditional Arabic" w:cs="Traditional Arabic"/>
          <w:sz w:val="30"/>
          <w:szCs w:val="30"/>
          <w:rtl/>
        </w:rPr>
        <w:t>ال</w:t>
      </w:r>
      <w:r w:rsidR="00B03976" w:rsidRPr="00895CED">
        <w:rPr>
          <w:rFonts w:ascii="Traditional Arabic" w:hAnsi="Traditional Arabic" w:cs="Traditional Arabic"/>
          <w:sz w:val="30"/>
          <w:szCs w:val="30"/>
          <w:rtl/>
        </w:rPr>
        <w:t xml:space="preserve">معقولة للاعتقاد". </w:t>
      </w:r>
      <w:r w:rsidRPr="00895CED">
        <w:rPr>
          <w:rFonts w:ascii="Traditional Arabic" w:hAnsi="Traditional Arabic" w:cs="Traditional Arabic"/>
          <w:sz w:val="30"/>
          <w:szCs w:val="30"/>
          <w:rtl/>
        </w:rPr>
        <w:t>و</w:t>
      </w:r>
      <w:r w:rsidR="00B03976" w:rsidRPr="00895CED">
        <w:rPr>
          <w:rFonts w:ascii="Traditional Arabic" w:hAnsi="Traditional Arabic" w:cs="Traditional Arabic"/>
          <w:sz w:val="30"/>
          <w:szCs w:val="30"/>
          <w:rtl/>
        </w:rPr>
        <w:t xml:space="preserve">تشير التقارير إلى أن المفوضية تستخلص النتائج فقط عندما يتم الوفاء بهذا المعيار. </w:t>
      </w:r>
      <w:r w:rsidRPr="00895CED">
        <w:rPr>
          <w:rFonts w:ascii="Traditional Arabic" w:hAnsi="Traditional Arabic" w:cs="Traditional Arabic"/>
          <w:sz w:val="30"/>
          <w:szCs w:val="30"/>
          <w:rtl/>
        </w:rPr>
        <w:t xml:space="preserve">وقد </w:t>
      </w:r>
      <w:r w:rsidR="00B03976" w:rsidRPr="00895CED">
        <w:rPr>
          <w:rFonts w:ascii="Traditional Arabic" w:hAnsi="Traditional Arabic" w:cs="Traditional Arabic"/>
          <w:sz w:val="30"/>
          <w:szCs w:val="30"/>
          <w:rtl/>
        </w:rPr>
        <w:t>أجرى فريق الخبراء مراجعة مستقلة للحوادث المشار إليها في التقارير.</w:t>
      </w:r>
    </w:p>
    <w:p w14:paraId="3B481DB1" w14:textId="1312C6FE" w:rsidR="00B03976" w:rsidRPr="00C64D61" w:rsidRDefault="000669D7" w:rsidP="00B33F16">
      <w:pPr>
        <w:pStyle w:val="HChGA"/>
        <w:numPr>
          <w:ilvl w:val="0"/>
          <w:numId w:val="4"/>
        </w:numPr>
        <w:tabs>
          <w:tab w:val="clear" w:pos="1021"/>
          <w:tab w:val="left" w:pos="1089"/>
        </w:tabs>
        <w:ind w:left="549" w:firstLine="9"/>
        <w:rPr>
          <w:rStyle w:val="Heading2Char"/>
          <w:sz w:val="38"/>
        </w:rPr>
      </w:pPr>
      <w:bookmarkStart w:id="9" w:name="_Toc18918094"/>
      <w:r w:rsidRPr="00C64D61">
        <w:rPr>
          <w:rStyle w:val="Heading2Char"/>
          <w:rFonts w:hint="cs"/>
          <w:sz w:val="38"/>
          <w:rtl/>
        </w:rPr>
        <w:t>الإ</w:t>
      </w:r>
      <w:r w:rsidR="00B03976" w:rsidRPr="00C64D61">
        <w:rPr>
          <w:rStyle w:val="Heading2Char"/>
          <w:sz w:val="38"/>
          <w:rtl/>
        </w:rPr>
        <w:t xml:space="preserve">طار </w:t>
      </w:r>
      <w:r w:rsidRPr="00C64D61">
        <w:rPr>
          <w:rStyle w:val="Heading2Char"/>
          <w:rFonts w:hint="cs"/>
          <w:sz w:val="38"/>
          <w:rtl/>
        </w:rPr>
        <w:t>ال</w:t>
      </w:r>
      <w:r w:rsidR="00B03976" w:rsidRPr="00C64D61">
        <w:rPr>
          <w:rStyle w:val="Heading2Char"/>
          <w:sz w:val="38"/>
          <w:rtl/>
        </w:rPr>
        <w:t>قانوني</w:t>
      </w:r>
      <w:bookmarkEnd w:id="9"/>
    </w:p>
    <w:p w14:paraId="49F2A93D" w14:textId="6E1C00B5" w:rsidR="00B6551B" w:rsidRPr="0091724D" w:rsidRDefault="00B6551B" w:rsidP="00B33F16">
      <w:pPr>
        <w:pStyle w:val="Heading3"/>
        <w:numPr>
          <w:ilvl w:val="0"/>
          <w:numId w:val="5"/>
        </w:numPr>
        <w:bidi/>
        <w:ind w:left="1179" w:hanging="720"/>
        <w:rPr>
          <w:rFonts w:ascii="Traditional Arabic" w:hAnsi="Traditional Arabic" w:cs="Traditional Arabic"/>
          <w:b/>
          <w:bCs/>
          <w:sz w:val="30"/>
          <w:szCs w:val="30"/>
        </w:rPr>
      </w:pPr>
      <w:bookmarkStart w:id="10" w:name="_Toc18918095"/>
      <w:r w:rsidRPr="0091724D">
        <w:rPr>
          <w:rFonts w:ascii="Traditional Arabic" w:hAnsi="Traditional Arabic" w:cs="Traditional Arabic"/>
          <w:b/>
          <w:bCs/>
          <w:sz w:val="30"/>
          <w:szCs w:val="30"/>
          <w:rtl/>
        </w:rPr>
        <w:t>المقدمة</w:t>
      </w:r>
      <w:bookmarkEnd w:id="10"/>
    </w:p>
    <w:p w14:paraId="788CB254" w14:textId="74127804" w:rsidR="00B6551B" w:rsidRDefault="00B6551B" w:rsidP="00910A89">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lang w:bidi="ar-YE"/>
        </w:rPr>
      </w:pPr>
      <w:r w:rsidRPr="001C2049">
        <w:rPr>
          <w:rFonts w:ascii="Traditional Arabic" w:hAnsi="Traditional Arabic" w:cs="Traditional Arabic" w:hint="cs"/>
          <w:sz w:val="30"/>
          <w:szCs w:val="30"/>
          <w:rtl/>
          <w:lang w:bidi="ar-YE"/>
        </w:rPr>
        <w:t xml:space="preserve">ينص </w:t>
      </w:r>
      <w:r w:rsidRPr="001C2049">
        <w:rPr>
          <w:rFonts w:ascii="Traditional Arabic" w:hAnsi="Traditional Arabic" w:cs="Traditional Arabic" w:hint="cs"/>
          <w:sz w:val="30"/>
          <w:szCs w:val="30"/>
          <w:rtl/>
        </w:rPr>
        <w:t xml:space="preserve">قرار مجلس حقوق الإنسان 36\31، </w:t>
      </w:r>
      <w:r w:rsidRPr="001C2049">
        <w:rPr>
          <w:rStyle w:val="tlid-translation"/>
          <w:rFonts w:ascii="Traditional Arabic" w:hAnsi="Traditional Arabic" w:cs="Traditional Arabic" w:hint="cs"/>
          <w:sz w:val="30"/>
          <w:szCs w:val="30"/>
          <w:rtl/>
        </w:rPr>
        <w:t>الممد</w:t>
      </w:r>
      <w:r w:rsidRPr="001C2049">
        <w:rPr>
          <w:rStyle w:val="tlid-translation"/>
          <w:rFonts w:ascii="Traditional Arabic" w:hAnsi="Traditional Arabic" w:cs="Traditional Arabic" w:hint="cs"/>
          <w:sz w:val="30"/>
          <w:szCs w:val="30"/>
          <w:rtl/>
          <w:lang w:bidi="ar-YE"/>
        </w:rPr>
        <w:t>د</w:t>
      </w:r>
      <w:r w:rsidRPr="001C2049">
        <w:rPr>
          <w:rStyle w:val="tlid-translation"/>
          <w:rFonts w:ascii="Traditional Arabic" w:hAnsi="Traditional Arabic" w:cs="Traditional Arabic" w:hint="cs"/>
          <w:sz w:val="30"/>
          <w:szCs w:val="30"/>
          <w:rtl/>
        </w:rPr>
        <w:t xml:space="preserve"> بموجب </w:t>
      </w:r>
      <w:r w:rsidRPr="001C2049">
        <w:rPr>
          <w:rFonts w:ascii="Traditional Arabic" w:hAnsi="Traditional Arabic" w:cs="Traditional Arabic" w:hint="cs"/>
          <w:sz w:val="30"/>
          <w:szCs w:val="30"/>
          <w:rtl/>
        </w:rPr>
        <w:t xml:space="preserve">القرار 39\16 على أن  </w:t>
      </w:r>
      <w:r w:rsidRPr="001C2049">
        <w:rPr>
          <w:rStyle w:val="tlid-translation"/>
          <w:rFonts w:ascii="Traditional Arabic" w:hAnsi="Traditional Arabic" w:cs="Traditional Arabic" w:hint="cs"/>
          <w:sz w:val="30"/>
          <w:szCs w:val="30"/>
          <w:rtl/>
        </w:rPr>
        <w:t xml:space="preserve">تكمن ولاية فريق الخبراء </w:t>
      </w:r>
      <w:r>
        <w:rPr>
          <w:rStyle w:val="tlid-translation"/>
          <w:rFonts w:ascii="Traditional Arabic" w:hAnsi="Traditional Arabic" w:cs="Traditional Arabic"/>
          <w:sz w:val="30"/>
          <w:szCs w:val="30"/>
          <w:rtl/>
        </w:rPr>
        <w:t>–</w:t>
      </w:r>
      <w:r w:rsidRPr="001C2049">
        <w:rPr>
          <w:rStyle w:val="tlid-translation"/>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rPr>
        <w:t>من</w:t>
      </w:r>
      <w:r>
        <w:rPr>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rPr>
        <w:t xml:space="preserve">جملة ما تضمنه القرار – في استقصاء "شامل لجميع الانتهاكات والتجاوزات المزعومة للقانون الدولي لحقوق الإنسان وللمجالات الأخرى المناسبة والقابلة </w:t>
      </w:r>
      <w:r w:rsidR="00910A89">
        <w:rPr>
          <w:rFonts w:ascii="Traditional Arabic" w:hAnsi="Traditional Arabic" w:cs="Traditional Arabic" w:hint="cs"/>
          <w:sz w:val="30"/>
          <w:szCs w:val="30"/>
          <w:rtl/>
        </w:rPr>
        <w:t>ل</w:t>
      </w:r>
      <w:r w:rsidRPr="001C2049">
        <w:rPr>
          <w:rFonts w:ascii="Traditional Arabic" w:hAnsi="Traditional Arabic" w:cs="Traditional Arabic" w:hint="cs"/>
          <w:sz w:val="30"/>
          <w:szCs w:val="30"/>
          <w:rtl/>
        </w:rPr>
        <w:t>لتطبيق من القانون الدولي التي ارتكبها جميع الأطراف في النزاع."</w:t>
      </w:r>
      <w:r w:rsidRPr="001C2049">
        <w:rPr>
          <w:rFonts w:ascii="Traditional Arabic" w:hAnsi="Traditional Arabic" w:cs="Traditional Arabic" w:hint="cs"/>
          <w:sz w:val="30"/>
          <w:szCs w:val="30"/>
          <w:vertAlign w:val="superscript"/>
        </w:rPr>
        <w:footnoteReference w:id="10"/>
      </w:r>
      <w:r w:rsidRPr="001C2049">
        <w:rPr>
          <w:rFonts w:ascii="Traditional Arabic" w:hAnsi="Traditional Arabic" w:cs="Traditional Arabic" w:hint="cs"/>
          <w:sz w:val="30"/>
          <w:szCs w:val="30"/>
        </w:rPr>
        <w:t xml:space="preserve"> </w:t>
      </w:r>
      <w:r w:rsidRPr="001C2049">
        <w:rPr>
          <w:rFonts w:ascii="Traditional Arabic" w:hAnsi="Traditional Arabic" w:cs="Traditional Arabic" w:hint="cs"/>
          <w:sz w:val="30"/>
          <w:szCs w:val="30"/>
          <w:rtl/>
        </w:rPr>
        <w:t>في سياق حالة النزاع في اليمن، اختار فريق الخبراء، كما فعل في تقريره الأول، رصد الانتهاكات للقانون الدولي لحقوق الإنسان والقانون الدولي الإنساني والقانون الجنائي الدولي</w:t>
      </w:r>
      <w:r w:rsidRPr="001C2049">
        <w:rPr>
          <w:rFonts w:ascii="Traditional Arabic" w:hAnsi="Traditional Arabic" w:cs="Traditional Arabic" w:hint="cs"/>
          <w:sz w:val="30"/>
          <w:szCs w:val="30"/>
        </w:rPr>
        <w:t>.</w:t>
      </w:r>
      <w:r w:rsidRPr="001C2049">
        <w:rPr>
          <w:rFonts w:ascii="Traditional Arabic" w:hAnsi="Traditional Arabic" w:cs="Traditional Arabic" w:hint="cs"/>
          <w:sz w:val="30"/>
          <w:szCs w:val="30"/>
          <w:rtl/>
        </w:rPr>
        <w:t xml:space="preserve"> </w:t>
      </w:r>
      <w:r w:rsidRPr="001C2049">
        <w:rPr>
          <w:rFonts w:ascii="Traditional Arabic" w:hAnsi="Traditional Arabic" w:cs="Traditional Arabic" w:hint="cs"/>
          <w:sz w:val="30"/>
          <w:szCs w:val="30"/>
          <w:rtl/>
          <w:lang w:bidi="ar-YE"/>
        </w:rPr>
        <w:t xml:space="preserve"> </w:t>
      </w:r>
    </w:p>
    <w:p w14:paraId="48A2419E" w14:textId="51BF52D7" w:rsidR="00B6551B" w:rsidRDefault="00B6551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lang w:bidi="ar-YE"/>
        </w:rPr>
      </w:pPr>
      <w:r w:rsidRPr="00B6551B">
        <w:rPr>
          <w:rFonts w:ascii="Traditional Arabic" w:hAnsi="Traditional Arabic" w:cs="Traditional Arabic"/>
          <w:sz w:val="30"/>
          <w:szCs w:val="30"/>
          <w:rtl/>
        </w:rPr>
        <w:t xml:space="preserve">يتم وصف الوضع في اليمن بشكل أساسي على أنه نزاع بين الحكومة اليمنية المدعومة من قبل التحالف الدولي بقيادة المملكة العربية السعودية والحوثيين. لكن يوجد أيضًا عددًا من النزاعات المسلحة غير الدولية الأخرى </w:t>
      </w:r>
      <w:r w:rsidRPr="00B6551B">
        <w:rPr>
          <w:rFonts w:ascii="Traditional Arabic" w:hAnsi="Traditional Arabic" w:cs="Traditional Arabic" w:hint="cs"/>
          <w:sz w:val="30"/>
          <w:szCs w:val="30"/>
          <w:rtl/>
        </w:rPr>
        <w:t xml:space="preserve">المنفصلة ولكن المترابطة </w:t>
      </w:r>
      <w:r w:rsidRPr="00B6551B">
        <w:rPr>
          <w:rFonts w:ascii="Traditional Arabic" w:hAnsi="Traditional Arabic" w:cs="Traditional Arabic"/>
          <w:sz w:val="30"/>
          <w:szCs w:val="30"/>
          <w:rtl/>
        </w:rPr>
        <w:t>والتي تشارك فيها جماعات مسلحة مختلفة، سواء كانت تابعة لأطراف النزاع الرئيسي أو تدعمها. يُطبّق القانون الدولي الإنساني والقانون الدولي لحقوق الإنسان في اليمن بناءً على قانون المعاهدات والقانون العرفي</w:t>
      </w:r>
      <w:r w:rsidRPr="00B6551B">
        <w:rPr>
          <w:rFonts w:ascii="Traditional Arabic" w:hAnsi="Traditional Arabic" w:cs="Traditional Arabic"/>
          <w:sz w:val="30"/>
          <w:szCs w:val="30"/>
        </w:rPr>
        <w:t>.</w:t>
      </w:r>
    </w:p>
    <w:p w14:paraId="33D9F0ED" w14:textId="1171C473" w:rsidR="00B6551B" w:rsidRPr="0091724D" w:rsidRDefault="00B6551B" w:rsidP="00B33F16">
      <w:pPr>
        <w:pStyle w:val="Heading3"/>
        <w:numPr>
          <w:ilvl w:val="0"/>
          <w:numId w:val="5"/>
        </w:numPr>
        <w:tabs>
          <w:tab w:val="left" w:pos="720"/>
        </w:tabs>
        <w:bidi/>
        <w:ind w:left="999" w:hanging="540"/>
        <w:rPr>
          <w:rFonts w:ascii="Traditional Arabic" w:hAnsi="Traditional Arabic" w:cs="Traditional Arabic"/>
          <w:b/>
          <w:bCs/>
          <w:sz w:val="30"/>
          <w:szCs w:val="30"/>
          <w:rtl/>
        </w:rPr>
      </w:pPr>
      <w:bookmarkStart w:id="11" w:name="_Toc18918096"/>
      <w:r w:rsidRPr="0091724D">
        <w:rPr>
          <w:rFonts w:ascii="Traditional Arabic" w:hAnsi="Traditional Arabic" w:cs="Traditional Arabic"/>
          <w:b/>
          <w:bCs/>
          <w:sz w:val="30"/>
          <w:szCs w:val="30"/>
          <w:rtl/>
        </w:rPr>
        <w:lastRenderedPageBreak/>
        <w:t>القانون الواجب التطبيق</w:t>
      </w:r>
      <w:bookmarkEnd w:id="11"/>
    </w:p>
    <w:p w14:paraId="43540CA0" w14:textId="77777777" w:rsidR="00B6551B" w:rsidRPr="00B6551B" w:rsidRDefault="00B6551B" w:rsidP="00361237">
      <w:pPr>
        <w:tabs>
          <w:tab w:val="left" w:pos="720"/>
        </w:tabs>
        <w:bidi/>
        <w:rPr>
          <w:rtl/>
        </w:rPr>
      </w:pPr>
    </w:p>
    <w:p w14:paraId="7187A34D" w14:textId="603745F2" w:rsidR="007356FB" w:rsidRPr="006C62F7" w:rsidRDefault="00B03976" w:rsidP="00B33F16">
      <w:pPr>
        <w:pStyle w:val="Heading3"/>
        <w:numPr>
          <w:ilvl w:val="0"/>
          <w:numId w:val="6"/>
        </w:numPr>
        <w:bidi/>
        <w:spacing w:after="240"/>
        <w:ind w:left="1179" w:hanging="540"/>
        <w:rPr>
          <w:rFonts w:ascii="Traditional Arabic" w:hAnsi="Traditional Arabic" w:cs="Traditional Arabic"/>
          <w:b/>
          <w:bCs/>
          <w:sz w:val="30"/>
          <w:szCs w:val="30"/>
          <w:rtl/>
        </w:rPr>
      </w:pPr>
      <w:bookmarkStart w:id="12" w:name="_Toc18918097"/>
      <w:r w:rsidRPr="006C62F7">
        <w:rPr>
          <w:rFonts w:ascii="Traditional Arabic" w:hAnsi="Traditional Arabic" w:cs="Traditional Arabic"/>
          <w:b/>
          <w:bCs/>
          <w:sz w:val="30"/>
          <w:szCs w:val="30"/>
          <w:rtl/>
        </w:rPr>
        <w:t xml:space="preserve">القانون </w:t>
      </w:r>
      <w:r w:rsidR="007356FB" w:rsidRPr="006C62F7">
        <w:rPr>
          <w:rFonts w:ascii="Traditional Arabic" w:hAnsi="Traditional Arabic" w:cs="Traditional Arabic"/>
          <w:b/>
          <w:bCs/>
          <w:sz w:val="30"/>
          <w:szCs w:val="30"/>
          <w:rtl/>
        </w:rPr>
        <w:t xml:space="preserve">الدولي </w:t>
      </w:r>
      <w:r w:rsidR="000669D7" w:rsidRPr="006C62F7">
        <w:rPr>
          <w:rFonts w:ascii="Traditional Arabic" w:hAnsi="Traditional Arabic" w:cs="Traditional Arabic"/>
          <w:b/>
          <w:bCs/>
          <w:sz w:val="30"/>
          <w:szCs w:val="30"/>
          <w:rtl/>
        </w:rPr>
        <w:t>الإنساني</w:t>
      </w:r>
      <w:bookmarkEnd w:id="12"/>
      <w:r w:rsidR="000669D7" w:rsidRPr="006C62F7">
        <w:rPr>
          <w:rFonts w:ascii="Traditional Arabic" w:hAnsi="Traditional Arabic" w:cs="Traditional Arabic"/>
          <w:b/>
          <w:bCs/>
          <w:sz w:val="30"/>
          <w:szCs w:val="30"/>
          <w:rtl/>
        </w:rPr>
        <w:t xml:space="preserve"> </w:t>
      </w:r>
    </w:p>
    <w:p w14:paraId="7564F3BC" w14:textId="77777777" w:rsidR="00B6551B" w:rsidRPr="00B6551B" w:rsidRDefault="00B6551B"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rPr>
      </w:pPr>
      <w:r w:rsidRPr="00B6551B">
        <w:rPr>
          <w:rStyle w:val="tlid-translation"/>
          <w:rFonts w:ascii="Traditional Arabic" w:hAnsi="Traditional Arabic" w:cs="Traditional Arabic" w:hint="cs"/>
          <w:sz w:val="30"/>
          <w:szCs w:val="30"/>
          <w:rtl/>
        </w:rPr>
        <w:t>يستند القانون الدولي الإنساني إلى مبادئ معينة.</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 xml:space="preserve">تجد هذه المبادئ </w:t>
      </w:r>
      <w:r w:rsidRPr="00B6551B">
        <w:rPr>
          <w:rStyle w:val="tlid-translation"/>
          <w:rFonts w:ascii="Traditional Arabic" w:hAnsi="Traditional Arabic" w:cs="Traditional Arabic" w:hint="cs"/>
          <w:sz w:val="30"/>
          <w:szCs w:val="30"/>
          <w:rtl/>
          <w:lang w:bidi="ar-YE"/>
        </w:rPr>
        <w:t>ال</w:t>
      </w:r>
      <w:r w:rsidRPr="00B6551B">
        <w:rPr>
          <w:rStyle w:val="tlid-translation"/>
          <w:rFonts w:ascii="Traditional Arabic" w:hAnsi="Traditional Arabic" w:cs="Traditional Arabic" w:hint="cs"/>
          <w:sz w:val="30"/>
          <w:szCs w:val="30"/>
          <w:rtl/>
        </w:rPr>
        <w:t>تعبير القانوني في قواعد مفصلة، تكون ملزمة لجميع أطراف النزاع. وتشمل المبادئ مبدأ التمييز بين العسكريين والمدنيين ومبدأ التناسب.</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تمثل القواعد نفسها توازنًا بين المخاوف الإنسانية والضرورة العسكرية.</w:t>
      </w:r>
      <w:r w:rsidRPr="00B6551B">
        <w:rPr>
          <w:rStyle w:val="tlid-translation"/>
          <w:rFonts w:ascii="Traditional Arabic" w:hAnsi="Traditional Arabic" w:cs="Traditional Arabic" w:hint="cs"/>
          <w:sz w:val="30"/>
          <w:szCs w:val="30"/>
          <w:lang w:bidi="ar"/>
        </w:rPr>
        <w:t xml:space="preserve"> </w:t>
      </w:r>
      <w:r w:rsidRPr="00B6551B">
        <w:rPr>
          <w:rStyle w:val="tlid-translation"/>
          <w:rFonts w:ascii="Traditional Arabic" w:hAnsi="Traditional Arabic" w:cs="Traditional Arabic" w:hint="cs"/>
          <w:sz w:val="30"/>
          <w:szCs w:val="30"/>
          <w:rtl/>
        </w:rPr>
        <w:t>لا يجوز الاستئناف في الضرورة العسكرية خارج القواعد، لأنها تُؤخذ في الاعتبار عند صياغتها سابقًا.</w:t>
      </w:r>
      <w:r w:rsidRPr="00B6551B">
        <w:rPr>
          <w:rStyle w:val="tlid-translation"/>
          <w:rFonts w:ascii="Traditional Arabic" w:hAnsi="Traditional Arabic" w:cs="Traditional Arabic" w:hint="cs"/>
          <w:sz w:val="30"/>
          <w:szCs w:val="30"/>
          <w:lang w:bidi="ar"/>
        </w:rPr>
        <w:t xml:space="preserve"> </w:t>
      </w:r>
      <w:r w:rsidRPr="001C2049">
        <w:rPr>
          <w:rStyle w:val="FootnoteReference"/>
          <w:rFonts w:ascii="Traditional Arabic" w:hAnsi="Traditional Arabic" w:cs="Traditional Arabic" w:hint="cs"/>
          <w:sz w:val="30"/>
          <w:szCs w:val="30"/>
          <w:lang w:val="en-US"/>
        </w:rPr>
        <w:footnoteReference w:id="11"/>
      </w:r>
      <w:r w:rsidRPr="00B6551B">
        <w:rPr>
          <w:rStyle w:val="tlid-translation"/>
          <w:rFonts w:ascii="Traditional Arabic" w:hAnsi="Traditional Arabic" w:cs="Traditional Arabic" w:hint="cs"/>
          <w:sz w:val="30"/>
          <w:szCs w:val="30"/>
          <w:rtl/>
        </w:rPr>
        <w:t>يقوم ممثلو الدول بمن فيهم المستشارون العسكريون بصياغة قواعد المعاهدات</w:t>
      </w:r>
      <w:r w:rsidRPr="00B6551B">
        <w:rPr>
          <w:rStyle w:val="tlid-translation"/>
          <w:rFonts w:ascii="Traditional Arabic" w:hAnsi="Traditional Arabic" w:cs="Traditional Arabic" w:hint="cs"/>
          <w:sz w:val="30"/>
          <w:szCs w:val="30"/>
          <w:lang w:bidi="ar"/>
        </w:rPr>
        <w:t>.</w:t>
      </w:r>
    </w:p>
    <w:p w14:paraId="36C65ACD" w14:textId="3A903320" w:rsidR="0091724D" w:rsidRDefault="0091724D" w:rsidP="006042AE">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يعتبر النزاع بين القوات المسلحة التابعة للحكومة اليمنية (يُشار إليها لاحقاً بإسم "القوات المسلحة اليمنية") والحوثيين بمثابة نزاع مسلّح غير دولي بين دولة طرف وجماعة مسلّحة غير تابعة للدولة. تواجدت شروط النزاع المسلّح، وبالأخص وصول الأعمال العدائية إلى درجة الشدة اللازمة، طوال الفترة الزمنية قيد الاستعراض. النزاعات المسلحة غير الدولية</w:t>
      </w:r>
      <w:r w:rsidRPr="0091724D">
        <w:rPr>
          <w:rFonts w:ascii="Traditional Arabic" w:hAnsi="Traditional Arabic" w:cs="Traditional Arabic"/>
          <w:sz w:val="30"/>
          <w:szCs w:val="30"/>
          <w:rtl/>
        </w:rPr>
        <w:t xml:space="preserve"> ينظّمها قانون المعاهدات وبالتحديد المادة 3 المشتركة في اتفاقيات جنيف الأربع لعام 1949 </w:t>
      </w:r>
      <w:r w:rsidR="006042AE">
        <w:rPr>
          <w:rFonts w:ascii="Traditional Arabic" w:hAnsi="Traditional Arabic" w:cs="Traditional Arabic" w:hint="cs"/>
          <w:sz w:val="30"/>
          <w:szCs w:val="30"/>
          <w:rtl/>
        </w:rPr>
        <w:t xml:space="preserve">(سيتم </w:t>
      </w:r>
      <w:r w:rsidR="006042AE">
        <w:rPr>
          <w:rFonts w:ascii="Traditional Arabic" w:hAnsi="Traditional Arabic" w:cs="Traditional Arabic" w:hint="cs"/>
          <w:sz w:val="30"/>
          <w:szCs w:val="30"/>
          <w:rtl/>
          <w:lang w:val="en-US" w:bidi="ar-JO"/>
        </w:rPr>
        <w:t>ذ</w:t>
      </w:r>
      <w:r w:rsidR="006042AE">
        <w:rPr>
          <w:rFonts w:ascii="Traditional Arabic" w:hAnsi="Traditional Arabic" w:cs="Traditional Arabic" w:hint="cs"/>
          <w:sz w:val="30"/>
          <w:szCs w:val="30"/>
          <w:rtl/>
        </w:rPr>
        <w:t xml:space="preserve">كرها لاحقًا كالمادة 3 المشتركة) </w:t>
      </w:r>
      <w:r w:rsidRPr="0091724D">
        <w:rPr>
          <w:rFonts w:ascii="Traditional Arabic" w:hAnsi="Traditional Arabic" w:cs="Traditional Arabic"/>
          <w:sz w:val="30"/>
          <w:szCs w:val="30"/>
          <w:rtl/>
        </w:rPr>
        <w:t>والبروتوكول الإضافي الثاني الملحق بها</w:t>
      </w:r>
      <w:r w:rsidR="006042AE">
        <w:rPr>
          <w:rFonts w:ascii="Traditional Arabic" w:hAnsi="Traditional Arabic" w:cs="Traditional Arabic" w:hint="cs"/>
          <w:sz w:val="30"/>
          <w:szCs w:val="30"/>
          <w:rtl/>
        </w:rPr>
        <w:t xml:space="preserve"> (أيضًا سيتم </w:t>
      </w:r>
      <w:r w:rsidR="006042AE">
        <w:rPr>
          <w:rFonts w:ascii="Traditional Arabic" w:hAnsi="Traditional Arabic" w:cs="Traditional Arabic" w:hint="cs"/>
          <w:sz w:val="30"/>
          <w:szCs w:val="30"/>
          <w:rtl/>
          <w:lang w:val="en-US" w:bidi="ar-JO"/>
        </w:rPr>
        <w:t>ذ</w:t>
      </w:r>
      <w:r w:rsidR="006042AE">
        <w:rPr>
          <w:rFonts w:ascii="Traditional Arabic" w:hAnsi="Traditional Arabic" w:cs="Traditional Arabic" w:hint="cs"/>
          <w:sz w:val="30"/>
          <w:szCs w:val="30"/>
          <w:rtl/>
        </w:rPr>
        <w:t>كره لاحقًا كـ"</w:t>
      </w:r>
      <w:r w:rsidR="006042AE" w:rsidRPr="0091724D">
        <w:rPr>
          <w:rFonts w:ascii="Traditional Arabic" w:hAnsi="Traditional Arabic" w:cs="Traditional Arabic"/>
          <w:sz w:val="30"/>
          <w:szCs w:val="30"/>
          <w:rtl/>
        </w:rPr>
        <w:t>البروتوكول الإضافي الثاني</w:t>
      </w:r>
      <w:r w:rsidR="006042AE">
        <w:rPr>
          <w:rFonts w:ascii="Traditional Arabic" w:hAnsi="Traditional Arabic" w:cs="Traditional Arabic" w:hint="cs"/>
          <w:sz w:val="30"/>
          <w:szCs w:val="30"/>
          <w:rtl/>
        </w:rPr>
        <w:t xml:space="preserve"> لسنة 1977")</w:t>
      </w:r>
      <w:r w:rsidR="006042AE" w:rsidRPr="0091724D">
        <w:rPr>
          <w:rFonts w:ascii="Traditional Arabic" w:hAnsi="Traditional Arabic" w:cs="Traditional Arabic"/>
          <w:sz w:val="30"/>
          <w:szCs w:val="30"/>
          <w:rtl/>
        </w:rPr>
        <w:t xml:space="preserve"> </w:t>
      </w:r>
      <w:r w:rsidRPr="0091724D">
        <w:rPr>
          <w:rFonts w:ascii="Traditional Arabic" w:hAnsi="Traditional Arabic" w:cs="Traditional Arabic"/>
          <w:sz w:val="30"/>
          <w:szCs w:val="30"/>
          <w:rtl/>
        </w:rPr>
        <w:t>واليمن طرف فيها وكذلك القانون الدولي الإنساني العرفي</w:t>
      </w:r>
      <w:r w:rsidRPr="0091724D">
        <w:rPr>
          <w:rFonts w:ascii="Traditional Arabic" w:hAnsi="Traditional Arabic" w:cs="Traditional Arabic"/>
          <w:sz w:val="30"/>
          <w:szCs w:val="30"/>
        </w:rPr>
        <w:t>.</w:t>
      </w:r>
      <w:r w:rsidRPr="0091724D">
        <w:rPr>
          <w:rFonts w:ascii="Traditional Arabic" w:hAnsi="Traditional Arabic" w:cs="Traditional Arabic"/>
          <w:sz w:val="30"/>
          <w:szCs w:val="30"/>
          <w:rtl/>
        </w:rPr>
        <w:t xml:space="preserve"> </w:t>
      </w:r>
    </w:p>
    <w:p w14:paraId="7E2C7F38" w14:textId="11FB5FCF" w:rsidR="0091724D" w:rsidRPr="0091724D" w:rsidRDefault="0091724D" w:rsidP="006042AE">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91724D">
        <w:rPr>
          <w:rFonts w:ascii="Traditional Arabic" w:hAnsi="Traditional Arabic" w:cs="Traditional Arabic"/>
          <w:sz w:val="30"/>
          <w:szCs w:val="30"/>
          <w:rtl/>
        </w:rPr>
        <w:t>بالإضافة إلى المادة 3 المشتركة في اتفاقيات جنيف الأربع، ينطبق البروتوكول الإضافي الثاني على النزاع بين القوات المسلحة اليمنية والحوثيين. في الواقع، يصل مستوى تنظيم</w:t>
      </w:r>
      <w:r w:rsidRPr="0091724D">
        <w:rPr>
          <w:rFonts w:ascii="Traditional Arabic" w:hAnsi="Traditional Arabic" w:cs="Traditional Arabic" w:hint="cs"/>
          <w:sz w:val="30"/>
          <w:szCs w:val="30"/>
          <w:rtl/>
        </w:rPr>
        <w:t xml:space="preserve"> سلطات الأمر الواقع</w:t>
      </w:r>
      <w:r w:rsidRPr="0091724D">
        <w:rPr>
          <w:rFonts w:ascii="Traditional Arabic" w:hAnsi="Traditional Arabic" w:cs="Traditional Arabic"/>
          <w:sz w:val="30"/>
          <w:szCs w:val="30"/>
          <w:rtl/>
        </w:rPr>
        <w:t xml:space="preserve"> </w:t>
      </w:r>
      <w:r w:rsidRPr="0091724D">
        <w:rPr>
          <w:rFonts w:ascii="Traditional Arabic" w:hAnsi="Traditional Arabic" w:cs="Traditional Arabic" w:hint="cs"/>
          <w:sz w:val="30"/>
          <w:szCs w:val="30"/>
          <w:rtl/>
        </w:rPr>
        <w:t>و</w:t>
      </w:r>
      <w:r w:rsidRPr="0091724D">
        <w:rPr>
          <w:rFonts w:ascii="Traditional Arabic" w:hAnsi="Traditional Arabic" w:cs="Traditional Arabic"/>
          <w:sz w:val="30"/>
          <w:szCs w:val="30"/>
          <w:rtl/>
        </w:rPr>
        <w:t>الحوثي</w:t>
      </w:r>
      <w:r w:rsidR="006042AE">
        <w:rPr>
          <w:rFonts w:ascii="Traditional Arabic" w:hAnsi="Traditional Arabic" w:cs="Traditional Arabic" w:hint="cs"/>
          <w:sz w:val="30"/>
          <w:szCs w:val="30"/>
          <w:rtl/>
        </w:rPr>
        <w:t>ين</w:t>
      </w:r>
      <w:r w:rsidRPr="0091724D">
        <w:rPr>
          <w:rFonts w:ascii="Traditional Arabic" w:hAnsi="Traditional Arabic" w:cs="Traditional Arabic"/>
          <w:sz w:val="30"/>
          <w:szCs w:val="30"/>
          <w:rtl/>
        </w:rPr>
        <w:t>، وسيطرتها على أجزاء من الأراضي اليمنية إلى عتبة التطبيق المحدد في المادة الأولى من البروتوكول الإضافي الثاني</w:t>
      </w:r>
      <w:r w:rsidRPr="0091724D">
        <w:rPr>
          <w:rFonts w:ascii="Traditional Arabic" w:hAnsi="Traditional Arabic" w:cs="Traditional Arabic"/>
          <w:sz w:val="30"/>
          <w:szCs w:val="30"/>
        </w:rPr>
        <w:t>.</w:t>
      </w:r>
    </w:p>
    <w:p w14:paraId="58A7DB21" w14:textId="789C31E5" w:rsidR="00B03976"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كما أن اليمن ملزم بمعاهدات أخرى صدق عليها، لا سيما فيما يتعلق بوسائل وأساليب الحرب. تعتبر اتفاقية حظر الألغام المضادة للأفراد لعام 1997 والتي صادق عليها اليمن ذات أهمية خاصة في السياق الحالي. ومع ذلك، تجدر الإشارة إلى أن اليمن لم يصدّق على اتفاقية عام 1980 أو بروتوكولاتها التي تحظر أسلحة تقليدية معينة أو اتفاقية 2008 بشأن الذخائر العنقودية.</w:t>
      </w:r>
    </w:p>
    <w:p w14:paraId="1B331990" w14:textId="689A2031" w:rsidR="0091724D" w:rsidRPr="006C62F7"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6C62F7">
        <w:rPr>
          <w:rStyle w:val="tlid-translation"/>
          <w:rFonts w:ascii="Traditional Arabic" w:hAnsi="Traditional Arabic" w:cs="Traditional Arabic"/>
          <w:sz w:val="30"/>
          <w:szCs w:val="30"/>
          <w:rtl/>
        </w:rPr>
        <w:t>الجماعات المسلحة من غير الدول ملزمة – بحسب توفر الشروط المتعلقة بمستوى تنظيمها ومدى سيطرتها على الأراضي</w:t>
      </w:r>
      <w:r w:rsidR="006C62F7">
        <w:rPr>
          <w:rStyle w:val="FootnoteReference"/>
          <w:rFonts w:cs="Traditional Arabic"/>
          <w:szCs w:val="30"/>
          <w:rtl/>
        </w:rPr>
        <w:footnoteReference w:id="12"/>
      </w:r>
      <w:r w:rsidRPr="006C62F7">
        <w:rPr>
          <w:rStyle w:val="tlid-translation"/>
          <w:rFonts w:ascii="Traditional Arabic" w:hAnsi="Traditional Arabic" w:cs="Traditional Arabic"/>
          <w:sz w:val="30"/>
          <w:szCs w:val="30"/>
          <w:rtl/>
        </w:rPr>
        <w:t xml:space="preserve">  – بموجب المادة 3 المشتركة من اتفاقيات جنيف والبروتوكول الإضافي الثاني. يُطبّق تعبير طرف في النزاع من دون تمييز بين الأطراف التي هي دول والأخرى غير الرسمية المتورطة في النزاع، على الرغم من أن الجماعات المسلحة غير التابعة للدولة بطبيعتها ليست </w:t>
      </w:r>
      <w:r w:rsidRPr="006C62F7">
        <w:rPr>
          <w:rStyle w:val="tlid-translation"/>
          <w:rFonts w:ascii="Traditional Arabic" w:hAnsi="Traditional Arabic" w:cs="Traditional Arabic"/>
          <w:sz w:val="30"/>
          <w:szCs w:val="30"/>
          <w:rtl/>
        </w:rPr>
        <w:lastRenderedPageBreak/>
        <w:t>في وضع يمكّنها من التصديق على معاهدات القانون الدولي الإنساني.</w:t>
      </w:r>
      <w:r w:rsidR="00112A0A">
        <w:rPr>
          <w:rStyle w:val="FootnoteReference"/>
          <w:rFonts w:cs="Traditional Arabic"/>
          <w:szCs w:val="30"/>
          <w:rtl/>
        </w:rPr>
        <w:footnoteReference w:id="13"/>
      </w:r>
      <w:r w:rsidRPr="006C62F7">
        <w:rPr>
          <w:rStyle w:val="tlid-translation"/>
          <w:rFonts w:ascii="Traditional Arabic" w:hAnsi="Traditional Arabic" w:cs="Traditional Arabic"/>
          <w:sz w:val="30"/>
          <w:szCs w:val="30"/>
          <w:rtl/>
        </w:rPr>
        <w:t xml:space="preserve">  وقالت سلطة الأمر الواقع في ردها على قائمة القضايا التي أرسلها إليها فريق الخبراء البارزين في سنة 2019 أن قواتها تحترم التزاماتها الدولية بحماية المدنيين وفقًا للقانون الدولي الإنساني والقانون الدولي لحقوق الإنسان. كما ذكرت سلطات الأمر الواقع أنها تعتبر نفسها ملزمة بإتفاقية حظر الألغام المضادة للأفراد لعام 1997 والتي صادق عليها اليمن.</w:t>
      </w:r>
      <w:r>
        <w:rPr>
          <w:rStyle w:val="FootnoteReference"/>
          <w:rFonts w:cs="Traditional Arabic"/>
          <w:szCs w:val="30"/>
          <w:rtl/>
        </w:rPr>
        <w:footnoteReference w:id="14"/>
      </w:r>
      <w:r w:rsidRPr="006C62F7">
        <w:rPr>
          <w:rStyle w:val="tlid-translation"/>
          <w:rFonts w:ascii="Traditional Arabic" w:hAnsi="Traditional Arabic" w:cs="Traditional Arabic"/>
          <w:sz w:val="30"/>
          <w:szCs w:val="30"/>
          <w:rtl/>
        </w:rPr>
        <w:t xml:space="preserve">  كما يُعد القانون الدولي الإنساني العرفي ذات صلة بشكل خاص في ما يتعلق بالنزاعات المسلحة غير الدولية والتي تعني أطراف النزاع التابعة وغير التابعة للدولة.</w:t>
      </w:r>
      <w:r w:rsidR="00112A0A" w:rsidRPr="00112A0A">
        <w:rPr>
          <w:rtl/>
        </w:rPr>
        <w:t xml:space="preserve"> </w:t>
      </w:r>
      <w:r w:rsidR="00112A0A" w:rsidRPr="00112A0A">
        <w:rPr>
          <w:rStyle w:val="tlid-translation"/>
          <w:rFonts w:ascii="Traditional Arabic" w:hAnsi="Traditional Arabic" w:cs="Traditional Arabic"/>
          <w:sz w:val="30"/>
          <w:szCs w:val="30"/>
          <w:rtl/>
        </w:rPr>
        <w:t>القواعد العرفية هي نتاج ممارسة الدول، مصحوبة برأي مفاده أن هذه الممارسة مطلوبة (استلزم الرأي القانوني) أو المسموح بها على وجه التحديد</w:t>
      </w:r>
      <w:r w:rsidR="00112A0A">
        <w:rPr>
          <w:rStyle w:val="tlid-translation"/>
          <w:rFonts w:ascii="Traditional Arabic" w:hAnsi="Traditional Arabic" w:cs="Traditional Arabic" w:hint="cs"/>
          <w:sz w:val="30"/>
          <w:szCs w:val="30"/>
          <w:rtl/>
          <w:lang w:bidi="ar-JO"/>
        </w:rPr>
        <w:t xml:space="preserve">. </w:t>
      </w:r>
      <w:r w:rsidR="00112A0A" w:rsidRPr="00112A0A">
        <w:rPr>
          <w:rStyle w:val="tlid-translation"/>
          <w:rFonts w:ascii="Traditional Arabic" w:hAnsi="Traditional Arabic" w:cs="Traditional Arabic"/>
          <w:sz w:val="30"/>
          <w:szCs w:val="30"/>
          <w:rtl/>
          <w:lang w:bidi="ar-JO"/>
        </w:rPr>
        <w:t>وقد تمثل دراسة القانون العرفي التي أجرتها اللجنة الدولية</w:t>
      </w:r>
      <w:r w:rsidR="00112A0A">
        <w:rPr>
          <w:rStyle w:val="FootnoteReference"/>
          <w:rFonts w:cs="Traditional Arabic"/>
          <w:szCs w:val="30"/>
          <w:rtl/>
          <w:lang w:bidi="ar-JO"/>
        </w:rPr>
        <w:footnoteReference w:id="15"/>
      </w:r>
      <w:r w:rsidR="00112A0A" w:rsidRPr="00112A0A">
        <w:rPr>
          <w:rStyle w:val="tlid-translation"/>
          <w:rFonts w:ascii="Traditional Arabic" w:hAnsi="Traditional Arabic" w:cs="Traditional Arabic"/>
          <w:sz w:val="30"/>
          <w:szCs w:val="30"/>
          <w:rtl/>
          <w:lang w:bidi="ar-JO"/>
        </w:rPr>
        <w:t xml:space="preserve"> نقطة انطلاق مفيدة في تحديد الوضع العرفي لأي قاعدة</w:t>
      </w:r>
      <w:r w:rsidR="00112A0A">
        <w:rPr>
          <w:rStyle w:val="tlid-translation"/>
          <w:rFonts w:ascii="Traditional Arabic" w:hAnsi="Traditional Arabic" w:cs="Traditional Arabic" w:hint="cs"/>
          <w:sz w:val="30"/>
          <w:szCs w:val="30"/>
          <w:rtl/>
          <w:lang w:bidi="ar-JO"/>
        </w:rPr>
        <w:t>.</w:t>
      </w:r>
      <w:r w:rsidR="00112A0A" w:rsidRPr="00112A0A">
        <w:rPr>
          <w:rtl/>
        </w:rPr>
        <w:t xml:space="preserve"> </w:t>
      </w:r>
      <w:r w:rsidR="00112A0A" w:rsidRPr="00112A0A">
        <w:rPr>
          <w:rStyle w:val="tlid-translation"/>
          <w:rFonts w:ascii="Traditional Arabic" w:hAnsi="Traditional Arabic" w:cs="Traditional Arabic"/>
          <w:sz w:val="30"/>
          <w:szCs w:val="30"/>
          <w:rtl/>
          <w:lang w:bidi="ar-JO"/>
        </w:rPr>
        <w:t>والواقع أن من المقبول عموما، على النحو المبين في دراسة القانون العرفي، أن معظم القواعد المنطبقة على النزاعات المسلحة الدولية تنطبق أيضا، بموجب القانون الإنساني الدولي العرفي، على النزاعات المسلحة غير الدولية.</w:t>
      </w:r>
      <w:r w:rsidR="00112A0A">
        <w:rPr>
          <w:rStyle w:val="FootnoteReference"/>
          <w:rFonts w:cs="Traditional Arabic"/>
          <w:szCs w:val="30"/>
          <w:rtl/>
          <w:lang w:bidi="ar-JO"/>
        </w:rPr>
        <w:footnoteReference w:id="16"/>
      </w:r>
    </w:p>
    <w:p w14:paraId="73E3E2F5" w14:textId="727594D2"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إن مشاركة التحالف الدولي بقيادة السعودية   في آذار/ مارس 2015 بناءً على طلب من الحكومة اليمنية وبدعمٍ منها لا يغير من الطابع غير الدولي للنزاع. نظرًا لأن التحالف الدولي يدعم اليمن كدولة طرف في نزاع ضد جماعة مسلحة غير تابعة للدولة، لا يوجد أي نزاع بين دولتين طرفين وهذا شرط أساسي لاعتبار النزاع دوليًا. أصبحت الدول الأعضاء في التحالف الداعم لحكومة اليمن أطرافًا "محاربة" في النزاع المسلح غير الدولي الموجود مسبقًا بين اليمن والحوثيين منذ تدخل التحالف في آذار/مارس 2015. دول أعضاء التحالف ملتزمة باحترام القانون الدولي الإنساني الدولي الواجب التطبيق بما في ذلك المادة 3 المشتركة باتفاقيات جنيف الأربع والبروتوكول الإضافي الثاني لعام 1977 بالإضافة إلى القانون العرفي.</w:t>
      </w:r>
    </w:p>
    <w:p w14:paraId="23DB3A78" w14:textId="09529F85"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 xml:space="preserve">صدّق جميع الدول الأعضاء في التحالف على اتفاقيات جنيف الأربع وبروتوكوليها الإضافيين لعام 1977. إلا أن أغلبية الدول الأعضاء الحاليين في التحالف (المملكة العربية السعودية والبحرين ومصر والإمارات العربية المتحدة) لم تصدّق على اتفاقية حظر الألغام المضادة للأفراد. كما أن هذه الدول الأعضاء ليست طرفًا في الاتفاقية بشأن الذخائر العنقودية، باستثناء السنغال. المسألة أكثر تعقيدًا أما في ما يتعلق بالاتفاقية لحظر أسلحة تقليدية معينة وإثنين أو أكثر من بروتوكولاتها، فإن جميع أعضاء التحالف أطرافًا فيها باستثناء مصر والسودان. الأردن والكويت والسنغال قد صدّقت على البروتوكول الثاني الخاص بحظر أو تقييد استعمال الألغام والأفخاخ المتفجرة والأجهزة الأخرى، فيما غالبية دول </w:t>
      </w:r>
      <w:r w:rsidRPr="0091724D">
        <w:rPr>
          <w:rStyle w:val="tlid-translation"/>
          <w:rFonts w:ascii="Traditional Arabic" w:hAnsi="Traditional Arabic" w:cs="Traditional Arabic"/>
          <w:sz w:val="30"/>
          <w:szCs w:val="30"/>
          <w:rtl/>
        </w:rPr>
        <w:lastRenderedPageBreak/>
        <w:t>التحالف ليست طرفًا في الاتفاقية أو في صيغتها الأصلية البروتوكول الأول بشأن الشظايا التي لا يمكن الكشف عنها (باستثناء البحرين والسنغال) وفي البروتوكول الخامس بشأن المتفجرات من مخلفات الحرب (باستثناء الأردن).</w:t>
      </w:r>
    </w:p>
    <w:p w14:paraId="41BE59EE" w14:textId="27924728"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كما لا يزال يوجد في اليمن العديد من النزاعات المسلحة غير الدولية الأخرى والمختلفة من حيث مستويات الشدة بين القوات المسلحة اليمنية والجماعات المسلحة غير التابعة للدولة مثل القاعدة في شبه الجزيرة العربية و</w:t>
      </w:r>
      <w:r w:rsidR="0055071F">
        <w:rPr>
          <w:rStyle w:val="tlid-translation"/>
          <w:rFonts w:ascii="Traditional Arabic" w:hAnsi="Traditional Arabic" w:cs="Traditional Arabic" w:hint="cs"/>
          <w:sz w:val="30"/>
          <w:szCs w:val="30"/>
          <w:rtl/>
        </w:rPr>
        <w:t>ما يُعرف ب</w:t>
      </w:r>
      <w:r w:rsidRPr="0091724D">
        <w:rPr>
          <w:rStyle w:val="tlid-translation"/>
          <w:rFonts w:ascii="Traditional Arabic" w:hAnsi="Traditional Arabic" w:cs="Traditional Arabic"/>
          <w:sz w:val="30"/>
          <w:szCs w:val="30"/>
          <w:rtl/>
        </w:rPr>
        <w:t>تنظيم الدولة الإسلامية، وكذلك ما بين جماعات مسلحة مختلفة غير تابعة للدولة والتي أحيانًا تدعم أو تعارض طرفًا معينًا في النزاع الأساسي بين القوات المسلحة اليمنية والحوثيين. تلزم الأحكام ذات الصلة من القانون الدولي الإنساني جميع المجموعات بحسب مستوى تنظيمها وسيطرتها على الأراضي، لكنها في حدها الأدنى مقيدة بالالتزامات المنصوص عليها في المادة 3 المشتركة في اتفاقيات جنيف الأربع.</w:t>
      </w:r>
    </w:p>
    <w:p w14:paraId="27B35A8E" w14:textId="0C187D1F" w:rsidR="0091724D" w:rsidRDefault="0091724D"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91724D">
        <w:rPr>
          <w:rStyle w:val="tlid-translation"/>
          <w:rFonts w:ascii="Traditional Arabic" w:hAnsi="Traditional Arabic" w:cs="Traditional Arabic"/>
          <w:sz w:val="30"/>
          <w:szCs w:val="30"/>
          <w:rtl/>
        </w:rPr>
        <w:t>كذلك ذات أهمية للفترة المشمولة في التقرير هي عمليات استخدام الطائرات المسيرة من دون طيار في الأراضي اليمنية من قبل الولايات المتحدة الأمريكية ضمن نطاق عملياتها ضد القاعدة في شبه الجزيرة العربية وتنظيم الدولة الإسلامية. وفق تقارير، هذه العمليات بدأت لدعم حرب الحكومة اليمنية ضد تنظيم القاعدة باعتباره جماعة مسلحة غير تابعة للدولة، وبالتالي يتم التحقق فيها من منظار نزاع مسلح غير دولي. من حيث القانون الدولي الإنساني الواجب التطبيق، فإن الولايات المتحدة طرف في اتفاقيات جنيف الأربع، لكنها لم تصدق على بروتوكولاتها الإضافية لعام 1977. كما أنها ملزمة بالقانون الدولي العرفي. تم النظر في جزء المساءلة في التزامات الولايات المتحدة أمام القانون الدولي الإنساني كدولة ثالثة في النزاع الرئيسي إلى جانب دول أخرى.</w:t>
      </w:r>
      <w:r w:rsidR="00112A0A">
        <w:rPr>
          <w:rStyle w:val="FootnoteReference"/>
          <w:rFonts w:cs="Traditional Arabic"/>
          <w:szCs w:val="30"/>
          <w:rtl/>
        </w:rPr>
        <w:footnoteReference w:id="17"/>
      </w:r>
    </w:p>
    <w:p w14:paraId="4ECDA9E0" w14:textId="4DAA32FC" w:rsidR="006C62F7" w:rsidRDefault="006C62F7" w:rsidP="005950AF">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6C62F7">
        <w:rPr>
          <w:rStyle w:val="tlid-translation"/>
          <w:rFonts w:ascii="Traditional Arabic" w:hAnsi="Traditional Arabic" w:cs="Traditional Arabic"/>
          <w:sz w:val="30"/>
          <w:szCs w:val="30"/>
          <w:rtl/>
        </w:rPr>
        <w:t xml:space="preserve">إن </w:t>
      </w:r>
      <w:r w:rsidR="005950AF">
        <w:rPr>
          <w:rStyle w:val="tlid-translation"/>
          <w:rFonts w:ascii="Traditional Arabic" w:hAnsi="Traditional Arabic" w:cs="Traditional Arabic" w:hint="cs"/>
          <w:sz w:val="30"/>
          <w:szCs w:val="30"/>
          <w:rtl/>
        </w:rPr>
        <w:t>إ</w:t>
      </w:r>
      <w:r w:rsidRPr="006C62F7">
        <w:rPr>
          <w:rStyle w:val="tlid-translation"/>
          <w:rFonts w:ascii="Traditional Arabic" w:hAnsi="Traditional Arabic" w:cs="Traditional Arabic"/>
          <w:sz w:val="30"/>
          <w:szCs w:val="30"/>
          <w:rtl/>
        </w:rPr>
        <w:t xml:space="preserve">لتزامات الدول </w:t>
      </w:r>
      <w:r w:rsidR="00910A89">
        <w:rPr>
          <w:rStyle w:val="tlid-translation"/>
          <w:rFonts w:ascii="Traditional Arabic" w:hAnsi="Traditional Arabic" w:cs="Traditional Arabic" w:hint="cs"/>
          <w:sz w:val="30"/>
          <w:szCs w:val="30"/>
          <w:rtl/>
        </w:rPr>
        <w:t xml:space="preserve">كطرف </w:t>
      </w:r>
      <w:r w:rsidRPr="006C62F7">
        <w:rPr>
          <w:rStyle w:val="tlid-translation"/>
          <w:rFonts w:ascii="Traditional Arabic" w:hAnsi="Traditional Arabic" w:cs="Traditional Arabic"/>
          <w:sz w:val="30"/>
          <w:szCs w:val="30"/>
          <w:rtl/>
        </w:rPr>
        <w:t>ثالثة بضمان احترام القانون الدولي الإنساني، وفقًا للمادة 1 المشتركة في اتفاقيات جنيف الأربع</w:t>
      </w:r>
      <w:r w:rsidR="0055071F">
        <w:rPr>
          <w:rStyle w:val="tlid-translation"/>
          <w:rFonts w:ascii="Traditional Arabic" w:hAnsi="Traditional Arabic" w:cs="Traditional Arabic" w:hint="cs"/>
          <w:sz w:val="30"/>
          <w:szCs w:val="30"/>
          <w:rtl/>
        </w:rPr>
        <w:t xml:space="preserve"> (سيتم ذكرها لاحقًا بـ"المادة 1 المشتركة")</w:t>
      </w:r>
      <w:r w:rsidRPr="006C62F7">
        <w:rPr>
          <w:rStyle w:val="tlid-translation"/>
          <w:rFonts w:ascii="Traditional Arabic" w:hAnsi="Traditional Arabic" w:cs="Traditional Arabic"/>
          <w:sz w:val="30"/>
          <w:szCs w:val="30"/>
          <w:rtl/>
        </w:rPr>
        <w:t>، هي أيضًا ذات أهمية خاصة في هذا السياق. وينطبق هذا بشكل خاص على أي دولة تؤثر أو قد تقدم الدعم لأطراف النزاع مثل فرنسا والجمهورية الإسلامية الإيرانية والمملكة المتحدة لبريطانيا العظمى وإيرلندا الشمالية والولايات المتحدة الأميركية.</w:t>
      </w:r>
    </w:p>
    <w:p w14:paraId="0136D497" w14:textId="2418BAAF" w:rsidR="00B03976" w:rsidRPr="00112A0A" w:rsidRDefault="00B03976" w:rsidP="00B33F16">
      <w:pPr>
        <w:pStyle w:val="Heading3"/>
        <w:numPr>
          <w:ilvl w:val="0"/>
          <w:numId w:val="6"/>
        </w:numPr>
        <w:bidi/>
        <w:spacing w:after="240"/>
        <w:ind w:left="1089" w:hanging="540"/>
        <w:rPr>
          <w:rFonts w:ascii="Traditional Arabic" w:hAnsi="Traditional Arabic" w:cs="Traditional Arabic"/>
          <w:b/>
          <w:bCs/>
          <w:sz w:val="30"/>
          <w:szCs w:val="30"/>
          <w:rtl/>
        </w:rPr>
      </w:pPr>
      <w:bookmarkStart w:id="13" w:name="_Toc18918098"/>
      <w:r w:rsidRPr="00112A0A">
        <w:rPr>
          <w:rFonts w:ascii="Traditional Arabic" w:hAnsi="Traditional Arabic" w:cs="Traditional Arabic"/>
          <w:b/>
          <w:bCs/>
          <w:sz w:val="30"/>
          <w:szCs w:val="30"/>
          <w:rtl/>
        </w:rPr>
        <w:t>القانون الدولي لحقوق الإنسان</w:t>
      </w:r>
      <w:bookmarkEnd w:id="13"/>
    </w:p>
    <w:p w14:paraId="0AB1E968" w14:textId="77777777" w:rsidR="004F3AA7" w:rsidRPr="001C2049"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1C2049">
        <w:rPr>
          <w:rFonts w:ascii="Traditional Arabic" w:hAnsi="Traditional Arabic" w:cs="Traditional Arabic"/>
          <w:sz w:val="30"/>
          <w:szCs w:val="30"/>
          <w:rtl/>
        </w:rPr>
        <w:t xml:space="preserve">إن القانون الدولي لحقوق الإنسان يظل ذات صلة بالكامل في ما يخص السياق الحالي. إن التطبيق المتزامن للقانون الدولي الإنساني والقانون الدولي لحقوق الإنسان، أي سريان قانون حقوق الإنسان في حالة النزاع المسلح، قد تم </w:t>
      </w:r>
      <w:r w:rsidRPr="001C2049">
        <w:rPr>
          <w:rFonts w:ascii="Traditional Arabic" w:hAnsi="Traditional Arabic" w:cs="Traditional Arabic" w:hint="cs"/>
          <w:sz w:val="30"/>
          <w:szCs w:val="30"/>
          <w:rtl/>
        </w:rPr>
        <w:t xml:space="preserve">قبوله </w:t>
      </w:r>
      <w:r w:rsidRPr="001C2049">
        <w:rPr>
          <w:rFonts w:ascii="Traditional Arabic" w:hAnsi="Traditional Arabic" w:cs="Traditional Arabic"/>
          <w:sz w:val="30"/>
          <w:szCs w:val="30"/>
          <w:rtl/>
        </w:rPr>
        <w:t>على نطاق واسع</w:t>
      </w:r>
      <w:r w:rsidRPr="001C2049">
        <w:rPr>
          <w:rFonts w:ascii="Traditional Arabic" w:hAnsi="Traditional Arabic" w:cs="Traditional Arabic" w:hint="cs"/>
          <w:sz w:val="30"/>
          <w:szCs w:val="30"/>
          <w:rtl/>
        </w:rPr>
        <w:t xml:space="preserve">. </w:t>
      </w:r>
      <w:r w:rsidRPr="001C2049">
        <w:rPr>
          <w:rFonts w:ascii="Traditional Arabic" w:hAnsi="Traditional Arabic" w:cs="Traditional Arabic"/>
          <w:sz w:val="30"/>
          <w:szCs w:val="30"/>
          <w:rtl/>
        </w:rPr>
        <w:t xml:space="preserve">عالجت محكمة العدل الدولية القضية أولاً في رأيها الاستشاري لعام 1996 بشأن </w:t>
      </w:r>
      <w:r w:rsidRPr="001C2049">
        <w:rPr>
          <w:rFonts w:ascii="Traditional Arabic" w:hAnsi="Traditional Arabic" w:cs="Traditional Arabic"/>
          <w:i/>
          <w:iCs/>
          <w:sz w:val="30"/>
          <w:szCs w:val="30"/>
          <w:rtl/>
        </w:rPr>
        <w:t>مشروعية التهديد بالأسلحة النووية أو استخدامها</w:t>
      </w:r>
      <w:r w:rsidRPr="001C2049">
        <w:rPr>
          <w:rFonts w:ascii="Traditional Arabic" w:hAnsi="Traditional Arabic" w:cs="Traditional Arabic"/>
          <w:sz w:val="30"/>
          <w:szCs w:val="30"/>
          <w:vertAlign w:val="superscript"/>
        </w:rPr>
        <w:footnoteReference w:id="18"/>
      </w:r>
      <w:r w:rsidRPr="001C2049">
        <w:rPr>
          <w:rFonts w:ascii="Traditional Arabic" w:hAnsi="Traditional Arabic" w:cs="Traditional Arabic"/>
          <w:sz w:val="30"/>
          <w:szCs w:val="30"/>
          <w:rtl/>
        </w:rPr>
        <w:t xml:space="preserve">، </w:t>
      </w:r>
      <w:r w:rsidRPr="001C2049">
        <w:rPr>
          <w:rFonts w:ascii="Traditional Arabic" w:hAnsi="Traditional Arabic" w:cs="Traditional Arabic"/>
          <w:sz w:val="30"/>
          <w:szCs w:val="30"/>
          <w:rtl/>
        </w:rPr>
        <w:lastRenderedPageBreak/>
        <w:t>وأكدت كذلك التطبيق المتزامن للقانون الإنساني الدولي وقانون حقوق الإنسان في رأيها الاستشاري لعام 2004 بشأن</w:t>
      </w:r>
      <w:r w:rsidRPr="001C2049">
        <w:rPr>
          <w:rFonts w:ascii="Traditional Arabic" w:hAnsi="Traditional Arabic" w:cs="Traditional Arabic"/>
          <w:i/>
          <w:iCs/>
          <w:sz w:val="30"/>
          <w:szCs w:val="30"/>
          <w:rtl/>
        </w:rPr>
        <w:t xml:space="preserve"> الآثار القانونية لبناء جدار في الأراضي الفلسطينية المحتلة.</w:t>
      </w:r>
      <w:r w:rsidRPr="001C2049">
        <w:rPr>
          <w:rFonts w:ascii="Traditional Arabic" w:hAnsi="Traditional Arabic" w:cs="Traditional Arabic"/>
          <w:sz w:val="30"/>
          <w:szCs w:val="30"/>
          <w:rtl/>
        </w:rPr>
        <w:t xml:space="preserve"> في هذا الرأي الإستشاري الأخير، قررت محكمة العدل الدولية أن "الحماية التي توفرها اتفاقيات حقوق الإنسان لا تتوقف في حالة النزاع المسلح، إلا من خلال إعمال أحكام تقضي بعدم التقيد".</w:t>
      </w:r>
      <w:r w:rsidRPr="001C2049">
        <w:rPr>
          <w:rFonts w:ascii="Traditional Arabic" w:hAnsi="Traditional Arabic" w:cs="Traditional Arabic"/>
          <w:sz w:val="30"/>
          <w:szCs w:val="30"/>
          <w:vertAlign w:val="superscript"/>
        </w:rPr>
        <w:footnoteReference w:id="19"/>
      </w:r>
      <w:r w:rsidRPr="001C2049">
        <w:rPr>
          <w:rFonts w:ascii="Traditional Arabic" w:hAnsi="Traditional Arabic" w:cs="Traditional Arabic"/>
          <w:sz w:val="30"/>
          <w:szCs w:val="30"/>
          <w:rtl/>
        </w:rPr>
        <w:t xml:space="preserve"> في الواقع، كما تنص المادة 4 من العهد الدولي الخاص بالحقوق المدنية والسياسية، يجوز للدول أن تتخذ تدابير تقيد التزاماتها بمقتضى الاتفاقية وبموجب شروط صارمة فقط، بما في ذلك إعلان حالة الطوارئ العامة.</w:t>
      </w:r>
      <w:r w:rsidRPr="001C2049">
        <w:rPr>
          <w:rFonts w:ascii="Traditional Arabic" w:hAnsi="Traditional Arabic" w:cs="Traditional Arabic" w:hint="cs"/>
          <w:sz w:val="30"/>
          <w:szCs w:val="30"/>
          <w:rtl/>
        </w:rPr>
        <w:t xml:space="preserve">لكن، </w:t>
      </w:r>
      <w:r w:rsidRPr="001C2049">
        <w:rPr>
          <w:rFonts w:ascii="Traditional Arabic" w:hAnsi="Traditional Arabic" w:cs="Traditional Arabic"/>
          <w:sz w:val="30"/>
          <w:szCs w:val="30"/>
          <w:rtl/>
        </w:rPr>
        <w:t>لا يُسمح بالخروج عن الالتزامات إلا في بعض حقوق الإنسان، وليس الأساسية منها، والتي يُنتهك عدد منها بانتظام في اليمن كما هو موضح في هذا التقرير</w:t>
      </w:r>
      <w:r w:rsidRPr="001C2049">
        <w:rPr>
          <w:rFonts w:ascii="Traditional Arabic" w:hAnsi="Traditional Arabic" w:cs="Traditional Arabic"/>
          <w:sz w:val="30"/>
          <w:szCs w:val="30"/>
        </w:rPr>
        <w:t>.</w:t>
      </w:r>
    </w:p>
    <w:p w14:paraId="446367E3" w14:textId="77777777" w:rsidR="004F3AA7"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5B1DF1">
        <w:rPr>
          <w:rFonts w:ascii="Traditional Arabic" w:hAnsi="Traditional Arabic" w:cs="Traditional Arabic"/>
          <w:sz w:val="30"/>
          <w:szCs w:val="30"/>
          <w:rtl/>
        </w:rPr>
        <w:t>إن التزامات اليمن باحترام حقوق الإنسان وحمايتها وإعمالها دون أي تمييز، تحددها المعاهدات ذات الصلة التي صدق عليها اليمن</w:t>
      </w:r>
      <w:r>
        <w:rPr>
          <w:rFonts w:ascii="Traditional Arabic" w:hAnsi="Traditional Arabic" w:cs="Traditional Arabic"/>
          <w:sz w:val="30"/>
          <w:szCs w:val="30"/>
          <w:rtl/>
        </w:rPr>
        <w:t>، وكذلك بموجب القانون العرف</w:t>
      </w:r>
      <w:r>
        <w:rPr>
          <w:rFonts w:ascii="Traditional Arabic" w:hAnsi="Traditional Arabic" w:cs="Traditional Arabic" w:hint="cs"/>
          <w:sz w:val="30"/>
          <w:szCs w:val="30"/>
          <w:rtl/>
        </w:rPr>
        <w:t>ي.</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اليمن طرف في الاتفاقيات العالمية الأساسية لحقوق الإنسان باستثناء اتفاقية عام 1990 لحماية حقوق جميع العمال المهاجرين وأفراد أسرهم واتفاقية عام 2006 لحماية جميع الأشخاص من الاختفاء القسري.</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لقد انضم اليمن إلى كلا البروتوكولين الاختياريين لاتفاقية حقوق الطفل، أحدهما له أهمية خاصة في السياق الحالي حيث أنه يتعلق بمشاركة الأطفال في النزاعات المسلحة. ومع ذلك، لم يقبل اليمن أي إجراء لتقديم الشكاوى الفردية، باستثناء الإجراء المنصوص عليه في اتفاقية حقوق الأشخاص ذوي الإعاقة.</w:t>
      </w:r>
      <w:r w:rsidRPr="005B1DF1">
        <w:rPr>
          <w:rFonts w:ascii="Traditional Arabic" w:hAnsi="Traditional Arabic" w:cs="Traditional Arabic"/>
          <w:sz w:val="30"/>
          <w:szCs w:val="30"/>
        </w:rPr>
        <w:t xml:space="preserve"> </w:t>
      </w:r>
      <w:r w:rsidRPr="005B1DF1">
        <w:rPr>
          <w:rFonts w:ascii="Traditional Arabic" w:hAnsi="Traditional Arabic" w:cs="Traditional Arabic"/>
          <w:sz w:val="30"/>
          <w:szCs w:val="30"/>
          <w:rtl/>
        </w:rPr>
        <w:t>أخيراً، قبل اليمن إجراء التحقيق بموجب هذا الأخير، وكذلك بموجب اتفاقية مناهضة التعذيب</w:t>
      </w:r>
      <w:r w:rsidRPr="005B1DF1">
        <w:rPr>
          <w:rFonts w:ascii="Traditional Arabic" w:hAnsi="Traditional Arabic" w:cs="Traditional Arabic"/>
          <w:sz w:val="30"/>
          <w:szCs w:val="30"/>
        </w:rPr>
        <w:t>.</w:t>
      </w:r>
      <w:r w:rsidRPr="004B689C">
        <w:rPr>
          <w:rFonts w:ascii="Traditional Arabic" w:hAnsi="Traditional Arabic" w:cs="Traditional Arabic"/>
          <w:sz w:val="20"/>
          <w:vertAlign w:val="superscript"/>
        </w:rPr>
        <w:footnoteReference w:id="20"/>
      </w:r>
    </w:p>
    <w:p w14:paraId="6B63BA51" w14:textId="25E8B2FE" w:rsidR="007356FB" w:rsidRPr="004F3AA7" w:rsidRDefault="004F3AA7" w:rsidP="00B33F16">
      <w:pPr>
        <w:pStyle w:val="Heading3"/>
        <w:numPr>
          <w:ilvl w:val="0"/>
          <w:numId w:val="6"/>
        </w:numPr>
        <w:tabs>
          <w:tab w:val="left" w:pos="720"/>
        </w:tabs>
        <w:bidi/>
        <w:spacing w:after="240"/>
        <w:ind w:left="1089" w:hanging="540"/>
        <w:rPr>
          <w:rFonts w:ascii="Traditional Arabic" w:hAnsi="Traditional Arabic" w:cs="Traditional Arabic"/>
          <w:b/>
          <w:bCs/>
          <w:sz w:val="30"/>
          <w:szCs w:val="30"/>
        </w:rPr>
      </w:pPr>
      <w:bookmarkStart w:id="14" w:name="_Toc18918099"/>
      <w:r w:rsidRPr="004F3AA7">
        <w:rPr>
          <w:rFonts w:ascii="Traditional Arabic" w:hAnsi="Traditional Arabic" w:cs="Traditional Arabic"/>
          <w:b/>
          <w:bCs/>
          <w:sz w:val="30"/>
          <w:szCs w:val="30"/>
          <w:rtl/>
        </w:rPr>
        <w:t>القانون الجنائي الدولي</w:t>
      </w:r>
      <w:bookmarkEnd w:id="14"/>
    </w:p>
    <w:p w14:paraId="6B1AB954" w14:textId="1B2DE617" w:rsidR="008F3097" w:rsidRDefault="004F3AA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4F3AA7">
        <w:rPr>
          <w:rFonts w:ascii="Traditional Arabic" w:hAnsi="Traditional Arabic" w:cs="Traditional Arabic"/>
          <w:sz w:val="30"/>
          <w:szCs w:val="30"/>
          <w:rtl/>
        </w:rPr>
        <w:t>اليمن ليس طرفًا في نظام روما الأساسي للمحكمة الجنائية الدولية،</w:t>
      </w:r>
      <w:r>
        <w:rPr>
          <w:rStyle w:val="FootnoteReference"/>
          <w:rFonts w:cs="Traditional Arabic"/>
          <w:szCs w:val="30"/>
          <w:rtl/>
        </w:rPr>
        <w:footnoteReference w:id="21"/>
      </w:r>
      <w:r w:rsidRPr="004F3AA7">
        <w:rPr>
          <w:rFonts w:ascii="Traditional Arabic" w:hAnsi="Traditional Arabic" w:cs="Traditional Arabic"/>
          <w:sz w:val="30"/>
          <w:szCs w:val="30"/>
          <w:rtl/>
        </w:rPr>
        <w:t xml:space="preserve"> ولا حتى معظم أعضاء دول التحالف، بما في ذلك المملكة العربية الس</w:t>
      </w:r>
      <w:r>
        <w:rPr>
          <w:rFonts w:ascii="Traditional Arabic" w:hAnsi="Traditional Arabic" w:cs="Traditional Arabic"/>
          <w:sz w:val="30"/>
          <w:szCs w:val="30"/>
          <w:rtl/>
        </w:rPr>
        <w:t>عودية والإمارات العربية المتحدة</w:t>
      </w:r>
      <w:r w:rsidRPr="004F3AA7">
        <w:rPr>
          <w:rFonts w:ascii="Traditional Arabic" w:hAnsi="Traditional Arabic" w:cs="Traditional Arabic"/>
          <w:sz w:val="30"/>
          <w:szCs w:val="30"/>
          <w:rtl/>
        </w:rPr>
        <w:t>.</w:t>
      </w:r>
      <w:r>
        <w:rPr>
          <w:rStyle w:val="FootnoteReference"/>
          <w:rFonts w:cs="Traditional Arabic"/>
          <w:szCs w:val="30"/>
          <w:rtl/>
        </w:rPr>
        <w:footnoteReference w:id="22"/>
      </w:r>
      <w:r w:rsidRPr="004F3AA7">
        <w:rPr>
          <w:rFonts w:ascii="Traditional Arabic" w:hAnsi="Traditional Arabic" w:cs="Traditional Arabic"/>
          <w:sz w:val="30"/>
          <w:szCs w:val="30"/>
          <w:rtl/>
        </w:rPr>
        <w:t xml:space="preserve"> ومع ذلك، فإن مبدأ المسؤولية الجنائية الفردية عن جرائم الحرب معترف به منذ وقت طويل بموجب القانون الدولي العرفي.</w:t>
      </w:r>
      <w:r>
        <w:rPr>
          <w:rStyle w:val="FootnoteReference"/>
          <w:rFonts w:cs="Traditional Arabic"/>
          <w:szCs w:val="30"/>
          <w:rtl/>
        </w:rPr>
        <w:footnoteReference w:id="23"/>
      </w:r>
      <w:r w:rsidRPr="004F3AA7">
        <w:rPr>
          <w:rFonts w:ascii="Traditional Arabic" w:hAnsi="Traditional Arabic" w:cs="Traditional Arabic"/>
          <w:sz w:val="30"/>
          <w:szCs w:val="30"/>
          <w:rtl/>
        </w:rPr>
        <w:t xml:space="preserve">   تشمل جرائم الحرب الانتهاكات الجسيمة لاتفاقيات جنيف، فضلاً عن الانتهاكات الخطيرة الأخرى للقانون الإنساني الدولي. يسرد نظام روما الأساسي الأفعال التي تعتبرها المحكمة الجنائية الدولية كذلك، وينعكس ذلك في القانون الدولي العرفي في هذا الصدد.</w:t>
      </w:r>
      <w:r>
        <w:rPr>
          <w:rStyle w:val="FootnoteReference"/>
          <w:rFonts w:cs="Traditional Arabic"/>
          <w:szCs w:val="30"/>
          <w:rtl/>
        </w:rPr>
        <w:footnoteReference w:id="24"/>
      </w:r>
      <w:r w:rsidRPr="004F3AA7">
        <w:rPr>
          <w:rFonts w:ascii="Traditional Arabic" w:hAnsi="Traditional Arabic" w:cs="Traditional Arabic"/>
          <w:sz w:val="30"/>
          <w:szCs w:val="30"/>
          <w:rtl/>
        </w:rPr>
        <w:t xml:space="preserve">  </w:t>
      </w:r>
    </w:p>
    <w:p w14:paraId="1FDC46A6" w14:textId="049B43B6" w:rsidR="004F3AA7" w:rsidRPr="00285E85" w:rsidRDefault="004F3AA7" w:rsidP="0055071F">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285E85">
        <w:rPr>
          <w:rFonts w:ascii="Traditional Arabic" w:hAnsi="Traditional Arabic" w:cs="Traditional Arabic"/>
          <w:sz w:val="30"/>
          <w:szCs w:val="30"/>
          <w:rtl/>
        </w:rPr>
        <w:t xml:space="preserve">وفقًا للقانون الجنائي الدولي، يكون الأفراد من أعضاء القوات المسلحة مسؤولين عن جرائم الحرب التي ارتكبوها أو حاولوا ارتكابها، وللمساعدة في </w:t>
      </w:r>
      <w:r w:rsidRPr="00285E85">
        <w:rPr>
          <w:rFonts w:ascii="Traditional Arabic" w:hAnsi="Traditional Arabic" w:cs="Traditional Arabic"/>
          <w:sz w:val="30"/>
          <w:szCs w:val="30"/>
          <w:rtl/>
        </w:rPr>
        <w:lastRenderedPageBreak/>
        <w:t>ارتكاب جريمة حرب أو تيسيرها أو المساعدة أو التحريض عليها. التخطيط أو التحريض على ارتكاب جريمة حرب هو أيضا طريقة للمسؤولية. القادة والرؤساء الآخرون مسؤولون جنائيا عن جرائم الحرب المرتكبة عملا بأوامرهم.</w:t>
      </w:r>
      <w:r w:rsidRPr="00285E85">
        <w:rPr>
          <w:rFonts w:ascii="Traditional Arabic" w:hAnsi="Traditional Arabic" w:cs="Traditional Arabic"/>
          <w:sz w:val="30"/>
          <w:szCs w:val="30"/>
        </w:rPr>
        <w:t xml:space="preserve"> </w:t>
      </w:r>
      <w:r w:rsidRPr="00285E85">
        <w:rPr>
          <w:rFonts w:ascii="Traditional Arabic" w:hAnsi="Traditional Arabic" w:cs="Traditional Arabic"/>
          <w:sz w:val="30"/>
          <w:szCs w:val="30"/>
          <w:rtl/>
        </w:rPr>
        <w:t>علاوة على ذلك، قد تكون هذه الأخيرة مسؤولة جنائياً عن الفشل في منع أو قمع أو الإبلاغ عن جرائم الحرب التي يرتكبها مرؤوسوها. يمكن أن يكون الأفراد الأعضاء في الجماعات المسلحة غير الحكومية، وكذلك رؤسائهم، مسؤولين بشكل متساو عن جرائم الحرب بموجب القانون الجنائي الدولي</w:t>
      </w:r>
      <w:r w:rsidRPr="0003771B">
        <w:rPr>
          <w:rStyle w:val="FootnoteReference"/>
          <w:rFonts w:ascii="Simplified Arabic" w:hAnsi="Simplified Arabic" w:cs="Simplified Arabic"/>
          <w:sz w:val="24"/>
          <w:szCs w:val="24"/>
          <w:lang w:val="en-US"/>
        </w:rPr>
        <w:footnoteReference w:id="25"/>
      </w:r>
      <w:r w:rsidRPr="0003771B">
        <w:rPr>
          <w:rFonts w:ascii="Simplified Arabic" w:hAnsi="Simplified Arabic" w:cs="Simplified Arabic"/>
          <w:sz w:val="24"/>
          <w:szCs w:val="24"/>
          <w:rtl/>
          <w:lang w:val="en-US"/>
        </w:rPr>
        <w:t xml:space="preserve">. </w:t>
      </w:r>
      <w:r w:rsidRPr="00285E85">
        <w:rPr>
          <w:rFonts w:ascii="Traditional Arabic" w:hAnsi="Traditional Arabic" w:cs="Traditional Arabic"/>
          <w:sz w:val="30"/>
          <w:szCs w:val="30"/>
          <w:rtl/>
        </w:rPr>
        <w:t>بالإضافة إلى ذلك، يخضع أعضاء الجماعات المسلحة غير الحكومية للمحاكمة أمام محاكم الدولة التي يعملون فيها</w:t>
      </w:r>
      <w:r>
        <w:rPr>
          <w:rFonts w:ascii="Traditional Arabic" w:hAnsi="Traditional Arabic" w:cs="Traditional Arabic" w:hint="cs"/>
          <w:sz w:val="30"/>
          <w:szCs w:val="30"/>
          <w:rtl/>
        </w:rPr>
        <w:t xml:space="preserve"> وكذلك أمام محاكم الدول الأخرى التي تطبق الاختصاص العالمي.</w:t>
      </w:r>
      <w:r w:rsidR="0055071F">
        <w:rPr>
          <w:rFonts w:ascii="Traditional Arabic" w:hAnsi="Traditional Arabic" w:cs="Traditional Arabic" w:hint="cs"/>
          <w:sz w:val="30"/>
          <w:szCs w:val="30"/>
          <w:rtl/>
        </w:rPr>
        <w:t xml:space="preserve"> ختامًا، الأفراد، بما في ذلك الأطراف الثالثة والتي قد يمكن تحميلها مسؤولية جنائية عن القيام </w:t>
      </w:r>
      <w:r w:rsidR="0055071F">
        <w:rPr>
          <w:rFonts w:ascii="Traditional Arabic" w:hAnsi="Traditional Arabic" w:cs="Traditional Arabic" w:hint="cs"/>
          <w:sz w:val="30"/>
          <w:szCs w:val="30"/>
          <w:rtl/>
          <w:lang w:bidi="ar-JO"/>
        </w:rPr>
        <w:t>بتقديم العون أو التحريض أو المساعدة</w:t>
      </w:r>
      <w:r w:rsidR="0055071F">
        <w:rPr>
          <w:rFonts w:ascii="Traditional Arabic" w:hAnsi="Traditional Arabic" w:cs="Traditional Arabic" w:hint="cs"/>
          <w:sz w:val="30"/>
          <w:szCs w:val="30"/>
          <w:rtl/>
        </w:rPr>
        <w:t xml:space="preserve"> في ارتكاب جرائم الحرب. </w:t>
      </w:r>
      <w:r>
        <w:rPr>
          <w:rFonts w:ascii="Traditional Arabic" w:hAnsi="Traditional Arabic" w:cs="Traditional Arabic" w:hint="cs"/>
          <w:sz w:val="30"/>
          <w:szCs w:val="30"/>
          <w:rtl/>
        </w:rPr>
        <w:t xml:space="preserve"> </w:t>
      </w:r>
    </w:p>
    <w:p w14:paraId="679814C5" w14:textId="7545EFA1" w:rsidR="004F3AA7" w:rsidRDefault="00C836A4" w:rsidP="00C836A4">
      <w:pPr>
        <w:pStyle w:val="Heading3"/>
        <w:tabs>
          <w:tab w:val="left" w:pos="720"/>
        </w:tabs>
        <w:bidi/>
        <w:spacing w:after="240"/>
        <w:ind w:left="567"/>
        <w:rPr>
          <w:rFonts w:ascii="Traditional Arabic" w:hAnsi="Traditional Arabic" w:cs="Traditional Arabic"/>
          <w:b/>
          <w:bCs/>
          <w:sz w:val="30"/>
          <w:szCs w:val="30"/>
          <w:rtl/>
        </w:rPr>
      </w:pPr>
      <w:bookmarkStart w:id="15" w:name="_Toc18918100"/>
      <w:r>
        <w:rPr>
          <w:rFonts w:ascii="Traditional Arabic" w:hAnsi="Traditional Arabic" w:cs="Traditional Arabic" w:hint="cs"/>
          <w:b/>
          <w:bCs/>
          <w:sz w:val="30"/>
          <w:szCs w:val="30"/>
          <w:rtl/>
        </w:rPr>
        <w:t xml:space="preserve">جـ. </w:t>
      </w:r>
      <w:r w:rsidR="004F3AA7" w:rsidRPr="004F3AA7">
        <w:rPr>
          <w:rFonts w:ascii="Traditional Arabic" w:hAnsi="Traditional Arabic" w:cs="Traditional Arabic"/>
          <w:b/>
          <w:bCs/>
          <w:sz w:val="30"/>
          <w:szCs w:val="30"/>
          <w:rtl/>
        </w:rPr>
        <w:t>التحليل القانوني</w:t>
      </w:r>
      <w:bookmarkEnd w:id="15"/>
    </w:p>
    <w:p w14:paraId="572E5163" w14:textId="628AE508" w:rsidR="004F3AA7" w:rsidRPr="007F2748" w:rsidRDefault="004F3AA7" w:rsidP="0055071F">
      <w:pPr>
        <w:pStyle w:val="Footer"/>
        <w:numPr>
          <w:ilvl w:val="0"/>
          <w:numId w:val="3"/>
        </w:numPr>
        <w:tabs>
          <w:tab w:val="left" w:pos="720"/>
        </w:tabs>
        <w:bidi/>
        <w:spacing w:after="240"/>
        <w:ind w:left="1089" w:right="1089" w:firstLine="0"/>
        <w:jc w:val="both"/>
        <w:rPr>
          <w:rStyle w:val="tlid-translation"/>
        </w:rPr>
      </w:pPr>
      <w:r w:rsidRPr="001C2049">
        <w:rPr>
          <w:rStyle w:val="tlid-translation"/>
          <w:rFonts w:ascii="Traditional Arabic" w:hAnsi="Traditional Arabic" w:cs="Traditional Arabic" w:hint="cs"/>
          <w:sz w:val="30"/>
          <w:szCs w:val="30"/>
          <w:rtl/>
        </w:rPr>
        <w:t xml:space="preserve">في هذا التقرير، يتم عادةً تضمين التحليل القانوني المتعلق بالانتهاكات المزعومة للقانون الدولي الإنساني والقانون الدولي لحقوق الإنسان والقانون الجنائي الدولي، </w:t>
      </w:r>
      <w:r w:rsidR="0055071F">
        <w:rPr>
          <w:rStyle w:val="tlid-translation"/>
          <w:rFonts w:ascii="Traditional Arabic" w:hAnsi="Traditional Arabic" w:cs="Traditional Arabic" w:hint="cs"/>
          <w:sz w:val="30"/>
          <w:szCs w:val="30"/>
          <w:rtl/>
        </w:rPr>
        <w:t xml:space="preserve">إذا كان ذلك </w:t>
      </w:r>
      <w:r w:rsidRPr="001C2049">
        <w:rPr>
          <w:rStyle w:val="tlid-translation"/>
          <w:rFonts w:ascii="Traditional Arabic" w:hAnsi="Traditional Arabic" w:cs="Traditional Arabic" w:hint="cs"/>
          <w:sz w:val="30"/>
          <w:szCs w:val="30"/>
          <w:rtl/>
        </w:rPr>
        <w:t>مناسبًا، بعد وصف الوقائع في كل قسم رمزي.</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ومع ذلك، نظرًا لأن بعض المجالات متعددة القطاعات وتعقيداتها تتطلب بعض الدقة، فقد اختار فريق الخبراء تطويرها في هذا القس</w:t>
      </w:r>
      <w:r w:rsidRPr="001C2049">
        <w:rPr>
          <w:rStyle w:val="tlid-translation"/>
          <w:rFonts w:ascii="Traditional Arabic" w:hAnsi="Traditional Arabic" w:cs="Traditional Arabic" w:hint="cs"/>
          <w:sz w:val="30"/>
          <w:szCs w:val="30"/>
          <w:rtl/>
          <w:lang w:val="en-US" w:bidi="ar-YE"/>
        </w:rPr>
        <w:t>م.</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من حيث القانون الدولي الإنساني، هذا هو الحال بصفة خاصة لاستهداف القانون واستخدام الأسلحة.</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فيما يتعلق بالقانون الدولي لحقوق الإنسان، أضيفت توضيحات بشأن مدى التزامات الجهات المعنية</w:t>
      </w:r>
      <w:r w:rsidR="00D2065D">
        <w:rPr>
          <w:rStyle w:val="tlid-translation"/>
          <w:rFonts w:ascii="Traditional Arabic" w:hAnsi="Traditional Arabic" w:cs="Traditional Arabic"/>
          <w:sz w:val="30"/>
          <w:szCs w:val="30"/>
        </w:rPr>
        <w:t>.</w:t>
      </w:r>
    </w:p>
    <w:p w14:paraId="302A4712" w14:textId="6E6E2E4C" w:rsidR="007F2748" w:rsidRDefault="007F2748" w:rsidP="005D608B">
      <w:pPr>
        <w:pStyle w:val="Heading3"/>
        <w:numPr>
          <w:ilvl w:val="0"/>
          <w:numId w:val="7"/>
        </w:numPr>
        <w:tabs>
          <w:tab w:val="left" w:pos="720"/>
        </w:tabs>
        <w:bidi/>
        <w:ind w:left="1089" w:hanging="450"/>
        <w:rPr>
          <w:rFonts w:ascii="Traditional Arabic" w:hAnsi="Traditional Arabic" w:cs="Traditional Arabic"/>
          <w:b/>
          <w:bCs/>
          <w:sz w:val="30"/>
          <w:szCs w:val="30"/>
          <w:rtl/>
        </w:rPr>
      </w:pPr>
      <w:bookmarkStart w:id="16" w:name="_Toc18918101"/>
      <w:r w:rsidRPr="007F2748">
        <w:rPr>
          <w:rFonts w:ascii="Traditional Arabic" w:hAnsi="Traditional Arabic" w:cs="Traditional Arabic"/>
          <w:b/>
          <w:bCs/>
          <w:sz w:val="30"/>
          <w:szCs w:val="30"/>
          <w:rtl/>
        </w:rPr>
        <w:t>القانون الدولي الإنساني</w:t>
      </w:r>
      <w:bookmarkEnd w:id="16"/>
    </w:p>
    <w:p w14:paraId="18A63B22" w14:textId="5E62409E" w:rsidR="007F2748" w:rsidRPr="007F2748" w:rsidRDefault="007F2748" w:rsidP="0055071F">
      <w:pPr>
        <w:pStyle w:val="Footer"/>
        <w:numPr>
          <w:ilvl w:val="0"/>
          <w:numId w:val="3"/>
        </w:numPr>
        <w:tabs>
          <w:tab w:val="left" w:pos="720"/>
        </w:tabs>
        <w:bidi/>
        <w:spacing w:after="240"/>
        <w:ind w:left="1089" w:right="1089" w:firstLine="0"/>
        <w:jc w:val="both"/>
        <w:rPr>
          <w:rFonts w:ascii="Traditional Arabic" w:hAnsi="Traditional Arabic" w:cs="Traditional Arabic"/>
          <w:b/>
          <w:sz w:val="30"/>
          <w:szCs w:val="30"/>
          <w:rtl/>
        </w:rPr>
      </w:pPr>
      <w:r w:rsidRPr="007F2748">
        <w:rPr>
          <w:rStyle w:val="tlid-translation"/>
          <w:rFonts w:ascii="Traditional Arabic" w:hAnsi="Traditional Arabic" w:cs="Traditional Arabic" w:hint="cs"/>
          <w:sz w:val="30"/>
          <w:szCs w:val="30"/>
          <w:rtl/>
        </w:rPr>
        <w:t>تطور القانون الدولي الإنساني عبر مسارين رئيسيين. في حين أن كلاهما موجود منذ القدم، فقد تطورا بشكل منفصل على  شكل معاهدة. تناول المسار ا</w:t>
      </w:r>
      <w:r w:rsidR="00D2065D">
        <w:rPr>
          <w:rStyle w:val="tlid-translation"/>
          <w:rFonts w:ascii="Traditional Arabic" w:hAnsi="Traditional Arabic" w:cs="Traditional Arabic" w:hint="cs"/>
          <w:sz w:val="30"/>
          <w:szCs w:val="30"/>
          <w:rtl/>
        </w:rPr>
        <w:t>لأول سير الأعمال العدائية وكان</w:t>
      </w:r>
      <w:r w:rsidR="00D2065D">
        <w:rPr>
          <w:rStyle w:val="tlid-translation"/>
          <w:rFonts w:ascii="Traditional Arabic" w:hAnsi="Traditional Arabic" w:cs="Traditional Arabic"/>
          <w:sz w:val="30"/>
          <w:szCs w:val="30"/>
        </w:rPr>
        <w:t xml:space="preserve"> </w:t>
      </w:r>
      <w:r w:rsidRPr="007F2748">
        <w:rPr>
          <w:rStyle w:val="tlid-translation"/>
          <w:rFonts w:ascii="Traditional Arabic" w:hAnsi="Traditional Arabic" w:cs="Traditional Arabic" w:hint="cs"/>
          <w:sz w:val="30"/>
          <w:szCs w:val="30"/>
          <w:rtl/>
        </w:rPr>
        <w:t>يحكمه في المقام الأول مصالح الدول. غالبًا ما يشار إلى هذا المسار باسم "قانون لاهاي"، في أعقاب اعتماد العديد من القواعد بشأن سير الأعمال العدائية في مؤتمري لاهاي للسلام لعامي 1899 و1907.</w:t>
      </w:r>
      <w:r w:rsidRPr="001C2049">
        <w:rPr>
          <w:rStyle w:val="FootnoteReference"/>
          <w:rFonts w:ascii="Traditional Arabic" w:hAnsi="Traditional Arabic" w:cs="Traditional Arabic" w:hint="cs"/>
          <w:sz w:val="30"/>
          <w:szCs w:val="30"/>
          <w:lang w:val="en-US"/>
        </w:rPr>
        <w:footnoteReference w:id="26"/>
      </w:r>
      <w:r w:rsidRPr="007F2748">
        <w:rPr>
          <w:rStyle w:val="tlid-translation"/>
          <w:rFonts w:ascii="Traditional Arabic" w:hAnsi="Traditional Arabic" w:cs="Traditional Arabic" w:hint="cs"/>
          <w:sz w:val="30"/>
          <w:szCs w:val="30"/>
          <w:rtl/>
        </w:rPr>
        <w:t xml:space="preserve"> وتناول المسار الثاني في البداية في ضحايا الحرب بحتًا، وكان يقتصر في البداية على المقاتلين ويشار إليه غالبًا باسم "قانون جنيف"، الذي انبثق من اتفاقية جنيف الأولى لعام 1864 بشأن الجرحى والمرضى في ساحة المعركة وإنشاء اللجنة الدولية للصليب الأحمر. في حين اجتمع هذان المساران في البروتوكولين الإضافيين لعام 1977 الملحقين باتفاقيات جنيف الأربع لعام 194</w:t>
      </w:r>
      <w:r w:rsidR="0055071F">
        <w:rPr>
          <w:rStyle w:val="tlid-translation"/>
          <w:rFonts w:ascii="Traditional Arabic" w:hAnsi="Traditional Arabic" w:cs="Traditional Arabic" w:hint="cs"/>
          <w:sz w:val="30"/>
          <w:szCs w:val="30"/>
          <w:rtl/>
        </w:rPr>
        <w:t>9</w:t>
      </w:r>
      <w:r w:rsidRPr="007F2748">
        <w:rPr>
          <w:rStyle w:val="tlid-translation"/>
          <w:rFonts w:ascii="Traditional Arabic" w:hAnsi="Traditional Arabic" w:cs="Traditional Arabic" w:hint="cs"/>
          <w:sz w:val="30"/>
          <w:szCs w:val="30"/>
          <w:rtl/>
        </w:rPr>
        <w:t xml:space="preserve">، لا يزال يوجد اختلافات فلسفية بينهما. وهكذا، فإن "قانون جنيف" يتعامل بشكل أساسي مع الأمور من وجهة نظر الضحية، في حين أن "قانون لاهاي" يركز أكثر على موقف أطراف النزاع أنفسهم. يتجلى هذا في القانون على أفضل وجه في مسائل </w:t>
      </w:r>
      <w:r w:rsidRPr="007F2748">
        <w:rPr>
          <w:rStyle w:val="tlid-translation"/>
          <w:rFonts w:ascii="Traditional Arabic" w:hAnsi="Traditional Arabic" w:cs="Traditional Arabic" w:hint="cs"/>
          <w:sz w:val="30"/>
          <w:szCs w:val="30"/>
          <w:rtl/>
        </w:rPr>
        <w:lastRenderedPageBreak/>
        <w:t>الاستهداف. سيتم النظر في الأجزاء التالية في الاستهداف، استخدام الأسلحة، وتنفيذ وتطبيق القانون</w:t>
      </w:r>
      <w:r w:rsidRPr="007F2748">
        <w:rPr>
          <w:rStyle w:val="tlid-translation"/>
          <w:rFonts w:ascii="Traditional Arabic" w:hAnsi="Traditional Arabic" w:cs="Traditional Arabic" w:hint="cs"/>
          <w:sz w:val="30"/>
          <w:szCs w:val="30"/>
          <w:lang w:bidi="ar"/>
        </w:rPr>
        <w:t>.</w:t>
      </w:r>
      <w:r w:rsidRPr="007F2748">
        <w:rPr>
          <w:rStyle w:val="tlid-translation"/>
          <w:rFonts w:ascii="Traditional Arabic" w:hAnsi="Traditional Arabic" w:cs="Traditional Arabic" w:hint="cs"/>
          <w:sz w:val="30"/>
          <w:szCs w:val="30"/>
          <w:rtl/>
          <w:lang w:bidi="ar"/>
        </w:rPr>
        <w:t xml:space="preserve"> </w:t>
      </w:r>
    </w:p>
    <w:p w14:paraId="3C4D2B0F" w14:textId="59B88EA4" w:rsidR="007F2748" w:rsidRPr="00D8608E" w:rsidRDefault="00D8608E" w:rsidP="000B0747">
      <w:pPr>
        <w:pStyle w:val="ListParagraph"/>
        <w:numPr>
          <w:ilvl w:val="0"/>
          <w:numId w:val="8"/>
        </w:numPr>
        <w:bidi/>
        <w:ind w:left="1089"/>
        <w:rPr>
          <w:rStyle w:val="tlid-translation"/>
        </w:rPr>
      </w:pPr>
      <w:r w:rsidRPr="001C2049">
        <w:rPr>
          <w:rStyle w:val="tlid-translation"/>
          <w:rFonts w:ascii="Traditional Arabic" w:hAnsi="Traditional Arabic" w:cs="Traditional Arabic" w:hint="cs"/>
          <w:b/>
          <w:bCs/>
          <w:sz w:val="30"/>
          <w:szCs w:val="30"/>
          <w:rtl/>
          <w:lang w:val="en-US"/>
        </w:rPr>
        <w:t>قانون الاستهداف</w:t>
      </w:r>
    </w:p>
    <w:p w14:paraId="1845175A" w14:textId="405D4D9D" w:rsidR="00D8608E" w:rsidRPr="00D8608E" w:rsidRDefault="00D8608E" w:rsidP="00361237">
      <w:pPr>
        <w:pStyle w:val="ListParagraph"/>
        <w:tabs>
          <w:tab w:val="left" w:pos="720"/>
        </w:tabs>
        <w:bidi/>
        <w:ind w:firstLine="459"/>
        <w:rPr>
          <w:rFonts w:ascii="Traditional Arabic" w:hAnsi="Traditional Arabic" w:cs="Traditional Arabic"/>
          <w:i/>
          <w:iCs/>
          <w:sz w:val="30"/>
          <w:szCs w:val="30"/>
          <w:rtl/>
        </w:rPr>
      </w:pPr>
      <w:r w:rsidRPr="00D8608E">
        <w:rPr>
          <w:rFonts w:ascii="Traditional Arabic" w:hAnsi="Traditional Arabic" w:cs="Traditional Arabic"/>
          <w:i/>
          <w:iCs/>
          <w:sz w:val="30"/>
          <w:szCs w:val="30"/>
          <w:rtl/>
        </w:rPr>
        <w:t>من وماذا يمكن استهدافه؟</w:t>
      </w:r>
    </w:p>
    <w:p w14:paraId="43C612B8" w14:textId="2F82570B" w:rsidR="008F3097" w:rsidRDefault="00D8608E" w:rsidP="001D7B2E">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tl/>
        </w:rPr>
      </w:pPr>
      <w:r w:rsidRPr="00D8608E">
        <w:rPr>
          <w:rStyle w:val="tlid-translation"/>
          <w:rFonts w:ascii="Traditional Arabic" w:hAnsi="Traditional Arabic" w:cs="Traditional Arabic"/>
          <w:sz w:val="30"/>
          <w:szCs w:val="30"/>
          <w:rtl/>
        </w:rPr>
        <w:t>تنظم قواعد منفصلة عمليات استهداف الأشخاص والأ</w:t>
      </w:r>
      <w:r w:rsidR="001D7B2E">
        <w:rPr>
          <w:rStyle w:val="tlid-translation"/>
          <w:rFonts w:ascii="Traditional Arabic" w:hAnsi="Traditional Arabic" w:cs="Traditional Arabic" w:hint="cs"/>
          <w:sz w:val="30"/>
          <w:szCs w:val="30"/>
          <w:rtl/>
        </w:rPr>
        <w:t>ع</w:t>
      </w:r>
      <w:r w:rsidRPr="00D8608E">
        <w:rPr>
          <w:rStyle w:val="tlid-translation"/>
          <w:rFonts w:ascii="Traditional Arabic" w:hAnsi="Traditional Arabic" w:cs="Traditional Arabic"/>
          <w:sz w:val="30"/>
          <w:szCs w:val="30"/>
          <w:rtl/>
        </w:rPr>
        <w:t>يا</w:t>
      </w:r>
      <w:r w:rsidR="001D7B2E">
        <w:rPr>
          <w:rStyle w:val="tlid-translation"/>
          <w:rFonts w:ascii="Traditional Arabic" w:hAnsi="Traditional Arabic" w:cs="Traditional Arabic" w:hint="cs"/>
          <w:sz w:val="30"/>
          <w:szCs w:val="30"/>
          <w:rtl/>
        </w:rPr>
        <w:t>ن</w:t>
      </w:r>
      <w:r w:rsidRPr="00D8608E">
        <w:rPr>
          <w:rStyle w:val="tlid-translation"/>
          <w:rFonts w:ascii="Traditional Arabic" w:hAnsi="Traditional Arabic" w:cs="Traditional Arabic"/>
          <w:sz w:val="30"/>
          <w:szCs w:val="30"/>
          <w:rtl/>
        </w:rPr>
        <w:t>، لكن في كلتا الحالتين، تستند إلى التمييز بين العسكريين (بما في ذلك أولئك الذين يشاركون مباشرة في الأعمال العدائية) والمدنيين.</w:t>
      </w:r>
    </w:p>
    <w:p w14:paraId="22070742" w14:textId="195BFF5E" w:rsidR="00D8608E" w:rsidRPr="00AF4F44" w:rsidRDefault="00D8608E" w:rsidP="000B0747">
      <w:pPr>
        <w:pStyle w:val="Footer"/>
        <w:tabs>
          <w:tab w:val="left" w:pos="720"/>
        </w:tabs>
        <w:bidi/>
        <w:spacing w:after="240"/>
        <w:ind w:left="1656" w:right="1089" w:firstLine="45"/>
        <w:jc w:val="both"/>
        <w:rPr>
          <w:sz w:val="24"/>
          <w:szCs w:val="24"/>
          <w:u w:val="single"/>
          <w:rtl/>
        </w:rPr>
      </w:pPr>
      <w:r w:rsidRPr="00AF4F44">
        <w:rPr>
          <w:sz w:val="24"/>
          <w:szCs w:val="24"/>
          <w:u w:val="single"/>
          <w:rtl/>
        </w:rPr>
        <w:t>الأشخاص</w:t>
      </w:r>
    </w:p>
    <w:p w14:paraId="0E13633A" w14:textId="71E860C0" w:rsidR="00B03976" w:rsidRDefault="00D8608E" w:rsidP="001D7B2E">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1C2049">
        <w:rPr>
          <w:rStyle w:val="tlid-translation"/>
          <w:rFonts w:ascii="Traditional Arabic" w:hAnsi="Traditional Arabic" w:cs="Traditional Arabic" w:hint="cs"/>
          <w:sz w:val="30"/>
          <w:szCs w:val="30"/>
          <w:rtl/>
        </w:rPr>
        <w:t>في أي نزاع مسلح دولي، يمكن لطرف في النزاع استهداف العناصر المقاتلة في القوات المسلحة من الجانب الآخر، بغض النظر عما كانوا يفعلونه في ذلك الوقت أو</w:t>
      </w:r>
      <w:r w:rsidR="00D2065D">
        <w:rPr>
          <w:rStyle w:val="tlid-translation"/>
          <w:rFonts w:ascii="Traditional Arabic" w:hAnsi="Traditional Arabic" w:cs="Traditional Arabic" w:hint="cs"/>
          <w:sz w:val="30"/>
          <w:szCs w:val="30"/>
          <w:rtl/>
        </w:rPr>
        <w:t xml:space="preserve"> إذا كانوا يشكلون تهديدًا أم لا</w:t>
      </w:r>
      <w:r w:rsidR="00EC26F0">
        <w:rPr>
          <w:rStyle w:val="tlid-translation"/>
          <w:rFonts w:ascii="Traditional Arabic" w:hAnsi="Traditional Arabic" w:cs="Traditional Arabic"/>
          <w:sz w:val="30"/>
          <w:szCs w:val="30"/>
        </w:rPr>
        <w:t>.</w:t>
      </w:r>
      <w:r w:rsidRPr="001C2049">
        <w:rPr>
          <w:rStyle w:val="FootnoteReference"/>
          <w:rFonts w:ascii="Traditional Arabic" w:hAnsi="Traditional Arabic" w:cs="Traditional Arabic" w:hint="cs"/>
          <w:sz w:val="30"/>
          <w:szCs w:val="30"/>
          <w:lang w:val="en-US"/>
        </w:rPr>
        <w:footnoteReference w:id="27"/>
      </w:r>
      <w:r w:rsidRPr="001C2049">
        <w:rPr>
          <w:rStyle w:val="tlid-translation"/>
          <w:rFonts w:ascii="Traditional Arabic" w:hAnsi="Traditional Arabic" w:cs="Traditional Arabic" w:hint="cs"/>
          <w:sz w:val="30"/>
          <w:szCs w:val="30"/>
          <w:rtl/>
        </w:rPr>
        <w:t xml:space="preserve"> الاستثناء الوحيد هو إذا توقف العناصر المعنية عن المشاركة في القتال (عجزوا عن القتال) بسبب جروح أو أمراض أو استسلام أو غرق سفينة أو</w:t>
      </w:r>
      <w:r w:rsidR="001D7B2E">
        <w:rPr>
          <w:rStyle w:val="tlid-translation"/>
          <w:rFonts w:ascii="Traditional Arabic" w:hAnsi="Traditional Arabic" w:cs="Traditional Arabic" w:hint="cs"/>
          <w:sz w:val="30"/>
          <w:szCs w:val="30"/>
          <w:rtl/>
        </w:rPr>
        <w:t xml:space="preserve"> في حالة إنقاذ طائرة معرضة للخطر </w:t>
      </w:r>
      <w:r w:rsidRPr="001C2049">
        <w:rPr>
          <w:rStyle w:val="tlid-translation"/>
          <w:rFonts w:ascii="Traditional Arabic" w:hAnsi="Traditional Arabic" w:cs="Traditional Arabic" w:hint="cs"/>
          <w:sz w:val="30"/>
          <w:szCs w:val="30"/>
          <w:rtl/>
        </w:rPr>
        <w:t xml:space="preserve">أو </w:t>
      </w:r>
      <w:r w:rsidR="001D7B2E">
        <w:rPr>
          <w:rStyle w:val="tlid-translation"/>
          <w:rFonts w:ascii="Traditional Arabic" w:hAnsi="Traditional Arabic" w:cs="Traditional Arabic" w:hint="cs"/>
          <w:sz w:val="30"/>
          <w:szCs w:val="30"/>
          <w:rtl/>
        </w:rPr>
        <w:t>الوقوع في ال</w:t>
      </w:r>
      <w:r w:rsidRPr="001C2049">
        <w:rPr>
          <w:rStyle w:val="tlid-translation"/>
          <w:rFonts w:ascii="Traditional Arabic" w:hAnsi="Traditional Arabic" w:cs="Traditional Arabic" w:hint="cs"/>
          <w:sz w:val="30"/>
          <w:szCs w:val="30"/>
          <w:rtl/>
        </w:rPr>
        <w:t xml:space="preserve">أسر. تتكون القوات المسلحة لدولة طرف في النزاع من قوات مسلحة نظامية وأي ميليشيات تقاتل كجزء من هذه القوات. بالإضافة إلى ذلك، فإن الميليشيات التي تقاتل من أجل دولة طرف في النزاع بموافقة أو قبول ذلك الطرف، إذا </w:t>
      </w:r>
      <w:r w:rsidR="001D7B2E">
        <w:rPr>
          <w:rStyle w:val="tlid-translation"/>
          <w:rFonts w:ascii="Traditional Arabic" w:hAnsi="Traditional Arabic" w:cs="Traditional Arabic" w:hint="cs"/>
          <w:sz w:val="30"/>
          <w:szCs w:val="30"/>
          <w:rtl/>
        </w:rPr>
        <w:t xml:space="preserve">حققت </w:t>
      </w:r>
      <w:r w:rsidRPr="001C2049">
        <w:rPr>
          <w:rStyle w:val="tlid-translation"/>
          <w:rFonts w:ascii="Traditional Arabic" w:hAnsi="Traditional Arabic" w:cs="Traditional Arabic" w:hint="cs"/>
          <w:sz w:val="30"/>
          <w:szCs w:val="30"/>
          <w:rtl/>
        </w:rPr>
        <w:t>أربع شروط تراكمية، يمكن اعتبارها أيضًا قوى بإمكانها المشاركة في النزاع وأن تتعرض للهجوم. من أجل اعتبارها كذلك، على الميليشيا أن يكون لها شعار مميز ثابت يمكن التعرف عليه عن بعد، وذلك لتمكين خصومها من التمييز بينها وبين المدنيين. ليس من الضروري ارتداء زي موحد كامل. إنما أي علامة مميزة، مثل أغطية رأس معينة، تكون كافية. يجب ارتداؤها في جميع الأوقات أن تكون مرئية للعدو أو على الأقل عند المشاركة في نشاط عسكري.</w:t>
      </w:r>
      <w:r w:rsidRPr="001C2049">
        <w:rPr>
          <w:rStyle w:val="FootnoteReference"/>
          <w:rFonts w:ascii="Traditional Arabic" w:hAnsi="Traditional Arabic" w:cs="Traditional Arabic" w:hint="cs"/>
          <w:sz w:val="30"/>
          <w:szCs w:val="30"/>
          <w:lang w:val="en-US"/>
        </w:rPr>
        <w:t xml:space="preserve"> </w:t>
      </w:r>
      <w:r w:rsidRPr="001C2049">
        <w:rPr>
          <w:rStyle w:val="FootnoteReference"/>
          <w:rFonts w:ascii="Traditional Arabic" w:hAnsi="Traditional Arabic" w:cs="Traditional Arabic" w:hint="cs"/>
          <w:sz w:val="30"/>
          <w:szCs w:val="30"/>
          <w:lang w:val="en-US"/>
        </w:rPr>
        <w:footnoteReference w:id="28"/>
      </w:r>
      <w:r w:rsidRPr="001C2049">
        <w:rPr>
          <w:rStyle w:val="tlid-translation"/>
          <w:rFonts w:ascii="Traditional Arabic" w:hAnsi="Traditional Arabic" w:cs="Traditional Arabic" w:hint="cs"/>
          <w:sz w:val="30"/>
          <w:szCs w:val="30"/>
          <w:rtl/>
        </w:rPr>
        <w:t xml:space="preserve"> الشرط الثاني هو أن يحمل أفراد الميليشيا أسلحتهم بشكل علني. والثالث هو أنه يجب أن يقودهم شخص مسؤول عن مرؤوسيه، أي أنه ينبغي وجود نظام قيادة وتحكّم فعال. أخيرًا، يجب على أفراد الميليشيا القيام بعملياتهم وفقًا لقوانين وأعراف الحرب.</w:t>
      </w:r>
      <w:r w:rsidRPr="001C2049">
        <w:rPr>
          <w:rStyle w:val="FootnoteReference"/>
          <w:rFonts w:ascii="Traditional Arabic" w:hAnsi="Traditional Arabic" w:cs="Traditional Arabic" w:hint="cs"/>
          <w:sz w:val="30"/>
          <w:szCs w:val="30"/>
          <w:lang w:val="en-US"/>
        </w:rPr>
        <w:t xml:space="preserve"> </w:t>
      </w:r>
      <w:r w:rsidRPr="001C2049">
        <w:rPr>
          <w:rStyle w:val="FootnoteReference"/>
          <w:rFonts w:ascii="Traditional Arabic" w:hAnsi="Traditional Arabic" w:cs="Traditional Arabic" w:hint="cs"/>
          <w:sz w:val="30"/>
          <w:szCs w:val="30"/>
          <w:lang w:val="en-US"/>
        </w:rPr>
        <w:footnoteReference w:id="29"/>
      </w:r>
      <w:r w:rsidRPr="001C2049">
        <w:rPr>
          <w:rStyle w:val="tlid-translation"/>
          <w:rFonts w:ascii="Traditional Arabic" w:hAnsi="Traditional Arabic" w:cs="Traditional Arabic" w:hint="cs"/>
          <w:sz w:val="30"/>
          <w:szCs w:val="30"/>
          <w:rtl/>
        </w:rPr>
        <w:t xml:space="preserve"> إن الأفراد المقاتلين في القوات المسلحة والميليشيات المؤهلة لتكون مقاتلة ضمن نزاع مسلح دولي، محاربون، وهو اعتبار موجود فقط في</w:t>
      </w:r>
      <w:r w:rsidRPr="001C2049">
        <w:rPr>
          <w:rStyle w:val="tlid-translation"/>
          <w:rFonts w:ascii="Traditional Arabic" w:hAnsi="Traditional Arabic" w:cs="Traditional Arabic" w:hint="cs"/>
          <w:sz w:val="30"/>
          <w:szCs w:val="30"/>
          <w:lang w:bidi="ar"/>
        </w:rPr>
        <w:t xml:space="preserve"> </w:t>
      </w:r>
      <w:r w:rsidRPr="001C2049">
        <w:rPr>
          <w:rStyle w:val="tlid-translation"/>
          <w:rFonts w:ascii="Traditional Arabic" w:hAnsi="Traditional Arabic" w:cs="Traditional Arabic" w:hint="cs"/>
          <w:sz w:val="30"/>
          <w:szCs w:val="30"/>
          <w:rtl/>
        </w:rPr>
        <w:t>النزاعات المسلحة الدولية. يحق لهم القتال، أي أنه لا يمكن محاكمتهم لمجرد قيامهم بالقتال. عند وقوعهم بالأسر أو الاستسلام يحق لهم عادة أن يُعاملوا كأسرى حرب.</w:t>
      </w:r>
    </w:p>
    <w:p w14:paraId="4DB7C172" w14:textId="50D9A56D" w:rsidR="00D8608E" w:rsidRPr="00AF4F44" w:rsidRDefault="00D8608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AF4F44">
        <w:rPr>
          <w:rFonts w:ascii="Traditional Arabic" w:eastAsiaTheme="minorHAnsi" w:hAnsi="Traditional Arabic" w:cs="Traditional Arabic" w:hint="cs"/>
          <w:sz w:val="30"/>
          <w:szCs w:val="30"/>
          <w:rtl/>
        </w:rPr>
        <w:lastRenderedPageBreak/>
        <w:t>في كل من النزاعات المسلحة الدولية وغير الدولية، لا يمكن جعل المدنيين هدفًا للهجوم.</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في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النزاعات المسلحة الدولية المدنيون جميعهم أشخاص غير مقاتلين.</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في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النزاعات المسلحة غير الدولية، يكون الموقف أكثر تعقيدًا لأنه يبدو للوهلة الأولى أن جميع الأشخاص باستثناء القوات المسلحة لدولة ما هم من المدنيين.</w:t>
      </w:r>
      <w:r w:rsidRPr="00AF4F44">
        <w:rPr>
          <w:rFonts w:ascii="Traditional Arabic" w:eastAsiaTheme="minorHAnsi" w:hAnsi="Traditional Arabic" w:cs="Traditional Arabic" w:hint="cs"/>
          <w:sz w:val="30"/>
          <w:szCs w:val="30"/>
          <w:vertAlign w:val="superscript"/>
          <w:lang w:val="en-US"/>
        </w:rPr>
        <w:t xml:space="preserve"> </w:t>
      </w:r>
      <w:r w:rsidRPr="00D8608E">
        <w:rPr>
          <w:rFonts w:eastAsiaTheme="minorHAnsi" w:hint="cs"/>
          <w:vertAlign w:val="superscript"/>
          <w:lang w:val="en-US"/>
        </w:rPr>
        <w:footnoteReference w:id="30"/>
      </w:r>
      <w:r w:rsidRPr="00AF4F44">
        <w:rPr>
          <w:rFonts w:ascii="Traditional Arabic" w:eastAsiaTheme="minorHAnsi" w:hAnsi="Traditional Arabic" w:cs="Traditional Arabic" w:hint="cs"/>
          <w:sz w:val="30"/>
          <w:szCs w:val="30"/>
          <w:rtl/>
        </w:rPr>
        <w:t>ومع ذلك، قد لا يكون هذا هو الحال بالضرورة.</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على أي حال، يفقد المدنيون حمايتهم من الهجوم عندما يشاركون بشكل مباشر في الأعمال العدائية ولوقت محدد.</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يمكن أيضًا مقاضاتهم على جرائم عادية، مثل القتل وحمل الأسلحة النارية وما إلى ذلك، والتي ارتكبت أثناء القتال</w:t>
      </w:r>
      <w:r w:rsidRPr="00AF4F44">
        <w:rPr>
          <w:rFonts w:ascii="Traditional Arabic" w:eastAsiaTheme="minorHAnsi" w:hAnsi="Traditional Arabic" w:cs="Traditional Arabic" w:hint="cs"/>
          <w:sz w:val="30"/>
          <w:szCs w:val="30"/>
          <w:lang w:bidi="ar"/>
        </w:rPr>
        <w:t>.</w:t>
      </w:r>
      <w:r w:rsidRPr="00D8608E">
        <w:rPr>
          <w:rFonts w:eastAsiaTheme="minorHAnsi" w:hint="cs"/>
          <w:vertAlign w:val="superscript"/>
          <w:lang w:val="en-US"/>
        </w:rPr>
        <w:footnoteReference w:id="31"/>
      </w:r>
    </w:p>
    <w:p w14:paraId="49B1AA6F" w14:textId="47AD77DD"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ونشرت اللجنة الدولية للصليب الأحمر "وثيقة توجيهات تفسيرية حول مفهوم المشاركة المباشرة في الأعمال العدائية" في العام 2009.</w:t>
      </w:r>
      <w:r w:rsidRPr="00AF4F44">
        <w:rPr>
          <w:rStyle w:val="tlid-translation"/>
          <w:rFonts w:ascii="Traditional Arabic" w:hAnsi="Traditional Arabic" w:cs="Traditional Arabic" w:hint="cs"/>
          <w:sz w:val="30"/>
          <w:szCs w:val="30"/>
          <w:lang w:bidi="ar"/>
        </w:rPr>
        <w:t xml:space="preserve"> </w:t>
      </w:r>
      <w:r w:rsidRPr="001619DE">
        <w:rPr>
          <w:rStyle w:val="FootnoteReference"/>
          <w:rFonts w:ascii="Traditional Arabic" w:hAnsi="Traditional Arabic" w:cs="Traditional Arabic" w:hint="cs"/>
          <w:sz w:val="30"/>
          <w:szCs w:val="30"/>
          <w:lang w:val="en-US"/>
        </w:rPr>
        <w:footnoteReference w:id="32"/>
      </w:r>
      <w:r w:rsidRPr="00AF4F44">
        <w:rPr>
          <w:rStyle w:val="tlid-translation"/>
          <w:rFonts w:ascii="Traditional Arabic" w:hAnsi="Traditional Arabic" w:cs="Traditional Arabic" w:hint="cs"/>
          <w:sz w:val="30"/>
          <w:szCs w:val="30"/>
          <w:rtl/>
        </w:rPr>
        <w:t>تشير هذه الدراسة إلى أنه يتم رفع الصفة المدنية عن الجماعات المسلحة المنظمة التي تشكل القوات المسلحة لطرف مسلح من غير الدولة في نزاع مسلح غير دولي، ولكن يقتصر هذا الأمر على الأفراد داخل الجماعة المسلحة الذين تكمن مهامهم في الاستمرار في المشاركة المباشرة في الأعمال العدائية.</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في حين أن الوثيقة تُعد مثيرةً للجدل في بعض الجوانب، يبدو أن هؤلاء الأفراد كانوا ليفقدوا حمايتهم المدنية على أي حال لمشاركتهم المباشرة في الأعمال العدائية</w:t>
      </w:r>
      <w:r w:rsidRPr="00AF4F44">
        <w:rPr>
          <w:rStyle w:val="tlid-translation"/>
          <w:rFonts w:ascii="Traditional Arabic" w:hAnsi="Traditional Arabic" w:cs="Traditional Arabic" w:hint="cs"/>
          <w:sz w:val="30"/>
          <w:szCs w:val="30"/>
          <w:lang w:bidi="ar"/>
        </w:rPr>
        <w:t>.</w:t>
      </w:r>
    </w:p>
    <w:p w14:paraId="22CE56FD" w14:textId="381F6994"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في النزاعات المعاصرة، خاصة تلك التي يوجد فيها تباين كبير في الموارد العسكرية، ليس من غير المألوف أن يحاول المقاتلون الاندماج مع السكان المدنيين.</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هذا يمكن أن يصعّب على الخصم عمليًا التمييز بين المقاتلين والمدنيين المحميين.</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يجب التمييز بين هذه الصعوبات الحقيقية والحالة التي تفترض فيها الدولة أن جميع المدنيين يدعمون المقاتلين ويتصرفون وفقًا لذلك.</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لا يفقد أفراد السكان المدنيين الحماية، مقارنة بأفراد الجماعات المسلحة، إلا إذا شاركوا بشكل مباشر في القتال ويفقدون الحماية فقط لمدة مشاركتهم</w:t>
      </w:r>
      <w:r w:rsidRPr="00AF4F44">
        <w:rPr>
          <w:rStyle w:val="tlid-translation"/>
          <w:rFonts w:ascii="Traditional Arabic" w:hAnsi="Traditional Arabic" w:cs="Traditional Arabic" w:hint="cs"/>
          <w:sz w:val="30"/>
          <w:szCs w:val="30"/>
          <w:lang w:bidi="ar"/>
        </w:rPr>
        <w:t>.</w:t>
      </w:r>
    </w:p>
    <w:p w14:paraId="562910C8" w14:textId="73AC9116" w:rsidR="00D8608E" w:rsidRDefault="00D8608E" w:rsidP="00361237">
      <w:pPr>
        <w:pStyle w:val="Footer"/>
        <w:numPr>
          <w:ilvl w:val="0"/>
          <w:numId w:val="3"/>
        </w:numPr>
        <w:tabs>
          <w:tab w:val="left" w:pos="720"/>
        </w:tabs>
        <w:bidi/>
        <w:spacing w:after="240"/>
        <w:ind w:left="1089" w:right="1089" w:firstLine="0"/>
        <w:jc w:val="both"/>
        <w:rPr>
          <w:rStyle w:val="tlid-translation"/>
          <w:rFonts w:ascii="Traditional Arabic" w:hAnsi="Traditional Arabic" w:cs="Traditional Arabic"/>
          <w:sz w:val="30"/>
          <w:szCs w:val="30"/>
        </w:rPr>
      </w:pPr>
      <w:r w:rsidRPr="00AF4F44">
        <w:rPr>
          <w:rStyle w:val="tlid-translation"/>
          <w:rFonts w:ascii="Traditional Arabic" w:hAnsi="Traditional Arabic" w:cs="Traditional Arabic" w:hint="cs"/>
          <w:sz w:val="30"/>
          <w:szCs w:val="30"/>
          <w:rtl/>
        </w:rPr>
        <w:t>إذا كان المدنيون يعملون في منشأة عسكرية، مثل مصنع للذخيرة، فإنهم لا يفقدون وضعهم كمدنيين ولكنهم يتحملون المخاطر المترتبة على العمل في مثل هذا الموقع</w:t>
      </w:r>
      <w:r w:rsidRPr="00AF4F44">
        <w:rPr>
          <w:rStyle w:val="tlid-translation"/>
          <w:rFonts w:ascii="Traditional Arabic" w:hAnsi="Traditional Arabic" w:cs="Traditional Arabic" w:hint="cs"/>
          <w:sz w:val="30"/>
          <w:szCs w:val="30"/>
          <w:lang w:bidi="ar"/>
        </w:rPr>
        <w:t>.</w:t>
      </w:r>
    </w:p>
    <w:p w14:paraId="1C3406B6" w14:textId="3196B8C5" w:rsidR="00D8608E" w:rsidRPr="00AF4F44" w:rsidRDefault="00D8608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AF4F44">
        <w:rPr>
          <w:rStyle w:val="tlid-translation"/>
          <w:rFonts w:ascii="Traditional Arabic" w:hAnsi="Traditional Arabic" w:cs="Traditional Arabic" w:hint="cs"/>
          <w:sz w:val="30"/>
          <w:szCs w:val="30"/>
          <w:rtl/>
        </w:rPr>
        <w:t>بينما يوجد افتراض في قانون المعاهدات، على الأقل في</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ما يخص النزاعات المسلحة الدولية، بأن الشخص هو مدني، لا يبدو أن هذا هو الحال في القانون العرفي</w:t>
      </w:r>
      <w:r w:rsidRPr="009E24B6">
        <w:rPr>
          <w:rStyle w:val="FootnoteReference"/>
          <w:rFonts w:ascii="Traditional Arabic" w:hAnsi="Traditional Arabic" w:cs="Traditional Arabic" w:hint="cs"/>
          <w:sz w:val="30"/>
          <w:szCs w:val="30"/>
          <w:lang w:val="en-US"/>
        </w:rPr>
        <w:footnoteReference w:id="33"/>
      </w:r>
      <w:r w:rsidRPr="00AF4F44">
        <w:rPr>
          <w:rStyle w:val="tlid-translation"/>
          <w:rFonts w:ascii="Traditional Arabic" w:hAnsi="Traditional Arabic" w:cs="Traditional Arabic" w:hint="cs"/>
          <w:sz w:val="30"/>
          <w:szCs w:val="30"/>
          <w:rtl/>
        </w:rPr>
        <w:t>.</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لذلك يبدو أنه يجب اتخاذ قرار، بحسن نية، في كل حالة على حدة.</w:t>
      </w:r>
      <w:r w:rsidRPr="00AF4F44">
        <w:rPr>
          <w:rStyle w:val="tlid-translation"/>
          <w:rFonts w:ascii="Traditional Arabic" w:hAnsi="Traditional Arabic" w:cs="Traditional Arabic" w:hint="cs"/>
          <w:sz w:val="30"/>
          <w:szCs w:val="30"/>
          <w:lang w:bidi="ar"/>
        </w:rPr>
        <w:t xml:space="preserve"> </w:t>
      </w:r>
      <w:r w:rsidRPr="00AF4F44">
        <w:rPr>
          <w:rStyle w:val="tlid-translation"/>
          <w:rFonts w:ascii="Traditional Arabic" w:hAnsi="Traditional Arabic" w:cs="Traditional Arabic" w:hint="cs"/>
          <w:sz w:val="30"/>
          <w:szCs w:val="30"/>
          <w:rtl/>
        </w:rPr>
        <w:t>من المؤكد أنه ليس من الممكن الافتراض بأن الشخص مقاتل</w:t>
      </w:r>
    </w:p>
    <w:p w14:paraId="58BC69D1" w14:textId="54981ECE" w:rsidR="00D8608E" w:rsidRPr="00AF4F44" w:rsidRDefault="00AF4F44" w:rsidP="000B0747">
      <w:pPr>
        <w:pStyle w:val="Footer"/>
        <w:tabs>
          <w:tab w:val="left" w:pos="720"/>
        </w:tabs>
        <w:bidi/>
        <w:spacing w:after="240"/>
        <w:ind w:left="1656" w:right="1089" w:firstLine="45"/>
        <w:jc w:val="both"/>
        <w:rPr>
          <w:sz w:val="24"/>
          <w:szCs w:val="24"/>
          <w:u w:val="single"/>
          <w:rtl/>
        </w:rPr>
      </w:pPr>
      <w:r w:rsidRPr="00AF4F44">
        <w:rPr>
          <w:rFonts w:hint="cs"/>
          <w:sz w:val="24"/>
          <w:szCs w:val="24"/>
          <w:u w:val="single"/>
          <w:rtl/>
        </w:rPr>
        <w:t>الأعيان</w:t>
      </w:r>
    </w:p>
    <w:p w14:paraId="30F7485B" w14:textId="286D89AA"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F4F44">
        <w:rPr>
          <w:rFonts w:ascii="Traditional Arabic" w:eastAsiaTheme="minorHAnsi" w:hAnsi="Traditional Arabic" w:cs="Traditional Arabic" w:hint="cs"/>
          <w:sz w:val="30"/>
          <w:szCs w:val="30"/>
          <w:rtl/>
        </w:rPr>
        <w:t>في حين أن القواعد أوضح بقليل في حالة الأعيان، فإن تطبيقها لا يخلو من الصعوبة. لكي تكون عرضة للهجوم، يجب أن يكون الهدف هدفًا عسكريًا.</w:t>
      </w:r>
      <w:r w:rsidRPr="00AF4F44">
        <w:rPr>
          <w:rFonts w:ascii="Traditional Arabic" w:eastAsiaTheme="minorHAnsi" w:hAnsi="Traditional Arabic" w:cs="Traditional Arabic" w:hint="cs"/>
          <w:sz w:val="30"/>
          <w:szCs w:val="30"/>
          <w:vertAlign w:val="superscript"/>
          <w:lang w:val="en-US"/>
        </w:rPr>
        <w:t xml:space="preserve"> </w:t>
      </w:r>
      <w:r w:rsidRPr="00AF4F44">
        <w:rPr>
          <w:rFonts w:ascii="Traditional Arabic" w:eastAsiaTheme="minorHAnsi" w:hAnsi="Traditional Arabic" w:cs="Traditional Arabic" w:hint="cs"/>
          <w:sz w:val="30"/>
          <w:szCs w:val="30"/>
          <w:vertAlign w:val="superscript"/>
          <w:lang w:val="en-US"/>
        </w:rPr>
        <w:footnoteReference w:id="34"/>
      </w:r>
      <w:r w:rsidRPr="00AF4F44">
        <w:rPr>
          <w:rFonts w:ascii="Traditional Arabic" w:eastAsiaTheme="minorHAnsi" w:hAnsi="Traditional Arabic" w:cs="Traditional Arabic" w:hint="cs"/>
          <w:sz w:val="30"/>
          <w:szCs w:val="30"/>
          <w:rtl/>
        </w:rPr>
        <w:t xml:space="preserve"> أي </w:t>
      </w:r>
      <w:r w:rsidRPr="00AF4F44">
        <w:rPr>
          <w:rFonts w:ascii="Traditional Arabic" w:eastAsiaTheme="minorHAnsi" w:hAnsi="Traditional Arabic" w:cs="Traditional Arabic" w:hint="cs"/>
          <w:sz w:val="30"/>
          <w:szCs w:val="30"/>
          <w:rtl/>
        </w:rPr>
        <w:lastRenderedPageBreak/>
        <w:t>هدف ليس هدفًا عسكريًا يٌعتبر هدفًا مدنيًا ولا يمكن أن يكون موضع هجوم.</w:t>
      </w:r>
      <w:r w:rsidRPr="00AF4F44">
        <w:rPr>
          <w:rFonts w:ascii="Traditional Arabic" w:eastAsiaTheme="minorHAnsi" w:hAnsi="Traditional Arabic" w:cs="Traditional Arabic" w:hint="cs"/>
          <w:sz w:val="30"/>
          <w:szCs w:val="30"/>
          <w:vertAlign w:val="superscript"/>
          <w:lang w:val="en-US"/>
        </w:rPr>
        <w:t xml:space="preserve"> </w:t>
      </w:r>
      <w:r w:rsidRPr="00AF4F44">
        <w:rPr>
          <w:rFonts w:ascii="Traditional Arabic" w:eastAsiaTheme="minorHAnsi" w:hAnsi="Traditional Arabic" w:cs="Traditional Arabic" w:hint="cs"/>
          <w:sz w:val="30"/>
          <w:szCs w:val="30"/>
          <w:vertAlign w:val="superscript"/>
          <w:lang w:val="en-US"/>
        </w:rPr>
        <w:footnoteReference w:id="35"/>
      </w:r>
      <w:r w:rsidRPr="00AF4F44">
        <w:rPr>
          <w:rFonts w:ascii="Traditional Arabic" w:eastAsiaTheme="minorHAnsi" w:hAnsi="Traditional Arabic" w:cs="Traditional Arabic" w:hint="cs"/>
          <w:sz w:val="30"/>
          <w:szCs w:val="30"/>
          <w:rtl/>
        </w:rPr>
        <w:t xml:space="preserve"> المكان المخصص عادةً للأغراض المدنية وتم استخدامه لأغراض عسكرية، قد يصبح هدفًا عسكريًا</w:t>
      </w:r>
      <w:r w:rsidRPr="00AF4F44">
        <w:rPr>
          <w:rFonts w:ascii="Traditional Arabic" w:eastAsiaTheme="minorHAnsi" w:hAnsi="Traditional Arabic" w:cs="Traditional Arabic" w:hint="cs"/>
          <w:sz w:val="30"/>
          <w:szCs w:val="30"/>
          <w:lang w:bidi="ar"/>
        </w:rPr>
        <w:t>.</w:t>
      </w:r>
    </w:p>
    <w:p w14:paraId="364A157F" w14:textId="5DA1F028" w:rsidR="00AF4F44" w:rsidRPr="00AF4F44" w:rsidRDefault="00AF4F44" w:rsidP="00720E90">
      <w:pPr>
        <w:pStyle w:val="Footer"/>
        <w:numPr>
          <w:ilvl w:val="0"/>
          <w:numId w:val="3"/>
        </w:numPr>
        <w:tabs>
          <w:tab w:val="left" w:pos="720"/>
        </w:tabs>
        <w:bidi/>
        <w:spacing w:after="240"/>
        <w:ind w:left="1089" w:right="1089" w:firstLine="0"/>
        <w:jc w:val="both"/>
        <w:rPr>
          <w:rStyle w:val="tlid-translation"/>
          <w:rFonts w:ascii="Traditional Arabic" w:eastAsiaTheme="minorHAnsi" w:hAnsi="Traditional Arabic" w:cs="Traditional Arabic"/>
          <w:sz w:val="30"/>
          <w:szCs w:val="30"/>
          <w:lang w:bidi="ar"/>
        </w:rPr>
      </w:pPr>
      <w:r w:rsidRPr="00AF4F44">
        <w:rPr>
          <w:rStyle w:val="tlid-translation"/>
          <w:rFonts w:ascii="Traditional Arabic" w:hAnsi="Traditional Arabic" w:cs="Traditional Arabic" w:hint="cs"/>
          <w:sz w:val="30"/>
          <w:szCs w:val="30"/>
          <w:rtl/>
        </w:rPr>
        <w:t>حتى يُعتبر هدفا عسكريا، على الهدف أن يستوفي اختبارًا ذو شقين. يجب عليه أن يكون بطبيعته أو موقعه أو الغرض منه أو استخدامه مساهم مساهمة فعالة في النشاط العسكري وأن تدميره أو أسره أو تحييده في الظروف السائدة في ذلك الوقت، يجب أن توفر ميزة عسكرية محددة.</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6"/>
      </w:r>
      <w:r w:rsidRPr="00AF4F44">
        <w:rPr>
          <w:rStyle w:val="tlid-translation"/>
          <w:rFonts w:ascii="Traditional Arabic" w:hAnsi="Traditional Arabic" w:cs="Traditional Arabic" w:hint="cs"/>
          <w:sz w:val="30"/>
          <w:szCs w:val="30"/>
          <w:rtl/>
        </w:rPr>
        <w:t xml:space="preserve"> تنطبق نفس القاعدة على كل من النزاعات المسلحة الدولية وغير الدولية</w:t>
      </w:r>
      <w:r w:rsidRPr="00AF4F44">
        <w:rPr>
          <w:rStyle w:val="tlid-translation"/>
          <w:rFonts w:ascii="Traditional Arabic" w:hAnsi="Traditional Arabic" w:cs="Traditional Arabic" w:hint="cs"/>
          <w:sz w:val="30"/>
          <w:szCs w:val="30"/>
          <w:rtl/>
          <w:lang w:bidi="ar"/>
        </w:rPr>
        <w:t>.</w:t>
      </w:r>
      <w:r w:rsidRPr="00AF4F44">
        <w:rPr>
          <w:rStyle w:val="tlid-translation"/>
          <w:rFonts w:ascii="Traditional Arabic" w:hAnsi="Traditional Arabic" w:cs="Traditional Arabic" w:hint="cs"/>
          <w:sz w:val="30"/>
          <w:szCs w:val="30"/>
          <w:rtl/>
        </w:rPr>
        <w:t xml:space="preserve"> في حين يبدو أن صياغة القاعدة مقبول عمومًا، تتوسّع الولايات المتحدة</w:t>
      </w:r>
      <w:r w:rsidR="00720E90">
        <w:rPr>
          <w:rStyle w:val="tlid-translation"/>
          <w:rFonts w:ascii="Traditional Arabic" w:hAnsi="Traditional Arabic" w:cs="Traditional Arabic" w:hint="cs"/>
          <w:sz w:val="30"/>
          <w:szCs w:val="30"/>
          <w:rtl/>
        </w:rPr>
        <w:t xml:space="preserve"> الأمريكية</w:t>
      </w:r>
      <w:r w:rsidRPr="00AF4F44">
        <w:rPr>
          <w:rStyle w:val="tlid-translation"/>
          <w:rFonts w:ascii="Traditional Arabic" w:hAnsi="Traditional Arabic" w:cs="Traditional Arabic" w:hint="cs"/>
          <w:sz w:val="30"/>
          <w:szCs w:val="30"/>
          <w:rtl/>
        </w:rPr>
        <w:t xml:space="preserve"> في تفسيرها لمفاهيم المساهمة والمزايا العسكرية أكثر من العديد من الدول الأخرى، بحيث تُشمل الأنشطة والأصول التي تساهم بطرق غير عسكرية في استمرار القدرة على خوض الحروب.</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7"/>
      </w:r>
      <w:r w:rsidRPr="00AF4F44">
        <w:rPr>
          <w:rStyle w:val="tlid-translation"/>
          <w:rFonts w:ascii="Traditional Arabic" w:hAnsi="Traditional Arabic" w:cs="Traditional Arabic" w:hint="cs"/>
          <w:sz w:val="30"/>
          <w:szCs w:val="30"/>
          <w:rtl/>
        </w:rPr>
        <w:t>من المرجح أن يوسّع هذا التعريف نطاق الأهداف الاقتصادية بإعتبارها أهدافًا قانونية. ومع ذلك، يبدو أنه لا يغطي سوى الأنشطة الاقتصادية التي تساهم مساهمة حقيقية في قدرة العدو على القتال، وليس جميع الأنشطة الاقتصادية الموجودة في منطقته.</w:t>
      </w:r>
      <w:r w:rsidRPr="00AF4F44">
        <w:rPr>
          <w:rStyle w:val="FootnoteReference"/>
          <w:rFonts w:ascii="Traditional Arabic" w:hAnsi="Traditional Arabic" w:cs="Traditional Arabic" w:hint="cs"/>
          <w:sz w:val="30"/>
          <w:szCs w:val="30"/>
          <w:lang w:val="en-US"/>
        </w:rPr>
        <w:t xml:space="preserve"> </w:t>
      </w:r>
      <w:r w:rsidRPr="009E24B6">
        <w:rPr>
          <w:rStyle w:val="FootnoteReference"/>
          <w:rFonts w:ascii="Traditional Arabic" w:hAnsi="Traditional Arabic" w:cs="Traditional Arabic" w:hint="cs"/>
          <w:sz w:val="30"/>
          <w:szCs w:val="30"/>
          <w:lang w:val="en-US"/>
        </w:rPr>
        <w:footnoteReference w:id="38"/>
      </w:r>
      <w:r w:rsidRPr="00AF4F44">
        <w:rPr>
          <w:rStyle w:val="tlid-translation"/>
          <w:rFonts w:ascii="Traditional Arabic" w:hAnsi="Traditional Arabic" w:cs="Traditional Arabic" w:hint="cs"/>
          <w:sz w:val="30"/>
          <w:szCs w:val="30"/>
          <w:rtl/>
        </w:rPr>
        <w:t>من غير الواضح ما إذا كان النهج المُوسّع ينطبق على الأهداف غير الاقتصادية، مثل الأعيان التي تُستخدم لحشد الدعم للدولة</w:t>
      </w:r>
      <w:r w:rsidRPr="00AF4F44">
        <w:rPr>
          <w:rStyle w:val="tlid-translation"/>
          <w:rFonts w:ascii="Traditional Arabic" w:hAnsi="Traditional Arabic" w:cs="Traditional Arabic" w:hint="cs"/>
          <w:sz w:val="30"/>
          <w:szCs w:val="30"/>
          <w:lang w:bidi="ar"/>
        </w:rPr>
        <w:t>.</w:t>
      </w:r>
      <w:r w:rsidRPr="009E24B6">
        <w:rPr>
          <w:rStyle w:val="FootnoteReference"/>
          <w:rFonts w:ascii="Traditional Arabic" w:hAnsi="Traditional Arabic" w:cs="Traditional Arabic" w:hint="cs"/>
          <w:sz w:val="30"/>
          <w:szCs w:val="30"/>
          <w:lang w:val="en-US"/>
        </w:rPr>
        <w:footnoteReference w:id="39"/>
      </w:r>
    </w:p>
    <w:p w14:paraId="05D887B3" w14:textId="3988B9AE" w:rsidR="00AF4F44" w:rsidRPr="00B31653"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F4F44">
        <w:rPr>
          <w:rFonts w:ascii="Traditional Arabic" w:eastAsiaTheme="minorHAnsi" w:hAnsi="Traditional Arabic" w:cs="Traditional Arabic" w:hint="cs"/>
          <w:sz w:val="30"/>
          <w:szCs w:val="30"/>
          <w:rtl/>
        </w:rPr>
        <w:t>لا بد من ملاحظة بعض ميزات التعريف.</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لا يوجد فئة أو قائمة منصوص عليها بالأهداف العسكرية.كل هدف محتمل يجب النظر فيه على أساس فردي.</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الجسور، على سبيل المثال، ليست أهدافًا عسكرية بحد ذاتها.</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إنما يجب النظر في كل جسر لتحديد ما إذا كان استخدامه، في الظروف السائدة في ذلك الوقت، يساهم في العمل العسكري وأن أضراره أو تدميره سيوفر ميزة عسكرية.</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وبالمثل، من الناحية القانون</w:t>
      </w:r>
      <w:r w:rsidR="00B31653">
        <w:rPr>
          <w:rFonts w:ascii="Traditional Arabic" w:eastAsiaTheme="minorHAnsi" w:hAnsi="Traditional Arabic" w:cs="Traditional Arabic" w:hint="cs"/>
          <w:sz w:val="30"/>
          <w:szCs w:val="30"/>
          <w:rtl/>
        </w:rPr>
        <w:t>ية،</w:t>
      </w:r>
      <w:r w:rsidRPr="00AF4F44">
        <w:rPr>
          <w:rFonts w:ascii="Traditional Arabic" w:eastAsiaTheme="minorHAnsi" w:hAnsi="Traditional Arabic" w:cs="Traditional Arabic" w:hint="cs"/>
          <w:sz w:val="30"/>
          <w:szCs w:val="30"/>
          <w:rtl/>
        </w:rPr>
        <w:t>لا يوجد ما يُسمى بهدف ذات "الاستخدام المزدوج." عندما يتم استخدام شيء لأغراض عسكرية ومدنية، مثل محطة لتوليد الكهرباء، فإن السؤال الأول هو ما إذا كانت تشكل هدفًا عسكريًا.</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إن استخدامها من قبل المدنيين أو فائدتها ليس له صلة بهذا القرار.</w:t>
      </w:r>
      <w:r w:rsidRPr="00AF4F44">
        <w:rPr>
          <w:rFonts w:ascii="Traditional Arabic" w:eastAsiaTheme="minorHAnsi" w:hAnsi="Traditional Arabic" w:cs="Traditional Arabic" w:hint="cs"/>
          <w:sz w:val="30"/>
          <w:szCs w:val="30"/>
          <w:lang w:bidi="ar"/>
        </w:rPr>
        <w:t xml:space="preserve"> </w:t>
      </w:r>
      <w:r w:rsidRPr="00AF4F44">
        <w:rPr>
          <w:rFonts w:ascii="Traditional Arabic" w:eastAsiaTheme="minorHAnsi" w:hAnsi="Traditional Arabic" w:cs="Traditional Arabic" w:hint="cs"/>
          <w:sz w:val="30"/>
          <w:szCs w:val="30"/>
          <w:rtl/>
        </w:rPr>
        <w:t xml:space="preserve">إن واقع أن الطاقة المنتجة تستخدم في حقيقة الأمر للأغراض المدنية لن يؤخذ في الاعتبار إلا في المرحلة الثانية من </w:t>
      </w:r>
      <w:r w:rsidRPr="00AF4F44">
        <w:rPr>
          <w:rFonts w:ascii="Traditional Arabic" w:eastAsiaTheme="minorHAnsi" w:hAnsi="Traditional Arabic" w:cs="Traditional Arabic" w:hint="cs"/>
          <w:sz w:val="30"/>
          <w:szCs w:val="30"/>
          <w:rtl/>
        </w:rPr>
        <w:lastRenderedPageBreak/>
        <w:t>الحسابات، بمعنى آخر، كيف ينبغي مهاجمتها وما إذا كان من الحكمة العسكرية مهاجمتها</w:t>
      </w:r>
      <w:r w:rsidRPr="00AF4F44">
        <w:rPr>
          <w:rFonts w:ascii="Traditional Arabic" w:eastAsiaTheme="minorHAnsi" w:hAnsi="Traditional Arabic" w:cs="Traditional Arabic" w:hint="cs"/>
          <w:sz w:val="30"/>
          <w:szCs w:val="30"/>
          <w:lang w:bidi="ar"/>
        </w:rPr>
        <w:t>.</w:t>
      </w:r>
      <w:r w:rsidRPr="00AF4F44">
        <w:rPr>
          <w:rFonts w:ascii="Traditional Arabic" w:eastAsiaTheme="minorHAnsi" w:hAnsi="Traditional Arabic" w:cs="Traditional Arabic" w:hint="cs"/>
          <w:sz w:val="30"/>
          <w:szCs w:val="30"/>
          <w:vertAlign w:val="superscript"/>
          <w:lang w:val="en-US"/>
        </w:rPr>
        <w:t xml:space="preserve"> </w:t>
      </w:r>
      <w:r w:rsidRPr="00AF4F44">
        <w:rPr>
          <w:rFonts w:eastAsiaTheme="minorHAnsi" w:hint="cs"/>
          <w:vertAlign w:val="superscript"/>
          <w:lang w:val="en-US"/>
        </w:rPr>
        <w:footnoteReference w:id="40"/>
      </w:r>
    </w:p>
    <w:p w14:paraId="50AD33D3" w14:textId="4121C595"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eastAsiaTheme="minorHAnsi" w:hAnsi="Traditional Arabic" w:cs="Traditional Arabic" w:hint="cs"/>
          <w:sz w:val="30"/>
          <w:szCs w:val="30"/>
          <w:rtl/>
        </w:rPr>
        <w:t>ليس من الواضح ما إذا كان يوجد افتراض بموجب القانون العرفي بأن الأعيان التي تستخدم عادة لأغراض مدنية، مثل المدارس والمنازل، ينبغي افتراضها مدنية</w:t>
      </w:r>
      <w:r w:rsidRPr="00B31653">
        <w:rPr>
          <w:rFonts w:ascii="Traditional Arabic" w:eastAsiaTheme="minorHAnsi" w:hAnsi="Traditional Arabic" w:cs="Traditional Arabic" w:hint="cs"/>
          <w:sz w:val="30"/>
          <w:szCs w:val="30"/>
          <w:lang w:bidi="ar"/>
        </w:rPr>
        <w:t>.</w:t>
      </w:r>
      <w:r w:rsidRPr="00AF4F44">
        <w:rPr>
          <w:rFonts w:eastAsiaTheme="minorHAnsi" w:hint="cs"/>
          <w:vertAlign w:val="superscript"/>
          <w:lang w:val="en-US"/>
        </w:rPr>
        <w:footnoteReference w:id="41"/>
      </w:r>
    </w:p>
    <w:p w14:paraId="3B95B96F" w14:textId="3013AF7F" w:rsidR="00AF4F44"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eastAsiaTheme="minorHAnsi" w:hAnsi="Traditional Arabic" w:cs="Traditional Arabic" w:hint="cs"/>
          <w:sz w:val="30"/>
          <w:szCs w:val="30"/>
          <w:rtl/>
        </w:rPr>
        <w:t>يبدو أن التوجيهات القانونية، حول كيفية اتخاذ القرار بشأن ما إذا كان الهدف عسكري أم لا، قليلة جداً، إلى جانب القاعدة العامة التي تنص على وجوب تفسير الالتزامات القانونية الدولية وتطبيقها بحسن نية (مبدأ العقد شريعة المتعاقدين</w:t>
      </w:r>
      <w:r w:rsidRPr="00B31653">
        <w:rPr>
          <w:rFonts w:ascii="Traditional Arabic" w:eastAsiaTheme="minorHAnsi" w:hAnsi="Traditional Arabic" w:cs="Traditional Arabic" w:hint="cs"/>
          <w:sz w:val="30"/>
          <w:szCs w:val="30"/>
          <w:rtl/>
          <w:lang w:bidi="ar"/>
        </w:rPr>
        <w:t xml:space="preserve">). </w:t>
      </w:r>
      <w:r w:rsidRPr="00B31653">
        <w:rPr>
          <w:rFonts w:ascii="Traditional Arabic" w:eastAsiaTheme="minorHAnsi" w:hAnsi="Traditional Arabic" w:cs="Traditional Arabic" w:hint="cs"/>
          <w:sz w:val="30"/>
          <w:szCs w:val="30"/>
          <w:rtl/>
        </w:rPr>
        <w:t>وفقًا للمبادئ القانونية العامة، يجب اتخاذ القرار على أساس المعلومات المعروفة في ذلك الوقت.</w:t>
      </w:r>
      <w:r w:rsidRPr="00B31653">
        <w:rPr>
          <w:rFonts w:ascii="Traditional Arabic" w:eastAsiaTheme="minorHAnsi" w:hAnsi="Traditional Arabic" w:cs="Traditional Arabic" w:hint="cs"/>
          <w:sz w:val="30"/>
          <w:szCs w:val="30"/>
          <w:lang w:bidi="ar"/>
        </w:rPr>
        <w:t xml:space="preserve"> </w:t>
      </w:r>
      <w:r w:rsidRPr="00B31653">
        <w:rPr>
          <w:rFonts w:ascii="Traditional Arabic" w:eastAsiaTheme="minorHAnsi" w:hAnsi="Traditional Arabic" w:cs="Traditional Arabic" w:hint="cs"/>
          <w:sz w:val="30"/>
          <w:szCs w:val="30"/>
          <w:rtl/>
        </w:rPr>
        <w:t>لا يمكن تحديد مدى قانونية القرار عبر الاستفادة من الإدراك المتأخر.</w:t>
      </w:r>
      <w:r w:rsidRPr="00B31653">
        <w:rPr>
          <w:rFonts w:ascii="Traditional Arabic" w:eastAsiaTheme="minorHAnsi" w:hAnsi="Traditional Arabic" w:cs="Traditional Arabic" w:hint="cs"/>
          <w:sz w:val="30"/>
          <w:szCs w:val="30"/>
          <w:lang w:bidi="ar"/>
        </w:rPr>
        <w:t xml:space="preserve"> </w:t>
      </w:r>
      <w:r w:rsidRPr="00B31653">
        <w:rPr>
          <w:rFonts w:ascii="Traditional Arabic" w:eastAsiaTheme="minorHAnsi" w:hAnsi="Traditional Arabic" w:cs="Traditional Arabic" w:hint="cs"/>
          <w:sz w:val="30"/>
          <w:szCs w:val="30"/>
          <w:rtl/>
        </w:rPr>
        <w:t>هذا لا يزال يترك أسئلة مثل جدية المهاجم في البحث عن المعلومات بلا هوادة، ومدى الحاجة إلى تحديث هذه المعلومات ومراجعتها للتأكد من دقتها باستمرار والاحتياطات الواجب اتخاذها لضمان عدم فساد المعلومات من المتعاونين</w:t>
      </w:r>
      <w:r w:rsidRPr="00B31653">
        <w:rPr>
          <w:rFonts w:ascii="Traditional Arabic" w:eastAsiaTheme="minorHAnsi" w:hAnsi="Traditional Arabic" w:cs="Traditional Arabic" w:hint="cs"/>
          <w:sz w:val="30"/>
          <w:szCs w:val="30"/>
          <w:rtl/>
          <w:lang w:bidi="ar"/>
        </w:rPr>
        <w:t xml:space="preserve"> </w:t>
      </w:r>
      <w:r w:rsidRPr="00B31653">
        <w:rPr>
          <w:rFonts w:ascii="Traditional Arabic" w:eastAsiaTheme="minorHAnsi" w:hAnsi="Traditional Arabic" w:cs="Traditional Arabic" w:hint="cs"/>
          <w:sz w:val="30"/>
          <w:szCs w:val="30"/>
          <w:rtl/>
        </w:rPr>
        <w:t>من أجل تصفية حسابات أو تحقيق مكاسب شخصية محتملة</w:t>
      </w:r>
      <w:r w:rsidRPr="00B31653">
        <w:rPr>
          <w:rFonts w:ascii="Traditional Arabic" w:eastAsiaTheme="minorHAnsi" w:hAnsi="Traditional Arabic" w:cs="Traditional Arabic" w:hint="cs"/>
          <w:sz w:val="30"/>
          <w:szCs w:val="30"/>
          <w:lang w:bidi="ar"/>
        </w:rPr>
        <w:t>.</w:t>
      </w:r>
    </w:p>
    <w:p w14:paraId="3AB7904A" w14:textId="47D05E35" w:rsidR="00AF4F44" w:rsidRPr="00B31653" w:rsidRDefault="00AF4F44"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B31653">
        <w:rPr>
          <w:rFonts w:ascii="Traditional Arabic" w:hAnsi="Traditional Arabic" w:cs="Traditional Arabic"/>
          <w:sz w:val="30"/>
          <w:szCs w:val="30"/>
          <w:rtl/>
          <w:lang w:val="en-US"/>
        </w:rPr>
        <w:t>يوجد أعيان معينة محمية بشكل خاص من الهجوم. يستفيد من هذه الحماية مباني ووسائل نقل وموظفي القطاع الطبي، على سبيل المثال.</w:t>
      </w:r>
      <w:r w:rsidR="00B31653">
        <w:rPr>
          <w:rStyle w:val="FootnoteReference"/>
          <w:rFonts w:cs="Traditional Arabic"/>
          <w:szCs w:val="30"/>
          <w:rtl/>
          <w:lang w:val="en-US"/>
        </w:rPr>
        <w:footnoteReference w:id="42"/>
      </w:r>
      <w:r w:rsidRPr="00B31653">
        <w:rPr>
          <w:rFonts w:ascii="Traditional Arabic" w:hAnsi="Traditional Arabic" w:cs="Traditional Arabic"/>
          <w:sz w:val="30"/>
          <w:szCs w:val="30"/>
          <w:rtl/>
          <w:lang w:val="en-US"/>
        </w:rPr>
        <w:t xml:space="preserve">  هذا لا يعني أنه لا يمكن مهاجمتها أبدًا، لكن يجب أن يتوفر دليل قوي على أن مثل هذا المكان لم يكن في الواقع على ما يبدو عليه. عندما تكون المشكلة هي "الاستخدام المزدوج" للمستشفى، على سبيل المثال حيث يتم إطلاق نيران الأسلحة من السقف أثناء رعاية المرضى داخل المبنى، يجب إيلاء قدر كبير من العناية لحماية الجرحى والمرضى. ومن الأمثلة الأخرى للحماية الخاصة، العاملون في المجال الإنساني وموظفو حفظ السلام الذين لا يشاركون مباشرة في الأعمال العدائية وكذلك الممتلكات الثقافية والتي تشمل الممتلكات الدينية. </w:t>
      </w:r>
      <w:r w:rsidR="00B31653">
        <w:rPr>
          <w:rStyle w:val="FootnoteReference"/>
          <w:rFonts w:cs="Traditional Arabic"/>
          <w:szCs w:val="30"/>
          <w:rtl/>
          <w:lang w:val="en-US"/>
        </w:rPr>
        <w:footnoteReference w:id="43"/>
      </w:r>
      <w:r w:rsidRPr="00B31653">
        <w:rPr>
          <w:rFonts w:ascii="Traditional Arabic" w:hAnsi="Traditional Arabic" w:cs="Traditional Arabic"/>
          <w:sz w:val="30"/>
          <w:szCs w:val="30"/>
          <w:rtl/>
          <w:lang w:val="en-US"/>
        </w:rPr>
        <w:t xml:space="preserve">  قد يتم تحديد أماكن أو مناطق معينة بشكل خاص من قبل الأطراف كأماكن لحماية المدنيين العزل و/ أو الجرحى والمرضى. هذه الأماكن يجب أن تكون منزوعة السلاح. عندما يتم الاتفاق على هكذا مناطق من قبل أطراف النزاع، فإنها تخضع أيضًا لحماية خاصة.</w:t>
      </w:r>
      <w:r w:rsidR="00B31653">
        <w:rPr>
          <w:rStyle w:val="FootnoteReference"/>
          <w:rFonts w:cs="Traditional Arabic"/>
          <w:szCs w:val="30"/>
          <w:rtl/>
          <w:lang w:val="en-US"/>
        </w:rPr>
        <w:footnoteReference w:id="44"/>
      </w:r>
    </w:p>
    <w:p w14:paraId="6AE2B5FA" w14:textId="49E0BF6F" w:rsidR="00AF4F44" w:rsidRPr="00A648B9" w:rsidRDefault="00A648B9" w:rsidP="00F64F95">
      <w:pPr>
        <w:pStyle w:val="Footer"/>
        <w:tabs>
          <w:tab w:val="left" w:pos="720"/>
        </w:tabs>
        <w:bidi/>
        <w:spacing w:after="240"/>
        <w:ind w:left="522" w:right="1089" w:firstLine="567"/>
        <w:jc w:val="both"/>
        <w:rPr>
          <w:rFonts w:ascii="Traditional Arabic" w:eastAsia="Calibri" w:hAnsi="Traditional Arabic" w:cs="Traditional Arabic"/>
          <w:i/>
          <w:iCs/>
          <w:sz w:val="30"/>
          <w:szCs w:val="30"/>
          <w:rtl/>
          <w:lang w:val="de-AT"/>
        </w:rPr>
      </w:pPr>
      <w:r w:rsidRPr="00A648B9">
        <w:rPr>
          <w:rFonts w:ascii="Traditional Arabic" w:eastAsia="Calibri" w:hAnsi="Traditional Arabic" w:cs="Traditional Arabic"/>
          <w:i/>
          <w:iCs/>
          <w:sz w:val="30"/>
          <w:szCs w:val="30"/>
          <w:rtl/>
          <w:lang w:val="de-AT"/>
        </w:rPr>
        <w:t>القيود المفروضة على كيفية إمكانية مهاجمة هدف بشكلٍ قانوني</w:t>
      </w:r>
    </w:p>
    <w:p w14:paraId="4E1CD366" w14:textId="1D74C7F4" w:rsidR="00A648B9"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rPr>
      </w:pPr>
      <w:r w:rsidRPr="00A648B9">
        <w:rPr>
          <w:rFonts w:ascii="Traditional Arabic" w:eastAsiaTheme="minorHAnsi" w:hAnsi="Traditional Arabic" w:cs="Traditional Arabic" w:hint="cs"/>
          <w:sz w:val="30"/>
          <w:szCs w:val="30"/>
          <w:rtl/>
        </w:rPr>
        <w:t xml:space="preserve">بعد التحديد ما إن كان الغرض هدفًا قانونيًا، يتعين على الطرف المهاجم النظر في اتخاذ الاحتياطات اللازمة لتجنب أو على الأقل تقليل الخسائر في صفوف المدنيين. يجب أن تؤخذ هذه الأمور بعين الاعتبار قبل بدء الهجوم. </w:t>
      </w:r>
      <w:r w:rsidRPr="00A648B9">
        <w:rPr>
          <w:rFonts w:ascii="Traditional Arabic" w:eastAsiaTheme="minorHAnsi" w:hAnsi="Traditional Arabic" w:cs="Traditional Arabic" w:hint="cs"/>
          <w:sz w:val="30"/>
          <w:szCs w:val="30"/>
          <w:rtl/>
        </w:rPr>
        <w:lastRenderedPageBreak/>
        <w:t>بالإضافة إلى ذلك، يوجد عناصر أخرى يجب مراعاتها أثناء الهجوم. يتعين على الطرفين اتخاذ الاحتياطات العامة لتجنب الإصابات المدنية غير الضرورية.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5"/>
      </w:r>
      <w:r w:rsidRPr="00A648B9">
        <w:rPr>
          <w:rFonts w:ascii="Traditional Arabic" w:eastAsiaTheme="minorHAnsi" w:hAnsi="Traditional Arabic" w:cs="Traditional Arabic" w:hint="cs"/>
          <w:sz w:val="30"/>
          <w:szCs w:val="30"/>
          <w:rtl/>
        </w:rPr>
        <w:t xml:space="preserve"> يوجد التزام عام على الطرف المدافع بحماية السكان المدنيين والممتلكات المدنية من آثار الهجوم.</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6"/>
      </w:r>
      <w:r w:rsidRPr="00A648B9">
        <w:rPr>
          <w:rFonts w:ascii="Traditional Arabic" w:eastAsiaTheme="minorHAnsi" w:hAnsi="Traditional Arabic" w:cs="Traditional Arabic" w:hint="cs"/>
          <w:sz w:val="30"/>
          <w:szCs w:val="30"/>
          <w:rtl/>
        </w:rPr>
        <w:t>يوجد شرط محدد مفاده أنه يجب على الأطراف، بقدر الإمكان، تجنب إقامة الأهداف العسكرية في المناطق المكتظة بالسكان.</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7"/>
      </w:r>
      <w:r w:rsidRPr="00A648B9">
        <w:rPr>
          <w:rFonts w:ascii="Traditional Arabic" w:eastAsiaTheme="minorHAnsi" w:hAnsi="Traditional Arabic" w:cs="Traditional Arabic" w:hint="cs"/>
          <w:sz w:val="30"/>
          <w:szCs w:val="30"/>
          <w:rtl/>
        </w:rPr>
        <w:t>هذا يعني أن السكان موجودين بالفعل في وقت اتخاذ القرار بشأن تحديد مكان الهدف. يوجد أيضًا شرط محدد يتمثل في إبعاد المدنيين عن الأهداف العسكرية، "بالقدر الممكن" أيضًا</w:t>
      </w:r>
      <w:r w:rsidRPr="00A648B9">
        <w:rPr>
          <w:rFonts w:ascii="Traditional Arabic" w:eastAsiaTheme="minorHAnsi" w:hAnsi="Traditional Arabic" w:cs="Traditional Arabic" w:hint="cs"/>
          <w:sz w:val="30"/>
          <w:szCs w:val="30"/>
          <w:vertAlign w:val="superscript"/>
          <w:lang w:val="en-US"/>
        </w:rPr>
        <w:footnoteReference w:id="48"/>
      </w:r>
      <w:r w:rsidRPr="00A648B9">
        <w:rPr>
          <w:rFonts w:ascii="Traditional Arabic" w:eastAsiaTheme="minorHAnsi" w:hAnsi="Traditional Arabic" w:cs="Traditional Arabic" w:hint="cs"/>
          <w:sz w:val="30"/>
          <w:szCs w:val="30"/>
          <w:rtl/>
        </w:rPr>
        <w:t>. تشمل طرق الوفاء بهذه الالتزامات الإخلاء وتحذيرات بحدوث الغارات الجوية وضمان توفر الإمداد الكافي من الملاجئ وما إلى ذلك. عمليًا، قد يكون من الصعب الفصل بين السكان المدنيين والأهداف العسكرية المحتملة.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49"/>
      </w:r>
      <w:r w:rsidRPr="00A648B9">
        <w:rPr>
          <w:rFonts w:ascii="Traditional Arabic" w:eastAsiaTheme="minorHAnsi" w:hAnsi="Traditional Arabic" w:cs="Traditional Arabic" w:hint="cs"/>
          <w:sz w:val="30"/>
          <w:szCs w:val="30"/>
          <w:rtl/>
        </w:rPr>
        <w:t xml:space="preserve"> إذا تعذر تحريك الهدف، قد يكون الحل الوحيد هو إخلاء السكان. إذا لم يكن طرف النزاع نفسه في وضع يسمح له بتنظيم عملية إخلاء، فإن الفقراء والمسنين والمرضى والعجزة هم الفئات التي من المحتمل أن تتأثر سلبًا بشكل خاص. إنما، وبشكل عام، يُتوقع من أطراف النزاع أن لا تضع أي عائق أمام الإخلاء الطوعي، وعندما يتعذر هذا الأمر، ربما لأسباب أمنية، يُتوقع من طرف النزاع أن يوفر تسهيلات بديلة مناسبة مثل الملاجئ الإضافية. يوجد شرط عام ضمن القانون الدولي الإنساني في ما يخص عدم التمييز، يعززه حظر لا يجوز التحلل منه بموجب قانون حقوق الإنسان. إذا كان من المعروف وجود مجموعة من السكان المدنيين الخاضعين لسيطرة الطرف المعني لا تتمتع بالحماية الجيدة مثل بقية السكان، فإن هذا قد يثير قضايا تمييز</w:t>
      </w:r>
      <w:r>
        <w:rPr>
          <w:rFonts w:ascii="Traditional Arabic" w:eastAsiaTheme="minorHAnsi" w:hAnsi="Traditional Arabic" w:cs="Traditional Arabic" w:hint="cs"/>
          <w:sz w:val="30"/>
          <w:szCs w:val="30"/>
          <w:rtl/>
        </w:rPr>
        <w:t>.</w:t>
      </w:r>
    </w:p>
    <w:p w14:paraId="7562E1DD" w14:textId="2E8DD984" w:rsidR="00A648B9"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648B9">
        <w:rPr>
          <w:rFonts w:ascii="Traditional Arabic" w:eastAsiaTheme="minorHAnsi" w:hAnsi="Traditional Arabic" w:cs="Traditional Arabic" w:hint="cs"/>
          <w:sz w:val="30"/>
          <w:szCs w:val="30"/>
          <w:rtl/>
        </w:rPr>
        <w:t>كما يتعين على الطرف المهاجم اتخاذ الاحتياطات اللازمة في التخطيط للهجوم أو تنفيذه. الهجمات العشوائية محظورة.</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0"/>
      </w:r>
      <w:r w:rsidRPr="00A648B9">
        <w:rPr>
          <w:rFonts w:ascii="Traditional Arabic" w:eastAsiaTheme="minorHAnsi" w:hAnsi="Traditional Arabic" w:cs="Traditional Arabic" w:hint="cs"/>
          <w:sz w:val="30"/>
          <w:szCs w:val="30"/>
          <w:rtl/>
        </w:rPr>
        <w:t>وهذا يعني الهجمات التي لا تستهدف هدفًا عسكريًا محددًا.</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1"/>
      </w:r>
      <w:r w:rsidRPr="00A648B9">
        <w:rPr>
          <w:rFonts w:ascii="Traditional Arabic" w:eastAsiaTheme="minorHAnsi" w:hAnsi="Traditional Arabic" w:cs="Traditional Arabic" w:hint="cs"/>
          <w:sz w:val="30"/>
          <w:szCs w:val="30"/>
          <w:rtl/>
        </w:rPr>
        <w:t xml:space="preserve"> علاوة على ذلك، عند تحديد كيفية تنفيذ هجوم ضد هدف عسكري، يتعين على الطرف النظر في العواقب المتوقعة للهجوم على السكان المدنيين والممتلكات المدنية. لا يمكن إجراء مثل هذه الحسابات ما لم يفكر الطرف في كيفية القيام بالهجوم، بما في ذلك السلاح المستخدم. كما تحظر الهجمات التي تؤدي نتائجها إلى إلحاق ضرر مفرط بالمدنيين والممتلكات المدنية مقارنةً بالميزة العسكرية المتوقعة من الهجوم ككل.</w:t>
      </w:r>
      <w:r w:rsidRPr="00A648B9">
        <w:rPr>
          <w:rFonts w:ascii="Traditional Arabic" w:eastAsiaTheme="minorHAnsi" w:hAnsi="Traditional Arabic" w:cs="Traditional Arabic" w:hint="cs"/>
          <w:sz w:val="30"/>
          <w:szCs w:val="30"/>
          <w:vertAlign w:val="superscript"/>
          <w:lang w:val="en-US"/>
        </w:rPr>
        <w:t xml:space="preserve"> </w:t>
      </w:r>
      <w:r w:rsidRPr="00A648B9">
        <w:rPr>
          <w:rFonts w:ascii="Traditional Arabic" w:eastAsiaTheme="minorHAnsi" w:hAnsi="Traditional Arabic" w:cs="Traditional Arabic" w:hint="cs"/>
          <w:sz w:val="30"/>
          <w:szCs w:val="30"/>
          <w:vertAlign w:val="superscript"/>
          <w:lang w:val="en-US"/>
        </w:rPr>
        <w:footnoteReference w:id="52"/>
      </w:r>
      <w:r w:rsidRPr="00A648B9">
        <w:rPr>
          <w:rFonts w:ascii="Traditional Arabic" w:eastAsiaTheme="minorHAnsi" w:hAnsi="Traditional Arabic" w:cs="Traditional Arabic" w:hint="cs"/>
          <w:sz w:val="30"/>
          <w:szCs w:val="30"/>
          <w:rtl/>
        </w:rPr>
        <w:t xml:space="preserve"> مثال على الهجوم غير المتناسب ولكن العشوائي هو الهجوم الذي يستهدف هدفًا عسكريًا محددًا ولكن عندما يكون الضرر المتوقع أكبر بكثير من الميزة العسكرية المكتسبة. من خلال تغيير السلاح المقترح أو التكتيك المقترح للهجوم قد يكون من الممكن تقليل التأثير المتوقع على المدنيين ("الضرر الجانبي") إلى حد يجعل الهجوم مشروعًا. يجب التشديد على أنه بمجرد وقوع إصابات بين المدنيين وحده لا يعني أن </w:t>
      </w:r>
      <w:r w:rsidRPr="00A648B9">
        <w:rPr>
          <w:rFonts w:ascii="Traditional Arabic" w:eastAsiaTheme="minorHAnsi" w:hAnsi="Traditional Arabic" w:cs="Traditional Arabic" w:hint="cs"/>
          <w:sz w:val="30"/>
          <w:szCs w:val="30"/>
          <w:rtl/>
        </w:rPr>
        <w:lastRenderedPageBreak/>
        <w:t>الهجوم كان غير قانوني. من أجل أن يكون عدد القتلى المدنيين دليلاً على هجوم غير قانوني، من الضروري إثبات أن المدنيين كانوا الهدف أو أن الهجوم كان عشوائيًا أو أن الخسائر المتوقعة كانت مفرطة مقارنةً بالميزة العسكرية المتوقعة</w:t>
      </w:r>
      <w:r w:rsidRPr="00A648B9">
        <w:rPr>
          <w:rFonts w:ascii="Traditional Arabic" w:eastAsiaTheme="minorHAnsi" w:hAnsi="Traditional Arabic" w:cs="Traditional Arabic" w:hint="cs"/>
          <w:sz w:val="30"/>
          <w:szCs w:val="30"/>
          <w:lang w:bidi="ar"/>
        </w:rPr>
        <w:t>.</w:t>
      </w:r>
      <w:r w:rsidRPr="00A648B9">
        <w:rPr>
          <w:rFonts w:ascii="Traditional Arabic" w:eastAsiaTheme="minorHAnsi" w:hAnsi="Traditional Arabic" w:cs="Traditional Arabic" w:hint="cs"/>
          <w:sz w:val="30"/>
          <w:szCs w:val="30"/>
          <w:rtl/>
          <w:lang w:bidi="ar"/>
        </w:rPr>
        <w:t xml:space="preserve"> </w:t>
      </w:r>
    </w:p>
    <w:p w14:paraId="71A64AFD" w14:textId="77777777" w:rsidR="008460BF" w:rsidRDefault="00A648B9"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A648B9">
        <w:rPr>
          <w:rFonts w:ascii="Traditional Arabic" w:eastAsiaTheme="minorHAnsi" w:hAnsi="Traditional Arabic" w:cs="Traditional Arabic" w:hint="cs"/>
          <w:sz w:val="30"/>
          <w:szCs w:val="30"/>
          <w:rtl/>
        </w:rPr>
        <w:t>لا يجب تطبيق مبدأ التناسب فقط في التخطيط للهجوم ولكن في جميع الأوقات أثناء تنفيذ الهجوم.</w:t>
      </w:r>
      <w:r w:rsidRPr="00A648B9">
        <w:rPr>
          <w:rFonts w:ascii="Traditional Arabic" w:eastAsiaTheme="minorHAnsi" w:hAnsi="Traditional Arabic" w:cs="Traditional Arabic" w:hint="cs"/>
          <w:sz w:val="30"/>
          <w:szCs w:val="30"/>
          <w:lang w:bidi="ar"/>
        </w:rPr>
        <w:t xml:space="preserve"> </w:t>
      </w:r>
      <w:r w:rsidRPr="00A648B9">
        <w:rPr>
          <w:rFonts w:ascii="Traditional Arabic" w:eastAsiaTheme="minorHAnsi" w:hAnsi="Traditional Arabic" w:cs="Traditional Arabic" w:hint="cs"/>
          <w:sz w:val="30"/>
          <w:szCs w:val="30"/>
          <w:rtl/>
        </w:rPr>
        <w:t xml:space="preserve">وبعبارة أخرى، إذا اتضح أثناء تنفيذ الهجوم أن الظروف أو العواقب ليست كما كانت متوقعة وأن الهجوم سيؤدي إلى ضرر </w:t>
      </w:r>
      <w:r w:rsidRPr="00F64F95">
        <w:rPr>
          <w:rFonts w:ascii="Traditional Arabic" w:eastAsiaTheme="minorHAnsi" w:hAnsi="Traditional Arabic" w:cs="Traditional Arabic" w:hint="cs"/>
          <w:sz w:val="30"/>
          <w:szCs w:val="30"/>
          <w:rtl/>
        </w:rPr>
        <w:t>مفرط</w:t>
      </w:r>
      <w:r w:rsidRPr="00A648B9">
        <w:rPr>
          <w:rFonts w:ascii="Traditional Arabic" w:eastAsiaTheme="minorHAnsi" w:hAnsi="Traditional Arabic" w:cs="Traditional Arabic" w:hint="cs"/>
          <w:sz w:val="30"/>
          <w:szCs w:val="30"/>
          <w:rtl/>
        </w:rPr>
        <w:t xml:space="preserve"> بالمدنيين، يجب إلغاء الهجوم أو تعليقه.</w:t>
      </w:r>
      <w:r w:rsidRPr="00A648B9">
        <w:rPr>
          <w:rFonts w:ascii="Traditional Arabic" w:eastAsiaTheme="minorHAnsi" w:hAnsi="Traditional Arabic" w:cs="Traditional Arabic" w:hint="cs"/>
          <w:sz w:val="30"/>
          <w:szCs w:val="30"/>
          <w:vertAlign w:val="superscript"/>
          <w:lang w:val="en-US"/>
        </w:rPr>
        <w:t xml:space="preserve"> </w:t>
      </w:r>
      <w:r w:rsidRPr="00A648B9">
        <w:rPr>
          <w:rFonts w:eastAsiaTheme="minorHAnsi" w:hint="cs"/>
          <w:vertAlign w:val="superscript"/>
          <w:lang w:val="en-US"/>
        </w:rPr>
        <w:footnoteReference w:id="53"/>
      </w:r>
      <w:r w:rsidRPr="00A648B9">
        <w:rPr>
          <w:rFonts w:ascii="Traditional Arabic" w:eastAsiaTheme="minorHAnsi" w:hAnsi="Traditional Arabic" w:cs="Traditional Arabic" w:hint="cs"/>
          <w:sz w:val="30"/>
          <w:szCs w:val="30"/>
          <w:rtl/>
        </w:rPr>
        <w:t>علاوة على ذلك، فإن الاحتياطات في الهجوم تتطلب من طرف النزاع أن يفعل كل ما هو ممكن للتأكد من أن</w:t>
      </w:r>
      <w:r w:rsidRPr="00A648B9">
        <w:rPr>
          <w:rFonts w:ascii="Traditional Arabic" w:eastAsiaTheme="minorHAnsi" w:hAnsi="Traditional Arabic" w:cs="Traditional Arabic" w:hint="cs"/>
          <w:sz w:val="30"/>
          <w:szCs w:val="30"/>
          <w:lang w:val="en-US"/>
        </w:rPr>
        <w:t xml:space="preserve"> </w:t>
      </w:r>
      <w:r w:rsidRPr="00A648B9">
        <w:rPr>
          <w:rFonts w:ascii="Traditional Arabic" w:eastAsiaTheme="minorHAnsi" w:hAnsi="Traditional Arabic" w:cs="Traditional Arabic" w:hint="cs"/>
          <w:sz w:val="30"/>
          <w:szCs w:val="30"/>
          <w:rtl/>
        </w:rPr>
        <w:t>بالإضافة إلى ذلك، يجب إعطاء المدنيين إنذارًا مسبقًا بالهجوم، إلا إذا لم تسمح الظروف بذلك.</w:t>
      </w:r>
      <w:r w:rsidRPr="00A648B9">
        <w:rPr>
          <w:rFonts w:ascii="Traditional Arabic" w:eastAsiaTheme="minorHAnsi" w:hAnsi="Traditional Arabic" w:cs="Traditional Arabic" w:hint="cs"/>
          <w:sz w:val="30"/>
          <w:szCs w:val="30"/>
          <w:vertAlign w:val="superscript"/>
          <w:lang w:val="en-US"/>
        </w:rPr>
        <w:t xml:space="preserve"> </w:t>
      </w:r>
      <w:r w:rsidRPr="00A648B9">
        <w:rPr>
          <w:rFonts w:eastAsiaTheme="minorHAnsi" w:hint="cs"/>
          <w:vertAlign w:val="superscript"/>
          <w:lang w:val="en-US"/>
        </w:rPr>
        <w:footnoteReference w:id="54"/>
      </w:r>
      <w:r w:rsidRPr="00A648B9">
        <w:rPr>
          <w:rFonts w:ascii="Traditional Arabic" w:eastAsiaTheme="minorHAnsi" w:hAnsi="Traditional Arabic" w:cs="Traditional Arabic" w:hint="cs"/>
          <w:sz w:val="30"/>
          <w:szCs w:val="30"/>
          <w:rtl/>
        </w:rPr>
        <w:t xml:space="preserve"> </w:t>
      </w:r>
    </w:p>
    <w:p w14:paraId="1F55C751" w14:textId="7D9A0004" w:rsidR="00A648B9" w:rsidRDefault="008460BF"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bidi="ar"/>
        </w:rPr>
      </w:pPr>
      <w:r w:rsidRPr="008460BF">
        <w:rPr>
          <w:rFonts w:ascii="Traditional Arabic" w:eastAsiaTheme="minorHAnsi" w:hAnsi="Traditional Arabic" w:cs="Traditional Arabic"/>
          <w:sz w:val="30"/>
          <w:szCs w:val="30"/>
          <w:rtl/>
        </w:rPr>
        <w:t>وبالإضافة إلى ذلك، ما لم تسمح الظروف بذلك، يجب توجيه إنذار مسبق إلى المدنيين بهجوم ما.</w:t>
      </w:r>
      <w:r>
        <w:rPr>
          <w:rStyle w:val="FootnoteReference"/>
          <w:rFonts w:eastAsiaTheme="minorHAnsi" w:cs="Traditional Arabic"/>
          <w:szCs w:val="30"/>
          <w:rtl/>
        </w:rPr>
        <w:footnoteReference w:id="55"/>
      </w:r>
      <w:r w:rsidRPr="008460BF">
        <w:rPr>
          <w:rFonts w:ascii="Traditional Arabic" w:eastAsiaTheme="minorHAnsi" w:hAnsi="Traditional Arabic" w:cs="Traditional Arabic" w:hint="cs"/>
          <w:sz w:val="30"/>
          <w:szCs w:val="30"/>
          <w:rtl/>
        </w:rPr>
        <w:t xml:space="preserve"> </w:t>
      </w:r>
      <w:r w:rsidR="00A648B9" w:rsidRPr="00A648B9">
        <w:rPr>
          <w:rFonts w:ascii="Traditional Arabic" w:eastAsiaTheme="minorHAnsi" w:hAnsi="Traditional Arabic" w:cs="Traditional Arabic" w:hint="cs"/>
          <w:sz w:val="30"/>
          <w:szCs w:val="30"/>
          <w:rtl/>
        </w:rPr>
        <w:t>تتطلب هذه القاعدة إعطاء تحذير فعال. هذا يعني أنه يجب أن يكون تحذيرًا يمكن اتخاذ إجراءات بشأنه. يمكن للمرء أن يتصور إعطاء تحذير، في ظروف، لا يمكن فعل شيء بشأنه. ومع ذلك، يكون ذلك تحذيرًا وينبغي توجيهه عادة، رهنا بضرورة تجنّب ترهيب السكان المدنيين. صياغة هذه القاعدة مهمة. ليس الأمر أنه يجب إعطاء تحذير إذا كان ذلك ممكنًا. المفترض إعطاء تحذير. الغرض من هكذا قاعدة هو تمكين المدنيين من تجنب الأذى إما بمغادرة المنطقة أو اللجوء إلى الأماكن الآمنة.</w:t>
      </w:r>
      <w:r w:rsidR="00A648B9" w:rsidRPr="00CE40BE">
        <w:rPr>
          <w:rStyle w:val="FootnoteReference"/>
          <w:rFonts w:eastAsiaTheme="minorHAnsi" w:hint="cs"/>
          <w:sz w:val="20"/>
          <w:szCs w:val="22"/>
        </w:rPr>
        <w:t xml:space="preserve"> </w:t>
      </w:r>
      <w:r w:rsidR="00A648B9" w:rsidRPr="00CE40BE">
        <w:rPr>
          <w:rStyle w:val="FootnoteReference"/>
          <w:rFonts w:eastAsiaTheme="minorHAnsi" w:cs="Traditional Arabic" w:hint="cs"/>
          <w:sz w:val="20"/>
          <w:szCs w:val="32"/>
        </w:rPr>
        <w:footnoteReference w:id="56"/>
      </w:r>
      <w:r w:rsidR="00A648B9" w:rsidRPr="00CE40BE">
        <w:rPr>
          <w:rStyle w:val="FootnoteReference"/>
          <w:rFonts w:eastAsiaTheme="minorHAnsi" w:hint="cs"/>
          <w:sz w:val="20"/>
          <w:szCs w:val="22"/>
          <w:rtl/>
        </w:rPr>
        <w:t xml:space="preserve"> </w:t>
      </w:r>
      <w:r w:rsidR="00A648B9" w:rsidRPr="00A648B9">
        <w:rPr>
          <w:rFonts w:ascii="Traditional Arabic" w:eastAsiaTheme="minorHAnsi" w:hAnsi="Traditional Arabic" w:cs="Traditional Arabic" w:hint="cs"/>
          <w:sz w:val="30"/>
          <w:szCs w:val="30"/>
          <w:rtl/>
        </w:rPr>
        <w:t>يُطلب من الطرف المهاجم أيضًا النظر في التأثير المحتمل للهجوم على البيئة الطبيعية ولا يمكنه شن هجوم يكون فيه التأثير المتوقع غير متناسبًا. هذا يثير قضية ذات صلة في كل تطبيق لمبدأ التناسب. عند النظر في التأثير المتوقع، يحق للطرف المهاجم افتراض أن كل شيء سيعمل كما هو مخطط له؛ أن الأسلحة ستعمل كما يفترض أن تعمل وأن التدابير الوقائية حول منشأة ستعمل كما يفترض أن تعمل؟ إذا لم يكن كذلك، ما هو الاختبار؟ ليس من المعقول الإشارة إلى أن المهاجم يجب أن يتصور أسوء السيناريوهات حيث يؤول كل شيء على نحو خاطئ</w:t>
      </w:r>
      <w:r w:rsidR="00A648B9" w:rsidRPr="00A648B9">
        <w:rPr>
          <w:rFonts w:ascii="Traditional Arabic" w:eastAsiaTheme="minorHAnsi" w:hAnsi="Traditional Arabic" w:cs="Traditional Arabic" w:hint="cs"/>
          <w:sz w:val="30"/>
          <w:szCs w:val="30"/>
          <w:lang w:bidi="ar"/>
        </w:rPr>
        <w:t>.</w:t>
      </w:r>
    </w:p>
    <w:p w14:paraId="046CB4D1" w14:textId="77777777" w:rsidR="008850E5" w:rsidRPr="008850E5" w:rsidRDefault="008850E5" w:rsidP="00F64F95">
      <w:pPr>
        <w:pStyle w:val="Footer"/>
        <w:tabs>
          <w:tab w:val="left" w:pos="720"/>
        </w:tabs>
        <w:bidi/>
        <w:spacing w:after="240"/>
        <w:ind w:left="522" w:right="1089" w:firstLine="567"/>
        <w:jc w:val="both"/>
        <w:rPr>
          <w:rFonts w:ascii="Traditional Arabic" w:eastAsia="Calibri" w:hAnsi="Traditional Arabic" w:cs="Traditional Arabic"/>
          <w:i/>
          <w:iCs/>
          <w:sz w:val="30"/>
          <w:szCs w:val="30"/>
          <w:lang w:val="de-AT"/>
        </w:rPr>
      </w:pPr>
      <w:r w:rsidRPr="008850E5">
        <w:rPr>
          <w:rFonts w:ascii="Traditional Arabic" w:eastAsia="Calibri" w:hAnsi="Traditional Arabic" w:cs="Traditional Arabic" w:hint="cs"/>
          <w:i/>
          <w:iCs/>
          <w:sz w:val="30"/>
          <w:szCs w:val="30"/>
          <w:rtl/>
          <w:lang w:val="de-AT"/>
        </w:rPr>
        <w:t xml:space="preserve">استخدام الأسلحة </w:t>
      </w:r>
    </w:p>
    <w:p w14:paraId="59615AF0"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lang w:val="en-US"/>
        </w:rPr>
      </w:pPr>
      <w:r w:rsidRPr="008850E5">
        <w:rPr>
          <w:rFonts w:ascii="Traditional Arabic" w:eastAsiaTheme="minorHAnsi" w:hAnsi="Traditional Arabic" w:cs="Traditional Arabic" w:hint="cs"/>
          <w:sz w:val="30"/>
          <w:szCs w:val="30"/>
          <w:rtl/>
        </w:rPr>
        <w:t>لقد ثبت بالفعل أن خيار السلاح المستخدم في الهجوم سيؤثر على تحديد التناسب</w:t>
      </w:r>
      <w:r w:rsidRPr="008850E5">
        <w:rPr>
          <w:rFonts w:ascii="Traditional Arabic" w:eastAsiaTheme="minorHAnsi" w:hAnsi="Traditional Arabic" w:cs="Traditional Arabic" w:hint="cs"/>
          <w:sz w:val="30"/>
          <w:szCs w:val="30"/>
          <w:rtl/>
          <w:lang w:bidi="ar-YE"/>
        </w:rPr>
        <w:t>.</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كما يوجد قواعد عامة حول استخدام الأسلحة.</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كما إن بعض الأسلحة هي موضوع حظر محدد أو تنظيم محدد لكيفية استخدامها</w:t>
      </w:r>
      <w:r w:rsidRPr="008850E5">
        <w:rPr>
          <w:rFonts w:ascii="Traditional Arabic" w:eastAsiaTheme="minorHAnsi" w:hAnsi="Traditional Arabic" w:cs="Traditional Arabic" w:hint="cs"/>
          <w:sz w:val="30"/>
          <w:szCs w:val="30"/>
          <w:lang w:bidi="ar"/>
        </w:rPr>
        <w:t>.</w:t>
      </w:r>
    </w:p>
    <w:p w14:paraId="06EA9F0E"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rtl/>
          <w:lang w:val="en-US"/>
        </w:rPr>
      </w:pPr>
      <w:r w:rsidRPr="008850E5">
        <w:rPr>
          <w:rFonts w:ascii="Traditional Arabic" w:eastAsiaTheme="minorHAnsi" w:hAnsi="Traditional Arabic" w:cs="Traditional Arabic" w:hint="cs"/>
          <w:sz w:val="30"/>
          <w:szCs w:val="30"/>
          <w:rtl/>
        </w:rPr>
        <w:t>لا يمكن استخدام السلاح الذي بطبيعته يتسبب "إصابات زائدة أو معاناة غير ضرورية" للمقاتلين.</w:t>
      </w:r>
      <w:r w:rsidRPr="008850E5">
        <w:rPr>
          <w:rFonts w:ascii="Traditional Arabic" w:eastAsiaTheme="minorHAnsi" w:hAnsi="Traditional Arabic" w:cs="Traditional Arabic" w:hint="cs"/>
          <w:sz w:val="30"/>
          <w:szCs w:val="30"/>
          <w:vertAlign w:val="superscript"/>
          <w:lang w:val="en-US"/>
        </w:rPr>
        <w:footnoteReference w:id="57"/>
      </w:r>
      <w:r w:rsidRPr="008850E5">
        <w:rPr>
          <w:rFonts w:ascii="Traditional Arabic" w:eastAsiaTheme="minorHAnsi" w:hAnsi="Traditional Arabic" w:cs="Traditional Arabic" w:hint="cs"/>
          <w:sz w:val="30"/>
          <w:szCs w:val="30"/>
          <w:rtl/>
        </w:rPr>
        <w:t xml:space="preserve"> القواعد العامة الأخرى المتعلقة باستخدام الأسلحة مستمدة في نهاية المطاف من الالتزام بحماية السكان المدنيين.</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 xml:space="preserve">لذلك، على سبيل المثال، يحظر استخدام الأسلحة العشوائية بطبيعتها، بسبب الخطر الذي تشكله </w:t>
      </w:r>
      <w:r w:rsidRPr="008850E5">
        <w:rPr>
          <w:rFonts w:ascii="Traditional Arabic" w:eastAsiaTheme="minorHAnsi" w:hAnsi="Traditional Arabic" w:cs="Traditional Arabic" w:hint="cs"/>
          <w:sz w:val="30"/>
          <w:szCs w:val="30"/>
          <w:rtl/>
        </w:rPr>
        <w:lastRenderedPageBreak/>
        <w:t>على المدنيين.</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vertAlign w:val="superscript"/>
          <w:lang w:val="en-US"/>
        </w:rPr>
        <w:footnoteReference w:id="58"/>
      </w:r>
      <w:r w:rsidRPr="008850E5">
        <w:rPr>
          <w:rFonts w:ascii="Traditional Arabic" w:eastAsiaTheme="minorHAnsi" w:hAnsi="Traditional Arabic" w:cs="Traditional Arabic" w:hint="cs"/>
          <w:sz w:val="30"/>
          <w:szCs w:val="30"/>
          <w:rtl/>
        </w:rPr>
        <w:t>وبالمثل، يُحظر أيضًا استخدام سلاح يُحتمل أن يكون عشوائيًا بطبيعته بطريقة عشوائية، مثل استخدام سلاح، مهما كان تصويبه دقيقًا للأهداف، والذي يُتوقع أن يؤدي إلى خسائر مفرطة.</w:t>
      </w:r>
      <w:r w:rsidRPr="008850E5">
        <w:rPr>
          <w:rFonts w:ascii="Traditional Arabic" w:eastAsiaTheme="minorHAnsi" w:hAnsi="Traditional Arabic" w:cs="Traditional Arabic" w:hint="cs"/>
          <w:sz w:val="30"/>
          <w:szCs w:val="30"/>
          <w:lang w:bidi="ar"/>
        </w:rPr>
        <w:t xml:space="preserve"> </w:t>
      </w:r>
      <w:r w:rsidRPr="008850E5">
        <w:rPr>
          <w:rFonts w:ascii="Traditional Arabic" w:eastAsiaTheme="minorHAnsi" w:hAnsi="Traditional Arabic" w:cs="Traditional Arabic" w:hint="cs"/>
          <w:sz w:val="30"/>
          <w:szCs w:val="30"/>
          <w:rtl/>
        </w:rPr>
        <w:t>ليس مطلوبًا من أي طرف نزاع استخدام أكثر الأسلحة " تقنية" ودقة في ترسانته للقيام بأي هجوم معين بشرط أن يكون السلاح المستخدم قانوني وأن تكون العواقب المتوقعة لاستخدامه قانونية</w:t>
      </w:r>
      <w:r w:rsidRPr="008850E5">
        <w:rPr>
          <w:rFonts w:ascii="Traditional Arabic" w:eastAsiaTheme="minorHAnsi" w:hAnsi="Traditional Arabic" w:cs="Traditional Arabic" w:hint="cs"/>
          <w:sz w:val="30"/>
          <w:szCs w:val="30"/>
          <w:lang w:bidi="ar"/>
        </w:rPr>
        <w:t>.</w:t>
      </w:r>
    </w:p>
    <w:p w14:paraId="71E484D8" w14:textId="3478C53C" w:rsidR="008850E5" w:rsidRPr="0036085D" w:rsidRDefault="008850E5" w:rsidP="00361237">
      <w:pPr>
        <w:pStyle w:val="Footer"/>
        <w:numPr>
          <w:ilvl w:val="0"/>
          <w:numId w:val="3"/>
        </w:numPr>
        <w:tabs>
          <w:tab w:val="left" w:pos="720"/>
        </w:tabs>
        <w:bidi/>
        <w:spacing w:after="240"/>
        <w:ind w:left="1089" w:right="1089" w:firstLine="0"/>
        <w:jc w:val="both"/>
        <w:rPr>
          <w:rFonts w:ascii="Traditional Arabic" w:eastAsiaTheme="minorHAnsi" w:hAnsi="Traditional Arabic" w:cs="Traditional Arabic"/>
          <w:sz w:val="30"/>
          <w:szCs w:val="30"/>
          <w:lang w:val="en-US"/>
        </w:rPr>
      </w:pPr>
      <w:r w:rsidRPr="008850E5">
        <w:rPr>
          <w:rFonts w:ascii="Traditional Arabic" w:eastAsiaTheme="minorHAnsi" w:hAnsi="Traditional Arabic" w:cs="Traditional Arabic" w:hint="cs"/>
          <w:sz w:val="30"/>
          <w:szCs w:val="30"/>
          <w:rtl/>
        </w:rPr>
        <w:t>تُعتبر قانونية الأسلحة أو أنظمة الأسلحة فيما يتعلق بطبيعتها أو استخدامها في النزاع في اليمن موضع شك في عدد من الحالات، لا سيما في القصف والنيران غير المباشرة في المناطق السكنية واستخدام</w:t>
      </w:r>
      <w:r w:rsidRPr="008850E5">
        <w:rPr>
          <w:rFonts w:ascii="Traditional Arabic" w:eastAsiaTheme="minorHAnsi" w:hAnsi="Traditional Arabic" w:cs="Traditional Arabic" w:hint="cs"/>
          <w:sz w:val="30"/>
          <w:szCs w:val="30"/>
          <w:rtl/>
          <w:lang w:bidi="ar"/>
        </w:rPr>
        <w:t xml:space="preserve"> </w:t>
      </w:r>
      <w:r w:rsidRPr="00CE40BE">
        <w:rPr>
          <w:rFonts w:ascii="Traditional Arabic" w:eastAsiaTheme="minorHAnsi" w:hAnsi="Traditional Arabic" w:cs="Traditional Arabic" w:hint="cs"/>
          <w:sz w:val="30"/>
          <w:szCs w:val="30"/>
          <w:rtl/>
        </w:rPr>
        <w:t>الحوثيين</w:t>
      </w:r>
      <w:r w:rsidRPr="008850E5">
        <w:rPr>
          <w:rFonts w:ascii="Traditional Arabic" w:eastAsiaTheme="minorHAnsi" w:hAnsi="Traditional Arabic" w:cs="Traditional Arabic" w:hint="cs"/>
          <w:sz w:val="30"/>
          <w:szCs w:val="30"/>
          <w:rtl/>
        </w:rPr>
        <w:t xml:space="preserve"> للألغام الأرضية المضادة للمركبات والأفراد دون أي محاولة لاتخاذ خطوات لحماية السكان المدنيين من آثارها</w:t>
      </w:r>
      <w:r w:rsidRPr="008850E5">
        <w:rPr>
          <w:rFonts w:ascii="Traditional Arabic" w:eastAsiaTheme="minorHAnsi" w:hAnsi="Traditional Arabic" w:cs="Traditional Arabic" w:hint="cs"/>
          <w:sz w:val="30"/>
          <w:szCs w:val="30"/>
          <w:lang w:bidi="ar"/>
        </w:rPr>
        <w:t>.</w:t>
      </w:r>
    </w:p>
    <w:p w14:paraId="18335B60" w14:textId="77777777" w:rsidR="0036085D" w:rsidRPr="008850E5" w:rsidRDefault="0036085D" w:rsidP="0036085D">
      <w:pPr>
        <w:pStyle w:val="Footer"/>
        <w:tabs>
          <w:tab w:val="left" w:pos="720"/>
        </w:tabs>
        <w:bidi/>
        <w:spacing w:after="240"/>
        <w:ind w:left="1089" w:right="1089"/>
        <w:jc w:val="both"/>
        <w:rPr>
          <w:rFonts w:ascii="Traditional Arabic" w:eastAsiaTheme="minorHAnsi" w:hAnsi="Traditional Arabic" w:cs="Traditional Arabic"/>
          <w:sz w:val="30"/>
          <w:szCs w:val="30"/>
          <w:rtl/>
          <w:lang w:val="en-US"/>
        </w:rPr>
      </w:pPr>
    </w:p>
    <w:p w14:paraId="66C94B7A" w14:textId="77777777" w:rsidR="008850E5" w:rsidRPr="006D2F0F" w:rsidRDefault="008850E5" w:rsidP="00F64F95">
      <w:pPr>
        <w:pStyle w:val="Heading3"/>
        <w:numPr>
          <w:ilvl w:val="0"/>
          <w:numId w:val="7"/>
        </w:numPr>
        <w:tabs>
          <w:tab w:val="left" w:pos="720"/>
        </w:tabs>
        <w:bidi/>
        <w:spacing w:after="240"/>
        <w:ind w:left="1089" w:hanging="450"/>
        <w:rPr>
          <w:rFonts w:ascii="Traditional Arabic" w:hAnsi="Traditional Arabic" w:cs="Traditional Arabic"/>
          <w:b/>
          <w:bCs/>
          <w:sz w:val="30"/>
          <w:szCs w:val="30"/>
        </w:rPr>
      </w:pPr>
      <w:bookmarkStart w:id="17" w:name="_Toc18918102"/>
      <w:r w:rsidRPr="006D2F0F">
        <w:rPr>
          <w:rFonts w:ascii="Traditional Arabic" w:hAnsi="Traditional Arabic" w:cs="Traditional Arabic" w:hint="cs"/>
          <w:b/>
          <w:bCs/>
          <w:sz w:val="30"/>
          <w:szCs w:val="30"/>
          <w:rtl/>
        </w:rPr>
        <w:t>القانون الدولي لحقوق الإنسان</w:t>
      </w:r>
      <w:bookmarkEnd w:id="17"/>
    </w:p>
    <w:p w14:paraId="53616EA5"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كما ورد في تقرير العام الماضي</w:t>
      </w:r>
      <w:r w:rsidRPr="008850E5">
        <w:rPr>
          <w:rFonts w:ascii="Traditional Arabic" w:hAnsi="Traditional Arabic" w:cs="Traditional Arabic"/>
          <w:sz w:val="24"/>
          <w:szCs w:val="24"/>
          <w:vertAlign w:val="superscript"/>
        </w:rPr>
        <w:footnoteReference w:id="59"/>
      </w:r>
      <w:r w:rsidRPr="008850E5">
        <w:rPr>
          <w:rFonts w:ascii="Traditional Arabic" w:hAnsi="Traditional Arabic" w:cs="Traditional Arabic"/>
          <w:sz w:val="30"/>
          <w:szCs w:val="30"/>
          <w:rtl/>
        </w:rPr>
        <w:t>، تظل الحكومة اليمنية مسؤولة عن الوفاء بالتزاماتها في مجال حقوق الإنسان على كامل أراضيها، بما في ذلك الأجزاء التي فقدت السيطرة عليها</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يقع على عاتق اليمن التزام أساسي بحماية السكان اليمنيين من التدخل الضار من جانب جماعات مسلحة غير تابعة للدولة، وهو التزام ببذل العناية الواجبة</w:t>
      </w:r>
      <w:r w:rsidRPr="008850E5">
        <w:rPr>
          <w:rFonts w:ascii="Traditional Arabic" w:hAnsi="Traditional Arabic" w:cs="Traditional Arabic"/>
          <w:sz w:val="30"/>
          <w:szCs w:val="30"/>
        </w:rPr>
        <w:t>.</w:t>
      </w:r>
      <w:r w:rsidRPr="008850E5">
        <w:rPr>
          <w:rFonts w:ascii="Traditional Arabic" w:hAnsi="Traditional Arabic" w:cs="Traditional Arabic"/>
          <w:vertAlign w:val="superscript"/>
        </w:rPr>
        <w:footnoteReference w:id="60"/>
      </w:r>
      <w:r w:rsidRPr="008850E5">
        <w:rPr>
          <w:rFonts w:ascii="Traditional Arabic" w:hAnsi="Traditional Arabic" w:cs="Traditional Arabic"/>
          <w:sz w:val="30"/>
          <w:szCs w:val="30"/>
          <w:rtl/>
        </w:rPr>
        <w:t xml:space="preserve"> أكدت اللجنة المعنية بحقوق الإنسان أن الدولة الطرف ملزمة بضمان احترام الحقوق المعترف بها في العهد الدولي الخاص بالحقوق المدنية والسياسية أيضًا في أجزاء من أراضيها الخارجة عن سيطرتها الفعلية، في حدود سلطتها الفعلية</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1"/>
      </w:r>
      <w:r w:rsidRPr="008850E5">
        <w:rPr>
          <w:rFonts w:ascii="Traditional Arabic" w:hAnsi="Traditional Arabic" w:cs="Traditional Arabic"/>
          <w:sz w:val="30"/>
          <w:szCs w:val="30"/>
          <w:rtl/>
        </w:rPr>
        <w:t xml:space="preserve"> الواقع أن التزام الدولة بحماية الأفراد الخاضعين لولايتها القضائية يشمل أيضاً ما يهدد التمتع بحقوق الإنسان من جماعات مسلحة غير تابعة للدولة، بما في ذلك سلطات الأمر الواقع.</w:t>
      </w:r>
      <w:r w:rsidRPr="008850E5">
        <w:rPr>
          <w:rFonts w:ascii="Traditional Arabic" w:hAnsi="Traditional Arabic" w:cs="Traditional Arabic"/>
          <w:sz w:val="30"/>
          <w:szCs w:val="30"/>
        </w:rPr>
        <w:t xml:space="preserve"> </w:t>
      </w:r>
      <w:r w:rsidRPr="008850E5">
        <w:rPr>
          <w:rFonts w:ascii="Traditional Arabic" w:hAnsi="Traditional Arabic" w:cs="Traditional Arabic"/>
          <w:sz w:val="24"/>
          <w:szCs w:val="24"/>
          <w:vertAlign w:val="superscript"/>
        </w:rPr>
        <w:footnoteReference w:id="62"/>
      </w:r>
      <w:r w:rsidRPr="008850E5">
        <w:rPr>
          <w:rFonts w:ascii="Traditional Arabic" w:hAnsi="Traditional Arabic" w:cs="Traditional Arabic"/>
          <w:sz w:val="30"/>
          <w:szCs w:val="30"/>
          <w:rtl/>
        </w:rPr>
        <w:t>ومع ذلك، وفي ضوء المعوقات العملية، تُعتبر التزامات حقوق الإنسان للحكومة اليمنية، في المناطق الخارجة عن سيطرتها حاليًا، قائمة قدر الإمكان، أي أنها ستعتمد على مستوى سيطرة الدولة المتبقي على هذه المناطق</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كحد أدنى، فهي تنطوي على التزام سلبي بعدم عرقلة التمتع بهذه الحقوق الإنسانية. وأقرت الحكومة اليمنية إلى حد ما بهذا الالتزام في مذكرة موجهة إلى فريق الخبراء البارزين</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 xml:space="preserve">في </w:t>
      </w:r>
      <w:r w:rsidRPr="008850E5">
        <w:rPr>
          <w:rFonts w:ascii="Traditional Arabic" w:hAnsi="Traditional Arabic" w:cs="Traditional Arabic" w:hint="cs"/>
          <w:sz w:val="30"/>
          <w:szCs w:val="30"/>
          <w:rtl/>
        </w:rPr>
        <w:t xml:space="preserve">آب/ </w:t>
      </w:r>
      <w:r w:rsidRPr="008850E5">
        <w:rPr>
          <w:rFonts w:ascii="Traditional Arabic" w:hAnsi="Traditional Arabic" w:cs="Traditional Arabic"/>
          <w:sz w:val="30"/>
          <w:szCs w:val="30"/>
          <w:rtl/>
        </w:rPr>
        <w:lastRenderedPageBreak/>
        <w:t>أغسطس 2018 تؤكد فيها التزام اليمن التام بالقانون الدولي الإنساني والقانون الدولي لحقوق الإنسان وأنها لن تتسامح مع أي انتهاك يُرتكب ضد مواطنيها في جميع الأراضي اليمنية سواء ارتكبت في مناطق خاضعة لسيطرتها أو مناطق تحت سيطرة الحوثيين</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3"/>
      </w:r>
      <w:r w:rsidRPr="008850E5">
        <w:rPr>
          <w:rFonts w:ascii="Traditional Arabic" w:hAnsi="Traditional Arabic" w:cs="Traditional Arabic"/>
          <w:sz w:val="30"/>
          <w:szCs w:val="30"/>
          <w:rtl/>
        </w:rPr>
        <w:t xml:space="preserve"> </w:t>
      </w:r>
    </w:p>
    <w:p w14:paraId="5BDE9C49"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يُلزم القانون الدولي لحقوق الإنسان أيضًا جماعة أنصار الله باعتبارها سلطة الأمر الواقع وتمارس وظائف شبيهة بالحكومة ولديها سيطرة ميدانية على مناطق معينة من اليمن</w:t>
      </w:r>
      <w:r w:rsidRPr="008850E5">
        <w:rPr>
          <w:rFonts w:ascii="Traditional Arabic" w:hAnsi="Traditional Arabic" w:cs="Traditional Arabic"/>
          <w:sz w:val="24"/>
          <w:szCs w:val="24"/>
          <w:vertAlign w:val="superscript"/>
        </w:rPr>
        <w:footnoteReference w:id="64"/>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هذا هو الحال على الرغم من استمرار الحكومة اليمنية بالالتزامات المتعلقة بحقوق الإنسان في كامل أراضيها، كما ذكر أعلاه.</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ومن المسلم به حاليا على نطاق واسع بما في ذلك من قبل مختلف أجهزة وهيئات الأمم المتحدة</w:t>
      </w:r>
      <w:r w:rsidRPr="008850E5">
        <w:rPr>
          <w:rFonts w:ascii="Traditional Arabic" w:hAnsi="Traditional Arabic" w:cs="Traditional Arabic"/>
          <w:sz w:val="24"/>
          <w:szCs w:val="24"/>
          <w:vertAlign w:val="superscript"/>
        </w:rPr>
        <w:footnoteReference w:id="65"/>
      </w:r>
      <w:r w:rsidRPr="008850E5">
        <w:rPr>
          <w:rFonts w:ascii="Traditional Arabic" w:hAnsi="Traditional Arabic" w:cs="Traditional Arabic"/>
          <w:sz w:val="30"/>
          <w:szCs w:val="30"/>
          <w:rtl/>
        </w:rPr>
        <w:t xml:space="preserve"> وكذلك </w:t>
      </w:r>
      <w:r w:rsidRPr="008850E5">
        <w:rPr>
          <w:rFonts w:ascii="Traditional Arabic" w:hAnsi="Traditional Arabic" w:cs="Traditional Arabic" w:hint="cs"/>
          <w:sz w:val="30"/>
          <w:szCs w:val="30"/>
          <w:rtl/>
        </w:rPr>
        <w:t>علماء القانون</w:t>
      </w:r>
      <w:r w:rsidRPr="008850E5">
        <w:rPr>
          <w:rFonts w:ascii="Traditional Arabic" w:hAnsi="Traditional Arabic" w:cs="Traditional Arabic"/>
          <w:sz w:val="22"/>
          <w:szCs w:val="22"/>
          <w:vertAlign w:val="superscript"/>
        </w:rPr>
        <w:footnoteReference w:id="66"/>
      </w:r>
      <w:r w:rsidRPr="008850E5">
        <w:rPr>
          <w:rFonts w:ascii="Traditional Arabic" w:hAnsi="Traditional Arabic" w:cs="Traditional Arabic"/>
          <w:sz w:val="30"/>
          <w:szCs w:val="30"/>
          <w:rtl/>
        </w:rPr>
        <w:t>، أن الكيانات المسلحة غير التابعة للدولة عليها التزامات في ما يخص حقوق الإنسان، سيما عندما تمارس السيطرة الميدانية على مناطق معينة</w:t>
      </w:r>
      <w:r w:rsidRPr="008850E5">
        <w:rPr>
          <w:rFonts w:ascii="Traditional Arabic" w:hAnsi="Traditional Arabic" w:cs="Traditional Arabic"/>
          <w:sz w:val="30"/>
          <w:szCs w:val="30"/>
        </w:rPr>
        <w:t>.</w:t>
      </w:r>
      <w:r w:rsidRPr="008850E5">
        <w:rPr>
          <w:rFonts w:ascii="Traditional Arabic" w:hAnsi="Traditional Arabic" w:cs="Traditional Arabic"/>
          <w:sz w:val="30"/>
          <w:szCs w:val="30"/>
          <w:rtl/>
        </w:rPr>
        <w:t xml:space="preserve"> ويمكن اعتبار هذه الالتزامات نابعة من حقيقة أن هذه الكيانات من غير الدول تخضع لقانون الدولة التي تعمل فيها، وتظل قابلة للتطبيق في المنطقة الخاضعة لنفوذها بحكم الواقع</w:t>
      </w:r>
      <w:r w:rsidRPr="008850E5">
        <w:rPr>
          <w:rFonts w:ascii="Traditional Arabic" w:hAnsi="Traditional Arabic" w:cs="Traditional Arabic"/>
          <w:sz w:val="22"/>
          <w:szCs w:val="22"/>
          <w:vertAlign w:val="superscript"/>
        </w:rPr>
        <w:footnoteReference w:id="67"/>
      </w:r>
      <w:r w:rsidRPr="008850E5">
        <w:rPr>
          <w:rFonts w:ascii="Traditional Arabic" w:hAnsi="Traditional Arabic" w:cs="Traditional Arabic"/>
          <w:sz w:val="30"/>
          <w:szCs w:val="30"/>
          <w:rtl/>
        </w:rPr>
        <w:t>.</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في ردها على قائمة فريق الخبراء البارزين</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حول القضايا الموجهة إلى وزارة الشؤون الخارجية في صنعاء في</w:t>
      </w:r>
      <w:r w:rsidRPr="008850E5">
        <w:rPr>
          <w:rFonts w:ascii="Traditional Arabic" w:hAnsi="Traditional Arabic" w:cs="Traditional Arabic" w:hint="cs"/>
          <w:sz w:val="30"/>
          <w:szCs w:val="30"/>
          <w:rtl/>
        </w:rPr>
        <w:t xml:space="preserve"> كانون الثاني/ </w:t>
      </w:r>
      <w:r w:rsidRPr="008850E5">
        <w:rPr>
          <w:rFonts w:ascii="Traditional Arabic" w:hAnsi="Traditional Arabic" w:cs="Traditional Arabic"/>
          <w:sz w:val="30"/>
          <w:szCs w:val="30"/>
          <w:rtl/>
        </w:rPr>
        <w:t xml:space="preserve"> يناير 2019، يشير الأخير صراحة إلى امكانية تطبيق معاهدات حقوق الإنسان التي صادقت عليها الحكومة اليمنية</w:t>
      </w:r>
      <w:r w:rsidRPr="008850E5">
        <w:rPr>
          <w:rFonts w:ascii="Traditional Arabic" w:hAnsi="Traditional Arabic" w:cs="Traditional Arabic"/>
          <w:sz w:val="30"/>
          <w:szCs w:val="30"/>
        </w:rPr>
        <w:t>.</w:t>
      </w:r>
    </w:p>
    <w:p w14:paraId="061E8F63"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نطبق المنطق نفسه على الجماعات المسلحة الأخرى غير التابعة للدولة والتي تعمل داخل اليمن والتي تلتزم بقانون حقوق الإنسان إذا مارست سيطرتها على مناطق معينة من الأراضي اليمنية</w:t>
      </w:r>
      <w:r w:rsidRPr="008850E5">
        <w:rPr>
          <w:rFonts w:ascii="Traditional Arabic" w:hAnsi="Traditional Arabic" w:cs="Traditional Arabic"/>
          <w:sz w:val="30"/>
          <w:szCs w:val="30"/>
        </w:rPr>
        <w:t xml:space="preserve">. </w:t>
      </w:r>
      <w:r w:rsidRPr="008850E5">
        <w:rPr>
          <w:rFonts w:ascii="Traditional Arabic" w:hAnsi="Traditional Arabic" w:cs="Traditional Arabic"/>
          <w:sz w:val="30"/>
          <w:szCs w:val="30"/>
          <w:rtl/>
        </w:rPr>
        <w:t xml:space="preserve">كان هذا هو الحال، على سبيل المثال، </w:t>
      </w:r>
      <w:r w:rsidRPr="008850E5">
        <w:rPr>
          <w:rFonts w:ascii="Traditional Arabic" w:hAnsi="Traditional Arabic" w:cs="Traditional Arabic"/>
          <w:sz w:val="30"/>
          <w:szCs w:val="30"/>
          <w:rtl/>
        </w:rPr>
        <w:lastRenderedPageBreak/>
        <w:t>عندما اكتسب تنظيم القاعدة في شبه الجزيرة العربية مؤقتًا السيطرة الميدانية على أجزاء من ساحل حضرموت في العام 2015.</w:t>
      </w:r>
    </w:p>
    <w:p w14:paraId="5D6F8DE6"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850E5">
        <w:rPr>
          <w:rFonts w:ascii="Traditional Arabic" w:hAnsi="Traditional Arabic" w:cs="Traditional Arabic"/>
          <w:sz w:val="30"/>
          <w:szCs w:val="30"/>
          <w:rtl/>
        </w:rPr>
        <w:t>إن إنكار هذه الالتزامات من شأنه أن يخلق فعليا ثغرة في مجال حماية السكان الذين يعيشون تحت سيطرة كيانات غير تابعة للدولة خاصة فيما يتعلق بالأعمال التي لا ترتبط ارتباطًا مباشرًا بالصراع وبالتالي لا يشملها القانون الإنساني الدولي بما في ذلك الحريات الأساسية والحقوق الاقتصادية والاجتماعية والثقافية</w:t>
      </w:r>
      <w:r w:rsidRPr="008850E5">
        <w:rPr>
          <w:rFonts w:ascii="Traditional Arabic" w:hAnsi="Traditional Arabic" w:cs="Traditional Arabic"/>
          <w:sz w:val="30"/>
          <w:szCs w:val="30"/>
        </w:rPr>
        <w:t>.</w:t>
      </w:r>
      <w:r w:rsidRPr="008850E5">
        <w:rPr>
          <w:rFonts w:ascii="Traditional Arabic" w:hAnsi="Traditional Arabic" w:cs="Traditional Arabic"/>
          <w:sz w:val="24"/>
          <w:szCs w:val="24"/>
          <w:vertAlign w:val="superscript"/>
        </w:rPr>
        <w:footnoteReference w:id="68"/>
      </w:r>
    </w:p>
    <w:p w14:paraId="1BA38E98" w14:textId="77777777" w:rsidR="008850E5" w:rsidRPr="008850E5" w:rsidRDefault="008850E5" w:rsidP="00361237">
      <w:pPr>
        <w:pStyle w:val="Footer"/>
        <w:numPr>
          <w:ilvl w:val="0"/>
          <w:numId w:val="3"/>
        </w:numPr>
        <w:tabs>
          <w:tab w:val="left" w:pos="720"/>
        </w:tabs>
        <w:bidi/>
        <w:spacing w:after="240"/>
        <w:ind w:left="1089" w:right="1089" w:firstLine="0"/>
        <w:jc w:val="both"/>
        <w:rPr>
          <w:rFonts w:ascii="Simplified Arabic" w:eastAsiaTheme="minorHAnsi" w:hAnsi="Simplified Arabic" w:cs="Simplified Arabic"/>
          <w:sz w:val="24"/>
          <w:szCs w:val="24"/>
          <w:rtl/>
          <w:lang w:bidi="ar"/>
        </w:rPr>
      </w:pPr>
      <w:r w:rsidRPr="008850E5">
        <w:rPr>
          <w:rFonts w:ascii="Traditional Arabic" w:hAnsi="Traditional Arabic" w:cs="Traditional Arabic"/>
          <w:sz w:val="30"/>
          <w:szCs w:val="30"/>
          <w:rtl/>
        </w:rPr>
        <w:t>يفترض أن يكون لدى التحالف التزامات بحقوق الإنسان فيما يتعلق باليمن وأن يُطبق القانون الدولي لحقوق الإنسان خارج الحدود الإقليمية. وبالفعل، فقد ثبت أن نطاق تطبيق القانون الدولي لحقوق الإنسان لا يعتمد فقط على الحدود الإقليمية لدولة ما، بل يعتمد أيضًا على مناطق تحت ولايتها القضائية أو سيطرتها الفعلية، حتى لو كانت خارج حدود الدولة السيادية.</w:t>
      </w:r>
      <w:r w:rsidRPr="006D2F0F">
        <w:rPr>
          <w:rFonts w:ascii="Traditional Arabic" w:hAnsi="Traditional Arabic" w:cs="Traditional Arabic"/>
          <w:sz w:val="24"/>
          <w:szCs w:val="24"/>
          <w:vertAlign w:val="superscript"/>
          <w:rtl/>
        </w:rPr>
        <w:footnoteReference w:id="69"/>
      </w:r>
      <w:r w:rsidRPr="008850E5">
        <w:rPr>
          <w:rFonts w:ascii="Traditional Arabic" w:hAnsi="Traditional Arabic" w:cs="Traditional Arabic"/>
          <w:sz w:val="30"/>
          <w:szCs w:val="30"/>
          <w:rtl/>
        </w:rPr>
        <w:t xml:space="preserve"> في حين أن بعض الدول تنكر أن قواتها المسلحة ملتزمة بالقانون الدولي لحقوق الإنسان عندما تعمل في خارج حدودها</w:t>
      </w:r>
      <w:r w:rsidRPr="008850E5">
        <w:rPr>
          <w:rFonts w:ascii="Traditional Arabic" w:hAnsi="Traditional Arabic" w:cs="Traditional Arabic"/>
          <w:sz w:val="24"/>
          <w:szCs w:val="24"/>
          <w:vertAlign w:val="superscript"/>
          <w:rtl/>
        </w:rPr>
        <w:footnoteReference w:id="70"/>
      </w:r>
      <w:r w:rsidRPr="008850E5">
        <w:rPr>
          <w:rFonts w:ascii="Traditional Arabic" w:hAnsi="Traditional Arabic" w:cs="Traditional Arabic"/>
          <w:sz w:val="30"/>
          <w:szCs w:val="30"/>
          <w:rtl/>
        </w:rPr>
        <w:t>، سيكون من الصعب رفض هذا التطبيق خارج الحدود الإقليمية إذا كانت القوات الأجنبية هذه تتمتع بمستوى معين من السيطرة على</w:t>
      </w:r>
      <w:r w:rsidRPr="008850E5">
        <w:rPr>
          <w:rFonts w:ascii="Traditional Arabic" w:hAnsi="Traditional Arabic" w:cs="Traditional Arabic" w:hint="cs"/>
          <w:sz w:val="30"/>
          <w:szCs w:val="30"/>
          <w:rtl/>
        </w:rPr>
        <w:t xml:space="preserve"> شخص أو</w:t>
      </w:r>
      <w:r w:rsidRPr="008850E5">
        <w:rPr>
          <w:rFonts w:ascii="Traditional Arabic" w:hAnsi="Traditional Arabic" w:cs="Traditional Arabic"/>
          <w:sz w:val="30"/>
          <w:szCs w:val="30"/>
          <w:rtl/>
        </w:rPr>
        <w:t xml:space="preserve"> </w:t>
      </w:r>
      <w:r w:rsidRPr="008850E5">
        <w:rPr>
          <w:rFonts w:ascii="Traditional Arabic" w:hAnsi="Traditional Arabic" w:cs="Traditional Arabic" w:hint="cs"/>
          <w:sz w:val="30"/>
          <w:szCs w:val="30"/>
          <w:rtl/>
        </w:rPr>
        <w:t>منطقة</w:t>
      </w:r>
      <w:r w:rsidRPr="008850E5">
        <w:rPr>
          <w:rFonts w:ascii="Traditional Arabic" w:hAnsi="Traditional Arabic" w:cs="Traditional Arabic"/>
          <w:sz w:val="30"/>
          <w:szCs w:val="30"/>
          <w:rtl/>
        </w:rPr>
        <w:t xml:space="preserve"> أو منشأة معينة. في سياق اليمن على سبيل المثال، قد ينطبق ذلك على مراكز الاحتجاز و/أو القواعد العسكرية التي قد يمكن اعتبارها خاضعة لسلطة إحدى الدول الأعضاء في التحالف</w:t>
      </w:r>
      <w:r w:rsidRPr="008850E5">
        <w:rPr>
          <w:rFonts w:ascii="Traditional Arabic" w:hAnsi="Traditional Arabic" w:cs="Traditional Arabic" w:hint="cs"/>
          <w:sz w:val="30"/>
          <w:szCs w:val="30"/>
          <w:rtl/>
        </w:rPr>
        <w:t>، بصورة أساسية المملكة العربية السعودية أو الامارات العربية المتحدة</w:t>
      </w:r>
      <w:r w:rsidRPr="008850E5">
        <w:rPr>
          <w:rFonts w:ascii="Traditional Arabic" w:hAnsi="Traditional Arabic" w:cs="Traditional Arabic"/>
          <w:sz w:val="30"/>
          <w:szCs w:val="30"/>
          <w:rtl/>
        </w:rPr>
        <w:t>. كذلك الدول الأجنبية العاملة في منطقة دولة أخرى، فهي مقيدة بالتزامات القانون الدولي لحقوق الإنسان لهذه الدولة</w:t>
      </w:r>
      <w:r w:rsidRPr="008850E5">
        <w:rPr>
          <w:rFonts w:ascii="Simplified Arabic" w:eastAsiaTheme="minorHAnsi" w:hAnsi="Simplified Arabic" w:cs="Simplified Arabic"/>
          <w:sz w:val="24"/>
          <w:szCs w:val="24"/>
          <w:lang w:bidi="ar"/>
        </w:rPr>
        <w:t>.</w:t>
      </w:r>
    </w:p>
    <w:p w14:paraId="7DA0CC01" w14:textId="401CBDB0" w:rsidR="00B03976" w:rsidRPr="008F4594" w:rsidRDefault="00B03976" w:rsidP="00F64F95">
      <w:pPr>
        <w:pStyle w:val="HChGA"/>
        <w:numPr>
          <w:ilvl w:val="0"/>
          <w:numId w:val="4"/>
        </w:numPr>
        <w:tabs>
          <w:tab w:val="clear" w:pos="1021"/>
          <w:tab w:val="left" w:pos="1089"/>
        </w:tabs>
        <w:ind w:left="549" w:firstLine="9"/>
        <w:rPr>
          <w:rStyle w:val="Heading2Char"/>
        </w:rPr>
      </w:pPr>
      <w:bookmarkStart w:id="18" w:name="_Toc18918103"/>
      <w:r w:rsidRPr="008F4594">
        <w:rPr>
          <w:rStyle w:val="Heading2Char"/>
          <w:rtl/>
        </w:rPr>
        <w:t>التعاون مع فريق الخبراء البارزين</w:t>
      </w:r>
      <w:bookmarkEnd w:id="18"/>
    </w:p>
    <w:p w14:paraId="1CBF3FCC" w14:textId="6FB8D8D6" w:rsidR="00B03976" w:rsidRPr="00895CED" w:rsidRDefault="006D2F0F" w:rsidP="00361237">
      <w:pPr>
        <w:pStyle w:val="Footer"/>
        <w:tabs>
          <w:tab w:val="left" w:pos="720"/>
        </w:tabs>
        <w:bidi/>
        <w:spacing w:after="240"/>
        <w:ind w:left="567" w:right="1089" w:firstLine="72"/>
        <w:rPr>
          <w:rFonts w:ascii="Traditional Arabic" w:hAnsi="Traditional Arabic" w:cs="Traditional Arabic"/>
          <w:b/>
          <w:bCs/>
          <w:sz w:val="30"/>
          <w:szCs w:val="30"/>
        </w:rPr>
      </w:pPr>
      <w:r>
        <w:rPr>
          <w:rFonts w:hint="cs"/>
          <w:b/>
          <w:bCs/>
          <w:sz w:val="24"/>
          <w:szCs w:val="24"/>
          <w:rtl/>
          <w:lang w:bidi="ar-JO"/>
        </w:rPr>
        <w:t>أ</w:t>
      </w:r>
      <w:r w:rsidR="008F3097" w:rsidRPr="00895CED">
        <w:rPr>
          <w:rFonts w:ascii="Traditional Arabic" w:hAnsi="Traditional Arabic" w:cs="Traditional Arabic"/>
          <w:b/>
          <w:bCs/>
          <w:sz w:val="30"/>
          <w:szCs w:val="30"/>
          <w:rtl/>
        </w:rPr>
        <w:t>.</w:t>
      </w:r>
      <w:r w:rsidR="008F3097" w:rsidRPr="00895CED">
        <w:rPr>
          <w:rFonts w:ascii="Traditional Arabic" w:hAnsi="Traditional Arabic" w:cs="Traditional Arabic"/>
          <w:b/>
          <w:bCs/>
          <w:sz w:val="30"/>
          <w:szCs w:val="30"/>
          <w:rtl/>
        </w:rPr>
        <w:tab/>
      </w:r>
      <w:r w:rsidR="00B03976" w:rsidRPr="00895CED">
        <w:rPr>
          <w:rFonts w:ascii="Traditional Arabic" w:hAnsi="Traditional Arabic" w:cs="Traditional Arabic"/>
          <w:b/>
          <w:bCs/>
          <w:sz w:val="30"/>
          <w:szCs w:val="30"/>
          <w:rtl/>
        </w:rPr>
        <w:t xml:space="preserve">التعاون خلال الولاية الأولى </w:t>
      </w:r>
      <w:r w:rsidR="000669D7" w:rsidRPr="00895CED">
        <w:rPr>
          <w:rFonts w:ascii="Traditional Arabic" w:hAnsi="Traditional Arabic" w:cs="Traditional Arabic"/>
          <w:b/>
          <w:bCs/>
          <w:sz w:val="30"/>
          <w:szCs w:val="30"/>
          <w:rtl/>
        </w:rPr>
        <w:t xml:space="preserve">أيلول/ </w:t>
      </w:r>
      <w:r w:rsidR="00B03976" w:rsidRPr="00895CED">
        <w:rPr>
          <w:rFonts w:ascii="Traditional Arabic" w:hAnsi="Traditional Arabic" w:cs="Traditional Arabic"/>
          <w:b/>
          <w:bCs/>
          <w:sz w:val="30"/>
          <w:szCs w:val="30"/>
          <w:rtl/>
        </w:rPr>
        <w:t xml:space="preserve">سبتمبر 2017 </w:t>
      </w:r>
      <w:r w:rsidR="000669D7" w:rsidRPr="00895CED">
        <w:rPr>
          <w:rFonts w:ascii="Traditional Arabic" w:hAnsi="Traditional Arabic" w:cs="Traditional Arabic"/>
          <w:b/>
          <w:bCs/>
          <w:sz w:val="30"/>
          <w:szCs w:val="30"/>
          <w:rtl/>
        </w:rPr>
        <w:t>–</w:t>
      </w:r>
      <w:r w:rsidR="00B03976" w:rsidRPr="00895CED">
        <w:rPr>
          <w:rFonts w:ascii="Traditional Arabic" w:hAnsi="Traditional Arabic" w:cs="Traditional Arabic"/>
          <w:b/>
          <w:bCs/>
          <w:sz w:val="30"/>
          <w:szCs w:val="30"/>
          <w:rtl/>
        </w:rPr>
        <w:t xml:space="preserve"> </w:t>
      </w:r>
      <w:r w:rsidR="000669D7" w:rsidRPr="00895CED">
        <w:rPr>
          <w:rFonts w:ascii="Traditional Arabic" w:hAnsi="Traditional Arabic" w:cs="Traditional Arabic"/>
          <w:b/>
          <w:bCs/>
          <w:sz w:val="30"/>
          <w:szCs w:val="30"/>
          <w:rtl/>
        </w:rPr>
        <w:t xml:space="preserve">آب/ </w:t>
      </w:r>
      <w:r w:rsidR="00B03976" w:rsidRPr="00895CED">
        <w:rPr>
          <w:rFonts w:ascii="Traditional Arabic" w:hAnsi="Traditional Arabic" w:cs="Traditional Arabic"/>
          <w:b/>
          <w:bCs/>
          <w:sz w:val="30"/>
          <w:szCs w:val="30"/>
          <w:rtl/>
        </w:rPr>
        <w:t>أغسطس 2018</w:t>
      </w:r>
    </w:p>
    <w:p w14:paraId="6FFF2B48" w14:textId="77A20D1C" w:rsidR="00B03976" w:rsidRPr="00895CED" w:rsidRDefault="000669D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عام 2018</w:t>
      </w:r>
      <w:r w:rsidR="00B03976" w:rsidRPr="00895CED">
        <w:rPr>
          <w:rFonts w:ascii="Traditional Arabic" w:hAnsi="Traditional Arabic" w:cs="Traditional Arabic"/>
          <w:sz w:val="30"/>
          <w:szCs w:val="30"/>
          <w:rtl/>
        </w:rPr>
        <w:t xml:space="preserve">، عقب إنشاء مجلس </w:t>
      </w:r>
      <w:r w:rsidRPr="00895CED">
        <w:rPr>
          <w:rFonts w:ascii="Traditional Arabic" w:hAnsi="Traditional Arabic" w:cs="Traditional Arabic"/>
          <w:sz w:val="30"/>
          <w:szCs w:val="30"/>
          <w:rtl/>
        </w:rPr>
        <w:t xml:space="preserve">حقوق الإنسان </w:t>
      </w:r>
      <w:r w:rsidR="008F3097" w:rsidRPr="00895CED">
        <w:rPr>
          <w:rFonts w:ascii="Traditional Arabic" w:hAnsi="Traditional Arabic" w:cs="Traditional Arabic"/>
          <w:sz w:val="30"/>
          <w:szCs w:val="30"/>
          <w:rtl/>
        </w:rPr>
        <w:t xml:space="preserve">الفريق </w:t>
      </w:r>
      <w:r w:rsidRPr="00895CED">
        <w:rPr>
          <w:rFonts w:ascii="Traditional Arabic" w:hAnsi="Traditional Arabic" w:cs="Traditional Arabic"/>
          <w:sz w:val="30"/>
          <w:szCs w:val="30"/>
          <w:rtl/>
        </w:rPr>
        <w:t>بموجب القرار 36/31</w:t>
      </w:r>
      <w:r w:rsidR="00B03976" w:rsidRPr="00895CED">
        <w:rPr>
          <w:rFonts w:ascii="Traditional Arabic" w:hAnsi="Traditional Arabic" w:cs="Traditional Arabic"/>
          <w:sz w:val="30"/>
          <w:szCs w:val="30"/>
          <w:rtl/>
        </w:rPr>
        <w:t xml:space="preserve">، مُنح فريق الخبراء وأعضاء الأمانة حق الوصول إلى اليمن، وقاموا بزيارات إلى عدن وصنعاء </w:t>
      </w:r>
      <w:r w:rsidR="008F3097" w:rsidRPr="00895CED">
        <w:rPr>
          <w:rFonts w:ascii="Traditional Arabic" w:hAnsi="Traditional Arabic" w:cs="Traditional Arabic"/>
          <w:sz w:val="30"/>
          <w:szCs w:val="30"/>
          <w:rtl/>
        </w:rPr>
        <w:t xml:space="preserve">وصعده </w:t>
      </w:r>
      <w:r w:rsidR="00B03976" w:rsidRPr="00895CED">
        <w:rPr>
          <w:rFonts w:ascii="Traditional Arabic" w:hAnsi="Traditional Arabic" w:cs="Traditional Arabic"/>
          <w:sz w:val="30"/>
          <w:szCs w:val="30"/>
          <w:rtl/>
        </w:rPr>
        <w:t>والحديدة</w:t>
      </w:r>
      <w:r w:rsidRPr="00895CED">
        <w:rPr>
          <w:rFonts w:ascii="Traditional Arabic" w:hAnsi="Traditional Arabic" w:cs="Traditional Arabic"/>
          <w:sz w:val="30"/>
          <w:szCs w:val="30"/>
        </w:rPr>
        <w:t>.</w:t>
      </w:r>
    </w:p>
    <w:p w14:paraId="5CB51DAF" w14:textId="0A432607"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حالت القيود الأمنية واللوجستية والإدارية الكبيرة دون </w:t>
      </w:r>
      <w:r w:rsidR="000669D7" w:rsidRPr="00895CED">
        <w:rPr>
          <w:rFonts w:ascii="Traditional Arabic" w:hAnsi="Traditional Arabic" w:cs="Traditional Arabic"/>
          <w:sz w:val="30"/>
          <w:szCs w:val="30"/>
          <w:rtl/>
        </w:rPr>
        <w:t>القيام بال</w:t>
      </w:r>
      <w:r w:rsidRPr="00895CED">
        <w:rPr>
          <w:rFonts w:ascii="Traditional Arabic" w:hAnsi="Traditional Arabic" w:cs="Traditional Arabic"/>
          <w:sz w:val="30"/>
          <w:szCs w:val="30"/>
          <w:rtl/>
        </w:rPr>
        <w:t xml:space="preserve">زيارات </w:t>
      </w:r>
      <w:r w:rsidR="000669D7" w:rsidRPr="00895CED">
        <w:rPr>
          <w:rFonts w:ascii="Traditional Arabic" w:hAnsi="Traditional Arabic" w:cs="Traditional Arabic"/>
          <w:sz w:val="30"/>
          <w:szCs w:val="30"/>
          <w:rtl/>
        </w:rPr>
        <w:t>ال</w:t>
      </w:r>
      <w:r w:rsidRPr="00895CED">
        <w:rPr>
          <w:rFonts w:ascii="Traditional Arabic" w:hAnsi="Traditional Arabic" w:cs="Traditional Arabic"/>
          <w:sz w:val="30"/>
          <w:szCs w:val="30"/>
          <w:rtl/>
        </w:rPr>
        <w:t>مقر</w:t>
      </w:r>
      <w:r w:rsidR="000669D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رة </w:t>
      </w:r>
      <w:r w:rsidR="000669D7" w:rsidRPr="00895CED">
        <w:rPr>
          <w:rFonts w:ascii="Traditional Arabic" w:hAnsi="Traditional Arabic" w:cs="Traditional Arabic"/>
          <w:sz w:val="30"/>
          <w:szCs w:val="30"/>
          <w:rtl/>
        </w:rPr>
        <w:t>الى ا</w:t>
      </w:r>
      <w:r w:rsidRPr="00895CED">
        <w:rPr>
          <w:rFonts w:ascii="Traditional Arabic" w:hAnsi="Traditional Arabic" w:cs="Traditional Arabic"/>
          <w:sz w:val="30"/>
          <w:szCs w:val="30"/>
          <w:rtl/>
        </w:rPr>
        <w:t>لمحافظات المتضررة الأخرى، ولا سيما تعز. ألغيت المهمة المخطط لها في تعز في عام 2018 بعد زيادة القيود الأمنية التي فرضتها إدارة السلامة والأمن التابعة للأمم المتحدة بعد مقتل أحد موظفي اللجنة الدولية</w:t>
      </w:r>
      <w:r w:rsidR="000669D7" w:rsidRPr="00895CED">
        <w:rPr>
          <w:rFonts w:ascii="Traditional Arabic" w:hAnsi="Traditional Arabic" w:cs="Traditional Arabic"/>
          <w:sz w:val="30"/>
          <w:szCs w:val="30"/>
          <w:rtl/>
        </w:rPr>
        <w:t xml:space="preserve"> للصليب الأحمر</w:t>
      </w:r>
      <w:r w:rsidRPr="00895CED">
        <w:rPr>
          <w:rFonts w:ascii="Traditional Arabic" w:hAnsi="Traditional Arabic" w:cs="Traditional Arabic"/>
          <w:sz w:val="30"/>
          <w:szCs w:val="30"/>
          <w:rtl/>
        </w:rPr>
        <w:t xml:space="preserve"> في تعز في أبريل / نيسان 2018</w:t>
      </w:r>
      <w:r w:rsidRPr="00895CED">
        <w:rPr>
          <w:rFonts w:ascii="Traditional Arabic" w:hAnsi="Traditional Arabic" w:cs="Traditional Arabic"/>
          <w:sz w:val="30"/>
          <w:szCs w:val="30"/>
        </w:rPr>
        <w:t>.</w:t>
      </w:r>
    </w:p>
    <w:p w14:paraId="7591A9F6" w14:textId="2C9CC823"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lastRenderedPageBreak/>
        <w:t>بفضل تعاون أطراف النزاع والبلدان المستضيفة</w:t>
      </w:r>
      <w:r w:rsidR="00C4599E" w:rsidRPr="00895CED">
        <w:rPr>
          <w:rFonts w:ascii="Traditional Arabic" w:hAnsi="Traditional Arabic" w:cs="Traditional Arabic"/>
          <w:sz w:val="30"/>
          <w:szCs w:val="30"/>
          <w:rtl/>
        </w:rPr>
        <w:t xml:space="preserve"> ل</w:t>
      </w:r>
      <w:r w:rsidRPr="00895CED">
        <w:rPr>
          <w:rFonts w:ascii="Traditional Arabic" w:hAnsi="Traditional Arabic" w:cs="Traditional Arabic"/>
          <w:sz w:val="30"/>
          <w:szCs w:val="30"/>
          <w:rtl/>
        </w:rPr>
        <w:t xml:space="preserve">لنازحين </w:t>
      </w:r>
      <w:r w:rsidR="00C4599E" w:rsidRPr="00895CED">
        <w:rPr>
          <w:rFonts w:ascii="Traditional Arabic" w:hAnsi="Traditional Arabic" w:cs="Traditional Arabic"/>
          <w:sz w:val="30"/>
          <w:szCs w:val="30"/>
          <w:rtl/>
        </w:rPr>
        <w:t>اليمنيين</w:t>
      </w:r>
      <w:r w:rsidRPr="00895CED">
        <w:rPr>
          <w:rFonts w:ascii="Traditional Arabic" w:hAnsi="Traditional Arabic" w:cs="Traditional Arabic"/>
          <w:sz w:val="30"/>
          <w:szCs w:val="30"/>
          <w:rtl/>
        </w:rPr>
        <w:t>، في عام 2018 تم</w:t>
      </w:r>
      <w:r w:rsidR="00C4599E"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القيام بزيارات إلى جيبوتي والمملكة الأردنية الهاشمية والمملكة العربية السعودية. كما زار فريق الخبراء سويسرا لعقد اجتماعات مع ممثلي الدول والمنظمات ذات الصلة ولتقديم استنتاجاته إلى مجلس حقوق الإنسان</w:t>
      </w:r>
      <w:r w:rsidRPr="00895CED">
        <w:rPr>
          <w:rFonts w:ascii="Traditional Arabic" w:hAnsi="Traditional Arabic" w:cs="Traditional Arabic"/>
          <w:sz w:val="30"/>
          <w:szCs w:val="30"/>
        </w:rPr>
        <w:t>.</w:t>
      </w:r>
    </w:p>
    <w:p w14:paraId="1D830EFD" w14:textId="70322E7C" w:rsidR="00B03976"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يعرب فريق الخبراء عن امتنانه لجميع الذين ساعدوا في تسهيل عمله خلال ولايته الأولى</w:t>
      </w:r>
      <w:r w:rsidRPr="00895CED">
        <w:rPr>
          <w:rFonts w:ascii="Traditional Arabic" w:hAnsi="Traditional Arabic" w:cs="Traditional Arabic"/>
          <w:sz w:val="30"/>
          <w:szCs w:val="30"/>
        </w:rPr>
        <w:t>.</w:t>
      </w:r>
    </w:p>
    <w:p w14:paraId="004707A8" w14:textId="77777777" w:rsidR="00EA32F5" w:rsidRDefault="00EA32F5" w:rsidP="00361237">
      <w:pPr>
        <w:pStyle w:val="Footer"/>
        <w:tabs>
          <w:tab w:val="left" w:pos="720"/>
        </w:tabs>
        <w:bidi/>
        <w:spacing w:after="240"/>
        <w:ind w:right="1089" w:firstLine="639"/>
        <w:rPr>
          <w:rFonts w:ascii="Traditional Arabic" w:hAnsi="Traditional Arabic" w:cs="Traditional Arabic"/>
          <w:b/>
          <w:bCs/>
          <w:sz w:val="30"/>
          <w:szCs w:val="30"/>
          <w:rtl/>
        </w:rPr>
      </w:pPr>
    </w:p>
    <w:p w14:paraId="34582170" w14:textId="77777777" w:rsidR="00EA32F5" w:rsidRDefault="00EA32F5" w:rsidP="00EA32F5">
      <w:pPr>
        <w:pStyle w:val="Footer"/>
        <w:tabs>
          <w:tab w:val="left" w:pos="720"/>
        </w:tabs>
        <w:bidi/>
        <w:spacing w:after="240"/>
        <w:ind w:right="1089" w:firstLine="639"/>
        <w:rPr>
          <w:rFonts w:ascii="Traditional Arabic" w:hAnsi="Traditional Arabic" w:cs="Traditional Arabic"/>
          <w:b/>
          <w:bCs/>
          <w:sz w:val="30"/>
          <w:szCs w:val="30"/>
          <w:rtl/>
        </w:rPr>
      </w:pPr>
    </w:p>
    <w:p w14:paraId="120077D8" w14:textId="727602D9" w:rsidR="00B03976" w:rsidRPr="00895CED" w:rsidRDefault="006D2F0F" w:rsidP="00EA32F5">
      <w:pPr>
        <w:pStyle w:val="Footer"/>
        <w:tabs>
          <w:tab w:val="left" w:pos="720"/>
        </w:tabs>
        <w:bidi/>
        <w:spacing w:after="240"/>
        <w:ind w:right="1089" w:firstLine="639"/>
        <w:rPr>
          <w:rFonts w:ascii="Traditional Arabic" w:hAnsi="Traditional Arabic" w:cs="Traditional Arabic"/>
          <w:b/>
          <w:bCs/>
          <w:sz w:val="30"/>
          <w:szCs w:val="30"/>
        </w:rPr>
      </w:pPr>
      <w:r>
        <w:rPr>
          <w:rFonts w:ascii="Traditional Arabic" w:hAnsi="Traditional Arabic" w:cs="Traditional Arabic" w:hint="cs"/>
          <w:b/>
          <w:bCs/>
          <w:sz w:val="30"/>
          <w:szCs w:val="30"/>
          <w:rtl/>
        </w:rPr>
        <w:t>ب</w:t>
      </w:r>
      <w:r w:rsidR="008F3097" w:rsidRPr="00895CED">
        <w:rPr>
          <w:rFonts w:ascii="Traditional Arabic" w:hAnsi="Traditional Arabic" w:cs="Traditional Arabic"/>
          <w:b/>
          <w:bCs/>
          <w:sz w:val="30"/>
          <w:szCs w:val="30"/>
          <w:rtl/>
        </w:rPr>
        <w:t>.</w:t>
      </w:r>
      <w:r w:rsidR="008F3097" w:rsidRPr="00895CED">
        <w:rPr>
          <w:rFonts w:ascii="Traditional Arabic" w:hAnsi="Traditional Arabic" w:cs="Traditional Arabic"/>
          <w:b/>
          <w:bCs/>
          <w:sz w:val="30"/>
          <w:szCs w:val="30"/>
          <w:rtl/>
        </w:rPr>
        <w:tab/>
      </w:r>
      <w:r w:rsidR="00B03976" w:rsidRPr="00895CED">
        <w:rPr>
          <w:rFonts w:ascii="Traditional Arabic" w:hAnsi="Traditional Arabic" w:cs="Traditional Arabic"/>
          <w:b/>
          <w:bCs/>
          <w:sz w:val="30"/>
          <w:szCs w:val="30"/>
          <w:rtl/>
        </w:rPr>
        <w:t xml:space="preserve">التعاون خلال الولاية الثانية من </w:t>
      </w:r>
      <w:r w:rsidR="00C4599E" w:rsidRPr="00895CED">
        <w:rPr>
          <w:rFonts w:ascii="Traditional Arabic" w:hAnsi="Traditional Arabic" w:cs="Traditional Arabic"/>
          <w:b/>
          <w:bCs/>
          <w:sz w:val="30"/>
          <w:szCs w:val="30"/>
          <w:rtl/>
        </w:rPr>
        <w:t xml:space="preserve">أيلول/ </w:t>
      </w:r>
      <w:r w:rsidR="00B03976" w:rsidRPr="00895CED">
        <w:rPr>
          <w:rFonts w:ascii="Traditional Arabic" w:hAnsi="Traditional Arabic" w:cs="Traditional Arabic"/>
          <w:b/>
          <w:bCs/>
          <w:sz w:val="30"/>
          <w:szCs w:val="30"/>
          <w:rtl/>
        </w:rPr>
        <w:t xml:space="preserve">سبتمبر 2018 إلى </w:t>
      </w:r>
      <w:r w:rsidR="00C4599E" w:rsidRPr="00895CED">
        <w:rPr>
          <w:rFonts w:ascii="Traditional Arabic" w:hAnsi="Traditional Arabic" w:cs="Traditional Arabic"/>
          <w:b/>
          <w:bCs/>
          <w:sz w:val="30"/>
          <w:szCs w:val="30"/>
          <w:rtl/>
        </w:rPr>
        <w:t xml:space="preserve">آب/ </w:t>
      </w:r>
      <w:r w:rsidR="00B03976" w:rsidRPr="00895CED">
        <w:rPr>
          <w:rFonts w:ascii="Traditional Arabic" w:hAnsi="Traditional Arabic" w:cs="Traditional Arabic"/>
          <w:b/>
          <w:bCs/>
          <w:sz w:val="30"/>
          <w:szCs w:val="30"/>
          <w:rtl/>
        </w:rPr>
        <w:t>أغسطس 2019</w:t>
      </w:r>
    </w:p>
    <w:p w14:paraId="789704EE" w14:textId="71A5849D" w:rsidR="00AD6670" w:rsidRPr="00895CED" w:rsidRDefault="00B0397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عقب إصدار التقرير الأول لفريق الخبراء في </w:t>
      </w:r>
      <w:r w:rsidR="00C4599E" w:rsidRPr="00895CED">
        <w:rPr>
          <w:rFonts w:ascii="Traditional Arabic" w:hAnsi="Traditional Arabic" w:cs="Traditional Arabic"/>
          <w:sz w:val="30"/>
          <w:szCs w:val="30"/>
          <w:rtl/>
        </w:rPr>
        <w:t>آب/ أغسطس 2018، قامت</w:t>
      </w:r>
      <w:r w:rsidRPr="00895CED">
        <w:rPr>
          <w:rFonts w:ascii="Traditional Arabic" w:hAnsi="Traditional Arabic" w:cs="Traditional Arabic"/>
          <w:sz w:val="30"/>
          <w:szCs w:val="30"/>
          <w:rtl/>
        </w:rPr>
        <w:t xml:space="preserve"> المملكة العربية السعودية والإمارات العربية المتحدة وحكومة اليمن وأعضاء آخرون في</w:t>
      </w:r>
      <w:r w:rsidR="00C4599E" w:rsidRPr="00895CED">
        <w:rPr>
          <w:rFonts w:ascii="Traditional Arabic" w:hAnsi="Traditional Arabic" w:cs="Traditional Arabic"/>
          <w:sz w:val="30"/>
          <w:szCs w:val="30"/>
          <w:rtl/>
        </w:rPr>
        <w:t xml:space="preserve"> مجموعة الدول العربية بما في ذلك </w:t>
      </w:r>
      <w:r w:rsidRPr="00895CED">
        <w:rPr>
          <w:rFonts w:ascii="Traditional Arabic" w:hAnsi="Traditional Arabic" w:cs="Traditional Arabic"/>
          <w:sz w:val="30"/>
          <w:szCs w:val="30"/>
          <w:rtl/>
        </w:rPr>
        <w:t xml:space="preserve">مصر </w:t>
      </w:r>
      <w:r w:rsidR="00C4599E" w:rsidRPr="00895CED">
        <w:rPr>
          <w:rFonts w:ascii="Traditional Arabic" w:hAnsi="Traditional Arabic" w:cs="Traditional Arabic"/>
          <w:sz w:val="30"/>
          <w:szCs w:val="30"/>
          <w:rtl/>
        </w:rPr>
        <w:t xml:space="preserve">بإبلاغ </w:t>
      </w:r>
      <w:r w:rsidRPr="00895CED">
        <w:rPr>
          <w:rFonts w:ascii="Traditional Arabic" w:hAnsi="Traditional Arabic" w:cs="Traditional Arabic"/>
          <w:sz w:val="30"/>
          <w:szCs w:val="30"/>
          <w:rtl/>
        </w:rPr>
        <w:t xml:space="preserve">فريق الخبراء </w:t>
      </w:r>
      <w:r w:rsidR="00C4599E" w:rsidRPr="00895CED">
        <w:rPr>
          <w:rFonts w:ascii="Traditional Arabic" w:hAnsi="Traditional Arabic" w:cs="Traditional Arabic"/>
          <w:sz w:val="30"/>
          <w:szCs w:val="30"/>
          <w:rtl/>
        </w:rPr>
        <w:t>بأنها لن تتعاون معه أو ت</w:t>
      </w:r>
      <w:r w:rsidRPr="00895CED">
        <w:rPr>
          <w:rFonts w:ascii="Traditional Arabic" w:hAnsi="Traditional Arabic" w:cs="Traditional Arabic"/>
          <w:sz w:val="30"/>
          <w:szCs w:val="30"/>
          <w:rtl/>
        </w:rPr>
        <w:t>دعم عمل</w:t>
      </w:r>
      <w:r w:rsidR="00C4599E" w:rsidRPr="00895CED">
        <w:rPr>
          <w:rFonts w:ascii="Traditional Arabic" w:hAnsi="Traditional Arabic" w:cs="Traditional Arabic"/>
          <w:sz w:val="30"/>
          <w:szCs w:val="30"/>
          <w:rtl/>
        </w:rPr>
        <w:t>ه</w:t>
      </w:r>
      <w:r w:rsidRPr="00895CED">
        <w:rPr>
          <w:rFonts w:ascii="Traditional Arabic" w:hAnsi="Traditional Arabic" w:cs="Traditional Arabic"/>
          <w:sz w:val="30"/>
          <w:szCs w:val="30"/>
        </w:rPr>
        <w:t>.</w:t>
      </w:r>
    </w:p>
    <w:p w14:paraId="19012741" w14:textId="0FCD9FEB" w:rsidR="00B03976" w:rsidRPr="00895CED" w:rsidRDefault="00C4599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صحيح أن الأمانة أبقت على </w:t>
      </w:r>
      <w:r w:rsidR="00B03976" w:rsidRPr="00895CED">
        <w:rPr>
          <w:rFonts w:ascii="Traditional Arabic" w:hAnsi="Traditional Arabic" w:cs="Traditional Arabic"/>
          <w:sz w:val="30"/>
          <w:szCs w:val="30"/>
          <w:rtl/>
        </w:rPr>
        <w:t>اتصالات</w:t>
      </w:r>
      <w:r w:rsidRPr="00895CED">
        <w:rPr>
          <w:rFonts w:ascii="Traditional Arabic" w:hAnsi="Traditional Arabic" w:cs="Traditional Arabic"/>
          <w:sz w:val="30"/>
          <w:szCs w:val="30"/>
          <w:rtl/>
        </w:rPr>
        <w:t>ها غير الرسمية ب</w:t>
      </w:r>
      <w:r w:rsidR="00B03976" w:rsidRPr="00895CED">
        <w:rPr>
          <w:rFonts w:ascii="Traditional Arabic" w:hAnsi="Traditional Arabic" w:cs="Traditional Arabic"/>
          <w:sz w:val="30"/>
          <w:szCs w:val="30"/>
          <w:rtl/>
        </w:rPr>
        <w:t>الحكومة اليمنية</w:t>
      </w:r>
      <w:r w:rsidRPr="00895CED">
        <w:rPr>
          <w:rFonts w:ascii="Traditional Arabic" w:hAnsi="Traditional Arabic" w:cs="Traditional Arabic"/>
          <w:sz w:val="30"/>
          <w:szCs w:val="30"/>
          <w:rtl/>
        </w:rPr>
        <w:t>، إلا أنّ</w:t>
      </w:r>
      <w:r w:rsidR="00B03976" w:rsidRPr="00895CED">
        <w:rPr>
          <w:rFonts w:ascii="Traditional Arabic" w:hAnsi="Traditional Arabic" w:cs="Traditional Arabic"/>
          <w:sz w:val="30"/>
          <w:szCs w:val="30"/>
          <w:rtl/>
        </w:rPr>
        <w:t xml:space="preserve"> عدم القدرة على الوصو</w:t>
      </w:r>
      <w:r w:rsidRPr="00895CED">
        <w:rPr>
          <w:rFonts w:ascii="Traditional Arabic" w:hAnsi="Traditional Arabic" w:cs="Traditional Arabic"/>
          <w:sz w:val="30"/>
          <w:szCs w:val="30"/>
          <w:rtl/>
        </w:rPr>
        <w:t xml:space="preserve">ل الفعلي إلى اليمن في عام 2019 </w:t>
      </w:r>
      <w:r w:rsidR="00B03976" w:rsidRPr="00895CED">
        <w:rPr>
          <w:rFonts w:ascii="Traditional Arabic" w:hAnsi="Traditional Arabic" w:cs="Traditional Arabic"/>
          <w:sz w:val="30"/>
          <w:szCs w:val="30"/>
          <w:rtl/>
        </w:rPr>
        <w:t>بسبب عدم تعاون التحالف والحكومة اليمنية</w:t>
      </w:r>
      <w:r w:rsidRPr="00895CED">
        <w:rPr>
          <w:rFonts w:ascii="Traditional Arabic" w:hAnsi="Traditional Arabic" w:cs="Traditional Arabic"/>
          <w:sz w:val="30"/>
          <w:szCs w:val="30"/>
          <w:rtl/>
        </w:rPr>
        <w:t xml:space="preserve"> معاً</w:t>
      </w:r>
      <w:r w:rsidR="00B03976" w:rsidRPr="00895CED">
        <w:rPr>
          <w:rFonts w:ascii="Traditional Arabic" w:hAnsi="Traditional Arabic" w:cs="Traditional Arabic"/>
          <w:sz w:val="30"/>
          <w:szCs w:val="30"/>
          <w:rtl/>
        </w:rPr>
        <w:t>، أث</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ر </w:t>
      </w:r>
      <w:r w:rsidRPr="00895CED">
        <w:rPr>
          <w:rFonts w:ascii="Traditional Arabic" w:hAnsi="Traditional Arabic" w:cs="Traditional Arabic"/>
          <w:sz w:val="30"/>
          <w:szCs w:val="30"/>
          <w:rtl/>
        </w:rPr>
        <w:t xml:space="preserve">سلباً </w:t>
      </w:r>
      <w:r w:rsidR="00B03976" w:rsidRPr="00895CED">
        <w:rPr>
          <w:rFonts w:ascii="Traditional Arabic" w:hAnsi="Traditional Arabic" w:cs="Traditional Arabic"/>
          <w:sz w:val="30"/>
          <w:szCs w:val="30"/>
          <w:rtl/>
        </w:rPr>
        <w:t>على عمل فريق الخبراء. ويؤكد فريق الخبراء من جديد أنه على الرغم من أنه وجد طرقًا للتغلب على العقب</w:t>
      </w:r>
      <w:r w:rsidRPr="00895CED">
        <w:rPr>
          <w:rFonts w:ascii="Traditional Arabic" w:hAnsi="Traditional Arabic" w:cs="Traditional Arabic"/>
          <w:sz w:val="30"/>
          <w:szCs w:val="30"/>
          <w:rtl/>
        </w:rPr>
        <w:t>ات الناشئة عن عدم تعاون الأطراف</w:t>
      </w:r>
      <w:r w:rsidR="00B03976" w:rsidRPr="00895CED">
        <w:rPr>
          <w:rFonts w:ascii="Traditional Arabic" w:hAnsi="Traditional Arabic" w:cs="Traditional Arabic"/>
          <w:sz w:val="30"/>
          <w:szCs w:val="30"/>
          <w:rtl/>
        </w:rPr>
        <w:t>، فقد أصبح واضحًا أن بعض الأطراف حاولت</w:t>
      </w:r>
      <w:r w:rsidR="00227670">
        <w:rPr>
          <w:rFonts w:ascii="Traditional Arabic" w:hAnsi="Traditional Arabic" w:cs="Traditional Arabic" w:hint="cs"/>
          <w:sz w:val="30"/>
          <w:szCs w:val="30"/>
          <w:rtl/>
        </w:rPr>
        <w:t xml:space="preserve"> بشكل متعمد</w:t>
      </w:r>
      <w:r w:rsidR="00B03976" w:rsidRPr="00895CED">
        <w:rPr>
          <w:rFonts w:ascii="Traditional Arabic" w:hAnsi="Traditional Arabic" w:cs="Traditional Arabic"/>
          <w:sz w:val="30"/>
          <w:szCs w:val="30"/>
          <w:rtl/>
        </w:rPr>
        <w:t xml:space="preserve"> عرقلة عمل الفريق.</w:t>
      </w:r>
    </w:p>
    <w:p w14:paraId="7BFB9399" w14:textId="7F438184" w:rsidR="00B03976" w:rsidRPr="008F4594" w:rsidRDefault="00C4599E" w:rsidP="00F64F95">
      <w:pPr>
        <w:pStyle w:val="HChGA"/>
        <w:numPr>
          <w:ilvl w:val="0"/>
          <w:numId w:val="4"/>
        </w:numPr>
        <w:tabs>
          <w:tab w:val="clear" w:pos="1021"/>
          <w:tab w:val="left" w:pos="1089"/>
        </w:tabs>
        <w:ind w:left="549" w:firstLine="9"/>
        <w:rPr>
          <w:rStyle w:val="Heading2Char"/>
          <w:rtl/>
        </w:rPr>
      </w:pPr>
      <w:bookmarkStart w:id="19" w:name="_Toc18918104"/>
      <w:r w:rsidRPr="008F4594">
        <w:rPr>
          <w:rStyle w:val="Heading2Char"/>
          <w:rtl/>
        </w:rPr>
        <w:t>السياق</w:t>
      </w:r>
      <w:r w:rsidR="00B03976" w:rsidRPr="008F4594">
        <w:rPr>
          <w:rStyle w:val="Heading2Char"/>
          <w:rtl/>
        </w:rPr>
        <w:t>، الخلفية</w:t>
      </w:r>
      <w:r w:rsidRPr="008F4594">
        <w:rPr>
          <w:rStyle w:val="Heading2Char"/>
          <w:rtl/>
        </w:rPr>
        <w:t xml:space="preserve">، </w:t>
      </w:r>
      <w:r w:rsidR="008F3097" w:rsidRPr="008F4594">
        <w:rPr>
          <w:rStyle w:val="Heading2Char"/>
          <w:rtl/>
        </w:rPr>
        <w:t>وتطورات</w:t>
      </w:r>
      <w:r w:rsidR="00B03976" w:rsidRPr="008F4594">
        <w:rPr>
          <w:rStyle w:val="Heading2Char"/>
          <w:rtl/>
        </w:rPr>
        <w:t xml:space="preserve"> الوضع السياسي</w:t>
      </w:r>
      <w:bookmarkEnd w:id="19"/>
    </w:p>
    <w:p w14:paraId="6E55CDC2" w14:textId="5AD89D3E" w:rsidR="00B03976" w:rsidRPr="00895CED" w:rsidRDefault="00C4599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إ</w:t>
      </w:r>
      <w:r w:rsidR="00B03976"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 xml:space="preserve">أي </w:t>
      </w:r>
      <w:r w:rsidR="00B03976" w:rsidRPr="00895CED">
        <w:rPr>
          <w:rFonts w:ascii="Traditional Arabic" w:hAnsi="Traditional Arabic" w:cs="Traditional Arabic"/>
          <w:sz w:val="30"/>
          <w:szCs w:val="30"/>
          <w:rtl/>
        </w:rPr>
        <w:t>مناقشة مفص</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لة للتاريخ السياسي اليمني </w:t>
      </w:r>
      <w:r w:rsidRPr="00895CED">
        <w:rPr>
          <w:rFonts w:ascii="Traditional Arabic" w:hAnsi="Traditional Arabic" w:cs="Traditional Arabic"/>
          <w:sz w:val="30"/>
          <w:szCs w:val="30"/>
          <w:rtl/>
        </w:rPr>
        <w:t xml:space="preserve">هي </w:t>
      </w:r>
      <w:r w:rsidR="00B03976" w:rsidRPr="00895CED">
        <w:rPr>
          <w:rFonts w:ascii="Traditional Arabic" w:hAnsi="Traditional Arabic" w:cs="Traditional Arabic"/>
          <w:sz w:val="30"/>
          <w:szCs w:val="30"/>
          <w:rtl/>
        </w:rPr>
        <w:t xml:space="preserve">خارج نطاق هذا التقرير، </w:t>
      </w:r>
      <w:r w:rsidRPr="00895CED">
        <w:rPr>
          <w:rFonts w:ascii="Traditional Arabic" w:hAnsi="Traditional Arabic" w:cs="Traditional Arabic"/>
          <w:sz w:val="30"/>
          <w:szCs w:val="30"/>
          <w:rtl/>
        </w:rPr>
        <w:t xml:space="preserve">لكن </w:t>
      </w:r>
      <w:r w:rsidR="00B03976" w:rsidRPr="00895CED">
        <w:rPr>
          <w:rFonts w:ascii="Traditional Arabic" w:hAnsi="Traditional Arabic" w:cs="Traditional Arabic"/>
          <w:sz w:val="30"/>
          <w:szCs w:val="30"/>
          <w:rtl/>
        </w:rPr>
        <w:t>يتم إجراء استعراض موجز لعمق و</w:t>
      </w:r>
      <w:r w:rsidRPr="00895CED">
        <w:rPr>
          <w:rFonts w:ascii="Traditional Arabic" w:hAnsi="Traditional Arabic" w:cs="Traditional Arabic"/>
          <w:sz w:val="30"/>
          <w:szCs w:val="30"/>
          <w:rtl/>
        </w:rPr>
        <w:t>اتساع جذور النزاع</w:t>
      </w:r>
      <w:r w:rsidR="00B03976" w:rsidRPr="00895CED">
        <w:rPr>
          <w:rFonts w:ascii="Traditional Arabic" w:hAnsi="Traditional Arabic" w:cs="Traditional Arabic"/>
          <w:sz w:val="30"/>
          <w:szCs w:val="30"/>
          <w:rtl/>
        </w:rPr>
        <w:t xml:space="preserve"> الحالي من أجل تحديد السياق الذي نشأ منه</w:t>
      </w:r>
      <w:r w:rsidRPr="00895CED">
        <w:rPr>
          <w:rFonts w:ascii="Traditional Arabic" w:hAnsi="Traditional Arabic" w:cs="Traditional Arabic"/>
          <w:sz w:val="30"/>
          <w:szCs w:val="30"/>
          <w:rtl/>
        </w:rPr>
        <w:t xml:space="preserve">، وكذلك لشرح خلفية </w:t>
      </w:r>
      <w:r w:rsidR="00B03976" w:rsidRPr="00895CED">
        <w:rPr>
          <w:rFonts w:ascii="Traditional Arabic" w:hAnsi="Traditional Arabic" w:cs="Traditional Arabic"/>
          <w:sz w:val="30"/>
          <w:szCs w:val="30"/>
          <w:rtl/>
        </w:rPr>
        <w:t xml:space="preserve">مختلف الفاعلين المشاركين في النزاع المسلح </w:t>
      </w:r>
      <w:r w:rsidR="0072260E" w:rsidRPr="00895CED">
        <w:rPr>
          <w:rFonts w:ascii="Traditional Arabic" w:hAnsi="Traditional Arabic" w:cs="Traditional Arabic"/>
          <w:sz w:val="30"/>
          <w:szCs w:val="30"/>
          <w:rtl/>
        </w:rPr>
        <w:t>الذين يغيّرون</w:t>
      </w:r>
      <w:r w:rsidR="00B03976" w:rsidRPr="00895CED">
        <w:rPr>
          <w:rFonts w:ascii="Traditional Arabic" w:hAnsi="Traditional Arabic" w:cs="Traditional Arabic"/>
          <w:sz w:val="30"/>
          <w:szCs w:val="30"/>
          <w:rtl/>
        </w:rPr>
        <w:t xml:space="preserve"> تحالفاتهم </w:t>
      </w:r>
      <w:r w:rsidR="0072260E" w:rsidRPr="00895CED">
        <w:rPr>
          <w:rFonts w:ascii="Traditional Arabic" w:hAnsi="Traditional Arabic" w:cs="Traditional Arabic"/>
          <w:sz w:val="30"/>
          <w:szCs w:val="30"/>
          <w:rtl/>
        </w:rPr>
        <w:t>باستمرار</w:t>
      </w:r>
      <w:r w:rsidR="00B03976" w:rsidRPr="00895CED">
        <w:rPr>
          <w:rFonts w:ascii="Traditional Arabic" w:hAnsi="Traditional Arabic" w:cs="Traditional Arabic"/>
          <w:sz w:val="30"/>
          <w:szCs w:val="30"/>
          <w:rtl/>
        </w:rPr>
        <w:t xml:space="preserve">. </w:t>
      </w:r>
      <w:r w:rsidR="0072260E" w:rsidRPr="00895CED">
        <w:rPr>
          <w:rFonts w:ascii="Traditional Arabic" w:hAnsi="Traditional Arabic" w:cs="Traditional Arabic"/>
          <w:sz w:val="30"/>
          <w:szCs w:val="30"/>
          <w:rtl/>
        </w:rPr>
        <w:t xml:space="preserve">وتلي </w:t>
      </w:r>
      <w:r w:rsidR="00B03976" w:rsidRPr="00895CED">
        <w:rPr>
          <w:rFonts w:ascii="Traditional Arabic" w:hAnsi="Traditional Arabic" w:cs="Traditional Arabic"/>
          <w:sz w:val="30"/>
          <w:szCs w:val="30"/>
          <w:rtl/>
        </w:rPr>
        <w:t xml:space="preserve">مراجعة للأحداث المتعلقة بالنزاع المسلح في اليمن خلال الفترة التي تغطيها الولاية الحالية لفريق الخبراء: من </w:t>
      </w:r>
      <w:r w:rsidR="0072260E" w:rsidRPr="00895CED">
        <w:rPr>
          <w:rFonts w:ascii="Traditional Arabic" w:hAnsi="Traditional Arabic" w:cs="Traditional Arabic"/>
          <w:sz w:val="30"/>
          <w:szCs w:val="30"/>
          <w:rtl/>
        </w:rPr>
        <w:t xml:space="preserve">أيلول/ </w:t>
      </w:r>
      <w:r w:rsidR="00B03976" w:rsidRPr="00895CED">
        <w:rPr>
          <w:rFonts w:ascii="Traditional Arabic" w:hAnsi="Traditional Arabic" w:cs="Traditional Arabic"/>
          <w:sz w:val="30"/>
          <w:szCs w:val="30"/>
          <w:rtl/>
        </w:rPr>
        <w:t xml:space="preserve">سبتمبر 2014 إلى </w:t>
      </w:r>
      <w:r w:rsidR="0072260E" w:rsidRPr="00895CED">
        <w:rPr>
          <w:rFonts w:ascii="Traditional Arabic" w:hAnsi="Traditional Arabic" w:cs="Traditional Arabic"/>
          <w:sz w:val="30"/>
          <w:szCs w:val="30"/>
          <w:rtl/>
        </w:rPr>
        <w:t xml:space="preserve">حزيران/ </w:t>
      </w:r>
      <w:r w:rsidR="00B03976" w:rsidRPr="00895CED">
        <w:rPr>
          <w:rFonts w:ascii="Traditional Arabic" w:hAnsi="Traditional Arabic" w:cs="Traditional Arabic"/>
          <w:sz w:val="30"/>
          <w:szCs w:val="30"/>
          <w:rtl/>
        </w:rPr>
        <w:t>يونيو 2019.</w:t>
      </w:r>
    </w:p>
    <w:p w14:paraId="62E05BAA" w14:textId="1A5E33B0" w:rsidR="00B03976" w:rsidRPr="00895CED" w:rsidRDefault="00430884" w:rsidP="00F64F95">
      <w:pPr>
        <w:pStyle w:val="Footer"/>
        <w:numPr>
          <w:ilvl w:val="0"/>
          <w:numId w:val="9"/>
        </w:numPr>
        <w:bidi/>
        <w:spacing w:after="240"/>
        <w:ind w:left="999" w:right="1089"/>
        <w:rPr>
          <w:rFonts w:ascii="Traditional Arabic" w:hAnsi="Traditional Arabic" w:cs="Traditional Arabic"/>
          <w:b/>
          <w:bCs/>
          <w:sz w:val="30"/>
          <w:szCs w:val="30"/>
        </w:rPr>
      </w:pPr>
      <w:r w:rsidRPr="00895CED">
        <w:rPr>
          <w:rFonts w:ascii="Traditional Arabic" w:hAnsi="Traditional Arabic" w:cs="Traditional Arabic"/>
          <w:b/>
          <w:bCs/>
          <w:sz w:val="30"/>
          <w:szCs w:val="30"/>
          <w:rtl/>
        </w:rPr>
        <w:t xml:space="preserve">جذور </w:t>
      </w:r>
      <w:r w:rsidR="0072260E" w:rsidRPr="00895CED">
        <w:rPr>
          <w:rFonts w:ascii="Traditional Arabic" w:hAnsi="Traditional Arabic" w:cs="Traditional Arabic"/>
          <w:b/>
          <w:bCs/>
          <w:sz w:val="30"/>
          <w:szCs w:val="30"/>
          <w:rtl/>
        </w:rPr>
        <w:t>النزاع</w:t>
      </w:r>
      <w:r w:rsidR="00B03976" w:rsidRPr="00895CED">
        <w:rPr>
          <w:rFonts w:ascii="Traditional Arabic" w:hAnsi="Traditional Arabic" w:cs="Traditional Arabic"/>
          <w:b/>
          <w:bCs/>
          <w:sz w:val="30"/>
          <w:szCs w:val="30"/>
          <w:rtl/>
        </w:rPr>
        <w:t xml:space="preserve"> المسلح الحالي</w:t>
      </w:r>
    </w:p>
    <w:p w14:paraId="350B5031" w14:textId="65646513" w:rsidR="0072260E" w:rsidRPr="00895CED" w:rsidRDefault="0072260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بعد سنوات من النزاع الداخلي</w:t>
      </w:r>
      <w:r w:rsidR="00B03976" w:rsidRPr="00895CED">
        <w:rPr>
          <w:rFonts w:ascii="Traditional Arabic" w:hAnsi="Traditional Arabic" w:cs="Traditional Arabic"/>
          <w:sz w:val="30"/>
          <w:szCs w:val="30"/>
          <w:rtl/>
        </w:rPr>
        <w:t>، تم</w:t>
      </w:r>
      <w:r w:rsidRPr="00895CED">
        <w:rPr>
          <w:rFonts w:ascii="Traditional Arabic" w:hAnsi="Traditional Arabic" w:cs="Traditional Arabic"/>
          <w:sz w:val="30"/>
          <w:szCs w:val="30"/>
          <w:rtl/>
        </w:rPr>
        <w:t>ّ</w:t>
      </w:r>
      <w:r w:rsidR="00B03976" w:rsidRPr="00895CED">
        <w:rPr>
          <w:rFonts w:ascii="Traditional Arabic" w:hAnsi="Traditional Arabic" w:cs="Traditional Arabic"/>
          <w:sz w:val="30"/>
          <w:szCs w:val="30"/>
          <w:rtl/>
        </w:rPr>
        <w:t xml:space="preserve"> توحيد شمال اليمن وجنوبه في عام 1990. </w:t>
      </w:r>
      <w:r w:rsidR="00430884" w:rsidRPr="00895CED">
        <w:rPr>
          <w:rFonts w:ascii="Traditional Arabic" w:hAnsi="Traditional Arabic" w:cs="Traditional Arabic"/>
          <w:sz w:val="30"/>
          <w:szCs w:val="30"/>
          <w:rtl/>
        </w:rPr>
        <w:t xml:space="preserve">وحد </w:t>
      </w:r>
      <w:r w:rsidR="00B03976" w:rsidRPr="00895CED">
        <w:rPr>
          <w:rFonts w:ascii="Traditional Arabic" w:hAnsi="Traditional Arabic" w:cs="Traditional Arabic"/>
          <w:sz w:val="30"/>
          <w:szCs w:val="30"/>
          <w:rtl/>
        </w:rPr>
        <w:t>اتفاق عام 1990 الجمهورية العربية اليمنية الشمالية وجمهورية اليمن الديمقراطية الشعبية الجنوبية تحت الرئاسة المؤقتة الموحدة لعلي عبد الله صالح</w:t>
      </w:r>
      <w:r w:rsidRPr="00895CED">
        <w:rPr>
          <w:rFonts w:ascii="Traditional Arabic" w:hAnsi="Traditional Arabic" w:cs="Traditional Arabic"/>
          <w:sz w:val="30"/>
          <w:szCs w:val="30"/>
          <w:rtl/>
        </w:rPr>
        <w:t xml:space="preserve">، الزعيم </w:t>
      </w:r>
      <w:r w:rsidR="008F2EC5" w:rsidRPr="00895CED">
        <w:rPr>
          <w:rFonts w:ascii="Traditional Arabic" w:hAnsi="Traditional Arabic" w:cs="Traditional Arabic"/>
          <w:sz w:val="30"/>
          <w:szCs w:val="30"/>
          <w:rtl/>
        </w:rPr>
        <w:t xml:space="preserve">الحاكم </w:t>
      </w:r>
      <w:r w:rsidRPr="00895CED">
        <w:rPr>
          <w:rFonts w:ascii="Traditional Arabic" w:hAnsi="Traditional Arabic" w:cs="Traditional Arabic"/>
          <w:sz w:val="30"/>
          <w:szCs w:val="30"/>
          <w:rtl/>
        </w:rPr>
        <w:t>من الشمال. وقد انطوى الأمر</w:t>
      </w:r>
      <w:r w:rsidR="00B03976" w:rsidRPr="00895CED">
        <w:rPr>
          <w:rFonts w:ascii="Traditional Arabic" w:hAnsi="Traditional Arabic" w:cs="Traditional Arabic"/>
          <w:sz w:val="30"/>
          <w:szCs w:val="30"/>
          <w:rtl/>
        </w:rPr>
        <w:t xml:space="preserve"> على اتفاق مؤقت لتقاسم السلطة بين الشمال والجنوب مع الزعيم الجنوبي علي سالم البيض الذي تم تعيينه نائبا للرئيس</w:t>
      </w:r>
      <w:r w:rsidR="00B03976" w:rsidRPr="00895CED">
        <w:rPr>
          <w:rFonts w:ascii="Traditional Arabic" w:hAnsi="Traditional Arabic" w:cs="Traditional Arabic"/>
          <w:sz w:val="30"/>
          <w:szCs w:val="30"/>
        </w:rPr>
        <w:t>.</w:t>
      </w:r>
    </w:p>
    <w:p w14:paraId="5A1E19D6" w14:textId="07599371" w:rsidR="0031118F"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lastRenderedPageBreak/>
        <w:t>أجريت الانتخابات البرلمانية الأولى للجمهورية اليمنية في عام 1993. وحصل المؤتمر الشعبي العام للرئيس صالح (</w:t>
      </w:r>
      <w:r w:rsidR="008F2EC5" w:rsidRPr="00895CED">
        <w:rPr>
          <w:rFonts w:ascii="Traditional Arabic" w:hAnsi="Traditional Arabic" w:cs="Traditional Arabic"/>
          <w:sz w:val="30"/>
          <w:szCs w:val="30"/>
          <w:rtl/>
        </w:rPr>
        <w:t>سيتم الاشاره اليه لاحقاً</w:t>
      </w:r>
      <w:r w:rsidRPr="00895CED">
        <w:rPr>
          <w:rFonts w:ascii="Traditional Arabic" w:hAnsi="Traditional Arabic" w:cs="Traditional Arabic"/>
          <w:sz w:val="30"/>
          <w:szCs w:val="30"/>
          <w:rtl/>
        </w:rPr>
        <w:t xml:space="preserve"> باسم "المؤتمر الشعبي العام") على غالبية المقاعد، يليه حزب الإصلاح الشمالي</w:t>
      </w:r>
      <w:r w:rsidR="00D7116B" w:rsidRPr="00895CED">
        <w:rPr>
          <w:rFonts w:ascii="Traditional Arabic" w:hAnsi="Traditional Arabic" w:cs="Traditional Arabic"/>
          <w:sz w:val="30"/>
          <w:szCs w:val="30"/>
          <w:rtl/>
        </w:rPr>
        <w:t xml:space="preserve"> والحزب الاشتراكي اليمني الجنوبي</w:t>
      </w:r>
      <w:r w:rsidR="00D7116B" w:rsidRPr="00895CED">
        <w:rPr>
          <w:rStyle w:val="FootnoteReference"/>
          <w:rFonts w:ascii="Traditional Arabic" w:eastAsia="Calibri" w:hAnsi="Traditional Arabic" w:cs="Traditional Arabic"/>
          <w:sz w:val="30"/>
          <w:szCs w:val="30"/>
          <w:lang w:val="de-AT"/>
        </w:rPr>
        <w:footnoteReference w:id="71"/>
      </w:r>
      <w:r w:rsidR="00D7116B"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حافظ الرئيس صالح ونائب الرئيس البيض ورئيس الوزراء حيدر العطاس على مناصبهم. قام العطاس بتشكيل حكومة ا</w:t>
      </w:r>
      <w:r w:rsidR="0031118F" w:rsidRPr="00895CED">
        <w:rPr>
          <w:rFonts w:ascii="Traditional Arabic" w:hAnsi="Traditional Arabic" w:cs="Traditional Arabic"/>
          <w:sz w:val="30"/>
          <w:szCs w:val="30"/>
          <w:rtl/>
        </w:rPr>
        <w:t>ئتلافية بين المؤتمر الشعبي العام والحزب الاشتراكي اليمني الجنوبي. كما</w:t>
      </w:r>
      <w:r w:rsidRPr="00895CED">
        <w:rPr>
          <w:rFonts w:ascii="Traditional Arabic" w:hAnsi="Traditional Arabic" w:cs="Traditional Arabic"/>
          <w:sz w:val="30"/>
          <w:szCs w:val="30"/>
        </w:rPr>
        <w:t xml:space="preserve"> </w:t>
      </w:r>
      <w:r w:rsidRPr="00895CED">
        <w:rPr>
          <w:rFonts w:ascii="Traditional Arabic" w:hAnsi="Traditional Arabic" w:cs="Traditional Arabic"/>
          <w:sz w:val="30"/>
          <w:szCs w:val="30"/>
          <w:rtl/>
        </w:rPr>
        <w:t>شكل الإصلاح والحزب الشعبي العام كتلة برلمانية موحدة</w:t>
      </w:r>
      <w:r w:rsidRPr="00895CED">
        <w:rPr>
          <w:rFonts w:ascii="Traditional Arabic" w:hAnsi="Traditional Arabic" w:cs="Traditional Arabic"/>
          <w:sz w:val="30"/>
          <w:szCs w:val="30"/>
        </w:rPr>
        <w:t>.</w:t>
      </w:r>
      <w:r w:rsidR="0031118F" w:rsidRPr="00895CED">
        <w:rPr>
          <w:rFonts w:ascii="Traditional Arabic" w:hAnsi="Traditional Arabic" w:cs="Traditional Arabic"/>
          <w:sz w:val="30"/>
          <w:szCs w:val="30"/>
          <w:rtl/>
        </w:rPr>
        <w:t xml:space="preserve"> </w:t>
      </w:r>
    </w:p>
    <w:p w14:paraId="31EC55EA" w14:textId="113A93CD" w:rsidR="0000797B" w:rsidRPr="00895CED" w:rsidRDefault="003B64C6" w:rsidP="00720E90">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أواخر </w:t>
      </w:r>
      <w:r w:rsidR="0031118F" w:rsidRPr="00895CED">
        <w:rPr>
          <w:rFonts w:ascii="Traditional Arabic" w:hAnsi="Traditional Arabic" w:cs="Traditional Arabic"/>
          <w:sz w:val="30"/>
          <w:szCs w:val="30"/>
          <w:rtl/>
        </w:rPr>
        <w:t>العام 1993 حتى</w:t>
      </w:r>
      <w:r w:rsidRPr="00895CED">
        <w:rPr>
          <w:rFonts w:ascii="Traditional Arabic" w:hAnsi="Traditional Arabic" w:cs="Traditional Arabic"/>
          <w:sz w:val="30"/>
          <w:szCs w:val="30"/>
          <w:rtl/>
        </w:rPr>
        <w:t xml:space="preserve"> أوائل </w:t>
      </w:r>
      <w:r w:rsidR="0031118F" w:rsidRPr="00895CED">
        <w:rPr>
          <w:rFonts w:ascii="Traditional Arabic" w:hAnsi="Traditional Arabic" w:cs="Traditional Arabic"/>
          <w:sz w:val="30"/>
          <w:szCs w:val="30"/>
          <w:rtl/>
        </w:rPr>
        <w:t>العام 1994</w:t>
      </w:r>
      <w:r w:rsidRPr="00895CED">
        <w:rPr>
          <w:rFonts w:ascii="Traditional Arabic" w:hAnsi="Traditional Arabic" w:cs="Traditional Arabic"/>
          <w:sz w:val="30"/>
          <w:szCs w:val="30"/>
          <w:rtl/>
        </w:rPr>
        <w:t>، انهارت العلاقة بين الرئيس و</w:t>
      </w:r>
      <w:r w:rsidR="00227670">
        <w:rPr>
          <w:rFonts w:ascii="Traditional Arabic" w:hAnsi="Traditional Arabic" w:cs="Traditional Arabic"/>
          <w:sz w:val="30"/>
          <w:szCs w:val="30"/>
          <w:rtl/>
        </w:rPr>
        <w:t xml:space="preserve">نائب الرئيس </w:t>
      </w:r>
      <w:r w:rsidR="00720E90">
        <w:rPr>
          <w:rFonts w:ascii="Traditional Arabic" w:hAnsi="Traditional Arabic" w:cs="Traditional Arabic" w:hint="cs"/>
          <w:sz w:val="30"/>
          <w:szCs w:val="30"/>
          <w:rtl/>
        </w:rPr>
        <w:t>حين</w:t>
      </w:r>
      <w:r w:rsidR="00227670">
        <w:rPr>
          <w:rFonts w:ascii="Traditional Arabic" w:hAnsi="Traditional Arabic" w:cs="Traditional Arabic"/>
          <w:sz w:val="30"/>
          <w:szCs w:val="30"/>
          <w:rtl/>
        </w:rPr>
        <w:t xml:space="preserve"> شعر الجنوبيون ب</w:t>
      </w:r>
      <w:r w:rsidR="00227670">
        <w:rPr>
          <w:rFonts w:ascii="Traditional Arabic" w:hAnsi="Traditional Arabic" w:cs="Traditional Arabic" w:hint="cs"/>
          <w:sz w:val="30"/>
          <w:szCs w:val="30"/>
          <w:rtl/>
        </w:rPr>
        <w:t xml:space="preserve">أنه قد تم </w:t>
      </w:r>
      <w:r w:rsidRPr="00895CED">
        <w:rPr>
          <w:rFonts w:ascii="Traditional Arabic" w:hAnsi="Traditional Arabic" w:cs="Traditional Arabic"/>
          <w:sz w:val="30"/>
          <w:szCs w:val="30"/>
          <w:rtl/>
        </w:rPr>
        <w:t>تهميش</w:t>
      </w:r>
      <w:r w:rsidR="00227670">
        <w:rPr>
          <w:rFonts w:ascii="Traditional Arabic" w:hAnsi="Traditional Arabic" w:cs="Traditional Arabic" w:hint="cs"/>
          <w:sz w:val="30"/>
          <w:szCs w:val="30"/>
          <w:rtl/>
        </w:rPr>
        <w:t>هم</w:t>
      </w:r>
      <w:r w:rsidRPr="00895CED">
        <w:rPr>
          <w:rFonts w:ascii="Traditional Arabic" w:hAnsi="Traditional Arabic" w:cs="Traditional Arabic"/>
          <w:sz w:val="30"/>
          <w:szCs w:val="30"/>
          <w:rtl/>
        </w:rPr>
        <w:t xml:space="preserve">. </w:t>
      </w:r>
      <w:r w:rsidR="0031118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 xml:space="preserve">اندلع النزاع بين الجيوش الشمالية والجنوبية، مما أدى إلى إعلان الانفصال عن الجنوب في </w:t>
      </w:r>
      <w:r w:rsidR="0031118F"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w:t>
      </w:r>
      <w:r w:rsidR="0031118F" w:rsidRPr="00895CED">
        <w:rPr>
          <w:rStyle w:val="FootnoteReference"/>
          <w:rFonts w:ascii="Traditional Arabic" w:hAnsi="Traditional Arabic" w:cs="Traditional Arabic"/>
          <w:sz w:val="30"/>
          <w:szCs w:val="30"/>
        </w:rPr>
        <w:footnoteReference w:id="72"/>
      </w:r>
      <w:r w:rsidRPr="00895CED">
        <w:rPr>
          <w:rFonts w:ascii="Traditional Arabic" w:hAnsi="Traditional Arabic" w:cs="Traditional Arabic"/>
          <w:sz w:val="30"/>
          <w:szCs w:val="30"/>
          <w:rtl/>
        </w:rPr>
        <w:t xml:space="preserve">، تلاه قتال عنيف انتهى مع سيطرة قوات صالح الشمالية على عدن في </w:t>
      </w:r>
      <w:r w:rsidR="0031118F" w:rsidRPr="00895CED">
        <w:rPr>
          <w:rFonts w:ascii="Traditional Arabic" w:hAnsi="Traditional Arabic" w:cs="Traditional Arabic"/>
          <w:sz w:val="30"/>
          <w:szCs w:val="30"/>
          <w:rtl/>
        </w:rPr>
        <w:t xml:space="preserve">تموز/ </w:t>
      </w:r>
      <w:r w:rsidRPr="00895CED">
        <w:rPr>
          <w:rFonts w:ascii="Traditional Arabic" w:hAnsi="Traditional Arabic" w:cs="Traditional Arabic"/>
          <w:sz w:val="30"/>
          <w:szCs w:val="30"/>
          <w:rtl/>
        </w:rPr>
        <w:t>يوليو</w:t>
      </w:r>
      <w:r w:rsidR="0031118F" w:rsidRPr="00895CED">
        <w:rPr>
          <w:rStyle w:val="FootnoteReference"/>
          <w:rFonts w:ascii="Traditional Arabic" w:hAnsi="Traditional Arabic" w:cs="Traditional Arabic"/>
          <w:sz w:val="30"/>
          <w:szCs w:val="30"/>
        </w:rPr>
        <w:footnoteReference w:id="73"/>
      </w:r>
      <w:r w:rsidRPr="00895CED">
        <w:rPr>
          <w:rFonts w:ascii="Traditional Arabic" w:hAnsi="Traditional Arabic" w:cs="Traditional Arabic"/>
          <w:sz w:val="30"/>
          <w:szCs w:val="30"/>
        </w:rPr>
        <w:t>.</w:t>
      </w:r>
    </w:p>
    <w:p w14:paraId="08A81837" w14:textId="1962BF8E" w:rsidR="003B64C6" w:rsidRPr="00895CED" w:rsidRDefault="0031118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بعد الحرب</w:t>
      </w:r>
      <w:r w:rsidR="003B64C6" w:rsidRPr="00895CED">
        <w:rPr>
          <w:rFonts w:ascii="Traditional Arabic" w:hAnsi="Traditional Arabic" w:cs="Traditional Arabic"/>
          <w:sz w:val="30"/>
          <w:szCs w:val="30"/>
          <w:rtl/>
        </w:rPr>
        <w:t>، قام الرئيس صالح بتعيين عبد ربه منصور هادي</w:t>
      </w:r>
      <w:r w:rsidRPr="00895CED">
        <w:rPr>
          <w:rFonts w:ascii="Traditional Arabic" w:hAnsi="Traditional Arabic" w:cs="Traditional Arabic"/>
          <w:sz w:val="30"/>
          <w:szCs w:val="30"/>
          <w:rtl/>
        </w:rPr>
        <w:t>، من محافظة أبين الجنوبية، نائباً للرئيس. وأدّت</w:t>
      </w:r>
      <w:r w:rsidR="003B64C6" w:rsidRPr="00895CED">
        <w:rPr>
          <w:rFonts w:ascii="Traditional Arabic" w:hAnsi="Traditional Arabic" w:cs="Traditional Arabic"/>
          <w:sz w:val="30"/>
          <w:szCs w:val="30"/>
          <w:rtl/>
        </w:rPr>
        <w:t xml:space="preserve"> التعديلات التي أدخلت على الدستور في عام 1994 </w:t>
      </w:r>
      <w:r w:rsidRPr="00895CED">
        <w:rPr>
          <w:rFonts w:ascii="Traditional Arabic" w:hAnsi="Traditional Arabic" w:cs="Traditional Arabic"/>
          <w:sz w:val="30"/>
          <w:szCs w:val="30"/>
          <w:rtl/>
        </w:rPr>
        <w:t xml:space="preserve">الى توسيع </w:t>
      </w:r>
      <w:r w:rsidR="003B64C6" w:rsidRPr="00895CED">
        <w:rPr>
          <w:rFonts w:ascii="Traditional Arabic" w:hAnsi="Traditional Arabic" w:cs="Traditional Arabic"/>
          <w:sz w:val="30"/>
          <w:szCs w:val="30"/>
          <w:rtl/>
        </w:rPr>
        <w:t>السلطة التنفيذية للرئيس صالح</w:t>
      </w:r>
      <w:r w:rsidRPr="00895CED">
        <w:rPr>
          <w:rStyle w:val="FootnoteReference"/>
          <w:rFonts w:ascii="Traditional Arabic" w:hAnsi="Traditional Arabic" w:cs="Traditional Arabic"/>
          <w:sz w:val="30"/>
          <w:szCs w:val="30"/>
        </w:rPr>
        <w:footnoteReference w:id="74"/>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استمر الصراع بين الشمال والجنوب على السلطة</w:t>
      </w:r>
      <w:r w:rsidR="003B64C6" w:rsidRPr="00895CED">
        <w:rPr>
          <w:rFonts w:ascii="Traditional Arabic" w:hAnsi="Traditional Arabic" w:cs="Traditional Arabic"/>
          <w:sz w:val="30"/>
          <w:szCs w:val="30"/>
        </w:rPr>
        <w:t>.</w:t>
      </w:r>
    </w:p>
    <w:p w14:paraId="5B5686BD" w14:textId="4EF6CA7C" w:rsidR="003B64C6" w:rsidRPr="00895CED" w:rsidRDefault="0031118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تفاقم الاستياء الجنوبي من مركزية السلطة في صنعاء بعد الحرب الأهلية عام 1994 من خلال إعادة توزيع الأراضي الجنوبية على أنصار صالح، والتقاعد القس</w:t>
      </w:r>
      <w:r w:rsidRPr="00895CED">
        <w:rPr>
          <w:rFonts w:ascii="Traditional Arabic" w:hAnsi="Traditional Arabic" w:cs="Traditional Arabic"/>
          <w:sz w:val="30"/>
          <w:szCs w:val="30"/>
          <w:rtl/>
        </w:rPr>
        <w:t>ري لضباط الجيش والأمن الجنوبيين</w:t>
      </w:r>
      <w:r w:rsidR="003B64C6" w:rsidRPr="00895CED">
        <w:rPr>
          <w:rFonts w:ascii="Traditional Arabic" w:hAnsi="Traditional Arabic" w:cs="Traditional Arabic"/>
          <w:sz w:val="30"/>
          <w:szCs w:val="30"/>
          <w:rtl/>
        </w:rPr>
        <w:t>، وكذلك الدبلوماسيين وموظفي الخدمة المدنية</w:t>
      </w:r>
      <w:r w:rsidRPr="00895CED">
        <w:rPr>
          <w:rFonts w:ascii="Traditional Arabic" w:hAnsi="Traditional Arabic" w:cs="Traditional Arabic"/>
          <w:sz w:val="30"/>
          <w:szCs w:val="30"/>
          <w:rtl/>
        </w:rPr>
        <w:t>، و</w:t>
      </w:r>
      <w:r w:rsidR="00227670">
        <w:rPr>
          <w:rFonts w:ascii="Traditional Arabic" w:hAnsi="Traditional Arabic" w:cs="Traditional Arabic" w:hint="cs"/>
          <w:sz w:val="30"/>
          <w:szCs w:val="30"/>
          <w:rtl/>
        </w:rPr>
        <w:t>ال</w:t>
      </w:r>
      <w:r w:rsidRPr="00895CED">
        <w:rPr>
          <w:rFonts w:ascii="Traditional Arabic" w:hAnsi="Traditional Arabic" w:cs="Traditional Arabic"/>
          <w:sz w:val="30"/>
          <w:szCs w:val="30"/>
          <w:rtl/>
        </w:rPr>
        <w:t xml:space="preserve">شعور بأنّ </w:t>
      </w:r>
      <w:r w:rsidR="003B64C6" w:rsidRPr="00895CED">
        <w:rPr>
          <w:rFonts w:ascii="Traditional Arabic" w:hAnsi="Traditional Arabic" w:cs="Traditional Arabic"/>
          <w:sz w:val="30"/>
          <w:szCs w:val="30"/>
          <w:rtl/>
        </w:rPr>
        <w:t xml:space="preserve">موارد النفط الجنوبية التي </w:t>
      </w:r>
      <w:r w:rsidRPr="00895CED">
        <w:rPr>
          <w:rFonts w:ascii="Traditional Arabic" w:hAnsi="Traditional Arabic" w:cs="Traditional Arabic"/>
          <w:sz w:val="30"/>
          <w:szCs w:val="30"/>
          <w:rtl/>
        </w:rPr>
        <w:t xml:space="preserve">اكتشفت مؤخراً قد </w:t>
      </w:r>
      <w:r w:rsidR="003B64C6" w:rsidRPr="00895CED">
        <w:rPr>
          <w:rFonts w:ascii="Traditional Arabic" w:hAnsi="Traditional Arabic" w:cs="Traditional Arabic"/>
          <w:sz w:val="30"/>
          <w:szCs w:val="30"/>
          <w:rtl/>
        </w:rPr>
        <w:t>سرقتها الحكومة في العاصمة صنعاء</w:t>
      </w:r>
      <w:r w:rsidRPr="00895CED">
        <w:rPr>
          <w:rStyle w:val="FootnoteReference"/>
          <w:rFonts w:ascii="Traditional Arabic" w:hAnsi="Traditional Arabic" w:cs="Traditional Arabic"/>
          <w:sz w:val="30"/>
          <w:szCs w:val="30"/>
        </w:rPr>
        <w:footnoteReference w:id="75"/>
      </w:r>
      <w:r w:rsidR="00BE7185" w:rsidRPr="00895CED">
        <w:rPr>
          <w:rFonts w:ascii="Traditional Arabic" w:hAnsi="Traditional Arabic" w:cs="Traditional Arabic"/>
          <w:sz w:val="30"/>
          <w:szCs w:val="30"/>
          <w:rtl/>
        </w:rPr>
        <w:t>. في عام 2007</w:t>
      </w:r>
      <w:r w:rsidR="003B64C6" w:rsidRPr="00895CED">
        <w:rPr>
          <w:rFonts w:ascii="Traditional Arabic" w:hAnsi="Traditional Arabic" w:cs="Traditional Arabic"/>
          <w:sz w:val="30"/>
          <w:szCs w:val="30"/>
          <w:rtl/>
        </w:rPr>
        <w:t>، بدأ الضباط العسكريون الجنوبيون السابقون الذين أجبر</w:t>
      </w:r>
      <w:r w:rsidR="00BE7185" w:rsidRPr="00895CED">
        <w:rPr>
          <w:rFonts w:ascii="Traditional Arabic" w:hAnsi="Traditional Arabic" w:cs="Traditional Arabic"/>
          <w:sz w:val="30"/>
          <w:szCs w:val="30"/>
          <w:rtl/>
        </w:rPr>
        <w:t>وا على التقاعد في التسعينيات ب</w:t>
      </w:r>
      <w:r w:rsidR="003B64C6" w:rsidRPr="00895CED">
        <w:rPr>
          <w:rFonts w:ascii="Traditional Arabic" w:hAnsi="Traditional Arabic" w:cs="Traditional Arabic"/>
          <w:sz w:val="30"/>
          <w:szCs w:val="30"/>
          <w:rtl/>
        </w:rPr>
        <w:t>تنظيم احتجاجات على انخفاض المعاش</w:t>
      </w:r>
      <w:r w:rsidR="00BE7185" w:rsidRPr="00895CED">
        <w:rPr>
          <w:rFonts w:ascii="Traditional Arabic" w:hAnsi="Traditional Arabic" w:cs="Traditional Arabic"/>
          <w:sz w:val="30"/>
          <w:szCs w:val="30"/>
          <w:rtl/>
        </w:rPr>
        <w:t xml:space="preserve"> التقاعدي ونقص الوظائف، مجدّدين نداءات ب</w:t>
      </w:r>
      <w:r w:rsidR="003B64C6" w:rsidRPr="00895CED">
        <w:rPr>
          <w:rFonts w:ascii="Traditional Arabic" w:hAnsi="Traditional Arabic" w:cs="Traditional Arabic"/>
          <w:sz w:val="30"/>
          <w:szCs w:val="30"/>
          <w:rtl/>
        </w:rPr>
        <w:t>انفصال الجنوب وتشكيل ما أصبح يعرف باسم "الحراك الجنوبي"</w:t>
      </w:r>
      <w:r w:rsidR="00BE7185" w:rsidRPr="00895CED">
        <w:rPr>
          <w:rStyle w:val="FootnoteReference"/>
          <w:rFonts w:ascii="Traditional Arabic" w:hAnsi="Traditional Arabic" w:cs="Traditional Arabic"/>
          <w:sz w:val="30"/>
          <w:szCs w:val="30"/>
        </w:rPr>
        <w:footnoteReference w:id="76"/>
      </w:r>
      <w:r w:rsidR="003B64C6" w:rsidRPr="00895CED">
        <w:rPr>
          <w:rFonts w:ascii="Traditional Arabic" w:hAnsi="Traditional Arabic" w:cs="Traditional Arabic"/>
          <w:sz w:val="30"/>
          <w:szCs w:val="30"/>
        </w:rPr>
        <w:t>.</w:t>
      </w:r>
    </w:p>
    <w:p w14:paraId="3CA91A01" w14:textId="0DAF1FA9" w:rsidR="00224F6E" w:rsidRPr="00895CED" w:rsidRDefault="00BE718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 هذه الأثناء</w:t>
      </w:r>
      <w:r w:rsidR="003B64C6" w:rsidRPr="00895CED">
        <w:rPr>
          <w:rFonts w:ascii="Traditional Arabic" w:hAnsi="Traditional Arabic" w:cs="Traditional Arabic"/>
          <w:sz w:val="30"/>
          <w:szCs w:val="30"/>
          <w:rtl/>
        </w:rPr>
        <w:t>، خلال أوائل التسعينيات، في شمال محافظة صعدة، ظهرت مجموعة تشج</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ع إحي</w:t>
      </w:r>
      <w:r w:rsidRPr="00895CED">
        <w:rPr>
          <w:rFonts w:ascii="Traditional Arabic" w:hAnsi="Traditional Arabic" w:cs="Traditional Arabic"/>
          <w:sz w:val="30"/>
          <w:szCs w:val="30"/>
          <w:rtl/>
        </w:rPr>
        <w:t>اء تعاليم الزيدي الشيعي كردّ على الشعور با</w:t>
      </w:r>
      <w:r w:rsidR="003B64C6" w:rsidRPr="00895CED">
        <w:rPr>
          <w:rFonts w:ascii="Traditional Arabic" w:hAnsi="Traditional Arabic" w:cs="Traditional Arabic"/>
          <w:sz w:val="30"/>
          <w:szCs w:val="30"/>
          <w:rtl/>
        </w:rPr>
        <w:t xml:space="preserve">لتهميش </w:t>
      </w:r>
      <w:r w:rsidRPr="00895CED">
        <w:rPr>
          <w:rFonts w:ascii="Traditional Arabic" w:hAnsi="Traditional Arabic" w:cs="Traditional Arabic"/>
          <w:sz w:val="30"/>
          <w:szCs w:val="30"/>
          <w:rtl/>
        </w:rPr>
        <w:t>ال</w:t>
      </w:r>
      <w:r w:rsidR="003B64C6" w:rsidRPr="00895CED">
        <w:rPr>
          <w:rFonts w:ascii="Traditional Arabic" w:hAnsi="Traditional Arabic" w:cs="Traditional Arabic"/>
          <w:sz w:val="30"/>
          <w:szCs w:val="30"/>
          <w:rtl/>
        </w:rPr>
        <w:t xml:space="preserve">متزايد </w:t>
      </w:r>
      <w:r w:rsidRPr="00895CED">
        <w:rPr>
          <w:rFonts w:ascii="Traditional Arabic" w:hAnsi="Traditional Arabic" w:cs="Traditional Arabic"/>
          <w:sz w:val="30"/>
          <w:szCs w:val="30"/>
          <w:rtl/>
        </w:rPr>
        <w:t xml:space="preserve"> للأغلبية الزيدية </w:t>
      </w:r>
      <w:r w:rsidR="00227670">
        <w:rPr>
          <w:rFonts w:ascii="Traditional Arabic" w:hAnsi="Traditional Arabic" w:cs="Traditional Arabic" w:hint="cs"/>
          <w:sz w:val="30"/>
          <w:szCs w:val="30"/>
          <w:rtl/>
        </w:rPr>
        <w:t xml:space="preserve">في الشمال </w:t>
      </w:r>
      <w:r w:rsidRPr="00895CED">
        <w:rPr>
          <w:rFonts w:ascii="Traditional Arabic" w:hAnsi="Traditional Arabic" w:cs="Traditional Arabic"/>
          <w:sz w:val="30"/>
          <w:szCs w:val="30"/>
          <w:rtl/>
        </w:rPr>
        <w:t>من جانب</w:t>
      </w:r>
      <w:r w:rsidR="003B64C6" w:rsidRPr="00895CED">
        <w:rPr>
          <w:rFonts w:ascii="Traditional Arabic" w:hAnsi="Traditional Arabic" w:cs="Traditional Arabic"/>
          <w:sz w:val="30"/>
          <w:szCs w:val="30"/>
          <w:rtl/>
        </w:rPr>
        <w:t xml:space="preserve"> الرئيس صالح (على الرغم من </w:t>
      </w:r>
      <w:r w:rsidRPr="00895CED">
        <w:rPr>
          <w:rFonts w:ascii="Traditional Arabic" w:hAnsi="Traditional Arabic" w:cs="Traditional Arabic"/>
          <w:sz w:val="30"/>
          <w:szCs w:val="30"/>
          <w:rtl/>
        </w:rPr>
        <w:t xml:space="preserve">أنه كان أيضًا </w:t>
      </w:r>
      <w:r w:rsidR="003B64C6" w:rsidRPr="00895CED">
        <w:rPr>
          <w:rFonts w:ascii="Traditional Arabic" w:hAnsi="Traditional Arabic" w:cs="Traditional Arabic"/>
          <w:sz w:val="30"/>
          <w:szCs w:val="30"/>
          <w:rtl/>
        </w:rPr>
        <w:t>زيدي</w:t>
      </w:r>
      <w:r w:rsidRPr="00895CED">
        <w:rPr>
          <w:rFonts w:ascii="Traditional Arabic" w:hAnsi="Traditional Arabic" w:cs="Traditional Arabic"/>
          <w:sz w:val="30"/>
          <w:szCs w:val="30"/>
          <w:rtl/>
        </w:rPr>
        <w:t>اً) وكذلك رداً على</w:t>
      </w:r>
      <w:r w:rsidR="003B64C6" w:rsidRPr="00895CED">
        <w:rPr>
          <w:rFonts w:ascii="Traditional Arabic" w:hAnsi="Traditional Arabic" w:cs="Traditional Arabic"/>
          <w:sz w:val="30"/>
          <w:szCs w:val="30"/>
          <w:rtl/>
        </w:rPr>
        <w:t xml:space="preserve"> انتشار "المعاهد العلمية" السلفية. بدأت حركة الشباب المؤمن بجهود "لإحياء" التعليم حول الزيدي</w:t>
      </w:r>
      <w:r w:rsidRPr="00895CED">
        <w:rPr>
          <w:rFonts w:ascii="Traditional Arabic" w:hAnsi="Traditional Arabic" w:cs="Traditional Arabic"/>
          <w:sz w:val="30"/>
          <w:szCs w:val="30"/>
          <w:rtl/>
        </w:rPr>
        <w:t>ة الت</w:t>
      </w:r>
      <w:r w:rsidR="003B64C6" w:rsidRPr="00895CED">
        <w:rPr>
          <w:rFonts w:ascii="Traditional Arabic" w:hAnsi="Traditional Arabic" w:cs="Traditional Arabic"/>
          <w:sz w:val="30"/>
          <w:szCs w:val="30"/>
          <w:rtl/>
        </w:rPr>
        <w:t>ي حكم أئمته</w:t>
      </w:r>
      <w:r w:rsidRPr="00895CED">
        <w:rPr>
          <w:rFonts w:ascii="Traditional Arabic" w:hAnsi="Traditional Arabic" w:cs="Traditional Arabic"/>
          <w:sz w:val="30"/>
          <w:szCs w:val="30"/>
          <w:rtl/>
        </w:rPr>
        <w:t>ا</w:t>
      </w:r>
      <w:r w:rsidR="003B64C6" w:rsidRPr="00895CED">
        <w:rPr>
          <w:rFonts w:ascii="Traditional Arabic" w:hAnsi="Traditional Arabic" w:cs="Traditional Arabic"/>
          <w:sz w:val="30"/>
          <w:szCs w:val="30"/>
          <w:rtl/>
        </w:rPr>
        <w:t xml:space="preserve"> شمال اليمن </w:t>
      </w:r>
      <w:r w:rsidR="003B64C6" w:rsidRPr="00895CED">
        <w:rPr>
          <w:rFonts w:ascii="Traditional Arabic" w:hAnsi="Traditional Arabic" w:cs="Traditional Arabic"/>
          <w:sz w:val="30"/>
          <w:szCs w:val="30"/>
          <w:rtl/>
        </w:rPr>
        <w:lastRenderedPageBreak/>
        <w:t>من خلال مزيج من الوسائل</w:t>
      </w:r>
      <w:r w:rsidRPr="00895CED">
        <w:rPr>
          <w:rFonts w:ascii="Traditional Arabic" w:hAnsi="Traditional Arabic" w:cs="Traditional Arabic"/>
          <w:sz w:val="30"/>
          <w:szCs w:val="30"/>
          <w:rtl/>
        </w:rPr>
        <w:t xml:space="preserve"> الدينية والعلمانية لمدة ألف سنة</w:t>
      </w:r>
      <w:r w:rsidR="003B64C6" w:rsidRPr="00895CED">
        <w:rPr>
          <w:rFonts w:ascii="Traditional Arabic" w:hAnsi="Traditional Arabic" w:cs="Traditional Arabic"/>
          <w:sz w:val="30"/>
          <w:szCs w:val="30"/>
          <w:rtl/>
        </w:rPr>
        <w:t xml:space="preserve"> حتى عام 1962</w:t>
      </w:r>
      <w:r w:rsidR="003B64C6" w:rsidRPr="00895CED">
        <w:rPr>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footnoteReference w:id="77"/>
      </w:r>
      <w:r w:rsidR="003B64C6" w:rsidRPr="00895CED">
        <w:rPr>
          <w:rFonts w:ascii="Traditional Arabic" w:hAnsi="Traditional Arabic" w:cs="Traditional Arabic"/>
          <w:sz w:val="30"/>
          <w:szCs w:val="30"/>
          <w:rtl/>
        </w:rPr>
        <w:t>وكانت حركة الشباب المؤمن قد ب</w:t>
      </w:r>
      <w:r w:rsidRPr="00895CED">
        <w:rPr>
          <w:rFonts w:ascii="Traditional Arabic" w:hAnsi="Traditional Arabic" w:cs="Traditional Arabic"/>
          <w:sz w:val="30"/>
          <w:szCs w:val="30"/>
          <w:rtl/>
        </w:rPr>
        <w:t>شرت في البداية بالتسامح والسلام</w:t>
      </w:r>
      <w:r w:rsidR="003B64C6" w:rsidRPr="00895CED">
        <w:rPr>
          <w:rFonts w:ascii="Traditional Arabic" w:hAnsi="Traditional Arabic" w:cs="Traditional Arabic"/>
          <w:sz w:val="30"/>
          <w:szCs w:val="30"/>
          <w:rtl/>
        </w:rPr>
        <w:t xml:space="preserve">، وحظيت بدعم من الحكومة </w:t>
      </w:r>
      <w:r w:rsidRPr="00895CED">
        <w:rPr>
          <w:rFonts w:ascii="Traditional Arabic" w:hAnsi="Traditional Arabic" w:cs="Traditional Arabic"/>
          <w:sz w:val="30"/>
          <w:szCs w:val="30"/>
          <w:rtl/>
        </w:rPr>
        <w:t>التي رأت فيها "موازنة</w:t>
      </w:r>
      <w:r w:rsidR="003B64C6" w:rsidRPr="00895CED">
        <w:rPr>
          <w:rFonts w:ascii="Traditional Arabic" w:hAnsi="Traditional Arabic" w:cs="Traditional Arabic"/>
          <w:sz w:val="30"/>
          <w:szCs w:val="30"/>
          <w:rtl/>
        </w:rPr>
        <w:t xml:space="preserve"> للتعدي الوهابي السعودي في شمال البلاد"</w:t>
      </w:r>
      <w:r w:rsidRPr="00895CED">
        <w:rPr>
          <w:rStyle w:val="FootnoteReference"/>
          <w:rFonts w:ascii="Traditional Arabic" w:hAnsi="Traditional Arabic" w:cs="Traditional Arabic"/>
          <w:sz w:val="30"/>
          <w:szCs w:val="30"/>
        </w:rPr>
        <w:footnoteReference w:id="78"/>
      </w:r>
      <w:r w:rsidRPr="00895CED">
        <w:rPr>
          <w:rFonts w:ascii="Traditional Arabic" w:hAnsi="Traditional Arabic" w:cs="Traditional Arabic"/>
          <w:sz w:val="30"/>
          <w:szCs w:val="30"/>
          <w:rtl/>
        </w:rPr>
        <w:t>. بعد ذلك</w:t>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 xml:space="preserve">بعد </w:t>
      </w:r>
      <w:r w:rsidRPr="00895CED">
        <w:rPr>
          <w:rFonts w:ascii="Traditional Arabic" w:hAnsi="Traditional Arabic" w:cs="Traditional Arabic"/>
          <w:sz w:val="30"/>
          <w:szCs w:val="30"/>
          <w:rtl/>
        </w:rPr>
        <w:t xml:space="preserve">اصطفاف </w:t>
      </w:r>
      <w:r w:rsidR="003B64C6" w:rsidRPr="00895CED">
        <w:rPr>
          <w:rFonts w:ascii="Traditional Arabic" w:hAnsi="Traditional Arabic" w:cs="Traditional Arabic"/>
          <w:sz w:val="30"/>
          <w:szCs w:val="30"/>
          <w:rtl/>
        </w:rPr>
        <w:t xml:space="preserve">المجموعة </w:t>
      </w:r>
      <w:r w:rsidRPr="00895CED">
        <w:rPr>
          <w:rFonts w:ascii="Traditional Arabic" w:hAnsi="Traditional Arabic" w:cs="Traditional Arabic"/>
          <w:sz w:val="30"/>
          <w:szCs w:val="30"/>
          <w:rtl/>
        </w:rPr>
        <w:t xml:space="preserve">مع </w:t>
      </w:r>
      <w:r w:rsidR="003B64C6" w:rsidRPr="00895CED">
        <w:rPr>
          <w:rFonts w:ascii="Traditional Arabic" w:hAnsi="Traditional Arabic" w:cs="Traditional Arabic"/>
          <w:sz w:val="30"/>
          <w:szCs w:val="30"/>
          <w:rtl/>
        </w:rPr>
        <w:t>حسين بدر الدين الحوثي</w:t>
      </w:r>
      <w:r w:rsidRPr="00895CED">
        <w:rPr>
          <w:rFonts w:ascii="Traditional Arabic" w:hAnsi="Traditional Arabic" w:cs="Traditional Arabic"/>
          <w:sz w:val="30"/>
          <w:szCs w:val="30"/>
          <w:rtl/>
        </w:rPr>
        <w:t>، أصبحت</w:t>
      </w:r>
      <w:r w:rsidR="003B64C6" w:rsidRPr="00895CED">
        <w:rPr>
          <w:rFonts w:ascii="Traditional Arabic" w:hAnsi="Traditional Arabic" w:cs="Traditional Arabic"/>
          <w:sz w:val="30"/>
          <w:szCs w:val="30"/>
          <w:rtl/>
        </w:rPr>
        <w:t xml:space="preserve"> متورط</w:t>
      </w:r>
      <w:r w:rsidRPr="00895CED">
        <w:rPr>
          <w:rFonts w:ascii="Traditional Arabic" w:hAnsi="Traditional Arabic" w:cs="Traditional Arabic"/>
          <w:sz w:val="30"/>
          <w:szCs w:val="30"/>
          <w:rtl/>
        </w:rPr>
        <w:t>ة</w:t>
      </w:r>
      <w:r w:rsidR="003B64C6" w:rsidRPr="00895CED">
        <w:rPr>
          <w:rFonts w:ascii="Traditional Arabic" w:hAnsi="Traditional Arabic" w:cs="Traditional Arabic"/>
          <w:sz w:val="30"/>
          <w:szCs w:val="30"/>
          <w:rtl/>
        </w:rPr>
        <w:t xml:space="preserve"> في السياسة وتم تشكيل جناح مسل</w:t>
      </w:r>
      <w:r w:rsidRPr="00895CED">
        <w:rPr>
          <w:rFonts w:ascii="Traditional Arabic" w:hAnsi="Traditional Arabic" w:cs="Traditional Arabic"/>
          <w:sz w:val="30"/>
          <w:szCs w:val="30"/>
          <w:rtl/>
        </w:rPr>
        <w:t>ّح</w:t>
      </w:r>
      <w:r w:rsidR="003B64C6" w:rsidRPr="00895CED">
        <w:rPr>
          <w:rFonts w:ascii="Traditional Arabic" w:hAnsi="Traditional Arabic" w:cs="Traditional Arabic"/>
          <w:sz w:val="30"/>
          <w:szCs w:val="30"/>
          <w:rtl/>
        </w:rPr>
        <w:t>، في البداية دفاعًا عن النفس ضد الخصوم</w:t>
      </w:r>
      <w:r w:rsidRPr="00895CED">
        <w:rPr>
          <w:rFonts w:ascii="Traditional Arabic" w:hAnsi="Traditional Arabic" w:cs="Traditional Arabic"/>
          <w:sz w:val="30"/>
          <w:szCs w:val="30"/>
          <w:rtl/>
        </w:rPr>
        <w:t>ة المتزايدة التي أبدتها الحكومة تجاه الحوثيين وأتباعهم</w:t>
      </w:r>
      <w:r w:rsidR="003B64C6" w:rsidRPr="00895CED">
        <w:rPr>
          <w:rFonts w:ascii="Traditional Arabic" w:hAnsi="Traditional Arabic" w:cs="Traditional Arabic"/>
          <w:sz w:val="30"/>
          <w:szCs w:val="30"/>
          <w:rtl/>
        </w:rPr>
        <w:t>.</w:t>
      </w:r>
      <w:r w:rsidRPr="00895CED">
        <w:rPr>
          <w:rStyle w:val="FootnoteReference"/>
          <w:rFonts w:ascii="Traditional Arabic" w:hAnsi="Traditional Arabic" w:cs="Traditional Arabic"/>
          <w:sz w:val="30"/>
          <w:szCs w:val="30"/>
        </w:rPr>
        <w:t xml:space="preserve"> </w:t>
      </w:r>
      <w:r w:rsidRPr="00895CED">
        <w:rPr>
          <w:rStyle w:val="FootnoteReference"/>
          <w:rFonts w:ascii="Traditional Arabic" w:hAnsi="Traditional Arabic" w:cs="Traditional Arabic"/>
          <w:sz w:val="30"/>
          <w:szCs w:val="30"/>
        </w:rPr>
        <w:footnoteReference w:id="79"/>
      </w:r>
      <w:r w:rsidR="003B64C6"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أصبحت الجماعة المسلحة تحت قيادة الحوثي</w:t>
      </w:r>
      <w:r w:rsidRPr="00895CED">
        <w:rPr>
          <w:rFonts w:ascii="Traditional Arabic" w:hAnsi="Traditional Arabic" w:cs="Traditional Arabic"/>
          <w:sz w:val="30"/>
          <w:szCs w:val="30"/>
          <w:rtl/>
        </w:rPr>
        <w:t>ين</w:t>
      </w:r>
      <w:r w:rsidR="003B64C6" w:rsidRPr="00895CED">
        <w:rPr>
          <w:rFonts w:ascii="Traditional Arabic" w:hAnsi="Traditional Arabic" w:cs="Traditional Arabic"/>
          <w:sz w:val="30"/>
          <w:szCs w:val="30"/>
          <w:rtl/>
        </w:rPr>
        <w:t xml:space="preserve"> تعرف باسم "الحوثيين" بعد</w:t>
      </w:r>
      <w:r w:rsidRPr="00895CED">
        <w:rPr>
          <w:rFonts w:ascii="Traditional Arabic" w:hAnsi="Traditional Arabic" w:cs="Traditional Arabic"/>
          <w:sz w:val="30"/>
          <w:szCs w:val="30"/>
          <w:rtl/>
        </w:rPr>
        <w:t xml:space="preserve"> وفاة حسين الحوثي في </w:t>
      </w:r>
      <w:r w:rsidRPr="00895CED">
        <w:rPr>
          <w:rFonts w:ascii="Traditional Arabic" w:hAnsi="Traditional Arabic" w:cs="Traditional Arabic" w:hint="cs"/>
          <w:sz w:val="30"/>
          <w:szCs w:val="30"/>
          <w:rtl/>
        </w:rPr>
        <w:t>عام</w:t>
      </w:r>
      <w:r w:rsidRPr="00895CED">
        <w:rPr>
          <w:rFonts w:ascii="Traditional Arabic" w:hAnsi="Traditional Arabic" w:cs="Traditional Arabic"/>
          <w:sz w:val="30"/>
          <w:szCs w:val="30"/>
          <w:rtl/>
        </w:rPr>
        <w:t xml:space="preserve"> 2004</w:t>
      </w:r>
      <w:r w:rsidRPr="00895CED">
        <w:rPr>
          <w:rFonts w:ascii="Traditional Arabic" w:hAnsi="Traditional Arabic" w:cs="Traditional Arabic" w:hint="cs"/>
          <w:sz w:val="30"/>
          <w:szCs w:val="30"/>
          <w:rtl/>
        </w:rPr>
        <w:t>،</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وبعد</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ذلك</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قاتلوا</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بقيادة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عبد</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الملك</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الحوثي</w:t>
      </w:r>
      <w:r w:rsidRPr="00895CED">
        <w:rPr>
          <w:rFonts w:ascii="Traditional Arabic" w:hAnsi="Traditional Arabic" w:cs="Traditional Arabic"/>
          <w:sz w:val="30"/>
          <w:szCs w:val="30"/>
          <w:rtl/>
        </w:rPr>
        <w:t xml:space="preserve"> ضمن </w:t>
      </w:r>
      <w:r w:rsidR="003B64C6" w:rsidRPr="00895CED">
        <w:rPr>
          <w:rFonts w:ascii="Traditional Arabic" w:hAnsi="Traditional Arabic" w:cs="Traditional Arabic"/>
          <w:sz w:val="30"/>
          <w:szCs w:val="30"/>
          <w:rtl/>
        </w:rPr>
        <w:t>حملة تمر</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د ضد الحكومة اليمنية</w:t>
      </w:r>
      <w:r w:rsidRPr="00895CED">
        <w:rPr>
          <w:rFonts w:ascii="Traditional Arabic" w:hAnsi="Traditional Arabic" w:cs="Traditional Arabic"/>
          <w:sz w:val="30"/>
          <w:szCs w:val="30"/>
          <w:rtl/>
        </w:rPr>
        <w:t>، وهذا ما</w:t>
      </w:r>
      <w:r w:rsidR="003B64C6" w:rsidRPr="00895CED">
        <w:rPr>
          <w:rFonts w:ascii="Traditional Arabic" w:hAnsi="Traditional Arabic" w:cs="Traditional Arabic"/>
          <w:sz w:val="30"/>
          <w:szCs w:val="30"/>
          <w:rtl/>
        </w:rPr>
        <w:t xml:space="preserve"> يشار إليه </w:t>
      </w:r>
      <w:r w:rsidRPr="00895CED">
        <w:rPr>
          <w:rFonts w:ascii="Traditional Arabic" w:hAnsi="Traditional Arabic" w:cs="Traditional Arabic"/>
          <w:sz w:val="30"/>
          <w:szCs w:val="30"/>
          <w:rtl/>
        </w:rPr>
        <w:t>في ال</w:t>
      </w:r>
      <w:r w:rsidR="003B64C6" w:rsidRPr="00895CED">
        <w:rPr>
          <w:rFonts w:ascii="Traditional Arabic" w:hAnsi="Traditional Arabic" w:cs="Traditional Arabic"/>
          <w:sz w:val="30"/>
          <w:szCs w:val="30"/>
          <w:rtl/>
        </w:rPr>
        <w:t xml:space="preserve">عادة باسم </w:t>
      </w:r>
      <w:r w:rsidR="00224F6E" w:rsidRPr="00895CED">
        <w:rPr>
          <w:rFonts w:ascii="Traditional Arabic" w:hAnsi="Traditional Arabic" w:cs="Traditional Arabic"/>
          <w:sz w:val="30"/>
          <w:szCs w:val="30"/>
          <w:rtl/>
        </w:rPr>
        <w:t>حر</w:t>
      </w:r>
      <w:r w:rsidR="003B64C6" w:rsidRPr="00895CED">
        <w:rPr>
          <w:rFonts w:ascii="Traditional Arabic" w:hAnsi="Traditional Arabic" w:cs="Traditional Arabic"/>
          <w:sz w:val="30"/>
          <w:szCs w:val="30"/>
          <w:rtl/>
        </w:rPr>
        <w:t>وب صعدة</w:t>
      </w:r>
      <w:r w:rsidR="00224F6E" w:rsidRPr="00895CED">
        <w:rPr>
          <w:rFonts w:ascii="Traditional Arabic" w:hAnsi="Traditional Arabic" w:cs="Traditional Arabic"/>
          <w:sz w:val="30"/>
          <w:szCs w:val="30"/>
          <w:rtl/>
        </w:rPr>
        <w:t xml:space="preserve"> الست التي دامت </w:t>
      </w:r>
      <w:r w:rsidR="003B64C6" w:rsidRPr="00895CED">
        <w:rPr>
          <w:rFonts w:ascii="Traditional Arabic" w:hAnsi="Traditional Arabic" w:cs="Traditional Arabic"/>
          <w:sz w:val="30"/>
          <w:szCs w:val="30"/>
          <w:rtl/>
        </w:rPr>
        <w:t>من 2004 إلى 2010.</w:t>
      </w:r>
    </w:p>
    <w:p w14:paraId="5089AAC2" w14:textId="58A1C789" w:rsidR="00B5149E" w:rsidRPr="00895CED" w:rsidRDefault="00224F6E"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t>منذ ذلك الحين، أصبح الحوثيون، أو أنصار الله</w:t>
      </w:r>
      <w:r w:rsidR="003B64C6" w:rsidRPr="00895CED">
        <w:rPr>
          <w:rFonts w:ascii="Traditional Arabic" w:hAnsi="Traditional Arabic" w:cs="Traditional Arabic"/>
          <w:color w:val="000000"/>
          <w:sz w:val="30"/>
          <w:szCs w:val="30"/>
          <w:shd w:val="clear" w:color="auto" w:fill="FFFFFF"/>
          <w:rtl/>
        </w:rPr>
        <w:t xml:space="preserve"> كما تشير الحركة السياسية إلى نفسها</w:t>
      </w:r>
      <w:r w:rsidRPr="00895CED">
        <w:rPr>
          <w:rStyle w:val="FootnoteReference"/>
          <w:rFonts w:ascii="Traditional Arabic" w:hAnsi="Traditional Arabic" w:cs="Traditional Arabic"/>
          <w:color w:val="000000"/>
          <w:sz w:val="30"/>
          <w:szCs w:val="30"/>
          <w:shd w:val="clear" w:color="auto" w:fill="FFFFFF"/>
        </w:rPr>
        <w:footnoteReference w:id="80"/>
      </w:r>
      <w:r w:rsidR="003B64C6" w:rsidRPr="00895CED">
        <w:rPr>
          <w:rFonts w:ascii="Traditional Arabic" w:hAnsi="Traditional Arabic" w:cs="Traditional Arabic"/>
          <w:color w:val="000000"/>
          <w:sz w:val="30"/>
          <w:szCs w:val="30"/>
          <w:shd w:val="clear" w:color="auto" w:fill="FFFFFF"/>
          <w:rtl/>
        </w:rPr>
        <w:t xml:space="preserve">، </w:t>
      </w:r>
      <w:r w:rsidRPr="00895CED">
        <w:rPr>
          <w:rFonts w:ascii="Traditional Arabic" w:hAnsi="Traditional Arabic" w:cs="Traditional Arabic"/>
          <w:color w:val="000000"/>
          <w:sz w:val="30"/>
          <w:szCs w:val="30"/>
          <w:shd w:val="clear" w:color="auto" w:fill="FFFFFF"/>
          <w:rtl/>
        </w:rPr>
        <w:t>مجموعة ذات مشاركة واسعة</w:t>
      </w:r>
      <w:r w:rsidR="003B64C6" w:rsidRPr="00895CED">
        <w:rPr>
          <w:rFonts w:ascii="Traditional Arabic" w:hAnsi="Traditional Arabic" w:cs="Traditional Arabic"/>
          <w:color w:val="000000"/>
          <w:sz w:val="30"/>
          <w:szCs w:val="30"/>
          <w:shd w:val="clear" w:color="auto" w:fill="FFFFFF"/>
          <w:rtl/>
        </w:rPr>
        <w:t xml:space="preserve"> تتخطى الخطوط الطائفية، مع أهداف معلنة </w:t>
      </w:r>
      <w:r w:rsidRPr="00895CED">
        <w:rPr>
          <w:rFonts w:ascii="Traditional Arabic" w:hAnsi="Traditional Arabic" w:cs="Traditional Arabic"/>
          <w:color w:val="000000"/>
          <w:sz w:val="30"/>
          <w:szCs w:val="30"/>
          <w:shd w:val="clear" w:color="auto" w:fill="FFFFFF"/>
          <w:rtl/>
        </w:rPr>
        <w:t>ب</w:t>
      </w:r>
      <w:r w:rsidR="003B64C6" w:rsidRPr="00895CED">
        <w:rPr>
          <w:rFonts w:ascii="Traditional Arabic" w:hAnsi="Traditional Arabic" w:cs="Traditional Arabic"/>
          <w:color w:val="000000"/>
          <w:sz w:val="30"/>
          <w:szCs w:val="30"/>
          <w:shd w:val="clear" w:color="auto" w:fill="FFFFFF"/>
          <w:rtl/>
        </w:rPr>
        <w:t xml:space="preserve">دعم </w:t>
      </w:r>
      <w:r w:rsidRPr="00895CED">
        <w:rPr>
          <w:rFonts w:ascii="Traditional Arabic" w:hAnsi="Traditional Arabic" w:cs="Traditional Arabic"/>
          <w:color w:val="000000"/>
          <w:sz w:val="30"/>
          <w:szCs w:val="30"/>
          <w:shd w:val="clear" w:color="auto" w:fill="FFFFFF"/>
          <w:rtl/>
        </w:rPr>
        <w:t>جمهورية</w:t>
      </w:r>
      <w:r w:rsidR="003B64C6" w:rsidRPr="00895CED">
        <w:rPr>
          <w:rFonts w:ascii="Traditional Arabic" w:hAnsi="Traditional Arabic" w:cs="Traditional Arabic"/>
          <w:color w:val="000000"/>
          <w:sz w:val="30"/>
          <w:szCs w:val="30"/>
          <w:shd w:val="clear" w:color="auto" w:fill="FFFFFF"/>
          <w:rtl/>
        </w:rPr>
        <w:t xml:space="preserve"> </w:t>
      </w:r>
      <w:r w:rsidRPr="00895CED">
        <w:rPr>
          <w:rFonts w:ascii="Traditional Arabic" w:hAnsi="Traditional Arabic" w:cs="Traditional Arabic"/>
          <w:color w:val="000000"/>
          <w:sz w:val="30"/>
          <w:szCs w:val="30"/>
          <w:shd w:val="clear" w:color="auto" w:fill="FFFFFF"/>
          <w:rtl/>
        </w:rPr>
        <w:t xml:space="preserve">يمنية أكثر </w:t>
      </w:r>
      <w:r w:rsidR="003B64C6" w:rsidRPr="00895CED">
        <w:rPr>
          <w:rFonts w:ascii="Traditional Arabic" w:hAnsi="Traditional Arabic" w:cs="Traditional Arabic"/>
          <w:color w:val="000000"/>
          <w:sz w:val="30"/>
          <w:szCs w:val="30"/>
          <w:shd w:val="clear" w:color="auto" w:fill="FFFFFF"/>
          <w:rtl/>
        </w:rPr>
        <w:t>ديمقراطية وغير طائفية في اليمن</w:t>
      </w:r>
      <w:r w:rsidRPr="00895CED">
        <w:rPr>
          <w:rFonts w:ascii="Traditional Arabic" w:hAnsi="Traditional Arabic" w:cs="Traditional Arabic"/>
          <w:color w:val="000000"/>
          <w:sz w:val="30"/>
          <w:szCs w:val="30"/>
          <w:shd w:val="clear" w:color="auto" w:fill="FFFFFF"/>
          <w:rtl/>
        </w:rPr>
        <w:t>، فضلاً عن</w:t>
      </w:r>
      <w:r w:rsidR="003B64C6" w:rsidRPr="00895CED">
        <w:rPr>
          <w:rFonts w:ascii="Traditional Arabic" w:hAnsi="Traditional Arabic" w:cs="Traditional Arabic"/>
          <w:color w:val="000000"/>
          <w:sz w:val="30"/>
          <w:szCs w:val="30"/>
          <w:shd w:val="clear" w:color="auto" w:fill="FFFFFF"/>
          <w:rtl/>
        </w:rPr>
        <w:t xml:space="preserve"> محاربة الفساد والتخلف الاقتصادي والتهميش السياسي في اليمن مع السعي إلى مزيد من الحكم الذاتي للمناطق ذات الأغلبية الزيدية</w:t>
      </w:r>
      <w:r w:rsidRPr="00895CED">
        <w:rPr>
          <w:rStyle w:val="FootnoteReference"/>
          <w:rFonts w:ascii="Traditional Arabic" w:hAnsi="Traditional Arabic" w:cs="Traditional Arabic"/>
          <w:color w:val="000000"/>
          <w:sz w:val="30"/>
          <w:szCs w:val="30"/>
          <w:shd w:val="clear" w:color="auto" w:fill="FFFFFF"/>
        </w:rPr>
        <w:footnoteReference w:id="81"/>
      </w:r>
      <w:r w:rsidR="003B64C6" w:rsidRPr="00895CED">
        <w:rPr>
          <w:rFonts w:ascii="Traditional Arabic" w:hAnsi="Traditional Arabic" w:cs="Traditional Arabic"/>
          <w:color w:val="000000"/>
          <w:sz w:val="30"/>
          <w:szCs w:val="30"/>
          <w:shd w:val="clear" w:color="auto" w:fill="FFFFFF"/>
        </w:rPr>
        <w:t>.</w:t>
      </w:r>
    </w:p>
    <w:p w14:paraId="0894B6AD" w14:textId="5B59E8CB" w:rsidR="004A4D35"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شهدت اليمن أيضا</w:t>
      </w:r>
      <w:r w:rsidR="00224F6E"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ظهور الجماعات الإسلامية المتط</w:t>
      </w:r>
      <w:r w:rsidR="00224F6E" w:rsidRPr="00895CED">
        <w:rPr>
          <w:rFonts w:ascii="Traditional Arabic" w:hAnsi="Traditional Arabic" w:cs="Traditional Arabic"/>
          <w:sz w:val="30"/>
          <w:szCs w:val="30"/>
          <w:rtl/>
        </w:rPr>
        <w:t>رفة خلال هذا الوقت. في عام 2009</w:t>
      </w:r>
      <w:r w:rsidRPr="00895CED">
        <w:rPr>
          <w:rFonts w:ascii="Traditional Arabic" w:hAnsi="Traditional Arabic" w:cs="Traditional Arabic"/>
          <w:sz w:val="30"/>
          <w:szCs w:val="30"/>
          <w:rtl/>
        </w:rPr>
        <w:t>، اندمج فرع القاعدة في اليمن</w:t>
      </w:r>
      <w:r w:rsidR="00224F6E" w:rsidRPr="00895CED">
        <w:rPr>
          <w:rFonts w:ascii="Traditional Arabic" w:hAnsi="Traditional Arabic" w:cs="Traditional Arabic"/>
          <w:sz w:val="30"/>
          <w:szCs w:val="30"/>
          <w:rtl/>
        </w:rPr>
        <w:t>، و</w:t>
      </w:r>
      <w:r w:rsidRPr="00895CED">
        <w:rPr>
          <w:rFonts w:ascii="Traditional Arabic" w:hAnsi="Traditional Arabic" w:cs="Traditional Arabic"/>
          <w:sz w:val="30"/>
          <w:szCs w:val="30"/>
          <w:rtl/>
        </w:rPr>
        <w:t>المرتبط بالهجمات على سفينة حربية أم</w:t>
      </w:r>
      <w:r w:rsidR="00224F6E" w:rsidRPr="00895CED">
        <w:rPr>
          <w:rFonts w:ascii="Traditional Arabic" w:hAnsi="Traditional Arabic" w:cs="Traditional Arabic"/>
          <w:sz w:val="30"/>
          <w:szCs w:val="30"/>
          <w:rtl/>
        </w:rPr>
        <w:t>ير</w:t>
      </w:r>
      <w:r w:rsidRPr="00895CED">
        <w:rPr>
          <w:rFonts w:ascii="Traditional Arabic" w:hAnsi="Traditional Arabic" w:cs="Traditional Arabic"/>
          <w:sz w:val="30"/>
          <w:szCs w:val="30"/>
          <w:rtl/>
        </w:rPr>
        <w:t>كية في عدن في عام 2000 والسفارة الأم</w:t>
      </w:r>
      <w:r w:rsidR="00224F6E" w:rsidRPr="00895CED">
        <w:rPr>
          <w:rFonts w:ascii="Traditional Arabic" w:hAnsi="Traditional Arabic" w:cs="Traditional Arabic"/>
          <w:sz w:val="30"/>
          <w:szCs w:val="30"/>
          <w:rtl/>
        </w:rPr>
        <w:t>ي</w:t>
      </w:r>
      <w:r w:rsidRPr="00895CED">
        <w:rPr>
          <w:rFonts w:ascii="Traditional Arabic" w:hAnsi="Traditional Arabic" w:cs="Traditional Arabic"/>
          <w:sz w:val="30"/>
          <w:szCs w:val="30"/>
          <w:rtl/>
        </w:rPr>
        <w:t>ركية في صنعاء</w:t>
      </w:r>
      <w:r w:rsidR="00224F6E" w:rsidRPr="00895CED">
        <w:rPr>
          <w:rFonts w:ascii="Traditional Arabic" w:hAnsi="Traditional Arabic" w:cs="Traditional Arabic"/>
          <w:sz w:val="30"/>
          <w:szCs w:val="30"/>
          <w:rtl/>
        </w:rPr>
        <w:t xml:space="preserve"> في عام 2008 (من بين أمور أخرى)</w:t>
      </w:r>
      <w:r w:rsidRPr="00895CED">
        <w:rPr>
          <w:rFonts w:ascii="Traditional Arabic" w:hAnsi="Traditional Arabic" w:cs="Traditional Arabic"/>
          <w:sz w:val="30"/>
          <w:szCs w:val="30"/>
          <w:rtl/>
        </w:rPr>
        <w:t>، مع أعضاء القاعدة الذين انتقلوا إلى اليمن من المملكة العر</w:t>
      </w:r>
      <w:r w:rsidR="00224F6E" w:rsidRPr="00895CED">
        <w:rPr>
          <w:rFonts w:ascii="Traditional Arabic" w:hAnsi="Traditional Arabic" w:cs="Traditional Arabic"/>
          <w:sz w:val="30"/>
          <w:szCs w:val="30"/>
          <w:rtl/>
        </w:rPr>
        <w:t>بية السعودية لتشكيل منظمة جديدة هي</w:t>
      </w:r>
      <w:r w:rsidRPr="00895CED">
        <w:rPr>
          <w:rFonts w:ascii="Traditional Arabic" w:hAnsi="Traditional Arabic" w:cs="Traditional Arabic"/>
          <w:sz w:val="30"/>
          <w:szCs w:val="30"/>
          <w:rtl/>
        </w:rPr>
        <w:t xml:space="preserve"> القاعدة في شبه الجزيرة العربية</w:t>
      </w:r>
      <w:r w:rsidR="00224F6E" w:rsidRPr="00895CED">
        <w:rPr>
          <w:rFonts w:ascii="Traditional Arabic" w:hAnsi="Traditional Arabic" w:cs="Traditional Arabic"/>
          <w:sz w:val="30"/>
          <w:szCs w:val="30"/>
        </w:rPr>
        <w:t xml:space="preserve"> (AQAP)</w:t>
      </w:r>
      <w:r w:rsidR="00224F6E" w:rsidRPr="00895CED">
        <w:rPr>
          <w:rFonts w:ascii="Traditional Arabic" w:hAnsi="Traditional Arabic" w:cs="Traditional Arabic"/>
          <w:sz w:val="30"/>
          <w:szCs w:val="30"/>
          <w:rtl/>
        </w:rPr>
        <w:t>، والتي عُرفت</w:t>
      </w:r>
      <w:r w:rsidRPr="00895CED">
        <w:rPr>
          <w:rFonts w:ascii="Traditional Arabic" w:hAnsi="Traditional Arabic" w:cs="Traditional Arabic"/>
          <w:sz w:val="30"/>
          <w:szCs w:val="30"/>
          <w:rtl/>
        </w:rPr>
        <w:t xml:space="preserve"> لاحقًا باسم أنصار الشريعة</w:t>
      </w:r>
      <w:r w:rsidR="00224F6E" w:rsidRPr="00895CED">
        <w:rPr>
          <w:rStyle w:val="FootnoteReference"/>
          <w:rFonts w:ascii="Traditional Arabic" w:hAnsi="Traditional Arabic" w:cs="Traditional Arabic"/>
          <w:sz w:val="30"/>
          <w:szCs w:val="30"/>
        </w:rPr>
        <w:footnoteReference w:id="82"/>
      </w:r>
      <w:r w:rsidRPr="00895CED">
        <w:rPr>
          <w:rFonts w:ascii="Traditional Arabic" w:hAnsi="Traditional Arabic" w:cs="Traditional Arabic"/>
          <w:sz w:val="30"/>
          <w:szCs w:val="30"/>
          <w:rtl/>
        </w:rPr>
        <w:t>. ت</w:t>
      </w:r>
      <w:r w:rsidR="00224F6E" w:rsidRPr="00895CED">
        <w:rPr>
          <w:rFonts w:ascii="Traditional Arabic" w:hAnsi="Traditional Arabic" w:cs="Traditional Arabic"/>
          <w:sz w:val="30"/>
          <w:szCs w:val="30"/>
          <w:rtl/>
        </w:rPr>
        <w:t>كثفت العمليات ضد المجموعة من جانب</w:t>
      </w:r>
      <w:r w:rsidRPr="00895CED">
        <w:rPr>
          <w:rFonts w:ascii="Traditional Arabic" w:hAnsi="Traditional Arabic" w:cs="Traditional Arabic"/>
          <w:sz w:val="30"/>
          <w:szCs w:val="30"/>
          <w:rtl/>
        </w:rPr>
        <w:t xml:space="preserve"> قوات الولايات المتحدة بالتعاون مع الحكومة اليمنية منذ ذلك الوقت</w:t>
      </w:r>
      <w:r w:rsidRPr="00895CED">
        <w:rPr>
          <w:rFonts w:ascii="Traditional Arabic" w:hAnsi="Traditional Arabic" w:cs="Traditional Arabic"/>
          <w:sz w:val="30"/>
          <w:szCs w:val="30"/>
        </w:rPr>
        <w:t>.</w:t>
      </w:r>
    </w:p>
    <w:p w14:paraId="20483A89" w14:textId="1B80FBCA" w:rsidR="003B64C6" w:rsidRPr="00895CED" w:rsidRDefault="00EF030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م</w:t>
      </w:r>
      <w:r w:rsidR="003B64C6" w:rsidRPr="00895CED">
        <w:rPr>
          <w:rFonts w:ascii="Traditional Arabic" w:hAnsi="Traditional Arabic" w:cs="Traditional Arabic"/>
          <w:sz w:val="30"/>
          <w:szCs w:val="30"/>
          <w:rtl/>
        </w:rPr>
        <w:t xml:space="preserve">ع وصول "الربيع العربي" للثورات الشعبية في الشرق الأوسط وشمال إفريقيا إلى اليمن في </w:t>
      </w:r>
      <w:r w:rsidRPr="00895CED">
        <w:rPr>
          <w:rFonts w:ascii="Traditional Arabic" w:hAnsi="Traditional Arabic" w:cs="Traditional Arabic"/>
          <w:sz w:val="30"/>
          <w:szCs w:val="30"/>
          <w:rtl/>
        </w:rPr>
        <w:t>كانون الثاني/ يناير 2011</w:t>
      </w:r>
      <w:r w:rsidR="003B64C6" w:rsidRPr="00895CED">
        <w:rPr>
          <w:rFonts w:ascii="Traditional Arabic" w:hAnsi="Traditional Arabic" w:cs="Traditional Arabic"/>
          <w:sz w:val="30"/>
          <w:szCs w:val="30"/>
          <w:rtl/>
        </w:rPr>
        <w:t>، خرج المتظاهرون إلى الشوارع، مطالبين بإقالة الرئيس صالح. رغم أن الاحتجاجات كانت سلمية في البداية، است</w:t>
      </w:r>
      <w:r w:rsidRPr="00895CED">
        <w:rPr>
          <w:rFonts w:ascii="Traditional Arabic" w:hAnsi="Traditional Arabic" w:cs="Traditional Arabic"/>
          <w:sz w:val="30"/>
          <w:szCs w:val="30"/>
          <w:rtl/>
        </w:rPr>
        <w:t>ُ</w:t>
      </w:r>
      <w:r w:rsidR="003B64C6" w:rsidRPr="00895CED">
        <w:rPr>
          <w:rFonts w:ascii="Traditional Arabic" w:hAnsi="Traditional Arabic" w:cs="Traditional Arabic"/>
          <w:sz w:val="30"/>
          <w:szCs w:val="30"/>
          <w:rtl/>
        </w:rPr>
        <w:t xml:space="preserve">خدمت </w:t>
      </w:r>
      <w:r w:rsidRPr="00895CED">
        <w:rPr>
          <w:rFonts w:ascii="Traditional Arabic" w:hAnsi="Traditional Arabic" w:cs="Traditional Arabic"/>
          <w:sz w:val="30"/>
          <w:szCs w:val="30"/>
          <w:rtl/>
        </w:rPr>
        <w:t xml:space="preserve">القوة </w:t>
      </w:r>
      <w:r w:rsidR="003B64C6" w:rsidRPr="00895CED">
        <w:rPr>
          <w:rFonts w:ascii="Traditional Arabic" w:hAnsi="Traditional Arabic" w:cs="Traditional Arabic"/>
          <w:sz w:val="30"/>
          <w:szCs w:val="30"/>
          <w:rtl/>
        </w:rPr>
        <w:t xml:space="preserve">للسيطرة عليها، بما في ذلك إطلاق النار على المتظاهرين. </w:t>
      </w:r>
      <w:r w:rsidRPr="00895CED">
        <w:rPr>
          <w:rFonts w:ascii="Traditional Arabic" w:hAnsi="Traditional Arabic" w:cs="Traditional Arabic"/>
          <w:sz w:val="30"/>
          <w:szCs w:val="30"/>
          <w:rtl/>
        </w:rPr>
        <w:t xml:space="preserve">وفيما </w:t>
      </w:r>
      <w:r w:rsidR="003B64C6" w:rsidRPr="00895CED">
        <w:rPr>
          <w:rFonts w:ascii="Traditional Arabic" w:hAnsi="Traditional Arabic" w:cs="Traditional Arabic"/>
          <w:sz w:val="30"/>
          <w:szCs w:val="30"/>
          <w:rtl/>
        </w:rPr>
        <w:t>حاول مجلس التعاون الخليجي</w:t>
      </w:r>
      <w:r w:rsidR="003B64C6" w:rsidRPr="00895CED">
        <w:rPr>
          <w:rFonts w:ascii="Traditional Arabic" w:hAnsi="Traditional Arabic" w:cs="Traditional Arabic"/>
          <w:sz w:val="30"/>
          <w:szCs w:val="30"/>
        </w:rPr>
        <w:t xml:space="preserve"> (GCC) </w:t>
      </w:r>
      <w:r w:rsidRPr="00895CED">
        <w:rPr>
          <w:rFonts w:ascii="Traditional Arabic" w:hAnsi="Traditional Arabic" w:cs="Traditional Arabic"/>
          <w:sz w:val="30"/>
          <w:szCs w:val="30"/>
          <w:rtl/>
        </w:rPr>
        <w:t>التوسط لعقد</w:t>
      </w:r>
      <w:r w:rsidR="003B64C6" w:rsidRPr="00895CED">
        <w:rPr>
          <w:rFonts w:ascii="Traditional Arabic" w:hAnsi="Traditional Arabic" w:cs="Traditional Arabic"/>
          <w:sz w:val="30"/>
          <w:szCs w:val="30"/>
          <w:rtl/>
        </w:rPr>
        <w:t xml:space="preserve"> صفقة ل</w:t>
      </w:r>
      <w:r w:rsidRPr="00895CED">
        <w:rPr>
          <w:rFonts w:ascii="Traditional Arabic" w:hAnsi="Traditional Arabic" w:cs="Traditional Arabic"/>
          <w:sz w:val="30"/>
          <w:szCs w:val="30"/>
          <w:rtl/>
        </w:rPr>
        <w:t>رحيل</w:t>
      </w:r>
      <w:r w:rsidR="003B64C6" w:rsidRPr="00895CED">
        <w:rPr>
          <w:rFonts w:ascii="Traditional Arabic" w:hAnsi="Traditional Arabic" w:cs="Traditional Arabic"/>
          <w:sz w:val="30"/>
          <w:szCs w:val="30"/>
          <w:rtl/>
        </w:rPr>
        <w:t xml:space="preserve"> صالح، تطورت الاحتجاجات غير العنيفة إلى معارضة متفرقة من النشطاء والأح</w:t>
      </w:r>
      <w:r w:rsidRPr="00895CED">
        <w:rPr>
          <w:rFonts w:ascii="Traditional Arabic" w:hAnsi="Traditional Arabic" w:cs="Traditional Arabic"/>
          <w:sz w:val="30"/>
          <w:szCs w:val="30"/>
          <w:rtl/>
        </w:rPr>
        <w:t>زاب السياسية بما في ذلك الإصلاح</w:t>
      </w:r>
      <w:r w:rsidR="003B64C6" w:rsidRPr="00895CED">
        <w:rPr>
          <w:rFonts w:ascii="Traditional Arabic" w:hAnsi="Traditional Arabic" w:cs="Traditional Arabic"/>
          <w:sz w:val="30"/>
          <w:szCs w:val="30"/>
          <w:rtl/>
        </w:rPr>
        <w:t>، والجماعات المسلحة، مثل الحوثيين والحراك الجنوب</w:t>
      </w:r>
      <w:r w:rsidRPr="00895CED">
        <w:rPr>
          <w:rFonts w:ascii="Traditional Arabic" w:hAnsi="Traditional Arabic" w:cs="Traditional Arabic"/>
          <w:sz w:val="30"/>
          <w:szCs w:val="30"/>
          <w:rtl/>
        </w:rPr>
        <w:t>ي والقاعدة في شبه الجزيرة العربية. و</w:t>
      </w:r>
      <w:r w:rsidR="003B64C6" w:rsidRPr="00895CED">
        <w:rPr>
          <w:rFonts w:ascii="Traditional Arabic" w:hAnsi="Traditional Arabic" w:cs="Traditional Arabic"/>
          <w:sz w:val="30"/>
          <w:szCs w:val="30"/>
          <w:rtl/>
        </w:rPr>
        <w:t xml:space="preserve">استقال صالح من </w:t>
      </w:r>
      <w:r w:rsidR="003B64C6" w:rsidRPr="00895CED">
        <w:rPr>
          <w:rFonts w:ascii="Traditional Arabic" w:hAnsi="Traditional Arabic" w:cs="Traditional Arabic"/>
          <w:sz w:val="30"/>
          <w:szCs w:val="30"/>
          <w:rtl/>
        </w:rPr>
        <w:lastRenderedPageBreak/>
        <w:t>منصبه بعد التوقيع على اتفاق دول مجلس ال</w:t>
      </w:r>
      <w:r w:rsidRPr="00895CED">
        <w:rPr>
          <w:rFonts w:ascii="Traditional Arabic" w:hAnsi="Traditional Arabic" w:cs="Traditional Arabic"/>
          <w:sz w:val="30"/>
          <w:szCs w:val="30"/>
          <w:rtl/>
        </w:rPr>
        <w:t>تعاون الخليجي الذي منحه الحصانة</w:t>
      </w:r>
      <w:r w:rsidR="003B64C6" w:rsidRPr="00895CED">
        <w:rPr>
          <w:rFonts w:ascii="Traditional Arabic" w:hAnsi="Traditional Arabic" w:cs="Traditional Arabic"/>
          <w:sz w:val="30"/>
          <w:szCs w:val="30"/>
          <w:rtl/>
        </w:rPr>
        <w:t>، و</w:t>
      </w:r>
      <w:r w:rsidRPr="00895CED">
        <w:rPr>
          <w:rFonts w:ascii="Traditional Arabic" w:hAnsi="Traditional Arabic" w:cs="Traditional Arabic"/>
          <w:sz w:val="30"/>
          <w:szCs w:val="30"/>
          <w:rtl/>
        </w:rPr>
        <w:t>ا</w:t>
      </w:r>
      <w:r w:rsidR="003B64C6"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ت</w:t>
      </w:r>
      <w:r w:rsidR="003B64C6" w:rsidRPr="00895CED">
        <w:rPr>
          <w:rFonts w:ascii="Traditional Arabic" w:hAnsi="Traditional Arabic" w:cs="Traditional Arabic"/>
          <w:sz w:val="30"/>
          <w:szCs w:val="30"/>
          <w:rtl/>
        </w:rPr>
        <w:t>قل</w:t>
      </w:r>
      <w:r w:rsidRPr="00895CED">
        <w:rPr>
          <w:rFonts w:ascii="Traditional Arabic" w:hAnsi="Traditional Arabic" w:cs="Traditional Arabic"/>
          <w:sz w:val="30"/>
          <w:szCs w:val="30"/>
          <w:rtl/>
        </w:rPr>
        <w:t>ت</w:t>
      </w:r>
      <w:r w:rsidR="003B64C6" w:rsidRPr="00895CED">
        <w:rPr>
          <w:rFonts w:ascii="Traditional Arabic" w:hAnsi="Traditional Arabic" w:cs="Traditional Arabic"/>
          <w:sz w:val="30"/>
          <w:szCs w:val="30"/>
          <w:rtl/>
        </w:rPr>
        <w:t xml:space="preserve"> السلطة إلى نائب</w:t>
      </w:r>
      <w:r w:rsidR="00CD2613" w:rsidRPr="00895CED">
        <w:rPr>
          <w:rFonts w:ascii="Traditional Arabic" w:hAnsi="Traditional Arabic" w:cs="Traditional Arabic"/>
          <w:sz w:val="30"/>
          <w:szCs w:val="30"/>
          <w:rtl/>
        </w:rPr>
        <w:t>ه</w:t>
      </w:r>
      <w:r w:rsidR="003B64C6" w:rsidRPr="00895CED">
        <w:rPr>
          <w:rFonts w:ascii="Traditional Arabic" w:hAnsi="Traditional Arabic" w:cs="Traditional Arabic"/>
          <w:sz w:val="30"/>
          <w:szCs w:val="30"/>
          <w:rtl/>
        </w:rPr>
        <w:t xml:space="preserve"> الرئيس هادي. لم يقبل الحوثيون والجماعات الأخرى </w:t>
      </w:r>
      <w:r w:rsidRPr="00895CED">
        <w:rPr>
          <w:rFonts w:ascii="Traditional Arabic" w:hAnsi="Traditional Arabic" w:cs="Traditional Arabic"/>
          <w:sz w:val="30"/>
          <w:szCs w:val="30"/>
          <w:rtl/>
        </w:rPr>
        <w:t>ب</w:t>
      </w:r>
      <w:r w:rsidR="003B64C6" w:rsidRPr="00895CED">
        <w:rPr>
          <w:rFonts w:ascii="Traditional Arabic" w:hAnsi="Traditional Arabic" w:cs="Traditional Arabic"/>
          <w:sz w:val="30"/>
          <w:szCs w:val="30"/>
          <w:rtl/>
        </w:rPr>
        <w:t xml:space="preserve">هذا الترتيب. </w:t>
      </w:r>
      <w:r w:rsidRPr="00895CED">
        <w:rPr>
          <w:rFonts w:ascii="Traditional Arabic" w:hAnsi="Traditional Arabic" w:cs="Traditional Arabic"/>
          <w:sz w:val="30"/>
          <w:szCs w:val="30"/>
          <w:rtl/>
        </w:rPr>
        <w:t>و</w:t>
      </w:r>
      <w:r w:rsidR="003B64C6" w:rsidRPr="00895CED">
        <w:rPr>
          <w:rFonts w:ascii="Traditional Arabic" w:hAnsi="Traditional Arabic" w:cs="Traditional Arabic"/>
          <w:sz w:val="30"/>
          <w:szCs w:val="30"/>
          <w:rtl/>
        </w:rPr>
        <w:t xml:space="preserve">فاز نائب الرئيس هادي في انتخابات رئاسية </w:t>
      </w:r>
      <w:r w:rsidR="00334999" w:rsidRPr="00895CED">
        <w:rPr>
          <w:rFonts w:ascii="Traditional Arabic" w:hAnsi="Traditional Arabic" w:cs="Traditional Arabic"/>
          <w:sz w:val="30"/>
          <w:szCs w:val="30"/>
          <w:rtl/>
        </w:rPr>
        <w:t>بالتزكيه</w:t>
      </w:r>
      <w:r w:rsidR="003B64C6" w:rsidRPr="00895CED">
        <w:rPr>
          <w:rFonts w:ascii="Traditional Arabic" w:hAnsi="Traditional Arabic" w:cs="Traditional Arabic"/>
          <w:sz w:val="30"/>
          <w:szCs w:val="30"/>
          <w:rtl/>
        </w:rPr>
        <w:t xml:space="preserve"> في </w:t>
      </w:r>
      <w:r w:rsidRPr="00895CED">
        <w:rPr>
          <w:rFonts w:ascii="Traditional Arabic" w:hAnsi="Traditional Arabic" w:cs="Traditional Arabic"/>
          <w:sz w:val="30"/>
          <w:szCs w:val="30"/>
          <w:rtl/>
        </w:rPr>
        <w:t>شباط/ فبراير 2012</w:t>
      </w:r>
      <w:r w:rsidR="003B64C6" w:rsidRPr="00895CED">
        <w:rPr>
          <w:rFonts w:ascii="Traditional Arabic" w:hAnsi="Traditional Arabic" w:cs="Traditional Arabic"/>
          <w:sz w:val="30"/>
          <w:szCs w:val="30"/>
          <w:rtl/>
        </w:rPr>
        <w:t xml:space="preserve">، منهياً </w:t>
      </w:r>
      <w:r w:rsidRPr="00895CED">
        <w:rPr>
          <w:rFonts w:ascii="Traditional Arabic" w:hAnsi="Traditional Arabic" w:cs="Traditional Arabic"/>
          <w:sz w:val="30"/>
          <w:szCs w:val="30"/>
          <w:rtl/>
        </w:rPr>
        <w:t xml:space="preserve">بذلك </w:t>
      </w:r>
      <w:r w:rsidR="003B64C6" w:rsidRPr="00895CED">
        <w:rPr>
          <w:rFonts w:ascii="Traditional Arabic" w:hAnsi="Traditional Arabic" w:cs="Traditional Arabic"/>
          <w:sz w:val="30"/>
          <w:szCs w:val="30"/>
          <w:rtl/>
        </w:rPr>
        <w:t xml:space="preserve">حكم صالح </w:t>
      </w:r>
      <w:r w:rsidRPr="00895CED">
        <w:rPr>
          <w:rFonts w:ascii="Traditional Arabic" w:hAnsi="Traditional Arabic" w:cs="Traditional Arabic"/>
          <w:sz w:val="30"/>
          <w:szCs w:val="30"/>
          <w:rtl/>
        </w:rPr>
        <w:t xml:space="preserve">الذي دام </w:t>
      </w:r>
      <w:r w:rsidR="003B64C6" w:rsidRPr="00895CED">
        <w:rPr>
          <w:rFonts w:ascii="Traditional Arabic" w:hAnsi="Traditional Arabic" w:cs="Traditional Arabic"/>
          <w:sz w:val="30"/>
          <w:szCs w:val="30"/>
          <w:rtl/>
        </w:rPr>
        <w:t>33 عامًا</w:t>
      </w:r>
      <w:r w:rsidR="003B64C6" w:rsidRPr="00895CED">
        <w:rPr>
          <w:rFonts w:ascii="Traditional Arabic" w:hAnsi="Traditional Arabic" w:cs="Traditional Arabic"/>
          <w:sz w:val="30"/>
          <w:szCs w:val="30"/>
        </w:rPr>
        <w:t>.</w:t>
      </w:r>
      <w:r w:rsidRPr="00895CED">
        <w:rPr>
          <w:rStyle w:val="FootnoteReference"/>
          <w:rFonts w:ascii="Traditional Arabic" w:hAnsi="Traditional Arabic" w:cs="Traditional Arabic"/>
          <w:color w:val="000000"/>
          <w:sz w:val="30"/>
          <w:szCs w:val="30"/>
          <w:shd w:val="clear" w:color="auto" w:fill="FFFFFF"/>
        </w:rPr>
        <w:t xml:space="preserve"> </w:t>
      </w:r>
    </w:p>
    <w:p w14:paraId="1FE2D55E" w14:textId="2CA74D85"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EF030F" w:rsidRPr="00895CED">
        <w:rPr>
          <w:rFonts w:ascii="Traditional Arabic" w:hAnsi="Traditional Arabic" w:cs="Traditional Arabic"/>
          <w:sz w:val="30"/>
          <w:szCs w:val="30"/>
          <w:rtl/>
        </w:rPr>
        <w:t>كانون الأول/ ديسمبر 2012</w:t>
      </w:r>
      <w:r w:rsidRPr="00895CED">
        <w:rPr>
          <w:rFonts w:ascii="Traditional Arabic" w:hAnsi="Traditional Arabic" w:cs="Traditional Arabic"/>
          <w:sz w:val="30"/>
          <w:szCs w:val="30"/>
          <w:rtl/>
        </w:rPr>
        <w:t>، بدأ الرئيس هادي محاولات لإعادة هيكلة المؤسسات العسكرية والأمنية، وطرد العديد من أقارب صالح</w:t>
      </w:r>
      <w:r w:rsidR="00EF030F" w:rsidRPr="00895CED">
        <w:rPr>
          <w:rFonts w:ascii="Traditional Arabic" w:hAnsi="Traditional Arabic" w:cs="Traditional Arabic"/>
          <w:sz w:val="30"/>
          <w:szCs w:val="30"/>
          <w:rtl/>
        </w:rPr>
        <w:t>، ب</w:t>
      </w:r>
      <w:r w:rsidRPr="00895CED">
        <w:rPr>
          <w:rFonts w:ascii="Traditional Arabic" w:hAnsi="Traditional Arabic" w:cs="Traditional Arabic"/>
          <w:sz w:val="30"/>
          <w:szCs w:val="30"/>
          <w:rtl/>
        </w:rPr>
        <w:t>ي</w:t>
      </w:r>
      <w:r w:rsidR="00EF030F" w:rsidRPr="00895CED">
        <w:rPr>
          <w:rFonts w:ascii="Traditional Arabic" w:hAnsi="Traditional Arabic" w:cs="Traditional Arabic"/>
          <w:sz w:val="30"/>
          <w:szCs w:val="30"/>
          <w:rtl/>
        </w:rPr>
        <w:t>ن</w:t>
      </w:r>
      <w:r w:rsidRPr="00895CED">
        <w:rPr>
          <w:rFonts w:ascii="Traditional Arabic" w:hAnsi="Traditional Arabic" w:cs="Traditional Arabic"/>
          <w:sz w:val="30"/>
          <w:szCs w:val="30"/>
          <w:rtl/>
        </w:rPr>
        <w:t>هم نجله أحمد، قائد الحرس الجمهوري الذي تم إعداده</w:t>
      </w:r>
      <w:r w:rsidR="00EF030F" w:rsidRPr="00895CED">
        <w:rPr>
          <w:rFonts w:ascii="Traditional Arabic" w:hAnsi="Traditional Arabic" w:cs="Traditional Arabic"/>
          <w:sz w:val="30"/>
          <w:szCs w:val="30"/>
          <w:rtl/>
        </w:rPr>
        <w:t xml:space="preserve"> ليكون </w:t>
      </w:r>
      <w:r w:rsidRPr="00895CED">
        <w:rPr>
          <w:rFonts w:ascii="Traditional Arabic" w:hAnsi="Traditional Arabic" w:cs="Traditional Arabic"/>
          <w:sz w:val="30"/>
          <w:szCs w:val="30"/>
          <w:rtl/>
        </w:rPr>
        <w:t xml:space="preserve">خليفة له، وعلي محسن الأحمر، قائد </w:t>
      </w:r>
      <w:r w:rsidR="00EF030F"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لفرقة المدر</w:t>
      </w:r>
      <w:r w:rsidR="00EF030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عة الأولى</w:t>
      </w:r>
      <w:r w:rsidR="00EF030F" w:rsidRPr="00895CED">
        <w:rPr>
          <w:rStyle w:val="FootnoteReference"/>
          <w:rFonts w:ascii="Traditional Arabic" w:hAnsi="Traditional Arabic" w:cs="Traditional Arabic"/>
          <w:color w:val="000000"/>
          <w:sz w:val="30"/>
          <w:szCs w:val="30"/>
          <w:shd w:val="clear" w:color="auto" w:fill="FFFFFF"/>
        </w:rPr>
        <w:footnoteReference w:id="83"/>
      </w:r>
      <w:r w:rsidRPr="00895CED">
        <w:rPr>
          <w:rFonts w:ascii="Traditional Arabic" w:hAnsi="Traditional Arabic" w:cs="Traditional Arabic"/>
          <w:sz w:val="30"/>
          <w:szCs w:val="30"/>
          <w:rtl/>
        </w:rPr>
        <w:t xml:space="preserve">. قام الرئيس هادي بحل الحرس الجمهوري وقوات الأمن المركزي. </w:t>
      </w:r>
      <w:r w:rsidR="00EF030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قاوم الضباط الموالون لصالح الهيكل</w:t>
      </w:r>
      <w:r w:rsidR="00EF030F" w:rsidRPr="00895CED">
        <w:rPr>
          <w:rFonts w:ascii="Traditional Arabic" w:hAnsi="Traditional Arabic" w:cs="Traditional Arabic"/>
          <w:sz w:val="30"/>
          <w:szCs w:val="30"/>
          <w:rtl/>
        </w:rPr>
        <w:t>ية</w:t>
      </w:r>
      <w:r w:rsidRPr="00895CED">
        <w:rPr>
          <w:rFonts w:ascii="Traditional Arabic" w:hAnsi="Traditional Arabic" w:cs="Traditional Arabic"/>
          <w:sz w:val="30"/>
          <w:szCs w:val="30"/>
          <w:rtl/>
        </w:rPr>
        <w:t xml:space="preserve"> الجديد</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w:t>
      </w:r>
      <w:r w:rsidR="00EF030F" w:rsidRPr="00895CED">
        <w:rPr>
          <w:rFonts w:ascii="Traditional Arabic" w:hAnsi="Traditional Arabic" w:cs="Traditional Arabic"/>
          <w:sz w:val="30"/>
          <w:szCs w:val="30"/>
          <w:rtl/>
        </w:rPr>
        <w:t>وبقيت</w:t>
      </w:r>
      <w:r w:rsidRPr="00895CED">
        <w:rPr>
          <w:rFonts w:ascii="Traditional Arabic" w:hAnsi="Traditional Arabic" w:cs="Traditional Arabic"/>
          <w:sz w:val="30"/>
          <w:szCs w:val="30"/>
          <w:rtl/>
        </w:rPr>
        <w:t xml:space="preserve"> الوحدات المرتبطة بصالح القوة المهيمنة على الأرض من صنعاء إلى عدن</w:t>
      </w:r>
      <w:r w:rsidR="00EF030F" w:rsidRPr="00895CED">
        <w:rPr>
          <w:rStyle w:val="FootnoteReference"/>
          <w:rFonts w:ascii="Traditional Arabic" w:hAnsi="Traditional Arabic" w:cs="Traditional Arabic"/>
          <w:color w:val="000000"/>
          <w:sz w:val="30"/>
          <w:szCs w:val="30"/>
          <w:shd w:val="clear" w:color="auto" w:fill="FFFFFF"/>
        </w:rPr>
        <w:footnoteReference w:id="84"/>
      </w:r>
      <w:r w:rsidRPr="00895CED">
        <w:rPr>
          <w:rFonts w:ascii="Traditional Arabic" w:hAnsi="Traditional Arabic" w:cs="Traditional Arabic"/>
          <w:sz w:val="30"/>
          <w:szCs w:val="30"/>
        </w:rPr>
        <w:t>.</w:t>
      </w:r>
    </w:p>
    <w:p w14:paraId="1542E179" w14:textId="42DDDFFE"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بناءً على طلب مجلس الأمن التابع للأمم المتحدة، أن</w:t>
      </w:r>
      <w:r w:rsidR="00EF030F" w:rsidRPr="00895CED">
        <w:rPr>
          <w:rFonts w:ascii="Traditional Arabic" w:hAnsi="Traditional Arabic" w:cs="Traditional Arabic"/>
          <w:sz w:val="30"/>
          <w:szCs w:val="30"/>
          <w:rtl/>
        </w:rPr>
        <w:t>شأ الأمين العام في عام 2012 بعثة</w:t>
      </w:r>
      <w:r w:rsidRPr="00895CED">
        <w:rPr>
          <w:rFonts w:ascii="Traditional Arabic" w:hAnsi="Traditional Arabic" w:cs="Traditional Arabic"/>
          <w:sz w:val="30"/>
          <w:szCs w:val="30"/>
          <w:rtl/>
        </w:rPr>
        <w:t xml:space="preserve"> سياسية خاصة لليمن ترك</w:t>
      </w:r>
      <w:r w:rsidR="00EF030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ز على دعم العودة إلى </w:t>
      </w:r>
      <w:r w:rsidR="00EF030F" w:rsidRPr="00895CED">
        <w:rPr>
          <w:rFonts w:ascii="Traditional Arabic" w:hAnsi="Traditional Arabic" w:cs="Traditional Arabic"/>
          <w:sz w:val="30"/>
          <w:szCs w:val="30"/>
          <w:rtl/>
        </w:rPr>
        <w:t xml:space="preserve">عملية </w:t>
      </w:r>
      <w:r w:rsidRPr="00895CED">
        <w:rPr>
          <w:rFonts w:ascii="Traditional Arabic" w:hAnsi="Traditional Arabic" w:cs="Traditional Arabic"/>
          <w:sz w:val="30"/>
          <w:szCs w:val="30"/>
          <w:rtl/>
        </w:rPr>
        <w:t>انتقال</w:t>
      </w:r>
      <w:r w:rsidR="00EF030F" w:rsidRPr="00895CED">
        <w:rPr>
          <w:rFonts w:ascii="Traditional Arabic" w:hAnsi="Traditional Arabic" w:cs="Traditional Arabic"/>
          <w:sz w:val="30"/>
          <w:szCs w:val="30"/>
          <w:rtl/>
        </w:rPr>
        <w:t>ية</w:t>
      </w:r>
      <w:r w:rsidRPr="00895CED">
        <w:rPr>
          <w:rFonts w:ascii="Traditional Arabic" w:hAnsi="Traditional Arabic" w:cs="Traditional Arabic"/>
          <w:sz w:val="30"/>
          <w:szCs w:val="30"/>
          <w:rtl/>
        </w:rPr>
        <w:t xml:space="preserve"> سياسي</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سلمي</w:t>
      </w:r>
      <w:r w:rsidR="00EF030F" w:rsidRPr="00895CED">
        <w:rPr>
          <w:rFonts w:ascii="Traditional Arabic" w:hAnsi="Traditional Arabic" w:cs="Traditional Arabic"/>
          <w:sz w:val="30"/>
          <w:szCs w:val="30"/>
          <w:rtl/>
        </w:rPr>
        <w:t>ة</w:t>
      </w:r>
      <w:r w:rsidRPr="00895CED">
        <w:rPr>
          <w:rFonts w:ascii="Traditional Arabic" w:hAnsi="Traditional Arabic" w:cs="Traditional Arabic"/>
          <w:sz w:val="30"/>
          <w:szCs w:val="30"/>
          <w:rtl/>
        </w:rPr>
        <w:t xml:space="preserve">. تم تعيين جمال بنعمر، </w:t>
      </w:r>
      <w:r w:rsidR="00EF030F" w:rsidRPr="00895CED">
        <w:rPr>
          <w:rFonts w:ascii="Traditional Arabic" w:hAnsi="Traditional Arabic" w:cs="Traditional Arabic"/>
          <w:sz w:val="30"/>
          <w:szCs w:val="30"/>
          <w:rtl/>
        </w:rPr>
        <w:t xml:space="preserve">وهو </w:t>
      </w:r>
      <w:r w:rsidRPr="00895CED">
        <w:rPr>
          <w:rFonts w:ascii="Traditional Arabic" w:hAnsi="Traditional Arabic" w:cs="Traditional Arabic"/>
          <w:sz w:val="30"/>
          <w:szCs w:val="30"/>
          <w:rtl/>
        </w:rPr>
        <w:t xml:space="preserve">مسؤول بريطاني مغربي في الأمم المتحدة ، كمبعوث خاص للأمين العام إلى اليمن </w:t>
      </w:r>
      <w:r w:rsidR="00EF030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قا</w:t>
      </w:r>
      <w:r w:rsidR="00EF030F" w:rsidRPr="00895CED">
        <w:rPr>
          <w:rFonts w:ascii="Traditional Arabic" w:hAnsi="Traditional Arabic" w:cs="Traditional Arabic"/>
          <w:sz w:val="30"/>
          <w:szCs w:val="30"/>
          <w:rtl/>
        </w:rPr>
        <w:t>ئ</w:t>
      </w:r>
      <w:r w:rsidRPr="00895CED">
        <w:rPr>
          <w:rFonts w:ascii="Traditional Arabic" w:hAnsi="Traditional Arabic" w:cs="Traditional Arabic"/>
          <w:sz w:val="30"/>
          <w:szCs w:val="30"/>
          <w:rtl/>
        </w:rPr>
        <w:t xml:space="preserve">د </w:t>
      </w:r>
      <w:r w:rsidR="00EF030F" w:rsidRPr="00895CED">
        <w:rPr>
          <w:rFonts w:ascii="Traditional Arabic" w:hAnsi="Traditional Arabic" w:cs="Traditional Arabic"/>
          <w:sz w:val="30"/>
          <w:szCs w:val="30"/>
          <w:rtl/>
        </w:rPr>
        <w:t>البعثة</w:t>
      </w:r>
      <w:r w:rsidR="00EF030F" w:rsidRPr="00895CED">
        <w:rPr>
          <w:rStyle w:val="FootnoteReference"/>
          <w:rFonts w:ascii="Traditional Arabic" w:hAnsi="Traditional Arabic" w:cs="Traditional Arabic"/>
          <w:sz w:val="30"/>
          <w:szCs w:val="30"/>
        </w:rPr>
        <w:footnoteReference w:id="85"/>
      </w:r>
      <w:r w:rsidRPr="00895CED">
        <w:rPr>
          <w:rFonts w:ascii="Traditional Arabic" w:hAnsi="Traditional Arabic" w:cs="Traditional Arabic"/>
          <w:sz w:val="30"/>
          <w:szCs w:val="30"/>
        </w:rPr>
        <w:t>.</w:t>
      </w:r>
    </w:p>
    <w:p w14:paraId="54E6E8D7" w14:textId="7FB6D957" w:rsidR="0020638A" w:rsidRPr="00895CED" w:rsidRDefault="0020638A"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w:t>
      </w:r>
      <w:r w:rsidRPr="00895CED">
        <w:rPr>
          <w:rFonts w:ascii="Traditional Arabic" w:hAnsi="Traditional Arabic" w:cs="Traditional Arabic"/>
          <w:color w:val="000000"/>
          <w:sz w:val="30"/>
          <w:szCs w:val="30"/>
          <w:shd w:val="clear" w:color="auto" w:fill="FFFFFF"/>
          <w:rtl/>
        </w:rPr>
        <w:t xml:space="preserve"> آذار/ مارس 2013، بدأ مؤتمر الحوار الوطني اليمني الذي نشأ بموجب قرار مجلس الأمن الدولي 2051 (2012) واتفاق مجلس التعاون الخليجي لتمهيد الطريق لعملية انتقالية سياسية سلمية. وشارك خمسمائة وخمس وستون (565) ممثلاً عن الأحزاب السياسية والمجموعات الأخرى بينهم حوثيون وشباب ونساء</w:t>
      </w:r>
      <w:r w:rsidRPr="00895CED">
        <w:rPr>
          <w:rStyle w:val="FootnoteReference"/>
          <w:rFonts w:ascii="Traditional Arabic" w:hAnsi="Traditional Arabic" w:cs="Traditional Arabic"/>
          <w:sz w:val="30"/>
          <w:szCs w:val="30"/>
        </w:rPr>
        <w:footnoteReference w:id="86"/>
      </w:r>
      <w:r w:rsidRPr="00895CED">
        <w:rPr>
          <w:rFonts w:ascii="Traditional Arabic" w:hAnsi="Traditional Arabic" w:cs="Traditional Arabic"/>
          <w:color w:val="000000"/>
          <w:sz w:val="30"/>
          <w:szCs w:val="30"/>
          <w:shd w:val="clear" w:color="auto" w:fill="FFFFFF"/>
          <w:rtl/>
        </w:rPr>
        <w:t>. انتهى مؤتمر الحوار الوطني في 25 كانون الثاني/ يناير 2014 باعتماد وثيقة النتائج التي شكّلت أساساً لدستور جديد. دعت نتائج المؤتمر لتحويل اليمن الى اتحاد مع منح وضع خاص لمدينتَي صنعاء وعدن والعديد من الإصلاحات السياسية والقضائية والعسكرية والأمنية الأخرى.</w:t>
      </w:r>
      <w:r w:rsidRPr="00895CED">
        <w:rPr>
          <w:rStyle w:val="FootnoteReference"/>
          <w:rFonts w:ascii="Traditional Arabic" w:hAnsi="Traditional Arabic" w:cs="Traditional Arabic"/>
          <w:color w:val="000000"/>
          <w:sz w:val="30"/>
          <w:szCs w:val="30"/>
          <w:shd w:val="clear" w:color="auto" w:fill="FFFFFF"/>
        </w:rPr>
        <w:footnoteReference w:id="87"/>
      </w:r>
      <w:r w:rsidRPr="00895CED">
        <w:rPr>
          <w:rFonts w:ascii="Traditional Arabic" w:hAnsi="Traditional Arabic" w:cs="Traditional Arabic"/>
          <w:color w:val="000000"/>
          <w:sz w:val="30"/>
          <w:szCs w:val="30"/>
          <w:shd w:val="clear" w:color="auto" w:fill="FFFFFF"/>
          <w:rtl/>
        </w:rPr>
        <w:t xml:space="preserve"> وقررت لجنة رئاسية أنشأها الرئيس هادي تكوين هيكل اتحادي جديد يقسم اليمن إلى ست </w:t>
      </w:r>
      <w:r w:rsidR="00476198" w:rsidRPr="00895CED">
        <w:rPr>
          <w:rFonts w:ascii="Traditional Arabic" w:hAnsi="Traditional Arabic" w:cs="Traditional Arabic"/>
          <w:color w:val="000000"/>
          <w:sz w:val="30"/>
          <w:szCs w:val="30"/>
          <w:shd w:val="clear" w:color="auto" w:fill="FFFFFF"/>
          <w:rtl/>
        </w:rPr>
        <w:t>أقاليم</w:t>
      </w:r>
      <w:r w:rsidRPr="00895CED">
        <w:rPr>
          <w:rFonts w:ascii="Traditional Arabic" w:hAnsi="Traditional Arabic" w:cs="Traditional Arabic"/>
          <w:color w:val="000000"/>
          <w:sz w:val="30"/>
          <w:szCs w:val="30"/>
          <w:shd w:val="clear" w:color="auto" w:fill="FFFFFF"/>
          <w:rtl/>
        </w:rPr>
        <w:t xml:space="preserve">. احتجّ </w:t>
      </w:r>
      <w:r w:rsidR="00E9705D">
        <w:rPr>
          <w:rFonts w:ascii="Traditional Arabic" w:hAnsi="Traditional Arabic" w:cs="Traditional Arabic" w:hint="cs"/>
          <w:color w:val="000000"/>
          <w:sz w:val="30"/>
          <w:szCs w:val="30"/>
          <w:shd w:val="clear" w:color="auto" w:fill="FFFFFF"/>
          <w:rtl/>
        </w:rPr>
        <w:t>ضد</w:t>
      </w:r>
      <w:r w:rsidRPr="00895CED">
        <w:rPr>
          <w:rFonts w:ascii="Traditional Arabic" w:hAnsi="Traditional Arabic" w:cs="Traditional Arabic"/>
          <w:color w:val="000000"/>
          <w:sz w:val="30"/>
          <w:szCs w:val="30"/>
          <w:shd w:val="clear" w:color="auto" w:fill="FFFFFF"/>
          <w:rtl/>
        </w:rPr>
        <w:t xml:space="preserve"> هذه العملية العديد من الأطراف الذين شعروا أنها تفتقر إلى النقاش والشمول الكافيين، بما في ذلك الجنوبيون الذين أرادوا ترتيباً شمالياً- جنوبياً، وزعماء أنصار الله الذين أشاروا إلى المخاوف من تقسيم الأراضي، مما يقيّد وصولهم إلى الأراضي الساحلية.</w:t>
      </w:r>
    </w:p>
    <w:p w14:paraId="057890AC" w14:textId="605A1388"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lastRenderedPageBreak/>
        <w:t>بدأ</w:t>
      </w:r>
      <w:r w:rsidR="00F406B7" w:rsidRPr="00895CED">
        <w:rPr>
          <w:rFonts w:ascii="Traditional Arabic" w:hAnsi="Traditional Arabic" w:cs="Traditional Arabic"/>
          <w:color w:val="000000"/>
          <w:sz w:val="30"/>
          <w:szCs w:val="30"/>
          <w:shd w:val="clear" w:color="auto" w:fill="FFFFFF"/>
          <w:rtl/>
        </w:rPr>
        <w:t xml:space="preserve"> تصاعد </w:t>
      </w:r>
      <w:r w:rsidRPr="00895CED">
        <w:rPr>
          <w:rFonts w:ascii="Traditional Arabic" w:hAnsi="Traditional Arabic" w:cs="Traditional Arabic"/>
          <w:color w:val="000000"/>
          <w:sz w:val="30"/>
          <w:szCs w:val="30"/>
          <w:shd w:val="clear" w:color="auto" w:fill="FFFFFF"/>
          <w:rtl/>
        </w:rPr>
        <w:t xml:space="preserve">التوترات في </w:t>
      </w:r>
      <w:r w:rsidR="00F406B7" w:rsidRPr="00895CED">
        <w:rPr>
          <w:rFonts w:ascii="Traditional Arabic" w:hAnsi="Traditional Arabic" w:cs="Traditional Arabic"/>
          <w:color w:val="000000"/>
          <w:sz w:val="30"/>
          <w:szCs w:val="30"/>
          <w:shd w:val="clear" w:color="auto" w:fill="FFFFFF"/>
          <w:rtl/>
        </w:rPr>
        <w:t xml:space="preserve">حزيران/ </w:t>
      </w:r>
      <w:r w:rsidRPr="00895CED">
        <w:rPr>
          <w:rFonts w:ascii="Traditional Arabic" w:hAnsi="Traditional Arabic" w:cs="Traditional Arabic"/>
          <w:color w:val="000000"/>
          <w:sz w:val="30"/>
          <w:szCs w:val="30"/>
          <w:shd w:val="clear" w:color="auto" w:fill="FFFFFF"/>
          <w:rtl/>
        </w:rPr>
        <w:t>يونيو و</w:t>
      </w:r>
      <w:r w:rsidR="00F406B7" w:rsidRPr="00895CED">
        <w:rPr>
          <w:rFonts w:ascii="Traditional Arabic" w:hAnsi="Traditional Arabic" w:cs="Traditional Arabic"/>
          <w:color w:val="000000"/>
          <w:sz w:val="30"/>
          <w:szCs w:val="30"/>
          <w:shd w:val="clear" w:color="auto" w:fill="FFFFFF"/>
          <w:rtl/>
        </w:rPr>
        <w:t xml:space="preserve">تموز/ يوليو 2014 عندما </w:t>
      </w:r>
      <w:r w:rsidRPr="00895CED">
        <w:rPr>
          <w:rFonts w:ascii="Traditional Arabic" w:hAnsi="Traditional Arabic" w:cs="Traditional Arabic"/>
          <w:color w:val="000000"/>
          <w:sz w:val="30"/>
          <w:szCs w:val="30"/>
          <w:shd w:val="clear" w:color="auto" w:fill="FFFFFF"/>
          <w:rtl/>
        </w:rPr>
        <w:t>شن</w:t>
      </w:r>
      <w:r w:rsidR="00F406B7" w:rsidRPr="00895CED">
        <w:rPr>
          <w:rFonts w:ascii="Traditional Arabic" w:hAnsi="Traditional Arabic" w:cs="Traditional Arabic"/>
          <w:color w:val="000000"/>
          <w:sz w:val="30"/>
          <w:szCs w:val="30"/>
          <w:shd w:val="clear" w:color="auto" w:fill="FFFFFF"/>
          <w:rtl/>
        </w:rPr>
        <w:t>ّ</w:t>
      </w:r>
      <w:r w:rsidRPr="00895CED">
        <w:rPr>
          <w:rFonts w:ascii="Traditional Arabic" w:hAnsi="Traditional Arabic" w:cs="Traditional Arabic"/>
          <w:color w:val="000000"/>
          <w:sz w:val="30"/>
          <w:szCs w:val="30"/>
          <w:shd w:val="clear" w:color="auto" w:fill="FFFFFF"/>
          <w:rtl/>
        </w:rPr>
        <w:t xml:space="preserve"> </w:t>
      </w:r>
      <w:r w:rsidR="00476198" w:rsidRPr="00895CED">
        <w:rPr>
          <w:rFonts w:ascii="Traditional Arabic" w:hAnsi="Traditional Arabic" w:cs="Traditional Arabic"/>
          <w:color w:val="000000"/>
          <w:sz w:val="30"/>
          <w:szCs w:val="30"/>
          <w:shd w:val="clear" w:color="auto" w:fill="FFFFFF"/>
          <w:rtl/>
        </w:rPr>
        <w:t xml:space="preserve">أعضاء "اللجان الشعبية" (الجماعات المسلحة) الموالية للحوثيين، والقوات المسلحة اليمنية السابقة ورجال القبائل الموالون للرئيس السابق صالح </w:t>
      </w:r>
      <w:r w:rsidR="00F406B7" w:rsidRPr="00895CED">
        <w:rPr>
          <w:rFonts w:ascii="Traditional Arabic" w:hAnsi="Traditional Arabic" w:cs="Traditional Arabic"/>
          <w:color w:val="000000"/>
          <w:sz w:val="30"/>
          <w:szCs w:val="30"/>
          <w:shd w:val="clear" w:color="auto" w:fill="FFFFFF"/>
          <w:rtl/>
        </w:rPr>
        <w:t>هجوماً مسلحاً في محافظة عمران. فبدأت</w:t>
      </w:r>
      <w:r w:rsidRPr="00895CED">
        <w:rPr>
          <w:rFonts w:ascii="Traditional Arabic" w:hAnsi="Traditional Arabic" w:cs="Traditional Arabic"/>
          <w:color w:val="000000"/>
          <w:sz w:val="30"/>
          <w:szCs w:val="30"/>
          <w:shd w:val="clear" w:color="auto" w:fill="FFFFFF"/>
          <w:rtl/>
        </w:rPr>
        <w:t xml:space="preserve"> </w:t>
      </w:r>
      <w:r w:rsidR="00F406B7" w:rsidRPr="00895CED">
        <w:rPr>
          <w:rFonts w:ascii="Traditional Arabic" w:hAnsi="Traditional Arabic" w:cs="Traditional Arabic"/>
          <w:color w:val="000000"/>
          <w:sz w:val="30"/>
          <w:szCs w:val="30"/>
          <w:shd w:val="clear" w:color="auto" w:fill="FFFFFF"/>
          <w:rtl/>
        </w:rPr>
        <w:t xml:space="preserve">فترة </w:t>
      </w:r>
      <w:r w:rsidRPr="00895CED">
        <w:rPr>
          <w:rFonts w:ascii="Traditional Arabic" w:hAnsi="Traditional Arabic" w:cs="Traditional Arabic"/>
          <w:color w:val="000000"/>
          <w:sz w:val="30"/>
          <w:szCs w:val="30"/>
          <w:shd w:val="clear" w:color="auto" w:fill="FFFFFF"/>
          <w:rtl/>
        </w:rPr>
        <w:t>التحالف بين الرئيس السابق صالح والقوات الموالية له والقوات الحوثية واللجان الشعبية التابعة لها (</w:t>
      </w:r>
      <w:r w:rsidR="00476198" w:rsidRPr="00895CED">
        <w:rPr>
          <w:rFonts w:ascii="Traditional Arabic" w:hAnsi="Traditional Arabic" w:cs="Traditional Arabic"/>
          <w:color w:val="000000"/>
          <w:sz w:val="30"/>
          <w:szCs w:val="30"/>
          <w:shd w:val="clear" w:color="auto" w:fill="FFFFFF"/>
          <w:rtl/>
        </w:rPr>
        <w:t>سيشار اليها لاحقاً</w:t>
      </w:r>
      <w:r w:rsidRPr="00895CED">
        <w:rPr>
          <w:rFonts w:ascii="Traditional Arabic" w:hAnsi="Traditional Arabic" w:cs="Traditional Arabic"/>
          <w:color w:val="000000"/>
          <w:sz w:val="30"/>
          <w:szCs w:val="30"/>
          <w:shd w:val="clear" w:color="auto" w:fill="FFFFFF"/>
          <w:rtl/>
        </w:rPr>
        <w:t xml:space="preserve"> باسم "</w:t>
      </w:r>
      <w:r w:rsidR="00E9705D">
        <w:rPr>
          <w:rFonts w:ascii="Traditional Arabic" w:hAnsi="Traditional Arabic" w:cs="Traditional Arabic" w:hint="cs"/>
          <w:color w:val="000000"/>
          <w:sz w:val="30"/>
          <w:szCs w:val="30"/>
          <w:shd w:val="clear" w:color="auto" w:fill="FFFFFF"/>
          <w:rtl/>
        </w:rPr>
        <w:t>مقاتلو</w:t>
      </w:r>
      <w:r w:rsidRPr="00895CED">
        <w:rPr>
          <w:rFonts w:ascii="Traditional Arabic" w:hAnsi="Traditional Arabic" w:cs="Traditional Arabic"/>
          <w:color w:val="000000"/>
          <w:sz w:val="30"/>
          <w:szCs w:val="30"/>
          <w:shd w:val="clear" w:color="auto" w:fill="FFFFFF"/>
          <w:rtl/>
        </w:rPr>
        <w:t xml:space="preserve"> الحوثيين / صالح")</w:t>
      </w:r>
      <w:r w:rsidRPr="00895CED">
        <w:rPr>
          <w:rFonts w:ascii="Traditional Arabic" w:hAnsi="Traditional Arabic" w:cs="Traditional Arabic"/>
          <w:color w:val="000000"/>
          <w:sz w:val="30"/>
          <w:szCs w:val="30"/>
          <w:shd w:val="clear" w:color="auto" w:fill="FFFFFF"/>
        </w:rPr>
        <w:t>.</w:t>
      </w:r>
      <w:r w:rsidR="00F406B7" w:rsidRPr="00895CED">
        <w:rPr>
          <w:rStyle w:val="FootnoteReference"/>
          <w:rFonts w:ascii="Traditional Arabic" w:hAnsi="Traditional Arabic" w:cs="Traditional Arabic"/>
          <w:sz w:val="30"/>
          <w:szCs w:val="30"/>
        </w:rPr>
        <w:footnoteReference w:id="88"/>
      </w:r>
    </w:p>
    <w:p w14:paraId="4D1B3D9C" w14:textId="5A603C71" w:rsidR="003B64C6" w:rsidRPr="00895CED" w:rsidRDefault="003B64C6"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shd w:val="clear" w:color="auto" w:fill="FFFFFF"/>
        </w:rPr>
      </w:pPr>
      <w:r w:rsidRPr="00895CED">
        <w:rPr>
          <w:rFonts w:ascii="Traditional Arabic" w:hAnsi="Traditional Arabic" w:cs="Traditional Arabic"/>
          <w:color w:val="000000"/>
          <w:sz w:val="30"/>
          <w:szCs w:val="30"/>
          <w:shd w:val="clear" w:color="auto" w:fill="FFFFFF"/>
          <w:rtl/>
        </w:rPr>
        <w:t xml:space="preserve">في </w:t>
      </w:r>
      <w:r w:rsidR="00F406B7" w:rsidRPr="00895CED">
        <w:rPr>
          <w:rFonts w:ascii="Traditional Arabic" w:hAnsi="Traditional Arabic" w:cs="Traditional Arabic"/>
          <w:color w:val="000000"/>
          <w:sz w:val="30"/>
          <w:szCs w:val="30"/>
          <w:shd w:val="clear" w:color="auto" w:fill="FFFFFF"/>
          <w:rtl/>
        </w:rPr>
        <w:t>آب/ أغسطس 2014</w:t>
      </w:r>
      <w:r w:rsidRPr="00895CED">
        <w:rPr>
          <w:rFonts w:ascii="Traditional Arabic" w:hAnsi="Traditional Arabic" w:cs="Traditional Arabic"/>
          <w:color w:val="000000"/>
          <w:sz w:val="30"/>
          <w:szCs w:val="30"/>
          <w:shd w:val="clear" w:color="auto" w:fill="FFFFFF"/>
          <w:rtl/>
        </w:rPr>
        <w:t xml:space="preserve">، خرج عشرات الآلاف من المتظاهرين المؤيدين للحوثيين إلى شوارع صنعاء وعدة مدن أخرى للاحتجاج على قرار الحكومة برفع الدعم عن الوقود، </w:t>
      </w:r>
      <w:r w:rsidR="00F406B7" w:rsidRPr="00895CED">
        <w:rPr>
          <w:rFonts w:ascii="Traditional Arabic" w:hAnsi="Traditional Arabic" w:cs="Traditional Arabic"/>
          <w:color w:val="000000"/>
          <w:sz w:val="30"/>
          <w:szCs w:val="30"/>
          <w:shd w:val="clear" w:color="auto" w:fill="FFFFFF"/>
          <w:rtl/>
        </w:rPr>
        <w:t>مع إلقاء اللوم</w:t>
      </w:r>
      <w:r w:rsidRPr="00895CED">
        <w:rPr>
          <w:rFonts w:ascii="Traditional Arabic" w:hAnsi="Traditional Arabic" w:cs="Traditional Arabic"/>
          <w:color w:val="000000"/>
          <w:sz w:val="30"/>
          <w:szCs w:val="30"/>
          <w:shd w:val="clear" w:color="auto" w:fill="FFFFFF"/>
          <w:rtl/>
        </w:rPr>
        <w:t xml:space="preserve"> على الرئيس هادي لإخ</w:t>
      </w:r>
      <w:r w:rsidR="00F406B7" w:rsidRPr="00895CED">
        <w:rPr>
          <w:rFonts w:ascii="Traditional Arabic" w:hAnsi="Traditional Arabic" w:cs="Traditional Arabic"/>
          <w:color w:val="000000"/>
          <w:sz w:val="30"/>
          <w:szCs w:val="30"/>
          <w:shd w:val="clear" w:color="auto" w:fill="FFFFFF"/>
          <w:rtl/>
        </w:rPr>
        <w:t>فاقه في تنفيذ الإصلاحات الموعود بها،</w:t>
      </w:r>
      <w:r w:rsidRPr="00895CED">
        <w:rPr>
          <w:rFonts w:ascii="Traditional Arabic" w:hAnsi="Traditional Arabic" w:cs="Traditional Arabic"/>
          <w:color w:val="000000"/>
          <w:sz w:val="30"/>
          <w:szCs w:val="30"/>
          <w:shd w:val="clear" w:color="auto" w:fill="FFFFFF"/>
          <w:rtl/>
        </w:rPr>
        <w:t xml:space="preserve"> والدعوة إلى استقالة الحكو</w:t>
      </w:r>
      <w:r w:rsidR="00F406B7" w:rsidRPr="00895CED">
        <w:rPr>
          <w:rFonts w:ascii="Traditional Arabic" w:hAnsi="Traditional Arabic" w:cs="Traditional Arabic"/>
          <w:color w:val="000000"/>
          <w:sz w:val="30"/>
          <w:szCs w:val="30"/>
          <w:shd w:val="clear" w:color="auto" w:fill="FFFFFF"/>
          <w:rtl/>
        </w:rPr>
        <w:t>مة. بدأ أعضاء اللجان الشعبية ب</w:t>
      </w:r>
      <w:r w:rsidRPr="00895CED">
        <w:rPr>
          <w:rFonts w:ascii="Traditional Arabic" w:hAnsi="Traditional Arabic" w:cs="Traditional Arabic"/>
          <w:color w:val="000000"/>
          <w:sz w:val="30"/>
          <w:szCs w:val="30"/>
          <w:shd w:val="clear" w:color="auto" w:fill="FFFFFF"/>
          <w:rtl/>
        </w:rPr>
        <w:t xml:space="preserve">الوصول إلى صنعاء. </w:t>
      </w:r>
      <w:r w:rsidR="00F406B7" w:rsidRPr="00895CED">
        <w:rPr>
          <w:rFonts w:ascii="Traditional Arabic" w:hAnsi="Traditional Arabic" w:cs="Traditional Arabic"/>
          <w:color w:val="000000"/>
          <w:sz w:val="30"/>
          <w:szCs w:val="30"/>
          <w:shd w:val="clear" w:color="auto" w:fill="FFFFFF"/>
          <w:rtl/>
        </w:rPr>
        <w:t>و</w:t>
      </w:r>
      <w:r w:rsidRPr="00895CED">
        <w:rPr>
          <w:rFonts w:ascii="Traditional Arabic" w:hAnsi="Traditional Arabic" w:cs="Traditional Arabic"/>
          <w:color w:val="000000"/>
          <w:sz w:val="30"/>
          <w:szCs w:val="30"/>
          <w:shd w:val="clear" w:color="auto" w:fill="FFFFFF"/>
          <w:rtl/>
        </w:rPr>
        <w:t>نُظمت مظاهرات مضادة من جانب مؤيدي الحكومة في صنعاء طوال شهر أيلول / سبتمبر، تحو</w:t>
      </w:r>
      <w:r w:rsidR="00F406B7" w:rsidRPr="00895CED">
        <w:rPr>
          <w:rFonts w:ascii="Traditional Arabic" w:hAnsi="Traditional Arabic" w:cs="Traditional Arabic"/>
          <w:color w:val="000000"/>
          <w:sz w:val="30"/>
          <w:szCs w:val="30"/>
          <w:shd w:val="clear" w:color="auto" w:fill="FFFFFF"/>
          <w:rtl/>
        </w:rPr>
        <w:t>ّ</w:t>
      </w:r>
      <w:r w:rsidRPr="00895CED">
        <w:rPr>
          <w:rFonts w:ascii="Traditional Arabic" w:hAnsi="Traditional Arabic" w:cs="Traditional Arabic"/>
          <w:color w:val="000000"/>
          <w:sz w:val="30"/>
          <w:szCs w:val="30"/>
          <w:shd w:val="clear" w:color="auto" w:fill="FFFFFF"/>
          <w:rtl/>
        </w:rPr>
        <w:t>ل بعضها إلى اشتباكات عنيفة بين المعارضين.</w:t>
      </w:r>
    </w:p>
    <w:p w14:paraId="7D4B5573" w14:textId="07C0D4FF" w:rsidR="00473FEE" w:rsidRPr="00895CED" w:rsidRDefault="00B86743" w:rsidP="005D608B">
      <w:pPr>
        <w:pStyle w:val="Footer"/>
        <w:numPr>
          <w:ilvl w:val="0"/>
          <w:numId w:val="9"/>
        </w:numPr>
        <w:tabs>
          <w:tab w:val="left" w:pos="720"/>
        </w:tabs>
        <w:bidi/>
        <w:spacing w:after="240"/>
        <w:ind w:right="1089" w:hanging="171"/>
        <w:rPr>
          <w:rFonts w:ascii="Traditional Arabic" w:hAnsi="Traditional Arabic" w:cs="Traditional Arabic"/>
          <w:b/>
          <w:bCs/>
          <w:sz w:val="30"/>
          <w:szCs w:val="30"/>
          <w:rtl/>
        </w:rPr>
      </w:pPr>
      <w:r w:rsidRPr="00895CED">
        <w:rPr>
          <w:rFonts w:ascii="Traditional Arabic" w:hAnsi="Traditional Arabic" w:cs="Traditional Arabic"/>
          <w:b/>
          <w:bCs/>
          <w:sz w:val="30"/>
          <w:szCs w:val="30"/>
          <w:rtl/>
          <w:lang w:bidi="ar-JO"/>
        </w:rPr>
        <w:t>النزاع المسلح والتطورات السياسية (سبتمبر/ ايلول 2014 – أغسطس/ أب 2019)</w:t>
      </w:r>
    </w:p>
    <w:p w14:paraId="00128D00" w14:textId="40213007" w:rsidR="00E9705D" w:rsidRDefault="00473FEE" w:rsidP="00CB221C">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21 </w:t>
      </w:r>
      <w:r w:rsidR="00F406B7" w:rsidRPr="00895CED">
        <w:rPr>
          <w:rFonts w:ascii="Traditional Arabic" w:hAnsi="Traditional Arabic" w:cs="Traditional Arabic"/>
          <w:sz w:val="30"/>
          <w:szCs w:val="30"/>
          <w:rtl/>
        </w:rPr>
        <w:t>أيلول/ سبتمبر 2014</w:t>
      </w:r>
      <w:r w:rsidRPr="00895CED">
        <w:rPr>
          <w:rFonts w:ascii="Traditional Arabic" w:hAnsi="Traditional Arabic" w:cs="Traditional Arabic"/>
          <w:sz w:val="30"/>
          <w:szCs w:val="30"/>
          <w:rtl/>
        </w:rPr>
        <w:t>، وق</w:t>
      </w:r>
      <w:r w:rsidR="00F406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ع الرئيس هادي إلى جانب وفود أنصار الله وا</w:t>
      </w:r>
      <w:r w:rsidR="00F406B7" w:rsidRPr="00895CED">
        <w:rPr>
          <w:rFonts w:ascii="Traditional Arabic" w:hAnsi="Traditional Arabic" w:cs="Traditional Arabic"/>
          <w:sz w:val="30"/>
          <w:szCs w:val="30"/>
          <w:rtl/>
        </w:rPr>
        <w:t>لأحزاب السياسية الرئيسية الأخرى</w:t>
      </w:r>
      <w:r w:rsidRPr="00895CED">
        <w:rPr>
          <w:rFonts w:ascii="Traditional Arabic" w:hAnsi="Traditional Arabic" w:cs="Traditional Arabic"/>
          <w:sz w:val="30"/>
          <w:szCs w:val="30"/>
          <w:rtl/>
        </w:rPr>
        <w:t xml:space="preserve">، </w:t>
      </w:r>
      <w:r w:rsidR="00F406B7" w:rsidRPr="00895CED">
        <w:rPr>
          <w:rFonts w:ascii="Traditional Arabic" w:hAnsi="Traditional Arabic" w:cs="Traditional Arabic"/>
          <w:sz w:val="30"/>
          <w:szCs w:val="30"/>
          <w:rtl/>
        </w:rPr>
        <w:t xml:space="preserve">على </w:t>
      </w:r>
      <w:r w:rsidRPr="00895CED">
        <w:rPr>
          <w:rFonts w:ascii="Traditional Arabic" w:hAnsi="Traditional Arabic" w:cs="Traditional Arabic"/>
          <w:sz w:val="30"/>
          <w:szCs w:val="30"/>
          <w:rtl/>
        </w:rPr>
        <w:t xml:space="preserve">وقف لإطلاق النار توسطت فيه الأمم المتحدة، "اتفاق السلام والشراكة الوطنية" </w:t>
      </w:r>
      <w:r w:rsidR="00B85FEF" w:rsidRPr="00895CED">
        <w:rPr>
          <w:rFonts w:ascii="Traditional Arabic" w:hAnsi="Traditional Arabic" w:cs="Traditional Arabic"/>
          <w:sz w:val="30"/>
          <w:szCs w:val="30"/>
          <w:rtl/>
        </w:rPr>
        <w:t>سمح</w:t>
      </w:r>
      <w:r w:rsidRPr="00895CED">
        <w:rPr>
          <w:rFonts w:ascii="Traditional Arabic" w:hAnsi="Traditional Arabic" w:cs="Traditional Arabic"/>
          <w:sz w:val="30"/>
          <w:szCs w:val="30"/>
          <w:rtl/>
        </w:rPr>
        <w:t xml:space="preserve"> بإنهاء شهر من القتال الذي أدى </w:t>
      </w:r>
      <w:r w:rsidR="00B85FEF" w:rsidRPr="00895CED">
        <w:rPr>
          <w:rFonts w:ascii="Traditional Arabic" w:hAnsi="Traditional Arabic" w:cs="Traditional Arabic"/>
          <w:sz w:val="30"/>
          <w:szCs w:val="30"/>
          <w:rtl/>
        </w:rPr>
        <w:t>إلى سقوط مئات الضحايا. لكن</w:t>
      </w:r>
      <w:r w:rsidRPr="00895CED">
        <w:rPr>
          <w:rFonts w:ascii="Traditional Arabic" w:hAnsi="Traditional Arabic" w:cs="Traditional Arabic"/>
          <w:sz w:val="30"/>
          <w:szCs w:val="30"/>
          <w:rtl/>
        </w:rPr>
        <w:t xml:space="preserve"> في اليوم التالي هاجم</w:t>
      </w:r>
      <w:r w:rsidR="00720E90">
        <w:rPr>
          <w:rFonts w:ascii="Traditional Arabic" w:hAnsi="Traditional Arabic" w:cs="Traditional Arabic" w:hint="cs"/>
          <w:sz w:val="30"/>
          <w:szCs w:val="30"/>
          <w:rtl/>
        </w:rPr>
        <w:t xml:space="preserve"> مقاتلو</w:t>
      </w:r>
      <w:r w:rsidRPr="00895CED">
        <w:rPr>
          <w:rFonts w:ascii="Traditional Arabic" w:hAnsi="Traditional Arabic" w:cs="Traditional Arabic"/>
          <w:sz w:val="30"/>
          <w:szCs w:val="30"/>
          <w:rtl/>
        </w:rPr>
        <w:t xml:space="preserve"> الحوثيين واستولت على مقر قيادة </w:t>
      </w:r>
      <w:r w:rsidR="00476198" w:rsidRPr="00895CED">
        <w:rPr>
          <w:rFonts w:ascii="Traditional Arabic" w:hAnsi="Traditional Arabic" w:cs="Traditional Arabic"/>
          <w:sz w:val="30"/>
          <w:szCs w:val="30"/>
          <w:rtl/>
        </w:rPr>
        <w:t xml:space="preserve">المنطقة </w:t>
      </w:r>
      <w:r w:rsidRPr="00895CED">
        <w:rPr>
          <w:rFonts w:ascii="Traditional Arabic" w:hAnsi="Traditional Arabic" w:cs="Traditional Arabic"/>
          <w:sz w:val="30"/>
          <w:szCs w:val="30"/>
          <w:rtl/>
        </w:rPr>
        <w:t>العسكرية في صنعاء</w:t>
      </w:r>
    </w:p>
    <w:p w14:paraId="1DAF8C3C" w14:textId="125E4F0B" w:rsidR="00B85FEF"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E9705D">
        <w:rPr>
          <w:rFonts w:ascii="Traditional Arabic" w:hAnsi="Traditional Arabic" w:cs="Traditional Arabic"/>
          <w:sz w:val="30"/>
          <w:szCs w:val="30"/>
          <w:rtl/>
        </w:rPr>
        <w:t xml:space="preserve">بقي الوضع الأمني </w:t>
      </w:r>
      <w:r w:rsidRPr="00E9705D">
        <w:rPr>
          <w:rFonts w:ascii="Traditional Arabic" w:hAnsi="Traditional Arabic" w:cs="Traditional Arabic" w:hint="cs"/>
          <w:sz w:val="30"/>
          <w:szCs w:val="30"/>
          <w:rtl/>
        </w:rPr>
        <w:t>متوتراً</w:t>
      </w:r>
      <w:r w:rsidRPr="00E9705D">
        <w:rPr>
          <w:rFonts w:ascii="Traditional Arabic" w:hAnsi="Traditional Arabic" w:cs="Traditional Arabic"/>
          <w:sz w:val="30"/>
          <w:szCs w:val="30"/>
          <w:rtl/>
        </w:rPr>
        <w:t xml:space="preserve"> </w:t>
      </w:r>
      <w:r w:rsidRPr="00E9705D">
        <w:rPr>
          <w:rFonts w:ascii="Traditional Arabic" w:hAnsi="Traditional Arabic" w:cs="Traditional Arabic" w:hint="cs"/>
          <w:sz w:val="30"/>
          <w:szCs w:val="30"/>
          <w:rtl/>
        </w:rPr>
        <w:t>للغاية</w:t>
      </w:r>
      <w:r w:rsidR="00B85FEF" w:rsidRPr="00E9705D">
        <w:rPr>
          <w:rFonts w:ascii="Traditional Arabic" w:hAnsi="Traditional Arabic" w:cs="Traditional Arabic"/>
          <w:sz w:val="30"/>
          <w:szCs w:val="30"/>
          <w:rtl/>
        </w:rPr>
        <w:t>،</w:t>
      </w:r>
      <w:r w:rsidRPr="00E9705D">
        <w:rPr>
          <w:rFonts w:ascii="Traditional Arabic" w:hAnsi="Traditional Arabic" w:cs="Traditional Arabic"/>
          <w:sz w:val="30"/>
          <w:szCs w:val="30"/>
          <w:rtl/>
        </w:rPr>
        <w:t xml:space="preserve"> وفي أواخر </w:t>
      </w:r>
      <w:r w:rsidR="00B85FEF" w:rsidRPr="00E9705D">
        <w:rPr>
          <w:rFonts w:ascii="Traditional Arabic" w:hAnsi="Traditional Arabic" w:cs="Traditional Arabic"/>
          <w:sz w:val="30"/>
          <w:szCs w:val="30"/>
          <w:rtl/>
        </w:rPr>
        <w:t>كانون الثاني/ يناير 2015</w:t>
      </w:r>
      <w:r w:rsidRPr="00E9705D">
        <w:rPr>
          <w:rFonts w:ascii="Traditional Arabic" w:hAnsi="Traditional Arabic" w:cs="Traditional Arabic"/>
          <w:sz w:val="30"/>
          <w:szCs w:val="30"/>
          <w:rtl/>
        </w:rPr>
        <w:t xml:space="preserve">، اندلع القتال في صنعاء بين </w:t>
      </w:r>
      <w:r w:rsidR="00E9705D" w:rsidRPr="00E9705D">
        <w:rPr>
          <w:rFonts w:ascii="Traditional Arabic" w:hAnsi="Traditional Arabic" w:cs="Traditional Arabic" w:hint="cs"/>
          <w:sz w:val="30"/>
          <w:szCs w:val="30"/>
          <w:rtl/>
        </w:rPr>
        <w:t>م</w:t>
      </w:r>
      <w:r w:rsidR="00E9705D">
        <w:rPr>
          <w:rFonts w:ascii="Traditional Arabic" w:hAnsi="Traditional Arabic" w:cs="Traditional Arabic" w:hint="cs"/>
          <w:sz w:val="30"/>
          <w:szCs w:val="30"/>
          <w:rtl/>
        </w:rPr>
        <w:t>قاتلو</w:t>
      </w:r>
      <w:r w:rsidRPr="00E9705D">
        <w:rPr>
          <w:rFonts w:ascii="Traditional Arabic" w:hAnsi="Traditional Arabic" w:cs="Traditional Arabic"/>
          <w:sz w:val="30"/>
          <w:szCs w:val="30"/>
          <w:rtl/>
        </w:rPr>
        <w:t xml:space="preserve"> الحوثيين</w:t>
      </w:r>
      <w:r w:rsidR="00E9705D" w:rsidRPr="00E9705D">
        <w:rPr>
          <w:rFonts w:ascii="Traditional Arabic" w:hAnsi="Traditional Arabic" w:cs="Traditional Arabic" w:hint="cs"/>
          <w:sz w:val="30"/>
          <w:szCs w:val="30"/>
          <w:rtl/>
        </w:rPr>
        <w:t>-صالح</w:t>
      </w:r>
      <w:r w:rsidRPr="00E9705D">
        <w:rPr>
          <w:rFonts w:ascii="Traditional Arabic" w:hAnsi="Traditional Arabic" w:cs="Traditional Arabic"/>
          <w:sz w:val="30"/>
          <w:szCs w:val="30"/>
          <w:rtl/>
        </w:rPr>
        <w:t xml:space="preserve"> وأعضاء الحرس الرئاسي. استولى الحوثيون على القصر الرئاسي في 20 كانون الثاني</w:t>
      </w:r>
      <w:r w:rsidR="00B85FEF" w:rsidRPr="00E9705D">
        <w:rPr>
          <w:rFonts w:ascii="Traditional Arabic" w:hAnsi="Traditional Arabic" w:cs="Traditional Arabic"/>
          <w:sz w:val="30"/>
          <w:szCs w:val="30"/>
          <w:rtl/>
        </w:rPr>
        <w:t>/يناير</w:t>
      </w:r>
      <w:r w:rsidRPr="00E9705D">
        <w:rPr>
          <w:rFonts w:ascii="Traditional Arabic" w:hAnsi="Traditional Arabic" w:cs="Traditional Arabic"/>
          <w:sz w:val="30"/>
          <w:szCs w:val="30"/>
          <w:rtl/>
        </w:rPr>
        <w:t xml:space="preserve"> و</w:t>
      </w:r>
      <w:r w:rsidR="00B85FEF" w:rsidRPr="00E9705D">
        <w:rPr>
          <w:rFonts w:ascii="Traditional Arabic" w:hAnsi="Traditional Arabic" w:cs="Traditional Arabic"/>
          <w:sz w:val="30"/>
          <w:szCs w:val="30"/>
          <w:rtl/>
        </w:rPr>
        <w:t xml:space="preserve">على </w:t>
      </w:r>
      <w:r w:rsidRPr="00E9705D">
        <w:rPr>
          <w:rFonts w:ascii="Traditional Arabic" w:hAnsi="Traditional Arabic" w:cs="Traditional Arabic"/>
          <w:sz w:val="30"/>
          <w:szCs w:val="30"/>
          <w:rtl/>
        </w:rPr>
        <w:t>مقر إقامة الرئيس هادي، الذ</w:t>
      </w:r>
      <w:r w:rsidR="00B85FEF" w:rsidRPr="00E9705D">
        <w:rPr>
          <w:rFonts w:ascii="Traditional Arabic" w:hAnsi="Traditional Arabic" w:cs="Traditional Arabic"/>
          <w:sz w:val="30"/>
          <w:szCs w:val="30"/>
          <w:rtl/>
        </w:rPr>
        <w:t>ي كان</w:t>
      </w:r>
      <w:r w:rsidRPr="00E9705D">
        <w:rPr>
          <w:rFonts w:ascii="Traditional Arabic" w:hAnsi="Traditional Arabic" w:cs="Traditional Arabic"/>
          <w:sz w:val="30"/>
          <w:szCs w:val="30"/>
          <w:rtl/>
        </w:rPr>
        <w:t xml:space="preserve"> تحت الإقامة الجبرية مع </w:t>
      </w:r>
      <w:r w:rsidR="00B85FEF" w:rsidRPr="00E9705D">
        <w:rPr>
          <w:rFonts w:ascii="Traditional Arabic" w:hAnsi="Traditional Arabic" w:cs="Traditional Arabic"/>
          <w:sz w:val="30"/>
          <w:szCs w:val="30"/>
          <w:rtl/>
        </w:rPr>
        <w:t xml:space="preserve">عدد من </w:t>
      </w:r>
      <w:r w:rsidRPr="00E9705D">
        <w:rPr>
          <w:rFonts w:ascii="Traditional Arabic" w:hAnsi="Traditional Arabic" w:cs="Traditional Arabic"/>
          <w:sz w:val="30"/>
          <w:szCs w:val="30"/>
          <w:rtl/>
        </w:rPr>
        <w:t>كبار المسؤولين</w:t>
      </w:r>
      <w:r w:rsidR="00B85FEF" w:rsidRPr="00895CED">
        <w:rPr>
          <w:rStyle w:val="FootnoteReference"/>
          <w:rFonts w:ascii="Traditional Arabic" w:eastAsia="Calibri" w:hAnsi="Traditional Arabic" w:cs="Traditional Arabic"/>
          <w:sz w:val="30"/>
          <w:szCs w:val="30"/>
          <w:lang w:val="de-AT"/>
        </w:rPr>
        <w:footnoteReference w:id="89"/>
      </w:r>
      <w:r w:rsidRPr="00E9705D">
        <w:rPr>
          <w:rFonts w:ascii="Traditional Arabic" w:hAnsi="Traditional Arabic" w:cs="Traditional Arabic"/>
          <w:sz w:val="30"/>
          <w:szCs w:val="30"/>
          <w:rtl/>
        </w:rPr>
        <w:t xml:space="preserve">. </w:t>
      </w:r>
      <w:r w:rsidR="00E9705D" w:rsidRPr="00E9705D">
        <w:rPr>
          <w:rFonts w:ascii="Traditional Arabic" w:hAnsi="Traditional Arabic" w:cs="Traditional Arabic" w:hint="cs"/>
          <w:sz w:val="30"/>
          <w:szCs w:val="30"/>
          <w:rtl/>
        </w:rPr>
        <w:t xml:space="preserve">في 22 كانون الثاني/يناير قد الرئيس ورئيس </w:t>
      </w:r>
      <w:r w:rsidR="00E9705D">
        <w:rPr>
          <w:rFonts w:ascii="Traditional Arabic" w:hAnsi="Traditional Arabic" w:cs="Traditional Arabic" w:hint="cs"/>
          <w:sz w:val="30"/>
          <w:szCs w:val="30"/>
          <w:rtl/>
        </w:rPr>
        <w:t>الوزراء ومجلس الوزراء استقالتهم. ت</w:t>
      </w:r>
      <w:r w:rsidRPr="00E9705D">
        <w:rPr>
          <w:rFonts w:ascii="Traditional Arabic" w:hAnsi="Traditional Arabic" w:cs="Traditional Arabic"/>
          <w:sz w:val="30"/>
          <w:szCs w:val="30"/>
          <w:rtl/>
        </w:rPr>
        <w:t>مك</w:t>
      </w:r>
      <w:r w:rsidR="00B85FEF" w:rsidRPr="00E9705D">
        <w:rPr>
          <w:rFonts w:ascii="Traditional Arabic" w:hAnsi="Traditional Arabic" w:cs="Traditional Arabic"/>
          <w:sz w:val="30"/>
          <w:szCs w:val="30"/>
          <w:rtl/>
        </w:rPr>
        <w:t>ّ</w:t>
      </w:r>
      <w:r w:rsidRPr="00E9705D">
        <w:rPr>
          <w:rFonts w:ascii="Traditional Arabic" w:hAnsi="Traditional Arabic" w:cs="Traditional Arabic"/>
          <w:sz w:val="30"/>
          <w:szCs w:val="30"/>
          <w:rtl/>
        </w:rPr>
        <w:t xml:space="preserve">ن الرئيس هادي من الفرار إلى عدن في 21 </w:t>
      </w:r>
      <w:r w:rsidR="00B85FEF" w:rsidRPr="00E9705D">
        <w:rPr>
          <w:rFonts w:ascii="Traditional Arabic" w:hAnsi="Traditional Arabic" w:cs="Traditional Arabic"/>
          <w:sz w:val="30"/>
          <w:szCs w:val="30"/>
          <w:rtl/>
        </w:rPr>
        <w:t>شباط/ فبراير 2015</w:t>
      </w:r>
      <w:r w:rsidRPr="00E9705D">
        <w:rPr>
          <w:rFonts w:ascii="Traditional Arabic" w:hAnsi="Traditional Arabic" w:cs="Traditional Arabic"/>
          <w:sz w:val="30"/>
          <w:szCs w:val="30"/>
          <w:rtl/>
        </w:rPr>
        <w:t>، ومن هناك أعلن عزمه على مواصلة ممارسة مهامه الرئاسية.</w:t>
      </w:r>
    </w:p>
    <w:p w14:paraId="4F0FE892" w14:textId="5D0E7563" w:rsidR="00E9705D" w:rsidRPr="00E9705D" w:rsidRDefault="00E9705D"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E9705D">
        <w:rPr>
          <w:rFonts w:ascii="Traditional Arabic" w:hAnsi="Traditional Arabic" w:cs="Traditional Arabic"/>
          <w:sz w:val="30"/>
          <w:szCs w:val="30"/>
          <w:rtl/>
        </w:rPr>
        <w:t>وفي آذار/مارس 2015، شن مقاتلو الحوثيين - صالح هجوماً عسكرياً للسيطرة على الجنوب. وفي 19 مارس/آذار، تعرض القصر الرئاسي في عدن لهجوم جوي، يُزعم أن أنصار</w:t>
      </w:r>
      <w:r>
        <w:rPr>
          <w:rFonts w:ascii="Traditional Arabic" w:hAnsi="Traditional Arabic" w:cs="Traditional Arabic" w:hint="cs"/>
          <w:sz w:val="30"/>
          <w:szCs w:val="30"/>
          <w:rtl/>
        </w:rPr>
        <w:t xml:space="preserve"> </w:t>
      </w:r>
      <w:r w:rsidRPr="00E9705D">
        <w:rPr>
          <w:rFonts w:ascii="Traditional Arabic" w:hAnsi="Traditional Arabic" w:cs="Traditional Arabic"/>
          <w:sz w:val="30"/>
          <w:szCs w:val="30"/>
          <w:rtl/>
        </w:rPr>
        <w:t xml:space="preserve">الحوثي - صالح من القوات الجوية اليمنية قد </w:t>
      </w:r>
      <w:r>
        <w:rPr>
          <w:rFonts w:ascii="Traditional Arabic" w:hAnsi="Traditional Arabic" w:cs="Traditional Arabic" w:hint="cs"/>
          <w:sz w:val="30"/>
          <w:szCs w:val="30"/>
          <w:rtl/>
        </w:rPr>
        <w:t>نفذو الهجوم</w:t>
      </w:r>
      <w:r w:rsidRPr="00E9705D">
        <w:rPr>
          <w:rFonts w:ascii="Traditional Arabic" w:hAnsi="Traditional Arabic" w:cs="Traditional Arabic"/>
          <w:sz w:val="30"/>
          <w:szCs w:val="30"/>
          <w:rtl/>
        </w:rPr>
        <w:t>.</w:t>
      </w:r>
    </w:p>
    <w:p w14:paraId="43790E60" w14:textId="16F53B31" w:rsidR="00B85FEF" w:rsidRPr="00895CED" w:rsidRDefault="00B85FEF"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 xml:space="preserve">في 24 آ ذار/ مارس 2015، طلب الرئيس هادي من مجلس التعاون الخليجي وجامعة الدول العربية التدخل عسكريًا، مع إخطار مجلس الأمن التابع للأمم المتحدة ورفع طلب باعتماد قرار تحت الفصل السابع يدعو جميع الدول </w:t>
      </w:r>
      <w:r w:rsidRPr="00895CED">
        <w:rPr>
          <w:rFonts w:ascii="Traditional Arabic" w:hAnsi="Traditional Arabic" w:cs="Traditional Arabic"/>
          <w:sz w:val="30"/>
          <w:szCs w:val="30"/>
          <w:rtl/>
        </w:rPr>
        <w:lastRenderedPageBreak/>
        <w:t>الراغبة في تقديم الدعم من أجل ردع تقدّم الحوثيين. في 25 آذار/ مارس 2015، شكّلت 10 دول بقيادة المملكة العربية السعودية تحالفًا للتدخل عسكريًا في اليمن، استجابةً لطلب الرئيس هادي. وأعلنت الولايات المتحدة أنها ستقدّم الدعم اللوجستي والاستخباراتي للتحالف</w:t>
      </w:r>
      <w:r w:rsidRPr="00895CED">
        <w:rPr>
          <w:rFonts w:ascii="Traditional Arabic" w:eastAsia="Calibri" w:hAnsi="Traditional Arabic" w:cs="Traditional Arabic"/>
          <w:sz w:val="30"/>
          <w:szCs w:val="30"/>
          <w:vertAlign w:val="superscript"/>
          <w:lang w:val="de-AT"/>
        </w:rPr>
        <w:footnoteReference w:id="90"/>
      </w:r>
      <w:r w:rsidRPr="00895CED">
        <w:rPr>
          <w:rFonts w:ascii="Traditional Arabic" w:hAnsi="Traditional Arabic" w:cs="Traditional Arabic"/>
          <w:sz w:val="30"/>
          <w:szCs w:val="30"/>
          <w:rtl/>
        </w:rPr>
        <w:t>. وشنّت قوات التحالف حملة عسكرية جوية ضد أهداف الحوثيين العسكرية في اليمن في 26 آذار/ مارس</w:t>
      </w:r>
      <w:r w:rsidR="00E3561E" w:rsidRPr="00895CED">
        <w:rPr>
          <w:rFonts w:ascii="Traditional Arabic" w:hAnsi="Traditional Arabic" w:cs="Traditional Arabic"/>
          <w:sz w:val="30"/>
          <w:szCs w:val="30"/>
          <w:rtl/>
        </w:rPr>
        <w:t xml:space="preserve"> سميت عاصفة الحزم</w:t>
      </w:r>
      <w:r w:rsidRPr="00895CED">
        <w:rPr>
          <w:rFonts w:ascii="Traditional Arabic" w:hAnsi="Traditional Arabic" w:cs="Traditional Arabic"/>
          <w:sz w:val="30"/>
          <w:szCs w:val="30"/>
          <w:rtl/>
        </w:rPr>
        <w:t>. بالإضافة إلى الغارات الجوية، فرضت قوات التحالف البحرية حصارًا فعليًا على مينائي عدن والحديدة</w:t>
      </w:r>
      <w:r w:rsidRPr="00895CED">
        <w:rPr>
          <w:rFonts w:ascii="Traditional Arabic" w:hAnsi="Traditional Arabic" w:cs="Traditional Arabic"/>
          <w:sz w:val="30"/>
          <w:szCs w:val="30"/>
        </w:rPr>
        <w:t>.</w:t>
      </w:r>
      <w:r w:rsidRPr="00895CED">
        <w:rPr>
          <w:rStyle w:val="FootnoteReference"/>
          <w:rFonts w:ascii="Traditional Arabic" w:eastAsia="Calibri" w:hAnsi="Traditional Arabic" w:cs="Traditional Arabic"/>
          <w:sz w:val="30"/>
          <w:szCs w:val="30"/>
          <w:lang w:val="de-AT"/>
        </w:rPr>
        <w:t xml:space="preserve"> </w:t>
      </w:r>
      <w:r w:rsidRPr="00895CED">
        <w:rPr>
          <w:rStyle w:val="FootnoteReference"/>
          <w:rFonts w:ascii="Traditional Arabic" w:eastAsia="Calibri" w:hAnsi="Traditional Arabic" w:cs="Traditional Arabic"/>
          <w:sz w:val="30"/>
          <w:szCs w:val="30"/>
          <w:lang w:val="de-AT"/>
        </w:rPr>
        <w:footnoteReference w:id="91"/>
      </w:r>
    </w:p>
    <w:p w14:paraId="3A2AF20D" w14:textId="5C100735"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9 </w:t>
      </w:r>
      <w:r w:rsidR="00B85FEF" w:rsidRPr="00895CED">
        <w:rPr>
          <w:rFonts w:ascii="Traditional Arabic" w:hAnsi="Traditional Arabic" w:cs="Traditional Arabic"/>
          <w:sz w:val="30"/>
          <w:szCs w:val="30"/>
          <w:rtl/>
        </w:rPr>
        <w:t>آب/ أغسطس 2016</w:t>
      </w:r>
      <w:r w:rsidRPr="00895CED">
        <w:rPr>
          <w:rFonts w:ascii="Traditional Arabic" w:hAnsi="Traditional Arabic" w:cs="Traditional Arabic"/>
          <w:sz w:val="30"/>
          <w:szCs w:val="30"/>
          <w:rtl/>
        </w:rPr>
        <w:t>، أغلقت الحكومة اليمنية وقوات الت</w:t>
      </w:r>
      <w:r w:rsidR="00B85FEF" w:rsidRPr="00895CED">
        <w:rPr>
          <w:rFonts w:ascii="Traditional Arabic" w:hAnsi="Traditional Arabic" w:cs="Traditional Arabic"/>
          <w:sz w:val="30"/>
          <w:szCs w:val="30"/>
          <w:rtl/>
        </w:rPr>
        <w:t xml:space="preserve">حالف المجال الجوي المحيط بصنعاء، مغلقةً </w:t>
      </w:r>
      <w:r w:rsidRPr="00895CED">
        <w:rPr>
          <w:rFonts w:ascii="Traditional Arabic" w:hAnsi="Traditional Arabic" w:cs="Traditional Arabic"/>
          <w:sz w:val="30"/>
          <w:szCs w:val="30"/>
          <w:rtl/>
        </w:rPr>
        <w:t>فعل</w:t>
      </w:r>
      <w:r w:rsidR="00B85FEF" w:rsidRPr="00895CED">
        <w:rPr>
          <w:rFonts w:ascii="Traditional Arabic" w:hAnsi="Traditional Arabic" w:cs="Traditional Arabic"/>
          <w:sz w:val="30"/>
          <w:szCs w:val="30"/>
          <w:rtl/>
        </w:rPr>
        <w:t>ياً</w:t>
      </w:r>
      <w:r w:rsidRPr="00895CED">
        <w:rPr>
          <w:rFonts w:ascii="Traditional Arabic" w:hAnsi="Traditional Arabic" w:cs="Traditional Arabic"/>
          <w:sz w:val="30"/>
          <w:szCs w:val="30"/>
          <w:rtl/>
        </w:rPr>
        <w:t xml:space="preserve"> مطار صنعاء الدولي. لا يزال المطار مغلقًا أمام الطيران التجاري حتى الآن. </w:t>
      </w:r>
      <w:r w:rsidR="00B85FEF"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منع الإغلاق آلاف اليمنيين من الحصول على رعاية طبية في الخارج.</w:t>
      </w:r>
      <w:r w:rsidR="00B85FEF" w:rsidRPr="00895CED">
        <w:rPr>
          <w:rFonts w:ascii="Traditional Arabic" w:hAnsi="Traditional Arabic" w:cs="Traditional Arabic"/>
          <w:sz w:val="30"/>
          <w:szCs w:val="30"/>
          <w:vertAlign w:val="superscript"/>
        </w:rPr>
        <w:t xml:space="preserve"> </w:t>
      </w:r>
      <w:r w:rsidR="00B85FEF" w:rsidRPr="00895CED">
        <w:rPr>
          <w:rFonts w:ascii="Traditional Arabic" w:hAnsi="Traditional Arabic" w:cs="Traditional Arabic"/>
          <w:sz w:val="30"/>
          <w:szCs w:val="30"/>
          <w:vertAlign w:val="superscript"/>
        </w:rPr>
        <w:footnoteReference w:id="92"/>
      </w:r>
      <w:r w:rsidRPr="00895CED">
        <w:rPr>
          <w:rFonts w:ascii="Traditional Arabic" w:hAnsi="Traditional Arabic" w:cs="Traditional Arabic"/>
          <w:sz w:val="30"/>
          <w:szCs w:val="30"/>
          <w:rtl/>
        </w:rPr>
        <w:t xml:space="preserve"> كما أدى الحصار الجوي إلى زيادة تقييد استيراد البضائع إلى البلاد وفرض قيودًا صارمة على قدرة المدنيين على الدخول إلى </w:t>
      </w:r>
      <w:r w:rsidR="00771A10">
        <w:rPr>
          <w:rFonts w:ascii="Traditional Arabic" w:hAnsi="Traditional Arabic" w:cs="Traditional Arabic" w:hint="cs"/>
          <w:sz w:val="30"/>
          <w:szCs w:val="30"/>
          <w:rtl/>
        </w:rPr>
        <w:t>شمال اليمن</w:t>
      </w:r>
      <w:r w:rsidRPr="00895CED">
        <w:rPr>
          <w:rFonts w:ascii="Traditional Arabic" w:hAnsi="Traditional Arabic" w:cs="Traditional Arabic"/>
          <w:sz w:val="30"/>
          <w:szCs w:val="30"/>
          <w:rtl/>
        </w:rPr>
        <w:t xml:space="preserve"> ومغادرتها</w:t>
      </w:r>
      <w:r w:rsidRPr="00895CED">
        <w:rPr>
          <w:rFonts w:ascii="Traditional Arabic" w:hAnsi="Traditional Arabic" w:cs="Traditional Arabic"/>
          <w:sz w:val="30"/>
          <w:szCs w:val="30"/>
        </w:rPr>
        <w:t>.</w:t>
      </w:r>
    </w:p>
    <w:p w14:paraId="1347F7AF" w14:textId="1843ED8B"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w:t>
      </w:r>
      <w:r w:rsidR="00B85FEF" w:rsidRPr="00895CED">
        <w:rPr>
          <w:rFonts w:ascii="Traditional Arabic" w:hAnsi="Traditional Arabic" w:cs="Traditional Arabic"/>
          <w:sz w:val="30"/>
          <w:szCs w:val="30"/>
          <w:rtl/>
        </w:rPr>
        <w:t>آب/ أغسطس 2016</w:t>
      </w:r>
      <w:r w:rsidRPr="00895CED">
        <w:rPr>
          <w:rFonts w:ascii="Traditional Arabic" w:hAnsi="Traditional Arabic" w:cs="Traditional Arabic"/>
          <w:sz w:val="30"/>
          <w:szCs w:val="30"/>
          <w:rtl/>
        </w:rPr>
        <w:t>، أعلنت قوات التحالف عن إنشاء فريق تقييم الح</w:t>
      </w:r>
      <w:r w:rsidR="00B85FEF" w:rsidRPr="00895CED">
        <w:rPr>
          <w:rFonts w:ascii="Traditional Arabic" w:hAnsi="Traditional Arabic" w:cs="Traditional Arabic"/>
          <w:sz w:val="30"/>
          <w:szCs w:val="30"/>
          <w:rtl/>
        </w:rPr>
        <w:t>وادث المشترك، وهو آلية تحقيق للنظر،</w:t>
      </w:r>
      <w:r w:rsidRPr="00895CED">
        <w:rPr>
          <w:rFonts w:ascii="Traditional Arabic" w:hAnsi="Traditional Arabic" w:cs="Traditional Arabic"/>
          <w:sz w:val="30"/>
          <w:szCs w:val="30"/>
          <w:rtl/>
        </w:rPr>
        <w:t xml:space="preserve"> من بين أمور أخرى، </w:t>
      </w:r>
      <w:r w:rsidR="00B85FEF" w:rsidRPr="00895CED">
        <w:rPr>
          <w:rFonts w:ascii="Traditional Arabic" w:hAnsi="Traditional Arabic" w:cs="Traditional Arabic"/>
          <w:sz w:val="30"/>
          <w:szCs w:val="30"/>
          <w:rtl/>
        </w:rPr>
        <w:t xml:space="preserve">في مدى </w:t>
      </w:r>
      <w:r w:rsidRPr="00895CED">
        <w:rPr>
          <w:rFonts w:ascii="Traditional Arabic" w:hAnsi="Traditional Arabic" w:cs="Traditional Arabic"/>
          <w:sz w:val="30"/>
          <w:szCs w:val="30"/>
          <w:rtl/>
        </w:rPr>
        <w:t>امتثال التحالف للقانون الدولي الإنساني</w:t>
      </w:r>
      <w:r w:rsidR="00B85FEF" w:rsidRPr="00895CED">
        <w:rPr>
          <w:rFonts w:ascii="Traditional Arabic" w:hAnsi="Traditional Arabic" w:cs="Traditional Arabic"/>
          <w:sz w:val="30"/>
          <w:szCs w:val="30"/>
          <w:rtl/>
        </w:rPr>
        <w:t xml:space="preserve">، وقد </w:t>
      </w:r>
      <w:r w:rsidRPr="00895CED">
        <w:rPr>
          <w:rFonts w:ascii="Traditional Arabic" w:hAnsi="Traditional Arabic" w:cs="Traditional Arabic"/>
          <w:sz w:val="30"/>
          <w:szCs w:val="30"/>
          <w:rtl/>
        </w:rPr>
        <w:t>تكو</w:t>
      </w:r>
      <w:r w:rsidR="00B85FEF"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ن</w:t>
      </w:r>
      <w:r w:rsidR="00B85FEF" w:rsidRPr="00895CED">
        <w:rPr>
          <w:rFonts w:ascii="Traditional Arabic" w:hAnsi="Traditional Arabic" w:cs="Traditional Arabic"/>
          <w:sz w:val="30"/>
          <w:szCs w:val="30"/>
          <w:rtl/>
        </w:rPr>
        <w:t xml:space="preserve"> الفريق</w:t>
      </w:r>
      <w:r w:rsidRPr="00895CED">
        <w:rPr>
          <w:rFonts w:ascii="Traditional Arabic" w:hAnsi="Traditional Arabic" w:cs="Traditional Arabic"/>
          <w:sz w:val="30"/>
          <w:szCs w:val="30"/>
          <w:rtl/>
        </w:rPr>
        <w:t xml:space="preserve"> من 14 فردًا </w:t>
      </w:r>
      <w:r w:rsidR="00B85FEF" w:rsidRPr="00895CED">
        <w:rPr>
          <w:rFonts w:ascii="Traditional Arabic" w:hAnsi="Traditional Arabic" w:cs="Traditional Arabic"/>
          <w:sz w:val="30"/>
          <w:szCs w:val="30"/>
          <w:rtl/>
        </w:rPr>
        <w:t xml:space="preserve">من تحالف الدول الأعضاء </w:t>
      </w:r>
      <w:r w:rsidRPr="00895CED">
        <w:rPr>
          <w:rFonts w:ascii="Traditional Arabic" w:hAnsi="Traditional Arabic" w:cs="Traditional Arabic"/>
          <w:sz w:val="30"/>
          <w:szCs w:val="30"/>
          <w:rtl/>
        </w:rPr>
        <w:t>يتمتعون بخبرة عسكرية وقانونية</w:t>
      </w:r>
      <w:r w:rsidR="00B85FEF" w:rsidRPr="00895CED">
        <w:rPr>
          <w:rStyle w:val="FootnoteReference"/>
          <w:rFonts w:ascii="Traditional Arabic" w:hAnsi="Traditional Arabic" w:cs="Traditional Arabic"/>
          <w:sz w:val="30"/>
          <w:szCs w:val="30"/>
        </w:rPr>
        <w:footnoteReference w:id="93"/>
      </w:r>
      <w:r w:rsidRPr="00895CED">
        <w:rPr>
          <w:rFonts w:ascii="Traditional Arabic" w:hAnsi="Traditional Arabic" w:cs="Traditional Arabic"/>
          <w:sz w:val="30"/>
          <w:szCs w:val="30"/>
          <w:rtl/>
        </w:rPr>
        <w:t>.</w:t>
      </w:r>
    </w:p>
    <w:p w14:paraId="6DAFC92E" w14:textId="470B18C3"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27 </w:t>
      </w:r>
      <w:r w:rsidR="005A7315" w:rsidRPr="00895CED">
        <w:rPr>
          <w:rFonts w:ascii="Traditional Arabic" w:hAnsi="Traditional Arabic" w:cs="Traditional Arabic"/>
          <w:sz w:val="30"/>
          <w:szCs w:val="30"/>
          <w:rtl/>
        </w:rPr>
        <w:t>نيسان/ أبريل 2017</w:t>
      </w:r>
      <w:r w:rsidRPr="00895CED">
        <w:rPr>
          <w:rFonts w:ascii="Traditional Arabic" w:hAnsi="Traditional Arabic" w:cs="Traditional Arabic"/>
          <w:sz w:val="30"/>
          <w:szCs w:val="30"/>
          <w:rtl/>
        </w:rPr>
        <w:t>، عزل الرئيس هادي اثنين من قاد</w:t>
      </w:r>
      <w:r w:rsidR="005A7315" w:rsidRPr="00895CED">
        <w:rPr>
          <w:rFonts w:ascii="Traditional Arabic" w:hAnsi="Traditional Arabic" w:cs="Traditional Arabic"/>
          <w:sz w:val="30"/>
          <w:szCs w:val="30"/>
          <w:rtl/>
        </w:rPr>
        <w:t>ة الجنوب المؤيدين للانفصال استفاد</w:t>
      </w:r>
      <w:r w:rsidRPr="00895CED">
        <w:rPr>
          <w:rFonts w:ascii="Traditional Arabic" w:hAnsi="Traditional Arabic" w:cs="Traditional Arabic"/>
          <w:sz w:val="30"/>
          <w:szCs w:val="30"/>
          <w:rtl/>
        </w:rPr>
        <w:t xml:space="preserve">ا من </w:t>
      </w:r>
      <w:r w:rsidR="00771A10">
        <w:rPr>
          <w:rFonts w:ascii="Traditional Arabic" w:hAnsi="Traditional Arabic" w:cs="Traditional Arabic" w:hint="cs"/>
          <w:sz w:val="30"/>
          <w:szCs w:val="30"/>
          <w:rtl/>
        </w:rPr>
        <w:t>ال</w:t>
      </w:r>
      <w:r w:rsidRPr="00895CED">
        <w:rPr>
          <w:rFonts w:ascii="Traditional Arabic" w:hAnsi="Traditional Arabic" w:cs="Traditional Arabic"/>
          <w:sz w:val="30"/>
          <w:szCs w:val="30"/>
          <w:rtl/>
        </w:rPr>
        <w:t>دعم</w:t>
      </w:r>
      <w:r w:rsidR="005A7315" w:rsidRPr="00895CED">
        <w:rPr>
          <w:rFonts w:ascii="Traditional Arabic" w:hAnsi="Traditional Arabic" w:cs="Traditional Arabic"/>
          <w:sz w:val="30"/>
          <w:szCs w:val="30"/>
          <w:rtl/>
        </w:rPr>
        <w:t xml:space="preserve"> الإمارات</w:t>
      </w:r>
      <w:r w:rsidR="00771A10">
        <w:rPr>
          <w:rFonts w:ascii="Traditional Arabic" w:hAnsi="Traditional Arabic" w:cs="Traditional Arabic" w:hint="cs"/>
          <w:sz w:val="30"/>
          <w:szCs w:val="30"/>
          <w:rtl/>
        </w:rPr>
        <w:t>ي</w:t>
      </w:r>
      <w:r w:rsidR="005A7315" w:rsidRPr="00895CED">
        <w:rPr>
          <w:rFonts w:ascii="Traditional Arabic" w:hAnsi="Traditional Arabic" w:cs="Traditional Arabic"/>
          <w:sz w:val="30"/>
          <w:szCs w:val="30"/>
          <w:rtl/>
        </w:rPr>
        <w:t xml:space="preserve"> - محافظ</w:t>
      </w:r>
      <w:r w:rsidRPr="00895CED">
        <w:rPr>
          <w:rFonts w:ascii="Traditional Arabic" w:hAnsi="Traditional Arabic" w:cs="Traditional Arabic"/>
          <w:sz w:val="30"/>
          <w:szCs w:val="30"/>
          <w:rtl/>
        </w:rPr>
        <w:t xml:space="preserve"> عدن عيدروس الزبيدي ووزير الدو</w:t>
      </w:r>
      <w:r w:rsidR="005A7315" w:rsidRPr="00895CED">
        <w:rPr>
          <w:rFonts w:ascii="Traditional Arabic" w:hAnsi="Traditional Arabic" w:cs="Traditional Arabic"/>
          <w:sz w:val="30"/>
          <w:szCs w:val="30"/>
          <w:rtl/>
        </w:rPr>
        <w:t>لة هاني بن بريك. تم تنظيم مظاهرات</w:t>
      </w:r>
      <w:r w:rsidRPr="00895CED">
        <w:rPr>
          <w:rFonts w:ascii="Traditional Arabic" w:hAnsi="Traditional Arabic" w:cs="Traditional Arabic"/>
          <w:sz w:val="30"/>
          <w:szCs w:val="30"/>
          <w:rtl/>
        </w:rPr>
        <w:t xml:space="preserve"> كبرى في عدن احتجاجًا على القرار. في منتصف شهر </w:t>
      </w:r>
      <w:r w:rsidR="005A7315"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تم</w:t>
      </w:r>
      <w:r w:rsidR="005A7315"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تشكيل المجلس الانتقالي الجنوبي</w:t>
      </w:r>
      <w:r w:rsidR="005A7315" w:rsidRPr="00895CED">
        <w:rPr>
          <w:rFonts w:ascii="Traditional Arabic" w:hAnsi="Traditional Arabic" w:cs="Traditional Arabic"/>
          <w:sz w:val="30"/>
          <w:szCs w:val="30"/>
        </w:rPr>
        <w:t xml:space="preserve"> </w:t>
      </w:r>
      <w:r w:rsidR="005A7315" w:rsidRPr="00895CED">
        <w:rPr>
          <w:rFonts w:ascii="Traditional Arabic" w:hAnsi="Traditional Arabic" w:cs="Traditional Arabic"/>
          <w:sz w:val="30"/>
          <w:szCs w:val="30"/>
          <w:rtl/>
        </w:rPr>
        <w:t xml:space="preserve"> الذي ضمّ عدداً من المحافظين من محافظات أخرى</w:t>
      </w:r>
      <w:r w:rsidRPr="00895CED">
        <w:rPr>
          <w:rFonts w:ascii="Traditional Arabic" w:hAnsi="Traditional Arabic" w:cs="Traditional Arabic"/>
          <w:sz w:val="30"/>
          <w:szCs w:val="30"/>
          <w:rtl/>
        </w:rPr>
        <w:t>، مع الزبيدي رئيس</w:t>
      </w:r>
      <w:r w:rsidR="005A7315" w:rsidRPr="00895CED">
        <w:rPr>
          <w:rFonts w:ascii="Traditional Arabic" w:hAnsi="Traditional Arabic" w:cs="Traditional Arabic"/>
          <w:sz w:val="30"/>
          <w:szCs w:val="30"/>
          <w:rtl/>
        </w:rPr>
        <w:t xml:space="preserve">اً، وبن بريك </w:t>
      </w:r>
      <w:r w:rsidRPr="00895CED">
        <w:rPr>
          <w:rFonts w:ascii="Traditional Arabic" w:hAnsi="Traditional Arabic" w:cs="Traditional Arabic"/>
          <w:sz w:val="30"/>
          <w:szCs w:val="30"/>
          <w:rtl/>
        </w:rPr>
        <w:t>نائب</w:t>
      </w:r>
      <w:r w:rsidR="005A7315"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 xml:space="preserve"> و</w:t>
      </w:r>
      <w:r w:rsidR="005A7315" w:rsidRPr="00895CED">
        <w:rPr>
          <w:rFonts w:ascii="Traditional Arabic" w:hAnsi="Traditional Arabic" w:cs="Traditional Arabic"/>
          <w:sz w:val="30"/>
          <w:szCs w:val="30"/>
          <w:rtl/>
        </w:rPr>
        <w:t xml:space="preserve">مع </w:t>
      </w:r>
      <w:r w:rsidRPr="00895CED">
        <w:rPr>
          <w:rFonts w:ascii="Traditional Arabic" w:hAnsi="Traditional Arabic" w:cs="Traditional Arabic"/>
          <w:sz w:val="30"/>
          <w:szCs w:val="30"/>
          <w:rtl/>
        </w:rPr>
        <w:t xml:space="preserve">دعم عسكري من قوات الحزام الأمني </w:t>
      </w:r>
      <w:r w:rsidRPr="00895CED">
        <w:rPr>
          <w:rFonts w:ascii="Traditional Arabic" w:hAnsi="Traditional Arabic" w:cs="Traditional Arabic" w:hint="cs"/>
          <w:sz w:val="30"/>
          <w:szCs w:val="30"/>
          <w:rtl/>
        </w:rPr>
        <w:t>المدعومة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من</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الإمارات</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العربية</w:t>
      </w:r>
      <w:r w:rsidRPr="00895CED">
        <w:rPr>
          <w:rFonts w:ascii="Traditional Arabic" w:hAnsi="Traditional Arabic" w:cs="Traditional Arabic"/>
          <w:sz w:val="30"/>
          <w:szCs w:val="30"/>
          <w:rtl/>
        </w:rPr>
        <w:t xml:space="preserve"> </w:t>
      </w:r>
      <w:r w:rsidRPr="00895CED">
        <w:rPr>
          <w:rFonts w:ascii="Traditional Arabic" w:hAnsi="Traditional Arabic" w:cs="Traditional Arabic" w:hint="cs"/>
          <w:sz w:val="30"/>
          <w:szCs w:val="30"/>
          <w:rtl/>
        </w:rPr>
        <w:t>المتحدة</w:t>
      </w:r>
      <w:r w:rsidR="005A7315" w:rsidRPr="00895CED">
        <w:rPr>
          <w:rStyle w:val="FootnoteReference"/>
          <w:rFonts w:ascii="Traditional Arabic" w:eastAsia="Calibri" w:hAnsi="Traditional Arabic" w:cs="Traditional Arabic"/>
          <w:sz w:val="30"/>
          <w:szCs w:val="30"/>
          <w:lang w:val="de-AT"/>
        </w:rPr>
        <w:footnoteReference w:id="94"/>
      </w:r>
      <w:r w:rsidRPr="00895CED">
        <w:rPr>
          <w:rFonts w:ascii="Traditional Arabic" w:hAnsi="Traditional Arabic" w:cs="Traditional Arabic"/>
          <w:sz w:val="30"/>
          <w:szCs w:val="30"/>
        </w:rPr>
        <w:t>.</w:t>
      </w:r>
    </w:p>
    <w:p w14:paraId="2FDE361E" w14:textId="020A43DC" w:rsidR="00473FEE" w:rsidRPr="00895CED" w:rsidRDefault="005A731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و</w:t>
      </w:r>
      <w:r w:rsidR="00473FEE" w:rsidRPr="00895CED">
        <w:rPr>
          <w:rFonts w:ascii="Traditional Arabic" w:hAnsi="Traditional Arabic" w:cs="Traditional Arabic"/>
          <w:sz w:val="30"/>
          <w:szCs w:val="30"/>
          <w:rtl/>
        </w:rPr>
        <w:t>استمر</w:t>
      </w:r>
      <w:r w:rsidRPr="00895CED">
        <w:rPr>
          <w:rFonts w:ascii="Traditional Arabic" w:hAnsi="Traditional Arabic" w:cs="Traditional Arabic"/>
          <w:sz w:val="30"/>
          <w:szCs w:val="30"/>
          <w:rtl/>
        </w:rPr>
        <w:t>ّ</w:t>
      </w:r>
      <w:r w:rsidR="00473FEE" w:rsidRPr="00895CED">
        <w:rPr>
          <w:rFonts w:ascii="Traditional Arabic" w:hAnsi="Traditional Arabic" w:cs="Traditional Arabic"/>
          <w:sz w:val="30"/>
          <w:szCs w:val="30"/>
          <w:rtl/>
        </w:rPr>
        <w:t xml:space="preserve"> الوضع ال</w:t>
      </w:r>
      <w:r w:rsidRPr="00895CED">
        <w:rPr>
          <w:rFonts w:ascii="Traditional Arabic" w:hAnsi="Traditional Arabic" w:cs="Traditional Arabic"/>
          <w:sz w:val="30"/>
          <w:szCs w:val="30"/>
          <w:rtl/>
        </w:rPr>
        <w:t>إنساني ب</w:t>
      </w:r>
      <w:r w:rsidR="00473FEE" w:rsidRPr="00895CED">
        <w:rPr>
          <w:rFonts w:ascii="Traditional Arabic" w:hAnsi="Traditional Arabic" w:cs="Traditional Arabic"/>
          <w:sz w:val="30"/>
          <w:szCs w:val="30"/>
          <w:rtl/>
        </w:rPr>
        <w:t xml:space="preserve">التدهور. في </w:t>
      </w:r>
      <w:r w:rsidRPr="00895CED">
        <w:rPr>
          <w:rFonts w:ascii="Traditional Arabic" w:hAnsi="Traditional Arabic" w:cs="Traditional Arabic"/>
          <w:sz w:val="30"/>
          <w:szCs w:val="30"/>
          <w:rtl/>
        </w:rPr>
        <w:t>حزيران/ يونيو 2017</w:t>
      </w:r>
      <w:r w:rsidR="00473FEE" w:rsidRPr="00895CED">
        <w:rPr>
          <w:rFonts w:ascii="Traditional Arabic" w:hAnsi="Traditional Arabic" w:cs="Traditional Arabic"/>
          <w:sz w:val="30"/>
          <w:szCs w:val="30"/>
          <w:rtl/>
        </w:rPr>
        <w:t>، أصدر مجلس الأمن التابع للأمم المتحدة بيانًا يعرب عن قلقه الشديد إزاء الأثر الإنساني المدمر للنزاع و</w:t>
      </w:r>
      <w:r w:rsidRPr="00895CED">
        <w:rPr>
          <w:rFonts w:ascii="Traditional Arabic" w:hAnsi="Traditional Arabic" w:cs="Traditional Arabic"/>
          <w:sz w:val="30"/>
          <w:szCs w:val="30"/>
          <w:rtl/>
        </w:rPr>
        <w:t>يدعو جميع الأطراف إلى السماح ب</w:t>
      </w:r>
      <w:r w:rsidR="00473FEE" w:rsidRPr="00895CED">
        <w:rPr>
          <w:rFonts w:ascii="Traditional Arabic" w:hAnsi="Traditional Arabic" w:cs="Traditional Arabic"/>
          <w:sz w:val="30"/>
          <w:szCs w:val="30"/>
          <w:rtl/>
        </w:rPr>
        <w:t xml:space="preserve">وصول </w:t>
      </w:r>
      <w:r w:rsidRPr="00895CED">
        <w:rPr>
          <w:rFonts w:ascii="Traditional Arabic" w:hAnsi="Traditional Arabic" w:cs="Traditional Arabic"/>
          <w:sz w:val="30"/>
          <w:szCs w:val="30"/>
          <w:rtl/>
        </w:rPr>
        <w:t>ا</w:t>
      </w:r>
      <w:r w:rsidR="00473FEE" w:rsidRPr="00895CED">
        <w:rPr>
          <w:rFonts w:ascii="Traditional Arabic" w:hAnsi="Traditional Arabic" w:cs="Traditional Arabic"/>
          <w:sz w:val="30"/>
          <w:szCs w:val="30"/>
          <w:rtl/>
        </w:rPr>
        <w:t>لإمدادات الإنسانية</w:t>
      </w:r>
      <w:r w:rsidRPr="00895CED">
        <w:rPr>
          <w:rFonts w:ascii="Traditional Arabic" w:hAnsi="Traditional Arabic" w:cs="Traditional Arabic"/>
          <w:sz w:val="30"/>
          <w:szCs w:val="30"/>
          <w:rtl/>
        </w:rPr>
        <w:t xml:space="preserve"> بدون عوائق</w:t>
      </w:r>
      <w:r w:rsidR="00473FEE" w:rsidRPr="00895CED">
        <w:rPr>
          <w:rFonts w:ascii="Traditional Arabic" w:hAnsi="Traditional Arabic" w:cs="Traditional Arabic"/>
          <w:sz w:val="30"/>
          <w:szCs w:val="30"/>
          <w:rtl/>
        </w:rPr>
        <w:t xml:space="preserve"> وتسهيل الوصول إلى الواردات الأساسية من الغذاء والوقود </w:t>
      </w:r>
      <w:r w:rsidR="00473FEE" w:rsidRPr="00895CED">
        <w:rPr>
          <w:rFonts w:ascii="Traditional Arabic" w:hAnsi="Traditional Arabic" w:cs="Traditional Arabic"/>
          <w:sz w:val="30"/>
          <w:szCs w:val="30"/>
          <w:rtl/>
        </w:rPr>
        <w:lastRenderedPageBreak/>
        <w:t>والإمدادات الطبية. كما دعا جميع أطراف النزاع إلى تجديد التزامهم بوقف الأعمال القتالية</w:t>
      </w:r>
      <w:r w:rsidR="00473FEE" w:rsidRPr="00895CED">
        <w:rPr>
          <w:rFonts w:ascii="Traditional Arabic" w:hAnsi="Traditional Arabic" w:cs="Traditional Arabic"/>
          <w:sz w:val="30"/>
          <w:szCs w:val="30"/>
        </w:rPr>
        <w:t>.</w:t>
      </w:r>
    </w:p>
    <w:p w14:paraId="52C677A5" w14:textId="49CA298E"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4 </w:t>
      </w:r>
      <w:r w:rsidR="005A7315" w:rsidRPr="00895CED">
        <w:rPr>
          <w:rFonts w:ascii="Traditional Arabic" w:hAnsi="Traditional Arabic" w:cs="Traditional Arabic"/>
          <w:sz w:val="30"/>
          <w:szCs w:val="30"/>
          <w:rtl/>
        </w:rPr>
        <w:t>تشرين الثاني/ نوفمبر 2017</w:t>
      </w:r>
      <w:r w:rsidRPr="00895CED">
        <w:rPr>
          <w:rFonts w:ascii="Traditional Arabic" w:hAnsi="Traditional Arabic" w:cs="Traditional Arabic"/>
          <w:sz w:val="30"/>
          <w:szCs w:val="30"/>
          <w:rtl/>
        </w:rPr>
        <w:t xml:space="preserve">، أطلق الحوثيون صاروخًا من اليمن باتجاه العاصمة السعودية الرياض. </w:t>
      </w:r>
      <w:r w:rsidR="005A7315" w:rsidRPr="00895CED">
        <w:rPr>
          <w:rFonts w:ascii="Traditional Arabic" w:hAnsi="Traditional Arabic" w:cs="Traditional Arabic"/>
          <w:sz w:val="30"/>
          <w:szCs w:val="30"/>
          <w:rtl/>
        </w:rPr>
        <w:t>و</w:t>
      </w:r>
      <w:r w:rsidRPr="00895CED">
        <w:rPr>
          <w:rFonts w:ascii="Traditional Arabic" w:hAnsi="Traditional Arabic" w:cs="Traditional Arabic"/>
          <w:sz w:val="30"/>
          <w:szCs w:val="30"/>
          <w:rtl/>
        </w:rPr>
        <w:t xml:space="preserve">اعترض </w:t>
      </w:r>
      <w:r w:rsidR="00E3561E" w:rsidRPr="00895CED">
        <w:rPr>
          <w:rFonts w:ascii="Traditional Arabic" w:hAnsi="Traditional Arabic" w:cs="Traditional Arabic"/>
          <w:sz w:val="30"/>
          <w:szCs w:val="30"/>
          <w:rtl/>
        </w:rPr>
        <w:t>الدفاع الجوي</w:t>
      </w:r>
      <w:r w:rsidRPr="00895CED">
        <w:rPr>
          <w:rFonts w:ascii="Traditional Arabic" w:hAnsi="Traditional Arabic" w:cs="Traditional Arabic"/>
          <w:sz w:val="30"/>
          <w:szCs w:val="30"/>
          <w:rtl/>
        </w:rPr>
        <w:t xml:space="preserve"> السعودي الصاروخ فوق المدينة، لكن ورد أن شظايا سقطت في منطقة مطار الملك خالد الدولي</w:t>
      </w:r>
      <w:r w:rsidR="005A7315" w:rsidRPr="00895CED">
        <w:rPr>
          <w:rStyle w:val="FootnoteReference"/>
          <w:rFonts w:ascii="Traditional Arabic" w:eastAsia="Calibri" w:hAnsi="Traditional Arabic" w:cs="Traditional Arabic"/>
          <w:sz w:val="30"/>
          <w:szCs w:val="30"/>
          <w:lang w:val="de-AT"/>
        </w:rPr>
        <w:footnoteReference w:id="95"/>
      </w:r>
      <w:r w:rsidR="005A7315" w:rsidRPr="00895CED">
        <w:rPr>
          <w:rFonts w:ascii="Traditional Arabic" w:hAnsi="Traditional Arabic" w:cs="Traditional Arabic"/>
          <w:sz w:val="30"/>
          <w:szCs w:val="30"/>
          <w:rtl/>
        </w:rPr>
        <w:t>. رداً على ذلك</w:t>
      </w:r>
      <w:r w:rsidRPr="00895CED">
        <w:rPr>
          <w:rFonts w:ascii="Traditional Arabic" w:hAnsi="Traditional Arabic" w:cs="Traditional Arabic"/>
          <w:sz w:val="30"/>
          <w:szCs w:val="30"/>
          <w:rtl/>
        </w:rPr>
        <w:t xml:space="preserve">، </w:t>
      </w:r>
      <w:r w:rsidR="00771A10">
        <w:rPr>
          <w:rFonts w:ascii="Traditional Arabic" w:hAnsi="Traditional Arabic" w:cs="Traditional Arabic" w:hint="cs"/>
          <w:sz w:val="30"/>
          <w:szCs w:val="30"/>
          <w:rtl/>
        </w:rPr>
        <w:t>كثفت</w:t>
      </w:r>
      <w:r w:rsidR="005A7315" w:rsidRPr="00895CED">
        <w:rPr>
          <w:rFonts w:ascii="Traditional Arabic" w:hAnsi="Traditional Arabic" w:cs="Traditional Arabic"/>
          <w:sz w:val="30"/>
          <w:szCs w:val="30"/>
          <w:rtl/>
        </w:rPr>
        <w:t xml:space="preserve"> المملكة العربية السعودية</w:t>
      </w:r>
      <w:r w:rsidRPr="00895CED">
        <w:rPr>
          <w:rFonts w:ascii="Traditional Arabic" w:hAnsi="Traditional Arabic" w:cs="Traditional Arabic"/>
          <w:sz w:val="30"/>
          <w:szCs w:val="30"/>
          <w:rtl/>
        </w:rPr>
        <w:t xml:space="preserve"> الغارات الجوية في جميع أنحاء اليمن، واعتبارًا من 6 </w:t>
      </w:r>
      <w:r w:rsidR="005A7315"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 xml:space="preserve">نوفمبر أعلنت حصارًا كاملاً لجميع الحدود اليمنية - الجوية والبحرية والبرية. </w:t>
      </w:r>
      <w:r w:rsidR="005A7315" w:rsidRPr="00895CED">
        <w:rPr>
          <w:rFonts w:ascii="Traditional Arabic" w:hAnsi="Traditional Arabic" w:cs="Traditional Arabic"/>
          <w:sz w:val="30"/>
          <w:szCs w:val="30"/>
          <w:rtl/>
        </w:rPr>
        <w:t>ومُنعت</w:t>
      </w:r>
      <w:r w:rsidRPr="00895CED">
        <w:rPr>
          <w:rFonts w:ascii="Traditional Arabic" w:hAnsi="Traditional Arabic" w:cs="Traditional Arabic"/>
          <w:sz w:val="30"/>
          <w:szCs w:val="30"/>
          <w:rtl/>
        </w:rPr>
        <w:t xml:space="preserve"> جميع المساعدات الإنسانية من الدخول وتم</w:t>
      </w:r>
      <w:r w:rsidR="005A7315" w:rsidRPr="00895CED">
        <w:rPr>
          <w:rFonts w:ascii="Traditional Arabic" w:hAnsi="Traditional Arabic" w:cs="Traditional Arabic"/>
          <w:sz w:val="30"/>
          <w:szCs w:val="30"/>
          <w:rtl/>
        </w:rPr>
        <w:t xml:space="preserve"> إيقاف الرحلات الجوية الإنسانية، فعلق العاملو</w:t>
      </w:r>
      <w:r w:rsidRPr="00895CED">
        <w:rPr>
          <w:rFonts w:ascii="Traditional Arabic" w:hAnsi="Traditional Arabic" w:cs="Traditional Arabic"/>
          <w:sz w:val="30"/>
          <w:szCs w:val="30"/>
          <w:rtl/>
        </w:rPr>
        <w:t>ن في المجال الإنساني داخل اليمن</w:t>
      </w:r>
      <w:r w:rsidR="005A7315" w:rsidRPr="00895CED">
        <w:rPr>
          <w:rStyle w:val="FootnoteReference"/>
          <w:rFonts w:ascii="Traditional Arabic" w:eastAsia="Calibri" w:hAnsi="Traditional Arabic" w:cs="Traditional Arabic"/>
          <w:sz w:val="30"/>
          <w:szCs w:val="30"/>
          <w:lang w:val="de-AT"/>
        </w:rPr>
        <w:footnoteReference w:id="96"/>
      </w:r>
      <w:r w:rsidRPr="00895CED">
        <w:rPr>
          <w:rFonts w:ascii="Traditional Arabic" w:hAnsi="Traditional Arabic" w:cs="Traditional Arabic"/>
          <w:sz w:val="30"/>
          <w:szCs w:val="30"/>
          <w:rtl/>
        </w:rPr>
        <w:t xml:space="preserve">. في 22 </w:t>
      </w:r>
      <w:r w:rsidR="005A7315"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 أعلن التحالف أنه سيسمح باستئناف الرحلات الجوية الإنسانية إلى العاصمة صنعاء</w:t>
      </w:r>
      <w:r w:rsidR="005A7315" w:rsidRPr="00895CED">
        <w:rPr>
          <w:rFonts w:ascii="Traditional Arabic" w:hAnsi="Traditional Arabic" w:cs="Traditional Arabic"/>
          <w:sz w:val="30"/>
          <w:szCs w:val="30"/>
          <w:rtl/>
        </w:rPr>
        <w:t>، مع البدء بنقل</w:t>
      </w:r>
      <w:r w:rsidRPr="00895CED">
        <w:rPr>
          <w:rFonts w:ascii="Traditional Arabic" w:hAnsi="Traditional Arabic" w:cs="Traditional Arabic"/>
          <w:sz w:val="30"/>
          <w:szCs w:val="30"/>
          <w:rtl/>
        </w:rPr>
        <w:t xml:space="preserve"> "المواد الإنسانية والإغاثة العاجلة" إلى ميناء الحديدة الذي يسيطر عليه الحوثيون.</w:t>
      </w:r>
    </w:p>
    <w:p w14:paraId="23F59FA1" w14:textId="48FB1DC1" w:rsidR="00473FEE" w:rsidRPr="00895CED" w:rsidRDefault="00473FEE" w:rsidP="00CB221C">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bookmarkStart w:id="20" w:name="_Toc16155369"/>
      <w:bookmarkStart w:id="21" w:name="_Toc16155642"/>
      <w:bookmarkStart w:id="22" w:name="_Toc16155747"/>
      <w:bookmarkStart w:id="23" w:name="_Toc16193778"/>
      <w:bookmarkEnd w:id="20"/>
      <w:bookmarkEnd w:id="21"/>
      <w:bookmarkEnd w:id="22"/>
      <w:bookmarkEnd w:id="23"/>
      <w:r w:rsidRPr="00895CED">
        <w:rPr>
          <w:rFonts w:ascii="Traditional Arabic" w:hAnsi="Traditional Arabic" w:cs="Traditional Arabic"/>
          <w:sz w:val="30"/>
          <w:szCs w:val="30"/>
          <w:rtl/>
        </w:rPr>
        <w:t xml:space="preserve">من 28 </w:t>
      </w:r>
      <w:r w:rsidR="003967B7" w:rsidRPr="00895CED">
        <w:rPr>
          <w:rFonts w:ascii="Traditional Arabic" w:hAnsi="Traditional Arabic" w:cs="Traditional Arabic"/>
          <w:sz w:val="30"/>
          <w:szCs w:val="30"/>
          <w:rtl/>
        </w:rPr>
        <w:t>تشرين الث</w:t>
      </w:r>
      <w:r w:rsidR="00E3561E" w:rsidRPr="00895CED">
        <w:rPr>
          <w:rFonts w:ascii="Traditional Arabic" w:hAnsi="Traditional Arabic" w:cs="Traditional Arabic"/>
          <w:sz w:val="30"/>
          <w:szCs w:val="30"/>
          <w:rtl/>
        </w:rPr>
        <w:t>ا</w:t>
      </w:r>
      <w:r w:rsidR="003967B7" w:rsidRPr="00895CED">
        <w:rPr>
          <w:rFonts w:ascii="Traditional Arabic" w:hAnsi="Traditional Arabic" w:cs="Traditional Arabic"/>
          <w:sz w:val="30"/>
          <w:szCs w:val="30"/>
          <w:rtl/>
        </w:rPr>
        <w:t>ني/ نوفمبر 2017</w:t>
      </w:r>
      <w:r w:rsidRPr="00895CED">
        <w:rPr>
          <w:rFonts w:ascii="Traditional Arabic" w:hAnsi="Traditional Arabic" w:cs="Traditional Arabic"/>
          <w:sz w:val="30"/>
          <w:szCs w:val="30"/>
          <w:rtl/>
        </w:rPr>
        <w:t xml:space="preserve">، في أعقاب التوترات المستمرة بين </w:t>
      </w:r>
      <w:r w:rsidR="00460474" w:rsidRPr="00895CED">
        <w:rPr>
          <w:rFonts w:ascii="Traditional Arabic" w:hAnsi="Traditional Arabic" w:cs="Traditional Arabic"/>
          <w:sz w:val="30"/>
          <w:szCs w:val="30"/>
          <w:rtl/>
        </w:rPr>
        <w:t xml:space="preserve">الحلفاء </w:t>
      </w:r>
      <w:r w:rsidRPr="00895CED">
        <w:rPr>
          <w:rFonts w:ascii="Traditional Arabic" w:hAnsi="Traditional Arabic" w:cs="Traditional Arabic"/>
          <w:sz w:val="30"/>
          <w:szCs w:val="30"/>
          <w:rtl/>
        </w:rPr>
        <w:t xml:space="preserve">الحوثيين والرئيس السابق صالح، اشتبكت قواتهم في صنعاء. في 2 </w:t>
      </w:r>
      <w:r w:rsidR="003967B7" w:rsidRPr="00895CED">
        <w:rPr>
          <w:rFonts w:ascii="Traditional Arabic" w:hAnsi="Traditional Arabic" w:cs="Traditional Arabic"/>
          <w:sz w:val="30"/>
          <w:szCs w:val="30"/>
          <w:rtl/>
        </w:rPr>
        <w:t xml:space="preserve">كانون الأول/ </w:t>
      </w:r>
      <w:r w:rsidRPr="00895CED">
        <w:rPr>
          <w:rFonts w:ascii="Traditional Arabic" w:hAnsi="Traditional Arabic" w:cs="Traditional Arabic"/>
          <w:sz w:val="30"/>
          <w:szCs w:val="30"/>
          <w:rtl/>
        </w:rPr>
        <w:t>ديسمبر، أعلن صالح في بيان متلفز انفصاله عن الحوثيين، داعيا</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أنصاره إلى استعادة البلاد والتعبير عن استعدادهم </w:t>
      </w:r>
      <w:r w:rsidR="00771A10">
        <w:rPr>
          <w:rFonts w:ascii="Traditional Arabic" w:hAnsi="Traditional Arabic" w:cs="Traditional Arabic" w:hint="cs"/>
          <w:sz w:val="30"/>
          <w:szCs w:val="30"/>
          <w:rtl/>
        </w:rPr>
        <w:t>للدخول في حوار</w:t>
      </w:r>
      <w:r w:rsidRPr="00895CED">
        <w:rPr>
          <w:rFonts w:ascii="Traditional Arabic" w:hAnsi="Traditional Arabic" w:cs="Traditional Arabic"/>
          <w:sz w:val="30"/>
          <w:szCs w:val="30"/>
          <w:rtl/>
        </w:rPr>
        <w:t xml:space="preserve"> مع </w:t>
      </w:r>
      <w:r w:rsidR="00460474" w:rsidRPr="00895CED">
        <w:rPr>
          <w:rFonts w:ascii="Traditional Arabic" w:hAnsi="Traditional Arabic" w:cs="Traditional Arabic"/>
          <w:sz w:val="30"/>
          <w:szCs w:val="30"/>
          <w:rtl/>
        </w:rPr>
        <w:t>التحالف</w:t>
      </w:r>
      <w:r w:rsidRPr="00895CED">
        <w:rPr>
          <w:rFonts w:ascii="Traditional Arabic" w:hAnsi="Traditional Arabic" w:cs="Traditional Arabic"/>
          <w:sz w:val="30"/>
          <w:szCs w:val="30"/>
          <w:rtl/>
        </w:rPr>
        <w:t xml:space="preserve">. في 4 </w:t>
      </w:r>
      <w:r w:rsidR="003967B7" w:rsidRPr="00895CED">
        <w:rPr>
          <w:rFonts w:ascii="Traditional Arabic" w:hAnsi="Traditional Arabic" w:cs="Traditional Arabic"/>
          <w:sz w:val="30"/>
          <w:szCs w:val="30"/>
          <w:rtl/>
        </w:rPr>
        <w:t xml:space="preserve">كانون الأول/ </w:t>
      </w:r>
      <w:r w:rsidRPr="00895CED">
        <w:rPr>
          <w:rFonts w:ascii="Traditional Arabic" w:hAnsi="Traditional Arabic" w:cs="Traditional Arabic"/>
          <w:sz w:val="30"/>
          <w:szCs w:val="30"/>
          <w:rtl/>
        </w:rPr>
        <w:t xml:space="preserve">ديسمبر، هاجم </w:t>
      </w:r>
      <w:r w:rsidR="00720E90">
        <w:rPr>
          <w:rFonts w:ascii="Traditional Arabic" w:hAnsi="Traditional Arabic" w:cs="Traditional Arabic" w:hint="cs"/>
          <w:sz w:val="30"/>
          <w:szCs w:val="30"/>
          <w:rtl/>
        </w:rPr>
        <w:t xml:space="preserve">مقاتلو </w:t>
      </w:r>
      <w:r w:rsidRPr="00895CED">
        <w:rPr>
          <w:rFonts w:ascii="Traditional Arabic" w:hAnsi="Traditional Arabic" w:cs="Traditional Arabic"/>
          <w:sz w:val="30"/>
          <w:szCs w:val="30"/>
          <w:rtl/>
        </w:rPr>
        <w:t>الحوثي</w:t>
      </w:r>
      <w:r w:rsidR="00720E90">
        <w:rPr>
          <w:rFonts w:ascii="Traditional Arabic" w:hAnsi="Traditional Arabic" w:cs="Traditional Arabic" w:hint="cs"/>
          <w:sz w:val="30"/>
          <w:szCs w:val="30"/>
          <w:rtl/>
        </w:rPr>
        <w:t>و</w:t>
      </w:r>
      <w:r w:rsidR="003967B7" w:rsidRPr="00895CED">
        <w:rPr>
          <w:rFonts w:ascii="Traditional Arabic" w:hAnsi="Traditional Arabic" w:cs="Traditional Arabic"/>
          <w:sz w:val="30"/>
          <w:szCs w:val="30"/>
          <w:rtl/>
        </w:rPr>
        <w:t xml:space="preserve">ن منزل صالح في صنعاء. </w:t>
      </w:r>
      <w:r w:rsidRPr="00895CED">
        <w:rPr>
          <w:rFonts w:ascii="Traditional Arabic" w:hAnsi="Traditional Arabic" w:cs="Traditional Arabic"/>
          <w:sz w:val="30"/>
          <w:szCs w:val="30"/>
          <w:rtl/>
        </w:rPr>
        <w:t xml:space="preserve">قُتل صالح على يد الحوثيين </w:t>
      </w:r>
      <w:r w:rsidR="00771A10">
        <w:rPr>
          <w:rFonts w:ascii="Traditional Arabic" w:hAnsi="Traditional Arabic" w:cs="Traditional Arabic" w:hint="cs"/>
          <w:sz w:val="30"/>
          <w:szCs w:val="30"/>
          <w:rtl/>
        </w:rPr>
        <w:t xml:space="preserve">في ذلك اليوم </w:t>
      </w:r>
      <w:r w:rsidRPr="00895CED">
        <w:rPr>
          <w:rFonts w:ascii="Traditional Arabic" w:hAnsi="Traditional Arabic" w:cs="Traditional Arabic"/>
          <w:sz w:val="30"/>
          <w:szCs w:val="30"/>
          <w:rtl/>
        </w:rPr>
        <w:t xml:space="preserve">في ظروف </w:t>
      </w:r>
      <w:r w:rsidR="00460474" w:rsidRPr="00895CED">
        <w:rPr>
          <w:rFonts w:ascii="Traditional Arabic" w:hAnsi="Traditional Arabic" w:cs="Traditional Arabic"/>
          <w:sz w:val="30"/>
          <w:szCs w:val="30"/>
          <w:rtl/>
        </w:rPr>
        <w:t>اختلفت الرويات حولها</w:t>
      </w:r>
      <w:r w:rsidR="003967B7" w:rsidRPr="00895CED">
        <w:rPr>
          <w:rStyle w:val="FootnoteReference"/>
          <w:rFonts w:ascii="Traditional Arabic" w:hAnsi="Traditional Arabic" w:cs="Traditional Arabic"/>
          <w:sz w:val="30"/>
          <w:szCs w:val="30"/>
        </w:rPr>
        <w:footnoteReference w:id="97"/>
      </w:r>
      <w:r w:rsidRPr="00895CED">
        <w:rPr>
          <w:rFonts w:ascii="Traditional Arabic" w:hAnsi="Traditional Arabic" w:cs="Traditional Arabic"/>
          <w:sz w:val="30"/>
          <w:szCs w:val="30"/>
        </w:rPr>
        <w:t>.</w:t>
      </w:r>
    </w:p>
    <w:p w14:paraId="1035AB51" w14:textId="255E901A" w:rsidR="00473FEE" w:rsidRPr="00895CED" w:rsidRDefault="005A7315"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في</w:t>
      </w:r>
      <w:r w:rsidR="00473FEE" w:rsidRPr="00895CED">
        <w:rPr>
          <w:rFonts w:ascii="Traditional Arabic" w:hAnsi="Traditional Arabic" w:cs="Traditional Arabic"/>
          <w:sz w:val="30"/>
          <w:szCs w:val="30"/>
          <w:rtl/>
        </w:rPr>
        <w:t xml:space="preserve"> 21 </w:t>
      </w:r>
      <w:r w:rsidRPr="00895CED">
        <w:rPr>
          <w:rFonts w:ascii="Traditional Arabic" w:hAnsi="Traditional Arabic" w:cs="Traditional Arabic"/>
          <w:sz w:val="30"/>
          <w:szCs w:val="30"/>
          <w:rtl/>
        </w:rPr>
        <w:t>كانون الثاني/ يناير 2018</w:t>
      </w:r>
      <w:r w:rsidR="003132FE" w:rsidRPr="00895CED">
        <w:rPr>
          <w:rFonts w:ascii="Traditional Arabic" w:hAnsi="Traditional Arabic" w:cs="Traditional Arabic"/>
          <w:sz w:val="30"/>
          <w:szCs w:val="30"/>
          <w:rtl/>
        </w:rPr>
        <w:t xml:space="preserve">، أعلن المجلس الانتقالي الجنوبي </w:t>
      </w:r>
      <w:r w:rsidR="00473FEE" w:rsidRPr="00895CED">
        <w:rPr>
          <w:rFonts w:ascii="Traditional Arabic" w:hAnsi="Traditional Arabic" w:cs="Traditional Arabic"/>
          <w:sz w:val="30"/>
          <w:szCs w:val="30"/>
          <w:rtl/>
        </w:rPr>
        <w:t>المتحالف مع دولة الإمارات العربية المتحدة</w:t>
      </w:r>
      <w:r w:rsidR="003132FE" w:rsidRPr="00895CED">
        <w:rPr>
          <w:rFonts w:ascii="Traditional Arabic" w:hAnsi="Traditional Arabic" w:cs="Traditional Arabic"/>
          <w:sz w:val="30"/>
          <w:szCs w:val="30"/>
          <w:rtl/>
        </w:rPr>
        <w:t>،</w:t>
      </w:r>
      <w:r w:rsidR="00473FEE" w:rsidRPr="00895CED">
        <w:rPr>
          <w:rFonts w:ascii="Traditional Arabic" w:hAnsi="Traditional Arabic" w:cs="Traditional Arabic"/>
          <w:sz w:val="30"/>
          <w:szCs w:val="30"/>
          <w:rtl/>
        </w:rPr>
        <w:t xml:space="preserve"> حالة الطوارئ في عدن وأص</w:t>
      </w:r>
      <w:r w:rsidR="003132FE" w:rsidRPr="00895CED">
        <w:rPr>
          <w:rFonts w:ascii="Traditional Arabic" w:hAnsi="Traditional Arabic" w:cs="Traditional Arabic"/>
          <w:sz w:val="30"/>
          <w:szCs w:val="30"/>
          <w:rtl/>
        </w:rPr>
        <w:t>در</w:t>
      </w:r>
      <w:r w:rsidR="00473FEE" w:rsidRPr="00895CED">
        <w:rPr>
          <w:rFonts w:ascii="Traditional Arabic" w:hAnsi="Traditional Arabic" w:cs="Traditional Arabic"/>
          <w:sz w:val="30"/>
          <w:szCs w:val="30"/>
          <w:rtl/>
        </w:rPr>
        <w:t xml:space="preserve"> إنذاراً للرئيس هادي لإقالة حكومته، مما أدى إلى تفاقم التوترات بين أعضاء التحالف. </w:t>
      </w:r>
      <w:r w:rsidR="003132FE" w:rsidRPr="00895CED">
        <w:rPr>
          <w:rFonts w:ascii="Traditional Arabic" w:hAnsi="Traditional Arabic" w:cs="Traditional Arabic"/>
          <w:sz w:val="30"/>
          <w:szCs w:val="30"/>
          <w:rtl/>
        </w:rPr>
        <w:t>و</w:t>
      </w:r>
      <w:r w:rsidR="00473FEE" w:rsidRPr="00895CED">
        <w:rPr>
          <w:rFonts w:ascii="Traditional Arabic" w:hAnsi="Traditional Arabic" w:cs="Traditional Arabic"/>
          <w:sz w:val="30"/>
          <w:szCs w:val="30"/>
          <w:rtl/>
        </w:rPr>
        <w:t xml:space="preserve">عقب انقضاء مهلة </w:t>
      </w:r>
      <w:r w:rsidR="003132FE" w:rsidRPr="00895CED">
        <w:rPr>
          <w:rFonts w:ascii="Traditional Arabic" w:hAnsi="Traditional Arabic" w:cs="Traditional Arabic"/>
          <w:sz w:val="30"/>
          <w:szCs w:val="30"/>
          <w:rtl/>
        </w:rPr>
        <w:t>الأ</w:t>
      </w:r>
      <w:r w:rsidR="00473FEE" w:rsidRPr="00895CED">
        <w:rPr>
          <w:rFonts w:ascii="Traditional Arabic" w:hAnsi="Traditional Arabic" w:cs="Traditional Arabic"/>
          <w:sz w:val="30"/>
          <w:szCs w:val="30"/>
          <w:rtl/>
        </w:rPr>
        <w:t xml:space="preserve">سبوع، واستجابة لتدابير الرئيس هادي </w:t>
      </w:r>
      <w:r w:rsidR="003132FE" w:rsidRPr="00895CED">
        <w:rPr>
          <w:rFonts w:ascii="Traditional Arabic" w:hAnsi="Traditional Arabic" w:cs="Traditional Arabic"/>
          <w:sz w:val="30"/>
          <w:szCs w:val="30"/>
          <w:rtl/>
        </w:rPr>
        <w:t xml:space="preserve">المضادة من أجل </w:t>
      </w:r>
      <w:r w:rsidR="00473FEE" w:rsidRPr="00895CED">
        <w:rPr>
          <w:rFonts w:ascii="Traditional Arabic" w:hAnsi="Traditional Arabic" w:cs="Traditional Arabic"/>
          <w:sz w:val="30"/>
          <w:szCs w:val="30"/>
          <w:rtl/>
        </w:rPr>
        <w:t>منع التجمعات والمظاهرات ومنع الجماعات المسلحة من دخول عدن، في 28 و29 كانون الثاني</w:t>
      </w:r>
      <w:r w:rsidR="003132FE" w:rsidRPr="00895CED">
        <w:rPr>
          <w:rFonts w:ascii="Traditional Arabic" w:hAnsi="Traditional Arabic" w:cs="Traditional Arabic"/>
          <w:sz w:val="30"/>
          <w:szCs w:val="30"/>
          <w:rtl/>
        </w:rPr>
        <w:t>/ يناير، اشتبك المجلس الانتقالي الجنوبي و</w:t>
      </w:r>
      <w:r w:rsidR="00473FEE" w:rsidRPr="00895CED">
        <w:rPr>
          <w:rFonts w:ascii="Traditional Arabic" w:hAnsi="Traditional Arabic" w:cs="Traditional Arabic"/>
          <w:sz w:val="30"/>
          <w:szCs w:val="30"/>
          <w:rtl/>
        </w:rPr>
        <w:t xml:space="preserve">مؤيدوه مع القوات الموالية لهادي. </w:t>
      </w:r>
      <w:r w:rsidR="003132FE" w:rsidRPr="00895CED">
        <w:rPr>
          <w:rFonts w:ascii="Traditional Arabic" w:hAnsi="Traditional Arabic" w:cs="Traditional Arabic"/>
          <w:sz w:val="30"/>
          <w:szCs w:val="30"/>
          <w:rtl/>
        </w:rPr>
        <w:t xml:space="preserve">وسيطرت </w:t>
      </w:r>
      <w:r w:rsidR="00473FEE" w:rsidRPr="00895CED">
        <w:rPr>
          <w:rFonts w:ascii="Traditional Arabic" w:hAnsi="Traditional Arabic" w:cs="Traditional Arabic"/>
          <w:sz w:val="30"/>
          <w:szCs w:val="30"/>
          <w:rtl/>
        </w:rPr>
        <w:t xml:space="preserve">القوات المدعومة من دولة الإمارات العربية المتحدة </w:t>
      </w:r>
      <w:r w:rsidR="003132FE" w:rsidRPr="00895CED">
        <w:rPr>
          <w:rFonts w:ascii="Traditional Arabic" w:hAnsi="Traditional Arabic" w:cs="Traditional Arabic"/>
          <w:sz w:val="30"/>
          <w:szCs w:val="30"/>
          <w:rtl/>
        </w:rPr>
        <w:t>والمتحالفة مع المجلس</w:t>
      </w:r>
      <w:r w:rsidR="00473FEE" w:rsidRPr="00895CED">
        <w:rPr>
          <w:rFonts w:ascii="Traditional Arabic" w:hAnsi="Traditional Arabic" w:cs="Traditional Arabic"/>
          <w:sz w:val="30"/>
          <w:szCs w:val="30"/>
        </w:rPr>
        <w:t xml:space="preserve"> </w:t>
      </w:r>
      <w:r w:rsidR="00473FEE" w:rsidRPr="00895CED">
        <w:rPr>
          <w:rFonts w:ascii="Traditional Arabic" w:hAnsi="Traditional Arabic" w:cs="Traditional Arabic"/>
          <w:sz w:val="30"/>
          <w:szCs w:val="30"/>
          <w:rtl/>
        </w:rPr>
        <w:t xml:space="preserve">على معظم </w:t>
      </w:r>
      <w:r w:rsidR="003132FE" w:rsidRPr="00895CED">
        <w:rPr>
          <w:rFonts w:ascii="Traditional Arabic" w:hAnsi="Traditional Arabic" w:cs="Traditional Arabic"/>
          <w:sz w:val="30"/>
          <w:szCs w:val="30"/>
          <w:rtl/>
        </w:rPr>
        <w:br/>
        <w:t xml:space="preserve">أنحاء </w:t>
      </w:r>
      <w:r w:rsidR="00473FEE" w:rsidRPr="00895CED">
        <w:rPr>
          <w:rFonts w:ascii="Traditional Arabic" w:hAnsi="Traditional Arabic" w:cs="Traditional Arabic"/>
          <w:sz w:val="30"/>
          <w:szCs w:val="30"/>
          <w:rtl/>
        </w:rPr>
        <w:t>المدينة وأحاطت بالقصر الرئاسي في</w:t>
      </w:r>
      <w:r w:rsidR="003132FE" w:rsidRPr="00895CED">
        <w:rPr>
          <w:rFonts w:ascii="Traditional Arabic" w:hAnsi="Traditional Arabic" w:cs="Traditional Arabic"/>
          <w:sz w:val="30"/>
          <w:szCs w:val="30"/>
          <w:rtl/>
        </w:rPr>
        <w:t xml:space="preserve"> ما وصفه الرئيس هادي ب</w:t>
      </w:r>
      <w:r w:rsidR="00473FEE" w:rsidRPr="00895CED">
        <w:rPr>
          <w:rFonts w:ascii="Traditional Arabic" w:hAnsi="Traditional Arabic" w:cs="Traditional Arabic"/>
          <w:sz w:val="30"/>
          <w:szCs w:val="30"/>
          <w:rtl/>
        </w:rPr>
        <w:t xml:space="preserve"> "محاولة انقلاب</w:t>
      </w:r>
      <w:r w:rsidR="003132FE" w:rsidRPr="00895CED">
        <w:rPr>
          <w:rFonts w:ascii="Traditional Arabic" w:hAnsi="Traditional Arabic" w:cs="Traditional Arabic"/>
          <w:sz w:val="30"/>
          <w:szCs w:val="30"/>
          <w:rtl/>
        </w:rPr>
        <w:t>ية</w:t>
      </w:r>
      <w:r w:rsidR="00473FEE" w:rsidRPr="00895CED">
        <w:rPr>
          <w:rFonts w:ascii="Traditional Arabic" w:hAnsi="Traditional Arabic" w:cs="Traditional Arabic"/>
          <w:sz w:val="30"/>
          <w:szCs w:val="30"/>
          <w:rtl/>
        </w:rPr>
        <w:t xml:space="preserve">"، على الرغم من أن القوات السعودية </w:t>
      </w:r>
      <w:r w:rsidR="003132FE" w:rsidRPr="00895CED">
        <w:rPr>
          <w:rFonts w:ascii="Traditional Arabic" w:hAnsi="Traditional Arabic" w:cs="Traditional Arabic"/>
          <w:sz w:val="30"/>
          <w:szCs w:val="30"/>
          <w:rtl/>
        </w:rPr>
        <w:t xml:space="preserve">منعتهم من </w:t>
      </w:r>
      <w:r w:rsidR="00473FEE" w:rsidRPr="00895CED">
        <w:rPr>
          <w:rFonts w:ascii="Traditional Arabic" w:hAnsi="Traditional Arabic" w:cs="Traditional Arabic"/>
          <w:sz w:val="30"/>
          <w:szCs w:val="30"/>
          <w:rtl/>
        </w:rPr>
        <w:t>دخول القصر</w:t>
      </w:r>
      <w:r w:rsidR="00473FEE" w:rsidRPr="00895CED">
        <w:rPr>
          <w:rFonts w:ascii="Traditional Arabic" w:hAnsi="Traditional Arabic" w:cs="Traditional Arabic"/>
          <w:sz w:val="30"/>
          <w:szCs w:val="30"/>
        </w:rPr>
        <w:t>.</w:t>
      </w:r>
    </w:p>
    <w:p w14:paraId="0E823116" w14:textId="5A58A5B3" w:rsidR="00473FEE" w:rsidRPr="00895CED" w:rsidRDefault="003132FE" w:rsidP="00361237">
      <w:pPr>
        <w:pStyle w:val="Footer"/>
        <w:numPr>
          <w:ilvl w:val="0"/>
          <w:numId w:val="3"/>
        </w:numPr>
        <w:tabs>
          <w:tab w:val="left" w:pos="720"/>
        </w:tabs>
        <w:bidi/>
        <w:spacing w:after="240"/>
        <w:ind w:left="1089" w:right="1089" w:firstLine="0"/>
        <w:jc w:val="both"/>
        <w:rPr>
          <w:rStyle w:val="fontstyle01"/>
          <w:rFonts w:ascii="Traditional Arabic" w:hAnsi="Traditional Arabic" w:cs="Traditional Arabic"/>
          <w:color w:val="auto"/>
          <w:sz w:val="30"/>
          <w:szCs w:val="30"/>
        </w:rPr>
      </w:pPr>
      <w:r w:rsidRPr="00895CED">
        <w:rPr>
          <w:rStyle w:val="fontstyle01"/>
          <w:rFonts w:ascii="Traditional Arabic" w:hAnsi="Traditional Arabic" w:cs="Traditional Arabic"/>
          <w:color w:val="auto"/>
          <w:sz w:val="30"/>
          <w:szCs w:val="30"/>
          <w:rtl/>
        </w:rPr>
        <w:t xml:space="preserve">ابتداءً </w:t>
      </w:r>
      <w:r w:rsidR="00473FEE" w:rsidRPr="00895CED">
        <w:rPr>
          <w:rStyle w:val="fontstyle01"/>
          <w:rFonts w:ascii="Traditional Arabic" w:hAnsi="Traditional Arabic" w:cs="Traditional Arabic"/>
          <w:color w:val="auto"/>
          <w:sz w:val="30"/>
          <w:szCs w:val="30"/>
          <w:rtl/>
        </w:rPr>
        <w:t xml:space="preserve">من </w:t>
      </w:r>
      <w:r w:rsidRPr="00895CED">
        <w:rPr>
          <w:rStyle w:val="fontstyle01"/>
          <w:rFonts w:ascii="Traditional Arabic" w:hAnsi="Traditional Arabic" w:cs="Traditional Arabic"/>
          <w:color w:val="auto"/>
          <w:sz w:val="30"/>
          <w:szCs w:val="30"/>
          <w:rtl/>
        </w:rPr>
        <w:t>أيار/ مايو 2018</w:t>
      </w:r>
      <w:r w:rsidR="00473FEE" w:rsidRPr="00895CED">
        <w:rPr>
          <w:rStyle w:val="fontstyle01"/>
          <w:rFonts w:ascii="Traditional Arabic" w:hAnsi="Traditional Arabic" w:cs="Traditional Arabic"/>
          <w:color w:val="auto"/>
          <w:sz w:val="30"/>
          <w:szCs w:val="30"/>
          <w:rtl/>
        </w:rPr>
        <w:t xml:space="preserve">، بدأت القوات والجماعات المسلحة اليمنية المدعومة من دولة الإمارات العربية المتحدة في التعبئة لشن هجوم بدأ رسميًا في 13 </w:t>
      </w:r>
      <w:r w:rsidRPr="00895CED">
        <w:rPr>
          <w:rStyle w:val="fontstyle01"/>
          <w:rFonts w:ascii="Traditional Arabic" w:hAnsi="Traditional Arabic" w:cs="Traditional Arabic"/>
          <w:color w:val="auto"/>
          <w:sz w:val="30"/>
          <w:szCs w:val="30"/>
          <w:rtl/>
        </w:rPr>
        <w:t xml:space="preserve">حزيران/ </w:t>
      </w:r>
      <w:r w:rsidR="00473FEE" w:rsidRPr="00895CED">
        <w:rPr>
          <w:rStyle w:val="fontstyle01"/>
          <w:rFonts w:ascii="Traditional Arabic" w:hAnsi="Traditional Arabic" w:cs="Traditional Arabic"/>
          <w:color w:val="auto"/>
          <w:sz w:val="30"/>
          <w:szCs w:val="30"/>
          <w:rtl/>
        </w:rPr>
        <w:t xml:space="preserve">يونيو، أثناء تحركها نحو مدينة الحديدة وسط تحذيرات مستمرة من الأمم المتحدة وغيرها من </w:t>
      </w:r>
      <w:r w:rsidRPr="00895CED">
        <w:rPr>
          <w:rStyle w:val="fontstyle01"/>
          <w:rFonts w:ascii="Traditional Arabic" w:hAnsi="Traditional Arabic" w:cs="Traditional Arabic"/>
          <w:color w:val="auto"/>
          <w:sz w:val="30"/>
          <w:szCs w:val="30"/>
          <w:rtl/>
        </w:rPr>
        <w:t xml:space="preserve">أن يقود ذلك الى </w:t>
      </w:r>
      <w:r w:rsidR="00473FEE" w:rsidRPr="00895CED">
        <w:rPr>
          <w:rStyle w:val="fontstyle01"/>
          <w:rFonts w:ascii="Traditional Arabic" w:hAnsi="Traditional Arabic" w:cs="Traditional Arabic"/>
          <w:color w:val="auto"/>
          <w:sz w:val="30"/>
          <w:szCs w:val="30"/>
          <w:rtl/>
        </w:rPr>
        <w:t xml:space="preserve">كارثة إنسانية. في منتصف </w:t>
      </w:r>
      <w:r w:rsidRPr="00895CED">
        <w:rPr>
          <w:rStyle w:val="fontstyle01"/>
          <w:rFonts w:ascii="Traditional Arabic" w:hAnsi="Traditional Arabic" w:cs="Traditional Arabic"/>
          <w:color w:val="auto"/>
          <w:sz w:val="30"/>
          <w:szCs w:val="30"/>
          <w:rtl/>
        </w:rPr>
        <w:t xml:space="preserve">تموز/ </w:t>
      </w:r>
      <w:r w:rsidR="00473FEE" w:rsidRPr="00895CED">
        <w:rPr>
          <w:rStyle w:val="fontstyle01"/>
          <w:rFonts w:ascii="Traditional Arabic" w:hAnsi="Traditional Arabic" w:cs="Traditional Arabic"/>
          <w:color w:val="auto"/>
          <w:sz w:val="30"/>
          <w:szCs w:val="30"/>
          <w:rtl/>
        </w:rPr>
        <w:t>يوليو، تقدمت القوات المسلحة اليمنية في الشمال</w:t>
      </w:r>
      <w:r w:rsidRPr="00895CED">
        <w:rPr>
          <w:rStyle w:val="fontstyle01"/>
          <w:rFonts w:ascii="Traditional Arabic" w:hAnsi="Traditional Arabic" w:cs="Traditional Arabic"/>
          <w:color w:val="auto"/>
          <w:sz w:val="30"/>
          <w:szCs w:val="30"/>
          <w:rtl/>
        </w:rPr>
        <w:t xml:space="preserve">، مع </w:t>
      </w:r>
      <w:r w:rsidR="00473FEE" w:rsidRPr="00895CED">
        <w:rPr>
          <w:rStyle w:val="fontstyle01"/>
          <w:rFonts w:ascii="Traditional Arabic" w:hAnsi="Traditional Arabic" w:cs="Traditional Arabic"/>
          <w:color w:val="auto"/>
          <w:sz w:val="30"/>
          <w:szCs w:val="30"/>
          <w:rtl/>
        </w:rPr>
        <w:t>دعم جوي من قوات التحالف</w:t>
      </w:r>
      <w:r w:rsidR="003263DC" w:rsidRPr="00895CED">
        <w:rPr>
          <w:rStyle w:val="fontstyle01"/>
          <w:rFonts w:ascii="Traditional Arabic" w:hAnsi="Traditional Arabic" w:cs="Traditional Arabic"/>
          <w:color w:val="auto"/>
          <w:sz w:val="30"/>
          <w:szCs w:val="30"/>
          <w:rtl/>
        </w:rPr>
        <w:t>، إلى منطقتين في محافظة حجة</w:t>
      </w:r>
      <w:r w:rsidR="00473FEE" w:rsidRPr="00895CED">
        <w:rPr>
          <w:rStyle w:val="fontstyle01"/>
          <w:rFonts w:ascii="Traditional Arabic" w:hAnsi="Traditional Arabic" w:cs="Traditional Arabic"/>
          <w:color w:val="auto"/>
          <w:sz w:val="30"/>
          <w:szCs w:val="30"/>
          <w:rtl/>
        </w:rPr>
        <w:t xml:space="preserve">، وقطعت خطوط الإمداد الحوثية عن </w:t>
      </w:r>
      <w:r w:rsidR="00473FEE" w:rsidRPr="00895CED">
        <w:rPr>
          <w:rStyle w:val="fontstyle01"/>
          <w:rFonts w:ascii="Traditional Arabic" w:hAnsi="Traditional Arabic" w:cs="Traditional Arabic"/>
          <w:color w:val="auto"/>
          <w:sz w:val="30"/>
          <w:szCs w:val="30"/>
          <w:rtl/>
        </w:rPr>
        <w:lastRenderedPageBreak/>
        <w:t>محافظتي حجة وصعدة. اندلعت الاشتباكات ع</w:t>
      </w:r>
      <w:r w:rsidR="003263DC" w:rsidRPr="00895CED">
        <w:rPr>
          <w:rStyle w:val="fontstyle01"/>
          <w:rFonts w:ascii="Traditional Arabic" w:hAnsi="Traditional Arabic" w:cs="Traditional Arabic"/>
          <w:color w:val="auto"/>
          <w:sz w:val="30"/>
          <w:szCs w:val="30"/>
          <w:rtl/>
        </w:rPr>
        <w:t>لى طول الخطوط الأمامية في حجة وص</w:t>
      </w:r>
      <w:r w:rsidR="00473FEE" w:rsidRPr="00895CED">
        <w:rPr>
          <w:rStyle w:val="fontstyle01"/>
          <w:rFonts w:ascii="Traditional Arabic" w:hAnsi="Traditional Arabic" w:cs="Traditional Arabic"/>
          <w:color w:val="auto"/>
          <w:sz w:val="30"/>
          <w:szCs w:val="30"/>
          <w:rtl/>
        </w:rPr>
        <w:t>عدة مع استمرار الأحزاب في القتال من أجل السيطرة على الأجزاء</w:t>
      </w:r>
      <w:r w:rsidR="003263DC" w:rsidRPr="00895CED">
        <w:rPr>
          <w:rStyle w:val="fontstyle01"/>
          <w:rFonts w:ascii="Traditional Arabic" w:hAnsi="Traditional Arabic" w:cs="Traditional Arabic"/>
          <w:color w:val="auto"/>
          <w:sz w:val="30"/>
          <w:szCs w:val="30"/>
          <w:rtl/>
        </w:rPr>
        <w:t xml:space="preserve"> المهمة استراتيجياً في المحافظتين</w:t>
      </w:r>
      <w:r w:rsidR="00473FEE" w:rsidRPr="00895CED">
        <w:rPr>
          <w:rStyle w:val="fontstyle01"/>
          <w:rFonts w:ascii="Traditional Arabic" w:hAnsi="Traditional Arabic" w:cs="Traditional Arabic"/>
          <w:color w:val="auto"/>
          <w:sz w:val="30"/>
          <w:szCs w:val="30"/>
          <w:rtl/>
        </w:rPr>
        <w:t>.</w:t>
      </w:r>
    </w:p>
    <w:p w14:paraId="7CABE1A2" w14:textId="74755113"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أوائل </w:t>
      </w:r>
      <w:r w:rsidR="003263DC"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w:t>
      </w:r>
      <w:r w:rsidR="00794C48" w:rsidRPr="00895CED">
        <w:rPr>
          <w:rFonts w:ascii="Traditional Arabic" w:hAnsi="Traditional Arabic" w:cs="Traditional Arabic"/>
          <w:sz w:val="30"/>
          <w:szCs w:val="30"/>
          <w:rtl/>
        </w:rPr>
        <w:t xml:space="preserve"> 2018</w:t>
      </w:r>
      <w:r w:rsidRPr="00895CED">
        <w:rPr>
          <w:rFonts w:ascii="Traditional Arabic" w:hAnsi="Traditional Arabic" w:cs="Traditional Arabic"/>
          <w:sz w:val="30"/>
          <w:szCs w:val="30"/>
          <w:rtl/>
        </w:rPr>
        <w:t>، اشتد</w:t>
      </w:r>
      <w:r w:rsidR="003263DC"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القتال حول مدينة الحديدة قبل أن توقف القوات المسلحة ا</w:t>
      </w:r>
      <w:r w:rsidR="003263DC" w:rsidRPr="00895CED">
        <w:rPr>
          <w:rFonts w:ascii="Traditional Arabic" w:hAnsi="Traditional Arabic" w:cs="Traditional Arabic"/>
          <w:sz w:val="30"/>
          <w:szCs w:val="30"/>
          <w:rtl/>
        </w:rPr>
        <w:t>ليمنية والجماعات المسلحة الموالية</w:t>
      </w:r>
      <w:r w:rsidRPr="00895CED">
        <w:rPr>
          <w:rFonts w:ascii="Traditional Arabic" w:hAnsi="Traditional Arabic" w:cs="Traditional Arabic"/>
          <w:sz w:val="30"/>
          <w:szCs w:val="30"/>
          <w:rtl/>
        </w:rPr>
        <w:t xml:space="preserve"> هجومها، في 13 </w:t>
      </w:r>
      <w:r w:rsidR="003263DC" w:rsidRPr="00895CED">
        <w:rPr>
          <w:rFonts w:ascii="Traditional Arabic" w:hAnsi="Traditional Arabic" w:cs="Traditional Arabic"/>
          <w:sz w:val="30"/>
          <w:szCs w:val="30"/>
          <w:rtl/>
        </w:rPr>
        <w:t xml:space="preserve">تشرين الثاني/ </w:t>
      </w:r>
      <w:r w:rsidRPr="00895CED">
        <w:rPr>
          <w:rFonts w:ascii="Traditional Arabic" w:hAnsi="Traditional Arabic" w:cs="Traditional Arabic"/>
          <w:sz w:val="30"/>
          <w:szCs w:val="30"/>
          <w:rtl/>
        </w:rPr>
        <w:t>نوفمبر. بعد شهر واحد، وتحت رعاية المبعوث الخاص للأمين العام لليمن، توص</w:t>
      </w:r>
      <w:r w:rsidR="003263DC" w:rsidRPr="00895CED">
        <w:rPr>
          <w:rFonts w:ascii="Traditional Arabic" w:hAnsi="Traditional Arabic" w:cs="Traditional Arabic"/>
          <w:sz w:val="30"/>
          <w:szCs w:val="30"/>
          <w:rtl/>
        </w:rPr>
        <w:t>ّل الأطراف</w:t>
      </w:r>
      <w:r w:rsidRPr="00895CED">
        <w:rPr>
          <w:rFonts w:ascii="Traditional Arabic" w:hAnsi="Traditional Arabic" w:cs="Traditional Arabic"/>
          <w:sz w:val="30"/>
          <w:szCs w:val="30"/>
          <w:rtl/>
        </w:rPr>
        <w:t xml:space="preserve"> إلى اتفاق </w:t>
      </w:r>
      <w:r w:rsidR="003263DC" w:rsidRPr="00895CED">
        <w:rPr>
          <w:rFonts w:ascii="Traditional Arabic" w:hAnsi="Traditional Arabic" w:cs="Traditional Arabic"/>
          <w:sz w:val="30"/>
          <w:szCs w:val="30"/>
          <w:rtl/>
        </w:rPr>
        <w:t>حمل اسم</w:t>
      </w:r>
      <w:r w:rsidRPr="00895CED">
        <w:rPr>
          <w:rFonts w:ascii="Traditional Arabic" w:hAnsi="Traditional Arabic" w:cs="Traditional Arabic"/>
          <w:sz w:val="30"/>
          <w:szCs w:val="30"/>
          <w:rtl/>
        </w:rPr>
        <w:t xml:space="preserve"> اتفاق ستوكهولم، لوقف إطلاق النار في مدينة الحديدة</w:t>
      </w:r>
      <w:r w:rsidR="003263DC" w:rsidRPr="00895CED">
        <w:rPr>
          <w:rFonts w:ascii="Traditional Arabic" w:hAnsi="Traditional Arabic" w:cs="Traditional Arabic"/>
          <w:sz w:val="30"/>
          <w:szCs w:val="30"/>
          <w:rtl/>
        </w:rPr>
        <w:t xml:space="preserve">، مع خطط لتسليم </w:t>
      </w:r>
      <w:r w:rsidR="0032663D" w:rsidRPr="00895CED">
        <w:rPr>
          <w:rFonts w:ascii="Traditional Arabic" w:hAnsi="Traditional Arabic" w:cs="Traditional Arabic"/>
          <w:sz w:val="30"/>
          <w:szCs w:val="30"/>
          <w:rtl/>
        </w:rPr>
        <w:t>موانئ</w:t>
      </w:r>
      <w:r w:rsidRPr="00895CED">
        <w:rPr>
          <w:rFonts w:ascii="Traditional Arabic" w:hAnsi="Traditional Arabic" w:cs="Traditional Arabic"/>
          <w:sz w:val="30"/>
          <w:szCs w:val="30"/>
          <w:rtl/>
        </w:rPr>
        <w:t xml:space="preserve"> الحديدة</w:t>
      </w:r>
      <w:r w:rsidR="003263DC" w:rsidRPr="00895CED">
        <w:rPr>
          <w:rFonts w:ascii="Traditional Arabic" w:hAnsi="Traditional Arabic" w:cs="Traditional Arabic"/>
          <w:sz w:val="30"/>
          <w:szCs w:val="30"/>
          <w:rtl/>
        </w:rPr>
        <w:t xml:space="preserve">، </w:t>
      </w:r>
      <w:r w:rsidR="0032663D" w:rsidRPr="00895CED">
        <w:rPr>
          <w:rFonts w:ascii="Traditional Arabic" w:hAnsi="Traditional Arabic" w:cs="Traditional Arabic"/>
          <w:sz w:val="30"/>
          <w:szCs w:val="30"/>
          <w:rtl/>
        </w:rPr>
        <w:t>صليف</w:t>
      </w:r>
      <w:r w:rsidR="003263DC" w:rsidRPr="00895CED">
        <w:rPr>
          <w:rFonts w:ascii="Traditional Arabic" w:hAnsi="Traditional Arabic" w:cs="Traditional Arabic"/>
          <w:sz w:val="30"/>
          <w:szCs w:val="30"/>
          <w:rtl/>
        </w:rPr>
        <w:t xml:space="preserve"> ورأس عيسى</w:t>
      </w:r>
      <w:r w:rsidRPr="00895CED">
        <w:rPr>
          <w:rFonts w:ascii="Traditional Arabic" w:hAnsi="Traditional Arabic" w:cs="Traditional Arabic"/>
          <w:sz w:val="30"/>
          <w:szCs w:val="30"/>
          <w:rtl/>
        </w:rPr>
        <w:t xml:space="preserve">، </w:t>
      </w:r>
      <w:r w:rsidR="003263DC" w:rsidRPr="00895CED">
        <w:rPr>
          <w:rFonts w:ascii="Traditional Arabic" w:hAnsi="Traditional Arabic" w:cs="Traditional Arabic"/>
          <w:sz w:val="30"/>
          <w:szCs w:val="30"/>
          <w:rtl/>
        </w:rPr>
        <w:t>و</w:t>
      </w:r>
      <w:r w:rsidR="0032663D" w:rsidRPr="00895CED">
        <w:rPr>
          <w:rFonts w:ascii="Traditional Arabic" w:hAnsi="Traditional Arabic" w:cs="Traditional Arabic"/>
          <w:sz w:val="30"/>
          <w:szCs w:val="30"/>
          <w:rtl/>
        </w:rPr>
        <w:t xml:space="preserve">ايجاد </w:t>
      </w:r>
      <w:r w:rsidR="003263DC" w:rsidRPr="00895CED">
        <w:rPr>
          <w:rFonts w:ascii="Traditional Arabic" w:hAnsi="Traditional Arabic" w:cs="Traditional Arabic"/>
          <w:sz w:val="30"/>
          <w:szCs w:val="30"/>
          <w:rtl/>
        </w:rPr>
        <w:t xml:space="preserve">آلية </w:t>
      </w:r>
      <w:r w:rsidR="0032663D" w:rsidRPr="00895CED">
        <w:rPr>
          <w:rFonts w:ascii="Traditional Arabic" w:hAnsi="Traditional Arabic" w:cs="Traditional Arabic"/>
          <w:sz w:val="30"/>
          <w:szCs w:val="30"/>
          <w:rtl/>
        </w:rPr>
        <w:t>ل</w:t>
      </w:r>
      <w:r w:rsidR="003263DC" w:rsidRPr="00895CED">
        <w:rPr>
          <w:rFonts w:ascii="Traditional Arabic" w:hAnsi="Traditional Arabic" w:cs="Traditional Arabic"/>
          <w:sz w:val="30"/>
          <w:szCs w:val="30"/>
          <w:rtl/>
        </w:rPr>
        <w:t>تبادل الأسرى وبيان</w:t>
      </w:r>
      <w:r w:rsidRPr="00895CED">
        <w:rPr>
          <w:rFonts w:ascii="Traditional Arabic" w:hAnsi="Traditional Arabic" w:cs="Traditional Arabic"/>
          <w:sz w:val="30"/>
          <w:szCs w:val="30"/>
          <w:rtl/>
        </w:rPr>
        <w:t xml:space="preserve"> تفاهم بشأن تعز. </w:t>
      </w:r>
      <w:r w:rsidR="003263DC" w:rsidRPr="00895CED">
        <w:rPr>
          <w:rFonts w:ascii="Traditional Arabic" w:hAnsi="Traditional Arabic" w:cs="Traditional Arabic"/>
          <w:sz w:val="30"/>
          <w:szCs w:val="30"/>
          <w:rtl/>
        </w:rPr>
        <w:t xml:space="preserve">تقدم تنفيذ اتفاق ستوكهولم ببطء، بينما </w:t>
      </w:r>
      <w:r w:rsidRPr="00895CED">
        <w:rPr>
          <w:rFonts w:ascii="Traditional Arabic" w:hAnsi="Traditional Arabic" w:cs="Traditional Arabic"/>
          <w:sz w:val="30"/>
          <w:szCs w:val="30"/>
          <w:rtl/>
        </w:rPr>
        <w:t>منعت سلطات الأمر الواقع الوصول إلى الحبوب المخزنة في مطاحن البحر الأحمر (تكفي لإطعام 3.7 مليون شخص لمدة شهر)</w:t>
      </w:r>
      <w:r w:rsidR="003967B7" w:rsidRPr="00895CED">
        <w:rPr>
          <w:rFonts w:ascii="Traditional Arabic" w:hAnsi="Traditional Arabic" w:cs="Traditional Arabic"/>
          <w:sz w:val="30"/>
          <w:szCs w:val="30"/>
          <w:rtl/>
        </w:rPr>
        <w:t xml:space="preserve"> حتى أيار/ مايو 2019</w:t>
      </w:r>
      <w:r w:rsidRPr="00895CED">
        <w:rPr>
          <w:rFonts w:ascii="Traditional Arabic" w:hAnsi="Traditional Arabic" w:cs="Traditional Arabic"/>
          <w:sz w:val="30"/>
          <w:szCs w:val="30"/>
          <w:rtl/>
        </w:rPr>
        <w:t>. كما أعاقت الأطراف الوصول إلى منشأة تخزين النفط البالغة 1.1 مليون برميل في البحر في ميناء رأس عيسى</w:t>
      </w:r>
      <w:r w:rsidR="003967B7" w:rsidRPr="00895CED">
        <w:rPr>
          <w:rFonts w:ascii="Traditional Arabic" w:hAnsi="Traditional Arabic" w:cs="Traditional Arabic"/>
          <w:sz w:val="30"/>
          <w:szCs w:val="30"/>
          <w:rtl/>
        </w:rPr>
        <w:t>، وهي</w:t>
      </w:r>
      <w:r w:rsidRPr="00895CED">
        <w:rPr>
          <w:rFonts w:ascii="Traditional Arabic" w:hAnsi="Traditional Arabic" w:cs="Traditional Arabic"/>
          <w:sz w:val="30"/>
          <w:szCs w:val="30"/>
          <w:rtl/>
        </w:rPr>
        <w:t xml:space="preserve"> تتطلب صيانة عاجلة لتجنب حدوث تسر</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ب </w:t>
      </w:r>
      <w:r w:rsidR="003967B7" w:rsidRPr="00895CED">
        <w:rPr>
          <w:rFonts w:ascii="Traditional Arabic" w:hAnsi="Traditional Arabic" w:cs="Traditional Arabic"/>
          <w:sz w:val="30"/>
          <w:szCs w:val="30"/>
          <w:rtl/>
        </w:rPr>
        <w:t>قد يكون له</w:t>
      </w:r>
      <w:r w:rsidRPr="00895CED">
        <w:rPr>
          <w:rFonts w:ascii="Traditional Arabic" w:hAnsi="Traditional Arabic" w:cs="Traditional Arabic"/>
          <w:sz w:val="30"/>
          <w:szCs w:val="30"/>
          <w:rtl/>
        </w:rPr>
        <w:t xml:space="preserve"> تأثير بيئي كارثي على البحر الأحمر.</w:t>
      </w:r>
    </w:p>
    <w:p w14:paraId="1CB19B28" w14:textId="5CA431A0"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شهد </w:t>
      </w:r>
      <w:r w:rsidR="003967B7" w:rsidRPr="00895CED">
        <w:rPr>
          <w:rFonts w:ascii="Traditional Arabic" w:hAnsi="Traditional Arabic" w:cs="Traditional Arabic"/>
          <w:sz w:val="30"/>
          <w:szCs w:val="30"/>
          <w:rtl/>
        </w:rPr>
        <w:t xml:space="preserve">شهر كانون الثاني/ </w:t>
      </w:r>
      <w:r w:rsidRPr="00895CED">
        <w:rPr>
          <w:rFonts w:ascii="Traditional Arabic" w:hAnsi="Traditional Arabic" w:cs="Traditional Arabic"/>
          <w:sz w:val="30"/>
          <w:szCs w:val="30"/>
          <w:rtl/>
        </w:rPr>
        <w:t xml:space="preserve">يناير 2019 نهاية هدنة بين الحوثيين وقبائل </w:t>
      </w:r>
      <w:r w:rsidR="0032663D" w:rsidRPr="00895CED">
        <w:rPr>
          <w:rFonts w:ascii="Traditional Arabic" w:hAnsi="Traditional Arabic" w:cs="Traditional Arabic"/>
          <w:sz w:val="30"/>
          <w:szCs w:val="30"/>
          <w:rtl/>
        </w:rPr>
        <w:t>حجور</w:t>
      </w:r>
      <w:r w:rsidRPr="00895CED">
        <w:rPr>
          <w:rFonts w:ascii="Traditional Arabic" w:hAnsi="Traditional Arabic" w:cs="Traditional Arabic"/>
          <w:sz w:val="30"/>
          <w:szCs w:val="30"/>
          <w:rtl/>
        </w:rPr>
        <w:t>، وداخل ذلك الجزء من محا</w:t>
      </w:r>
      <w:r w:rsidR="003967B7" w:rsidRPr="00895CED">
        <w:rPr>
          <w:rFonts w:ascii="Traditional Arabic" w:hAnsi="Traditional Arabic" w:cs="Traditional Arabic"/>
          <w:sz w:val="30"/>
          <w:szCs w:val="30"/>
          <w:rtl/>
        </w:rPr>
        <w:t>فظة حجة</w:t>
      </w:r>
      <w:r w:rsidRPr="00895CED">
        <w:rPr>
          <w:rFonts w:ascii="Traditional Arabic" w:hAnsi="Traditional Arabic" w:cs="Traditional Arabic"/>
          <w:sz w:val="30"/>
          <w:szCs w:val="30"/>
          <w:rtl/>
        </w:rPr>
        <w:t>، بداية العمليات العسكرية الت</w:t>
      </w:r>
      <w:r w:rsidR="003967B7" w:rsidRPr="00895CED">
        <w:rPr>
          <w:rFonts w:ascii="Traditional Arabic" w:hAnsi="Traditional Arabic" w:cs="Traditional Arabic"/>
          <w:sz w:val="30"/>
          <w:szCs w:val="30"/>
          <w:rtl/>
        </w:rPr>
        <w:t xml:space="preserve">ي انتهت باستيلاء الحوثيين على </w:t>
      </w:r>
      <w:r w:rsidR="0032663D" w:rsidRPr="00895CED">
        <w:rPr>
          <w:rFonts w:ascii="Traditional Arabic" w:hAnsi="Traditional Arabic" w:cs="Traditional Arabic"/>
          <w:sz w:val="30"/>
          <w:szCs w:val="30"/>
          <w:rtl/>
        </w:rPr>
        <w:t>حجور</w:t>
      </w:r>
      <w:r w:rsidRPr="00895CED">
        <w:rPr>
          <w:rFonts w:ascii="Traditional Arabic" w:hAnsi="Traditional Arabic" w:cs="Traditional Arabic"/>
          <w:sz w:val="30"/>
          <w:szCs w:val="30"/>
          <w:rtl/>
        </w:rPr>
        <w:t xml:space="preserve"> في 8 </w:t>
      </w:r>
      <w:r w:rsidR="003967B7" w:rsidRPr="00895CED">
        <w:rPr>
          <w:rFonts w:ascii="Traditional Arabic" w:hAnsi="Traditional Arabic" w:cs="Traditional Arabic"/>
          <w:sz w:val="30"/>
          <w:szCs w:val="30"/>
          <w:rtl/>
        </w:rPr>
        <w:t>آذار/ مارس. تعتبر المنطقة</w:t>
      </w:r>
      <w:r w:rsidRPr="00895CED">
        <w:rPr>
          <w:rFonts w:ascii="Traditional Arabic" w:hAnsi="Traditional Arabic" w:cs="Traditional Arabic"/>
          <w:sz w:val="30"/>
          <w:szCs w:val="30"/>
          <w:rtl/>
        </w:rPr>
        <w:t xml:space="preserve">، بما في ذلك جبل </w:t>
      </w:r>
      <w:r w:rsidR="0032663D" w:rsidRPr="00895CED">
        <w:rPr>
          <w:rFonts w:ascii="Traditional Arabic" w:hAnsi="Traditional Arabic" w:cs="Traditional Arabic"/>
          <w:sz w:val="30"/>
          <w:szCs w:val="30"/>
          <w:rtl/>
        </w:rPr>
        <w:t>كشر</w:t>
      </w:r>
      <w:r w:rsidRPr="00895CED">
        <w:rPr>
          <w:rFonts w:ascii="Traditional Arabic" w:hAnsi="Traditional Arabic" w:cs="Traditional Arabic"/>
          <w:sz w:val="30"/>
          <w:szCs w:val="30"/>
          <w:rtl/>
        </w:rPr>
        <w:t xml:space="preserve"> والعبيسة، </w:t>
      </w:r>
      <w:r w:rsidR="00771A10">
        <w:rPr>
          <w:rFonts w:ascii="Traditional Arabic" w:hAnsi="Traditional Arabic" w:cs="Traditional Arabic" w:hint="cs"/>
          <w:sz w:val="30"/>
          <w:szCs w:val="30"/>
          <w:rtl/>
        </w:rPr>
        <w:t xml:space="preserve">التي تم اعتبرها </w:t>
      </w:r>
      <w:r w:rsidRPr="00895CED">
        <w:rPr>
          <w:rFonts w:ascii="Traditional Arabic" w:hAnsi="Traditional Arabic" w:cs="Traditional Arabic"/>
          <w:sz w:val="30"/>
          <w:szCs w:val="30"/>
          <w:rtl/>
        </w:rPr>
        <w:t>ذات أهمية استراتيجية</w:t>
      </w:r>
      <w:r w:rsidR="003967B7" w:rsidRPr="00895CED">
        <w:rPr>
          <w:rFonts w:ascii="Traditional Arabic" w:hAnsi="Traditional Arabic" w:cs="Traditional Arabic"/>
          <w:sz w:val="30"/>
          <w:szCs w:val="30"/>
          <w:rtl/>
        </w:rPr>
        <w:t xml:space="preserve">، كونها تربط بين </w:t>
      </w:r>
      <w:r w:rsidRPr="00895CED">
        <w:rPr>
          <w:rFonts w:ascii="Traditional Arabic" w:hAnsi="Traditional Arabic" w:cs="Traditional Arabic"/>
          <w:sz w:val="30"/>
          <w:szCs w:val="30"/>
          <w:rtl/>
        </w:rPr>
        <w:t xml:space="preserve">العديد من المحافظات. في أوائل </w:t>
      </w:r>
      <w:r w:rsidR="003967B7"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بدأ المقاتلون الحوثيون يتقدمون جنوبًا، واستولوا على الجبال والقرى في محافظتي الضالع والبيضة بعد قتال عنيف مع القوات المسلحة اليمن</w:t>
      </w:r>
      <w:r w:rsidR="003967B7" w:rsidRPr="00895CED">
        <w:rPr>
          <w:rFonts w:ascii="Traditional Arabic" w:hAnsi="Traditional Arabic" w:cs="Traditional Arabic"/>
          <w:sz w:val="30"/>
          <w:szCs w:val="30"/>
          <w:rtl/>
        </w:rPr>
        <w:t>ية والجماعات المسلحة الموالية لها</w:t>
      </w:r>
      <w:r w:rsidRPr="00895CED">
        <w:rPr>
          <w:rFonts w:ascii="Traditional Arabic" w:hAnsi="Traditional Arabic" w:cs="Traditional Arabic"/>
          <w:sz w:val="30"/>
          <w:szCs w:val="30"/>
          <w:rtl/>
        </w:rPr>
        <w:t>.</w:t>
      </w:r>
    </w:p>
    <w:p w14:paraId="3C589480" w14:textId="6EED5A9A"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895CED">
        <w:rPr>
          <w:rFonts w:ascii="Traditional Arabic" w:hAnsi="Traditional Arabic" w:cs="Traditional Arabic"/>
          <w:sz w:val="30"/>
          <w:szCs w:val="30"/>
          <w:rtl/>
        </w:rPr>
        <w:t xml:space="preserve">في 13 </w:t>
      </w:r>
      <w:r w:rsidR="003967B7" w:rsidRPr="00895CED">
        <w:rPr>
          <w:rFonts w:ascii="Traditional Arabic" w:hAnsi="Traditional Arabic" w:cs="Traditional Arabic"/>
          <w:sz w:val="30"/>
          <w:szCs w:val="30"/>
          <w:rtl/>
        </w:rPr>
        <w:t>نيسان/ أبريل 2019</w:t>
      </w:r>
      <w:r w:rsidRPr="00895CED">
        <w:rPr>
          <w:rFonts w:ascii="Traditional Arabic" w:hAnsi="Traditional Arabic" w:cs="Traditional Arabic"/>
          <w:sz w:val="30"/>
          <w:szCs w:val="30"/>
          <w:rtl/>
        </w:rPr>
        <w:t>، انعقد البرلم</w:t>
      </w:r>
      <w:r w:rsidR="003967B7" w:rsidRPr="00895CED">
        <w:rPr>
          <w:rFonts w:ascii="Traditional Arabic" w:hAnsi="Traditional Arabic" w:cs="Traditional Arabic"/>
          <w:sz w:val="30"/>
          <w:szCs w:val="30"/>
          <w:rtl/>
        </w:rPr>
        <w:t>ان اليمني لأول مرة منذ عام 2015</w:t>
      </w:r>
      <w:r w:rsidRPr="00895CED">
        <w:rPr>
          <w:rFonts w:ascii="Traditional Arabic" w:hAnsi="Traditional Arabic" w:cs="Traditional Arabic"/>
          <w:sz w:val="30"/>
          <w:szCs w:val="30"/>
          <w:rtl/>
        </w:rPr>
        <w:t>، واجتمع في سي</w:t>
      </w:r>
      <w:r w:rsidR="003967B7" w:rsidRPr="00895CED">
        <w:rPr>
          <w:rFonts w:ascii="Traditional Arabic" w:hAnsi="Traditional Arabic" w:cs="Traditional Arabic"/>
          <w:sz w:val="30"/>
          <w:szCs w:val="30"/>
          <w:rtl/>
        </w:rPr>
        <w:t>ّ</w:t>
      </w:r>
      <w:r w:rsidR="00794C48" w:rsidRPr="00895CED">
        <w:rPr>
          <w:rFonts w:ascii="Traditional Arabic" w:hAnsi="Traditional Arabic" w:cs="Traditional Arabic"/>
          <w:sz w:val="30"/>
          <w:szCs w:val="30"/>
          <w:rtl/>
        </w:rPr>
        <w:t>ؤ</w:t>
      </w:r>
      <w:r w:rsidRPr="00895CED">
        <w:rPr>
          <w:rFonts w:ascii="Traditional Arabic" w:hAnsi="Traditional Arabic" w:cs="Traditional Arabic"/>
          <w:sz w:val="30"/>
          <w:szCs w:val="30"/>
          <w:rtl/>
        </w:rPr>
        <w:t xml:space="preserve">ن، </w:t>
      </w:r>
      <w:r w:rsidR="003967B7" w:rsidRPr="00895CED">
        <w:rPr>
          <w:rFonts w:ascii="Traditional Arabic" w:hAnsi="Traditional Arabic" w:cs="Traditional Arabic"/>
          <w:sz w:val="30"/>
          <w:szCs w:val="30"/>
          <w:rtl/>
        </w:rPr>
        <w:t xml:space="preserve">في </w:t>
      </w:r>
      <w:r w:rsidRPr="00895CED">
        <w:rPr>
          <w:rFonts w:ascii="Traditional Arabic" w:hAnsi="Traditional Arabic" w:cs="Traditional Arabic"/>
          <w:sz w:val="30"/>
          <w:szCs w:val="30"/>
          <w:rtl/>
        </w:rPr>
        <w:t>محافظة حضرموت. وهددت سلطات الأمر الواقع بعد ذلك بتجريد حوالي 100 من البرلمانيين الذين يعيشون في الخارج من حصانتهم و</w:t>
      </w:r>
      <w:r w:rsidR="003967B7" w:rsidRPr="00895CED">
        <w:rPr>
          <w:rFonts w:ascii="Traditional Arabic" w:hAnsi="Traditional Arabic" w:cs="Traditional Arabic"/>
          <w:sz w:val="30"/>
          <w:szCs w:val="30"/>
          <w:rtl/>
        </w:rPr>
        <w:t>ب</w:t>
      </w:r>
      <w:r w:rsidRPr="00895CED">
        <w:rPr>
          <w:rFonts w:ascii="Traditional Arabic" w:hAnsi="Traditional Arabic" w:cs="Traditional Arabic"/>
          <w:sz w:val="30"/>
          <w:szCs w:val="30"/>
          <w:rtl/>
        </w:rPr>
        <w:t xml:space="preserve">اتخاذ إجراءات قضائية ضدهم بتهمة الخيانة. وفي </w:t>
      </w:r>
      <w:r w:rsidR="003967B7" w:rsidRPr="00895CED">
        <w:rPr>
          <w:rFonts w:ascii="Traditional Arabic" w:hAnsi="Traditional Arabic" w:cs="Traditional Arabic"/>
          <w:sz w:val="30"/>
          <w:szCs w:val="30"/>
          <w:rtl/>
        </w:rPr>
        <w:t xml:space="preserve">نيسان/ </w:t>
      </w:r>
      <w:r w:rsidRPr="00895CED">
        <w:rPr>
          <w:rFonts w:ascii="Traditional Arabic" w:hAnsi="Traditional Arabic" w:cs="Traditional Arabic"/>
          <w:sz w:val="30"/>
          <w:szCs w:val="30"/>
          <w:rtl/>
        </w:rPr>
        <w:t>أبريل أيضًا، تم</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 تشكيل تجم</w:t>
      </w:r>
      <w:r w:rsidR="003967B7" w:rsidRPr="00895CED">
        <w:rPr>
          <w:rFonts w:ascii="Traditional Arabic" w:hAnsi="Traditional Arabic" w:cs="Traditional Arabic"/>
          <w:sz w:val="30"/>
          <w:szCs w:val="30"/>
          <w:rtl/>
        </w:rPr>
        <w:t>ّ</w:t>
      </w:r>
      <w:r w:rsidRPr="00895CED">
        <w:rPr>
          <w:rFonts w:ascii="Traditional Arabic" w:hAnsi="Traditional Arabic" w:cs="Traditional Arabic"/>
          <w:sz w:val="30"/>
          <w:szCs w:val="30"/>
          <w:rtl/>
        </w:rPr>
        <w:t xml:space="preserve">عين سياسيين منفصلين مؤلفين من أفراد وأحزاب سياسية صغيرة في الجنوب لدعم حكومة اليمن. في أوائل شهر </w:t>
      </w:r>
      <w:r w:rsidR="003967B7" w:rsidRPr="00895CED">
        <w:rPr>
          <w:rFonts w:ascii="Traditional Arabic" w:hAnsi="Traditional Arabic" w:cs="Traditional Arabic"/>
          <w:sz w:val="30"/>
          <w:szCs w:val="30"/>
          <w:rtl/>
        </w:rPr>
        <w:t xml:space="preserve">أيار/ </w:t>
      </w:r>
      <w:r w:rsidRPr="00895CED">
        <w:rPr>
          <w:rFonts w:ascii="Traditional Arabic" w:hAnsi="Traditional Arabic" w:cs="Traditional Arabic"/>
          <w:sz w:val="30"/>
          <w:szCs w:val="30"/>
          <w:rtl/>
        </w:rPr>
        <w:t>مايو، التقى جزء من مؤتمر الشعب العا</w:t>
      </w:r>
      <w:r w:rsidR="003967B7" w:rsidRPr="00895CED">
        <w:rPr>
          <w:rFonts w:ascii="Traditional Arabic" w:hAnsi="Traditional Arabic" w:cs="Traditional Arabic"/>
          <w:sz w:val="30"/>
          <w:szCs w:val="30"/>
          <w:rtl/>
        </w:rPr>
        <w:t>م في صنعاء وانتخب أحمد علي صالح</w:t>
      </w:r>
      <w:r w:rsidRPr="00895CED">
        <w:rPr>
          <w:rFonts w:ascii="Traditional Arabic" w:hAnsi="Traditional Arabic" w:cs="Traditional Arabic"/>
          <w:sz w:val="30"/>
          <w:szCs w:val="30"/>
          <w:rtl/>
        </w:rPr>
        <w:t>، الرئيس السابق للحرس الجمهوري ونجل الرئيس السابق علي عبد الله صالح</w:t>
      </w:r>
      <w:r w:rsidR="003967B7" w:rsidRPr="00895CED">
        <w:rPr>
          <w:rFonts w:ascii="Traditional Arabic" w:hAnsi="Traditional Arabic" w:cs="Traditional Arabic"/>
          <w:sz w:val="30"/>
          <w:szCs w:val="30"/>
          <w:rtl/>
        </w:rPr>
        <w:t xml:space="preserve">، </w:t>
      </w:r>
      <w:r w:rsidRPr="00895CED">
        <w:rPr>
          <w:rFonts w:ascii="Traditional Arabic" w:hAnsi="Traditional Arabic" w:cs="Traditional Arabic"/>
          <w:sz w:val="30"/>
          <w:szCs w:val="30"/>
          <w:rtl/>
        </w:rPr>
        <w:t>نائب</w:t>
      </w:r>
      <w:r w:rsidR="003967B7" w:rsidRPr="00895CED">
        <w:rPr>
          <w:rFonts w:ascii="Traditional Arabic" w:hAnsi="Traditional Arabic" w:cs="Traditional Arabic"/>
          <w:sz w:val="30"/>
          <w:szCs w:val="30"/>
          <w:rtl/>
        </w:rPr>
        <w:t>اً</w:t>
      </w:r>
      <w:r w:rsidRPr="00895CED">
        <w:rPr>
          <w:rFonts w:ascii="Traditional Arabic" w:hAnsi="Traditional Arabic" w:cs="Traditional Arabic"/>
          <w:sz w:val="30"/>
          <w:szCs w:val="30"/>
          <w:rtl/>
        </w:rPr>
        <w:t xml:space="preserve"> ثان</w:t>
      </w:r>
      <w:r w:rsidR="003967B7" w:rsidRPr="00895CED">
        <w:rPr>
          <w:rFonts w:ascii="Traditional Arabic" w:hAnsi="Traditional Arabic" w:cs="Traditional Arabic"/>
          <w:sz w:val="30"/>
          <w:szCs w:val="30"/>
          <w:rtl/>
        </w:rPr>
        <w:t>ياً</w:t>
      </w:r>
      <w:r w:rsidRPr="00895CED">
        <w:rPr>
          <w:rFonts w:ascii="Traditional Arabic" w:hAnsi="Traditional Arabic" w:cs="Traditional Arabic"/>
          <w:sz w:val="30"/>
          <w:szCs w:val="30"/>
          <w:rtl/>
        </w:rPr>
        <w:t xml:space="preserve"> لرئيس الحزب</w:t>
      </w:r>
      <w:r w:rsidR="003967B7" w:rsidRPr="00895CED">
        <w:rPr>
          <w:rFonts w:ascii="Traditional Arabic" w:hAnsi="Traditional Arabic" w:cs="Traditional Arabic"/>
          <w:sz w:val="30"/>
          <w:szCs w:val="30"/>
          <w:rtl/>
        </w:rPr>
        <w:t>، بينما بقي مقيماً</w:t>
      </w:r>
      <w:r w:rsidRPr="00895CED">
        <w:rPr>
          <w:rFonts w:ascii="Traditional Arabic" w:hAnsi="Traditional Arabic" w:cs="Traditional Arabic"/>
          <w:sz w:val="30"/>
          <w:szCs w:val="30"/>
          <w:rtl/>
        </w:rPr>
        <w:t xml:space="preserve"> في دولة الإمارات العربية المتحدة.</w:t>
      </w:r>
    </w:p>
    <w:p w14:paraId="22B9B2BE" w14:textId="1AED1B87" w:rsidR="006B3FDB" w:rsidRPr="00895CED" w:rsidRDefault="006B3FDB"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tl/>
        </w:rPr>
      </w:pPr>
      <w:r w:rsidRPr="00895CED">
        <w:rPr>
          <w:rFonts w:ascii="Traditional Arabic" w:hAnsi="Traditional Arabic" w:cs="Traditional Arabic"/>
          <w:sz w:val="30"/>
          <w:szCs w:val="30"/>
          <w:rtl/>
        </w:rPr>
        <w:t>في 14 مايو</w:t>
      </w:r>
      <w:r w:rsidRPr="00895CED">
        <w:rPr>
          <w:rFonts w:ascii="Traditional Arabic" w:hAnsi="Traditional Arabic" w:cs="Traditional Arabic"/>
          <w:sz w:val="30"/>
          <w:szCs w:val="30"/>
          <w:rtl/>
          <w:lang w:bidi="ar-JO"/>
        </w:rPr>
        <w:t>/ ايار</w:t>
      </w:r>
      <w:r w:rsidRPr="00895CED">
        <w:rPr>
          <w:rFonts w:ascii="Traditional Arabic" w:hAnsi="Traditional Arabic" w:cs="Traditional Arabic"/>
          <w:sz w:val="30"/>
          <w:szCs w:val="30"/>
          <w:rtl/>
        </w:rPr>
        <w:t xml:space="preserve"> ، أعلن الحوثيون مسؤوليتهم عن هجمات الطائرات بدون طيار التي ضربت المنشآت النفطية في المملكة العربية السعودية ، مما أدى إلى تكثيف الحملة الجوية للتحالف والهجمات الصاروخية اللاحقة من قبل الحوثيون ، بما في ذلك </w:t>
      </w:r>
      <w:r w:rsidR="00B86743" w:rsidRPr="00895CED">
        <w:rPr>
          <w:rFonts w:ascii="Traditional Arabic" w:hAnsi="Traditional Arabic" w:cs="Traditional Arabic"/>
          <w:sz w:val="30"/>
          <w:szCs w:val="30"/>
          <w:rtl/>
        </w:rPr>
        <w:t xml:space="preserve">ما افيد عن </w:t>
      </w:r>
      <w:r w:rsidRPr="00895CED">
        <w:rPr>
          <w:rFonts w:ascii="Traditional Arabic" w:hAnsi="Traditional Arabic" w:cs="Traditional Arabic"/>
          <w:sz w:val="30"/>
          <w:szCs w:val="30"/>
          <w:rtl/>
        </w:rPr>
        <w:t>قُتلى وجرحى مدنيين في مطارأبها الدولي في المملكة العربية السعودية.</w:t>
      </w:r>
    </w:p>
    <w:p w14:paraId="03AA5B3F" w14:textId="625C4896" w:rsidR="00473FEE" w:rsidRPr="00895CED" w:rsidRDefault="00473FEE"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895CED">
        <w:rPr>
          <w:rFonts w:ascii="Traditional Arabic" w:hAnsi="Traditional Arabic" w:cs="Traditional Arabic"/>
          <w:color w:val="000000"/>
          <w:sz w:val="30"/>
          <w:szCs w:val="30"/>
          <w:rtl/>
        </w:rPr>
        <w:t xml:space="preserve">ظل الوضع الأمني </w:t>
      </w:r>
      <w:r w:rsidRPr="00895CED">
        <w:rPr>
          <w:rFonts w:ascii="Traditional Arabic" w:hAnsi="Traditional Arabic" w:cs="Traditional Arabic" w:hint="cs"/>
          <w:color w:val="000000"/>
          <w:sz w:val="30"/>
          <w:szCs w:val="30"/>
          <w:rtl/>
        </w:rPr>
        <w:t>متوتراً</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للغاية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الجنوب</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t>آب/ أغسطس 2019</w:t>
      </w:r>
      <w:r w:rsidRPr="00895CED">
        <w:rPr>
          <w:rFonts w:ascii="Traditional Arabic" w:hAnsi="Traditional Arabic" w:cs="Traditional Arabic"/>
          <w:color w:val="000000"/>
          <w:sz w:val="30"/>
          <w:szCs w:val="30"/>
          <w:rtl/>
        </w:rPr>
        <w:t xml:space="preserve">، شهدت عدن أسوأ أعمال </w:t>
      </w:r>
      <w:r w:rsidR="003967B7" w:rsidRPr="00895CED">
        <w:rPr>
          <w:rFonts w:ascii="Traditional Arabic" w:hAnsi="Traditional Arabic" w:cs="Traditional Arabic"/>
          <w:color w:val="000000"/>
          <w:sz w:val="30"/>
          <w:szCs w:val="30"/>
          <w:rtl/>
        </w:rPr>
        <w:t>ال</w:t>
      </w:r>
      <w:r w:rsidRPr="00895CED">
        <w:rPr>
          <w:rFonts w:ascii="Traditional Arabic" w:hAnsi="Traditional Arabic" w:cs="Traditional Arabic"/>
          <w:color w:val="000000"/>
          <w:sz w:val="30"/>
          <w:szCs w:val="30"/>
          <w:rtl/>
        </w:rPr>
        <w:t xml:space="preserve">عنف منذ القتال في عام 2015. في الأول من </w:t>
      </w:r>
      <w:r w:rsidR="003967B7" w:rsidRPr="00895CED">
        <w:rPr>
          <w:rFonts w:ascii="Traditional Arabic" w:hAnsi="Traditional Arabic" w:cs="Traditional Arabic"/>
          <w:color w:val="000000"/>
          <w:sz w:val="30"/>
          <w:szCs w:val="30"/>
          <w:rtl/>
        </w:rPr>
        <w:t xml:space="preserve">آب/ </w:t>
      </w:r>
      <w:r w:rsidRPr="00895CED">
        <w:rPr>
          <w:rFonts w:ascii="Traditional Arabic" w:hAnsi="Traditional Arabic" w:cs="Traditional Arabic"/>
          <w:color w:val="000000"/>
          <w:sz w:val="30"/>
          <w:szCs w:val="30"/>
          <w:rtl/>
        </w:rPr>
        <w:t xml:space="preserve">أغسطس </w:t>
      </w:r>
      <w:r w:rsidR="003967B7" w:rsidRPr="00895CED">
        <w:rPr>
          <w:rFonts w:ascii="Traditional Arabic" w:hAnsi="Traditional Arabic" w:cs="Traditional Arabic"/>
          <w:color w:val="000000"/>
          <w:sz w:val="30"/>
          <w:szCs w:val="30"/>
          <w:rtl/>
        </w:rPr>
        <w:t>2019، أسفر</w:t>
      </w:r>
      <w:r w:rsidRPr="00895CED">
        <w:rPr>
          <w:rFonts w:ascii="Traditional Arabic" w:hAnsi="Traditional Arabic" w:cs="Traditional Arabic"/>
          <w:color w:val="000000"/>
          <w:sz w:val="30"/>
          <w:szCs w:val="30"/>
          <w:rtl/>
        </w:rPr>
        <w:t xml:space="preserve"> صاروخ عن مقتل العشرات من مقاتلي الحزام الأمني </w:t>
      </w:r>
      <w:r w:rsidRPr="00895CED">
        <w:rPr>
          <w:rFonts w:ascii="Traditional Arabic" w:hAnsi="Traditional Arabic" w:cs="Traditional Arabic" w:hint="cs"/>
          <w:color w:val="000000"/>
          <w:sz w:val="30"/>
          <w:szCs w:val="30"/>
          <w:rtl/>
        </w:rPr>
        <w:t>في</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lastRenderedPageBreak/>
        <w:t xml:space="preserve">خلال </w:t>
      </w:r>
      <w:r w:rsidRPr="00895CED">
        <w:rPr>
          <w:rFonts w:ascii="Traditional Arabic" w:hAnsi="Traditional Arabic" w:cs="Traditional Arabic"/>
          <w:color w:val="000000"/>
          <w:sz w:val="30"/>
          <w:szCs w:val="30"/>
          <w:rtl/>
        </w:rPr>
        <w:t>عرض عسكري</w:t>
      </w:r>
      <w:r w:rsidR="003967B7" w:rsidRPr="00895CED">
        <w:rPr>
          <w:rFonts w:ascii="Traditional Arabic" w:hAnsi="Traditional Arabic" w:cs="Traditional Arabic"/>
          <w:color w:val="000000"/>
          <w:sz w:val="30"/>
          <w:szCs w:val="30"/>
          <w:rtl/>
        </w:rPr>
        <w:t>، ب</w:t>
      </w:r>
      <w:r w:rsidRPr="00895CED">
        <w:rPr>
          <w:rFonts w:ascii="Traditional Arabic" w:hAnsi="Traditional Arabic" w:cs="Traditional Arabic"/>
          <w:color w:val="000000"/>
          <w:sz w:val="30"/>
          <w:szCs w:val="30"/>
          <w:rtl/>
        </w:rPr>
        <w:t>ي</w:t>
      </w:r>
      <w:r w:rsidR="003967B7" w:rsidRPr="00895CED">
        <w:rPr>
          <w:rFonts w:ascii="Traditional Arabic" w:hAnsi="Traditional Arabic" w:cs="Traditional Arabic"/>
          <w:color w:val="000000"/>
          <w:sz w:val="30"/>
          <w:szCs w:val="30"/>
          <w:rtl/>
        </w:rPr>
        <w:t>ن</w:t>
      </w:r>
      <w:r w:rsidRPr="00895CED">
        <w:rPr>
          <w:rFonts w:ascii="Traditional Arabic" w:hAnsi="Traditional Arabic" w:cs="Traditional Arabic"/>
          <w:color w:val="000000"/>
          <w:sz w:val="30"/>
          <w:szCs w:val="30"/>
          <w:rtl/>
        </w:rPr>
        <w:t xml:space="preserve">هم </w:t>
      </w:r>
      <w:r w:rsidR="003967B7" w:rsidRPr="00895CED">
        <w:rPr>
          <w:rFonts w:ascii="Traditional Arabic" w:hAnsi="Traditional Arabic" w:cs="Traditional Arabic"/>
          <w:color w:val="000000"/>
          <w:sz w:val="30"/>
          <w:szCs w:val="30"/>
          <w:rtl/>
        </w:rPr>
        <w:t>أح</w:t>
      </w:r>
      <w:r w:rsidRPr="00895CED">
        <w:rPr>
          <w:rFonts w:ascii="Traditional Arabic" w:hAnsi="Traditional Arabic" w:cs="Traditional Arabic"/>
          <w:color w:val="000000"/>
          <w:sz w:val="30"/>
          <w:szCs w:val="30"/>
          <w:rtl/>
        </w:rPr>
        <w:t>د أبرز قادته، منير "أبو اليمامة" اليافعي. رغم أن الحوثيين أعلنوا</w:t>
      </w:r>
      <w:r w:rsidR="003967B7" w:rsidRPr="00895CED">
        <w:rPr>
          <w:rFonts w:ascii="Traditional Arabic" w:hAnsi="Traditional Arabic" w:cs="Traditional Arabic"/>
          <w:color w:val="000000"/>
          <w:sz w:val="30"/>
          <w:szCs w:val="30"/>
          <w:rtl/>
        </w:rPr>
        <w:t xml:space="preserve"> مسؤوليتهم عن</w:t>
      </w:r>
      <w:r w:rsidRPr="00895CED">
        <w:rPr>
          <w:rFonts w:ascii="Traditional Arabic" w:hAnsi="Traditional Arabic" w:cs="Traditional Arabic"/>
          <w:color w:val="000000"/>
          <w:sz w:val="30"/>
          <w:szCs w:val="30"/>
          <w:rtl/>
        </w:rPr>
        <w:t xml:space="preserve"> الهجوم</w:t>
      </w:r>
      <w:r w:rsidR="003967B7" w:rsidRPr="00895CED">
        <w:rPr>
          <w:rFonts w:ascii="Traditional Arabic" w:hAnsi="Traditional Arabic" w:cs="Traditional Arabic"/>
          <w:color w:val="000000"/>
          <w:sz w:val="30"/>
          <w:szCs w:val="30"/>
          <w:rtl/>
        </w:rPr>
        <w:t>، ألقى</w:t>
      </w:r>
      <w:r w:rsidRPr="00895CED">
        <w:rPr>
          <w:rFonts w:ascii="Traditional Arabic" w:hAnsi="Traditional Arabic" w:cs="Traditional Arabic"/>
          <w:color w:val="000000"/>
          <w:sz w:val="30"/>
          <w:szCs w:val="30"/>
          <w:rtl/>
        </w:rPr>
        <w:t xml:space="preserve"> هاني بن بريك اللوم على الإصلاح وجد</w:t>
      </w:r>
      <w:r w:rsidR="003967B7" w:rsidRPr="00895CED">
        <w:rPr>
          <w:rFonts w:ascii="Traditional Arabic" w:hAnsi="Traditional Arabic" w:cs="Traditional Arabic"/>
          <w:color w:val="000000"/>
          <w:sz w:val="30"/>
          <w:szCs w:val="30"/>
          <w:rtl/>
        </w:rPr>
        <w:t>ّ</w:t>
      </w:r>
      <w:r w:rsidRPr="00895CED">
        <w:rPr>
          <w:rFonts w:ascii="Traditional Arabic" w:hAnsi="Traditional Arabic" w:cs="Traditional Arabic"/>
          <w:color w:val="000000"/>
          <w:sz w:val="30"/>
          <w:szCs w:val="30"/>
          <w:rtl/>
        </w:rPr>
        <w:t xml:space="preserve">د دعوات الانفصال. وصلت التوترات إلى ذروتها في 7 </w:t>
      </w:r>
      <w:r w:rsidR="003967B7" w:rsidRPr="00895CED">
        <w:rPr>
          <w:rFonts w:ascii="Traditional Arabic" w:hAnsi="Traditional Arabic" w:cs="Traditional Arabic"/>
          <w:color w:val="000000"/>
          <w:sz w:val="30"/>
          <w:szCs w:val="30"/>
          <w:rtl/>
        </w:rPr>
        <w:t>أب/ أغسطس</w:t>
      </w:r>
      <w:r w:rsidRPr="00895CED">
        <w:rPr>
          <w:rFonts w:ascii="Traditional Arabic" w:hAnsi="Traditional Arabic" w:cs="Traditional Arabic"/>
          <w:color w:val="000000"/>
          <w:sz w:val="30"/>
          <w:szCs w:val="30"/>
          <w:rtl/>
        </w:rPr>
        <w:t xml:space="preserve">، عندما اندلع القتال بين قوات الحزام الأمني </w:t>
      </w:r>
      <w:r w:rsidRPr="00895CED">
        <w:rPr>
          <w:rFonts w:ascii="Traditional Arabic" w:hAnsi="Traditional Arabic" w:cs="Traditional Arabic" w:hint="cs"/>
          <w:color w:val="000000"/>
          <w:sz w:val="30"/>
          <w:szCs w:val="30"/>
          <w:rtl/>
        </w:rPr>
        <w:t>المدعومة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من</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الإمارات</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العربية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المتحدة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والقوات</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الموالية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للرئيس</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هادي</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بعد</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بضعة</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أيام</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من</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القتال،</w:t>
      </w:r>
      <w:r w:rsidRPr="00895CED">
        <w:rPr>
          <w:rFonts w:ascii="Traditional Arabic" w:hAnsi="Traditional Arabic" w:cs="Traditional Arabic"/>
          <w:color w:val="000000"/>
          <w:sz w:val="30"/>
          <w:szCs w:val="30"/>
          <w:rtl/>
        </w:rPr>
        <w:t xml:space="preserve"> </w:t>
      </w:r>
      <w:r w:rsidR="003967B7" w:rsidRPr="00895CED">
        <w:rPr>
          <w:rFonts w:ascii="Traditional Arabic" w:hAnsi="Traditional Arabic" w:cs="Traditional Arabic"/>
          <w:color w:val="000000"/>
          <w:sz w:val="30"/>
          <w:szCs w:val="30"/>
          <w:rtl/>
        </w:rPr>
        <w:t xml:space="preserve">حيث أفيد عن مقتل وجرح </w:t>
      </w:r>
      <w:r w:rsidRPr="00895CED">
        <w:rPr>
          <w:rFonts w:ascii="Traditional Arabic" w:hAnsi="Traditional Arabic" w:cs="Traditional Arabic"/>
          <w:color w:val="000000"/>
          <w:sz w:val="30"/>
          <w:szCs w:val="30"/>
          <w:rtl/>
        </w:rPr>
        <w:t>العشرات</w:t>
      </w:r>
      <w:r w:rsidR="003967B7" w:rsidRPr="00895CED">
        <w:rPr>
          <w:rFonts w:ascii="Traditional Arabic" w:hAnsi="Traditional Arabic" w:cs="Traditional Arabic"/>
          <w:color w:val="000000"/>
          <w:sz w:val="30"/>
          <w:szCs w:val="30"/>
          <w:rtl/>
        </w:rPr>
        <w:t>، ب</w:t>
      </w:r>
      <w:r w:rsidRPr="00895CED">
        <w:rPr>
          <w:rFonts w:ascii="Traditional Arabic" w:hAnsi="Traditional Arabic" w:cs="Traditional Arabic"/>
          <w:color w:val="000000"/>
          <w:sz w:val="30"/>
          <w:szCs w:val="30"/>
          <w:rtl/>
        </w:rPr>
        <w:t>ي</w:t>
      </w:r>
      <w:r w:rsidR="003967B7" w:rsidRPr="00895CED">
        <w:rPr>
          <w:rFonts w:ascii="Traditional Arabic" w:hAnsi="Traditional Arabic" w:cs="Traditional Arabic"/>
          <w:color w:val="000000"/>
          <w:sz w:val="30"/>
          <w:szCs w:val="30"/>
          <w:rtl/>
        </w:rPr>
        <w:t>ن</w:t>
      </w:r>
      <w:r w:rsidRPr="00895CED">
        <w:rPr>
          <w:rFonts w:ascii="Traditional Arabic" w:hAnsi="Traditional Arabic" w:cs="Traditional Arabic"/>
          <w:color w:val="000000"/>
          <w:sz w:val="30"/>
          <w:szCs w:val="30"/>
          <w:rtl/>
        </w:rPr>
        <w:t>هم مدنيون، و</w:t>
      </w:r>
      <w:r w:rsidR="00595527" w:rsidRPr="00895CED">
        <w:rPr>
          <w:rFonts w:ascii="Traditional Arabic" w:hAnsi="Traditional Arabic" w:cs="Traditional Arabic"/>
          <w:color w:val="000000"/>
          <w:sz w:val="30"/>
          <w:szCs w:val="30"/>
          <w:rtl/>
        </w:rPr>
        <w:t xml:space="preserve">تضرّر </w:t>
      </w:r>
      <w:r w:rsidRPr="00895CED">
        <w:rPr>
          <w:rFonts w:ascii="Traditional Arabic" w:hAnsi="Traditional Arabic" w:cs="Traditional Arabic"/>
          <w:color w:val="000000"/>
          <w:sz w:val="30"/>
          <w:szCs w:val="30"/>
          <w:rtl/>
        </w:rPr>
        <w:t>البنية التحتية في عدن ب</w:t>
      </w:r>
      <w:r w:rsidR="00595527" w:rsidRPr="00895CED">
        <w:rPr>
          <w:rFonts w:ascii="Traditional Arabic" w:hAnsi="Traditional Arabic" w:cs="Traditional Arabic"/>
          <w:color w:val="000000"/>
          <w:sz w:val="30"/>
          <w:szCs w:val="30"/>
          <w:rtl/>
        </w:rPr>
        <w:t>شكل بالغ</w:t>
      </w:r>
      <w:r w:rsidRPr="00895CED">
        <w:rPr>
          <w:rFonts w:ascii="Traditional Arabic" w:hAnsi="Traditional Arabic" w:cs="Traditional Arabic"/>
          <w:color w:val="000000"/>
          <w:sz w:val="30"/>
          <w:szCs w:val="30"/>
          <w:rtl/>
        </w:rPr>
        <w:t xml:space="preserve">، سيطرت قوات الحزام الأمني </w:t>
      </w:r>
      <w:r w:rsidRPr="00895CED">
        <w:rPr>
          <w:rFonts w:ascii="Traditional Arabic" w:hAnsi="Traditional Arabic" w:cs="Traditional Arabic" w:hint="cs"/>
          <w:color w:val="000000"/>
          <w:sz w:val="30"/>
          <w:szCs w:val="30"/>
          <w:rtl/>
        </w:rPr>
        <w:t>على</w:t>
      </w:r>
      <w:r w:rsidRPr="00895CED">
        <w:rPr>
          <w:rFonts w:ascii="Traditional Arabic" w:hAnsi="Traditional Arabic" w:cs="Traditional Arabic"/>
          <w:color w:val="000000"/>
          <w:sz w:val="30"/>
          <w:szCs w:val="30"/>
          <w:rtl/>
        </w:rPr>
        <w:t xml:space="preserve"> </w:t>
      </w:r>
      <w:r w:rsidRPr="00895CED">
        <w:rPr>
          <w:rFonts w:ascii="Traditional Arabic" w:hAnsi="Traditional Arabic" w:cs="Traditional Arabic" w:hint="cs"/>
          <w:color w:val="000000"/>
          <w:sz w:val="30"/>
          <w:szCs w:val="30"/>
          <w:rtl/>
        </w:rPr>
        <w:t>مع</w:t>
      </w:r>
      <w:r w:rsidRPr="00895CED">
        <w:rPr>
          <w:rFonts w:ascii="Traditional Arabic" w:hAnsi="Traditional Arabic" w:cs="Traditional Arabic"/>
          <w:color w:val="000000"/>
          <w:sz w:val="30"/>
          <w:szCs w:val="30"/>
          <w:rtl/>
        </w:rPr>
        <w:t xml:space="preserve">ظم </w:t>
      </w:r>
      <w:r w:rsidR="00595527" w:rsidRPr="00895CED">
        <w:rPr>
          <w:rFonts w:ascii="Traditional Arabic" w:hAnsi="Traditional Arabic" w:cs="Traditional Arabic"/>
          <w:color w:val="000000"/>
          <w:sz w:val="30"/>
          <w:szCs w:val="30"/>
          <w:rtl/>
        </w:rPr>
        <w:t xml:space="preserve">أنحاء </w:t>
      </w:r>
      <w:r w:rsidRPr="00895CED">
        <w:rPr>
          <w:rFonts w:ascii="Traditional Arabic" w:hAnsi="Traditional Arabic" w:cs="Traditional Arabic"/>
          <w:color w:val="000000"/>
          <w:sz w:val="30"/>
          <w:szCs w:val="30"/>
          <w:rtl/>
        </w:rPr>
        <w:t>عدن</w:t>
      </w:r>
      <w:r w:rsidR="00E7144B" w:rsidRPr="00895CED">
        <w:rPr>
          <w:rFonts w:ascii="Traditional Arabic" w:hAnsi="Traditional Arabic" w:cs="Traditional Arabic"/>
          <w:color w:val="000000"/>
          <w:sz w:val="30"/>
          <w:szCs w:val="30"/>
        </w:rPr>
        <w:t xml:space="preserve"> </w:t>
      </w:r>
      <w:r w:rsidR="00E7144B" w:rsidRPr="00895CED">
        <w:rPr>
          <w:rFonts w:ascii="Traditional Arabic" w:hAnsi="Traditional Arabic" w:cs="Traditional Arabic"/>
          <w:color w:val="000000"/>
          <w:sz w:val="30"/>
          <w:szCs w:val="30"/>
          <w:rtl/>
          <w:lang w:bidi="ar-JO"/>
        </w:rPr>
        <w:t xml:space="preserve"> واجزاء من ابين وشبوه</w:t>
      </w:r>
      <w:r w:rsidRPr="00895CED">
        <w:rPr>
          <w:rFonts w:ascii="Traditional Arabic" w:hAnsi="Traditional Arabic" w:cs="Traditional Arabic"/>
          <w:color w:val="000000"/>
          <w:sz w:val="30"/>
          <w:szCs w:val="30"/>
          <w:rtl/>
        </w:rPr>
        <w:t xml:space="preserve">. </w:t>
      </w:r>
      <w:r w:rsidR="00595527" w:rsidRPr="00895CED">
        <w:rPr>
          <w:rFonts w:ascii="Traditional Arabic" w:hAnsi="Traditional Arabic" w:cs="Traditional Arabic"/>
          <w:color w:val="000000"/>
          <w:sz w:val="30"/>
          <w:szCs w:val="30"/>
          <w:rtl/>
        </w:rPr>
        <w:t xml:space="preserve">أما </w:t>
      </w:r>
      <w:r w:rsidRPr="00895CED">
        <w:rPr>
          <w:rFonts w:ascii="Traditional Arabic" w:hAnsi="Traditional Arabic" w:cs="Traditional Arabic"/>
          <w:color w:val="000000"/>
          <w:sz w:val="30"/>
          <w:szCs w:val="30"/>
          <w:rtl/>
        </w:rPr>
        <w:t xml:space="preserve">وقف إطلاق النار الذي تم التوصل إليه في أعقاب القتال </w:t>
      </w:r>
      <w:r w:rsidR="00595527" w:rsidRPr="00895CED">
        <w:rPr>
          <w:rFonts w:ascii="Traditional Arabic" w:hAnsi="Traditional Arabic" w:cs="Traditional Arabic"/>
          <w:color w:val="000000"/>
          <w:sz w:val="30"/>
          <w:szCs w:val="30"/>
          <w:rtl/>
        </w:rPr>
        <w:t>ف</w:t>
      </w:r>
      <w:r w:rsidRPr="00895CED">
        <w:rPr>
          <w:rFonts w:ascii="Traditional Arabic" w:hAnsi="Traditional Arabic" w:cs="Traditional Arabic"/>
          <w:color w:val="000000"/>
          <w:sz w:val="30"/>
          <w:szCs w:val="30"/>
          <w:rtl/>
        </w:rPr>
        <w:t xml:space="preserve">لم ينص على أي إعادة نشر للقوات. </w:t>
      </w:r>
      <w:r w:rsidR="00771A10" w:rsidRPr="00771A10">
        <w:rPr>
          <w:rFonts w:ascii="Traditional Arabic" w:hAnsi="Traditional Arabic" w:cs="Traditional Arabic"/>
          <w:color w:val="000000"/>
          <w:sz w:val="30"/>
          <w:szCs w:val="30"/>
          <w:rtl/>
        </w:rPr>
        <w:t>ومع وضع هذا التقرير في صيغته النهائية في أواخر آب/أغسطس، استمر هذا الوضع في التدهور</w:t>
      </w:r>
      <w:r w:rsidR="00771A10">
        <w:rPr>
          <w:rFonts w:ascii="Traditional Arabic" w:hAnsi="Traditional Arabic" w:cs="Traditional Arabic" w:hint="cs"/>
          <w:color w:val="000000"/>
          <w:sz w:val="30"/>
          <w:szCs w:val="30"/>
          <w:rtl/>
        </w:rPr>
        <w:t>.</w:t>
      </w:r>
      <w:r w:rsidR="00771A10" w:rsidRPr="00771A10">
        <w:rPr>
          <w:rFonts w:ascii="Traditional Arabic" w:hAnsi="Traditional Arabic" w:cs="Traditional Arabic"/>
          <w:color w:val="000000"/>
          <w:sz w:val="30"/>
          <w:szCs w:val="30"/>
          <w:rtl/>
        </w:rPr>
        <w:t xml:space="preserve"> </w:t>
      </w:r>
      <w:r w:rsidR="00595527" w:rsidRPr="00895CED">
        <w:rPr>
          <w:rFonts w:ascii="Traditional Arabic" w:hAnsi="Traditional Arabic" w:cs="Traditional Arabic"/>
          <w:color w:val="000000"/>
          <w:sz w:val="30"/>
          <w:szCs w:val="30"/>
          <w:rtl/>
        </w:rPr>
        <w:t>و</w:t>
      </w:r>
      <w:r w:rsidRPr="00895CED">
        <w:rPr>
          <w:rFonts w:ascii="Traditional Arabic" w:hAnsi="Traditional Arabic" w:cs="Traditional Arabic"/>
          <w:color w:val="000000"/>
          <w:sz w:val="30"/>
          <w:szCs w:val="30"/>
          <w:rtl/>
        </w:rPr>
        <w:t xml:space="preserve">أظهرت كذلك هشاشة موطئ قدم الرئيس هادي السياسي في المحافظة والبلد ككل. كما أنه ترك أسئلة </w:t>
      </w:r>
      <w:r w:rsidR="00595527" w:rsidRPr="00895CED">
        <w:rPr>
          <w:rFonts w:ascii="Traditional Arabic" w:hAnsi="Traditional Arabic" w:cs="Traditional Arabic"/>
          <w:color w:val="000000"/>
          <w:sz w:val="30"/>
          <w:szCs w:val="30"/>
          <w:rtl/>
        </w:rPr>
        <w:t>ب</w:t>
      </w:r>
      <w:r w:rsidRPr="00895CED">
        <w:rPr>
          <w:rFonts w:ascii="Traditional Arabic" w:hAnsi="Traditional Arabic" w:cs="Traditional Arabic"/>
          <w:color w:val="000000"/>
          <w:sz w:val="30"/>
          <w:szCs w:val="30"/>
          <w:rtl/>
        </w:rPr>
        <w:t>دون إجابة حول موقف التحالف من عدن ومسألة الانفصال الجنوبي.</w:t>
      </w:r>
    </w:p>
    <w:p w14:paraId="745CDF81" w14:textId="3C9741CA" w:rsidR="00595527" w:rsidRPr="008F4594" w:rsidRDefault="00595527" w:rsidP="004D36D2">
      <w:pPr>
        <w:pStyle w:val="HChGA"/>
        <w:numPr>
          <w:ilvl w:val="0"/>
          <w:numId w:val="4"/>
        </w:numPr>
        <w:tabs>
          <w:tab w:val="clear" w:pos="1021"/>
          <w:tab w:val="left" w:pos="1089"/>
        </w:tabs>
        <w:ind w:left="549" w:firstLine="9"/>
        <w:rPr>
          <w:rStyle w:val="Heading2Char"/>
        </w:rPr>
      </w:pPr>
      <w:bookmarkStart w:id="24" w:name="_Toc16193779"/>
      <w:r w:rsidRPr="008F4594" w:rsidDel="00595527">
        <w:rPr>
          <w:rStyle w:val="Heading2Char"/>
        </w:rPr>
        <w:t xml:space="preserve"> </w:t>
      </w:r>
      <w:bookmarkStart w:id="25" w:name="_Toc18918105"/>
      <w:bookmarkEnd w:id="24"/>
      <w:r w:rsidRPr="008F4594">
        <w:rPr>
          <w:rStyle w:val="Heading2Char"/>
          <w:rtl/>
        </w:rPr>
        <w:t>الحالات الرمزية</w:t>
      </w:r>
      <w:bookmarkEnd w:id="25"/>
    </w:p>
    <w:p w14:paraId="0B355E85" w14:textId="25DFC56B" w:rsidR="00E7144B" w:rsidRPr="00967CB7" w:rsidRDefault="00E7144B" w:rsidP="004D36D2">
      <w:pPr>
        <w:pStyle w:val="Heading3"/>
        <w:bidi/>
        <w:spacing w:after="240"/>
        <w:ind w:left="459"/>
        <w:rPr>
          <w:rFonts w:ascii="Traditional Arabic" w:hAnsi="Traditional Arabic" w:cs="Traditional Arabic"/>
          <w:b/>
          <w:bCs/>
          <w:sz w:val="30"/>
          <w:szCs w:val="30"/>
        </w:rPr>
      </w:pPr>
      <w:bookmarkStart w:id="26" w:name="_Toc18918106"/>
      <w:r w:rsidRPr="00967CB7">
        <w:rPr>
          <w:rFonts w:ascii="Traditional Arabic" w:hAnsi="Traditional Arabic" w:cs="Traditional Arabic"/>
          <w:b/>
          <w:bCs/>
          <w:sz w:val="30"/>
          <w:szCs w:val="30"/>
          <w:rtl/>
        </w:rPr>
        <w:t>أ.</w:t>
      </w:r>
      <w:r w:rsidRPr="00967CB7">
        <w:rPr>
          <w:rFonts w:ascii="Traditional Arabic" w:hAnsi="Traditional Arabic" w:cs="Traditional Arabic"/>
          <w:b/>
          <w:bCs/>
          <w:sz w:val="30"/>
          <w:szCs w:val="30"/>
          <w:rtl/>
        </w:rPr>
        <w:tab/>
      </w:r>
      <w:r w:rsidR="00967CB7" w:rsidRPr="00967CB7">
        <w:rPr>
          <w:rFonts w:ascii="Traditional Arabic" w:hAnsi="Traditional Arabic" w:cs="Traditional Arabic"/>
          <w:b/>
          <w:bCs/>
          <w:sz w:val="30"/>
          <w:szCs w:val="30"/>
          <w:rtl/>
        </w:rPr>
        <w:t>معركة عدن (مارس/آذار – تموز/ يوليو 2015)</w:t>
      </w:r>
      <w:bookmarkEnd w:id="26"/>
    </w:p>
    <w:p w14:paraId="7025456C" w14:textId="25F29126" w:rsidR="00967CB7" w:rsidRPr="004D36D2" w:rsidRDefault="00967CB7" w:rsidP="004D36D2">
      <w:pPr>
        <w:pStyle w:val="ListParagraph"/>
        <w:numPr>
          <w:ilvl w:val="2"/>
          <w:numId w:val="4"/>
        </w:numPr>
        <w:tabs>
          <w:tab w:val="left" w:pos="720"/>
          <w:tab w:val="left" w:pos="1134"/>
          <w:tab w:val="left" w:pos="1701"/>
        </w:tabs>
        <w:bidi/>
        <w:spacing w:after="120"/>
        <w:ind w:right="827" w:hanging="1971"/>
        <w:rPr>
          <w:rFonts w:ascii="Traditional Arabic" w:hAnsi="Traditional Arabic" w:cs="Traditional Arabic"/>
          <w:b/>
          <w:bCs/>
          <w:sz w:val="30"/>
          <w:szCs w:val="30"/>
        </w:rPr>
      </w:pPr>
      <w:r w:rsidRPr="004D36D2">
        <w:rPr>
          <w:rFonts w:ascii="Traditional Arabic" w:hAnsi="Traditional Arabic" w:cs="Traditional Arabic" w:hint="cs"/>
          <w:b/>
          <w:bCs/>
          <w:sz w:val="30"/>
          <w:szCs w:val="30"/>
          <w:rtl/>
        </w:rPr>
        <w:t>السياق</w:t>
      </w:r>
    </w:p>
    <w:p w14:paraId="60E52589" w14:textId="7E9460FE" w:rsidR="00967CB7" w:rsidRPr="00967CB7" w:rsidRDefault="00967CB7" w:rsidP="00CB221C">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hint="cs"/>
          <w:color w:val="000000"/>
          <w:sz w:val="30"/>
          <w:szCs w:val="30"/>
          <w:rtl/>
        </w:rPr>
        <w:t>في أيلول/</w:t>
      </w:r>
      <w:r w:rsidRPr="00967CB7">
        <w:rPr>
          <w:rFonts w:ascii="Traditional Arabic" w:hAnsi="Traditional Arabic" w:cs="Traditional Arabic"/>
          <w:color w:val="000000"/>
          <w:sz w:val="30"/>
          <w:szCs w:val="30"/>
          <w:rtl/>
        </w:rPr>
        <w:t xml:space="preserve"> سبتمبر 2014، سيطر</w:t>
      </w:r>
      <w:r w:rsidR="00CB221C">
        <w:rPr>
          <w:rFonts w:ascii="Traditional Arabic" w:hAnsi="Traditional Arabic" w:cs="Traditional Arabic" w:hint="cs"/>
          <w:color w:val="000000"/>
          <w:sz w:val="30"/>
          <w:szCs w:val="30"/>
          <w:rtl/>
        </w:rPr>
        <w:t xml:space="preserve"> مقاتلو</w:t>
      </w:r>
      <w:r w:rsidRPr="00967CB7">
        <w:rPr>
          <w:rFonts w:ascii="Traditional Arabic" w:hAnsi="Traditional Arabic" w:cs="Traditional Arabic"/>
          <w:color w:val="000000"/>
          <w:sz w:val="30"/>
          <w:szCs w:val="30"/>
          <w:rtl/>
        </w:rPr>
        <w:t xml:space="preserve"> الحوثي</w:t>
      </w:r>
      <w:r w:rsidR="00CB221C">
        <w:rPr>
          <w:rFonts w:ascii="Traditional Arabic" w:hAnsi="Traditional Arabic" w:cs="Traditional Arabic" w:hint="cs"/>
          <w:color w:val="000000"/>
          <w:sz w:val="30"/>
          <w:szCs w:val="30"/>
          <w:rtl/>
        </w:rPr>
        <w:t>-صالح</w:t>
      </w:r>
      <w:r w:rsidRPr="00967CB7">
        <w:rPr>
          <w:rFonts w:ascii="Traditional Arabic" w:hAnsi="Traditional Arabic" w:cs="Traditional Arabic"/>
          <w:color w:val="000000"/>
          <w:sz w:val="30"/>
          <w:szCs w:val="30"/>
          <w:rtl/>
        </w:rPr>
        <w:t xml:space="preserve"> على صنعاء وبعد بضعة أشهر، في</w:t>
      </w:r>
      <w:r w:rsidRPr="00967CB7">
        <w:rPr>
          <w:rFonts w:ascii="Traditional Arabic" w:hAnsi="Traditional Arabic" w:cs="Traditional Arabic" w:hint="cs"/>
          <w:color w:val="000000"/>
          <w:sz w:val="30"/>
          <w:szCs w:val="30"/>
          <w:rtl/>
        </w:rPr>
        <w:t xml:space="preserve"> كانون الثاني/ </w:t>
      </w:r>
      <w:r w:rsidRPr="00967CB7">
        <w:rPr>
          <w:rFonts w:ascii="Traditional Arabic" w:hAnsi="Traditional Arabic" w:cs="Traditional Arabic"/>
          <w:color w:val="000000"/>
          <w:sz w:val="30"/>
          <w:szCs w:val="30"/>
          <w:rtl/>
        </w:rPr>
        <w:t xml:space="preserve">يناير 2015، أعلن الرئيس هادي استقالته </w:t>
      </w:r>
      <w:r w:rsidRPr="00967CB7">
        <w:rPr>
          <w:rFonts w:ascii="Traditional Arabic" w:hAnsi="Traditional Arabic" w:cs="Traditional Arabic" w:hint="cs"/>
          <w:color w:val="000000"/>
          <w:sz w:val="30"/>
          <w:szCs w:val="30"/>
          <w:rtl/>
        </w:rPr>
        <w:t>قبل أن ي</w:t>
      </w:r>
      <w:r w:rsidRPr="00967CB7">
        <w:rPr>
          <w:rFonts w:ascii="Traditional Arabic" w:hAnsi="Traditional Arabic" w:cs="Traditional Arabic"/>
          <w:color w:val="000000"/>
          <w:sz w:val="30"/>
          <w:szCs w:val="30"/>
          <w:rtl/>
        </w:rPr>
        <w:t xml:space="preserve">ضعه الحوثيون رهن الإقامة الجبرية.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تمك</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 الرئيس هادي من الفرار إلى عدن في 21 </w:t>
      </w:r>
      <w:r w:rsidRPr="00967CB7">
        <w:rPr>
          <w:rFonts w:ascii="Traditional Arabic" w:hAnsi="Traditional Arabic" w:cs="Traditional Arabic" w:hint="cs"/>
          <w:color w:val="000000"/>
          <w:sz w:val="30"/>
          <w:szCs w:val="30"/>
          <w:rtl/>
        </w:rPr>
        <w:t xml:space="preserve">شباط/ </w:t>
      </w:r>
      <w:r w:rsidRPr="00967CB7">
        <w:rPr>
          <w:rFonts w:ascii="Traditional Arabic" w:hAnsi="Traditional Arabic" w:cs="Traditional Arabic"/>
          <w:color w:val="000000"/>
          <w:sz w:val="30"/>
          <w:szCs w:val="30"/>
          <w:rtl/>
        </w:rPr>
        <w:t xml:space="preserve">فبراير 2015، ومن هناك أعلن عزمه على مواصلة ممارسة مهامه الرئاسية. في </w:t>
      </w:r>
      <w:r w:rsidRPr="00967CB7">
        <w:rPr>
          <w:rFonts w:ascii="Traditional Arabic" w:hAnsi="Traditional Arabic" w:cs="Traditional Arabic" w:hint="cs"/>
          <w:color w:val="000000"/>
          <w:sz w:val="30"/>
          <w:szCs w:val="30"/>
          <w:rtl/>
        </w:rPr>
        <w:t xml:space="preserve">آذار/ </w:t>
      </w:r>
      <w:r w:rsidRPr="00967CB7">
        <w:rPr>
          <w:rFonts w:ascii="Traditional Arabic" w:hAnsi="Traditional Arabic" w:cs="Traditional Arabic"/>
          <w:color w:val="000000"/>
          <w:sz w:val="30"/>
          <w:szCs w:val="30"/>
          <w:rtl/>
        </w:rPr>
        <w:t>مارس 2015، شن مقاتلو الحوثي</w:t>
      </w:r>
      <w:r w:rsidRPr="00967CB7">
        <w:rPr>
          <w:rFonts w:ascii="Traditional Arabic" w:hAnsi="Traditional Arabic" w:cs="Traditional Arabic" w:hint="cs"/>
          <w:color w:val="000000"/>
          <w:sz w:val="30"/>
          <w:szCs w:val="30"/>
          <w:rtl/>
        </w:rPr>
        <w:t>يين-</w:t>
      </w:r>
      <w:r w:rsidRPr="00967CB7">
        <w:rPr>
          <w:rFonts w:ascii="Traditional Arabic" w:hAnsi="Traditional Arabic" w:cs="Traditional Arabic"/>
          <w:color w:val="000000"/>
          <w:sz w:val="30"/>
          <w:szCs w:val="30"/>
          <w:rtl/>
        </w:rPr>
        <w:t xml:space="preserve"> صالح هجومًا عسكريًا للسيطرة على الجنوب</w:t>
      </w:r>
      <w:r w:rsidRPr="00967CB7">
        <w:rPr>
          <w:rFonts w:ascii="Traditional Arabic" w:hAnsi="Traditional Arabic" w:cs="Traditional Arabic"/>
          <w:color w:val="000000"/>
          <w:sz w:val="30"/>
          <w:szCs w:val="30"/>
        </w:rPr>
        <w:t>.</w:t>
      </w:r>
    </w:p>
    <w:p w14:paraId="5271CA43" w14:textId="2D378631" w:rsid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7466D9">
        <w:rPr>
          <w:rFonts w:ascii="Traditional Arabic" w:hAnsi="Traditional Arabic" w:cs="Traditional Arabic"/>
          <w:color w:val="000000"/>
          <w:sz w:val="30"/>
          <w:szCs w:val="30"/>
          <w:rtl/>
        </w:rPr>
        <w:t xml:space="preserve">كانت القوات التي تقاتل نيابة عن الحكومة اليمنية في حالة من الفوضى منذ المراحل المبكرة للمعركة وأصبحت الانقسامات بين المؤيدين للرئيس هادي </w:t>
      </w:r>
      <w:r w:rsidRPr="007466D9">
        <w:rPr>
          <w:rFonts w:ascii="Traditional Arabic" w:hAnsi="Traditional Arabic" w:cs="Traditional Arabic" w:hint="cs"/>
          <w:color w:val="000000"/>
          <w:sz w:val="30"/>
          <w:szCs w:val="30"/>
          <w:rtl/>
        </w:rPr>
        <w:t>وأنصار</w:t>
      </w:r>
      <w:r w:rsidRPr="007466D9">
        <w:rPr>
          <w:rFonts w:ascii="Traditional Arabic" w:hAnsi="Traditional Arabic" w:cs="Traditional Arabic"/>
          <w:color w:val="000000"/>
          <w:sz w:val="30"/>
          <w:szCs w:val="30"/>
          <w:rtl/>
        </w:rPr>
        <w:t xml:space="preserve"> الرئيس السابق صالح واضحة. في المراحل الأولى من القتال، </w:t>
      </w:r>
      <w:r w:rsidRPr="007466D9">
        <w:rPr>
          <w:rFonts w:ascii="Traditional Arabic" w:hAnsi="Traditional Arabic" w:cs="Traditional Arabic" w:hint="cs"/>
          <w:color w:val="000000"/>
          <w:sz w:val="30"/>
          <w:szCs w:val="30"/>
          <w:rtl/>
        </w:rPr>
        <w:t>تمكّن</w:t>
      </w:r>
      <w:r w:rsidRPr="007466D9">
        <w:rPr>
          <w:rFonts w:ascii="Traditional Arabic" w:hAnsi="Traditional Arabic" w:cs="Traditional Arabic"/>
          <w:color w:val="000000"/>
          <w:sz w:val="30"/>
          <w:szCs w:val="30"/>
          <w:rtl/>
        </w:rPr>
        <w:t xml:space="preserve"> مقاتلو الحوثي</w:t>
      </w:r>
      <w:r w:rsidRPr="007466D9">
        <w:rPr>
          <w:rFonts w:ascii="Traditional Arabic" w:hAnsi="Traditional Arabic" w:cs="Traditional Arabic" w:hint="cs"/>
          <w:color w:val="000000"/>
          <w:sz w:val="30"/>
          <w:szCs w:val="30"/>
          <w:rtl/>
        </w:rPr>
        <w:t>ين -</w:t>
      </w:r>
      <w:r w:rsidRPr="007466D9">
        <w:rPr>
          <w:rFonts w:ascii="Traditional Arabic" w:hAnsi="Traditional Arabic" w:cs="Traditional Arabic"/>
          <w:color w:val="000000"/>
          <w:sz w:val="30"/>
          <w:szCs w:val="30"/>
          <w:rtl/>
        </w:rPr>
        <w:t xml:space="preserve"> صالح </w:t>
      </w:r>
      <w:r w:rsidRPr="007466D9">
        <w:rPr>
          <w:rFonts w:ascii="Traditional Arabic" w:hAnsi="Traditional Arabic" w:cs="Traditional Arabic" w:hint="cs"/>
          <w:color w:val="000000"/>
          <w:sz w:val="30"/>
          <w:szCs w:val="30"/>
          <w:rtl/>
        </w:rPr>
        <w:t xml:space="preserve">من السيطرة </w:t>
      </w:r>
      <w:r w:rsidRPr="007466D9">
        <w:rPr>
          <w:rFonts w:ascii="Traditional Arabic" w:hAnsi="Traditional Arabic" w:cs="Traditional Arabic"/>
          <w:color w:val="000000"/>
          <w:sz w:val="30"/>
          <w:szCs w:val="30"/>
          <w:rtl/>
        </w:rPr>
        <w:t xml:space="preserve">على مناطق رئيسية في عدن ولحج. </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كانت هذه المناطق</w:t>
      </w:r>
      <w:r w:rsidR="00CB221C">
        <w:rPr>
          <w:rFonts w:ascii="Traditional Arabic" w:hAnsi="Traditional Arabic" w:cs="Traditional Arabic" w:hint="cs"/>
          <w:color w:val="000000"/>
          <w:sz w:val="30"/>
          <w:szCs w:val="30"/>
          <w:rtl/>
        </w:rPr>
        <w:t xml:space="preserve"> سابقًا</w:t>
      </w:r>
      <w:r w:rsidRPr="007466D9">
        <w:rPr>
          <w:rFonts w:ascii="Traditional Arabic" w:hAnsi="Traditional Arabic" w:cs="Traditional Arabic"/>
          <w:color w:val="000000"/>
          <w:sz w:val="30"/>
          <w:szCs w:val="30"/>
          <w:rtl/>
        </w:rPr>
        <w:t xml:space="preserve"> تحت سيطرة شبكة من المقاتلين الموالين للرئيس السابق صالح الذين تخلوا عن سيطر</w:t>
      </w:r>
      <w:r w:rsidRPr="007466D9">
        <w:rPr>
          <w:rFonts w:ascii="Traditional Arabic" w:hAnsi="Traditional Arabic" w:cs="Traditional Arabic" w:hint="cs"/>
          <w:color w:val="000000"/>
          <w:sz w:val="30"/>
          <w:szCs w:val="30"/>
          <w:rtl/>
        </w:rPr>
        <w:t xml:space="preserve">تهم على </w:t>
      </w:r>
      <w:r w:rsidRPr="007466D9">
        <w:rPr>
          <w:rFonts w:ascii="Traditional Arabic" w:hAnsi="Traditional Arabic" w:cs="Traditional Arabic"/>
          <w:color w:val="000000"/>
          <w:sz w:val="30"/>
          <w:szCs w:val="30"/>
          <w:rtl/>
        </w:rPr>
        <w:t xml:space="preserve">بعض المناطق </w:t>
      </w:r>
      <w:r w:rsidRPr="007466D9">
        <w:rPr>
          <w:rFonts w:ascii="Traditional Arabic" w:hAnsi="Traditional Arabic" w:cs="Traditional Arabic" w:hint="cs"/>
          <w:color w:val="000000"/>
          <w:sz w:val="30"/>
          <w:szCs w:val="30"/>
          <w:rtl/>
        </w:rPr>
        <w:t>ب</w:t>
      </w:r>
      <w:r w:rsidRPr="007466D9">
        <w:rPr>
          <w:rFonts w:ascii="Traditional Arabic" w:hAnsi="Traditional Arabic" w:cs="Traditional Arabic"/>
          <w:color w:val="000000"/>
          <w:sz w:val="30"/>
          <w:szCs w:val="30"/>
          <w:rtl/>
        </w:rPr>
        <w:t xml:space="preserve">دون قتال. في </w:t>
      </w:r>
      <w:r>
        <w:rPr>
          <w:rFonts w:ascii="Traditional Arabic" w:hAnsi="Traditional Arabic" w:cs="Traditional Arabic" w:hint="cs"/>
          <w:color w:val="000000"/>
          <w:sz w:val="30"/>
          <w:szCs w:val="30"/>
          <w:rtl/>
        </w:rPr>
        <w:t>19</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 xml:space="preserve">آذار/ </w:t>
      </w:r>
      <w:r w:rsidRPr="007466D9">
        <w:rPr>
          <w:rFonts w:ascii="Traditional Arabic" w:hAnsi="Traditional Arabic" w:cs="Traditional Arabic"/>
          <w:color w:val="000000"/>
          <w:sz w:val="30"/>
          <w:szCs w:val="30"/>
          <w:rtl/>
        </w:rPr>
        <w:t xml:space="preserve">مارس 2015، قام </w:t>
      </w:r>
      <w:r w:rsidRPr="007466D9">
        <w:rPr>
          <w:rFonts w:ascii="Traditional Arabic" w:hAnsi="Traditional Arabic" w:cs="Traditional Arabic" w:hint="cs"/>
          <w:color w:val="000000"/>
          <w:sz w:val="30"/>
          <w:szCs w:val="30"/>
          <w:rtl/>
        </w:rPr>
        <w:t>المواطنون بنهب معسكر قوات الامن الخاصة (الامن المركزي)</w:t>
      </w:r>
      <w:r w:rsidRPr="007466D9">
        <w:rPr>
          <w:rFonts w:ascii="Traditional Arabic" w:hAnsi="Traditional Arabic" w:cs="Traditional Arabic"/>
          <w:color w:val="000000"/>
          <w:sz w:val="30"/>
          <w:szCs w:val="30"/>
          <w:rtl/>
        </w:rPr>
        <w:t xml:space="preserve"> في عدن بعد أن فر قائدها الموالي للرئيس السابق صالح إلى تعز </w:t>
      </w:r>
      <w:r w:rsidRPr="007466D9">
        <w:rPr>
          <w:rFonts w:ascii="Traditional Arabic" w:hAnsi="Traditional Arabic" w:cs="Traditional Arabic" w:hint="cs"/>
          <w:color w:val="000000"/>
          <w:sz w:val="30"/>
          <w:szCs w:val="30"/>
          <w:rtl/>
        </w:rPr>
        <w:t xml:space="preserve">وغادر </w:t>
      </w:r>
      <w:r w:rsidRPr="007466D9">
        <w:rPr>
          <w:rFonts w:ascii="Traditional Arabic" w:hAnsi="Traditional Arabic" w:cs="Traditional Arabic"/>
          <w:color w:val="000000"/>
          <w:sz w:val="30"/>
          <w:szCs w:val="30"/>
          <w:rtl/>
        </w:rPr>
        <w:t>الج</w:t>
      </w:r>
      <w:r w:rsidRPr="007466D9">
        <w:rPr>
          <w:rFonts w:ascii="Traditional Arabic" w:hAnsi="Traditional Arabic" w:cs="Traditional Arabic" w:hint="cs"/>
          <w:color w:val="000000"/>
          <w:sz w:val="30"/>
          <w:szCs w:val="30"/>
          <w:rtl/>
        </w:rPr>
        <w:t>نود</w:t>
      </w:r>
      <w:r w:rsidRPr="007466D9">
        <w:rPr>
          <w:rFonts w:ascii="Traditional Arabic" w:hAnsi="Traditional Arabic" w:cs="Traditional Arabic"/>
          <w:color w:val="000000"/>
          <w:sz w:val="30"/>
          <w:szCs w:val="30"/>
          <w:rtl/>
        </w:rPr>
        <w:t xml:space="preserve"> الذين </w:t>
      </w:r>
      <w:r w:rsidRPr="007466D9">
        <w:rPr>
          <w:rFonts w:ascii="Traditional Arabic" w:hAnsi="Traditional Arabic" w:cs="Traditional Arabic" w:hint="cs"/>
          <w:color w:val="000000"/>
          <w:sz w:val="30"/>
          <w:szCs w:val="30"/>
          <w:rtl/>
        </w:rPr>
        <w:t>يعملون تحت إمرته</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المعسكر</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بعد عدة ايام</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قام</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عناصر</w:t>
      </w:r>
      <w:r w:rsidRPr="007466D9">
        <w:rPr>
          <w:rFonts w:ascii="Traditional Arabic" w:hAnsi="Traditional Arabic" w:cs="Traditional Arabic"/>
          <w:color w:val="000000"/>
          <w:sz w:val="30"/>
          <w:szCs w:val="30"/>
          <w:rtl/>
        </w:rPr>
        <w:t xml:space="preserve"> </w:t>
      </w:r>
      <w:r w:rsidRPr="007466D9">
        <w:rPr>
          <w:rFonts w:ascii="Traditional Arabic" w:hAnsi="Traditional Arabic" w:cs="Traditional Arabic" w:hint="cs"/>
          <w:color w:val="000000"/>
          <w:sz w:val="30"/>
          <w:szCs w:val="30"/>
          <w:rtl/>
        </w:rPr>
        <w:t xml:space="preserve">من </w:t>
      </w:r>
      <w:r w:rsidRPr="007466D9">
        <w:rPr>
          <w:rFonts w:ascii="Traditional Arabic" w:hAnsi="Traditional Arabic" w:cs="Traditional Arabic"/>
          <w:color w:val="000000"/>
          <w:sz w:val="30"/>
          <w:szCs w:val="30"/>
          <w:rtl/>
        </w:rPr>
        <w:t>اللوا</w:t>
      </w:r>
      <w:r w:rsidRPr="007466D9">
        <w:rPr>
          <w:rFonts w:ascii="Traditional Arabic" w:hAnsi="Traditional Arabic" w:cs="Traditional Arabic" w:hint="cs"/>
          <w:color w:val="000000"/>
          <w:sz w:val="30"/>
          <w:szCs w:val="30"/>
          <w:rtl/>
        </w:rPr>
        <w:t>ئين</w:t>
      </w:r>
      <w:r w:rsidRPr="007466D9">
        <w:rPr>
          <w:rFonts w:ascii="Traditional Arabic" w:hAnsi="Traditional Arabic" w:cs="Traditional Arabic"/>
          <w:color w:val="000000"/>
          <w:sz w:val="30"/>
          <w:szCs w:val="30"/>
          <w:rtl/>
        </w:rPr>
        <w:t xml:space="preserve"> 31 و39</w:t>
      </w:r>
      <w:r w:rsidRPr="007466D9">
        <w:rPr>
          <w:rFonts w:ascii="Traditional Arabic" w:hAnsi="Traditional Arabic" w:cs="Traditional Arabic" w:hint="cs"/>
          <w:color w:val="000000"/>
          <w:sz w:val="30"/>
          <w:szCs w:val="30"/>
          <w:rtl/>
        </w:rPr>
        <w:t xml:space="preserve"> اللذين يقودهما </w:t>
      </w:r>
      <w:r w:rsidRPr="007466D9">
        <w:rPr>
          <w:rFonts w:ascii="Traditional Arabic" w:hAnsi="Traditional Arabic" w:cs="Traditional Arabic"/>
          <w:color w:val="000000"/>
          <w:sz w:val="30"/>
          <w:szCs w:val="30"/>
          <w:rtl/>
        </w:rPr>
        <w:t>موال</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 xml:space="preserve">ن للرئيس السابق صالح، </w:t>
      </w:r>
      <w:r w:rsidRPr="007466D9">
        <w:rPr>
          <w:rFonts w:ascii="Traditional Arabic" w:hAnsi="Traditional Arabic" w:cs="Traditional Arabic" w:hint="cs"/>
          <w:color w:val="000000"/>
          <w:sz w:val="30"/>
          <w:szCs w:val="30"/>
          <w:rtl/>
        </w:rPr>
        <w:t xml:space="preserve">بترك </w:t>
      </w:r>
      <w:r w:rsidRPr="007466D9">
        <w:rPr>
          <w:rFonts w:ascii="Traditional Arabic" w:hAnsi="Traditional Arabic" w:cs="Traditional Arabic"/>
          <w:color w:val="000000"/>
          <w:sz w:val="30"/>
          <w:szCs w:val="30"/>
          <w:rtl/>
        </w:rPr>
        <w:t xml:space="preserve">مناصبهم وعادوا إلى أماكن إقامتهم، تاركين </w:t>
      </w:r>
      <w:r w:rsidRPr="007466D9">
        <w:rPr>
          <w:rFonts w:ascii="Traditional Arabic" w:hAnsi="Traditional Arabic" w:cs="Traditional Arabic" w:hint="cs"/>
          <w:color w:val="000000"/>
          <w:sz w:val="30"/>
          <w:szCs w:val="30"/>
          <w:rtl/>
        </w:rPr>
        <w:t>ال</w:t>
      </w:r>
      <w:r w:rsidRPr="007466D9">
        <w:rPr>
          <w:rFonts w:ascii="Traditional Arabic" w:hAnsi="Traditional Arabic" w:cs="Traditional Arabic"/>
          <w:color w:val="000000"/>
          <w:sz w:val="30"/>
          <w:szCs w:val="30"/>
          <w:rtl/>
        </w:rPr>
        <w:t>طريق مفتوحًا لمقاتلي الحوثي</w:t>
      </w:r>
      <w:r w:rsidRPr="007466D9">
        <w:rPr>
          <w:rFonts w:ascii="Traditional Arabic" w:hAnsi="Traditional Arabic" w:cs="Traditional Arabic" w:hint="cs"/>
          <w:color w:val="000000"/>
          <w:sz w:val="30"/>
          <w:szCs w:val="30"/>
          <w:rtl/>
        </w:rPr>
        <w:t>ين-</w:t>
      </w:r>
      <w:r w:rsidRPr="007466D9">
        <w:rPr>
          <w:rFonts w:ascii="Traditional Arabic" w:hAnsi="Traditional Arabic" w:cs="Traditional Arabic"/>
          <w:color w:val="000000"/>
          <w:sz w:val="30"/>
          <w:szCs w:val="30"/>
          <w:rtl/>
        </w:rPr>
        <w:t xml:space="preserve"> صالح. في 25 </w:t>
      </w:r>
      <w:r w:rsidRPr="007466D9">
        <w:rPr>
          <w:rFonts w:ascii="Traditional Arabic" w:hAnsi="Traditional Arabic" w:cs="Traditional Arabic" w:hint="cs"/>
          <w:color w:val="000000"/>
          <w:sz w:val="30"/>
          <w:szCs w:val="30"/>
          <w:rtl/>
        </w:rPr>
        <w:t xml:space="preserve">آذار/ </w:t>
      </w:r>
      <w:r w:rsidRPr="007466D9">
        <w:rPr>
          <w:rFonts w:ascii="Traditional Arabic" w:hAnsi="Traditional Arabic" w:cs="Traditional Arabic"/>
          <w:color w:val="000000"/>
          <w:sz w:val="30"/>
          <w:szCs w:val="30"/>
          <w:rtl/>
        </w:rPr>
        <w:t>مارس، عندما سيطر مقاتلو الحوثي</w:t>
      </w:r>
      <w:r w:rsidRPr="007466D9">
        <w:rPr>
          <w:rFonts w:ascii="Traditional Arabic" w:hAnsi="Traditional Arabic" w:cs="Traditional Arabic" w:hint="cs"/>
          <w:color w:val="000000"/>
          <w:sz w:val="30"/>
          <w:szCs w:val="30"/>
          <w:rtl/>
        </w:rPr>
        <w:t>ين -</w:t>
      </w:r>
      <w:r w:rsidRPr="007466D9">
        <w:rPr>
          <w:rFonts w:ascii="Traditional Arabic" w:hAnsi="Traditional Arabic" w:cs="Traditional Arabic"/>
          <w:color w:val="000000"/>
          <w:sz w:val="30"/>
          <w:szCs w:val="30"/>
          <w:rtl/>
        </w:rPr>
        <w:t xml:space="preserve"> صالح على مطار عدن الدولي، فر</w:t>
      </w:r>
      <w:r w:rsidRPr="007466D9">
        <w:rPr>
          <w:rFonts w:ascii="Traditional Arabic" w:hAnsi="Traditional Arabic" w:cs="Traditional Arabic" w:hint="cs"/>
          <w:color w:val="000000"/>
          <w:sz w:val="30"/>
          <w:szCs w:val="30"/>
          <w:rtl/>
        </w:rPr>
        <w:t>ّ</w:t>
      </w:r>
      <w:r w:rsidRPr="007466D9">
        <w:rPr>
          <w:rFonts w:ascii="Traditional Arabic" w:hAnsi="Traditional Arabic" w:cs="Traditional Arabic"/>
          <w:color w:val="000000"/>
          <w:sz w:val="30"/>
          <w:szCs w:val="30"/>
          <w:rtl/>
        </w:rPr>
        <w:t xml:space="preserve"> الرئيس هادي من عدن، </w:t>
      </w:r>
      <w:r w:rsidRPr="007466D9">
        <w:rPr>
          <w:rFonts w:ascii="Traditional Arabic" w:hAnsi="Traditional Arabic" w:cs="Traditional Arabic" w:hint="cs"/>
          <w:color w:val="000000"/>
          <w:sz w:val="30"/>
          <w:szCs w:val="30"/>
          <w:rtl/>
        </w:rPr>
        <w:t>و</w:t>
      </w:r>
      <w:r w:rsidRPr="007466D9">
        <w:rPr>
          <w:rFonts w:ascii="Traditional Arabic" w:hAnsi="Traditional Arabic" w:cs="Traditional Arabic"/>
          <w:color w:val="000000"/>
          <w:sz w:val="30"/>
          <w:szCs w:val="30"/>
          <w:rtl/>
        </w:rPr>
        <w:t xml:space="preserve">لجأ إلى المملكة العربية السعودية. بعد ساعات، بدأ التحالف </w:t>
      </w:r>
      <w:r w:rsidRPr="007466D9">
        <w:rPr>
          <w:rFonts w:ascii="Traditional Arabic" w:hAnsi="Traditional Arabic" w:cs="Traditional Arabic" w:hint="cs"/>
          <w:color w:val="000000"/>
          <w:sz w:val="30"/>
          <w:szCs w:val="30"/>
          <w:rtl/>
        </w:rPr>
        <w:t xml:space="preserve">بقيادة </w:t>
      </w:r>
      <w:r w:rsidRPr="007466D9">
        <w:rPr>
          <w:rFonts w:ascii="Traditional Arabic" w:hAnsi="Traditional Arabic" w:cs="Traditional Arabic"/>
          <w:color w:val="000000"/>
          <w:sz w:val="30"/>
          <w:szCs w:val="30"/>
          <w:rtl/>
        </w:rPr>
        <w:t xml:space="preserve">السعودية رسميا الحملة الجوية التي </w:t>
      </w:r>
      <w:r w:rsidRPr="007466D9">
        <w:rPr>
          <w:rFonts w:ascii="Traditional Arabic" w:hAnsi="Traditional Arabic" w:cs="Traditional Arabic" w:hint="cs"/>
          <w:color w:val="000000"/>
          <w:sz w:val="30"/>
          <w:szCs w:val="30"/>
          <w:rtl/>
        </w:rPr>
        <w:t>كانت</w:t>
      </w:r>
      <w:r w:rsidRPr="007466D9">
        <w:rPr>
          <w:rFonts w:ascii="Traditional Arabic" w:hAnsi="Traditional Arabic" w:cs="Traditional Arabic"/>
          <w:color w:val="000000"/>
          <w:sz w:val="30"/>
          <w:szCs w:val="30"/>
          <w:rtl/>
        </w:rPr>
        <w:t xml:space="preserve"> مستمرة وقت إعداد هذا التقرير</w:t>
      </w:r>
      <w:r w:rsidRPr="007466D9">
        <w:rPr>
          <w:rFonts w:ascii="Traditional Arabic" w:hAnsi="Traditional Arabic" w:cs="Traditional Arabic"/>
          <w:color w:val="000000"/>
          <w:sz w:val="30"/>
          <w:szCs w:val="30"/>
        </w:rPr>
        <w:t>.</w:t>
      </w:r>
    </w:p>
    <w:p w14:paraId="726941C1"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tl/>
        </w:rPr>
      </w:pPr>
      <w:r w:rsidRPr="001017A1">
        <w:rPr>
          <w:rFonts w:ascii="Traditional Arabic" w:hAnsi="Traditional Arabic" w:cs="Traditional Arabic"/>
          <w:color w:val="000000"/>
          <w:sz w:val="30"/>
          <w:szCs w:val="30"/>
          <w:rtl/>
        </w:rPr>
        <w:t xml:space="preserve">قام العقيد عبد اللطيف </w:t>
      </w:r>
      <w:r>
        <w:rPr>
          <w:rFonts w:ascii="Traditional Arabic" w:hAnsi="Traditional Arabic" w:cs="Traditional Arabic" w:hint="cs"/>
          <w:color w:val="000000"/>
          <w:sz w:val="30"/>
          <w:szCs w:val="30"/>
          <w:rtl/>
        </w:rPr>
        <w:t>السيد</w:t>
      </w:r>
      <w:r w:rsidRPr="001017A1">
        <w:rPr>
          <w:rFonts w:ascii="Traditional Arabic" w:hAnsi="Traditional Arabic" w:cs="Traditional Arabic"/>
          <w:color w:val="000000"/>
          <w:sz w:val="30"/>
          <w:szCs w:val="30"/>
          <w:rtl/>
        </w:rPr>
        <w:t xml:space="preserve">، رئيس "اللجان الشعبية" </w:t>
      </w:r>
      <w:r w:rsidRPr="001017A1">
        <w:rPr>
          <w:rFonts w:ascii="Traditional Arabic" w:hAnsi="Traditional Arabic" w:cs="Traditional Arabic" w:hint="cs"/>
          <w:color w:val="000000"/>
          <w:sz w:val="30"/>
          <w:szCs w:val="30"/>
          <w:rtl/>
        </w:rPr>
        <w:t>في أبين الموالية ل</w:t>
      </w:r>
      <w:r w:rsidRPr="001017A1">
        <w:rPr>
          <w:rFonts w:ascii="Traditional Arabic" w:hAnsi="Traditional Arabic" w:cs="Traditional Arabic"/>
          <w:color w:val="000000"/>
          <w:sz w:val="30"/>
          <w:szCs w:val="30"/>
          <w:rtl/>
        </w:rPr>
        <w:t xml:space="preserve">لحكومة </w:t>
      </w:r>
      <w:r w:rsidRPr="001017A1">
        <w:rPr>
          <w:rFonts w:ascii="Traditional Arabic" w:hAnsi="Traditional Arabic" w:cs="Traditional Arabic" w:hint="cs"/>
          <w:color w:val="000000"/>
          <w:sz w:val="30"/>
          <w:szCs w:val="30"/>
          <w:rtl/>
        </w:rPr>
        <w:t>والت</w:t>
      </w:r>
      <w:r w:rsidRPr="001017A1">
        <w:rPr>
          <w:rFonts w:ascii="Traditional Arabic" w:hAnsi="Traditional Arabic" w:cs="Traditional Arabic"/>
          <w:color w:val="000000"/>
          <w:sz w:val="30"/>
          <w:szCs w:val="30"/>
          <w:rtl/>
        </w:rPr>
        <w:t xml:space="preserve">ي </w:t>
      </w:r>
      <w:r w:rsidRPr="001017A1">
        <w:rPr>
          <w:rFonts w:ascii="Traditional Arabic" w:hAnsi="Traditional Arabic" w:cs="Traditional Arabic" w:hint="cs"/>
          <w:color w:val="000000"/>
          <w:sz w:val="30"/>
          <w:szCs w:val="30"/>
          <w:rtl/>
        </w:rPr>
        <w:t xml:space="preserve">كانت </w:t>
      </w:r>
      <w:r w:rsidRPr="001017A1">
        <w:rPr>
          <w:rFonts w:ascii="Traditional Arabic" w:hAnsi="Traditional Arabic" w:cs="Traditional Arabic"/>
          <w:color w:val="000000"/>
          <w:sz w:val="30"/>
          <w:szCs w:val="30"/>
          <w:rtl/>
        </w:rPr>
        <w:t xml:space="preserve">تقاتل تنظيم القاعدة في جزيرة العرب في ذلك الوقت، بجمع </w:t>
      </w:r>
      <w:r w:rsidRPr="001017A1">
        <w:rPr>
          <w:rFonts w:ascii="Traditional Arabic" w:hAnsi="Traditional Arabic" w:cs="Traditional Arabic"/>
          <w:color w:val="000000"/>
          <w:sz w:val="30"/>
          <w:szCs w:val="30"/>
          <w:rtl/>
        </w:rPr>
        <w:lastRenderedPageBreak/>
        <w:t>وقيادة قوة قوامها 3 آلاف فرد بالتنسيق مع ضباط القوات المسلحة اليمنية للدفاع عن عدن وأبين ضد مقاتلي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أثناء تقدمهم نحو المدينة.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مع وصول القتال إلى مدينة عدن، انضم السكان إلى المعركة دفاعًا عن أحيائهم. </w:t>
      </w:r>
      <w:r w:rsidRPr="001017A1">
        <w:rPr>
          <w:rFonts w:ascii="Traditional Arabic" w:hAnsi="Traditional Arabic" w:cs="Traditional Arabic" w:hint="cs"/>
          <w:color w:val="000000"/>
          <w:sz w:val="30"/>
          <w:szCs w:val="30"/>
          <w:rtl/>
        </w:rPr>
        <w:t xml:space="preserve">وقاد </w:t>
      </w:r>
      <w:r w:rsidRPr="001017A1">
        <w:rPr>
          <w:rFonts w:ascii="Traditional Arabic" w:hAnsi="Traditional Arabic" w:cs="Traditional Arabic"/>
          <w:color w:val="000000"/>
          <w:sz w:val="30"/>
          <w:szCs w:val="30"/>
          <w:rtl/>
        </w:rPr>
        <w:t xml:space="preserve">أديب محمد صالح العيسي، قائد القوات التي أصبحت تُعرف باسم "المقاومة"، المقاتلين في مناطق دار سعد والبساتين وبئر فاضل. </w:t>
      </w:r>
      <w:r w:rsidRPr="001017A1">
        <w:rPr>
          <w:rFonts w:ascii="Traditional Arabic" w:hAnsi="Traditional Arabic" w:cs="Traditional Arabic" w:hint="cs"/>
          <w:color w:val="000000"/>
          <w:sz w:val="30"/>
          <w:szCs w:val="30"/>
          <w:rtl/>
        </w:rPr>
        <w:t>ووجد ال</w:t>
      </w:r>
      <w:r w:rsidRPr="001017A1">
        <w:rPr>
          <w:rFonts w:ascii="Traditional Arabic" w:hAnsi="Traditional Arabic" w:cs="Traditional Arabic"/>
          <w:color w:val="000000"/>
          <w:sz w:val="30"/>
          <w:szCs w:val="30"/>
          <w:rtl/>
        </w:rPr>
        <w:t>مدني</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ن </w:t>
      </w:r>
      <w:r w:rsidRPr="001017A1">
        <w:rPr>
          <w:rFonts w:ascii="Traditional Arabic" w:hAnsi="Traditional Arabic" w:cs="Traditional Arabic" w:hint="cs"/>
          <w:color w:val="000000"/>
          <w:sz w:val="30"/>
          <w:szCs w:val="30"/>
          <w:rtl/>
        </w:rPr>
        <w:t xml:space="preserve">أنفسهم </w:t>
      </w:r>
      <w:r w:rsidRPr="001017A1">
        <w:rPr>
          <w:rFonts w:ascii="Traditional Arabic" w:hAnsi="Traditional Arabic" w:cs="Traditional Arabic"/>
          <w:color w:val="000000"/>
          <w:sz w:val="30"/>
          <w:szCs w:val="30"/>
          <w:rtl/>
        </w:rPr>
        <w:t xml:space="preserve">في وسط القتال في مدينة عدن، </w:t>
      </w:r>
      <w:r w:rsidRPr="001017A1">
        <w:rPr>
          <w:rFonts w:ascii="Traditional Arabic" w:hAnsi="Traditional Arabic" w:cs="Traditional Arabic" w:hint="cs"/>
          <w:color w:val="000000"/>
          <w:sz w:val="30"/>
          <w:szCs w:val="30"/>
          <w:rtl/>
        </w:rPr>
        <w:t xml:space="preserve">فعانوا </w:t>
      </w:r>
      <w:r w:rsidRPr="001017A1">
        <w:rPr>
          <w:rFonts w:ascii="Traditional Arabic" w:hAnsi="Traditional Arabic" w:cs="Traditional Arabic"/>
          <w:color w:val="000000"/>
          <w:sz w:val="30"/>
          <w:szCs w:val="30"/>
          <w:rtl/>
        </w:rPr>
        <w:t xml:space="preserve">من آثار استخدام الأسلحة </w:t>
      </w:r>
      <w:r w:rsidRPr="001017A1">
        <w:rPr>
          <w:rFonts w:ascii="Traditional Arabic" w:hAnsi="Traditional Arabic" w:cs="Traditional Arabic" w:hint="cs"/>
          <w:color w:val="000000"/>
          <w:sz w:val="30"/>
          <w:szCs w:val="30"/>
          <w:rtl/>
        </w:rPr>
        <w:t>ذات النطاق الواسع</w:t>
      </w:r>
      <w:r w:rsidRPr="001017A1">
        <w:rPr>
          <w:rFonts w:ascii="Traditional Arabic" w:hAnsi="Traditional Arabic" w:cs="Traditional Arabic"/>
          <w:color w:val="000000"/>
          <w:sz w:val="30"/>
          <w:szCs w:val="30"/>
          <w:rtl/>
        </w:rPr>
        <w:t xml:space="preserve"> في المناطق الحضرية المكتظة بالسكان. عندما انتهت معركة عدن في أواخر </w:t>
      </w:r>
      <w:r w:rsidRPr="001017A1">
        <w:rPr>
          <w:rFonts w:ascii="Traditional Arabic" w:hAnsi="Traditional Arabic" w:cs="Traditional Arabic" w:hint="cs"/>
          <w:color w:val="000000"/>
          <w:sz w:val="30"/>
          <w:szCs w:val="30"/>
          <w:rtl/>
        </w:rPr>
        <w:t xml:space="preserve">تموز/ </w:t>
      </w:r>
      <w:r w:rsidRPr="001017A1">
        <w:rPr>
          <w:rFonts w:ascii="Traditional Arabic" w:hAnsi="Traditional Arabic" w:cs="Traditional Arabic"/>
          <w:color w:val="000000"/>
          <w:sz w:val="30"/>
          <w:szCs w:val="30"/>
          <w:rtl/>
        </w:rPr>
        <w:t>يوليو 2015 ، تمكنت المقاومة المناهضة للحوثيين من إجبار مقاتلي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على التراجع. كانت المقاومة المناهضة للحوثيين تتألف من قوات مسلحة يمنية موالية للرئيس هادي و</w:t>
      </w:r>
      <w:r w:rsidRPr="001017A1">
        <w:rPr>
          <w:rFonts w:ascii="Traditional Arabic" w:hAnsi="Traditional Arabic" w:cs="Traditional Arabic" w:hint="cs"/>
          <w:color w:val="000000"/>
          <w:sz w:val="30"/>
          <w:szCs w:val="30"/>
          <w:rtl/>
        </w:rPr>
        <w:t xml:space="preserve">من </w:t>
      </w:r>
      <w:r w:rsidRPr="001017A1">
        <w:rPr>
          <w:rFonts w:ascii="Traditional Arabic" w:hAnsi="Traditional Arabic" w:cs="Traditional Arabic"/>
          <w:color w:val="000000"/>
          <w:sz w:val="30"/>
          <w:szCs w:val="30"/>
          <w:rtl/>
        </w:rPr>
        <w:t xml:space="preserve">جماعات مسلحة </w:t>
      </w:r>
      <w:r w:rsidRPr="001017A1">
        <w:rPr>
          <w:rFonts w:ascii="Traditional Arabic" w:hAnsi="Traditional Arabic" w:cs="Traditional Arabic" w:hint="cs"/>
          <w:color w:val="000000"/>
          <w:sz w:val="30"/>
          <w:szCs w:val="30"/>
          <w:rtl/>
        </w:rPr>
        <w:t>ضعيفة التنظيم</w:t>
      </w:r>
      <w:r w:rsidRPr="001017A1">
        <w:rPr>
          <w:rFonts w:ascii="Traditional Arabic" w:hAnsi="Traditional Arabic" w:cs="Traditional Arabic"/>
          <w:color w:val="000000"/>
          <w:sz w:val="30"/>
          <w:szCs w:val="30"/>
          <w:rtl/>
        </w:rPr>
        <w:t>، تضمنت أعضاء في الحركة الجنوبية الانفصالية وسلفيين</w:t>
      </w:r>
      <w:r w:rsidRPr="009D407A">
        <w:footnoteReference w:id="98"/>
      </w:r>
      <w:r w:rsidRPr="001017A1">
        <w:rPr>
          <w:rFonts w:ascii="Traditional Arabic" w:hAnsi="Traditional Arabic" w:cs="Traditional Arabic"/>
          <w:color w:val="000000"/>
          <w:sz w:val="30"/>
          <w:szCs w:val="30"/>
          <w:rtl/>
        </w:rPr>
        <w:t xml:space="preserve">. هذه المجموعات كانت مدعومة من </w:t>
      </w:r>
      <w:r w:rsidRPr="001017A1">
        <w:rPr>
          <w:rFonts w:ascii="Traditional Arabic" w:hAnsi="Traditional Arabic" w:cs="Traditional Arabic" w:hint="cs"/>
          <w:color w:val="000000"/>
          <w:sz w:val="30"/>
          <w:szCs w:val="30"/>
          <w:rtl/>
        </w:rPr>
        <w:t>جانب</w:t>
      </w:r>
      <w:r w:rsidRPr="001017A1">
        <w:rPr>
          <w:rFonts w:ascii="Traditional Arabic" w:hAnsi="Traditional Arabic" w:cs="Traditional Arabic"/>
          <w:color w:val="000000"/>
          <w:sz w:val="30"/>
          <w:szCs w:val="30"/>
          <w:rtl/>
        </w:rPr>
        <w:t xml:space="preserve"> التحالف، بما في ذلك</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الضربات الجوية</w:t>
      </w:r>
      <w:r w:rsidRPr="001017A1">
        <w:rPr>
          <w:rFonts w:ascii="Traditional Arabic" w:hAnsi="Traditional Arabic" w:cs="Traditional Arabic"/>
          <w:color w:val="000000"/>
          <w:sz w:val="30"/>
          <w:szCs w:val="30"/>
        </w:rPr>
        <w:t>.</w:t>
      </w:r>
    </w:p>
    <w:p w14:paraId="0C3EFCE2" w14:textId="77777777" w:rsidR="00967CB7" w:rsidRPr="00967CB7" w:rsidRDefault="00967CB7" w:rsidP="004D36D2">
      <w:pPr>
        <w:pStyle w:val="ListParagraph"/>
        <w:numPr>
          <w:ilvl w:val="2"/>
          <w:numId w:val="4"/>
        </w:numPr>
        <w:tabs>
          <w:tab w:val="left" w:pos="720"/>
          <w:tab w:val="left" w:pos="1134"/>
          <w:tab w:val="left" w:pos="1701"/>
        </w:tabs>
        <w:bidi/>
        <w:spacing w:after="120"/>
        <w:ind w:right="827" w:hanging="1971"/>
        <w:rPr>
          <w:rFonts w:ascii="Traditional Arabic" w:hAnsi="Traditional Arabic" w:cs="Traditional Arabic"/>
          <w:b/>
          <w:bCs/>
          <w:sz w:val="30"/>
          <w:szCs w:val="30"/>
        </w:rPr>
      </w:pPr>
      <w:r w:rsidRPr="00967CB7">
        <w:rPr>
          <w:rFonts w:ascii="Traditional Arabic" w:hAnsi="Traditional Arabic" w:cs="Traditional Arabic"/>
          <w:b/>
          <w:bCs/>
          <w:sz w:val="30"/>
          <w:szCs w:val="30"/>
          <w:rtl/>
        </w:rPr>
        <w:t>الانتهاكات والجرائم المزعومة</w:t>
      </w:r>
    </w:p>
    <w:p w14:paraId="04F41560" w14:textId="7822FFE4" w:rsidR="00967CB7" w:rsidRPr="00967CB7" w:rsidRDefault="00E70C00" w:rsidP="0036085D">
      <w:pPr>
        <w:tabs>
          <w:tab w:val="left" w:pos="720"/>
          <w:tab w:val="left" w:pos="1134"/>
        </w:tabs>
        <w:suppressAutoHyphens w:val="0"/>
        <w:bidi/>
        <w:spacing w:line="240" w:lineRule="auto"/>
        <w:ind w:left="720" w:right="1080" w:firstLine="369"/>
        <w:jc w:val="both"/>
        <w:rPr>
          <w:rFonts w:asciiTheme="majorBidi" w:eastAsiaTheme="minorHAnsi" w:hAnsiTheme="majorBidi" w:cstheme="majorBidi"/>
          <w:sz w:val="24"/>
          <w:szCs w:val="24"/>
          <w:rtl/>
        </w:rPr>
      </w:pPr>
      <w:r>
        <w:rPr>
          <w:rFonts w:asciiTheme="majorBidi" w:eastAsiaTheme="minorHAnsi" w:hAnsiTheme="majorBidi" w:cstheme="majorBidi"/>
          <w:noProof/>
          <w:sz w:val="24"/>
          <w:szCs w:val="24"/>
          <w:lang w:eastAsia="en-GB"/>
        </w:rPr>
        <w:drawing>
          <wp:inline distT="0" distB="0" distL="0" distR="0" wp14:anchorId="2A33C984" wp14:editId="38FD6671">
            <wp:extent cx="4649118" cy="32861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9118" cy="3286122"/>
                    </a:xfrm>
                    <a:prstGeom prst="rect">
                      <a:avLst/>
                    </a:prstGeom>
                    <a:noFill/>
                  </pic:spPr>
                </pic:pic>
              </a:graphicData>
            </a:graphic>
          </wp:inline>
        </w:drawing>
      </w:r>
    </w:p>
    <w:p w14:paraId="22E4AD03" w14:textId="77777777" w:rsidR="00967CB7" w:rsidRPr="00967CB7" w:rsidRDefault="00967CB7" w:rsidP="00361237">
      <w:pPr>
        <w:tabs>
          <w:tab w:val="left" w:pos="720"/>
          <w:tab w:val="left" w:pos="1134"/>
        </w:tabs>
        <w:suppressAutoHyphens w:val="0"/>
        <w:spacing w:line="240" w:lineRule="auto"/>
        <w:ind w:left="720" w:right="827" w:firstLine="720"/>
        <w:jc w:val="both"/>
        <w:rPr>
          <w:rFonts w:asciiTheme="majorBidi" w:eastAsiaTheme="minorHAnsi" w:hAnsiTheme="majorBidi" w:cstheme="majorBidi"/>
          <w:sz w:val="24"/>
          <w:szCs w:val="24"/>
          <w:rtl/>
        </w:rPr>
      </w:pPr>
    </w:p>
    <w:p w14:paraId="39CE1B37" w14:textId="77ACE7A1"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خلال القتال، تم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تدمير</w:t>
      </w:r>
      <w:r w:rsidRPr="00967CB7">
        <w:rPr>
          <w:rFonts w:ascii="Traditional Arabic" w:hAnsi="Traditional Arabic" w:cs="Traditional Arabic"/>
          <w:color w:val="000000"/>
          <w:sz w:val="30"/>
          <w:szCs w:val="30"/>
        </w:rPr>
        <w:t xml:space="preserve"> </w:t>
      </w:r>
      <w:r w:rsidRPr="00967CB7">
        <w:rPr>
          <w:rFonts w:ascii="Traditional Arabic" w:hAnsi="Traditional Arabic" w:cs="Traditional Arabic"/>
          <w:color w:val="000000"/>
          <w:sz w:val="30"/>
          <w:szCs w:val="30"/>
          <w:rtl/>
        </w:rPr>
        <w:t xml:space="preserve">356 مبنى على الأقل في المدينة، </w:t>
      </w:r>
      <w:r w:rsidRPr="00967CB7">
        <w:rPr>
          <w:rFonts w:ascii="Traditional Arabic" w:hAnsi="Traditional Arabic" w:cs="Traditional Arabic" w:hint="cs"/>
          <w:color w:val="000000"/>
          <w:sz w:val="30"/>
          <w:szCs w:val="30"/>
          <w:rtl/>
        </w:rPr>
        <w:t xml:space="preserve">حيث لحقت </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الأ</w:t>
      </w:r>
      <w:r w:rsidRPr="00967CB7">
        <w:rPr>
          <w:rFonts w:ascii="Traditional Arabic" w:hAnsi="Traditional Arabic" w:cs="Traditional Arabic"/>
          <w:color w:val="000000"/>
          <w:sz w:val="30"/>
          <w:szCs w:val="30"/>
          <w:rtl/>
        </w:rPr>
        <w:t xml:space="preserve">ضرار </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جسيمة</w:t>
      </w:r>
      <w:r w:rsidRPr="00967CB7">
        <w:rPr>
          <w:rFonts w:ascii="Traditional Arabic" w:hAnsi="Traditional Arabic" w:cs="Traditional Arabic" w:hint="cs"/>
          <w:color w:val="000000"/>
          <w:sz w:val="30"/>
          <w:szCs w:val="30"/>
          <w:rtl/>
        </w:rPr>
        <w:t xml:space="preserve"> بـ</w:t>
      </w:r>
      <w:r>
        <w:rPr>
          <w:rFonts w:ascii="Traditional Arabic" w:hAnsi="Traditional Arabic" w:cs="Traditional Arabic" w:hint="cs"/>
          <w:color w:val="000000"/>
          <w:sz w:val="30"/>
          <w:szCs w:val="30"/>
          <w:rtl/>
        </w:rPr>
        <w:t>ـ</w:t>
      </w:r>
      <w:r w:rsidRPr="00967CB7">
        <w:rPr>
          <w:rFonts w:ascii="Traditional Arabic" w:hAnsi="Traditional Arabic" w:cs="Traditional Arabic"/>
          <w:color w:val="000000"/>
          <w:sz w:val="30"/>
          <w:szCs w:val="30"/>
          <w:rtl/>
        </w:rPr>
        <w:t xml:space="preserve"> 202 م</w:t>
      </w:r>
      <w:r w:rsidRPr="00967CB7">
        <w:rPr>
          <w:rFonts w:ascii="Traditional Arabic" w:hAnsi="Traditional Arabic" w:cs="Traditional Arabic" w:hint="cs"/>
          <w:color w:val="000000"/>
          <w:sz w:val="30"/>
          <w:szCs w:val="30"/>
          <w:rtl/>
        </w:rPr>
        <w:t xml:space="preserve">بنى مقابل </w:t>
      </w:r>
      <w:r w:rsidRPr="00967CB7">
        <w:rPr>
          <w:rFonts w:ascii="Traditional Arabic" w:hAnsi="Traditional Arabic" w:cs="Traditional Arabic"/>
          <w:color w:val="000000"/>
          <w:sz w:val="30"/>
          <w:szCs w:val="30"/>
          <w:rtl/>
        </w:rPr>
        <w:t xml:space="preserve">270 مبنى </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ضر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ر</w:t>
      </w:r>
      <w:r w:rsidRPr="00967CB7">
        <w:rPr>
          <w:rFonts w:ascii="Traditional Arabic" w:hAnsi="Traditional Arabic" w:cs="Traditional Arabic" w:hint="cs"/>
          <w:color w:val="000000"/>
          <w:sz w:val="30"/>
          <w:szCs w:val="30"/>
          <w:rtl/>
        </w:rPr>
        <w:t xml:space="preserve"> بشكل معتدل</w:t>
      </w:r>
      <w:r w:rsidRPr="00967CB7">
        <w:rPr>
          <w:rFonts w:asciiTheme="majorBidi" w:hAnsiTheme="majorBidi"/>
          <w:sz w:val="24"/>
          <w:szCs w:val="24"/>
          <w:rtl/>
        </w:rPr>
        <w:t>.</w:t>
      </w:r>
      <w:r w:rsidRPr="00967CB7">
        <w:rPr>
          <w:rFonts w:asciiTheme="majorBidi" w:hAnsiTheme="majorBidi" w:cstheme="majorBidi"/>
          <w:sz w:val="24"/>
          <w:szCs w:val="24"/>
          <w:vertAlign w:val="superscript"/>
        </w:rPr>
        <w:t xml:space="preserve"> </w:t>
      </w:r>
      <w:r w:rsidRPr="00967CB7">
        <w:rPr>
          <w:rFonts w:asciiTheme="majorBidi" w:hAnsiTheme="majorBidi" w:cstheme="majorBidi"/>
          <w:sz w:val="24"/>
          <w:szCs w:val="24"/>
          <w:vertAlign w:val="superscript"/>
        </w:rPr>
        <w:footnoteReference w:id="99"/>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و</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فقًا لمكتب تنسيق الشؤون الإنسانية</w:t>
      </w:r>
      <w:r w:rsidRPr="00967CB7">
        <w:rPr>
          <w:rFonts w:asciiTheme="majorBidi" w:hAnsiTheme="majorBidi" w:cstheme="majorBidi"/>
          <w:sz w:val="24"/>
          <w:szCs w:val="24"/>
          <w:vertAlign w:val="superscript"/>
        </w:rPr>
        <w:footnoteReference w:id="100"/>
      </w:r>
      <w:r w:rsidRPr="00967CB7">
        <w:rPr>
          <w:rFonts w:asciiTheme="majorBidi" w:hAnsiTheme="majorBidi" w:cstheme="majorBidi" w:hint="cs"/>
          <w:sz w:val="24"/>
          <w:szCs w:val="24"/>
          <w:rtl/>
        </w:rPr>
        <w:t xml:space="preserve">، </w:t>
      </w:r>
      <w:r w:rsidRPr="00967CB7">
        <w:rPr>
          <w:rFonts w:ascii="Traditional Arabic" w:hAnsi="Traditional Arabic" w:cs="Traditional Arabic"/>
          <w:color w:val="000000"/>
          <w:sz w:val="30"/>
          <w:szCs w:val="30"/>
          <w:rtl/>
        </w:rPr>
        <w:t xml:space="preserve">حتى 10 </w:t>
      </w:r>
      <w:r w:rsidRPr="00967CB7">
        <w:rPr>
          <w:rFonts w:ascii="Traditional Arabic" w:hAnsi="Traditional Arabic" w:cs="Traditional Arabic" w:hint="cs"/>
          <w:color w:val="000000"/>
          <w:sz w:val="30"/>
          <w:szCs w:val="30"/>
          <w:rtl/>
        </w:rPr>
        <w:t xml:space="preserve">تموز/ </w:t>
      </w:r>
      <w:r>
        <w:rPr>
          <w:rFonts w:ascii="Traditional Arabic" w:hAnsi="Traditional Arabic" w:cs="Traditional Arabic"/>
          <w:color w:val="000000"/>
          <w:sz w:val="30"/>
          <w:szCs w:val="30"/>
          <w:rtl/>
        </w:rPr>
        <w:t>يوليو 2015</w:t>
      </w:r>
      <w:r w:rsidRPr="00967CB7">
        <w:rPr>
          <w:rFonts w:ascii="Traditional Arabic" w:hAnsi="Traditional Arabic" w:cs="Traditional Arabic"/>
          <w:color w:val="000000"/>
          <w:sz w:val="30"/>
          <w:szCs w:val="30"/>
          <w:rtl/>
        </w:rPr>
        <w:t xml:space="preserve">، تم تسجيل 783 حالة وفاة في المنشآت الصحية في عدن. من المتوقع أن يكون العدد الإجمالي للضحايا أعلى بكثير. أصيب </w:t>
      </w:r>
      <w:r w:rsidRPr="00967CB7">
        <w:rPr>
          <w:rFonts w:ascii="Traditional Arabic" w:hAnsi="Traditional Arabic" w:cs="Traditional Arabic" w:hint="cs"/>
          <w:color w:val="000000"/>
          <w:sz w:val="30"/>
          <w:szCs w:val="30"/>
          <w:rtl/>
        </w:rPr>
        <w:t xml:space="preserve">أو قُتل </w:t>
      </w:r>
      <w:r w:rsidRPr="00967CB7">
        <w:rPr>
          <w:rFonts w:ascii="Traditional Arabic" w:hAnsi="Traditional Arabic" w:cs="Traditional Arabic"/>
          <w:color w:val="000000"/>
          <w:sz w:val="30"/>
          <w:szCs w:val="30"/>
          <w:rtl/>
        </w:rPr>
        <w:t xml:space="preserve">حوالي 200 طفل في عدن في </w:t>
      </w:r>
      <w:r w:rsidRPr="00967CB7">
        <w:rPr>
          <w:rFonts w:ascii="Traditional Arabic" w:hAnsi="Traditional Arabic" w:cs="Traditional Arabic" w:hint="cs"/>
          <w:color w:val="000000"/>
          <w:sz w:val="30"/>
          <w:szCs w:val="30"/>
          <w:rtl/>
        </w:rPr>
        <w:t>تلك</w:t>
      </w:r>
      <w:r w:rsidRPr="00967CB7">
        <w:rPr>
          <w:rFonts w:ascii="Traditional Arabic" w:hAnsi="Traditional Arabic" w:cs="Traditional Arabic"/>
          <w:color w:val="000000"/>
          <w:sz w:val="30"/>
          <w:szCs w:val="30"/>
          <w:rtl/>
        </w:rPr>
        <w:t xml:space="preserve"> الفترة</w:t>
      </w:r>
      <w:r>
        <w:rPr>
          <w:rFonts w:ascii="Traditional Arabic" w:hAnsi="Traditional Arabic" w:cs="Traditional Arabic" w:hint="cs"/>
          <w:color w:val="000000"/>
          <w:sz w:val="30"/>
          <w:szCs w:val="30"/>
          <w:rtl/>
        </w:rPr>
        <w:t>.</w:t>
      </w:r>
      <w:r w:rsidRPr="00967CB7">
        <w:rPr>
          <w:rFonts w:asciiTheme="majorBidi" w:hAnsiTheme="majorBidi" w:cstheme="majorBidi"/>
          <w:sz w:val="24"/>
          <w:szCs w:val="24"/>
          <w:vertAlign w:val="superscript"/>
        </w:rPr>
        <w:footnoteReference w:id="101"/>
      </w:r>
    </w:p>
    <w:p w14:paraId="32F6DFA1" w14:textId="09599D4E"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hint="cs"/>
          <w:color w:val="000000"/>
          <w:sz w:val="30"/>
          <w:szCs w:val="30"/>
          <w:rtl/>
        </w:rPr>
        <w:lastRenderedPageBreak/>
        <w:t xml:space="preserve">تسبّب </w:t>
      </w:r>
      <w:r w:rsidRPr="00967CB7">
        <w:rPr>
          <w:rFonts w:ascii="Traditional Arabic" w:hAnsi="Traditional Arabic" w:cs="Traditional Arabic"/>
          <w:color w:val="000000"/>
          <w:sz w:val="30"/>
          <w:szCs w:val="30"/>
          <w:rtl/>
        </w:rPr>
        <w:t xml:space="preserve">القتال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 xml:space="preserve">عدن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وضع إنساني خطير. وفقًا </w:t>
      </w:r>
      <w:r w:rsidRPr="00967CB7">
        <w:rPr>
          <w:rFonts w:ascii="Traditional Arabic" w:hAnsi="Traditional Arabic" w:cs="Traditional Arabic" w:hint="cs"/>
          <w:color w:val="000000"/>
          <w:sz w:val="30"/>
          <w:szCs w:val="30"/>
          <w:rtl/>
        </w:rPr>
        <w:t>لاستعراض</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الأمم المتحدة ل</w:t>
      </w:r>
      <w:r w:rsidRPr="00967CB7">
        <w:rPr>
          <w:rFonts w:ascii="Traditional Arabic" w:hAnsi="Traditional Arabic" w:cs="Traditional Arabic"/>
          <w:color w:val="000000"/>
          <w:sz w:val="30"/>
          <w:szCs w:val="30"/>
          <w:rtl/>
        </w:rPr>
        <w:t xml:space="preserve">لاحتياجات الإنسانية </w:t>
      </w:r>
      <w:r w:rsidRPr="00967CB7">
        <w:rPr>
          <w:rFonts w:ascii="Traditional Arabic" w:hAnsi="Traditional Arabic" w:cs="Traditional Arabic" w:hint="cs"/>
          <w:color w:val="000000"/>
          <w:sz w:val="30"/>
          <w:szCs w:val="30"/>
          <w:rtl/>
        </w:rPr>
        <w:t>في ال</w:t>
      </w:r>
      <w:r w:rsidRPr="00967CB7">
        <w:rPr>
          <w:rFonts w:ascii="Traditional Arabic" w:hAnsi="Traditional Arabic" w:cs="Traditional Arabic"/>
          <w:color w:val="000000"/>
          <w:sz w:val="30"/>
          <w:szCs w:val="30"/>
          <w:rtl/>
        </w:rPr>
        <w:t>يمن لعام 2016</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جميع سكان عدن </w:t>
      </w:r>
      <w:r w:rsidRPr="00967CB7">
        <w:rPr>
          <w:rFonts w:ascii="Traditional Arabic" w:hAnsi="Traditional Arabic" w:cs="Traditional Arabic" w:hint="cs"/>
          <w:color w:val="000000"/>
          <w:sz w:val="30"/>
          <w:szCs w:val="30"/>
          <w:rtl/>
        </w:rPr>
        <w:t xml:space="preserve">كانوا </w:t>
      </w:r>
      <w:r w:rsidRPr="00967CB7">
        <w:rPr>
          <w:rFonts w:ascii="Traditional Arabic" w:hAnsi="Traditional Arabic" w:cs="Traditional Arabic"/>
          <w:color w:val="000000"/>
          <w:sz w:val="30"/>
          <w:szCs w:val="30"/>
          <w:rtl/>
        </w:rPr>
        <w:t>بحاجة إلى نوع من المساعدة الإنسانية في أعقاب القتال</w:t>
      </w:r>
      <w:r w:rsidRPr="00967CB7">
        <w:rPr>
          <w:rFonts w:asciiTheme="majorBidi" w:hAnsiTheme="majorBidi" w:cstheme="majorBidi"/>
          <w:sz w:val="24"/>
          <w:szCs w:val="24"/>
          <w:vertAlign w:val="superscript"/>
        </w:rPr>
        <w:footnoteReference w:id="102"/>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ف</w:t>
      </w:r>
      <w:r w:rsidRPr="00967CB7">
        <w:rPr>
          <w:rFonts w:ascii="Traditional Arabic" w:hAnsi="Traditional Arabic" w:cs="Traditional Arabic"/>
          <w:color w:val="000000"/>
          <w:sz w:val="30"/>
          <w:szCs w:val="30"/>
          <w:rtl/>
        </w:rPr>
        <w:t>قد تضر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رت</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إمدادات المياه بشدة.</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hint="cs"/>
          <w:color w:val="000000"/>
          <w:sz w:val="30"/>
          <w:szCs w:val="30"/>
          <w:rtl/>
          <w:lang w:bidi="ar-JO"/>
        </w:rPr>
        <w:t xml:space="preserve"> استقبلت</w:t>
      </w:r>
      <w:r w:rsidRPr="00967CB7">
        <w:rPr>
          <w:rFonts w:ascii="Traditional Arabic" w:hAnsi="Traditional Arabic" w:cs="Traditional Arabic"/>
          <w:color w:val="000000"/>
          <w:sz w:val="30"/>
          <w:szCs w:val="30"/>
          <w:rtl/>
        </w:rPr>
        <w:t xml:space="preserve"> المستشفيات </w:t>
      </w:r>
      <w:r w:rsidRPr="00967CB7">
        <w:rPr>
          <w:rFonts w:ascii="Traditional Arabic" w:hAnsi="Traditional Arabic" w:cs="Traditional Arabic" w:hint="cs"/>
          <w:color w:val="000000"/>
          <w:sz w:val="30"/>
          <w:szCs w:val="30"/>
          <w:rtl/>
        </w:rPr>
        <w:t xml:space="preserve">الموجودة </w:t>
      </w:r>
      <w:r w:rsidRPr="00967CB7">
        <w:rPr>
          <w:rFonts w:ascii="Traditional Arabic" w:hAnsi="Traditional Arabic" w:cs="Traditional Arabic"/>
          <w:color w:val="000000"/>
          <w:sz w:val="30"/>
          <w:szCs w:val="30"/>
          <w:rtl/>
        </w:rPr>
        <w:t>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أنحاء المدينة </w:t>
      </w:r>
      <w:r w:rsidRPr="00967CB7">
        <w:rPr>
          <w:rFonts w:ascii="Traditional Arabic" w:hAnsi="Traditional Arabic" w:cs="Traditional Arabic" w:hint="cs"/>
          <w:color w:val="000000"/>
          <w:sz w:val="30"/>
          <w:szCs w:val="30"/>
          <w:rtl/>
        </w:rPr>
        <w:t xml:space="preserve">على </w:t>
      </w:r>
      <w:r w:rsidRPr="00967CB7">
        <w:rPr>
          <w:rFonts w:ascii="Traditional Arabic" w:hAnsi="Traditional Arabic" w:cs="Traditional Arabic"/>
          <w:color w:val="000000"/>
          <w:sz w:val="30"/>
          <w:szCs w:val="30"/>
          <w:rtl/>
        </w:rPr>
        <w:t>أعداد كبيرة من الضحايا</w:t>
      </w:r>
      <w:r w:rsidRPr="00967CB7">
        <w:rPr>
          <w:rFonts w:ascii="Traditional Arabic" w:hAnsi="Traditional Arabic" w:cs="Traditional Arabic" w:hint="cs"/>
          <w:color w:val="000000"/>
          <w:sz w:val="30"/>
          <w:szCs w:val="30"/>
          <w:rtl/>
        </w:rPr>
        <w:t xml:space="preserve"> على الرغم من الضغوطات التي تعاني منها أصلاً</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في أعقاب </w:t>
      </w:r>
      <w:r w:rsidRPr="00967CB7">
        <w:rPr>
          <w:rFonts w:ascii="Traditional Arabic" w:hAnsi="Traditional Arabic" w:cs="Traditional Arabic" w:hint="cs"/>
          <w:color w:val="000000"/>
          <w:sz w:val="30"/>
          <w:szCs w:val="30"/>
          <w:rtl/>
        </w:rPr>
        <w:t>تلك المرحلة</w:t>
      </w:r>
      <w:r w:rsidRPr="00967CB7">
        <w:rPr>
          <w:rFonts w:ascii="Traditional Arabic" w:hAnsi="Traditional Arabic" w:cs="Traditional Arabic"/>
          <w:color w:val="000000"/>
          <w:sz w:val="30"/>
          <w:szCs w:val="30"/>
          <w:rtl/>
        </w:rPr>
        <w:t>، تمك</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 برنامج الأغذية العالمي من </w:t>
      </w:r>
      <w:r w:rsidRPr="00967CB7">
        <w:rPr>
          <w:rFonts w:ascii="Traditional Arabic" w:hAnsi="Traditional Arabic" w:cs="Traditional Arabic" w:hint="cs"/>
          <w:color w:val="000000"/>
          <w:sz w:val="30"/>
          <w:szCs w:val="30"/>
          <w:rtl/>
        </w:rPr>
        <w:t>ادخال الطعام الى</w:t>
      </w:r>
      <w:r w:rsidRPr="00967CB7">
        <w:rPr>
          <w:rFonts w:ascii="Traditional Arabic" w:hAnsi="Traditional Arabic" w:cs="Traditional Arabic"/>
          <w:color w:val="000000"/>
          <w:sz w:val="30"/>
          <w:szCs w:val="30"/>
          <w:rtl/>
        </w:rPr>
        <w:t xml:space="preserve"> المدينة ولكنه </w:t>
      </w:r>
      <w:r w:rsidRPr="00967CB7">
        <w:rPr>
          <w:rFonts w:ascii="Traditional Arabic" w:hAnsi="Traditional Arabic" w:cs="Traditional Arabic" w:hint="cs"/>
          <w:color w:val="000000"/>
          <w:sz w:val="30"/>
          <w:szCs w:val="30"/>
          <w:rtl/>
        </w:rPr>
        <w:t xml:space="preserve">عانى من مشكلة التنقل </w:t>
      </w:r>
      <w:r w:rsidRPr="00967CB7">
        <w:rPr>
          <w:rFonts w:ascii="Traditional Arabic" w:hAnsi="Traditional Arabic" w:cs="Traditional Arabic"/>
          <w:color w:val="000000"/>
          <w:sz w:val="30"/>
          <w:szCs w:val="30"/>
          <w:rtl/>
        </w:rPr>
        <w:t xml:space="preserve">داخل المدينة </w:t>
      </w:r>
      <w:r w:rsidRPr="00967CB7">
        <w:rPr>
          <w:rFonts w:ascii="Traditional Arabic" w:hAnsi="Traditional Arabic" w:cs="Traditional Arabic" w:hint="cs"/>
          <w:color w:val="000000"/>
          <w:sz w:val="30"/>
          <w:szCs w:val="30"/>
          <w:rtl/>
        </w:rPr>
        <w:t>وا</w:t>
      </w:r>
      <w:r w:rsidRPr="00967CB7">
        <w:rPr>
          <w:rFonts w:ascii="Traditional Arabic" w:hAnsi="Traditional Arabic" w:cs="Traditional Arabic"/>
          <w:color w:val="000000"/>
          <w:sz w:val="30"/>
          <w:szCs w:val="30"/>
          <w:rtl/>
        </w:rPr>
        <w:t xml:space="preserve">لوصول إلى المحتاجين.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الحريق الهائل الذي اندلع في مصفاة عدن النفطية خلال القتال </w:t>
      </w:r>
      <w:r w:rsidRPr="00967CB7">
        <w:rPr>
          <w:rFonts w:ascii="Traditional Arabic" w:hAnsi="Traditional Arabic" w:cs="Traditional Arabic" w:hint="cs"/>
          <w:color w:val="000000"/>
          <w:sz w:val="30"/>
          <w:szCs w:val="30"/>
          <w:rtl/>
        </w:rPr>
        <w:t>بأ</w:t>
      </w:r>
      <w:r w:rsidRPr="00967CB7">
        <w:rPr>
          <w:rFonts w:ascii="Traditional Arabic" w:hAnsi="Traditional Arabic" w:cs="Traditional Arabic"/>
          <w:color w:val="000000"/>
          <w:sz w:val="30"/>
          <w:szCs w:val="30"/>
          <w:rtl/>
        </w:rPr>
        <w:t xml:space="preserve">ثر </w:t>
      </w:r>
      <w:r w:rsidRPr="00967CB7">
        <w:rPr>
          <w:rFonts w:ascii="Traditional Arabic" w:hAnsi="Traditional Arabic" w:cs="Traditional Arabic" w:hint="cs"/>
          <w:color w:val="000000"/>
          <w:sz w:val="30"/>
          <w:szCs w:val="30"/>
          <w:rtl/>
        </w:rPr>
        <w:t xml:space="preserve">سلبي </w:t>
      </w:r>
      <w:r w:rsidRPr="00967CB7">
        <w:rPr>
          <w:rFonts w:ascii="Traditional Arabic" w:hAnsi="Traditional Arabic" w:cs="Traditional Arabic"/>
          <w:color w:val="000000"/>
          <w:sz w:val="30"/>
          <w:szCs w:val="30"/>
          <w:rtl/>
        </w:rPr>
        <w:t xml:space="preserve">بيئي كبير.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أصبح الصرف الصحي</w:t>
      </w:r>
      <w:r w:rsidRPr="00967CB7">
        <w:rPr>
          <w:rFonts w:ascii="Traditional Arabic" w:hAnsi="Traditional Arabic" w:cs="Traditional Arabic" w:hint="cs"/>
          <w:color w:val="000000"/>
          <w:sz w:val="30"/>
          <w:szCs w:val="30"/>
          <w:rtl/>
        </w:rPr>
        <w:t xml:space="preserve"> السيّئ</w:t>
      </w:r>
      <w:r w:rsidRPr="00967CB7">
        <w:rPr>
          <w:rFonts w:ascii="Traditional Arabic" w:hAnsi="Traditional Arabic" w:cs="Traditional Arabic"/>
          <w:color w:val="000000"/>
          <w:sz w:val="30"/>
          <w:szCs w:val="30"/>
          <w:rtl/>
        </w:rPr>
        <w:t xml:space="preserve"> و</w:t>
      </w:r>
      <w:r w:rsidRPr="00967CB7">
        <w:rPr>
          <w:rFonts w:ascii="Traditional Arabic" w:hAnsi="Traditional Arabic" w:cs="Traditional Arabic" w:hint="cs"/>
          <w:color w:val="000000"/>
          <w:sz w:val="30"/>
          <w:szCs w:val="30"/>
          <w:rtl/>
        </w:rPr>
        <w:t>عدم</w:t>
      </w:r>
      <w:r w:rsidRPr="00967CB7">
        <w:rPr>
          <w:rFonts w:ascii="Traditional Arabic" w:hAnsi="Traditional Arabic" w:cs="Traditional Arabic"/>
          <w:color w:val="000000"/>
          <w:sz w:val="30"/>
          <w:szCs w:val="30"/>
          <w:rtl/>
        </w:rPr>
        <w:t xml:space="preserve"> جمع النفايات </w:t>
      </w:r>
      <w:r w:rsidRPr="00967CB7">
        <w:rPr>
          <w:rFonts w:ascii="Traditional Arabic" w:hAnsi="Traditional Arabic" w:cs="Traditional Arabic" w:hint="cs"/>
          <w:color w:val="000000"/>
          <w:sz w:val="30"/>
          <w:szCs w:val="30"/>
          <w:rtl/>
        </w:rPr>
        <w:t xml:space="preserve">مصدر </w:t>
      </w:r>
      <w:r w:rsidRPr="00967CB7">
        <w:rPr>
          <w:rFonts w:ascii="Traditional Arabic" w:hAnsi="Traditional Arabic" w:cs="Traditional Arabic"/>
          <w:color w:val="000000"/>
          <w:sz w:val="30"/>
          <w:szCs w:val="30"/>
          <w:rtl/>
        </w:rPr>
        <w:t xml:space="preserve">خطر جسيم على الصحة العامة.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ارتفع معدل الوفيات </w:t>
      </w:r>
      <w:r w:rsidRPr="00967CB7">
        <w:rPr>
          <w:rFonts w:ascii="Traditional Arabic" w:hAnsi="Traditional Arabic" w:cs="Traditional Arabic" w:hint="cs"/>
          <w:color w:val="000000"/>
          <w:sz w:val="30"/>
          <w:szCs w:val="30"/>
          <w:rtl/>
        </w:rPr>
        <w:t>والامراض</w:t>
      </w:r>
      <w:r w:rsidRPr="00967CB7">
        <w:rPr>
          <w:rFonts w:ascii="Traditional Arabic" w:hAnsi="Traditional Arabic" w:cs="Traditional Arabic"/>
          <w:color w:val="000000"/>
          <w:sz w:val="30"/>
          <w:szCs w:val="30"/>
          <w:rtl/>
        </w:rPr>
        <w:t xml:space="preserve"> بشكل حاد بسبب انخفاض مستويات المياه والغذاء والإمدادات الطبية، وأصبحت عدن المحافظة الأكثر تضرراً من حمى الضنك وغيرها من الحمى النزفية الفيروسية.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وفقًا لليونيسيف، ارتفعت معدلات سوء التغذية الحاد في عدن مقارنة بعام 2014</w:t>
      </w:r>
      <w:r w:rsidRPr="00967CB7">
        <w:rPr>
          <w:rFonts w:asciiTheme="majorBidi" w:hAnsiTheme="majorBidi" w:cstheme="majorBidi"/>
          <w:sz w:val="24"/>
          <w:szCs w:val="24"/>
          <w:vertAlign w:val="superscript"/>
        </w:rPr>
        <w:t xml:space="preserve"> </w:t>
      </w:r>
      <w:r w:rsidRPr="00967CB7">
        <w:rPr>
          <w:rFonts w:asciiTheme="majorBidi" w:hAnsiTheme="majorBidi" w:cstheme="majorBidi"/>
          <w:sz w:val="24"/>
          <w:szCs w:val="24"/>
          <w:vertAlign w:val="superscript"/>
        </w:rPr>
        <w:footnoteReference w:id="103"/>
      </w:r>
      <w:r w:rsidRPr="00967CB7">
        <w:rPr>
          <w:rFonts w:asciiTheme="majorBidi" w:hAnsiTheme="majorBidi" w:cstheme="majorBidi"/>
          <w:sz w:val="24"/>
          <w:szCs w:val="24"/>
        </w:rPr>
        <w:t>.</w:t>
      </w:r>
      <w:r w:rsidRPr="00967CB7">
        <w:rPr>
          <w:rFonts w:asciiTheme="majorBidi" w:hAnsiTheme="majorBidi"/>
          <w:sz w:val="24"/>
          <w:szCs w:val="24"/>
          <w:rtl/>
        </w:rPr>
        <w:t xml:space="preserve"> </w:t>
      </w:r>
      <w:r w:rsidRPr="00967CB7">
        <w:rPr>
          <w:rFonts w:ascii="Traditional Arabic" w:hAnsi="Traditional Arabic" w:cs="Traditional Arabic" w:hint="cs"/>
          <w:color w:val="000000"/>
          <w:sz w:val="30"/>
          <w:szCs w:val="30"/>
          <w:rtl/>
        </w:rPr>
        <w:t>كما تسبّب</w:t>
      </w:r>
      <w:r w:rsidRPr="00967CB7">
        <w:rPr>
          <w:rFonts w:ascii="Traditional Arabic" w:hAnsi="Traditional Arabic" w:cs="Traditional Arabic"/>
          <w:color w:val="000000"/>
          <w:sz w:val="30"/>
          <w:szCs w:val="30"/>
          <w:rtl/>
        </w:rPr>
        <w:t xml:space="preserve"> الفراغ الأمني </w:t>
      </w:r>
      <w:r w:rsidRPr="00967CB7">
        <w:rPr>
          <w:rFonts w:ascii="Traditional Arabic" w:hAnsi="Traditional Arabic" w:cs="Traditional Arabic" w:hint="cs"/>
          <w:color w:val="000000"/>
          <w:sz w:val="30"/>
          <w:szCs w:val="30"/>
          <w:rtl/>
        </w:rPr>
        <w:t>الذي</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أعق</w:t>
      </w:r>
      <w:r w:rsidRPr="00967CB7">
        <w:rPr>
          <w:rFonts w:ascii="Traditional Arabic" w:hAnsi="Traditional Arabic" w:cs="Traditional Arabic"/>
          <w:color w:val="000000"/>
          <w:sz w:val="30"/>
          <w:szCs w:val="30"/>
          <w:rtl/>
        </w:rPr>
        <w:t xml:space="preserve">ب القتال، إلى جانب الألغام الأرضية التي تركت في جميع أنحاء المدينة والمناطق القريبة منها، </w:t>
      </w:r>
      <w:r w:rsidRPr="00967CB7">
        <w:rPr>
          <w:rFonts w:ascii="Traditional Arabic" w:hAnsi="Traditional Arabic" w:cs="Traditional Arabic" w:hint="cs"/>
          <w:color w:val="000000"/>
          <w:sz w:val="30"/>
          <w:szCs w:val="30"/>
          <w:rtl/>
        </w:rPr>
        <w:t>الى إ</w:t>
      </w:r>
      <w:r w:rsidRPr="00967CB7">
        <w:rPr>
          <w:rFonts w:ascii="Traditional Arabic" w:hAnsi="Traditional Arabic" w:cs="Traditional Arabic"/>
          <w:color w:val="000000"/>
          <w:sz w:val="30"/>
          <w:szCs w:val="30"/>
          <w:rtl/>
        </w:rPr>
        <w:t>عاق</w:t>
      </w:r>
      <w:r w:rsidRPr="00967CB7">
        <w:rPr>
          <w:rFonts w:ascii="Traditional Arabic" w:hAnsi="Traditional Arabic" w:cs="Traditional Arabic" w:hint="cs"/>
          <w:color w:val="000000"/>
          <w:sz w:val="30"/>
          <w:szCs w:val="30"/>
          <w:rtl/>
        </w:rPr>
        <w:t>ة</w:t>
      </w:r>
      <w:r w:rsidRPr="00967CB7">
        <w:rPr>
          <w:rFonts w:ascii="Traditional Arabic" w:hAnsi="Traditional Arabic" w:cs="Traditional Arabic"/>
          <w:color w:val="000000"/>
          <w:sz w:val="30"/>
          <w:szCs w:val="30"/>
          <w:rtl/>
        </w:rPr>
        <w:t xml:space="preserve"> عمل الجهات الفاعلة الإنسانية</w:t>
      </w:r>
      <w:r w:rsidRPr="00967CB7">
        <w:rPr>
          <w:rFonts w:ascii="Traditional Arabic" w:hAnsi="Traditional Arabic" w:cs="Traditional Arabic"/>
          <w:color w:val="000000"/>
          <w:sz w:val="30"/>
          <w:szCs w:val="30"/>
        </w:rPr>
        <w:t>.</w:t>
      </w:r>
    </w:p>
    <w:p w14:paraId="43EDE460"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ما يلي عي</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نة من الحوادث التي تعتبر مؤشراً على أنماط الانتهاكات الرئيسية التي حقق فيها فريق الخبراء.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لا تعتبر هذه العينة شاملة أو </w:t>
      </w:r>
      <w:r w:rsidRPr="00967CB7">
        <w:rPr>
          <w:rFonts w:ascii="Traditional Arabic" w:hAnsi="Traditional Arabic" w:cs="Traditional Arabic" w:hint="cs"/>
          <w:color w:val="000000"/>
          <w:sz w:val="30"/>
          <w:szCs w:val="30"/>
          <w:rtl/>
        </w:rPr>
        <w:t>ك</w:t>
      </w:r>
      <w:r w:rsidRPr="00967CB7">
        <w:rPr>
          <w:rFonts w:ascii="Traditional Arabic" w:hAnsi="Traditional Arabic" w:cs="Traditional Arabic"/>
          <w:color w:val="000000"/>
          <w:sz w:val="30"/>
          <w:szCs w:val="30"/>
          <w:rtl/>
        </w:rPr>
        <w:t>املة</w:t>
      </w:r>
      <w:r w:rsidRPr="00967CB7">
        <w:rPr>
          <w:rFonts w:ascii="Traditional Arabic" w:hAnsi="Traditional Arabic" w:cs="Traditional Arabic" w:hint="cs"/>
          <w:color w:val="000000"/>
          <w:sz w:val="30"/>
          <w:szCs w:val="30"/>
          <w:rtl/>
        </w:rPr>
        <w:t xml:space="preserve"> من حيث </w:t>
      </w:r>
      <w:r w:rsidRPr="00967CB7">
        <w:rPr>
          <w:rFonts w:ascii="Traditional Arabic" w:hAnsi="Traditional Arabic" w:cs="Traditional Arabic"/>
          <w:color w:val="000000"/>
          <w:sz w:val="30"/>
          <w:szCs w:val="30"/>
          <w:rtl/>
        </w:rPr>
        <w:t xml:space="preserve">خطورة الانتهاكات التي وقعت خلال هذه الفترة </w:t>
      </w:r>
      <w:r w:rsidRPr="00967CB7">
        <w:rPr>
          <w:rFonts w:ascii="Traditional Arabic" w:hAnsi="Traditional Arabic" w:cs="Traditional Arabic" w:hint="cs"/>
          <w:color w:val="000000"/>
          <w:sz w:val="30"/>
          <w:szCs w:val="30"/>
          <w:rtl/>
        </w:rPr>
        <w:t>ومدى انتشارها</w:t>
      </w:r>
      <w:r w:rsidRPr="00967CB7">
        <w:rPr>
          <w:rFonts w:asciiTheme="majorBidi" w:hAnsiTheme="majorBidi" w:cstheme="majorBidi"/>
          <w:sz w:val="24"/>
          <w:szCs w:val="24"/>
        </w:rPr>
        <w:t>.</w:t>
      </w:r>
    </w:p>
    <w:p w14:paraId="185F1C41" w14:textId="77777777" w:rsidR="00967CB7" w:rsidRPr="004D36D2" w:rsidRDefault="00967CB7" w:rsidP="005D608B">
      <w:pPr>
        <w:numPr>
          <w:ilvl w:val="0"/>
          <w:numId w:val="11"/>
        </w:numPr>
        <w:tabs>
          <w:tab w:val="left" w:pos="720"/>
          <w:tab w:val="left" w:pos="1134"/>
          <w:tab w:val="left" w:pos="1701"/>
        </w:tabs>
        <w:suppressAutoHyphens w:val="0"/>
        <w:bidi/>
        <w:spacing w:after="120" w:line="259" w:lineRule="auto"/>
        <w:ind w:right="827"/>
        <w:jc w:val="both"/>
        <w:rPr>
          <w:rFonts w:ascii="Traditional Arabic" w:hAnsi="Traditional Arabic" w:cs="Traditional Arabic"/>
          <w:b/>
          <w:bCs/>
          <w:color w:val="000000"/>
          <w:sz w:val="30"/>
          <w:szCs w:val="30"/>
        </w:rPr>
      </w:pPr>
      <w:r w:rsidRPr="004D36D2">
        <w:rPr>
          <w:rFonts w:ascii="Traditional Arabic" w:hAnsi="Traditional Arabic" w:cs="Traditional Arabic"/>
          <w:b/>
          <w:bCs/>
          <w:color w:val="000000"/>
          <w:sz w:val="30"/>
          <w:szCs w:val="30"/>
          <w:rtl/>
        </w:rPr>
        <w:t xml:space="preserve">قصف من </w:t>
      </w:r>
      <w:r w:rsidRPr="004D36D2">
        <w:rPr>
          <w:rFonts w:ascii="Traditional Arabic" w:hAnsi="Traditional Arabic" w:cs="Traditional Arabic" w:hint="cs"/>
          <w:b/>
          <w:bCs/>
          <w:color w:val="000000"/>
          <w:sz w:val="30"/>
          <w:szCs w:val="30"/>
          <w:rtl/>
        </w:rPr>
        <w:t>جانب</w:t>
      </w:r>
      <w:r w:rsidRPr="004D36D2">
        <w:rPr>
          <w:rFonts w:ascii="Traditional Arabic" w:hAnsi="Traditional Arabic" w:cs="Traditional Arabic"/>
          <w:b/>
          <w:bCs/>
          <w:color w:val="000000"/>
          <w:sz w:val="30"/>
          <w:szCs w:val="30"/>
          <w:rtl/>
        </w:rPr>
        <w:t xml:space="preserve"> مقاتلي الحوثي</w:t>
      </w:r>
      <w:r w:rsidRPr="004D36D2">
        <w:rPr>
          <w:rFonts w:ascii="Traditional Arabic" w:hAnsi="Traditional Arabic" w:cs="Traditional Arabic" w:hint="cs"/>
          <w:b/>
          <w:bCs/>
          <w:color w:val="000000"/>
          <w:sz w:val="30"/>
          <w:szCs w:val="30"/>
          <w:rtl/>
        </w:rPr>
        <w:t xml:space="preserve">ين </w:t>
      </w:r>
      <w:r w:rsidRPr="004D36D2">
        <w:rPr>
          <w:rFonts w:ascii="Traditional Arabic" w:hAnsi="Traditional Arabic" w:cs="Traditional Arabic"/>
          <w:b/>
          <w:bCs/>
          <w:color w:val="000000"/>
          <w:sz w:val="30"/>
          <w:szCs w:val="30"/>
          <w:rtl/>
        </w:rPr>
        <w:t>– صالح</w:t>
      </w:r>
    </w:p>
    <w:p w14:paraId="13CBBA3D" w14:textId="77777777" w:rsidR="00967CB7" w:rsidRPr="00967CB7" w:rsidRDefault="00967CB7" w:rsidP="004D36D2">
      <w:pPr>
        <w:tabs>
          <w:tab w:val="left" w:pos="720"/>
          <w:tab w:val="left" w:pos="1701"/>
        </w:tabs>
        <w:suppressAutoHyphens w:val="0"/>
        <w:bidi/>
        <w:ind w:left="1449" w:right="827" w:hanging="90"/>
        <w:jc w:val="both"/>
        <w:rPr>
          <w:rFonts w:ascii="Traditional Arabic" w:hAnsi="Traditional Arabic" w:cs="Traditional Arabic"/>
          <w:i/>
          <w:iCs/>
          <w:color w:val="000000"/>
          <w:sz w:val="30"/>
          <w:szCs w:val="30"/>
        </w:rPr>
      </w:pPr>
      <w:r w:rsidRPr="00967CB7">
        <w:rPr>
          <w:rFonts w:asciiTheme="majorBidi" w:eastAsiaTheme="minorHAnsi" w:hAnsiTheme="majorBidi" w:cstheme="majorBidi" w:hint="cs"/>
          <w:sz w:val="24"/>
          <w:szCs w:val="24"/>
          <w:rtl/>
        </w:rPr>
        <w:t>"</w:t>
      </w:r>
      <w:r w:rsidRPr="00967CB7">
        <w:rPr>
          <w:rFonts w:ascii="Traditional Arabic" w:hAnsi="Traditional Arabic" w:cs="Traditional Arabic" w:hint="cs"/>
          <w:i/>
          <w:iCs/>
          <w:color w:val="000000"/>
          <w:sz w:val="30"/>
          <w:szCs w:val="30"/>
          <w:rtl/>
        </w:rPr>
        <w:t xml:space="preserve">حوالى </w:t>
      </w:r>
      <w:r w:rsidRPr="00967CB7">
        <w:rPr>
          <w:rFonts w:ascii="Traditional Arabic" w:hAnsi="Traditional Arabic" w:cs="Traditional Arabic"/>
          <w:i/>
          <w:iCs/>
          <w:color w:val="000000"/>
          <w:sz w:val="30"/>
          <w:szCs w:val="30"/>
          <w:rtl/>
        </w:rPr>
        <w:t xml:space="preserve">50 أسرة، </w:t>
      </w:r>
      <w:r w:rsidRPr="00967CB7">
        <w:rPr>
          <w:rFonts w:ascii="Traditional Arabic" w:hAnsi="Traditional Arabic" w:cs="Traditional Arabic" w:hint="cs"/>
          <w:i/>
          <w:iCs/>
          <w:color w:val="000000"/>
          <w:sz w:val="30"/>
          <w:szCs w:val="30"/>
          <w:rtl/>
        </w:rPr>
        <w:t xml:space="preserve">أي </w:t>
      </w:r>
      <w:r w:rsidRPr="00967CB7">
        <w:rPr>
          <w:rFonts w:ascii="Traditional Arabic" w:hAnsi="Traditional Arabic" w:cs="Traditional Arabic"/>
          <w:i/>
          <w:iCs/>
          <w:color w:val="000000"/>
          <w:sz w:val="30"/>
          <w:szCs w:val="30"/>
          <w:rtl/>
        </w:rPr>
        <w:t xml:space="preserve">أكثر من 500 شخص، </w:t>
      </w:r>
      <w:r w:rsidRPr="00967CB7">
        <w:rPr>
          <w:rFonts w:ascii="Traditional Arabic" w:hAnsi="Traditional Arabic" w:cs="Traditional Arabic" w:hint="cs"/>
          <w:i/>
          <w:iCs/>
          <w:color w:val="000000"/>
          <w:sz w:val="30"/>
          <w:szCs w:val="30"/>
          <w:rtl/>
        </w:rPr>
        <w:t xml:space="preserve">كانوا مجمّعين </w:t>
      </w:r>
      <w:r w:rsidRPr="00967CB7">
        <w:rPr>
          <w:rFonts w:ascii="Traditional Arabic" w:hAnsi="Traditional Arabic" w:cs="Traditional Arabic"/>
          <w:i/>
          <w:iCs/>
          <w:color w:val="000000"/>
          <w:sz w:val="30"/>
          <w:szCs w:val="30"/>
          <w:rtl/>
        </w:rPr>
        <w:t xml:space="preserve">في منطقة الميناء </w:t>
      </w:r>
      <w:r w:rsidRPr="00967CB7">
        <w:rPr>
          <w:rFonts w:ascii="Traditional Arabic" w:hAnsi="Traditional Arabic" w:cs="Traditional Arabic" w:hint="cs"/>
          <w:i/>
          <w:iCs/>
          <w:color w:val="000000"/>
          <w:sz w:val="30"/>
          <w:szCs w:val="30"/>
          <w:rtl/>
        </w:rPr>
        <w:t>بانتظار</w:t>
      </w:r>
      <w:r w:rsidRPr="00967CB7">
        <w:rPr>
          <w:rFonts w:ascii="Traditional Arabic" w:hAnsi="Traditional Arabic" w:cs="Traditional Arabic"/>
          <w:i/>
          <w:iCs/>
          <w:color w:val="000000"/>
          <w:sz w:val="30"/>
          <w:szCs w:val="30"/>
          <w:rtl/>
        </w:rPr>
        <w:t xml:space="preserve"> ال</w:t>
      </w:r>
      <w:r w:rsidRPr="00967CB7">
        <w:rPr>
          <w:rFonts w:ascii="Traditional Arabic" w:hAnsi="Traditional Arabic" w:cs="Traditional Arabic" w:hint="cs"/>
          <w:i/>
          <w:iCs/>
          <w:color w:val="000000"/>
          <w:sz w:val="30"/>
          <w:szCs w:val="30"/>
          <w:rtl/>
        </w:rPr>
        <w:t xml:space="preserve">رحيل </w:t>
      </w:r>
      <w:r w:rsidRPr="00967CB7">
        <w:rPr>
          <w:rFonts w:ascii="Traditional Arabic" w:hAnsi="Traditional Arabic" w:cs="Traditional Arabic"/>
          <w:i/>
          <w:iCs/>
          <w:color w:val="000000"/>
          <w:sz w:val="30"/>
          <w:szCs w:val="30"/>
          <w:rtl/>
        </w:rPr>
        <w:t xml:space="preserve">إلى البريقة هربًا من القتال. </w:t>
      </w:r>
      <w:r w:rsidRPr="00967CB7">
        <w:rPr>
          <w:rFonts w:ascii="Traditional Arabic" w:hAnsi="Traditional Arabic" w:cs="Traditional Arabic" w:hint="cs"/>
          <w:i/>
          <w:iCs/>
          <w:color w:val="000000"/>
          <w:sz w:val="30"/>
          <w:szCs w:val="30"/>
          <w:rtl/>
        </w:rPr>
        <w:t>فجأة وقعت علينا</w:t>
      </w:r>
      <w:r w:rsidRPr="00967CB7">
        <w:rPr>
          <w:rFonts w:ascii="Traditional Arabic" w:hAnsi="Traditional Arabic" w:cs="Traditional Arabic"/>
          <w:i/>
          <w:iCs/>
          <w:color w:val="000000"/>
          <w:sz w:val="30"/>
          <w:szCs w:val="30"/>
          <w:rtl/>
        </w:rPr>
        <w:t xml:space="preserve"> أربع</w:t>
      </w:r>
      <w:r w:rsidRPr="00967CB7">
        <w:rPr>
          <w:rFonts w:ascii="Traditional Arabic" w:hAnsi="Traditional Arabic" w:cs="Traditional Arabic" w:hint="cs"/>
          <w:i/>
          <w:iCs/>
          <w:color w:val="000000"/>
          <w:sz w:val="30"/>
          <w:szCs w:val="30"/>
          <w:rtl/>
        </w:rPr>
        <w:t xml:space="preserve"> قذائف</w:t>
      </w:r>
      <w:r w:rsidRPr="00967CB7">
        <w:rPr>
          <w:rFonts w:ascii="Traditional Arabic" w:hAnsi="Traditional Arabic" w:cs="Traditional Arabic"/>
          <w:i/>
          <w:iCs/>
          <w:color w:val="000000"/>
          <w:sz w:val="30"/>
          <w:szCs w:val="30"/>
          <w:rtl/>
        </w:rPr>
        <w:t xml:space="preserve"> </w:t>
      </w:r>
      <w:r w:rsidRPr="00967CB7">
        <w:rPr>
          <w:rFonts w:ascii="Traditional Arabic" w:hAnsi="Traditional Arabic" w:cs="Traditional Arabic" w:hint="cs"/>
          <w:i/>
          <w:iCs/>
          <w:color w:val="000000"/>
          <w:sz w:val="30"/>
          <w:szCs w:val="30"/>
          <w:rtl/>
        </w:rPr>
        <w:t>و</w:t>
      </w:r>
      <w:r w:rsidRPr="00967CB7">
        <w:rPr>
          <w:rFonts w:ascii="Traditional Arabic" w:hAnsi="Traditional Arabic" w:cs="Traditional Arabic"/>
          <w:i/>
          <w:iCs/>
          <w:color w:val="000000"/>
          <w:sz w:val="30"/>
          <w:szCs w:val="30"/>
          <w:rtl/>
        </w:rPr>
        <w:t xml:space="preserve">سقطنا في الماء وكنا نسبح </w:t>
      </w:r>
      <w:r w:rsidRPr="00967CB7">
        <w:rPr>
          <w:rFonts w:ascii="Traditional Arabic" w:hAnsi="Traditional Arabic" w:cs="Traditional Arabic" w:hint="cs"/>
          <w:i/>
          <w:iCs/>
          <w:color w:val="000000"/>
          <w:sz w:val="30"/>
          <w:szCs w:val="30"/>
          <w:rtl/>
        </w:rPr>
        <w:t xml:space="preserve">في </w:t>
      </w:r>
      <w:r w:rsidRPr="00967CB7">
        <w:rPr>
          <w:rFonts w:ascii="Traditional Arabic" w:hAnsi="Traditional Arabic" w:cs="Traditional Arabic"/>
          <w:i/>
          <w:iCs/>
          <w:color w:val="000000"/>
          <w:sz w:val="30"/>
          <w:szCs w:val="30"/>
          <w:rtl/>
        </w:rPr>
        <w:t>الدماء</w:t>
      </w:r>
      <w:r w:rsidRPr="00967CB7">
        <w:rPr>
          <w:rFonts w:ascii="Traditional Arabic" w:hAnsi="Traditional Arabic" w:cs="Traditional Arabic" w:hint="cs"/>
          <w:i/>
          <w:iCs/>
          <w:color w:val="000000"/>
          <w:sz w:val="30"/>
          <w:szCs w:val="30"/>
          <w:rtl/>
        </w:rPr>
        <w:t xml:space="preserve"> وبين أشلاء</w:t>
      </w:r>
      <w:r w:rsidRPr="00967CB7">
        <w:rPr>
          <w:rFonts w:ascii="Traditional Arabic" w:hAnsi="Traditional Arabic" w:cs="Traditional Arabic"/>
          <w:i/>
          <w:iCs/>
          <w:color w:val="000000"/>
          <w:sz w:val="30"/>
          <w:szCs w:val="30"/>
          <w:rtl/>
        </w:rPr>
        <w:t xml:space="preserve"> ا</w:t>
      </w:r>
      <w:r w:rsidRPr="00967CB7">
        <w:rPr>
          <w:rFonts w:ascii="Traditional Arabic" w:hAnsi="Traditional Arabic" w:cs="Traditional Arabic" w:hint="cs"/>
          <w:i/>
          <w:iCs/>
          <w:color w:val="000000"/>
          <w:sz w:val="30"/>
          <w:szCs w:val="30"/>
          <w:rtl/>
        </w:rPr>
        <w:t>لأ</w:t>
      </w:r>
      <w:r w:rsidRPr="00967CB7">
        <w:rPr>
          <w:rFonts w:ascii="Traditional Arabic" w:hAnsi="Traditional Arabic" w:cs="Traditional Arabic"/>
          <w:i/>
          <w:iCs/>
          <w:color w:val="000000"/>
          <w:sz w:val="30"/>
          <w:szCs w:val="30"/>
          <w:rtl/>
        </w:rPr>
        <w:t>جس</w:t>
      </w:r>
      <w:r w:rsidRPr="00967CB7">
        <w:rPr>
          <w:rFonts w:ascii="Traditional Arabic" w:hAnsi="Traditional Arabic" w:cs="Traditional Arabic" w:hint="cs"/>
          <w:i/>
          <w:iCs/>
          <w:color w:val="000000"/>
          <w:sz w:val="30"/>
          <w:szCs w:val="30"/>
          <w:rtl/>
        </w:rPr>
        <w:t>ا</w:t>
      </w:r>
      <w:r w:rsidRPr="00967CB7">
        <w:rPr>
          <w:rFonts w:ascii="Traditional Arabic" w:hAnsi="Traditional Arabic" w:cs="Traditional Arabic"/>
          <w:i/>
          <w:iCs/>
          <w:color w:val="000000"/>
          <w:sz w:val="30"/>
          <w:szCs w:val="30"/>
          <w:rtl/>
        </w:rPr>
        <w:t xml:space="preserve">م. رأيت ثماني أو تسع جثث </w:t>
      </w:r>
      <w:r w:rsidRPr="00967CB7">
        <w:rPr>
          <w:rFonts w:ascii="Traditional Arabic" w:hAnsi="Traditional Arabic" w:cs="Traditional Arabic" w:hint="cs"/>
          <w:i/>
          <w:iCs/>
          <w:color w:val="000000"/>
          <w:sz w:val="30"/>
          <w:szCs w:val="30"/>
          <w:rtl/>
        </w:rPr>
        <w:t>وغير</w:t>
      </w:r>
      <w:r w:rsidRPr="00967CB7">
        <w:rPr>
          <w:rFonts w:ascii="Traditional Arabic" w:hAnsi="Traditional Arabic" w:cs="Traditional Arabic"/>
          <w:i/>
          <w:iCs/>
          <w:color w:val="000000"/>
          <w:sz w:val="30"/>
          <w:szCs w:val="30"/>
          <w:rtl/>
        </w:rPr>
        <w:t xml:space="preserve">ها الكثير حول الميناء أثناء جمعها. رأيت طفلاً </w:t>
      </w:r>
      <w:r w:rsidRPr="00967CB7">
        <w:rPr>
          <w:rFonts w:ascii="Traditional Arabic" w:hAnsi="Traditional Arabic" w:cs="Traditional Arabic" w:hint="cs"/>
          <w:i/>
          <w:iCs/>
          <w:color w:val="000000"/>
          <w:sz w:val="30"/>
          <w:szCs w:val="30"/>
          <w:rtl/>
        </w:rPr>
        <w:t>مات غرقاً</w:t>
      </w:r>
      <w:r w:rsidRPr="00967CB7">
        <w:rPr>
          <w:rFonts w:ascii="Traditional Arabic" w:hAnsi="Traditional Arabic" w:cs="Traditional Arabic"/>
          <w:i/>
          <w:iCs/>
          <w:color w:val="000000"/>
          <w:sz w:val="30"/>
          <w:szCs w:val="30"/>
          <w:rtl/>
        </w:rPr>
        <w:t>. رأيت عائلة مقط</w:t>
      </w:r>
      <w:r w:rsidRPr="00967CB7">
        <w:rPr>
          <w:rFonts w:ascii="Traditional Arabic" w:hAnsi="Traditional Arabic" w:cs="Traditional Arabic" w:hint="cs"/>
          <w:i/>
          <w:iCs/>
          <w:color w:val="000000"/>
          <w:sz w:val="30"/>
          <w:szCs w:val="30"/>
          <w:rtl/>
        </w:rPr>
        <w:t>ّ</w:t>
      </w:r>
      <w:r w:rsidRPr="00967CB7">
        <w:rPr>
          <w:rFonts w:ascii="Traditional Arabic" w:hAnsi="Traditional Arabic" w:cs="Traditional Arabic"/>
          <w:i/>
          <w:iCs/>
          <w:color w:val="000000"/>
          <w:sz w:val="30"/>
          <w:szCs w:val="30"/>
          <w:rtl/>
        </w:rPr>
        <w:t xml:space="preserve">عة إلى </w:t>
      </w:r>
      <w:r w:rsidRPr="00967CB7">
        <w:rPr>
          <w:rFonts w:ascii="Traditional Arabic" w:hAnsi="Traditional Arabic" w:cs="Traditional Arabic" w:hint="cs"/>
          <w:i/>
          <w:iCs/>
          <w:color w:val="000000"/>
          <w:sz w:val="30"/>
          <w:szCs w:val="30"/>
          <w:rtl/>
        </w:rPr>
        <w:t>أشلاء</w:t>
      </w:r>
      <w:r w:rsidRPr="00967CB7">
        <w:rPr>
          <w:rFonts w:ascii="Traditional Arabic" w:hAnsi="Traditional Arabic" w:cs="Traditional Arabic"/>
          <w:i/>
          <w:iCs/>
          <w:color w:val="000000"/>
          <w:sz w:val="30"/>
          <w:szCs w:val="30"/>
          <w:rtl/>
        </w:rPr>
        <w:t>. رأيت عائلة من ثلاث بنات صغار ق</w:t>
      </w:r>
      <w:r w:rsidRPr="00967CB7">
        <w:rPr>
          <w:rFonts w:ascii="Traditional Arabic" w:hAnsi="Traditional Arabic" w:cs="Traditional Arabic" w:hint="cs"/>
          <w:i/>
          <w:iCs/>
          <w:color w:val="000000"/>
          <w:sz w:val="30"/>
          <w:szCs w:val="30"/>
          <w:rtl/>
        </w:rPr>
        <w:t>ُ</w:t>
      </w:r>
      <w:r w:rsidRPr="00967CB7">
        <w:rPr>
          <w:rFonts w:ascii="Traditional Arabic" w:hAnsi="Traditional Arabic" w:cs="Traditional Arabic"/>
          <w:i/>
          <w:iCs/>
          <w:color w:val="000000"/>
          <w:sz w:val="30"/>
          <w:szCs w:val="30"/>
          <w:rtl/>
        </w:rPr>
        <w:t>تل</w:t>
      </w:r>
      <w:r w:rsidRPr="00967CB7">
        <w:rPr>
          <w:rFonts w:ascii="Traditional Arabic" w:hAnsi="Traditional Arabic" w:cs="Traditional Arabic" w:hint="cs"/>
          <w:i/>
          <w:iCs/>
          <w:color w:val="000000"/>
          <w:sz w:val="30"/>
          <w:szCs w:val="30"/>
          <w:rtl/>
        </w:rPr>
        <w:t>ت</w:t>
      </w:r>
      <w:r w:rsidRPr="00967CB7">
        <w:rPr>
          <w:rFonts w:ascii="Traditional Arabic" w:hAnsi="Traditional Arabic" w:cs="Traditional Arabic"/>
          <w:i/>
          <w:iCs/>
          <w:color w:val="000000"/>
          <w:sz w:val="30"/>
          <w:szCs w:val="30"/>
          <w:rtl/>
        </w:rPr>
        <w:t xml:space="preserve"> والدته</w:t>
      </w:r>
      <w:r w:rsidRPr="00967CB7">
        <w:rPr>
          <w:rFonts w:ascii="Traditional Arabic" w:hAnsi="Traditional Arabic" w:cs="Traditional Arabic" w:hint="cs"/>
          <w:i/>
          <w:iCs/>
          <w:color w:val="000000"/>
          <w:sz w:val="30"/>
          <w:szCs w:val="30"/>
          <w:rtl/>
        </w:rPr>
        <w:t>ن</w:t>
      </w:r>
      <w:r w:rsidRPr="00967CB7">
        <w:rPr>
          <w:rFonts w:ascii="Traditional Arabic" w:hAnsi="Traditional Arabic" w:cs="Traditional Arabic"/>
          <w:i/>
          <w:iCs/>
          <w:color w:val="000000"/>
          <w:sz w:val="30"/>
          <w:szCs w:val="30"/>
          <w:rtl/>
        </w:rPr>
        <w:t>. كنت أعرف الأب</w:t>
      </w:r>
      <w:r w:rsidRPr="00967CB7">
        <w:rPr>
          <w:rFonts w:ascii="Traditional Arabic" w:hAnsi="Traditional Arabic" w:cs="Traditional Arabic" w:hint="cs"/>
          <w:i/>
          <w:iCs/>
          <w:color w:val="000000"/>
          <w:sz w:val="30"/>
          <w:szCs w:val="30"/>
          <w:rtl/>
        </w:rPr>
        <w:t xml:space="preserve"> الذي انتحر </w:t>
      </w:r>
      <w:r w:rsidRPr="00967CB7">
        <w:rPr>
          <w:rFonts w:ascii="Traditional Arabic" w:hAnsi="Traditional Arabic" w:cs="Traditional Arabic"/>
          <w:i/>
          <w:iCs/>
          <w:color w:val="000000"/>
          <w:sz w:val="30"/>
          <w:szCs w:val="30"/>
          <w:rtl/>
        </w:rPr>
        <w:t>بعد شهر</w:t>
      </w:r>
      <w:r w:rsidRPr="00967CB7">
        <w:rPr>
          <w:rFonts w:ascii="Traditional Arabic" w:hAnsi="Traditional Arabic" w:cs="Traditional Arabic"/>
          <w:i/>
          <w:iCs/>
          <w:color w:val="000000"/>
          <w:sz w:val="30"/>
          <w:szCs w:val="30"/>
        </w:rPr>
        <w:t xml:space="preserve"> ".</w:t>
      </w:r>
    </w:p>
    <w:p w14:paraId="09B47AB9" w14:textId="77777777" w:rsidR="00967CB7" w:rsidRPr="00967CB7" w:rsidRDefault="00967CB7" w:rsidP="00361237">
      <w:pPr>
        <w:tabs>
          <w:tab w:val="left" w:pos="720"/>
          <w:tab w:val="left" w:pos="1134"/>
          <w:tab w:val="left" w:pos="1701"/>
        </w:tabs>
        <w:suppressAutoHyphens w:val="0"/>
        <w:bidi/>
        <w:spacing w:after="120"/>
        <w:ind w:left="1080" w:right="827"/>
        <w:rPr>
          <w:rFonts w:asciiTheme="majorBidi" w:eastAsiaTheme="minorHAnsi" w:hAnsiTheme="majorBidi"/>
          <w:sz w:val="24"/>
          <w:szCs w:val="24"/>
        </w:rPr>
      </w:pP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heme="majorBidi" w:eastAsiaTheme="minorHAnsi" w:hAnsiTheme="majorBidi"/>
          <w:sz w:val="24"/>
          <w:szCs w:val="24"/>
          <w:rtl/>
        </w:rPr>
        <w:tab/>
      </w:r>
      <w:r w:rsidRPr="00967CB7">
        <w:rPr>
          <w:rFonts w:ascii="Traditional Arabic" w:hAnsi="Traditional Arabic" w:cs="Traditional Arabic"/>
          <w:b/>
          <w:bCs/>
          <w:color w:val="000000"/>
          <w:sz w:val="30"/>
          <w:szCs w:val="30"/>
          <w:rtl/>
        </w:rPr>
        <w:t xml:space="preserve">ضحية هجوم </w:t>
      </w:r>
      <w:r w:rsidRPr="00967CB7">
        <w:rPr>
          <w:rFonts w:ascii="Traditional Arabic" w:hAnsi="Traditional Arabic" w:cs="Traditional Arabic" w:hint="cs"/>
          <w:b/>
          <w:bCs/>
          <w:color w:val="000000"/>
          <w:sz w:val="30"/>
          <w:szCs w:val="30"/>
          <w:rtl/>
        </w:rPr>
        <w:t>التواهي</w:t>
      </w:r>
      <w:r w:rsidRPr="00967CB7">
        <w:rPr>
          <w:rFonts w:asciiTheme="majorBidi" w:eastAsiaTheme="minorHAnsi" w:hAnsiTheme="majorBidi" w:cstheme="majorBidi"/>
          <w:b/>
          <w:bCs/>
          <w:sz w:val="24"/>
          <w:szCs w:val="24"/>
          <w:vertAlign w:val="superscript"/>
        </w:rPr>
        <w:footnoteReference w:id="104"/>
      </w:r>
    </w:p>
    <w:p w14:paraId="326D91FC"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استخدم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الأسلحة المتفجرة ذات ا</w:t>
      </w:r>
      <w:r w:rsidRPr="00967CB7">
        <w:rPr>
          <w:rFonts w:ascii="Traditional Arabic" w:hAnsi="Traditional Arabic" w:cs="Traditional Arabic" w:hint="cs"/>
          <w:color w:val="000000"/>
          <w:sz w:val="30"/>
          <w:szCs w:val="30"/>
          <w:rtl/>
        </w:rPr>
        <w:t>لنطاق</w:t>
      </w:r>
      <w:r w:rsidRPr="00967CB7">
        <w:rPr>
          <w:rFonts w:ascii="Traditional Arabic" w:hAnsi="Traditional Arabic" w:cs="Traditional Arabic"/>
          <w:color w:val="000000"/>
          <w:sz w:val="30"/>
          <w:szCs w:val="30"/>
          <w:rtl/>
        </w:rPr>
        <w:t xml:space="preserve"> الواسع لمهاجمة المناطق المكتظة بالسكان المدنيين وال</w:t>
      </w:r>
      <w:r w:rsidRPr="00967CB7">
        <w:rPr>
          <w:rFonts w:ascii="Traditional Arabic" w:hAnsi="Traditional Arabic" w:cs="Traditional Arabic" w:hint="cs"/>
          <w:color w:val="000000"/>
          <w:sz w:val="30"/>
          <w:szCs w:val="30"/>
          <w:rtl/>
        </w:rPr>
        <w:t>مواقع</w:t>
      </w:r>
      <w:r w:rsidRPr="00967CB7">
        <w:rPr>
          <w:rFonts w:ascii="Traditional Arabic" w:hAnsi="Traditional Arabic" w:cs="Traditional Arabic"/>
          <w:color w:val="000000"/>
          <w:sz w:val="30"/>
          <w:szCs w:val="30"/>
          <w:rtl/>
        </w:rPr>
        <w:t xml:space="preserve"> المدنية، مما 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ب في عدد كبير من الضحايا و</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معاناة و</w:t>
      </w:r>
      <w:r w:rsidRPr="00967CB7">
        <w:rPr>
          <w:rFonts w:ascii="Traditional Arabic" w:hAnsi="Traditional Arabic" w:cs="Traditional Arabic" w:hint="cs"/>
          <w:color w:val="000000"/>
          <w:sz w:val="30"/>
          <w:szCs w:val="30"/>
          <w:rtl/>
        </w:rPr>
        <w:t>ال</w:t>
      </w:r>
      <w:r w:rsidRPr="00967CB7">
        <w:rPr>
          <w:rFonts w:ascii="Traditional Arabic" w:hAnsi="Traditional Arabic" w:cs="Traditional Arabic"/>
          <w:color w:val="000000"/>
          <w:sz w:val="30"/>
          <w:szCs w:val="30"/>
          <w:rtl/>
        </w:rPr>
        <w:t xml:space="preserve">تدمير واسع النطاق.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أصابت هذه الهجمات المساكن والمباني والقوارب والأسواق والمحلات التجارية والفنادق</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في معظم الحالات التي تم التحقيق فيها، </w:t>
      </w:r>
      <w:r w:rsidRPr="00967CB7">
        <w:rPr>
          <w:rFonts w:ascii="Traditional Arabic" w:hAnsi="Traditional Arabic" w:cs="Traditional Arabic" w:hint="cs"/>
          <w:color w:val="000000"/>
          <w:sz w:val="30"/>
          <w:szCs w:val="30"/>
          <w:rtl/>
        </w:rPr>
        <w:t>استحال</w:t>
      </w:r>
      <w:r w:rsidRPr="00967CB7">
        <w:rPr>
          <w:rFonts w:ascii="Traditional Arabic" w:hAnsi="Traditional Arabic" w:cs="Traditional Arabic"/>
          <w:color w:val="000000"/>
          <w:sz w:val="30"/>
          <w:szCs w:val="30"/>
          <w:rtl/>
        </w:rPr>
        <w:t xml:space="preserve"> التعر</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ف على أي</w:t>
      </w:r>
      <w:r w:rsidRPr="00967CB7">
        <w:rPr>
          <w:rFonts w:ascii="Traditional Arabic" w:hAnsi="Traditional Arabic" w:cs="Traditional Arabic" w:hint="cs"/>
          <w:color w:val="000000"/>
          <w:sz w:val="30"/>
          <w:szCs w:val="30"/>
          <w:rtl/>
        </w:rPr>
        <w:t xml:space="preserve"> هدف عسكري</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القرب من المواقع المت</w:t>
      </w:r>
      <w:r w:rsidRPr="00967CB7">
        <w:rPr>
          <w:rFonts w:ascii="Traditional Arabic" w:hAnsi="Traditional Arabic" w:cs="Traditional Arabic" w:hint="cs"/>
          <w:color w:val="000000"/>
          <w:sz w:val="30"/>
          <w:szCs w:val="30"/>
          <w:rtl/>
        </w:rPr>
        <w:t>ضرّرة</w:t>
      </w:r>
      <w:r w:rsidRPr="00967CB7">
        <w:rPr>
          <w:rFonts w:ascii="Traditional Arabic" w:hAnsi="Traditional Arabic" w:cs="Traditional Arabic"/>
          <w:color w:val="000000"/>
          <w:sz w:val="30"/>
          <w:szCs w:val="30"/>
          <w:rtl/>
        </w:rPr>
        <w:t>. في بعض الحالات، تم</w:t>
      </w:r>
      <w:r w:rsidRPr="00967CB7">
        <w:rPr>
          <w:rFonts w:ascii="Traditional Arabic" w:hAnsi="Traditional Arabic" w:cs="Traditional Arabic" w:hint="cs"/>
          <w:color w:val="000000"/>
          <w:sz w:val="30"/>
          <w:szCs w:val="30"/>
          <w:rtl/>
        </w:rPr>
        <w:t>ت الإفادة ع</w:t>
      </w:r>
      <w:r w:rsidRPr="00967CB7">
        <w:rPr>
          <w:rFonts w:ascii="Traditional Arabic" w:hAnsi="Traditional Arabic" w:cs="Traditional Arabic"/>
          <w:color w:val="000000"/>
          <w:sz w:val="30"/>
          <w:szCs w:val="30"/>
          <w:rtl/>
        </w:rPr>
        <w:t xml:space="preserve">ن وجود عدد من أعضاء المقاومة ضمن حشد كبير مؤلف من مدنيين نازحين. </w:t>
      </w:r>
      <w:r w:rsidRPr="00967CB7">
        <w:rPr>
          <w:rFonts w:ascii="Traditional Arabic" w:hAnsi="Traditional Arabic" w:cs="Traditional Arabic" w:hint="cs"/>
          <w:color w:val="000000"/>
          <w:sz w:val="30"/>
          <w:szCs w:val="30"/>
          <w:rtl/>
        </w:rPr>
        <w:t xml:space="preserve">وقد </w:t>
      </w:r>
      <w:r w:rsidRPr="00967CB7">
        <w:rPr>
          <w:rFonts w:ascii="Traditional Arabic" w:hAnsi="Traditional Arabic" w:cs="Traditional Arabic"/>
          <w:color w:val="000000"/>
          <w:sz w:val="30"/>
          <w:szCs w:val="30"/>
          <w:rtl/>
        </w:rPr>
        <w:t>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القصف المستمر للأحياء المدنية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دمار واسع النطاق، و</w:t>
      </w:r>
      <w:r w:rsidRPr="00967CB7">
        <w:rPr>
          <w:rFonts w:ascii="Traditional Arabic" w:hAnsi="Traditional Arabic" w:cs="Traditional Arabic" w:hint="cs"/>
          <w:color w:val="000000"/>
          <w:sz w:val="30"/>
          <w:szCs w:val="30"/>
          <w:rtl/>
        </w:rPr>
        <w:t>بت</w:t>
      </w:r>
      <w:r w:rsidRPr="00967CB7">
        <w:rPr>
          <w:rFonts w:ascii="Traditional Arabic" w:hAnsi="Traditional Arabic" w:cs="Traditional Arabic"/>
          <w:color w:val="000000"/>
          <w:sz w:val="30"/>
          <w:szCs w:val="30"/>
          <w:rtl/>
        </w:rPr>
        <w:t>رو</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ع المدنيين، وأث</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ر على كل جانب من جوانب الحياة المدنية، بما في ذلك </w:t>
      </w:r>
      <w:r w:rsidRPr="00967CB7">
        <w:rPr>
          <w:rFonts w:ascii="Traditional Arabic" w:hAnsi="Traditional Arabic" w:cs="Traditional Arabic" w:hint="cs"/>
          <w:color w:val="000000"/>
          <w:sz w:val="30"/>
          <w:szCs w:val="30"/>
          <w:rtl/>
        </w:rPr>
        <w:t xml:space="preserve">سير أعمال </w:t>
      </w:r>
      <w:r w:rsidRPr="00967CB7">
        <w:rPr>
          <w:rFonts w:ascii="Traditional Arabic" w:hAnsi="Traditional Arabic" w:cs="Traditional Arabic"/>
          <w:color w:val="000000"/>
          <w:sz w:val="30"/>
          <w:szCs w:val="30"/>
          <w:rtl/>
        </w:rPr>
        <w:t xml:space="preserve">المدارس والمستشفيات. ونُفذت معظم الهجمات الموثقة في وضح النهار،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 xml:space="preserve">مناطق مكتظة بالسكان </w:t>
      </w:r>
      <w:r w:rsidRPr="00967CB7">
        <w:rPr>
          <w:rFonts w:ascii="Traditional Arabic" w:hAnsi="Traditional Arabic" w:cs="Traditional Arabic"/>
          <w:color w:val="000000"/>
          <w:sz w:val="30"/>
          <w:szCs w:val="30"/>
          <w:rtl/>
        </w:rPr>
        <w:lastRenderedPageBreak/>
        <w:t>بشكل واضح</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في</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ما يلي عي</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نة من الحوادث التي ت</w:t>
      </w:r>
      <w:r w:rsidRPr="00967CB7">
        <w:rPr>
          <w:rFonts w:ascii="Traditional Arabic" w:hAnsi="Traditional Arabic" w:cs="Traditional Arabic" w:hint="cs"/>
          <w:color w:val="000000"/>
          <w:sz w:val="30"/>
          <w:szCs w:val="30"/>
          <w:rtl/>
        </w:rPr>
        <w:t>دعم ما توصّل اليه الفريق من</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استنتاجات</w:t>
      </w:r>
      <w:r w:rsidRPr="00967CB7">
        <w:rPr>
          <w:rFonts w:ascii="Traditional Arabic" w:hAnsi="Traditional Arabic" w:cs="Traditional Arabic"/>
          <w:color w:val="000000"/>
          <w:sz w:val="30"/>
          <w:szCs w:val="30"/>
        </w:rPr>
        <w:t>.</w:t>
      </w:r>
    </w:p>
    <w:p w14:paraId="30863003" w14:textId="77777777" w:rsidR="00967CB7" w:rsidRPr="00967CB7" w:rsidRDefault="00967CB7" w:rsidP="00361237">
      <w:pPr>
        <w:tabs>
          <w:tab w:val="left" w:pos="720"/>
          <w:tab w:val="left" w:pos="1134"/>
          <w:tab w:val="left" w:pos="1701"/>
        </w:tabs>
        <w:suppressAutoHyphens w:val="0"/>
        <w:bidi/>
        <w:spacing w:after="120"/>
        <w:ind w:left="720" w:right="827"/>
        <w:jc w:val="both"/>
        <w:rPr>
          <w:rFonts w:ascii="Traditional Arabic" w:hAnsi="Traditional Arabic" w:cs="Traditional Arabic"/>
          <w:i/>
          <w:iCs/>
          <w:color w:val="000000"/>
          <w:sz w:val="30"/>
          <w:szCs w:val="30"/>
        </w:rPr>
      </w:pPr>
      <w:r w:rsidRPr="00967CB7">
        <w:rPr>
          <w:rFonts w:asciiTheme="majorBidi" w:eastAsiaTheme="minorHAnsi" w:hAnsiTheme="majorBidi"/>
          <w:i/>
          <w:iCs/>
          <w:sz w:val="24"/>
          <w:szCs w:val="24"/>
          <w:rtl/>
        </w:rPr>
        <w:tab/>
      </w:r>
      <w:r w:rsidRPr="00967CB7">
        <w:rPr>
          <w:rFonts w:ascii="Traditional Arabic" w:hAnsi="Traditional Arabic" w:cs="Traditional Arabic"/>
          <w:i/>
          <w:iCs/>
          <w:color w:val="000000"/>
          <w:sz w:val="30"/>
          <w:szCs w:val="30"/>
          <w:rtl/>
        </w:rPr>
        <w:t xml:space="preserve">قتل مدنيين - ميناء </w:t>
      </w:r>
      <w:r w:rsidRPr="00967CB7">
        <w:rPr>
          <w:rFonts w:ascii="Traditional Arabic" w:hAnsi="Traditional Arabic" w:cs="Traditional Arabic" w:hint="cs"/>
          <w:i/>
          <w:iCs/>
          <w:color w:val="000000"/>
          <w:sz w:val="30"/>
          <w:szCs w:val="30"/>
          <w:rtl/>
        </w:rPr>
        <w:t>التواهي</w:t>
      </w:r>
    </w:p>
    <w:p w14:paraId="26ECB729" w14:textId="582F792E" w:rsidR="00967CB7" w:rsidRPr="00967CB7" w:rsidRDefault="00967CB7" w:rsidP="00CB221C">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 xml:space="preserve">في 6 </w:t>
      </w:r>
      <w:r w:rsidRPr="00967CB7">
        <w:rPr>
          <w:rFonts w:ascii="Traditional Arabic" w:hAnsi="Traditional Arabic" w:cs="Traditional Arabic" w:hint="cs"/>
          <w:color w:val="000000"/>
          <w:sz w:val="30"/>
          <w:szCs w:val="30"/>
          <w:rtl/>
        </w:rPr>
        <w:t>أيار/</w:t>
      </w:r>
      <w:r w:rsidRPr="00967CB7">
        <w:rPr>
          <w:rFonts w:ascii="Traditional Arabic" w:hAnsi="Traditional Arabic" w:cs="Traditional Arabic"/>
          <w:color w:val="000000"/>
          <w:sz w:val="30"/>
          <w:szCs w:val="30"/>
          <w:rtl/>
        </w:rPr>
        <w:t>مايو 2015، في حوالي الساعة</w:t>
      </w:r>
      <w:r w:rsidRPr="00967CB7">
        <w:rPr>
          <w:rFonts w:ascii="Traditional Arabic" w:hAnsi="Traditional Arabic" w:cs="Traditional Arabic" w:hint="cs"/>
          <w:color w:val="000000"/>
          <w:sz w:val="30"/>
          <w:szCs w:val="30"/>
          <w:rtl/>
        </w:rPr>
        <w:t xml:space="preserve"> العاشرة </w:t>
      </w:r>
      <w:r w:rsidRPr="00967CB7">
        <w:rPr>
          <w:rFonts w:ascii="Traditional Arabic" w:hAnsi="Traditional Arabic" w:cs="Traditional Arabic"/>
          <w:color w:val="000000"/>
          <w:sz w:val="30"/>
          <w:szCs w:val="30"/>
          <w:rtl/>
        </w:rPr>
        <w:t>صباحًا، شن</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هجمات بالقصف على ميناء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في عدن، مما أسفر عن مقتل أكثر من 40 مدنياً وإصابة أكثر من 60.</w:t>
      </w:r>
      <w:r w:rsidRPr="00967CB7">
        <w:rPr>
          <w:sz w:val="24"/>
          <w:szCs w:val="24"/>
          <w:vertAlign w:val="superscript"/>
        </w:rPr>
        <w:t xml:space="preserve"> </w:t>
      </w:r>
      <w:r w:rsidRPr="00C9371F">
        <w:rPr>
          <w:sz w:val="22"/>
          <w:szCs w:val="22"/>
          <w:vertAlign w:val="superscript"/>
        </w:rPr>
        <w:footnoteReference w:id="105"/>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وفي صباح الهجوم، </w:t>
      </w:r>
      <w:r w:rsidRPr="00967CB7">
        <w:rPr>
          <w:rFonts w:ascii="Traditional Arabic" w:hAnsi="Traditional Arabic" w:cs="Traditional Arabic" w:hint="cs"/>
          <w:color w:val="000000"/>
          <w:sz w:val="30"/>
          <w:szCs w:val="30"/>
          <w:rtl/>
        </w:rPr>
        <w:t>تقدّم مقاتلو ال</w:t>
      </w:r>
      <w:r w:rsidRPr="00967CB7">
        <w:rPr>
          <w:rFonts w:ascii="Traditional Arabic" w:hAnsi="Traditional Arabic" w:cs="Traditional Arabic"/>
          <w:color w:val="000000"/>
          <w:sz w:val="30"/>
          <w:szCs w:val="30"/>
          <w:rtl/>
        </w:rPr>
        <w:t>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w:t>
      </w:r>
      <w:r w:rsidRPr="00967CB7">
        <w:rPr>
          <w:rFonts w:ascii="Traditional Arabic" w:hAnsi="Traditional Arabic" w:cs="Traditional Arabic" w:hint="cs"/>
          <w:color w:val="000000"/>
          <w:sz w:val="30"/>
          <w:szCs w:val="30"/>
          <w:rtl/>
        </w:rPr>
        <w:t>م</w:t>
      </w:r>
      <w:r w:rsidRPr="00967CB7">
        <w:rPr>
          <w:rFonts w:ascii="Traditional Arabic" w:hAnsi="Traditional Arabic" w:cs="Traditional Arabic"/>
          <w:color w:val="000000"/>
          <w:sz w:val="30"/>
          <w:szCs w:val="30"/>
          <w:rtl/>
        </w:rPr>
        <w:t xml:space="preserve">ن حي المعلا إلى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بعد هزيمة مجموعات المقاومة.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مع اقتراب القتال، هرع عدد كبير من المدنيين إلى ميناء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للفرار على متن قوارب إلى شبه جزيرة البريقة، حيث أصبحت معظم طرق الهروب الأخرى تحت سيطرة مقاتلي الحوثي</w:t>
      </w:r>
      <w:r w:rsidRPr="00967CB7">
        <w:rPr>
          <w:rFonts w:ascii="Traditional Arabic" w:hAnsi="Traditional Arabic" w:cs="Traditional Arabic" w:hint="cs"/>
          <w:color w:val="000000"/>
          <w:sz w:val="30"/>
          <w:szCs w:val="30"/>
          <w:rtl/>
        </w:rPr>
        <w:t xml:space="preserve">ين </w:t>
      </w:r>
      <w:r w:rsidRPr="00967CB7">
        <w:rPr>
          <w:rFonts w:ascii="Traditional Arabic" w:hAnsi="Traditional Arabic" w:cs="Traditional Arabic"/>
          <w:color w:val="000000"/>
          <w:sz w:val="30"/>
          <w:szCs w:val="30"/>
          <w:rtl/>
        </w:rPr>
        <w:t>-</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صالح. تجم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ع عشرات الأشخاص، بي</w:t>
      </w:r>
      <w:r w:rsidRPr="00967CB7">
        <w:rPr>
          <w:rFonts w:ascii="Traditional Arabic" w:hAnsi="Traditional Arabic" w:cs="Traditional Arabic" w:hint="cs"/>
          <w:color w:val="000000"/>
          <w:sz w:val="30"/>
          <w:szCs w:val="30"/>
          <w:rtl/>
        </w:rPr>
        <w:t>ن</w:t>
      </w:r>
      <w:r w:rsidRPr="00967CB7">
        <w:rPr>
          <w:rFonts w:ascii="Traditional Arabic" w:hAnsi="Traditional Arabic" w:cs="Traditional Arabic"/>
          <w:color w:val="000000"/>
          <w:sz w:val="30"/>
          <w:szCs w:val="30"/>
          <w:rtl/>
        </w:rPr>
        <w:t>هم نساء وأطفال ومسن</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ن و</w:t>
      </w:r>
      <w:r w:rsidRPr="00967CB7">
        <w:rPr>
          <w:rFonts w:ascii="Traditional Arabic" w:hAnsi="Traditional Arabic" w:cs="Traditional Arabic" w:hint="cs"/>
          <w:color w:val="000000"/>
          <w:sz w:val="30"/>
          <w:szCs w:val="30"/>
          <w:rtl/>
        </w:rPr>
        <w:t>نازحون</w:t>
      </w:r>
      <w:r w:rsidRPr="00967CB7">
        <w:rPr>
          <w:rFonts w:ascii="Traditional Arabic" w:hAnsi="Traditional Arabic" w:cs="Traditional Arabic"/>
          <w:color w:val="000000"/>
          <w:sz w:val="30"/>
          <w:szCs w:val="30"/>
          <w:rtl/>
        </w:rPr>
        <w:t xml:space="preserve"> على رصيف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في ذلك الصباح.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بينما </w:t>
      </w:r>
      <w:r w:rsidRPr="00967CB7">
        <w:rPr>
          <w:rFonts w:ascii="Traditional Arabic" w:hAnsi="Traditional Arabic" w:cs="Traditional Arabic" w:hint="cs"/>
          <w:color w:val="000000"/>
          <w:sz w:val="30"/>
          <w:szCs w:val="30"/>
          <w:rtl/>
        </w:rPr>
        <w:t>كان المسافرون ي</w:t>
      </w:r>
      <w:r w:rsidRPr="00967CB7">
        <w:rPr>
          <w:rFonts w:ascii="Traditional Arabic" w:hAnsi="Traditional Arabic" w:cs="Traditional Arabic"/>
          <w:color w:val="000000"/>
          <w:sz w:val="30"/>
          <w:szCs w:val="30"/>
          <w:rtl/>
        </w:rPr>
        <w:t>ركب</w:t>
      </w:r>
      <w:r w:rsidRPr="00967CB7">
        <w:rPr>
          <w:rFonts w:ascii="Traditional Arabic" w:hAnsi="Traditional Arabic" w:cs="Traditional Arabic" w:hint="cs"/>
          <w:color w:val="000000"/>
          <w:sz w:val="30"/>
          <w:szCs w:val="30"/>
          <w:rtl/>
        </w:rPr>
        <w:t xml:space="preserve">ون </w:t>
      </w:r>
      <w:r w:rsidRPr="00967CB7">
        <w:rPr>
          <w:rFonts w:ascii="Traditional Arabic" w:hAnsi="Traditional Arabic" w:cs="Traditional Arabic"/>
          <w:color w:val="000000"/>
          <w:sz w:val="30"/>
          <w:szCs w:val="30"/>
          <w:rtl/>
        </w:rPr>
        <w:t>القوارب، سقطت القذائف بالقرب من الرصيف.</w:t>
      </w:r>
      <w:r w:rsidRPr="00967CB7">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سقط</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قذيفت</w:t>
      </w:r>
      <w:r w:rsidRPr="00967CB7">
        <w:rPr>
          <w:rFonts w:ascii="Traditional Arabic" w:hAnsi="Traditional Arabic" w:cs="Traditional Arabic" w:hint="cs"/>
          <w:color w:val="000000"/>
          <w:sz w:val="30"/>
          <w:szCs w:val="30"/>
          <w:rtl/>
        </w:rPr>
        <w:t>ا</w:t>
      </w:r>
      <w:r w:rsidRPr="00967CB7">
        <w:rPr>
          <w:rFonts w:ascii="Traditional Arabic" w:hAnsi="Traditional Arabic" w:cs="Traditional Arabic"/>
          <w:color w:val="000000"/>
          <w:sz w:val="30"/>
          <w:szCs w:val="30"/>
          <w:rtl/>
        </w:rPr>
        <w:t xml:space="preserve"> هاون في الماء. </w:t>
      </w:r>
      <w:r w:rsidRPr="00967CB7">
        <w:rPr>
          <w:rFonts w:ascii="Traditional Arabic" w:hAnsi="Traditional Arabic" w:cs="Traditional Arabic" w:hint="cs"/>
          <w:color w:val="000000"/>
          <w:sz w:val="30"/>
          <w:szCs w:val="30"/>
          <w:rtl/>
        </w:rPr>
        <w:t xml:space="preserve">ثم سقطت مجموعة ثالثة </w:t>
      </w:r>
      <w:r w:rsidRPr="00967CB7">
        <w:rPr>
          <w:rFonts w:ascii="Traditional Arabic" w:hAnsi="Traditional Arabic" w:cs="Traditional Arabic"/>
          <w:color w:val="000000"/>
          <w:sz w:val="30"/>
          <w:szCs w:val="30"/>
          <w:rtl/>
        </w:rPr>
        <w:t xml:space="preserve">على متن قارب </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 xml:space="preserve">حمل </w:t>
      </w:r>
      <w:r w:rsidRPr="00967CB7">
        <w:rPr>
          <w:rFonts w:ascii="Traditional Arabic" w:hAnsi="Traditional Arabic" w:cs="Traditional Arabic" w:hint="cs"/>
          <w:color w:val="000000"/>
          <w:sz w:val="30"/>
          <w:szCs w:val="30"/>
          <w:rtl/>
        </w:rPr>
        <w:t>بين</w:t>
      </w:r>
      <w:r w:rsidRPr="00967CB7">
        <w:rPr>
          <w:rFonts w:ascii="Traditional Arabic" w:hAnsi="Traditional Arabic" w:cs="Traditional Arabic"/>
          <w:color w:val="000000"/>
          <w:sz w:val="30"/>
          <w:szCs w:val="30"/>
          <w:rtl/>
        </w:rPr>
        <w:t xml:space="preserve"> 20 إلى 30 راكباً، و</w:t>
      </w:r>
      <w:r w:rsidRPr="00967CB7">
        <w:rPr>
          <w:rFonts w:ascii="Traditional Arabic" w:hAnsi="Traditional Arabic" w:cs="Traditional Arabic" w:hint="cs"/>
          <w:color w:val="000000"/>
          <w:sz w:val="30"/>
          <w:szCs w:val="30"/>
          <w:rtl/>
        </w:rPr>
        <w:t xml:space="preserve">ضربت مجموعة </w:t>
      </w:r>
      <w:r w:rsidRPr="00967CB7">
        <w:rPr>
          <w:rFonts w:ascii="Traditional Arabic" w:hAnsi="Traditional Arabic" w:cs="Traditional Arabic"/>
          <w:color w:val="000000"/>
          <w:sz w:val="30"/>
          <w:szCs w:val="30"/>
          <w:rtl/>
        </w:rPr>
        <w:t xml:space="preserve">رابعة جدار الميناء </w:t>
      </w:r>
      <w:r w:rsidRPr="00967CB7">
        <w:rPr>
          <w:rFonts w:ascii="Traditional Arabic" w:hAnsi="Traditional Arabic" w:cs="Traditional Arabic" w:hint="cs"/>
          <w:color w:val="000000"/>
          <w:sz w:val="30"/>
          <w:szCs w:val="30"/>
          <w:rtl/>
        </w:rPr>
        <w:t>ووقعت</w:t>
      </w:r>
      <w:r w:rsidRPr="00967CB7">
        <w:rPr>
          <w:rFonts w:ascii="Traditional Arabic" w:hAnsi="Traditional Arabic" w:cs="Traditional Arabic"/>
          <w:color w:val="000000"/>
          <w:sz w:val="30"/>
          <w:szCs w:val="30"/>
          <w:rtl/>
        </w:rPr>
        <w:t xml:space="preserve"> شظايا على الرصيف. كما أفاد شهود أنهم رأوا نيران أسلحة صغيرة في المياه</w:t>
      </w:r>
      <w:r w:rsidRPr="00967CB7">
        <w:rPr>
          <w:sz w:val="24"/>
          <w:szCs w:val="24"/>
          <w:vertAlign w:val="superscript"/>
        </w:rPr>
        <w:t xml:space="preserve"> </w:t>
      </w:r>
      <w:r w:rsidRPr="00967CB7">
        <w:rPr>
          <w:sz w:val="24"/>
          <w:szCs w:val="24"/>
          <w:vertAlign w:val="superscript"/>
        </w:rPr>
        <w:footnoteReference w:id="106"/>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اشتعلت النيران في القارب الذي </w:t>
      </w:r>
      <w:r w:rsidRPr="00967CB7">
        <w:rPr>
          <w:rFonts w:ascii="Traditional Arabic" w:hAnsi="Traditional Arabic" w:cs="Traditional Arabic" w:hint="cs"/>
          <w:color w:val="000000"/>
          <w:sz w:val="30"/>
          <w:szCs w:val="30"/>
          <w:rtl/>
        </w:rPr>
        <w:t>ضربه</w:t>
      </w:r>
      <w:r w:rsidRPr="00967CB7">
        <w:rPr>
          <w:rFonts w:ascii="Traditional Arabic" w:hAnsi="Traditional Arabic" w:cs="Traditional Arabic"/>
          <w:color w:val="000000"/>
          <w:sz w:val="30"/>
          <w:szCs w:val="30"/>
          <w:rtl/>
        </w:rPr>
        <w:t xml:space="preserve"> القصف. وقد توفي بعض ركاب القارب نتيجة القصف، و</w:t>
      </w:r>
      <w:r w:rsidRPr="00967CB7">
        <w:rPr>
          <w:rFonts w:ascii="Traditional Arabic" w:hAnsi="Traditional Arabic" w:cs="Traditional Arabic" w:hint="cs"/>
          <w:color w:val="000000"/>
          <w:sz w:val="30"/>
          <w:szCs w:val="30"/>
          <w:rtl/>
        </w:rPr>
        <w:t xml:space="preserve">علق </w:t>
      </w:r>
      <w:r w:rsidRPr="00967CB7">
        <w:rPr>
          <w:rFonts w:ascii="Traditional Arabic" w:hAnsi="Traditional Arabic" w:cs="Traditional Arabic"/>
          <w:color w:val="000000"/>
          <w:sz w:val="30"/>
          <w:szCs w:val="30"/>
          <w:rtl/>
        </w:rPr>
        <w:t>بعضهم في الن</w:t>
      </w:r>
      <w:r w:rsidRPr="00967CB7">
        <w:rPr>
          <w:rFonts w:ascii="Traditional Arabic" w:hAnsi="Traditional Arabic" w:cs="Traditional Arabic" w:hint="cs"/>
          <w:color w:val="000000"/>
          <w:sz w:val="30"/>
          <w:szCs w:val="30"/>
          <w:rtl/>
        </w:rPr>
        <w:t>يران</w:t>
      </w:r>
      <w:r w:rsidRPr="00967CB7">
        <w:rPr>
          <w:rFonts w:ascii="Traditional Arabic" w:hAnsi="Traditional Arabic" w:cs="Traditional Arabic"/>
          <w:color w:val="000000"/>
          <w:sz w:val="30"/>
          <w:szCs w:val="30"/>
          <w:rtl/>
        </w:rPr>
        <w:t xml:space="preserve">، بينما غرق آخرون بعد القفز في الماء. </w:t>
      </w:r>
      <w:r w:rsidRPr="00967CB7">
        <w:rPr>
          <w:rFonts w:ascii="Traditional Arabic" w:hAnsi="Traditional Arabic" w:cs="Traditional Arabic" w:hint="cs"/>
          <w:color w:val="000000"/>
          <w:sz w:val="30"/>
          <w:szCs w:val="30"/>
          <w:rtl/>
        </w:rPr>
        <w:t>أما ال</w:t>
      </w:r>
      <w:r w:rsidRPr="00967CB7">
        <w:rPr>
          <w:rFonts w:ascii="Traditional Arabic" w:hAnsi="Traditional Arabic" w:cs="Traditional Arabic"/>
          <w:color w:val="000000"/>
          <w:sz w:val="30"/>
          <w:szCs w:val="30"/>
          <w:rtl/>
        </w:rPr>
        <w:t xml:space="preserve">شظايا على الرصيف </w:t>
      </w:r>
      <w:r w:rsidRPr="00967CB7">
        <w:rPr>
          <w:rFonts w:ascii="Traditional Arabic" w:hAnsi="Traditional Arabic" w:cs="Traditional Arabic" w:hint="cs"/>
          <w:color w:val="000000"/>
          <w:sz w:val="30"/>
          <w:szCs w:val="30"/>
          <w:rtl/>
        </w:rPr>
        <w:t xml:space="preserve">فقد </w:t>
      </w:r>
      <w:r w:rsidRPr="00967CB7">
        <w:rPr>
          <w:rFonts w:ascii="Traditional Arabic" w:hAnsi="Traditional Arabic" w:cs="Traditional Arabic"/>
          <w:color w:val="000000"/>
          <w:sz w:val="30"/>
          <w:szCs w:val="30"/>
          <w:rtl/>
        </w:rPr>
        <w:t>قتل</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وجرح</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كثير</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ن آخر</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ن</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07"/>
      </w:r>
      <w:r w:rsidRPr="00967CB7">
        <w:rPr>
          <w:rFonts w:asciiTheme="majorBidi" w:hAnsiTheme="majorBidi" w:cstheme="majorBidi"/>
          <w:sz w:val="24"/>
          <w:szCs w:val="24"/>
          <w:vertAlign w:val="superscript"/>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جاء القصف من المعلا، الاتجاه الذي كان يتقدم منه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صالح</w:t>
      </w:r>
      <w:r w:rsidRPr="00967CB7">
        <w:rPr>
          <w:rFonts w:asciiTheme="majorBidi" w:hAnsiTheme="majorBidi"/>
          <w:sz w:val="24"/>
          <w:szCs w:val="24"/>
          <w:rtl/>
        </w:rPr>
        <w:t>.</w:t>
      </w:r>
      <w:r w:rsidRPr="00967CB7">
        <w:rPr>
          <w:sz w:val="24"/>
          <w:szCs w:val="24"/>
          <w:vertAlign w:val="superscript"/>
        </w:rPr>
        <w:footnoteReference w:id="108"/>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كان مقاتلو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يقاتلون في المعلا خلال الأسابيع السابقة وشوهدوا في ميناء المعلا خلال تلك الفترة</w:t>
      </w:r>
      <w:r w:rsidRPr="00967CB7">
        <w:rPr>
          <w:rFonts w:asciiTheme="majorBidi" w:hAnsiTheme="majorBidi"/>
          <w:sz w:val="24"/>
          <w:szCs w:val="24"/>
          <w:rtl/>
        </w:rPr>
        <w:t>.</w:t>
      </w:r>
      <w:r w:rsidRPr="00967CB7">
        <w:rPr>
          <w:rFonts w:asciiTheme="majorBidi" w:hAnsiTheme="majorBidi" w:hint="cs"/>
          <w:sz w:val="24"/>
          <w:szCs w:val="24"/>
          <w:rtl/>
        </w:rPr>
        <w:t xml:space="preserve"> </w:t>
      </w:r>
      <w:r w:rsidRPr="00967CB7">
        <w:rPr>
          <w:sz w:val="24"/>
          <w:szCs w:val="24"/>
          <w:vertAlign w:val="superscript"/>
        </w:rPr>
        <w:t xml:space="preserve"> </w:t>
      </w:r>
      <w:r w:rsidRPr="00967CB7">
        <w:rPr>
          <w:sz w:val="24"/>
          <w:szCs w:val="24"/>
          <w:vertAlign w:val="superscript"/>
        </w:rPr>
        <w:footnoteReference w:id="109"/>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بينما </w:t>
      </w:r>
      <w:r w:rsidRPr="00967CB7">
        <w:rPr>
          <w:rFonts w:ascii="Traditional Arabic" w:hAnsi="Traditional Arabic" w:cs="Traditional Arabic" w:hint="cs"/>
          <w:color w:val="000000"/>
          <w:sz w:val="30"/>
          <w:szCs w:val="30"/>
          <w:rtl/>
        </w:rPr>
        <w:t>أفادت</w:t>
      </w:r>
      <w:r w:rsidRPr="00967CB7">
        <w:rPr>
          <w:rFonts w:ascii="Traditional Arabic" w:hAnsi="Traditional Arabic" w:cs="Traditional Arabic"/>
          <w:color w:val="000000"/>
          <w:sz w:val="30"/>
          <w:szCs w:val="30"/>
          <w:rtl/>
        </w:rPr>
        <w:t xml:space="preserve"> تقارير بأن بعض أعضاء المقاومة ساعدوا الناس على ركوب القوارب خلال ذلك الصباح، من الواضح أن الحشد كان يتألف بشكل أساسي من مدنيين، ب</w:t>
      </w:r>
      <w:r w:rsidRPr="00967CB7">
        <w:rPr>
          <w:rFonts w:ascii="Traditional Arabic" w:hAnsi="Traditional Arabic" w:cs="Traditional Arabic" w:hint="cs"/>
          <w:color w:val="000000"/>
          <w:sz w:val="30"/>
          <w:szCs w:val="30"/>
          <w:rtl/>
        </w:rPr>
        <w:t>ينهم</w:t>
      </w:r>
      <w:r w:rsidRPr="00967CB7">
        <w:rPr>
          <w:rFonts w:ascii="Traditional Arabic" w:hAnsi="Traditional Arabic" w:cs="Traditional Arabic"/>
          <w:color w:val="000000"/>
          <w:sz w:val="30"/>
          <w:szCs w:val="30"/>
          <w:rtl/>
        </w:rPr>
        <w:t xml:space="preserve"> نساء وأطفال وكبار</w:t>
      </w:r>
      <w:r w:rsidRPr="00967CB7">
        <w:rPr>
          <w:rFonts w:ascii="Traditional Arabic" w:hAnsi="Traditional Arabic" w:cs="Traditional Arabic" w:hint="cs"/>
          <w:color w:val="000000"/>
          <w:sz w:val="30"/>
          <w:szCs w:val="30"/>
          <w:rtl/>
        </w:rPr>
        <w:t xml:space="preserve"> في</w:t>
      </w:r>
      <w:r w:rsidRPr="00967CB7">
        <w:rPr>
          <w:rFonts w:ascii="Traditional Arabic" w:hAnsi="Traditional Arabic" w:cs="Traditional Arabic"/>
          <w:color w:val="000000"/>
          <w:sz w:val="30"/>
          <w:szCs w:val="30"/>
          <w:rtl/>
        </w:rPr>
        <w:t xml:space="preserve"> السن</w:t>
      </w:r>
      <w:r w:rsidRPr="00967CB7">
        <w:rPr>
          <w:sz w:val="24"/>
          <w:szCs w:val="24"/>
          <w:vertAlign w:val="superscript"/>
        </w:rPr>
        <w:footnoteReference w:id="110"/>
      </w:r>
      <w:r w:rsidRPr="00967CB7">
        <w:rPr>
          <w:rFonts w:asciiTheme="majorBidi" w:hAnsiTheme="majorBidi" w:cstheme="majorBidi"/>
          <w:sz w:val="24"/>
          <w:szCs w:val="24"/>
        </w:rPr>
        <w:t>.</w:t>
      </w:r>
    </w:p>
    <w:p w14:paraId="623B7217" w14:textId="77777777" w:rsidR="00967CB7" w:rsidRPr="00967CB7" w:rsidRDefault="00967CB7" w:rsidP="00361237">
      <w:pPr>
        <w:tabs>
          <w:tab w:val="left" w:pos="720"/>
          <w:tab w:val="left" w:pos="1134"/>
          <w:tab w:val="left" w:pos="1701"/>
        </w:tabs>
        <w:suppressAutoHyphens w:val="0"/>
        <w:bidi/>
        <w:spacing w:after="120"/>
        <w:ind w:left="1080" w:right="827"/>
        <w:jc w:val="both"/>
        <w:rPr>
          <w:rFonts w:ascii="Traditional Arabic" w:hAnsi="Traditional Arabic" w:cs="Traditional Arabic"/>
          <w:i/>
          <w:iCs/>
          <w:color w:val="000000"/>
          <w:sz w:val="30"/>
          <w:szCs w:val="30"/>
        </w:rPr>
      </w:pPr>
      <w:r w:rsidRPr="00967CB7">
        <w:rPr>
          <w:rFonts w:ascii="Traditional Arabic" w:hAnsi="Traditional Arabic" w:cs="Traditional Arabic"/>
          <w:i/>
          <w:iCs/>
          <w:color w:val="000000"/>
          <w:sz w:val="30"/>
          <w:szCs w:val="30"/>
          <w:rtl/>
        </w:rPr>
        <w:t>مقتل مدنيين نازحين في سكن الجامعة في مدينة الشعب</w:t>
      </w:r>
    </w:p>
    <w:p w14:paraId="1D94C02A"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color w:val="000000"/>
          <w:sz w:val="30"/>
          <w:szCs w:val="30"/>
          <w:rtl/>
        </w:rPr>
        <w:t xml:space="preserve">في 24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الساعة</w:t>
      </w:r>
      <w:r w:rsidRPr="00967CB7">
        <w:rPr>
          <w:rFonts w:ascii="Traditional Arabic" w:hAnsi="Traditional Arabic" w:cs="Traditional Arabic" w:hint="cs"/>
          <w:color w:val="000000"/>
          <w:sz w:val="30"/>
          <w:szCs w:val="30"/>
          <w:rtl/>
        </w:rPr>
        <w:t xml:space="preserve"> الحادية عشرة وخمس وأربعون دقيقة</w:t>
      </w:r>
      <w:r w:rsidRPr="00967CB7">
        <w:rPr>
          <w:rFonts w:ascii="Traditional Arabic" w:hAnsi="Traditional Arabic" w:cs="Traditional Arabic"/>
          <w:color w:val="000000"/>
          <w:sz w:val="30"/>
          <w:szCs w:val="30"/>
          <w:rtl/>
        </w:rPr>
        <w:t>، أطلق مقاتلو الحوثي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أربع قذائف مدفعية على الأحياء المدنية لمدينة الشعب، حي البريقه. سقط</w:t>
      </w:r>
      <w:r w:rsidRPr="00967CB7">
        <w:rPr>
          <w:rFonts w:ascii="Traditional Arabic" w:hAnsi="Traditional Arabic" w:cs="Traditional Arabic" w:hint="cs"/>
          <w:color w:val="000000"/>
          <w:sz w:val="30"/>
          <w:szCs w:val="30"/>
          <w:rtl/>
        </w:rPr>
        <w:t>ت إ</w:t>
      </w:r>
      <w:r w:rsidRPr="00967CB7">
        <w:rPr>
          <w:rFonts w:ascii="Traditional Arabic" w:hAnsi="Traditional Arabic" w:cs="Traditional Arabic"/>
          <w:color w:val="000000"/>
          <w:sz w:val="30"/>
          <w:szCs w:val="30"/>
          <w:rtl/>
        </w:rPr>
        <w:t>حد</w:t>
      </w:r>
      <w:r w:rsidRPr="00967CB7">
        <w:rPr>
          <w:rFonts w:ascii="Traditional Arabic" w:hAnsi="Traditional Arabic" w:cs="Traditional Arabic" w:hint="cs"/>
          <w:color w:val="000000"/>
          <w:sz w:val="30"/>
          <w:szCs w:val="30"/>
          <w:rtl/>
        </w:rPr>
        <w:t>ى القذائف على سكن</w:t>
      </w:r>
      <w:r w:rsidRPr="00967CB7">
        <w:rPr>
          <w:rFonts w:ascii="Traditional Arabic" w:hAnsi="Traditional Arabic" w:cs="Traditional Arabic"/>
          <w:color w:val="000000"/>
          <w:sz w:val="30"/>
          <w:szCs w:val="30"/>
          <w:rtl/>
        </w:rPr>
        <w:t xml:space="preserve"> الجامعة الذي </w:t>
      </w:r>
      <w:r w:rsidRPr="00967CB7">
        <w:rPr>
          <w:rFonts w:ascii="Traditional Arabic" w:hAnsi="Traditional Arabic" w:cs="Traditional Arabic" w:hint="cs"/>
          <w:color w:val="000000"/>
          <w:sz w:val="30"/>
          <w:szCs w:val="30"/>
          <w:rtl/>
        </w:rPr>
        <w:t xml:space="preserve">كان </w:t>
      </w:r>
      <w:r w:rsidRPr="00967CB7">
        <w:rPr>
          <w:rFonts w:ascii="Traditional Arabic" w:hAnsi="Traditional Arabic" w:cs="Traditional Arabic" w:hint="cs"/>
          <w:color w:val="000000"/>
          <w:sz w:val="30"/>
          <w:szCs w:val="30"/>
          <w:rtl/>
        </w:rPr>
        <w:lastRenderedPageBreak/>
        <w:t>ي</w:t>
      </w:r>
      <w:r w:rsidRPr="00967CB7">
        <w:rPr>
          <w:rFonts w:ascii="Traditional Arabic" w:hAnsi="Traditional Arabic" w:cs="Traditional Arabic"/>
          <w:color w:val="000000"/>
          <w:sz w:val="30"/>
          <w:szCs w:val="30"/>
          <w:rtl/>
        </w:rPr>
        <w:t>ستض</w:t>
      </w:r>
      <w:r w:rsidRPr="00967CB7">
        <w:rPr>
          <w:rFonts w:ascii="Traditional Arabic" w:hAnsi="Traditional Arabic" w:cs="Traditional Arabic" w:hint="cs"/>
          <w:color w:val="000000"/>
          <w:sz w:val="30"/>
          <w:szCs w:val="30"/>
          <w:rtl/>
        </w:rPr>
        <w:t>ي</w:t>
      </w:r>
      <w:r w:rsidRPr="00967CB7">
        <w:rPr>
          <w:rFonts w:ascii="Traditional Arabic" w:hAnsi="Traditional Arabic" w:cs="Traditional Arabic"/>
          <w:color w:val="000000"/>
          <w:sz w:val="30"/>
          <w:szCs w:val="30"/>
          <w:rtl/>
        </w:rPr>
        <w:t>ف عشرات المدنيين النازحين وتسب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ب</w:t>
      </w:r>
      <w:r w:rsidRPr="00967CB7">
        <w:rPr>
          <w:rFonts w:ascii="Traditional Arabic" w:hAnsi="Traditional Arabic" w:cs="Traditional Arabic" w:hint="cs"/>
          <w:color w:val="000000"/>
          <w:sz w:val="30"/>
          <w:szCs w:val="30"/>
          <w:rtl/>
        </w:rPr>
        <w:t>ت</w:t>
      </w:r>
      <w:r w:rsidRPr="00967CB7">
        <w:rPr>
          <w:rFonts w:ascii="Traditional Arabic" w:hAnsi="Traditional Arabic" w:cs="Traditional Arabic"/>
          <w:color w:val="000000"/>
          <w:sz w:val="30"/>
          <w:szCs w:val="30"/>
          <w:rtl/>
        </w:rPr>
        <w:t xml:space="preserve"> في مقتل ثلاثة مدنيين وجرح 29 آخرين. ومن بين المصابين امرأتان وثمانية أطفال. اخترق</w:t>
      </w:r>
      <w:r w:rsidRPr="00967CB7">
        <w:rPr>
          <w:rFonts w:ascii="Traditional Arabic" w:hAnsi="Traditional Arabic" w:cs="Traditional Arabic" w:hint="cs"/>
          <w:color w:val="000000"/>
          <w:sz w:val="30"/>
          <w:szCs w:val="30"/>
          <w:rtl/>
        </w:rPr>
        <w:t>ت القذيفة</w:t>
      </w:r>
      <w:r w:rsidRPr="00967CB7">
        <w:rPr>
          <w:rFonts w:ascii="Traditional Arabic" w:hAnsi="Traditional Arabic" w:cs="Traditional Arabic"/>
          <w:color w:val="000000"/>
          <w:sz w:val="30"/>
          <w:szCs w:val="30"/>
          <w:rtl/>
        </w:rPr>
        <w:t xml:space="preserve"> جدار الطابق الأرضي ل</w:t>
      </w:r>
      <w:r w:rsidRPr="00967CB7">
        <w:rPr>
          <w:rFonts w:ascii="Traditional Arabic" w:hAnsi="Traditional Arabic" w:cs="Traditional Arabic" w:hint="cs"/>
          <w:color w:val="000000"/>
          <w:sz w:val="30"/>
          <w:szCs w:val="30"/>
          <w:rtl/>
        </w:rPr>
        <w:t>سكن الجامعة</w:t>
      </w:r>
      <w:r w:rsidRPr="00967CB7">
        <w:rPr>
          <w:rFonts w:ascii="Traditional Arabic" w:hAnsi="Traditional Arabic" w:cs="Traditional Arabic"/>
          <w:color w:val="000000"/>
          <w:sz w:val="30"/>
          <w:szCs w:val="30"/>
          <w:rtl/>
        </w:rPr>
        <w:t>، مما أسفر عن مقتل المدنيين الذين كانوا موجودين في ذلك الموقع وإلحاق أضرار بمبنى الجامعة</w:t>
      </w:r>
      <w:r w:rsidRPr="00967CB7">
        <w:rPr>
          <w:sz w:val="24"/>
          <w:szCs w:val="24"/>
          <w:vertAlign w:val="superscript"/>
        </w:rPr>
        <w:footnoteReference w:id="111"/>
      </w:r>
      <w:r w:rsidRPr="00967CB7">
        <w:rPr>
          <w:rFonts w:asciiTheme="majorBidi" w:hAnsiTheme="majorBidi" w:cstheme="majorBidi"/>
          <w:sz w:val="24"/>
          <w:szCs w:val="24"/>
        </w:rPr>
        <w:t>.</w:t>
      </w:r>
    </w:p>
    <w:p w14:paraId="6E9CBCA2" w14:textId="77C0853C" w:rsidR="00967CB7" w:rsidRPr="00967CB7" w:rsidRDefault="00967CB7" w:rsidP="006B012E">
      <w:pPr>
        <w:tabs>
          <w:tab w:val="left" w:pos="720"/>
          <w:tab w:val="left" w:pos="1134"/>
          <w:tab w:val="left" w:pos="1701"/>
        </w:tabs>
        <w:suppressAutoHyphens w:val="0"/>
        <w:bidi/>
        <w:spacing w:after="120"/>
        <w:ind w:left="1080" w:right="827"/>
        <w:jc w:val="both"/>
        <w:rPr>
          <w:rFonts w:ascii="Traditional Arabic" w:hAnsi="Traditional Arabic" w:cs="Traditional Arabic"/>
          <w:i/>
          <w:iCs/>
          <w:color w:val="000000"/>
          <w:sz w:val="30"/>
          <w:szCs w:val="30"/>
        </w:rPr>
      </w:pPr>
      <w:r w:rsidRPr="00967CB7">
        <w:rPr>
          <w:rFonts w:ascii="Traditional Arabic" w:hAnsi="Traditional Arabic" w:cs="Traditional Arabic" w:hint="cs"/>
          <w:i/>
          <w:iCs/>
          <w:color w:val="000000"/>
          <w:sz w:val="30"/>
          <w:szCs w:val="30"/>
          <w:rtl/>
        </w:rPr>
        <w:t>م</w:t>
      </w:r>
      <w:r w:rsidRPr="00967CB7">
        <w:rPr>
          <w:rFonts w:ascii="Traditional Arabic" w:hAnsi="Traditional Arabic" w:cs="Traditional Arabic"/>
          <w:i/>
          <w:iCs/>
          <w:color w:val="000000"/>
          <w:sz w:val="30"/>
          <w:szCs w:val="30"/>
          <w:rtl/>
        </w:rPr>
        <w:t>قتل مدنيين وتدمير مناطق سكنية مدنية</w:t>
      </w:r>
      <w:r w:rsidRPr="00967CB7">
        <w:rPr>
          <w:rFonts w:ascii="Traditional Arabic" w:hAnsi="Traditional Arabic" w:cs="Traditional Arabic" w:hint="cs"/>
          <w:i/>
          <w:iCs/>
          <w:color w:val="000000"/>
          <w:sz w:val="30"/>
          <w:szCs w:val="30"/>
          <w:rtl/>
        </w:rPr>
        <w:t xml:space="preserve"> ومهاجمة مصفاة البترول</w:t>
      </w:r>
      <w:r w:rsidRPr="00967CB7">
        <w:rPr>
          <w:rFonts w:ascii="Traditional Arabic" w:hAnsi="Traditional Arabic" w:cs="Traditional Arabic"/>
          <w:i/>
          <w:iCs/>
          <w:color w:val="000000"/>
          <w:sz w:val="30"/>
          <w:szCs w:val="30"/>
          <w:rtl/>
        </w:rPr>
        <w:t xml:space="preserve"> في شبه جزيرة البريقة</w:t>
      </w:r>
    </w:p>
    <w:p w14:paraId="0DFD879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 xml:space="preserve">ابتداءً من منتصف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2015</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أطلق مقاتلو الحوثي</w:t>
      </w:r>
      <w:r w:rsidRPr="00967CB7">
        <w:rPr>
          <w:rFonts w:ascii="Traditional Arabic" w:hAnsi="Traditional Arabic" w:cs="Traditional Arabic" w:hint="cs"/>
          <w:color w:val="000000"/>
          <w:sz w:val="30"/>
          <w:szCs w:val="30"/>
          <w:rtl/>
        </w:rPr>
        <w:t>ين -</w:t>
      </w:r>
      <w:r w:rsidRPr="00967CB7">
        <w:rPr>
          <w:rFonts w:ascii="Traditional Arabic" w:hAnsi="Traditional Arabic" w:cs="Traditional Arabic"/>
          <w:color w:val="000000"/>
          <w:sz w:val="30"/>
          <w:szCs w:val="30"/>
          <w:rtl/>
        </w:rPr>
        <w:t xml:space="preserve"> صالح عشرات ال</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على شبه جزيرة البريق</w:t>
      </w:r>
      <w:r w:rsidRPr="00967CB7">
        <w:rPr>
          <w:rFonts w:ascii="Traditional Arabic" w:hAnsi="Traditional Arabic" w:cs="Traditional Arabic" w:hint="cs"/>
          <w:color w:val="000000"/>
          <w:sz w:val="30"/>
          <w:szCs w:val="30"/>
          <w:rtl/>
        </w:rPr>
        <w:t>ة</w:t>
      </w:r>
      <w:r w:rsidRPr="00967CB7">
        <w:rPr>
          <w:rFonts w:ascii="Traditional Arabic" w:hAnsi="Traditional Arabic" w:cs="Traditional Arabic"/>
          <w:color w:val="000000"/>
          <w:sz w:val="30"/>
          <w:szCs w:val="30"/>
          <w:rtl/>
        </w:rPr>
        <w:t xml:space="preserve"> من داخل حي </w:t>
      </w:r>
      <w:r w:rsidRPr="00967CB7">
        <w:rPr>
          <w:rFonts w:ascii="Traditional Arabic" w:hAnsi="Traditional Arabic" w:cs="Traditional Arabic" w:hint="cs"/>
          <w:color w:val="000000"/>
          <w:sz w:val="30"/>
          <w:szCs w:val="30"/>
          <w:rtl/>
        </w:rPr>
        <w:t>التواهي</w:t>
      </w:r>
      <w:r w:rsidRPr="00967CB7">
        <w:rPr>
          <w:rFonts w:ascii="Traditional Arabic" w:hAnsi="Traditional Arabic" w:cs="Traditional Arabic"/>
          <w:color w:val="000000"/>
          <w:sz w:val="30"/>
          <w:szCs w:val="30"/>
          <w:rtl/>
        </w:rPr>
        <w:t xml:space="preserve"> عبر الخليج. </w:t>
      </w:r>
      <w:r w:rsidRPr="00967CB7">
        <w:rPr>
          <w:rFonts w:ascii="Traditional Arabic" w:hAnsi="Traditional Arabic" w:cs="Traditional Arabic" w:hint="cs"/>
          <w:color w:val="000000"/>
          <w:sz w:val="30"/>
          <w:szCs w:val="30"/>
          <w:rtl/>
        </w:rPr>
        <w:t>ف</w:t>
      </w:r>
      <w:r w:rsidRPr="00967CB7">
        <w:rPr>
          <w:rFonts w:ascii="Traditional Arabic" w:hAnsi="Traditional Arabic" w:cs="Traditional Arabic"/>
          <w:color w:val="000000"/>
          <w:sz w:val="30"/>
          <w:szCs w:val="30"/>
          <w:rtl/>
        </w:rPr>
        <w:t>خلال فترة شهر واحد، سقطت ال</w:t>
      </w:r>
      <w:r w:rsidRPr="00967CB7">
        <w:rPr>
          <w:rFonts w:ascii="Traditional Arabic" w:hAnsi="Traditional Arabic" w:cs="Traditional Arabic" w:hint="cs"/>
          <w:color w:val="000000"/>
          <w:sz w:val="30"/>
          <w:szCs w:val="30"/>
          <w:rtl/>
        </w:rPr>
        <w:t xml:space="preserve">قذائف </w:t>
      </w:r>
      <w:r w:rsidRPr="00967CB7">
        <w:rPr>
          <w:rFonts w:ascii="Traditional Arabic" w:hAnsi="Traditional Arabic" w:cs="Traditional Arabic"/>
          <w:color w:val="000000"/>
          <w:sz w:val="30"/>
          <w:szCs w:val="30"/>
          <w:rtl/>
        </w:rPr>
        <w:t>في مناطق مختلفة من شبه الجزيرة، بما في ذلك في مناطق سكنية</w:t>
      </w:r>
      <w:r w:rsidRPr="00967CB7">
        <w:rPr>
          <w:sz w:val="18"/>
          <w:szCs w:val="24"/>
          <w:vertAlign w:val="superscript"/>
          <w:rtl/>
        </w:rPr>
        <w:footnoteReference w:id="112"/>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مما أدى إلى مقتل ما لا يقل عن خمسة مدنيين وإصابة 12 آخرين، وتدمير المساكن المدنية و</w:t>
      </w:r>
      <w:r w:rsidRPr="00967CB7">
        <w:rPr>
          <w:rFonts w:ascii="Traditional Arabic" w:hAnsi="Traditional Arabic" w:cs="Traditional Arabic" w:hint="cs"/>
          <w:color w:val="000000"/>
          <w:sz w:val="30"/>
          <w:szCs w:val="30"/>
          <w:rtl/>
        </w:rPr>
        <w:t xml:space="preserve">إلحاق </w:t>
      </w:r>
      <w:r w:rsidRPr="00967CB7">
        <w:rPr>
          <w:rFonts w:ascii="Traditional Arabic" w:hAnsi="Traditional Arabic" w:cs="Traditional Arabic"/>
          <w:color w:val="000000"/>
          <w:sz w:val="30"/>
          <w:szCs w:val="30"/>
          <w:rtl/>
        </w:rPr>
        <w:t xml:space="preserve">الأضرار </w:t>
      </w:r>
      <w:r w:rsidRPr="00967CB7">
        <w:rPr>
          <w:rFonts w:ascii="Traditional Arabic" w:hAnsi="Traditional Arabic" w:cs="Traditional Arabic" w:hint="cs"/>
          <w:color w:val="000000"/>
          <w:sz w:val="30"/>
          <w:szCs w:val="30"/>
          <w:rtl/>
        </w:rPr>
        <w:t xml:space="preserve">بإحدى </w:t>
      </w:r>
      <w:r w:rsidRPr="00967CB7">
        <w:rPr>
          <w:rFonts w:ascii="Traditional Arabic" w:hAnsi="Traditional Arabic" w:cs="Traditional Arabic"/>
          <w:color w:val="000000"/>
          <w:sz w:val="30"/>
          <w:szCs w:val="30"/>
          <w:rtl/>
        </w:rPr>
        <w:t>المد</w:t>
      </w:r>
      <w:r w:rsidRPr="00967CB7">
        <w:rPr>
          <w:rFonts w:ascii="Traditional Arabic" w:hAnsi="Traditional Arabic" w:cs="Traditional Arabic" w:hint="cs"/>
          <w:color w:val="000000"/>
          <w:sz w:val="30"/>
          <w:szCs w:val="30"/>
          <w:rtl/>
        </w:rPr>
        <w:t>ا</w:t>
      </w:r>
      <w:r w:rsidRPr="00967CB7">
        <w:rPr>
          <w:rFonts w:ascii="Traditional Arabic" w:hAnsi="Traditional Arabic" w:cs="Traditional Arabic"/>
          <w:color w:val="000000"/>
          <w:sz w:val="30"/>
          <w:szCs w:val="30"/>
          <w:rtl/>
        </w:rPr>
        <w:t>رس</w:t>
      </w:r>
      <w:r w:rsidRPr="00967CB7">
        <w:rPr>
          <w:rFonts w:eastAsia="SimSun"/>
          <w:sz w:val="24"/>
          <w:szCs w:val="24"/>
          <w:shd w:val="clear" w:color="auto" w:fill="F6F6F6"/>
          <w:vertAlign w:val="superscript"/>
        </w:rPr>
        <w:footnoteReference w:id="113"/>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كما </w:t>
      </w:r>
      <w:r w:rsidRPr="00967CB7">
        <w:rPr>
          <w:rFonts w:ascii="Traditional Arabic" w:hAnsi="Traditional Arabic" w:cs="Traditional Arabic" w:hint="cs"/>
          <w:color w:val="000000"/>
          <w:sz w:val="30"/>
          <w:szCs w:val="30"/>
          <w:rtl/>
        </w:rPr>
        <w:t>أصاب</w:t>
      </w:r>
      <w:r w:rsidRPr="00967CB7">
        <w:rPr>
          <w:rFonts w:ascii="Traditional Arabic" w:hAnsi="Traditional Arabic" w:cs="Traditional Arabic"/>
          <w:color w:val="000000"/>
          <w:sz w:val="30"/>
          <w:szCs w:val="30"/>
          <w:rtl/>
        </w:rPr>
        <w:t xml:space="preserve"> القصف مصفاة نفط عدن، مما تسب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أضرار بيئية واقتصادية واسعة </w:t>
      </w:r>
      <w:r w:rsidRPr="00967CB7">
        <w:rPr>
          <w:rFonts w:ascii="Traditional Arabic" w:hAnsi="Traditional Arabic" w:cs="Traditional Arabic" w:hint="cs"/>
          <w:color w:val="000000"/>
          <w:sz w:val="30"/>
          <w:szCs w:val="30"/>
          <w:rtl/>
        </w:rPr>
        <w:t xml:space="preserve">في </w:t>
      </w:r>
      <w:r w:rsidRPr="00967CB7">
        <w:rPr>
          <w:rFonts w:ascii="Traditional Arabic" w:hAnsi="Traditional Arabic" w:cs="Traditional Arabic"/>
          <w:color w:val="000000"/>
          <w:sz w:val="30"/>
          <w:szCs w:val="30"/>
          <w:rtl/>
        </w:rPr>
        <w:t>مدينة عدن، وأدى إلى ت</w:t>
      </w:r>
      <w:r w:rsidRPr="00967CB7">
        <w:rPr>
          <w:rFonts w:ascii="Traditional Arabic" w:hAnsi="Traditional Arabic" w:cs="Traditional Arabic" w:hint="cs"/>
          <w:color w:val="000000"/>
          <w:sz w:val="30"/>
          <w:szCs w:val="30"/>
          <w:rtl/>
        </w:rPr>
        <w:t>دهور</w:t>
      </w:r>
      <w:r w:rsidRPr="00967CB7">
        <w:rPr>
          <w:rFonts w:ascii="Traditional Arabic" w:hAnsi="Traditional Arabic" w:cs="Traditional Arabic"/>
          <w:color w:val="000000"/>
          <w:sz w:val="30"/>
          <w:szCs w:val="30"/>
          <w:rtl/>
        </w:rPr>
        <w:t xml:space="preserve"> الوضع الإنساني</w:t>
      </w:r>
      <w:r w:rsidRPr="00967CB7">
        <w:rPr>
          <w:sz w:val="24"/>
          <w:szCs w:val="24"/>
          <w:vertAlign w:val="superscript"/>
        </w:rPr>
        <w:footnoteReference w:id="114"/>
      </w:r>
      <w:r w:rsidRPr="00967CB7">
        <w:rPr>
          <w:rFonts w:asciiTheme="majorBidi" w:hAnsiTheme="majorBidi"/>
          <w:sz w:val="24"/>
          <w:szCs w:val="24"/>
          <w:rtl/>
        </w:rPr>
        <w:t xml:space="preserve">.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استمر قصف البريقة حتى تراجع مقاتل</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 الحوثي</w:t>
      </w:r>
      <w:r w:rsidRPr="00967CB7">
        <w:rPr>
          <w:rFonts w:ascii="Traditional Arabic" w:hAnsi="Traditional Arabic" w:cs="Traditional Arabic" w:hint="cs"/>
          <w:color w:val="000000"/>
          <w:sz w:val="30"/>
          <w:szCs w:val="30"/>
          <w:rtl/>
        </w:rPr>
        <w:t>ين-</w:t>
      </w:r>
      <w:r w:rsidRPr="00967CB7">
        <w:rPr>
          <w:rFonts w:ascii="Traditional Arabic" w:hAnsi="Traditional Arabic" w:cs="Traditional Arabic"/>
          <w:color w:val="000000"/>
          <w:sz w:val="30"/>
          <w:szCs w:val="30"/>
          <w:rtl/>
        </w:rPr>
        <w:t xml:space="preserve"> صالح في 17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w:t>
      </w:r>
      <w:r w:rsidRPr="00967CB7">
        <w:rPr>
          <w:rFonts w:ascii="Traditional Arabic" w:hAnsi="Traditional Arabic" w:cs="Traditional Arabic"/>
          <w:color w:val="000000"/>
          <w:sz w:val="30"/>
          <w:szCs w:val="30"/>
        </w:rPr>
        <w:t>.</w:t>
      </w:r>
    </w:p>
    <w:p w14:paraId="524785B2" w14:textId="52A8C69E" w:rsidR="00967CB7" w:rsidRPr="00967CB7" w:rsidRDefault="00967CB7" w:rsidP="00CF24C7">
      <w:pPr>
        <w:pStyle w:val="Footer"/>
        <w:numPr>
          <w:ilvl w:val="0"/>
          <w:numId w:val="3"/>
        </w:numPr>
        <w:tabs>
          <w:tab w:val="left" w:pos="720"/>
        </w:tabs>
        <w:bidi/>
        <w:spacing w:after="240"/>
        <w:ind w:left="1089" w:right="1089" w:firstLine="0"/>
        <w:jc w:val="both"/>
        <w:rPr>
          <w:rFonts w:ascii="Traditional Arabic" w:hAnsi="Traditional Arabic" w:cs="Traditional Arabic"/>
          <w:color w:val="000000"/>
          <w:sz w:val="30"/>
          <w:szCs w:val="30"/>
        </w:rPr>
      </w:pPr>
      <w:r w:rsidRPr="00967CB7">
        <w:rPr>
          <w:rFonts w:ascii="Traditional Arabic" w:hAnsi="Traditional Arabic" w:cs="Traditional Arabic"/>
          <w:color w:val="000000"/>
          <w:sz w:val="30"/>
          <w:szCs w:val="30"/>
          <w:rtl/>
        </w:rPr>
        <w:t xml:space="preserve">في 27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2015، بين الساعة</w:t>
      </w:r>
      <w:r w:rsidRPr="00967CB7">
        <w:rPr>
          <w:rFonts w:ascii="Traditional Arabic" w:hAnsi="Traditional Arabic" w:cs="Traditional Arabic" w:hint="cs"/>
          <w:color w:val="000000"/>
          <w:sz w:val="30"/>
          <w:szCs w:val="30"/>
          <w:rtl/>
        </w:rPr>
        <w:t xml:space="preserve"> العاشرة والواحدة بعد الظهر</w:t>
      </w:r>
      <w:r w:rsidRPr="00967CB7">
        <w:rPr>
          <w:rFonts w:ascii="Traditional Arabic" w:hAnsi="Traditional Arabic" w:cs="Traditional Arabic"/>
          <w:color w:val="000000"/>
          <w:sz w:val="30"/>
          <w:szCs w:val="30"/>
          <w:rtl/>
        </w:rPr>
        <w:t xml:space="preserve">، سقطت عدة </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في</w:t>
      </w:r>
      <w:r w:rsidRPr="00967CB7">
        <w:rPr>
          <w:rFonts w:ascii="Traditional Arabic" w:hAnsi="Traditional Arabic" w:cs="Traditional Arabic"/>
          <w:color w:val="000000"/>
          <w:sz w:val="30"/>
          <w:szCs w:val="30"/>
          <w:rtl/>
        </w:rPr>
        <w:t xml:space="preserve"> محيط مصفاة نفط عدن. وسقطت ال</w:t>
      </w:r>
      <w:r w:rsidRPr="00967CB7">
        <w:rPr>
          <w:rFonts w:ascii="Traditional Arabic" w:hAnsi="Traditional Arabic" w:cs="Traditional Arabic" w:hint="cs"/>
          <w:color w:val="000000"/>
          <w:sz w:val="30"/>
          <w:szCs w:val="30"/>
          <w:rtl/>
        </w:rPr>
        <w:t>قذائف</w:t>
      </w:r>
      <w:r w:rsidRPr="00967CB7">
        <w:rPr>
          <w:rFonts w:ascii="Traditional Arabic" w:hAnsi="Traditional Arabic" w:cs="Traditional Arabic"/>
          <w:color w:val="000000"/>
          <w:sz w:val="30"/>
          <w:szCs w:val="30"/>
          <w:rtl/>
        </w:rPr>
        <w:t xml:space="preserve"> على خزان كبير لتخزين النفط وعلى خطوط الأنابيب التي تربط المصفاة بميناء النفط.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أدى الحريق الذي أعقب ذلك إلى انفجار ونشر سحابة كبيرة من الدخان فوق عدن. استمر الحريق لعدة أيام. توفي مدير عمليات المصفاة أثناء محاولته إخماد الحريق، وأصيب عمال المصفاة بجروح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حروق</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15"/>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في 29 </w:t>
      </w:r>
      <w:r w:rsidRPr="00967CB7">
        <w:rPr>
          <w:rFonts w:ascii="Traditional Arabic" w:hAnsi="Traditional Arabic" w:cs="Traditional Arabic" w:hint="cs"/>
          <w:color w:val="000000"/>
          <w:sz w:val="30"/>
          <w:szCs w:val="30"/>
          <w:rtl/>
        </w:rPr>
        <w:t xml:space="preserve">حزيران/ </w:t>
      </w:r>
      <w:r w:rsidRPr="00967CB7">
        <w:rPr>
          <w:rFonts w:ascii="Traditional Arabic" w:hAnsi="Traditional Arabic" w:cs="Traditional Arabic"/>
          <w:color w:val="000000"/>
          <w:sz w:val="30"/>
          <w:szCs w:val="30"/>
          <w:rtl/>
        </w:rPr>
        <w:t>يونيو 201</w:t>
      </w:r>
      <w:r w:rsidRPr="00967CB7">
        <w:rPr>
          <w:rFonts w:ascii="Traditional Arabic" w:hAnsi="Traditional Arabic" w:cs="Traditional Arabic" w:hint="cs"/>
          <w:color w:val="000000"/>
          <w:sz w:val="30"/>
          <w:szCs w:val="30"/>
          <w:rtl/>
        </w:rPr>
        <w:t>5</w:t>
      </w:r>
      <w:r w:rsidRPr="00967CB7">
        <w:rPr>
          <w:rFonts w:ascii="Traditional Arabic" w:hAnsi="Traditional Arabic" w:cs="Traditional Arabic"/>
          <w:color w:val="000000"/>
          <w:sz w:val="30"/>
          <w:szCs w:val="30"/>
          <w:rtl/>
        </w:rPr>
        <w:t>، تم</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 شن هجوم ثانٍ على المصفاة </w:t>
      </w:r>
      <w:r w:rsidRPr="00967CB7">
        <w:rPr>
          <w:rFonts w:ascii="Traditional Arabic" w:hAnsi="Traditional Arabic" w:cs="Traditional Arabic" w:hint="cs"/>
          <w:color w:val="000000"/>
          <w:sz w:val="30"/>
          <w:szCs w:val="30"/>
          <w:rtl/>
        </w:rPr>
        <w:t xml:space="preserve">ولم تتم الإفادة </w:t>
      </w:r>
      <w:r w:rsidRPr="00967CB7">
        <w:rPr>
          <w:rFonts w:ascii="Traditional Arabic" w:hAnsi="Traditional Arabic" w:cs="Traditional Arabic"/>
          <w:color w:val="000000"/>
          <w:sz w:val="30"/>
          <w:szCs w:val="30"/>
          <w:rtl/>
        </w:rPr>
        <w:t>عن أي أضرار أو إصابات أخرى. في 13 تموز/ يوليو 2015، في فترة ما بعد الظهر، سقطت سلسلة أخرى من القذائف على المصفاة، مما تسبّب في أضرار لحقت على الأقل بصهريجين وأشعلت النار في الخزانات، مما أدى إلى لهب ودخان أسود ليومين آخرين على الأقل.</w:t>
      </w:r>
      <w:r w:rsidRPr="00967CB7">
        <w:rPr>
          <w:color w:val="000000"/>
          <w:sz w:val="18"/>
          <w:szCs w:val="30"/>
          <w:vertAlign w:val="superscript"/>
          <w:rtl/>
        </w:rPr>
        <w:footnoteReference w:id="116"/>
      </w:r>
      <w:r w:rsidRPr="00967CB7">
        <w:rPr>
          <w:rFonts w:ascii="Traditional Arabic" w:hAnsi="Traditional Arabic" w:cs="Traditional Arabic"/>
          <w:color w:val="000000"/>
          <w:sz w:val="30"/>
          <w:szCs w:val="30"/>
          <w:rtl/>
        </w:rPr>
        <w:t xml:space="preserve"> في كلا المناسبتين، وصل تلوث الهواء في المنطقة و</w:t>
      </w:r>
      <w:r w:rsidR="00B67E3F">
        <w:rPr>
          <w:rFonts w:ascii="Traditional Arabic" w:hAnsi="Traditional Arabic" w:cs="Traditional Arabic"/>
          <w:color w:val="000000"/>
          <w:sz w:val="30"/>
          <w:szCs w:val="30"/>
          <w:rtl/>
        </w:rPr>
        <w:t>مخاطر الاختناق إلى مستويات حرجة</w:t>
      </w:r>
      <w:r w:rsidRPr="00967CB7">
        <w:rPr>
          <w:rFonts w:ascii="Traditional Arabic" w:hAnsi="Traditional Arabic" w:cs="Traditional Arabic"/>
          <w:color w:val="000000"/>
          <w:sz w:val="30"/>
          <w:szCs w:val="30"/>
          <w:rtl/>
        </w:rPr>
        <w:t>.</w:t>
      </w:r>
      <w:r w:rsidRPr="00967CB7">
        <w:rPr>
          <w:color w:val="000000"/>
          <w:sz w:val="18"/>
          <w:szCs w:val="30"/>
          <w:vertAlign w:val="superscript"/>
          <w:rtl/>
        </w:rPr>
        <w:footnoteReference w:id="117"/>
      </w:r>
      <w:r w:rsidRPr="00967CB7">
        <w:rPr>
          <w:rFonts w:ascii="Traditional Arabic" w:hAnsi="Traditional Arabic" w:cs="Traditional Arabic"/>
          <w:color w:val="000000"/>
          <w:sz w:val="30"/>
          <w:szCs w:val="30"/>
          <w:rtl/>
        </w:rPr>
        <w:t xml:space="preserve"> تسبّب انبعاث الدخان أيضًا في </w:t>
      </w:r>
      <w:r w:rsidR="00614681">
        <w:rPr>
          <w:rFonts w:ascii="Traditional Arabic" w:hAnsi="Traditional Arabic" w:cs="Traditional Arabic" w:hint="cs"/>
          <w:color w:val="000000"/>
          <w:sz w:val="30"/>
          <w:szCs w:val="30"/>
          <w:rtl/>
        </w:rPr>
        <w:t xml:space="preserve">احتمال </w:t>
      </w:r>
      <w:r w:rsidRPr="00967CB7">
        <w:rPr>
          <w:rFonts w:ascii="Traditional Arabic" w:hAnsi="Traditional Arabic" w:cs="Traditional Arabic"/>
          <w:color w:val="000000"/>
          <w:sz w:val="30"/>
          <w:szCs w:val="30"/>
          <w:rtl/>
        </w:rPr>
        <w:t>أضرار صح</w:t>
      </w:r>
      <w:r w:rsidR="002D4A5B">
        <w:rPr>
          <w:rFonts w:ascii="Traditional Arabic" w:hAnsi="Traditional Arabic" w:cs="Traditional Arabic"/>
          <w:color w:val="000000"/>
          <w:sz w:val="30"/>
          <w:szCs w:val="30"/>
          <w:rtl/>
        </w:rPr>
        <w:t>ية طويلة المدى بين سكان البريقة</w:t>
      </w:r>
      <w:r w:rsidRPr="00967CB7">
        <w:rPr>
          <w:rFonts w:ascii="Traditional Arabic" w:hAnsi="Traditional Arabic" w:cs="Traditional Arabic"/>
          <w:color w:val="000000"/>
          <w:sz w:val="30"/>
          <w:szCs w:val="30"/>
          <w:rtl/>
        </w:rPr>
        <w:t>.</w:t>
      </w:r>
      <w:r w:rsidR="002D4A5B">
        <w:rPr>
          <w:rStyle w:val="FootnoteReference"/>
          <w:rFonts w:cs="Traditional Arabic"/>
          <w:color w:val="000000"/>
          <w:szCs w:val="30"/>
          <w:rtl/>
        </w:rPr>
        <w:footnoteReference w:id="118"/>
      </w:r>
      <w:r w:rsidR="002D4A5B">
        <w:rPr>
          <w:rFonts w:ascii="Traditional Arabic" w:hAnsi="Traditional Arabic" w:cs="Traditional Arabic" w:hint="cs"/>
          <w:color w:val="000000"/>
          <w:sz w:val="30"/>
          <w:szCs w:val="30"/>
          <w:rtl/>
        </w:rPr>
        <w:t xml:space="preserve"> </w:t>
      </w:r>
      <w:r w:rsidRPr="00967CB7">
        <w:rPr>
          <w:rFonts w:ascii="Traditional Arabic" w:hAnsi="Traditional Arabic" w:cs="Traditional Arabic"/>
          <w:color w:val="000000"/>
          <w:sz w:val="30"/>
          <w:szCs w:val="30"/>
          <w:rtl/>
        </w:rPr>
        <w:t xml:space="preserve">في 15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 2015، سقط</w:t>
      </w:r>
      <w:r w:rsidRPr="00967CB7">
        <w:rPr>
          <w:rFonts w:ascii="Traditional Arabic" w:hAnsi="Traditional Arabic" w:cs="Traditional Arabic" w:hint="cs"/>
          <w:color w:val="000000"/>
          <w:sz w:val="30"/>
          <w:szCs w:val="30"/>
          <w:rtl/>
        </w:rPr>
        <w:t>ت قذيفة</w:t>
      </w:r>
      <w:r w:rsidRPr="00967CB7">
        <w:rPr>
          <w:rFonts w:ascii="Traditional Arabic" w:hAnsi="Traditional Arabic" w:cs="Traditional Arabic"/>
          <w:color w:val="000000"/>
          <w:sz w:val="30"/>
          <w:szCs w:val="30"/>
          <w:rtl/>
        </w:rPr>
        <w:t xml:space="preserve"> في </w:t>
      </w:r>
      <w:r w:rsidRPr="00967CB7">
        <w:rPr>
          <w:rFonts w:ascii="Traditional Arabic" w:hAnsi="Traditional Arabic" w:cs="Traditional Arabic" w:hint="cs"/>
          <w:color w:val="000000"/>
          <w:sz w:val="30"/>
          <w:szCs w:val="30"/>
          <w:rtl/>
        </w:rPr>
        <w:t>ملعب</w:t>
      </w:r>
      <w:r w:rsidRPr="00967CB7">
        <w:rPr>
          <w:rFonts w:ascii="Traditional Arabic" w:hAnsi="Traditional Arabic" w:cs="Traditional Arabic"/>
          <w:color w:val="000000"/>
          <w:sz w:val="30"/>
          <w:szCs w:val="30"/>
          <w:rtl/>
        </w:rPr>
        <w:t xml:space="preserve"> مدرسة المسيلة في حي كود النمر في البريقة </w:t>
      </w:r>
      <w:r w:rsidRPr="00967CB7">
        <w:rPr>
          <w:rFonts w:ascii="Traditional Arabic" w:hAnsi="Traditional Arabic" w:cs="Traditional Arabic" w:hint="cs"/>
          <w:color w:val="000000"/>
          <w:sz w:val="30"/>
          <w:szCs w:val="30"/>
          <w:rtl/>
        </w:rPr>
        <w:t xml:space="preserve">ولم </w:t>
      </w:r>
      <w:r w:rsidRPr="00967CB7">
        <w:rPr>
          <w:rFonts w:ascii="Traditional Arabic" w:hAnsi="Traditional Arabic" w:cs="Traditional Arabic" w:hint="cs"/>
          <w:color w:val="000000"/>
          <w:sz w:val="30"/>
          <w:szCs w:val="30"/>
          <w:rtl/>
        </w:rPr>
        <w:lastRenderedPageBreak/>
        <w:t>تت</w:t>
      </w:r>
      <w:r w:rsidRPr="00967CB7">
        <w:rPr>
          <w:rFonts w:ascii="Traditional Arabic" w:hAnsi="Traditional Arabic" w:cs="Traditional Arabic"/>
          <w:color w:val="000000"/>
          <w:sz w:val="30"/>
          <w:szCs w:val="30"/>
          <w:rtl/>
        </w:rPr>
        <w:t>سب</w:t>
      </w:r>
      <w:r w:rsidRPr="00967CB7">
        <w:rPr>
          <w:rFonts w:ascii="Traditional Arabic" w:hAnsi="Traditional Arabic" w:cs="Traditional Arabic" w:hint="cs"/>
          <w:color w:val="000000"/>
          <w:sz w:val="30"/>
          <w:szCs w:val="30"/>
          <w:rtl/>
        </w:rPr>
        <w:t>ّ</w:t>
      </w:r>
      <w:r w:rsidRPr="00967CB7">
        <w:rPr>
          <w:rFonts w:ascii="Traditional Arabic" w:hAnsi="Traditional Arabic" w:cs="Traditional Arabic"/>
          <w:color w:val="000000"/>
          <w:sz w:val="30"/>
          <w:szCs w:val="30"/>
          <w:rtl/>
        </w:rPr>
        <w:t xml:space="preserve">ب </w:t>
      </w:r>
      <w:r w:rsidRPr="00967CB7">
        <w:rPr>
          <w:rFonts w:ascii="Traditional Arabic" w:hAnsi="Traditional Arabic" w:cs="Traditional Arabic" w:hint="cs"/>
          <w:color w:val="000000"/>
          <w:sz w:val="30"/>
          <w:szCs w:val="30"/>
          <w:rtl/>
        </w:rPr>
        <w:t>ب</w:t>
      </w:r>
      <w:r w:rsidRPr="00967CB7">
        <w:rPr>
          <w:rFonts w:ascii="Traditional Arabic" w:hAnsi="Traditional Arabic" w:cs="Traditional Arabic"/>
          <w:color w:val="000000"/>
          <w:sz w:val="30"/>
          <w:szCs w:val="30"/>
          <w:rtl/>
        </w:rPr>
        <w:t xml:space="preserve">أضرار. وكان المدنيون النازحون قد </w:t>
      </w:r>
      <w:r w:rsidRPr="00967CB7">
        <w:rPr>
          <w:rFonts w:ascii="Traditional Arabic" w:hAnsi="Traditional Arabic" w:cs="Traditional Arabic" w:hint="cs"/>
          <w:color w:val="000000"/>
          <w:sz w:val="30"/>
          <w:szCs w:val="30"/>
          <w:rtl/>
        </w:rPr>
        <w:t>لجأوا</w:t>
      </w:r>
      <w:r w:rsidRPr="00967CB7">
        <w:rPr>
          <w:rFonts w:ascii="Traditional Arabic" w:hAnsi="Traditional Arabic" w:cs="Traditional Arabic"/>
          <w:color w:val="000000"/>
          <w:sz w:val="30"/>
          <w:szCs w:val="30"/>
          <w:rtl/>
        </w:rPr>
        <w:t xml:space="preserve"> </w:t>
      </w:r>
      <w:r w:rsidRPr="00967CB7">
        <w:rPr>
          <w:rFonts w:ascii="Traditional Arabic" w:hAnsi="Traditional Arabic" w:cs="Traditional Arabic" w:hint="cs"/>
          <w:color w:val="000000"/>
          <w:sz w:val="30"/>
          <w:szCs w:val="30"/>
          <w:rtl/>
        </w:rPr>
        <w:t>الى ا</w:t>
      </w:r>
      <w:r w:rsidRPr="00967CB7">
        <w:rPr>
          <w:rFonts w:ascii="Traditional Arabic" w:hAnsi="Traditional Arabic" w:cs="Traditional Arabic"/>
          <w:color w:val="000000"/>
          <w:sz w:val="30"/>
          <w:szCs w:val="30"/>
          <w:rtl/>
        </w:rPr>
        <w:t xml:space="preserve">لمدرسة </w:t>
      </w:r>
      <w:r w:rsidRPr="00967CB7">
        <w:rPr>
          <w:rFonts w:ascii="Traditional Arabic" w:hAnsi="Traditional Arabic" w:cs="Traditional Arabic" w:hint="cs"/>
          <w:color w:val="000000"/>
          <w:sz w:val="30"/>
          <w:szCs w:val="30"/>
          <w:rtl/>
        </w:rPr>
        <w:t xml:space="preserve">التي تحوّلت الى مسكن مؤقت </w:t>
      </w:r>
      <w:r w:rsidRPr="00967CB7">
        <w:rPr>
          <w:rFonts w:ascii="Traditional Arabic" w:hAnsi="Traditional Arabic" w:cs="Traditional Arabic"/>
          <w:color w:val="000000"/>
          <w:sz w:val="30"/>
          <w:szCs w:val="30"/>
          <w:rtl/>
        </w:rPr>
        <w:t>أثناء القتال</w:t>
      </w:r>
      <w:r w:rsidRPr="00967CB7">
        <w:rPr>
          <w:rFonts w:asciiTheme="majorBidi" w:hAnsiTheme="majorBidi"/>
          <w:sz w:val="24"/>
          <w:szCs w:val="24"/>
          <w:rtl/>
        </w:rPr>
        <w:t>.</w:t>
      </w:r>
      <w:r w:rsidRPr="00967CB7">
        <w:rPr>
          <w:sz w:val="24"/>
          <w:szCs w:val="24"/>
          <w:vertAlign w:val="superscript"/>
        </w:rPr>
        <w:t xml:space="preserve"> </w:t>
      </w:r>
      <w:r w:rsidRPr="00967CB7">
        <w:rPr>
          <w:sz w:val="24"/>
          <w:szCs w:val="24"/>
          <w:vertAlign w:val="superscript"/>
        </w:rPr>
        <w:footnoteReference w:id="119"/>
      </w:r>
      <w:r w:rsidRPr="00967CB7">
        <w:rPr>
          <w:rFonts w:asciiTheme="majorBidi" w:hAnsiTheme="majorBidi" w:cstheme="majorBidi"/>
          <w:sz w:val="24"/>
          <w:szCs w:val="24"/>
          <w:vertAlign w:val="superscript"/>
        </w:rPr>
        <w:t>.</w:t>
      </w:r>
      <w:r w:rsidRPr="00967CB7">
        <w:rPr>
          <w:rFonts w:asciiTheme="majorBidi" w:hAnsiTheme="majorBidi"/>
          <w:sz w:val="24"/>
          <w:szCs w:val="24"/>
          <w:rtl/>
        </w:rPr>
        <w:t xml:space="preserve"> </w:t>
      </w:r>
      <w:r w:rsidRPr="00967CB7">
        <w:rPr>
          <w:rFonts w:ascii="Traditional Arabic" w:hAnsi="Traditional Arabic" w:cs="Traditional Arabic"/>
          <w:color w:val="000000"/>
          <w:sz w:val="30"/>
          <w:szCs w:val="30"/>
          <w:rtl/>
        </w:rPr>
        <w:t xml:space="preserve">أخيرًا، في 17 </w:t>
      </w:r>
      <w:r w:rsidRPr="00967CB7">
        <w:rPr>
          <w:rFonts w:ascii="Traditional Arabic" w:hAnsi="Traditional Arabic" w:cs="Traditional Arabic" w:hint="cs"/>
          <w:color w:val="000000"/>
          <w:sz w:val="30"/>
          <w:szCs w:val="30"/>
          <w:rtl/>
        </w:rPr>
        <w:t xml:space="preserve">تموز/ </w:t>
      </w:r>
      <w:r w:rsidRPr="00967CB7">
        <w:rPr>
          <w:rFonts w:ascii="Traditional Arabic" w:hAnsi="Traditional Arabic" w:cs="Traditional Arabic"/>
          <w:color w:val="000000"/>
          <w:sz w:val="30"/>
          <w:szCs w:val="30"/>
          <w:rtl/>
        </w:rPr>
        <w:t>يوليو 2015، الساعة</w:t>
      </w:r>
      <w:r w:rsidRPr="00967CB7">
        <w:rPr>
          <w:rFonts w:ascii="Traditional Arabic" w:hAnsi="Traditional Arabic" w:cs="Traditional Arabic" w:hint="cs"/>
          <w:color w:val="000000"/>
          <w:sz w:val="30"/>
          <w:szCs w:val="30"/>
          <w:rtl/>
        </w:rPr>
        <w:t xml:space="preserve"> الرابعة بعد الظهر</w:t>
      </w:r>
      <w:r w:rsidRPr="00967CB7">
        <w:rPr>
          <w:rFonts w:ascii="Traditional Arabic" w:hAnsi="Traditional Arabic" w:cs="Traditional Arabic"/>
          <w:color w:val="000000"/>
          <w:sz w:val="30"/>
          <w:szCs w:val="30"/>
          <w:rtl/>
        </w:rPr>
        <w:t>، سقطت ثلا</w:t>
      </w:r>
      <w:r w:rsidRPr="00967CB7">
        <w:rPr>
          <w:rFonts w:ascii="Traditional Arabic" w:hAnsi="Traditional Arabic" w:cs="Traditional Arabic" w:hint="cs"/>
          <w:color w:val="000000"/>
          <w:sz w:val="30"/>
          <w:szCs w:val="30"/>
          <w:rtl/>
        </w:rPr>
        <w:t>ث قذائف</w:t>
      </w:r>
      <w:r w:rsidRPr="00967CB7">
        <w:rPr>
          <w:rFonts w:ascii="Traditional Arabic" w:hAnsi="Traditional Arabic" w:cs="Traditional Arabic"/>
          <w:color w:val="000000"/>
          <w:sz w:val="30"/>
          <w:szCs w:val="30"/>
          <w:rtl/>
        </w:rPr>
        <w:t xml:space="preserve"> على التوالي في شارع </w:t>
      </w:r>
      <w:r w:rsidRPr="00967CB7">
        <w:rPr>
          <w:rFonts w:ascii="Traditional Arabic" w:hAnsi="Traditional Arabic" w:cs="Traditional Arabic" w:hint="cs"/>
          <w:color w:val="000000"/>
          <w:sz w:val="30"/>
          <w:szCs w:val="30"/>
          <w:rtl/>
        </w:rPr>
        <w:t>صلاح</w:t>
      </w:r>
      <w:r w:rsidRPr="00967CB7">
        <w:rPr>
          <w:rFonts w:ascii="Traditional Arabic" w:hAnsi="Traditional Arabic" w:cs="Traditional Arabic"/>
          <w:color w:val="000000"/>
          <w:sz w:val="30"/>
          <w:szCs w:val="30"/>
          <w:rtl/>
        </w:rPr>
        <w:t xml:space="preserve"> الدين في الحي</w:t>
      </w:r>
      <w:r w:rsidRPr="00967CB7">
        <w:rPr>
          <w:rFonts w:ascii="Traditional Arabic" w:hAnsi="Traditional Arabic" w:cs="Traditional Arabic" w:hint="cs"/>
          <w:color w:val="000000"/>
          <w:sz w:val="30"/>
          <w:szCs w:val="30"/>
          <w:rtl/>
        </w:rPr>
        <w:t xml:space="preserve"> نفسه</w:t>
      </w:r>
      <w:r w:rsidRPr="00967CB7">
        <w:rPr>
          <w:rFonts w:ascii="Traditional Arabic" w:hAnsi="Traditional Arabic" w:cs="Traditional Arabic"/>
          <w:color w:val="000000"/>
          <w:sz w:val="30"/>
          <w:szCs w:val="30"/>
          <w:rtl/>
        </w:rPr>
        <w:t xml:space="preserve">، ودمرت منزلين وسيارتين، وألحقت أضرارًا بمنزل آخر. </w:t>
      </w:r>
      <w:r w:rsidRPr="00967CB7">
        <w:rPr>
          <w:rFonts w:ascii="Traditional Arabic" w:hAnsi="Traditional Arabic" w:cs="Traditional Arabic" w:hint="cs"/>
          <w:color w:val="000000"/>
          <w:sz w:val="30"/>
          <w:szCs w:val="30"/>
          <w:rtl/>
        </w:rPr>
        <w:t>و</w:t>
      </w:r>
      <w:r w:rsidRPr="00967CB7">
        <w:rPr>
          <w:rFonts w:ascii="Traditional Arabic" w:hAnsi="Traditional Arabic" w:cs="Traditional Arabic"/>
          <w:color w:val="000000"/>
          <w:sz w:val="30"/>
          <w:szCs w:val="30"/>
          <w:rtl/>
        </w:rPr>
        <w:t xml:space="preserve">أصيب في الحادث صبي يبلغ من العمر 12 عامًا </w:t>
      </w:r>
      <w:r w:rsidRPr="00967CB7">
        <w:rPr>
          <w:rFonts w:ascii="Traditional Arabic" w:hAnsi="Traditional Arabic" w:cs="Traditional Arabic" w:hint="cs"/>
          <w:color w:val="000000"/>
          <w:sz w:val="30"/>
          <w:szCs w:val="30"/>
          <w:rtl/>
        </w:rPr>
        <w:t xml:space="preserve">وفقد </w:t>
      </w:r>
      <w:r w:rsidRPr="00967CB7">
        <w:rPr>
          <w:rFonts w:ascii="Traditional Arabic" w:hAnsi="Traditional Arabic" w:cs="Traditional Arabic"/>
          <w:color w:val="000000"/>
          <w:sz w:val="30"/>
          <w:szCs w:val="30"/>
          <w:rtl/>
        </w:rPr>
        <w:t>ساقيه</w:t>
      </w:r>
      <w:r w:rsidRPr="00967CB7">
        <w:rPr>
          <w:rFonts w:ascii="Traditional Arabic" w:hAnsi="Traditional Arabic" w:cs="Traditional Arabic"/>
          <w:color w:val="000000"/>
          <w:sz w:val="30"/>
          <w:szCs w:val="30"/>
        </w:rPr>
        <w:t>.</w:t>
      </w:r>
    </w:p>
    <w:p w14:paraId="6350F2D5" w14:textId="77777777" w:rsidR="00967CB7" w:rsidRPr="001017A1" w:rsidRDefault="00967CB7" w:rsidP="00361237">
      <w:pPr>
        <w:pStyle w:val="NoSpacing"/>
        <w:tabs>
          <w:tab w:val="left" w:pos="720"/>
          <w:tab w:val="left" w:pos="1134"/>
          <w:tab w:val="left" w:pos="1701"/>
        </w:tabs>
        <w:bidi/>
        <w:spacing w:after="120" w:line="240" w:lineRule="atLeast"/>
        <w:ind w:left="1080" w:right="827"/>
        <w:rPr>
          <w:rFonts w:asciiTheme="majorBidi" w:hAnsiTheme="majorBidi" w:cstheme="majorBidi"/>
          <w:i/>
          <w:iCs/>
          <w:sz w:val="24"/>
          <w:szCs w:val="24"/>
        </w:rPr>
      </w:pPr>
      <w:r w:rsidRPr="001017A1">
        <w:rPr>
          <w:rFonts w:ascii="Traditional Arabic" w:eastAsia="Times New Roman" w:hAnsi="Traditional Arabic" w:cs="Traditional Arabic" w:hint="cs"/>
          <w:i/>
          <w:iCs/>
          <w:color w:val="000000"/>
          <w:sz w:val="30"/>
          <w:szCs w:val="30"/>
          <w:rtl/>
        </w:rPr>
        <w:t>ه</w:t>
      </w:r>
      <w:r w:rsidRPr="001017A1">
        <w:rPr>
          <w:rFonts w:ascii="Traditional Arabic" w:eastAsia="Times New Roman" w:hAnsi="Traditional Arabic" w:cs="Traditional Arabic"/>
          <w:i/>
          <w:iCs/>
          <w:color w:val="000000"/>
          <w:sz w:val="30"/>
          <w:szCs w:val="30"/>
          <w:rtl/>
        </w:rPr>
        <w:t>جوم على مناطق سكنية في المنصورة</w:t>
      </w:r>
    </w:p>
    <w:p w14:paraId="3380D223" w14:textId="6C4E5E41" w:rsidR="00967CB7" w:rsidRPr="00C27F7F" w:rsidRDefault="00967CB7" w:rsidP="00D14005">
      <w:pPr>
        <w:pStyle w:val="Footer"/>
        <w:numPr>
          <w:ilvl w:val="0"/>
          <w:numId w:val="3"/>
        </w:numPr>
        <w:tabs>
          <w:tab w:val="left" w:pos="720"/>
        </w:tabs>
        <w:bidi/>
        <w:spacing w:after="240"/>
        <w:ind w:left="1089" w:right="1089" w:firstLine="0"/>
        <w:jc w:val="both"/>
        <w:rPr>
          <w:rFonts w:asciiTheme="majorBidi" w:hAnsiTheme="majorBidi" w:cstheme="majorBidi"/>
          <w:sz w:val="24"/>
          <w:szCs w:val="24"/>
          <w:rtl/>
          <w:lang w:eastAsia="en-GB"/>
        </w:rPr>
      </w:pPr>
      <w:r w:rsidRPr="001017A1">
        <w:rPr>
          <w:rFonts w:ascii="Traditional Arabic" w:hAnsi="Traditional Arabic" w:cs="Traditional Arabic"/>
          <w:color w:val="000000"/>
          <w:sz w:val="30"/>
          <w:szCs w:val="30"/>
          <w:rtl/>
        </w:rPr>
        <w:t xml:space="preserve">خلال ليل 30 </w:t>
      </w:r>
      <w:r w:rsidRPr="001017A1">
        <w:rPr>
          <w:rFonts w:ascii="Traditional Arabic" w:hAnsi="Traditional Arabic" w:cs="Traditional Arabic" w:hint="cs"/>
          <w:color w:val="000000"/>
          <w:sz w:val="30"/>
          <w:szCs w:val="30"/>
          <w:rtl/>
        </w:rPr>
        <w:t xml:space="preserve">حزيران / </w:t>
      </w:r>
      <w:r w:rsidRPr="001017A1">
        <w:rPr>
          <w:rFonts w:ascii="Traditional Arabic" w:hAnsi="Traditional Arabic" w:cs="Traditional Arabic"/>
          <w:color w:val="000000"/>
          <w:sz w:val="30"/>
          <w:szCs w:val="30"/>
          <w:rtl/>
        </w:rPr>
        <w:t xml:space="preserve">يونيو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1 </w:t>
      </w:r>
      <w:r w:rsidRPr="001017A1">
        <w:rPr>
          <w:rFonts w:ascii="Traditional Arabic" w:hAnsi="Traditional Arabic" w:cs="Traditional Arabic" w:hint="cs"/>
          <w:color w:val="000000"/>
          <w:sz w:val="30"/>
          <w:szCs w:val="30"/>
          <w:rtl/>
        </w:rPr>
        <w:t xml:space="preserve">تموز/ </w:t>
      </w:r>
      <w:r w:rsidRPr="001017A1">
        <w:rPr>
          <w:rFonts w:ascii="Traditional Arabic" w:hAnsi="Traditional Arabic" w:cs="Traditional Arabic"/>
          <w:color w:val="000000"/>
          <w:sz w:val="30"/>
          <w:szCs w:val="30"/>
          <w:rtl/>
        </w:rPr>
        <w:t>يوليو 2015، أطلق مقاتلو الحوثي</w:t>
      </w:r>
      <w:r w:rsidRPr="001017A1">
        <w:rPr>
          <w:rFonts w:ascii="Traditional Arabic" w:hAnsi="Traditional Arabic" w:cs="Traditional Arabic" w:hint="cs"/>
          <w:color w:val="000000"/>
          <w:sz w:val="30"/>
          <w:szCs w:val="30"/>
          <w:rtl/>
        </w:rPr>
        <w:t xml:space="preserve">يين </w:t>
      </w:r>
      <w:r w:rsidRPr="001017A1">
        <w:rPr>
          <w:rFonts w:ascii="Traditional Arabic" w:hAnsi="Traditional Arabic" w:cs="Traditional Arabic"/>
          <w:color w:val="000000"/>
          <w:sz w:val="30"/>
          <w:szCs w:val="30"/>
          <w:rtl/>
        </w:rPr>
        <w:t>-</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صالح عدة قذائف مدفعية أصابت أهداف</w:t>
      </w:r>
      <w:r w:rsidRPr="001017A1">
        <w:rPr>
          <w:rFonts w:ascii="Traditional Arabic" w:hAnsi="Traditional Arabic" w:cs="Traditional Arabic" w:hint="cs"/>
          <w:color w:val="000000"/>
          <w:sz w:val="30"/>
          <w:szCs w:val="30"/>
          <w:rtl/>
        </w:rPr>
        <w:t>اً</w:t>
      </w:r>
      <w:r w:rsidRPr="001017A1">
        <w:rPr>
          <w:rFonts w:ascii="Traditional Arabic" w:hAnsi="Traditional Arabic" w:cs="Traditional Arabic"/>
          <w:color w:val="000000"/>
          <w:sz w:val="30"/>
          <w:szCs w:val="30"/>
          <w:rtl/>
        </w:rPr>
        <w:t xml:space="preserve"> مدنية في المنصورة، مما أدى إلى مقتل أكثر من 35 مدنياً وجرح أكثر من 40.</w:t>
      </w:r>
      <w:r w:rsidRPr="00C927B2">
        <w:rPr>
          <w:rStyle w:val="FootnoteReference"/>
          <w:sz w:val="24"/>
          <w:szCs w:val="24"/>
        </w:rPr>
        <w:t xml:space="preserve"> </w:t>
      </w:r>
      <w:r w:rsidRPr="00C927B2">
        <w:rPr>
          <w:rStyle w:val="FootnoteReference"/>
          <w:sz w:val="24"/>
          <w:szCs w:val="24"/>
        </w:rPr>
        <w:footnoteReference w:id="120"/>
      </w:r>
      <w:r w:rsidRPr="00C927B2">
        <w:rPr>
          <w:rFonts w:asciiTheme="majorBidi" w:hAnsiTheme="majorBidi"/>
          <w:sz w:val="24"/>
          <w:szCs w:val="24"/>
          <w:rtl/>
        </w:rPr>
        <w:t xml:space="preserve"> </w:t>
      </w:r>
      <w:r w:rsidRPr="001017A1">
        <w:rPr>
          <w:rFonts w:ascii="Traditional Arabic" w:hAnsi="Traditional Arabic" w:cs="Traditional Arabic" w:hint="cs"/>
          <w:color w:val="000000"/>
          <w:sz w:val="30"/>
          <w:szCs w:val="30"/>
          <w:rtl/>
        </w:rPr>
        <w:t>وانطلق</w:t>
      </w:r>
      <w:r w:rsidRPr="001017A1">
        <w:rPr>
          <w:rFonts w:ascii="Traditional Arabic" w:hAnsi="Traditional Arabic" w:cs="Traditional Arabic"/>
          <w:color w:val="000000"/>
          <w:sz w:val="30"/>
          <w:szCs w:val="30"/>
          <w:rtl/>
        </w:rPr>
        <w:t xml:space="preserve"> القصف من داخل مواقع الحوثي</w:t>
      </w:r>
      <w:r w:rsidRPr="001017A1">
        <w:rPr>
          <w:rFonts w:ascii="Traditional Arabic" w:hAnsi="Traditional Arabic" w:cs="Traditional Arabic" w:hint="cs"/>
          <w:color w:val="000000"/>
          <w:sz w:val="30"/>
          <w:szCs w:val="30"/>
          <w:rtl/>
        </w:rPr>
        <w:t xml:space="preserve">ين- </w:t>
      </w:r>
      <w:r w:rsidRPr="001017A1">
        <w:rPr>
          <w:rFonts w:ascii="Traditional Arabic" w:hAnsi="Traditional Arabic" w:cs="Traditional Arabic"/>
          <w:color w:val="000000"/>
          <w:sz w:val="30"/>
          <w:szCs w:val="30"/>
          <w:rtl/>
        </w:rPr>
        <w:t>صالح الواقعة في الجهة الشمالية الغربية من المنصورة.</w:t>
      </w:r>
      <w:r w:rsidRPr="00C927B2">
        <w:rPr>
          <w:rStyle w:val="FootnoteReference"/>
          <w:sz w:val="24"/>
          <w:szCs w:val="24"/>
        </w:rPr>
        <w:footnoteReference w:id="121"/>
      </w:r>
      <w:r w:rsidRPr="00C927B2">
        <w:rPr>
          <w:rFonts w:asciiTheme="majorBidi" w:hAnsiTheme="majorBidi"/>
          <w:sz w:val="24"/>
          <w:szCs w:val="24"/>
          <w:rtl/>
        </w:rPr>
        <w:t xml:space="preserve">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وصل مقاتلو الحوثي</w:t>
      </w:r>
      <w:r w:rsidRPr="001017A1">
        <w:rPr>
          <w:rFonts w:ascii="Traditional Arabic" w:hAnsi="Traditional Arabic" w:cs="Traditional Arabic" w:hint="cs"/>
          <w:color w:val="000000"/>
          <w:sz w:val="30"/>
          <w:szCs w:val="30"/>
          <w:rtl/>
        </w:rPr>
        <w:t>ين-</w:t>
      </w:r>
      <w:r w:rsidRPr="001017A1">
        <w:rPr>
          <w:rFonts w:ascii="Traditional Arabic" w:hAnsi="Traditional Arabic" w:cs="Traditional Arabic"/>
          <w:color w:val="000000"/>
          <w:sz w:val="30"/>
          <w:szCs w:val="30"/>
          <w:rtl/>
        </w:rPr>
        <w:t xml:space="preserve"> صالح إلى الجانب الغربي من المدينة عبر محافظة لحج وأقاموا مواقع في المزارع وا</w:t>
      </w:r>
      <w:r w:rsidRPr="001017A1">
        <w:rPr>
          <w:rFonts w:ascii="Traditional Arabic" w:hAnsi="Traditional Arabic" w:cs="Traditional Arabic" w:hint="cs"/>
          <w:color w:val="000000"/>
          <w:sz w:val="30"/>
          <w:szCs w:val="30"/>
          <w:rtl/>
        </w:rPr>
        <w:t>لحقول</w:t>
      </w:r>
      <w:r w:rsidRPr="001017A1">
        <w:rPr>
          <w:rFonts w:ascii="Traditional Arabic" w:hAnsi="Traditional Arabic" w:cs="Traditional Arabic"/>
          <w:color w:val="000000"/>
          <w:sz w:val="30"/>
          <w:szCs w:val="30"/>
          <w:rtl/>
        </w:rPr>
        <w:t xml:space="preserve"> وفي مصنع للحجر في منطقة بئر فضل</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22"/>
      </w:r>
      <w:r w:rsidRPr="00C927B2">
        <w:rPr>
          <w:rStyle w:val="FootnoteReference"/>
          <w:rFonts w:hint="cs"/>
          <w:sz w:val="24"/>
          <w:szCs w:val="24"/>
          <w:rtl/>
        </w:rPr>
        <w:t xml:space="preserve"> </w:t>
      </w:r>
    </w:p>
    <w:p w14:paraId="700A4CBF"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1017A1">
        <w:rPr>
          <w:rFonts w:ascii="Traditional Arabic" w:hAnsi="Traditional Arabic" w:cs="Traditional Arabic"/>
          <w:color w:val="000000"/>
          <w:sz w:val="30"/>
          <w:szCs w:val="30"/>
          <w:rtl/>
        </w:rPr>
        <w:t>بدأ القصف في الساعة</w:t>
      </w:r>
      <w:r w:rsidRPr="001017A1">
        <w:rPr>
          <w:rFonts w:ascii="Traditional Arabic" w:hAnsi="Traditional Arabic" w:cs="Traditional Arabic" w:hint="cs"/>
          <w:color w:val="000000"/>
          <w:sz w:val="30"/>
          <w:szCs w:val="30"/>
          <w:rtl/>
        </w:rPr>
        <w:t xml:space="preserve"> الحادية عشرة ليلاً </w:t>
      </w:r>
      <w:r w:rsidRPr="001017A1">
        <w:rPr>
          <w:rFonts w:ascii="Traditional Arabic" w:hAnsi="Traditional Arabic" w:cs="Traditional Arabic"/>
          <w:color w:val="000000"/>
          <w:sz w:val="30"/>
          <w:szCs w:val="30"/>
          <w:rtl/>
        </w:rPr>
        <w:t>واستمر</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 xml:space="preserve"> حتى صباح اليوم التالي.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سقط</w:t>
      </w:r>
      <w:r w:rsidRPr="001017A1">
        <w:rPr>
          <w:rFonts w:ascii="Traditional Arabic" w:hAnsi="Traditional Arabic" w:cs="Traditional Arabic" w:hint="cs"/>
          <w:color w:val="000000"/>
          <w:sz w:val="30"/>
          <w:szCs w:val="30"/>
          <w:rtl/>
        </w:rPr>
        <w:t>ت</w:t>
      </w:r>
      <w:r w:rsidRPr="001017A1">
        <w:rPr>
          <w:rFonts w:ascii="Traditional Arabic" w:hAnsi="Traditional Arabic" w:cs="Traditional Arabic"/>
          <w:color w:val="000000"/>
          <w:sz w:val="30"/>
          <w:szCs w:val="30"/>
          <w:rtl/>
        </w:rPr>
        <w:t xml:space="preserve"> قذائف هاون ومدفعية على مناطق مدنية في </w:t>
      </w:r>
      <w:r w:rsidRPr="001017A1">
        <w:rPr>
          <w:rFonts w:ascii="Traditional Arabic" w:hAnsi="Traditional Arabic" w:cs="Traditional Arabic" w:hint="cs"/>
          <w:color w:val="000000"/>
          <w:sz w:val="30"/>
          <w:szCs w:val="30"/>
          <w:rtl/>
        </w:rPr>
        <w:t>ال</w:t>
      </w:r>
      <w:r w:rsidRPr="001017A1">
        <w:rPr>
          <w:rFonts w:ascii="Traditional Arabic" w:hAnsi="Traditional Arabic" w:cs="Traditional Arabic"/>
          <w:color w:val="000000"/>
          <w:sz w:val="30"/>
          <w:szCs w:val="30"/>
          <w:rtl/>
        </w:rPr>
        <w:t xml:space="preserve">بلوكات 3 و4 و5 بالمنصورة.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سقطت عدة قذائف على شارع</w:t>
      </w:r>
      <w:r w:rsidRPr="001017A1">
        <w:rPr>
          <w:rFonts w:ascii="Traditional Arabic" w:hAnsi="Traditional Arabic" w:cs="Traditional Arabic"/>
          <w:color w:val="000000"/>
          <w:sz w:val="30"/>
          <w:szCs w:val="30"/>
        </w:rPr>
        <w:t xml:space="preserve"> </w:t>
      </w:r>
      <w:r w:rsidRPr="001017A1">
        <w:rPr>
          <w:rFonts w:ascii="Traditional Arabic" w:hAnsi="Traditional Arabic" w:cs="Traditional Arabic" w:hint="cs"/>
          <w:color w:val="000000"/>
          <w:sz w:val="30"/>
          <w:szCs w:val="30"/>
          <w:rtl/>
        </w:rPr>
        <w:t xml:space="preserve">السجن </w:t>
      </w:r>
      <w:r w:rsidRPr="001017A1">
        <w:rPr>
          <w:rFonts w:ascii="Traditional Arabic" w:hAnsi="Traditional Arabic" w:cs="Traditional Arabic"/>
          <w:color w:val="000000"/>
          <w:sz w:val="30"/>
          <w:szCs w:val="30"/>
          <w:rtl/>
        </w:rPr>
        <w:t xml:space="preserve">المزدحم،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حيث توجد أسواق ومتاجر وفنادق.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 xml:space="preserve">هبطت عدة </w:t>
      </w:r>
      <w:r w:rsidRPr="001017A1">
        <w:rPr>
          <w:rFonts w:ascii="Traditional Arabic" w:hAnsi="Traditional Arabic" w:cs="Traditional Arabic" w:hint="cs"/>
          <w:color w:val="000000"/>
          <w:sz w:val="30"/>
          <w:szCs w:val="30"/>
          <w:rtl/>
        </w:rPr>
        <w:t>قذائف</w:t>
      </w:r>
      <w:r w:rsidRPr="001017A1">
        <w:rPr>
          <w:rFonts w:ascii="Traditional Arabic" w:hAnsi="Traditional Arabic" w:cs="Traditional Arabic"/>
          <w:color w:val="000000"/>
          <w:sz w:val="30"/>
          <w:szCs w:val="30"/>
          <w:rtl/>
        </w:rPr>
        <w:t xml:space="preserve"> بالقرب من فندق</w:t>
      </w:r>
      <w:r w:rsidRPr="001017A1">
        <w:rPr>
          <w:rFonts w:ascii="Traditional Arabic" w:hAnsi="Traditional Arabic" w:cs="Traditional Arabic" w:hint="cs"/>
          <w:color w:val="000000"/>
          <w:sz w:val="30"/>
          <w:szCs w:val="30"/>
          <w:rtl/>
        </w:rPr>
        <w:t xml:space="preserve"> انفينيتي </w:t>
      </w:r>
      <w:r w:rsidRPr="001017A1">
        <w:rPr>
          <w:rFonts w:ascii="Traditional Arabic" w:hAnsi="Traditional Arabic" w:cs="Traditional Arabic"/>
          <w:color w:val="000000"/>
          <w:sz w:val="30"/>
          <w:szCs w:val="30"/>
        </w:rPr>
        <w:t xml:space="preserve"> Infinity </w:t>
      </w:r>
      <w:r w:rsidRPr="001017A1">
        <w:rPr>
          <w:rFonts w:ascii="Traditional Arabic" w:hAnsi="Traditional Arabic" w:cs="Traditional Arabic" w:hint="cs"/>
          <w:color w:val="000000"/>
          <w:sz w:val="30"/>
          <w:szCs w:val="30"/>
          <w:rtl/>
        </w:rPr>
        <w:t xml:space="preserve"> </w:t>
      </w:r>
      <w:r w:rsidRPr="001017A1">
        <w:rPr>
          <w:rFonts w:ascii="Traditional Arabic" w:hAnsi="Traditional Arabic" w:cs="Traditional Arabic"/>
          <w:color w:val="000000"/>
          <w:sz w:val="30"/>
          <w:szCs w:val="30"/>
          <w:rtl/>
        </w:rPr>
        <w:t>ودم</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 xml:space="preserve">رت </w:t>
      </w:r>
      <w:r w:rsidRPr="001017A1">
        <w:rPr>
          <w:rFonts w:ascii="Traditional Arabic" w:hAnsi="Traditional Arabic" w:cs="Traditional Arabic" w:hint="cs"/>
          <w:color w:val="000000"/>
          <w:sz w:val="30"/>
          <w:szCs w:val="30"/>
          <w:rtl/>
        </w:rPr>
        <w:t>قذائف</w:t>
      </w:r>
      <w:r w:rsidRPr="001017A1">
        <w:rPr>
          <w:rFonts w:ascii="Traditional Arabic" w:hAnsi="Traditional Arabic" w:cs="Traditional Arabic"/>
          <w:color w:val="000000"/>
          <w:sz w:val="30"/>
          <w:szCs w:val="30"/>
          <w:rtl/>
        </w:rPr>
        <w:t xml:space="preserve"> أخرى فندق</w:t>
      </w:r>
      <w:r w:rsidRPr="001017A1">
        <w:rPr>
          <w:rFonts w:ascii="Traditional Arabic" w:hAnsi="Traditional Arabic" w:cs="Traditional Arabic" w:hint="cs"/>
          <w:color w:val="000000"/>
          <w:sz w:val="30"/>
          <w:szCs w:val="30"/>
          <w:rtl/>
        </w:rPr>
        <w:t xml:space="preserve"> رويال كونكورد</w:t>
      </w:r>
      <w:r w:rsidRPr="001017A1">
        <w:rPr>
          <w:rFonts w:ascii="Traditional Arabic" w:hAnsi="Traditional Arabic" w:cs="Traditional Arabic"/>
          <w:color w:val="000000"/>
          <w:sz w:val="30"/>
          <w:szCs w:val="30"/>
        </w:rPr>
        <w:t xml:space="preserve"> Royal Concord </w:t>
      </w:r>
      <w:r w:rsidRPr="001017A1">
        <w:rPr>
          <w:rFonts w:ascii="Traditional Arabic" w:hAnsi="Traditional Arabic" w:cs="Traditional Arabic"/>
          <w:color w:val="000000"/>
          <w:sz w:val="30"/>
          <w:szCs w:val="30"/>
          <w:rtl/>
        </w:rPr>
        <w:t>، و</w:t>
      </w:r>
      <w:r w:rsidRPr="001017A1">
        <w:rPr>
          <w:rFonts w:ascii="Traditional Arabic" w:hAnsi="Traditional Arabic" w:cs="Traditional Arabic" w:hint="cs"/>
          <w:color w:val="000000"/>
          <w:sz w:val="30"/>
          <w:szCs w:val="30"/>
          <w:rtl/>
        </w:rPr>
        <w:t xml:space="preserve">كان </w:t>
      </w:r>
      <w:r w:rsidRPr="001017A1">
        <w:rPr>
          <w:rFonts w:ascii="Traditional Arabic" w:hAnsi="Traditional Arabic" w:cs="Traditional Arabic"/>
          <w:color w:val="000000"/>
          <w:sz w:val="30"/>
          <w:szCs w:val="30"/>
          <w:rtl/>
        </w:rPr>
        <w:t xml:space="preserve">كلاهما مأوى للعائلات النازحة. كما سقطت عدة قذائف هاون ومدفعية على المنازل السكنية، </w:t>
      </w:r>
      <w:r w:rsidRPr="001017A1">
        <w:rPr>
          <w:rFonts w:ascii="Traditional Arabic" w:hAnsi="Traditional Arabic" w:cs="Traditional Arabic" w:hint="cs"/>
          <w:color w:val="000000"/>
          <w:sz w:val="30"/>
          <w:szCs w:val="30"/>
          <w:rtl/>
        </w:rPr>
        <w:t xml:space="preserve">أيضاً </w:t>
      </w:r>
      <w:r w:rsidRPr="001017A1">
        <w:rPr>
          <w:rFonts w:ascii="Traditional Arabic" w:hAnsi="Traditional Arabic" w:cs="Traditional Arabic"/>
          <w:color w:val="000000"/>
          <w:sz w:val="30"/>
          <w:szCs w:val="30"/>
          <w:rtl/>
        </w:rPr>
        <w:t>في</w:t>
      </w:r>
      <w:r w:rsidRPr="001017A1">
        <w:rPr>
          <w:rFonts w:ascii="Traditional Arabic" w:hAnsi="Traditional Arabic" w:cs="Traditional Arabic" w:hint="cs"/>
          <w:color w:val="000000"/>
          <w:sz w:val="30"/>
          <w:szCs w:val="30"/>
          <w:rtl/>
        </w:rPr>
        <w:t xml:space="preserve"> حيّ</w:t>
      </w:r>
      <w:r w:rsidRPr="001017A1">
        <w:rPr>
          <w:rFonts w:ascii="Traditional Arabic" w:hAnsi="Traditional Arabic" w:cs="Traditional Arabic"/>
          <w:color w:val="000000"/>
          <w:sz w:val="30"/>
          <w:szCs w:val="30"/>
          <w:rtl/>
        </w:rPr>
        <w:t xml:space="preserve"> شارع السجن. وقع الحادث خلال شهر رمضان، عندما كانت الأسواق والمحلات التجارية والشوارع مزدحمة خلال ساعات المساء المتأخرة</w:t>
      </w:r>
      <w:r w:rsidRPr="00C927B2">
        <w:rPr>
          <w:rFonts w:asciiTheme="majorBidi" w:hAnsiTheme="majorBidi"/>
          <w:sz w:val="24"/>
          <w:szCs w:val="24"/>
          <w:rtl/>
          <w:lang w:eastAsia="en-GB"/>
        </w:rPr>
        <w:t xml:space="preserve"> </w:t>
      </w:r>
      <w:r w:rsidRPr="00C927B2">
        <w:rPr>
          <w:rFonts w:asciiTheme="majorBidi" w:hAnsiTheme="majorBidi" w:cstheme="majorBidi"/>
          <w:sz w:val="24"/>
          <w:szCs w:val="24"/>
          <w:lang w:eastAsia="en-GB"/>
        </w:rPr>
        <w:t>.</w:t>
      </w:r>
      <w:r w:rsidRPr="00C927B2">
        <w:rPr>
          <w:rStyle w:val="FootnoteReference"/>
          <w:sz w:val="24"/>
          <w:szCs w:val="24"/>
        </w:rPr>
        <w:t xml:space="preserve"> </w:t>
      </w:r>
      <w:r w:rsidRPr="00C927B2">
        <w:rPr>
          <w:rStyle w:val="FootnoteReference"/>
          <w:sz w:val="24"/>
          <w:szCs w:val="24"/>
        </w:rPr>
        <w:footnoteReference w:id="123"/>
      </w:r>
    </w:p>
    <w:p w14:paraId="562F38E4"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1017A1">
        <w:rPr>
          <w:rFonts w:ascii="Traditional Arabic" w:hAnsi="Traditional Arabic" w:cs="Traditional Arabic"/>
          <w:color w:val="000000"/>
          <w:sz w:val="30"/>
          <w:szCs w:val="30"/>
          <w:rtl/>
        </w:rPr>
        <w:t xml:space="preserve">خلال الهجوم على المنصورة، </w:t>
      </w:r>
      <w:r w:rsidRPr="001017A1">
        <w:rPr>
          <w:rFonts w:ascii="Traditional Arabic" w:hAnsi="Traditional Arabic" w:cs="Traditional Arabic" w:hint="cs"/>
          <w:color w:val="000000"/>
          <w:sz w:val="30"/>
          <w:szCs w:val="30"/>
          <w:rtl/>
        </w:rPr>
        <w:t>وقعت</w:t>
      </w:r>
      <w:r w:rsidRPr="001017A1">
        <w:rPr>
          <w:rFonts w:ascii="Traditional Arabic" w:hAnsi="Traditional Arabic" w:cs="Traditional Arabic"/>
          <w:color w:val="000000"/>
          <w:sz w:val="30"/>
          <w:szCs w:val="30"/>
          <w:rtl/>
        </w:rPr>
        <w:t xml:space="preserve"> عدة هجمات قصف </w:t>
      </w:r>
      <w:r>
        <w:rPr>
          <w:rFonts w:ascii="Traditional Arabic" w:hAnsi="Traditional Arabic" w:cs="Traditional Arabic" w:hint="cs"/>
          <w:color w:val="000000"/>
          <w:sz w:val="30"/>
          <w:szCs w:val="30"/>
          <w:rtl/>
        </w:rPr>
        <w:t>مكثف</w:t>
      </w:r>
      <w:r w:rsidRPr="001017A1">
        <w:rPr>
          <w:rFonts w:ascii="Traditional Arabic" w:hAnsi="Traditional Arabic" w:cs="Traditional Arabic"/>
          <w:color w:val="000000"/>
          <w:sz w:val="30"/>
          <w:szCs w:val="30"/>
          <w:rtl/>
        </w:rPr>
        <w:t xml:space="preserve">، حيث أصابت </w:t>
      </w:r>
      <w:r w:rsidRPr="001017A1">
        <w:rPr>
          <w:rFonts w:ascii="Traditional Arabic" w:hAnsi="Traditional Arabic" w:cs="Traditional Arabic" w:hint="cs"/>
          <w:color w:val="000000"/>
          <w:sz w:val="30"/>
          <w:szCs w:val="30"/>
          <w:rtl/>
        </w:rPr>
        <w:t>قذيفة ثانية</w:t>
      </w:r>
      <w:r w:rsidRPr="001017A1">
        <w:rPr>
          <w:rFonts w:ascii="Traditional Arabic" w:hAnsi="Traditional Arabic" w:cs="Traditional Arabic"/>
          <w:color w:val="000000"/>
          <w:sz w:val="30"/>
          <w:szCs w:val="30"/>
          <w:rtl/>
        </w:rPr>
        <w:t xml:space="preserve"> الموقع نفسه بعد فترة قصيرة، وغالباً ما ضربت أولئك الذين تجمعوا لمساعدة الجرحى بعد الا</w:t>
      </w:r>
      <w:r w:rsidRPr="001017A1">
        <w:rPr>
          <w:rFonts w:ascii="Traditional Arabic" w:hAnsi="Traditional Arabic" w:cs="Traditional Arabic" w:hint="cs"/>
          <w:color w:val="000000"/>
          <w:sz w:val="30"/>
          <w:szCs w:val="30"/>
          <w:rtl/>
        </w:rPr>
        <w:t>نفجار</w:t>
      </w:r>
      <w:r w:rsidRPr="001017A1">
        <w:rPr>
          <w:rFonts w:ascii="Traditional Arabic" w:hAnsi="Traditional Arabic" w:cs="Traditional Arabic"/>
          <w:color w:val="000000"/>
          <w:sz w:val="30"/>
          <w:szCs w:val="30"/>
          <w:rtl/>
        </w:rPr>
        <w:t xml:space="preserve"> الأول. </w:t>
      </w:r>
      <w:r w:rsidRPr="001017A1">
        <w:rPr>
          <w:rFonts w:ascii="Traditional Arabic" w:hAnsi="Traditional Arabic" w:cs="Traditional Arabic" w:hint="cs"/>
          <w:color w:val="000000"/>
          <w:sz w:val="30"/>
          <w:szCs w:val="30"/>
          <w:rtl/>
        </w:rPr>
        <w:t xml:space="preserve">وأُفيد </w:t>
      </w:r>
      <w:r w:rsidRPr="001017A1">
        <w:rPr>
          <w:rFonts w:ascii="Traditional Arabic" w:hAnsi="Traditional Arabic" w:cs="Traditional Arabic"/>
          <w:color w:val="000000"/>
          <w:sz w:val="30"/>
          <w:szCs w:val="30"/>
          <w:rtl/>
        </w:rPr>
        <w:t xml:space="preserve">عن ثلاثة أمثلة </w:t>
      </w:r>
      <w:r>
        <w:rPr>
          <w:rFonts w:ascii="Traditional Arabic" w:hAnsi="Traditional Arabic" w:cs="Traditional Arabic" w:hint="cs"/>
          <w:color w:val="000000"/>
          <w:sz w:val="30"/>
          <w:szCs w:val="30"/>
          <w:rtl/>
        </w:rPr>
        <w:t>لهذه ال</w:t>
      </w:r>
      <w:r w:rsidRPr="001017A1">
        <w:rPr>
          <w:rFonts w:ascii="Traditional Arabic" w:hAnsi="Traditional Arabic" w:cs="Traditional Arabic"/>
          <w:color w:val="000000"/>
          <w:sz w:val="30"/>
          <w:szCs w:val="30"/>
          <w:rtl/>
        </w:rPr>
        <w:t>هجمات</w:t>
      </w:r>
      <w:r w:rsidRPr="001017A1">
        <w:rPr>
          <w:rFonts w:ascii="Traditional Arabic" w:hAnsi="Traditional Arabic" w:cs="Traditional Arabic" w:hint="cs"/>
          <w:color w:val="000000"/>
          <w:sz w:val="30"/>
          <w:szCs w:val="30"/>
          <w:rtl/>
        </w:rPr>
        <w:t xml:space="preserve"> </w:t>
      </w:r>
      <w:r>
        <w:rPr>
          <w:rFonts w:ascii="Traditional Arabic" w:hAnsi="Traditional Arabic" w:cs="Traditional Arabic" w:hint="cs"/>
          <w:color w:val="000000"/>
          <w:sz w:val="30"/>
          <w:szCs w:val="30"/>
          <w:rtl/>
        </w:rPr>
        <w:t>ال</w:t>
      </w:r>
      <w:r w:rsidRPr="001017A1">
        <w:rPr>
          <w:rFonts w:ascii="Traditional Arabic" w:hAnsi="Traditional Arabic" w:cs="Traditional Arabic"/>
          <w:color w:val="000000"/>
          <w:sz w:val="30"/>
          <w:szCs w:val="30"/>
          <w:rtl/>
        </w:rPr>
        <w:t>مزدوج</w:t>
      </w:r>
      <w:r w:rsidRPr="001017A1">
        <w:rPr>
          <w:rFonts w:ascii="Traditional Arabic" w:hAnsi="Traditional Arabic" w:cs="Traditional Arabic" w:hint="cs"/>
          <w:color w:val="000000"/>
          <w:sz w:val="30"/>
          <w:szCs w:val="30"/>
          <w:rtl/>
        </w:rPr>
        <w:t xml:space="preserve">ة </w:t>
      </w:r>
      <w:r w:rsidRPr="001017A1">
        <w:rPr>
          <w:rFonts w:ascii="Traditional Arabic" w:hAnsi="Traditional Arabic" w:cs="Traditional Arabic"/>
          <w:color w:val="000000"/>
          <w:sz w:val="30"/>
          <w:szCs w:val="30"/>
          <w:rtl/>
        </w:rPr>
        <w:t xml:space="preserve">خلال هجوم 30 </w:t>
      </w:r>
      <w:r w:rsidRPr="001017A1">
        <w:rPr>
          <w:rFonts w:ascii="Traditional Arabic" w:hAnsi="Traditional Arabic" w:cs="Traditional Arabic" w:hint="cs"/>
          <w:color w:val="000000"/>
          <w:sz w:val="30"/>
          <w:szCs w:val="30"/>
          <w:rtl/>
        </w:rPr>
        <w:t xml:space="preserve">حزيران/ </w:t>
      </w:r>
      <w:r w:rsidRPr="001017A1">
        <w:rPr>
          <w:rFonts w:ascii="Traditional Arabic" w:hAnsi="Traditional Arabic" w:cs="Traditional Arabic"/>
          <w:color w:val="000000"/>
          <w:sz w:val="30"/>
          <w:szCs w:val="30"/>
          <w:rtl/>
        </w:rPr>
        <w:t xml:space="preserve">يونيو على المنصورة. وفي هذا الصدد، ذكر أحد ضحايا القصف أنه بعد </w:t>
      </w:r>
      <w:r w:rsidRPr="001017A1">
        <w:rPr>
          <w:rFonts w:ascii="Traditional Arabic" w:hAnsi="Traditional Arabic" w:cs="Traditional Arabic" w:hint="cs"/>
          <w:color w:val="000000"/>
          <w:sz w:val="30"/>
          <w:szCs w:val="30"/>
          <w:rtl/>
        </w:rPr>
        <w:t>القذيفة الأولى التي</w:t>
      </w:r>
      <w:r w:rsidRPr="001017A1">
        <w:rPr>
          <w:rFonts w:ascii="Traditional Arabic" w:hAnsi="Traditional Arabic" w:cs="Traditional Arabic"/>
          <w:color w:val="000000"/>
          <w:sz w:val="30"/>
          <w:szCs w:val="30"/>
          <w:rtl/>
        </w:rPr>
        <w:t xml:space="preserve"> ألحقت أضرارا بمبنى مدني في ال</w:t>
      </w:r>
      <w:r w:rsidRPr="001017A1">
        <w:rPr>
          <w:rFonts w:ascii="Traditional Arabic" w:hAnsi="Traditional Arabic" w:cs="Traditional Arabic" w:hint="cs"/>
          <w:color w:val="000000"/>
          <w:sz w:val="30"/>
          <w:szCs w:val="30"/>
          <w:rtl/>
        </w:rPr>
        <w:t>بلوك</w:t>
      </w:r>
      <w:r w:rsidRPr="001017A1">
        <w:rPr>
          <w:rFonts w:ascii="Traditional Arabic" w:hAnsi="Traditional Arabic" w:cs="Traditional Arabic"/>
          <w:color w:val="000000"/>
          <w:sz w:val="30"/>
          <w:szCs w:val="30"/>
          <w:rtl/>
        </w:rPr>
        <w:t xml:space="preserve"> 3، </w:t>
      </w:r>
      <w:r w:rsidRPr="001017A1">
        <w:rPr>
          <w:rFonts w:ascii="Traditional Arabic" w:hAnsi="Traditional Arabic" w:cs="Traditional Arabic" w:hint="cs"/>
          <w:color w:val="000000"/>
          <w:sz w:val="30"/>
          <w:szCs w:val="30"/>
          <w:rtl/>
        </w:rPr>
        <w:t xml:space="preserve">وأدّت </w:t>
      </w:r>
      <w:r w:rsidRPr="001017A1">
        <w:rPr>
          <w:rFonts w:ascii="Traditional Arabic" w:hAnsi="Traditional Arabic" w:cs="Traditional Arabic"/>
          <w:color w:val="000000"/>
          <w:sz w:val="30"/>
          <w:szCs w:val="30"/>
          <w:rtl/>
        </w:rPr>
        <w:t xml:space="preserve">إلى إصابة ثمانية مدنيين، </w:t>
      </w:r>
      <w:r w:rsidRPr="001017A1">
        <w:rPr>
          <w:rFonts w:ascii="Traditional Arabic" w:hAnsi="Traditional Arabic" w:cs="Traditional Arabic" w:hint="cs"/>
          <w:color w:val="000000"/>
          <w:sz w:val="30"/>
          <w:szCs w:val="30"/>
          <w:rtl/>
        </w:rPr>
        <w:t xml:space="preserve">سقطت قذيفة ثانية </w:t>
      </w:r>
      <w:r w:rsidRPr="001017A1">
        <w:rPr>
          <w:rFonts w:ascii="Traditional Arabic" w:hAnsi="Traditional Arabic" w:cs="Traditional Arabic"/>
          <w:color w:val="000000"/>
          <w:sz w:val="30"/>
          <w:szCs w:val="30"/>
          <w:rtl/>
        </w:rPr>
        <w:t xml:space="preserve">في المنطقة </w:t>
      </w:r>
      <w:r w:rsidRPr="001017A1">
        <w:rPr>
          <w:rFonts w:ascii="Traditional Arabic" w:hAnsi="Traditional Arabic" w:cs="Traditional Arabic" w:hint="cs"/>
          <w:color w:val="000000"/>
          <w:sz w:val="30"/>
          <w:szCs w:val="30"/>
          <w:rtl/>
        </w:rPr>
        <w:t xml:space="preserve">نفسها </w:t>
      </w:r>
      <w:r w:rsidRPr="001017A1">
        <w:rPr>
          <w:rFonts w:ascii="Traditional Arabic" w:hAnsi="Traditional Arabic" w:cs="Traditional Arabic"/>
          <w:color w:val="000000"/>
          <w:sz w:val="30"/>
          <w:szCs w:val="30"/>
          <w:rtl/>
        </w:rPr>
        <w:t xml:space="preserve">بينما هرع فريق من المسعفين والمتطوعين لمساعدة الجرحى. </w:t>
      </w:r>
      <w:r w:rsidRPr="001017A1">
        <w:rPr>
          <w:rFonts w:ascii="Traditional Arabic" w:hAnsi="Traditional Arabic" w:cs="Traditional Arabic" w:hint="cs"/>
          <w:color w:val="000000"/>
          <w:sz w:val="30"/>
          <w:szCs w:val="30"/>
          <w:rtl/>
        </w:rPr>
        <w:t>و</w:t>
      </w:r>
      <w:r w:rsidRPr="001017A1">
        <w:rPr>
          <w:rFonts w:ascii="Traditional Arabic" w:hAnsi="Traditional Arabic" w:cs="Traditional Arabic"/>
          <w:color w:val="000000"/>
          <w:sz w:val="30"/>
          <w:szCs w:val="30"/>
          <w:rtl/>
        </w:rPr>
        <w:t>أدى انفجار ال</w:t>
      </w:r>
      <w:r w:rsidRPr="001017A1">
        <w:rPr>
          <w:rFonts w:ascii="Traditional Arabic" w:hAnsi="Traditional Arabic" w:cs="Traditional Arabic" w:hint="cs"/>
          <w:color w:val="000000"/>
          <w:sz w:val="30"/>
          <w:szCs w:val="30"/>
          <w:rtl/>
        </w:rPr>
        <w:t>قذيفة</w:t>
      </w:r>
      <w:r w:rsidRPr="001017A1">
        <w:rPr>
          <w:rFonts w:ascii="Traditional Arabic" w:hAnsi="Traditional Arabic" w:cs="Traditional Arabic"/>
          <w:color w:val="000000"/>
          <w:sz w:val="30"/>
          <w:szCs w:val="30"/>
          <w:rtl/>
        </w:rPr>
        <w:t xml:space="preserve"> الثانية إلى مقتل وإصابة من تجمعوا، ب</w:t>
      </w:r>
      <w:r w:rsidRPr="001017A1">
        <w:rPr>
          <w:rFonts w:ascii="Traditional Arabic" w:hAnsi="Traditional Arabic" w:cs="Traditional Arabic" w:hint="cs"/>
          <w:color w:val="000000"/>
          <w:sz w:val="30"/>
          <w:szCs w:val="30"/>
          <w:rtl/>
        </w:rPr>
        <w:t xml:space="preserve">ينهم </w:t>
      </w:r>
      <w:r w:rsidRPr="001017A1">
        <w:rPr>
          <w:rFonts w:ascii="Traditional Arabic" w:hAnsi="Traditional Arabic" w:cs="Traditional Arabic"/>
          <w:color w:val="000000"/>
          <w:sz w:val="30"/>
          <w:szCs w:val="30"/>
          <w:rtl/>
        </w:rPr>
        <w:t>متطو</w:t>
      </w:r>
      <w:r w:rsidRPr="001017A1">
        <w:rPr>
          <w:rFonts w:ascii="Traditional Arabic" w:hAnsi="Traditional Arabic" w:cs="Traditional Arabic" w:hint="cs"/>
          <w:color w:val="000000"/>
          <w:sz w:val="30"/>
          <w:szCs w:val="30"/>
          <w:rtl/>
        </w:rPr>
        <w:t>ّ</w:t>
      </w:r>
      <w:r w:rsidRPr="001017A1">
        <w:rPr>
          <w:rFonts w:ascii="Traditional Arabic" w:hAnsi="Traditional Arabic" w:cs="Traditional Arabic"/>
          <w:color w:val="000000"/>
          <w:sz w:val="30"/>
          <w:szCs w:val="30"/>
          <w:rtl/>
        </w:rPr>
        <w:t>ع طبي يبلغ من العمر 17 عامًا فقد ساقه</w:t>
      </w:r>
      <w:r w:rsidRPr="00C927B2">
        <w:rPr>
          <w:rStyle w:val="FootnoteReference"/>
          <w:sz w:val="24"/>
          <w:szCs w:val="24"/>
        </w:rPr>
        <w:footnoteReference w:id="124"/>
      </w:r>
      <w:r w:rsidRPr="00C927B2">
        <w:rPr>
          <w:rFonts w:asciiTheme="majorBidi" w:hAnsiTheme="majorBidi" w:cstheme="majorBidi"/>
          <w:sz w:val="24"/>
          <w:szCs w:val="24"/>
        </w:rPr>
        <w:t>.</w:t>
      </w:r>
    </w:p>
    <w:p w14:paraId="6CA66641" w14:textId="290E04BE" w:rsidR="00967CB7" w:rsidRPr="001017A1" w:rsidRDefault="00967CB7" w:rsidP="00361237">
      <w:pPr>
        <w:pStyle w:val="NoSpacing"/>
        <w:tabs>
          <w:tab w:val="left" w:pos="720"/>
          <w:tab w:val="left" w:pos="1134"/>
          <w:tab w:val="left" w:pos="1701"/>
        </w:tabs>
        <w:bidi/>
        <w:spacing w:after="120" w:line="240" w:lineRule="atLeast"/>
        <w:ind w:left="1134" w:right="827"/>
        <w:jc w:val="both"/>
        <w:rPr>
          <w:rFonts w:ascii="Traditional Arabic" w:eastAsia="Times New Roman" w:hAnsi="Traditional Arabic" w:cs="Traditional Arabic"/>
          <w:i/>
          <w:iCs/>
          <w:color w:val="000000"/>
          <w:sz w:val="30"/>
          <w:szCs w:val="30"/>
        </w:rPr>
      </w:pPr>
      <w:r w:rsidRPr="001017A1">
        <w:rPr>
          <w:rFonts w:ascii="Traditional Arabic" w:eastAsia="Times New Roman" w:hAnsi="Traditional Arabic" w:cs="Traditional Arabic"/>
          <w:i/>
          <w:iCs/>
          <w:color w:val="000000"/>
          <w:sz w:val="30"/>
          <w:szCs w:val="30"/>
          <w:rtl/>
        </w:rPr>
        <w:t>قتل المدنيين وتدمير الممتلكات المدنية في دار سعد</w:t>
      </w:r>
    </w:p>
    <w:p w14:paraId="46ADCD3D" w14:textId="77777777" w:rsidR="00967CB7" w:rsidRPr="001017A1" w:rsidRDefault="00967CB7" w:rsidP="00361237">
      <w:pPr>
        <w:pStyle w:val="NoSpacing"/>
        <w:tabs>
          <w:tab w:val="left" w:pos="720"/>
          <w:tab w:val="left" w:pos="1701"/>
        </w:tabs>
        <w:bidi/>
        <w:spacing w:after="120" w:line="240" w:lineRule="atLeast"/>
        <w:ind w:left="1566" w:right="827"/>
        <w:jc w:val="both"/>
        <w:rPr>
          <w:rFonts w:ascii="Traditional Arabic" w:eastAsia="Times New Roman" w:hAnsi="Traditional Arabic" w:cs="Traditional Arabic"/>
          <w:i/>
          <w:iCs/>
          <w:color w:val="000000"/>
          <w:sz w:val="30"/>
          <w:szCs w:val="30"/>
        </w:rPr>
      </w:pPr>
      <w:r w:rsidRPr="001017A1">
        <w:rPr>
          <w:rFonts w:ascii="Traditional Arabic" w:eastAsia="Times New Roman" w:hAnsi="Traditional Arabic" w:cs="Traditional Arabic"/>
          <w:i/>
          <w:iCs/>
          <w:color w:val="000000"/>
          <w:sz w:val="30"/>
          <w:szCs w:val="30"/>
        </w:rPr>
        <w:lastRenderedPageBreak/>
        <w:t>"</w:t>
      </w:r>
      <w:r w:rsidRPr="001017A1">
        <w:rPr>
          <w:rFonts w:ascii="Traditional Arabic" w:eastAsia="Times New Roman" w:hAnsi="Traditional Arabic" w:cs="Traditional Arabic"/>
          <w:i/>
          <w:iCs/>
          <w:color w:val="000000"/>
          <w:sz w:val="30"/>
          <w:szCs w:val="30"/>
          <w:rtl/>
        </w:rPr>
        <w:t xml:space="preserve">منذ الفجر وحتى الظهر كنا نأخذ المصابين والقتلى إلى مستشفى منظمة أطباء بلا حدود، </w:t>
      </w:r>
      <w:r w:rsidRPr="001017A1">
        <w:rPr>
          <w:rFonts w:ascii="Traditional Arabic" w:eastAsia="Times New Roman" w:hAnsi="Traditional Arabic" w:cs="Traditional Arabic" w:hint="cs"/>
          <w:i/>
          <w:iCs/>
          <w:color w:val="000000"/>
          <w:sz w:val="30"/>
          <w:szCs w:val="30"/>
          <w:rtl/>
        </w:rPr>
        <w:t xml:space="preserve">ونقلت </w:t>
      </w:r>
      <w:r w:rsidRPr="001017A1">
        <w:rPr>
          <w:rFonts w:ascii="Traditional Arabic" w:eastAsia="Times New Roman" w:hAnsi="Traditional Arabic" w:cs="Traditional Arabic"/>
          <w:i/>
          <w:iCs/>
          <w:color w:val="000000"/>
          <w:sz w:val="30"/>
          <w:szCs w:val="30"/>
          <w:rtl/>
        </w:rPr>
        <w:t xml:space="preserve">مجموعتنا حوالي 60 مصابًا. أصيبوا بجروح خطيرة </w:t>
      </w:r>
      <w:r w:rsidRPr="001017A1">
        <w:rPr>
          <w:rFonts w:ascii="Traditional Arabic" w:eastAsia="Times New Roman" w:hAnsi="Traditional Arabic" w:cs="Traditional Arabic" w:hint="cs"/>
          <w:i/>
          <w:iCs/>
          <w:color w:val="000000"/>
          <w:sz w:val="30"/>
          <w:szCs w:val="30"/>
          <w:rtl/>
        </w:rPr>
        <w:t>بسبب</w:t>
      </w:r>
      <w:r w:rsidRPr="001017A1">
        <w:rPr>
          <w:rFonts w:ascii="Traditional Arabic" w:eastAsia="Times New Roman" w:hAnsi="Traditional Arabic" w:cs="Traditional Arabic"/>
          <w:i/>
          <w:iCs/>
          <w:color w:val="000000"/>
          <w:sz w:val="30"/>
          <w:szCs w:val="30"/>
          <w:rtl/>
        </w:rPr>
        <w:t xml:space="preserve"> الشظايا وفقدوا </w:t>
      </w:r>
      <w:r w:rsidRPr="001017A1">
        <w:rPr>
          <w:rFonts w:ascii="Traditional Arabic" w:eastAsia="Times New Roman" w:hAnsi="Traditional Arabic" w:cs="Traditional Arabic" w:hint="cs"/>
          <w:i/>
          <w:iCs/>
          <w:color w:val="000000"/>
          <w:sz w:val="30"/>
          <w:szCs w:val="30"/>
          <w:rtl/>
        </w:rPr>
        <w:t>اجزاء</w:t>
      </w:r>
      <w:r w:rsidRPr="001017A1">
        <w:rPr>
          <w:rFonts w:ascii="Traditional Arabic" w:eastAsia="Times New Roman" w:hAnsi="Traditional Arabic" w:cs="Traditional Arabic"/>
          <w:i/>
          <w:iCs/>
          <w:color w:val="000000"/>
          <w:sz w:val="30"/>
          <w:szCs w:val="30"/>
          <w:rtl/>
        </w:rPr>
        <w:t xml:space="preserve"> من </w:t>
      </w:r>
      <w:r w:rsidRPr="001017A1">
        <w:rPr>
          <w:rFonts w:ascii="Traditional Arabic" w:eastAsia="Times New Roman" w:hAnsi="Traditional Arabic" w:cs="Traditional Arabic" w:hint="cs"/>
          <w:i/>
          <w:iCs/>
          <w:color w:val="000000"/>
          <w:sz w:val="30"/>
          <w:szCs w:val="30"/>
          <w:rtl/>
        </w:rPr>
        <w:t>أ</w:t>
      </w:r>
      <w:r w:rsidRPr="001017A1">
        <w:rPr>
          <w:rFonts w:ascii="Traditional Arabic" w:eastAsia="Times New Roman" w:hAnsi="Traditional Arabic" w:cs="Traditional Arabic"/>
          <w:i/>
          <w:iCs/>
          <w:color w:val="000000"/>
          <w:sz w:val="30"/>
          <w:szCs w:val="30"/>
          <w:rtl/>
        </w:rPr>
        <w:t>جس</w:t>
      </w:r>
      <w:r w:rsidRPr="001017A1">
        <w:rPr>
          <w:rFonts w:ascii="Traditional Arabic" w:eastAsia="Times New Roman" w:hAnsi="Traditional Arabic" w:cs="Traditional Arabic" w:hint="cs"/>
          <w:i/>
          <w:iCs/>
          <w:color w:val="000000"/>
          <w:sz w:val="30"/>
          <w:szCs w:val="30"/>
          <w:rtl/>
        </w:rPr>
        <w:t>ا</w:t>
      </w:r>
      <w:r w:rsidRPr="001017A1">
        <w:rPr>
          <w:rFonts w:ascii="Traditional Arabic" w:eastAsia="Times New Roman" w:hAnsi="Traditional Arabic" w:cs="Traditional Arabic"/>
          <w:i/>
          <w:iCs/>
          <w:color w:val="000000"/>
          <w:sz w:val="30"/>
          <w:szCs w:val="30"/>
          <w:rtl/>
        </w:rPr>
        <w:t>م</w:t>
      </w:r>
      <w:r w:rsidRPr="001017A1">
        <w:rPr>
          <w:rFonts w:ascii="Traditional Arabic" w:eastAsia="Times New Roman" w:hAnsi="Traditional Arabic" w:cs="Traditional Arabic" w:hint="cs"/>
          <w:i/>
          <w:iCs/>
          <w:color w:val="000000"/>
          <w:sz w:val="30"/>
          <w:szCs w:val="30"/>
          <w:rtl/>
        </w:rPr>
        <w:t>هم</w:t>
      </w:r>
      <w:r w:rsidRPr="001017A1">
        <w:rPr>
          <w:rFonts w:ascii="Traditional Arabic" w:eastAsia="Times New Roman" w:hAnsi="Traditional Arabic" w:cs="Traditional Arabic"/>
          <w:i/>
          <w:iCs/>
          <w:color w:val="000000"/>
          <w:sz w:val="30"/>
          <w:szCs w:val="30"/>
          <w:rtl/>
        </w:rPr>
        <w:t xml:space="preserve">. عند الظهر، أخذنا استراحة الغداء خارج منزلي، ووقف 19 من المتطوعين الطبيين </w:t>
      </w:r>
      <w:r w:rsidRPr="001017A1">
        <w:rPr>
          <w:rFonts w:ascii="Traditional Arabic" w:eastAsia="Times New Roman" w:hAnsi="Traditional Arabic" w:cs="Traditional Arabic" w:hint="cs"/>
          <w:i/>
          <w:iCs/>
          <w:color w:val="000000"/>
          <w:sz w:val="30"/>
          <w:szCs w:val="30"/>
          <w:rtl/>
        </w:rPr>
        <w:t>ضمن</w:t>
      </w:r>
      <w:r w:rsidRPr="001017A1">
        <w:rPr>
          <w:rFonts w:ascii="Traditional Arabic" w:eastAsia="Times New Roman" w:hAnsi="Traditional Arabic" w:cs="Traditional Arabic"/>
          <w:i/>
          <w:iCs/>
          <w:color w:val="000000"/>
          <w:sz w:val="30"/>
          <w:szCs w:val="30"/>
          <w:rtl/>
        </w:rPr>
        <w:t xml:space="preserve"> مجموعة واحدة. كا</w:t>
      </w:r>
      <w:r w:rsidRPr="001017A1">
        <w:rPr>
          <w:rFonts w:ascii="Traditional Arabic" w:eastAsia="Times New Roman" w:hAnsi="Traditional Arabic" w:cs="Traditional Arabic" w:hint="cs"/>
          <w:i/>
          <w:iCs/>
          <w:color w:val="000000"/>
          <w:sz w:val="30"/>
          <w:szCs w:val="30"/>
          <w:rtl/>
        </w:rPr>
        <w:t>ن الوضع</w:t>
      </w:r>
      <w:r w:rsidRPr="001017A1">
        <w:rPr>
          <w:rFonts w:ascii="Traditional Arabic" w:eastAsia="Times New Roman" w:hAnsi="Traditional Arabic" w:cs="Traditional Arabic"/>
          <w:i/>
          <w:iCs/>
          <w:color w:val="000000"/>
          <w:sz w:val="30"/>
          <w:szCs w:val="30"/>
          <w:rtl/>
        </w:rPr>
        <w:t xml:space="preserve"> هادئا للحظة. ثم </w:t>
      </w:r>
      <w:r w:rsidRPr="001017A1">
        <w:rPr>
          <w:rFonts w:ascii="Traditional Arabic" w:eastAsia="Times New Roman" w:hAnsi="Traditional Arabic" w:cs="Traditional Arabic" w:hint="cs"/>
          <w:i/>
          <w:iCs/>
          <w:color w:val="000000"/>
          <w:sz w:val="30"/>
          <w:szCs w:val="30"/>
          <w:rtl/>
        </w:rPr>
        <w:t>سقطت قذيفة على المتطوّعين ال</w:t>
      </w:r>
      <w:r w:rsidRPr="001017A1">
        <w:rPr>
          <w:rFonts w:ascii="Traditional Arabic" w:eastAsia="Times New Roman" w:hAnsi="Traditional Arabic" w:cs="Traditional Arabic"/>
          <w:i/>
          <w:iCs/>
          <w:color w:val="000000"/>
          <w:sz w:val="30"/>
          <w:szCs w:val="30"/>
          <w:rtl/>
        </w:rPr>
        <w:t xml:space="preserve"> 19 </w:t>
      </w:r>
      <w:r w:rsidRPr="001017A1">
        <w:rPr>
          <w:rFonts w:ascii="Traditional Arabic" w:eastAsia="Times New Roman" w:hAnsi="Traditional Arabic" w:cs="Traditional Arabic" w:hint="cs"/>
          <w:i/>
          <w:iCs/>
          <w:color w:val="000000"/>
          <w:sz w:val="30"/>
          <w:szCs w:val="30"/>
          <w:rtl/>
        </w:rPr>
        <w:t xml:space="preserve">الموجودين </w:t>
      </w:r>
      <w:r w:rsidRPr="001017A1">
        <w:rPr>
          <w:rFonts w:ascii="Traditional Arabic" w:eastAsia="Times New Roman" w:hAnsi="Traditional Arabic" w:cs="Traditional Arabic"/>
          <w:i/>
          <w:iCs/>
          <w:color w:val="000000"/>
          <w:sz w:val="30"/>
          <w:szCs w:val="30"/>
          <w:rtl/>
        </w:rPr>
        <w:t xml:space="preserve">أمامي مباشرة. </w:t>
      </w:r>
      <w:r w:rsidRPr="001017A1">
        <w:rPr>
          <w:rFonts w:ascii="Traditional Arabic" w:eastAsia="Times New Roman" w:hAnsi="Traditional Arabic" w:cs="Traditional Arabic" w:hint="cs"/>
          <w:i/>
          <w:iCs/>
          <w:color w:val="000000"/>
          <w:sz w:val="30"/>
          <w:szCs w:val="30"/>
          <w:rtl/>
        </w:rPr>
        <w:t xml:space="preserve">فأُغمي عليّ وأفقت في </w:t>
      </w:r>
      <w:r w:rsidRPr="001017A1">
        <w:rPr>
          <w:rFonts w:ascii="Traditional Arabic" w:eastAsia="Times New Roman" w:hAnsi="Traditional Arabic" w:cs="Traditional Arabic"/>
          <w:i/>
          <w:iCs/>
          <w:color w:val="000000"/>
          <w:sz w:val="30"/>
          <w:szCs w:val="30"/>
          <w:rtl/>
        </w:rPr>
        <w:t xml:space="preserve">مستشفى أطباء بلا حدود. </w:t>
      </w:r>
      <w:r w:rsidRPr="001017A1">
        <w:rPr>
          <w:rFonts w:ascii="Traditional Arabic" w:eastAsia="Times New Roman" w:hAnsi="Traditional Arabic" w:cs="Traditional Arabic" w:hint="cs"/>
          <w:i/>
          <w:iCs/>
          <w:color w:val="000000"/>
          <w:sz w:val="30"/>
          <w:szCs w:val="30"/>
          <w:rtl/>
        </w:rPr>
        <w:t xml:space="preserve">قتلت قذيفة الهاون </w:t>
      </w:r>
      <w:r w:rsidRPr="001017A1">
        <w:rPr>
          <w:rFonts w:ascii="Traditional Arabic" w:eastAsia="Times New Roman" w:hAnsi="Traditional Arabic" w:cs="Traditional Arabic"/>
          <w:i/>
          <w:iCs/>
          <w:color w:val="000000"/>
          <w:sz w:val="30"/>
          <w:szCs w:val="30"/>
          <w:rtl/>
        </w:rPr>
        <w:t xml:space="preserve">19 شخصًا. </w:t>
      </w:r>
      <w:r w:rsidRPr="001017A1">
        <w:rPr>
          <w:rFonts w:ascii="Traditional Arabic" w:eastAsia="Times New Roman" w:hAnsi="Traditional Arabic" w:cs="Traditional Arabic" w:hint="cs"/>
          <w:i/>
          <w:iCs/>
          <w:color w:val="000000"/>
          <w:sz w:val="30"/>
          <w:szCs w:val="30"/>
          <w:rtl/>
        </w:rPr>
        <w:t>بقيت</w:t>
      </w:r>
      <w:r w:rsidRPr="001017A1">
        <w:rPr>
          <w:rFonts w:ascii="Traditional Arabic" w:eastAsia="Times New Roman" w:hAnsi="Traditional Arabic" w:cs="Traditional Arabic"/>
          <w:i/>
          <w:iCs/>
          <w:color w:val="000000"/>
          <w:sz w:val="30"/>
          <w:szCs w:val="30"/>
          <w:rtl/>
        </w:rPr>
        <w:t xml:space="preserve"> 13 </w:t>
      </w:r>
      <w:r w:rsidRPr="001017A1">
        <w:rPr>
          <w:rFonts w:ascii="Traditional Arabic" w:eastAsia="Times New Roman" w:hAnsi="Traditional Arabic" w:cs="Traditional Arabic" w:hint="cs"/>
          <w:i/>
          <w:iCs/>
          <w:color w:val="000000"/>
          <w:sz w:val="30"/>
          <w:szCs w:val="30"/>
          <w:rtl/>
        </w:rPr>
        <w:t>شظيه</w:t>
      </w:r>
      <w:r w:rsidRPr="001017A1">
        <w:rPr>
          <w:rFonts w:ascii="Traditional Arabic" w:eastAsia="Times New Roman" w:hAnsi="Traditional Arabic" w:cs="Traditional Arabic"/>
          <w:i/>
          <w:iCs/>
          <w:color w:val="000000"/>
          <w:sz w:val="30"/>
          <w:szCs w:val="30"/>
          <w:rtl/>
        </w:rPr>
        <w:t xml:space="preserve"> في ساقي</w:t>
      </w:r>
      <w:r w:rsidRPr="001017A1">
        <w:rPr>
          <w:rFonts w:ascii="Traditional Arabic" w:eastAsia="Times New Roman" w:hAnsi="Traditional Arabic" w:cs="Traditional Arabic" w:hint="cs"/>
          <w:i/>
          <w:iCs/>
          <w:color w:val="000000"/>
          <w:sz w:val="30"/>
          <w:szCs w:val="30"/>
          <w:rtl/>
        </w:rPr>
        <w:t xml:space="preserve"> حتى الآن</w:t>
      </w:r>
      <w:r w:rsidRPr="001017A1">
        <w:rPr>
          <w:rFonts w:ascii="Traditional Arabic" w:eastAsia="Times New Roman" w:hAnsi="Traditional Arabic" w:cs="Traditional Arabic"/>
          <w:i/>
          <w:iCs/>
          <w:color w:val="000000"/>
          <w:sz w:val="30"/>
          <w:szCs w:val="30"/>
          <w:rtl/>
        </w:rPr>
        <w:t xml:space="preserve">. </w:t>
      </w:r>
      <w:r w:rsidRPr="001017A1">
        <w:rPr>
          <w:rFonts w:ascii="Traditional Arabic" w:eastAsia="Times New Roman" w:hAnsi="Traditional Arabic" w:cs="Traditional Arabic" w:hint="cs"/>
          <w:i/>
          <w:iCs/>
          <w:color w:val="000000"/>
          <w:sz w:val="30"/>
          <w:szCs w:val="30"/>
          <w:rtl/>
        </w:rPr>
        <w:t xml:space="preserve">إذ إن الشظايا </w:t>
      </w:r>
      <w:r w:rsidRPr="001017A1">
        <w:rPr>
          <w:rFonts w:ascii="Traditional Arabic" w:eastAsia="Times New Roman" w:hAnsi="Traditional Arabic" w:cs="Traditional Arabic"/>
          <w:i/>
          <w:iCs/>
          <w:color w:val="000000"/>
          <w:sz w:val="30"/>
          <w:szCs w:val="30"/>
          <w:rtl/>
        </w:rPr>
        <w:t xml:space="preserve">الباقية عميقة </w:t>
      </w:r>
      <w:r w:rsidRPr="001017A1">
        <w:rPr>
          <w:rFonts w:ascii="Traditional Arabic" w:eastAsia="Times New Roman" w:hAnsi="Traditional Arabic" w:cs="Traditional Arabic" w:hint="cs"/>
          <w:i/>
          <w:iCs/>
          <w:color w:val="000000"/>
          <w:sz w:val="30"/>
          <w:szCs w:val="30"/>
          <w:rtl/>
        </w:rPr>
        <w:t xml:space="preserve">جداً </w:t>
      </w:r>
      <w:r w:rsidRPr="001017A1">
        <w:rPr>
          <w:rFonts w:ascii="Traditional Arabic" w:eastAsia="Times New Roman" w:hAnsi="Traditional Arabic" w:cs="Traditional Arabic"/>
          <w:i/>
          <w:iCs/>
          <w:color w:val="000000"/>
          <w:sz w:val="30"/>
          <w:szCs w:val="30"/>
          <w:rtl/>
        </w:rPr>
        <w:t xml:space="preserve">في عروقي لدرجة أن المستشفيات في عدن لا تستطيع إزالتها بأمان، </w:t>
      </w:r>
      <w:r w:rsidRPr="001017A1">
        <w:rPr>
          <w:rFonts w:ascii="Traditional Arabic" w:eastAsia="Times New Roman" w:hAnsi="Traditional Arabic" w:cs="Traditional Arabic" w:hint="cs"/>
          <w:i/>
          <w:iCs/>
          <w:color w:val="000000"/>
          <w:sz w:val="30"/>
          <w:szCs w:val="30"/>
          <w:rtl/>
        </w:rPr>
        <w:t xml:space="preserve">ولا أملك </w:t>
      </w:r>
      <w:r w:rsidRPr="001017A1">
        <w:rPr>
          <w:rFonts w:ascii="Traditional Arabic" w:eastAsia="Times New Roman" w:hAnsi="Traditional Arabic" w:cs="Traditional Arabic"/>
          <w:i/>
          <w:iCs/>
          <w:color w:val="000000"/>
          <w:sz w:val="30"/>
          <w:szCs w:val="30"/>
          <w:rtl/>
        </w:rPr>
        <w:t>المال للذهاب إلى الخارج</w:t>
      </w:r>
      <w:r w:rsidRPr="001017A1">
        <w:rPr>
          <w:rFonts w:ascii="Traditional Arabic" w:eastAsia="Times New Roman" w:hAnsi="Traditional Arabic" w:cs="Traditional Arabic"/>
          <w:i/>
          <w:iCs/>
          <w:color w:val="000000"/>
          <w:sz w:val="30"/>
          <w:szCs w:val="30"/>
        </w:rPr>
        <w:t xml:space="preserve"> ".</w:t>
      </w:r>
    </w:p>
    <w:p w14:paraId="14A7804B" w14:textId="1326EC9C" w:rsidR="00967CB7" w:rsidRPr="00C927B2" w:rsidRDefault="00967CB7" w:rsidP="00361237">
      <w:pPr>
        <w:pStyle w:val="NoSpacing"/>
        <w:tabs>
          <w:tab w:val="left" w:pos="720"/>
          <w:tab w:val="left" w:pos="1134"/>
          <w:tab w:val="left" w:pos="1701"/>
        </w:tabs>
        <w:bidi/>
        <w:spacing w:after="120" w:line="240" w:lineRule="atLeast"/>
        <w:ind w:left="1134" w:right="827"/>
        <w:jc w:val="both"/>
        <w:rPr>
          <w:rFonts w:asciiTheme="majorBidi" w:eastAsia="Times New Roman" w:hAnsiTheme="majorBidi" w:cstheme="majorBidi"/>
          <w:sz w:val="24"/>
          <w:szCs w:val="24"/>
          <w:lang w:eastAsia="en-GB"/>
        </w:rPr>
      </w:pP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Pr="00C927B2">
        <w:rPr>
          <w:rFonts w:asciiTheme="majorBidi" w:hAnsiTheme="majorBidi" w:cs="Times New Roman"/>
          <w:b/>
          <w:bCs/>
          <w:sz w:val="24"/>
          <w:szCs w:val="24"/>
          <w:rtl/>
        </w:rPr>
        <w:tab/>
      </w:r>
      <w:r w:rsidR="00C44B69">
        <w:rPr>
          <w:rFonts w:asciiTheme="majorBidi" w:hAnsiTheme="majorBidi" w:cs="Times New Roman"/>
          <w:b/>
          <w:bCs/>
          <w:sz w:val="24"/>
          <w:szCs w:val="24"/>
        </w:rPr>
        <w:tab/>
      </w:r>
      <w:r w:rsidR="00C44B69">
        <w:rPr>
          <w:rFonts w:asciiTheme="majorBidi" w:hAnsiTheme="majorBidi" w:cs="Times New Roman"/>
          <w:b/>
          <w:bCs/>
          <w:sz w:val="24"/>
          <w:szCs w:val="24"/>
        </w:rPr>
        <w:tab/>
      </w:r>
      <w:r w:rsidR="00C44B69">
        <w:rPr>
          <w:rFonts w:asciiTheme="majorBidi" w:hAnsiTheme="majorBidi" w:cs="Times New Roman"/>
          <w:b/>
          <w:bCs/>
          <w:sz w:val="24"/>
          <w:szCs w:val="24"/>
        </w:rPr>
        <w:tab/>
      </w:r>
      <w:r w:rsidRPr="001017A1">
        <w:rPr>
          <w:rFonts w:ascii="Traditional Arabic" w:eastAsia="Times New Roman" w:hAnsi="Traditional Arabic" w:cs="Traditional Arabic"/>
          <w:b/>
          <w:bCs/>
          <w:color w:val="000000"/>
          <w:sz w:val="30"/>
          <w:szCs w:val="30"/>
          <w:rtl/>
        </w:rPr>
        <w:t xml:space="preserve">متطوع طبي وضحية </w:t>
      </w:r>
      <w:r w:rsidRPr="001017A1">
        <w:rPr>
          <w:rFonts w:ascii="Traditional Arabic" w:eastAsia="Times New Roman" w:hAnsi="Traditional Arabic" w:cs="Traditional Arabic" w:hint="cs"/>
          <w:b/>
          <w:bCs/>
          <w:color w:val="000000"/>
          <w:sz w:val="30"/>
          <w:szCs w:val="30"/>
          <w:rtl/>
        </w:rPr>
        <w:t xml:space="preserve">في </w:t>
      </w:r>
      <w:r w:rsidRPr="001017A1">
        <w:rPr>
          <w:rFonts w:ascii="Traditional Arabic" w:eastAsia="Times New Roman" w:hAnsi="Traditional Arabic" w:cs="Traditional Arabic"/>
          <w:b/>
          <w:bCs/>
          <w:color w:val="000000"/>
          <w:sz w:val="30"/>
          <w:szCs w:val="30"/>
          <w:rtl/>
        </w:rPr>
        <w:t>حادثة دار سعد</w:t>
      </w:r>
      <w:r w:rsidRPr="00C927B2">
        <w:rPr>
          <w:rStyle w:val="FootnoteReference"/>
          <w:rFonts w:asciiTheme="majorBidi" w:hAnsiTheme="majorBidi" w:cstheme="majorBidi"/>
          <w:b/>
          <w:bCs/>
          <w:sz w:val="24"/>
          <w:szCs w:val="24"/>
        </w:rPr>
        <w:footnoteReference w:id="125"/>
      </w:r>
    </w:p>
    <w:p w14:paraId="05265A0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في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2015، أطلق مقاتلو الحوثي</w:t>
      </w:r>
      <w:r w:rsidRPr="00967CB7">
        <w:rPr>
          <w:rFonts w:ascii="Traditional Arabic" w:hAnsi="Traditional Arabic" w:cs="Traditional Arabic" w:hint="cs"/>
          <w:sz w:val="30"/>
          <w:szCs w:val="30"/>
          <w:rtl/>
        </w:rPr>
        <w:t xml:space="preserve">ين - </w:t>
      </w:r>
      <w:r w:rsidRPr="00967CB7">
        <w:rPr>
          <w:rFonts w:ascii="Traditional Arabic" w:hAnsi="Traditional Arabic" w:cs="Traditional Arabic"/>
          <w:sz w:val="30"/>
          <w:szCs w:val="30"/>
          <w:rtl/>
        </w:rPr>
        <w:t xml:space="preserve">صالح قذائف الهاون والمدفعية على الأحياء السكنية </w:t>
      </w:r>
      <w:r w:rsidRPr="00967CB7">
        <w:rPr>
          <w:rFonts w:ascii="Traditional Arabic" w:hAnsi="Traditional Arabic" w:cs="Traditional Arabic" w:hint="cs"/>
          <w:sz w:val="30"/>
          <w:szCs w:val="30"/>
          <w:rtl/>
        </w:rPr>
        <w:t xml:space="preserve">في </w:t>
      </w:r>
      <w:r w:rsidRPr="00967CB7">
        <w:rPr>
          <w:rFonts w:ascii="Traditional Arabic" w:hAnsi="Traditional Arabic" w:cs="Traditional Arabic"/>
          <w:sz w:val="30"/>
          <w:szCs w:val="30"/>
          <w:rtl/>
        </w:rPr>
        <w:t xml:space="preserve">دار سعد مرارًا وتكرارًا على المناطق المدنية المزدحمة والمباني السكنية. </w:t>
      </w:r>
      <w:r w:rsidRPr="00967CB7">
        <w:rPr>
          <w:rFonts w:ascii="Traditional Arabic" w:hAnsi="Traditional Arabic" w:cs="Traditional Arabic" w:hint="cs"/>
          <w:sz w:val="30"/>
          <w:szCs w:val="30"/>
          <w:rtl/>
        </w:rPr>
        <w:t>وانطلق</w:t>
      </w:r>
      <w:r w:rsidRPr="00967CB7">
        <w:rPr>
          <w:rFonts w:ascii="Traditional Arabic" w:hAnsi="Traditional Arabic" w:cs="Traditional Arabic"/>
          <w:sz w:val="30"/>
          <w:szCs w:val="30"/>
          <w:rtl/>
        </w:rPr>
        <w:t xml:space="preserve"> القصف من مواقع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صالح ال</w:t>
      </w:r>
      <w:r w:rsidRPr="00967CB7">
        <w:rPr>
          <w:rFonts w:ascii="Traditional Arabic" w:hAnsi="Traditional Arabic" w:cs="Traditional Arabic" w:hint="cs"/>
          <w:sz w:val="30"/>
          <w:szCs w:val="30"/>
          <w:rtl/>
        </w:rPr>
        <w:t>قائمة</w:t>
      </w:r>
      <w:r w:rsidRPr="00967CB7">
        <w:rPr>
          <w:rFonts w:ascii="Traditional Arabic" w:hAnsi="Traditional Arabic" w:cs="Traditional Arabic"/>
          <w:sz w:val="30"/>
          <w:szCs w:val="30"/>
          <w:rtl/>
        </w:rPr>
        <w:t xml:space="preserve"> في الفنادق والمباني الع</w:t>
      </w:r>
      <w:r w:rsidRPr="00967CB7">
        <w:rPr>
          <w:rFonts w:ascii="Traditional Arabic" w:hAnsi="Traditional Arabic" w:cs="Traditional Arabic" w:hint="cs"/>
          <w:sz w:val="30"/>
          <w:szCs w:val="30"/>
          <w:rtl/>
        </w:rPr>
        <w:t>الية</w:t>
      </w:r>
      <w:r w:rsidRPr="00967CB7">
        <w:rPr>
          <w:rFonts w:ascii="Traditional Arabic" w:hAnsi="Traditional Arabic" w:cs="Traditional Arabic"/>
          <w:sz w:val="30"/>
          <w:szCs w:val="30"/>
          <w:rtl/>
        </w:rPr>
        <w:t xml:space="preserve"> الأخرى على طريق عدن</w:t>
      </w:r>
      <w:r w:rsidRPr="00967CB7">
        <w:rPr>
          <w:rFonts w:ascii="Traditional Arabic" w:hAnsi="Traditional Arabic" w:cs="Traditional Arabic" w:hint="cs"/>
          <w:sz w:val="30"/>
          <w:szCs w:val="30"/>
          <w:rtl/>
        </w:rPr>
        <w:t xml:space="preserve"> - </w:t>
      </w:r>
      <w:r w:rsidRPr="00967CB7">
        <w:rPr>
          <w:rFonts w:ascii="Traditional Arabic" w:hAnsi="Traditional Arabic" w:cs="Traditional Arabic"/>
          <w:sz w:val="30"/>
          <w:szCs w:val="30"/>
          <w:rtl/>
        </w:rPr>
        <w:t>تعز الرئيسي ودو</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ار القرع ع</w:t>
      </w:r>
      <w:r w:rsidRPr="00967CB7">
        <w:rPr>
          <w:rFonts w:ascii="Traditional Arabic" w:hAnsi="Traditional Arabic" w:cs="Traditional Arabic" w:hint="cs"/>
          <w:sz w:val="30"/>
          <w:szCs w:val="30"/>
          <w:rtl/>
        </w:rPr>
        <w:t>ند</w:t>
      </w:r>
      <w:r w:rsidRPr="00967CB7">
        <w:rPr>
          <w:rFonts w:ascii="Traditional Arabic" w:hAnsi="Traditional Arabic" w:cs="Traditional Arabic"/>
          <w:sz w:val="30"/>
          <w:szCs w:val="30"/>
          <w:rtl/>
        </w:rPr>
        <w:t xml:space="preserve"> أطراف ال</w:t>
      </w:r>
      <w:r w:rsidRPr="00967CB7">
        <w:rPr>
          <w:rFonts w:ascii="Traditional Arabic" w:hAnsi="Traditional Arabic" w:cs="Traditional Arabic" w:hint="cs"/>
          <w:sz w:val="30"/>
          <w:szCs w:val="30"/>
          <w:rtl/>
        </w:rPr>
        <w:t>مديرية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 xml:space="preserve">ويشير </w:t>
      </w:r>
      <w:r w:rsidRPr="00967CB7">
        <w:rPr>
          <w:rFonts w:ascii="Traditional Arabic" w:hAnsi="Traditional Arabic" w:cs="Traditional Arabic"/>
          <w:sz w:val="30"/>
          <w:szCs w:val="30"/>
          <w:rtl/>
        </w:rPr>
        <w:t xml:space="preserve">سكان دار سعد إلى المنطقة باسم "طريق القناصة" </w:t>
      </w:r>
      <w:r w:rsidRPr="00967CB7">
        <w:rPr>
          <w:rFonts w:ascii="Traditional Arabic" w:hAnsi="Traditional Arabic" w:cs="Traditional Arabic" w:hint="cs"/>
          <w:sz w:val="30"/>
          <w:szCs w:val="30"/>
          <w:rtl/>
        </w:rPr>
        <w:t>وقد أفادوا</w:t>
      </w:r>
      <w:r w:rsidRPr="00967CB7">
        <w:rPr>
          <w:rFonts w:ascii="Traditional Arabic" w:hAnsi="Traditional Arabic" w:cs="Traditional Arabic"/>
          <w:sz w:val="30"/>
          <w:szCs w:val="30"/>
          <w:rtl/>
        </w:rPr>
        <w:t xml:space="preserve"> عن وجود مواقع في مبنى الغويزي</w:t>
      </w:r>
      <w:r w:rsidRPr="00967CB7">
        <w:rPr>
          <w:sz w:val="24"/>
          <w:szCs w:val="24"/>
          <w:vertAlign w:val="superscript"/>
        </w:rPr>
        <w:footnoteReference w:id="126"/>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وقع قصف</w:t>
      </w:r>
      <w:r w:rsidRPr="00967CB7">
        <w:rPr>
          <w:rFonts w:ascii="Traditional Arabic" w:hAnsi="Traditional Arabic" w:cs="Traditional Arabic" w:hint="cs"/>
          <w:sz w:val="30"/>
          <w:szCs w:val="30"/>
          <w:rtl/>
        </w:rPr>
        <w:t xml:space="preserve"> يوم</w:t>
      </w:r>
      <w:r w:rsidRPr="00967CB7">
        <w:rPr>
          <w:rFonts w:ascii="Traditional Arabic" w:hAnsi="Traditional Arabic" w:cs="Traditional Arabic"/>
          <w:sz w:val="30"/>
          <w:szCs w:val="30"/>
          <w:rtl/>
        </w:rPr>
        <w:t xml:space="preserve">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بعد أن تعرض مقاتلو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 xml:space="preserve">صالح لهزيمة على يد المقاومة خلال الصباح، </w:t>
      </w:r>
      <w:r w:rsidRPr="00967CB7">
        <w:rPr>
          <w:rFonts w:ascii="Traditional Arabic" w:hAnsi="Traditional Arabic" w:cs="Traditional Arabic" w:hint="cs"/>
          <w:sz w:val="30"/>
          <w:szCs w:val="30"/>
          <w:rtl/>
        </w:rPr>
        <w:t>حيث</w:t>
      </w:r>
      <w:r w:rsidRPr="00967CB7">
        <w:rPr>
          <w:rFonts w:ascii="Traditional Arabic" w:hAnsi="Traditional Arabic" w:cs="Traditional Arabic"/>
          <w:sz w:val="30"/>
          <w:szCs w:val="30"/>
          <w:rtl/>
        </w:rPr>
        <w:t xml:space="preserve"> بدأوا </w:t>
      </w:r>
      <w:r w:rsidRPr="00967CB7">
        <w:rPr>
          <w:rFonts w:ascii="Traditional Arabic" w:hAnsi="Traditional Arabic" w:cs="Traditional Arabic" w:hint="cs"/>
          <w:sz w:val="30"/>
          <w:szCs w:val="30"/>
          <w:rtl/>
        </w:rPr>
        <w:t xml:space="preserve">يخسرون </w:t>
      </w:r>
      <w:r w:rsidRPr="00967CB7">
        <w:rPr>
          <w:rFonts w:ascii="Traditional Arabic" w:hAnsi="Traditional Arabic" w:cs="Traditional Arabic"/>
          <w:sz w:val="30"/>
          <w:szCs w:val="30"/>
          <w:rtl/>
        </w:rPr>
        <w:t>في عدن</w:t>
      </w:r>
      <w:r w:rsidRPr="00967CB7">
        <w:rPr>
          <w:sz w:val="24"/>
          <w:szCs w:val="24"/>
          <w:vertAlign w:val="superscript"/>
        </w:rPr>
        <w:footnoteReference w:id="127"/>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 النهاية دفعت المقاومة مقاتلي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إلى </w:t>
      </w:r>
      <w:r w:rsidRPr="00967CB7">
        <w:rPr>
          <w:rFonts w:ascii="Traditional Arabic" w:hAnsi="Traditional Arabic" w:cs="Traditional Arabic" w:hint="cs"/>
          <w:sz w:val="30"/>
          <w:szCs w:val="30"/>
          <w:rtl/>
        </w:rPr>
        <w:t xml:space="preserve">خارج </w:t>
      </w:r>
      <w:r w:rsidRPr="00967CB7">
        <w:rPr>
          <w:rFonts w:ascii="Traditional Arabic" w:hAnsi="Traditional Arabic" w:cs="Traditional Arabic"/>
          <w:sz w:val="30"/>
          <w:szCs w:val="30"/>
          <w:rtl/>
        </w:rPr>
        <w:t>دار سعد في المساء</w:t>
      </w:r>
      <w:r w:rsidRPr="00967CB7">
        <w:rPr>
          <w:rFonts w:ascii="Traditional Arabic" w:hAnsi="Traditional Arabic" w:cs="Traditional Arabic" w:hint="cs"/>
          <w:sz w:val="30"/>
          <w:szCs w:val="30"/>
          <w:rtl/>
        </w:rPr>
        <w:t xml:space="preserve"> نفسه</w:t>
      </w:r>
      <w:r w:rsidRPr="00967CB7">
        <w:rPr>
          <w:sz w:val="24"/>
          <w:szCs w:val="24"/>
          <w:vertAlign w:val="superscript"/>
        </w:rPr>
        <w:footnoteReference w:id="128"/>
      </w:r>
      <w:r w:rsidRPr="00967CB7">
        <w:rPr>
          <w:rFonts w:asciiTheme="majorBidi" w:hAnsiTheme="majorBidi" w:cstheme="majorBidi"/>
          <w:sz w:val="24"/>
          <w:szCs w:val="24"/>
        </w:rPr>
        <w:t>.</w:t>
      </w:r>
    </w:p>
    <w:p w14:paraId="2B58984F"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أسفر القصف الذي </w:t>
      </w:r>
      <w:r w:rsidRPr="00967CB7">
        <w:rPr>
          <w:rFonts w:ascii="Traditional Arabic" w:hAnsi="Traditional Arabic" w:cs="Traditional Arabic" w:hint="cs"/>
          <w:sz w:val="30"/>
          <w:szCs w:val="30"/>
          <w:rtl/>
        </w:rPr>
        <w:t>وقع</w:t>
      </w:r>
      <w:r w:rsidRPr="00967CB7">
        <w:rPr>
          <w:rFonts w:ascii="Traditional Arabic" w:hAnsi="Traditional Arabic" w:cs="Traditional Arabic"/>
          <w:sz w:val="30"/>
          <w:szCs w:val="30"/>
          <w:rtl/>
        </w:rPr>
        <w:t xml:space="preserve"> في دار سعد في 19 تموز / يوليه عن مقتل 107 مدنيين، بينهم 32 امرأة و29 طفلاً، وإصابة 198 مدنياً، بينهم 42 امرأة و 28 طفلاً، فضلاً عن تدمير 14 منزلاً مدنياً</w:t>
      </w:r>
      <w:r w:rsidRPr="00967CB7">
        <w:rPr>
          <w:rFonts w:asciiTheme="majorBidi" w:hAnsiTheme="majorBidi" w:cstheme="majorBidi"/>
          <w:sz w:val="24"/>
          <w:szCs w:val="24"/>
        </w:rPr>
        <w:t xml:space="preserve"> .</w:t>
      </w:r>
      <w:r w:rsidRPr="00967CB7">
        <w:rPr>
          <w:sz w:val="24"/>
          <w:szCs w:val="24"/>
          <w:vertAlign w:val="superscript"/>
        </w:rPr>
        <w:footnoteReference w:id="129"/>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وكان من بين الضحايا نازحون لجأوا إلى دار سعد. كان هجوم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 xml:space="preserve">يوليو الأكثر دموية بين سلسلة من الهجمات التي </w:t>
      </w:r>
      <w:r w:rsidRPr="00967CB7">
        <w:rPr>
          <w:rFonts w:ascii="Traditional Arabic" w:hAnsi="Traditional Arabic" w:cs="Traditional Arabic" w:hint="cs"/>
          <w:sz w:val="30"/>
          <w:szCs w:val="30"/>
          <w:rtl/>
        </w:rPr>
        <w:t>انطوت</w:t>
      </w:r>
      <w:r w:rsidRPr="00967CB7">
        <w:rPr>
          <w:rFonts w:ascii="Traditional Arabic" w:hAnsi="Traditional Arabic" w:cs="Traditional Arabic"/>
          <w:sz w:val="30"/>
          <w:szCs w:val="30"/>
          <w:rtl/>
        </w:rPr>
        <w:t xml:space="preserve"> على ما يبدو على قصف عشوائي و</w:t>
      </w:r>
      <w:r w:rsidRPr="00967CB7">
        <w:rPr>
          <w:rFonts w:ascii="Traditional Arabic" w:hAnsi="Traditional Arabic" w:cs="Traditional Arabic" w:hint="cs"/>
          <w:sz w:val="30"/>
          <w:szCs w:val="30"/>
          <w:rtl/>
        </w:rPr>
        <w:t xml:space="preserve">استخدام </w:t>
      </w:r>
      <w:r w:rsidRPr="00967CB7">
        <w:rPr>
          <w:rFonts w:ascii="Traditional Arabic" w:hAnsi="Traditional Arabic" w:cs="Traditional Arabic"/>
          <w:sz w:val="30"/>
          <w:szCs w:val="30"/>
          <w:rtl/>
        </w:rPr>
        <w:t xml:space="preserve">أسلحة </w:t>
      </w:r>
      <w:r w:rsidRPr="00967CB7">
        <w:rPr>
          <w:rFonts w:ascii="Traditional Arabic" w:hAnsi="Traditional Arabic" w:cs="Traditional Arabic" w:hint="cs"/>
          <w:sz w:val="30"/>
          <w:szCs w:val="30"/>
          <w:rtl/>
        </w:rPr>
        <w:t>خفيفة</w:t>
      </w:r>
      <w:r w:rsidRPr="00967CB7">
        <w:rPr>
          <w:rFonts w:ascii="Traditional Arabic" w:hAnsi="Traditional Arabic" w:cs="Traditional Arabic"/>
          <w:sz w:val="30"/>
          <w:szCs w:val="30"/>
          <w:rtl/>
        </w:rPr>
        <w:t xml:space="preserve"> ضد المدنيين وال</w:t>
      </w:r>
      <w:r w:rsidRPr="00967CB7">
        <w:rPr>
          <w:rFonts w:ascii="Traditional Arabic" w:hAnsi="Traditional Arabic" w:cs="Traditional Arabic" w:hint="cs"/>
          <w:sz w:val="30"/>
          <w:szCs w:val="30"/>
          <w:rtl/>
        </w:rPr>
        <w:t>مواقع</w:t>
      </w:r>
      <w:r w:rsidRPr="00967CB7">
        <w:rPr>
          <w:rFonts w:ascii="Traditional Arabic" w:hAnsi="Traditional Arabic" w:cs="Traditional Arabic"/>
          <w:sz w:val="30"/>
          <w:szCs w:val="30"/>
          <w:rtl/>
        </w:rPr>
        <w:t xml:space="preserve"> المدنية في دار سعد طوال هجوم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صالح في عدن</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0"/>
      </w:r>
    </w:p>
    <w:p w14:paraId="00D7D96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بدأ القصف العنيف في 19 </w:t>
      </w:r>
      <w:r w:rsidRPr="00967CB7">
        <w:rPr>
          <w:rFonts w:ascii="Traditional Arabic" w:hAnsi="Traditional Arabic" w:cs="Traditional Arabic" w:hint="cs"/>
          <w:sz w:val="30"/>
          <w:szCs w:val="30"/>
          <w:rtl/>
        </w:rPr>
        <w:t xml:space="preserve">تموز/ </w:t>
      </w:r>
      <w:r w:rsidRPr="00967CB7">
        <w:rPr>
          <w:rFonts w:ascii="Traditional Arabic" w:hAnsi="Traditional Arabic" w:cs="Traditional Arabic"/>
          <w:sz w:val="30"/>
          <w:szCs w:val="30"/>
          <w:rtl/>
        </w:rPr>
        <w:t>يوليو حوالي الساعة</w:t>
      </w:r>
      <w:r w:rsidRPr="00967CB7">
        <w:rPr>
          <w:rFonts w:ascii="Traditional Arabic" w:hAnsi="Traditional Arabic" w:cs="Traditional Arabic" w:hint="cs"/>
          <w:sz w:val="30"/>
          <w:szCs w:val="30"/>
          <w:rtl/>
        </w:rPr>
        <w:t xml:space="preserve"> الثامنة </w:t>
      </w:r>
      <w:r w:rsidRPr="00967CB7">
        <w:rPr>
          <w:rFonts w:ascii="Traditional Arabic" w:hAnsi="Traditional Arabic" w:cs="Traditional Arabic"/>
          <w:sz w:val="30"/>
          <w:szCs w:val="30"/>
          <w:rtl/>
        </w:rPr>
        <w:t xml:space="preserve">صباحًا واستمر حتى الساعة </w:t>
      </w:r>
      <w:r w:rsidRPr="00967CB7">
        <w:rPr>
          <w:rFonts w:ascii="Traditional Arabic" w:hAnsi="Traditional Arabic" w:cs="Traditional Arabic" w:hint="cs"/>
          <w:sz w:val="30"/>
          <w:szCs w:val="30"/>
          <w:rtl/>
        </w:rPr>
        <w:t>الحادية عشرة ص</w:t>
      </w:r>
      <w:r w:rsidRPr="00967CB7">
        <w:rPr>
          <w:rFonts w:ascii="Traditional Arabic" w:hAnsi="Traditional Arabic" w:cs="Traditional Arabic"/>
          <w:sz w:val="30"/>
          <w:szCs w:val="30"/>
          <w:rtl/>
        </w:rPr>
        <w:t xml:space="preserve">باحًا.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است</w:t>
      </w:r>
      <w:r w:rsidRPr="00967CB7">
        <w:rPr>
          <w:rFonts w:ascii="Traditional Arabic" w:hAnsi="Traditional Arabic" w:cs="Traditional Arabic" w:hint="cs"/>
          <w:sz w:val="30"/>
          <w:szCs w:val="30"/>
          <w:rtl/>
        </w:rPr>
        <w:t>ؤ</w:t>
      </w:r>
      <w:r w:rsidRPr="00967CB7">
        <w:rPr>
          <w:rFonts w:ascii="Traditional Arabic" w:hAnsi="Traditional Arabic" w:cs="Traditional Arabic"/>
          <w:sz w:val="30"/>
          <w:szCs w:val="30"/>
          <w:rtl/>
        </w:rPr>
        <w:t xml:space="preserve">نف لفترة وجيزة حوالي الساعة </w:t>
      </w:r>
      <w:r w:rsidRPr="00967CB7">
        <w:rPr>
          <w:rFonts w:ascii="Traditional Arabic" w:hAnsi="Traditional Arabic" w:cs="Traditional Arabic" w:hint="cs"/>
          <w:sz w:val="30"/>
          <w:szCs w:val="30"/>
          <w:rtl/>
        </w:rPr>
        <w:t>الواحدة بعد الظهر</w:t>
      </w:r>
      <w:r w:rsidRPr="00967CB7">
        <w:rPr>
          <w:rFonts w:ascii="Traditional Arabic" w:hAnsi="Traditional Arabic" w:cs="Traditional Arabic"/>
          <w:sz w:val="30"/>
          <w:szCs w:val="30"/>
          <w:rtl/>
        </w:rPr>
        <w:t>. ترك</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ز القصف على عدة أحياء سكنية في دار سعد. وتشمل المناطق التي تعرضت لل</w:t>
      </w:r>
      <w:r w:rsidRPr="00967CB7">
        <w:rPr>
          <w:rFonts w:ascii="Traditional Arabic" w:hAnsi="Traditional Arabic" w:cs="Traditional Arabic" w:hint="cs"/>
          <w:sz w:val="30"/>
          <w:szCs w:val="30"/>
          <w:rtl/>
        </w:rPr>
        <w:t>قصف</w:t>
      </w:r>
      <w:r w:rsidRPr="00967CB7">
        <w:rPr>
          <w:rFonts w:ascii="Traditional Arabic" w:hAnsi="Traditional Arabic" w:cs="Traditional Arabic"/>
          <w:sz w:val="30"/>
          <w:szCs w:val="30"/>
          <w:rtl/>
        </w:rPr>
        <w:t xml:space="preserve"> الغليل والشرقية والبساتين، وجوار مسجد </w:t>
      </w:r>
      <w:r w:rsidRPr="00967CB7">
        <w:rPr>
          <w:rFonts w:ascii="Traditional Arabic" w:hAnsi="Traditional Arabic" w:cs="Traditional Arabic"/>
          <w:sz w:val="30"/>
          <w:szCs w:val="30"/>
          <w:rtl/>
        </w:rPr>
        <w:lastRenderedPageBreak/>
        <w:t>شيخان ومسجد الرحمة ومدرسة الشوكاني التي تأوي عددًا كبيرًا من النازحين</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1"/>
      </w:r>
    </w:p>
    <w:p w14:paraId="73BC21ED" w14:textId="1D58FBB9" w:rsidR="00967CB7" w:rsidRPr="00967CB7" w:rsidRDefault="00967CB7" w:rsidP="00702492">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دم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ر القصف العديد من المباني المدنية وتوفي الكثير</w:t>
      </w:r>
      <w:r w:rsidRPr="00967CB7">
        <w:rPr>
          <w:rFonts w:ascii="Traditional Arabic" w:hAnsi="Traditional Arabic" w:cs="Traditional Arabic" w:hint="cs"/>
          <w:sz w:val="30"/>
          <w:szCs w:val="30"/>
          <w:rtl/>
        </w:rPr>
        <w:t>ون</w:t>
      </w:r>
      <w:r w:rsidRPr="00967CB7">
        <w:rPr>
          <w:rFonts w:ascii="Traditional Arabic" w:hAnsi="Traditional Arabic" w:cs="Traditional Arabic"/>
          <w:sz w:val="30"/>
          <w:szCs w:val="30"/>
          <w:rtl/>
        </w:rPr>
        <w:t xml:space="preserve"> عندما انهارت </w:t>
      </w:r>
      <w:r w:rsidRPr="00967CB7">
        <w:rPr>
          <w:rFonts w:ascii="Traditional Arabic" w:hAnsi="Traditional Arabic" w:cs="Traditional Arabic" w:hint="cs"/>
          <w:sz w:val="30"/>
          <w:szCs w:val="30"/>
          <w:rtl/>
        </w:rPr>
        <w:t>تلك</w:t>
      </w:r>
      <w:r w:rsidRPr="00967CB7">
        <w:rPr>
          <w:rFonts w:ascii="Traditional Arabic" w:hAnsi="Traditional Arabic" w:cs="Traditional Arabic"/>
          <w:sz w:val="30"/>
          <w:szCs w:val="30"/>
          <w:rtl/>
        </w:rPr>
        <w:t xml:space="preserve"> المباني</w:t>
      </w:r>
      <w:r w:rsidRPr="00967CB7">
        <w:rPr>
          <w:sz w:val="24"/>
          <w:szCs w:val="24"/>
          <w:vertAlign w:val="superscript"/>
        </w:rPr>
        <w:footnoteReference w:id="132"/>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كما أصاب القصف مناطق مكتظة بالسكان في الم</w:t>
      </w:r>
      <w:r w:rsidRPr="00967CB7">
        <w:rPr>
          <w:rFonts w:ascii="Traditional Arabic" w:hAnsi="Traditional Arabic" w:cs="Traditional Arabic" w:hint="cs"/>
          <w:sz w:val="30"/>
          <w:szCs w:val="30"/>
          <w:rtl/>
        </w:rPr>
        <w:t>ديرية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 xml:space="preserve">سقطت عدة </w:t>
      </w:r>
      <w:r w:rsidRPr="00967CB7">
        <w:rPr>
          <w:rFonts w:ascii="Traditional Arabic" w:hAnsi="Traditional Arabic" w:cs="Traditional Arabic" w:hint="cs"/>
          <w:sz w:val="30"/>
          <w:szCs w:val="30"/>
          <w:rtl/>
        </w:rPr>
        <w:t xml:space="preserve">قذائف </w:t>
      </w:r>
      <w:r w:rsidRPr="00967CB7">
        <w:rPr>
          <w:rFonts w:ascii="Traditional Arabic" w:hAnsi="Traditional Arabic" w:cs="Traditional Arabic"/>
          <w:sz w:val="30"/>
          <w:szCs w:val="30"/>
          <w:rtl/>
        </w:rPr>
        <w:t>في محيط مسجد شيخان، عند نقطة للمياه، مما أسفر عن مقتل حوالي 10 مدنيين وإصابة أكثر من 20. هذه نقطة مهمة لج</w:t>
      </w:r>
      <w:r w:rsidRPr="00967CB7">
        <w:rPr>
          <w:rFonts w:ascii="Traditional Arabic" w:hAnsi="Traditional Arabic" w:cs="Traditional Arabic" w:hint="cs"/>
          <w:sz w:val="30"/>
          <w:szCs w:val="30"/>
          <w:rtl/>
        </w:rPr>
        <w:t>لب</w:t>
      </w:r>
      <w:r w:rsidRPr="00967CB7">
        <w:rPr>
          <w:rFonts w:ascii="Traditional Arabic" w:hAnsi="Traditional Arabic" w:cs="Traditional Arabic"/>
          <w:sz w:val="30"/>
          <w:szCs w:val="30"/>
          <w:rtl/>
        </w:rPr>
        <w:t xml:space="preserve"> المياه </w:t>
      </w:r>
      <w:r w:rsidR="00614681">
        <w:rPr>
          <w:rFonts w:ascii="Traditional Arabic" w:hAnsi="Traditional Arabic" w:cs="Traditional Arabic" w:hint="cs"/>
          <w:sz w:val="30"/>
          <w:szCs w:val="30"/>
          <w:rtl/>
        </w:rPr>
        <w:t>ل</w:t>
      </w:r>
      <w:r w:rsidRPr="00967CB7">
        <w:rPr>
          <w:rFonts w:ascii="Traditional Arabic" w:hAnsi="Traditional Arabic" w:cs="Traditional Arabic"/>
          <w:sz w:val="30"/>
          <w:szCs w:val="30"/>
          <w:rtl/>
        </w:rPr>
        <w:t>لمنطقة و</w:t>
      </w:r>
      <w:r w:rsidR="00614681">
        <w:rPr>
          <w:rFonts w:ascii="Traditional Arabic" w:hAnsi="Traditional Arabic" w:cs="Traditional Arabic" w:hint="cs"/>
          <w:sz w:val="30"/>
          <w:szCs w:val="30"/>
          <w:rtl/>
        </w:rPr>
        <w:t xml:space="preserve">كان يجدر على </w:t>
      </w:r>
      <w:r w:rsidRPr="00967CB7">
        <w:rPr>
          <w:rFonts w:ascii="Traditional Arabic" w:hAnsi="Traditional Arabic" w:cs="Traditional Arabic"/>
          <w:sz w:val="30"/>
          <w:szCs w:val="30"/>
          <w:rtl/>
        </w:rPr>
        <w:t>مقاتل</w:t>
      </w:r>
      <w:r w:rsidR="00614681">
        <w:rPr>
          <w:rFonts w:ascii="Traditional Arabic" w:hAnsi="Traditional Arabic" w:cs="Traditional Arabic" w:hint="cs"/>
          <w:sz w:val="30"/>
          <w:szCs w:val="30"/>
          <w:rtl/>
        </w:rPr>
        <w:t>ي</w:t>
      </w:r>
      <w:r w:rsidRPr="00967CB7">
        <w:rPr>
          <w:rFonts w:ascii="Traditional Arabic" w:hAnsi="Traditional Arabic" w:cs="Traditional Arabic"/>
          <w:sz w:val="30"/>
          <w:szCs w:val="30"/>
          <w:rtl/>
        </w:rPr>
        <w:t xml:space="preserve"> الحوثي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صالح </w:t>
      </w:r>
      <w:r w:rsidR="00702492">
        <w:rPr>
          <w:rFonts w:ascii="Traditional Arabic" w:hAnsi="Traditional Arabic" w:cs="Traditional Arabic" w:hint="cs"/>
          <w:sz w:val="30"/>
          <w:szCs w:val="30"/>
          <w:rtl/>
        </w:rPr>
        <w:t xml:space="preserve">معرفة أن </w:t>
      </w:r>
      <w:r w:rsidRPr="00967CB7">
        <w:rPr>
          <w:rFonts w:ascii="Traditional Arabic" w:hAnsi="Traditional Arabic" w:cs="Traditional Arabic"/>
          <w:sz w:val="30"/>
          <w:szCs w:val="30"/>
          <w:rtl/>
        </w:rPr>
        <w:t xml:space="preserve">عشرات المدنيين </w:t>
      </w:r>
      <w:r w:rsidRPr="00967CB7">
        <w:rPr>
          <w:rFonts w:ascii="Traditional Arabic" w:hAnsi="Traditional Arabic" w:cs="Traditional Arabic" w:hint="cs"/>
          <w:sz w:val="30"/>
          <w:szCs w:val="30"/>
          <w:rtl/>
        </w:rPr>
        <w:t>ي</w:t>
      </w:r>
      <w:r w:rsidRPr="00967CB7">
        <w:rPr>
          <w:rFonts w:ascii="Traditional Arabic" w:hAnsi="Traditional Arabic" w:cs="Traditional Arabic"/>
          <w:sz w:val="30"/>
          <w:szCs w:val="30"/>
          <w:rtl/>
        </w:rPr>
        <w:t>تجمعو</w:t>
      </w:r>
      <w:r w:rsidRPr="00967CB7">
        <w:rPr>
          <w:rFonts w:ascii="Traditional Arabic" w:hAnsi="Traditional Arabic" w:cs="Traditional Arabic" w:hint="cs"/>
          <w:sz w:val="30"/>
          <w:szCs w:val="30"/>
          <w:rtl/>
        </w:rPr>
        <w:t>ن</w:t>
      </w:r>
      <w:r w:rsidRPr="00967CB7">
        <w:rPr>
          <w:rFonts w:ascii="Traditional Arabic" w:hAnsi="Traditional Arabic" w:cs="Traditional Arabic"/>
          <w:sz w:val="30"/>
          <w:szCs w:val="30"/>
          <w:rtl/>
        </w:rPr>
        <w:t xml:space="preserve"> هناك كل يوم لج</w:t>
      </w:r>
      <w:r w:rsidRPr="00967CB7">
        <w:rPr>
          <w:rFonts w:ascii="Traditional Arabic" w:hAnsi="Traditional Arabic" w:cs="Traditional Arabic" w:hint="cs"/>
          <w:sz w:val="30"/>
          <w:szCs w:val="30"/>
          <w:rtl/>
        </w:rPr>
        <w:t>لب</w:t>
      </w:r>
      <w:r w:rsidRPr="00967CB7">
        <w:rPr>
          <w:rFonts w:ascii="Traditional Arabic" w:hAnsi="Traditional Arabic" w:cs="Traditional Arabic"/>
          <w:sz w:val="30"/>
          <w:szCs w:val="30"/>
          <w:rtl/>
        </w:rPr>
        <w:t xml:space="preserve"> المياه</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3"/>
      </w:r>
    </w:p>
    <w:p w14:paraId="136E7551"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sz w:val="30"/>
          <w:szCs w:val="30"/>
          <w:rtl/>
        </w:rPr>
        <w:t xml:space="preserve">في دار سعد ، تم توثيق </w:t>
      </w:r>
      <w:r w:rsidRPr="00967CB7">
        <w:rPr>
          <w:rFonts w:ascii="Traditional Arabic" w:hAnsi="Traditional Arabic" w:cs="Traditional Arabic" w:hint="cs"/>
          <w:sz w:val="30"/>
          <w:szCs w:val="30"/>
          <w:rtl/>
        </w:rPr>
        <w:t xml:space="preserve">الضربات </w:t>
      </w:r>
      <w:r w:rsidRPr="00967CB7">
        <w:rPr>
          <w:rFonts w:ascii="Traditional Arabic" w:hAnsi="Traditional Arabic" w:cs="Traditional Arabic" w:hint="cs"/>
          <w:sz w:val="30"/>
          <w:szCs w:val="30"/>
          <w:rtl/>
          <w:lang w:bidi="ar-JO"/>
        </w:rPr>
        <w:t>المكثفة</w:t>
      </w:r>
      <w:r w:rsidRPr="00967CB7">
        <w:rPr>
          <w:rFonts w:ascii="Traditional Arabic" w:hAnsi="Traditional Arabic" w:cs="Traditional Arabic" w:hint="cs"/>
          <w:sz w:val="30"/>
          <w:szCs w:val="30"/>
          <w:rtl/>
        </w:rPr>
        <w:t xml:space="preserve"> أيضاً</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ف</w:t>
      </w:r>
      <w:r w:rsidRPr="00967CB7">
        <w:rPr>
          <w:rFonts w:ascii="Traditional Arabic" w:hAnsi="Traditional Arabic" w:cs="Traditional Arabic"/>
          <w:sz w:val="30"/>
          <w:szCs w:val="30"/>
          <w:rtl/>
        </w:rPr>
        <w:t xml:space="preserve">بعد إطلاق </w:t>
      </w:r>
      <w:r w:rsidRPr="00967CB7">
        <w:rPr>
          <w:rFonts w:ascii="Traditional Arabic" w:hAnsi="Traditional Arabic" w:cs="Traditional Arabic" w:hint="cs"/>
          <w:sz w:val="30"/>
          <w:szCs w:val="30"/>
          <w:rtl/>
        </w:rPr>
        <w:t>قذيفة أولى</w:t>
      </w:r>
      <w:r w:rsidRPr="00967CB7">
        <w:rPr>
          <w:rFonts w:ascii="Traditional Arabic" w:hAnsi="Traditional Arabic" w:cs="Traditional Arabic"/>
          <w:sz w:val="30"/>
          <w:szCs w:val="30"/>
          <w:rtl/>
        </w:rPr>
        <w:t xml:space="preserve"> على أحد المنازل ولم </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تسب</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ب في وقوع إصابات، </w:t>
      </w:r>
      <w:r w:rsidRPr="00967CB7">
        <w:rPr>
          <w:rFonts w:ascii="Traditional Arabic" w:hAnsi="Traditional Arabic" w:cs="Traditional Arabic" w:hint="cs"/>
          <w:sz w:val="30"/>
          <w:szCs w:val="30"/>
          <w:rtl/>
        </w:rPr>
        <w:t xml:space="preserve">أدّت </w:t>
      </w:r>
      <w:r w:rsidRPr="00967CB7">
        <w:rPr>
          <w:rFonts w:ascii="Traditional Arabic" w:hAnsi="Traditional Arabic" w:cs="Traditional Arabic"/>
          <w:sz w:val="30"/>
          <w:szCs w:val="30"/>
          <w:rtl/>
        </w:rPr>
        <w:t xml:space="preserve">قذيفة مدفعية ثانية </w:t>
      </w:r>
      <w:r w:rsidRPr="00967CB7">
        <w:rPr>
          <w:rFonts w:ascii="Traditional Arabic" w:hAnsi="Traditional Arabic" w:cs="Traditional Arabic" w:hint="cs"/>
          <w:sz w:val="30"/>
          <w:szCs w:val="30"/>
          <w:rtl/>
        </w:rPr>
        <w:t xml:space="preserve">الى قتل </w:t>
      </w:r>
      <w:r w:rsidRPr="00967CB7">
        <w:rPr>
          <w:rFonts w:ascii="Traditional Arabic" w:hAnsi="Traditional Arabic" w:cs="Traditional Arabic"/>
          <w:sz w:val="30"/>
          <w:szCs w:val="30"/>
          <w:rtl/>
        </w:rPr>
        <w:t>وجرح مدنيين تجمعوا ليروا ما حدث</w:t>
      </w:r>
      <w:r w:rsidRPr="00967CB7">
        <w:rPr>
          <w:sz w:val="24"/>
          <w:szCs w:val="24"/>
          <w:vertAlign w:val="superscript"/>
        </w:rPr>
        <w:footnoteReference w:id="13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في حالة أخرى، بعد إطلاق قذيفة مدفعية على شارع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أسفر</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 xml:space="preserve"> عن مقتل وجرح عدة أشخاص، أصابت </w:t>
      </w:r>
      <w:r w:rsidRPr="00967CB7">
        <w:rPr>
          <w:rFonts w:ascii="Traditional Arabic" w:hAnsi="Traditional Arabic" w:cs="Traditional Arabic" w:hint="cs"/>
          <w:sz w:val="30"/>
          <w:szCs w:val="30"/>
          <w:rtl/>
        </w:rPr>
        <w:t xml:space="preserve">قذيفة أخرى </w:t>
      </w:r>
      <w:r w:rsidRPr="00967CB7">
        <w:rPr>
          <w:rFonts w:ascii="Traditional Arabic" w:hAnsi="Traditional Arabic" w:cs="Traditional Arabic"/>
          <w:sz w:val="30"/>
          <w:szCs w:val="30"/>
          <w:rtl/>
        </w:rPr>
        <w:t>المسعفين الذين حاولوا مساعدة ضحايا ال</w:t>
      </w:r>
      <w:r w:rsidRPr="00967CB7">
        <w:rPr>
          <w:rFonts w:ascii="Traditional Arabic" w:hAnsi="Traditional Arabic" w:cs="Traditional Arabic" w:hint="cs"/>
          <w:sz w:val="30"/>
          <w:szCs w:val="30"/>
          <w:rtl/>
        </w:rPr>
        <w:t>قذيفة</w:t>
      </w:r>
      <w:r w:rsidRPr="00967CB7">
        <w:rPr>
          <w:rFonts w:ascii="Traditional Arabic" w:hAnsi="Traditional Arabic" w:cs="Traditional Arabic"/>
          <w:sz w:val="30"/>
          <w:szCs w:val="30"/>
          <w:rtl/>
        </w:rPr>
        <w:t xml:space="preserve"> الأولى</w:t>
      </w:r>
      <w:r w:rsidRPr="00967CB7">
        <w:rPr>
          <w:sz w:val="24"/>
          <w:szCs w:val="24"/>
          <w:vertAlign w:val="superscript"/>
        </w:rPr>
        <w:footnoteReference w:id="135"/>
      </w:r>
      <w:r w:rsidRPr="00967CB7">
        <w:rPr>
          <w:rFonts w:asciiTheme="majorBidi" w:hAnsiTheme="majorBidi" w:cstheme="majorBidi"/>
          <w:sz w:val="24"/>
          <w:szCs w:val="24"/>
        </w:rPr>
        <w:t>.</w:t>
      </w:r>
    </w:p>
    <w:p w14:paraId="0F9758F4"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lang w:eastAsia="en-GB"/>
        </w:rPr>
      </w:pPr>
      <w:r w:rsidRPr="00967CB7">
        <w:rPr>
          <w:rFonts w:ascii="Traditional Arabic" w:hAnsi="Traditional Arabic" w:cs="Traditional Arabic" w:hint="cs"/>
          <w:sz w:val="30"/>
          <w:szCs w:val="30"/>
          <w:rtl/>
        </w:rPr>
        <w:t>وتبقى آثار القصف المعنوية</w:t>
      </w:r>
      <w:r w:rsidRPr="00967CB7">
        <w:rPr>
          <w:rFonts w:ascii="Traditional Arabic" w:hAnsi="Traditional Arabic" w:cs="Traditional Arabic"/>
          <w:sz w:val="30"/>
          <w:szCs w:val="30"/>
          <w:rtl/>
        </w:rPr>
        <w:t xml:space="preserve"> والنفسي</w:t>
      </w:r>
      <w:r w:rsidRPr="00967CB7">
        <w:rPr>
          <w:rFonts w:ascii="Traditional Arabic" w:hAnsi="Traditional Arabic" w:cs="Traditional Arabic" w:hint="cs"/>
          <w:sz w:val="30"/>
          <w:szCs w:val="30"/>
          <w:rtl/>
        </w:rPr>
        <w:t>ة</w:t>
      </w:r>
      <w:r w:rsidRPr="00967CB7">
        <w:rPr>
          <w:rFonts w:ascii="Traditional Arabic" w:hAnsi="Traditional Arabic" w:cs="Traditional Arabic"/>
          <w:sz w:val="30"/>
          <w:szCs w:val="30"/>
          <w:rtl/>
        </w:rPr>
        <w:t xml:space="preserve"> حتى اليوم. </w:t>
      </w:r>
      <w:r w:rsidRPr="00967CB7">
        <w:rPr>
          <w:rFonts w:ascii="Traditional Arabic" w:hAnsi="Traditional Arabic" w:cs="Traditional Arabic" w:hint="cs"/>
          <w:sz w:val="30"/>
          <w:szCs w:val="30"/>
          <w:rtl/>
        </w:rPr>
        <w:t xml:space="preserve">حيث </w:t>
      </w:r>
      <w:r w:rsidRPr="00967CB7">
        <w:rPr>
          <w:rFonts w:ascii="Traditional Arabic" w:hAnsi="Traditional Arabic" w:cs="Traditional Arabic"/>
          <w:sz w:val="30"/>
          <w:szCs w:val="30"/>
          <w:rtl/>
        </w:rPr>
        <w:t>يع</w:t>
      </w:r>
      <w:r w:rsidRPr="00967CB7">
        <w:rPr>
          <w:rFonts w:ascii="Traditional Arabic" w:hAnsi="Traditional Arabic" w:cs="Traditional Arabic" w:hint="cs"/>
          <w:sz w:val="30"/>
          <w:szCs w:val="30"/>
          <w:rtl/>
        </w:rPr>
        <w:t>اني</w:t>
      </w:r>
      <w:r w:rsidRPr="00967CB7">
        <w:rPr>
          <w:rFonts w:ascii="Traditional Arabic" w:hAnsi="Traditional Arabic" w:cs="Traditional Arabic"/>
          <w:sz w:val="30"/>
          <w:szCs w:val="30"/>
          <w:rtl/>
        </w:rPr>
        <w:t xml:space="preserve"> الكثير من</w:t>
      </w:r>
      <w:r w:rsidRPr="00967CB7">
        <w:rPr>
          <w:rFonts w:ascii="Traditional Arabic" w:hAnsi="Traditional Arabic" w:cs="Traditional Arabic" w:hint="cs"/>
          <w:sz w:val="30"/>
          <w:szCs w:val="30"/>
          <w:rtl/>
        </w:rPr>
        <w:t xml:space="preserve"> الأشخاص</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من</w:t>
      </w:r>
      <w:r w:rsidRPr="00967CB7">
        <w:rPr>
          <w:rFonts w:ascii="Traditional Arabic" w:hAnsi="Traditional Arabic" w:cs="Traditional Arabic"/>
          <w:sz w:val="30"/>
          <w:szCs w:val="30"/>
          <w:rtl/>
        </w:rPr>
        <w:t xml:space="preserve"> صدمة فقدان أفراد </w:t>
      </w:r>
      <w:r w:rsidRPr="00967CB7">
        <w:rPr>
          <w:rFonts w:ascii="Traditional Arabic" w:hAnsi="Traditional Arabic" w:cs="Traditional Arabic" w:hint="cs"/>
          <w:sz w:val="30"/>
          <w:szCs w:val="30"/>
          <w:rtl/>
        </w:rPr>
        <w:t xml:space="preserve">من </w:t>
      </w:r>
      <w:r w:rsidRPr="00967CB7">
        <w:rPr>
          <w:rFonts w:ascii="Traditional Arabic" w:hAnsi="Traditional Arabic" w:cs="Traditional Arabic"/>
          <w:sz w:val="30"/>
          <w:szCs w:val="30"/>
          <w:rtl/>
        </w:rPr>
        <w:t>الأسرة. ومن بين المصابين، لا يزال 18 شخصًا يعانون من إعاقات، ومن بينهم أربع نساء وثلاثة أطفال؛ فقدوا أطرافهم أو بصرهم أو أصيبوا بجروح خطيرة</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36"/>
      </w:r>
    </w:p>
    <w:p w14:paraId="19CAAE6B" w14:textId="1D505B7D" w:rsidR="00967CB7" w:rsidRPr="001017A1" w:rsidRDefault="00186DF0" w:rsidP="00071ACB">
      <w:pPr>
        <w:pStyle w:val="NoSpacing"/>
        <w:tabs>
          <w:tab w:val="left" w:pos="720"/>
          <w:tab w:val="left" w:pos="1134"/>
          <w:tab w:val="left" w:pos="1701"/>
        </w:tabs>
        <w:bidi/>
        <w:spacing w:after="120" w:line="240" w:lineRule="atLeast"/>
        <w:ind w:right="827"/>
        <w:jc w:val="both"/>
        <w:rPr>
          <w:rFonts w:ascii="Traditional Arabic" w:eastAsia="Times New Roman" w:hAnsi="Traditional Arabic" w:cs="Traditional Arabic"/>
          <w:i/>
          <w:iCs/>
          <w:sz w:val="30"/>
          <w:szCs w:val="30"/>
          <w:rtl/>
        </w:rPr>
      </w:pPr>
      <w:r>
        <w:rPr>
          <w:rFonts w:ascii="Traditional Arabic" w:eastAsia="Times New Roman" w:hAnsi="Traditional Arabic" w:cs="Traditional Arabic"/>
          <w:i/>
          <w:iCs/>
          <w:sz w:val="30"/>
          <w:szCs w:val="30"/>
          <w:rtl/>
        </w:rPr>
        <w:tab/>
      </w:r>
      <w:r w:rsidR="005F3BF7">
        <w:rPr>
          <w:rFonts w:ascii="Traditional Arabic" w:eastAsia="Times New Roman" w:hAnsi="Traditional Arabic" w:cs="Traditional Arabic"/>
          <w:i/>
          <w:iCs/>
          <w:sz w:val="30"/>
          <w:szCs w:val="30"/>
        </w:rPr>
        <w:tab/>
      </w:r>
      <w:r w:rsidR="005F3BF7">
        <w:rPr>
          <w:rFonts w:ascii="Traditional Arabic" w:eastAsia="Times New Roman" w:hAnsi="Traditional Arabic" w:cs="Traditional Arabic"/>
          <w:i/>
          <w:iCs/>
          <w:sz w:val="30"/>
          <w:szCs w:val="30"/>
        </w:rPr>
        <w:tab/>
      </w:r>
      <w:r w:rsidR="00967CB7" w:rsidRPr="001017A1">
        <w:rPr>
          <w:rFonts w:ascii="Traditional Arabic" w:eastAsia="Times New Roman" w:hAnsi="Traditional Arabic" w:cs="Traditional Arabic" w:hint="cs"/>
          <w:i/>
          <w:iCs/>
          <w:sz w:val="30"/>
          <w:szCs w:val="30"/>
          <w:rtl/>
        </w:rPr>
        <w:t xml:space="preserve">الانتهاكات </w:t>
      </w:r>
    </w:p>
    <w:p w14:paraId="0F9204EF" w14:textId="7844D65E" w:rsidR="00967CB7" w:rsidRPr="00C53C8A" w:rsidRDefault="00967CB7" w:rsidP="00702492">
      <w:pPr>
        <w:pStyle w:val="Footer"/>
        <w:numPr>
          <w:ilvl w:val="0"/>
          <w:numId w:val="3"/>
        </w:numPr>
        <w:tabs>
          <w:tab w:val="left" w:pos="720"/>
        </w:tabs>
        <w:bidi/>
        <w:spacing w:after="240"/>
        <w:ind w:left="1089" w:right="1089" w:firstLine="0"/>
        <w:jc w:val="both"/>
        <w:rPr>
          <w:rFonts w:asciiTheme="majorBidi" w:hAnsiTheme="majorBidi"/>
          <w:sz w:val="24"/>
          <w:szCs w:val="24"/>
        </w:rPr>
      </w:pPr>
      <w:r w:rsidRPr="00C53C8A">
        <w:rPr>
          <w:rFonts w:ascii="Traditional Arabic" w:hAnsi="Traditional Arabic" w:cs="Traditional Arabic"/>
          <w:sz w:val="30"/>
          <w:szCs w:val="30"/>
          <w:rtl/>
        </w:rPr>
        <w:t xml:space="preserve">يحظر مبدأ التمييز الهجمات العشوائية، أي الهجمات </w:t>
      </w:r>
      <w:r w:rsidRPr="00C53C8A">
        <w:rPr>
          <w:rFonts w:ascii="Traditional Arabic" w:hAnsi="Traditional Arabic" w:cs="Traditional Arabic" w:hint="cs"/>
          <w:sz w:val="30"/>
          <w:szCs w:val="30"/>
          <w:rtl/>
        </w:rPr>
        <w:t>التي ت</w:t>
      </w:r>
      <w:r w:rsidRPr="00C53C8A">
        <w:rPr>
          <w:rFonts w:ascii="Traditional Arabic" w:hAnsi="Traditional Arabic" w:cs="Traditional Arabic"/>
          <w:sz w:val="30"/>
          <w:szCs w:val="30"/>
          <w:rtl/>
        </w:rPr>
        <w:t>ضرب الأهداف العسكرية و</w:t>
      </w:r>
      <w:r w:rsidRPr="00C53C8A">
        <w:rPr>
          <w:rFonts w:ascii="Traditional Arabic" w:hAnsi="Traditional Arabic" w:cs="Traditional Arabic" w:hint="cs"/>
          <w:sz w:val="30"/>
          <w:szCs w:val="30"/>
          <w:rtl/>
        </w:rPr>
        <w:t xml:space="preserve">كذلك </w:t>
      </w:r>
      <w:r w:rsidRPr="00C53C8A">
        <w:rPr>
          <w:rFonts w:ascii="Traditional Arabic" w:hAnsi="Traditional Arabic" w:cs="Traditional Arabic"/>
          <w:sz w:val="30"/>
          <w:szCs w:val="30"/>
          <w:rtl/>
        </w:rPr>
        <w:t xml:space="preserve">المدنيين أو </w:t>
      </w:r>
      <w:r w:rsidRPr="00C53C8A">
        <w:rPr>
          <w:rFonts w:ascii="Traditional Arabic" w:hAnsi="Traditional Arabic" w:cs="Traditional Arabic" w:hint="cs"/>
          <w:sz w:val="30"/>
          <w:szCs w:val="30"/>
          <w:rtl/>
        </w:rPr>
        <w:t>الأهداف ال</w:t>
      </w:r>
      <w:r w:rsidRPr="0007633A">
        <w:rPr>
          <w:rFonts w:ascii="Traditional Arabic" w:hAnsi="Traditional Arabic" w:cs="Traditional Arabic"/>
          <w:sz w:val="30"/>
          <w:szCs w:val="30"/>
          <w:rtl/>
        </w:rPr>
        <w:t>مدنية دون تمييز.</w:t>
      </w:r>
      <w:r w:rsidRPr="00297580">
        <w:rPr>
          <w:rFonts w:ascii="Traditional Arabic" w:hAnsi="Traditional Arabic" w:cs="Traditional Arabic"/>
          <w:sz w:val="30"/>
          <w:szCs w:val="30"/>
        </w:rPr>
        <w:t xml:space="preserve"> </w:t>
      </w:r>
      <w:r w:rsidRPr="00186DF0">
        <w:rPr>
          <w:sz w:val="24"/>
          <w:szCs w:val="24"/>
          <w:vertAlign w:val="superscript"/>
        </w:rPr>
        <w:footnoteReference w:id="137"/>
      </w:r>
      <w:r w:rsidRPr="00186DF0">
        <w:rPr>
          <w:sz w:val="24"/>
          <w:szCs w:val="24"/>
          <w:vertAlign w:val="superscript"/>
          <w:rtl/>
        </w:rPr>
        <w:t>ا</w:t>
      </w:r>
      <w:r w:rsidRPr="00C53C8A">
        <w:rPr>
          <w:rFonts w:ascii="Traditional Arabic" w:hAnsi="Traditional Arabic" w:cs="Traditional Arabic"/>
          <w:sz w:val="30"/>
          <w:szCs w:val="30"/>
          <w:rtl/>
        </w:rPr>
        <w:t>لهجمات العشوائية</w:t>
      </w:r>
      <w:r w:rsidRPr="00C53C8A">
        <w:rPr>
          <w:rFonts w:ascii="Traditional Arabic" w:hAnsi="Traditional Arabic" w:cs="Traditional Arabic" w:hint="cs"/>
          <w:sz w:val="30"/>
          <w:szCs w:val="30"/>
          <w:rtl/>
        </w:rPr>
        <w:t xml:space="preserve"> هي،</w:t>
      </w:r>
      <w:r w:rsidRPr="00C53C8A">
        <w:rPr>
          <w:rFonts w:ascii="Traditional Arabic" w:hAnsi="Traditional Arabic" w:cs="Traditional Arabic"/>
          <w:sz w:val="30"/>
          <w:szCs w:val="30"/>
          <w:rtl/>
        </w:rPr>
        <w:t xml:space="preserve"> على سبيل المثال، </w:t>
      </w:r>
      <w:r w:rsidRPr="00C53C8A">
        <w:rPr>
          <w:rFonts w:ascii="Traditional Arabic" w:hAnsi="Traditional Arabic" w:cs="Traditional Arabic" w:hint="cs"/>
          <w:sz w:val="30"/>
          <w:szCs w:val="30"/>
          <w:rtl/>
        </w:rPr>
        <w:t xml:space="preserve">استخدام </w:t>
      </w:r>
      <w:r w:rsidRPr="00C53C8A">
        <w:rPr>
          <w:rFonts w:ascii="Traditional Arabic" w:hAnsi="Traditional Arabic" w:cs="Traditional Arabic"/>
          <w:sz w:val="30"/>
          <w:szCs w:val="30"/>
          <w:rtl/>
        </w:rPr>
        <w:t xml:space="preserve">طريقة أو وسيلة قتال </w:t>
      </w:r>
      <w:r w:rsidRPr="00C53C8A">
        <w:rPr>
          <w:rFonts w:ascii="Traditional Arabic" w:hAnsi="Traditional Arabic" w:cs="Traditional Arabic" w:hint="cs"/>
          <w:sz w:val="30"/>
          <w:szCs w:val="30"/>
          <w:rtl/>
        </w:rPr>
        <w:t>أثناء الهجوم</w:t>
      </w:r>
      <w:r w:rsidRPr="00C53C8A">
        <w:rPr>
          <w:rFonts w:ascii="Traditional Arabic" w:hAnsi="Traditional Arabic" w:cs="Traditional Arabic"/>
          <w:sz w:val="30"/>
          <w:szCs w:val="30"/>
          <w:rtl/>
        </w:rPr>
        <w:t xml:space="preserve"> لا يمكن توجيهها نحو هدف عسكري محدد</w:t>
      </w:r>
      <w:r w:rsidRPr="00186DF0">
        <w:rPr>
          <w:sz w:val="24"/>
          <w:szCs w:val="24"/>
          <w:vertAlign w:val="superscript"/>
          <w:rtl/>
        </w:rPr>
        <w:t>.</w:t>
      </w:r>
      <w:r w:rsidRPr="00186DF0">
        <w:rPr>
          <w:sz w:val="24"/>
          <w:szCs w:val="24"/>
          <w:vertAlign w:val="superscript"/>
        </w:rPr>
        <w:t xml:space="preserve"> </w:t>
      </w:r>
      <w:r w:rsidRPr="00186DF0">
        <w:rPr>
          <w:sz w:val="24"/>
          <w:szCs w:val="24"/>
          <w:vertAlign w:val="superscript"/>
        </w:rPr>
        <w:footnoteReference w:id="138"/>
      </w:r>
      <w:r w:rsidRPr="00C53C8A">
        <w:rPr>
          <w:rFonts w:ascii="Traditional Arabic" w:hAnsi="Traditional Arabic" w:cs="Traditional Arabic"/>
          <w:sz w:val="30"/>
          <w:szCs w:val="30"/>
          <w:rtl/>
        </w:rPr>
        <w:t xml:space="preserve">وفقًا لمبدأ </w:t>
      </w:r>
      <w:r w:rsidRPr="00C53C8A">
        <w:rPr>
          <w:rFonts w:ascii="Traditional Arabic" w:hAnsi="Traditional Arabic" w:cs="Traditional Arabic" w:hint="cs"/>
          <w:sz w:val="30"/>
          <w:szCs w:val="30"/>
          <w:rtl/>
        </w:rPr>
        <w:t>التدابير الوقائية</w:t>
      </w:r>
      <w:r w:rsidRPr="00C53C8A">
        <w:rPr>
          <w:rFonts w:ascii="Traditional Arabic" w:hAnsi="Traditional Arabic" w:cs="Traditional Arabic"/>
          <w:sz w:val="30"/>
          <w:szCs w:val="30"/>
          <w:rtl/>
        </w:rPr>
        <w:t xml:space="preserve"> </w:t>
      </w:r>
      <w:r w:rsidRPr="00C53C8A">
        <w:rPr>
          <w:rFonts w:ascii="Traditional Arabic" w:hAnsi="Traditional Arabic" w:cs="Traditional Arabic" w:hint="cs"/>
          <w:sz w:val="30"/>
          <w:szCs w:val="30"/>
          <w:rtl/>
        </w:rPr>
        <w:t>أثناء</w:t>
      </w:r>
      <w:r w:rsidRPr="00C53C8A">
        <w:rPr>
          <w:rFonts w:ascii="Traditional Arabic" w:hAnsi="Traditional Arabic" w:cs="Traditional Arabic"/>
          <w:sz w:val="30"/>
          <w:szCs w:val="30"/>
          <w:rtl/>
        </w:rPr>
        <w:t xml:space="preserve"> الهجوم، </w:t>
      </w:r>
      <w:r w:rsidRPr="00C53C8A">
        <w:rPr>
          <w:rFonts w:ascii="Traditional Arabic" w:hAnsi="Traditional Arabic" w:cs="Traditional Arabic" w:hint="cs"/>
          <w:sz w:val="30"/>
          <w:szCs w:val="30"/>
          <w:rtl/>
        </w:rPr>
        <w:t xml:space="preserve">يجب </w:t>
      </w:r>
      <w:r w:rsidRPr="00C53C8A">
        <w:rPr>
          <w:rFonts w:ascii="Traditional Arabic" w:hAnsi="Traditional Arabic" w:cs="Traditional Arabic"/>
          <w:sz w:val="30"/>
          <w:szCs w:val="30"/>
          <w:rtl/>
        </w:rPr>
        <w:t>على أطراف النزاع</w:t>
      </w:r>
      <w:r w:rsidRPr="00C53C8A">
        <w:rPr>
          <w:rFonts w:ascii="Traditional Arabic" w:hAnsi="Traditional Arabic" w:cs="Traditional Arabic" w:hint="cs"/>
          <w:sz w:val="30"/>
          <w:szCs w:val="30"/>
          <w:rtl/>
        </w:rPr>
        <w:t xml:space="preserve"> التي تقوم</w:t>
      </w:r>
      <w:r w:rsidRPr="00E36F16">
        <w:rPr>
          <w:rFonts w:ascii="Traditional Arabic" w:hAnsi="Traditional Arabic" w:cs="Traditional Arabic"/>
          <w:sz w:val="30"/>
          <w:szCs w:val="30"/>
          <w:rtl/>
        </w:rPr>
        <w:t xml:space="preserve"> </w:t>
      </w:r>
      <w:r w:rsidRPr="00E36F16">
        <w:rPr>
          <w:rFonts w:ascii="Traditional Arabic" w:hAnsi="Traditional Arabic" w:cs="Traditional Arabic" w:hint="cs"/>
          <w:sz w:val="30"/>
          <w:szCs w:val="30"/>
          <w:rtl/>
        </w:rPr>
        <w:t>ب</w:t>
      </w:r>
      <w:r w:rsidRPr="00E36F16">
        <w:rPr>
          <w:rFonts w:ascii="Traditional Arabic" w:hAnsi="Traditional Arabic" w:cs="Traditional Arabic"/>
          <w:sz w:val="30"/>
          <w:szCs w:val="30"/>
          <w:rtl/>
        </w:rPr>
        <w:t xml:space="preserve">العمليات العسكرية </w:t>
      </w:r>
      <w:r w:rsidRPr="00E36F16">
        <w:rPr>
          <w:rFonts w:ascii="Traditional Arabic" w:hAnsi="Traditional Arabic" w:cs="Traditional Arabic" w:hint="cs"/>
          <w:sz w:val="30"/>
          <w:szCs w:val="30"/>
          <w:rtl/>
        </w:rPr>
        <w:t xml:space="preserve">توخي الحذر </w:t>
      </w:r>
      <w:r w:rsidRPr="0007633A">
        <w:rPr>
          <w:rFonts w:ascii="Traditional Arabic" w:hAnsi="Traditional Arabic" w:cs="Traditional Arabic"/>
          <w:sz w:val="30"/>
          <w:szCs w:val="30"/>
          <w:rtl/>
        </w:rPr>
        <w:t xml:space="preserve">الدائم </w:t>
      </w:r>
      <w:r w:rsidRPr="00297580">
        <w:rPr>
          <w:rFonts w:ascii="Traditional Arabic" w:hAnsi="Traditional Arabic" w:cs="Traditional Arabic" w:hint="cs"/>
          <w:sz w:val="30"/>
          <w:szCs w:val="30"/>
          <w:rtl/>
        </w:rPr>
        <w:t>ل</w:t>
      </w:r>
      <w:r w:rsidRPr="00297580">
        <w:rPr>
          <w:rFonts w:ascii="Traditional Arabic" w:hAnsi="Traditional Arabic" w:cs="Traditional Arabic"/>
          <w:sz w:val="30"/>
          <w:szCs w:val="30"/>
          <w:rtl/>
        </w:rPr>
        <w:t xml:space="preserve">تجنيب السكان المدنيين والأعيان المدنية. يجب اتخاذ جميع الاحتياطات الممكنة لتجنب أو تقليل الخسائر العرضية في أرواح المدنيين وإصابة المدنيين </w:t>
      </w:r>
      <w:r w:rsidRPr="00A80EDF">
        <w:rPr>
          <w:rFonts w:ascii="Traditional Arabic" w:hAnsi="Traditional Arabic" w:cs="Traditional Arabic"/>
          <w:sz w:val="30"/>
          <w:szCs w:val="30"/>
          <w:rtl/>
        </w:rPr>
        <w:t>والأضرار التي لحقت بالأعيان المدنية.</w:t>
      </w:r>
      <w:r w:rsidRPr="00186DF0">
        <w:rPr>
          <w:sz w:val="24"/>
          <w:szCs w:val="24"/>
          <w:vertAlign w:val="superscript"/>
        </w:rPr>
        <w:footnoteReference w:id="139"/>
      </w:r>
      <w:r w:rsidR="00430D10" w:rsidRPr="00430D10">
        <w:rPr>
          <w:rtl/>
        </w:rPr>
        <w:t xml:space="preserve"> </w:t>
      </w:r>
      <w:r w:rsidR="00430D10" w:rsidRPr="00430D10">
        <w:rPr>
          <w:rFonts w:ascii="Traditional Arabic" w:hAnsi="Traditional Arabic" w:cs="Traditional Arabic"/>
          <w:sz w:val="30"/>
          <w:szCs w:val="30"/>
          <w:rtl/>
        </w:rPr>
        <w:t>وقد يؤدي شن هجوم عشوائي يؤدي إلى وفاة أو إصابة المدنيين،</w:t>
      </w:r>
      <w:r w:rsidR="00702492">
        <w:rPr>
          <w:rFonts w:ascii="Traditional Arabic" w:hAnsi="Traditional Arabic" w:cs="Traditional Arabic" w:hint="cs"/>
          <w:sz w:val="30"/>
          <w:szCs w:val="30"/>
          <w:rtl/>
        </w:rPr>
        <w:t xml:space="preserve"> بما في ذلك</w:t>
      </w:r>
      <w:r w:rsidR="00430D10" w:rsidRPr="00430D10">
        <w:rPr>
          <w:rFonts w:ascii="Traditional Arabic" w:hAnsi="Traditional Arabic" w:cs="Traditional Arabic"/>
          <w:sz w:val="30"/>
          <w:szCs w:val="30"/>
          <w:rtl/>
        </w:rPr>
        <w:t xml:space="preserve"> شن هجوم مع </w:t>
      </w:r>
      <w:r w:rsidR="00702492">
        <w:rPr>
          <w:rFonts w:ascii="Traditional Arabic" w:hAnsi="Traditional Arabic" w:cs="Traditional Arabic" w:hint="cs"/>
          <w:sz w:val="30"/>
          <w:szCs w:val="30"/>
          <w:rtl/>
        </w:rPr>
        <w:t xml:space="preserve">التوقع </w:t>
      </w:r>
      <w:r w:rsidR="00430D10" w:rsidRPr="00430D10">
        <w:rPr>
          <w:rFonts w:ascii="Traditional Arabic" w:hAnsi="Traditional Arabic" w:cs="Traditional Arabic"/>
          <w:sz w:val="30"/>
          <w:szCs w:val="30"/>
          <w:rtl/>
        </w:rPr>
        <w:t>بأنه سيتسبب في خسائر أو إصابات أو أضرار عرضية مفرطة في المدنيين، إلى المسؤولية الجنائية عن جرائم الحرب</w:t>
      </w:r>
      <w:r w:rsidRPr="00186DF0">
        <w:rPr>
          <w:sz w:val="24"/>
          <w:szCs w:val="24"/>
          <w:vertAlign w:val="superscript"/>
        </w:rPr>
        <w:footnoteReference w:id="140"/>
      </w:r>
      <w:r w:rsidRPr="00186DF0">
        <w:rPr>
          <w:sz w:val="24"/>
          <w:szCs w:val="24"/>
          <w:vertAlign w:val="superscript"/>
          <w:rtl/>
        </w:rPr>
        <w:t xml:space="preserve">. </w:t>
      </w:r>
      <w:r w:rsidRPr="00C53C8A">
        <w:rPr>
          <w:rFonts w:ascii="Traditional Arabic" w:hAnsi="Traditional Arabic" w:cs="Traditional Arabic"/>
          <w:sz w:val="30"/>
          <w:szCs w:val="30"/>
          <w:rtl/>
        </w:rPr>
        <w:t xml:space="preserve">بالإضافة إلى ذلك، تجدر الإشارة إلى أن العاملين في المجال الطبي يتمتعون بالحماية بموجب القانون الدولي الإنساني ويجب احترامهم </w:t>
      </w:r>
      <w:r w:rsidRPr="00C53C8A">
        <w:rPr>
          <w:rFonts w:ascii="Traditional Arabic" w:hAnsi="Traditional Arabic" w:cs="Traditional Arabic"/>
          <w:sz w:val="30"/>
          <w:szCs w:val="30"/>
          <w:rtl/>
        </w:rPr>
        <w:lastRenderedPageBreak/>
        <w:t>وحمايتهم في جميع الظروف، طالما أنهم لا يشاركون مباشرة</w:t>
      </w:r>
      <w:r w:rsidRPr="00C53C8A">
        <w:rPr>
          <w:rFonts w:ascii="Traditional Arabic" w:hAnsi="Traditional Arabic" w:cs="Traditional Arabic" w:hint="cs"/>
          <w:sz w:val="30"/>
          <w:szCs w:val="30"/>
          <w:rtl/>
        </w:rPr>
        <w:t>ً</w:t>
      </w:r>
      <w:r w:rsidRPr="00C53C8A">
        <w:rPr>
          <w:rFonts w:ascii="Traditional Arabic" w:hAnsi="Traditional Arabic" w:cs="Traditional Arabic"/>
          <w:sz w:val="30"/>
          <w:szCs w:val="30"/>
          <w:rtl/>
        </w:rPr>
        <w:t xml:space="preserve"> في الأعمال العدائية.</w:t>
      </w:r>
      <w:r w:rsidRPr="00186DF0">
        <w:rPr>
          <w:sz w:val="24"/>
          <w:szCs w:val="24"/>
          <w:vertAlign w:val="superscript"/>
        </w:rPr>
        <w:footnoteReference w:id="141"/>
      </w:r>
      <w:r w:rsidR="00186DF0">
        <w:rPr>
          <w:rFonts w:hint="cs"/>
          <w:sz w:val="24"/>
          <w:szCs w:val="24"/>
          <w:vertAlign w:val="superscript"/>
          <w:rtl/>
        </w:rPr>
        <w:t xml:space="preserve"> </w:t>
      </w:r>
      <w:r w:rsidR="00186DF0">
        <w:rPr>
          <w:rFonts w:ascii="Traditional Arabic" w:hAnsi="Traditional Arabic" w:cs="Traditional Arabic" w:hint="cs"/>
          <w:sz w:val="30"/>
          <w:szCs w:val="30"/>
          <w:rtl/>
        </w:rPr>
        <w:t>في</w:t>
      </w:r>
      <w:r w:rsidRPr="00C53C8A">
        <w:rPr>
          <w:rFonts w:ascii="Traditional Arabic" w:hAnsi="Traditional Arabic" w:cs="Traditional Arabic" w:hint="cs"/>
          <w:sz w:val="30"/>
          <w:szCs w:val="30"/>
          <w:rtl/>
        </w:rPr>
        <w:t xml:space="preserve"> 19 تموز/ يوليو </w:t>
      </w:r>
      <w:r w:rsidRPr="00C53C8A">
        <w:rPr>
          <w:rFonts w:ascii="Traditional Arabic" w:hAnsi="Traditional Arabic" w:cs="Traditional Arabic" w:hint="eastAsia"/>
          <w:sz w:val="30"/>
          <w:szCs w:val="30"/>
          <w:rtl/>
        </w:rPr>
        <w:t>وقع</w:t>
      </w:r>
      <w:r w:rsidRPr="00C53C8A">
        <w:rPr>
          <w:rFonts w:ascii="Traditional Arabic" w:hAnsi="Traditional Arabic" w:cs="Traditional Arabic"/>
          <w:sz w:val="30"/>
          <w:szCs w:val="30"/>
          <w:rtl/>
        </w:rPr>
        <w:t xml:space="preserve"> </w:t>
      </w:r>
      <w:r w:rsidRPr="00CC19A1">
        <w:rPr>
          <w:rFonts w:ascii="Traditional Arabic" w:hAnsi="Traditional Arabic" w:cs="Traditional Arabic" w:hint="cs"/>
          <w:sz w:val="30"/>
          <w:szCs w:val="30"/>
          <w:rtl/>
        </w:rPr>
        <w:t>قصف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أثناء</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القتال</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المدنية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المكتظة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بالسكان</w:t>
      </w:r>
      <w:r w:rsidRPr="00CC19A1">
        <w:rPr>
          <w:rFonts w:ascii="Traditional Arabic" w:hAnsi="Traditional Arabic" w:cs="Traditional Arabic"/>
          <w:sz w:val="30"/>
          <w:szCs w:val="30"/>
        </w:rPr>
        <w:t>.</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كان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اختيار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الأسلحة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والطريقة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التي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استخدمت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بمثابة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انتهاك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لإلتزام</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الطرفين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بالتمييز</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بين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الأهداف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المدنيّة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والعسكرية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جميع</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الأوقات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بغض</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النظر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عما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إذا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كان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يوجد</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أهداف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عسكرية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مشروعة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فإن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الطبيعة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غير</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الدقيقة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للأسلحة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المستخدمة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التي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تم</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توجيهها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نحوها</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تجعل</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هذه</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الهجمات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عشوائية</w:t>
      </w:r>
      <w:r w:rsidRPr="00CC19A1">
        <w:rPr>
          <w:rFonts w:ascii="Traditional Arabic" w:hAnsi="Traditional Arabic" w:cs="Traditional Arabic"/>
          <w:sz w:val="30"/>
          <w:szCs w:val="30"/>
          <w:rtl/>
        </w:rPr>
        <w:t>.</w:t>
      </w:r>
      <w:r w:rsidRPr="00CC19A1">
        <w:rPr>
          <w:rFonts w:ascii="Traditional Arabic" w:hAnsi="Traditional Arabic" w:cs="Traditional Arabic"/>
          <w:sz w:val="30"/>
          <w:szCs w:val="30"/>
        </w:rPr>
        <w:t xml:space="preserve"> </w:t>
      </w:r>
      <w:r w:rsidRPr="00CC19A1">
        <w:rPr>
          <w:rFonts w:ascii="Traditional Arabic" w:hAnsi="Traditional Arabic" w:cs="Traditional Arabic" w:hint="eastAsia"/>
          <w:sz w:val="30"/>
          <w:szCs w:val="30"/>
          <w:rtl/>
        </w:rPr>
        <w:t>علاوة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على</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ذلك،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فإن</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القصف</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الذي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أطلق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على</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الموانئ</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المزدحمة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والمناطق</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السكنية</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في</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أوقات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الازدحام</w:t>
      </w:r>
      <w:r w:rsidRPr="00CC19A1">
        <w:rPr>
          <w:rFonts w:ascii="Traditional Arabic" w:hAnsi="Traditional Arabic" w:cs="Traditional Arabic"/>
          <w:sz w:val="30"/>
          <w:szCs w:val="30"/>
          <w:rtl/>
        </w:rPr>
        <w:t xml:space="preserve"> </w:t>
      </w:r>
      <w:r w:rsidR="00702492">
        <w:rPr>
          <w:rFonts w:ascii="Traditional Arabic" w:hAnsi="Traditional Arabic" w:cs="Traditional Arabic" w:hint="cs"/>
          <w:sz w:val="30"/>
          <w:szCs w:val="30"/>
          <w:rtl/>
        </w:rPr>
        <w:t>إ</w:t>
      </w:r>
      <w:r w:rsidRPr="00CC19A1">
        <w:rPr>
          <w:rFonts w:ascii="Traditional Arabic" w:hAnsi="Traditional Arabic" w:cs="Traditional Arabic" w:hint="eastAsia"/>
          <w:sz w:val="30"/>
          <w:szCs w:val="30"/>
          <w:rtl/>
        </w:rPr>
        <w:t>نتهك</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مبدأ</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اخذ</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الاحتياطات</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أثناء</w:t>
      </w:r>
      <w:r w:rsidRPr="00CC19A1">
        <w:rPr>
          <w:rFonts w:ascii="Traditional Arabic" w:hAnsi="Traditional Arabic" w:cs="Traditional Arabic"/>
          <w:sz w:val="30"/>
          <w:szCs w:val="30"/>
          <w:rtl/>
        </w:rPr>
        <w:t xml:space="preserve"> </w:t>
      </w:r>
      <w:r w:rsidRPr="00CC19A1">
        <w:rPr>
          <w:rFonts w:ascii="Traditional Arabic" w:hAnsi="Traditional Arabic" w:cs="Traditional Arabic" w:hint="eastAsia"/>
          <w:sz w:val="30"/>
          <w:szCs w:val="30"/>
          <w:rtl/>
        </w:rPr>
        <w:t>الهجوم</w:t>
      </w:r>
      <w:r w:rsidRPr="00CC19A1">
        <w:rPr>
          <w:rFonts w:ascii="Traditional Arabic" w:hAnsi="Traditional Arabic" w:cs="Traditional Arabic"/>
          <w:sz w:val="30"/>
          <w:szCs w:val="30"/>
          <w:rtl/>
        </w:rPr>
        <w:t>.</w:t>
      </w:r>
      <w:r w:rsidRPr="00CC19A1">
        <w:rPr>
          <w:rFonts w:asciiTheme="majorBidi" w:hAnsiTheme="majorBidi"/>
          <w:sz w:val="24"/>
          <w:szCs w:val="24"/>
        </w:rPr>
        <w:t xml:space="preserve"> </w:t>
      </w:r>
    </w:p>
    <w:p w14:paraId="6FD3F1EE"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hint="eastAsia"/>
          <w:sz w:val="30"/>
          <w:szCs w:val="30"/>
          <w:rtl/>
        </w:rPr>
        <w:t>وجد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الخبراء</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أسبابًا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مقاتلي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w:t>
      </w:r>
      <w:r w:rsidRPr="001017A1">
        <w:rPr>
          <w:rFonts w:ascii="Traditional Arabic" w:hAnsi="Traditional Arabic" w:cs="Traditional Arabic"/>
          <w:sz w:val="30"/>
          <w:szCs w:val="30"/>
          <w:rtl/>
        </w:rPr>
        <w:t>-</w:t>
      </w:r>
      <w:r w:rsidRPr="001017A1">
        <w:rPr>
          <w:rFonts w:ascii="Traditional Arabic" w:hAnsi="Traditional Arabic" w:cs="Traditional Arabic" w:hint="eastAsia"/>
          <w:sz w:val="30"/>
          <w:szCs w:val="30"/>
          <w:rtl/>
        </w:rPr>
        <w:t>صالح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انتهاكات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جسيمة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يمكن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فردية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جرائم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tl/>
        </w:rPr>
        <w:t>.</w:t>
      </w:r>
    </w:p>
    <w:p w14:paraId="30F51EA3" w14:textId="02C1A4FE" w:rsidR="00967CB7" w:rsidRPr="009C6CD1" w:rsidRDefault="00967CB7" w:rsidP="00EA1798">
      <w:pPr>
        <w:pStyle w:val="NoSpacing"/>
        <w:tabs>
          <w:tab w:val="left" w:pos="720"/>
          <w:tab w:val="left" w:pos="1134"/>
          <w:tab w:val="left" w:pos="1701"/>
        </w:tabs>
        <w:bidi/>
        <w:spacing w:after="120" w:line="240" w:lineRule="atLeast"/>
        <w:ind w:left="1026" w:right="827" w:hanging="567"/>
        <w:jc w:val="both"/>
        <w:rPr>
          <w:rFonts w:ascii="Traditional Arabic" w:eastAsia="Times New Roman" w:hAnsi="Traditional Arabic" w:cs="Traditional Arabic"/>
          <w:b/>
          <w:bCs/>
          <w:sz w:val="30"/>
          <w:szCs w:val="30"/>
        </w:rPr>
      </w:pPr>
      <w:r w:rsidRPr="009C6CD1">
        <w:rPr>
          <w:rFonts w:ascii="Traditional Arabic" w:eastAsia="Times New Roman" w:hAnsi="Traditional Arabic" w:cs="Traditional Arabic" w:hint="cs"/>
          <w:b/>
          <w:bCs/>
          <w:sz w:val="30"/>
          <w:szCs w:val="30"/>
          <w:rtl/>
        </w:rPr>
        <w:t>ب</w:t>
      </w:r>
      <w:r w:rsidRPr="009C6CD1">
        <w:rPr>
          <w:rFonts w:ascii="Traditional Arabic" w:eastAsia="Times New Roman" w:hAnsi="Traditional Arabic" w:cs="Traditional Arabic"/>
          <w:b/>
          <w:bCs/>
          <w:sz w:val="30"/>
          <w:szCs w:val="30"/>
          <w:rtl/>
        </w:rPr>
        <w:t xml:space="preserve">) هجمات القناصة التي </w:t>
      </w:r>
      <w:r w:rsidRPr="009C6CD1">
        <w:rPr>
          <w:rFonts w:ascii="Traditional Arabic" w:eastAsia="Times New Roman" w:hAnsi="Traditional Arabic" w:cs="Traditional Arabic" w:hint="cs"/>
          <w:b/>
          <w:bCs/>
          <w:sz w:val="30"/>
          <w:szCs w:val="30"/>
          <w:rtl/>
        </w:rPr>
        <w:t>ا</w:t>
      </w:r>
      <w:r w:rsidRPr="009C6CD1">
        <w:rPr>
          <w:rFonts w:ascii="Traditional Arabic" w:eastAsia="Times New Roman" w:hAnsi="Traditional Arabic" w:cs="Traditional Arabic"/>
          <w:b/>
          <w:bCs/>
          <w:sz w:val="30"/>
          <w:szCs w:val="30"/>
          <w:rtl/>
        </w:rPr>
        <w:t>رتكبها مقاتلو الحوثي</w:t>
      </w:r>
      <w:r w:rsidRPr="009C6CD1">
        <w:rPr>
          <w:rFonts w:ascii="Traditional Arabic" w:eastAsia="Times New Roman" w:hAnsi="Traditional Arabic" w:cs="Traditional Arabic" w:hint="cs"/>
          <w:b/>
          <w:bCs/>
          <w:sz w:val="30"/>
          <w:szCs w:val="30"/>
          <w:rtl/>
        </w:rPr>
        <w:t>ين -</w:t>
      </w:r>
      <w:r w:rsidRPr="009C6CD1">
        <w:rPr>
          <w:rFonts w:ascii="Traditional Arabic" w:eastAsia="Times New Roman" w:hAnsi="Traditional Arabic" w:cs="Traditional Arabic"/>
          <w:b/>
          <w:bCs/>
          <w:sz w:val="30"/>
          <w:szCs w:val="30"/>
          <w:rtl/>
        </w:rPr>
        <w:t xml:space="preserve"> صالح</w:t>
      </w:r>
    </w:p>
    <w:p w14:paraId="46A531B3" w14:textId="77777777" w:rsidR="00967CB7" w:rsidRPr="001017A1" w:rsidRDefault="00967CB7" w:rsidP="004D36D2">
      <w:pPr>
        <w:tabs>
          <w:tab w:val="left" w:pos="720"/>
        </w:tabs>
        <w:bidi/>
        <w:ind w:left="1449" w:right="827"/>
        <w:rPr>
          <w:rFonts w:ascii="Traditional Arabic" w:hAnsi="Traditional Arabic" w:cs="Traditional Arabic"/>
          <w:i/>
          <w:iCs/>
          <w:sz w:val="30"/>
          <w:szCs w:val="30"/>
        </w:rPr>
      </w:pPr>
      <w:r w:rsidRPr="001017A1">
        <w:rPr>
          <w:rFonts w:ascii="Traditional Arabic" w:hAnsi="Traditional Arabic" w:cs="Traditional Arabic"/>
          <w:i/>
          <w:iCs/>
          <w:sz w:val="30"/>
          <w:szCs w:val="30"/>
        </w:rPr>
        <w:t>"</w:t>
      </w:r>
      <w:r w:rsidRPr="001017A1">
        <w:rPr>
          <w:rFonts w:ascii="Traditional Arabic" w:hAnsi="Traditional Arabic" w:cs="Traditional Arabic"/>
          <w:i/>
          <w:iCs/>
          <w:sz w:val="30"/>
          <w:szCs w:val="30"/>
          <w:rtl/>
        </w:rPr>
        <w:t>حملت ابني البالغ من العمر عام</w:t>
      </w:r>
      <w:r w:rsidRPr="001017A1">
        <w:rPr>
          <w:rFonts w:ascii="Traditional Arabic" w:hAnsi="Traditional Arabic" w:cs="Traditional Arabic" w:hint="cs"/>
          <w:i/>
          <w:iCs/>
          <w:sz w:val="30"/>
          <w:szCs w:val="30"/>
          <w:rtl/>
        </w:rPr>
        <w:t>اً</w:t>
      </w:r>
      <w:r w:rsidRPr="001017A1">
        <w:rPr>
          <w:rFonts w:ascii="Traditional Arabic" w:hAnsi="Traditional Arabic" w:cs="Traditional Arabic"/>
          <w:i/>
          <w:iCs/>
          <w:sz w:val="30"/>
          <w:szCs w:val="30"/>
          <w:rtl/>
        </w:rPr>
        <w:t xml:space="preserve"> واحد</w:t>
      </w:r>
      <w:r w:rsidRPr="001017A1">
        <w:rPr>
          <w:rFonts w:ascii="Traditional Arabic" w:hAnsi="Traditional Arabic" w:cs="Traditional Arabic" w:hint="cs"/>
          <w:i/>
          <w:iCs/>
          <w:sz w:val="30"/>
          <w:szCs w:val="30"/>
          <w:rtl/>
        </w:rPr>
        <w:t>اً</w:t>
      </w:r>
      <w:r w:rsidRPr="001017A1">
        <w:rPr>
          <w:rFonts w:ascii="Traditional Arabic" w:hAnsi="Traditional Arabic" w:cs="Traditional Arabic"/>
          <w:i/>
          <w:iCs/>
          <w:sz w:val="30"/>
          <w:szCs w:val="30"/>
          <w:rtl/>
        </w:rPr>
        <w:t xml:space="preserve"> إلى مستشفى في دار سعد. في الطريق، رآني قناص متمركز فوق </w:t>
      </w:r>
      <w:r w:rsidRPr="001017A1">
        <w:rPr>
          <w:rFonts w:ascii="Traditional Arabic" w:hAnsi="Traditional Arabic" w:cs="Traditional Arabic" w:hint="cs"/>
          <w:i/>
          <w:iCs/>
          <w:sz w:val="30"/>
          <w:szCs w:val="30"/>
          <w:rtl/>
        </w:rPr>
        <w:t>أحد ال</w:t>
      </w:r>
      <w:r w:rsidRPr="001017A1">
        <w:rPr>
          <w:rFonts w:ascii="Traditional Arabic" w:hAnsi="Traditional Arabic" w:cs="Traditional Arabic"/>
          <w:i/>
          <w:iCs/>
          <w:sz w:val="30"/>
          <w:szCs w:val="30"/>
          <w:rtl/>
        </w:rPr>
        <w:t>مب</w:t>
      </w:r>
      <w:r w:rsidRPr="001017A1">
        <w:rPr>
          <w:rFonts w:ascii="Traditional Arabic" w:hAnsi="Traditional Arabic" w:cs="Traditional Arabic" w:hint="cs"/>
          <w:i/>
          <w:iCs/>
          <w:sz w:val="30"/>
          <w:szCs w:val="30"/>
          <w:rtl/>
        </w:rPr>
        <w:t>اني</w:t>
      </w:r>
      <w:r w:rsidRPr="001017A1">
        <w:rPr>
          <w:rFonts w:ascii="Traditional Arabic" w:hAnsi="Traditional Arabic" w:cs="Traditional Arabic"/>
          <w:i/>
          <w:iCs/>
          <w:sz w:val="30"/>
          <w:szCs w:val="30"/>
          <w:rtl/>
        </w:rPr>
        <w:t xml:space="preserve"> ونظر </w:t>
      </w:r>
      <w:r w:rsidRPr="001017A1">
        <w:rPr>
          <w:rFonts w:ascii="Traditional Arabic" w:hAnsi="Traditional Arabic" w:cs="Traditional Arabic" w:hint="cs"/>
          <w:i/>
          <w:iCs/>
          <w:sz w:val="30"/>
          <w:szCs w:val="30"/>
          <w:rtl/>
        </w:rPr>
        <w:t>في</w:t>
      </w:r>
      <w:r w:rsidRPr="001017A1">
        <w:rPr>
          <w:rFonts w:ascii="Traditional Arabic" w:hAnsi="Traditional Arabic" w:cs="Traditional Arabic"/>
          <w:i/>
          <w:iCs/>
          <w:sz w:val="30"/>
          <w:szCs w:val="30"/>
          <w:rtl/>
        </w:rPr>
        <w:t xml:space="preserve"> عيني. </w:t>
      </w:r>
      <w:r w:rsidRPr="001017A1">
        <w:rPr>
          <w:rFonts w:ascii="Traditional Arabic" w:hAnsi="Traditional Arabic" w:cs="Traditional Arabic" w:hint="cs"/>
          <w:i/>
          <w:iCs/>
          <w:sz w:val="30"/>
          <w:szCs w:val="30"/>
          <w:rtl/>
        </w:rPr>
        <w:t xml:space="preserve">لا بدّ أن </w:t>
      </w:r>
      <w:r w:rsidRPr="001017A1">
        <w:rPr>
          <w:rFonts w:ascii="Traditional Arabic" w:hAnsi="Traditional Arabic" w:cs="Traditional Arabic"/>
          <w:i/>
          <w:iCs/>
          <w:sz w:val="30"/>
          <w:szCs w:val="30"/>
          <w:rtl/>
        </w:rPr>
        <w:t xml:space="preserve">القناص </w:t>
      </w:r>
      <w:r w:rsidRPr="001017A1">
        <w:rPr>
          <w:rFonts w:ascii="Traditional Arabic" w:hAnsi="Traditional Arabic" w:cs="Traditional Arabic" w:hint="cs"/>
          <w:i/>
          <w:iCs/>
          <w:sz w:val="30"/>
          <w:szCs w:val="30"/>
          <w:rtl/>
        </w:rPr>
        <w:t xml:space="preserve">لاحظ </w:t>
      </w:r>
      <w:r w:rsidRPr="001017A1">
        <w:rPr>
          <w:rFonts w:ascii="Traditional Arabic" w:hAnsi="Traditional Arabic" w:cs="Traditional Arabic"/>
          <w:i/>
          <w:iCs/>
          <w:sz w:val="30"/>
          <w:szCs w:val="30"/>
          <w:rtl/>
        </w:rPr>
        <w:t xml:space="preserve">أنني غير مسلح </w:t>
      </w:r>
      <w:r w:rsidRPr="001017A1">
        <w:rPr>
          <w:rFonts w:ascii="Traditional Arabic" w:hAnsi="Traditional Arabic" w:cs="Traditional Arabic" w:hint="cs"/>
          <w:i/>
          <w:iCs/>
          <w:sz w:val="30"/>
          <w:szCs w:val="30"/>
          <w:rtl/>
        </w:rPr>
        <w:t xml:space="preserve">كوني </w:t>
      </w:r>
      <w:r w:rsidRPr="001017A1">
        <w:rPr>
          <w:rFonts w:ascii="Traditional Arabic" w:hAnsi="Traditional Arabic" w:cs="Traditional Arabic"/>
          <w:i/>
          <w:iCs/>
          <w:sz w:val="30"/>
          <w:szCs w:val="30"/>
          <w:rtl/>
        </w:rPr>
        <w:t>أحمل ابني. ومع ذلك، أطلق القناص طلقة واحدة أد</w:t>
      </w:r>
      <w:r w:rsidRPr="001017A1">
        <w:rPr>
          <w:rFonts w:ascii="Traditional Arabic" w:hAnsi="Traditional Arabic" w:cs="Traditional Arabic" w:hint="cs"/>
          <w:i/>
          <w:iCs/>
          <w:sz w:val="30"/>
          <w:szCs w:val="30"/>
          <w:rtl/>
        </w:rPr>
        <w:t>ت</w:t>
      </w:r>
      <w:r w:rsidRPr="001017A1">
        <w:rPr>
          <w:rFonts w:ascii="Traditional Arabic" w:hAnsi="Traditional Arabic" w:cs="Traditional Arabic"/>
          <w:i/>
          <w:iCs/>
          <w:sz w:val="30"/>
          <w:szCs w:val="30"/>
          <w:rtl/>
        </w:rPr>
        <w:t xml:space="preserve"> إلى إصابة ابني</w:t>
      </w:r>
      <w:r w:rsidRPr="001017A1">
        <w:rPr>
          <w:rFonts w:ascii="Traditional Arabic" w:hAnsi="Traditional Arabic" w:cs="Traditional Arabic" w:hint="cs"/>
          <w:i/>
          <w:iCs/>
          <w:sz w:val="30"/>
          <w:szCs w:val="30"/>
          <w:rtl/>
        </w:rPr>
        <w:t xml:space="preserve"> وقطع ساقه</w:t>
      </w:r>
      <w:r w:rsidRPr="001017A1">
        <w:rPr>
          <w:rFonts w:ascii="Traditional Arabic" w:hAnsi="Traditional Arabic" w:cs="Traditional Arabic"/>
          <w:i/>
          <w:iCs/>
          <w:sz w:val="30"/>
          <w:szCs w:val="30"/>
        </w:rPr>
        <w:t xml:space="preserve"> ".</w:t>
      </w:r>
    </w:p>
    <w:p w14:paraId="4A707BBD" w14:textId="24D264AA" w:rsidR="00967CB7" w:rsidRPr="001017A1" w:rsidRDefault="00967CB7" w:rsidP="0021675E">
      <w:pPr>
        <w:tabs>
          <w:tab w:val="left" w:pos="720"/>
        </w:tabs>
        <w:bidi/>
        <w:ind w:left="4320" w:right="827" w:hanging="3470"/>
        <w:rPr>
          <w:rFonts w:ascii="Traditional Arabic" w:hAnsi="Traditional Arabic" w:cs="Traditional Arabic"/>
          <w:b/>
          <w:bCs/>
          <w:sz w:val="30"/>
          <w:szCs w:val="30"/>
        </w:rPr>
      </w:pPr>
      <w:r w:rsidRPr="001017A1">
        <w:rPr>
          <w:rFonts w:ascii="Traditional Arabic" w:hAnsi="Traditional Arabic" w:cs="Traditional Arabic"/>
          <w:b/>
          <w:bCs/>
          <w:sz w:val="30"/>
          <w:szCs w:val="30"/>
          <w:rtl/>
        </w:rPr>
        <w:t>والد ضحية هجوم قناص، عدن،</w:t>
      </w:r>
      <w:r w:rsidRPr="001017A1">
        <w:rPr>
          <w:rFonts w:ascii="Traditional Arabic" w:hAnsi="Traditional Arabic" w:cs="Traditional Arabic" w:hint="cs"/>
          <w:b/>
          <w:bCs/>
          <w:sz w:val="30"/>
          <w:szCs w:val="30"/>
          <w:rtl/>
        </w:rPr>
        <w:t xml:space="preserve"> </w:t>
      </w:r>
      <w:r w:rsidRPr="001017A1">
        <w:rPr>
          <w:rFonts w:ascii="Traditional Arabic" w:hAnsi="Traditional Arabic" w:cs="Traditional Arabic"/>
          <w:b/>
          <w:bCs/>
          <w:sz w:val="30"/>
          <w:szCs w:val="30"/>
          <w:rtl/>
        </w:rPr>
        <w:t>2015</w:t>
      </w:r>
    </w:p>
    <w:p w14:paraId="38FCDB9E" w14:textId="798E9F73" w:rsidR="00967CB7" w:rsidRPr="00967CB7" w:rsidRDefault="00967CB7" w:rsidP="00084F50">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hint="cs"/>
          <w:sz w:val="30"/>
          <w:szCs w:val="30"/>
          <w:rtl/>
        </w:rPr>
        <w:t>عن</w:t>
      </w:r>
      <w:r w:rsidRPr="00967CB7">
        <w:rPr>
          <w:rFonts w:ascii="Traditional Arabic" w:hAnsi="Traditional Arabic" w:cs="Traditional Arabic"/>
          <w:sz w:val="30"/>
          <w:szCs w:val="30"/>
          <w:rtl/>
        </w:rPr>
        <w:t>دما سيطر مقاتلو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على عدن و</w:t>
      </w:r>
      <w:r w:rsidRPr="00967CB7">
        <w:rPr>
          <w:rFonts w:ascii="Traditional Arabic" w:hAnsi="Traditional Arabic" w:cs="Traditional Arabic" w:hint="cs"/>
          <w:sz w:val="30"/>
          <w:szCs w:val="30"/>
          <w:rtl/>
        </w:rPr>
        <w:t>بلدات</w:t>
      </w:r>
      <w:r w:rsidRPr="00967CB7">
        <w:rPr>
          <w:rFonts w:ascii="Traditional Arabic" w:hAnsi="Traditional Arabic" w:cs="Traditional Arabic"/>
          <w:sz w:val="30"/>
          <w:szCs w:val="30"/>
          <w:rtl/>
        </w:rPr>
        <w:t xml:space="preserve"> مختلفة مجاورة، وضعوا قناصة على الجبال والمباني العالية واستهدفوا المدنيين، مستخدمين الأسلحة الصغيرة</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والقذائف الصاروخية</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ومدافع الهاون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وقذائف الدبابات. وكان من بين الضحايا رجال ونساء وأطفال وشيوخ.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أدت هذه الهجمات إلى تقييد حرية الحركة في المناطق الخاضعة لسيطرة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و</w:t>
      </w:r>
      <w:r w:rsidRPr="00967CB7">
        <w:rPr>
          <w:rFonts w:ascii="Traditional Arabic" w:hAnsi="Traditional Arabic" w:cs="Traditional Arabic" w:hint="cs"/>
          <w:sz w:val="30"/>
          <w:szCs w:val="30"/>
          <w:rtl/>
        </w:rPr>
        <w:t>الحدّ من</w:t>
      </w:r>
      <w:r w:rsidRPr="00967CB7">
        <w:rPr>
          <w:rFonts w:ascii="Traditional Arabic" w:hAnsi="Traditional Arabic" w:cs="Traditional Arabic"/>
          <w:sz w:val="30"/>
          <w:szCs w:val="30"/>
          <w:rtl/>
        </w:rPr>
        <w:t xml:space="preserve"> القدرة على مساعدة المصابين.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قام فريق الخبراء بتوثيق هجمات القناصة في العديد من المناطق على طول الخطوط الأمامية، بما في ذلك في م</w:t>
      </w:r>
      <w:r w:rsidRPr="00967CB7">
        <w:rPr>
          <w:rFonts w:ascii="Traditional Arabic" w:hAnsi="Traditional Arabic" w:cs="Traditional Arabic" w:hint="cs"/>
          <w:sz w:val="30"/>
          <w:szCs w:val="30"/>
          <w:rtl/>
        </w:rPr>
        <w:t>ديريات</w:t>
      </w:r>
      <w:r w:rsidRPr="00967CB7">
        <w:rPr>
          <w:rFonts w:ascii="Traditional Arabic" w:hAnsi="Traditional Arabic" w:cs="Traditional Arabic"/>
          <w:sz w:val="30"/>
          <w:szCs w:val="30"/>
          <w:rtl/>
        </w:rPr>
        <w:t xml:space="preserve"> كريتر والمعلا </w:t>
      </w:r>
      <w:r w:rsidRPr="00967CB7">
        <w:rPr>
          <w:rFonts w:ascii="Traditional Arabic" w:hAnsi="Traditional Arabic" w:cs="Traditional Arabic" w:hint="cs"/>
          <w:sz w:val="30"/>
          <w:szCs w:val="30"/>
          <w:rtl/>
        </w:rPr>
        <w:t>والتواهي</w:t>
      </w:r>
      <w:r w:rsidRPr="00967CB7">
        <w:rPr>
          <w:rFonts w:ascii="Traditional Arabic" w:hAnsi="Traditional Arabic" w:cs="Traditional Arabic"/>
          <w:sz w:val="30"/>
          <w:szCs w:val="30"/>
          <w:rtl/>
        </w:rPr>
        <w:t xml:space="preserve"> ودار سعد في عدن، وكذلك في مدينة الحوطة في محافظة لحج. كما نشرت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967CB7">
        <w:rPr>
          <w:rFonts w:ascii="Traditional Arabic" w:hAnsi="Traditional Arabic" w:cs="Traditional Arabic" w:hint="cs"/>
          <w:sz w:val="30"/>
          <w:szCs w:val="30"/>
          <w:rtl/>
        </w:rPr>
        <w:t xml:space="preserve"> </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صالح قناصة </w:t>
      </w:r>
      <w:r w:rsidRPr="00967CB7">
        <w:rPr>
          <w:rFonts w:ascii="Traditional Arabic" w:hAnsi="Traditional Arabic" w:cs="Traditional Arabic" w:hint="cs"/>
          <w:sz w:val="30"/>
          <w:szCs w:val="30"/>
          <w:rtl/>
        </w:rPr>
        <w:t>مقابل</w:t>
      </w:r>
      <w:r w:rsidRPr="00967CB7">
        <w:rPr>
          <w:rFonts w:ascii="Traditional Arabic" w:hAnsi="Traditional Arabic" w:cs="Traditional Arabic"/>
          <w:sz w:val="30"/>
          <w:szCs w:val="30"/>
          <w:rtl/>
        </w:rPr>
        <w:t xml:space="preserve"> 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ع </w:t>
      </w:r>
      <w:r w:rsidRPr="00967CB7">
        <w:rPr>
          <w:rFonts w:ascii="Traditional Arabic" w:hAnsi="Traditional Arabic" w:cs="Traditional Arabic" w:hint="cs"/>
          <w:sz w:val="30"/>
          <w:szCs w:val="30"/>
          <w:rtl/>
        </w:rPr>
        <w:t>القطيع</w:t>
      </w:r>
      <w:r w:rsidRPr="00967CB7">
        <w:rPr>
          <w:rFonts w:ascii="Traditional Arabic" w:hAnsi="Traditional Arabic" w:cs="Traditional Arabic"/>
          <w:sz w:val="30"/>
          <w:szCs w:val="30"/>
          <w:rtl/>
        </w:rPr>
        <w:t xml:space="preserve"> الصحي ومستشفى الجمهورية في عدن. في </w:t>
      </w:r>
      <w:r w:rsidRPr="00967CB7">
        <w:rPr>
          <w:rFonts w:ascii="Traditional Arabic" w:hAnsi="Traditional Arabic" w:cs="Traditional Arabic" w:hint="cs"/>
          <w:sz w:val="30"/>
          <w:szCs w:val="30"/>
          <w:rtl/>
        </w:rPr>
        <w:t>القطيع</w:t>
      </w:r>
      <w:r w:rsidRPr="00967CB7">
        <w:rPr>
          <w:rFonts w:ascii="Traditional Arabic" w:hAnsi="Traditional Arabic" w:cs="Traditional Arabic"/>
          <w:sz w:val="30"/>
          <w:szCs w:val="30"/>
          <w:rtl/>
        </w:rPr>
        <w:t xml:space="preserve"> في 2 </w:t>
      </w:r>
      <w:r w:rsidRPr="00967CB7">
        <w:rPr>
          <w:rFonts w:ascii="Traditional Arabic" w:hAnsi="Traditional Arabic" w:cs="Traditional Arabic" w:hint="cs"/>
          <w:sz w:val="30"/>
          <w:szCs w:val="30"/>
          <w:rtl/>
        </w:rPr>
        <w:t xml:space="preserve">نيسان/ </w:t>
      </w:r>
      <w:r w:rsidRPr="00967CB7">
        <w:rPr>
          <w:rFonts w:ascii="Traditional Arabic" w:hAnsi="Traditional Arabic" w:cs="Traditional Arabic"/>
          <w:sz w:val="30"/>
          <w:szCs w:val="30"/>
          <w:rtl/>
        </w:rPr>
        <w:t>أبريل 2015، عندما اتخذ مقاتلو المقاومة مواقع بالقرب من المجم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ع الصحي، قتل مقاتلو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وجرحوا المدنيين بنيران عشوائية.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 xml:space="preserve">أصابت </w:t>
      </w:r>
      <w:r w:rsidRPr="00967CB7">
        <w:rPr>
          <w:rFonts w:ascii="Traditional Arabic" w:hAnsi="Traditional Arabic" w:cs="Traditional Arabic" w:hint="cs"/>
          <w:sz w:val="30"/>
          <w:szCs w:val="30"/>
          <w:rtl/>
        </w:rPr>
        <w:t>العيارات النارية</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 xml:space="preserve">طوال اليوم </w:t>
      </w:r>
      <w:r w:rsidRPr="00967CB7">
        <w:rPr>
          <w:rFonts w:ascii="Traditional Arabic" w:hAnsi="Traditional Arabic" w:cs="Traditional Arabic"/>
          <w:sz w:val="30"/>
          <w:szCs w:val="30"/>
          <w:rtl/>
        </w:rPr>
        <w:t>أولئك الذين وصلوا أو حاولوا مغادرة القطي</w:t>
      </w:r>
      <w:r w:rsidRPr="00967CB7">
        <w:rPr>
          <w:rFonts w:ascii="Traditional Arabic" w:hAnsi="Traditional Arabic" w:cs="Traditional Arabic" w:hint="cs"/>
          <w:sz w:val="30"/>
          <w:szCs w:val="30"/>
          <w:rtl/>
        </w:rPr>
        <w:t>ع</w:t>
      </w:r>
      <w:r w:rsidRPr="00967CB7">
        <w:rPr>
          <w:rFonts w:ascii="Traditional Arabic" w:hAnsi="Traditional Arabic" w:cs="Traditional Arabic"/>
          <w:sz w:val="30"/>
          <w:szCs w:val="30"/>
          <w:rtl/>
        </w:rPr>
        <w:t xml:space="preserve"> عبر البوابة الأمامية، مما أسفر عن مقتل 12 مدنياً وإصابة أكثر من 40. وكان من بين الضحايا رجال ونساء وأطفال</w:t>
      </w:r>
      <w:r w:rsidR="00702492">
        <w:rPr>
          <w:rFonts w:ascii="Traditional Arabic" w:hAnsi="Traditional Arabic" w:cs="Traditional Arabic" w:hint="cs"/>
          <w:sz w:val="30"/>
          <w:szCs w:val="30"/>
          <w:rtl/>
        </w:rPr>
        <w:t xml:space="preserve"> الذين </w:t>
      </w:r>
      <w:r w:rsidRPr="00967CB7">
        <w:rPr>
          <w:rFonts w:ascii="Traditional Arabic" w:hAnsi="Traditional Arabic" w:cs="Traditional Arabic"/>
          <w:sz w:val="30"/>
          <w:szCs w:val="30"/>
          <w:rtl/>
        </w:rPr>
        <w:t xml:space="preserve">كانوا مرضى وزوار وممرضين ومتطوعين، </w:t>
      </w:r>
      <w:r w:rsidRPr="00967CB7">
        <w:rPr>
          <w:rFonts w:ascii="Traditional Arabic" w:hAnsi="Traditional Arabic" w:cs="Traditional Arabic" w:hint="cs"/>
          <w:sz w:val="30"/>
          <w:szCs w:val="30"/>
          <w:rtl/>
        </w:rPr>
        <w:t xml:space="preserve">فضلاً عن </w:t>
      </w:r>
      <w:r w:rsidRPr="00967CB7">
        <w:rPr>
          <w:rFonts w:ascii="Traditional Arabic" w:hAnsi="Traditional Arabic" w:cs="Traditional Arabic"/>
          <w:sz w:val="30"/>
          <w:szCs w:val="30"/>
          <w:rtl/>
        </w:rPr>
        <w:t>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سعف</w:t>
      </w:r>
      <w:r w:rsidR="009C6CD1">
        <w:rPr>
          <w:rFonts w:ascii="Traditional Arabic" w:hAnsi="Traditional Arabic" w:cs="Traditional Arabic" w:hint="cs"/>
          <w:sz w:val="30"/>
          <w:szCs w:val="30"/>
          <w:rtl/>
        </w:rPr>
        <w:t>.</w:t>
      </w:r>
      <w:r w:rsidR="009C6CD1">
        <w:rPr>
          <w:rStyle w:val="FootnoteReference"/>
          <w:rFonts w:cs="Traditional Arabic"/>
          <w:szCs w:val="30"/>
          <w:rtl/>
        </w:rPr>
        <w:footnoteReference w:id="142"/>
      </w:r>
      <w:r w:rsidRPr="00967CB7">
        <w:rPr>
          <w:rFonts w:ascii="Traditional Arabic" w:hAnsi="Traditional Arabic" w:cs="Traditional Arabic"/>
          <w:sz w:val="30"/>
          <w:szCs w:val="30"/>
          <w:rtl/>
        </w:rPr>
        <w:t xml:space="preserve"> أصيب الضحايا </w:t>
      </w:r>
      <w:r w:rsidRPr="00967CB7">
        <w:rPr>
          <w:rFonts w:ascii="Traditional Arabic" w:hAnsi="Traditional Arabic" w:cs="Traditional Arabic" w:hint="cs"/>
          <w:sz w:val="30"/>
          <w:szCs w:val="30"/>
          <w:rtl/>
        </w:rPr>
        <w:t>في</w:t>
      </w:r>
      <w:r w:rsidRPr="00967CB7">
        <w:rPr>
          <w:rFonts w:ascii="Traditional Arabic" w:hAnsi="Traditional Arabic" w:cs="Traditional Arabic"/>
          <w:sz w:val="30"/>
          <w:szCs w:val="30"/>
          <w:rtl/>
        </w:rPr>
        <w:t xml:space="preserve"> رؤوسهم وحلقهم وأقدامهم وأرجلهم</w:t>
      </w:r>
      <w:r w:rsidRPr="00967CB7">
        <w:rPr>
          <w:sz w:val="24"/>
          <w:szCs w:val="24"/>
          <w:vertAlign w:val="superscript"/>
        </w:rPr>
        <w:footnoteReference w:id="143"/>
      </w:r>
      <w:r w:rsidRPr="00967CB7">
        <w:rPr>
          <w:rFonts w:asciiTheme="majorBidi" w:hAnsiTheme="majorBidi" w:cstheme="majorBidi"/>
          <w:sz w:val="24"/>
          <w:szCs w:val="24"/>
        </w:rPr>
        <w:t xml:space="preserve"> </w:t>
      </w:r>
      <w:r w:rsidRPr="00967CB7">
        <w:rPr>
          <w:rFonts w:asciiTheme="majorBidi" w:hAnsiTheme="majorBidi"/>
          <w:sz w:val="24"/>
          <w:szCs w:val="24"/>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ترك</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ز إطلاق النار على البوابة الأمامية للمجمع والواجهة والنوافذ</w:t>
      </w:r>
      <w:r w:rsidRPr="00967CB7">
        <w:rPr>
          <w:sz w:val="24"/>
          <w:szCs w:val="24"/>
          <w:vertAlign w:val="superscript"/>
        </w:rPr>
        <w:footnoteReference w:id="14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(انظر القسم التالي حول الاستخدام </w:t>
      </w:r>
      <w:r w:rsidRPr="00967CB7">
        <w:rPr>
          <w:rFonts w:ascii="Traditional Arabic" w:hAnsi="Traditional Arabic" w:cs="Traditional Arabic"/>
          <w:sz w:val="30"/>
          <w:szCs w:val="30"/>
          <w:rtl/>
        </w:rPr>
        <w:lastRenderedPageBreak/>
        <w:t xml:space="preserve">العسكري للمستشفيات </w:t>
      </w:r>
      <w:r w:rsidRPr="00967CB7">
        <w:rPr>
          <w:rFonts w:ascii="Traditional Arabic" w:hAnsi="Traditional Arabic" w:cs="Traditional Arabic" w:hint="cs"/>
          <w:sz w:val="30"/>
          <w:szCs w:val="30"/>
          <w:rtl/>
        </w:rPr>
        <w:t>والذي تسبّب ب</w:t>
      </w:r>
      <w:r w:rsidRPr="00967CB7">
        <w:rPr>
          <w:rFonts w:ascii="Traditional Arabic" w:hAnsi="Traditional Arabic" w:cs="Traditional Arabic"/>
          <w:sz w:val="30"/>
          <w:szCs w:val="30"/>
          <w:rtl/>
        </w:rPr>
        <w:t>أضرار وخسائر في صفوف المدنيين ومنع الوصول إلى الرعاية الصحية)</w:t>
      </w:r>
      <w:r w:rsidRPr="00967CB7">
        <w:rPr>
          <w:rFonts w:ascii="Traditional Arabic" w:hAnsi="Traditional Arabic" w:cs="Traditional Arabic"/>
          <w:sz w:val="30"/>
          <w:szCs w:val="30"/>
        </w:rPr>
        <w:t>.</w:t>
      </w:r>
    </w:p>
    <w:p w14:paraId="57821CE8" w14:textId="4A30A6DF"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 xml:space="preserve"> في أبريل / نيسان 2015، في حي المعلا، قتل قناصة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في بلوك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 xml:space="preserve">عامودي بالقرب من الشارع الرئيسي ما لا يقل عن 12 شخصًا. اثنان منهم من مقاتلي المقاومة، بينما كان الآخرون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عشرة</w:t>
      </w:r>
      <w:r w:rsidRPr="00967CB7">
        <w:rPr>
          <w:rFonts w:ascii="Traditional Arabic" w:hAnsi="Traditional Arabic" w:cs="Traditional Arabic" w:hint="cs"/>
          <w:sz w:val="30"/>
          <w:szCs w:val="30"/>
          <w:rtl/>
        </w:rPr>
        <w:t xml:space="preserve"> من ال</w:t>
      </w:r>
      <w:r w:rsidRPr="00967CB7">
        <w:rPr>
          <w:rFonts w:ascii="Traditional Arabic" w:hAnsi="Traditional Arabic" w:cs="Traditional Arabic"/>
          <w:sz w:val="30"/>
          <w:szCs w:val="30"/>
          <w:rtl/>
        </w:rPr>
        <w:t xml:space="preserve">مدنيين. وكان اثنان من الضحايا من المتطوعين الطبيين الذين توفوا متأثرين بجراحهم في المستشفى. </w:t>
      </w:r>
      <w:r w:rsidRPr="00967CB7">
        <w:rPr>
          <w:rFonts w:ascii="Traditional Arabic" w:hAnsi="Traditional Arabic" w:cs="Traditional Arabic" w:hint="cs"/>
          <w:sz w:val="30"/>
          <w:szCs w:val="30"/>
          <w:rtl/>
        </w:rPr>
        <w:t>استحال</w:t>
      </w:r>
      <w:r w:rsidRPr="00967CB7">
        <w:rPr>
          <w:rFonts w:ascii="Traditional Arabic" w:hAnsi="Traditional Arabic" w:cs="Traditional Arabic"/>
          <w:sz w:val="30"/>
          <w:szCs w:val="30"/>
          <w:rtl/>
        </w:rPr>
        <w:t xml:space="preserve"> نقل العديد من جثث </w:t>
      </w:r>
      <w:r w:rsidRPr="00967CB7">
        <w:rPr>
          <w:rFonts w:ascii="Traditional Arabic" w:hAnsi="Traditional Arabic" w:cs="Traditional Arabic" w:hint="cs"/>
          <w:sz w:val="30"/>
          <w:szCs w:val="30"/>
          <w:rtl/>
        </w:rPr>
        <w:t>ال</w:t>
      </w:r>
      <w:r w:rsidRPr="00967CB7">
        <w:rPr>
          <w:rFonts w:ascii="Traditional Arabic" w:hAnsi="Traditional Arabic" w:cs="Traditional Arabic"/>
          <w:sz w:val="30"/>
          <w:szCs w:val="30"/>
          <w:rtl/>
        </w:rPr>
        <w:t xml:space="preserve">ضحايا من الموقع بسبب تواجد </w:t>
      </w:r>
      <w:r w:rsidRPr="00967CB7">
        <w:rPr>
          <w:rFonts w:ascii="Traditional Arabic" w:hAnsi="Traditional Arabic" w:cs="Traditional Arabic" w:hint="cs"/>
          <w:sz w:val="30"/>
          <w:szCs w:val="30"/>
          <w:rtl/>
        </w:rPr>
        <w:t>ا</w:t>
      </w:r>
      <w:r w:rsidRPr="00967CB7">
        <w:rPr>
          <w:rFonts w:ascii="Traditional Arabic" w:hAnsi="Traditional Arabic" w:cs="Traditional Arabic"/>
          <w:sz w:val="30"/>
          <w:szCs w:val="30"/>
          <w:rtl/>
        </w:rPr>
        <w:t>لقناصة</w:t>
      </w:r>
      <w:r w:rsidRPr="00967CB7">
        <w:rPr>
          <w:rFonts w:ascii="Traditional Arabic" w:hAnsi="Traditional Arabic" w:cs="Traditional Arabic" w:hint="cs"/>
          <w:sz w:val="30"/>
          <w:szCs w:val="30"/>
          <w:rtl/>
        </w:rPr>
        <w:t xml:space="preserve"> بشكل دائم</w:t>
      </w:r>
      <w:r w:rsidRPr="00967CB7">
        <w:rPr>
          <w:sz w:val="24"/>
          <w:szCs w:val="24"/>
          <w:vertAlign w:val="superscript"/>
        </w:rPr>
        <w:footnoteReference w:id="145"/>
      </w:r>
      <w:r w:rsidRPr="00967CB7">
        <w:rPr>
          <w:rFonts w:asciiTheme="majorBidi" w:hAnsiTheme="majorBidi" w:cstheme="majorBidi"/>
          <w:sz w:val="24"/>
          <w:szCs w:val="24"/>
          <w:shd w:val="clear" w:color="auto" w:fill="F6F6F6"/>
        </w:rPr>
        <w:t>.</w:t>
      </w:r>
    </w:p>
    <w:p w14:paraId="359BC853"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في نيسان / أبريل وأيار / مايو 2015، أطلق مقاتلو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المتمركزون في م</w:t>
      </w:r>
      <w:r w:rsidRPr="00967CB7">
        <w:rPr>
          <w:rFonts w:ascii="Traditional Arabic" w:hAnsi="Traditional Arabic" w:cs="Traditional Arabic" w:hint="cs"/>
          <w:sz w:val="30"/>
          <w:szCs w:val="30"/>
          <w:rtl/>
        </w:rPr>
        <w:t>ديرية</w:t>
      </w:r>
      <w:r w:rsidRPr="00967CB7">
        <w:rPr>
          <w:rFonts w:ascii="Traditional Arabic" w:hAnsi="Traditional Arabic" w:cs="Traditional Arabic"/>
          <w:sz w:val="30"/>
          <w:szCs w:val="30"/>
          <w:rtl/>
        </w:rPr>
        <w:t xml:space="preserve"> كريتر </w:t>
      </w:r>
      <w:r w:rsidRPr="00967CB7">
        <w:rPr>
          <w:rFonts w:ascii="Traditional Arabic" w:hAnsi="Traditional Arabic" w:cs="Traditional Arabic" w:hint="cs"/>
          <w:sz w:val="30"/>
          <w:szCs w:val="30"/>
          <w:rtl/>
        </w:rPr>
        <w:t xml:space="preserve">قذائف </w:t>
      </w:r>
      <w:r w:rsidRPr="00967CB7">
        <w:rPr>
          <w:rFonts w:ascii="Traditional Arabic" w:hAnsi="Traditional Arabic" w:cs="Traditional Arabic"/>
          <w:sz w:val="30"/>
          <w:szCs w:val="30"/>
          <w:rtl/>
        </w:rPr>
        <w:t xml:space="preserve">دبابات وقذائف صاروخية وقذائف هاون ونيران أسلحة خفيفة أصابت المدنيين ومقاتلي المقاومة.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أقاموا مواقع قنص على جبل المع</w:t>
      </w:r>
      <w:r w:rsidRPr="00967CB7">
        <w:rPr>
          <w:rFonts w:ascii="Traditional Arabic" w:hAnsi="Traditional Arabic" w:cs="Traditional Arabic" w:hint="cs"/>
          <w:sz w:val="30"/>
          <w:szCs w:val="30"/>
          <w:rtl/>
        </w:rPr>
        <w:t>ا</w:t>
      </w:r>
      <w:r w:rsidRPr="00967CB7">
        <w:rPr>
          <w:rFonts w:ascii="Traditional Arabic" w:hAnsi="Traditional Arabic" w:cs="Traditional Arabic"/>
          <w:sz w:val="30"/>
          <w:szCs w:val="30"/>
          <w:rtl/>
        </w:rPr>
        <w:t>شق</w:t>
      </w:r>
      <w:r w:rsidRPr="00967CB7">
        <w:rPr>
          <w:sz w:val="24"/>
          <w:szCs w:val="24"/>
          <w:vertAlign w:val="superscript"/>
        </w:rPr>
        <w:footnoteReference w:id="146"/>
      </w:r>
      <w:r w:rsidRPr="00967CB7">
        <w:rPr>
          <w:rFonts w:asciiTheme="majorBidi" w:hAnsiTheme="majorBidi" w:cstheme="majorBidi"/>
          <w:sz w:val="24"/>
          <w:szCs w:val="24"/>
          <w:vertAlign w:val="superscript"/>
        </w:rPr>
        <w:t xml:space="preserve"> </w:t>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ونفذوا هجمات قناصة في المنطقة المحيطة بالبنك المركزي ومجم</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ع القطيع الصحي. قُتل وجُرح العشرات من المدنيين، ب</w:t>
      </w:r>
      <w:r w:rsidRPr="00967CB7">
        <w:rPr>
          <w:rFonts w:ascii="Traditional Arabic" w:hAnsi="Traditional Arabic" w:cs="Traditional Arabic" w:hint="cs"/>
          <w:sz w:val="30"/>
          <w:szCs w:val="30"/>
          <w:rtl/>
        </w:rPr>
        <w:t xml:space="preserve">ينهم </w:t>
      </w:r>
      <w:r w:rsidRPr="00967CB7">
        <w:rPr>
          <w:rFonts w:ascii="Traditional Arabic" w:hAnsi="Traditional Arabic" w:cs="Traditional Arabic"/>
          <w:sz w:val="30"/>
          <w:szCs w:val="30"/>
          <w:rtl/>
        </w:rPr>
        <w:t xml:space="preserve">العديد من النساء والأطفال،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معظمهم برصاص القناصة</w:t>
      </w:r>
      <w:r w:rsidRPr="00967CB7">
        <w:rPr>
          <w:rFonts w:ascii="Traditional Arabic" w:hAnsi="Traditional Arabic" w:cs="Traditional Arabic" w:hint="cs"/>
          <w:sz w:val="30"/>
          <w:szCs w:val="30"/>
          <w:rtl/>
        </w:rPr>
        <w:t xml:space="preserve"> </w:t>
      </w:r>
      <w:r w:rsidRPr="00967CB7">
        <w:rPr>
          <w:rFonts w:asciiTheme="majorBidi" w:hAnsiTheme="majorBidi" w:cstheme="majorBidi"/>
          <w:sz w:val="24"/>
          <w:szCs w:val="24"/>
        </w:rPr>
        <w:t>.</w:t>
      </w:r>
      <w:r w:rsidRPr="00967CB7">
        <w:rPr>
          <w:sz w:val="24"/>
          <w:szCs w:val="24"/>
          <w:vertAlign w:val="superscript"/>
        </w:rPr>
        <w:t xml:space="preserve"> </w:t>
      </w:r>
      <w:r w:rsidRPr="00967CB7">
        <w:rPr>
          <w:sz w:val="24"/>
          <w:szCs w:val="24"/>
          <w:vertAlign w:val="superscript"/>
        </w:rPr>
        <w:footnoteReference w:id="147"/>
      </w:r>
    </w:p>
    <w:p w14:paraId="3460DC0A" w14:textId="3547C012" w:rsidR="00967CB7" w:rsidRPr="00967CB7" w:rsidRDefault="00967CB7" w:rsidP="00AA709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967CB7">
        <w:rPr>
          <w:rFonts w:ascii="Traditional Arabic" w:hAnsi="Traditional Arabic" w:cs="Traditional Arabic" w:hint="cs"/>
          <w:sz w:val="30"/>
          <w:szCs w:val="30"/>
          <w:rtl/>
        </w:rPr>
        <w:t>عل</w:t>
      </w:r>
      <w:r w:rsidRPr="00967CB7">
        <w:rPr>
          <w:rFonts w:ascii="Traditional Arabic" w:hAnsi="Traditional Arabic" w:cs="Traditional Arabic"/>
          <w:sz w:val="30"/>
          <w:szCs w:val="30"/>
          <w:rtl/>
        </w:rPr>
        <w:t>ى الرغم من أن مقاتلي الحوثي</w:t>
      </w:r>
      <w:r w:rsidRPr="00967CB7">
        <w:rPr>
          <w:rFonts w:ascii="Traditional Arabic" w:hAnsi="Traditional Arabic" w:cs="Traditional Arabic" w:hint="cs"/>
          <w:sz w:val="30"/>
          <w:szCs w:val="30"/>
          <w:rtl/>
        </w:rPr>
        <w:t xml:space="preserve">ين </w:t>
      </w:r>
      <w:r w:rsidRPr="00967CB7">
        <w:rPr>
          <w:rFonts w:ascii="Traditional Arabic" w:hAnsi="Traditional Arabic" w:cs="Traditional Arabic"/>
          <w:sz w:val="30"/>
          <w:szCs w:val="30"/>
          <w:rtl/>
        </w:rPr>
        <w:t>-</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صالح لم يتمكنوا من السيطرة على </w:t>
      </w:r>
      <w:r w:rsidRPr="00967CB7">
        <w:rPr>
          <w:rFonts w:ascii="Traditional Arabic" w:hAnsi="Traditional Arabic" w:cs="Traditional Arabic" w:hint="cs"/>
          <w:sz w:val="30"/>
          <w:szCs w:val="30"/>
          <w:rtl/>
        </w:rPr>
        <w:t>مديرية</w:t>
      </w:r>
      <w:r w:rsidRPr="00967CB7">
        <w:rPr>
          <w:rFonts w:ascii="Traditional Arabic" w:hAnsi="Traditional Arabic" w:cs="Traditional Arabic"/>
          <w:sz w:val="30"/>
          <w:szCs w:val="30"/>
          <w:rtl/>
        </w:rPr>
        <w:t xml:space="preserve"> دار سعد، إلا أنهم أقاموا قواعد في المباني العالية والفنادق على مشارف ا</w:t>
      </w:r>
      <w:r w:rsidRPr="00967CB7">
        <w:rPr>
          <w:rFonts w:ascii="Traditional Arabic" w:hAnsi="Traditional Arabic" w:cs="Traditional Arabic" w:hint="cs"/>
          <w:sz w:val="30"/>
          <w:szCs w:val="30"/>
          <w:rtl/>
        </w:rPr>
        <w:t>لمديرية</w:t>
      </w:r>
      <w:r w:rsidRPr="00967CB7">
        <w:rPr>
          <w:rFonts w:ascii="Traditional Arabic" w:hAnsi="Traditional Arabic" w:cs="Traditional Arabic"/>
          <w:sz w:val="30"/>
          <w:szCs w:val="30"/>
          <w:rtl/>
        </w:rPr>
        <w:t xml:space="preserve"> على </w:t>
      </w:r>
      <w:r w:rsidRPr="00967CB7">
        <w:rPr>
          <w:rFonts w:ascii="Traditional Arabic" w:hAnsi="Traditional Arabic" w:cs="Traditional Arabic" w:hint="cs"/>
          <w:sz w:val="30"/>
          <w:szCs w:val="30"/>
          <w:rtl/>
        </w:rPr>
        <w:t>طريق</w:t>
      </w:r>
      <w:r w:rsidRPr="00967CB7">
        <w:rPr>
          <w:rFonts w:ascii="Traditional Arabic" w:hAnsi="Traditional Arabic" w:cs="Traditional Arabic"/>
          <w:sz w:val="30"/>
          <w:szCs w:val="30"/>
          <w:rtl/>
        </w:rPr>
        <w:t xml:space="preserve"> عدن </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تعز وشنوا هجمات بالمدفعية والقناصة على المنطقة. يقع أحد مواقع القناصة في مبنى الغويزي على طريق عدن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تعز</w:t>
      </w:r>
      <w:r w:rsidRPr="00967CB7">
        <w:rPr>
          <w:sz w:val="24"/>
          <w:szCs w:val="24"/>
          <w:vertAlign w:val="superscript"/>
        </w:rPr>
        <w:footnoteReference w:id="148"/>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w:t>
      </w:r>
      <w:r w:rsidRPr="00967CB7">
        <w:rPr>
          <w:rFonts w:ascii="Traditional Arabic" w:hAnsi="Traditional Arabic" w:cs="Traditional Arabic" w:hint="cs"/>
          <w:sz w:val="30"/>
          <w:szCs w:val="30"/>
          <w:rtl/>
        </w:rPr>
        <w:t xml:space="preserve"> أحد الأيام</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لم يُذكر ال</w:t>
      </w:r>
      <w:r w:rsidRPr="00967CB7">
        <w:rPr>
          <w:rFonts w:ascii="Traditional Arabic" w:hAnsi="Traditional Arabic" w:cs="Traditional Arabic"/>
          <w:sz w:val="30"/>
          <w:szCs w:val="30"/>
          <w:rtl/>
        </w:rPr>
        <w:t>تاريخ</w:t>
      </w:r>
      <w:r w:rsidRPr="00967CB7">
        <w:rPr>
          <w:rFonts w:ascii="Traditional Arabic" w:hAnsi="Traditional Arabic" w:cs="Traditional Arabic" w:hint="cs"/>
          <w:sz w:val="30"/>
          <w:szCs w:val="30"/>
          <w:rtl/>
        </w:rPr>
        <w:t xml:space="preserve"> ل</w:t>
      </w:r>
      <w:r w:rsidRPr="00967CB7">
        <w:rPr>
          <w:rFonts w:ascii="Traditional Arabic" w:hAnsi="Traditional Arabic" w:cs="Traditional Arabic"/>
          <w:sz w:val="30"/>
          <w:szCs w:val="30"/>
          <w:rtl/>
        </w:rPr>
        <w:t xml:space="preserve">حماية الضحايا)، أطلق قناص </w:t>
      </w:r>
      <w:r w:rsidRPr="00967CB7">
        <w:rPr>
          <w:rFonts w:ascii="Traditional Arabic" w:hAnsi="Traditional Arabic" w:cs="Traditional Arabic" w:hint="cs"/>
          <w:sz w:val="30"/>
          <w:szCs w:val="30"/>
          <w:rtl/>
        </w:rPr>
        <w:t>في</w:t>
      </w:r>
      <w:r w:rsidRPr="00967CB7">
        <w:rPr>
          <w:rFonts w:ascii="Traditional Arabic" w:hAnsi="Traditional Arabic" w:cs="Traditional Arabic"/>
          <w:sz w:val="30"/>
          <w:szCs w:val="30"/>
          <w:rtl/>
        </w:rPr>
        <w:t xml:space="preserve"> الغويزي النار باتجاه أب يحمل طفلاً عمره عام واحد بين ذراعيه، مما أسفر عن إصابة كليهما. ونتيجة لذلك، تعر</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ض الطفل الصغير لأضرار بالغة في ساقه. اعتبر الفريق أن هذا الهجوم استهدف الضحايا المدنيين عن عمد</w:t>
      </w:r>
      <w:r w:rsidR="00AA0391">
        <w:rPr>
          <w:rFonts w:ascii="Traditional Arabic" w:hAnsi="Traditional Arabic" w:cs="Traditional Arabic" w:hint="cs"/>
          <w:sz w:val="30"/>
          <w:szCs w:val="30"/>
          <w:rtl/>
        </w:rPr>
        <w:t xml:space="preserve"> مع سابق معرفتهم أنهم مدنيين</w:t>
      </w:r>
      <w:r w:rsidRPr="00967CB7">
        <w:rPr>
          <w:rFonts w:ascii="Traditional Arabic" w:hAnsi="Traditional Arabic" w:cs="Traditional Arabic"/>
          <w:sz w:val="30"/>
          <w:szCs w:val="30"/>
        </w:rPr>
        <w:t>.</w:t>
      </w:r>
    </w:p>
    <w:p w14:paraId="02E634D8"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hint="cs"/>
          <w:sz w:val="30"/>
          <w:szCs w:val="30"/>
          <w:rtl/>
        </w:rPr>
        <w:t>بعد</w:t>
      </w:r>
      <w:r w:rsidRPr="00967CB7">
        <w:rPr>
          <w:rFonts w:ascii="Traditional Arabic" w:hAnsi="Traditional Arabic" w:cs="Traditional Arabic"/>
          <w:sz w:val="30"/>
          <w:szCs w:val="30"/>
          <w:rtl/>
        </w:rPr>
        <w:t xml:space="preserve"> الاستيلاء على بلدة الحوطة، في محافظة لحج، انتشر قناصة الحوثي</w:t>
      </w:r>
      <w:r w:rsidRPr="00967CB7">
        <w:rPr>
          <w:rFonts w:ascii="Traditional Arabic" w:hAnsi="Traditional Arabic" w:cs="Traditional Arabic" w:hint="cs"/>
          <w:sz w:val="30"/>
          <w:szCs w:val="30"/>
          <w:rtl/>
        </w:rPr>
        <w:t>ين -</w:t>
      </w:r>
      <w:r w:rsidRPr="00967CB7">
        <w:rPr>
          <w:rFonts w:ascii="Traditional Arabic" w:hAnsi="Traditional Arabic" w:cs="Traditional Arabic"/>
          <w:sz w:val="30"/>
          <w:szCs w:val="30"/>
          <w:rtl/>
        </w:rPr>
        <w:t xml:space="preserve"> صالح في المباني </w:t>
      </w:r>
      <w:r w:rsidRPr="00967CB7">
        <w:rPr>
          <w:rFonts w:ascii="Traditional Arabic" w:hAnsi="Traditional Arabic" w:cs="Traditional Arabic" w:hint="cs"/>
          <w:sz w:val="30"/>
          <w:szCs w:val="30"/>
          <w:rtl/>
        </w:rPr>
        <w:t xml:space="preserve">الواقعة </w:t>
      </w:r>
      <w:r w:rsidRPr="00967CB7">
        <w:rPr>
          <w:rFonts w:ascii="Traditional Arabic" w:hAnsi="Traditional Arabic" w:cs="Traditional Arabic"/>
          <w:sz w:val="30"/>
          <w:szCs w:val="30"/>
          <w:rtl/>
        </w:rPr>
        <w:t xml:space="preserve">في الشوارع الرئيسية </w:t>
      </w:r>
      <w:r w:rsidRPr="00967CB7">
        <w:rPr>
          <w:rFonts w:ascii="Traditional Arabic" w:hAnsi="Traditional Arabic" w:cs="Traditional Arabic" w:hint="cs"/>
          <w:sz w:val="30"/>
          <w:szCs w:val="30"/>
          <w:rtl/>
        </w:rPr>
        <w:t>ل</w:t>
      </w:r>
      <w:r w:rsidRPr="00967CB7">
        <w:rPr>
          <w:rFonts w:ascii="Traditional Arabic" w:hAnsi="Traditional Arabic" w:cs="Traditional Arabic"/>
          <w:sz w:val="30"/>
          <w:szCs w:val="30"/>
          <w:rtl/>
        </w:rPr>
        <w:t xml:space="preserve">لمدينة. استهدفوا عناصر </w:t>
      </w:r>
      <w:r w:rsidRPr="00967CB7">
        <w:rPr>
          <w:rFonts w:ascii="Traditional Arabic" w:hAnsi="Traditional Arabic" w:cs="Traditional Arabic" w:hint="cs"/>
          <w:sz w:val="30"/>
          <w:szCs w:val="30"/>
          <w:rtl/>
        </w:rPr>
        <w:t xml:space="preserve">من </w:t>
      </w:r>
      <w:r w:rsidRPr="00967CB7">
        <w:rPr>
          <w:rFonts w:ascii="Traditional Arabic" w:hAnsi="Traditional Arabic" w:cs="Traditional Arabic"/>
          <w:sz w:val="30"/>
          <w:szCs w:val="30"/>
          <w:rtl/>
        </w:rPr>
        <w:t xml:space="preserve">المقاومة والمدنيين. </w:t>
      </w:r>
      <w:r w:rsidRPr="00967CB7">
        <w:rPr>
          <w:rFonts w:ascii="Traditional Arabic" w:hAnsi="Traditional Arabic" w:cs="Traditional Arabic" w:hint="cs"/>
          <w:sz w:val="30"/>
          <w:szCs w:val="30"/>
          <w:rtl/>
        </w:rPr>
        <w:t xml:space="preserve">وأدّى ذلك الى التأثير على </w:t>
      </w:r>
      <w:r w:rsidRPr="00967CB7">
        <w:rPr>
          <w:rFonts w:ascii="Traditional Arabic" w:hAnsi="Traditional Arabic" w:cs="Traditional Arabic"/>
          <w:sz w:val="30"/>
          <w:szCs w:val="30"/>
          <w:rtl/>
        </w:rPr>
        <w:t>تقييد الحركة عبر المدينة، بما في ذلك نقل الاحتياجات الأساسية، مثل المياه</w:t>
      </w:r>
      <w:r w:rsidRPr="00E445C0">
        <w:rPr>
          <w:rFonts w:ascii="Traditional Arabic" w:hAnsi="Traditional Arabic" w:cs="Traditional Arabic"/>
          <w:sz w:val="24"/>
          <w:szCs w:val="24"/>
          <w:vertAlign w:val="superscript"/>
        </w:rPr>
        <w:footnoteReference w:id="149"/>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يقع أحد مواقع القناصة في مبنى مكو</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ن من خمسة طوابق بجوار مبنى الهلالي، أمام مستشفى ابن خلدون، ويقع موقع قناص آخر </w:t>
      </w:r>
      <w:r w:rsidRPr="00967CB7">
        <w:rPr>
          <w:rFonts w:ascii="Traditional Arabic" w:hAnsi="Traditional Arabic" w:cs="Traditional Arabic" w:hint="cs"/>
          <w:sz w:val="30"/>
          <w:szCs w:val="30"/>
          <w:rtl/>
        </w:rPr>
        <w:t xml:space="preserve">عند </w:t>
      </w:r>
      <w:r w:rsidRPr="00967CB7">
        <w:rPr>
          <w:rFonts w:ascii="Traditional Arabic" w:hAnsi="Traditional Arabic" w:cs="Traditional Arabic"/>
          <w:sz w:val="30"/>
          <w:szCs w:val="30"/>
          <w:rtl/>
        </w:rPr>
        <w:t>أعلى مبنى الشعيدي في السوق</w:t>
      </w:r>
      <w:r w:rsidRPr="00967CB7">
        <w:rPr>
          <w:sz w:val="24"/>
          <w:szCs w:val="24"/>
          <w:vertAlign w:val="superscript"/>
        </w:rPr>
        <w:footnoteReference w:id="150"/>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شاهد أحد المتطوعين الطبيين الذين ساعدوا الجرحى طوال ال</w:t>
      </w:r>
      <w:r w:rsidRPr="00967CB7">
        <w:rPr>
          <w:rFonts w:ascii="Traditional Arabic" w:hAnsi="Traditional Arabic" w:cs="Traditional Arabic" w:hint="cs"/>
          <w:sz w:val="30"/>
          <w:szCs w:val="30"/>
          <w:rtl/>
        </w:rPr>
        <w:t>صراع</w:t>
      </w:r>
      <w:r w:rsidRPr="00967CB7">
        <w:rPr>
          <w:rFonts w:ascii="Traditional Arabic" w:hAnsi="Traditional Arabic" w:cs="Traditional Arabic"/>
          <w:sz w:val="30"/>
          <w:szCs w:val="30"/>
          <w:rtl/>
        </w:rPr>
        <w:t xml:space="preserve"> حوالي 50 قتيلاً وجريحًا على أيدي مقاتلي الحوثي</w:t>
      </w:r>
      <w:r w:rsidRPr="00967CB7">
        <w:rPr>
          <w:rFonts w:ascii="Traditional Arabic" w:hAnsi="Traditional Arabic" w:cs="Traditional Arabic" w:hint="cs"/>
          <w:sz w:val="30"/>
          <w:szCs w:val="30"/>
          <w:rtl/>
        </w:rPr>
        <w:t>ين-</w:t>
      </w:r>
      <w:r w:rsidRPr="00967CB7">
        <w:rPr>
          <w:rFonts w:ascii="Traditional Arabic" w:hAnsi="Traditional Arabic" w:cs="Traditional Arabic"/>
          <w:sz w:val="30"/>
          <w:szCs w:val="30"/>
          <w:rtl/>
        </w:rPr>
        <w:t xml:space="preserve"> صالح وهم يقصفون </w:t>
      </w:r>
      <w:r w:rsidRPr="00967CB7">
        <w:rPr>
          <w:rFonts w:ascii="Traditional Arabic" w:hAnsi="Traditional Arabic" w:cs="Traditional Arabic" w:hint="cs"/>
          <w:sz w:val="30"/>
          <w:szCs w:val="30"/>
          <w:rtl/>
        </w:rPr>
        <w:t>ويقنصون</w:t>
      </w:r>
      <w:r w:rsidRPr="00967CB7">
        <w:rPr>
          <w:rFonts w:ascii="Traditional Arabic" w:hAnsi="Traditional Arabic" w:cs="Traditional Arabic"/>
          <w:sz w:val="30"/>
          <w:szCs w:val="30"/>
          <w:rtl/>
        </w:rPr>
        <w:t xml:space="preserve"> خلال هجوم عام 2015. وكان معظم الضحايا من المدنيين، بي</w:t>
      </w:r>
      <w:r w:rsidRPr="00967CB7">
        <w:rPr>
          <w:rFonts w:ascii="Traditional Arabic" w:hAnsi="Traditional Arabic" w:cs="Traditional Arabic" w:hint="cs"/>
          <w:sz w:val="30"/>
          <w:szCs w:val="30"/>
          <w:rtl/>
        </w:rPr>
        <w:t>ن</w:t>
      </w:r>
      <w:r w:rsidRPr="00967CB7">
        <w:rPr>
          <w:rFonts w:ascii="Traditional Arabic" w:hAnsi="Traditional Arabic" w:cs="Traditional Arabic"/>
          <w:sz w:val="30"/>
          <w:szCs w:val="30"/>
          <w:rtl/>
        </w:rPr>
        <w:t xml:space="preserve">هم نساء وأطفال. حوالي 10 إلى 15 من </w:t>
      </w:r>
      <w:r w:rsidRPr="00967CB7">
        <w:rPr>
          <w:rFonts w:ascii="Traditional Arabic" w:hAnsi="Traditional Arabic" w:cs="Traditional Arabic"/>
          <w:sz w:val="30"/>
          <w:szCs w:val="30"/>
          <w:rtl/>
        </w:rPr>
        <w:lastRenderedPageBreak/>
        <w:t>هؤلاء ق</w:t>
      </w:r>
      <w:r w:rsidRPr="00967CB7">
        <w:rPr>
          <w:rFonts w:ascii="Traditional Arabic" w:hAnsi="Traditional Arabic" w:cs="Traditional Arabic" w:hint="cs"/>
          <w:sz w:val="30"/>
          <w:szCs w:val="30"/>
          <w:rtl/>
        </w:rPr>
        <w:t>ُتلوا</w:t>
      </w:r>
      <w:r w:rsidRPr="00967CB7">
        <w:rPr>
          <w:rFonts w:ascii="Traditional Arabic" w:hAnsi="Traditional Arabic" w:cs="Traditional Arabic"/>
          <w:sz w:val="30"/>
          <w:szCs w:val="30"/>
          <w:rtl/>
        </w:rPr>
        <w:t xml:space="preserve"> أو لقوا حتفهم إثر إصاباتهم وعانى كثيرون آخرون من إعاقة دائمة</w:t>
      </w:r>
      <w:r w:rsidRPr="00967CB7">
        <w:rPr>
          <w:rFonts w:asciiTheme="majorBidi" w:hAnsiTheme="majorBidi" w:hint="cs"/>
          <w:sz w:val="24"/>
          <w:szCs w:val="24"/>
          <w:rtl/>
        </w:rPr>
        <w:t>.</w:t>
      </w:r>
      <w:r w:rsidRPr="00967CB7">
        <w:rPr>
          <w:sz w:val="24"/>
          <w:szCs w:val="24"/>
          <w:vertAlign w:val="superscript"/>
        </w:rPr>
        <w:footnoteReference w:id="151"/>
      </w:r>
    </w:p>
    <w:p w14:paraId="5485E157" w14:textId="77777777" w:rsidR="00967CB7" w:rsidRPr="00967CB7"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967CB7">
        <w:rPr>
          <w:rFonts w:ascii="Traditional Arabic" w:hAnsi="Traditional Arabic" w:cs="Traditional Arabic"/>
          <w:sz w:val="30"/>
          <w:szCs w:val="30"/>
          <w:rtl/>
        </w:rPr>
        <w:t>في 26 مارس / آذار أو حوالي ذلك التاريخ، في حي "مشروع خزان المياه"، أطلق قناص النار وقتل رجلاً بالقرب من منزله، ثم أطلق النار على شقيق</w:t>
      </w:r>
      <w:r w:rsidRPr="00967CB7">
        <w:rPr>
          <w:rFonts w:ascii="Traditional Arabic" w:hAnsi="Traditional Arabic" w:cs="Traditional Arabic" w:hint="cs"/>
          <w:sz w:val="30"/>
          <w:szCs w:val="30"/>
          <w:rtl/>
        </w:rPr>
        <w:t xml:space="preserve"> هذا الأخير</w:t>
      </w:r>
      <w:r w:rsidRPr="00967CB7">
        <w:rPr>
          <w:rFonts w:ascii="Traditional Arabic" w:hAnsi="Traditional Arabic" w:cs="Traditional Arabic"/>
          <w:sz w:val="30"/>
          <w:szCs w:val="30"/>
          <w:rtl/>
        </w:rPr>
        <w:t xml:space="preserve"> عندما جاء للمساعدة. </w:t>
      </w:r>
      <w:r w:rsidRPr="00967CB7">
        <w:rPr>
          <w:rFonts w:ascii="Traditional Arabic" w:hAnsi="Traditional Arabic" w:cs="Traditional Arabic" w:hint="cs"/>
          <w:sz w:val="30"/>
          <w:szCs w:val="30"/>
          <w:rtl/>
        </w:rPr>
        <w:t xml:space="preserve">واستحال </w:t>
      </w:r>
      <w:r w:rsidRPr="00967CB7">
        <w:rPr>
          <w:rFonts w:ascii="Traditional Arabic" w:hAnsi="Traditional Arabic" w:cs="Traditional Arabic"/>
          <w:sz w:val="30"/>
          <w:szCs w:val="30"/>
          <w:rtl/>
        </w:rPr>
        <w:t>إزالة الجث</w:t>
      </w:r>
      <w:r w:rsidRPr="00967CB7">
        <w:rPr>
          <w:rFonts w:ascii="Traditional Arabic" w:hAnsi="Traditional Arabic" w:cs="Traditional Arabic" w:hint="cs"/>
          <w:sz w:val="30"/>
          <w:szCs w:val="30"/>
          <w:rtl/>
        </w:rPr>
        <w:t>تين لفترة من الوقت</w:t>
      </w:r>
      <w:r w:rsidRPr="00967CB7">
        <w:rPr>
          <w:rFonts w:ascii="Traditional Arabic" w:hAnsi="Traditional Arabic" w:cs="Traditional Arabic"/>
          <w:sz w:val="30"/>
          <w:szCs w:val="30"/>
          <w:rtl/>
        </w:rPr>
        <w:t xml:space="preserve"> بسبب وجود القناصة </w:t>
      </w:r>
      <w:r w:rsidRPr="00967CB7">
        <w:rPr>
          <w:rFonts w:ascii="Traditional Arabic" w:hAnsi="Traditional Arabic" w:cs="Traditional Arabic" w:hint="cs"/>
          <w:sz w:val="30"/>
          <w:szCs w:val="30"/>
          <w:rtl/>
        </w:rPr>
        <w:t>فأ</w:t>
      </w:r>
      <w:r w:rsidRPr="00967CB7">
        <w:rPr>
          <w:rFonts w:ascii="Traditional Arabic" w:hAnsi="Traditional Arabic" w:cs="Traditional Arabic"/>
          <w:sz w:val="30"/>
          <w:szCs w:val="30"/>
          <w:rtl/>
        </w:rPr>
        <w:t>كل</w:t>
      </w:r>
      <w:r w:rsidRPr="00967CB7">
        <w:rPr>
          <w:rFonts w:ascii="Traditional Arabic" w:hAnsi="Traditional Arabic" w:cs="Traditional Arabic" w:hint="cs"/>
          <w:sz w:val="30"/>
          <w:szCs w:val="30"/>
          <w:rtl/>
        </w:rPr>
        <w:t>ت</w:t>
      </w:r>
      <w:r w:rsidRPr="00967CB7">
        <w:rPr>
          <w:rFonts w:ascii="Traditional Arabic" w:hAnsi="Traditional Arabic" w:cs="Traditional Arabic"/>
          <w:sz w:val="30"/>
          <w:szCs w:val="30"/>
          <w:rtl/>
        </w:rPr>
        <w:t>ه</w:t>
      </w:r>
      <w:r w:rsidRPr="00967CB7">
        <w:rPr>
          <w:rFonts w:ascii="Traditional Arabic" w:hAnsi="Traditional Arabic" w:cs="Traditional Arabic" w:hint="cs"/>
          <w:sz w:val="30"/>
          <w:szCs w:val="30"/>
          <w:rtl/>
        </w:rPr>
        <w:t>م</w:t>
      </w:r>
      <w:r w:rsidRPr="00967CB7">
        <w:rPr>
          <w:rFonts w:ascii="Traditional Arabic" w:hAnsi="Traditional Arabic" w:cs="Traditional Arabic"/>
          <w:sz w:val="30"/>
          <w:szCs w:val="30"/>
          <w:rtl/>
        </w:rPr>
        <w:t>ا الكلاب جزئيًا</w:t>
      </w:r>
      <w:r w:rsidRPr="00967CB7">
        <w:rPr>
          <w:sz w:val="24"/>
          <w:szCs w:val="24"/>
          <w:vertAlign w:val="superscript"/>
        </w:rPr>
        <w:footnoteReference w:id="152"/>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ذكر أحد الضحايا أنه في 2 </w:t>
      </w:r>
      <w:r w:rsidRPr="00967CB7">
        <w:rPr>
          <w:rFonts w:ascii="Traditional Arabic" w:hAnsi="Traditional Arabic" w:cs="Traditional Arabic" w:hint="cs"/>
          <w:sz w:val="30"/>
          <w:szCs w:val="30"/>
          <w:rtl/>
        </w:rPr>
        <w:t xml:space="preserve">نيسان/ </w:t>
      </w:r>
      <w:r w:rsidRPr="00967CB7">
        <w:rPr>
          <w:rFonts w:ascii="Traditional Arabic" w:hAnsi="Traditional Arabic" w:cs="Traditional Arabic"/>
          <w:sz w:val="30"/>
          <w:szCs w:val="30"/>
          <w:rtl/>
        </w:rPr>
        <w:t>أبريل 2015، بينما كان يسير</w:t>
      </w:r>
      <w:r w:rsidRPr="00967CB7">
        <w:rPr>
          <w:rFonts w:ascii="Traditional Arabic" w:hAnsi="Traditional Arabic" w:cs="Traditional Arabic" w:hint="cs"/>
          <w:sz w:val="30"/>
          <w:szCs w:val="30"/>
          <w:rtl/>
        </w:rPr>
        <w:t xml:space="preserve"> </w:t>
      </w:r>
      <w:r w:rsidRPr="00967CB7">
        <w:rPr>
          <w:rFonts w:ascii="Traditional Arabic" w:hAnsi="Traditional Arabic" w:cs="Traditional Arabic"/>
          <w:sz w:val="30"/>
          <w:szCs w:val="30"/>
          <w:rtl/>
        </w:rPr>
        <w:t xml:space="preserve">في شارع الزهراء، في الصباح، قام قناص </w:t>
      </w:r>
      <w:r w:rsidRPr="00967CB7">
        <w:rPr>
          <w:rFonts w:ascii="Traditional Arabic" w:hAnsi="Traditional Arabic" w:cs="Traditional Arabic" w:hint="cs"/>
          <w:sz w:val="30"/>
          <w:szCs w:val="30"/>
          <w:rtl/>
        </w:rPr>
        <w:t>متمو</w:t>
      </w:r>
      <w:r w:rsidRPr="00967CB7">
        <w:rPr>
          <w:rFonts w:ascii="Traditional Arabic" w:hAnsi="Traditional Arabic" w:cs="Traditional Arabic"/>
          <w:sz w:val="30"/>
          <w:szCs w:val="30"/>
          <w:rtl/>
        </w:rPr>
        <w:t>ضع على مبنى عالٍ بال</w:t>
      </w:r>
      <w:r w:rsidRPr="00967CB7">
        <w:rPr>
          <w:rFonts w:ascii="Traditional Arabic" w:hAnsi="Traditional Arabic" w:cs="Traditional Arabic" w:hint="cs"/>
          <w:sz w:val="30"/>
          <w:szCs w:val="30"/>
          <w:rtl/>
        </w:rPr>
        <w:t>جوار</w:t>
      </w:r>
      <w:r w:rsidRPr="00967CB7">
        <w:rPr>
          <w:rFonts w:ascii="Traditional Arabic" w:hAnsi="Traditional Arabic" w:cs="Traditional Arabic"/>
          <w:sz w:val="30"/>
          <w:szCs w:val="30"/>
          <w:rtl/>
        </w:rPr>
        <w:t xml:space="preserve"> بإطلاق النار عليه في ساقه اليسرى</w:t>
      </w:r>
      <w:r w:rsidRPr="00967CB7">
        <w:rPr>
          <w:sz w:val="24"/>
          <w:szCs w:val="24"/>
          <w:vertAlign w:val="superscript"/>
        </w:rPr>
        <w:footnoteReference w:id="153"/>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بعد يومين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 </w:t>
      </w:r>
      <w:r w:rsidRPr="00967CB7">
        <w:rPr>
          <w:rFonts w:ascii="Traditional Arabic" w:hAnsi="Traditional Arabic" w:cs="Traditional Arabic" w:hint="cs"/>
          <w:sz w:val="30"/>
          <w:szCs w:val="30"/>
          <w:rtl/>
        </w:rPr>
        <w:t>و</w:t>
      </w:r>
      <w:r w:rsidRPr="00967CB7">
        <w:rPr>
          <w:rFonts w:ascii="Traditional Arabic" w:hAnsi="Traditional Arabic" w:cs="Traditional Arabic"/>
          <w:sz w:val="30"/>
          <w:szCs w:val="30"/>
          <w:rtl/>
        </w:rPr>
        <w:t>في المنطقة</w:t>
      </w:r>
      <w:r w:rsidRPr="00967CB7">
        <w:rPr>
          <w:rFonts w:ascii="Traditional Arabic" w:hAnsi="Traditional Arabic" w:cs="Traditional Arabic" w:hint="cs"/>
          <w:sz w:val="30"/>
          <w:szCs w:val="30"/>
          <w:rtl/>
        </w:rPr>
        <w:t xml:space="preserve"> نفسها</w:t>
      </w:r>
      <w:r w:rsidRPr="00967CB7">
        <w:rPr>
          <w:rFonts w:ascii="Traditional Arabic" w:hAnsi="Traditional Arabic" w:cs="Traditional Arabic"/>
          <w:sz w:val="30"/>
          <w:szCs w:val="30"/>
          <w:rtl/>
        </w:rPr>
        <w:t>، أطلق قناص النار وقتل رجلاً في شارع التربيه</w:t>
      </w:r>
      <w:r w:rsidRPr="00967CB7">
        <w:rPr>
          <w:sz w:val="24"/>
          <w:szCs w:val="24"/>
          <w:vertAlign w:val="superscript"/>
        </w:rPr>
        <w:footnoteReference w:id="154"/>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 xml:space="preserve">في 4 </w:t>
      </w:r>
      <w:r w:rsidRPr="00967CB7">
        <w:rPr>
          <w:rFonts w:ascii="Traditional Arabic" w:hAnsi="Traditional Arabic" w:cs="Traditional Arabic" w:hint="cs"/>
          <w:sz w:val="30"/>
          <w:szCs w:val="30"/>
          <w:rtl/>
        </w:rPr>
        <w:t xml:space="preserve">أيار/ </w:t>
      </w:r>
      <w:r w:rsidRPr="00967CB7">
        <w:rPr>
          <w:rFonts w:ascii="Traditional Arabic" w:hAnsi="Traditional Arabic" w:cs="Traditional Arabic"/>
          <w:sz w:val="30"/>
          <w:szCs w:val="30"/>
          <w:rtl/>
        </w:rPr>
        <w:t>مايو، على مقربة من سوق السي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 xml:space="preserve">د، أطلق قناص النار وقتل فتاة عمرها ثلاث سنوات </w:t>
      </w:r>
      <w:r w:rsidRPr="00967CB7">
        <w:rPr>
          <w:rFonts w:ascii="Traditional Arabic" w:hAnsi="Traditional Arabic" w:cs="Traditional Arabic" w:hint="cs"/>
          <w:sz w:val="30"/>
          <w:szCs w:val="30"/>
          <w:rtl/>
        </w:rPr>
        <w:t>كان ي</w:t>
      </w:r>
      <w:r w:rsidRPr="00967CB7">
        <w:rPr>
          <w:rFonts w:ascii="Traditional Arabic" w:hAnsi="Traditional Arabic" w:cs="Traditional Arabic"/>
          <w:sz w:val="30"/>
          <w:szCs w:val="30"/>
          <w:rtl/>
        </w:rPr>
        <w:t>حملها والدها وهو يهرب من القصف</w:t>
      </w:r>
      <w:r w:rsidRPr="00967CB7">
        <w:rPr>
          <w:sz w:val="24"/>
          <w:szCs w:val="24"/>
          <w:vertAlign w:val="superscript"/>
        </w:rPr>
        <w:footnoteReference w:id="155"/>
      </w:r>
      <w:r w:rsidRPr="00967CB7">
        <w:rPr>
          <w:rFonts w:asciiTheme="majorBidi" w:hAnsiTheme="majorBidi"/>
          <w:sz w:val="24"/>
          <w:szCs w:val="24"/>
          <w:rtl/>
        </w:rPr>
        <w:t xml:space="preserve">. </w:t>
      </w:r>
      <w:r w:rsidRPr="00967CB7">
        <w:rPr>
          <w:rFonts w:ascii="Traditional Arabic" w:hAnsi="Traditional Arabic" w:cs="Traditional Arabic"/>
          <w:sz w:val="30"/>
          <w:szCs w:val="30"/>
          <w:rtl/>
        </w:rPr>
        <w:t>في أوائل أيار / مايو 2015، وعلى مقربة من سوق السي</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د، أطلق قناص النار على امرأة مسن</w:t>
      </w:r>
      <w:r w:rsidRPr="00967CB7">
        <w:rPr>
          <w:rFonts w:ascii="Traditional Arabic" w:hAnsi="Traditional Arabic" w:cs="Traditional Arabic" w:hint="cs"/>
          <w:sz w:val="30"/>
          <w:szCs w:val="30"/>
          <w:rtl/>
        </w:rPr>
        <w:t>ّ</w:t>
      </w:r>
      <w:r w:rsidRPr="00967CB7">
        <w:rPr>
          <w:rFonts w:ascii="Traditional Arabic" w:hAnsi="Traditional Arabic" w:cs="Traditional Arabic"/>
          <w:sz w:val="30"/>
          <w:szCs w:val="30"/>
          <w:rtl/>
        </w:rPr>
        <w:t>ة وقتلها على الفور</w:t>
      </w:r>
      <w:r w:rsidRPr="00967CB7">
        <w:rPr>
          <w:sz w:val="24"/>
          <w:szCs w:val="24"/>
          <w:vertAlign w:val="superscript"/>
        </w:rPr>
        <w:footnoteReference w:id="156"/>
      </w:r>
      <w:r w:rsidRPr="00967CB7">
        <w:rPr>
          <w:rFonts w:asciiTheme="majorBidi" w:hAnsiTheme="majorBidi" w:cstheme="majorBidi"/>
          <w:sz w:val="24"/>
          <w:szCs w:val="24"/>
        </w:rPr>
        <w:t>.</w:t>
      </w:r>
    </w:p>
    <w:p w14:paraId="0E5BA98A" w14:textId="43B7322C" w:rsidR="00967CB7" w:rsidRPr="00C927B2" w:rsidRDefault="00967CB7" w:rsidP="005F3BF7">
      <w:pPr>
        <w:pStyle w:val="NoSpacing"/>
        <w:tabs>
          <w:tab w:val="left" w:pos="720"/>
          <w:tab w:val="left" w:pos="1134"/>
          <w:tab w:val="left" w:pos="1701"/>
        </w:tabs>
        <w:bidi/>
        <w:spacing w:after="120" w:line="240" w:lineRule="atLeast"/>
        <w:ind w:left="1440" w:right="827" w:hanging="351"/>
        <w:jc w:val="both"/>
        <w:rPr>
          <w:rFonts w:asciiTheme="majorBidi" w:hAnsiTheme="majorBidi" w:cstheme="majorBidi"/>
          <w:color w:val="FF0000"/>
          <w:sz w:val="24"/>
          <w:szCs w:val="24"/>
        </w:rPr>
      </w:pPr>
      <w:r w:rsidRPr="001017A1">
        <w:rPr>
          <w:rFonts w:ascii="Traditional Arabic" w:eastAsia="Times New Roman" w:hAnsi="Traditional Arabic" w:cs="Traditional Arabic" w:hint="eastAsia"/>
          <w:i/>
          <w:iCs/>
          <w:sz w:val="30"/>
          <w:szCs w:val="30"/>
          <w:rtl/>
        </w:rPr>
        <w:t>الانتهاكات</w:t>
      </w:r>
      <w:r w:rsidRPr="001017A1">
        <w:rPr>
          <w:rFonts w:ascii="Traditional Arabic" w:eastAsia="Times New Roman" w:hAnsi="Traditional Arabic" w:cs="Traditional Arabic"/>
          <w:i/>
          <w:iCs/>
          <w:sz w:val="30"/>
          <w:szCs w:val="30"/>
          <w:rtl/>
        </w:rPr>
        <w:t xml:space="preserve"> </w:t>
      </w:r>
    </w:p>
    <w:p w14:paraId="6D83C5EF"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b/>
          <w:bCs/>
          <w:color w:val="FF0000"/>
          <w:sz w:val="24"/>
          <w:szCs w:val="24"/>
          <w:rtl/>
        </w:rPr>
      </w:pPr>
      <w:r w:rsidRPr="001017A1">
        <w:rPr>
          <w:rFonts w:ascii="Traditional Arabic" w:hAnsi="Traditional Arabic" w:cs="Traditional Arabic" w:hint="eastAsia"/>
          <w:sz w:val="30"/>
          <w:szCs w:val="30"/>
          <w:rtl/>
        </w:rPr>
        <w:t>يحظر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المباشرة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يجوز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المشاركين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مباشرة</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العدائية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المتعمدة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السكان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بصفتهم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الأفراد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الذين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يشاركون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مباشرة</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العدائية</w:t>
      </w:r>
      <w:r w:rsidRPr="001017A1">
        <w:rPr>
          <w:rFonts w:ascii="Traditional Arabic" w:hAnsi="Traditional Arabic" w:cs="Traditional Arabic"/>
          <w:sz w:val="30"/>
          <w:szCs w:val="30"/>
          <w:rtl/>
        </w:rPr>
        <w:t xml:space="preserve"> ي</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عد </w:t>
      </w:r>
      <w:r w:rsidRPr="001017A1">
        <w:rPr>
          <w:rFonts w:ascii="Traditional Arabic" w:hAnsi="Traditional Arabic" w:cs="Traditional Arabic" w:hint="eastAsia"/>
          <w:sz w:val="30"/>
          <w:szCs w:val="30"/>
          <w:rtl/>
        </w:rPr>
        <w:t>انتهاكًا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خطيرًا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ويصل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مما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فردية</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157"/>
      </w:r>
      <w:r w:rsidRPr="001017A1">
        <w:rPr>
          <w:rFonts w:ascii="Traditional Arabic" w:hAnsi="Traditional Arabic" w:cs="Traditional Arabic" w:hint="eastAsia"/>
          <w:sz w:val="30"/>
          <w:szCs w:val="30"/>
          <w:rtl/>
        </w:rPr>
        <w:t>يحظر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مبدأ</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التمييز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كذلك</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العشوائية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المتمثلة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هجوم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w:t>
      </w:r>
      <w:r w:rsidRPr="001017A1">
        <w:rPr>
          <w:rFonts w:ascii="Traditional Arabic" w:hAnsi="Traditional Arabic" w:cs="Traditional Arabic" w:hint="cs"/>
          <w:sz w:val="30"/>
          <w:szCs w:val="30"/>
          <w:rtl/>
        </w:rPr>
        <w:t>وت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مدنيين</w:t>
      </w:r>
      <w:r w:rsidRPr="001017A1">
        <w:rPr>
          <w:rFonts w:ascii="Traditional Arabic" w:hAnsi="Traditional Arabic" w:cs="Traditional Arabic"/>
          <w:sz w:val="30"/>
          <w:szCs w:val="30"/>
        </w:rPr>
        <w:t>.</w:t>
      </w:r>
      <w:r w:rsidRPr="001017A1">
        <w:rPr>
          <w:rStyle w:val="FootnoteReference"/>
          <w:rFonts w:asciiTheme="majorBidi" w:hAnsiTheme="majorBidi" w:cstheme="majorBidi"/>
          <w:color w:val="1F1E1D"/>
          <w:sz w:val="24"/>
          <w:szCs w:val="24"/>
          <w:lang w:eastAsia="en-GB"/>
        </w:rPr>
        <w:footnoteReference w:id="158"/>
      </w:r>
    </w:p>
    <w:p w14:paraId="734D4181" w14:textId="54399406" w:rsidR="00967CB7" w:rsidRPr="001017A1" w:rsidRDefault="00967CB7" w:rsidP="00AA7098">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بينت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التحقيق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عينة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ع</w:t>
      </w:r>
      <w:r w:rsidRPr="001017A1">
        <w:rPr>
          <w:rFonts w:ascii="Traditional Arabic" w:hAnsi="Traditional Arabic" w:cs="Traditional Arabic" w:hint="eastAsia"/>
          <w:sz w:val="30"/>
          <w:szCs w:val="30"/>
          <w:rtl/>
        </w:rPr>
        <w:t>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طبيعة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نيران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الصغيرة،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خاصة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قبل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القناصة</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كثير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المقاتلون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نيران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الصغيرة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بطر</w:t>
      </w:r>
      <w:r w:rsidRPr="001017A1">
        <w:rPr>
          <w:rFonts w:ascii="Traditional Arabic" w:hAnsi="Traditional Arabic" w:cs="Traditional Arabic" w:hint="cs"/>
          <w:sz w:val="30"/>
          <w:szCs w:val="30"/>
          <w:rtl/>
        </w:rPr>
        <w:t>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أسفرت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أدى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وقت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وموقع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وطريقة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بشكل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واضح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القدرة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التمييز</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w:t>
      </w:r>
      <w:r w:rsidR="00AA7098">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والأهداف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العسكرية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حالة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واحدة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الغويزي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الذي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أطلق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النار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باتجاه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يحمل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طفلاً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عمره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واحد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بسبب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دقة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السلاح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والموقع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والتوقيت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بدا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القناص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استهدف</w:t>
      </w:r>
      <w:r>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عمداً</w:t>
      </w:r>
      <w:r>
        <w:rPr>
          <w:rFonts w:ascii="Traditional Arabic" w:hAnsi="Traditional Arabic" w:cs="Traditional Arabic" w:hint="cs"/>
          <w:sz w:val="30"/>
          <w:szCs w:val="30"/>
          <w:rtl/>
        </w:rPr>
        <w:t xml:space="preserve"> هؤلاء الاشخاص عارفاً انهم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مدنيين</w:t>
      </w:r>
      <w:r w:rsidRPr="001017A1">
        <w:rPr>
          <w:rFonts w:ascii="Traditional Arabic" w:hAnsi="Traditional Arabic" w:cs="Traditional Arabic"/>
          <w:sz w:val="30"/>
          <w:szCs w:val="30"/>
          <w:rtl/>
        </w:rPr>
        <w:t xml:space="preserve">. </w:t>
      </w:r>
    </w:p>
    <w:p w14:paraId="75D6F06A"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hint="eastAsia"/>
          <w:sz w:val="30"/>
          <w:szCs w:val="30"/>
          <w:rtl/>
        </w:rPr>
        <w:t>وجد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فريق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الخبراء</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اسباب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بأن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الحوثيين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انتهاكات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جسيمة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شن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عشوائية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lastRenderedPageBreak/>
        <w:t>مقتل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إصابة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بعض</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الحالات،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تؤدي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هذه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مسؤولية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جنائية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جرائم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p>
    <w:p w14:paraId="51D20AC4" w14:textId="33C54E8D" w:rsidR="00967CB7" w:rsidRPr="009C6CD1" w:rsidRDefault="00967CB7" w:rsidP="005F3BF7">
      <w:pPr>
        <w:pStyle w:val="NoSpacing"/>
        <w:tabs>
          <w:tab w:val="left" w:pos="720"/>
        </w:tabs>
        <w:bidi/>
        <w:ind w:left="1089" w:right="1080"/>
        <w:rPr>
          <w:rFonts w:asciiTheme="majorBidi" w:hAnsiTheme="majorBidi" w:cstheme="majorBidi"/>
          <w:b/>
          <w:bCs/>
          <w:sz w:val="24"/>
          <w:szCs w:val="24"/>
        </w:rPr>
      </w:pPr>
      <w:r w:rsidRPr="009C6CD1">
        <w:rPr>
          <w:rFonts w:ascii="Traditional Arabic" w:eastAsia="Times New Roman" w:hAnsi="Traditional Arabic" w:cs="Traditional Arabic" w:hint="eastAsia"/>
          <w:b/>
          <w:bCs/>
          <w:sz w:val="30"/>
          <w:szCs w:val="30"/>
          <w:rtl/>
        </w:rPr>
        <w:t>جـ</w:t>
      </w:r>
      <w:r w:rsidRPr="009C6CD1">
        <w:rPr>
          <w:rFonts w:ascii="Traditional Arabic" w:eastAsia="Times New Roman" w:hAnsi="Traditional Arabic" w:cs="Traditional Arabic"/>
          <w:b/>
          <w:bCs/>
          <w:sz w:val="30"/>
          <w:szCs w:val="30"/>
          <w:rtl/>
        </w:rPr>
        <w:t xml:space="preserve">) الاستخدام العسكري للمستشفيات </w:t>
      </w:r>
      <w:r w:rsidRPr="009C6CD1">
        <w:rPr>
          <w:rFonts w:ascii="Traditional Arabic" w:eastAsia="Times New Roman" w:hAnsi="Traditional Arabic" w:cs="Traditional Arabic" w:hint="eastAsia"/>
          <w:b/>
          <w:bCs/>
          <w:sz w:val="30"/>
          <w:szCs w:val="30"/>
          <w:rtl/>
        </w:rPr>
        <w:t>الذي</w:t>
      </w:r>
      <w:r w:rsidRPr="009C6CD1">
        <w:rPr>
          <w:rFonts w:ascii="Traditional Arabic" w:eastAsia="Times New Roman" w:hAnsi="Traditional Arabic" w:cs="Traditional Arabic"/>
          <w:b/>
          <w:bCs/>
          <w:sz w:val="30"/>
          <w:szCs w:val="30"/>
          <w:rtl/>
        </w:rPr>
        <w:t xml:space="preserve"> </w:t>
      </w:r>
      <w:r w:rsidRPr="009C6CD1">
        <w:rPr>
          <w:rFonts w:ascii="Traditional Arabic" w:eastAsia="Times New Roman" w:hAnsi="Traditional Arabic" w:cs="Traditional Arabic" w:hint="eastAsia"/>
          <w:b/>
          <w:bCs/>
          <w:sz w:val="30"/>
          <w:szCs w:val="30"/>
          <w:rtl/>
        </w:rPr>
        <w:t>تسبّب</w:t>
      </w:r>
      <w:r w:rsidRPr="009C6CD1">
        <w:rPr>
          <w:rFonts w:ascii="Traditional Arabic" w:eastAsia="Times New Roman" w:hAnsi="Traditional Arabic" w:cs="Traditional Arabic"/>
          <w:b/>
          <w:bCs/>
          <w:sz w:val="30"/>
          <w:szCs w:val="30"/>
          <w:rtl/>
        </w:rPr>
        <w:t xml:space="preserve"> </w:t>
      </w:r>
      <w:r w:rsidRPr="009C6CD1">
        <w:rPr>
          <w:rFonts w:ascii="Traditional Arabic" w:eastAsia="Times New Roman" w:hAnsi="Traditional Arabic" w:cs="Traditional Arabic" w:hint="eastAsia"/>
          <w:b/>
          <w:bCs/>
          <w:sz w:val="30"/>
          <w:szCs w:val="30"/>
          <w:rtl/>
        </w:rPr>
        <w:t>ب</w:t>
      </w:r>
      <w:r w:rsidRPr="009C6CD1">
        <w:rPr>
          <w:rFonts w:ascii="Traditional Arabic" w:eastAsia="Times New Roman" w:hAnsi="Traditional Arabic" w:cs="Traditional Arabic"/>
          <w:b/>
          <w:bCs/>
          <w:sz w:val="30"/>
          <w:szCs w:val="30"/>
          <w:rtl/>
        </w:rPr>
        <w:t>أضرار وخسائر في صفوف المدنيين وحرمان من الحصول على الرعاية الصحية</w:t>
      </w:r>
    </w:p>
    <w:p w14:paraId="01F3EF94" w14:textId="77777777" w:rsidR="00967CB7" w:rsidRPr="00C927B2" w:rsidRDefault="00967CB7" w:rsidP="00361237">
      <w:pPr>
        <w:pStyle w:val="NoSpacing"/>
        <w:tabs>
          <w:tab w:val="left" w:pos="720"/>
          <w:tab w:val="left" w:pos="1134"/>
        </w:tabs>
        <w:ind w:left="1134" w:right="1080"/>
        <w:rPr>
          <w:rFonts w:asciiTheme="majorBidi" w:hAnsiTheme="majorBidi" w:cstheme="majorBidi"/>
          <w:i/>
          <w:iCs/>
          <w:sz w:val="24"/>
          <w:szCs w:val="24"/>
        </w:rPr>
      </w:pPr>
    </w:p>
    <w:p w14:paraId="063AA33D" w14:textId="77777777" w:rsidR="00967CB7" w:rsidRPr="001017A1" w:rsidRDefault="00967CB7" w:rsidP="005F3BF7">
      <w:pPr>
        <w:pStyle w:val="NoSpacing"/>
        <w:tabs>
          <w:tab w:val="left" w:pos="720"/>
        </w:tabs>
        <w:bidi/>
        <w:ind w:left="1449" w:right="1080"/>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Pr>
        <w:t>"</w:t>
      </w:r>
      <w:r w:rsidRPr="001017A1">
        <w:rPr>
          <w:rFonts w:ascii="Traditional Arabic" w:eastAsia="Times New Roman" w:hAnsi="Traditional Arabic" w:cs="Traditional Arabic"/>
          <w:i/>
          <w:iCs/>
          <w:sz w:val="30"/>
          <w:szCs w:val="30"/>
          <w:rtl/>
        </w:rPr>
        <w:t xml:space="preserve">أطلق الحوثيون النار على أي شخص يمر على الطريق أمام المستشفى </w:t>
      </w:r>
      <w:r w:rsidRPr="001017A1">
        <w:rPr>
          <w:rFonts w:ascii="Traditional Arabic" w:eastAsia="Times New Roman" w:hAnsi="Traditional Arabic" w:cs="Traditional Arabic" w:hint="cs"/>
          <w:i/>
          <w:iCs/>
          <w:sz w:val="30"/>
          <w:szCs w:val="30"/>
          <w:rtl/>
        </w:rPr>
        <w:t>ومنعوا</w:t>
      </w:r>
      <w:r w:rsidRPr="001017A1">
        <w:rPr>
          <w:rFonts w:ascii="Traditional Arabic" w:eastAsia="Times New Roman" w:hAnsi="Traditional Arabic" w:cs="Traditional Arabic"/>
          <w:i/>
          <w:iCs/>
          <w:sz w:val="30"/>
          <w:szCs w:val="30"/>
          <w:rtl/>
        </w:rPr>
        <w:t xml:space="preserve"> </w:t>
      </w:r>
      <w:r w:rsidRPr="001017A1">
        <w:rPr>
          <w:rFonts w:ascii="Traditional Arabic" w:eastAsia="Times New Roman" w:hAnsi="Traditional Arabic" w:cs="Traditional Arabic" w:hint="cs"/>
          <w:i/>
          <w:iCs/>
          <w:sz w:val="30"/>
          <w:szCs w:val="30"/>
          <w:rtl/>
        </w:rPr>
        <w:t>ازالة</w:t>
      </w:r>
      <w:r w:rsidRPr="001017A1">
        <w:rPr>
          <w:rFonts w:ascii="Traditional Arabic" w:eastAsia="Times New Roman" w:hAnsi="Traditional Arabic" w:cs="Traditional Arabic"/>
          <w:i/>
          <w:iCs/>
          <w:sz w:val="30"/>
          <w:szCs w:val="30"/>
          <w:rtl/>
        </w:rPr>
        <w:t xml:space="preserve"> جثث الموتى </w:t>
      </w:r>
      <w:r w:rsidRPr="001017A1">
        <w:rPr>
          <w:rFonts w:ascii="Traditional Arabic" w:eastAsia="Times New Roman" w:hAnsi="Traditional Arabic" w:cs="Traditional Arabic" w:hint="cs"/>
          <w:i/>
          <w:iCs/>
          <w:sz w:val="30"/>
          <w:szCs w:val="30"/>
          <w:rtl/>
        </w:rPr>
        <w:t>من</w:t>
      </w:r>
      <w:r w:rsidRPr="001017A1">
        <w:rPr>
          <w:rFonts w:ascii="Traditional Arabic" w:eastAsia="Times New Roman" w:hAnsi="Traditional Arabic" w:cs="Traditional Arabic"/>
          <w:i/>
          <w:iCs/>
          <w:sz w:val="30"/>
          <w:szCs w:val="30"/>
          <w:rtl/>
        </w:rPr>
        <w:t xml:space="preserve"> الشوارع</w:t>
      </w:r>
      <w:r w:rsidRPr="001017A1">
        <w:rPr>
          <w:rFonts w:ascii="Traditional Arabic" w:eastAsia="Times New Roman" w:hAnsi="Traditional Arabic" w:cs="Traditional Arabic"/>
          <w:i/>
          <w:iCs/>
          <w:sz w:val="30"/>
          <w:szCs w:val="30"/>
        </w:rPr>
        <w:t>".</w:t>
      </w:r>
    </w:p>
    <w:p w14:paraId="1294FD8F" w14:textId="77777777" w:rsidR="00967CB7" w:rsidRPr="001017A1" w:rsidRDefault="00967CB7" w:rsidP="00361237">
      <w:pPr>
        <w:pStyle w:val="NoSpacing"/>
        <w:tabs>
          <w:tab w:val="left" w:pos="720"/>
          <w:tab w:val="left" w:pos="1134"/>
        </w:tabs>
        <w:bidi/>
        <w:ind w:left="5040" w:right="827"/>
        <w:rPr>
          <w:rFonts w:asciiTheme="majorBidi" w:hAnsiTheme="majorBidi" w:cstheme="majorBidi"/>
          <w:b/>
          <w:bCs/>
          <w:sz w:val="24"/>
          <w:szCs w:val="24"/>
        </w:rPr>
      </w:pPr>
      <w:r w:rsidRPr="001017A1">
        <w:rPr>
          <w:rFonts w:ascii="Traditional Arabic" w:eastAsia="Times New Roman" w:hAnsi="Traditional Arabic" w:cs="Traditional Arabic"/>
          <w:b/>
          <w:bCs/>
          <w:sz w:val="30"/>
          <w:szCs w:val="30"/>
          <w:rtl/>
        </w:rPr>
        <w:t>طبيب في</w:t>
      </w:r>
      <w:r w:rsidRPr="001017A1">
        <w:rPr>
          <w:rFonts w:ascii="Traditional Arabic" w:eastAsia="Times New Roman" w:hAnsi="Traditional Arabic" w:cs="Traditional Arabic" w:hint="cs"/>
          <w:b/>
          <w:bCs/>
          <w:sz w:val="30"/>
          <w:szCs w:val="30"/>
          <w:rtl/>
        </w:rPr>
        <w:t xml:space="preserve"> مجمع</w:t>
      </w:r>
      <w:r w:rsidRPr="001017A1">
        <w:rPr>
          <w:rFonts w:ascii="Traditional Arabic" w:eastAsia="Times New Roman" w:hAnsi="Traditional Arabic" w:cs="Traditional Arabic"/>
          <w:b/>
          <w:bCs/>
          <w:sz w:val="30"/>
          <w:szCs w:val="30"/>
          <w:rtl/>
        </w:rPr>
        <w:t xml:space="preserve"> القطيع</w:t>
      </w:r>
      <w:r w:rsidRPr="001017A1">
        <w:rPr>
          <w:rFonts w:ascii="Traditional Arabic" w:eastAsia="Times New Roman" w:hAnsi="Traditional Arabic" w:cs="Traditional Arabic" w:hint="cs"/>
          <w:b/>
          <w:bCs/>
          <w:sz w:val="30"/>
          <w:szCs w:val="30"/>
          <w:rtl/>
        </w:rPr>
        <w:t xml:space="preserve"> الصحي</w:t>
      </w:r>
      <w:r w:rsidRPr="001017A1">
        <w:rPr>
          <w:rFonts w:ascii="Traditional Arabic" w:eastAsia="Times New Roman" w:hAnsi="Traditional Arabic" w:cs="Traditional Arabic"/>
          <w:b/>
          <w:bCs/>
          <w:sz w:val="30"/>
          <w:szCs w:val="30"/>
          <w:rtl/>
        </w:rPr>
        <w:tab/>
      </w:r>
      <w:r w:rsidRPr="001017A1">
        <w:rPr>
          <w:rFonts w:asciiTheme="majorBidi" w:hAnsiTheme="majorBidi" w:cs="Times New Roman"/>
          <w:b/>
          <w:bCs/>
          <w:i/>
          <w:iCs/>
          <w:sz w:val="24"/>
          <w:szCs w:val="24"/>
          <w:rtl/>
        </w:rPr>
        <w:tab/>
      </w:r>
      <w:r w:rsidRPr="001017A1">
        <w:rPr>
          <w:rFonts w:asciiTheme="majorBidi" w:hAnsiTheme="majorBidi" w:cs="Times New Roman"/>
          <w:b/>
          <w:bCs/>
          <w:i/>
          <w:iCs/>
          <w:sz w:val="24"/>
          <w:szCs w:val="24"/>
          <w:rtl/>
        </w:rPr>
        <w:tab/>
      </w:r>
      <w:r w:rsidRPr="001017A1">
        <w:rPr>
          <w:rFonts w:asciiTheme="majorBidi" w:hAnsiTheme="majorBidi" w:cstheme="majorBidi"/>
          <w:b/>
          <w:bCs/>
          <w:i/>
          <w:iCs/>
          <w:sz w:val="24"/>
          <w:szCs w:val="24"/>
        </w:rPr>
        <w:t xml:space="preserve"> </w:t>
      </w:r>
    </w:p>
    <w:p w14:paraId="78D0095D"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hint="cs"/>
          <w:sz w:val="30"/>
          <w:szCs w:val="30"/>
          <w:rtl/>
        </w:rPr>
        <w:t>إنّ</w:t>
      </w:r>
      <w:r w:rsidRPr="001017A1">
        <w:rPr>
          <w:rFonts w:ascii="Traditional Arabic" w:hAnsi="Traditional Arabic" w:cs="Traditional Arabic"/>
          <w:sz w:val="30"/>
          <w:szCs w:val="30"/>
          <w:rtl/>
        </w:rPr>
        <w:t xml:space="preserve"> الهجمات على المرافق الطبية و</w:t>
      </w:r>
      <w:r w:rsidRPr="001017A1">
        <w:rPr>
          <w:rFonts w:ascii="Traditional Arabic" w:hAnsi="Traditional Arabic" w:cs="Traditional Arabic" w:hint="cs"/>
          <w:sz w:val="30"/>
          <w:szCs w:val="30"/>
          <w:rtl/>
        </w:rPr>
        <w:t xml:space="preserve">على </w:t>
      </w:r>
      <w:r w:rsidRPr="001017A1">
        <w:rPr>
          <w:rFonts w:ascii="Traditional Arabic" w:hAnsi="Traditional Arabic" w:cs="Traditional Arabic"/>
          <w:sz w:val="30"/>
          <w:szCs w:val="30"/>
          <w:rtl/>
        </w:rPr>
        <w:t>العاملين الطبيين</w:t>
      </w:r>
      <w:r w:rsidRPr="001017A1">
        <w:rPr>
          <w:rFonts w:ascii="Traditional Arabic" w:hAnsi="Traditional Arabic" w:cs="Traditional Arabic" w:hint="cs"/>
          <w:sz w:val="30"/>
          <w:szCs w:val="30"/>
          <w:rtl/>
        </w:rPr>
        <w:t xml:space="preserve">، فضلاً عن </w:t>
      </w:r>
      <w:r w:rsidRPr="001017A1">
        <w:rPr>
          <w:rFonts w:ascii="Traditional Arabic" w:hAnsi="Traditional Arabic" w:cs="Traditional Arabic"/>
          <w:sz w:val="30"/>
          <w:szCs w:val="30"/>
          <w:rtl/>
        </w:rPr>
        <w:t xml:space="preserve">القتال </w:t>
      </w:r>
      <w:r w:rsidRPr="001017A1">
        <w:rPr>
          <w:rFonts w:ascii="Traditional Arabic" w:hAnsi="Traditional Arabic" w:cs="Traditional Arabic" w:hint="cs"/>
          <w:sz w:val="30"/>
          <w:szCs w:val="30"/>
          <w:rtl/>
        </w:rPr>
        <w:t>بالقرب من</w:t>
      </w:r>
      <w:r w:rsidRPr="001017A1">
        <w:rPr>
          <w:rFonts w:ascii="Traditional Arabic" w:hAnsi="Traditional Arabic" w:cs="Traditional Arabic"/>
          <w:sz w:val="30"/>
          <w:szCs w:val="30"/>
          <w:rtl/>
        </w:rPr>
        <w:t xml:space="preserve"> المرافق الطبية واحتلال المستشفيات</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و</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قي</w:t>
      </w:r>
      <w:r w:rsidRPr="001017A1">
        <w:rPr>
          <w:rFonts w:ascii="Traditional Arabic" w:hAnsi="Traditional Arabic" w:cs="Traditional Arabic" w:hint="cs"/>
          <w:sz w:val="30"/>
          <w:szCs w:val="30"/>
          <w:rtl/>
        </w:rPr>
        <w:t>ي</w:t>
      </w:r>
      <w:r w:rsidRPr="001017A1">
        <w:rPr>
          <w:rFonts w:ascii="Traditional Arabic" w:hAnsi="Traditional Arabic" w:cs="Traditional Arabic"/>
          <w:sz w:val="30"/>
          <w:szCs w:val="30"/>
          <w:rtl/>
        </w:rPr>
        <w:t>د</w:t>
      </w:r>
      <w:r w:rsidRPr="001017A1">
        <w:rPr>
          <w:rFonts w:ascii="Traditional Arabic" w:hAnsi="Traditional Arabic" w:cs="Traditional Arabic" w:hint="cs"/>
          <w:sz w:val="30"/>
          <w:szCs w:val="30"/>
          <w:rtl/>
        </w:rPr>
        <w:t xml:space="preserve"> عملية</w:t>
      </w:r>
      <w:r w:rsidRPr="001017A1">
        <w:rPr>
          <w:rFonts w:ascii="Traditional Arabic" w:hAnsi="Traditional Arabic" w:cs="Traditional Arabic"/>
          <w:sz w:val="30"/>
          <w:szCs w:val="30"/>
          <w:rtl/>
        </w:rPr>
        <w:t xml:space="preserve"> الوصول إلى </w:t>
      </w:r>
      <w:r w:rsidRPr="001017A1">
        <w:rPr>
          <w:rFonts w:ascii="Traditional Arabic" w:hAnsi="Traditional Arabic" w:cs="Traditional Arabic" w:hint="eastAsia"/>
          <w:sz w:val="30"/>
          <w:szCs w:val="30"/>
          <w:rtl/>
        </w:rPr>
        <w:t>مراكز</w:t>
      </w:r>
      <w:r w:rsidRPr="001017A1">
        <w:rPr>
          <w:rFonts w:ascii="Traditional Arabic" w:hAnsi="Traditional Arabic" w:cs="Traditional Arabic"/>
          <w:sz w:val="30"/>
          <w:szCs w:val="30"/>
          <w:rtl/>
        </w:rPr>
        <w:t xml:space="preserve"> الرعاية الصحية</w:t>
      </w:r>
      <w:r w:rsidRPr="001017A1">
        <w:rPr>
          <w:rFonts w:ascii="Traditional Arabic" w:hAnsi="Traditional Arabic" w:cs="Traditional Arabic" w:hint="cs"/>
          <w:sz w:val="30"/>
          <w:szCs w:val="30"/>
          <w:rtl/>
        </w:rPr>
        <w:t>، كلها أدّت الى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الحدّ من</w:t>
      </w:r>
      <w:r w:rsidRPr="001017A1">
        <w:rPr>
          <w:rFonts w:ascii="Traditional Arabic" w:hAnsi="Traditional Arabic" w:cs="Traditional Arabic"/>
          <w:sz w:val="30"/>
          <w:szCs w:val="30"/>
          <w:rtl/>
        </w:rPr>
        <w:t xml:space="preserve"> الحصول على الرعاية الطبية خلال الأعمال العدائية في عام 2015 في عدن وحولها.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إلى جانب نقص الأدوية والأغذية والمياه والكهرباء، تدهور</w:t>
      </w:r>
      <w:r>
        <w:rPr>
          <w:rFonts w:ascii="Traditional Arabic" w:hAnsi="Traditional Arabic" w:cs="Traditional Arabic" w:hint="cs"/>
          <w:sz w:val="30"/>
          <w:szCs w:val="30"/>
          <w:rtl/>
        </w:rPr>
        <w:t xml:space="preserve"> مستوى</w:t>
      </w:r>
      <w:r w:rsidRPr="001017A1">
        <w:rPr>
          <w:rFonts w:ascii="Traditional Arabic" w:hAnsi="Traditional Arabic" w:cs="Traditional Arabic"/>
          <w:sz w:val="30"/>
          <w:szCs w:val="30"/>
          <w:rtl/>
        </w:rPr>
        <w:t xml:space="preserve"> النظافة وانتشر</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 xml:space="preserve"> الأمراض والأوبئة</w:t>
      </w:r>
      <w:r w:rsidRPr="00C927B2">
        <w:rPr>
          <w:rStyle w:val="FootnoteReference"/>
          <w:sz w:val="24"/>
          <w:szCs w:val="24"/>
        </w:rPr>
        <w:footnoteReference w:id="159"/>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وحسب تقديرات</w:t>
      </w:r>
      <w:r w:rsidRPr="001017A1">
        <w:rPr>
          <w:rFonts w:ascii="Traditional Arabic" w:hAnsi="Traditional Arabic" w:cs="Traditional Arabic"/>
          <w:sz w:val="30"/>
          <w:szCs w:val="30"/>
          <w:rtl/>
        </w:rPr>
        <w:t xml:space="preserve"> السلطات الطبية </w:t>
      </w:r>
      <w:r w:rsidRPr="001017A1">
        <w:rPr>
          <w:rFonts w:ascii="Traditional Arabic" w:hAnsi="Traditional Arabic" w:cs="Traditional Arabic" w:hint="cs"/>
          <w:sz w:val="30"/>
          <w:szCs w:val="30"/>
          <w:rtl/>
        </w:rPr>
        <w:t>في</w:t>
      </w:r>
      <w:r w:rsidRPr="001017A1">
        <w:rPr>
          <w:rFonts w:ascii="Traditional Arabic" w:hAnsi="Traditional Arabic" w:cs="Traditional Arabic"/>
          <w:sz w:val="30"/>
          <w:szCs w:val="30"/>
          <w:rtl/>
        </w:rPr>
        <w:t xml:space="preserve"> عدن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أث</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ر</w:t>
      </w:r>
      <w:r w:rsidRPr="001017A1">
        <w:rPr>
          <w:rFonts w:ascii="Traditional Arabic" w:hAnsi="Traditional Arabic" w:cs="Traditional Arabic" w:hint="cs"/>
          <w:sz w:val="30"/>
          <w:szCs w:val="30"/>
          <w:rtl/>
        </w:rPr>
        <w:t xml:space="preserve"> الصراع </w:t>
      </w:r>
      <w:r w:rsidRPr="001017A1">
        <w:rPr>
          <w:rFonts w:ascii="Traditional Arabic" w:hAnsi="Traditional Arabic" w:cs="Traditional Arabic"/>
          <w:sz w:val="30"/>
          <w:szCs w:val="30"/>
          <w:rtl/>
        </w:rPr>
        <w:t>على عمل أكثر من 50 في المائة من المرافق الطبية و</w:t>
      </w:r>
      <w:r w:rsidRPr="001017A1">
        <w:rPr>
          <w:rFonts w:ascii="Traditional Arabic" w:hAnsi="Traditional Arabic" w:cs="Traditional Arabic" w:hint="cs"/>
          <w:sz w:val="30"/>
          <w:szCs w:val="30"/>
          <w:rtl/>
        </w:rPr>
        <w:t>تسبّبت ب</w:t>
      </w:r>
      <w:r w:rsidRPr="001017A1">
        <w:rPr>
          <w:rFonts w:ascii="Traditional Arabic" w:hAnsi="Traditional Arabic" w:cs="Traditional Arabic"/>
          <w:sz w:val="30"/>
          <w:szCs w:val="30"/>
          <w:rtl/>
        </w:rPr>
        <w:t>إغلاق مؤسسة صحية تاريخية مثل مستشفى الجمهورية وغيرها من المرافق الصحية</w:t>
      </w:r>
      <w:r w:rsidRPr="001017A1">
        <w:rPr>
          <w:rFonts w:ascii="Traditional Arabic" w:hAnsi="Traditional Arabic" w:cs="Traditional Arabic" w:hint="cs"/>
          <w:sz w:val="30"/>
          <w:szCs w:val="30"/>
          <w:rtl/>
        </w:rPr>
        <w:t xml:space="preserve">، مما </w:t>
      </w:r>
      <w:r w:rsidRPr="001017A1">
        <w:rPr>
          <w:rFonts w:ascii="Traditional Arabic" w:hAnsi="Traditional Arabic" w:cs="Traditional Arabic"/>
          <w:sz w:val="30"/>
          <w:szCs w:val="30"/>
          <w:rtl/>
        </w:rPr>
        <w:t xml:space="preserve">أدى إلى وفاة المرضى الذين يحتاجون إلى </w:t>
      </w:r>
      <w:r w:rsidRPr="001017A1">
        <w:rPr>
          <w:rFonts w:ascii="Traditional Arabic" w:hAnsi="Traditional Arabic" w:cs="Traditional Arabic" w:hint="cs"/>
          <w:sz w:val="30"/>
          <w:szCs w:val="30"/>
          <w:rtl/>
        </w:rPr>
        <w:t>عناية</w:t>
      </w:r>
      <w:r w:rsidRPr="001017A1">
        <w:rPr>
          <w:rFonts w:ascii="Traditional Arabic" w:hAnsi="Traditional Arabic" w:cs="Traditional Arabic"/>
          <w:sz w:val="30"/>
          <w:szCs w:val="30"/>
          <w:rtl/>
        </w:rPr>
        <w:t xml:space="preserve"> طبي</w:t>
      </w:r>
      <w:r w:rsidRPr="001017A1">
        <w:rPr>
          <w:rFonts w:ascii="Traditional Arabic" w:hAnsi="Traditional Arabic" w:cs="Traditional Arabic" w:hint="cs"/>
          <w:sz w:val="30"/>
          <w:szCs w:val="30"/>
          <w:rtl/>
        </w:rPr>
        <w:t>ة</w:t>
      </w:r>
      <w:r w:rsidRPr="001017A1">
        <w:rPr>
          <w:rFonts w:ascii="Traditional Arabic" w:hAnsi="Traditional Arabic" w:cs="Traditional Arabic"/>
          <w:sz w:val="30"/>
          <w:szCs w:val="30"/>
          <w:rtl/>
        </w:rPr>
        <w:t xml:space="preserve"> متخصص</w:t>
      </w:r>
      <w:r w:rsidRPr="001017A1">
        <w:rPr>
          <w:rFonts w:ascii="Traditional Arabic" w:hAnsi="Traditional Arabic" w:cs="Traditional Arabic" w:hint="cs"/>
          <w:sz w:val="30"/>
          <w:szCs w:val="30"/>
          <w:rtl/>
        </w:rPr>
        <w:t>ة</w:t>
      </w:r>
      <w:r w:rsidRPr="00C927B2">
        <w:rPr>
          <w:rFonts w:asciiTheme="majorBidi" w:hAnsiTheme="majorBidi" w:cstheme="majorBidi"/>
          <w:sz w:val="24"/>
          <w:szCs w:val="24"/>
        </w:rPr>
        <w:t>.</w:t>
      </w:r>
      <w:r w:rsidRPr="00C927B2">
        <w:rPr>
          <w:rStyle w:val="FootnoteReference"/>
          <w:sz w:val="24"/>
          <w:szCs w:val="24"/>
        </w:rPr>
        <w:footnoteReference w:id="160"/>
      </w:r>
    </w:p>
    <w:p w14:paraId="60042F1B"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 xml:space="preserve">أحداث في مجمع القطيع الصحي في </w:t>
      </w:r>
      <w:r w:rsidRPr="001017A1">
        <w:rPr>
          <w:rFonts w:ascii="Traditional Arabic" w:eastAsia="Times New Roman" w:hAnsi="Traditional Arabic" w:cs="Traditional Arabic" w:hint="cs"/>
          <w:i/>
          <w:iCs/>
          <w:sz w:val="30"/>
          <w:szCs w:val="30"/>
          <w:rtl/>
        </w:rPr>
        <w:t>مديرية</w:t>
      </w:r>
      <w:r w:rsidRPr="001017A1">
        <w:rPr>
          <w:rFonts w:ascii="Traditional Arabic" w:eastAsia="Times New Roman" w:hAnsi="Traditional Arabic" w:cs="Traditional Arabic"/>
          <w:i/>
          <w:iCs/>
          <w:sz w:val="30"/>
          <w:szCs w:val="30"/>
          <w:rtl/>
        </w:rPr>
        <w:t xml:space="preserve"> كريتر، عدن</w:t>
      </w:r>
    </w:p>
    <w:p w14:paraId="1B8FF9D9" w14:textId="0285CDC2"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 xml:space="preserve">في بداية أبريل / نيسان 2015 ، </w:t>
      </w:r>
      <w:r w:rsidRPr="001017A1">
        <w:rPr>
          <w:rFonts w:ascii="Traditional Arabic" w:hAnsi="Traditional Arabic" w:cs="Traditional Arabic" w:hint="cs"/>
          <w:sz w:val="30"/>
          <w:szCs w:val="30"/>
          <w:rtl/>
        </w:rPr>
        <w:t>جرى</w:t>
      </w:r>
      <w:r w:rsidRPr="001017A1">
        <w:rPr>
          <w:rFonts w:ascii="Traditional Arabic" w:hAnsi="Traditional Arabic" w:cs="Traditional Arabic"/>
          <w:sz w:val="30"/>
          <w:szCs w:val="30"/>
          <w:rtl/>
        </w:rPr>
        <w:t xml:space="preserve"> تبادل مكثف للنيران حول 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w:t>
      </w:r>
      <w:r w:rsidRPr="001017A1">
        <w:rPr>
          <w:rFonts w:ascii="Traditional Arabic" w:hAnsi="Traditional Arabic" w:cs="Traditional Arabic" w:hint="cs"/>
          <w:sz w:val="30"/>
          <w:szCs w:val="30"/>
          <w:rtl/>
        </w:rPr>
        <w:t xml:space="preserve"> القطيع</w:t>
      </w:r>
      <w:r w:rsidRPr="001017A1">
        <w:rPr>
          <w:rFonts w:ascii="Traditional Arabic" w:hAnsi="Traditional Arabic" w:cs="Traditional Arabic"/>
          <w:sz w:val="30"/>
          <w:szCs w:val="30"/>
          <w:rtl/>
        </w:rPr>
        <w:t xml:space="preserve"> الصحي</w:t>
      </w:r>
      <w:r w:rsidRPr="00C927B2">
        <w:rPr>
          <w:rStyle w:val="FootnoteReference"/>
          <w:sz w:val="24"/>
          <w:szCs w:val="24"/>
        </w:rPr>
        <w:footnoteReference w:id="161"/>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لفترة من الوقت</w:t>
      </w:r>
      <w:r w:rsidRPr="001017A1">
        <w:rPr>
          <w:rFonts w:ascii="Traditional Arabic" w:hAnsi="Traditional Arabic" w:cs="Traditional Arabic"/>
          <w:sz w:val="30"/>
          <w:szCs w:val="30"/>
          <w:rtl/>
        </w:rPr>
        <w:t xml:space="preserve"> عندما </w:t>
      </w:r>
      <w:r w:rsidRPr="001017A1">
        <w:rPr>
          <w:rFonts w:ascii="Traditional Arabic" w:hAnsi="Traditional Arabic" w:cs="Traditional Arabic" w:hint="cs"/>
          <w:sz w:val="30"/>
          <w:szCs w:val="30"/>
          <w:rtl/>
        </w:rPr>
        <w:t>قام</w:t>
      </w:r>
      <w:r w:rsidRPr="001017A1">
        <w:rPr>
          <w:rFonts w:ascii="Traditional Arabic" w:hAnsi="Traditional Arabic" w:cs="Traditional Arabic"/>
          <w:sz w:val="30"/>
          <w:szCs w:val="30"/>
          <w:rtl/>
        </w:rPr>
        <w:t xml:space="preserve">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المتمركزون في جبل المع</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 xml:space="preserve">شيق المطل على القطيع </w:t>
      </w:r>
      <w:r w:rsidRPr="001017A1">
        <w:rPr>
          <w:rFonts w:ascii="Traditional Arabic" w:hAnsi="Traditional Arabic" w:cs="Traditional Arabic" w:hint="cs"/>
          <w:sz w:val="30"/>
          <w:szCs w:val="30"/>
          <w:rtl/>
        </w:rPr>
        <w:t xml:space="preserve">بمواجهة رجال </w:t>
      </w:r>
      <w:r w:rsidRPr="001017A1">
        <w:rPr>
          <w:rFonts w:ascii="Traditional Arabic" w:hAnsi="Traditional Arabic" w:cs="Traditional Arabic"/>
          <w:sz w:val="30"/>
          <w:szCs w:val="30"/>
          <w:rtl/>
        </w:rPr>
        <w:t>المقاومة</w:t>
      </w:r>
      <w:r w:rsidRPr="001017A1">
        <w:rPr>
          <w:rFonts w:ascii="Traditional Arabic" w:hAnsi="Traditional Arabic" w:cs="Traditional Arabic" w:hint="cs"/>
          <w:sz w:val="30"/>
          <w:szCs w:val="30"/>
          <w:rtl/>
        </w:rPr>
        <w:t xml:space="preserve"> الذين كانوا يعملون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 xml:space="preserve">من </w:t>
      </w:r>
      <w:r w:rsidRPr="001017A1">
        <w:rPr>
          <w:rFonts w:ascii="Traditional Arabic" w:hAnsi="Traditional Arabic" w:cs="Traditional Arabic"/>
          <w:sz w:val="30"/>
          <w:szCs w:val="30"/>
          <w:rtl/>
        </w:rPr>
        <w:t>داخل الشوارع المجاورة للمجم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 الصحي</w:t>
      </w:r>
      <w:r w:rsidRPr="00C927B2">
        <w:rPr>
          <w:rStyle w:val="FootnoteReference"/>
          <w:sz w:val="24"/>
          <w:szCs w:val="24"/>
        </w:rPr>
        <w:footnoteReference w:id="162"/>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في 2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من حوالي الساعة</w:t>
      </w:r>
      <w:r w:rsidRPr="001017A1">
        <w:rPr>
          <w:rFonts w:ascii="Traditional Arabic" w:hAnsi="Traditional Arabic" w:cs="Traditional Arabic" w:hint="cs"/>
          <w:sz w:val="30"/>
          <w:szCs w:val="30"/>
          <w:rtl/>
        </w:rPr>
        <w:t xml:space="preserve"> الثامنة صباحاً </w:t>
      </w:r>
      <w:r w:rsidRPr="001017A1">
        <w:rPr>
          <w:rFonts w:ascii="Traditional Arabic" w:hAnsi="Traditional Arabic" w:cs="Traditional Arabic"/>
          <w:sz w:val="30"/>
          <w:szCs w:val="30"/>
          <w:rtl/>
        </w:rPr>
        <w:t>حتى الساعة</w:t>
      </w:r>
      <w:r w:rsidRPr="001017A1">
        <w:rPr>
          <w:rFonts w:ascii="Traditional Arabic" w:hAnsi="Traditional Arabic" w:cs="Traditional Arabic" w:hint="cs"/>
          <w:sz w:val="30"/>
          <w:szCs w:val="30"/>
          <w:rtl/>
        </w:rPr>
        <w:t xml:space="preserve"> الخامسة مساء، </w:t>
      </w:r>
      <w:r w:rsidRPr="001017A1">
        <w:rPr>
          <w:rFonts w:ascii="Traditional Arabic" w:hAnsi="Traditional Arabic" w:cs="Traditional Arabic"/>
          <w:sz w:val="30"/>
          <w:szCs w:val="30"/>
          <w:rtl/>
        </w:rPr>
        <w:t>أطلق قناصة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النار بانتظام في اتجاه 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 القطيع الصحي، </w:t>
      </w:r>
      <w:r w:rsidRPr="001017A1">
        <w:rPr>
          <w:rFonts w:ascii="Traditional Arabic" w:hAnsi="Traditional Arabic" w:cs="Traditional Arabic" w:hint="cs"/>
          <w:sz w:val="30"/>
          <w:szCs w:val="30"/>
          <w:rtl/>
        </w:rPr>
        <w:t xml:space="preserve">حيث </w:t>
      </w:r>
      <w:r w:rsidRPr="001017A1">
        <w:rPr>
          <w:rFonts w:ascii="Traditional Arabic" w:hAnsi="Traditional Arabic" w:cs="Traditional Arabic"/>
          <w:sz w:val="30"/>
          <w:szCs w:val="30"/>
          <w:rtl/>
        </w:rPr>
        <w:t>أصابوا المبنى والمدنيين عند المدخل الأمامي للمجمع من موقع على جبل المع</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شيق</w:t>
      </w:r>
      <w:r w:rsidRPr="00C927B2">
        <w:rPr>
          <w:rFonts w:asciiTheme="majorBidi" w:hAnsiTheme="majorBidi"/>
          <w:sz w:val="24"/>
          <w:szCs w:val="24"/>
          <w:rtl/>
        </w:rPr>
        <w:t>.</w:t>
      </w:r>
      <w:r w:rsidR="009C6CD1">
        <w:rPr>
          <w:rStyle w:val="FootnoteReference"/>
          <w:szCs w:val="24"/>
          <w:rtl/>
        </w:rPr>
        <w:footnoteReference w:id="163"/>
      </w:r>
      <w:r w:rsidRPr="001017A1">
        <w:rPr>
          <w:rFonts w:ascii="Traditional Arabic" w:hAnsi="Traditional Arabic" w:cs="Traditional Arabic"/>
          <w:sz w:val="30"/>
          <w:szCs w:val="30"/>
        </w:rPr>
        <w:t xml:space="preserve"> </w:t>
      </w:r>
      <w:r w:rsidRPr="001017A1">
        <w:rPr>
          <w:rFonts w:ascii="Traditional Arabic" w:hAnsi="Traditional Arabic" w:cs="Traditional Arabic"/>
          <w:sz w:val="30"/>
          <w:szCs w:val="30"/>
          <w:rtl/>
        </w:rPr>
        <w:t xml:space="preserve"> (انظر القسم السابق حول نيران القناصة للحصول على تفاصيل حول الضحايا المدنيين)</w:t>
      </w:r>
      <w:r w:rsidRPr="001017A1">
        <w:rPr>
          <w:rFonts w:ascii="Traditional Arabic" w:hAnsi="Traditional Arabic" w:cs="Traditional Arabic"/>
          <w:sz w:val="30"/>
          <w:szCs w:val="30"/>
        </w:rPr>
        <w:t xml:space="preserve"> .</w:t>
      </w:r>
    </w:p>
    <w:p w14:paraId="7D70C7E7" w14:textId="64A7C08A"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sz w:val="24"/>
          <w:szCs w:val="24"/>
        </w:rPr>
      </w:pPr>
      <w:r w:rsidRPr="001017A1">
        <w:rPr>
          <w:rFonts w:ascii="Traditional Arabic" w:hAnsi="Traditional Arabic" w:cs="Traditional Arabic"/>
          <w:sz w:val="30"/>
          <w:szCs w:val="30"/>
          <w:rtl/>
        </w:rPr>
        <w:t>كان مقاتلو المقاومة موجودين في الشوارع المتاخمة للمجم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ع الصحي، وفي يوم الهجوم، بحلول منتصف النهار، تمركزوا في مبنى قريب، حيث أطلقوا </w:t>
      </w:r>
      <w:r w:rsidRPr="001017A1">
        <w:rPr>
          <w:rFonts w:ascii="Traditional Arabic" w:hAnsi="Traditional Arabic" w:cs="Traditional Arabic"/>
          <w:sz w:val="30"/>
          <w:szCs w:val="30"/>
          <w:rtl/>
        </w:rPr>
        <w:lastRenderedPageBreak/>
        <w:t>النيران باتجاه الجبل. ذكر طبيب أنه بعد بضعة أيام من الهجوم ، طلب مقاتلو الحوثي</w:t>
      </w:r>
      <w:r w:rsidRPr="001017A1">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صالح تفتيش العيادة</w:t>
      </w:r>
      <w:r w:rsidRPr="001017A1">
        <w:rPr>
          <w:rFonts w:ascii="Traditional Arabic" w:hAnsi="Traditional Arabic" w:cs="Traditional Arabic" w:hint="cs"/>
          <w:sz w:val="30"/>
          <w:szCs w:val="30"/>
          <w:rtl/>
        </w:rPr>
        <w:t xml:space="preserve"> بحثاً</w:t>
      </w:r>
      <w:r w:rsidRPr="001017A1">
        <w:rPr>
          <w:rFonts w:ascii="Traditional Arabic" w:hAnsi="Traditional Arabic" w:cs="Traditional Arabic"/>
          <w:sz w:val="30"/>
          <w:szCs w:val="30"/>
          <w:rtl/>
        </w:rPr>
        <w:t xml:space="preserve"> عن </w:t>
      </w:r>
      <w:r w:rsidRPr="001017A1">
        <w:rPr>
          <w:rFonts w:ascii="Traditional Arabic" w:hAnsi="Traditional Arabic" w:cs="Traditional Arabic" w:hint="cs"/>
          <w:sz w:val="30"/>
          <w:szCs w:val="30"/>
          <w:rtl/>
        </w:rPr>
        <w:t xml:space="preserve">أفراد </w:t>
      </w:r>
      <w:r w:rsidRPr="001017A1">
        <w:rPr>
          <w:rFonts w:ascii="Traditional Arabic" w:hAnsi="Traditional Arabic" w:cs="Traditional Arabic"/>
          <w:sz w:val="30"/>
          <w:szCs w:val="30"/>
          <w:rtl/>
        </w:rPr>
        <w:t>المقاومة</w:t>
      </w:r>
      <w:r w:rsidRPr="001017A1">
        <w:rPr>
          <w:rFonts w:ascii="Traditional Arabic" w:hAnsi="Traditional Arabic" w:cs="Traditional Arabic"/>
          <w:sz w:val="30"/>
          <w:szCs w:val="30"/>
        </w:rPr>
        <w:t xml:space="preserve">. </w:t>
      </w:r>
      <w:r w:rsidRPr="00C927B2">
        <w:rPr>
          <w:rStyle w:val="FootnoteReference"/>
          <w:sz w:val="24"/>
          <w:szCs w:val="24"/>
        </w:rPr>
        <w:footnoteReference w:id="164"/>
      </w:r>
    </w:p>
    <w:p w14:paraId="6AB1F375" w14:textId="53A5FE4A" w:rsidR="00967CB7" w:rsidRPr="001017A1" w:rsidRDefault="008F301C" w:rsidP="00361237">
      <w:pPr>
        <w:pStyle w:val="NoSpacing"/>
        <w:tabs>
          <w:tab w:val="left" w:pos="720"/>
          <w:tab w:val="left" w:pos="1134"/>
          <w:tab w:val="left" w:pos="1701"/>
        </w:tabs>
        <w:bidi/>
        <w:spacing w:after="120" w:line="240" w:lineRule="atLeast"/>
        <w:ind w:left="720" w:right="827"/>
        <w:rPr>
          <w:rFonts w:ascii="Traditional Arabic" w:eastAsia="Times New Roman" w:hAnsi="Traditional Arabic" w:cs="Traditional Arabic"/>
          <w:i/>
          <w:iCs/>
          <w:sz w:val="30"/>
          <w:szCs w:val="30"/>
        </w:rPr>
      </w:pPr>
      <w:r>
        <w:rPr>
          <w:rFonts w:ascii="Traditional Arabic" w:eastAsia="Times New Roman" w:hAnsi="Traditional Arabic" w:cs="Traditional Arabic"/>
          <w:i/>
          <w:iCs/>
          <w:sz w:val="30"/>
          <w:szCs w:val="30"/>
          <w:rtl/>
        </w:rPr>
        <w:tab/>
      </w:r>
      <w:r w:rsidR="00967CB7" w:rsidRPr="001017A1">
        <w:rPr>
          <w:rFonts w:ascii="Traditional Arabic" w:eastAsia="Times New Roman" w:hAnsi="Traditional Arabic" w:cs="Traditional Arabic"/>
          <w:i/>
          <w:iCs/>
          <w:sz w:val="30"/>
          <w:szCs w:val="30"/>
          <w:rtl/>
        </w:rPr>
        <w:t>أحداث في مستشفى الجمهورية في حي خورمكسر، عدن</w:t>
      </w:r>
    </w:p>
    <w:p w14:paraId="47D5CA29"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 xml:space="preserve">خلال النصف الثاني من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شارك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في </w:t>
      </w:r>
      <w:r w:rsidRPr="001017A1">
        <w:rPr>
          <w:rFonts w:ascii="Traditional Arabic" w:hAnsi="Traditional Arabic" w:cs="Traditional Arabic" w:hint="cs"/>
          <w:sz w:val="30"/>
          <w:szCs w:val="30"/>
          <w:rtl/>
        </w:rPr>
        <w:t xml:space="preserve">حرب </w:t>
      </w:r>
      <w:r w:rsidRPr="001017A1">
        <w:rPr>
          <w:rFonts w:ascii="Traditional Arabic" w:hAnsi="Traditional Arabic" w:cs="Traditional Arabic"/>
          <w:sz w:val="30"/>
          <w:szCs w:val="30"/>
          <w:rtl/>
        </w:rPr>
        <w:t>شوارع ضد مجموعات المقاومة في م</w:t>
      </w:r>
      <w:r w:rsidRPr="001017A1">
        <w:rPr>
          <w:rFonts w:ascii="Traditional Arabic" w:hAnsi="Traditional Arabic" w:cs="Traditional Arabic" w:hint="cs"/>
          <w:sz w:val="30"/>
          <w:szCs w:val="30"/>
          <w:rtl/>
        </w:rPr>
        <w:t>ديرية</w:t>
      </w:r>
      <w:r w:rsidRPr="001017A1">
        <w:rPr>
          <w:rFonts w:ascii="Traditional Arabic" w:hAnsi="Traditional Arabic" w:cs="Traditional Arabic"/>
          <w:sz w:val="30"/>
          <w:szCs w:val="30"/>
          <w:rtl/>
        </w:rPr>
        <w:t xml:space="preserve"> خورمكسر، </w:t>
      </w:r>
      <w:r w:rsidRPr="001017A1">
        <w:rPr>
          <w:rFonts w:ascii="Traditional Arabic" w:hAnsi="Traditional Arabic" w:cs="Traditional Arabic" w:hint="cs"/>
          <w:sz w:val="30"/>
          <w:szCs w:val="30"/>
          <w:rtl/>
        </w:rPr>
        <w:t xml:space="preserve">في </w:t>
      </w:r>
      <w:r w:rsidRPr="001017A1">
        <w:rPr>
          <w:rFonts w:ascii="Traditional Arabic" w:hAnsi="Traditional Arabic" w:cs="Traditional Arabic"/>
          <w:sz w:val="30"/>
          <w:szCs w:val="30"/>
          <w:rtl/>
        </w:rPr>
        <w:t xml:space="preserve">محافظة عدن. </w:t>
      </w:r>
      <w:r w:rsidRPr="001017A1">
        <w:rPr>
          <w:rFonts w:ascii="Traditional Arabic" w:hAnsi="Traditional Arabic" w:cs="Traditional Arabic" w:hint="cs"/>
          <w:sz w:val="30"/>
          <w:szCs w:val="30"/>
          <w:rtl/>
        </w:rPr>
        <w:t xml:space="preserve">ويُعتبر </w:t>
      </w:r>
      <w:r w:rsidRPr="001017A1">
        <w:rPr>
          <w:rFonts w:ascii="Traditional Arabic" w:hAnsi="Traditional Arabic" w:cs="Traditional Arabic"/>
          <w:sz w:val="30"/>
          <w:szCs w:val="30"/>
          <w:rtl/>
        </w:rPr>
        <w:t>مستشفى الجمهورية في خورمكسر أكبر وأهم مستشفى في عدن. منذ بداية هجوم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في عدن، استقبل مستشفى الجمهورية عشرات المرضى الذين أصيبوا في القتال في أنحاء المدينة</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65"/>
      </w:r>
    </w:p>
    <w:p w14:paraId="6FB96DFE"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مع اقتراب القتال من المستشفى، نشر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قناصة في المنطقة المجاورة. في 20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أطلق قناص النار وأصاب شابًا في الفك بينما كان يرافق والدته لتلقي العلاج في المستشفى</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166"/>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قرب نهاية شهر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حث مقاتلو الحوثي</w:t>
      </w:r>
      <w:r w:rsidRPr="001017A1">
        <w:rPr>
          <w:rFonts w:ascii="Traditional Arabic" w:hAnsi="Traditional Arabic" w:cs="Traditional Arabic" w:hint="cs"/>
          <w:sz w:val="30"/>
          <w:szCs w:val="30"/>
          <w:rtl/>
        </w:rPr>
        <w:t>ين-</w:t>
      </w:r>
      <w:r w:rsidRPr="001017A1">
        <w:rPr>
          <w:rFonts w:ascii="Traditional Arabic" w:hAnsi="Traditional Arabic" w:cs="Traditional Arabic"/>
          <w:sz w:val="30"/>
          <w:szCs w:val="30"/>
          <w:rtl/>
        </w:rPr>
        <w:t xml:space="preserve"> صالح سكان خورمكسر على مغادرة المنطقة، وحظروا الوصول إلى المستشفى، و</w:t>
      </w:r>
      <w:r w:rsidRPr="001017A1">
        <w:rPr>
          <w:rFonts w:ascii="Traditional Arabic" w:hAnsi="Traditional Arabic" w:cs="Traditional Arabic" w:hint="cs"/>
          <w:sz w:val="30"/>
          <w:szCs w:val="30"/>
          <w:rtl/>
        </w:rPr>
        <w:t>راحوا يب</w:t>
      </w:r>
      <w:r w:rsidRPr="001017A1">
        <w:rPr>
          <w:rFonts w:ascii="Traditional Arabic" w:hAnsi="Traditional Arabic" w:cs="Traditional Arabic"/>
          <w:sz w:val="30"/>
          <w:szCs w:val="30"/>
          <w:rtl/>
        </w:rPr>
        <w:t>حثو</w:t>
      </w:r>
      <w:r w:rsidRPr="001017A1">
        <w:rPr>
          <w:rFonts w:ascii="Traditional Arabic" w:hAnsi="Traditional Arabic" w:cs="Traditional Arabic" w:hint="cs"/>
          <w:sz w:val="30"/>
          <w:szCs w:val="30"/>
          <w:rtl/>
        </w:rPr>
        <w:t xml:space="preserve">ن </w:t>
      </w:r>
      <w:r w:rsidRPr="001017A1">
        <w:rPr>
          <w:rFonts w:ascii="Traditional Arabic" w:hAnsi="Traditional Arabic" w:cs="Traditional Arabic"/>
          <w:sz w:val="30"/>
          <w:szCs w:val="30"/>
          <w:rtl/>
        </w:rPr>
        <w:t>عن مرضى المقاومة المصابين.</w:t>
      </w:r>
      <w:r w:rsidRPr="00C927B2">
        <w:rPr>
          <w:rStyle w:val="FootnoteReference"/>
          <w:sz w:val="24"/>
          <w:szCs w:val="24"/>
        </w:rPr>
        <w:t xml:space="preserve"> </w:t>
      </w:r>
      <w:r w:rsidRPr="00C927B2">
        <w:rPr>
          <w:rStyle w:val="FootnoteReference"/>
          <w:sz w:val="24"/>
          <w:szCs w:val="24"/>
        </w:rPr>
        <w:footnoteReference w:id="167"/>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 xml:space="preserve">مع اشتداد القتال حول المستشفى، في 27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 xml:space="preserve">أبريل، غادر الطاقم الطبي </w:t>
      </w:r>
      <w:r w:rsidRPr="001017A1">
        <w:rPr>
          <w:rFonts w:ascii="Traditional Arabic" w:hAnsi="Traditional Arabic" w:cs="Traditional Arabic" w:hint="cs"/>
          <w:sz w:val="30"/>
          <w:szCs w:val="30"/>
          <w:rtl/>
        </w:rPr>
        <w:t xml:space="preserve">مستشفى </w:t>
      </w:r>
      <w:r w:rsidRPr="001017A1">
        <w:rPr>
          <w:rFonts w:ascii="Traditional Arabic" w:hAnsi="Traditional Arabic" w:cs="Traditional Arabic"/>
          <w:sz w:val="30"/>
          <w:szCs w:val="30"/>
          <w:rtl/>
        </w:rPr>
        <w:t>الجمهورية ونقلوا غالبية المرضى إلى مرافق ومواقع طبية أخرى</w:t>
      </w:r>
      <w:r w:rsidRPr="00C927B2">
        <w:rPr>
          <w:rStyle w:val="FootnoteReference"/>
          <w:sz w:val="24"/>
          <w:szCs w:val="24"/>
        </w:rPr>
        <w:footnoteReference w:id="168"/>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أدت هذه الظروف إلى إغلاق المستشفى طوال فترة الهجوم في عدن، مما أدى إلى حرمان مئات سكان عدن من الرعاية الطبية المتخصصة المنقذة للحياة</w:t>
      </w:r>
      <w:r w:rsidRPr="001017A1">
        <w:rPr>
          <w:rFonts w:ascii="Traditional Arabic" w:hAnsi="Traditional Arabic" w:cs="Traditional Arabic"/>
          <w:sz w:val="30"/>
          <w:szCs w:val="30"/>
        </w:rPr>
        <w:t xml:space="preserve">. </w:t>
      </w:r>
      <w:r w:rsidRPr="00C927B2">
        <w:rPr>
          <w:rStyle w:val="FootnoteReference"/>
          <w:sz w:val="24"/>
          <w:szCs w:val="24"/>
        </w:rPr>
        <w:footnoteReference w:id="169"/>
      </w:r>
    </w:p>
    <w:p w14:paraId="37BDA714"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في اليوم</w:t>
      </w:r>
      <w:r w:rsidRPr="001017A1">
        <w:rPr>
          <w:rFonts w:ascii="Traditional Arabic" w:hAnsi="Traditional Arabic" w:cs="Traditional Arabic" w:hint="cs"/>
          <w:sz w:val="30"/>
          <w:szCs w:val="30"/>
          <w:rtl/>
        </w:rPr>
        <w:t xml:space="preserve"> نفسه</w:t>
      </w:r>
      <w:r w:rsidRPr="001017A1">
        <w:rPr>
          <w:rFonts w:ascii="Traditional Arabic" w:hAnsi="Traditional Arabic" w:cs="Traditional Arabic"/>
          <w:sz w:val="30"/>
          <w:szCs w:val="30"/>
          <w:rtl/>
        </w:rPr>
        <w:t>، حاصر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المستشفى وقاموا بنشر قناصة </w:t>
      </w:r>
      <w:r w:rsidRPr="001017A1">
        <w:rPr>
          <w:rFonts w:ascii="Traditional Arabic" w:hAnsi="Traditional Arabic" w:cs="Traditional Arabic" w:hint="cs"/>
          <w:sz w:val="30"/>
          <w:szCs w:val="30"/>
          <w:rtl/>
        </w:rPr>
        <w:t>على</w:t>
      </w:r>
      <w:r w:rsidRPr="001017A1">
        <w:rPr>
          <w:rFonts w:ascii="Traditional Arabic" w:hAnsi="Traditional Arabic" w:cs="Traditional Arabic"/>
          <w:sz w:val="30"/>
          <w:szCs w:val="30"/>
          <w:rtl/>
        </w:rPr>
        <w:t xml:space="preserve"> المباني العالية المواجهة للمدخل الرئيسي</w:t>
      </w:r>
      <w:r w:rsidRPr="00C927B2">
        <w:rPr>
          <w:rStyle w:val="FootnoteReference"/>
          <w:sz w:val="24"/>
          <w:szCs w:val="24"/>
        </w:rPr>
        <w:footnoteReference w:id="170"/>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أطلقوا النار على المستشفى بالأسلحة الخفيفة والثقيلة، مما تسب</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ب </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أضرار</w:t>
      </w:r>
      <w:r w:rsidRPr="001017A1">
        <w:rPr>
          <w:rFonts w:ascii="Traditional Arabic" w:hAnsi="Traditional Arabic" w:cs="Traditional Arabic" w:hint="cs"/>
          <w:sz w:val="30"/>
          <w:szCs w:val="30"/>
          <w:rtl/>
        </w:rPr>
        <w:t xml:space="preserve"> 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لمبنى. أصابت الشظايا مركز غسيل الكلى وألحقت أضرارًا بخمس آلات</w:t>
      </w:r>
      <w:r w:rsidRPr="00C927B2">
        <w:rPr>
          <w:rStyle w:val="FootnoteReference"/>
          <w:sz w:val="24"/>
          <w:szCs w:val="24"/>
        </w:rPr>
        <w:footnoteReference w:id="171"/>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 xml:space="preserve">كما </w:t>
      </w:r>
      <w:r w:rsidRPr="001017A1">
        <w:rPr>
          <w:rFonts w:ascii="Traditional Arabic" w:hAnsi="Traditional Arabic" w:cs="Traditional Arabic"/>
          <w:sz w:val="30"/>
          <w:szCs w:val="30"/>
          <w:rtl/>
        </w:rPr>
        <w:t>أضر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الحريق أيضًا بالمختبر الرئيسي و</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خزانات المياه، تاركًا المستشفى بدون ماء.</w:t>
      </w:r>
      <w:r w:rsidRPr="00C927B2">
        <w:rPr>
          <w:rStyle w:val="FootnoteReference"/>
          <w:sz w:val="24"/>
          <w:szCs w:val="24"/>
        </w:rPr>
        <w:t xml:space="preserve"> </w:t>
      </w:r>
      <w:r w:rsidRPr="00C927B2">
        <w:rPr>
          <w:rStyle w:val="FootnoteReference"/>
          <w:sz w:val="24"/>
          <w:szCs w:val="24"/>
        </w:rPr>
        <w:footnoteReference w:id="172"/>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أصبح القتال ونشاط القناصة شديدًا لدرجة أن أحد</w:t>
      </w:r>
      <w:r w:rsidRPr="001017A1">
        <w:rPr>
          <w:rFonts w:ascii="Traditional Arabic" w:hAnsi="Traditional Arabic" w:cs="Traditional Arabic" w:hint="cs"/>
          <w:sz w:val="30"/>
          <w:szCs w:val="30"/>
          <w:rtl/>
        </w:rPr>
        <w:t>أ لم يستطع</w:t>
      </w:r>
      <w:r w:rsidRPr="001017A1">
        <w:rPr>
          <w:rFonts w:ascii="Traditional Arabic" w:hAnsi="Traditional Arabic" w:cs="Traditional Arabic"/>
          <w:sz w:val="30"/>
          <w:szCs w:val="30"/>
          <w:rtl/>
        </w:rPr>
        <w:t xml:space="preserve"> الدخول والخروج من المستشفى لمدة أربعة أيام تقريبًا</w:t>
      </w:r>
      <w:r w:rsidRPr="00C927B2">
        <w:rPr>
          <w:rStyle w:val="FootnoteReference"/>
          <w:sz w:val="24"/>
          <w:szCs w:val="24"/>
        </w:rPr>
        <w:footnoteReference w:id="173"/>
      </w:r>
      <w:r w:rsidRPr="00C927B2">
        <w:rPr>
          <w:rFonts w:asciiTheme="majorBidi" w:hAnsiTheme="majorBidi" w:cstheme="majorBidi"/>
          <w:sz w:val="24"/>
          <w:szCs w:val="24"/>
        </w:rPr>
        <w:t>.</w:t>
      </w:r>
    </w:p>
    <w:p w14:paraId="01BF8336" w14:textId="77777777"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hint="cs"/>
          <w:sz w:val="30"/>
          <w:szCs w:val="30"/>
          <w:rtl/>
        </w:rPr>
        <w:t xml:space="preserve">حسب </w:t>
      </w:r>
      <w:r w:rsidRPr="001017A1">
        <w:rPr>
          <w:rFonts w:ascii="Traditional Arabic" w:hAnsi="Traditional Arabic" w:cs="Traditional Arabic"/>
          <w:sz w:val="30"/>
          <w:szCs w:val="30"/>
          <w:rtl/>
        </w:rPr>
        <w:t xml:space="preserve">موظفي </w:t>
      </w:r>
      <w:r w:rsidRPr="001017A1">
        <w:rPr>
          <w:rFonts w:ascii="Traditional Arabic" w:hAnsi="Traditional Arabic" w:cs="Traditional Arabic" w:hint="cs"/>
          <w:sz w:val="30"/>
          <w:szCs w:val="30"/>
          <w:rtl/>
        </w:rPr>
        <w:t>مستشفى ا</w:t>
      </w:r>
      <w:r w:rsidRPr="001017A1">
        <w:rPr>
          <w:rFonts w:ascii="Traditional Arabic" w:hAnsi="Traditional Arabic" w:cs="Traditional Arabic"/>
          <w:sz w:val="30"/>
          <w:szCs w:val="30"/>
          <w:rtl/>
        </w:rPr>
        <w:t>لجمهورية، بقي حوالي سبعة مرضى في المستشفى خلال هذه الفترة. هؤلاء المرضى هم لاجئون من إثيوبيا لم يجدوا مكانًا يذهبون إليه ويعانون من أمراض خطيرة تتطلب علاجًا محددًا في المستشفى</w:t>
      </w:r>
      <w:r w:rsidRPr="00C927B2">
        <w:rPr>
          <w:rStyle w:val="FootnoteReference"/>
          <w:sz w:val="24"/>
          <w:szCs w:val="24"/>
        </w:rPr>
        <w:footnoteReference w:id="174"/>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نتيجة لعزل المستشفى خلال فترة القتال العنيف في خورمكسر، توفي اثنان على الأقل من هؤلاء المرضى بسبب نقص الغذاء والماء والرعاية الطبية الحيوية</w:t>
      </w:r>
      <w:r w:rsidRPr="00C927B2">
        <w:rPr>
          <w:rStyle w:val="FootnoteReference"/>
          <w:sz w:val="24"/>
          <w:szCs w:val="24"/>
        </w:rPr>
        <w:footnoteReference w:id="175"/>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lastRenderedPageBreak/>
        <w:t>و</w:t>
      </w:r>
      <w:r w:rsidRPr="001017A1">
        <w:rPr>
          <w:rFonts w:ascii="Traditional Arabic" w:hAnsi="Traditional Arabic" w:cs="Traditional Arabic"/>
          <w:sz w:val="30"/>
          <w:szCs w:val="30"/>
          <w:rtl/>
        </w:rPr>
        <w:t xml:space="preserve">تلقى مرضى آخرون، بينهم ثلاثة من المصابين من </w:t>
      </w:r>
      <w:r w:rsidRPr="001017A1">
        <w:rPr>
          <w:rFonts w:ascii="Traditional Arabic" w:hAnsi="Traditional Arabic" w:cs="Traditional Arabic" w:hint="cs"/>
          <w:sz w:val="30"/>
          <w:szCs w:val="30"/>
          <w:rtl/>
        </w:rPr>
        <w:t xml:space="preserve">أعضاء </w:t>
      </w:r>
      <w:r w:rsidRPr="001017A1">
        <w:rPr>
          <w:rFonts w:ascii="Traditional Arabic" w:hAnsi="Traditional Arabic" w:cs="Traditional Arabic"/>
          <w:sz w:val="30"/>
          <w:szCs w:val="30"/>
          <w:rtl/>
        </w:rPr>
        <w:t xml:space="preserve">المقاومة، رعاية مؤقتة في أحد المنازل المجاورة للمستشفى، لكنهم توفوا في غياب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رعاية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طبية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متخصصة </w:t>
      </w:r>
      <w:r w:rsidRPr="001017A1">
        <w:rPr>
          <w:rFonts w:ascii="Traditional Arabic" w:hAnsi="Traditional Arabic" w:cs="Traditional Arabic" w:hint="cs"/>
          <w:sz w:val="30"/>
          <w:szCs w:val="30"/>
          <w:rtl/>
        </w:rPr>
        <w:t xml:space="preserve">المؤمّنة </w:t>
      </w:r>
      <w:r w:rsidRPr="001017A1">
        <w:rPr>
          <w:rFonts w:ascii="Traditional Arabic" w:hAnsi="Traditional Arabic" w:cs="Traditional Arabic"/>
          <w:sz w:val="30"/>
          <w:szCs w:val="30"/>
          <w:rtl/>
        </w:rPr>
        <w:t>في الوقت المناسب</w:t>
      </w:r>
      <w:r w:rsidRPr="00C927B2">
        <w:rPr>
          <w:rFonts w:asciiTheme="majorBidi" w:hAnsiTheme="majorBidi" w:hint="cs"/>
          <w:sz w:val="24"/>
          <w:szCs w:val="24"/>
          <w:rtl/>
        </w:rPr>
        <w:t>.</w:t>
      </w:r>
      <w:r w:rsidRPr="00C927B2">
        <w:rPr>
          <w:rStyle w:val="FootnoteReference"/>
          <w:sz w:val="24"/>
          <w:szCs w:val="24"/>
        </w:rPr>
        <w:footnoteReference w:id="176"/>
      </w:r>
    </w:p>
    <w:p w14:paraId="2B195309" w14:textId="73AFDAA2" w:rsidR="00967CB7" w:rsidRPr="00C927B2" w:rsidRDefault="00967CB7" w:rsidP="00361237">
      <w:pPr>
        <w:pStyle w:val="Footer"/>
        <w:numPr>
          <w:ilvl w:val="0"/>
          <w:numId w:val="3"/>
        </w:numPr>
        <w:tabs>
          <w:tab w:val="left" w:pos="720"/>
        </w:tabs>
        <w:bidi/>
        <w:spacing w:after="240"/>
        <w:ind w:left="1089" w:right="1089"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 xml:space="preserve">كما ذكر أطباء </w:t>
      </w:r>
      <w:r w:rsidRPr="001017A1">
        <w:rPr>
          <w:rFonts w:ascii="Traditional Arabic" w:hAnsi="Traditional Arabic" w:cs="Traditional Arabic" w:hint="cs"/>
          <w:sz w:val="30"/>
          <w:szCs w:val="30"/>
          <w:rtl/>
        </w:rPr>
        <w:t xml:space="preserve">يعملون </w:t>
      </w:r>
      <w:r w:rsidRPr="001017A1">
        <w:rPr>
          <w:rFonts w:ascii="Traditional Arabic" w:hAnsi="Traditional Arabic" w:cs="Traditional Arabic"/>
          <w:sz w:val="30"/>
          <w:szCs w:val="30"/>
          <w:rtl/>
        </w:rPr>
        <w:t>في</w:t>
      </w:r>
      <w:r w:rsidRPr="001017A1">
        <w:rPr>
          <w:rFonts w:ascii="Traditional Arabic" w:hAnsi="Traditional Arabic" w:cs="Traditional Arabic" w:hint="cs"/>
          <w:sz w:val="30"/>
          <w:szCs w:val="30"/>
          <w:rtl/>
        </w:rPr>
        <w:t xml:space="preserve"> مستشفى</w:t>
      </w:r>
      <w:r w:rsidRPr="001017A1">
        <w:rPr>
          <w:rFonts w:ascii="Traditional Arabic" w:hAnsi="Traditional Arabic" w:cs="Traditional Arabic"/>
          <w:sz w:val="30"/>
          <w:szCs w:val="30"/>
          <w:rtl/>
        </w:rPr>
        <w:t xml:space="preserve"> الجمهورية أنه بعد قتال عنيف في خورمكسر، تناثرت في الشوارع المحيطة بالمستشفى الجثث التي شملت مدنيين ق</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تلوا على يد قناصة.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كان من المستحيل نقلهم إلى المقبرة بسبب القتال العنيف. بالإضافة إلى ذلك، كانت الجثث تتحلل في مشرحة المستشفى بسبب انقطاع الكهرباء</w:t>
      </w:r>
      <w:r w:rsidRPr="00C927B2">
        <w:rPr>
          <w:rStyle w:val="FootnoteReference"/>
          <w:sz w:val="24"/>
          <w:szCs w:val="24"/>
        </w:rPr>
        <w:footnoteReference w:id="177"/>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 xml:space="preserve">كما مات مصابون ومرضى في </w:t>
      </w:r>
      <w:r w:rsidR="00AA7098">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منازل </w:t>
      </w:r>
      <w:r w:rsidR="00AA7098">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 xml:space="preserve">خاصة </w:t>
      </w:r>
      <w:r w:rsidRPr="001017A1">
        <w:rPr>
          <w:rFonts w:ascii="Traditional Arabic" w:hAnsi="Traditional Arabic" w:cs="Traditional Arabic" w:hint="cs"/>
          <w:sz w:val="30"/>
          <w:szCs w:val="30"/>
          <w:rtl/>
        </w:rPr>
        <w:t>ب</w:t>
      </w:r>
      <w:r w:rsidRPr="001017A1">
        <w:rPr>
          <w:rFonts w:ascii="Traditional Arabic" w:hAnsi="Traditional Arabic" w:cs="Traditional Arabic"/>
          <w:sz w:val="30"/>
          <w:szCs w:val="30"/>
          <w:rtl/>
        </w:rPr>
        <w:t xml:space="preserve">مواطنين </w:t>
      </w:r>
      <w:r w:rsidRPr="001017A1">
        <w:rPr>
          <w:rFonts w:ascii="Traditional Arabic" w:hAnsi="Traditional Arabic" w:cs="Traditional Arabic" w:hint="cs"/>
          <w:sz w:val="30"/>
          <w:szCs w:val="30"/>
          <w:rtl/>
        </w:rPr>
        <w:t>ح</w:t>
      </w:r>
      <w:r w:rsidRPr="001017A1">
        <w:rPr>
          <w:rFonts w:ascii="Traditional Arabic" w:hAnsi="Traditional Arabic" w:cs="Traditional Arabic"/>
          <w:sz w:val="30"/>
          <w:szCs w:val="30"/>
          <w:rtl/>
        </w:rPr>
        <w:t>اولوا مساعدتهم</w:t>
      </w:r>
      <w:r w:rsidRPr="00C927B2">
        <w:rPr>
          <w:rFonts w:asciiTheme="majorBidi" w:hAnsiTheme="majorBidi"/>
          <w:sz w:val="24"/>
          <w:szCs w:val="24"/>
          <w:rtl/>
        </w:rPr>
        <w:t>.</w:t>
      </w:r>
      <w:r w:rsidRPr="00C927B2">
        <w:rPr>
          <w:rStyle w:val="FootnoteReference"/>
          <w:sz w:val="24"/>
          <w:szCs w:val="24"/>
        </w:rPr>
        <w:footnoteReference w:id="178"/>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Fonts w:ascii="Traditional Arabic" w:hAnsi="Traditional Arabic" w:cs="Traditional Arabic" w:hint="cs"/>
          <w:sz w:val="30"/>
          <w:szCs w:val="30"/>
          <w:rtl/>
        </w:rPr>
        <w:t xml:space="preserve">وقامت </w:t>
      </w:r>
      <w:r w:rsidRPr="001017A1">
        <w:rPr>
          <w:rFonts w:ascii="Traditional Arabic" w:hAnsi="Traditional Arabic" w:cs="Traditional Arabic"/>
          <w:sz w:val="30"/>
          <w:szCs w:val="30"/>
          <w:rtl/>
        </w:rPr>
        <w:t>مجموعة من الأطباء والمتطوعين</w:t>
      </w:r>
      <w:r w:rsidRPr="001017A1">
        <w:rPr>
          <w:rFonts w:ascii="Traditional Arabic" w:hAnsi="Traditional Arabic" w:cs="Traditional Arabic" w:hint="cs"/>
          <w:sz w:val="30"/>
          <w:szCs w:val="30"/>
          <w:rtl/>
        </w:rPr>
        <w:t xml:space="preserve"> بجمع</w:t>
      </w:r>
      <w:r w:rsidRPr="001017A1">
        <w:rPr>
          <w:rFonts w:ascii="Traditional Arabic" w:hAnsi="Traditional Arabic" w:cs="Traditional Arabic"/>
          <w:sz w:val="30"/>
          <w:szCs w:val="30"/>
          <w:rtl/>
        </w:rPr>
        <w:t xml:space="preserve"> تلك الجثث</w:t>
      </w:r>
      <w:r w:rsidRPr="001017A1">
        <w:rPr>
          <w:rFonts w:ascii="Traditional Arabic" w:hAnsi="Traditional Arabic" w:cs="Traditional Arabic" w:hint="cs"/>
          <w:sz w:val="30"/>
          <w:szCs w:val="30"/>
          <w:rtl/>
        </w:rPr>
        <w:t xml:space="preserve">، حيث </w:t>
      </w:r>
      <w:r w:rsidRPr="001017A1">
        <w:rPr>
          <w:rFonts w:ascii="Traditional Arabic" w:hAnsi="Traditional Arabic" w:cs="Traditional Arabic"/>
          <w:sz w:val="30"/>
          <w:szCs w:val="30"/>
          <w:rtl/>
        </w:rPr>
        <w:t>د</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فن بعضها في حدائق خاصة وحوالي 15 آخرين في مقبرة جماعية في ساحة كلية الطب</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179"/>
      </w:r>
    </w:p>
    <w:p w14:paraId="05933E64" w14:textId="77777777" w:rsidR="00967CB7" w:rsidRPr="001017A1" w:rsidRDefault="00967CB7" w:rsidP="00361237">
      <w:pPr>
        <w:pStyle w:val="NoSpacing"/>
        <w:tabs>
          <w:tab w:val="left" w:pos="720"/>
          <w:tab w:val="left" w:pos="1134"/>
          <w:tab w:val="left" w:pos="1701"/>
        </w:tabs>
        <w:bidi/>
        <w:spacing w:after="120" w:line="240" w:lineRule="atLeast"/>
        <w:ind w:right="827" w:firstLine="1052"/>
        <w:rPr>
          <w:rFonts w:ascii="Traditional Arabic" w:eastAsia="Times New Roman" w:hAnsi="Traditional Arabic" w:cs="Traditional Arabic"/>
          <w:i/>
          <w:iCs/>
          <w:sz w:val="30"/>
          <w:szCs w:val="30"/>
          <w:rtl/>
        </w:rPr>
      </w:pPr>
      <w:r w:rsidRPr="001017A1">
        <w:rPr>
          <w:rFonts w:ascii="Traditional Arabic" w:eastAsia="Times New Roman" w:hAnsi="Traditional Arabic" w:cs="Traditional Arabic"/>
          <w:i/>
          <w:iCs/>
          <w:sz w:val="30"/>
          <w:szCs w:val="30"/>
          <w:rtl/>
        </w:rPr>
        <w:t xml:space="preserve">مستشفى الشعب للتوليد ، </w:t>
      </w:r>
      <w:r w:rsidRPr="001017A1">
        <w:rPr>
          <w:rFonts w:ascii="Traditional Arabic" w:eastAsia="Times New Roman" w:hAnsi="Traditional Arabic" w:cs="Traditional Arabic" w:hint="eastAsia"/>
          <w:i/>
          <w:iCs/>
          <w:sz w:val="30"/>
          <w:szCs w:val="30"/>
          <w:rtl/>
        </w:rPr>
        <w:t>مديرية</w:t>
      </w:r>
      <w:r w:rsidRPr="001017A1">
        <w:rPr>
          <w:rFonts w:ascii="Traditional Arabic" w:eastAsia="Times New Roman" w:hAnsi="Traditional Arabic" w:cs="Traditional Arabic"/>
          <w:i/>
          <w:iCs/>
          <w:sz w:val="30"/>
          <w:szCs w:val="30"/>
          <w:rtl/>
        </w:rPr>
        <w:t xml:space="preserve"> كريتر، عدن</w:t>
      </w:r>
    </w:p>
    <w:p w14:paraId="7CCD3CB2" w14:textId="77777777" w:rsidR="00967CB7" w:rsidRPr="001017A1" w:rsidRDefault="00967CB7" w:rsidP="00361237">
      <w:pPr>
        <w:pStyle w:val="Footer"/>
        <w:numPr>
          <w:ilvl w:val="0"/>
          <w:numId w:val="3"/>
        </w:numPr>
        <w:tabs>
          <w:tab w:val="left" w:pos="720"/>
        </w:tabs>
        <w:bidi/>
        <w:spacing w:after="240"/>
        <w:ind w:left="1089" w:right="1089" w:firstLine="0"/>
        <w:jc w:val="both"/>
        <w:rPr>
          <w:rFonts w:ascii="Traditional Arabic" w:hAnsi="Traditional Arabic" w:cs="Traditional Arabic"/>
          <w:sz w:val="30"/>
          <w:szCs w:val="30"/>
        </w:rPr>
      </w:pPr>
      <w:r w:rsidRPr="001017A1">
        <w:rPr>
          <w:rFonts w:ascii="Traditional Arabic" w:hAnsi="Traditional Arabic" w:cs="Traditional Arabic"/>
          <w:sz w:val="30"/>
          <w:szCs w:val="30"/>
          <w:rtl/>
        </w:rPr>
        <w:t>في نيسان / أبريل 2015، عندما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على عدة مواقع في </w:t>
      </w:r>
      <w:r w:rsidRPr="001017A1">
        <w:rPr>
          <w:rFonts w:ascii="Traditional Arabic" w:hAnsi="Traditional Arabic" w:cs="Traditional Arabic" w:hint="cs"/>
          <w:sz w:val="30"/>
          <w:szCs w:val="30"/>
          <w:rtl/>
        </w:rPr>
        <w:t>مديرية</w:t>
      </w:r>
      <w:r w:rsidRPr="001017A1">
        <w:rPr>
          <w:rFonts w:ascii="Traditional Arabic" w:hAnsi="Traditional Arabic" w:cs="Traditional Arabic"/>
          <w:sz w:val="30"/>
          <w:szCs w:val="30"/>
          <w:rtl/>
        </w:rPr>
        <w:t xml:space="preserve"> كريتر، انتشروا حول مستشفى الشعب المتخصص في التوليد و</w:t>
      </w:r>
      <w:r w:rsidRPr="001017A1">
        <w:rPr>
          <w:rFonts w:ascii="Traditional Arabic" w:hAnsi="Traditional Arabic" w:cs="Traditional Arabic" w:hint="cs"/>
          <w:sz w:val="30"/>
          <w:szCs w:val="30"/>
          <w:rtl/>
        </w:rPr>
        <w:t>العناية بحديثي الولادة</w:t>
      </w:r>
      <w:r w:rsidRPr="001017A1">
        <w:rPr>
          <w:rFonts w:ascii="Traditional Arabic" w:hAnsi="Traditional Arabic" w:cs="Traditional Arabic"/>
          <w:sz w:val="30"/>
          <w:szCs w:val="30"/>
          <w:rtl/>
        </w:rPr>
        <w:t>. وكان المستشفى قد أغلق</w:t>
      </w:r>
      <w:r w:rsidRPr="001017A1">
        <w:rPr>
          <w:rFonts w:ascii="Traditional Arabic" w:hAnsi="Traditional Arabic" w:cs="Traditional Arabic" w:hint="cs"/>
          <w:sz w:val="30"/>
          <w:szCs w:val="30"/>
          <w:rtl/>
        </w:rPr>
        <w:t xml:space="preserve"> أبوابه</w:t>
      </w:r>
      <w:r w:rsidRPr="001017A1">
        <w:rPr>
          <w:rFonts w:ascii="Traditional Arabic" w:hAnsi="Traditional Arabic" w:cs="Traditional Arabic"/>
          <w:sz w:val="30"/>
          <w:szCs w:val="30"/>
          <w:rtl/>
        </w:rPr>
        <w:t xml:space="preserve"> بسبب القتال وهرب الطاقم الطبي. وأنشأ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قاعدة عسكرية ونشروا مركبات عسكرية وقناصة في مبنى المستشفى. كما استخدموا المبنى كمرفق اعتقال مؤقت للمعتقلين </w:t>
      </w:r>
      <w:r w:rsidRPr="001017A1">
        <w:rPr>
          <w:rFonts w:ascii="Traditional Arabic" w:hAnsi="Traditional Arabic" w:cs="Traditional Arabic" w:hint="cs"/>
          <w:sz w:val="30"/>
          <w:szCs w:val="30"/>
          <w:rtl/>
        </w:rPr>
        <w:t>من</w:t>
      </w:r>
      <w:r w:rsidRPr="001017A1">
        <w:rPr>
          <w:rFonts w:ascii="Traditional Arabic" w:hAnsi="Traditional Arabic" w:cs="Traditional Arabic"/>
          <w:sz w:val="30"/>
          <w:szCs w:val="30"/>
          <w:rtl/>
        </w:rPr>
        <w:t xml:space="preserve"> المقاومة الجنوبية قبل نقلهم إلى مركز احتجاز أكبر. كان المستشفى على مقربة من خط ال</w:t>
      </w:r>
      <w:r w:rsidRPr="001017A1">
        <w:rPr>
          <w:rFonts w:ascii="Traditional Arabic" w:hAnsi="Traditional Arabic" w:cs="Traditional Arabic" w:hint="cs"/>
          <w:sz w:val="30"/>
          <w:szCs w:val="30"/>
          <w:rtl/>
        </w:rPr>
        <w:t>تماس</w:t>
      </w:r>
      <w:r w:rsidRPr="001017A1">
        <w:rPr>
          <w:rFonts w:ascii="Traditional Arabic" w:hAnsi="Traditional Arabic" w:cs="Traditional Arabic"/>
          <w:sz w:val="30"/>
          <w:szCs w:val="30"/>
          <w:rtl/>
        </w:rPr>
        <w:t xml:space="preserve"> بين مواقع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ومواقع المقاومة في كريتير وكان القتال المستمر يدور خارج </w:t>
      </w:r>
      <w:r w:rsidRPr="001017A1">
        <w:rPr>
          <w:rFonts w:ascii="Traditional Arabic" w:hAnsi="Traditional Arabic" w:cs="Traditional Arabic" w:hint="cs"/>
          <w:sz w:val="30"/>
          <w:szCs w:val="30"/>
          <w:rtl/>
        </w:rPr>
        <w:t>حرم المستشفى</w:t>
      </w:r>
      <w:r w:rsidRPr="00C927B2">
        <w:rPr>
          <w:rStyle w:val="FootnoteReference"/>
          <w:sz w:val="24"/>
          <w:szCs w:val="24"/>
          <w:lang w:eastAsia="en-GB"/>
        </w:rPr>
        <w:footnoteReference w:id="180"/>
      </w:r>
      <w:r w:rsidRPr="00C927B2">
        <w:rPr>
          <w:rFonts w:asciiTheme="majorBidi" w:hAnsiTheme="majorBidi"/>
          <w:sz w:val="24"/>
          <w:szCs w:val="24"/>
          <w:rtl/>
        </w:rPr>
        <w:t>. ف</w:t>
      </w:r>
      <w:r>
        <w:rPr>
          <w:rFonts w:ascii="Traditional Arabic" w:hAnsi="Traditional Arabic" w:cs="Traditional Arabic" w:hint="cs"/>
          <w:sz w:val="30"/>
          <w:szCs w:val="30"/>
          <w:rtl/>
        </w:rPr>
        <w:t>ي</w:t>
      </w:r>
      <w:r w:rsidRPr="001017A1">
        <w:rPr>
          <w:rFonts w:ascii="Traditional Arabic" w:hAnsi="Traditional Arabic" w:cs="Traditional Arabic"/>
          <w:sz w:val="30"/>
          <w:szCs w:val="30"/>
          <w:rtl/>
        </w:rPr>
        <w:t xml:space="preserve"> 14 </w:t>
      </w:r>
      <w:r w:rsidRPr="001017A1">
        <w:rPr>
          <w:rFonts w:ascii="Traditional Arabic" w:hAnsi="Traditional Arabic" w:cs="Traditional Arabic" w:hint="cs"/>
          <w:sz w:val="30"/>
          <w:szCs w:val="30"/>
          <w:rtl/>
        </w:rPr>
        <w:t xml:space="preserve">تموز/ </w:t>
      </w:r>
      <w:r w:rsidRPr="001017A1">
        <w:rPr>
          <w:rFonts w:ascii="Traditional Arabic" w:hAnsi="Traditional Arabic" w:cs="Traditional Arabic"/>
          <w:sz w:val="30"/>
          <w:szCs w:val="30"/>
          <w:rtl/>
        </w:rPr>
        <w:t xml:space="preserve">يوليو، أصابت غارة جوية شنها التحالف المستشفى، مما تسبب في أضرار جسيمة </w:t>
      </w:r>
      <w:r w:rsidRPr="001017A1">
        <w:rPr>
          <w:rFonts w:ascii="Traditional Arabic" w:hAnsi="Traditional Arabic" w:cs="Traditional Arabic" w:hint="cs"/>
          <w:sz w:val="30"/>
          <w:szCs w:val="30"/>
          <w:rtl/>
        </w:rPr>
        <w:t xml:space="preserve">في </w:t>
      </w:r>
      <w:r w:rsidRPr="001017A1">
        <w:rPr>
          <w:rFonts w:ascii="Traditional Arabic" w:hAnsi="Traditional Arabic" w:cs="Traditional Arabic"/>
          <w:sz w:val="30"/>
          <w:szCs w:val="30"/>
          <w:rtl/>
        </w:rPr>
        <w:t>مجم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ع المستشفى الرئيسي والجدار المحيط</w:t>
      </w:r>
      <w:r w:rsidRPr="001017A1">
        <w:rPr>
          <w:rFonts w:ascii="Traditional Arabic" w:hAnsi="Traditional Arabic" w:cs="Traditional Arabic"/>
          <w:sz w:val="30"/>
          <w:szCs w:val="30"/>
        </w:rPr>
        <w:t>.</w:t>
      </w:r>
    </w:p>
    <w:p w14:paraId="689E659C"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 xml:space="preserve">اعتداء على سيارة إسعاف تابعة للهلال الأحمر وموظفيها في </w:t>
      </w:r>
      <w:r w:rsidRPr="001017A1">
        <w:rPr>
          <w:rFonts w:ascii="Traditional Arabic" w:eastAsia="Times New Roman" w:hAnsi="Traditional Arabic" w:cs="Traditional Arabic" w:hint="cs"/>
          <w:i/>
          <w:iCs/>
          <w:sz w:val="30"/>
          <w:szCs w:val="30"/>
          <w:rtl/>
        </w:rPr>
        <w:t>مديرية</w:t>
      </w:r>
      <w:r w:rsidRPr="001017A1">
        <w:rPr>
          <w:rFonts w:ascii="Traditional Arabic" w:eastAsia="Times New Roman" w:hAnsi="Traditional Arabic" w:cs="Traditional Arabic"/>
          <w:i/>
          <w:iCs/>
          <w:sz w:val="30"/>
          <w:szCs w:val="30"/>
          <w:rtl/>
        </w:rPr>
        <w:t xml:space="preserve"> خورمكسر، عدن</w:t>
      </w:r>
    </w:p>
    <w:p w14:paraId="3504B7BF" w14:textId="77777777" w:rsidR="008F301C" w:rsidRPr="008F301C"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i/>
          <w:iCs/>
          <w:sz w:val="30"/>
          <w:szCs w:val="30"/>
        </w:rPr>
      </w:pPr>
      <w:r w:rsidRPr="008F301C">
        <w:rPr>
          <w:rFonts w:ascii="Traditional Arabic" w:hAnsi="Traditional Arabic" w:cs="Traditional Arabic"/>
          <w:sz w:val="30"/>
          <w:szCs w:val="30"/>
          <w:rtl/>
        </w:rPr>
        <w:t>في 3 أبريل 2015، في تمام الساعة</w:t>
      </w:r>
      <w:r w:rsidRPr="008F301C">
        <w:rPr>
          <w:rFonts w:ascii="Traditional Arabic" w:hAnsi="Traditional Arabic" w:cs="Traditional Arabic" w:hint="cs"/>
          <w:sz w:val="30"/>
          <w:szCs w:val="30"/>
          <w:rtl/>
        </w:rPr>
        <w:t xml:space="preserve"> الثانية عشرة</w:t>
      </w:r>
      <w:r w:rsidRPr="008F301C">
        <w:rPr>
          <w:rFonts w:ascii="Traditional Arabic" w:hAnsi="Traditional Arabic" w:cs="Traditional Arabic"/>
          <w:sz w:val="30"/>
          <w:szCs w:val="30"/>
          <w:rtl/>
        </w:rPr>
        <w:t xml:space="preserve"> ظهراً، هاجم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سيارة إسعاف تنقل رجلين مصابين من </w:t>
      </w:r>
      <w:r w:rsidRPr="008F301C">
        <w:rPr>
          <w:rFonts w:ascii="Traditional Arabic" w:hAnsi="Traditional Arabic" w:cs="Traditional Arabic" w:hint="cs"/>
          <w:sz w:val="30"/>
          <w:szCs w:val="30"/>
          <w:rtl/>
        </w:rPr>
        <w:t>مديرية</w:t>
      </w:r>
      <w:r w:rsidRPr="008F301C">
        <w:rPr>
          <w:rFonts w:ascii="Traditional Arabic" w:hAnsi="Traditional Arabic" w:cs="Traditional Arabic"/>
          <w:sz w:val="30"/>
          <w:szCs w:val="30"/>
          <w:rtl/>
        </w:rPr>
        <w:t xml:space="preserve"> خورمكسر إلى المنصورة، مما أدى إلى مقتل اثنين من العاملين في الهلال الأحمر ال</w:t>
      </w:r>
      <w:r w:rsidRPr="008F301C">
        <w:rPr>
          <w:rFonts w:ascii="Traditional Arabic" w:hAnsi="Traditional Arabic" w:cs="Traditional Arabic" w:hint="cs"/>
          <w:sz w:val="30"/>
          <w:szCs w:val="30"/>
          <w:rtl/>
        </w:rPr>
        <w:t>ل</w:t>
      </w:r>
      <w:r w:rsidRPr="008F301C">
        <w:rPr>
          <w:rFonts w:ascii="Traditional Arabic" w:hAnsi="Traditional Arabic" w:cs="Traditional Arabic"/>
          <w:sz w:val="30"/>
          <w:szCs w:val="30"/>
          <w:rtl/>
        </w:rPr>
        <w:t>ذين كان</w:t>
      </w:r>
      <w:r w:rsidRPr="008F301C">
        <w:rPr>
          <w:rFonts w:ascii="Traditional Arabic" w:hAnsi="Traditional Arabic" w:cs="Traditional Arabic" w:hint="cs"/>
          <w:sz w:val="30"/>
          <w:szCs w:val="30"/>
          <w:rtl/>
        </w:rPr>
        <w:t>ا</w:t>
      </w:r>
      <w:r w:rsidRPr="008F301C">
        <w:rPr>
          <w:rFonts w:ascii="Traditional Arabic" w:hAnsi="Traditional Arabic" w:cs="Traditional Arabic"/>
          <w:sz w:val="30"/>
          <w:szCs w:val="30"/>
          <w:rtl/>
        </w:rPr>
        <w:t xml:space="preserve"> يدير</w:t>
      </w:r>
      <w:r w:rsidRPr="008F301C">
        <w:rPr>
          <w:rFonts w:ascii="Traditional Arabic" w:hAnsi="Traditional Arabic" w:cs="Traditional Arabic" w:hint="cs"/>
          <w:sz w:val="30"/>
          <w:szCs w:val="30"/>
          <w:rtl/>
        </w:rPr>
        <w:t>ا</w:t>
      </w:r>
      <w:r w:rsidRPr="008F301C">
        <w:rPr>
          <w:rFonts w:ascii="Traditional Arabic" w:hAnsi="Traditional Arabic" w:cs="Traditional Arabic"/>
          <w:sz w:val="30"/>
          <w:szCs w:val="30"/>
          <w:rtl/>
        </w:rPr>
        <w:t>ن سيارة الإسعاف. هاجم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سيارة الإسعاف عند دخولها المنصورة. كان رمز الهلال الأحمر مرئيًا بوضوح على سيارة الإسعاف</w:t>
      </w:r>
      <w:r w:rsidRPr="00F122A0">
        <w:rPr>
          <w:rFonts w:ascii="Traditional Arabic" w:hAnsi="Traditional Arabic" w:cs="Traditional Arabic"/>
          <w:sz w:val="30"/>
          <w:szCs w:val="30"/>
          <w:vertAlign w:val="superscript"/>
        </w:rPr>
        <w:footnoteReference w:id="181"/>
      </w:r>
      <w:r w:rsidRPr="008F301C">
        <w:rPr>
          <w:rFonts w:ascii="Traditional Arabic" w:hAnsi="Traditional Arabic" w:cs="Traditional Arabic"/>
          <w:sz w:val="30"/>
          <w:szCs w:val="30"/>
          <w:rtl/>
        </w:rPr>
        <w:t>. وفقًا لطبيب من عدن، كان مقاتلو الحوثي</w:t>
      </w:r>
      <w:r w:rsidRPr="008F301C">
        <w:rPr>
          <w:rFonts w:ascii="Traditional Arabic" w:hAnsi="Traditional Arabic" w:cs="Traditional Arabic" w:hint="cs"/>
          <w:sz w:val="30"/>
          <w:szCs w:val="30"/>
          <w:rtl/>
        </w:rPr>
        <w:t>ين -</w:t>
      </w:r>
      <w:r w:rsidRPr="008F301C">
        <w:rPr>
          <w:rFonts w:ascii="Traditional Arabic" w:hAnsi="Traditional Arabic" w:cs="Traditional Arabic"/>
          <w:sz w:val="30"/>
          <w:szCs w:val="30"/>
          <w:rtl/>
        </w:rPr>
        <w:t xml:space="preserve"> صالح يبحثون عن جرحى من أعضاء </w:t>
      </w:r>
      <w:r w:rsidRPr="008F301C">
        <w:rPr>
          <w:rFonts w:ascii="Traditional Arabic" w:hAnsi="Traditional Arabic" w:cs="Traditional Arabic"/>
          <w:sz w:val="30"/>
          <w:szCs w:val="30"/>
          <w:rtl/>
        </w:rPr>
        <w:lastRenderedPageBreak/>
        <w:t xml:space="preserve">المقاومة وسعوا لمنعهم من الوصول إلى الرعاية الطبية، </w:t>
      </w:r>
      <w:r w:rsidRPr="008F301C">
        <w:rPr>
          <w:rFonts w:ascii="Traditional Arabic" w:hAnsi="Traditional Arabic" w:cs="Traditional Arabic" w:hint="cs"/>
          <w:sz w:val="30"/>
          <w:szCs w:val="30"/>
          <w:rtl/>
        </w:rPr>
        <w:t>شاملاً حظر</w:t>
      </w:r>
      <w:r w:rsidRPr="008F301C">
        <w:rPr>
          <w:rFonts w:ascii="Traditional Arabic" w:hAnsi="Traditional Arabic" w:cs="Traditional Arabic"/>
          <w:sz w:val="30"/>
          <w:szCs w:val="30"/>
          <w:rtl/>
        </w:rPr>
        <w:t xml:space="preserve"> استخدام سيارات الإسعاف في المناطق الخاضعة لسيطرتهم</w:t>
      </w:r>
      <w:r w:rsidRPr="008F301C">
        <w:rPr>
          <w:rFonts w:asciiTheme="majorBidi" w:hAnsiTheme="majorBidi" w:cstheme="majorBidi"/>
          <w:sz w:val="24"/>
          <w:szCs w:val="24"/>
          <w:lang w:eastAsia="en-GB"/>
        </w:rPr>
        <w:t>.</w:t>
      </w:r>
      <w:r w:rsidRPr="008F301C">
        <w:rPr>
          <w:rStyle w:val="FootnoteReference"/>
          <w:sz w:val="24"/>
          <w:szCs w:val="24"/>
          <w:lang w:eastAsia="en-GB"/>
        </w:rPr>
        <w:t xml:space="preserve"> </w:t>
      </w:r>
      <w:r w:rsidRPr="00C927B2">
        <w:rPr>
          <w:rStyle w:val="FootnoteReference"/>
          <w:sz w:val="24"/>
          <w:szCs w:val="24"/>
          <w:lang w:eastAsia="en-GB"/>
        </w:rPr>
        <w:footnoteReference w:id="182"/>
      </w:r>
    </w:p>
    <w:p w14:paraId="4874CB05" w14:textId="038589D1" w:rsidR="00967CB7" w:rsidRPr="008F301C" w:rsidRDefault="00967CB7" w:rsidP="00361237">
      <w:pPr>
        <w:pStyle w:val="Footer"/>
        <w:tabs>
          <w:tab w:val="left" w:pos="720"/>
          <w:tab w:val="left" w:pos="1134"/>
          <w:tab w:val="left" w:pos="1701"/>
        </w:tabs>
        <w:bidi/>
        <w:spacing w:after="120" w:line="240" w:lineRule="atLeast"/>
        <w:ind w:left="1080" w:right="827"/>
        <w:jc w:val="both"/>
        <w:rPr>
          <w:rFonts w:ascii="Traditional Arabic" w:hAnsi="Traditional Arabic" w:cs="Traditional Arabic"/>
          <w:i/>
          <w:iCs/>
          <w:sz w:val="30"/>
          <w:szCs w:val="30"/>
        </w:rPr>
      </w:pPr>
      <w:r w:rsidRPr="008F301C">
        <w:rPr>
          <w:rFonts w:ascii="Traditional Arabic" w:hAnsi="Traditional Arabic" w:cs="Traditional Arabic"/>
          <w:i/>
          <w:iCs/>
          <w:sz w:val="30"/>
          <w:szCs w:val="30"/>
          <w:rtl/>
        </w:rPr>
        <w:t>القتال والسيطرة على المنطقة المحيطة بمستشفى ابن خلدون في لحج</w:t>
      </w:r>
    </w:p>
    <w:p w14:paraId="439D579B" w14:textId="5879DA6B"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Fonts w:ascii="Traditional Arabic" w:hAnsi="Traditional Arabic" w:cs="Traditional Arabic" w:hint="cs"/>
          <w:sz w:val="30"/>
          <w:szCs w:val="30"/>
          <w:rtl/>
        </w:rPr>
        <w:t xml:space="preserve">يعتبر </w:t>
      </w:r>
      <w:r w:rsidRPr="001017A1">
        <w:rPr>
          <w:rFonts w:ascii="Traditional Arabic" w:hAnsi="Traditional Arabic" w:cs="Traditional Arabic"/>
          <w:sz w:val="30"/>
          <w:szCs w:val="30"/>
          <w:rtl/>
        </w:rPr>
        <w:t xml:space="preserve">مستشفى ابن خلدون، في الحوطة، هو المستشفى الرئيسي لمحافظة لحج. في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وقع قتال بين مقاتلي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والمقاومة الجنوبية خارج المستشفى، </w:t>
      </w:r>
      <w:r>
        <w:rPr>
          <w:rFonts w:ascii="Traditional Arabic" w:hAnsi="Traditional Arabic" w:cs="Traditional Arabic" w:hint="cs"/>
          <w:sz w:val="30"/>
          <w:szCs w:val="30"/>
          <w:rtl/>
        </w:rPr>
        <w:t>ولهذا</w:t>
      </w:r>
      <w:r w:rsidRPr="001017A1">
        <w:rPr>
          <w:rFonts w:ascii="Traditional Arabic" w:hAnsi="Traditional Arabic" w:cs="Traditional Arabic"/>
          <w:sz w:val="30"/>
          <w:szCs w:val="30"/>
          <w:rtl/>
        </w:rPr>
        <w:t xml:space="preserve"> عرَّض المستشفى للخطر. </w:t>
      </w:r>
      <w:r w:rsidRPr="001017A1">
        <w:rPr>
          <w:rFonts w:ascii="Traditional Arabic" w:hAnsi="Traditional Arabic" w:cs="Traditional Arabic" w:hint="cs"/>
          <w:sz w:val="30"/>
          <w:szCs w:val="30"/>
          <w:rtl/>
        </w:rPr>
        <w:t>ووصلت الشظايا</w:t>
      </w:r>
      <w:r w:rsidRPr="001017A1">
        <w:rPr>
          <w:rFonts w:ascii="Traditional Arabic" w:hAnsi="Traditional Arabic" w:cs="Traditional Arabic"/>
          <w:sz w:val="30"/>
          <w:szCs w:val="30"/>
          <w:rtl/>
        </w:rPr>
        <w:t xml:space="preserve"> الناجم</w:t>
      </w:r>
      <w:r w:rsidRPr="001017A1">
        <w:rPr>
          <w:rFonts w:ascii="Traditional Arabic" w:hAnsi="Traditional Arabic" w:cs="Traditional Arabic" w:hint="cs"/>
          <w:sz w:val="30"/>
          <w:szCs w:val="30"/>
          <w:rtl/>
        </w:rPr>
        <w:t>ة</w:t>
      </w:r>
      <w:r w:rsidRPr="001017A1">
        <w:rPr>
          <w:rFonts w:ascii="Traditional Arabic" w:hAnsi="Traditional Arabic" w:cs="Traditional Arabic"/>
          <w:sz w:val="30"/>
          <w:szCs w:val="30"/>
          <w:rtl/>
        </w:rPr>
        <w:t xml:space="preserve"> عن القصف وإطلاق النار من </w:t>
      </w:r>
      <w:r w:rsidRPr="001017A1">
        <w:rPr>
          <w:rFonts w:ascii="Traditional Arabic" w:hAnsi="Traditional Arabic" w:cs="Traditional Arabic" w:hint="cs"/>
          <w:sz w:val="30"/>
          <w:szCs w:val="30"/>
          <w:rtl/>
        </w:rPr>
        <w:t>جانب</w:t>
      </w:r>
      <w:r w:rsidRPr="001017A1">
        <w:rPr>
          <w:rFonts w:ascii="Traditional Arabic" w:hAnsi="Traditional Arabic" w:cs="Traditional Arabic"/>
          <w:sz w:val="30"/>
          <w:szCs w:val="30"/>
          <w:rtl/>
        </w:rPr>
        <w:t xml:space="preserve"> الطرفين </w:t>
      </w:r>
      <w:r w:rsidRPr="001017A1">
        <w:rPr>
          <w:rFonts w:ascii="Traditional Arabic" w:hAnsi="Traditional Arabic" w:cs="Traditional Arabic" w:hint="cs"/>
          <w:sz w:val="30"/>
          <w:szCs w:val="30"/>
          <w:rtl/>
        </w:rPr>
        <w:t>ا</w:t>
      </w:r>
      <w:r w:rsidRPr="001017A1">
        <w:rPr>
          <w:rFonts w:ascii="Traditional Arabic" w:hAnsi="Traditional Arabic" w:cs="Traditional Arabic"/>
          <w:sz w:val="30"/>
          <w:szCs w:val="30"/>
          <w:rtl/>
        </w:rPr>
        <w:t>لى محيط المستشفى. عند وصولهم إلى الحوطة، 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موقع قناص في مبنى مكو</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ن من خمسة طوابق على الجانب الآخر من الطريق </w:t>
      </w:r>
      <w:r w:rsidRPr="001017A1">
        <w:rPr>
          <w:rFonts w:ascii="Traditional Arabic" w:hAnsi="Traditional Arabic" w:cs="Traditional Arabic" w:hint="cs"/>
          <w:sz w:val="30"/>
          <w:szCs w:val="30"/>
          <w:rtl/>
        </w:rPr>
        <w:t>مقابل</w:t>
      </w:r>
      <w:r w:rsidRPr="001017A1">
        <w:rPr>
          <w:rFonts w:ascii="Traditional Arabic" w:hAnsi="Traditional Arabic" w:cs="Traditional Arabic"/>
          <w:sz w:val="30"/>
          <w:szCs w:val="30"/>
          <w:rtl/>
        </w:rPr>
        <w:t xml:space="preserve"> المستشفى. في أيار</w:t>
      </w:r>
      <w:r w:rsidRPr="001017A1">
        <w:rPr>
          <w:rFonts w:ascii="Traditional Arabic" w:hAnsi="Traditional Arabic" w:cs="Traditional Arabic" w:hint="cs"/>
          <w:sz w:val="30"/>
          <w:szCs w:val="30"/>
          <w:rtl/>
        </w:rPr>
        <w:t>/مايو</w:t>
      </w:r>
      <w:r w:rsidRPr="001017A1">
        <w:rPr>
          <w:rFonts w:ascii="Traditional Arabic" w:hAnsi="Traditional Arabic" w:cs="Traditional Arabic"/>
          <w:sz w:val="30"/>
          <w:szCs w:val="30"/>
          <w:rtl/>
        </w:rPr>
        <w:t>، قُتل أحد موظفي المستشفى بالرصاص أثناء تبادل إطلاق النار. وخوفًا من حدة القتال، غادر</w:t>
      </w:r>
      <w:r w:rsidRPr="001017A1">
        <w:rPr>
          <w:rFonts w:ascii="Traditional Arabic" w:hAnsi="Traditional Arabic" w:cs="Traditional Arabic" w:hint="cs"/>
          <w:sz w:val="30"/>
          <w:szCs w:val="30"/>
          <w:rtl/>
        </w:rPr>
        <w:t xml:space="preserve"> المستشفى</w:t>
      </w:r>
      <w:r w:rsidRPr="001017A1">
        <w:rPr>
          <w:rFonts w:ascii="Traditional Arabic" w:hAnsi="Traditional Arabic" w:cs="Traditional Arabic"/>
          <w:sz w:val="30"/>
          <w:szCs w:val="30"/>
          <w:rtl/>
        </w:rPr>
        <w:t xml:space="preserve"> غالبية العاملين في</w:t>
      </w:r>
      <w:r w:rsidRPr="001017A1">
        <w:rPr>
          <w:rFonts w:ascii="Traditional Arabic" w:hAnsi="Traditional Arabic" w:cs="Traditional Arabic" w:hint="cs"/>
          <w:sz w:val="30"/>
          <w:szCs w:val="30"/>
          <w:rtl/>
        </w:rPr>
        <w:t xml:space="preserve">ه </w:t>
      </w:r>
      <w:r w:rsidRPr="001017A1">
        <w:rPr>
          <w:rFonts w:ascii="Traditional Arabic" w:hAnsi="Traditional Arabic" w:cs="Traditional Arabic"/>
          <w:sz w:val="30"/>
          <w:szCs w:val="30"/>
          <w:rtl/>
        </w:rPr>
        <w:t xml:space="preserve">والمرضى، باستثناء فريق صغير من الأطباء والممرضين الذين واصلوا تقديم خدمات طبية طارئة محدودة. </w:t>
      </w:r>
      <w:r w:rsidRPr="0007633A">
        <w:rPr>
          <w:rFonts w:ascii="Traditional Arabic" w:hAnsi="Traditional Arabic" w:cs="Traditional Arabic"/>
          <w:sz w:val="30"/>
          <w:szCs w:val="30"/>
          <w:rtl/>
        </w:rPr>
        <w:t>وكان وصول طرفي النزاع إلى المستشفى محدودا ً للغاية، حيث كانا يسعىان إلى م</w:t>
      </w:r>
      <w:r w:rsidR="000F31A7">
        <w:rPr>
          <w:rFonts w:ascii="Traditional Arabic" w:hAnsi="Traditional Arabic" w:cs="Traditional Arabic"/>
          <w:sz w:val="30"/>
          <w:szCs w:val="30"/>
          <w:rtl/>
        </w:rPr>
        <w:t>نع الطرف الآخر من التماس العلاج</w:t>
      </w:r>
      <w:r>
        <w:rPr>
          <w:rFonts w:ascii="Traditional Arabic" w:hAnsi="Traditional Arabic" w:cs="Traditional Arabic" w:hint="cs"/>
          <w:sz w:val="30"/>
          <w:szCs w:val="30"/>
          <w:rtl/>
        </w:rPr>
        <w:t>.</w:t>
      </w:r>
      <w:r w:rsidR="000F31A7">
        <w:rPr>
          <w:rStyle w:val="FootnoteReference"/>
          <w:rFonts w:cs="Traditional Arabic"/>
          <w:szCs w:val="30"/>
          <w:rtl/>
        </w:rPr>
        <w:footnoteReference w:id="183"/>
      </w:r>
      <w:r>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 xml:space="preserve">طلب طرفا النزاع من موظفي المستشفى </w:t>
      </w:r>
      <w:r w:rsidRPr="001017A1">
        <w:rPr>
          <w:rFonts w:ascii="Traditional Arabic" w:hAnsi="Traditional Arabic" w:cs="Traditional Arabic" w:hint="cs"/>
          <w:sz w:val="30"/>
          <w:szCs w:val="30"/>
          <w:rtl/>
        </w:rPr>
        <w:t>أن ي</w:t>
      </w:r>
      <w:r w:rsidRPr="001017A1">
        <w:rPr>
          <w:rFonts w:ascii="Traditional Arabic" w:hAnsi="Traditional Arabic" w:cs="Traditional Arabic"/>
          <w:sz w:val="30"/>
          <w:szCs w:val="30"/>
          <w:rtl/>
        </w:rPr>
        <w:t>حرم</w:t>
      </w:r>
      <w:r w:rsidRPr="001017A1">
        <w:rPr>
          <w:rFonts w:ascii="Traditional Arabic" w:hAnsi="Traditional Arabic" w:cs="Traditional Arabic" w:hint="cs"/>
          <w:sz w:val="30"/>
          <w:szCs w:val="30"/>
          <w:rtl/>
        </w:rPr>
        <w:t>وا من العلاج المق</w:t>
      </w:r>
      <w:r w:rsidRPr="001017A1">
        <w:rPr>
          <w:rFonts w:ascii="Traditional Arabic" w:hAnsi="Traditional Arabic" w:cs="Traditional Arabic"/>
          <w:sz w:val="30"/>
          <w:szCs w:val="30"/>
          <w:rtl/>
        </w:rPr>
        <w:t xml:space="preserve">اتلين المصابين </w:t>
      </w:r>
      <w:r w:rsidRPr="001017A1">
        <w:rPr>
          <w:rFonts w:ascii="Traditional Arabic" w:hAnsi="Traditional Arabic" w:cs="Traditional Arabic" w:hint="cs"/>
          <w:sz w:val="30"/>
          <w:szCs w:val="30"/>
          <w:rtl/>
        </w:rPr>
        <w:t>والمنتمين الى</w:t>
      </w:r>
      <w:r w:rsidRPr="001017A1">
        <w:rPr>
          <w:rFonts w:ascii="Traditional Arabic" w:hAnsi="Traditional Arabic" w:cs="Traditional Arabic"/>
          <w:sz w:val="30"/>
          <w:szCs w:val="30"/>
          <w:rtl/>
        </w:rPr>
        <w:t xml:space="preserve"> الطرف الآخر في النزاع.</w:t>
      </w:r>
      <w:r w:rsidRPr="00C927B2">
        <w:rPr>
          <w:rStyle w:val="FootnoteReference"/>
          <w:sz w:val="24"/>
          <w:szCs w:val="24"/>
          <w:lang w:eastAsia="en-GB"/>
        </w:rPr>
        <w:footnoteReference w:id="184"/>
      </w:r>
      <w:r w:rsidR="008F301C">
        <w:rPr>
          <w:rFonts w:hint="cs"/>
          <w:sz w:val="24"/>
          <w:szCs w:val="24"/>
          <w:rtl/>
          <w:lang w:eastAsia="en-GB"/>
        </w:rPr>
        <w:t xml:space="preserve"> </w:t>
      </w:r>
      <w:r w:rsidRPr="001017A1">
        <w:rPr>
          <w:rFonts w:ascii="Traditional Arabic" w:hAnsi="Traditional Arabic" w:cs="Traditional Arabic"/>
          <w:sz w:val="30"/>
          <w:szCs w:val="30"/>
          <w:rtl/>
        </w:rPr>
        <w:t>كان الوصول إلى المستشفى مقيدًا بشدة من قِبل طرفي النزاع حيث سع</w:t>
      </w:r>
      <w:r w:rsidRPr="001017A1">
        <w:rPr>
          <w:rFonts w:ascii="Traditional Arabic" w:hAnsi="Traditional Arabic" w:cs="Traditional Arabic" w:hint="cs"/>
          <w:sz w:val="30"/>
          <w:szCs w:val="30"/>
          <w:rtl/>
        </w:rPr>
        <w:t>يا</w:t>
      </w:r>
      <w:r w:rsidRPr="001017A1">
        <w:rPr>
          <w:rFonts w:ascii="Traditional Arabic" w:hAnsi="Traditional Arabic" w:cs="Traditional Arabic"/>
          <w:sz w:val="30"/>
          <w:szCs w:val="30"/>
          <w:rtl/>
        </w:rPr>
        <w:t xml:space="preserve"> إلى منع الطرف الآخر من </w:t>
      </w:r>
      <w:r w:rsidRPr="001017A1">
        <w:rPr>
          <w:rFonts w:ascii="Traditional Arabic" w:hAnsi="Traditional Arabic" w:cs="Traditional Arabic" w:hint="cs"/>
          <w:sz w:val="30"/>
          <w:szCs w:val="30"/>
          <w:rtl/>
        </w:rPr>
        <w:t>طلب</w:t>
      </w:r>
      <w:r w:rsidRPr="001017A1">
        <w:rPr>
          <w:rFonts w:ascii="Traditional Arabic" w:hAnsi="Traditional Arabic" w:cs="Traditional Arabic"/>
          <w:sz w:val="30"/>
          <w:szCs w:val="30"/>
          <w:rtl/>
        </w:rPr>
        <w:t xml:space="preserve"> العلاج</w:t>
      </w:r>
      <w:r w:rsidRPr="00C927B2">
        <w:rPr>
          <w:rFonts w:asciiTheme="majorBidi" w:hAnsiTheme="majorBidi"/>
          <w:sz w:val="24"/>
          <w:szCs w:val="24"/>
          <w:rtl/>
          <w:lang w:eastAsia="en-GB"/>
        </w:rPr>
        <w:t xml:space="preserve">. </w:t>
      </w:r>
      <w:r w:rsidRPr="001017A1">
        <w:rPr>
          <w:rFonts w:ascii="Traditional Arabic" w:hAnsi="Traditional Arabic" w:cs="Traditional Arabic"/>
          <w:sz w:val="30"/>
          <w:szCs w:val="30"/>
          <w:rtl/>
        </w:rPr>
        <w:t xml:space="preserve">بعد انسحاب المقاومة من محافظة لحج، في </w:t>
      </w:r>
      <w:r w:rsidRPr="001017A1">
        <w:rPr>
          <w:rFonts w:ascii="Traditional Arabic" w:hAnsi="Traditional Arabic" w:cs="Traditional Arabic" w:hint="cs"/>
          <w:sz w:val="30"/>
          <w:szCs w:val="30"/>
          <w:rtl/>
        </w:rPr>
        <w:t xml:space="preserve">أيار/ </w:t>
      </w:r>
      <w:r w:rsidRPr="001017A1">
        <w:rPr>
          <w:rFonts w:ascii="Traditional Arabic" w:hAnsi="Traditional Arabic" w:cs="Traditional Arabic"/>
          <w:sz w:val="30"/>
          <w:szCs w:val="30"/>
          <w:rtl/>
        </w:rPr>
        <w:t>مايو 2015،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سيطرة كاملة على محيط المستشفى وأشرفوا على </w:t>
      </w:r>
      <w:r w:rsidRPr="001017A1">
        <w:rPr>
          <w:rFonts w:ascii="Traditional Arabic" w:hAnsi="Traditional Arabic" w:cs="Traditional Arabic" w:hint="cs"/>
          <w:sz w:val="30"/>
          <w:szCs w:val="30"/>
          <w:rtl/>
        </w:rPr>
        <w:t>ال</w:t>
      </w:r>
      <w:r w:rsidRPr="001017A1">
        <w:rPr>
          <w:rFonts w:ascii="Traditional Arabic" w:hAnsi="Traditional Arabic" w:cs="Traditional Arabic"/>
          <w:sz w:val="30"/>
          <w:szCs w:val="30"/>
          <w:rtl/>
        </w:rPr>
        <w:t>تحركات</w:t>
      </w:r>
      <w:r w:rsidRPr="001017A1">
        <w:rPr>
          <w:rFonts w:ascii="Traditional Arabic" w:hAnsi="Traditional Arabic" w:cs="Traditional Arabic" w:hint="cs"/>
          <w:sz w:val="30"/>
          <w:szCs w:val="30"/>
          <w:rtl/>
        </w:rPr>
        <w:t xml:space="preserve"> د</w:t>
      </w:r>
      <w:r w:rsidRPr="001017A1">
        <w:rPr>
          <w:rFonts w:ascii="Traditional Arabic" w:hAnsi="Traditional Arabic" w:cs="Traditional Arabic"/>
          <w:sz w:val="30"/>
          <w:szCs w:val="30"/>
          <w:rtl/>
        </w:rPr>
        <w:t>اخل</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المستشفى</w:t>
      </w:r>
      <w:r w:rsidRPr="001017A1">
        <w:rPr>
          <w:rFonts w:ascii="Traditional Arabic" w:hAnsi="Traditional Arabic" w:cs="Traditional Arabic" w:hint="cs"/>
          <w:sz w:val="30"/>
          <w:szCs w:val="30"/>
          <w:rtl/>
        </w:rPr>
        <w:t xml:space="preserve"> وخارجه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ألقوا القبض على أحد العاملين في المستشفى ثم أطلقوا سراحه بعد ذلك. خلال تلك الفترة، عمل المستشفى بقدرات محدودة للغاية</w:t>
      </w:r>
      <w:r w:rsidRPr="00C927B2">
        <w:rPr>
          <w:rStyle w:val="FootnoteReference"/>
          <w:sz w:val="24"/>
          <w:szCs w:val="24"/>
          <w:lang w:eastAsia="en-GB"/>
        </w:rPr>
        <w:footnoteReference w:id="185"/>
      </w:r>
      <w:r w:rsidRPr="00C927B2">
        <w:rPr>
          <w:rFonts w:asciiTheme="majorBidi" w:hAnsiTheme="majorBidi" w:cstheme="majorBidi"/>
          <w:sz w:val="24"/>
          <w:szCs w:val="24"/>
          <w:lang w:eastAsia="en-GB"/>
        </w:rPr>
        <w:t xml:space="preserve">  .</w:t>
      </w:r>
    </w:p>
    <w:p w14:paraId="0636B884"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i/>
          <w:iCs/>
          <w:sz w:val="30"/>
          <w:szCs w:val="30"/>
          <w:rtl/>
        </w:rPr>
        <w:t>احتلال المستشفيات</w:t>
      </w:r>
    </w:p>
    <w:p w14:paraId="7C51664F"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Fonts w:ascii="Traditional Arabic" w:hAnsi="Traditional Arabic" w:cs="Traditional Arabic"/>
          <w:sz w:val="30"/>
          <w:szCs w:val="30"/>
          <w:rtl/>
        </w:rPr>
        <w:t>احتل مقاتلو الحوثي</w:t>
      </w:r>
      <w:r w:rsidRPr="001017A1">
        <w:rPr>
          <w:rFonts w:ascii="Traditional Arabic" w:hAnsi="Traditional Arabic" w:cs="Traditional Arabic" w:hint="cs"/>
          <w:sz w:val="30"/>
          <w:szCs w:val="30"/>
          <w:rtl/>
        </w:rPr>
        <w:t xml:space="preserve">ين </w:t>
      </w:r>
      <w:r w:rsidRPr="001017A1">
        <w:rPr>
          <w:rFonts w:ascii="Traditional Arabic" w:hAnsi="Traditional Arabic" w:cs="Traditional Arabic"/>
          <w:sz w:val="30"/>
          <w:szCs w:val="30"/>
          <w:rtl/>
        </w:rPr>
        <w:t>– صالح</w:t>
      </w:r>
      <w:r w:rsidRPr="001017A1">
        <w:rPr>
          <w:rFonts w:ascii="Traditional Arabic" w:hAnsi="Traditional Arabic" w:cs="Traditional Arabic" w:hint="cs"/>
          <w:sz w:val="30"/>
          <w:szCs w:val="30"/>
          <w:rtl/>
        </w:rPr>
        <w:t xml:space="preserve"> ايضاً</w:t>
      </w:r>
      <w:r w:rsidRPr="001017A1">
        <w:rPr>
          <w:rFonts w:ascii="Traditional Arabic" w:hAnsi="Traditional Arabic" w:cs="Traditional Arabic"/>
          <w:sz w:val="30"/>
          <w:szCs w:val="30"/>
          <w:rtl/>
        </w:rPr>
        <w:t xml:space="preserve"> مباني المستشفيات، </w:t>
      </w:r>
      <w:r w:rsidRPr="001017A1">
        <w:rPr>
          <w:rFonts w:ascii="Traditional Arabic" w:hAnsi="Traditional Arabic" w:cs="Traditional Arabic" w:hint="cs"/>
          <w:sz w:val="30"/>
          <w:szCs w:val="30"/>
          <w:rtl/>
        </w:rPr>
        <w:t>مما حال دون حصول</w:t>
      </w:r>
      <w:r w:rsidRPr="001017A1">
        <w:rPr>
          <w:rFonts w:ascii="Traditional Arabic" w:hAnsi="Traditional Arabic" w:cs="Traditional Arabic"/>
          <w:sz w:val="30"/>
          <w:szCs w:val="30"/>
          <w:rtl/>
        </w:rPr>
        <w:t xml:space="preserve"> المدنيين على الرعاية الطبية الأساسية وعر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ض البنية التحتية الطبية للخطر. </w:t>
      </w:r>
      <w:r>
        <w:rPr>
          <w:rFonts w:ascii="Traditional Arabic" w:hAnsi="Traditional Arabic" w:cs="Traditional Arabic" w:hint="cs"/>
          <w:sz w:val="30"/>
          <w:szCs w:val="30"/>
          <w:rtl/>
        </w:rPr>
        <w:t xml:space="preserve">وكما هو مشار اليه بالفقره ... اعلاه، </w:t>
      </w:r>
      <w:r w:rsidRPr="001017A1">
        <w:rPr>
          <w:rFonts w:ascii="Traditional Arabic" w:hAnsi="Traditional Arabic" w:cs="Traditional Arabic"/>
          <w:sz w:val="30"/>
          <w:szCs w:val="30"/>
          <w:rtl/>
        </w:rPr>
        <w:t xml:space="preserve">في </w:t>
      </w:r>
      <w:r w:rsidRPr="001017A1">
        <w:rPr>
          <w:rFonts w:ascii="Traditional Arabic" w:hAnsi="Traditional Arabic" w:cs="Traditional Arabic" w:hint="cs"/>
          <w:sz w:val="30"/>
          <w:szCs w:val="30"/>
          <w:rtl/>
        </w:rPr>
        <w:t xml:space="preserve">نيسان/ </w:t>
      </w:r>
      <w:r w:rsidRPr="001017A1">
        <w:rPr>
          <w:rFonts w:ascii="Traditional Arabic" w:hAnsi="Traditional Arabic" w:cs="Traditional Arabic"/>
          <w:sz w:val="30"/>
          <w:szCs w:val="30"/>
          <w:rtl/>
        </w:rPr>
        <w:t>أبريل 2015، عندما سيطر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على عدة مواقع في </w:t>
      </w:r>
      <w:r w:rsidRPr="001017A1">
        <w:rPr>
          <w:rFonts w:ascii="Traditional Arabic" w:hAnsi="Traditional Arabic" w:cs="Traditional Arabic" w:hint="cs"/>
          <w:sz w:val="30"/>
          <w:szCs w:val="30"/>
          <w:rtl/>
        </w:rPr>
        <w:t>مديرية</w:t>
      </w:r>
      <w:r w:rsidRPr="001017A1">
        <w:rPr>
          <w:rFonts w:ascii="Traditional Arabic" w:hAnsi="Traditional Arabic" w:cs="Traditional Arabic"/>
          <w:sz w:val="30"/>
          <w:szCs w:val="30"/>
          <w:rtl/>
        </w:rPr>
        <w:t xml:space="preserve"> كريتر، انتشروا حول مستشفى الشعب للتوليد. أ</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غلق المستشفى بسبب القتال وفر</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أفراد الطاقم الطبي. وأنشأ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قاعدة عسكرية ونشروا مركبات عسكرية وقناصة </w:t>
      </w:r>
      <w:r w:rsidRPr="001017A1">
        <w:rPr>
          <w:rFonts w:ascii="Traditional Arabic" w:hAnsi="Traditional Arabic" w:cs="Traditional Arabic" w:hint="cs"/>
          <w:sz w:val="30"/>
          <w:szCs w:val="30"/>
          <w:rtl/>
        </w:rPr>
        <w:t>داخل حرم</w:t>
      </w:r>
      <w:r w:rsidRPr="001017A1">
        <w:rPr>
          <w:rFonts w:ascii="Traditional Arabic" w:hAnsi="Traditional Arabic" w:cs="Traditional Arabic"/>
          <w:sz w:val="30"/>
          <w:szCs w:val="30"/>
          <w:rtl/>
        </w:rPr>
        <w:t xml:space="preserve"> المستشفى. كما استخدموا المبنى كمرفق احتجاز مؤقت حيث احتجزوا </w:t>
      </w:r>
      <w:r w:rsidRPr="001017A1">
        <w:rPr>
          <w:rFonts w:ascii="Traditional Arabic" w:hAnsi="Traditional Arabic" w:cs="Traditional Arabic" w:hint="cs"/>
          <w:sz w:val="30"/>
          <w:szCs w:val="30"/>
          <w:rtl/>
        </w:rPr>
        <w:t>أفراد</w:t>
      </w:r>
      <w:r w:rsidRPr="001017A1">
        <w:rPr>
          <w:rFonts w:ascii="Traditional Arabic" w:hAnsi="Traditional Arabic" w:cs="Traditional Arabic"/>
          <w:sz w:val="30"/>
          <w:szCs w:val="30"/>
          <w:rtl/>
        </w:rPr>
        <w:t xml:space="preserve"> من المقاومة</w:t>
      </w:r>
      <w:r w:rsidRPr="00C927B2">
        <w:rPr>
          <w:rStyle w:val="FootnoteReference"/>
          <w:sz w:val="24"/>
          <w:szCs w:val="24"/>
          <w:lang w:eastAsia="en-GB"/>
        </w:rPr>
        <w:footnoteReference w:id="186"/>
      </w:r>
      <w:r w:rsidRPr="00C927B2">
        <w:rPr>
          <w:rFonts w:asciiTheme="majorBidi" w:hAnsiTheme="majorBidi"/>
          <w:color w:val="000000"/>
          <w:sz w:val="24"/>
          <w:szCs w:val="24"/>
          <w:shd w:val="clear" w:color="auto" w:fill="F6F6F6"/>
          <w:rtl/>
        </w:rPr>
        <w:t xml:space="preserve">. </w:t>
      </w:r>
      <w:r w:rsidRPr="001017A1">
        <w:rPr>
          <w:rFonts w:ascii="Traditional Arabic" w:hAnsi="Traditional Arabic" w:cs="Traditional Arabic"/>
          <w:sz w:val="30"/>
          <w:szCs w:val="30"/>
          <w:rtl/>
        </w:rPr>
        <w:t>وفقًا ل</w:t>
      </w:r>
      <w:r w:rsidRPr="001017A1">
        <w:rPr>
          <w:rFonts w:ascii="Traditional Arabic" w:hAnsi="Traditional Arabic" w:cs="Traditional Arabic" w:hint="cs"/>
          <w:sz w:val="30"/>
          <w:szCs w:val="30"/>
          <w:rtl/>
        </w:rPr>
        <w:t>مرجع</w:t>
      </w:r>
      <w:r w:rsidRPr="001017A1">
        <w:rPr>
          <w:rFonts w:ascii="Traditional Arabic" w:hAnsi="Traditional Arabic" w:cs="Traditional Arabic"/>
          <w:sz w:val="30"/>
          <w:szCs w:val="30"/>
          <w:rtl/>
        </w:rPr>
        <w:t xml:space="preserve"> طبي، بعد إغلاق مستشفى الولادة، تم</w:t>
      </w:r>
      <w:r w:rsidRPr="001017A1">
        <w:rPr>
          <w:rFonts w:ascii="Traditional Arabic" w:hAnsi="Traditional Arabic" w:cs="Traditional Arabic" w:hint="cs"/>
          <w:sz w:val="30"/>
          <w:szCs w:val="30"/>
          <w:rtl/>
        </w:rPr>
        <w:t>ّ</w:t>
      </w:r>
      <w:r w:rsidRPr="001017A1">
        <w:rPr>
          <w:rFonts w:ascii="Traditional Arabic" w:hAnsi="Traditional Arabic" w:cs="Traditional Arabic"/>
          <w:sz w:val="30"/>
          <w:szCs w:val="30"/>
          <w:rtl/>
        </w:rPr>
        <w:t xml:space="preserve"> نقل المرضى إلى عيادات غير مؤهلة، مما أدى إلى وفاة نساء وأطفال صغار</w:t>
      </w:r>
      <w:r w:rsidRPr="00C927B2">
        <w:rPr>
          <w:rStyle w:val="FootnoteReference"/>
          <w:sz w:val="24"/>
          <w:szCs w:val="24"/>
        </w:rPr>
        <w:footnoteReference w:id="187"/>
      </w:r>
      <w:r w:rsidRPr="00C927B2">
        <w:rPr>
          <w:rFonts w:asciiTheme="majorBidi" w:hAnsiTheme="majorBidi"/>
          <w:color w:val="000000"/>
          <w:sz w:val="24"/>
          <w:szCs w:val="24"/>
          <w:shd w:val="clear" w:color="auto" w:fill="F6F6F6"/>
          <w:rtl/>
        </w:rPr>
        <w:t xml:space="preserve">. </w:t>
      </w:r>
      <w:r w:rsidRPr="001017A1">
        <w:rPr>
          <w:rFonts w:ascii="Traditional Arabic" w:hAnsi="Traditional Arabic" w:cs="Traditional Arabic"/>
          <w:sz w:val="30"/>
          <w:szCs w:val="30"/>
          <w:rtl/>
        </w:rPr>
        <w:t>استولى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w:t>
      </w:r>
      <w:r w:rsidRPr="001017A1">
        <w:rPr>
          <w:rFonts w:ascii="Traditional Arabic" w:hAnsi="Traditional Arabic" w:cs="Traditional Arabic"/>
          <w:sz w:val="30"/>
          <w:szCs w:val="30"/>
          <w:rtl/>
        </w:rPr>
        <w:lastRenderedPageBreak/>
        <w:t xml:space="preserve">أيضًا على المستشفى العسكري في </w:t>
      </w:r>
      <w:r w:rsidRPr="001017A1">
        <w:rPr>
          <w:rFonts w:ascii="Traditional Arabic" w:hAnsi="Traditional Arabic" w:cs="Traditional Arabic" w:hint="cs"/>
          <w:sz w:val="30"/>
          <w:szCs w:val="30"/>
          <w:rtl/>
        </w:rPr>
        <w:t>التواهي</w:t>
      </w:r>
      <w:r w:rsidRPr="001017A1">
        <w:rPr>
          <w:rFonts w:ascii="Traditional Arabic" w:hAnsi="Traditional Arabic" w:cs="Traditional Arabic"/>
          <w:sz w:val="30"/>
          <w:szCs w:val="30"/>
          <w:rtl/>
        </w:rPr>
        <w:t xml:space="preserve"> والمستشفى العام في المس</w:t>
      </w:r>
      <w:r w:rsidRPr="001017A1">
        <w:rPr>
          <w:rFonts w:ascii="Traditional Arabic" w:hAnsi="Traditional Arabic" w:cs="Traditional Arabic" w:hint="cs"/>
          <w:sz w:val="30"/>
          <w:szCs w:val="30"/>
          <w:rtl/>
        </w:rPr>
        <w:t>ي</w:t>
      </w:r>
      <w:r w:rsidRPr="001017A1">
        <w:rPr>
          <w:rFonts w:ascii="Traditional Arabic" w:hAnsi="Traditional Arabic" w:cs="Traditional Arabic"/>
          <w:sz w:val="30"/>
          <w:szCs w:val="30"/>
          <w:rtl/>
        </w:rPr>
        <w:t>مير. تم إخلاء المستشفيين بحلول الوقت الذي احتلهما</w:t>
      </w:r>
      <w:r w:rsidRPr="001017A1">
        <w:rPr>
          <w:rFonts w:ascii="Traditional Arabic" w:hAnsi="Traditional Arabic" w:cs="Traditional Arabic" w:hint="cs"/>
          <w:sz w:val="30"/>
          <w:szCs w:val="30"/>
          <w:rtl/>
        </w:rPr>
        <w:t xml:space="preserve"> فيه</w:t>
      </w:r>
      <w:r w:rsidRPr="001017A1">
        <w:rPr>
          <w:rFonts w:ascii="Traditional Arabic" w:hAnsi="Traditional Arabic" w:cs="Traditional Arabic"/>
          <w:sz w:val="30"/>
          <w:szCs w:val="30"/>
          <w:rtl/>
        </w:rPr>
        <w:t xml:space="preserve"> الحوثيون</w:t>
      </w:r>
      <w:r w:rsidRPr="00C927B2">
        <w:rPr>
          <w:rStyle w:val="FootnoteReference"/>
          <w:sz w:val="24"/>
          <w:szCs w:val="24"/>
        </w:rPr>
        <w:footnoteReference w:id="188"/>
      </w:r>
      <w:r w:rsidRPr="00C927B2">
        <w:rPr>
          <w:rFonts w:asciiTheme="majorBidi" w:hAnsiTheme="majorBidi" w:cstheme="majorBidi"/>
          <w:color w:val="000000"/>
          <w:sz w:val="24"/>
          <w:szCs w:val="24"/>
          <w:shd w:val="clear" w:color="auto" w:fill="F6F6F6"/>
        </w:rPr>
        <w:t>.</w:t>
      </w:r>
    </w:p>
    <w:p w14:paraId="0DA1BD01" w14:textId="77777777" w:rsidR="00C44B69" w:rsidRDefault="00C44B69" w:rsidP="00361237">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p>
    <w:p w14:paraId="59CED40B" w14:textId="516793E6" w:rsidR="00967CB7" w:rsidRPr="001017A1" w:rsidRDefault="00967CB7" w:rsidP="00C44B69">
      <w:pPr>
        <w:pStyle w:val="NoSpacing"/>
        <w:tabs>
          <w:tab w:val="left" w:pos="720"/>
          <w:tab w:val="left" w:pos="1134"/>
          <w:tab w:val="left" w:pos="1701"/>
        </w:tabs>
        <w:bidi/>
        <w:spacing w:after="120" w:line="240" w:lineRule="atLeast"/>
        <w:ind w:left="1080"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hint="cs"/>
          <w:i/>
          <w:iCs/>
          <w:sz w:val="30"/>
          <w:szCs w:val="30"/>
          <w:rtl/>
        </w:rPr>
        <w:t>تقييد</w:t>
      </w:r>
      <w:r w:rsidRPr="001017A1">
        <w:rPr>
          <w:rFonts w:ascii="Traditional Arabic" w:eastAsia="Times New Roman" w:hAnsi="Traditional Arabic" w:cs="Traditional Arabic"/>
          <w:i/>
          <w:iCs/>
          <w:sz w:val="30"/>
          <w:szCs w:val="30"/>
          <w:rtl/>
        </w:rPr>
        <w:t xml:space="preserve"> حرية الوصول إلى الرعاية الطبية والممر الآمن للمستلزمات الطبية</w:t>
      </w:r>
    </w:p>
    <w:p w14:paraId="6EA980D6" w14:textId="558BF283" w:rsidR="00967CB7" w:rsidRPr="00C927B2" w:rsidRDefault="00967CB7" w:rsidP="00AA7098">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Fonts w:ascii="Traditional Arabic" w:hAnsi="Traditional Arabic" w:cs="Traditional Arabic"/>
          <w:sz w:val="30"/>
          <w:szCs w:val="30"/>
          <w:rtl/>
        </w:rPr>
        <w:t xml:space="preserve">خلال الهجوم الذي وقع عام 2015 في عدن، واجه الأطباء والممرضات والعاملون في المؤسسات الصحية والمرضى صعوبات في الوصول إلى المرافق الطبية الوظيفية بسبب انعدام الأمن </w:t>
      </w:r>
      <w:r w:rsidRPr="001017A1">
        <w:rPr>
          <w:rFonts w:ascii="Traditional Arabic" w:hAnsi="Traditional Arabic" w:cs="Traditional Arabic" w:hint="cs"/>
          <w:sz w:val="30"/>
          <w:szCs w:val="30"/>
          <w:rtl/>
        </w:rPr>
        <w:t xml:space="preserve">بشكل </w:t>
      </w:r>
      <w:r w:rsidRPr="001017A1">
        <w:rPr>
          <w:rFonts w:ascii="Traditional Arabic" w:hAnsi="Traditional Arabic" w:cs="Traditional Arabic"/>
          <w:sz w:val="30"/>
          <w:szCs w:val="30"/>
          <w:rtl/>
        </w:rPr>
        <w:t>عام و</w:t>
      </w:r>
      <w:r w:rsidRPr="001017A1">
        <w:rPr>
          <w:rFonts w:ascii="Traditional Arabic" w:hAnsi="Traditional Arabic" w:cs="Traditional Arabic" w:hint="cs"/>
          <w:sz w:val="30"/>
          <w:szCs w:val="30"/>
          <w:rtl/>
        </w:rPr>
        <w:t xml:space="preserve">بسبب </w:t>
      </w:r>
      <w:r w:rsidRPr="001017A1">
        <w:rPr>
          <w:rFonts w:ascii="Traditional Arabic" w:hAnsi="Traditional Arabic" w:cs="Traditional Arabic"/>
          <w:sz w:val="30"/>
          <w:szCs w:val="30"/>
          <w:rtl/>
        </w:rPr>
        <w:t xml:space="preserve">القتال ونقص وسائل النقل ونقاط التفتيش. </w:t>
      </w:r>
      <w:r w:rsidRPr="001017A1">
        <w:rPr>
          <w:rFonts w:ascii="Traditional Arabic" w:hAnsi="Traditional Arabic" w:cs="Traditional Arabic" w:hint="cs"/>
          <w:sz w:val="30"/>
          <w:szCs w:val="30"/>
          <w:rtl/>
        </w:rPr>
        <w:t>و</w:t>
      </w:r>
      <w:r w:rsidRPr="001017A1">
        <w:rPr>
          <w:rFonts w:ascii="Traditional Arabic" w:hAnsi="Traditional Arabic" w:cs="Traditional Arabic"/>
          <w:sz w:val="30"/>
          <w:szCs w:val="30"/>
          <w:rtl/>
        </w:rPr>
        <w:t>كان هناك نقص عام في الدواء. أفاد سكان المسيمير أنه خلال سيطرتهم على محافظة لحج، قام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بتقييد حركة المدنيين عبر نقطة التفتيش، بما في ذلك منع شخصين مريضين حاولا السفر إلى عدن </w:t>
      </w:r>
      <w:r w:rsidRPr="001017A1">
        <w:rPr>
          <w:rFonts w:ascii="Traditional Arabic" w:hAnsi="Traditional Arabic" w:cs="Traditional Arabic" w:hint="cs"/>
          <w:sz w:val="30"/>
          <w:szCs w:val="30"/>
          <w:rtl/>
        </w:rPr>
        <w:t xml:space="preserve">من </w:t>
      </w:r>
      <w:r w:rsidRPr="001017A1">
        <w:rPr>
          <w:rFonts w:ascii="Traditional Arabic" w:hAnsi="Traditional Arabic" w:cs="Traditional Arabic"/>
          <w:sz w:val="30"/>
          <w:szCs w:val="30"/>
          <w:rtl/>
        </w:rPr>
        <w:t>طلب علاج طبي طارئ. توفي الاثنان بسبب نقص الرعاية الطبية المناسبة</w:t>
      </w:r>
      <w:r w:rsidRPr="00C927B2">
        <w:rPr>
          <w:rStyle w:val="FootnoteReference"/>
          <w:sz w:val="24"/>
          <w:szCs w:val="24"/>
        </w:rPr>
        <w:footnoteReference w:id="189"/>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منع مقاتلو الحوثي</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sz w:val="30"/>
          <w:szCs w:val="30"/>
          <w:rtl/>
        </w:rPr>
        <w:t xml:space="preserve"> صالح المتمركزون عند حاجز الشيخ عثمان عند مدخل عدن مجموعات كبيرة من </w:t>
      </w:r>
      <w:r w:rsidRPr="00954EDA">
        <w:rPr>
          <w:rFonts w:ascii="Traditional Arabic" w:hAnsi="Traditional Arabic" w:cs="Traditional Arabic"/>
          <w:sz w:val="20"/>
          <w:rtl/>
        </w:rPr>
        <w:t>المدنيين</w:t>
      </w:r>
      <w:r w:rsidRPr="001017A1">
        <w:rPr>
          <w:rFonts w:ascii="Traditional Arabic" w:hAnsi="Traditional Arabic" w:cs="Traditional Arabic"/>
          <w:sz w:val="30"/>
          <w:szCs w:val="30"/>
          <w:rtl/>
        </w:rPr>
        <w:t xml:space="preserve"> من دخول عدن. كان من </w:t>
      </w:r>
      <w:r>
        <w:rPr>
          <w:rFonts w:ascii="Traditional Arabic" w:hAnsi="Traditional Arabic" w:cs="Traditional Arabic" w:hint="cs"/>
          <w:sz w:val="30"/>
          <w:szCs w:val="30"/>
          <w:rtl/>
        </w:rPr>
        <w:t xml:space="preserve">بينهم </w:t>
      </w:r>
      <w:r w:rsidRPr="001017A1">
        <w:rPr>
          <w:rFonts w:ascii="Traditional Arabic" w:hAnsi="Traditional Arabic" w:cs="Traditional Arabic"/>
          <w:sz w:val="30"/>
          <w:szCs w:val="30"/>
          <w:rtl/>
        </w:rPr>
        <w:t>مرضى حاولوا الوصول إلى المستشفيات في عدن</w:t>
      </w:r>
      <w:r w:rsidRPr="00C927B2">
        <w:rPr>
          <w:rStyle w:val="FootnoteReference"/>
          <w:sz w:val="24"/>
          <w:szCs w:val="24"/>
        </w:rPr>
        <w:footnoteReference w:id="190"/>
      </w:r>
      <w:r w:rsidRPr="00C927B2">
        <w:rPr>
          <w:rFonts w:asciiTheme="majorBidi" w:hAnsiTheme="majorBidi"/>
          <w:sz w:val="24"/>
          <w:szCs w:val="24"/>
          <w:rtl/>
        </w:rPr>
        <w:t xml:space="preserve">. </w:t>
      </w:r>
      <w:r w:rsidRPr="001017A1">
        <w:rPr>
          <w:rFonts w:ascii="Traditional Arabic" w:hAnsi="Traditional Arabic" w:cs="Traditional Arabic"/>
          <w:sz w:val="30"/>
          <w:szCs w:val="30"/>
          <w:rtl/>
        </w:rPr>
        <w:t>في حزيران</w:t>
      </w:r>
      <w:r w:rsidRPr="001017A1">
        <w:rPr>
          <w:rFonts w:ascii="Traditional Arabic" w:hAnsi="Traditional Arabic" w:cs="Traditional Arabic" w:hint="cs"/>
          <w:sz w:val="30"/>
          <w:szCs w:val="30"/>
          <w:rtl/>
        </w:rPr>
        <w:t>/ يونيو</w:t>
      </w:r>
      <w:r w:rsidRPr="001017A1">
        <w:rPr>
          <w:rFonts w:ascii="Traditional Arabic" w:hAnsi="Traditional Arabic" w:cs="Traditional Arabic"/>
          <w:sz w:val="30"/>
          <w:szCs w:val="30"/>
          <w:rtl/>
        </w:rPr>
        <w:t>، منع مقاتلو الحوثي</w:t>
      </w:r>
      <w:r w:rsidRPr="001017A1">
        <w:rPr>
          <w:rFonts w:ascii="Traditional Arabic" w:hAnsi="Traditional Arabic" w:cs="Traditional Arabic" w:hint="cs"/>
          <w:sz w:val="30"/>
          <w:szCs w:val="30"/>
          <w:rtl/>
        </w:rPr>
        <w:t>ين -</w:t>
      </w:r>
      <w:r w:rsidRPr="001017A1">
        <w:rPr>
          <w:rFonts w:ascii="Traditional Arabic" w:hAnsi="Traditional Arabic" w:cs="Traditional Arabic"/>
          <w:sz w:val="30"/>
          <w:szCs w:val="30"/>
          <w:rtl/>
        </w:rPr>
        <w:t xml:space="preserve"> صالح نقل الأدوية إلى عدن عند نقطة التفتيش في الفيوش، بمحافظة لحج</w:t>
      </w:r>
      <w:r w:rsidRPr="001017A1">
        <w:rPr>
          <w:rFonts w:ascii="Traditional Arabic" w:hAnsi="Traditional Arabic" w:cs="Traditional Arabic"/>
          <w:sz w:val="30"/>
          <w:szCs w:val="30"/>
        </w:rPr>
        <w:t xml:space="preserve">. </w:t>
      </w:r>
      <w:r w:rsidRPr="00C927B2">
        <w:rPr>
          <w:rStyle w:val="FootnoteReference"/>
          <w:sz w:val="24"/>
          <w:szCs w:val="24"/>
        </w:rPr>
        <w:footnoteReference w:id="191"/>
      </w:r>
    </w:p>
    <w:p w14:paraId="77C07F96" w14:textId="77777777" w:rsidR="00967CB7" w:rsidRPr="001017A1" w:rsidRDefault="00967CB7" w:rsidP="00361237">
      <w:pPr>
        <w:pStyle w:val="NoSpacing"/>
        <w:tabs>
          <w:tab w:val="left" w:pos="720"/>
          <w:tab w:val="left" w:pos="1134"/>
          <w:tab w:val="left" w:pos="1701"/>
        </w:tabs>
        <w:bidi/>
        <w:spacing w:after="120" w:line="240" w:lineRule="atLeast"/>
        <w:ind w:right="827"/>
        <w:jc w:val="both"/>
        <w:rPr>
          <w:rFonts w:ascii="Traditional Arabic" w:eastAsia="Times New Roman" w:hAnsi="Traditional Arabic" w:cs="Traditional Arabic"/>
          <w:sz w:val="30"/>
          <w:szCs w:val="30"/>
          <w:rtl/>
        </w:rPr>
      </w:pPr>
      <w:r>
        <w:rPr>
          <w:rFonts w:asciiTheme="majorBidi" w:hAnsiTheme="majorBidi" w:cs="Times New Roman"/>
          <w:sz w:val="24"/>
          <w:szCs w:val="24"/>
        </w:rPr>
        <w:tab/>
      </w:r>
      <w:r w:rsidRPr="001017A1">
        <w:rPr>
          <w:rFonts w:ascii="Traditional Arabic" w:eastAsia="Times New Roman" w:hAnsi="Traditional Arabic" w:cs="Traditional Arabic" w:hint="eastAsia"/>
          <w:sz w:val="30"/>
          <w:szCs w:val="30"/>
          <w:rtl/>
        </w:rPr>
        <w:t>الانتهاكات</w:t>
      </w:r>
      <w:r w:rsidRPr="001017A1">
        <w:rPr>
          <w:rFonts w:ascii="Traditional Arabic" w:eastAsia="Times New Roman" w:hAnsi="Traditional Arabic" w:cs="Traditional Arabic" w:hint="cs"/>
          <w:sz w:val="30"/>
          <w:szCs w:val="30"/>
          <w:rtl/>
        </w:rPr>
        <w:t xml:space="preserve"> </w:t>
      </w:r>
    </w:p>
    <w:p w14:paraId="2EEB826C" w14:textId="791F4ADE"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tlid-translation"/>
          <w:rFonts w:asciiTheme="majorBidi" w:hAnsiTheme="majorBidi" w:cstheme="majorBidi"/>
          <w:sz w:val="24"/>
          <w:szCs w:val="24"/>
        </w:rPr>
      </w:pPr>
      <w:r w:rsidRPr="001017A1">
        <w:rPr>
          <w:rFonts w:ascii="Traditional Arabic" w:hAnsi="Traditional Arabic" w:cs="Traditional Arabic" w:hint="eastAsia"/>
          <w:sz w:val="30"/>
          <w:szCs w:val="30"/>
          <w:rtl/>
        </w:rPr>
        <w:t>بموجب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يُمنح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العاملون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المرافق</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 </w:t>
      </w:r>
      <w:r w:rsidRPr="001017A1">
        <w:rPr>
          <w:rFonts w:ascii="Traditional Arabic" w:hAnsi="Traditional Arabic" w:cs="Traditional Arabic" w:hint="eastAsia"/>
          <w:sz w:val="30"/>
          <w:szCs w:val="30"/>
          <w:rtl/>
        </w:rPr>
        <w:t>المحميّين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بالفعل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نظرًا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لصفتهم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المدنية</w:t>
      </w:r>
      <w:r w:rsidRPr="001017A1">
        <w:rPr>
          <w:rFonts w:ascii="Traditional Arabic" w:hAnsi="Traditional Arabic" w:cs="Traditional Arabic"/>
          <w:sz w:val="30"/>
          <w:szCs w:val="30"/>
          <w:rtl/>
        </w:rPr>
        <w:t xml:space="preserve"> – </w:t>
      </w:r>
      <w:r w:rsidRPr="001017A1">
        <w:rPr>
          <w:rFonts w:ascii="Traditional Arabic" w:hAnsi="Traditional Arabic" w:cs="Traditional Arabic" w:hint="eastAsia"/>
          <w:sz w:val="30"/>
          <w:szCs w:val="30"/>
          <w:rtl/>
        </w:rPr>
        <w:t>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خاصة</w:t>
      </w:r>
      <w:r w:rsidRPr="001017A1">
        <w:rPr>
          <w:rFonts w:ascii="Traditional Arabic" w:hAnsi="Traditional Arabic" w:cs="Traditional Arabic"/>
          <w:sz w:val="30"/>
          <w:szCs w:val="30"/>
        </w:rPr>
        <w:t>.</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بالتالي،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الطواقم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الظروف</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footnoteReference w:id="192"/>
      </w:r>
      <w:r w:rsidRPr="001017A1">
        <w:rPr>
          <w:rStyle w:val="tlid-translation"/>
          <w:rFonts w:asciiTheme="majorBidi" w:hAnsiTheme="majorBidi" w:cstheme="majorBidi"/>
          <w:sz w:val="24"/>
          <w:szCs w:val="24"/>
          <w:rtl/>
          <w:lang w:bidi="ar"/>
        </w:rPr>
        <w:t xml:space="preserve"> </w:t>
      </w:r>
      <w:r w:rsidRPr="001017A1">
        <w:rPr>
          <w:rFonts w:ascii="Traditional Arabic" w:hAnsi="Traditional Arabic" w:cs="Traditional Arabic" w:hint="eastAsia"/>
          <w:sz w:val="30"/>
          <w:szCs w:val="30"/>
          <w:rtl/>
        </w:rPr>
        <w:t>تُمنح</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نفسها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الوحدات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ووسائل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والتي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وحمايتها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جميع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الأوقات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ومختلف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الظروف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ويجب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ألا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تكون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موضع</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هجوم</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193"/>
      </w:r>
      <w:r w:rsidRPr="001017A1">
        <w:rPr>
          <w:rStyle w:val="FootnoteReference"/>
          <w:rFonts w:asciiTheme="majorBidi" w:hAnsiTheme="majorBidi" w:cstheme="majorBidi"/>
          <w:sz w:val="24"/>
          <w:szCs w:val="24"/>
          <w:rtl/>
        </w:rPr>
        <w:t xml:space="preserve"> </w:t>
      </w:r>
      <w:r w:rsidRPr="001017A1">
        <w:rPr>
          <w:rFonts w:ascii="Traditional Arabic" w:hAnsi="Traditional Arabic" w:cs="Traditional Arabic" w:hint="eastAsia"/>
          <w:sz w:val="30"/>
          <w:szCs w:val="30"/>
          <w:rtl/>
        </w:rPr>
        <w:t>ت</w:t>
      </w:r>
      <w:r w:rsidRPr="001017A1">
        <w:rPr>
          <w:rFonts w:ascii="Traditional Arabic" w:hAnsi="Traditional Arabic" w:cs="Traditional Arabic" w:hint="cs"/>
          <w:sz w:val="30"/>
          <w:szCs w:val="30"/>
          <w:rtl/>
        </w:rPr>
        <w:t>ُ</w:t>
      </w:r>
      <w:r w:rsidRPr="001017A1">
        <w:rPr>
          <w:rFonts w:ascii="Traditional Arabic" w:hAnsi="Traditional Arabic" w:cs="Traditional Arabic" w:hint="eastAsia"/>
          <w:sz w:val="30"/>
          <w:szCs w:val="30"/>
          <w:rtl/>
        </w:rPr>
        <w:t>فقد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 xml:space="preserve">هذه </w:t>
      </w:r>
      <w:r w:rsidRPr="001017A1">
        <w:rPr>
          <w:rFonts w:ascii="Traditional Arabic" w:hAnsi="Traditional Arabic" w:cs="Traditional Arabic" w:hint="eastAsia"/>
          <w:sz w:val="30"/>
          <w:szCs w:val="30"/>
          <w:rtl/>
        </w:rPr>
        <w:t>الحماية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إذا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ارتكَبت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استُخدمت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لارتكاب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أعمال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عدائية</w:t>
      </w:r>
      <w:r w:rsidRPr="001017A1">
        <w:rPr>
          <w:rFonts w:ascii="Traditional Arabic" w:hAnsi="Traditional Arabic" w:cs="Traditional Arabic"/>
          <w:sz w:val="30"/>
          <w:szCs w:val="30"/>
          <w:rtl/>
        </w:rPr>
        <w:t>.</w:t>
      </w:r>
      <w:r w:rsidRPr="001017A1">
        <w:rPr>
          <w:rFonts w:ascii="Traditional Arabic" w:hAnsi="Traditional Arabic" w:cs="Traditional Arabic"/>
          <w:sz w:val="30"/>
          <w:szCs w:val="30"/>
        </w:rPr>
        <w:t xml:space="preserve"> </w:t>
      </w:r>
      <w:r w:rsidRPr="001017A1">
        <w:rPr>
          <w:rFonts w:ascii="Traditional Arabic" w:hAnsi="Traditional Arabic" w:cs="Traditional Arabic" w:hint="eastAsia"/>
          <w:sz w:val="30"/>
          <w:szCs w:val="30"/>
          <w:rtl/>
        </w:rPr>
        <w:t>توجيه</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هجمات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ضد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والمواد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والوحدات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الطبية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ووسائل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النقل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والأفراد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مستعملي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الشعارات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المميزة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المبينة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اتفاقيات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جنيف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طبقًا</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للقانون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يشكل</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جريمة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حرب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النزاعات</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المسلحة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غير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الدولية</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color w:val="1F1E1D"/>
          <w:sz w:val="24"/>
          <w:szCs w:val="24"/>
          <w:shd w:val="clear" w:color="auto" w:fill="FFFFFF"/>
        </w:rPr>
        <w:t xml:space="preserve"> </w:t>
      </w:r>
      <w:r w:rsidRPr="001017A1">
        <w:rPr>
          <w:rStyle w:val="FootnoteReference"/>
          <w:rFonts w:asciiTheme="majorBidi" w:hAnsiTheme="majorBidi" w:cstheme="majorBidi"/>
          <w:color w:val="1F1E1D"/>
          <w:sz w:val="24"/>
          <w:szCs w:val="24"/>
          <w:shd w:val="clear" w:color="auto" w:fill="FFFFFF"/>
        </w:rPr>
        <w:footnoteReference w:id="194"/>
      </w:r>
      <w:r w:rsidRPr="001017A1">
        <w:rPr>
          <w:rFonts w:ascii="Traditional Arabic" w:hAnsi="Traditional Arabic" w:cs="Traditional Arabic" w:hint="eastAsia"/>
          <w:sz w:val="30"/>
          <w:szCs w:val="30"/>
          <w:rtl/>
        </w:rPr>
        <w:t>ينص</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القانون</w:t>
      </w:r>
      <w:r w:rsidRPr="001017A1">
        <w:rPr>
          <w:rFonts w:ascii="Traditional Arabic" w:hAnsi="Traditional Arabic" w:cs="Traditional Arabic" w:hint="cs"/>
          <w:sz w:val="30"/>
          <w:szCs w:val="30"/>
          <w:rtl/>
        </w:rPr>
        <w:t xml:space="preserve"> </w:t>
      </w:r>
      <w:r w:rsidRPr="001017A1">
        <w:rPr>
          <w:rFonts w:ascii="Traditional Arabic" w:hAnsi="Traditional Arabic" w:cs="Traditional Arabic" w:hint="eastAsia"/>
          <w:sz w:val="30"/>
          <w:szCs w:val="30"/>
          <w:rtl/>
        </w:rPr>
        <w:t>الدولي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الإنساني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كذلك</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على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وجوب</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احترام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وحماية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الجرحى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والمرضى</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بصرف</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النظر</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عن</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مشاركتهم</w:t>
      </w:r>
      <w:r w:rsidR="00AA7098">
        <w:rPr>
          <w:rFonts w:ascii="Traditional Arabic" w:hAnsi="Traditional Arabic" w:cs="Traditional Arabic" w:hint="cs"/>
          <w:sz w:val="30"/>
          <w:szCs w:val="30"/>
          <w:rtl/>
        </w:rPr>
        <w:t xml:space="preserve"> السابقة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أو</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عدم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مشاركتهم</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في</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eastAsia"/>
          <w:sz w:val="30"/>
          <w:szCs w:val="30"/>
          <w:rtl/>
        </w:rPr>
        <w:t>النزاع</w:t>
      </w:r>
      <w:r w:rsidRPr="001017A1">
        <w:rPr>
          <w:rStyle w:val="tlid-translation"/>
          <w:rFonts w:asciiTheme="majorBidi" w:hAnsiTheme="majorBidi" w:cstheme="majorBidi"/>
          <w:sz w:val="24"/>
          <w:szCs w:val="24"/>
          <w:lang w:bidi="ar"/>
        </w:rPr>
        <w:t>.</w:t>
      </w:r>
      <w:r w:rsidRPr="001017A1">
        <w:rPr>
          <w:rStyle w:val="FootnoteReference"/>
          <w:rFonts w:asciiTheme="majorBidi" w:hAnsiTheme="majorBidi" w:cstheme="majorBidi"/>
          <w:color w:val="1F1E1D"/>
          <w:sz w:val="24"/>
          <w:szCs w:val="24"/>
          <w:shd w:val="clear" w:color="auto" w:fill="FFFFFF"/>
        </w:rPr>
        <w:footnoteReference w:id="195"/>
      </w:r>
    </w:p>
    <w:p w14:paraId="1BF7367D" w14:textId="77777777"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bidi="ar"/>
        </w:rPr>
      </w:pPr>
      <w:r w:rsidRPr="001017A1">
        <w:rPr>
          <w:rFonts w:ascii="Traditional Arabic" w:hAnsi="Traditional Arabic" w:cs="Traditional Arabic" w:hint="cs"/>
          <w:sz w:val="30"/>
          <w:szCs w:val="30"/>
          <w:rtl/>
        </w:rPr>
        <w:t xml:space="preserve">تُظهر التحقيقات في الحالات التي نظر فيها فريق الخبراء دليلاً واضحًا على عدم احترام المقاتلين الحوثيين للعاملين في المجال الطبي والمرافق الطبية وإطلاقهم النار عشوائيًا على المنشآت الطبية ونشر القناصة في أماكن مجاورة، واحتلال المستشفيات واستخدامها لأغراض عسكرية وتفتيش المستشفيات والهجوم على سيارة إسعاف تابعة للهلال الأحمر والتي كان رمز الهلال الأحمر مرئيًا بوضوح </w:t>
      </w:r>
      <w:r w:rsidRPr="001017A1">
        <w:rPr>
          <w:rFonts w:ascii="Traditional Arabic" w:hAnsi="Traditional Arabic" w:cs="Traditional Arabic" w:hint="cs"/>
          <w:sz w:val="30"/>
          <w:szCs w:val="30"/>
          <w:rtl/>
        </w:rPr>
        <w:lastRenderedPageBreak/>
        <w:t xml:space="preserve">عليها </w:t>
      </w:r>
      <w:r w:rsidRPr="001017A1">
        <w:rPr>
          <w:rFonts w:ascii="Traditional Arabic" w:hAnsi="Traditional Arabic" w:cs="Traditional Arabic"/>
          <w:sz w:val="30"/>
          <w:szCs w:val="30"/>
          <w:rtl/>
        </w:rPr>
        <w:t>مما أدى إلى مقتل اثنين من العاملين</w:t>
      </w:r>
      <w:r w:rsidRPr="001017A1">
        <w:rPr>
          <w:rFonts w:ascii="Traditional Arabic" w:hAnsi="Traditional Arabic" w:cs="Traditional Arabic" w:hint="cs"/>
          <w:sz w:val="30"/>
          <w:szCs w:val="30"/>
          <w:rtl/>
        </w:rPr>
        <w:t xml:space="preserve">. كما </w:t>
      </w:r>
      <w:r w:rsidRPr="001017A1">
        <w:rPr>
          <w:rFonts w:ascii="Traditional Arabic" w:hAnsi="Traditional Arabic" w:cs="Traditional Arabic"/>
          <w:sz w:val="30"/>
          <w:szCs w:val="30"/>
          <w:rtl/>
        </w:rPr>
        <w:t>منع</w:t>
      </w:r>
      <w:r w:rsidRPr="001017A1">
        <w:rPr>
          <w:rFonts w:ascii="Traditional Arabic" w:hAnsi="Traditional Arabic" w:cs="Traditional Arabic" w:hint="cs"/>
          <w:sz w:val="30"/>
          <w:szCs w:val="30"/>
          <w:rtl/>
        </w:rPr>
        <w:t>ت</w:t>
      </w:r>
      <w:r w:rsidRPr="001017A1">
        <w:rPr>
          <w:rFonts w:ascii="Traditional Arabic" w:hAnsi="Traditional Arabic" w:cs="Traditional Arabic"/>
          <w:sz w:val="30"/>
          <w:szCs w:val="30"/>
          <w:rtl/>
        </w:rPr>
        <w:t xml:space="preserve"> وصول </w:t>
      </w:r>
      <w:r w:rsidRPr="001017A1">
        <w:rPr>
          <w:rFonts w:ascii="Traditional Arabic" w:hAnsi="Traditional Arabic" w:cs="Traditional Arabic" w:hint="cs"/>
          <w:sz w:val="30"/>
          <w:szCs w:val="30"/>
          <w:rtl/>
        </w:rPr>
        <w:t xml:space="preserve">السكان </w:t>
      </w:r>
      <w:r w:rsidRPr="001017A1">
        <w:rPr>
          <w:rFonts w:ascii="Traditional Arabic" w:hAnsi="Traditional Arabic" w:cs="Traditional Arabic"/>
          <w:sz w:val="30"/>
          <w:szCs w:val="30"/>
          <w:rtl/>
        </w:rPr>
        <w:t>إلى الرعاية الصحية</w:t>
      </w:r>
      <w:r w:rsidRPr="001017A1">
        <w:rPr>
          <w:rFonts w:ascii="Traditional Arabic" w:hAnsi="Traditional Arabic" w:cs="Traditional Arabic" w:hint="cs"/>
          <w:sz w:val="30"/>
          <w:szCs w:val="30"/>
          <w:rtl/>
        </w:rPr>
        <w:t xml:space="preserve"> مما أدى إلى وفاة الأفراد بالأخص الذين بحاجة إلى رعاية صحية متخصصة</w:t>
      </w:r>
      <w:r w:rsidRPr="001017A1">
        <w:rPr>
          <w:rFonts w:ascii="Traditional Arabic" w:hAnsi="Traditional Arabic" w:cs="Traditional Arabic" w:hint="cs"/>
          <w:sz w:val="30"/>
          <w:szCs w:val="30"/>
        </w:rPr>
        <w:t>.</w:t>
      </w:r>
    </w:p>
    <w:p w14:paraId="75F2174C"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tl/>
        </w:rPr>
      </w:pPr>
      <w:r w:rsidRPr="001017A1">
        <w:rPr>
          <w:rFonts w:ascii="Traditional Arabic" w:hAnsi="Traditional Arabic" w:cs="Traditional Arabic" w:hint="cs"/>
          <w:sz w:val="30"/>
          <w:szCs w:val="30"/>
          <w:rtl/>
        </w:rPr>
        <w:t>بالإضافة إلى الانتهاكات الأخرى المتعلقة بمبدأ التمييز على النحو المبين أعلاه، لدى فريق الخبراء أسباب وجيهة</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للاعتقاد</w:t>
      </w:r>
      <w:r w:rsidRPr="001017A1">
        <w:rPr>
          <w:rFonts w:ascii="Traditional Arabic" w:hAnsi="Traditional Arabic" w:cs="Traditional Arabic"/>
          <w:sz w:val="30"/>
          <w:szCs w:val="30"/>
          <w:rtl/>
        </w:rPr>
        <w:t xml:space="preserve"> </w:t>
      </w:r>
      <w:r w:rsidRPr="001017A1">
        <w:rPr>
          <w:rFonts w:ascii="Traditional Arabic" w:hAnsi="Traditional Arabic" w:cs="Traditional Arabic" w:hint="cs"/>
          <w:sz w:val="30"/>
          <w:szCs w:val="30"/>
          <w:rtl/>
        </w:rPr>
        <w:t>بأن مقاتلي الحوثي-صالح قد انتهكوا الالتزام باحترام وحماية العاملين</w:t>
      </w:r>
      <w:r w:rsidRPr="001017A1">
        <w:rPr>
          <w:rFonts w:ascii="Traditional Arabic" w:hAnsi="Traditional Arabic" w:cs="Traditional Arabic"/>
          <w:sz w:val="30"/>
          <w:szCs w:val="30"/>
          <w:rtl/>
        </w:rPr>
        <w:t xml:space="preserve"> في الحقل الطبي</w:t>
      </w:r>
      <w:r w:rsidRPr="001017A1">
        <w:rPr>
          <w:rFonts w:ascii="Traditional Arabic" w:hAnsi="Traditional Arabic" w:cs="Traditional Arabic" w:hint="cs"/>
          <w:sz w:val="30"/>
          <w:szCs w:val="30"/>
          <w:rtl/>
        </w:rPr>
        <w:t xml:space="preserve"> والمرافق الطبية في جميع الأوقات وفي مختلف الظروف وكذلك الالتزام باحترام وحماية الجرحى والمرضى. إن الهجمات العشوائية ضد المستشفيات وخصوصًا ضرب سيارة إسعاف تابعة للهلال الأحمر وقتل اثنين من العاملين قد تؤدي إلى مسؤولية جنائية فردية عن جرائم الحرب. </w:t>
      </w:r>
    </w:p>
    <w:p w14:paraId="6374C029" w14:textId="5374556A" w:rsidR="00967CB7" w:rsidRPr="000F31A7" w:rsidRDefault="00C30223" w:rsidP="00C30223">
      <w:pPr>
        <w:pStyle w:val="NoSpacing"/>
        <w:tabs>
          <w:tab w:val="left" w:pos="720"/>
          <w:tab w:val="left" w:pos="1134"/>
          <w:tab w:val="left" w:pos="1701"/>
        </w:tabs>
        <w:bidi/>
        <w:spacing w:after="120" w:line="240" w:lineRule="atLeast"/>
        <w:ind w:right="827"/>
        <w:jc w:val="both"/>
        <w:rPr>
          <w:rFonts w:asciiTheme="majorBidi" w:eastAsia="Times New Roman" w:hAnsiTheme="majorBidi" w:cstheme="majorBidi"/>
          <w:b/>
          <w:bCs/>
          <w:sz w:val="24"/>
          <w:szCs w:val="24"/>
          <w:lang w:eastAsia="en-GB"/>
        </w:rPr>
      </w:pPr>
      <w:r>
        <w:rPr>
          <w:rFonts w:ascii="Traditional Arabic" w:eastAsia="Times New Roman" w:hAnsi="Traditional Arabic" w:cs="Traditional Arabic"/>
          <w:b/>
          <w:bCs/>
          <w:sz w:val="30"/>
          <w:szCs w:val="30"/>
        </w:rPr>
        <w:tab/>
      </w:r>
      <w:r>
        <w:rPr>
          <w:rFonts w:ascii="Traditional Arabic" w:eastAsia="Times New Roman" w:hAnsi="Traditional Arabic" w:cs="Traditional Arabic"/>
          <w:b/>
          <w:bCs/>
          <w:sz w:val="30"/>
          <w:szCs w:val="30"/>
        </w:rPr>
        <w:tab/>
      </w:r>
      <w:r w:rsidR="00967CB7" w:rsidRPr="000F31A7">
        <w:rPr>
          <w:rFonts w:ascii="Traditional Arabic" w:eastAsia="Times New Roman" w:hAnsi="Traditional Arabic" w:cs="Traditional Arabic" w:hint="cs"/>
          <w:b/>
          <w:bCs/>
          <w:sz w:val="30"/>
          <w:szCs w:val="30"/>
          <w:rtl/>
        </w:rPr>
        <w:t>د</w:t>
      </w:r>
      <w:r w:rsidR="00967CB7" w:rsidRPr="000F31A7">
        <w:rPr>
          <w:rFonts w:ascii="Traditional Arabic" w:eastAsia="Times New Roman" w:hAnsi="Traditional Arabic" w:cs="Traditional Arabic"/>
          <w:b/>
          <w:bCs/>
          <w:sz w:val="30"/>
          <w:szCs w:val="30"/>
          <w:rtl/>
        </w:rPr>
        <w:t xml:space="preserve">) تدمير الممتلكات المدنية، والقيود المفروضة على نقاط التفتيش أثناء القتال في </w:t>
      </w:r>
      <w:r w:rsidR="00967CB7" w:rsidRPr="000F31A7">
        <w:rPr>
          <w:rFonts w:ascii="Traditional Arabic" w:eastAsia="Times New Roman" w:hAnsi="Traditional Arabic" w:cs="Traditional Arabic" w:hint="cs"/>
          <w:b/>
          <w:bCs/>
          <w:sz w:val="30"/>
          <w:szCs w:val="30"/>
          <w:rtl/>
        </w:rPr>
        <w:t>محافظتي</w:t>
      </w:r>
      <w:r w:rsidR="00967CB7" w:rsidRPr="000F31A7">
        <w:rPr>
          <w:rFonts w:ascii="Traditional Arabic" w:eastAsia="Times New Roman" w:hAnsi="Traditional Arabic" w:cs="Traditional Arabic"/>
          <w:b/>
          <w:bCs/>
          <w:sz w:val="30"/>
          <w:szCs w:val="30"/>
          <w:rtl/>
        </w:rPr>
        <w:t xml:space="preserve"> لحج وأبين</w:t>
      </w:r>
    </w:p>
    <w:p w14:paraId="10FCC0FC" w14:textId="77777777" w:rsidR="00967CB7" w:rsidRPr="001017A1" w:rsidRDefault="00967CB7" w:rsidP="00C30223">
      <w:pPr>
        <w:pStyle w:val="NoSpacing"/>
        <w:tabs>
          <w:tab w:val="left" w:pos="720"/>
          <w:tab w:val="left" w:pos="1701"/>
        </w:tabs>
        <w:bidi/>
        <w:spacing w:after="120" w:line="240" w:lineRule="atLeast"/>
        <w:ind w:left="1449" w:right="827"/>
        <w:jc w:val="both"/>
        <w:rPr>
          <w:rFonts w:ascii="Traditional Arabic" w:eastAsia="Times New Roman" w:hAnsi="Traditional Arabic" w:cs="Traditional Arabic"/>
          <w:i/>
          <w:iCs/>
          <w:sz w:val="30"/>
          <w:szCs w:val="30"/>
        </w:rPr>
      </w:pPr>
      <w:r w:rsidRPr="001017A1">
        <w:rPr>
          <w:rFonts w:ascii="Traditional Arabic" w:eastAsia="Times New Roman" w:hAnsi="Traditional Arabic" w:cs="Traditional Arabic" w:hint="cs"/>
          <w:i/>
          <w:iCs/>
          <w:sz w:val="30"/>
          <w:szCs w:val="30"/>
          <w:rtl/>
        </w:rPr>
        <w:t xml:space="preserve">"أصيبت </w:t>
      </w:r>
      <w:r w:rsidRPr="001017A1">
        <w:rPr>
          <w:rFonts w:ascii="Traditional Arabic" w:eastAsia="Times New Roman" w:hAnsi="Traditional Arabic" w:cs="Traditional Arabic"/>
          <w:i/>
          <w:iCs/>
          <w:sz w:val="30"/>
          <w:szCs w:val="30"/>
          <w:rtl/>
        </w:rPr>
        <w:t xml:space="preserve">قريبتي التي كان عمرها أكثر من 60 عامًا بنوبة قلبية مفاجئة. </w:t>
      </w:r>
      <w:r w:rsidRPr="001017A1">
        <w:rPr>
          <w:rFonts w:ascii="Traditional Arabic" w:eastAsia="Times New Roman" w:hAnsi="Traditional Arabic" w:cs="Traditional Arabic" w:hint="cs"/>
          <w:i/>
          <w:iCs/>
          <w:sz w:val="30"/>
          <w:szCs w:val="30"/>
          <w:rtl/>
        </w:rPr>
        <w:t>وكون</w:t>
      </w:r>
      <w:r w:rsidRPr="001017A1">
        <w:rPr>
          <w:rFonts w:ascii="Traditional Arabic" w:eastAsia="Times New Roman" w:hAnsi="Traditional Arabic" w:cs="Traditional Arabic"/>
          <w:i/>
          <w:iCs/>
          <w:sz w:val="30"/>
          <w:szCs w:val="30"/>
          <w:rtl/>
        </w:rPr>
        <w:t xml:space="preserve"> المستشفيات لم </w:t>
      </w:r>
      <w:r w:rsidRPr="001017A1">
        <w:rPr>
          <w:rFonts w:ascii="Traditional Arabic" w:eastAsia="Times New Roman" w:hAnsi="Traditional Arabic" w:cs="Traditional Arabic" w:hint="cs"/>
          <w:i/>
          <w:iCs/>
          <w:sz w:val="30"/>
          <w:szCs w:val="30"/>
          <w:rtl/>
        </w:rPr>
        <w:t xml:space="preserve">تكن </w:t>
      </w:r>
      <w:r w:rsidRPr="001017A1">
        <w:rPr>
          <w:rFonts w:ascii="Traditional Arabic" w:eastAsia="Times New Roman" w:hAnsi="Traditional Arabic" w:cs="Traditional Arabic"/>
          <w:i/>
          <w:iCs/>
          <w:sz w:val="30"/>
          <w:szCs w:val="30"/>
          <w:rtl/>
        </w:rPr>
        <w:t>تعمل في المنطقة خلال الحرب، حاولت السفر إلى عدن لتلقي العلاج. لكن جنود الحوثيين رفضوا السماح لنا بالمرور عند نقطة تفتيش الفيوش وتوفي</w:t>
      </w:r>
      <w:r w:rsidRPr="001017A1">
        <w:rPr>
          <w:rFonts w:ascii="Traditional Arabic" w:eastAsia="Times New Roman" w:hAnsi="Traditional Arabic" w:cs="Traditional Arabic" w:hint="cs"/>
          <w:i/>
          <w:iCs/>
          <w:sz w:val="30"/>
          <w:szCs w:val="30"/>
          <w:rtl/>
        </w:rPr>
        <w:t>ت</w:t>
      </w:r>
      <w:r w:rsidRPr="001017A1">
        <w:rPr>
          <w:rFonts w:ascii="Traditional Arabic" w:eastAsia="Times New Roman" w:hAnsi="Traditional Arabic" w:cs="Traditional Arabic"/>
          <w:i/>
          <w:iCs/>
          <w:sz w:val="30"/>
          <w:szCs w:val="30"/>
          <w:rtl/>
        </w:rPr>
        <w:t xml:space="preserve"> </w:t>
      </w:r>
      <w:r w:rsidRPr="001017A1">
        <w:rPr>
          <w:rFonts w:ascii="Traditional Arabic" w:eastAsia="Times New Roman" w:hAnsi="Traditional Arabic" w:cs="Traditional Arabic" w:hint="cs"/>
          <w:i/>
          <w:iCs/>
          <w:sz w:val="30"/>
          <w:szCs w:val="30"/>
          <w:rtl/>
        </w:rPr>
        <w:t>قريبتي</w:t>
      </w:r>
      <w:r w:rsidRPr="001017A1">
        <w:rPr>
          <w:rFonts w:ascii="Traditional Arabic" w:eastAsia="Times New Roman" w:hAnsi="Traditional Arabic" w:cs="Traditional Arabic"/>
          <w:i/>
          <w:iCs/>
          <w:sz w:val="30"/>
          <w:szCs w:val="30"/>
          <w:rtl/>
        </w:rPr>
        <w:t xml:space="preserve"> في الطريق</w:t>
      </w:r>
      <w:r w:rsidRPr="001017A1">
        <w:rPr>
          <w:rFonts w:ascii="Traditional Arabic" w:eastAsia="Times New Roman" w:hAnsi="Traditional Arabic" w:cs="Traditional Arabic"/>
          <w:i/>
          <w:iCs/>
          <w:sz w:val="30"/>
          <w:szCs w:val="30"/>
        </w:rPr>
        <w:t xml:space="preserve"> "</w:t>
      </w:r>
    </w:p>
    <w:p w14:paraId="4B844017" w14:textId="77777777" w:rsidR="00967CB7" w:rsidRPr="001017A1" w:rsidRDefault="00967CB7" w:rsidP="00361237">
      <w:pPr>
        <w:pStyle w:val="NoSpacing"/>
        <w:tabs>
          <w:tab w:val="left" w:pos="720"/>
          <w:tab w:val="left" w:pos="1134"/>
          <w:tab w:val="left" w:pos="1701"/>
        </w:tabs>
        <w:bidi/>
        <w:spacing w:after="120" w:line="240" w:lineRule="atLeast"/>
        <w:ind w:left="1134" w:right="827" w:firstLine="5228"/>
        <w:jc w:val="both"/>
        <w:rPr>
          <w:rFonts w:ascii="Traditional Arabic" w:eastAsia="Times New Roman" w:hAnsi="Traditional Arabic" w:cs="Traditional Arabic"/>
          <w:b/>
          <w:bCs/>
          <w:sz w:val="30"/>
          <w:szCs w:val="30"/>
        </w:rPr>
      </w:pPr>
      <w:r w:rsidRPr="001017A1">
        <w:rPr>
          <w:rFonts w:ascii="Traditional Arabic" w:eastAsia="Times New Roman" w:hAnsi="Traditional Arabic" w:cs="Traditional Arabic"/>
          <w:b/>
          <w:bCs/>
          <w:sz w:val="30"/>
          <w:szCs w:val="30"/>
          <w:rtl/>
        </w:rPr>
        <w:t>مدني من لحج</w:t>
      </w:r>
    </w:p>
    <w:p w14:paraId="2B9B8334" w14:textId="1A249873" w:rsidR="00967CB7" w:rsidRPr="001017A1"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خلال تقدمهم العسكري نحو عدن</w:t>
      </w:r>
      <w:r w:rsidRPr="0007633A">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sz w:val="30"/>
          <w:szCs w:val="30"/>
          <w:rtl/>
        </w:rPr>
        <w:t xml:space="preserve">في 25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 دخل مقاتلو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إلى محافظتي لحج وأبين، حيث قاتلوا ضد المقاومة الجنوبية. كان لكل من المحافظتين أهمية استراتيجية لتقد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م مقاتلي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إلى عدن</w:t>
      </w:r>
      <w:r w:rsidRPr="001017A1">
        <w:rPr>
          <w:rStyle w:val="fontstyle01"/>
          <w:rFonts w:ascii="Traditional Arabic" w:hAnsi="Traditional Arabic" w:cs="Traditional Arabic"/>
          <w:sz w:val="30"/>
          <w:szCs w:val="30"/>
        </w:rPr>
        <w:t>.</w:t>
      </w:r>
    </w:p>
    <w:p w14:paraId="08053B5C" w14:textId="77777777" w:rsidR="00967CB7" w:rsidRPr="001017A1" w:rsidRDefault="00967CB7" w:rsidP="00361237">
      <w:pPr>
        <w:pStyle w:val="NoSpacing"/>
        <w:tabs>
          <w:tab w:val="left" w:pos="720"/>
          <w:tab w:val="left" w:pos="1134"/>
          <w:tab w:val="left" w:pos="1701"/>
        </w:tabs>
        <w:bidi/>
        <w:spacing w:after="120" w:line="240" w:lineRule="atLeast"/>
        <w:ind w:left="1134" w:right="827" w:firstLine="72"/>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hint="eastAsia"/>
          <w:i/>
          <w:iCs/>
          <w:sz w:val="30"/>
          <w:szCs w:val="30"/>
          <w:rtl/>
        </w:rPr>
        <w:t>تدمير</w:t>
      </w:r>
      <w:r w:rsidRPr="001017A1">
        <w:rPr>
          <w:rStyle w:val="fontstyle01"/>
          <w:rFonts w:ascii="Traditional Arabic" w:hAnsi="Traditional Arabic" w:cs="Traditional Arabic"/>
          <w:i/>
          <w:iCs/>
          <w:sz w:val="30"/>
          <w:szCs w:val="30"/>
          <w:rtl/>
        </w:rPr>
        <w:t xml:space="preserve"> المواقع المدنية من جانب مقاتلي الحوثيين – صالح</w:t>
      </w:r>
    </w:p>
    <w:p w14:paraId="4BC2E740" w14:textId="498F9625" w:rsidR="00967CB7" w:rsidRPr="00C927B2"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sidRPr="001017A1">
        <w:rPr>
          <w:rStyle w:val="fontstyle01"/>
          <w:rFonts w:ascii="Traditional Arabic" w:hAnsi="Traditional Arabic" w:cs="Traditional Arabic"/>
          <w:sz w:val="30"/>
          <w:szCs w:val="30"/>
          <w:rtl/>
        </w:rPr>
        <w:t xml:space="preserve">خلال سيطرة </w:t>
      </w:r>
      <w:r w:rsidRPr="001017A1">
        <w:rPr>
          <w:rStyle w:val="fontstyle01"/>
          <w:rFonts w:ascii="Traditional Arabic" w:hAnsi="Traditional Arabic" w:cs="Traditional Arabic" w:hint="cs"/>
          <w:sz w:val="30"/>
          <w:szCs w:val="30"/>
          <w:rtl/>
        </w:rPr>
        <w:t xml:space="preserve">مقاتلي </w:t>
      </w:r>
      <w:r w:rsidR="00B802B4">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على لحج وأبين </w:t>
      </w:r>
      <w:r>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آذار</w:t>
      </w:r>
      <w:r w:rsidRPr="001017A1">
        <w:rPr>
          <w:rStyle w:val="fontstyle01"/>
          <w:rFonts w:ascii="Traditional Arabic" w:hAnsi="Traditional Arabic" w:cs="Traditional Arabic" w:hint="cs"/>
          <w:sz w:val="30"/>
          <w:szCs w:val="30"/>
          <w:rtl/>
        </w:rPr>
        <w:t>/ مارس</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الى</w:t>
      </w:r>
      <w:r w:rsidRPr="001017A1">
        <w:rPr>
          <w:rStyle w:val="fontstyle01"/>
          <w:rFonts w:ascii="Traditional Arabic" w:hAnsi="Traditional Arabic" w:cs="Traditional Arabic"/>
          <w:sz w:val="30"/>
          <w:szCs w:val="30"/>
          <w:rtl/>
        </w:rPr>
        <w:t xml:space="preserve"> آب</w:t>
      </w:r>
      <w:r w:rsidRPr="001017A1">
        <w:rPr>
          <w:rStyle w:val="fontstyle01"/>
          <w:rFonts w:ascii="Traditional Arabic" w:hAnsi="Traditional Arabic" w:cs="Traditional Arabic" w:hint="cs"/>
          <w:sz w:val="30"/>
          <w:szCs w:val="30"/>
          <w:rtl/>
        </w:rPr>
        <w:t>/ أغسطس</w:t>
      </w:r>
      <w:r w:rsidRPr="001017A1">
        <w:rPr>
          <w:rStyle w:val="fontstyle01"/>
          <w:rFonts w:ascii="Traditional Arabic" w:hAnsi="Traditional Arabic" w:cs="Traditional Arabic"/>
          <w:sz w:val="30"/>
          <w:szCs w:val="30"/>
          <w:rtl/>
        </w:rPr>
        <w:t xml:space="preserve"> 2015، قام</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بمداهم</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و</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ستخدم</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المتفجرات لتدمير المنازل التابعة لأفراد المقاومة أو لأفراد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معارضين لهم</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19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على سبيل المثال، في الحوطة، في محافظة لحج، قام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أثناء بحثهم عن عناصر</w:t>
      </w:r>
      <w:r w:rsidRPr="001017A1">
        <w:rPr>
          <w:rStyle w:val="fontstyle01"/>
          <w:rFonts w:ascii="Traditional Arabic" w:hAnsi="Traditional Arabic" w:cs="Traditional Arabic" w:hint="cs"/>
          <w:sz w:val="30"/>
          <w:szCs w:val="30"/>
          <w:rtl/>
        </w:rPr>
        <w:t xml:space="preserve"> من</w:t>
      </w:r>
      <w:r w:rsidRPr="001017A1">
        <w:rPr>
          <w:rStyle w:val="fontstyle01"/>
          <w:rFonts w:ascii="Traditional Arabic" w:hAnsi="Traditional Arabic" w:cs="Traditional Arabic"/>
          <w:sz w:val="30"/>
          <w:szCs w:val="30"/>
          <w:rtl/>
        </w:rPr>
        <w:t xml:space="preserve"> المقاومة، بمداهم</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باستخدام المتفجرات، ودمروا أكثر من 10 منازل أو </w:t>
      </w:r>
      <w:r w:rsidRPr="001017A1">
        <w:rPr>
          <w:rStyle w:val="fontstyle01"/>
          <w:rFonts w:ascii="Traditional Arabic" w:hAnsi="Traditional Arabic" w:cs="Traditional Arabic" w:hint="cs"/>
          <w:sz w:val="30"/>
          <w:szCs w:val="30"/>
          <w:rtl/>
        </w:rPr>
        <w:t>مبانٍ</w:t>
      </w:r>
      <w:r w:rsidRPr="001017A1">
        <w:rPr>
          <w:rStyle w:val="fontstyle01"/>
          <w:rFonts w:ascii="Traditional Arabic" w:hAnsi="Traditional Arabic" w:cs="Traditional Arabic"/>
          <w:sz w:val="30"/>
          <w:szCs w:val="30"/>
          <w:rtl/>
        </w:rPr>
        <w:t xml:space="preserve">. أيضا خلال شهري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و</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داهم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ودمروا باستخدام المتفجرات ثمانية منازل تابعة لأعضاء المقاومة الجنوبية في بلدة لودر في محافظة أبين</w:t>
      </w:r>
      <w:r w:rsidRPr="00C927B2">
        <w:rPr>
          <w:rStyle w:val="FootnoteReference"/>
          <w:sz w:val="24"/>
          <w:szCs w:val="24"/>
        </w:rPr>
        <w:footnoteReference w:id="197"/>
      </w:r>
      <w:r w:rsidRPr="00C927B2">
        <w:rPr>
          <w:rFonts w:asciiTheme="majorBidi" w:hAnsiTheme="majorBidi" w:cstheme="majorBidi"/>
          <w:sz w:val="24"/>
          <w:szCs w:val="24"/>
        </w:rPr>
        <w:t>.</w:t>
      </w:r>
    </w:p>
    <w:p w14:paraId="0F2E703F" w14:textId="07FE2D71" w:rsidR="00967CB7" w:rsidRPr="001017A1" w:rsidRDefault="00C30223" w:rsidP="00B802B4">
      <w:pPr>
        <w:pStyle w:val="NoSpacing"/>
        <w:tabs>
          <w:tab w:val="left" w:pos="720"/>
          <w:tab w:val="left" w:pos="1134"/>
          <w:tab w:val="left" w:pos="1701"/>
        </w:tabs>
        <w:bidi/>
        <w:spacing w:after="120" w:line="240" w:lineRule="atLeast"/>
        <w:ind w:left="1134" w:right="827" w:hanging="558"/>
        <w:jc w:val="both"/>
        <w:rPr>
          <w:rStyle w:val="fontstyle01"/>
          <w:rFonts w:ascii="Traditional Arabic" w:hAnsi="Traditional Arabic" w:cs="Traditional Arabic"/>
          <w:i/>
          <w:iCs/>
          <w:sz w:val="30"/>
          <w:szCs w:val="30"/>
        </w:rPr>
      </w:pPr>
      <w:r>
        <w:rPr>
          <w:rFonts w:asciiTheme="majorBidi" w:hAnsiTheme="majorBidi" w:cs="Times New Roman"/>
          <w:i/>
          <w:iCs/>
          <w:sz w:val="24"/>
          <w:szCs w:val="24"/>
        </w:rPr>
        <w:tab/>
      </w:r>
      <w:r>
        <w:rPr>
          <w:rFonts w:asciiTheme="majorBidi" w:hAnsiTheme="majorBidi" w:cs="Times New Roman"/>
          <w:i/>
          <w:iCs/>
          <w:sz w:val="24"/>
          <w:szCs w:val="24"/>
        </w:rPr>
        <w:tab/>
      </w:r>
      <w:r w:rsidR="00967CB7" w:rsidRPr="001017A1">
        <w:rPr>
          <w:rStyle w:val="fontstyle01"/>
          <w:rFonts w:ascii="Traditional Arabic" w:hAnsi="Traditional Arabic" w:cs="Traditional Arabic" w:hint="cs"/>
          <w:i/>
          <w:iCs/>
          <w:sz w:val="30"/>
          <w:szCs w:val="30"/>
          <w:rtl/>
        </w:rPr>
        <w:t>تقييد</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نقل</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المواد</w:t>
      </w:r>
      <w:r w:rsidR="00967CB7" w:rsidRPr="001017A1">
        <w:rPr>
          <w:rStyle w:val="fontstyle01"/>
          <w:rFonts w:ascii="Traditional Arabic" w:hAnsi="Traditional Arabic" w:cs="Traditional Arabic"/>
          <w:i/>
          <w:iCs/>
          <w:sz w:val="30"/>
          <w:szCs w:val="30"/>
          <w:rtl/>
        </w:rPr>
        <w:t xml:space="preserve"> </w:t>
      </w:r>
      <w:r w:rsidR="00967CB7" w:rsidRPr="001017A1">
        <w:rPr>
          <w:rStyle w:val="fontstyle01"/>
          <w:rFonts w:ascii="Traditional Arabic" w:hAnsi="Traditional Arabic" w:cs="Traditional Arabic" w:hint="eastAsia"/>
          <w:i/>
          <w:iCs/>
          <w:sz w:val="30"/>
          <w:szCs w:val="30"/>
          <w:rtl/>
        </w:rPr>
        <w:t>الغذائية</w:t>
      </w:r>
      <w:r w:rsidR="00967CB7" w:rsidRPr="001017A1">
        <w:rPr>
          <w:rStyle w:val="fontstyle01"/>
          <w:rFonts w:ascii="Traditional Arabic" w:hAnsi="Traditional Arabic" w:cs="Traditional Arabic"/>
          <w:i/>
          <w:iCs/>
          <w:sz w:val="30"/>
          <w:szCs w:val="30"/>
          <w:rtl/>
        </w:rPr>
        <w:t xml:space="preserve"> عند نقاط التفتيش </w:t>
      </w:r>
      <w:r w:rsidR="00967CB7" w:rsidRPr="001017A1">
        <w:rPr>
          <w:rStyle w:val="fontstyle01"/>
          <w:rFonts w:ascii="Traditional Arabic" w:hAnsi="Traditional Arabic" w:cs="Traditional Arabic" w:hint="cs"/>
          <w:i/>
          <w:iCs/>
          <w:sz w:val="30"/>
          <w:szCs w:val="30"/>
          <w:rtl/>
        </w:rPr>
        <w:t>من جانب</w:t>
      </w:r>
      <w:r w:rsidR="00967CB7" w:rsidRPr="001017A1">
        <w:rPr>
          <w:rStyle w:val="fontstyle01"/>
          <w:rFonts w:ascii="Traditional Arabic" w:hAnsi="Traditional Arabic" w:cs="Traditional Arabic"/>
          <w:i/>
          <w:iCs/>
          <w:sz w:val="30"/>
          <w:szCs w:val="30"/>
          <w:rtl/>
        </w:rPr>
        <w:t xml:space="preserve"> مقاتل</w:t>
      </w:r>
      <w:r w:rsidR="00967CB7" w:rsidRPr="001017A1">
        <w:rPr>
          <w:rStyle w:val="fontstyle01"/>
          <w:rFonts w:ascii="Traditional Arabic" w:hAnsi="Traditional Arabic" w:cs="Traditional Arabic" w:hint="cs"/>
          <w:i/>
          <w:iCs/>
          <w:sz w:val="30"/>
          <w:szCs w:val="30"/>
          <w:rtl/>
        </w:rPr>
        <w:t>ي</w:t>
      </w:r>
      <w:r w:rsidR="00967CB7" w:rsidRPr="001017A1">
        <w:rPr>
          <w:rStyle w:val="fontstyle01"/>
          <w:rFonts w:ascii="Traditional Arabic" w:hAnsi="Traditional Arabic" w:cs="Traditional Arabic"/>
          <w:i/>
          <w:iCs/>
          <w:sz w:val="30"/>
          <w:szCs w:val="30"/>
          <w:rtl/>
        </w:rPr>
        <w:t xml:space="preserve"> الحوث</w:t>
      </w:r>
      <w:r w:rsidR="00B802B4">
        <w:rPr>
          <w:rStyle w:val="fontstyle01"/>
          <w:rFonts w:ascii="Traditional Arabic" w:hAnsi="Traditional Arabic" w:cs="Traditional Arabic" w:hint="cs"/>
          <w:i/>
          <w:iCs/>
          <w:sz w:val="30"/>
          <w:szCs w:val="30"/>
          <w:rtl/>
        </w:rPr>
        <w:t>ي</w:t>
      </w:r>
      <w:r w:rsidR="00967CB7" w:rsidRPr="001017A1">
        <w:rPr>
          <w:rStyle w:val="fontstyle01"/>
          <w:rFonts w:ascii="Traditional Arabic" w:hAnsi="Traditional Arabic" w:cs="Traditional Arabic" w:hint="cs"/>
          <w:i/>
          <w:iCs/>
          <w:sz w:val="30"/>
          <w:szCs w:val="30"/>
          <w:rtl/>
        </w:rPr>
        <w:t xml:space="preserve"> </w:t>
      </w:r>
      <w:r w:rsidR="00967CB7" w:rsidRPr="001017A1">
        <w:rPr>
          <w:rStyle w:val="fontstyle01"/>
          <w:rFonts w:ascii="Traditional Arabic" w:hAnsi="Traditional Arabic" w:cs="Traditional Arabic"/>
          <w:i/>
          <w:iCs/>
          <w:sz w:val="30"/>
          <w:szCs w:val="30"/>
          <w:rtl/>
        </w:rPr>
        <w:t>– صالح</w:t>
      </w:r>
    </w:p>
    <w:p w14:paraId="0394ED3E" w14:textId="25F0CAF5" w:rsidR="00967CB7" w:rsidRPr="00C927B2" w:rsidRDefault="00967CB7" w:rsidP="00B802B4">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 xml:space="preserve">قام </w:t>
      </w:r>
      <w:r w:rsidRPr="001017A1">
        <w:rPr>
          <w:rStyle w:val="fontstyle01"/>
          <w:rFonts w:ascii="Traditional Arabic" w:hAnsi="Traditional Arabic" w:cs="Traditional Arabic" w:hint="cs"/>
          <w:sz w:val="30"/>
          <w:szCs w:val="30"/>
          <w:rtl/>
        </w:rPr>
        <w:t xml:space="preserve">مقاتلو </w:t>
      </w:r>
      <w:r w:rsidRPr="001017A1">
        <w:rPr>
          <w:rStyle w:val="fontstyle01"/>
          <w:rFonts w:ascii="Traditional Arabic" w:hAnsi="Traditional Arabic" w:cs="Traditional Arabic"/>
          <w:sz w:val="30"/>
          <w:szCs w:val="30"/>
          <w:rtl/>
        </w:rPr>
        <w:t xml:space="preserve">الحوثي </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بتقييد </w:t>
      </w:r>
      <w:r w:rsidRPr="001017A1">
        <w:rPr>
          <w:rStyle w:val="fontstyle01"/>
          <w:rFonts w:ascii="Traditional Arabic" w:hAnsi="Traditional Arabic" w:cs="Traditional Arabic" w:hint="cs"/>
          <w:sz w:val="30"/>
          <w:szCs w:val="30"/>
          <w:rtl/>
        </w:rPr>
        <w:t xml:space="preserve">عملية </w:t>
      </w:r>
      <w:r w:rsidRPr="001017A1">
        <w:rPr>
          <w:rStyle w:val="fontstyle01"/>
          <w:rFonts w:ascii="Traditional Arabic" w:hAnsi="Traditional Arabic" w:cs="Traditional Arabic"/>
          <w:sz w:val="30"/>
          <w:szCs w:val="30"/>
          <w:rtl/>
        </w:rPr>
        <w:t xml:space="preserve">نقل المواد الغذائية إلى عدن.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أفاد اثنان من سكان الفيوش، بمحافظة لحج، أن</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مقاتل</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في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2015، قام</w:t>
      </w:r>
      <w:r w:rsidRPr="001017A1">
        <w:rPr>
          <w:rStyle w:val="fontstyle01"/>
          <w:rFonts w:ascii="Traditional Arabic" w:hAnsi="Traditional Arabic" w:cs="Traditional Arabic" w:hint="cs"/>
          <w:sz w:val="30"/>
          <w:szCs w:val="30"/>
          <w:rtl/>
        </w:rPr>
        <w:t xml:space="preserve">وا </w:t>
      </w:r>
      <w:r w:rsidRPr="001017A1">
        <w:rPr>
          <w:rStyle w:val="fontstyle01"/>
          <w:rFonts w:ascii="Traditional Arabic" w:hAnsi="Traditional Arabic" w:cs="Traditional Arabic"/>
          <w:sz w:val="30"/>
          <w:szCs w:val="30"/>
          <w:rtl/>
        </w:rPr>
        <w:t>بتقييد نقل المواد الغذائية إلى عدن</w:t>
      </w:r>
      <w:r w:rsidRPr="00C927B2">
        <w:rPr>
          <w:rStyle w:val="FootnoteReference"/>
          <w:sz w:val="24"/>
          <w:szCs w:val="24"/>
        </w:rPr>
        <w:footnoteReference w:id="19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أيضًا في </w:t>
      </w:r>
      <w:r w:rsidRPr="001017A1">
        <w:rPr>
          <w:rStyle w:val="fontstyle01"/>
          <w:rFonts w:ascii="Traditional Arabic" w:hAnsi="Traditional Arabic" w:cs="Traditional Arabic" w:hint="cs"/>
          <w:sz w:val="30"/>
          <w:szCs w:val="30"/>
          <w:rtl/>
        </w:rPr>
        <w:t>ح</w:t>
      </w:r>
      <w:r w:rsidRPr="001017A1">
        <w:rPr>
          <w:rStyle w:val="fontstyle01"/>
          <w:rFonts w:ascii="Traditional Arabic" w:hAnsi="Traditional Arabic" w:cs="Traditional Arabic"/>
          <w:sz w:val="30"/>
          <w:szCs w:val="30"/>
          <w:rtl/>
        </w:rPr>
        <w:t>زيران</w:t>
      </w:r>
      <w:r w:rsidRPr="001017A1">
        <w:rPr>
          <w:rStyle w:val="fontstyle01"/>
          <w:rFonts w:ascii="Traditional Arabic" w:hAnsi="Traditional Arabic" w:cs="Traditional Arabic" w:hint="cs"/>
          <w:sz w:val="30"/>
          <w:szCs w:val="30"/>
          <w:rtl/>
        </w:rPr>
        <w:t>/ يونيو</w:t>
      </w:r>
      <w:r w:rsidRPr="001017A1">
        <w:rPr>
          <w:rStyle w:val="fontstyle01"/>
          <w:rFonts w:ascii="Traditional Arabic" w:hAnsi="Traditional Arabic" w:cs="Traditional Arabic"/>
          <w:sz w:val="30"/>
          <w:szCs w:val="30"/>
          <w:rtl/>
        </w:rPr>
        <w:t>، بعد</w:t>
      </w:r>
      <w:r w:rsidRPr="001017A1">
        <w:rPr>
          <w:rStyle w:val="fontstyle01"/>
          <w:rFonts w:ascii="Traditional Arabic" w:hAnsi="Traditional Arabic" w:cs="Traditional Arabic" w:hint="cs"/>
          <w:sz w:val="30"/>
          <w:szCs w:val="30"/>
          <w:rtl/>
        </w:rPr>
        <w:t xml:space="preserve">ما حاولت شاحنه </w:t>
      </w:r>
      <w:r w:rsidRPr="001017A1">
        <w:rPr>
          <w:rStyle w:val="fontstyle01"/>
          <w:rFonts w:ascii="Traditional Arabic" w:hAnsi="Traditional Arabic" w:cs="Traditional Arabic"/>
          <w:sz w:val="30"/>
          <w:szCs w:val="30"/>
          <w:rtl/>
        </w:rPr>
        <w:t>مدني</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محمّل</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بالغذاء</w:t>
      </w:r>
      <w:r w:rsidRPr="001017A1">
        <w:rPr>
          <w:rStyle w:val="fontstyle01"/>
          <w:rFonts w:ascii="Traditional Arabic" w:hAnsi="Traditional Arabic" w:cs="Traditional Arabic" w:hint="cs"/>
          <w:sz w:val="30"/>
          <w:szCs w:val="30"/>
          <w:rtl/>
        </w:rPr>
        <w:t xml:space="preserve"> بعبور</w:t>
      </w:r>
      <w:r w:rsidRPr="001017A1">
        <w:rPr>
          <w:rStyle w:val="fontstyle01"/>
          <w:rFonts w:ascii="Traditional Arabic" w:hAnsi="Traditional Arabic" w:cs="Traditional Arabic"/>
          <w:sz w:val="30"/>
          <w:szCs w:val="30"/>
          <w:rtl/>
        </w:rPr>
        <w:t xml:space="preserve"> نقطة التفتيش ثلاث مرات </w:t>
      </w:r>
      <w:r w:rsidRPr="001017A1">
        <w:rPr>
          <w:rStyle w:val="fontstyle01"/>
          <w:rFonts w:ascii="Traditional Arabic" w:hAnsi="Traditional Arabic" w:cs="Traditional Arabic" w:hint="cs"/>
          <w:sz w:val="30"/>
          <w:szCs w:val="30"/>
          <w:rtl/>
        </w:rPr>
        <w:t>في منطقة العلم</w:t>
      </w:r>
      <w:r w:rsidRPr="001017A1">
        <w:rPr>
          <w:rStyle w:val="fontstyle01"/>
          <w:rFonts w:ascii="Traditional Arabic" w:hAnsi="Traditional Arabic" w:cs="Traditional Arabic"/>
          <w:sz w:val="30"/>
          <w:szCs w:val="30"/>
          <w:rtl/>
        </w:rPr>
        <w:t xml:space="preserve"> بمحافظة أبين، </w:t>
      </w:r>
      <w:r w:rsidRPr="001017A1">
        <w:rPr>
          <w:rStyle w:val="fontstyle01"/>
          <w:rFonts w:ascii="Traditional Arabic" w:hAnsi="Traditional Arabic" w:cs="Traditional Arabic" w:hint="cs"/>
          <w:sz w:val="30"/>
          <w:szCs w:val="30"/>
          <w:rtl/>
        </w:rPr>
        <w:t xml:space="preserve">متجهة </w:t>
      </w:r>
      <w:r w:rsidRPr="001017A1">
        <w:rPr>
          <w:rStyle w:val="fontstyle01"/>
          <w:rFonts w:ascii="Traditional Arabic" w:hAnsi="Traditional Arabic" w:cs="Traditional Arabic"/>
          <w:sz w:val="30"/>
          <w:szCs w:val="30"/>
          <w:rtl/>
        </w:rPr>
        <w:t xml:space="preserve">إلى عدن، </w:t>
      </w:r>
      <w:r w:rsidRPr="001017A1">
        <w:rPr>
          <w:rStyle w:val="fontstyle01"/>
          <w:rFonts w:ascii="Traditional Arabic" w:hAnsi="Traditional Arabic" w:cs="Traditional Arabic" w:hint="cs"/>
          <w:sz w:val="30"/>
          <w:szCs w:val="30"/>
          <w:rtl/>
        </w:rPr>
        <w:t xml:space="preserve">قام </w:t>
      </w:r>
      <w:r w:rsidR="00B802B4">
        <w:rPr>
          <w:rStyle w:val="fontstyle01"/>
          <w:rFonts w:ascii="Traditional Arabic" w:hAnsi="Traditional Arabic" w:cs="Traditional Arabic" w:hint="cs"/>
          <w:sz w:val="30"/>
          <w:szCs w:val="30"/>
          <w:rtl/>
        </w:rPr>
        <w:t xml:space="preserve">مقاتلو </w:t>
      </w:r>
      <w:r w:rsidRPr="001017A1">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w:t>
      </w:r>
      <w:r w:rsidRPr="001017A1">
        <w:rPr>
          <w:rStyle w:val="fontstyle01"/>
          <w:rFonts w:ascii="Traditional Arabic" w:hAnsi="Traditional Arabic" w:cs="Traditional Arabic" w:hint="cs"/>
          <w:sz w:val="30"/>
          <w:szCs w:val="30"/>
          <w:rtl/>
        </w:rPr>
        <w:t xml:space="preserve">الموجودون </w:t>
      </w:r>
      <w:r w:rsidRPr="001017A1">
        <w:rPr>
          <w:rStyle w:val="fontstyle01"/>
          <w:rFonts w:ascii="Traditional Arabic" w:hAnsi="Traditional Arabic" w:cs="Traditional Arabic"/>
          <w:sz w:val="30"/>
          <w:szCs w:val="30"/>
          <w:rtl/>
        </w:rPr>
        <w:t xml:space="preserve">عند </w:t>
      </w:r>
      <w:r w:rsidRPr="001017A1">
        <w:rPr>
          <w:rStyle w:val="fontstyle01"/>
          <w:rFonts w:ascii="Traditional Arabic" w:hAnsi="Traditional Arabic" w:cs="Traditional Arabic"/>
          <w:sz w:val="30"/>
          <w:szCs w:val="30"/>
          <w:rtl/>
        </w:rPr>
        <w:lastRenderedPageBreak/>
        <w:t xml:space="preserve">نقطة التفتيش </w:t>
      </w:r>
      <w:r w:rsidRPr="001017A1">
        <w:rPr>
          <w:rStyle w:val="fontstyle01"/>
          <w:rFonts w:ascii="Traditional Arabic" w:hAnsi="Traditional Arabic" w:cs="Traditional Arabic" w:hint="cs"/>
          <w:sz w:val="30"/>
          <w:szCs w:val="30"/>
          <w:rtl/>
        </w:rPr>
        <w:t xml:space="preserve">بإطلاق النار فأصابوا </w:t>
      </w:r>
      <w:r w:rsidRPr="001017A1">
        <w:rPr>
          <w:rStyle w:val="fontstyle01"/>
          <w:rFonts w:ascii="Traditional Arabic" w:hAnsi="Traditional Arabic" w:cs="Traditional Arabic"/>
          <w:sz w:val="30"/>
          <w:szCs w:val="30"/>
          <w:rtl/>
        </w:rPr>
        <w:t xml:space="preserve">السائق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قتل</w:t>
      </w:r>
      <w:r w:rsidRPr="001017A1">
        <w:rPr>
          <w:rStyle w:val="fontstyle01"/>
          <w:rFonts w:ascii="Traditional Arabic" w:hAnsi="Traditional Arabic" w:cs="Traditional Arabic" w:hint="cs"/>
          <w:sz w:val="30"/>
          <w:szCs w:val="30"/>
          <w:rtl/>
        </w:rPr>
        <w:t>وا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راكب</w:t>
      </w:r>
      <w:r w:rsidRPr="00C927B2">
        <w:rPr>
          <w:rStyle w:val="FootnoteReference"/>
          <w:sz w:val="24"/>
          <w:szCs w:val="24"/>
        </w:rPr>
        <w:footnoteReference w:id="199"/>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محافظة لحج، عند نقاط التفتيش عند مدخل </w:t>
      </w:r>
      <w:r w:rsidRPr="001017A1">
        <w:rPr>
          <w:rStyle w:val="fontstyle01"/>
          <w:rFonts w:ascii="Traditional Arabic" w:hAnsi="Traditional Arabic" w:cs="Traditional Arabic" w:hint="cs"/>
          <w:sz w:val="30"/>
          <w:szCs w:val="30"/>
          <w:rtl/>
        </w:rPr>
        <w:t>مدين</w:t>
      </w:r>
      <w:r w:rsidRPr="001017A1">
        <w:rPr>
          <w:rStyle w:val="fontstyle01"/>
          <w:rFonts w:ascii="Traditional Arabic" w:hAnsi="Traditional Arabic" w:cs="Traditional Arabic"/>
          <w:sz w:val="30"/>
          <w:szCs w:val="30"/>
          <w:rtl/>
        </w:rPr>
        <w:t>تي الحو</w:t>
      </w:r>
      <w:r w:rsidRPr="001017A1">
        <w:rPr>
          <w:rStyle w:val="fontstyle01"/>
          <w:rFonts w:ascii="Traditional Arabic" w:hAnsi="Traditional Arabic" w:cs="Traditional Arabic" w:hint="cs"/>
          <w:sz w:val="30"/>
          <w:szCs w:val="30"/>
          <w:rtl/>
        </w:rPr>
        <w:t>ط</w:t>
      </w:r>
      <w:r w:rsidRPr="001017A1">
        <w:rPr>
          <w:rStyle w:val="fontstyle01"/>
          <w:rFonts w:ascii="Traditional Arabic" w:hAnsi="Traditional Arabic" w:cs="Traditional Arabic"/>
          <w:sz w:val="30"/>
          <w:szCs w:val="30"/>
          <w:rtl/>
        </w:rPr>
        <w:t>ة والمس</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مير، قام مقاتلو الحوثي</w:t>
      </w:r>
      <w:r w:rsidRPr="001017A1">
        <w:rPr>
          <w:rStyle w:val="fontstyle01"/>
          <w:rFonts w:ascii="Traditional Arabic" w:hAnsi="Traditional Arabic" w:cs="Traditional Arabic" w:hint="cs"/>
          <w:sz w:val="30"/>
          <w:szCs w:val="30"/>
          <w:rtl/>
        </w:rPr>
        <w:t xml:space="preserve">ين- </w:t>
      </w:r>
      <w:r w:rsidRPr="001017A1">
        <w:rPr>
          <w:rStyle w:val="fontstyle01"/>
          <w:rFonts w:ascii="Traditional Arabic" w:hAnsi="Traditional Arabic" w:cs="Traditional Arabic"/>
          <w:sz w:val="30"/>
          <w:szCs w:val="30"/>
          <w:rtl/>
        </w:rPr>
        <w:t xml:space="preserve">صالح أيضًا بتقييد أو إعاقة نقل الغذاء والماء والأدوية والديزل والبنزين إلى </w:t>
      </w:r>
      <w:r w:rsidRPr="001017A1">
        <w:rPr>
          <w:rStyle w:val="fontstyle01"/>
          <w:rFonts w:ascii="Traditional Arabic" w:hAnsi="Traditional Arabic" w:cs="Traditional Arabic" w:hint="cs"/>
          <w:sz w:val="30"/>
          <w:szCs w:val="30"/>
          <w:rtl/>
        </w:rPr>
        <w:t>تلك</w:t>
      </w:r>
      <w:r w:rsidRPr="001017A1">
        <w:rPr>
          <w:rStyle w:val="fontstyle01"/>
          <w:rFonts w:ascii="Traditional Arabic" w:hAnsi="Traditional Arabic" w:cs="Traditional Arabic"/>
          <w:sz w:val="30"/>
          <w:szCs w:val="30"/>
          <w:rtl/>
        </w:rPr>
        <w:t xml:space="preserve"> المناطق</w:t>
      </w:r>
      <w:r w:rsidRPr="00C927B2">
        <w:rPr>
          <w:rStyle w:val="FootnoteReference"/>
          <w:sz w:val="24"/>
          <w:szCs w:val="24"/>
        </w:rPr>
        <w:footnoteReference w:id="200"/>
      </w:r>
      <w:r w:rsidRPr="00C927B2">
        <w:rPr>
          <w:rFonts w:asciiTheme="majorBidi" w:hAnsiTheme="majorBidi" w:cstheme="majorBidi"/>
          <w:sz w:val="24"/>
          <w:szCs w:val="24"/>
        </w:rPr>
        <w:t>.</w:t>
      </w:r>
    </w:p>
    <w:p w14:paraId="78FE6821" w14:textId="2AB53FCE" w:rsidR="00967CB7" w:rsidRPr="001017A1" w:rsidRDefault="00C30223" w:rsidP="00C30223">
      <w:pPr>
        <w:tabs>
          <w:tab w:val="left" w:pos="720"/>
        </w:tabs>
        <w:bidi/>
        <w:rPr>
          <w:rStyle w:val="fontstyle01"/>
          <w:rFonts w:ascii="Traditional Arabic" w:hAnsi="Traditional Arabic" w:cs="Traditional Arabic"/>
          <w:sz w:val="30"/>
          <w:szCs w:val="30"/>
          <w:rtl/>
        </w:rPr>
      </w:pPr>
      <w:r>
        <w:rPr>
          <w:rStyle w:val="fontstyle01"/>
          <w:rFonts w:ascii="Traditional Arabic" w:hAnsi="Traditional Arabic" w:cs="Traditional Arabic"/>
          <w:sz w:val="30"/>
          <w:szCs w:val="30"/>
        </w:rPr>
        <w:tab/>
      </w:r>
      <w:r>
        <w:rPr>
          <w:rStyle w:val="fontstyle01"/>
          <w:rFonts w:ascii="Traditional Arabic" w:hAnsi="Traditional Arabic" w:cs="Traditional Arabic"/>
          <w:sz w:val="30"/>
          <w:szCs w:val="30"/>
        </w:rPr>
        <w:tab/>
      </w:r>
      <w:r w:rsidR="00967CB7" w:rsidRPr="001017A1">
        <w:rPr>
          <w:rStyle w:val="fontstyle01"/>
          <w:rFonts w:ascii="Traditional Arabic" w:hAnsi="Traditional Arabic" w:cs="Traditional Arabic" w:hint="eastAsia"/>
          <w:sz w:val="30"/>
          <w:szCs w:val="30"/>
          <w:rtl/>
        </w:rPr>
        <w:t>الانتهاكات</w:t>
      </w:r>
    </w:p>
    <w:p w14:paraId="52EDA00A" w14:textId="2EB32354" w:rsidR="00967CB7" w:rsidRPr="001017A1" w:rsidRDefault="00967CB7" w:rsidP="00421D69">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vertAlign w:val="superscript"/>
        </w:rPr>
      </w:pPr>
      <w:r w:rsidRPr="001017A1">
        <w:rPr>
          <w:rStyle w:val="fontstyle01"/>
          <w:rFonts w:ascii="Traditional Arabic" w:hAnsi="Traditional Arabic" w:cs="Traditional Arabic" w:hint="eastAsia"/>
          <w:sz w:val="30"/>
          <w:szCs w:val="30"/>
          <w:rtl/>
        </w:rPr>
        <w:t>إن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القيام ب</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ضد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هدف </w:t>
      </w:r>
      <w:r w:rsidRPr="001017A1">
        <w:rPr>
          <w:rStyle w:val="fontstyle01"/>
          <w:rFonts w:ascii="Traditional Arabic" w:hAnsi="Traditional Arabic" w:cs="Traditional Arabic" w:hint="eastAsia"/>
          <w:sz w:val="30"/>
          <w:szCs w:val="30"/>
          <w:rtl/>
        </w:rPr>
        <w:t>مدني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يُعد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محمية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طالما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تُستخدم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eastAsia"/>
          <w:sz w:val="30"/>
          <w:szCs w:val="30"/>
          <w:rtl/>
        </w:rPr>
        <w:t>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حمايتها</w:t>
      </w:r>
      <w:r w:rsidRPr="001017A1">
        <w:rPr>
          <w:rStyle w:val="fontstyle01"/>
          <w:rFonts w:ascii="Traditional Arabic" w:hAnsi="Traditional Arabic" w:cs="Traditional Arabic"/>
          <w:sz w:val="30"/>
          <w:szCs w:val="30"/>
          <w:rtl/>
        </w:rPr>
        <w:t xml:space="preserve"> </w:t>
      </w:r>
      <w:r w:rsidR="00421D69">
        <w:rPr>
          <w:rStyle w:val="fontstyle01"/>
          <w:rFonts w:ascii="Traditional Arabic" w:hAnsi="Traditional Arabic" w:cs="Traditional Arabic" w:hint="cs"/>
          <w:sz w:val="30"/>
          <w:szCs w:val="30"/>
          <w:rtl/>
        </w:rPr>
        <w:t>وت</w:t>
      </w:r>
      <w:r w:rsidRPr="001017A1">
        <w:rPr>
          <w:rStyle w:val="fontstyle01"/>
          <w:rFonts w:ascii="Traditional Arabic" w:hAnsi="Traditional Arabic" w:cs="Traditional Arabic" w:hint="eastAsia"/>
          <w:sz w:val="30"/>
          <w:szCs w:val="30"/>
          <w:rtl/>
        </w:rPr>
        <w:t>صبح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00421D69">
        <w:rPr>
          <w:rStyle w:val="fontstyle01"/>
          <w:rFonts w:ascii="Traditional Arabic" w:hAnsi="Traditional Arabic" w:cs="Traditional Arabic" w:hint="cs"/>
          <w:sz w:val="30"/>
          <w:szCs w:val="30"/>
          <w:rtl/>
        </w:rPr>
        <w:t xml:space="preserve"> في اللحظة التي تُستخدم لغايات 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تقتصر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الكيانات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تقدم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بطبيعتها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موقعها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الغرض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إسهامًا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فعالًا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سيؤدي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تدميرها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الاستيلاء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تحييدها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الجزئي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الكلي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الظروف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السائدة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الوقت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ميزة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مؤكدة</w:t>
      </w:r>
      <w:r w:rsidRPr="001017A1">
        <w:rPr>
          <w:rStyle w:val="fontstyle01"/>
          <w:rFonts w:ascii="Traditional Arabic" w:hAnsi="Traditional Arabic" w:cs="Traditional Arabic"/>
          <w:sz w:val="30"/>
          <w:szCs w:val="30"/>
          <w:rtl/>
        </w:rPr>
        <w:t>.</w:t>
      </w:r>
      <w:r w:rsidRPr="001017A1">
        <w:rPr>
          <w:rStyle w:val="tlid-translation"/>
          <w:rFonts w:asciiTheme="majorBidi" w:hAnsiTheme="majorBidi" w:cs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201"/>
      </w:r>
      <w:r w:rsidRPr="00C30223">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cs"/>
          <w:sz w:val="30"/>
          <w:szCs w:val="30"/>
          <w:rtl/>
        </w:rPr>
        <w:t xml:space="preserve">كما يمكن اعتبار التدمير المتعمد للأعيان المدنية </w:t>
      </w:r>
      <w:r w:rsidR="00B802B4">
        <w:rPr>
          <w:rStyle w:val="fontstyle01"/>
          <w:rFonts w:ascii="Traditional Arabic" w:hAnsi="Traditional Arabic" w:cs="Traditional Arabic" w:hint="cs"/>
          <w:sz w:val="30"/>
          <w:szCs w:val="30"/>
          <w:rtl/>
        </w:rPr>
        <w:t xml:space="preserve">قد يصل إلى مستوى </w:t>
      </w:r>
      <w:r w:rsidRPr="001017A1">
        <w:rPr>
          <w:rStyle w:val="fontstyle01"/>
          <w:rFonts w:ascii="Traditional Arabic" w:hAnsi="Traditional Arabic" w:cs="Traditional Arabic" w:hint="cs"/>
          <w:sz w:val="30"/>
          <w:szCs w:val="30"/>
          <w:rtl/>
        </w:rPr>
        <w:t>جريمة حرب في النزاعات المسلحة غير الدولية.</w:t>
      </w:r>
      <w:r>
        <w:rPr>
          <w:rStyle w:val="fontstyle01"/>
          <w:rFonts w:ascii="Traditional Arabic" w:hAnsi="Traditional Arabic" w:cs="Traditional Arabic" w:hint="cs"/>
          <w:sz w:val="30"/>
          <w:szCs w:val="30"/>
          <w:rtl/>
        </w:rPr>
        <w:t xml:space="preserve"> </w:t>
      </w:r>
      <w:r>
        <w:rPr>
          <w:rStyle w:val="FootnoteReference"/>
        </w:rPr>
        <w:footnoteReference w:id="202"/>
      </w:r>
      <w:r>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وبشكل أكثر تحديدًا، يُحظر أيضًا مهاجمة الأشياء التي لا غنى عنها لبقاء السكان، مثل المواد الغذائية</w:t>
      </w:r>
      <w:r>
        <w:rPr>
          <w:rStyle w:val="tlid-translation"/>
          <w:rFonts w:hint="cs"/>
          <w:lang w:bidi="ar"/>
        </w:rPr>
        <w:t>.</w:t>
      </w:r>
      <w:r>
        <w:rPr>
          <w:rStyle w:val="FootnoteReference"/>
        </w:rPr>
        <w:footnoteReference w:id="203"/>
      </w:r>
    </w:p>
    <w:p w14:paraId="012188C3"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cs"/>
          <w:sz w:val="30"/>
          <w:szCs w:val="30"/>
          <w:rtl/>
        </w:rPr>
        <w:t>في الحالات الموضحة أعلاه، وجد فريق الخبراء اسبابًا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بأن منازل المعارضين </w:t>
      </w:r>
      <w:r>
        <w:rPr>
          <w:rStyle w:val="fontstyle01"/>
          <w:rFonts w:ascii="Traditional Arabic" w:hAnsi="Traditional Arabic" w:cs="Traditional Arabic" w:hint="cs"/>
          <w:sz w:val="30"/>
          <w:szCs w:val="30"/>
          <w:rtl/>
        </w:rPr>
        <w:t xml:space="preserve">في ذاك الوقت </w:t>
      </w:r>
      <w:r w:rsidRPr="001017A1">
        <w:rPr>
          <w:rStyle w:val="fontstyle01"/>
          <w:rFonts w:ascii="Traditional Arabic" w:hAnsi="Traditional Arabic" w:cs="Traditional Arabic" w:hint="cs"/>
          <w:sz w:val="30"/>
          <w:szCs w:val="30"/>
          <w:rtl/>
        </w:rPr>
        <w:t xml:space="preserve">كانت محمية كأهداف مدنية وأن تدميرها يصل إلى حد انتهاك القانون الدولي الإنساني من قبل مقاتلي الحوثي-صالح. وينطبق </w:t>
      </w:r>
      <w:r>
        <w:rPr>
          <w:rStyle w:val="fontstyle01"/>
          <w:rFonts w:ascii="Traditional Arabic" w:hAnsi="Traditional Arabic" w:cs="Traditional Arabic" w:hint="cs"/>
          <w:sz w:val="30"/>
          <w:szCs w:val="30"/>
          <w:rtl/>
        </w:rPr>
        <w:t>االانماط العقلانيه</w:t>
      </w:r>
      <w:r w:rsidRPr="001017A1">
        <w:rPr>
          <w:rStyle w:val="fontstyle01"/>
          <w:rFonts w:ascii="Traditional Arabic" w:hAnsi="Traditional Arabic" w:cs="Traditional Arabic" w:hint="cs"/>
          <w:sz w:val="30"/>
          <w:szCs w:val="30"/>
          <w:rtl/>
        </w:rPr>
        <w:t xml:space="preserve"> على نقل المواد الغذائية وغيرها من المواد الأساسية. قد تؤدي هذه الأعمال أيضًا إلى مسؤولية جنائية فردية عن جرائم حرب</w:t>
      </w:r>
      <w:r w:rsidRPr="001017A1">
        <w:rPr>
          <w:rStyle w:val="fontstyle01"/>
          <w:rFonts w:ascii="Traditional Arabic" w:hAnsi="Traditional Arabic" w:cs="Traditional Arabic" w:hint="cs"/>
          <w:sz w:val="30"/>
          <w:szCs w:val="30"/>
        </w:rPr>
        <w:t>.</w:t>
      </w:r>
    </w:p>
    <w:p w14:paraId="7E884E3E" w14:textId="165ED5EE" w:rsidR="00967CB7" w:rsidRPr="000F31A7" w:rsidRDefault="00C30223" w:rsidP="00361237">
      <w:pPr>
        <w:pStyle w:val="NoSpacing"/>
        <w:tabs>
          <w:tab w:val="left" w:pos="720"/>
          <w:tab w:val="left" w:pos="1134"/>
          <w:tab w:val="left" w:pos="1701"/>
        </w:tabs>
        <w:bidi/>
        <w:spacing w:after="120" w:line="240" w:lineRule="atLeast"/>
        <w:ind w:right="827" w:firstLine="549"/>
        <w:rPr>
          <w:rFonts w:asciiTheme="majorBidi" w:hAnsiTheme="majorBidi" w:cstheme="majorBidi"/>
          <w:b/>
          <w:bCs/>
          <w:sz w:val="24"/>
          <w:szCs w:val="24"/>
        </w:rPr>
      </w:pPr>
      <w:r>
        <w:rPr>
          <w:rStyle w:val="fontstyle01"/>
          <w:rFonts w:ascii="Traditional Arabic" w:eastAsia="Times New Roman" w:hAnsi="Traditional Arabic" w:cs="Traditional Arabic"/>
          <w:b/>
          <w:bCs/>
          <w:sz w:val="30"/>
          <w:szCs w:val="30"/>
        </w:rPr>
        <w:tab/>
      </w:r>
      <w:r>
        <w:rPr>
          <w:rStyle w:val="fontstyle01"/>
          <w:rFonts w:ascii="Traditional Arabic" w:eastAsia="Times New Roman" w:hAnsi="Traditional Arabic" w:cs="Traditional Arabic"/>
          <w:b/>
          <w:bCs/>
          <w:sz w:val="30"/>
          <w:szCs w:val="30"/>
        </w:rPr>
        <w:tab/>
      </w:r>
      <w:r w:rsidR="00967CB7" w:rsidRPr="000F31A7">
        <w:rPr>
          <w:rStyle w:val="fontstyle01"/>
          <w:rFonts w:ascii="Traditional Arabic" w:eastAsia="Times New Roman" w:hAnsi="Traditional Arabic" w:cs="Traditional Arabic" w:hint="cs"/>
          <w:b/>
          <w:bCs/>
          <w:sz w:val="30"/>
          <w:szCs w:val="30"/>
          <w:rtl/>
        </w:rPr>
        <w:t>هـ</w:t>
      </w:r>
      <w:r w:rsidR="00967CB7" w:rsidRPr="000F31A7">
        <w:rPr>
          <w:rStyle w:val="fontstyle01"/>
          <w:rFonts w:ascii="Traditional Arabic" w:eastAsia="Times New Roman" w:hAnsi="Traditional Arabic" w:cs="Traditional Arabic"/>
          <w:b/>
          <w:bCs/>
          <w:sz w:val="30"/>
          <w:szCs w:val="30"/>
          <w:rtl/>
        </w:rPr>
        <w:t>) استخدام</w:t>
      </w:r>
      <w:r w:rsidR="00967CB7" w:rsidRPr="000F31A7">
        <w:rPr>
          <w:rStyle w:val="fontstyle01"/>
          <w:rFonts w:ascii="Traditional Arabic" w:eastAsia="Times New Roman" w:hAnsi="Traditional Arabic" w:cs="Traditional Arabic" w:hint="cs"/>
          <w:b/>
          <w:bCs/>
          <w:sz w:val="30"/>
          <w:szCs w:val="30"/>
          <w:rtl/>
        </w:rPr>
        <w:t xml:space="preserve"> المواقع المحمية</w:t>
      </w:r>
      <w:r w:rsidR="00967CB7" w:rsidRPr="000F31A7">
        <w:rPr>
          <w:rStyle w:val="fontstyle01"/>
          <w:rFonts w:ascii="Traditional Arabic" w:eastAsia="Times New Roman" w:hAnsi="Traditional Arabic" w:cs="Traditional Arabic"/>
          <w:b/>
          <w:bCs/>
          <w:sz w:val="30"/>
          <w:szCs w:val="30"/>
          <w:rtl/>
        </w:rPr>
        <w:t xml:space="preserve"> </w:t>
      </w:r>
      <w:r w:rsidR="00967CB7" w:rsidRPr="000F31A7">
        <w:rPr>
          <w:rStyle w:val="fontstyle01"/>
          <w:rFonts w:ascii="Traditional Arabic" w:eastAsia="Times New Roman" w:hAnsi="Traditional Arabic" w:cs="Traditional Arabic" w:hint="cs"/>
          <w:b/>
          <w:bCs/>
          <w:sz w:val="30"/>
          <w:szCs w:val="30"/>
          <w:rtl/>
        </w:rPr>
        <w:t>ك</w:t>
      </w:r>
      <w:r w:rsidR="00967CB7" w:rsidRPr="000F31A7">
        <w:rPr>
          <w:rStyle w:val="fontstyle01"/>
          <w:rFonts w:ascii="Traditional Arabic" w:eastAsia="Times New Roman" w:hAnsi="Traditional Arabic" w:cs="Traditional Arabic" w:hint="eastAsia"/>
          <w:b/>
          <w:bCs/>
          <w:sz w:val="30"/>
          <w:szCs w:val="30"/>
          <w:rtl/>
        </w:rPr>
        <w:t>أهداف</w:t>
      </w:r>
      <w:r w:rsidR="00967CB7" w:rsidRPr="000F31A7">
        <w:rPr>
          <w:rStyle w:val="fontstyle01"/>
          <w:rFonts w:ascii="Traditional Arabic" w:eastAsia="Times New Roman" w:hAnsi="Traditional Arabic" w:cs="Traditional Arabic"/>
          <w:b/>
          <w:bCs/>
          <w:sz w:val="30"/>
          <w:szCs w:val="30"/>
          <w:rtl/>
        </w:rPr>
        <w:t xml:space="preserve"> </w:t>
      </w:r>
      <w:r w:rsidR="00967CB7" w:rsidRPr="000F31A7">
        <w:rPr>
          <w:rStyle w:val="fontstyle01"/>
          <w:rFonts w:ascii="Traditional Arabic" w:eastAsia="Times New Roman" w:hAnsi="Traditional Arabic" w:cs="Traditional Arabic" w:hint="eastAsia"/>
          <w:b/>
          <w:bCs/>
          <w:sz w:val="30"/>
          <w:szCs w:val="30"/>
          <w:rtl/>
        </w:rPr>
        <w:t>عسكرية</w:t>
      </w:r>
      <w:r w:rsidR="00967CB7" w:rsidRPr="000F31A7">
        <w:rPr>
          <w:rStyle w:val="fontstyle01"/>
          <w:rFonts w:ascii="Traditional Arabic" w:eastAsia="Times New Roman" w:hAnsi="Traditional Arabic" w:cs="Traditional Arabic" w:hint="cs"/>
          <w:b/>
          <w:bCs/>
          <w:sz w:val="30"/>
          <w:szCs w:val="30"/>
          <w:rtl/>
        </w:rPr>
        <w:t xml:space="preserve"> </w:t>
      </w:r>
      <w:r w:rsidR="00967CB7" w:rsidRPr="000F31A7">
        <w:rPr>
          <w:rFonts w:asciiTheme="majorBidi" w:hAnsiTheme="majorBidi" w:cs="Times New Roman"/>
          <w:b/>
          <w:bCs/>
          <w:sz w:val="24"/>
          <w:szCs w:val="24"/>
          <w:rtl/>
        </w:rPr>
        <w:t>والهجمات اللاحقة عليها</w:t>
      </w:r>
    </w:p>
    <w:p w14:paraId="4E2EA393" w14:textId="7155E48C"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tl/>
        </w:rPr>
        <w:t>خلال الهجوم العسكري في عدن عام 2015، استخدم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ومقاتلو المقاومة </w:t>
      </w:r>
      <w:r w:rsidRPr="001017A1">
        <w:rPr>
          <w:rStyle w:val="fontstyle01"/>
          <w:rFonts w:ascii="Traditional Arabic" w:hAnsi="Traditional Arabic" w:cs="Traditional Arabic" w:hint="cs"/>
          <w:sz w:val="30"/>
          <w:szCs w:val="30"/>
          <w:rtl/>
        </w:rPr>
        <w:t>مواقع</w:t>
      </w:r>
      <w:r w:rsidRPr="001017A1">
        <w:rPr>
          <w:rStyle w:val="fontstyle01"/>
          <w:rFonts w:ascii="Traditional Arabic" w:hAnsi="Traditional Arabic" w:cs="Traditional Arabic"/>
          <w:sz w:val="30"/>
          <w:szCs w:val="30"/>
          <w:rtl/>
        </w:rPr>
        <w:t xml:space="preserve"> ت</w:t>
      </w:r>
      <w:r w:rsidRPr="001017A1">
        <w:rPr>
          <w:rStyle w:val="fontstyle01"/>
          <w:rFonts w:ascii="Traditional Arabic" w:hAnsi="Traditional Arabic" w:cs="Traditional Arabic" w:hint="cs"/>
          <w:sz w:val="30"/>
          <w:szCs w:val="30"/>
          <w:rtl/>
        </w:rPr>
        <w:t>حظى ب</w:t>
      </w:r>
      <w:r w:rsidRPr="001017A1">
        <w:rPr>
          <w:rStyle w:val="fontstyle01"/>
          <w:rFonts w:ascii="Traditional Arabic" w:hAnsi="Traditional Arabic" w:cs="Traditional Arabic"/>
          <w:sz w:val="30"/>
          <w:szCs w:val="30"/>
          <w:rtl/>
        </w:rPr>
        <w:t>حماية خاصة. نفذت قوات التحالف غارات جوية أصابت بعض هذه</w:t>
      </w:r>
      <w:r w:rsidRPr="001017A1">
        <w:rPr>
          <w:rStyle w:val="fontstyle01"/>
          <w:rFonts w:ascii="Traditional Arabic" w:hAnsi="Traditional Arabic" w:cs="Traditional Arabic" w:hint="cs"/>
          <w:sz w:val="30"/>
          <w:szCs w:val="30"/>
          <w:rtl/>
        </w:rPr>
        <w:t xml:space="preserve"> الأماكن</w:t>
      </w:r>
      <w:r w:rsidRPr="001017A1">
        <w:rPr>
          <w:rStyle w:val="fontstyle01"/>
          <w:rFonts w:ascii="Traditional Arabic" w:hAnsi="Traditional Arabic" w:cs="Traditional Arabic"/>
          <w:sz w:val="30"/>
          <w:szCs w:val="30"/>
          <w:rtl/>
        </w:rPr>
        <w:t>. في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ما يلي بعض الأمثلة على هذا النمط في</w:t>
      </w:r>
      <w:r w:rsidRPr="001017A1">
        <w:rPr>
          <w:rStyle w:val="fontstyle01"/>
          <w:rFonts w:ascii="Traditional Arabic" w:hAnsi="Traditional Arabic" w:cs="Traditional Arabic" w:hint="cs"/>
          <w:sz w:val="30"/>
          <w:szCs w:val="30"/>
          <w:rtl/>
        </w:rPr>
        <w:t xml:space="preserve"> مديرية</w:t>
      </w:r>
      <w:r w:rsidRPr="001017A1">
        <w:rPr>
          <w:rStyle w:val="fontstyle01"/>
          <w:rFonts w:ascii="Traditional Arabic" w:hAnsi="Traditional Arabic" w:cs="Traditional Arabic"/>
          <w:sz w:val="30"/>
          <w:szCs w:val="30"/>
          <w:rtl/>
        </w:rPr>
        <w:t xml:space="preserve"> كريتر في عدن </w:t>
      </w:r>
      <w:r w:rsidRPr="001017A1">
        <w:rPr>
          <w:rStyle w:val="fontstyle01"/>
          <w:rFonts w:ascii="Traditional Arabic" w:hAnsi="Traditional Arabic" w:cs="Traditional Arabic" w:hint="cs"/>
          <w:sz w:val="30"/>
          <w:szCs w:val="30"/>
          <w:rtl/>
        </w:rPr>
        <w:t>وبلدة</w:t>
      </w:r>
      <w:r w:rsidRPr="001017A1">
        <w:rPr>
          <w:rStyle w:val="fontstyle01"/>
          <w:rFonts w:ascii="Traditional Arabic" w:hAnsi="Traditional Arabic" w:cs="Traditional Arabic"/>
          <w:sz w:val="30"/>
          <w:szCs w:val="30"/>
          <w:rtl/>
        </w:rPr>
        <w:t xml:space="preserve"> الحوطة في محافظة لحج</w:t>
      </w:r>
      <w:r w:rsidRPr="001017A1">
        <w:rPr>
          <w:rStyle w:val="fontstyle01"/>
          <w:rFonts w:ascii="Traditional Arabic" w:hAnsi="Traditional Arabic" w:cs="Traditional Arabic"/>
          <w:sz w:val="30"/>
          <w:szCs w:val="30"/>
        </w:rPr>
        <w:t>.</w:t>
      </w:r>
    </w:p>
    <w:p w14:paraId="5972B517" w14:textId="617BBB9F" w:rsidR="00286EBB" w:rsidRPr="001017A1" w:rsidRDefault="00286EBB" w:rsidP="00286EBB">
      <w:pPr>
        <w:pStyle w:val="NoSpacing"/>
        <w:tabs>
          <w:tab w:val="left" w:pos="720"/>
          <w:tab w:val="left" w:pos="1134"/>
          <w:tab w:val="left" w:pos="1701"/>
        </w:tabs>
        <w:bidi/>
        <w:spacing w:after="120" w:line="240" w:lineRule="atLeast"/>
        <w:ind w:left="1440" w:right="827"/>
        <w:rPr>
          <w:rFonts w:asciiTheme="majorBidi" w:hAnsiTheme="majorBidi" w:cstheme="majorBidi"/>
          <w:i/>
          <w:iCs/>
          <w:sz w:val="24"/>
          <w:szCs w:val="24"/>
        </w:rPr>
      </w:pPr>
      <w:r>
        <w:rPr>
          <w:rStyle w:val="fontstyle01"/>
          <w:rFonts w:ascii="Traditional Arabic" w:eastAsia="Times New Roman" w:hAnsi="Traditional Arabic" w:cs="Traditional Arabic" w:hint="cs"/>
          <w:i/>
          <w:iCs/>
          <w:sz w:val="30"/>
          <w:szCs w:val="30"/>
          <w:rtl/>
        </w:rPr>
        <w:t>الموقع الحضاري ل</w:t>
      </w:r>
      <w:r w:rsidRPr="001017A1">
        <w:rPr>
          <w:rStyle w:val="fontstyle01"/>
          <w:rFonts w:ascii="Traditional Arabic" w:eastAsia="Times New Roman" w:hAnsi="Traditional Arabic" w:cs="Traditional Arabic"/>
          <w:i/>
          <w:iCs/>
          <w:sz w:val="30"/>
          <w:szCs w:val="30"/>
          <w:rtl/>
        </w:rPr>
        <w:t xml:space="preserve">مدرسة </w:t>
      </w:r>
      <w:r w:rsidRPr="001017A1">
        <w:rPr>
          <w:rStyle w:val="fontstyle01"/>
          <w:rFonts w:ascii="Traditional Arabic" w:eastAsia="Times New Roman" w:hAnsi="Traditional Arabic" w:cs="Traditional Arabic" w:hint="cs"/>
          <w:i/>
          <w:iCs/>
          <w:sz w:val="30"/>
          <w:szCs w:val="30"/>
          <w:rtl/>
        </w:rPr>
        <w:t>بازرعه</w:t>
      </w:r>
      <w:r w:rsidRPr="001017A1">
        <w:rPr>
          <w:rStyle w:val="fontstyle01"/>
          <w:rFonts w:ascii="Traditional Arabic" w:eastAsia="Times New Roman" w:hAnsi="Traditional Arabic" w:cs="Traditional Arabic"/>
          <w:i/>
          <w:iCs/>
          <w:sz w:val="30"/>
          <w:szCs w:val="30"/>
          <w:rtl/>
        </w:rPr>
        <w:t xml:space="preserve"> الابتدائية، </w:t>
      </w:r>
      <w:r w:rsidRPr="001017A1">
        <w:rPr>
          <w:rStyle w:val="fontstyle01"/>
          <w:rFonts w:ascii="Traditional Arabic" w:eastAsia="Times New Roman" w:hAnsi="Traditional Arabic" w:cs="Traditional Arabic" w:hint="eastAsia"/>
          <w:i/>
          <w:iCs/>
          <w:sz w:val="30"/>
          <w:szCs w:val="30"/>
          <w:rtl/>
        </w:rPr>
        <w:t>مديرية</w:t>
      </w:r>
      <w:r w:rsidRPr="001017A1">
        <w:rPr>
          <w:rStyle w:val="fontstyle01"/>
          <w:rFonts w:ascii="Traditional Arabic" w:eastAsia="Times New Roman" w:hAnsi="Traditional Arabic" w:cs="Traditional Arabic"/>
          <w:i/>
          <w:iCs/>
          <w:sz w:val="30"/>
          <w:szCs w:val="30"/>
          <w:rtl/>
        </w:rPr>
        <w:t xml:space="preserve"> كريتر، عدن</w:t>
      </w:r>
    </w:p>
    <w:p w14:paraId="121154B7" w14:textId="26809E13" w:rsidR="00967CB7" w:rsidRPr="00286EBB"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heme="majorBidi" w:hAnsiTheme="majorBidi" w:cstheme="majorBidi"/>
          <w:i/>
          <w:iCs/>
          <w:color w:val="auto"/>
          <w:sz w:val="24"/>
          <w:szCs w:val="24"/>
        </w:rPr>
      </w:pPr>
      <w:r w:rsidRPr="001017A1">
        <w:rPr>
          <w:rStyle w:val="fontstyle01"/>
          <w:rFonts w:ascii="Traditional Arabic" w:hAnsi="Traditional Arabic" w:cs="Traditional Arabic"/>
          <w:sz w:val="30"/>
          <w:szCs w:val="30"/>
          <w:rtl/>
        </w:rPr>
        <w:t xml:space="preserve">مدرسة </w:t>
      </w:r>
      <w:r w:rsidRPr="001017A1">
        <w:rPr>
          <w:rStyle w:val="fontstyle01"/>
          <w:rFonts w:ascii="Traditional Arabic" w:hAnsi="Traditional Arabic" w:cs="Traditional Arabic" w:hint="cs"/>
          <w:sz w:val="30"/>
          <w:szCs w:val="30"/>
          <w:rtl/>
        </w:rPr>
        <w:t>بازرعه</w:t>
      </w:r>
      <w:r w:rsidRPr="001017A1">
        <w:rPr>
          <w:rStyle w:val="fontstyle01"/>
          <w:rFonts w:ascii="Traditional Arabic" w:hAnsi="Traditional Arabic" w:cs="Traditional Arabic"/>
          <w:sz w:val="30"/>
          <w:szCs w:val="30"/>
          <w:rtl/>
        </w:rPr>
        <w:t xml:space="preserve"> الابتدائية التي بنيت في عام 1912 هي </w:t>
      </w:r>
      <w:r w:rsidRPr="001017A1">
        <w:rPr>
          <w:rStyle w:val="fontstyle01"/>
          <w:rFonts w:ascii="Traditional Arabic" w:hAnsi="Traditional Arabic" w:cs="Traditional Arabic" w:hint="cs"/>
          <w:sz w:val="30"/>
          <w:szCs w:val="30"/>
          <w:rtl/>
        </w:rPr>
        <w:t>إحدى</w:t>
      </w:r>
      <w:r w:rsidRPr="001017A1">
        <w:rPr>
          <w:rStyle w:val="fontstyle01"/>
          <w:rFonts w:ascii="Traditional Arabic" w:hAnsi="Traditional Arabic" w:cs="Traditional Arabic"/>
          <w:sz w:val="30"/>
          <w:szCs w:val="30"/>
          <w:rtl/>
        </w:rPr>
        <w:t xml:space="preserve"> أقدم المدارس في عدن. كان</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عتبر </w:t>
      </w:r>
      <w:r w:rsidRPr="001017A1">
        <w:rPr>
          <w:rStyle w:val="fontstyle01"/>
          <w:rFonts w:ascii="Traditional Arabic" w:hAnsi="Traditional Arabic" w:cs="Traditional Arabic" w:hint="cs"/>
          <w:sz w:val="30"/>
          <w:szCs w:val="30"/>
          <w:rtl/>
        </w:rPr>
        <w:t>أحد</w:t>
      </w:r>
      <w:r w:rsidRPr="001017A1">
        <w:rPr>
          <w:rStyle w:val="fontstyle01"/>
          <w:rFonts w:ascii="Traditional Arabic" w:hAnsi="Traditional Arabic" w:cs="Traditional Arabic"/>
          <w:sz w:val="30"/>
          <w:szCs w:val="30"/>
          <w:rtl/>
        </w:rPr>
        <w:t xml:space="preserve"> المعالم الأثرية في عدن</w:t>
      </w:r>
      <w:r w:rsidRPr="001017A1">
        <w:rPr>
          <w:rStyle w:val="fontstyle01"/>
          <w:rFonts w:ascii="Traditional Arabic" w:hAnsi="Traditional Arabic" w:cs="Traditional Arabic"/>
          <w:sz w:val="30"/>
          <w:szCs w:val="30"/>
        </w:rPr>
        <w:footnoteReference w:id="204"/>
      </w:r>
      <w:r w:rsidRPr="001017A1">
        <w:rPr>
          <w:rStyle w:val="fontstyle01"/>
          <w:rFonts w:ascii="Traditional Arabic" w:hAnsi="Traditional Arabic" w:cs="Traditional Arabic"/>
          <w:sz w:val="30"/>
          <w:szCs w:val="30"/>
          <w:rtl/>
        </w:rPr>
        <w:t xml:space="preserve">. كانت المدرسة قد أغلقت </w:t>
      </w:r>
      <w:r w:rsidRPr="001017A1">
        <w:rPr>
          <w:rStyle w:val="fontstyle01"/>
          <w:rFonts w:ascii="Traditional Arabic" w:hAnsi="Traditional Arabic" w:cs="Traditional Arabic" w:hint="cs"/>
          <w:sz w:val="30"/>
          <w:szCs w:val="30"/>
          <w:rtl/>
        </w:rPr>
        <w:t xml:space="preserve">أبوابها </w:t>
      </w:r>
      <w:r w:rsidRPr="001017A1">
        <w:rPr>
          <w:rStyle w:val="fontstyle01"/>
          <w:rFonts w:ascii="Traditional Arabic" w:hAnsi="Traditional Arabic" w:cs="Traditional Arabic"/>
          <w:sz w:val="30"/>
          <w:szCs w:val="30"/>
          <w:rtl/>
        </w:rPr>
        <w:t xml:space="preserve">في بداية الحرب، في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05"/>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احتلها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واستخدموها لأغراض عسكرية، بما في ذلك كمرفق </w:t>
      </w:r>
      <w:r w:rsidRPr="001017A1">
        <w:rPr>
          <w:rStyle w:val="fontstyle01"/>
          <w:rFonts w:ascii="Traditional Arabic" w:hAnsi="Traditional Arabic" w:cs="Traditional Arabic"/>
          <w:sz w:val="30"/>
          <w:szCs w:val="30"/>
          <w:rtl/>
        </w:rPr>
        <w:lastRenderedPageBreak/>
        <w:t>اعتقال للمقاتلين الأسرى من المقاومة</w:t>
      </w:r>
      <w:r w:rsidRPr="00C927B2">
        <w:rPr>
          <w:rStyle w:val="FootnoteReference"/>
          <w:sz w:val="24"/>
          <w:szCs w:val="24"/>
        </w:rPr>
        <w:footnoteReference w:id="20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14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ألحقت غارة جوية للتحالف أضرارًا كبيرة بالمدرسة</w:t>
      </w:r>
      <w:r w:rsidRPr="001017A1">
        <w:rPr>
          <w:rStyle w:val="fontstyle01"/>
          <w:rFonts w:ascii="Traditional Arabic" w:hAnsi="Traditional Arabic" w:cs="Traditional Arabic"/>
          <w:sz w:val="30"/>
          <w:szCs w:val="30"/>
        </w:rPr>
        <w:t>.</w:t>
      </w:r>
    </w:p>
    <w:p w14:paraId="2F3D069C" w14:textId="468500DE" w:rsidR="00286EBB" w:rsidRDefault="00286EBB" w:rsidP="00286EBB">
      <w:pPr>
        <w:pStyle w:val="Footer"/>
        <w:tabs>
          <w:tab w:val="left" w:pos="720"/>
          <w:tab w:val="left" w:pos="1134"/>
          <w:tab w:val="left" w:pos="1701"/>
        </w:tabs>
        <w:bidi/>
        <w:spacing w:after="120" w:line="240" w:lineRule="atLeast"/>
        <w:ind w:left="1080" w:right="827"/>
        <w:jc w:val="both"/>
        <w:rPr>
          <w:rFonts w:asciiTheme="majorBidi" w:hAnsiTheme="majorBidi" w:cstheme="majorBidi"/>
          <w:i/>
          <w:iCs/>
          <w:sz w:val="24"/>
          <w:szCs w:val="24"/>
        </w:rPr>
      </w:pPr>
    </w:p>
    <w:p w14:paraId="20EBD2B3" w14:textId="77777777" w:rsidR="00286EBB" w:rsidRDefault="00286EBB" w:rsidP="00286EBB">
      <w:pPr>
        <w:pStyle w:val="NoSpacing"/>
        <w:tabs>
          <w:tab w:val="left" w:pos="720"/>
          <w:tab w:val="left" w:pos="1134"/>
          <w:tab w:val="left" w:pos="1701"/>
        </w:tabs>
        <w:bidi/>
        <w:spacing w:after="120" w:line="240" w:lineRule="atLeast"/>
        <w:ind w:left="1134" w:right="827"/>
        <w:rPr>
          <w:rStyle w:val="fontstyle01"/>
          <w:rFonts w:ascii="Traditional Arabic" w:eastAsia="Times New Roman" w:hAnsi="Traditional Arabic" w:cs="Traditional Arabic"/>
          <w:i/>
          <w:iCs/>
          <w:sz w:val="30"/>
          <w:szCs w:val="30"/>
        </w:rPr>
      </w:pPr>
      <w:r>
        <w:rPr>
          <w:rFonts w:asciiTheme="majorBidi" w:hAnsiTheme="majorBidi" w:cstheme="majorBidi"/>
          <w:noProof/>
          <w:sz w:val="24"/>
          <w:szCs w:val="24"/>
          <w:lang w:eastAsia="en-GB"/>
        </w:rPr>
        <w:drawing>
          <wp:inline distT="0" distB="0" distL="0" distR="0" wp14:anchorId="77389A8B" wp14:editId="518DAC8C">
            <wp:extent cx="4681855" cy="35420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81855" cy="3542030"/>
                    </a:xfrm>
                    <a:prstGeom prst="rect">
                      <a:avLst/>
                    </a:prstGeom>
                    <a:noFill/>
                  </pic:spPr>
                </pic:pic>
              </a:graphicData>
            </a:graphic>
          </wp:inline>
        </w:drawing>
      </w:r>
    </w:p>
    <w:p w14:paraId="2B80790A" w14:textId="77777777" w:rsidR="00286EBB" w:rsidRPr="00286EBB" w:rsidRDefault="00286EBB" w:rsidP="00286EBB">
      <w:pPr>
        <w:pStyle w:val="Footer"/>
        <w:tabs>
          <w:tab w:val="left" w:pos="720"/>
          <w:tab w:val="left" w:pos="1134"/>
          <w:tab w:val="left" w:pos="1701"/>
        </w:tabs>
        <w:bidi/>
        <w:spacing w:after="120" w:line="240" w:lineRule="atLeast"/>
        <w:ind w:left="1080" w:right="827"/>
        <w:jc w:val="both"/>
        <w:rPr>
          <w:rFonts w:asciiTheme="majorBidi" w:hAnsiTheme="majorBidi" w:cstheme="majorBidi"/>
          <w:i/>
          <w:iCs/>
          <w:sz w:val="24"/>
          <w:szCs w:val="24"/>
        </w:rPr>
      </w:pPr>
    </w:p>
    <w:p w14:paraId="3DEBB424"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المتحف العسكري</w:t>
      </w:r>
      <w:r w:rsidRPr="001017A1">
        <w:rPr>
          <w:rStyle w:val="fontstyle01"/>
          <w:rFonts w:ascii="Traditional Arabic" w:eastAsia="Times New Roman" w:hAnsi="Traditional Arabic" w:cs="Traditional Arabic" w:hint="cs"/>
          <w:i/>
          <w:iCs/>
          <w:sz w:val="30"/>
          <w:szCs w:val="30"/>
          <w:rtl/>
        </w:rPr>
        <w:t>، مديرية</w:t>
      </w:r>
      <w:r w:rsidRPr="001017A1">
        <w:rPr>
          <w:rStyle w:val="fontstyle01"/>
          <w:rFonts w:ascii="Traditional Arabic" w:eastAsia="Times New Roman" w:hAnsi="Traditional Arabic" w:cs="Traditional Arabic"/>
          <w:i/>
          <w:iCs/>
          <w:sz w:val="30"/>
          <w:szCs w:val="30"/>
          <w:rtl/>
        </w:rPr>
        <w:t xml:space="preserve"> كريتر، عدن</w:t>
      </w:r>
    </w:p>
    <w:p w14:paraId="166AA3BF"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 xml:space="preserve">يقع متحف عدن العسكري في مبنى يعود إلى عام 1918. منذ عام 1970، كان المبنى بمثابة متحف مخصص لتراث الجيش اليمني. احتوى المتحف على مجموعة كبيرة من الأسلحة القديمة.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سيطر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على المتحف عندما احتلوا المنطقة 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قصفوا المتحف لاحتلال مبانيه، مم</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ا تسبب في تلف الجدران</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07"/>
      </w:r>
      <w:r w:rsidRPr="00C927B2">
        <w:rPr>
          <w:rFonts w:asciiTheme="majorBidi" w:hAnsiTheme="majorBidi" w:cstheme="majorBidi"/>
          <w:sz w:val="24"/>
          <w:szCs w:val="24"/>
        </w:rPr>
        <w:t xml:space="preserve"> </w:t>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ثم تم استخدامه كمستودع عسكري ومركز احتجاز سري</w:t>
      </w:r>
      <w:r w:rsidRPr="00C927B2">
        <w:rPr>
          <w:rStyle w:val="FootnoteReference"/>
          <w:sz w:val="24"/>
          <w:szCs w:val="24"/>
        </w:rPr>
        <w:footnoteReference w:id="20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خلال احتلالهم للموقع، نهب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العديد من القطع التي </w:t>
      </w:r>
      <w:r w:rsidRPr="001017A1">
        <w:rPr>
          <w:rStyle w:val="fontstyle01"/>
          <w:rFonts w:ascii="Traditional Arabic" w:hAnsi="Traditional Arabic" w:cs="Traditional Arabic" w:hint="cs"/>
          <w:sz w:val="30"/>
          <w:szCs w:val="30"/>
          <w:rtl/>
        </w:rPr>
        <w:t xml:space="preserve">كانت معروضة </w:t>
      </w:r>
      <w:r w:rsidRPr="001017A1">
        <w:rPr>
          <w:rStyle w:val="fontstyle01"/>
          <w:rFonts w:ascii="Traditional Arabic" w:hAnsi="Traditional Arabic" w:cs="Traditional Arabic"/>
          <w:sz w:val="30"/>
          <w:szCs w:val="30"/>
          <w:rtl/>
        </w:rPr>
        <w:t>في المتحف</w:t>
      </w:r>
      <w:r w:rsidRPr="00C927B2">
        <w:rPr>
          <w:rStyle w:val="FootnoteReference"/>
          <w:sz w:val="24"/>
          <w:szCs w:val="24"/>
        </w:rPr>
        <w:footnoteReference w:id="209"/>
      </w:r>
      <w:r w:rsidRPr="00C927B2">
        <w:rPr>
          <w:rFonts w:asciiTheme="majorBidi" w:hAnsiTheme="majorBidi" w:cstheme="majorBidi"/>
          <w:sz w:val="24"/>
          <w:szCs w:val="24"/>
        </w:rPr>
        <w:t>.</w:t>
      </w:r>
    </w:p>
    <w:p w14:paraId="141881A0" w14:textId="04D97D9A" w:rsidR="00967CB7" w:rsidRPr="00C927B2" w:rsidRDefault="00967CB7" w:rsidP="00171341">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في 16 تموز / يولي</w:t>
      </w:r>
      <w:r w:rsidR="0017134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شن</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التحالف غارة جوية أصابت المتحف.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أسفر الانفجار الناجم عن الغارة عن تدمير 4-5 غرف في المتحف</w:t>
      </w:r>
      <w:r w:rsidRPr="00C927B2">
        <w:rPr>
          <w:rStyle w:val="FootnoteReference"/>
          <w:sz w:val="24"/>
          <w:szCs w:val="24"/>
          <w:lang w:eastAsia="en-GB"/>
        </w:rPr>
        <w:footnoteReference w:id="210"/>
      </w:r>
      <w:r w:rsidRPr="00C927B2">
        <w:rPr>
          <w:rFonts w:asciiTheme="majorBidi" w:hAnsiTheme="majorBidi" w:hint="cs"/>
          <w:sz w:val="24"/>
          <w:szCs w:val="24"/>
          <w:rtl/>
        </w:rPr>
        <w:t xml:space="preserve"> </w:t>
      </w:r>
      <w:r w:rsidRPr="001017A1">
        <w:rPr>
          <w:rStyle w:val="fontstyle01"/>
          <w:rFonts w:ascii="Traditional Arabic" w:hAnsi="Traditional Arabic" w:cs="Traditional Arabic"/>
          <w:sz w:val="30"/>
          <w:szCs w:val="30"/>
          <w:rtl/>
        </w:rPr>
        <w:t xml:space="preserve">وإلحاق أضرار جسيمة بالجناح الشمالي الشرقي للمتحف مع انهيار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سقف جزئي</w:t>
      </w:r>
      <w:r w:rsidRPr="001017A1">
        <w:rPr>
          <w:rStyle w:val="fontstyle01"/>
          <w:rFonts w:ascii="Traditional Arabic" w:hAnsi="Traditional Arabic" w:cs="Traditional Arabic" w:hint="cs"/>
          <w:sz w:val="30"/>
          <w:szCs w:val="30"/>
          <w:rtl/>
        </w:rPr>
        <w:t>اً</w:t>
      </w:r>
      <w:r w:rsidRPr="00C927B2">
        <w:rPr>
          <w:rFonts w:asciiTheme="majorBidi" w:hAnsiTheme="majorBidi" w:cstheme="majorBidi"/>
          <w:sz w:val="24"/>
          <w:szCs w:val="24"/>
        </w:rPr>
        <w:t>.</w:t>
      </w:r>
      <w:r w:rsidRPr="00C927B2">
        <w:rPr>
          <w:rStyle w:val="FootnoteReference"/>
          <w:sz w:val="24"/>
          <w:szCs w:val="24"/>
        </w:rPr>
        <w:t xml:space="preserve"> </w:t>
      </w:r>
      <w:r w:rsidRPr="00C927B2">
        <w:rPr>
          <w:rStyle w:val="FootnoteReference"/>
          <w:sz w:val="24"/>
          <w:szCs w:val="24"/>
        </w:rPr>
        <w:footnoteReference w:id="211"/>
      </w:r>
    </w:p>
    <w:p w14:paraId="268EF32C" w14:textId="77777777" w:rsidR="00C44B69" w:rsidRDefault="00C30223" w:rsidP="00361237">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tab/>
      </w:r>
    </w:p>
    <w:p w14:paraId="7B4BF746" w14:textId="77777777" w:rsidR="00C44B69" w:rsidRDefault="00C44B69" w:rsidP="00C44B69">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p>
    <w:p w14:paraId="0B318330" w14:textId="266BDFD7" w:rsidR="00967CB7" w:rsidRPr="001017A1" w:rsidRDefault="00C44B69" w:rsidP="00C44B69">
      <w:pPr>
        <w:pStyle w:val="NoSpacing"/>
        <w:tabs>
          <w:tab w:val="left" w:pos="720"/>
          <w:tab w:val="left" w:pos="1134"/>
          <w:tab w:val="left" w:pos="1701"/>
        </w:tabs>
        <w:bidi/>
        <w:spacing w:after="120" w:line="240" w:lineRule="atLeast"/>
        <w:ind w:left="1134" w:right="827" w:hanging="468"/>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lastRenderedPageBreak/>
        <w:tab/>
      </w:r>
      <w:r w:rsidR="00C30223">
        <w:rPr>
          <w:rStyle w:val="fontstyle01"/>
          <w:rFonts w:ascii="Traditional Arabic" w:eastAsia="Times New Roman" w:hAnsi="Traditional Arabic" w:cs="Traditional Arabic"/>
          <w:i/>
          <w:iCs/>
          <w:sz w:val="30"/>
          <w:szCs w:val="30"/>
        </w:rPr>
        <w:tab/>
      </w:r>
      <w:r w:rsidR="00967CB7">
        <w:rPr>
          <w:rStyle w:val="fontstyle01"/>
          <w:rFonts w:ascii="Traditional Arabic" w:eastAsia="Times New Roman" w:hAnsi="Traditional Arabic" w:cs="Traditional Arabic" w:hint="cs"/>
          <w:i/>
          <w:iCs/>
          <w:sz w:val="30"/>
          <w:szCs w:val="30"/>
          <w:rtl/>
        </w:rPr>
        <w:t>الموقع الحضاري ل</w:t>
      </w:r>
      <w:r w:rsidR="00967CB7" w:rsidRPr="001017A1">
        <w:rPr>
          <w:rStyle w:val="fontstyle01"/>
          <w:rFonts w:ascii="Traditional Arabic" w:eastAsia="Times New Roman" w:hAnsi="Traditional Arabic" w:cs="Traditional Arabic"/>
          <w:i/>
          <w:iCs/>
          <w:sz w:val="30"/>
          <w:szCs w:val="30"/>
          <w:rtl/>
        </w:rPr>
        <w:t>مدرسة المحسنية، الحوطة، محافظة لحج</w:t>
      </w:r>
    </w:p>
    <w:p w14:paraId="0582746D"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rPr>
      </w:pPr>
      <w:r w:rsidRPr="001017A1">
        <w:rPr>
          <w:rStyle w:val="fontstyle01"/>
          <w:rFonts w:ascii="Traditional Arabic" w:hAnsi="Traditional Arabic" w:cs="Traditional Arabic"/>
          <w:sz w:val="30"/>
          <w:szCs w:val="30"/>
          <w:rtl/>
        </w:rPr>
        <w:t>تأسست مدرسة المحسنية في عام 1931 وكان يشار إليها عمومًا باسم "أول مدرسة في شبه الجزيرة العربية". ل</w:t>
      </w:r>
      <w:r w:rsidRPr="001017A1">
        <w:rPr>
          <w:rStyle w:val="fontstyle01"/>
          <w:rFonts w:ascii="Traditional Arabic" w:hAnsi="Traditional Arabic" w:cs="Traditional Arabic" w:hint="cs"/>
          <w:sz w:val="30"/>
          <w:szCs w:val="30"/>
          <w:rtl/>
        </w:rPr>
        <w:t>طالما</w:t>
      </w:r>
      <w:r w:rsidRPr="001017A1">
        <w:rPr>
          <w:rStyle w:val="fontstyle01"/>
          <w:rFonts w:ascii="Traditional Arabic" w:hAnsi="Traditional Arabic" w:cs="Traditional Arabic"/>
          <w:sz w:val="30"/>
          <w:szCs w:val="30"/>
          <w:rtl/>
        </w:rPr>
        <w:t xml:space="preserve"> اعت</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برت المحسنية واحدة من أعرق المدارس في اليمن وكانت أول مدرسة في المنطقة معتمدة </w:t>
      </w:r>
      <w:r w:rsidRPr="001017A1">
        <w:rPr>
          <w:rStyle w:val="fontstyle01"/>
          <w:rFonts w:ascii="Traditional Arabic" w:hAnsi="Traditional Arabic" w:cs="Traditional Arabic" w:hint="cs"/>
          <w:sz w:val="30"/>
          <w:szCs w:val="30"/>
          <w:rtl/>
        </w:rPr>
        <w:t>من جانب دولة</w:t>
      </w:r>
      <w:r w:rsidRPr="001017A1">
        <w:rPr>
          <w:rStyle w:val="fontstyle01"/>
          <w:rFonts w:ascii="Traditional Arabic" w:hAnsi="Traditional Arabic" w:cs="Traditional Arabic"/>
          <w:sz w:val="30"/>
          <w:szCs w:val="30"/>
          <w:rtl/>
        </w:rPr>
        <w:t xml:space="preserve"> مصر. تم تشييد المبنى في العشرين</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ات من القرن الماضي، وكان مصنوعًا من الصلصال، كما </w:t>
      </w:r>
      <w:r w:rsidRPr="001017A1">
        <w:rPr>
          <w:rStyle w:val="fontstyle01"/>
          <w:rFonts w:ascii="Traditional Arabic" w:hAnsi="Traditional Arabic" w:cs="Traditional Arabic" w:hint="cs"/>
          <w:sz w:val="30"/>
          <w:szCs w:val="30"/>
          <w:rtl/>
        </w:rPr>
        <w:t>يُعتبر</w:t>
      </w:r>
      <w:r w:rsidRPr="001017A1">
        <w:rPr>
          <w:rStyle w:val="fontstyle01"/>
          <w:rFonts w:ascii="Traditional Arabic" w:hAnsi="Traditional Arabic" w:cs="Traditional Arabic"/>
          <w:sz w:val="30"/>
          <w:szCs w:val="30"/>
          <w:rtl/>
        </w:rPr>
        <w:t xml:space="preserve"> نصب</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تذكاري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مهم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في م</w:t>
      </w:r>
      <w:r w:rsidRPr="001017A1">
        <w:rPr>
          <w:rStyle w:val="fontstyle01"/>
          <w:rFonts w:ascii="Traditional Arabic" w:hAnsi="Traditional Arabic" w:cs="Traditional Arabic" w:hint="cs"/>
          <w:sz w:val="30"/>
          <w:szCs w:val="30"/>
          <w:rtl/>
        </w:rPr>
        <w:t>حافظة</w:t>
      </w:r>
      <w:r w:rsidRPr="001017A1">
        <w:rPr>
          <w:rStyle w:val="fontstyle01"/>
          <w:rFonts w:ascii="Traditional Arabic" w:hAnsi="Traditional Arabic" w:cs="Traditional Arabic"/>
          <w:sz w:val="30"/>
          <w:szCs w:val="30"/>
          <w:rtl/>
        </w:rPr>
        <w:t xml:space="preserve"> لحج. </w:t>
      </w:r>
      <w:r w:rsidRPr="001017A1">
        <w:rPr>
          <w:rStyle w:val="fontstyle01"/>
          <w:rFonts w:ascii="Traditional Arabic" w:hAnsi="Traditional Arabic" w:cs="Traditional Arabic" w:hint="cs"/>
          <w:sz w:val="30"/>
          <w:szCs w:val="30"/>
          <w:rtl/>
        </w:rPr>
        <w:t xml:space="preserve">لكن </w:t>
      </w:r>
      <w:r w:rsidRPr="001017A1">
        <w:rPr>
          <w:rStyle w:val="fontstyle01"/>
          <w:rFonts w:ascii="Traditional Arabic" w:hAnsi="Traditional Arabic" w:cs="Traditional Arabic"/>
          <w:sz w:val="30"/>
          <w:szCs w:val="30"/>
          <w:rtl/>
        </w:rPr>
        <w:t xml:space="preserve">عندما بدأت الحرب </w:t>
      </w:r>
      <w:r w:rsidRPr="001017A1">
        <w:rPr>
          <w:rStyle w:val="fontstyle01"/>
          <w:rFonts w:ascii="Traditional Arabic" w:hAnsi="Traditional Arabic" w:cs="Traditional Arabic" w:hint="cs"/>
          <w:sz w:val="30"/>
          <w:szCs w:val="30"/>
          <w:rtl/>
        </w:rPr>
        <w:t xml:space="preserve">توقفت </w:t>
      </w:r>
      <w:r w:rsidRPr="001017A1">
        <w:rPr>
          <w:rStyle w:val="fontstyle01"/>
          <w:rFonts w:ascii="Traditional Arabic" w:hAnsi="Traditional Arabic" w:cs="Traditional Arabic"/>
          <w:sz w:val="30"/>
          <w:szCs w:val="30"/>
          <w:rtl/>
        </w:rPr>
        <w:t>المدرسة</w:t>
      </w:r>
      <w:r w:rsidRPr="001017A1">
        <w:rPr>
          <w:rStyle w:val="fontstyle01"/>
          <w:rFonts w:ascii="Traditional Arabic" w:hAnsi="Traditional Arabic" w:cs="Traditional Arabic" w:hint="cs"/>
          <w:sz w:val="30"/>
          <w:szCs w:val="30"/>
          <w:rtl/>
        </w:rPr>
        <w:t xml:space="preserve"> عن العمل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وقد سبق و</w:t>
      </w:r>
      <w:r w:rsidRPr="001017A1">
        <w:rPr>
          <w:rStyle w:val="fontstyle01"/>
          <w:rFonts w:ascii="Traditional Arabic" w:hAnsi="Traditional Arabic" w:cs="Traditional Arabic"/>
          <w:sz w:val="30"/>
          <w:szCs w:val="30"/>
          <w:rtl/>
        </w:rPr>
        <w:t xml:space="preserve">استضاف مبنى المدرسة إدارة الوزارة التعليمية في مديرية </w:t>
      </w:r>
      <w:r w:rsidRPr="001017A1">
        <w:rPr>
          <w:rStyle w:val="fontstyle01"/>
          <w:rFonts w:ascii="Traditional Arabic" w:hAnsi="Traditional Arabic" w:cs="Traditional Arabic" w:hint="cs"/>
          <w:sz w:val="30"/>
          <w:szCs w:val="30"/>
          <w:rtl/>
        </w:rPr>
        <w:t>تبن قبل أن ي</w:t>
      </w:r>
      <w:r w:rsidRPr="001017A1">
        <w:rPr>
          <w:rStyle w:val="fontstyle01"/>
          <w:rFonts w:ascii="Traditional Arabic" w:hAnsi="Traditional Arabic" w:cs="Traditional Arabic"/>
          <w:sz w:val="30"/>
          <w:szCs w:val="30"/>
          <w:rtl/>
        </w:rPr>
        <w:t xml:space="preserve">تم إخلاؤه لاحقًا. كان في حالة سيئة بسبب </w:t>
      </w:r>
      <w:r w:rsidRPr="001017A1">
        <w:rPr>
          <w:rStyle w:val="fontstyle01"/>
          <w:rFonts w:ascii="Traditional Arabic" w:hAnsi="Traditional Arabic" w:cs="Traditional Arabic" w:hint="cs"/>
          <w:sz w:val="30"/>
          <w:szCs w:val="30"/>
          <w:rtl/>
        </w:rPr>
        <w:t>غياب</w:t>
      </w:r>
      <w:r w:rsidRPr="001017A1">
        <w:rPr>
          <w:rStyle w:val="fontstyle01"/>
          <w:rFonts w:ascii="Traditional Arabic" w:hAnsi="Traditional Arabic" w:cs="Traditional Arabic"/>
          <w:sz w:val="30"/>
          <w:szCs w:val="30"/>
          <w:rtl/>
        </w:rPr>
        <w:t xml:space="preserve"> الصيانة و</w:t>
      </w:r>
      <w:r w:rsidRPr="001017A1">
        <w:rPr>
          <w:rStyle w:val="fontstyle01"/>
          <w:rFonts w:ascii="Traditional Arabic" w:hAnsi="Traditional Arabic" w:cs="Traditional Arabic" w:hint="cs"/>
          <w:sz w:val="30"/>
          <w:szCs w:val="30"/>
          <w:rtl/>
        </w:rPr>
        <w:t xml:space="preserve">عدم إدخال </w:t>
      </w:r>
      <w:r w:rsidRPr="001017A1">
        <w:rPr>
          <w:rStyle w:val="fontstyle01"/>
          <w:rFonts w:ascii="Traditional Arabic" w:hAnsi="Traditional Arabic" w:cs="Traditional Arabic"/>
          <w:sz w:val="30"/>
          <w:szCs w:val="30"/>
          <w:rtl/>
        </w:rPr>
        <w:t>التجديد المطلوب</w:t>
      </w:r>
      <w:r w:rsidRPr="00C927B2">
        <w:rPr>
          <w:rStyle w:val="FootnoteReference"/>
          <w:sz w:val="24"/>
          <w:szCs w:val="24"/>
          <w:lang w:eastAsia="en-GB"/>
        </w:rPr>
        <w:footnoteReference w:id="21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في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أبريل 2015، احتل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مباني المدرسة واستخدموها كواحدة من قواعدهم العسكرية</w:t>
      </w:r>
      <w:r w:rsidRPr="00C927B2">
        <w:rPr>
          <w:rStyle w:val="FootnoteReference"/>
          <w:sz w:val="24"/>
          <w:szCs w:val="24"/>
          <w:lang w:eastAsia="en-GB"/>
        </w:rPr>
        <w:footnoteReference w:id="213"/>
      </w:r>
      <w:r w:rsidRPr="00C927B2">
        <w:rPr>
          <w:rFonts w:asciiTheme="majorBidi" w:hAnsiTheme="majorBidi"/>
          <w:sz w:val="24"/>
          <w:szCs w:val="24"/>
          <w:rtl/>
        </w:rPr>
        <w:t>. ف</w:t>
      </w:r>
      <w:r w:rsidRPr="001017A1">
        <w:rPr>
          <w:rStyle w:val="fontstyle01"/>
          <w:rFonts w:ascii="Traditional Arabic" w:hAnsi="Traditional Arabic" w:cs="Traditional Arabic"/>
          <w:sz w:val="30"/>
          <w:szCs w:val="30"/>
          <w:rtl/>
        </w:rPr>
        <w:t xml:space="preserve">ي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يونيو، نفذت قوات التحالف غارة جوية ضرب</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المدرسة وسيارة </w:t>
      </w:r>
      <w:r w:rsidRPr="001017A1">
        <w:rPr>
          <w:rStyle w:val="fontstyle01"/>
          <w:rFonts w:ascii="Traditional Arabic" w:hAnsi="Traditional Arabic" w:cs="Traditional Arabic" w:hint="cs"/>
          <w:sz w:val="30"/>
          <w:szCs w:val="30"/>
          <w:rtl/>
        </w:rPr>
        <w:t>لقوات ال</w:t>
      </w:r>
      <w:r w:rsidRPr="001017A1">
        <w:rPr>
          <w:rStyle w:val="fontstyle01"/>
          <w:rFonts w:ascii="Traditional Arabic" w:hAnsi="Traditional Arabic" w:cs="Traditional Arabic"/>
          <w:sz w:val="30"/>
          <w:szCs w:val="30"/>
          <w:rtl/>
        </w:rPr>
        <w:t>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w:t>
      </w:r>
      <w:r w:rsidRPr="001017A1">
        <w:rPr>
          <w:rStyle w:val="fontstyle01"/>
          <w:rFonts w:ascii="Traditional Arabic" w:hAnsi="Traditional Arabic" w:cs="Traditional Arabic" w:hint="cs"/>
          <w:sz w:val="30"/>
          <w:szCs w:val="30"/>
          <w:rtl/>
        </w:rPr>
        <w:t>راكنة بالقرب منها</w:t>
      </w:r>
      <w:r w:rsidRPr="00C927B2">
        <w:rPr>
          <w:rStyle w:val="FootnoteReference"/>
          <w:sz w:val="24"/>
          <w:szCs w:val="24"/>
          <w:lang w:eastAsia="en-GB"/>
        </w:rPr>
        <w:footnoteReference w:id="214"/>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انهار المبنى بعد</w:t>
      </w:r>
      <w:r w:rsidRPr="001017A1">
        <w:rPr>
          <w:rStyle w:val="fontstyle01"/>
          <w:rFonts w:ascii="Traditional Arabic" w:hAnsi="Traditional Arabic" w:cs="Traditional Arabic" w:hint="cs"/>
          <w:sz w:val="30"/>
          <w:szCs w:val="30"/>
          <w:rtl/>
        </w:rPr>
        <w:t xml:space="preserve"> القصف الجوي</w:t>
      </w:r>
      <w:r w:rsidRPr="00C927B2">
        <w:rPr>
          <w:rStyle w:val="FootnoteReference"/>
          <w:sz w:val="24"/>
          <w:szCs w:val="24"/>
          <w:lang w:eastAsia="en-GB"/>
        </w:rPr>
        <w:footnoteReference w:id="215"/>
      </w:r>
      <w:r w:rsidRPr="00C927B2">
        <w:rPr>
          <w:rFonts w:asciiTheme="majorBidi" w:hAnsiTheme="majorBidi" w:cstheme="majorBidi"/>
          <w:sz w:val="24"/>
          <w:szCs w:val="24"/>
        </w:rPr>
        <w:t>.</w:t>
      </w:r>
    </w:p>
    <w:p w14:paraId="78B91E9C" w14:textId="77777777" w:rsidR="00967CB7" w:rsidRPr="001017A1" w:rsidRDefault="00967CB7" w:rsidP="00361237">
      <w:pPr>
        <w:pStyle w:val="NoSpacing"/>
        <w:tabs>
          <w:tab w:val="left" w:pos="720"/>
          <w:tab w:val="left" w:pos="1134"/>
          <w:tab w:val="left" w:pos="1701"/>
        </w:tabs>
        <w:bidi/>
        <w:spacing w:after="120" w:line="240" w:lineRule="atLeast"/>
        <w:ind w:left="1134" w:right="827"/>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قصرالسلطان</w:t>
      </w:r>
      <w:r w:rsidRPr="001017A1">
        <w:rPr>
          <w:rStyle w:val="fontstyle01"/>
          <w:rFonts w:ascii="Traditional Arabic" w:hAnsi="Traditional Arabic" w:cs="Traditional Arabic" w:hint="cs"/>
          <w:i/>
          <w:iCs/>
          <w:sz w:val="30"/>
          <w:szCs w:val="30"/>
          <w:rtl/>
        </w:rPr>
        <w:t>،</w:t>
      </w:r>
      <w:r w:rsidRPr="001017A1">
        <w:rPr>
          <w:rStyle w:val="fontstyle01"/>
          <w:rFonts w:ascii="Traditional Arabic" w:hAnsi="Traditional Arabic" w:cs="Traditional Arabic"/>
          <w:i/>
          <w:iCs/>
          <w:sz w:val="30"/>
          <w:szCs w:val="30"/>
          <w:rtl/>
        </w:rPr>
        <w:t xml:space="preserve"> دار الحجر</w:t>
      </w:r>
      <w:r w:rsidRPr="001017A1">
        <w:rPr>
          <w:rStyle w:val="fontstyle01"/>
          <w:rFonts w:ascii="Traditional Arabic" w:hAnsi="Traditional Arabic" w:cs="Traditional Arabic" w:hint="cs"/>
          <w:i/>
          <w:iCs/>
          <w:sz w:val="30"/>
          <w:szCs w:val="30"/>
          <w:rtl/>
        </w:rPr>
        <w:t>،</w:t>
      </w:r>
      <w:r w:rsidRPr="001017A1">
        <w:rPr>
          <w:rStyle w:val="fontstyle01"/>
          <w:rFonts w:ascii="Traditional Arabic" w:hAnsi="Traditional Arabic" w:cs="Traditional Arabic"/>
          <w:i/>
          <w:iCs/>
          <w:sz w:val="30"/>
          <w:szCs w:val="30"/>
          <w:rtl/>
        </w:rPr>
        <w:t xml:space="preserve"> الحوطة، محافظة لحج</w:t>
      </w:r>
    </w:p>
    <w:p w14:paraId="70D83C88"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i/>
          <w:iCs/>
          <w:sz w:val="24"/>
          <w:szCs w:val="24"/>
          <w:lang w:eastAsia="en-GB"/>
        </w:rPr>
      </w:pPr>
      <w:r w:rsidRPr="001017A1">
        <w:rPr>
          <w:rStyle w:val="fontstyle01"/>
          <w:rFonts w:ascii="Traditional Arabic" w:hAnsi="Traditional Arabic" w:cs="Traditional Arabic"/>
          <w:sz w:val="30"/>
          <w:szCs w:val="30"/>
          <w:rtl/>
        </w:rPr>
        <w:t>ي</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عد</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قصر السلطان في دار الحجر،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xml:space="preserve">الذي بناه السلطان عبد الكريم بن فضل العبدلي على الطراز الهندي القديم حوالي عام 1926، أحد المعالم الثقافية الرئيسية في محافظة لحج. في بداية هجوم عام 2015، احتل مقاتلو المقاومة القصر. بعد وصولهم لحج في نهاية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مارس 2015، قام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بقصف القصر باستخدام دبابة. احتلوا القصر في وقت لاحق، وأنشأوا موقعًا عسكريًا في </w:t>
      </w:r>
      <w:r w:rsidRPr="001017A1">
        <w:rPr>
          <w:rStyle w:val="fontstyle01"/>
          <w:rFonts w:ascii="Traditional Arabic" w:hAnsi="Traditional Arabic" w:cs="Traditional Arabic" w:hint="cs"/>
          <w:sz w:val="30"/>
          <w:szCs w:val="30"/>
          <w:rtl/>
        </w:rPr>
        <w:t>حرمه</w:t>
      </w:r>
      <w:r w:rsidRPr="001017A1">
        <w:rPr>
          <w:rStyle w:val="fontstyle01"/>
          <w:rFonts w:ascii="Traditional Arabic" w:hAnsi="Traditional Arabic" w:cs="Traditional Arabic"/>
          <w:sz w:val="30"/>
          <w:szCs w:val="30"/>
          <w:rtl/>
        </w:rPr>
        <w:t>، ونشروا القناصة</w:t>
      </w:r>
      <w:r w:rsidRPr="00C927B2">
        <w:rPr>
          <w:rStyle w:val="FootnoteReference"/>
          <w:sz w:val="24"/>
          <w:szCs w:val="24"/>
          <w:lang w:eastAsia="en-GB"/>
        </w:rPr>
        <w:footnoteReference w:id="216"/>
      </w:r>
      <w:r w:rsidRPr="00C927B2">
        <w:rPr>
          <w:rFonts w:asciiTheme="majorBidi" w:hAnsiTheme="majorBidi"/>
          <w:sz w:val="24"/>
          <w:szCs w:val="24"/>
          <w:rtl/>
          <w:lang w:eastAsia="en-GB"/>
        </w:rPr>
        <w:t xml:space="preserve">. </w:t>
      </w:r>
      <w:r w:rsidRPr="001017A1">
        <w:rPr>
          <w:rStyle w:val="fontstyle01"/>
          <w:rFonts w:ascii="Traditional Arabic" w:hAnsi="Traditional Arabic" w:cs="Traditional Arabic"/>
          <w:sz w:val="30"/>
          <w:szCs w:val="30"/>
          <w:rtl/>
        </w:rPr>
        <w:t>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 ضرب القصر والقتال داخل المباني وحولها في أضرار </w:t>
      </w:r>
      <w:r w:rsidRPr="001017A1">
        <w:rPr>
          <w:rStyle w:val="fontstyle01"/>
          <w:rFonts w:ascii="Traditional Arabic" w:hAnsi="Traditional Arabic" w:cs="Traditional Arabic" w:hint="cs"/>
          <w:sz w:val="30"/>
          <w:szCs w:val="30"/>
          <w:rtl/>
        </w:rPr>
        <w:t>في ال</w:t>
      </w:r>
      <w:r w:rsidRPr="001017A1">
        <w:rPr>
          <w:rStyle w:val="fontstyle01"/>
          <w:rFonts w:ascii="Traditional Arabic" w:hAnsi="Traditional Arabic" w:cs="Traditional Arabic"/>
          <w:sz w:val="30"/>
          <w:szCs w:val="30"/>
          <w:rtl/>
        </w:rPr>
        <w:t xml:space="preserve">مبنى. لم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حدث أي إعادة إعمار ويمكن ملاحظة الضرر على الصور الحديثة للقصر</w:t>
      </w:r>
      <w:r w:rsidRPr="00C927B2">
        <w:rPr>
          <w:rStyle w:val="FootnoteReference"/>
          <w:sz w:val="24"/>
          <w:szCs w:val="24"/>
          <w:shd w:val="clear" w:color="auto" w:fill="F6F6F6"/>
        </w:rPr>
        <w:footnoteReference w:id="217"/>
      </w:r>
      <w:r w:rsidRPr="00C927B2">
        <w:rPr>
          <w:rFonts w:asciiTheme="majorBidi" w:hAnsiTheme="majorBidi" w:cstheme="majorBidi"/>
          <w:sz w:val="24"/>
          <w:szCs w:val="24"/>
          <w:lang w:eastAsia="en-GB"/>
        </w:rPr>
        <w:t>.</w:t>
      </w:r>
    </w:p>
    <w:p w14:paraId="329722F8" w14:textId="2ABA436F" w:rsidR="00967CB7" w:rsidRPr="001017A1" w:rsidRDefault="00C30223" w:rsidP="00C30223">
      <w:pPr>
        <w:pStyle w:val="NoSpacing"/>
        <w:tabs>
          <w:tab w:val="left" w:pos="720"/>
          <w:tab w:val="left" w:pos="1134"/>
        </w:tabs>
        <w:bidi/>
        <w:spacing w:after="240"/>
        <w:ind w:right="827" w:firstLine="756"/>
        <w:rPr>
          <w:rStyle w:val="fontstyle01"/>
          <w:rFonts w:ascii="Traditional Arabic" w:hAnsi="Traditional Arabic" w:cs="Traditional Arabic"/>
          <w:i/>
          <w:iCs/>
          <w:sz w:val="30"/>
          <w:szCs w:val="30"/>
        </w:rPr>
      </w:pPr>
      <w:r>
        <w:rPr>
          <w:rStyle w:val="fontstyle01"/>
          <w:rFonts w:ascii="Traditional Arabic" w:hAnsi="Traditional Arabic" w:cs="Traditional Arabic"/>
          <w:i/>
          <w:iCs/>
          <w:sz w:val="30"/>
          <w:szCs w:val="30"/>
        </w:rPr>
        <w:tab/>
      </w:r>
      <w:r w:rsidR="00967CB7" w:rsidRPr="001017A1">
        <w:rPr>
          <w:rStyle w:val="fontstyle01"/>
          <w:rFonts w:ascii="Traditional Arabic" w:hAnsi="Traditional Arabic" w:cs="Traditional Arabic"/>
          <w:i/>
          <w:iCs/>
          <w:sz w:val="30"/>
          <w:szCs w:val="30"/>
        </w:rPr>
        <w:t xml:space="preserve"> </w:t>
      </w:r>
      <w:r w:rsidR="00967CB7" w:rsidRPr="001017A1">
        <w:rPr>
          <w:rStyle w:val="fontstyle01"/>
          <w:rFonts w:ascii="Traditional Arabic" w:hAnsi="Traditional Arabic" w:cs="Traditional Arabic"/>
          <w:i/>
          <w:iCs/>
          <w:sz w:val="30"/>
          <w:szCs w:val="30"/>
          <w:rtl/>
        </w:rPr>
        <w:t>كلية ناصر للعلوم الزراعية ، الحوطة ، محافظة لحج</w:t>
      </w:r>
    </w:p>
    <w:p w14:paraId="6B255DC8" w14:textId="4E09D5B4" w:rsidR="00967CB7" w:rsidRPr="00E70C00"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heme="majorBidi" w:hAnsiTheme="majorBidi" w:cstheme="majorBidi"/>
          <w:color w:val="auto"/>
          <w:sz w:val="24"/>
          <w:szCs w:val="24"/>
        </w:rPr>
      </w:pPr>
      <w:r w:rsidRPr="001017A1">
        <w:rPr>
          <w:rStyle w:val="fontstyle01"/>
          <w:rFonts w:ascii="Traditional Arabic" w:hAnsi="Traditional Arabic" w:cs="Traditional Arabic"/>
          <w:sz w:val="30"/>
          <w:szCs w:val="30"/>
          <w:rtl/>
        </w:rPr>
        <w:t>بنيت كلية ناصر للعلوم الزراعية في الأربعينيات. في عام 1976 تبر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 السلطان علي عبد الكريم بالمبنى لجامعة عدن لاستخدامه كمركز للبحوث والمعرفة الزراعية. في بداية هجوم عام 2015، سيطر مقاتلو المقاومة الجنوبية على المنطقة المحيطة بالكلية. عندما وصل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الحوطة، في نهاية آذار/ مارس</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2015، قصفوا المبنى واحتلوه، مما دفع </w:t>
      </w:r>
      <w:r w:rsidRPr="001017A1">
        <w:rPr>
          <w:rStyle w:val="fontstyle01"/>
          <w:rFonts w:ascii="Traditional Arabic" w:hAnsi="Traditional Arabic" w:cs="Traditional Arabic" w:hint="cs"/>
          <w:sz w:val="30"/>
          <w:szCs w:val="30"/>
          <w:rtl/>
        </w:rPr>
        <w:t xml:space="preserve">قوات </w:t>
      </w:r>
      <w:r w:rsidRPr="001017A1">
        <w:rPr>
          <w:rStyle w:val="fontstyle01"/>
          <w:rFonts w:ascii="Traditional Arabic" w:hAnsi="Traditional Arabic" w:cs="Traditional Arabic"/>
          <w:sz w:val="30"/>
          <w:szCs w:val="30"/>
          <w:rtl/>
        </w:rPr>
        <w:t>المقاومة الجنوبية إلى الفرار</w:t>
      </w:r>
      <w:r w:rsidRPr="00C927B2">
        <w:rPr>
          <w:rStyle w:val="FootnoteReference"/>
          <w:sz w:val="24"/>
          <w:szCs w:val="24"/>
          <w:lang w:eastAsia="en-GB"/>
        </w:rPr>
        <w:footnoteReference w:id="21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استخدم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المبنى كموقع عسكري، وأقاموا مواقع لإطلاق النار حيث قاموا </w:t>
      </w:r>
      <w:r w:rsidRPr="001017A1">
        <w:rPr>
          <w:rStyle w:val="fontstyle01"/>
          <w:rFonts w:ascii="Traditional Arabic" w:hAnsi="Traditional Arabic" w:cs="Traditional Arabic" w:hint="cs"/>
          <w:sz w:val="30"/>
          <w:szCs w:val="30"/>
          <w:rtl/>
        </w:rPr>
        <w:t>بتوضيع</w:t>
      </w:r>
      <w:r w:rsidRPr="001017A1">
        <w:rPr>
          <w:rStyle w:val="fontstyle01"/>
          <w:rFonts w:ascii="Traditional Arabic" w:hAnsi="Traditional Arabic" w:cs="Traditional Arabic"/>
          <w:sz w:val="30"/>
          <w:szCs w:val="30"/>
          <w:rtl/>
        </w:rPr>
        <w:t xml:space="preserve"> قاذفة الصواريخ الخاصة بهم، وقاموا بتخزين أسلحتهم في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مقر</w:t>
      </w:r>
      <w:r w:rsidRPr="00C927B2">
        <w:rPr>
          <w:rStyle w:val="FootnoteReference"/>
          <w:sz w:val="24"/>
          <w:szCs w:val="24"/>
          <w:lang w:eastAsia="en-GB"/>
        </w:rPr>
        <w:footnoteReference w:id="219"/>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تضررت الكلية </w:t>
      </w:r>
      <w:r>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 xml:space="preserve">الشظايا </w:t>
      </w:r>
      <w:r>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 xml:space="preserve">الرصاص التي أطلقها مقاتلو </w:t>
      </w:r>
      <w:r w:rsidRPr="001017A1">
        <w:rPr>
          <w:rStyle w:val="fontstyle01"/>
          <w:rFonts w:ascii="Traditional Arabic" w:hAnsi="Traditional Arabic" w:cs="Traditional Arabic"/>
          <w:sz w:val="30"/>
          <w:szCs w:val="30"/>
          <w:rtl/>
        </w:rPr>
        <w:lastRenderedPageBreak/>
        <w:t>الحوثي</w:t>
      </w:r>
      <w:r w:rsidRPr="001017A1">
        <w:rPr>
          <w:rStyle w:val="fontstyle01"/>
          <w:rFonts w:ascii="Traditional Arabic" w:hAnsi="Traditional Arabic" w:cs="Traditional Arabic" w:hint="cs"/>
          <w:sz w:val="30"/>
          <w:szCs w:val="30"/>
          <w:rtl/>
        </w:rPr>
        <w:t>ين-</w:t>
      </w:r>
      <w:r w:rsidRPr="001017A1">
        <w:rPr>
          <w:rStyle w:val="fontstyle01"/>
          <w:rFonts w:ascii="Traditional Arabic" w:hAnsi="Traditional Arabic" w:cs="Traditional Arabic"/>
          <w:sz w:val="30"/>
          <w:szCs w:val="30"/>
          <w:rtl/>
        </w:rPr>
        <w:t xml:space="preserve"> صالح</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20"/>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بعد التجديد، </w:t>
      </w:r>
      <w:r w:rsidRPr="001017A1">
        <w:rPr>
          <w:rStyle w:val="fontstyle01"/>
          <w:rFonts w:ascii="Traditional Arabic" w:hAnsi="Traditional Arabic" w:cs="Traditional Arabic" w:hint="cs"/>
          <w:sz w:val="30"/>
          <w:szCs w:val="30"/>
          <w:rtl/>
        </w:rPr>
        <w:t>تحوّل</w:t>
      </w:r>
      <w:r w:rsidRPr="001017A1">
        <w:rPr>
          <w:rStyle w:val="fontstyle01"/>
          <w:rFonts w:ascii="Traditional Arabic" w:hAnsi="Traditional Arabic" w:cs="Traditional Arabic"/>
          <w:sz w:val="30"/>
          <w:szCs w:val="30"/>
          <w:rtl/>
        </w:rPr>
        <w:t xml:space="preserve"> المبنى حاليًا </w:t>
      </w:r>
      <w:r w:rsidRPr="001017A1">
        <w:rPr>
          <w:rStyle w:val="fontstyle01"/>
          <w:rFonts w:ascii="Traditional Arabic" w:hAnsi="Traditional Arabic" w:cs="Traditional Arabic" w:hint="cs"/>
          <w:sz w:val="30"/>
          <w:szCs w:val="30"/>
          <w:rtl/>
        </w:rPr>
        <w:t xml:space="preserve">الى </w:t>
      </w:r>
      <w:r w:rsidRPr="001017A1">
        <w:rPr>
          <w:rStyle w:val="fontstyle01"/>
          <w:rFonts w:ascii="Traditional Arabic" w:hAnsi="Traditional Arabic" w:cs="Traditional Arabic"/>
          <w:sz w:val="30"/>
          <w:szCs w:val="30"/>
          <w:rtl/>
        </w:rPr>
        <w:t>كلية للبحوث الزراعية بجامعة عدن</w:t>
      </w:r>
      <w:r w:rsidRPr="001017A1">
        <w:rPr>
          <w:rStyle w:val="fontstyle01"/>
          <w:rFonts w:ascii="Traditional Arabic" w:hAnsi="Traditional Arabic" w:cs="Traditional Arabic" w:hint="cs"/>
          <w:sz w:val="30"/>
          <w:szCs w:val="30"/>
          <w:rtl/>
        </w:rPr>
        <w:t>.</w:t>
      </w:r>
      <w:r w:rsidRPr="00C927B2">
        <w:rPr>
          <w:rStyle w:val="FootnoteReference"/>
          <w:sz w:val="24"/>
          <w:szCs w:val="24"/>
        </w:rPr>
        <w:footnoteReference w:id="221"/>
      </w:r>
    </w:p>
    <w:p w14:paraId="138BABC2" w14:textId="77777777" w:rsidR="00967CB7" w:rsidRPr="001017A1" w:rsidRDefault="00967CB7" w:rsidP="00361237">
      <w:pPr>
        <w:pStyle w:val="NoSpacing"/>
        <w:tabs>
          <w:tab w:val="left" w:pos="720"/>
          <w:tab w:val="left" w:pos="1134"/>
        </w:tabs>
        <w:bidi/>
        <w:spacing w:after="240"/>
        <w:ind w:right="827" w:firstLine="756"/>
        <w:rPr>
          <w:rStyle w:val="fontstyle01"/>
          <w:rFonts w:ascii="Traditional Arabic" w:hAnsi="Traditional Arabic" w:cs="Traditional Arabic"/>
          <w:i/>
          <w:iCs/>
          <w:sz w:val="30"/>
          <w:szCs w:val="30"/>
          <w:rtl/>
        </w:rPr>
      </w:pPr>
      <w:r>
        <w:rPr>
          <w:rStyle w:val="fontstyle01"/>
          <w:rFonts w:ascii="Traditional Arabic" w:hAnsi="Traditional Arabic" w:cs="Traditional Arabic"/>
          <w:i/>
          <w:iCs/>
          <w:sz w:val="30"/>
          <w:szCs w:val="30"/>
          <w:rtl/>
        </w:rPr>
        <w:tab/>
      </w:r>
      <w:r w:rsidRPr="001017A1">
        <w:rPr>
          <w:rStyle w:val="fontstyle01"/>
          <w:rFonts w:ascii="Traditional Arabic" w:hAnsi="Traditional Arabic" w:cs="Traditional Arabic" w:hint="cs"/>
          <w:i/>
          <w:iCs/>
          <w:sz w:val="30"/>
          <w:szCs w:val="30"/>
          <w:rtl/>
        </w:rPr>
        <w:t>الانتهاكات</w:t>
      </w:r>
    </w:p>
    <w:p w14:paraId="7048ECBE" w14:textId="202AC4CB" w:rsidR="00967CB7" w:rsidRDefault="00967CB7" w:rsidP="00C44B69">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تُعتبر المنشآت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والكيانات الثقافية</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بصفتها 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مدنية</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محمية 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ولكن، بمجرد 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فإنها 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w:t>
      </w:r>
      <w:r w:rsidR="00F80B8C">
        <w:rPr>
          <w:rStyle w:val="fontstyle01"/>
          <w:rFonts w:ascii="Traditional Arabic" w:hAnsi="Traditional Arabic" w:cs="Traditional Arabic" w:hint="cs"/>
          <w:sz w:val="30"/>
          <w:szCs w:val="30"/>
          <w:rtl/>
        </w:rPr>
        <w:t xml:space="preserve">قد </w:t>
      </w:r>
      <w:r w:rsidRPr="001017A1">
        <w:rPr>
          <w:rStyle w:val="fontstyle01"/>
          <w:rFonts w:ascii="Traditional Arabic" w:hAnsi="Traditional Arabic" w:cs="Traditional Arabic" w:hint="cs"/>
          <w:sz w:val="30"/>
          <w:szCs w:val="30"/>
          <w:rtl/>
        </w:rPr>
        <w:t>تصبح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مشروعة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اتخاذ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الممكنة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الخاضعة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لسيطرتها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آثار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w:t>
      </w:r>
      <w:r w:rsidR="000F33EC">
        <w:rPr>
          <w:rStyle w:val="FootnoteReference"/>
          <w:rFonts w:cs="Traditional Arabic"/>
          <w:color w:val="000000"/>
          <w:szCs w:val="30"/>
          <w:rtl/>
        </w:rPr>
        <w:footnoteReference w:id="222"/>
      </w:r>
      <w:r w:rsidRPr="00020339">
        <w:rPr>
          <w:rtl/>
        </w:rPr>
        <w:t xml:space="preserve"> </w:t>
      </w:r>
      <w:r w:rsidRPr="00020339">
        <w:rPr>
          <w:rStyle w:val="fontstyle01"/>
          <w:rFonts w:ascii="Traditional Arabic" w:hAnsi="Traditional Arabic" w:cs="Traditional Arabic"/>
          <w:color w:val="auto"/>
          <w:sz w:val="30"/>
          <w:szCs w:val="30"/>
          <w:rtl/>
        </w:rPr>
        <w:t>وعلى وجه الخصوص، يجب عليها أن تتجنب تحديد مواقع الأهداف العسكرية داخل المناطق المكتظة بالسكان أو بالقرب منها</w:t>
      </w:r>
      <w:r w:rsidRPr="001017A1">
        <w:rPr>
          <w:rStyle w:val="fontstyle01"/>
          <w:rFonts w:ascii="Traditional Arabic" w:hAnsi="Traditional Arabic" w:cs="Traditional Arabic"/>
          <w:sz w:val="30"/>
          <w:szCs w:val="30"/>
          <w:rtl/>
        </w:rPr>
        <w:t>.</w:t>
      </w:r>
      <w:r w:rsidR="000F33EC">
        <w:rPr>
          <w:rStyle w:val="FootnoteReference"/>
          <w:rFonts w:cs="Traditional Arabic"/>
          <w:color w:val="000000"/>
          <w:szCs w:val="30"/>
          <w:rtl/>
        </w:rPr>
        <w:footnoteReference w:id="223"/>
      </w:r>
      <w:r w:rsidRPr="00020339">
        <w:rPr>
          <w:rtl/>
        </w:rPr>
        <w:t xml:space="preserve"> </w:t>
      </w:r>
      <w:r w:rsidRPr="00020339">
        <w:rPr>
          <w:rStyle w:val="fontstyle01"/>
          <w:rFonts w:ascii="Traditional Arabic" w:hAnsi="Traditional Arabic" w:cs="Traditional Arabic"/>
          <w:color w:val="auto"/>
          <w:sz w:val="30"/>
          <w:szCs w:val="30"/>
          <w:rtl/>
        </w:rPr>
        <w:t xml:space="preserve">وقد يشكل استخدام هذه </w:t>
      </w:r>
      <w:r>
        <w:rPr>
          <w:rStyle w:val="fontstyle01"/>
          <w:rFonts w:ascii="Traditional Arabic" w:hAnsi="Traditional Arabic" w:cs="Traditional Arabic" w:hint="cs"/>
          <w:sz w:val="30"/>
          <w:szCs w:val="30"/>
          <w:rtl/>
        </w:rPr>
        <w:t>الاعيان</w:t>
      </w:r>
      <w:r w:rsidRPr="00020339">
        <w:rPr>
          <w:rStyle w:val="fontstyle01"/>
          <w:rFonts w:ascii="Traditional Arabic" w:hAnsi="Traditional Arabic" w:cs="Traditional Arabic"/>
          <w:color w:val="auto"/>
          <w:sz w:val="30"/>
          <w:szCs w:val="30"/>
          <w:rtl/>
        </w:rPr>
        <w:t xml:space="preserve"> لأغراض عسكرية انتهاكا لهذه القاعدة، فضلا عن الحماية المحددة التي يحق للممتلكات الثقافية التمتع بها بموجب القانون الدولي</w:t>
      </w:r>
      <w:r w:rsidR="00C44B69">
        <w:rPr>
          <w:rStyle w:val="fontstyle01"/>
          <w:rFonts w:ascii="Traditional Arabic" w:hAnsi="Traditional Arabic" w:cs="Traditional Arabic"/>
          <w:color w:val="auto"/>
          <w:sz w:val="30"/>
          <w:szCs w:val="30"/>
        </w:rPr>
        <w:t>.</w:t>
      </w:r>
    </w:p>
    <w:p w14:paraId="38AF28DD" w14:textId="7DB2AB95"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تُعتبر 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محمية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المسلحة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احترام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توخي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الحذر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لتفادي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إلحاق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عملياتها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w:t>
      </w:r>
      <w:r w:rsidRPr="00B61593">
        <w:rPr>
          <w:rStyle w:val="FootnoteReference"/>
        </w:rPr>
        <w:t xml:space="preserve"> </w:t>
      </w:r>
      <w:r>
        <w:rPr>
          <w:rStyle w:val="FootnoteReference"/>
        </w:rPr>
        <w:footnoteReference w:id="224"/>
      </w:r>
      <w:r w:rsidRPr="00ED4199">
        <w:rPr>
          <w:rtl/>
        </w:rPr>
        <w:t xml:space="preserve"> </w:t>
      </w:r>
      <w:r w:rsidRPr="001017A1">
        <w:rPr>
          <w:rStyle w:val="fontstyle01"/>
          <w:rFonts w:ascii="Traditional Arabic" w:hAnsi="Traditional Arabic" w:cs="Traditional Arabic" w:hint="cs"/>
          <w:sz w:val="30"/>
          <w:szCs w:val="30"/>
          <w:rtl/>
        </w:rPr>
        <w:t>ومع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يمكن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مهاجمة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الضرورة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الرغم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اتفاقية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لاهاي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لعام</w:t>
      </w:r>
      <w:r w:rsidRPr="001017A1">
        <w:rPr>
          <w:rStyle w:val="fontstyle01"/>
          <w:rFonts w:ascii="Traditional Arabic" w:hAnsi="Traditional Arabic" w:cs="Traditional Arabic"/>
          <w:sz w:val="30"/>
          <w:szCs w:val="30"/>
          <w:rtl/>
        </w:rPr>
        <w:t xml:space="preserve"> 1954 </w:t>
      </w:r>
      <w:r w:rsidR="00F80B8C">
        <w:rPr>
          <w:rStyle w:val="fontstyle01"/>
          <w:rFonts w:ascii="Traditional Arabic" w:hAnsi="Traditional Arabic" w:cs="Traditional Arabic" w:hint="cs"/>
          <w:sz w:val="30"/>
          <w:szCs w:val="30"/>
          <w:rtl/>
        </w:rPr>
        <w:t xml:space="preserve">وبروتوكولها الثاني </w:t>
      </w:r>
      <w:r w:rsidRPr="001017A1">
        <w:rPr>
          <w:rStyle w:val="fontstyle01"/>
          <w:rFonts w:ascii="Traditional Arabic" w:hAnsi="Traditional Arabic" w:cs="Traditional Arabic" w:hint="cs"/>
          <w:sz w:val="30"/>
          <w:szCs w:val="30"/>
          <w:rtl/>
        </w:rPr>
        <w:t>توفر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ضمانات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إضافية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الصدد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التحليل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المخصص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الموضحة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أعلاه،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يوجد 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مقاتلي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الحوثيين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وقوات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المقاومة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قاموا بانتهاك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عبر 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الممتلكات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الثقافية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تدميرها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كليًا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جزئيًا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قِبل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 أخرى 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w:t>
      </w:r>
    </w:p>
    <w:p w14:paraId="32BF793B" w14:textId="4811AC4E" w:rsidR="00967CB7" w:rsidRPr="003E621C" w:rsidRDefault="00967CB7" w:rsidP="00F80B8C">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sidRPr="001017A1">
        <w:rPr>
          <w:rStyle w:val="fontstyle01"/>
          <w:rFonts w:ascii="Traditional Arabic" w:hAnsi="Traditional Arabic" w:cs="Traditional Arabic" w:hint="cs"/>
          <w:sz w:val="30"/>
          <w:szCs w:val="30"/>
          <w:rtl/>
        </w:rPr>
        <w:t>في 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والمرافق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الأخرى،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 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انتهكت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00F80B8C">
        <w:rPr>
          <w:rStyle w:val="fontstyle01"/>
          <w:rFonts w:ascii="Traditional Arabic" w:hAnsi="Traditional Arabic" w:cs="Traditional Arabic" w:hint="cs"/>
          <w:sz w:val="30"/>
          <w:szCs w:val="30"/>
          <w:rtl/>
        </w:rPr>
        <w:t xml:space="preserve">ضد تأثير الهجوم </w:t>
      </w:r>
      <w:r w:rsidRPr="001017A1">
        <w:rPr>
          <w:rStyle w:val="fontstyle01"/>
          <w:rFonts w:ascii="Traditional Arabic" w:hAnsi="Traditional Arabic" w:cs="Traditional Arabic" w:hint="cs"/>
          <w:sz w:val="30"/>
          <w:szCs w:val="30"/>
          <w:rtl/>
        </w:rPr>
        <w:t>عند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ربما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انتهكت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عدم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وضوح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المدارس</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احتلالها، 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تكون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دون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التعليم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النحو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الذي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يكفله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حقوق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w:t>
      </w:r>
      <w:r w:rsidRPr="00ED4199">
        <w:rPr>
          <w:rFonts w:asciiTheme="majorBidi" w:hAnsiTheme="majorBidi"/>
          <w:sz w:val="24"/>
          <w:szCs w:val="24"/>
          <w:rtl/>
        </w:rPr>
        <w:t>.</w:t>
      </w:r>
      <w:r w:rsidRPr="00E71054">
        <w:rPr>
          <w:rFonts w:asciiTheme="majorBidi" w:hAnsiTheme="majorBidi" w:cstheme="majorBidi"/>
          <w:sz w:val="20"/>
          <w:vertAlign w:val="superscript"/>
        </w:rPr>
        <w:footnoteReference w:id="225"/>
      </w:r>
    </w:p>
    <w:p w14:paraId="769AA931" w14:textId="19B6738D" w:rsidR="00967CB7" w:rsidRPr="00EE3E94" w:rsidRDefault="00914173" w:rsidP="00914173">
      <w:pPr>
        <w:pStyle w:val="NoSpacing"/>
        <w:tabs>
          <w:tab w:val="left" w:pos="999"/>
        </w:tabs>
        <w:bidi/>
        <w:spacing w:after="120" w:line="240" w:lineRule="atLeast"/>
        <w:ind w:right="827"/>
        <w:jc w:val="both"/>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sz w:val="30"/>
          <w:szCs w:val="30"/>
        </w:rPr>
        <w:tab/>
      </w:r>
      <w:r w:rsidR="00967CB7" w:rsidRPr="00EE3E94">
        <w:rPr>
          <w:rStyle w:val="fontstyle01"/>
          <w:rFonts w:ascii="Traditional Arabic" w:eastAsia="Times New Roman" w:hAnsi="Traditional Arabic" w:cs="Traditional Arabic" w:hint="cs"/>
          <w:b/>
          <w:bCs/>
          <w:sz w:val="30"/>
          <w:szCs w:val="30"/>
          <w:rtl/>
        </w:rPr>
        <w:t>و</w:t>
      </w:r>
      <w:r w:rsidR="00967CB7" w:rsidRPr="00EE3E94">
        <w:rPr>
          <w:rStyle w:val="fontstyle01"/>
          <w:rFonts w:ascii="Traditional Arabic" w:eastAsia="Times New Roman" w:hAnsi="Traditional Arabic" w:cs="Traditional Arabic"/>
          <w:b/>
          <w:bCs/>
          <w:sz w:val="30"/>
          <w:szCs w:val="30"/>
          <w:rtl/>
        </w:rPr>
        <w:t xml:space="preserve">) </w:t>
      </w:r>
      <w:r w:rsidR="00967CB7" w:rsidRPr="00EE3E94">
        <w:rPr>
          <w:rStyle w:val="fontstyle01"/>
          <w:rFonts w:ascii="Traditional Arabic" w:eastAsia="Times New Roman" w:hAnsi="Traditional Arabic" w:cs="Traditional Arabic" w:hint="cs"/>
          <w:b/>
          <w:bCs/>
          <w:sz w:val="30"/>
          <w:szCs w:val="30"/>
          <w:rtl/>
        </w:rPr>
        <w:t>قصف</w:t>
      </w:r>
      <w:r w:rsidR="00967CB7" w:rsidRPr="00EE3E94">
        <w:rPr>
          <w:rStyle w:val="fontstyle01"/>
          <w:rFonts w:ascii="Traditional Arabic" w:eastAsia="Times New Roman" w:hAnsi="Traditional Arabic" w:cs="Traditional Arabic"/>
          <w:b/>
          <w:bCs/>
          <w:sz w:val="30"/>
          <w:szCs w:val="30"/>
          <w:rtl/>
        </w:rPr>
        <w:t xml:space="preserve"> جوي </w:t>
      </w:r>
      <w:r w:rsidR="00967CB7" w:rsidRPr="00EE3E94">
        <w:rPr>
          <w:rStyle w:val="fontstyle01"/>
          <w:rFonts w:ascii="Traditional Arabic" w:eastAsia="Times New Roman" w:hAnsi="Traditional Arabic" w:cs="Traditional Arabic" w:hint="cs"/>
          <w:b/>
          <w:bCs/>
          <w:sz w:val="30"/>
          <w:szCs w:val="30"/>
          <w:rtl/>
        </w:rPr>
        <w:t xml:space="preserve">نفّذه التحالف تضرر على إثره أماكن </w:t>
      </w:r>
      <w:r w:rsidR="00967CB7" w:rsidRPr="00EE3E94">
        <w:rPr>
          <w:rStyle w:val="fontstyle01"/>
          <w:rFonts w:ascii="Traditional Arabic" w:eastAsia="Times New Roman" w:hAnsi="Traditional Arabic" w:cs="Traditional Arabic"/>
          <w:b/>
          <w:bCs/>
          <w:sz w:val="30"/>
          <w:szCs w:val="30"/>
          <w:rtl/>
        </w:rPr>
        <w:t>مدنية و</w:t>
      </w:r>
      <w:r w:rsidR="00967CB7" w:rsidRPr="00EE3E94">
        <w:rPr>
          <w:rStyle w:val="fontstyle01"/>
          <w:rFonts w:ascii="Traditional Arabic" w:eastAsia="Times New Roman" w:hAnsi="Traditional Arabic" w:cs="Traditional Arabic" w:hint="cs"/>
          <w:b/>
          <w:bCs/>
          <w:sz w:val="30"/>
          <w:szCs w:val="30"/>
          <w:rtl/>
        </w:rPr>
        <w:t xml:space="preserve">مركز ثقافي </w:t>
      </w:r>
    </w:p>
    <w:p w14:paraId="2659B80F" w14:textId="5D9026BC" w:rsidR="00967CB7" w:rsidRPr="001017A1" w:rsidRDefault="00967CB7" w:rsidP="00084F50">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قام فريق الخبراء بتوثيق أربعة أمثلة للغارات الجوية التي شنتها قوات التحالف خلال هجوم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صالح في عام 2015 على الم</w:t>
      </w:r>
      <w:r w:rsidRPr="001017A1">
        <w:rPr>
          <w:rStyle w:val="fontstyle01"/>
          <w:rFonts w:ascii="Traditional Arabic" w:hAnsi="Traditional Arabic" w:cs="Traditional Arabic" w:hint="cs"/>
          <w:sz w:val="30"/>
          <w:szCs w:val="30"/>
          <w:rtl/>
        </w:rPr>
        <w:t>حافظات</w:t>
      </w:r>
      <w:r w:rsidRPr="001017A1">
        <w:rPr>
          <w:rStyle w:val="fontstyle01"/>
          <w:rFonts w:ascii="Traditional Arabic" w:hAnsi="Traditional Arabic" w:cs="Traditional Arabic"/>
          <w:sz w:val="30"/>
          <w:szCs w:val="30"/>
          <w:rtl/>
        </w:rPr>
        <w:t xml:space="preserve"> الجنوبية، </w:t>
      </w:r>
      <w:r w:rsidRPr="001017A1">
        <w:rPr>
          <w:rStyle w:val="fontstyle01"/>
          <w:rFonts w:ascii="Traditional Arabic" w:hAnsi="Traditional Arabic" w:cs="Traditional Arabic" w:hint="cs"/>
          <w:sz w:val="30"/>
          <w:szCs w:val="30"/>
          <w:rtl/>
        </w:rPr>
        <w:t>حيث</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ضربت</w:t>
      </w:r>
      <w:r w:rsidRPr="001017A1">
        <w:rPr>
          <w:rStyle w:val="fontstyle01"/>
          <w:rFonts w:ascii="Traditional Arabic" w:hAnsi="Traditional Arabic" w:cs="Traditional Arabic"/>
          <w:sz w:val="30"/>
          <w:szCs w:val="30"/>
          <w:rtl/>
        </w:rPr>
        <w:t xml:space="preserve"> أ</w:t>
      </w:r>
      <w:r w:rsidRPr="001017A1">
        <w:rPr>
          <w:rStyle w:val="fontstyle01"/>
          <w:rFonts w:ascii="Traditional Arabic" w:hAnsi="Traditional Arabic" w:cs="Traditional Arabic" w:hint="cs"/>
          <w:sz w:val="30"/>
          <w:szCs w:val="30"/>
          <w:rtl/>
        </w:rPr>
        <w:t xml:space="preserve">ماكن </w:t>
      </w:r>
      <w:r w:rsidRPr="001017A1">
        <w:rPr>
          <w:rStyle w:val="fontstyle01"/>
          <w:rFonts w:ascii="Traditional Arabic" w:hAnsi="Traditional Arabic" w:cs="Traditional Arabic"/>
          <w:sz w:val="30"/>
          <w:szCs w:val="30"/>
          <w:rtl/>
        </w:rPr>
        <w:t>مدنية وتسب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بت في دمار واسع النطاق وأضرار في ال</w:t>
      </w:r>
      <w:r w:rsidRPr="001017A1">
        <w:rPr>
          <w:rStyle w:val="fontstyle01"/>
          <w:rFonts w:ascii="Traditional Arabic" w:hAnsi="Traditional Arabic" w:cs="Traditional Arabic" w:hint="cs"/>
          <w:sz w:val="30"/>
          <w:szCs w:val="30"/>
          <w:rtl/>
        </w:rPr>
        <w:t xml:space="preserve">منشآت </w:t>
      </w:r>
      <w:r w:rsidRPr="001017A1">
        <w:rPr>
          <w:rStyle w:val="fontstyle01"/>
          <w:rFonts w:ascii="Traditional Arabic" w:hAnsi="Traditional Arabic" w:cs="Traditional Arabic"/>
          <w:sz w:val="30"/>
          <w:szCs w:val="30"/>
          <w:rtl/>
        </w:rPr>
        <w:t>المدنية والمحمية. ضربت هذه الغارات الجوية مبنى سكني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في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sz w:val="30"/>
          <w:szCs w:val="30"/>
          <w:rtl/>
        </w:rPr>
        <w:lastRenderedPageBreak/>
        <w:t>كريتر في عدن، ومسجد</w:t>
      </w:r>
      <w:r w:rsidRPr="001017A1">
        <w:rPr>
          <w:rStyle w:val="fontstyle01"/>
          <w:rFonts w:ascii="Traditional Arabic" w:hAnsi="Traditional Arabic" w:cs="Traditional Arabic" w:hint="cs"/>
          <w:sz w:val="30"/>
          <w:szCs w:val="30"/>
          <w:rtl/>
        </w:rPr>
        <w:t xml:space="preserve">اً </w:t>
      </w:r>
      <w:r w:rsidRPr="001017A1">
        <w:rPr>
          <w:rStyle w:val="fontstyle01"/>
          <w:rFonts w:ascii="Traditional Arabic" w:hAnsi="Traditional Arabic" w:cs="Traditional Arabic"/>
          <w:sz w:val="30"/>
          <w:szCs w:val="30"/>
          <w:rtl/>
        </w:rPr>
        <w:t>في كريتر</w:t>
      </w:r>
      <w:r w:rsidRPr="001017A1">
        <w:rPr>
          <w:rStyle w:val="fontstyle01"/>
          <w:rFonts w:ascii="Traditional Arabic" w:hAnsi="Traditional Arabic" w:cs="Traditional Arabic" w:hint="cs"/>
          <w:sz w:val="30"/>
          <w:szCs w:val="30"/>
          <w:rtl/>
        </w:rPr>
        <w:t xml:space="preserve"> أيضاً</w:t>
      </w:r>
      <w:r w:rsidRPr="001017A1">
        <w:rPr>
          <w:rStyle w:val="fontstyle01"/>
          <w:rFonts w:ascii="Traditional Arabic" w:hAnsi="Traditional Arabic" w:cs="Traditional Arabic"/>
          <w:sz w:val="30"/>
          <w:szCs w:val="30"/>
          <w:rtl/>
        </w:rPr>
        <w:t>، وسوق</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للماشية في قرية الفيوش في محافظة لحج، ومدرسة في قرية طحرور، في محافظة لحج أيضًا. </w:t>
      </w:r>
      <w:r w:rsidRPr="001017A1">
        <w:rPr>
          <w:rStyle w:val="fontstyle01"/>
          <w:rFonts w:ascii="Traditional Arabic" w:hAnsi="Traditional Arabic" w:cs="Traditional Arabic" w:hint="cs"/>
          <w:sz w:val="30"/>
          <w:szCs w:val="30"/>
          <w:rtl/>
        </w:rPr>
        <w:t xml:space="preserve">لم يتم الكشف عن وجود </w:t>
      </w:r>
      <w:r w:rsidRPr="001017A1">
        <w:rPr>
          <w:rStyle w:val="fontstyle01"/>
          <w:rFonts w:ascii="Traditional Arabic" w:hAnsi="Traditional Arabic" w:cs="Traditional Arabic"/>
          <w:sz w:val="30"/>
          <w:szCs w:val="30"/>
          <w:rtl/>
        </w:rPr>
        <w:t xml:space="preserve">عسكري داخل المناطق </w:t>
      </w:r>
      <w:r w:rsidRPr="001017A1">
        <w:rPr>
          <w:rStyle w:val="fontstyle01"/>
          <w:rFonts w:ascii="Traditional Arabic" w:hAnsi="Traditional Arabic" w:cs="Traditional Arabic" w:hint="cs"/>
          <w:sz w:val="30"/>
          <w:szCs w:val="30"/>
          <w:rtl/>
        </w:rPr>
        <w:t>لحظة</w:t>
      </w:r>
      <w:r w:rsidRPr="001017A1">
        <w:rPr>
          <w:rStyle w:val="fontstyle01"/>
          <w:rFonts w:ascii="Traditional Arabic" w:hAnsi="Traditional Arabic" w:cs="Traditional Arabic"/>
          <w:sz w:val="30"/>
          <w:szCs w:val="30"/>
          <w:rtl/>
        </w:rPr>
        <w:t xml:space="preserve"> ضربت</w:t>
      </w:r>
      <w:r w:rsidRPr="001017A1">
        <w:rPr>
          <w:rStyle w:val="fontstyle01"/>
          <w:rFonts w:ascii="Traditional Arabic" w:hAnsi="Traditional Arabic" w:cs="Traditional Arabic" w:hint="cs"/>
          <w:sz w:val="30"/>
          <w:szCs w:val="30"/>
          <w:rtl/>
        </w:rPr>
        <w:t xml:space="preserve">ها </w:t>
      </w:r>
      <w:r w:rsidRPr="001017A1">
        <w:rPr>
          <w:rStyle w:val="fontstyle01"/>
          <w:rFonts w:ascii="Traditional Arabic" w:hAnsi="Traditional Arabic" w:cs="Traditional Arabic"/>
          <w:sz w:val="30"/>
          <w:szCs w:val="30"/>
          <w:rtl/>
        </w:rPr>
        <w:t>الغار</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الجوية</w:t>
      </w:r>
      <w:r w:rsidRPr="001017A1">
        <w:rPr>
          <w:rStyle w:val="fontstyle01"/>
          <w:rFonts w:ascii="Traditional Arabic" w:hAnsi="Traditional Arabic" w:cs="Traditional Arabic"/>
          <w:sz w:val="30"/>
          <w:szCs w:val="30"/>
        </w:rPr>
        <w:t>.</w:t>
      </w:r>
    </w:p>
    <w:p w14:paraId="4D6E42BF" w14:textId="77777777" w:rsidR="00967CB7" w:rsidRPr="00C927B2" w:rsidRDefault="00967CB7" w:rsidP="00C44B69">
      <w:pPr>
        <w:pStyle w:val="NoSpacing"/>
        <w:tabs>
          <w:tab w:val="left" w:pos="720"/>
        </w:tabs>
        <w:bidi/>
        <w:ind w:left="1449" w:right="827"/>
        <w:rPr>
          <w:rFonts w:asciiTheme="majorBidi" w:hAnsiTheme="majorBidi" w:cstheme="majorBidi"/>
          <w:sz w:val="24"/>
          <w:szCs w:val="24"/>
        </w:rPr>
      </w:pPr>
      <w:r w:rsidRPr="00C927B2">
        <w:rPr>
          <w:rFonts w:asciiTheme="majorBidi" w:hAnsiTheme="majorBidi" w:cstheme="majorBidi"/>
          <w:sz w:val="24"/>
          <w:szCs w:val="24"/>
        </w:rPr>
        <w:t>"</w:t>
      </w:r>
      <w:r w:rsidRPr="001017A1">
        <w:rPr>
          <w:rStyle w:val="fontstyle01"/>
          <w:rFonts w:ascii="Traditional Arabic" w:eastAsia="Times New Roman" w:hAnsi="Traditional Arabic" w:cs="Traditional Arabic"/>
          <w:i/>
          <w:iCs/>
          <w:sz w:val="30"/>
          <w:szCs w:val="30"/>
          <w:rtl/>
        </w:rPr>
        <w:t>سمعت صديقي يصرخ تحت الأنقاض، كان يختنق حتى الموت ، ولم نتمكن من الوصول إليه في الوقت المناسب وتوفي وهو يختنق</w:t>
      </w:r>
      <w:r w:rsidRPr="00C927B2">
        <w:rPr>
          <w:rFonts w:asciiTheme="majorBidi" w:hAnsiTheme="majorBidi" w:cstheme="majorBidi"/>
          <w:sz w:val="24"/>
          <w:szCs w:val="24"/>
        </w:rPr>
        <w:t>"</w:t>
      </w:r>
      <w:r w:rsidRPr="00C927B2">
        <w:rPr>
          <w:rStyle w:val="FootnoteReference"/>
          <w:rFonts w:asciiTheme="majorBidi" w:hAnsiTheme="majorBidi" w:cstheme="majorBidi"/>
          <w:sz w:val="24"/>
          <w:szCs w:val="24"/>
        </w:rPr>
        <w:footnoteReference w:id="226"/>
      </w:r>
      <w:r w:rsidRPr="00C927B2">
        <w:rPr>
          <w:rFonts w:asciiTheme="majorBidi" w:hAnsiTheme="majorBidi" w:cstheme="majorBidi"/>
          <w:sz w:val="24"/>
          <w:szCs w:val="24"/>
        </w:rPr>
        <w:t>.</w:t>
      </w:r>
    </w:p>
    <w:p w14:paraId="1A037121" w14:textId="582D0C48" w:rsidR="00967CB7" w:rsidRPr="001017A1" w:rsidRDefault="00967CB7" w:rsidP="00361237">
      <w:pPr>
        <w:pStyle w:val="NoSpacing"/>
        <w:tabs>
          <w:tab w:val="left" w:pos="720"/>
          <w:tab w:val="left" w:pos="1134"/>
        </w:tabs>
        <w:bidi/>
        <w:ind w:right="827"/>
        <w:rPr>
          <w:rStyle w:val="fontstyle01"/>
          <w:rFonts w:ascii="Traditional Arabic" w:eastAsia="Times New Roman" w:hAnsi="Traditional Arabic" w:cs="Traditional Arabic"/>
          <w:b/>
          <w:bCs/>
          <w:sz w:val="30"/>
          <w:szCs w:val="30"/>
        </w:rPr>
      </w:pP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Pr="00C927B2">
        <w:rPr>
          <w:rFonts w:asciiTheme="majorBidi" w:hAnsiTheme="majorBidi" w:cs="Times New Roman"/>
          <w:sz w:val="24"/>
          <w:szCs w:val="24"/>
          <w:rtl/>
        </w:rPr>
        <w:tab/>
      </w:r>
      <w:r w:rsidR="00C44B69">
        <w:rPr>
          <w:rFonts w:asciiTheme="majorBidi" w:hAnsiTheme="majorBidi" w:cs="Times New Roman"/>
          <w:sz w:val="24"/>
          <w:szCs w:val="24"/>
        </w:rPr>
        <w:tab/>
      </w:r>
      <w:r w:rsidR="00C44B69">
        <w:rPr>
          <w:rFonts w:asciiTheme="majorBidi" w:hAnsiTheme="majorBidi" w:cs="Times New Roman"/>
          <w:sz w:val="24"/>
          <w:szCs w:val="24"/>
        </w:rPr>
        <w:tab/>
      </w:r>
      <w:r w:rsidR="00C44B69">
        <w:rPr>
          <w:rFonts w:asciiTheme="majorBidi" w:hAnsiTheme="majorBidi" w:cs="Times New Roman"/>
          <w:sz w:val="24"/>
          <w:szCs w:val="24"/>
        </w:rPr>
        <w:tab/>
      </w:r>
      <w:r w:rsidRPr="001017A1">
        <w:rPr>
          <w:rStyle w:val="fontstyle01"/>
          <w:rFonts w:ascii="Traditional Arabic" w:eastAsia="Times New Roman" w:hAnsi="Traditional Arabic" w:cs="Traditional Arabic"/>
          <w:b/>
          <w:bCs/>
          <w:sz w:val="30"/>
          <w:szCs w:val="30"/>
          <w:rtl/>
        </w:rPr>
        <w:t>آدم، شاهد على غارة جوية</w:t>
      </w:r>
    </w:p>
    <w:p w14:paraId="10F241D7" w14:textId="77777777" w:rsidR="00914173" w:rsidRDefault="00967CB7" w:rsidP="00914173">
      <w:pPr>
        <w:pStyle w:val="NoSpacing"/>
        <w:tabs>
          <w:tab w:val="left" w:pos="720"/>
          <w:tab w:val="left" w:pos="1134"/>
        </w:tabs>
        <w:bidi/>
        <w:ind w:right="827"/>
        <w:rPr>
          <w:rFonts w:asciiTheme="majorBidi" w:hAnsiTheme="majorBidi" w:cstheme="majorBidi"/>
          <w:i/>
          <w:iCs/>
          <w:sz w:val="24"/>
          <w:szCs w:val="24"/>
        </w:rPr>
      </w:pPr>
      <w:r w:rsidRPr="00C927B2">
        <w:rPr>
          <w:rFonts w:asciiTheme="majorBidi" w:hAnsiTheme="majorBidi" w:cstheme="majorBidi"/>
          <w:i/>
          <w:iCs/>
          <w:sz w:val="24"/>
          <w:szCs w:val="24"/>
        </w:rPr>
        <w:tab/>
      </w:r>
      <w:r w:rsidRPr="00C927B2">
        <w:rPr>
          <w:rFonts w:asciiTheme="majorBidi" w:hAnsiTheme="majorBidi" w:cstheme="majorBidi"/>
          <w:i/>
          <w:iCs/>
          <w:sz w:val="24"/>
          <w:szCs w:val="24"/>
        </w:rPr>
        <w:tab/>
      </w:r>
    </w:p>
    <w:p w14:paraId="592E4279" w14:textId="6C1F89B1" w:rsidR="00967CB7" w:rsidRPr="001017A1" w:rsidRDefault="00967CB7" w:rsidP="00914173">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 xml:space="preserve">سوق </w:t>
      </w:r>
      <w:r w:rsidRPr="001017A1">
        <w:rPr>
          <w:rStyle w:val="fontstyle01"/>
          <w:rFonts w:ascii="Traditional Arabic" w:hAnsi="Traditional Arabic" w:cs="Traditional Arabic" w:hint="cs"/>
          <w:i/>
          <w:iCs/>
          <w:sz w:val="30"/>
          <w:szCs w:val="30"/>
          <w:rtl/>
        </w:rPr>
        <w:t>الفيوش للماشية</w:t>
      </w:r>
      <w:r w:rsidRPr="001017A1">
        <w:rPr>
          <w:rStyle w:val="fontstyle01"/>
          <w:rFonts w:ascii="Traditional Arabic" w:hAnsi="Traditional Arabic" w:cs="Traditional Arabic"/>
          <w:i/>
          <w:iCs/>
          <w:sz w:val="30"/>
          <w:szCs w:val="30"/>
          <w:rtl/>
        </w:rPr>
        <w:t xml:space="preserve">، 6 </w:t>
      </w:r>
      <w:r w:rsidRPr="00914173">
        <w:rPr>
          <w:rStyle w:val="fontstyle01"/>
          <w:rFonts w:ascii="Traditional Arabic" w:hAnsi="Traditional Arabic" w:cs="Traditional Arabic" w:hint="cs"/>
          <w:sz w:val="30"/>
          <w:szCs w:val="30"/>
          <w:rtl/>
        </w:rPr>
        <w:t>تموز</w:t>
      </w:r>
      <w:r w:rsidRPr="001017A1">
        <w:rPr>
          <w:rStyle w:val="fontstyle01"/>
          <w:rFonts w:ascii="Traditional Arabic" w:hAnsi="Traditional Arabic" w:cs="Traditional Arabic" w:hint="cs"/>
          <w:i/>
          <w:iCs/>
          <w:sz w:val="30"/>
          <w:szCs w:val="30"/>
          <w:rtl/>
        </w:rPr>
        <w:t xml:space="preserve">/ </w:t>
      </w:r>
      <w:r w:rsidRPr="001017A1">
        <w:rPr>
          <w:rStyle w:val="fontstyle01"/>
          <w:rFonts w:ascii="Traditional Arabic" w:hAnsi="Traditional Arabic" w:cs="Traditional Arabic"/>
          <w:i/>
          <w:iCs/>
          <w:sz w:val="30"/>
          <w:szCs w:val="30"/>
          <w:rtl/>
        </w:rPr>
        <w:t>يوليو 2015</w:t>
      </w:r>
    </w:p>
    <w:p w14:paraId="5EB9060E" w14:textId="6AA85DA4" w:rsidR="00967CB7" w:rsidRPr="00EE3E94" w:rsidRDefault="00967CB7" w:rsidP="00F80B8C">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في 6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في حوالي الساعة</w:t>
      </w:r>
      <w:r w:rsidRPr="001017A1">
        <w:rPr>
          <w:rStyle w:val="fontstyle01"/>
          <w:rFonts w:ascii="Traditional Arabic" w:hAnsi="Traditional Arabic" w:cs="Traditional Arabic" w:hint="cs"/>
          <w:sz w:val="30"/>
          <w:szCs w:val="30"/>
          <w:rtl/>
        </w:rPr>
        <w:t xml:space="preserve"> السادسة صباحاً، </w:t>
      </w:r>
      <w:r w:rsidRPr="001017A1">
        <w:rPr>
          <w:rStyle w:val="fontstyle01"/>
          <w:rFonts w:ascii="Traditional Arabic" w:hAnsi="Traditional Arabic" w:cs="Traditional Arabic"/>
          <w:sz w:val="30"/>
          <w:szCs w:val="30"/>
          <w:rtl/>
        </w:rPr>
        <w:t xml:space="preserve">ضربت غارات جوية </w:t>
      </w:r>
      <w:r w:rsidRPr="001017A1">
        <w:rPr>
          <w:rStyle w:val="fontstyle01"/>
          <w:rFonts w:ascii="Traditional Arabic" w:hAnsi="Traditional Arabic" w:cs="Traditional Arabic" w:hint="cs"/>
          <w:sz w:val="30"/>
          <w:szCs w:val="30"/>
          <w:rtl/>
        </w:rPr>
        <w:t xml:space="preserve">تابعة </w:t>
      </w:r>
      <w:r w:rsidRPr="001017A1">
        <w:rPr>
          <w:rStyle w:val="fontstyle01"/>
          <w:rFonts w:ascii="Traditional Arabic" w:hAnsi="Traditional Arabic" w:cs="Traditional Arabic"/>
          <w:sz w:val="30"/>
          <w:szCs w:val="30"/>
          <w:rtl/>
        </w:rPr>
        <w:t>للتحالف سوقًا للماشية في قرية الفيوش بمحافظة لحج، مما أسفر عن مقتل أكثر من 40 مدنياً وإصابة أكثر من 20 آخرين</w:t>
      </w:r>
      <w:r w:rsidRPr="00C927B2">
        <w:rPr>
          <w:rStyle w:val="FootnoteReference"/>
          <w:sz w:val="24"/>
          <w:szCs w:val="24"/>
        </w:rPr>
        <w:footnoteReference w:id="227"/>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وكان معظمهم من الرجال</w:t>
      </w:r>
      <w:r w:rsidRPr="00C927B2">
        <w:rPr>
          <w:rStyle w:val="FootnoteReference"/>
          <w:sz w:val="24"/>
          <w:szCs w:val="24"/>
        </w:rPr>
        <w:footnoteReference w:id="228"/>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تركت الصواريخ حفرًا كبيرة في موقع </w:t>
      </w:r>
      <w:r w:rsidRPr="001017A1">
        <w:rPr>
          <w:rStyle w:val="fontstyle01"/>
          <w:rFonts w:ascii="Traditional Arabic" w:hAnsi="Traditional Arabic" w:cs="Traditional Arabic" w:hint="cs"/>
          <w:sz w:val="30"/>
          <w:szCs w:val="30"/>
          <w:rtl/>
        </w:rPr>
        <w:t>الارتطام</w:t>
      </w:r>
      <w:r w:rsidRPr="00C927B2">
        <w:rPr>
          <w:rStyle w:val="FootnoteReference"/>
          <w:sz w:val="24"/>
          <w:szCs w:val="24"/>
        </w:rPr>
        <w:footnoteReference w:id="229"/>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ق</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تل</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الماشية أيضا في الغارة الجوية. تفج</w:t>
      </w:r>
      <w:r w:rsidRPr="001017A1">
        <w:rPr>
          <w:rStyle w:val="fontstyle01"/>
          <w:rFonts w:ascii="Traditional Arabic" w:hAnsi="Traditional Arabic" w:cs="Traditional Arabic" w:hint="cs"/>
          <w:sz w:val="30"/>
          <w:szCs w:val="30"/>
          <w:rtl/>
        </w:rPr>
        <w:t>ّر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العديد من </w:t>
      </w:r>
      <w:r w:rsidRPr="001017A1">
        <w:rPr>
          <w:rStyle w:val="fontstyle01"/>
          <w:rFonts w:ascii="Traditional Arabic" w:hAnsi="Traditional Arabic" w:cs="Traditional Arabic"/>
          <w:sz w:val="30"/>
          <w:szCs w:val="30"/>
          <w:rtl/>
        </w:rPr>
        <w:t xml:space="preserve">الضحايا </w:t>
      </w:r>
      <w:r w:rsidRPr="001017A1">
        <w:rPr>
          <w:rStyle w:val="fontstyle01"/>
          <w:rFonts w:ascii="Traditional Arabic" w:hAnsi="Traditional Arabic" w:cs="Traditional Arabic" w:hint="cs"/>
          <w:sz w:val="30"/>
          <w:szCs w:val="30"/>
          <w:rtl/>
        </w:rPr>
        <w:t xml:space="preserve">أشلاءً </w:t>
      </w:r>
      <w:r w:rsidRPr="001017A1">
        <w:rPr>
          <w:rStyle w:val="fontstyle01"/>
          <w:rFonts w:ascii="Traditional Arabic" w:hAnsi="Traditional Arabic" w:cs="Traditional Arabic"/>
          <w:sz w:val="30"/>
          <w:szCs w:val="30"/>
          <w:rtl/>
        </w:rPr>
        <w:t>بسبب حجم الانفجار و</w:t>
      </w:r>
      <w:r w:rsidRPr="001017A1">
        <w:rPr>
          <w:rStyle w:val="fontstyle01"/>
          <w:rFonts w:ascii="Traditional Arabic" w:hAnsi="Traditional Arabic" w:cs="Traditional Arabic" w:hint="cs"/>
          <w:sz w:val="30"/>
          <w:szCs w:val="30"/>
          <w:rtl/>
        </w:rPr>
        <w:t xml:space="preserve">استحال </w:t>
      </w:r>
      <w:r w:rsidRPr="001017A1">
        <w:rPr>
          <w:rStyle w:val="fontstyle01"/>
          <w:rFonts w:ascii="Traditional Arabic" w:hAnsi="Traditional Arabic" w:cs="Traditional Arabic"/>
          <w:sz w:val="30"/>
          <w:szCs w:val="30"/>
          <w:rtl/>
        </w:rPr>
        <w:t>التعر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ف عليهم في أعقاب الغار</w:t>
      </w:r>
      <w:r w:rsidRPr="00C927B2">
        <w:rPr>
          <w:rFonts w:asciiTheme="majorBidi" w:hAnsiTheme="majorBidi"/>
          <w:sz w:val="24"/>
          <w:szCs w:val="24"/>
          <w:rtl/>
        </w:rPr>
        <w:t>ة</w:t>
      </w:r>
      <w:r w:rsidRPr="00C927B2">
        <w:rPr>
          <w:rFonts w:asciiTheme="majorBidi" w:hAnsiTheme="majorBidi" w:cstheme="majorBidi"/>
          <w:sz w:val="24"/>
          <w:szCs w:val="24"/>
        </w:rPr>
        <w:t>.</w:t>
      </w:r>
      <w:r w:rsidRPr="00C927B2">
        <w:rPr>
          <w:rStyle w:val="FootnoteReference"/>
          <w:sz w:val="24"/>
          <w:szCs w:val="24"/>
        </w:rPr>
        <w:footnoteReference w:id="230"/>
      </w:r>
      <w:r w:rsidRPr="00C927B2">
        <w:rPr>
          <w:rFonts w:asciiTheme="majorBidi" w:hAnsiTheme="majorBidi" w:cstheme="majorBidi" w:hint="cs"/>
          <w:sz w:val="24"/>
          <w:szCs w:val="24"/>
          <w:rtl/>
        </w:rPr>
        <w:t xml:space="preserve"> </w:t>
      </w:r>
      <w:r w:rsidRPr="001017A1">
        <w:rPr>
          <w:rStyle w:val="fontstyle01"/>
          <w:rFonts w:ascii="Traditional Arabic" w:hAnsi="Traditional Arabic" w:cs="Traditional Arabic" w:hint="cs"/>
          <w:sz w:val="30"/>
          <w:szCs w:val="30"/>
          <w:rtl/>
        </w:rPr>
        <w:t>وب</w:t>
      </w:r>
      <w:r w:rsidRPr="001017A1">
        <w:rPr>
          <w:rStyle w:val="fontstyle01"/>
          <w:rFonts w:ascii="Traditional Arabic" w:hAnsi="Traditional Arabic" w:cs="Traditional Arabic"/>
          <w:sz w:val="30"/>
          <w:szCs w:val="30"/>
          <w:rtl/>
        </w:rPr>
        <w:t>سبب القتال العنيف في عدن، ونقاط التفتيش العديدة عند مدخل عدن، والقيود المفروضة على الوصول إلى مناطق مختلفة من المدينة خلال الهجوم العسكري عام 2015، توسع سوق الق</w:t>
      </w:r>
      <w:r w:rsidRPr="001017A1">
        <w:rPr>
          <w:rStyle w:val="fontstyle01"/>
          <w:rFonts w:ascii="Traditional Arabic" w:hAnsi="Traditional Arabic" w:cs="Traditional Arabic" w:hint="cs"/>
          <w:sz w:val="30"/>
          <w:szCs w:val="30"/>
          <w:rtl/>
        </w:rPr>
        <w:t>ات</w:t>
      </w:r>
      <w:r w:rsidRPr="001017A1">
        <w:rPr>
          <w:rStyle w:val="fontstyle01"/>
          <w:rFonts w:ascii="Traditional Arabic" w:hAnsi="Traditional Arabic" w:cs="Traditional Arabic"/>
          <w:sz w:val="30"/>
          <w:szCs w:val="30"/>
          <w:rtl/>
        </w:rPr>
        <w:t xml:space="preserve"> في الفيوش </w:t>
      </w:r>
      <w:r w:rsidRPr="001017A1">
        <w:rPr>
          <w:rStyle w:val="fontstyle01"/>
          <w:rFonts w:ascii="Traditional Arabic" w:hAnsi="Traditional Arabic" w:cs="Traditional Arabic" w:hint="cs"/>
          <w:sz w:val="30"/>
          <w:szCs w:val="30"/>
          <w:rtl/>
        </w:rPr>
        <w:t xml:space="preserve">وتحوّل </w:t>
      </w:r>
      <w:r w:rsidRPr="001017A1">
        <w:rPr>
          <w:rStyle w:val="fontstyle01"/>
          <w:rFonts w:ascii="Traditional Arabic" w:hAnsi="Traditional Arabic" w:cs="Traditional Arabic"/>
          <w:sz w:val="30"/>
          <w:szCs w:val="30"/>
          <w:rtl/>
        </w:rPr>
        <w:t xml:space="preserve">إلى سوق للماشية وغيرها </w:t>
      </w:r>
      <w:r w:rsidRPr="001017A1">
        <w:rPr>
          <w:rStyle w:val="fontstyle01"/>
          <w:rFonts w:ascii="Traditional Arabic" w:hAnsi="Traditional Arabic" w:cs="Traditional Arabic" w:hint="cs"/>
          <w:sz w:val="30"/>
          <w:szCs w:val="30"/>
          <w:rtl/>
        </w:rPr>
        <w:t xml:space="preserve">من </w:t>
      </w:r>
      <w:r w:rsidRPr="001017A1">
        <w:rPr>
          <w:rStyle w:val="fontstyle01"/>
          <w:rFonts w:ascii="Traditional Arabic" w:hAnsi="Traditional Arabic" w:cs="Traditional Arabic"/>
          <w:sz w:val="30"/>
          <w:szCs w:val="30"/>
          <w:rtl/>
        </w:rPr>
        <w:t>البضائع و</w:t>
      </w:r>
      <w:r w:rsidRPr="001017A1">
        <w:rPr>
          <w:rStyle w:val="fontstyle01"/>
          <w:rFonts w:ascii="Traditional Arabic" w:hAnsi="Traditional Arabic" w:cs="Traditional Arabic" w:hint="cs"/>
          <w:sz w:val="30"/>
          <w:szCs w:val="30"/>
          <w:rtl/>
        </w:rPr>
        <w:t xml:space="preserve">كان يزوره </w:t>
      </w:r>
      <w:r w:rsidRPr="001017A1">
        <w:rPr>
          <w:rStyle w:val="fontstyle01"/>
          <w:rFonts w:ascii="Traditional Arabic" w:hAnsi="Traditional Arabic" w:cs="Traditional Arabic"/>
          <w:sz w:val="30"/>
          <w:szCs w:val="30"/>
          <w:rtl/>
        </w:rPr>
        <w:t>عدد كبير من المدنيين</w:t>
      </w:r>
      <w:r w:rsidRPr="00C927B2">
        <w:rPr>
          <w:rStyle w:val="FootnoteReference"/>
          <w:sz w:val="24"/>
          <w:szCs w:val="24"/>
        </w:rPr>
        <w:footnoteReference w:id="231"/>
      </w:r>
      <w:r w:rsidRPr="00C927B2">
        <w:rPr>
          <w:rFonts w:asciiTheme="majorBidi" w:hAnsiTheme="majorBidi"/>
          <w:sz w:val="24"/>
          <w:szCs w:val="24"/>
          <w:rtl/>
        </w:rPr>
        <w:t>.</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خلافاً ل</w:t>
      </w:r>
      <w:r w:rsidRPr="001017A1">
        <w:rPr>
          <w:rStyle w:val="fontstyle01"/>
          <w:rFonts w:ascii="Traditional Arabic" w:hAnsi="Traditional Arabic" w:cs="Traditional Arabic"/>
          <w:sz w:val="30"/>
          <w:szCs w:val="30"/>
          <w:rtl/>
        </w:rPr>
        <w:t>لمعلومات التي جمعها فريق الخبراء، أشار بيان</w:t>
      </w:r>
      <w:r w:rsidRPr="001017A1">
        <w:rPr>
          <w:rStyle w:val="fontstyle01"/>
          <w:rFonts w:ascii="Traditional Arabic" w:hAnsi="Traditional Arabic" w:cs="Traditional Arabic" w:hint="cs"/>
          <w:sz w:val="30"/>
          <w:szCs w:val="30"/>
          <w:rtl/>
        </w:rPr>
        <w:t xml:space="preserve"> صادر عن الفريق المشترك لتقييم الحوادث</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tl/>
        </w:rPr>
        <w:t xml:space="preserve">بتاريخ 6 </w:t>
      </w:r>
      <w:r w:rsidRPr="001017A1">
        <w:rPr>
          <w:rStyle w:val="fontstyle01"/>
          <w:rFonts w:ascii="Traditional Arabic" w:hAnsi="Traditional Arabic" w:cs="Traditional Arabic" w:hint="cs"/>
          <w:sz w:val="30"/>
          <w:szCs w:val="30"/>
          <w:rtl/>
        </w:rPr>
        <w:t xml:space="preserve">كانون الأول/ </w:t>
      </w:r>
      <w:r w:rsidRPr="001017A1">
        <w:rPr>
          <w:rStyle w:val="fontstyle01"/>
          <w:rFonts w:ascii="Traditional Arabic" w:hAnsi="Traditional Arabic" w:cs="Traditional Arabic"/>
          <w:sz w:val="30"/>
          <w:szCs w:val="30"/>
          <w:rtl/>
        </w:rPr>
        <w:t>ديسمبر 2016 إلى أن "سوق الماشية لم يتم قصفه من قبل قوات التحالف، ولم يتأثر بالقصف العرضي</w:t>
      </w:r>
      <w:r w:rsidRPr="00C927B2">
        <w:rPr>
          <w:rFonts w:asciiTheme="majorBidi" w:hAnsiTheme="majorBidi" w:cstheme="majorBidi"/>
          <w:sz w:val="24"/>
          <w:szCs w:val="24"/>
        </w:rPr>
        <w:t xml:space="preserve"> ".</w:t>
      </w:r>
      <w:r w:rsidRPr="00EE3E94">
        <w:rPr>
          <w:rStyle w:val="fontstyle01"/>
          <w:rFonts w:ascii="Traditional Arabic" w:hAnsi="Traditional Arabic" w:cs="Traditional Arabic"/>
          <w:sz w:val="30"/>
          <w:szCs w:val="30"/>
          <w:rtl/>
        </w:rPr>
        <w:t>و</w:t>
      </w:r>
      <w:r w:rsidR="00F80B8C">
        <w:rPr>
          <w:rStyle w:val="fontstyle01"/>
          <w:rFonts w:ascii="Traditional Arabic" w:hAnsi="Traditional Arabic" w:cs="Traditional Arabic" w:hint="cs"/>
          <w:sz w:val="30"/>
          <w:szCs w:val="30"/>
          <w:rtl/>
        </w:rPr>
        <w:t xml:space="preserve">ذكر فريق الخبراء </w:t>
      </w:r>
      <w:r w:rsidRPr="00EE3E94">
        <w:rPr>
          <w:rStyle w:val="fontstyle01"/>
          <w:rFonts w:ascii="Traditional Arabic" w:hAnsi="Traditional Arabic" w:cs="Traditional Arabic"/>
          <w:sz w:val="30"/>
          <w:szCs w:val="30"/>
          <w:rtl/>
        </w:rPr>
        <w:t>أن مقاتلي الحوثي - صالح كان لديهم نقطة تفتيش في محطة وقود في المنطقة المجاورة مباشرة للسوق، حيث كانت هناك عادة تجمعات كبيرة من مقاتلي الحوثي - صالح وحيث أوقفوا سياراتهم</w:t>
      </w:r>
      <w:r w:rsidR="00EE3E94">
        <w:rPr>
          <w:rStyle w:val="FootnoteReference"/>
          <w:rFonts w:cs="Traditional Arabic"/>
          <w:color w:val="000000"/>
          <w:szCs w:val="30"/>
          <w:rtl/>
        </w:rPr>
        <w:footnoteReference w:id="232"/>
      </w:r>
    </w:p>
    <w:p w14:paraId="7B2A28B7" w14:textId="7D8B6440" w:rsidR="00967CB7" w:rsidRPr="001017A1" w:rsidRDefault="00967CB7" w:rsidP="00C30223">
      <w:pPr>
        <w:pStyle w:val="NoSpacing"/>
        <w:tabs>
          <w:tab w:val="left" w:pos="720"/>
          <w:tab w:val="left" w:pos="1134"/>
        </w:tabs>
        <w:bidi/>
        <w:spacing w:after="240"/>
        <w:ind w:right="827"/>
        <w:rPr>
          <w:rStyle w:val="fontstyle01"/>
          <w:rFonts w:ascii="Traditional Arabic" w:eastAsia="Times New Roman" w:hAnsi="Traditional Arabic" w:cs="Traditional Arabic"/>
          <w:i/>
          <w:iCs/>
          <w:sz w:val="30"/>
          <w:szCs w:val="30"/>
        </w:rPr>
      </w:pPr>
      <w:r w:rsidRPr="00C927B2">
        <w:rPr>
          <w:rFonts w:asciiTheme="majorBidi" w:hAnsiTheme="majorBidi" w:cstheme="majorBidi"/>
          <w:i/>
          <w:iCs/>
          <w:sz w:val="24"/>
          <w:szCs w:val="24"/>
        </w:rPr>
        <w:tab/>
      </w:r>
      <w:r w:rsidR="00C30223">
        <w:rPr>
          <w:rFonts w:asciiTheme="majorBidi" w:hAnsiTheme="majorBidi" w:cstheme="majorBidi"/>
          <w:i/>
          <w:iCs/>
          <w:sz w:val="24"/>
          <w:szCs w:val="24"/>
        </w:rPr>
        <w:tab/>
      </w:r>
      <w:r w:rsidRPr="001017A1">
        <w:rPr>
          <w:rStyle w:val="fontstyle01"/>
          <w:rFonts w:ascii="Traditional Arabic" w:eastAsia="Times New Roman" w:hAnsi="Traditional Arabic" w:cs="Traditional Arabic"/>
          <w:i/>
          <w:iCs/>
          <w:sz w:val="30"/>
          <w:szCs w:val="30"/>
        </w:rPr>
        <w:t xml:space="preserve"> </w:t>
      </w:r>
      <w:r w:rsidRPr="001017A1">
        <w:rPr>
          <w:rStyle w:val="fontstyle01"/>
          <w:rFonts w:ascii="Traditional Arabic" w:eastAsia="Times New Roman" w:hAnsi="Traditional Arabic" w:cs="Traditional Arabic"/>
          <w:i/>
          <w:iCs/>
          <w:sz w:val="30"/>
          <w:szCs w:val="30"/>
          <w:rtl/>
        </w:rPr>
        <w:t>مدرسة مصعب بن عم</w:t>
      </w:r>
      <w:r w:rsidRPr="001017A1">
        <w:rPr>
          <w:rStyle w:val="fontstyle01"/>
          <w:rFonts w:ascii="Traditional Arabic" w:eastAsia="Times New Roman" w:hAnsi="Traditional Arabic" w:cs="Traditional Arabic" w:hint="cs"/>
          <w:i/>
          <w:iCs/>
          <w:sz w:val="30"/>
          <w:szCs w:val="30"/>
          <w:rtl/>
        </w:rPr>
        <w:t>ب</w:t>
      </w:r>
      <w:r w:rsidRPr="001017A1">
        <w:rPr>
          <w:rStyle w:val="fontstyle01"/>
          <w:rFonts w:ascii="Traditional Arabic" w:eastAsia="Times New Roman" w:hAnsi="Traditional Arabic" w:cs="Traditional Arabic"/>
          <w:i/>
          <w:iCs/>
          <w:sz w:val="30"/>
          <w:szCs w:val="30"/>
          <w:rtl/>
        </w:rPr>
        <w:t>ر</w:t>
      </w:r>
    </w:p>
    <w:p w14:paraId="1B68E852"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في 9 تموز / يولي</w:t>
      </w:r>
      <w:r w:rsidRPr="001017A1">
        <w:rPr>
          <w:rStyle w:val="fontstyle01"/>
          <w:rFonts w:ascii="Traditional Arabic" w:hAnsi="Traditional Arabic" w:cs="Traditional Arabic" w:hint="cs"/>
          <w:sz w:val="30"/>
          <w:szCs w:val="30"/>
          <w:rtl/>
        </w:rPr>
        <w:t>و 2015</w:t>
      </w:r>
      <w:r w:rsidRPr="001017A1">
        <w:rPr>
          <w:rStyle w:val="fontstyle01"/>
          <w:rFonts w:ascii="Traditional Arabic" w:hAnsi="Traditional Arabic" w:cs="Traditional Arabic"/>
          <w:sz w:val="30"/>
          <w:szCs w:val="30"/>
          <w:rtl/>
        </w:rPr>
        <w:t>، الساعة</w:t>
      </w:r>
      <w:r w:rsidRPr="001017A1">
        <w:rPr>
          <w:rStyle w:val="fontstyle01"/>
          <w:rFonts w:ascii="Traditional Arabic" w:hAnsi="Traditional Arabic" w:cs="Traditional Arabic" w:hint="cs"/>
          <w:sz w:val="30"/>
          <w:szCs w:val="30"/>
          <w:rtl/>
        </w:rPr>
        <w:t xml:space="preserve"> الواحدة بعد الظهر</w:t>
      </w:r>
      <w:r w:rsidRPr="001017A1">
        <w:rPr>
          <w:rStyle w:val="fontstyle01"/>
          <w:rFonts w:ascii="Traditional Arabic" w:hAnsi="Traditional Arabic" w:cs="Traditional Arabic"/>
          <w:sz w:val="30"/>
          <w:szCs w:val="30"/>
          <w:rtl/>
        </w:rPr>
        <w:t xml:space="preserve">، ضربت غارة جوية للتحالف مدرسة مصعب بن </w:t>
      </w:r>
      <w:r w:rsidRPr="001017A1">
        <w:rPr>
          <w:rStyle w:val="fontstyle01"/>
          <w:rFonts w:ascii="Traditional Arabic" w:hAnsi="Traditional Arabic" w:cs="Traditional Arabic" w:hint="cs"/>
          <w:sz w:val="30"/>
          <w:szCs w:val="30"/>
          <w:rtl/>
        </w:rPr>
        <w:t>عمير</w:t>
      </w:r>
      <w:r w:rsidRPr="001017A1">
        <w:rPr>
          <w:rStyle w:val="fontstyle01"/>
          <w:rFonts w:ascii="Traditional Arabic" w:hAnsi="Traditional Arabic" w:cs="Traditional Arabic"/>
          <w:sz w:val="30"/>
          <w:szCs w:val="30"/>
          <w:rtl/>
        </w:rPr>
        <w:t xml:space="preserve"> في منطقة </w:t>
      </w:r>
      <w:r w:rsidRPr="001017A1">
        <w:rPr>
          <w:rStyle w:val="fontstyle01"/>
          <w:rFonts w:ascii="Traditional Arabic" w:hAnsi="Traditional Arabic" w:cs="Traditional Arabic" w:hint="cs"/>
          <w:sz w:val="30"/>
          <w:szCs w:val="30"/>
          <w:rtl/>
        </w:rPr>
        <w:t>طهرور</w:t>
      </w:r>
      <w:r w:rsidRPr="001017A1">
        <w:rPr>
          <w:rStyle w:val="fontstyle01"/>
          <w:rFonts w:ascii="Traditional Arabic" w:hAnsi="Traditional Arabic" w:cs="Traditional Arabic"/>
          <w:sz w:val="30"/>
          <w:szCs w:val="30"/>
          <w:rtl/>
        </w:rPr>
        <w:t xml:space="preserve"> بمحافظة لحج ، مما أسفر عن مقتل 11 مدنيا وجرح 19 آخرين. وكان من بين المصابين ثلاث نساء وسبعة أطفال، بينهم طفل عمره خمسة أشهر. </w:t>
      </w:r>
      <w:r w:rsidRPr="001017A1">
        <w:rPr>
          <w:rStyle w:val="fontstyle01"/>
          <w:rFonts w:ascii="Traditional Arabic" w:hAnsi="Traditional Arabic" w:cs="Traditional Arabic" w:hint="cs"/>
          <w:sz w:val="30"/>
          <w:szCs w:val="30"/>
          <w:rtl/>
        </w:rPr>
        <w:t>سقطت الضربة</w:t>
      </w:r>
      <w:r w:rsidRPr="001017A1">
        <w:rPr>
          <w:rStyle w:val="fontstyle01"/>
          <w:rFonts w:ascii="Traditional Arabic" w:hAnsi="Traditional Arabic" w:cs="Traditional Arabic"/>
          <w:sz w:val="30"/>
          <w:szCs w:val="30"/>
          <w:rtl/>
        </w:rPr>
        <w:t xml:space="preserve"> في منتصف الجانب الشرقي من المبنى، مما ألحق أضرارا بالغة بالمدرسة، حيث تم تدمير سبعة </w:t>
      </w:r>
      <w:r w:rsidRPr="001017A1">
        <w:rPr>
          <w:rStyle w:val="fontstyle01"/>
          <w:rFonts w:ascii="Traditional Arabic" w:hAnsi="Traditional Arabic" w:cs="Traditional Arabic" w:hint="cs"/>
          <w:sz w:val="30"/>
          <w:szCs w:val="30"/>
          <w:rtl/>
        </w:rPr>
        <w:t>صفوف</w:t>
      </w:r>
      <w:r w:rsidRPr="001017A1">
        <w:rPr>
          <w:rStyle w:val="fontstyle01"/>
          <w:rFonts w:ascii="Traditional Arabic" w:hAnsi="Traditional Arabic" w:cs="Traditional Arabic"/>
          <w:sz w:val="30"/>
          <w:szCs w:val="30"/>
          <w:rtl/>
        </w:rPr>
        <w:t xml:space="preserve"> وألحقت أضرار بالغة بالصفوف المتبقية</w:t>
      </w:r>
      <w:r w:rsidRPr="00C927B2">
        <w:rPr>
          <w:rStyle w:val="FootnoteReference"/>
          <w:sz w:val="24"/>
          <w:szCs w:val="24"/>
        </w:rPr>
        <w:footnoteReference w:id="233"/>
      </w:r>
      <w:r w:rsidRPr="00C927B2">
        <w:rPr>
          <w:rFonts w:asciiTheme="majorBidi" w:hAnsiTheme="majorBidi"/>
          <w:sz w:val="24"/>
          <w:szCs w:val="24"/>
          <w:rtl/>
        </w:rPr>
        <w:t xml:space="preserve">. </w:t>
      </w:r>
      <w:r w:rsidRPr="00C30223">
        <w:rPr>
          <w:rStyle w:val="fontstyle01"/>
          <w:rFonts w:ascii="Traditional Arabic" w:hAnsi="Traditional Arabic" w:cs="Traditional Arabic"/>
          <w:sz w:val="30"/>
          <w:szCs w:val="30"/>
          <w:rtl/>
        </w:rPr>
        <w:t xml:space="preserve">وأشارت المصادر إلى أن الغارة الجوية ربما </w:t>
      </w:r>
      <w:r w:rsidRPr="00C30223">
        <w:rPr>
          <w:rStyle w:val="fontstyle01"/>
          <w:rFonts w:ascii="Traditional Arabic" w:hAnsi="Traditional Arabic" w:cs="Traditional Arabic"/>
          <w:sz w:val="30"/>
          <w:szCs w:val="30"/>
          <w:rtl/>
        </w:rPr>
        <w:lastRenderedPageBreak/>
        <w:t>استهدفت موقعاً مزعوماً لمقاتلي الحوثيين - صالح داخل المد</w:t>
      </w:r>
      <w:r w:rsidRPr="00020339">
        <w:rPr>
          <w:rFonts w:asciiTheme="majorBidi" w:hAnsiTheme="majorBidi"/>
          <w:sz w:val="24"/>
          <w:szCs w:val="24"/>
          <w:rtl/>
        </w:rPr>
        <w:t>رسة</w:t>
      </w:r>
      <w:r w:rsidRPr="00020339">
        <w:rPr>
          <w:rStyle w:val="fontstyle01"/>
          <w:rFonts w:asciiTheme="majorBidi" w:hAnsiTheme="majorBidi"/>
          <w:color w:val="auto"/>
          <w:sz w:val="24"/>
          <w:szCs w:val="24"/>
          <w:rtl/>
        </w:rPr>
        <w:t xml:space="preserve"> </w:t>
      </w:r>
      <w:r>
        <w:rPr>
          <w:rStyle w:val="fontstyle01"/>
          <w:rFonts w:asciiTheme="majorBidi" w:hAnsiTheme="majorBidi" w:hint="cs"/>
          <w:sz w:val="24"/>
          <w:szCs w:val="24"/>
          <w:rtl/>
        </w:rPr>
        <w:t xml:space="preserve">. </w:t>
      </w:r>
      <w:r w:rsidRPr="001017A1">
        <w:rPr>
          <w:rStyle w:val="fontstyle01"/>
          <w:rFonts w:ascii="Traditional Arabic" w:hAnsi="Traditional Arabic" w:cs="Traditional Arabic"/>
          <w:sz w:val="30"/>
          <w:szCs w:val="30"/>
          <w:rtl/>
        </w:rPr>
        <w:t>وقت الغارة الجوية، كانت المدرسة قد وفرت المأوى لـ 12 عائلة نازحة فر</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 من القتال في الحوطة المجاورة</w:t>
      </w:r>
      <w:r w:rsidRPr="00C927B2">
        <w:rPr>
          <w:rStyle w:val="FootnoteReference"/>
          <w:sz w:val="24"/>
          <w:szCs w:val="24"/>
        </w:rPr>
        <w:footnoteReference w:id="234"/>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كان مبنى المدرسة لا يزال في حالة خراب في وقت كتابة هذا التقرير،</w:t>
      </w:r>
      <w:r w:rsidRPr="001017A1">
        <w:rPr>
          <w:rStyle w:val="fontstyle01"/>
          <w:rFonts w:ascii="Traditional Arabic" w:hAnsi="Traditional Arabic" w:cs="Traditional Arabic" w:hint="cs"/>
          <w:sz w:val="30"/>
          <w:szCs w:val="30"/>
          <w:rtl/>
        </w:rPr>
        <w:t xml:space="preserve"> وقد استأنف العمل فيها </w:t>
      </w:r>
      <w:r w:rsidRPr="001017A1">
        <w:rPr>
          <w:rStyle w:val="fontstyle01"/>
          <w:rFonts w:ascii="Traditional Arabic" w:hAnsi="Traditional Arabic" w:cs="Traditional Arabic" w:hint="eastAsia"/>
          <w:sz w:val="30"/>
          <w:szCs w:val="30"/>
          <w:rtl/>
        </w:rPr>
        <w:t>بعد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خف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وطئ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القتال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المنطقة</w:t>
      </w:r>
      <w:r w:rsidRPr="001017A1">
        <w:rPr>
          <w:rStyle w:val="fontstyle01"/>
          <w:rFonts w:ascii="Traditional Arabic" w:hAnsi="Traditional Arabic" w:cs="Traditional Arabic"/>
          <w:sz w:val="30"/>
          <w:szCs w:val="30"/>
          <w:rtl/>
        </w:rPr>
        <w:t xml:space="preserve"> وكانت تنظ</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م </w:t>
      </w:r>
      <w:r w:rsidRPr="001017A1">
        <w:rPr>
          <w:rStyle w:val="fontstyle01"/>
          <w:rFonts w:ascii="Traditional Arabic" w:hAnsi="Traditional Arabic" w:cs="Traditional Arabic" w:hint="cs"/>
          <w:sz w:val="30"/>
          <w:szCs w:val="30"/>
          <w:rtl/>
        </w:rPr>
        <w:t xml:space="preserve">الصفوف </w:t>
      </w:r>
      <w:r w:rsidRPr="001017A1">
        <w:rPr>
          <w:rStyle w:val="fontstyle01"/>
          <w:rFonts w:ascii="Traditional Arabic" w:hAnsi="Traditional Arabic" w:cs="Traditional Arabic"/>
          <w:sz w:val="30"/>
          <w:szCs w:val="30"/>
          <w:rtl/>
        </w:rPr>
        <w:t>في خيام</w:t>
      </w:r>
      <w:r w:rsidRPr="00C927B2">
        <w:rPr>
          <w:rStyle w:val="FootnoteReference"/>
          <w:sz w:val="24"/>
          <w:szCs w:val="24"/>
        </w:rPr>
        <w:footnoteReference w:id="235"/>
      </w:r>
      <w:r w:rsidRPr="00C927B2">
        <w:rPr>
          <w:rFonts w:asciiTheme="majorBidi" w:hAnsiTheme="majorBidi"/>
          <w:sz w:val="24"/>
          <w:szCs w:val="24"/>
          <w:rtl/>
        </w:rPr>
        <w:t xml:space="preserve">. </w:t>
      </w:r>
    </w:p>
    <w:p w14:paraId="22A564BD" w14:textId="2BF4FC35" w:rsidR="00967CB7" w:rsidRPr="001017A1" w:rsidRDefault="00967CB7" w:rsidP="00770135">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hint="cs"/>
          <w:sz w:val="30"/>
          <w:szCs w:val="30"/>
          <w:rtl/>
        </w:rPr>
        <w:t>في 7</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ﺣﺰﻳﺮﺍﻥ</w:t>
      </w:r>
      <w:r w:rsidRPr="001017A1">
        <w:rPr>
          <w:rStyle w:val="fontstyle01"/>
          <w:rFonts w:ascii="Traditional Arabic" w:hAnsi="Traditional Arabic" w:cs="Traditional Arabic"/>
          <w:sz w:val="30"/>
          <w:szCs w:val="30"/>
          <w:rtl/>
        </w:rPr>
        <w:t xml:space="preserve"> / </w:t>
      </w:r>
      <w:r w:rsidRPr="001017A1">
        <w:rPr>
          <w:rStyle w:val="fontstyle01"/>
          <w:rFonts w:ascii="Traditional Arabic" w:hAnsi="Traditional Arabic" w:cs="Traditional Arabic" w:hint="cs"/>
          <w:sz w:val="30"/>
          <w:szCs w:val="30"/>
          <w:rtl/>
        </w:rPr>
        <w:t>ﻳﻮﻧﻴﻪ</w:t>
      </w:r>
      <w:r w:rsidRPr="001017A1">
        <w:rPr>
          <w:rStyle w:val="fontstyle01"/>
          <w:rFonts w:ascii="Traditional Arabic" w:hAnsi="Traditional Arabic" w:cs="Traditional Arabic"/>
          <w:sz w:val="30"/>
          <w:szCs w:val="30"/>
          <w:rtl/>
        </w:rPr>
        <w:t xml:space="preserve"> 2018، </w:t>
      </w:r>
      <w:r w:rsidRPr="001017A1">
        <w:rPr>
          <w:rStyle w:val="fontstyle01"/>
          <w:rFonts w:ascii="Traditional Arabic" w:hAnsi="Traditional Arabic" w:cs="Traditional Arabic" w:hint="cs"/>
          <w:sz w:val="30"/>
          <w:szCs w:val="30"/>
          <w:rtl/>
        </w:rPr>
        <w:t>أ</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hint="cs"/>
          <w:sz w:val="30"/>
          <w:szCs w:val="30"/>
          <w:rtl/>
        </w:rPr>
        <w:t>فاد الفريق المشترك لتقييم الحوادث ﺃﻧﻪ 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ﺫﻟﻚ</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ﺍﻟﺼﺒﺎﺡ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ﻗﺎﻣﺖ</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ﻘﻮﺍﺕ 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ﺑﺘﻨﻔﻴﺬ</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ﻏﺎﺭتين ﺟﻮﻳﺘين على مبنييين ﻓﻴﻬﻤﺎ</w:t>
      </w:r>
      <w:r w:rsidRPr="001017A1">
        <w:rPr>
          <w:rStyle w:val="fontstyle01"/>
          <w:rFonts w:ascii="Traditional Arabic" w:hAnsi="Traditional Arabic" w:cs="Traditional Arabic"/>
          <w:sz w:val="30"/>
          <w:szCs w:val="30"/>
          <w:rtl/>
        </w:rPr>
        <w:t xml:space="preserve"> </w:t>
      </w:r>
      <w:r w:rsidR="00F80B8C">
        <w:rPr>
          <w:rStyle w:val="fontstyle01"/>
          <w:rFonts w:ascii="Traditional Arabic" w:hAnsi="Traditional Arabic" w:cs="Traditional Arabic" w:hint="cs"/>
          <w:sz w:val="30"/>
          <w:szCs w:val="30"/>
          <w:rtl/>
        </w:rPr>
        <w:t>مقاتلو الحوثي المسلّحون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ﻭذلك ﻋﻠﻰ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ﺑﻌﺪ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ﻛﻴﻠﻮﻣﺘﺮﺍﺕ</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ﻣﻦ المدرسة</w:t>
      </w:r>
      <w:r w:rsidRPr="00C927B2">
        <w:rPr>
          <w:rStyle w:val="FootnoteReference"/>
          <w:sz w:val="24"/>
          <w:szCs w:val="24"/>
        </w:rPr>
        <w:footnoteReference w:id="236"/>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في 1 كانون الثاني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ينا</w:t>
      </w:r>
      <w:r w:rsidRPr="001017A1">
        <w:rPr>
          <w:rStyle w:val="fontstyle01"/>
          <w:rFonts w:ascii="Traditional Arabic" w:hAnsi="Traditional Arabic" w:cs="Traditional Arabic" w:hint="eastAsia"/>
          <w:sz w:val="30"/>
          <w:szCs w:val="30"/>
          <w:rtl/>
        </w:rPr>
        <w:t>ير</w:t>
      </w:r>
      <w:r w:rsidRPr="001017A1">
        <w:rPr>
          <w:rStyle w:val="fontstyle01"/>
          <w:rFonts w:ascii="Traditional Arabic" w:hAnsi="Traditional Arabic" w:cs="Traditional Arabic"/>
          <w:sz w:val="30"/>
          <w:szCs w:val="30"/>
          <w:rtl/>
        </w:rPr>
        <w:t xml:space="preserve"> 2019، قام</w:t>
      </w:r>
      <w:r w:rsidRPr="001017A1">
        <w:rPr>
          <w:rStyle w:val="fontstyle01"/>
          <w:rFonts w:ascii="Traditional Arabic" w:hAnsi="Traditional Arabic" w:cs="Traditional Arabic" w:hint="cs"/>
          <w:sz w:val="30"/>
          <w:szCs w:val="30"/>
          <w:rtl/>
        </w:rPr>
        <w:t xml:space="preserve"> فريق تقييم التحقيق المشترك </w:t>
      </w:r>
      <w:r w:rsidRPr="001017A1">
        <w:rPr>
          <w:rStyle w:val="fontstyle01"/>
          <w:rFonts w:ascii="Traditional Arabic" w:hAnsi="Traditional Arabic" w:cs="Traditional Arabic"/>
          <w:sz w:val="30"/>
          <w:szCs w:val="30"/>
          <w:rtl/>
        </w:rPr>
        <w:t>و</w:t>
      </w:r>
      <w:r w:rsidR="00770135" w:rsidRPr="00770135">
        <w:rPr>
          <w:rFonts w:ascii="Traditional Arabic" w:hAnsi="Traditional Arabic" w:cs="Traditional Arabic" w:hint="cs"/>
          <w:sz w:val="30"/>
          <w:szCs w:val="30"/>
          <w:rtl/>
        </w:rPr>
        <w:t xml:space="preserve"> </w:t>
      </w:r>
      <w:r w:rsidR="00770135">
        <w:rPr>
          <w:rFonts w:ascii="Traditional Arabic" w:hAnsi="Traditional Arabic" w:cs="Traditional Arabic" w:hint="cs"/>
          <w:sz w:val="30"/>
          <w:szCs w:val="30"/>
          <w:rtl/>
        </w:rPr>
        <w:t>ال</w:t>
      </w:r>
      <w:r w:rsidR="00770135" w:rsidRPr="009D7B92">
        <w:rPr>
          <w:rFonts w:ascii="Traditional Arabic" w:hAnsi="Traditional Arabic" w:cs="Traditional Arabic"/>
          <w:sz w:val="30"/>
          <w:szCs w:val="30"/>
          <w:rtl/>
        </w:rPr>
        <w:t xml:space="preserve">لجنة الوطنية </w:t>
      </w:r>
      <w:r w:rsidR="00770135">
        <w:rPr>
          <w:rFonts w:ascii="Traditional Arabic" w:hAnsi="Traditional Arabic" w:cs="Traditional Arabic" w:hint="cs"/>
          <w:sz w:val="30"/>
          <w:szCs w:val="30"/>
          <w:rtl/>
        </w:rPr>
        <w:t>ل</w:t>
      </w:r>
      <w:r w:rsidR="00770135" w:rsidRPr="009D7B92">
        <w:rPr>
          <w:rFonts w:ascii="Traditional Arabic" w:hAnsi="Traditional Arabic" w:cs="Traditional Arabic"/>
          <w:sz w:val="30"/>
          <w:szCs w:val="30"/>
          <w:rtl/>
        </w:rPr>
        <w:t xml:space="preserve">لتحقيق </w:t>
      </w:r>
      <w:r w:rsidRPr="001017A1">
        <w:rPr>
          <w:rStyle w:val="fontstyle01"/>
          <w:rFonts w:ascii="Traditional Arabic" w:hAnsi="Traditional Arabic" w:cs="Traditional Arabic"/>
          <w:sz w:val="30"/>
          <w:szCs w:val="30"/>
          <w:rtl/>
        </w:rPr>
        <w:t>بزيارة موقع المدرسة وتحدث</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مع موظفي المدرسة ومع أسر الضحايا</w:t>
      </w:r>
      <w:r w:rsidRPr="00C927B2">
        <w:rPr>
          <w:rStyle w:val="FootnoteReference"/>
          <w:sz w:val="24"/>
          <w:szCs w:val="24"/>
        </w:rPr>
        <w:footnoteReference w:id="237"/>
      </w:r>
      <w:r w:rsidRPr="00C927B2">
        <w:rPr>
          <w:rFonts w:asciiTheme="majorBidi" w:hAnsiTheme="majorBidi"/>
          <w:sz w:val="24"/>
          <w:szCs w:val="24"/>
          <w:rtl/>
        </w:rPr>
        <w:t>.</w:t>
      </w:r>
      <w:r w:rsidRPr="00C927B2">
        <w:rPr>
          <w:rFonts w:asciiTheme="majorBidi" w:hAnsiTheme="majorBidi" w:hint="cs"/>
          <w:sz w:val="24"/>
          <w:szCs w:val="24"/>
          <w:rtl/>
        </w:rPr>
        <w:t xml:space="preserve"> </w:t>
      </w:r>
      <w:r w:rsidRPr="001017A1">
        <w:rPr>
          <w:rStyle w:val="fontstyle01"/>
          <w:rFonts w:ascii="Traditional Arabic" w:hAnsi="Traditional Arabic" w:cs="Traditional Arabic" w:hint="cs"/>
          <w:sz w:val="30"/>
          <w:szCs w:val="30"/>
          <w:rtl/>
        </w:rPr>
        <w:t>ليس</w:t>
      </w:r>
      <w:r w:rsidRPr="001017A1">
        <w:rPr>
          <w:rStyle w:val="fontstyle01"/>
          <w:rFonts w:ascii="Traditional Arabic" w:hAnsi="Traditional Arabic" w:cs="Traditional Arabic"/>
          <w:sz w:val="30"/>
          <w:szCs w:val="30"/>
          <w:rtl/>
        </w:rPr>
        <w:t xml:space="preserve"> فريق الخبراء على علم بأي نتائج إضافية </w:t>
      </w:r>
      <w:r w:rsidRPr="001017A1">
        <w:rPr>
          <w:rStyle w:val="fontstyle01"/>
          <w:rFonts w:ascii="Traditional Arabic" w:hAnsi="Traditional Arabic" w:cs="Traditional Arabic" w:hint="cs"/>
          <w:sz w:val="30"/>
          <w:szCs w:val="30"/>
          <w:rtl/>
        </w:rPr>
        <w:t>عن</w:t>
      </w:r>
      <w:r w:rsidRPr="001017A1">
        <w:rPr>
          <w:rStyle w:val="fontstyle01"/>
          <w:rFonts w:ascii="Traditional Arabic" w:hAnsi="Traditional Arabic" w:cs="Traditional Arabic"/>
          <w:sz w:val="30"/>
          <w:szCs w:val="30"/>
          <w:rtl/>
        </w:rPr>
        <w:t xml:space="preserve"> الزيارة أو التحقيقات في الحادث</w:t>
      </w:r>
      <w:r w:rsidRPr="001017A1">
        <w:rPr>
          <w:rStyle w:val="fontstyle01"/>
          <w:rFonts w:ascii="Traditional Arabic" w:hAnsi="Traditional Arabic" w:cs="Traditional Arabic"/>
          <w:sz w:val="30"/>
          <w:szCs w:val="30"/>
        </w:rPr>
        <w:t>.</w:t>
      </w:r>
    </w:p>
    <w:p w14:paraId="3E165D0F" w14:textId="77777777" w:rsidR="00967CB7" w:rsidRPr="001017A1" w:rsidRDefault="00967CB7" w:rsidP="00361237">
      <w:pPr>
        <w:pStyle w:val="NoSpacing"/>
        <w:tabs>
          <w:tab w:val="left" w:pos="720"/>
          <w:tab w:val="left" w:pos="1134"/>
          <w:tab w:val="left" w:pos="1701"/>
        </w:tabs>
        <w:bidi/>
        <w:spacing w:after="120" w:line="240" w:lineRule="atLeast"/>
        <w:ind w:left="1080"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 xml:space="preserve">مسجد </w:t>
      </w:r>
      <w:r w:rsidRPr="001017A1">
        <w:rPr>
          <w:rStyle w:val="fontstyle01"/>
          <w:rFonts w:ascii="Traditional Arabic" w:eastAsia="Times New Roman" w:hAnsi="Traditional Arabic" w:cs="Traditional Arabic" w:hint="cs"/>
          <w:i/>
          <w:iCs/>
          <w:sz w:val="30"/>
          <w:szCs w:val="30"/>
          <w:rtl/>
        </w:rPr>
        <w:t>الحسيني، كريتر، عدن</w:t>
      </w:r>
    </w:p>
    <w:p w14:paraId="7AFCDD57" w14:textId="36989400" w:rsidR="00967CB7" w:rsidRPr="00C927B2" w:rsidRDefault="00967CB7" w:rsidP="008E6721">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sz w:val="30"/>
          <w:szCs w:val="30"/>
          <w:rtl/>
        </w:rPr>
        <w:t xml:space="preserve">في 16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حوالي الساعة</w:t>
      </w:r>
      <w:r w:rsidRPr="001017A1">
        <w:rPr>
          <w:rStyle w:val="fontstyle01"/>
          <w:rFonts w:ascii="Traditional Arabic" w:hAnsi="Traditional Arabic" w:cs="Traditional Arabic" w:hint="cs"/>
          <w:sz w:val="30"/>
          <w:szCs w:val="30"/>
          <w:rtl/>
        </w:rPr>
        <w:t xml:space="preserve"> الثانية عشرة ظهراً</w:t>
      </w:r>
      <w:r w:rsidRPr="001017A1">
        <w:rPr>
          <w:rStyle w:val="fontstyle01"/>
          <w:rFonts w:ascii="Traditional Arabic" w:hAnsi="Traditional Arabic" w:cs="Traditional Arabic"/>
          <w:sz w:val="30"/>
          <w:szCs w:val="30"/>
          <w:rtl/>
        </w:rPr>
        <w:t xml:space="preserve">، ضربت غارة جوية للتحالف مسجد الحسيني، في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كريتر في عدن. دمرت الغارة المسجد بالكامل، ولم يبق سوى مئذنت</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ن خارجيت</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ن في فناء المسجد</w:t>
      </w:r>
      <w:r w:rsidRPr="00C927B2">
        <w:rPr>
          <w:rStyle w:val="FootnoteReference"/>
          <w:sz w:val="24"/>
          <w:szCs w:val="24"/>
        </w:rPr>
        <w:footnoteReference w:id="238"/>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 xml:space="preserve">كان </w:t>
      </w:r>
      <w:r w:rsidRPr="001017A1">
        <w:rPr>
          <w:rStyle w:val="fontstyle01"/>
          <w:rFonts w:ascii="Traditional Arabic" w:hAnsi="Traditional Arabic" w:cs="Traditional Arabic"/>
          <w:sz w:val="30"/>
          <w:szCs w:val="30"/>
          <w:rtl/>
        </w:rPr>
        <w:t>مسجد الحسيني مسجد الشيعة الشهير في عدن</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الذي 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ني في نهاية القرن التاسع عشر. كان المسجد أيضًا جزءًا من مجمع الحسيني الأكبر، إلى جانب مبنى تم تجديده مؤخرًا في نفس الفناء. كان للمسجد أهمية دينية وتاريخية وثقافية خاصة بالنسبة لطائفة الأقلية الشيعية في عدن، </w:t>
      </w:r>
      <w:r w:rsidRPr="001017A1">
        <w:rPr>
          <w:rStyle w:val="fontstyle01"/>
          <w:rFonts w:ascii="Traditional Arabic" w:hAnsi="Traditional Arabic" w:cs="Traditional Arabic" w:hint="cs"/>
          <w:sz w:val="30"/>
          <w:szCs w:val="30"/>
          <w:rtl/>
        </w:rPr>
        <w:t xml:space="preserve">حيث </w:t>
      </w:r>
      <w:r w:rsidRPr="001017A1">
        <w:rPr>
          <w:rStyle w:val="fontstyle01"/>
          <w:rFonts w:ascii="Traditional Arabic" w:hAnsi="Traditional Arabic" w:cs="Traditional Arabic"/>
          <w:sz w:val="30"/>
          <w:szCs w:val="30"/>
          <w:rtl/>
        </w:rPr>
        <w:t xml:space="preserve">غادر العديد من أفرادها المدينة قبل هجوم 2015 خوفًا من الاضطهاد. لم يكن مسجد الحسيني </w:t>
      </w:r>
      <w:r w:rsidRPr="001017A1">
        <w:rPr>
          <w:rStyle w:val="fontstyle01"/>
          <w:rFonts w:ascii="Traditional Arabic" w:hAnsi="Traditional Arabic" w:cs="Traditional Arabic" w:hint="cs"/>
          <w:sz w:val="30"/>
          <w:szCs w:val="30"/>
          <w:rtl/>
        </w:rPr>
        <w:t>شغالاً</w:t>
      </w:r>
      <w:r w:rsidRPr="001017A1">
        <w:rPr>
          <w:rStyle w:val="fontstyle01"/>
          <w:rFonts w:ascii="Traditional Arabic" w:hAnsi="Traditional Arabic" w:cs="Traditional Arabic"/>
          <w:sz w:val="30"/>
          <w:szCs w:val="30"/>
          <w:rtl/>
        </w:rPr>
        <w:t xml:space="preserve"> خلال القتال في عام 2015.</w:t>
      </w:r>
      <w:r w:rsidRPr="00C927B2">
        <w:rPr>
          <w:rStyle w:val="FootnoteReference"/>
          <w:sz w:val="24"/>
          <w:szCs w:val="24"/>
        </w:rPr>
        <w:t xml:space="preserve"> </w:t>
      </w:r>
      <w:r w:rsidRPr="00C927B2">
        <w:rPr>
          <w:rStyle w:val="FootnoteReference"/>
          <w:sz w:val="24"/>
          <w:szCs w:val="24"/>
        </w:rPr>
        <w:footnoteReference w:id="239"/>
      </w:r>
      <w:r w:rsidRPr="001017A1">
        <w:rPr>
          <w:rStyle w:val="fontstyle01"/>
          <w:rFonts w:ascii="Traditional Arabic" w:hAnsi="Traditional Arabic" w:cs="Traditional Arabic"/>
          <w:sz w:val="30"/>
          <w:szCs w:val="30"/>
          <w:rtl/>
        </w:rPr>
        <w:t>وفقًا ل</w:t>
      </w:r>
      <w:r w:rsidRPr="001017A1">
        <w:rPr>
          <w:rStyle w:val="fontstyle01"/>
          <w:rFonts w:ascii="Traditional Arabic" w:hAnsi="Traditional Arabic" w:cs="Traditional Arabic" w:hint="cs"/>
          <w:sz w:val="30"/>
          <w:szCs w:val="30"/>
          <w:rtl/>
        </w:rPr>
        <w:t>شخصين مقيمين في مديرية</w:t>
      </w:r>
      <w:r w:rsidRPr="001017A1">
        <w:rPr>
          <w:rStyle w:val="fontstyle01"/>
          <w:rFonts w:ascii="Traditional Arabic" w:hAnsi="Traditional Arabic" w:cs="Traditional Arabic"/>
          <w:sz w:val="30"/>
          <w:szCs w:val="30"/>
          <w:rtl/>
        </w:rPr>
        <w:t xml:space="preserve"> كريتر، تم إغلاق المسجد طوال الحرب ولم يدخل</w:t>
      </w:r>
      <w:r w:rsidRPr="001017A1">
        <w:rPr>
          <w:rStyle w:val="fontstyle01"/>
          <w:rFonts w:ascii="Traditional Arabic" w:hAnsi="Traditional Arabic" w:cs="Traditional Arabic" w:hint="cs"/>
          <w:sz w:val="30"/>
          <w:szCs w:val="30"/>
          <w:rtl/>
        </w:rPr>
        <w:t>ه</w:t>
      </w:r>
      <w:r w:rsidRPr="001017A1">
        <w:rPr>
          <w:rStyle w:val="fontstyle01"/>
          <w:rFonts w:ascii="Traditional Arabic" w:hAnsi="Traditional Arabic" w:cs="Traditional Arabic"/>
          <w:sz w:val="30"/>
          <w:szCs w:val="30"/>
          <w:rtl/>
        </w:rPr>
        <w:t xml:space="preserve"> أو يحت</w:t>
      </w:r>
      <w:r w:rsidRPr="001017A1">
        <w:rPr>
          <w:rStyle w:val="fontstyle01"/>
          <w:rFonts w:ascii="Traditional Arabic" w:hAnsi="Traditional Arabic" w:cs="Traditional Arabic" w:hint="cs"/>
          <w:sz w:val="30"/>
          <w:szCs w:val="30"/>
          <w:rtl/>
        </w:rPr>
        <w:t>له</w:t>
      </w:r>
      <w:r w:rsidRPr="001017A1">
        <w:rPr>
          <w:rStyle w:val="fontstyle01"/>
          <w:rFonts w:ascii="Traditional Arabic" w:hAnsi="Traditional Arabic" w:cs="Traditional Arabic"/>
          <w:sz w:val="30"/>
          <w:szCs w:val="30"/>
          <w:rtl/>
        </w:rPr>
        <w:t xml:space="preserve"> أي مقاتل</w:t>
      </w:r>
      <w:r w:rsidRPr="00C927B2">
        <w:rPr>
          <w:rFonts w:asciiTheme="majorBidi" w:hAnsiTheme="majorBidi"/>
          <w:sz w:val="24"/>
          <w:szCs w:val="24"/>
          <w:rtl/>
        </w:rPr>
        <w:t xml:space="preserve"> </w:t>
      </w:r>
      <w:r w:rsidRPr="00C927B2">
        <w:rPr>
          <w:rStyle w:val="FootnoteReference"/>
          <w:sz w:val="24"/>
          <w:szCs w:val="24"/>
        </w:rPr>
        <w:footnoteReference w:id="240"/>
      </w:r>
      <w:r w:rsidRPr="00C927B2">
        <w:rPr>
          <w:rFonts w:asciiTheme="majorBidi" w:hAnsiTheme="majorBidi" w:cstheme="majorBidi"/>
          <w:sz w:val="24"/>
          <w:szCs w:val="24"/>
        </w:rPr>
        <w:t>.</w:t>
      </w:r>
    </w:p>
    <w:p w14:paraId="51C44B17"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Pr>
          <w:rStyle w:val="fontstyle01"/>
          <w:rFonts w:ascii="Traditional Arabic" w:hAnsi="Traditional Arabic" w:cs="Traditional Arabic" w:hint="cs"/>
          <w:sz w:val="30"/>
          <w:szCs w:val="30"/>
          <w:rtl/>
        </w:rPr>
        <w:t>بعد التحقق من</w:t>
      </w:r>
      <w:r w:rsidRPr="001017A1">
        <w:rPr>
          <w:rStyle w:val="fontstyle01"/>
          <w:rFonts w:ascii="Traditional Arabic" w:hAnsi="Traditional Arabic" w:cs="Traditional Arabic"/>
          <w:sz w:val="30"/>
          <w:szCs w:val="30"/>
          <w:rtl/>
        </w:rPr>
        <w:t xml:space="preserve"> صورة </w:t>
      </w:r>
      <w:r w:rsidRPr="001017A1">
        <w:rPr>
          <w:rStyle w:val="fontstyle01"/>
          <w:rFonts w:ascii="Traditional Arabic" w:hAnsi="Traditional Arabic" w:cs="Traditional Arabic" w:hint="cs"/>
          <w:sz w:val="30"/>
          <w:szCs w:val="30"/>
          <w:rtl/>
        </w:rPr>
        <w:t>القمر الصناعي</w:t>
      </w:r>
      <w:r w:rsidRPr="001017A1">
        <w:rPr>
          <w:rStyle w:val="fontstyle01"/>
          <w:rFonts w:ascii="Traditional Arabic" w:hAnsi="Traditional Arabic" w:cs="Traditional Arabic"/>
          <w:sz w:val="30"/>
          <w:szCs w:val="30"/>
          <w:rtl/>
        </w:rPr>
        <w:t xml:space="preserve"> مؤرخة 15 تموز / يوليه 2015، خلص</w:t>
      </w:r>
      <w:r w:rsidRPr="001017A1">
        <w:rPr>
          <w:rStyle w:val="fontstyle01"/>
          <w:rFonts w:ascii="Traditional Arabic" w:hAnsi="Traditional Arabic" w:cs="Traditional Arabic" w:hint="cs"/>
          <w:sz w:val="30"/>
          <w:szCs w:val="30"/>
          <w:rtl/>
        </w:rPr>
        <w:t xml:space="preserve"> الفريق المشترك لتقييم الحوادث</w:t>
      </w:r>
      <w:r w:rsidRPr="001017A1">
        <w:rPr>
          <w:rStyle w:val="fontstyle01"/>
          <w:rFonts w:ascii="Traditional Arabic" w:hAnsi="Traditional Arabic" w:cs="Traditional Arabic"/>
          <w:sz w:val="30"/>
          <w:szCs w:val="30"/>
          <w:rtl/>
        </w:rPr>
        <w:t xml:space="preserve"> إلى أن </w:t>
      </w:r>
      <w:r w:rsidRPr="001017A1">
        <w:rPr>
          <w:rStyle w:val="fontstyle01"/>
          <w:rFonts w:ascii="Traditional Arabic" w:hAnsi="Traditional Arabic" w:cs="Traditional Arabic" w:hint="cs"/>
          <w:sz w:val="30"/>
          <w:szCs w:val="30"/>
          <w:rtl/>
        </w:rPr>
        <w:t>أي أضرار لم تلحق بالمسجد</w:t>
      </w:r>
      <w:r w:rsidRPr="001017A1">
        <w:rPr>
          <w:rStyle w:val="fontstyle01"/>
          <w:rFonts w:ascii="Traditional Arabic" w:hAnsi="Traditional Arabic" w:cs="Traditional Arabic"/>
          <w:sz w:val="30"/>
          <w:szCs w:val="30"/>
          <w:rtl/>
        </w:rPr>
        <w:t>.</w:t>
      </w:r>
      <w:r w:rsidRPr="00DC4C60">
        <w:rPr>
          <w:rtl/>
        </w:rPr>
        <w:t xml:space="preserve"> </w:t>
      </w:r>
      <w:r w:rsidRPr="00DC4C60">
        <w:rPr>
          <w:rStyle w:val="fontstyle01"/>
          <w:rFonts w:ascii="Traditional Arabic" w:hAnsi="Traditional Arabic" w:cs="Traditional Arabic"/>
          <w:color w:val="auto"/>
          <w:sz w:val="30"/>
          <w:szCs w:val="30"/>
          <w:rtl/>
        </w:rPr>
        <w:t xml:space="preserve">ومع ذلك، يبدو أن هذا التحليل يستند إلى تحليل صورة من قبل يوم </w:t>
      </w:r>
      <w:r>
        <w:rPr>
          <w:rStyle w:val="fontstyle01"/>
          <w:rFonts w:ascii="Traditional Arabic" w:hAnsi="Traditional Arabic" w:cs="Traditional Arabic" w:hint="cs"/>
          <w:sz w:val="30"/>
          <w:szCs w:val="30"/>
          <w:rtl/>
        </w:rPr>
        <w:t>ا</w:t>
      </w:r>
      <w:r w:rsidRPr="00DC4C60">
        <w:rPr>
          <w:rStyle w:val="fontstyle01"/>
          <w:rFonts w:ascii="Traditional Arabic" w:hAnsi="Traditional Arabic" w:cs="Traditional Arabic"/>
          <w:color w:val="auto"/>
          <w:sz w:val="30"/>
          <w:szCs w:val="30"/>
          <w:rtl/>
        </w:rPr>
        <w:t xml:space="preserve">لحادث </w:t>
      </w:r>
      <w:r w:rsidRPr="00C927B2">
        <w:rPr>
          <w:rStyle w:val="FootnoteReference"/>
          <w:sz w:val="24"/>
          <w:szCs w:val="24"/>
        </w:rPr>
        <w:footnoteReference w:id="241"/>
      </w:r>
      <w:r w:rsidRPr="00C927B2">
        <w:rPr>
          <w:rFonts w:asciiTheme="majorBidi" w:hAnsiTheme="majorBidi" w:cstheme="majorBidi"/>
          <w:sz w:val="24"/>
          <w:szCs w:val="24"/>
        </w:rPr>
        <w:t>.</w:t>
      </w:r>
    </w:p>
    <w:p w14:paraId="72818E30" w14:textId="3A96BFA9" w:rsidR="00967CB7" w:rsidRDefault="00967CB7" w:rsidP="009E1B50">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DC4C60">
        <w:rPr>
          <w:rStyle w:val="fontstyle01"/>
          <w:rFonts w:ascii="Traditional Arabic" w:hAnsi="Traditional Arabic" w:cs="Traditional Arabic"/>
          <w:color w:val="auto"/>
          <w:sz w:val="30"/>
          <w:szCs w:val="30"/>
          <w:rtl/>
        </w:rPr>
        <w:t xml:space="preserve">بعد انسحاب </w:t>
      </w:r>
      <w:r w:rsidR="009E1B50">
        <w:rPr>
          <w:rStyle w:val="fontstyle01"/>
          <w:rFonts w:ascii="Traditional Arabic" w:hAnsi="Traditional Arabic" w:cs="Traditional Arabic" w:hint="cs"/>
          <w:color w:val="auto"/>
          <w:sz w:val="30"/>
          <w:szCs w:val="30"/>
          <w:rtl/>
        </w:rPr>
        <w:t xml:space="preserve">مقاتلو </w:t>
      </w:r>
      <w:r w:rsidRPr="00DC4C60">
        <w:rPr>
          <w:rStyle w:val="fontstyle01"/>
          <w:rFonts w:ascii="Traditional Arabic" w:hAnsi="Traditional Arabic" w:cs="Traditional Arabic"/>
          <w:color w:val="auto"/>
          <w:sz w:val="30"/>
          <w:szCs w:val="30"/>
          <w:rtl/>
        </w:rPr>
        <w:t>الحوثي - صالح من عدن</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أزالت المقاومة الأنقاض المتبقية وحولت ما تبقى من </w:t>
      </w:r>
      <w:r>
        <w:rPr>
          <w:rStyle w:val="fontstyle01"/>
          <w:rFonts w:ascii="Traditional Arabic" w:hAnsi="Traditional Arabic" w:cs="Traditional Arabic" w:hint="cs"/>
          <w:sz w:val="30"/>
          <w:szCs w:val="30"/>
          <w:rtl/>
        </w:rPr>
        <w:t xml:space="preserve">مسجد </w:t>
      </w:r>
      <w:r w:rsidRPr="001017A1">
        <w:rPr>
          <w:rStyle w:val="fontstyle01"/>
          <w:rFonts w:ascii="Traditional Arabic" w:hAnsi="Traditional Arabic" w:cs="Traditional Arabic"/>
          <w:sz w:val="30"/>
          <w:szCs w:val="30"/>
          <w:rtl/>
        </w:rPr>
        <w:t>الحسينية إلى مسجد سني، أعادوا تسميته باسم "مسجد الشهداء السن</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ة</w:t>
      </w:r>
      <w:r w:rsidRPr="00C927B2">
        <w:rPr>
          <w:rFonts w:asciiTheme="majorBidi" w:hAnsiTheme="majorBidi" w:cstheme="majorBidi"/>
          <w:sz w:val="24"/>
          <w:szCs w:val="24"/>
        </w:rPr>
        <w:t>"</w:t>
      </w:r>
      <w:r w:rsidRPr="00C927B2">
        <w:rPr>
          <w:rFonts w:asciiTheme="majorBidi" w:hAnsiTheme="majorBidi" w:cstheme="majorBidi" w:hint="cs"/>
          <w:sz w:val="24"/>
          <w:szCs w:val="24"/>
          <w:rtl/>
        </w:rPr>
        <w:t>.</w:t>
      </w:r>
      <w:r w:rsidRPr="00C927B2">
        <w:rPr>
          <w:rStyle w:val="FootnoteReference"/>
          <w:sz w:val="24"/>
          <w:szCs w:val="24"/>
        </w:rPr>
        <w:footnoteReference w:id="242"/>
      </w:r>
    </w:p>
    <w:p w14:paraId="6F38C9A9" w14:textId="77777777" w:rsidR="00967CB7" w:rsidRPr="001017A1" w:rsidRDefault="00967CB7" w:rsidP="00361237">
      <w:pPr>
        <w:pStyle w:val="NoSpacing"/>
        <w:tabs>
          <w:tab w:val="left" w:pos="720"/>
          <w:tab w:val="left" w:pos="1134"/>
          <w:tab w:val="left" w:pos="1701"/>
        </w:tabs>
        <w:bidi/>
        <w:spacing w:after="120" w:line="240" w:lineRule="atLeast"/>
        <w:ind w:right="827" w:firstLine="1026"/>
        <w:jc w:val="both"/>
        <w:rPr>
          <w:rStyle w:val="fontstyle01"/>
          <w:rFonts w:ascii="Traditional Arabic" w:eastAsia="Times New Roman" w:hAnsi="Traditional Arabic" w:cs="Traditional Arabic"/>
          <w:i/>
          <w:iCs/>
          <w:sz w:val="30"/>
          <w:szCs w:val="30"/>
          <w:rtl/>
        </w:rPr>
      </w:pPr>
      <w:r w:rsidRPr="001017A1">
        <w:rPr>
          <w:rStyle w:val="fontstyle01"/>
          <w:rFonts w:ascii="Traditional Arabic" w:eastAsia="Times New Roman" w:hAnsi="Traditional Arabic" w:cs="Traditional Arabic" w:hint="cs"/>
          <w:i/>
          <w:iCs/>
          <w:sz w:val="30"/>
          <w:szCs w:val="30"/>
          <w:rtl/>
        </w:rPr>
        <w:t>الانتهاكات</w:t>
      </w:r>
    </w:p>
    <w:p w14:paraId="709D4CE8" w14:textId="77777777" w:rsidR="00967CB7" w:rsidRPr="00D4519A" w:rsidRDefault="00967CB7" w:rsidP="00C44B69">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sidRPr="001017A1">
        <w:rPr>
          <w:rStyle w:val="fontstyle01"/>
          <w:rFonts w:ascii="Traditional Arabic" w:hAnsi="Traditional Arabic" w:cs="Traditional Arabic" w:hint="cs"/>
          <w:sz w:val="30"/>
          <w:szCs w:val="30"/>
          <w:rtl/>
        </w:rPr>
        <w:lastRenderedPageBreak/>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المشاركين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العدائية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الوحيدين الذين يجوز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توجيه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ضدهم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الأوقات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يجوز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توجيه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ضد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الكيانات 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تفقد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حمايتها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الهجمات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 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لأغراض</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عسكرية</w:t>
      </w:r>
      <w:r w:rsidRPr="00E510B7">
        <w:rPr>
          <w:rFonts w:asciiTheme="majorBidi" w:hAnsiTheme="majorBidi"/>
          <w:sz w:val="24"/>
          <w:szCs w:val="24"/>
          <w:rtl/>
        </w:rPr>
        <w:t>.</w:t>
      </w:r>
      <w:r w:rsidRPr="00D92FF6">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43"/>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حالة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 الصراع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لهدف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عسكري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عليها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احترام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وفقًا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المبدأ،</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ربما من غير المتوقع  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يؤثر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بطريقة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مفرطة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بالميزة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المتوقعة</w:t>
      </w:r>
      <w:r w:rsidRPr="00E510B7">
        <w:rPr>
          <w:rFonts w:asciiTheme="majorBidi" w:hAnsiTheme="majorBidi"/>
          <w:sz w:val="24"/>
          <w:szCs w:val="24"/>
          <w:rtl/>
        </w:rPr>
        <w:t>.</w:t>
      </w:r>
      <w:r w:rsidRPr="00B10F2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44"/>
      </w:r>
      <w:r w:rsidRPr="001017A1">
        <w:rPr>
          <w:rStyle w:val="fontstyle01"/>
          <w:rFonts w:ascii="Traditional Arabic" w:hAnsi="Traditional Arabic" w:cs="Traditional Arabic" w:hint="cs"/>
          <w:sz w:val="30"/>
          <w:szCs w:val="30"/>
          <w:rtl/>
        </w:rPr>
        <w:t>وأخيراً،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تمشياً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مبدأ</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توخي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الحذر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الدائم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لتجنيب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والأعيان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عند إدارة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العمليات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w:t>
      </w:r>
      <w:r>
        <w:rPr>
          <w:rStyle w:val="FootnoteReference"/>
          <w:rFonts w:asciiTheme="majorBidi" w:hAnsiTheme="majorBidi" w:cstheme="majorBidi"/>
          <w:sz w:val="20"/>
        </w:rPr>
        <w:footnoteReference w:id="245"/>
      </w:r>
    </w:p>
    <w:p w14:paraId="5D9C4B81" w14:textId="6CCCD70F" w:rsidR="00967CB7" w:rsidRPr="001017A1" w:rsidRDefault="00967CB7" w:rsidP="00C95ED4">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الموضحة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أعلاه،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غارات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تضرب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أهدافًا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علاوة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ذلك،</w:t>
      </w:r>
      <w:r w:rsidR="009E1B50">
        <w:rPr>
          <w:rStyle w:val="fontstyle01"/>
          <w:rFonts w:ascii="Traditional Arabic" w:hAnsi="Traditional Arabic" w:cs="Traditional Arabic" w:hint="cs"/>
          <w:sz w:val="30"/>
          <w:szCs w:val="30"/>
          <w:rtl/>
        </w:rPr>
        <w:t xml:space="preserve"> في وقت</w:t>
      </w:r>
      <w:r w:rsidR="00C95ED4">
        <w:rPr>
          <w:rStyle w:val="fontstyle01"/>
          <w:rFonts w:ascii="Traditional Arabic" w:hAnsi="Traditional Arabic" w:cs="Traditional Arabic" w:hint="cs"/>
          <w:sz w:val="30"/>
          <w:szCs w:val="30"/>
          <w:rtl/>
        </w:rPr>
        <w:t xml:space="preserve"> القيام</w:t>
      </w:r>
      <w:r w:rsidR="009E1B50">
        <w:rPr>
          <w:rStyle w:val="fontstyle01"/>
          <w:rFonts w:ascii="Traditional Arabic" w:hAnsi="Traditional Arabic" w:cs="Traditional Arabic" w:hint="cs"/>
          <w:sz w:val="30"/>
          <w:szCs w:val="30"/>
          <w:rtl/>
        </w:rPr>
        <w:t xml:space="preserve"> </w:t>
      </w:r>
      <w:r w:rsidR="00C95ED4">
        <w:rPr>
          <w:rStyle w:val="fontstyle01"/>
          <w:rFonts w:ascii="Traditional Arabic" w:hAnsi="Traditional Arabic" w:cs="Traditional Arabic" w:hint="cs"/>
          <w:sz w:val="30"/>
          <w:szCs w:val="30"/>
          <w:rtl/>
        </w:rPr>
        <w:t>ب</w:t>
      </w:r>
      <w:r w:rsidR="009E1B50">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009E1B50">
        <w:rPr>
          <w:rStyle w:val="fontstyle01"/>
          <w:rFonts w:ascii="Traditional Arabic" w:hAnsi="Traditional Arabic" w:cs="Traditional Arabic" w:hint="cs"/>
          <w:sz w:val="30"/>
          <w:szCs w:val="30"/>
          <w:rtl/>
        </w:rPr>
        <w:t>بد</w:t>
      </w:r>
      <w:r w:rsidR="00C95ED4">
        <w:rPr>
          <w:rStyle w:val="fontstyle01"/>
          <w:rFonts w:ascii="Traditional Arabic" w:hAnsi="Traditional Arabic" w:cs="Traditional Arabic" w:hint="cs"/>
          <w:sz w:val="30"/>
          <w:szCs w:val="30"/>
          <w:rtl/>
        </w:rPr>
        <w:t>ت</w:t>
      </w:r>
      <w:r w:rsidR="009E1B50">
        <w:rPr>
          <w:rStyle w:val="fontstyle01"/>
          <w:rFonts w:ascii="Traditional Arabic" w:hAnsi="Traditional Arabic" w:cs="Traditional Arabic" w:hint="cs"/>
          <w:sz w:val="30"/>
          <w:szCs w:val="30"/>
          <w:rtl/>
        </w:rPr>
        <w:t xml:space="preserve"> </w:t>
      </w:r>
      <w:r w:rsidR="00C95ED4">
        <w:rPr>
          <w:rStyle w:val="fontstyle01"/>
          <w:rFonts w:ascii="Traditional Arabic" w:hAnsi="Traditional Arabic" w:cs="Traditional Arabic" w:hint="cs"/>
          <w:sz w:val="30"/>
          <w:szCs w:val="30"/>
          <w:rtl/>
        </w:rPr>
        <w:t xml:space="preserve">كأنها </w:t>
      </w:r>
      <w:r w:rsidRPr="001017A1">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 كيانات 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تستفيد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الحماية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كمرفق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مخصص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للتعليم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مدرسة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مصعب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عمبر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 كموقع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ثقافي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وديني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مسجد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الحسينية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 الأشياء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غنى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لبقاء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الماشية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هذه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الحالات،</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وجد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ان طبيعة الهجوم ي</w:t>
      </w:r>
      <w:r w:rsidRPr="001017A1">
        <w:rPr>
          <w:rStyle w:val="fontstyle01"/>
          <w:rFonts w:ascii="Traditional Arabic" w:hAnsi="Traditional Arabic" w:cs="Traditional Arabic" w:hint="cs"/>
          <w:sz w:val="30"/>
          <w:szCs w:val="30"/>
          <w:rtl/>
        </w:rPr>
        <w:t>ثير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مخاوف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بإجراءات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الاستهداف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الخاصة بالتحالف</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 xml:space="preserve">حتى </w:t>
      </w:r>
      <w:r w:rsidRPr="001017A1">
        <w:rPr>
          <w:rStyle w:val="fontstyle01"/>
          <w:rFonts w:ascii="Traditional Arabic" w:hAnsi="Traditional Arabic" w:cs="Traditional Arabic" w:hint="cs"/>
          <w:sz w:val="30"/>
          <w:szCs w:val="30"/>
          <w:rtl/>
        </w:rPr>
        <w:t>إذا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حدد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الأهداف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العسكرية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بفعالية،</w:t>
      </w:r>
      <w:r w:rsidRPr="001017A1">
        <w:rPr>
          <w:rStyle w:val="fontstyle01"/>
          <w:rFonts w:ascii="Traditional Arabic" w:hAnsi="Traditional Arabic" w:cs="Traditional Arabic"/>
          <w:sz w:val="30"/>
          <w:szCs w:val="30"/>
          <w:rtl/>
        </w:rPr>
        <w:t xml:space="preserve"> </w:t>
      </w:r>
      <w:r w:rsidRPr="00416862">
        <w:rPr>
          <w:rStyle w:val="fontstyle01"/>
          <w:rFonts w:ascii="Traditional Arabic" w:hAnsi="Traditional Arabic" w:cs="Traditional Arabic"/>
          <w:color w:val="auto"/>
          <w:sz w:val="30"/>
          <w:szCs w:val="30"/>
          <w:rtl/>
        </w:rPr>
        <w:t>الذي هو في حد ذاته في النزاع</w:t>
      </w:r>
      <w:r>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hint="cs"/>
          <w:sz w:val="30"/>
          <w:szCs w:val="30"/>
          <w:rtl/>
        </w:rPr>
        <w:t>فإن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الضربات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مزدحم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ومدرسة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تؤوي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النازحين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يثير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مخاوف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يتعلق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بمبادئ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بالنظر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أنه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كان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الممكن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توقع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وقوع عدد من القتلى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الهجوم</w:t>
      </w:r>
      <w:r w:rsidRPr="001017A1">
        <w:rPr>
          <w:rStyle w:val="fontstyle01"/>
          <w:rFonts w:ascii="Traditional Arabic" w:hAnsi="Traditional Arabic" w:cs="Traditional Arabic"/>
          <w:sz w:val="30"/>
          <w:szCs w:val="30"/>
          <w:rtl/>
        </w:rPr>
        <w:t>.</w:t>
      </w:r>
    </w:p>
    <w:p w14:paraId="50096B01" w14:textId="2A9079E7" w:rsidR="00967CB7" w:rsidRPr="001017A1" w:rsidRDefault="00967CB7" w:rsidP="002667B9">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hint="eastAsia"/>
          <w:sz w:val="30"/>
          <w:szCs w:val="30"/>
          <w:rtl/>
        </w:rPr>
        <w:t>بناءً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الأدلة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المتوفرة،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التحالف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نفذ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غارات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جوية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عدن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ربما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تمتثل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لمبادئ</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والاحتياطات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تصل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مبدأي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التمييز</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والتناسب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انتهاكات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جسيمة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الإنساني</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hint="eastAsia"/>
          <w:sz w:val="30"/>
          <w:szCs w:val="30"/>
          <w:rtl/>
        </w:rPr>
        <w:t>شن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عشوائي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إصابة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مدنيين،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شن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هجوم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مع ال</w:t>
      </w:r>
      <w:r w:rsidR="002667B9">
        <w:rPr>
          <w:rStyle w:val="fontstyle01"/>
          <w:rFonts w:ascii="Traditional Arabic" w:hAnsi="Traditional Arabic" w:cs="Traditional Arabic" w:hint="cs"/>
          <w:sz w:val="30"/>
          <w:szCs w:val="30"/>
          <w:rtl/>
        </w:rPr>
        <w:t xml:space="preserve">توقع </w:t>
      </w:r>
      <w:r w:rsidRPr="001017A1">
        <w:rPr>
          <w:rStyle w:val="fontstyle01"/>
          <w:rFonts w:ascii="Traditional Arabic" w:hAnsi="Traditional Arabic" w:cs="Traditional Arabic" w:hint="eastAsia"/>
          <w:sz w:val="30"/>
          <w:szCs w:val="30"/>
          <w:rtl/>
        </w:rPr>
        <w:t>أنه</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سوف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يتسبب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بخسائر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فادحة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إصابات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أضرار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مدنية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مفرطة</w:t>
      </w:r>
      <w:r>
        <w:rPr>
          <w:rStyle w:val="fontstyle01"/>
          <w:rFonts w:ascii="Traditional Arabic" w:hAnsi="Traditional Arabic" w:cs="Traditional Arabic" w:hint="cs"/>
          <w:sz w:val="30"/>
          <w:szCs w:val="30"/>
          <w:rtl/>
        </w:rPr>
        <w:t xml:space="preserve"> ربما قد تؤدي الى مسؤولية جنائية فردية عن جرائم الحرب</w:t>
      </w:r>
      <w:r w:rsidRPr="001017A1">
        <w:rPr>
          <w:rFonts w:asciiTheme="majorBidi" w:hAnsiTheme="majorBidi"/>
          <w:sz w:val="24"/>
          <w:szCs w:val="24"/>
          <w:rtl/>
        </w:rPr>
        <w:t>.</w:t>
      </w:r>
      <w:r w:rsidRPr="001017A1">
        <w:rPr>
          <w:rStyle w:val="FootnoteReference"/>
          <w:rFonts w:asciiTheme="majorBidi" w:hAnsiTheme="majorBidi" w:cstheme="majorBidi"/>
          <w:sz w:val="24"/>
          <w:szCs w:val="24"/>
        </w:rPr>
        <w:t xml:space="preserve"> </w:t>
      </w:r>
      <w:r w:rsidRPr="001017A1">
        <w:rPr>
          <w:rStyle w:val="FootnoteReference"/>
          <w:rFonts w:asciiTheme="majorBidi" w:hAnsiTheme="majorBidi" w:cstheme="majorBidi"/>
          <w:sz w:val="24"/>
          <w:szCs w:val="24"/>
        </w:rPr>
        <w:footnoteReference w:id="246"/>
      </w:r>
      <w:r w:rsidRPr="001017A1">
        <w:rPr>
          <w:rStyle w:val="fontstyle01"/>
          <w:rFonts w:ascii="Traditional Arabic" w:hAnsi="Traditional Arabic" w:cs="Traditional Arabic" w:hint="eastAsia"/>
          <w:sz w:val="30"/>
          <w:szCs w:val="30"/>
          <w:rtl/>
        </w:rPr>
        <w:t>هذا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ينطوي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مسؤولية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جنائية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hint="eastAsia"/>
          <w:sz w:val="30"/>
          <w:szCs w:val="30"/>
          <w:rtl/>
        </w:rPr>
        <w:t>جميع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مستويات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eastAsia"/>
          <w:sz w:val="30"/>
          <w:szCs w:val="30"/>
          <w:rtl/>
        </w:rPr>
        <w:t>القيادة</w:t>
      </w:r>
      <w:r w:rsidRPr="001017A1">
        <w:rPr>
          <w:rStyle w:val="fontstyle01"/>
          <w:rFonts w:ascii="Traditional Arabic" w:hAnsi="Traditional Arabic" w:cs="Traditional Arabic"/>
          <w:sz w:val="30"/>
          <w:szCs w:val="30"/>
          <w:rtl/>
        </w:rPr>
        <w:t xml:space="preserve">. </w:t>
      </w:r>
    </w:p>
    <w:p w14:paraId="145AE8B9" w14:textId="1FB6DE4B" w:rsidR="00967CB7" w:rsidRPr="00EE3E94" w:rsidRDefault="00C30223" w:rsidP="00C44B69">
      <w:pPr>
        <w:pStyle w:val="NoSpacing"/>
        <w:tabs>
          <w:tab w:val="left" w:pos="720"/>
          <w:tab w:val="left" w:pos="1134"/>
          <w:tab w:val="left" w:pos="1701"/>
        </w:tabs>
        <w:bidi/>
        <w:spacing w:after="120" w:line="240" w:lineRule="atLeast"/>
        <w:ind w:left="1142" w:right="360" w:hanging="593"/>
        <w:rPr>
          <w:rFonts w:asciiTheme="majorBidi" w:eastAsia="Times New Roman" w:hAnsiTheme="majorBidi" w:cstheme="majorBidi"/>
          <w:b/>
          <w:bCs/>
          <w:sz w:val="24"/>
          <w:szCs w:val="24"/>
          <w:lang w:eastAsia="en-GB"/>
        </w:rPr>
      </w:pPr>
      <w:r>
        <w:rPr>
          <w:rStyle w:val="fontstyle01"/>
          <w:rFonts w:ascii="Traditional Arabic" w:hAnsi="Traditional Arabic" w:cs="Traditional Arabic"/>
          <w:b/>
          <w:bCs/>
          <w:sz w:val="30"/>
          <w:szCs w:val="30"/>
        </w:rPr>
        <w:tab/>
      </w:r>
      <w:r>
        <w:rPr>
          <w:rStyle w:val="fontstyle01"/>
          <w:rFonts w:ascii="Traditional Arabic" w:hAnsi="Traditional Arabic" w:cs="Traditional Arabic"/>
          <w:b/>
          <w:bCs/>
          <w:sz w:val="30"/>
          <w:szCs w:val="30"/>
        </w:rPr>
        <w:tab/>
      </w:r>
      <w:r w:rsidR="00967CB7" w:rsidRPr="00EE3E94">
        <w:rPr>
          <w:rStyle w:val="fontstyle01"/>
          <w:rFonts w:ascii="Traditional Arabic" w:hAnsi="Traditional Arabic" w:cs="Traditional Arabic" w:hint="cs"/>
          <w:b/>
          <w:bCs/>
          <w:sz w:val="30"/>
          <w:szCs w:val="30"/>
          <w:rtl/>
        </w:rPr>
        <w:t xml:space="preserve">ز) </w:t>
      </w:r>
      <w:r w:rsidR="00967CB7" w:rsidRPr="00EE3E94">
        <w:rPr>
          <w:rStyle w:val="fontstyle01"/>
          <w:rFonts w:ascii="Traditional Arabic" w:hAnsi="Traditional Arabic" w:cs="Traditional Arabic"/>
          <w:b/>
          <w:bCs/>
          <w:sz w:val="30"/>
          <w:szCs w:val="30"/>
          <w:rtl/>
        </w:rPr>
        <w:t>عمليات الإعدام خارج نطاق القضاء في معبد سري هينجراج ماتاجي ماندير على أيدي مقاتلي المقاومة</w:t>
      </w:r>
      <w:r w:rsidR="00967CB7" w:rsidRPr="00EE3E94">
        <w:rPr>
          <w:rStyle w:val="fontstyle01"/>
          <w:rFonts w:ascii="Traditional Arabic" w:hAnsi="Traditional Arabic" w:cs="Traditional Arabic"/>
          <w:b/>
          <w:bCs/>
          <w:sz w:val="30"/>
          <w:szCs w:val="30"/>
        </w:rPr>
        <w:t>.</w:t>
      </w:r>
    </w:p>
    <w:p w14:paraId="7E9EAF22"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sidRPr="001017A1">
        <w:rPr>
          <w:rStyle w:val="fontstyle01"/>
          <w:rFonts w:ascii="Traditional Arabic" w:hAnsi="Traditional Arabic" w:cs="Traditional Arabic"/>
          <w:sz w:val="30"/>
          <w:szCs w:val="30"/>
          <w:rtl/>
        </w:rPr>
        <w:t>في</w:t>
      </w:r>
      <w:r w:rsidRPr="001017A1">
        <w:rPr>
          <w:rStyle w:val="fontstyle01"/>
          <w:rFonts w:ascii="Traditional Arabic" w:hAnsi="Traditional Arabic" w:cs="Traditional Arabic" w:hint="cs"/>
          <w:sz w:val="30"/>
          <w:szCs w:val="30"/>
          <w:rtl/>
        </w:rPr>
        <w:t xml:space="preserve"> نيسان/</w:t>
      </w:r>
      <w:r w:rsidRPr="001017A1">
        <w:rPr>
          <w:rStyle w:val="fontstyle01"/>
          <w:rFonts w:ascii="Traditional Arabic" w:hAnsi="Traditional Arabic" w:cs="Traditional Arabic"/>
          <w:sz w:val="30"/>
          <w:szCs w:val="30"/>
          <w:rtl/>
        </w:rPr>
        <w:t xml:space="preserve"> أبريل 2015، دخل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إلى </w:t>
      </w:r>
      <w:r w:rsidRPr="001017A1">
        <w:rPr>
          <w:rStyle w:val="fontstyle01"/>
          <w:rFonts w:ascii="Traditional Arabic" w:hAnsi="Traditional Arabic" w:cs="Traditional Arabic" w:hint="cs"/>
          <w:sz w:val="30"/>
          <w:szCs w:val="30"/>
          <w:rtl/>
        </w:rPr>
        <w:t>مديرية</w:t>
      </w:r>
      <w:r w:rsidRPr="001017A1">
        <w:rPr>
          <w:rStyle w:val="fontstyle01"/>
          <w:rFonts w:ascii="Traditional Arabic" w:hAnsi="Traditional Arabic" w:cs="Traditional Arabic"/>
          <w:sz w:val="30"/>
          <w:szCs w:val="30"/>
          <w:rtl/>
        </w:rPr>
        <w:t xml:space="preserve"> كريتر، </w:t>
      </w: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sz w:val="30"/>
          <w:szCs w:val="30"/>
          <w:rtl/>
        </w:rPr>
        <w:t>عدن. وفي الوقت نفسه، هربت</w:t>
      </w:r>
      <w:r w:rsidRPr="001017A1">
        <w:rPr>
          <w:rStyle w:val="fontstyle01"/>
          <w:rFonts w:ascii="Traditional Arabic" w:hAnsi="Traditional Arabic" w:cs="Traditional Arabic" w:hint="cs"/>
          <w:sz w:val="30"/>
          <w:szCs w:val="30"/>
          <w:rtl/>
        </w:rPr>
        <w:t xml:space="preserve"> من المديرية</w:t>
      </w:r>
      <w:r w:rsidRPr="001017A1">
        <w:rPr>
          <w:rStyle w:val="fontstyle01"/>
          <w:rFonts w:ascii="Traditional Arabic" w:hAnsi="Traditional Arabic" w:cs="Traditional Arabic"/>
          <w:sz w:val="30"/>
          <w:szCs w:val="30"/>
          <w:rtl/>
        </w:rPr>
        <w:t xml:space="preserve"> القوات المسلحة اليمنية والشرطة المدنية المتبقية، و</w:t>
      </w:r>
      <w:r w:rsidRPr="001017A1">
        <w:rPr>
          <w:rStyle w:val="fontstyle01"/>
          <w:rFonts w:ascii="Traditional Arabic" w:hAnsi="Traditional Arabic" w:cs="Traditional Arabic" w:hint="cs"/>
          <w:sz w:val="30"/>
          <w:szCs w:val="30"/>
          <w:rtl/>
        </w:rPr>
        <w:t>تركت</w:t>
      </w:r>
      <w:r w:rsidRPr="001017A1">
        <w:rPr>
          <w:rStyle w:val="fontstyle01"/>
          <w:rFonts w:ascii="Traditional Arabic" w:hAnsi="Traditional Arabic" w:cs="Traditional Arabic"/>
          <w:sz w:val="30"/>
          <w:szCs w:val="30"/>
          <w:rtl/>
        </w:rPr>
        <w:t xml:space="preserve"> السيطرة </w:t>
      </w:r>
      <w:r w:rsidRPr="001017A1">
        <w:rPr>
          <w:rStyle w:val="fontstyle01"/>
          <w:rFonts w:ascii="Traditional Arabic" w:hAnsi="Traditional Arabic" w:cs="Traditional Arabic" w:hint="cs"/>
          <w:sz w:val="30"/>
          <w:szCs w:val="30"/>
          <w:rtl/>
        </w:rPr>
        <w:t>ل</w:t>
      </w:r>
      <w:r w:rsidRPr="001017A1">
        <w:rPr>
          <w:rStyle w:val="fontstyle01"/>
          <w:rFonts w:ascii="Traditional Arabic" w:hAnsi="Traditional Arabic" w:cs="Traditional Arabic"/>
          <w:sz w:val="30"/>
          <w:szCs w:val="30"/>
          <w:rtl/>
        </w:rPr>
        <w:t xml:space="preserve">قوات المقاومة. بين 2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 xml:space="preserve">أبريل 2015 و 10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 xml:space="preserve">مايو 2015، </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قاتلت قوات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وقوات المقاومة للسيطرة على الم</w:t>
      </w:r>
      <w:r w:rsidRPr="001017A1">
        <w:rPr>
          <w:rStyle w:val="fontstyle01"/>
          <w:rFonts w:ascii="Traditional Arabic" w:hAnsi="Traditional Arabic" w:cs="Traditional Arabic" w:hint="cs"/>
          <w:sz w:val="30"/>
          <w:szCs w:val="30"/>
          <w:rtl/>
        </w:rPr>
        <w:t>ديرية،</w:t>
      </w:r>
      <w:r w:rsidRPr="001017A1">
        <w:rPr>
          <w:rStyle w:val="fontstyle01"/>
          <w:rFonts w:ascii="Traditional Arabic" w:hAnsi="Traditional Arabic" w:cs="Traditional Arabic"/>
          <w:sz w:val="30"/>
          <w:szCs w:val="30"/>
          <w:rtl/>
        </w:rPr>
        <w:t xml:space="preserve"> حيث تركز معظم القتال على خط مواجهة في الجنوب الشرقي. خلال هذا </w:t>
      </w:r>
      <w:r w:rsidRPr="001017A1">
        <w:rPr>
          <w:rStyle w:val="fontstyle01"/>
          <w:rFonts w:ascii="Traditional Arabic" w:hAnsi="Traditional Arabic" w:cs="Traditional Arabic"/>
          <w:sz w:val="30"/>
          <w:szCs w:val="30"/>
          <w:rtl/>
        </w:rPr>
        <w:lastRenderedPageBreak/>
        <w:t xml:space="preserve">الوقت، ظلت أغلبية الشمال الغربي </w:t>
      </w:r>
      <w:r w:rsidRPr="001017A1">
        <w:rPr>
          <w:rStyle w:val="fontstyle01"/>
          <w:rFonts w:ascii="Traditional Arabic" w:hAnsi="Traditional Arabic" w:cs="Traditional Arabic" w:hint="cs"/>
          <w:sz w:val="30"/>
          <w:szCs w:val="30"/>
          <w:rtl/>
        </w:rPr>
        <w:t xml:space="preserve">للمديرية </w:t>
      </w:r>
      <w:r w:rsidRPr="001017A1">
        <w:rPr>
          <w:rStyle w:val="fontstyle01"/>
          <w:rFonts w:ascii="Traditional Arabic" w:hAnsi="Traditional Arabic" w:cs="Traditional Arabic"/>
          <w:sz w:val="30"/>
          <w:szCs w:val="30"/>
          <w:rtl/>
        </w:rPr>
        <w:t>تحت سيطرة المقاومة</w:t>
      </w:r>
      <w:r w:rsidRPr="00C927B2">
        <w:rPr>
          <w:rStyle w:val="FootnoteReference"/>
          <w:sz w:val="24"/>
          <w:szCs w:val="24"/>
        </w:rPr>
        <w:footnoteReference w:id="247"/>
      </w:r>
      <w:r w:rsidRPr="00C927B2">
        <w:rPr>
          <w:rFonts w:asciiTheme="majorBidi" w:hAnsiTheme="majorBidi"/>
          <w:sz w:val="24"/>
          <w:szCs w:val="24"/>
          <w:rtl/>
          <w:lang w:eastAsia="en-GB"/>
        </w:rPr>
        <w:t xml:space="preserve">. </w:t>
      </w:r>
      <w:r w:rsidRPr="001017A1">
        <w:rPr>
          <w:rStyle w:val="fontstyle01"/>
          <w:rFonts w:ascii="Traditional Arabic" w:hAnsi="Traditional Arabic" w:cs="Traditional Arabic"/>
          <w:sz w:val="30"/>
          <w:szCs w:val="30"/>
          <w:rtl/>
        </w:rPr>
        <w:t xml:space="preserve">داخل منطقة السيطرة هذه </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قع مركز شرطة كريتر</w:t>
      </w:r>
      <w:r w:rsidRPr="00C927B2">
        <w:rPr>
          <w:rStyle w:val="FootnoteReference"/>
          <w:sz w:val="24"/>
          <w:szCs w:val="24"/>
          <w:lang w:eastAsia="en-GB"/>
        </w:rPr>
        <w:footnoteReference w:id="248"/>
      </w:r>
      <w:r>
        <w:rPr>
          <w:rFonts w:asciiTheme="majorBidi" w:hAnsiTheme="majorBidi" w:hint="cs"/>
          <w:sz w:val="24"/>
          <w:szCs w:val="24"/>
          <w:rtl/>
          <w:lang w:eastAsia="en-GB"/>
        </w:rPr>
        <w:t xml:space="preserve">. </w:t>
      </w:r>
      <w:r w:rsidRPr="001017A1">
        <w:rPr>
          <w:rStyle w:val="fontstyle01"/>
          <w:rFonts w:ascii="Traditional Arabic" w:hAnsi="Traditional Arabic" w:cs="Traditional Arabic"/>
          <w:sz w:val="30"/>
          <w:szCs w:val="30"/>
          <w:rtl/>
        </w:rPr>
        <w:t>و</w:t>
      </w:r>
      <w:r w:rsidRPr="001017A1">
        <w:rPr>
          <w:rStyle w:val="fontstyle01"/>
          <w:rFonts w:ascii="Traditional Arabic" w:hAnsi="Traditional Arabic" w:cs="Traditional Arabic" w:hint="cs"/>
          <w:sz w:val="30"/>
          <w:szCs w:val="30"/>
          <w:rtl/>
        </w:rPr>
        <w:t xml:space="preserve">يقع </w:t>
      </w:r>
      <w:r w:rsidRPr="001017A1">
        <w:rPr>
          <w:rStyle w:val="fontstyle01"/>
          <w:rFonts w:ascii="Traditional Arabic" w:hAnsi="Traditional Arabic" w:cs="Traditional Arabic"/>
          <w:sz w:val="30"/>
          <w:szCs w:val="30"/>
          <w:rtl/>
        </w:rPr>
        <w:t xml:space="preserve">معبد سري هينغراج ماتاجي ماندير الهندوسي المهجور </w:t>
      </w:r>
      <w:r w:rsidRPr="001017A1">
        <w:rPr>
          <w:rStyle w:val="fontstyle01"/>
          <w:rFonts w:ascii="Traditional Arabic" w:hAnsi="Traditional Arabic" w:cs="Traditional Arabic" w:hint="cs"/>
          <w:sz w:val="30"/>
          <w:szCs w:val="30"/>
          <w:rtl/>
        </w:rPr>
        <w:t>ع</w:t>
      </w:r>
      <w:r w:rsidRPr="001017A1">
        <w:rPr>
          <w:rStyle w:val="fontstyle01"/>
          <w:rFonts w:ascii="Traditional Arabic" w:hAnsi="Traditional Arabic" w:cs="Traditional Arabic"/>
          <w:sz w:val="30"/>
          <w:szCs w:val="30"/>
          <w:rtl/>
        </w:rPr>
        <w:t>لى بعد كيلومتر واحد شمال مركز الشرطة</w:t>
      </w:r>
      <w:r w:rsidRPr="00C927B2">
        <w:rPr>
          <w:rFonts w:asciiTheme="majorBidi" w:hAnsiTheme="majorBidi" w:cstheme="majorBidi"/>
          <w:sz w:val="24"/>
          <w:szCs w:val="24"/>
          <w:lang w:eastAsia="en-GB"/>
        </w:rPr>
        <w:t>.</w:t>
      </w:r>
    </w:p>
    <w:p w14:paraId="28B1B8D1" w14:textId="14588917" w:rsidR="00967CB7" w:rsidRPr="00C927B2" w:rsidRDefault="002667B9" w:rsidP="002667B9">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lang w:eastAsia="en-GB"/>
        </w:rPr>
      </w:pPr>
      <w:r>
        <w:rPr>
          <w:rStyle w:val="fontstyle01"/>
          <w:rFonts w:ascii="Traditional Arabic" w:hAnsi="Traditional Arabic" w:cs="Traditional Arabic"/>
          <w:sz w:val="30"/>
          <w:szCs w:val="30"/>
          <w:rtl/>
        </w:rPr>
        <w:t>خلال هذه الفترة</w:t>
      </w:r>
      <w:r w:rsidR="00967CB7" w:rsidRPr="001017A1">
        <w:rPr>
          <w:rStyle w:val="fontstyle01"/>
          <w:rFonts w:ascii="Traditional Arabic" w:hAnsi="Traditional Arabic" w:cs="Traditional Arabic"/>
          <w:sz w:val="30"/>
          <w:szCs w:val="30"/>
          <w:rtl/>
        </w:rPr>
        <w:t>، تحملت قوات المقاومة المسؤولية عن القانون والنظام، واحتجزت عددًا من الأشخاص في مركز شرطة كريتر</w:t>
      </w:r>
      <w:r w:rsidR="00967CB7" w:rsidRPr="00C927B2">
        <w:rPr>
          <w:rStyle w:val="FootnoteReference"/>
          <w:sz w:val="24"/>
          <w:szCs w:val="24"/>
          <w:lang w:eastAsia="en-GB"/>
        </w:rPr>
        <w:footnoteReference w:id="249"/>
      </w:r>
      <w:r w:rsidR="00967CB7" w:rsidRPr="00C927B2">
        <w:rPr>
          <w:rFonts w:asciiTheme="majorBidi" w:hAnsiTheme="majorBidi"/>
          <w:sz w:val="24"/>
          <w:szCs w:val="24"/>
          <w:rtl/>
          <w:lang w:eastAsia="en-GB"/>
        </w:rPr>
        <w:t xml:space="preserve">. </w:t>
      </w:r>
      <w:r w:rsidR="00967CB7" w:rsidRPr="001017A1">
        <w:rPr>
          <w:rStyle w:val="fontstyle01"/>
          <w:rFonts w:ascii="Traditional Arabic" w:hAnsi="Traditional Arabic" w:cs="Traditional Arabic"/>
          <w:sz w:val="30"/>
          <w:szCs w:val="30"/>
          <w:rtl/>
        </w:rPr>
        <w:t xml:space="preserve">وشمل ذلك أربعة مدنيين محليين، ومقاتلين </w:t>
      </w:r>
      <w:r w:rsidR="00967CB7" w:rsidRPr="001017A1">
        <w:rPr>
          <w:rStyle w:val="fontstyle01"/>
          <w:rFonts w:ascii="Traditional Arabic" w:hAnsi="Traditional Arabic" w:cs="Traditional Arabic" w:hint="cs"/>
          <w:sz w:val="30"/>
          <w:szCs w:val="30"/>
          <w:rtl/>
        </w:rPr>
        <w:t xml:space="preserve">سابقين </w:t>
      </w:r>
      <w:r w:rsidR="00967CB7" w:rsidRPr="001017A1">
        <w:rPr>
          <w:rStyle w:val="fontstyle01"/>
          <w:rFonts w:ascii="Traditional Arabic" w:hAnsi="Traditional Arabic" w:cs="Traditional Arabic"/>
          <w:sz w:val="30"/>
          <w:szCs w:val="30"/>
          <w:rtl/>
        </w:rPr>
        <w:t xml:space="preserve">من الحوثيين </w:t>
      </w:r>
      <w:r w:rsidR="00967CB7" w:rsidRPr="001017A1">
        <w:rPr>
          <w:rStyle w:val="fontstyle01"/>
          <w:rFonts w:ascii="Traditional Arabic" w:hAnsi="Traditional Arabic" w:cs="Traditional Arabic" w:hint="cs"/>
          <w:sz w:val="30"/>
          <w:szCs w:val="30"/>
          <w:rtl/>
        </w:rPr>
        <w:t xml:space="preserve">- </w:t>
      </w:r>
      <w:r w:rsidR="00967CB7" w:rsidRPr="001017A1">
        <w:rPr>
          <w:rStyle w:val="fontstyle01"/>
          <w:rFonts w:ascii="Traditional Arabic" w:hAnsi="Traditional Arabic" w:cs="Traditional Arabic"/>
          <w:sz w:val="30"/>
          <w:szCs w:val="30"/>
          <w:rtl/>
        </w:rPr>
        <w:t>صالح، ومدني</w:t>
      </w:r>
      <w:r w:rsidR="00967CB7" w:rsidRPr="001017A1">
        <w:rPr>
          <w:rStyle w:val="fontstyle01"/>
          <w:rFonts w:ascii="Traditional Arabic" w:hAnsi="Traditional Arabic" w:cs="Traditional Arabic" w:hint="cs"/>
          <w:sz w:val="30"/>
          <w:szCs w:val="30"/>
          <w:rtl/>
        </w:rPr>
        <w:t>اً</w:t>
      </w:r>
      <w:r w:rsidR="00967CB7" w:rsidRPr="001017A1">
        <w:rPr>
          <w:rStyle w:val="fontstyle01"/>
          <w:rFonts w:ascii="Traditional Arabic" w:hAnsi="Traditional Arabic" w:cs="Traditional Arabic"/>
          <w:sz w:val="30"/>
          <w:szCs w:val="30"/>
          <w:rtl/>
        </w:rPr>
        <w:t xml:space="preserve"> محلي</w:t>
      </w:r>
      <w:r w:rsidR="00967CB7" w:rsidRPr="001017A1">
        <w:rPr>
          <w:rStyle w:val="fontstyle01"/>
          <w:rFonts w:ascii="Traditional Arabic" w:hAnsi="Traditional Arabic" w:cs="Traditional Arabic" w:hint="cs"/>
          <w:sz w:val="30"/>
          <w:szCs w:val="30"/>
          <w:rtl/>
        </w:rPr>
        <w:t>اً</w:t>
      </w:r>
      <w:r w:rsidR="00967CB7" w:rsidRPr="001017A1">
        <w:rPr>
          <w:rStyle w:val="fontstyle01"/>
          <w:rFonts w:ascii="Traditional Arabic" w:hAnsi="Traditional Arabic" w:cs="Traditional Arabic"/>
          <w:sz w:val="30"/>
          <w:szCs w:val="30"/>
          <w:rtl/>
        </w:rPr>
        <w:t xml:space="preserve"> آخر يعاني من إعاقة عقلية</w:t>
      </w:r>
      <w:r w:rsidR="00967CB7" w:rsidRPr="00C927B2">
        <w:rPr>
          <w:rFonts w:asciiTheme="majorBidi" w:hAnsiTheme="majorBidi" w:cstheme="majorBidi"/>
          <w:sz w:val="24"/>
          <w:szCs w:val="24"/>
          <w:lang w:eastAsia="en-GB"/>
        </w:rPr>
        <w:t>.</w:t>
      </w:r>
      <w:r w:rsidR="00967CB7" w:rsidRPr="00C927B2">
        <w:rPr>
          <w:rStyle w:val="FootnoteReference"/>
          <w:sz w:val="24"/>
          <w:szCs w:val="24"/>
          <w:lang w:eastAsia="en-GB"/>
        </w:rPr>
        <w:t xml:space="preserve"> </w:t>
      </w:r>
      <w:r w:rsidR="00967CB7" w:rsidRPr="00C927B2">
        <w:rPr>
          <w:rStyle w:val="FootnoteReference"/>
          <w:sz w:val="24"/>
          <w:szCs w:val="24"/>
          <w:lang w:eastAsia="en-GB"/>
        </w:rPr>
        <w:footnoteReference w:id="250"/>
      </w:r>
    </w:p>
    <w:p w14:paraId="450C015E"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في صباح يوم 10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2015، هزم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قوات المقاومة التي انسحبت شمالًا، إلى معلا، بعد مركز شرطة كريتر ووادي خوصاف.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تقدم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شمالا</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في نفس الاتجاه</w:t>
      </w:r>
      <w:r w:rsidRPr="00C927B2">
        <w:rPr>
          <w:rStyle w:val="FootnoteReference"/>
          <w:sz w:val="24"/>
          <w:szCs w:val="24"/>
          <w:lang w:eastAsia="en-GB"/>
        </w:rPr>
        <w:footnoteReference w:id="251"/>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في الساعة</w:t>
      </w:r>
      <w:r w:rsidRPr="001017A1">
        <w:rPr>
          <w:rStyle w:val="fontstyle01"/>
          <w:rFonts w:ascii="Traditional Arabic" w:hAnsi="Traditional Arabic" w:cs="Traditional Arabic" w:hint="cs"/>
          <w:sz w:val="30"/>
          <w:szCs w:val="30"/>
          <w:rtl/>
        </w:rPr>
        <w:t xml:space="preserve"> الثامنة والنصف صباحاً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كجزء من انسحابهم، أطلق مقاتلو المقاومة المسلحون سراح المحتجز بسبب صح</w:t>
      </w:r>
      <w:r w:rsidRPr="001017A1">
        <w:rPr>
          <w:rStyle w:val="fontstyle01"/>
          <w:rFonts w:ascii="Traditional Arabic" w:hAnsi="Traditional Arabic" w:cs="Traditional Arabic" w:hint="cs"/>
          <w:sz w:val="30"/>
          <w:szCs w:val="30"/>
          <w:rtl/>
        </w:rPr>
        <w:t>ته</w:t>
      </w:r>
      <w:r w:rsidRPr="001017A1">
        <w:rPr>
          <w:rStyle w:val="fontstyle01"/>
          <w:rFonts w:ascii="Traditional Arabic" w:hAnsi="Traditional Arabic" w:cs="Traditional Arabic"/>
          <w:sz w:val="30"/>
          <w:szCs w:val="30"/>
          <w:rtl/>
        </w:rPr>
        <w:t xml:space="preserve"> العقلية، ونقلوا المعتقلين الستة الباقين معهم في مركبتين مدرعتين إلى معبد سري هينجراج ماتاجي ماندير. ورأ</w:t>
      </w:r>
      <w:r w:rsidRPr="001017A1">
        <w:rPr>
          <w:rStyle w:val="fontstyle01"/>
          <w:rFonts w:ascii="Traditional Arabic" w:hAnsi="Traditional Arabic" w:cs="Traditional Arabic" w:hint="cs"/>
          <w:sz w:val="30"/>
          <w:szCs w:val="30"/>
          <w:rtl/>
        </w:rPr>
        <w:t>ى ما حصل عشرون</w:t>
      </w:r>
      <w:r w:rsidRPr="001017A1">
        <w:rPr>
          <w:rStyle w:val="fontstyle01"/>
          <w:rFonts w:ascii="Traditional Arabic" w:hAnsi="Traditional Arabic" w:cs="Traditional Arabic"/>
          <w:sz w:val="30"/>
          <w:szCs w:val="30"/>
          <w:rtl/>
        </w:rPr>
        <w:t xml:space="preserve"> عائل</w:t>
      </w:r>
      <w:r w:rsidRPr="001017A1">
        <w:rPr>
          <w:rStyle w:val="fontstyle01"/>
          <w:rFonts w:ascii="Traditional Arabic" w:hAnsi="Traditional Arabic" w:cs="Traditional Arabic" w:hint="cs"/>
          <w:sz w:val="30"/>
          <w:szCs w:val="30"/>
          <w:rtl/>
        </w:rPr>
        <w:t>ة</w:t>
      </w:r>
      <w:r w:rsidRPr="001017A1">
        <w:rPr>
          <w:rStyle w:val="fontstyle01"/>
          <w:rFonts w:ascii="Traditional Arabic" w:hAnsi="Traditional Arabic" w:cs="Traditional Arabic"/>
          <w:sz w:val="30"/>
          <w:szCs w:val="30"/>
          <w:rtl/>
        </w:rPr>
        <w:t xml:space="preserve"> وأصدقاء المحتجزين الذين</w:t>
      </w:r>
      <w:r w:rsidRPr="001017A1">
        <w:rPr>
          <w:rStyle w:val="fontstyle01"/>
          <w:rFonts w:ascii="Traditional Arabic" w:hAnsi="Traditional Arabic" w:cs="Traditional Arabic" w:hint="cs"/>
          <w:sz w:val="30"/>
          <w:szCs w:val="30"/>
          <w:rtl/>
        </w:rPr>
        <w:t xml:space="preserve"> كانوا</w:t>
      </w:r>
      <w:r w:rsidRPr="001017A1">
        <w:rPr>
          <w:rStyle w:val="fontstyle01"/>
          <w:rFonts w:ascii="Traditional Arabic" w:hAnsi="Traditional Arabic" w:cs="Traditional Arabic"/>
          <w:sz w:val="30"/>
          <w:szCs w:val="30"/>
          <w:rtl/>
        </w:rPr>
        <w:t xml:space="preserve"> ينتظرون إطلاق سراحهم</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وتبعوا المركبات إلى الموقع. وانضم</w:t>
      </w:r>
      <w:r w:rsidRPr="001017A1">
        <w:rPr>
          <w:rStyle w:val="fontstyle01"/>
          <w:rFonts w:ascii="Traditional Arabic" w:hAnsi="Traditional Arabic" w:cs="Traditional Arabic" w:hint="cs"/>
          <w:sz w:val="30"/>
          <w:szCs w:val="30"/>
          <w:rtl/>
        </w:rPr>
        <w:t xml:space="preserve"> الى </w:t>
      </w:r>
      <w:r w:rsidRPr="001017A1">
        <w:rPr>
          <w:rStyle w:val="fontstyle01"/>
          <w:rFonts w:ascii="Traditional Arabic" w:hAnsi="Traditional Arabic" w:cs="Traditional Arabic"/>
          <w:sz w:val="30"/>
          <w:szCs w:val="30"/>
          <w:rtl/>
        </w:rPr>
        <w:t>المقاتل</w:t>
      </w:r>
      <w:r w:rsidRPr="001017A1">
        <w:rPr>
          <w:rStyle w:val="fontstyle01"/>
          <w:rFonts w:ascii="Traditional Arabic" w:hAnsi="Traditional Arabic" w:cs="Traditional Arabic" w:hint="cs"/>
          <w:sz w:val="30"/>
          <w:szCs w:val="30"/>
          <w:rtl/>
        </w:rPr>
        <w:t>ي</w:t>
      </w:r>
      <w:r w:rsidRPr="001017A1">
        <w:rPr>
          <w:rStyle w:val="fontstyle01"/>
          <w:rFonts w:ascii="Traditional Arabic" w:hAnsi="Traditional Arabic" w:cs="Traditional Arabic"/>
          <w:sz w:val="30"/>
          <w:szCs w:val="30"/>
          <w:rtl/>
        </w:rPr>
        <w:t xml:space="preserve">ن </w:t>
      </w:r>
      <w:r w:rsidRPr="001017A1">
        <w:rPr>
          <w:rStyle w:val="fontstyle01"/>
          <w:rFonts w:ascii="Traditional Arabic" w:hAnsi="Traditional Arabic" w:cs="Traditional Arabic" w:hint="cs"/>
          <w:sz w:val="30"/>
          <w:szCs w:val="30"/>
          <w:rtl/>
        </w:rPr>
        <w:t xml:space="preserve">عناصر </w:t>
      </w:r>
      <w:r w:rsidRPr="001017A1">
        <w:rPr>
          <w:rStyle w:val="fontstyle01"/>
          <w:rFonts w:ascii="Traditional Arabic" w:hAnsi="Traditional Arabic" w:cs="Traditional Arabic"/>
          <w:sz w:val="30"/>
          <w:szCs w:val="30"/>
          <w:rtl/>
        </w:rPr>
        <w:t>آخر</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ن في مركبة مدرعة ثالثة وأوقفوا سياراتهم داخل مدخل مجم</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ع المعبد. كان</w:t>
      </w:r>
      <w:r w:rsidRPr="001017A1">
        <w:rPr>
          <w:rStyle w:val="fontstyle01"/>
          <w:rFonts w:ascii="Traditional Arabic" w:hAnsi="Traditional Arabic" w:cs="Traditional Arabic" w:hint="cs"/>
          <w:sz w:val="30"/>
          <w:szCs w:val="30"/>
          <w:rtl/>
        </w:rPr>
        <w:t xml:space="preserve"> مجموع </w:t>
      </w:r>
      <w:r w:rsidRPr="001017A1">
        <w:rPr>
          <w:rStyle w:val="fontstyle01"/>
          <w:rFonts w:ascii="Traditional Arabic" w:hAnsi="Traditional Arabic" w:cs="Traditional Arabic"/>
          <w:sz w:val="30"/>
          <w:szCs w:val="30"/>
          <w:rtl/>
        </w:rPr>
        <w:t xml:space="preserve"> مقاتلي المقاومة</w:t>
      </w:r>
      <w:r w:rsidRPr="001017A1">
        <w:rPr>
          <w:rStyle w:val="fontstyle01"/>
          <w:rFonts w:ascii="Traditional Arabic" w:hAnsi="Traditional Arabic" w:cs="Traditional Arabic" w:hint="cs"/>
          <w:sz w:val="30"/>
          <w:szCs w:val="30"/>
          <w:rtl/>
        </w:rPr>
        <w:t xml:space="preserve"> 30</w:t>
      </w:r>
      <w:r w:rsidRPr="001017A1">
        <w:rPr>
          <w:rStyle w:val="fontstyle01"/>
          <w:rFonts w:ascii="Traditional Arabic" w:hAnsi="Traditional Arabic" w:cs="Traditional Arabic"/>
          <w:sz w:val="30"/>
          <w:szCs w:val="30"/>
          <w:rtl/>
        </w:rPr>
        <w:t xml:space="preserve">. أخذوا الأسرى الستة إلى منطقة مفتوحة أمام المعبد الرئيسي </w:t>
      </w:r>
      <w:r w:rsidRPr="001017A1">
        <w:rPr>
          <w:rStyle w:val="fontstyle01"/>
          <w:rFonts w:ascii="Traditional Arabic" w:hAnsi="Traditional Arabic" w:cs="Traditional Arabic" w:hint="cs"/>
          <w:sz w:val="30"/>
          <w:szCs w:val="30"/>
          <w:rtl/>
        </w:rPr>
        <w:t>باتجاه</w:t>
      </w:r>
      <w:r w:rsidRPr="001017A1">
        <w:rPr>
          <w:rStyle w:val="fontstyle01"/>
          <w:rFonts w:ascii="Traditional Arabic" w:hAnsi="Traditional Arabic" w:cs="Traditional Arabic"/>
          <w:sz w:val="30"/>
          <w:szCs w:val="30"/>
          <w:rtl/>
        </w:rPr>
        <w:t xml:space="preserve"> الشرق</w:t>
      </w:r>
      <w:r w:rsidRPr="001017A1">
        <w:rPr>
          <w:rStyle w:val="fontstyle01"/>
          <w:rFonts w:ascii="Traditional Arabic" w:hAnsi="Traditional Arabic" w:cs="Traditional Arabic"/>
          <w:sz w:val="30"/>
          <w:szCs w:val="30"/>
        </w:rPr>
        <w:t>.</w:t>
      </w:r>
    </w:p>
    <w:p w14:paraId="789D4C03" w14:textId="38B89D92" w:rsidR="00967CB7" w:rsidRPr="001017A1" w:rsidRDefault="00967CB7" w:rsidP="00F36DE8">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tl/>
        </w:rPr>
      </w:pPr>
      <w:r w:rsidRPr="001017A1">
        <w:rPr>
          <w:rStyle w:val="fontstyle01"/>
          <w:rFonts w:ascii="Traditional Arabic" w:hAnsi="Traditional Arabic" w:cs="Traditional Arabic"/>
          <w:sz w:val="30"/>
          <w:szCs w:val="30"/>
          <w:rtl/>
        </w:rPr>
        <w:t xml:space="preserve">تم تكبيل المعتقلين الستة. </w:t>
      </w:r>
      <w:r w:rsidRPr="001017A1">
        <w:rPr>
          <w:rStyle w:val="fontstyle01"/>
          <w:rFonts w:ascii="Traditional Arabic" w:hAnsi="Traditional Arabic" w:cs="Traditional Arabic" w:hint="cs"/>
          <w:sz w:val="30"/>
          <w:szCs w:val="30"/>
          <w:rtl/>
        </w:rPr>
        <w:t>وأ</w:t>
      </w:r>
      <w:r w:rsidRPr="001017A1">
        <w:rPr>
          <w:rStyle w:val="fontstyle01"/>
          <w:rFonts w:ascii="Traditional Arabic" w:hAnsi="Traditional Arabic" w:cs="Traditional Arabic"/>
          <w:sz w:val="30"/>
          <w:szCs w:val="30"/>
          <w:rtl/>
        </w:rPr>
        <w:t xml:space="preserve">جبر المقاتلون المدنيين الأربعة على الاستلقاء على الأرض بعيدًا عن بعضهم البعض على جبهاتهم. ثم شرع المقاتلون في إطلاق عدد من الطلقات على ظهورهم حول منطقة القلب باستخدام أسلحة نارية نصف آلية. في الوقت نفسه، احتجز مقاتلون آخرون </w:t>
      </w:r>
      <w:r w:rsidRPr="001017A1">
        <w:rPr>
          <w:rStyle w:val="fontstyle01"/>
          <w:rFonts w:ascii="Traditional Arabic" w:hAnsi="Traditional Arabic" w:cs="Traditional Arabic" w:hint="cs"/>
          <w:sz w:val="30"/>
          <w:szCs w:val="30"/>
          <w:rtl/>
        </w:rPr>
        <w:t>ال</w:t>
      </w:r>
      <w:r w:rsidRPr="001017A1">
        <w:rPr>
          <w:rStyle w:val="fontstyle01"/>
          <w:rFonts w:ascii="Traditional Arabic" w:hAnsi="Traditional Arabic" w:cs="Traditional Arabic"/>
          <w:sz w:val="30"/>
          <w:szCs w:val="30"/>
          <w:rtl/>
        </w:rPr>
        <w:t>مقاتلي</w:t>
      </w:r>
      <w:r w:rsidRPr="001017A1">
        <w:rPr>
          <w:rStyle w:val="fontstyle01"/>
          <w:rFonts w:ascii="Traditional Arabic" w:hAnsi="Traditional Arabic" w:cs="Traditional Arabic" w:hint="cs"/>
          <w:sz w:val="30"/>
          <w:szCs w:val="30"/>
          <w:rtl/>
        </w:rPr>
        <w:t xml:space="preserve">ن السابقين من </w:t>
      </w:r>
      <w:r w:rsidRPr="001017A1">
        <w:rPr>
          <w:rStyle w:val="fontstyle01"/>
          <w:rFonts w:ascii="Traditional Arabic" w:hAnsi="Traditional Arabic" w:cs="Traditional Arabic"/>
          <w:sz w:val="30"/>
          <w:szCs w:val="30"/>
          <w:rtl/>
        </w:rPr>
        <w:t>الحوثي</w:t>
      </w:r>
      <w:r w:rsidRPr="001017A1">
        <w:rPr>
          <w:rStyle w:val="fontstyle01"/>
          <w:rFonts w:ascii="Traditional Arabic" w:hAnsi="Traditional Arabic" w:cs="Traditional Arabic" w:hint="cs"/>
          <w:sz w:val="30"/>
          <w:szCs w:val="30"/>
          <w:rtl/>
        </w:rPr>
        <w:t xml:space="preserve">ين </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صالح، وبدأوا في قطع حناجرهم بالسكاكين. توقفوا قبل أن ي</w:t>
      </w:r>
      <w:r w:rsidRPr="001017A1">
        <w:rPr>
          <w:rStyle w:val="fontstyle01"/>
          <w:rFonts w:ascii="Traditional Arabic" w:hAnsi="Traditional Arabic" w:cs="Traditional Arabic" w:hint="cs"/>
          <w:sz w:val="30"/>
          <w:szCs w:val="30"/>
          <w:rtl/>
        </w:rPr>
        <w:t>قطعوا</w:t>
      </w:r>
      <w:r w:rsidRPr="001017A1">
        <w:rPr>
          <w:rStyle w:val="fontstyle01"/>
          <w:rFonts w:ascii="Traditional Arabic" w:hAnsi="Traditional Arabic" w:cs="Traditional Arabic"/>
          <w:sz w:val="30"/>
          <w:szCs w:val="30"/>
          <w:rtl/>
        </w:rPr>
        <w:t xml:space="preserve"> رؤوسهم بالكامل</w:t>
      </w:r>
      <w:r w:rsidRPr="00C927B2">
        <w:rPr>
          <w:rStyle w:val="FootnoteReference"/>
          <w:sz w:val="24"/>
          <w:szCs w:val="24"/>
        </w:rPr>
        <w:footnoteReference w:id="25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بحلول الساعة</w:t>
      </w:r>
      <w:r w:rsidRPr="001017A1">
        <w:rPr>
          <w:rStyle w:val="fontstyle01"/>
          <w:rFonts w:ascii="Traditional Arabic" w:hAnsi="Traditional Arabic" w:cs="Traditional Arabic" w:hint="cs"/>
          <w:sz w:val="30"/>
          <w:szCs w:val="30"/>
          <w:rtl/>
        </w:rPr>
        <w:t xml:space="preserve"> الثانية عشرة</w:t>
      </w:r>
      <w:r w:rsidRPr="001017A1">
        <w:rPr>
          <w:rStyle w:val="fontstyle01"/>
          <w:rFonts w:ascii="Traditional Arabic" w:hAnsi="Traditional Arabic" w:cs="Traditional Arabic"/>
          <w:sz w:val="30"/>
          <w:szCs w:val="30"/>
          <w:rtl/>
        </w:rPr>
        <w:t>، سيطر مقاتلو الحوثي</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 صالح على </w:t>
      </w:r>
      <w:r w:rsidRPr="001017A1">
        <w:rPr>
          <w:rStyle w:val="fontstyle01"/>
          <w:rFonts w:ascii="Traditional Arabic" w:hAnsi="Traditional Arabic" w:cs="Traditional Arabic" w:hint="cs"/>
          <w:sz w:val="30"/>
          <w:szCs w:val="30"/>
          <w:rtl/>
        </w:rPr>
        <w:t>المديرية</w:t>
      </w:r>
      <w:r w:rsidRPr="001017A1">
        <w:rPr>
          <w:rStyle w:val="fontstyle01"/>
          <w:rFonts w:ascii="Traditional Arabic" w:hAnsi="Traditional Arabic" w:cs="Traditional Arabic"/>
          <w:sz w:val="30"/>
          <w:szCs w:val="30"/>
          <w:rtl/>
        </w:rPr>
        <w:t xml:space="preserve"> و</w:t>
      </w:r>
      <w:r w:rsidRPr="001017A1">
        <w:rPr>
          <w:rStyle w:val="fontstyle01"/>
          <w:rFonts w:ascii="Traditional Arabic" w:hAnsi="Traditional Arabic" w:cs="Traditional Arabic" w:hint="cs"/>
          <w:sz w:val="30"/>
          <w:szCs w:val="30"/>
          <w:rtl/>
        </w:rPr>
        <w:t xml:space="preserve">على </w:t>
      </w:r>
      <w:r w:rsidRPr="001017A1">
        <w:rPr>
          <w:rStyle w:val="fontstyle01"/>
          <w:rFonts w:ascii="Traditional Arabic" w:hAnsi="Traditional Arabic" w:cs="Traditional Arabic"/>
          <w:sz w:val="30"/>
          <w:szCs w:val="30"/>
          <w:rtl/>
        </w:rPr>
        <w:t xml:space="preserve">مركز شرطة كريتير </w:t>
      </w:r>
      <w:r w:rsidRPr="001017A1">
        <w:rPr>
          <w:rStyle w:val="fontstyle01"/>
          <w:rFonts w:ascii="Traditional Arabic" w:hAnsi="Traditional Arabic" w:cs="Traditional Arabic" w:hint="cs"/>
          <w:sz w:val="30"/>
          <w:szCs w:val="30"/>
          <w:rtl/>
        </w:rPr>
        <w:t>الذي تبيّن أ</w:t>
      </w:r>
      <w:r w:rsidRPr="001017A1">
        <w:rPr>
          <w:rStyle w:val="fontstyle01"/>
          <w:rFonts w:ascii="Traditional Arabic" w:hAnsi="Traditional Arabic" w:cs="Traditional Arabic"/>
          <w:sz w:val="30"/>
          <w:szCs w:val="30"/>
          <w:rtl/>
        </w:rPr>
        <w:t>نه فارغ</w:t>
      </w:r>
      <w:r w:rsidRPr="00C927B2">
        <w:rPr>
          <w:rStyle w:val="FootnoteReference"/>
          <w:sz w:val="24"/>
          <w:szCs w:val="24"/>
        </w:rPr>
        <w:footnoteReference w:id="253"/>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وفقا للمعلومات التي جمعها فريق الخبراء، تم دفن الجثث الست في المعبد.</w:t>
      </w:r>
      <w:r w:rsidRPr="00C927B2">
        <w:rPr>
          <w:rStyle w:val="FootnoteReference"/>
          <w:sz w:val="24"/>
          <w:szCs w:val="24"/>
        </w:rPr>
        <w:t xml:space="preserve"> </w:t>
      </w:r>
      <w:r w:rsidRPr="00C927B2">
        <w:rPr>
          <w:rStyle w:val="FootnoteReference"/>
          <w:sz w:val="24"/>
          <w:szCs w:val="24"/>
        </w:rPr>
        <w:footnoteReference w:id="254"/>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تظهر مقارنة في صور القمر الصناعي من 23 </w:t>
      </w:r>
      <w:r w:rsidRPr="001017A1">
        <w:rPr>
          <w:rStyle w:val="fontstyle01"/>
          <w:rFonts w:ascii="Traditional Arabic" w:hAnsi="Traditional Arabic" w:cs="Traditional Arabic" w:hint="cs"/>
          <w:sz w:val="30"/>
          <w:szCs w:val="30"/>
          <w:rtl/>
        </w:rPr>
        <w:t xml:space="preserve">نيسان/ </w:t>
      </w:r>
      <w:r w:rsidRPr="001017A1">
        <w:rPr>
          <w:rStyle w:val="fontstyle01"/>
          <w:rFonts w:ascii="Traditional Arabic" w:hAnsi="Traditional Arabic" w:cs="Traditional Arabic"/>
          <w:sz w:val="30"/>
          <w:szCs w:val="30"/>
          <w:rtl/>
        </w:rPr>
        <w:t xml:space="preserve">أبريل 2015 و 17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2015 مساحة 20 مترا</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من الأرض المضطربة </w:t>
      </w:r>
      <w:r w:rsidRPr="001017A1">
        <w:rPr>
          <w:rStyle w:val="fontstyle01"/>
          <w:rFonts w:ascii="Traditional Arabic" w:hAnsi="Traditional Arabic" w:cs="Traditional Arabic" w:hint="cs"/>
          <w:sz w:val="30"/>
          <w:szCs w:val="30"/>
          <w:rtl/>
        </w:rPr>
        <w:t>على الأرجح</w:t>
      </w:r>
      <w:r w:rsidRPr="001017A1">
        <w:rPr>
          <w:rStyle w:val="fontstyle01"/>
          <w:rFonts w:ascii="Traditional Arabic" w:hAnsi="Traditional Arabic" w:cs="Traditional Arabic"/>
          <w:sz w:val="30"/>
          <w:szCs w:val="30"/>
          <w:rtl/>
        </w:rPr>
        <w:t xml:space="preserve"> في المنطقة المجاورة لعمليات القتل بما يتوافق مع</w:t>
      </w:r>
      <w:r w:rsidRPr="001017A1">
        <w:rPr>
          <w:rStyle w:val="fontstyle01"/>
          <w:rFonts w:ascii="Traditional Arabic" w:hAnsi="Traditional Arabic" w:cs="Traditional Arabic" w:hint="cs"/>
          <w:sz w:val="30"/>
          <w:szCs w:val="30"/>
          <w:rtl/>
        </w:rPr>
        <w:t xml:space="preserve"> مزاعم وجود</w:t>
      </w:r>
      <w:r w:rsidRPr="001017A1">
        <w:rPr>
          <w:rStyle w:val="fontstyle01"/>
          <w:rFonts w:ascii="Traditional Arabic" w:hAnsi="Traditional Arabic" w:cs="Traditional Arabic"/>
          <w:sz w:val="30"/>
          <w:szCs w:val="30"/>
          <w:rtl/>
        </w:rPr>
        <w:t xml:space="preserve"> مقبرة</w:t>
      </w:r>
      <w:r w:rsidRPr="001017A1">
        <w:rPr>
          <w:rStyle w:val="fontstyle01"/>
          <w:rFonts w:ascii="Traditional Arabic" w:hAnsi="Traditional Arabic" w:cs="Traditional Arabic"/>
          <w:sz w:val="30"/>
          <w:szCs w:val="30"/>
        </w:rPr>
        <w:t>.</w:t>
      </w:r>
    </w:p>
    <w:p w14:paraId="4579F943" w14:textId="77777777" w:rsidR="00967CB7" w:rsidRPr="001017A1" w:rsidRDefault="00967CB7" w:rsidP="00361237">
      <w:pPr>
        <w:pStyle w:val="NoSpacing"/>
        <w:tabs>
          <w:tab w:val="left" w:pos="720"/>
          <w:tab w:val="left" w:pos="1134"/>
          <w:tab w:val="left" w:pos="1701"/>
        </w:tabs>
        <w:bidi/>
        <w:spacing w:after="120" w:line="240" w:lineRule="atLeast"/>
        <w:ind w:right="827" w:firstLine="1116"/>
        <w:jc w:val="both"/>
        <w:rPr>
          <w:rStyle w:val="fontstyle01"/>
          <w:rFonts w:ascii="Traditional Arabic" w:eastAsia="Times New Roman" w:hAnsi="Traditional Arabic" w:cs="Traditional Arabic"/>
          <w:sz w:val="30"/>
          <w:szCs w:val="30"/>
          <w:rtl/>
        </w:rPr>
      </w:pPr>
      <w:r w:rsidRPr="001017A1">
        <w:rPr>
          <w:rStyle w:val="fontstyle01"/>
          <w:rFonts w:ascii="Traditional Arabic" w:eastAsia="Times New Roman" w:hAnsi="Traditional Arabic" w:cs="Traditional Arabic" w:hint="cs"/>
          <w:sz w:val="30"/>
          <w:szCs w:val="30"/>
          <w:rtl/>
        </w:rPr>
        <w:t>الانتهاكات</w:t>
      </w:r>
    </w:p>
    <w:p w14:paraId="735C6803" w14:textId="77777777"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tl/>
        </w:rPr>
      </w:pPr>
      <w:r w:rsidRPr="001017A1">
        <w:rPr>
          <w:rStyle w:val="fontstyle01"/>
          <w:rFonts w:ascii="Traditional Arabic" w:hAnsi="Traditional Arabic" w:cs="Traditional Arabic" w:hint="cs"/>
          <w:sz w:val="30"/>
          <w:szCs w:val="30"/>
          <w:rtl/>
        </w:rPr>
        <w:t>الحرمان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التعسفي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الحياة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ممنوع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منعا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باتا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لحقوق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sz w:val="30"/>
          <w:szCs w:val="30"/>
        </w:rPr>
        <w:t xml:space="preserve"> </w:t>
      </w:r>
      <w:r w:rsidRPr="001017A1">
        <w:rPr>
          <w:rStyle w:val="fontstyle01"/>
          <w:rFonts w:ascii="Traditional Arabic" w:hAnsi="Traditional Arabic" w:cs="Traditional Arabic"/>
          <w:sz w:val="30"/>
          <w:szCs w:val="30"/>
        </w:rPr>
        <w:footnoteReference w:id="255"/>
      </w:r>
      <w:r w:rsidRPr="001017A1">
        <w:rPr>
          <w:rStyle w:val="fontstyle01"/>
          <w:rFonts w:ascii="Traditional Arabic" w:hAnsi="Traditional Arabic" w:cs="Traditional Arabic" w:hint="cs"/>
          <w:sz w:val="30"/>
          <w:szCs w:val="30"/>
          <w:rtl/>
        </w:rPr>
        <w:t>عندما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يتم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تنفيذ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عملية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مشروعة من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قبل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ممثلي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السلطات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المسيطرة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منطقة، تكمن وظيفتهم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 إنفاذ</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تعد هكذا أفعال بمثابة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الإعدام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خارج</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نطاق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القضاء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 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وفي سياق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نزاع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lastRenderedPageBreak/>
        <w:t>مسلح</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 عندما يقوم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أحد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أطراف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النزاع بقتل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متعمد لشخص</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 مشارك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الأعمال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العدائية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بشكل مباشر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شخص توقف</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القتال،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يكون ذلك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بمثابة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العمد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أو </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في حالة الصراع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 xml:space="preserve">الدولي </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جريمة قتل</w:t>
      </w:r>
      <w:r w:rsidRPr="00393EA9">
        <w:rPr>
          <w:rFonts w:asciiTheme="majorBidi" w:hAnsiTheme="majorBidi"/>
          <w:sz w:val="24"/>
          <w:szCs w:val="24"/>
          <w:rtl/>
        </w:rPr>
        <w:t>.</w:t>
      </w:r>
      <w:r w:rsidRPr="008B62D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56"/>
      </w:r>
      <w:r>
        <w:rPr>
          <w:rFonts w:asciiTheme="majorBidi" w:hAnsiTheme="majorBidi" w:cstheme="majorBidi"/>
          <w:sz w:val="20"/>
        </w:rPr>
        <w:t xml:space="preserve"> </w:t>
      </w:r>
      <w:r w:rsidRPr="001017A1">
        <w:rPr>
          <w:rStyle w:val="fontstyle01"/>
          <w:rFonts w:ascii="Traditional Arabic" w:hAnsi="Traditional Arabic" w:cs="Traditional Arabic" w:hint="cs"/>
          <w:sz w:val="30"/>
          <w:szCs w:val="30"/>
          <w:rtl/>
        </w:rPr>
        <w:t>القتل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هو</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خطير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وبالتالي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جريمة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حرب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قد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تؤدي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إلى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مسؤولية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جنائية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فردية</w:t>
      </w:r>
      <w:r w:rsidRPr="00393EA9">
        <w:rPr>
          <w:rFonts w:asciiTheme="majorBidi" w:hAnsiTheme="majorBidi"/>
          <w:sz w:val="24"/>
          <w:szCs w:val="24"/>
          <w:rtl/>
        </w:rPr>
        <w:t>.</w:t>
      </w:r>
      <w:r>
        <w:rPr>
          <w:rStyle w:val="FootnoteReference"/>
          <w:rFonts w:asciiTheme="majorBidi" w:hAnsiTheme="majorBidi" w:cstheme="majorBidi"/>
          <w:sz w:val="20"/>
        </w:rPr>
        <w:footnoteReference w:id="257"/>
      </w:r>
    </w:p>
    <w:p w14:paraId="4925FCB5" w14:textId="64521591" w:rsidR="00111D30" w:rsidRPr="003C51DA" w:rsidRDefault="00967CB7" w:rsidP="00B67CA3">
      <w:pPr>
        <w:pStyle w:val="Footer"/>
        <w:numPr>
          <w:ilvl w:val="0"/>
          <w:numId w:val="3"/>
        </w:numPr>
        <w:tabs>
          <w:tab w:val="left" w:pos="720"/>
          <w:tab w:val="left" w:pos="1134"/>
          <w:tab w:val="left" w:pos="1701"/>
        </w:tabs>
        <w:suppressAutoHyphens w:val="0"/>
        <w:bidi/>
        <w:spacing w:after="120"/>
        <w:ind w:left="1080" w:right="827" w:firstLine="0"/>
        <w:jc w:val="both"/>
        <w:rPr>
          <w:rStyle w:val="fontstyle01"/>
          <w:rFonts w:ascii="Traditional Arabic" w:hAnsi="Traditional Arabic" w:cs="Traditional Arabic"/>
          <w:b/>
          <w:bCs/>
          <w:sz w:val="30"/>
          <w:szCs w:val="30"/>
        </w:rPr>
      </w:pP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الحالة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الموصوفة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أعلاه،</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لدى</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فريق</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الخبراء</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أسباب</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معقولة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للاعتقاد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بأن</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قوات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المقاومة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ارتكبت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عمليات</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إعدام</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خارج</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نطاق</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القضاء</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بقتل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ستة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أفراد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لم</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يشاركوا</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مباشرة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الأعمال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العدائية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مجمع</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المعبد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قد</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تؤدي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هذه</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الأعمال</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إلى</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مسؤولية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جنائية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فردية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عن</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جريمة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الحرب</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المتمثلة</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في</w:t>
      </w:r>
      <w:r w:rsidRPr="003C51DA">
        <w:rPr>
          <w:rStyle w:val="fontstyle01"/>
          <w:rFonts w:ascii="Traditional Arabic" w:hAnsi="Traditional Arabic" w:cs="Traditional Arabic"/>
          <w:sz w:val="30"/>
          <w:szCs w:val="30"/>
          <w:rtl/>
        </w:rPr>
        <w:t xml:space="preserve"> </w:t>
      </w:r>
      <w:r w:rsidRPr="003C51DA">
        <w:rPr>
          <w:rStyle w:val="fontstyle01"/>
          <w:rFonts w:ascii="Traditional Arabic" w:hAnsi="Traditional Arabic" w:cs="Traditional Arabic" w:hint="eastAsia"/>
          <w:sz w:val="30"/>
          <w:szCs w:val="30"/>
          <w:rtl/>
        </w:rPr>
        <w:t>القتل</w:t>
      </w:r>
      <w:r w:rsidRPr="003C51DA">
        <w:rPr>
          <w:rStyle w:val="fontstyle01"/>
          <w:rFonts w:ascii="Traditional Arabic" w:hAnsi="Traditional Arabic" w:cs="Traditional Arabic"/>
          <w:sz w:val="30"/>
          <w:szCs w:val="30"/>
          <w:rtl/>
        </w:rPr>
        <w:t>.</w:t>
      </w:r>
      <w:r w:rsidR="00DE4AAA" w:rsidRPr="003C51DA">
        <w:rPr>
          <w:rStyle w:val="fontstyle01"/>
          <w:rFonts w:ascii="Traditional Arabic" w:hAnsi="Traditional Arabic" w:cs="Traditional Arabic"/>
          <w:b/>
          <w:bCs/>
          <w:sz w:val="30"/>
          <w:szCs w:val="30"/>
        </w:rPr>
        <w:tab/>
      </w:r>
    </w:p>
    <w:p w14:paraId="783D6EE2" w14:textId="77777777" w:rsidR="003C51DA" w:rsidRDefault="003C51DA">
      <w:pPr>
        <w:suppressAutoHyphens w:val="0"/>
        <w:spacing w:line="240" w:lineRule="auto"/>
        <w:rPr>
          <w:rStyle w:val="fontstyle01"/>
          <w:rFonts w:ascii="Traditional Arabic" w:hAnsi="Traditional Arabic" w:cs="Traditional Arabic"/>
          <w:b/>
          <w:bCs/>
          <w:sz w:val="30"/>
          <w:szCs w:val="30"/>
        </w:rPr>
      </w:pPr>
      <w:r>
        <w:rPr>
          <w:rStyle w:val="fontstyle01"/>
          <w:rFonts w:ascii="Traditional Arabic" w:hAnsi="Traditional Arabic" w:cs="Traditional Arabic"/>
          <w:b/>
          <w:bCs/>
          <w:sz w:val="30"/>
          <w:szCs w:val="30"/>
        </w:rPr>
        <w:br w:type="page"/>
      </w:r>
    </w:p>
    <w:p w14:paraId="50F56E57" w14:textId="1BAA8859" w:rsidR="00967CB7" w:rsidRDefault="00DE4AAA" w:rsidP="00111D30">
      <w:pPr>
        <w:pStyle w:val="NoSpacing"/>
        <w:tabs>
          <w:tab w:val="left" w:pos="720"/>
          <w:tab w:val="left" w:pos="1134"/>
          <w:tab w:val="left" w:pos="1701"/>
        </w:tabs>
        <w:bidi/>
        <w:spacing w:after="120" w:line="240" w:lineRule="atLeast"/>
        <w:ind w:right="827"/>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sz w:val="30"/>
          <w:szCs w:val="30"/>
        </w:rPr>
        <w:lastRenderedPageBreak/>
        <w:tab/>
      </w:r>
      <w:r w:rsidR="00967CB7" w:rsidRPr="00EE3E94">
        <w:rPr>
          <w:rStyle w:val="fontstyle01"/>
          <w:rFonts w:ascii="Traditional Arabic" w:eastAsia="Times New Roman" w:hAnsi="Traditional Arabic" w:cs="Traditional Arabic" w:hint="cs"/>
          <w:b/>
          <w:bCs/>
          <w:sz w:val="30"/>
          <w:szCs w:val="30"/>
          <w:rtl/>
        </w:rPr>
        <w:t>ح</w:t>
      </w:r>
      <w:r w:rsidR="00967CB7" w:rsidRPr="00EE3E94">
        <w:rPr>
          <w:rStyle w:val="fontstyle01"/>
          <w:rFonts w:ascii="Traditional Arabic" w:eastAsia="Times New Roman" w:hAnsi="Traditional Arabic" w:cs="Traditional Arabic"/>
          <w:b/>
          <w:bCs/>
          <w:sz w:val="30"/>
          <w:szCs w:val="30"/>
          <w:rtl/>
        </w:rPr>
        <w:t>) الألغام الأرضية</w:t>
      </w:r>
    </w:p>
    <w:p w14:paraId="6C1A6990" w14:textId="08649E4C" w:rsidR="00E70C00" w:rsidRPr="00EE3E94" w:rsidRDefault="00E70C00" w:rsidP="00361237">
      <w:pPr>
        <w:pStyle w:val="NoSpacing"/>
        <w:tabs>
          <w:tab w:val="left" w:pos="720"/>
          <w:tab w:val="left" w:pos="1134"/>
          <w:tab w:val="left" w:pos="1701"/>
        </w:tabs>
        <w:bidi/>
        <w:spacing w:after="120" w:line="240" w:lineRule="atLeast"/>
        <w:ind w:right="827" w:firstLine="1089"/>
        <w:rPr>
          <w:rStyle w:val="fontstyle01"/>
          <w:rFonts w:ascii="Traditional Arabic" w:eastAsia="Times New Roman" w:hAnsi="Traditional Arabic" w:cs="Traditional Arabic"/>
          <w:b/>
          <w:bCs/>
          <w:sz w:val="30"/>
          <w:szCs w:val="30"/>
        </w:rPr>
      </w:pPr>
      <w:r>
        <w:rPr>
          <w:rStyle w:val="fontstyle01"/>
          <w:rFonts w:ascii="Traditional Arabic" w:eastAsia="Times New Roman" w:hAnsi="Traditional Arabic" w:cs="Traditional Arabic"/>
          <w:b/>
          <w:bCs/>
          <w:noProof/>
          <w:sz w:val="30"/>
          <w:szCs w:val="30"/>
          <w:lang w:eastAsia="en-GB"/>
        </w:rPr>
        <w:drawing>
          <wp:inline distT="0" distB="0" distL="0" distR="0" wp14:anchorId="772FF2EB" wp14:editId="75DF3B89">
            <wp:extent cx="4988194" cy="3525398"/>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05776" cy="3537824"/>
                    </a:xfrm>
                    <a:prstGeom prst="rect">
                      <a:avLst/>
                    </a:prstGeom>
                    <a:noFill/>
                  </pic:spPr>
                </pic:pic>
              </a:graphicData>
            </a:graphic>
          </wp:inline>
        </w:drawing>
      </w:r>
    </w:p>
    <w:p w14:paraId="7296F1A5"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مع انسحاب مقاتلي الحوثي</w:t>
      </w:r>
      <w:r w:rsidRPr="001017A1">
        <w:rPr>
          <w:rStyle w:val="fontstyle01"/>
          <w:rFonts w:ascii="Traditional Arabic" w:hAnsi="Traditional Arabic" w:cs="Traditional Arabic" w:hint="cs"/>
          <w:sz w:val="30"/>
          <w:szCs w:val="30"/>
          <w:rtl/>
        </w:rPr>
        <w:t>ين</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 xml:space="preserve"> </w:t>
      </w:r>
      <w:r w:rsidRPr="001017A1">
        <w:rPr>
          <w:rStyle w:val="fontstyle01"/>
          <w:rFonts w:ascii="Traditional Arabic" w:hAnsi="Traditional Arabic" w:cs="Traditional Arabic"/>
          <w:sz w:val="30"/>
          <w:szCs w:val="30"/>
          <w:rtl/>
        </w:rPr>
        <w:t xml:space="preserve">صالح من لحج وعدن، تركوا وراءهم الآلاف من الألغام الأرضية التي </w:t>
      </w:r>
      <w:r w:rsidRPr="001017A1">
        <w:rPr>
          <w:rStyle w:val="fontstyle01"/>
          <w:rFonts w:ascii="Traditional Arabic" w:hAnsi="Traditional Arabic" w:cs="Traditional Arabic" w:hint="cs"/>
          <w:sz w:val="30"/>
          <w:szCs w:val="30"/>
          <w:rtl/>
        </w:rPr>
        <w:t>ظلّت</w:t>
      </w:r>
      <w:r w:rsidRPr="001017A1">
        <w:rPr>
          <w:rStyle w:val="fontstyle01"/>
          <w:rFonts w:ascii="Traditional Arabic" w:hAnsi="Traditional Arabic" w:cs="Traditional Arabic"/>
          <w:sz w:val="30"/>
          <w:szCs w:val="30"/>
          <w:rtl/>
        </w:rPr>
        <w:t xml:space="preserve"> وقت كتابة هذا التقرير </w:t>
      </w:r>
      <w:r w:rsidRPr="001017A1">
        <w:rPr>
          <w:rStyle w:val="fontstyle01"/>
          <w:rFonts w:ascii="Traditional Arabic" w:hAnsi="Traditional Arabic" w:cs="Traditional Arabic" w:hint="cs"/>
          <w:sz w:val="30"/>
          <w:szCs w:val="30"/>
          <w:rtl/>
        </w:rPr>
        <w:t xml:space="preserve">تؤثّر </w:t>
      </w:r>
      <w:r w:rsidRPr="001017A1">
        <w:rPr>
          <w:rStyle w:val="fontstyle01"/>
          <w:rFonts w:ascii="Traditional Arabic" w:hAnsi="Traditional Arabic" w:cs="Traditional Arabic"/>
          <w:sz w:val="30"/>
          <w:szCs w:val="30"/>
          <w:rtl/>
        </w:rPr>
        <w:t>سلبًا على حياة المدنيين، بما في ذلك التسب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ب في إصابات ووفيات</w:t>
      </w:r>
      <w:r w:rsidRPr="00C927B2">
        <w:rPr>
          <w:rStyle w:val="FootnoteReference"/>
          <w:sz w:val="24"/>
          <w:szCs w:val="24"/>
        </w:rPr>
        <w:footnoteReference w:id="258"/>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و</w:t>
      </w:r>
      <w:r w:rsidRPr="001017A1">
        <w:rPr>
          <w:rStyle w:val="fontstyle01"/>
          <w:rFonts w:ascii="Traditional Arabic" w:hAnsi="Traditional Arabic" w:cs="Traditional Arabic"/>
          <w:sz w:val="30"/>
          <w:szCs w:val="30"/>
          <w:rtl/>
        </w:rPr>
        <w:t>كمثال على حجم المشكلة، كما أوضح برنامج الأمم المتحدة الإنمائي، تم</w:t>
      </w:r>
      <w:r w:rsidRPr="001017A1">
        <w:rPr>
          <w:rStyle w:val="fontstyle01"/>
          <w:rFonts w:ascii="Traditional Arabic" w:hAnsi="Traditional Arabic" w:cs="Traditional Arabic" w:hint="cs"/>
          <w:sz w:val="30"/>
          <w:szCs w:val="30"/>
          <w:rtl/>
        </w:rPr>
        <w:t>ت</w:t>
      </w:r>
      <w:r w:rsidRPr="001017A1">
        <w:rPr>
          <w:rStyle w:val="fontstyle01"/>
          <w:rFonts w:ascii="Traditional Arabic" w:hAnsi="Traditional Arabic" w:cs="Traditional Arabic"/>
          <w:sz w:val="30"/>
          <w:szCs w:val="30"/>
          <w:rtl/>
        </w:rPr>
        <w:t xml:space="preserve"> إزالة 16</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198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للأفراد و 9</w:t>
      </w:r>
      <w:r>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476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للمركبات في عدن خلال عام 2016 وحده</w:t>
      </w:r>
      <w:r w:rsidRPr="00C927B2">
        <w:rPr>
          <w:rStyle w:val="FootnoteReference"/>
          <w:sz w:val="24"/>
          <w:szCs w:val="24"/>
        </w:rPr>
        <w:footnoteReference w:id="259"/>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تحقّق</w:t>
      </w:r>
      <w:r w:rsidRPr="001017A1">
        <w:rPr>
          <w:rStyle w:val="fontstyle01"/>
          <w:rFonts w:ascii="Traditional Arabic" w:hAnsi="Traditional Arabic" w:cs="Traditional Arabic"/>
          <w:sz w:val="30"/>
          <w:szCs w:val="30"/>
          <w:rtl/>
        </w:rPr>
        <w:t xml:space="preserve"> فريق الخبراء</w:t>
      </w:r>
      <w:r w:rsidRPr="001017A1">
        <w:rPr>
          <w:rStyle w:val="fontstyle01"/>
          <w:rFonts w:ascii="Traditional Arabic" w:hAnsi="Traditional Arabic" w:cs="Traditional Arabic" w:hint="cs"/>
          <w:sz w:val="30"/>
          <w:szCs w:val="30"/>
          <w:rtl/>
        </w:rPr>
        <w:t xml:space="preserve"> من</w:t>
      </w:r>
      <w:r w:rsidRPr="001017A1">
        <w:rPr>
          <w:rStyle w:val="fontstyle01"/>
          <w:rFonts w:ascii="Traditional Arabic" w:hAnsi="Traditional Arabic" w:cs="Traditional Arabic"/>
          <w:sz w:val="30"/>
          <w:szCs w:val="30"/>
          <w:rtl/>
        </w:rPr>
        <w:t xml:space="preserve"> 20 حادثة وقعت خلال الفترة من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 xml:space="preserve">يوليو 2015 – </w:t>
      </w:r>
      <w:r w:rsidRPr="001017A1">
        <w:rPr>
          <w:rStyle w:val="fontstyle01"/>
          <w:rFonts w:ascii="Traditional Arabic" w:hAnsi="Traditional Arabic" w:cs="Traditional Arabic" w:hint="cs"/>
          <w:sz w:val="30"/>
          <w:szCs w:val="30"/>
          <w:rtl/>
        </w:rPr>
        <w:t xml:space="preserve">أيار/ </w:t>
      </w:r>
      <w:r w:rsidRPr="001017A1">
        <w:rPr>
          <w:rStyle w:val="fontstyle01"/>
          <w:rFonts w:ascii="Traditional Arabic" w:hAnsi="Traditional Arabic" w:cs="Traditional Arabic"/>
          <w:sz w:val="30"/>
          <w:szCs w:val="30"/>
          <w:rtl/>
        </w:rPr>
        <w:t>مايو 2016 وأسفرت عن مقتل 35 مدنياً، من بينهم 11 طفلاً وامرأت</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ن، وإصابة 26 مدنياً، بينهم خمسة أطفال وخمس نساء. في لحج، تمت إزالة 33 لغماً أرضياً مضادًا للأفراد و 692</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 1 لغمًا أرضيًا مضادًا للمركبات خلال عام 2016 وحده</w:t>
      </w:r>
      <w:r w:rsidRPr="00C927B2">
        <w:rPr>
          <w:rFonts w:asciiTheme="majorBidi" w:hAnsiTheme="majorBidi"/>
          <w:sz w:val="24"/>
          <w:szCs w:val="24"/>
          <w:rtl/>
        </w:rPr>
        <w:t>.</w:t>
      </w:r>
      <w:r w:rsidRPr="00C927B2">
        <w:rPr>
          <w:rStyle w:val="FootnoteReference"/>
          <w:sz w:val="24"/>
          <w:szCs w:val="24"/>
        </w:rPr>
        <w:t xml:space="preserve"> </w:t>
      </w:r>
      <w:r w:rsidRPr="00C927B2">
        <w:rPr>
          <w:rStyle w:val="FootnoteReference"/>
          <w:sz w:val="24"/>
          <w:szCs w:val="24"/>
        </w:rPr>
        <w:footnoteReference w:id="260"/>
      </w:r>
      <w:r w:rsidRPr="00C927B2">
        <w:rPr>
          <w:rFonts w:asciiTheme="majorBidi" w:hAnsiTheme="majorBidi"/>
          <w:sz w:val="24"/>
          <w:szCs w:val="24"/>
          <w:rtl/>
        </w:rPr>
        <w:t xml:space="preserve"> </w:t>
      </w:r>
      <w:r w:rsidRPr="001017A1">
        <w:rPr>
          <w:rStyle w:val="fontstyle01"/>
          <w:rFonts w:ascii="Traditional Arabic" w:hAnsi="Traditional Arabic" w:cs="Traditional Arabic" w:hint="cs"/>
          <w:sz w:val="30"/>
          <w:szCs w:val="30"/>
          <w:rtl/>
        </w:rPr>
        <w:t>حقّق</w:t>
      </w:r>
      <w:r w:rsidRPr="001017A1">
        <w:rPr>
          <w:rStyle w:val="fontstyle01"/>
          <w:rFonts w:ascii="Traditional Arabic" w:hAnsi="Traditional Arabic" w:cs="Traditional Arabic"/>
          <w:sz w:val="30"/>
          <w:szCs w:val="30"/>
          <w:rtl/>
        </w:rPr>
        <w:t xml:space="preserve"> فريق الخبراء</w:t>
      </w:r>
      <w:r w:rsidRPr="001017A1">
        <w:rPr>
          <w:rStyle w:val="fontstyle01"/>
          <w:rFonts w:ascii="Traditional Arabic" w:hAnsi="Traditional Arabic" w:cs="Traditional Arabic" w:hint="cs"/>
          <w:sz w:val="30"/>
          <w:szCs w:val="30"/>
          <w:rtl/>
        </w:rPr>
        <w:t xml:space="preserve"> في</w:t>
      </w:r>
      <w:r w:rsidRPr="001017A1">
        <w:rPr>
          <w:rStyle w:val="fontstyle01"/>
          <w:rFonts w:ascii="Traditional Arabic" w:hAnsi="Traditional Arabic" w:cs="Traditional Arabic"/>
          <w:sz w:val="30"/>
          <w:szCs w:val="30"/>
          <w:rtl/>
        </w:rPr>
        <w:t xml:space="preserve"> تسعة حوادث وقعت خلال الفترة من</w:t>
      </w:r>
      <w:r w:rsidRPr="001017A1">
        <w:rPr>
          <w:rStyle w:val="fontstyle01"/>
          <w:rFonts w:ascii="Traditional Arabic" w:hAnsi="Traditional Arabic" w:cs="Traditional Arabic" w:hint="cs"/>
          <w:sz w:val="30"/>
          <w:szCs w:val="30"/>
          <w:rtl/>
        </w:rPr>
        <w:t xml:space="preserve"> آب/ </w:t>
      </w:r>
      <w:r w:rsidRPr="001017A1">
        <w:rPr>
          <w:rStyle w:val="fontstyle01"/>
          <w:rFonts w:ascii="Traditional Arabic" w:hAnsi="Traditional Arabic" w:cs="Traditional Arabic"/>
          <w:sz w:val="30"/>
          <w:szCs w:val="30"/>
          <w:rtl/>
        </w:rPr>
        <w:t xml:space="preserve">أغسطس 2015 – </w:t>
      </w:r>
      <w:r w:rsidRPr="001017A1">
        <w:rPr>
          <w:rStyle w:val="fontstyle01"/>
          <w:rFonts w:ascii="Traditional Arabic" w:hAnsi="Traditional Arabic" w:cs="Traditional Arabic" w:hint="cs"/>
          <w:sz w:val="30"/>
          <w:szCs w:val="30"/>
          <w:rtl/>
        </w:rPr>
        <w:t xml:space="preserve">حزيران/ </w:t>
      </w:r>
      <w:r w:rsidRPr="001017A1">
        <w:rPr>
          <w:rStyle w:val="fontstyle01"/>
          <w:rFonts w:ascii="Traditional Arabic" w:hAnsi="Traditional Arabic" w:cs="Traditional Arabic"/>
          <w:sz w:val="30"/>
          <w:szCs w:val="30"/>
          <w:rtl/>
        </w:rPr>
        <w:t xml:space="preserve">يونيو 2018 أودت بحياة رجلين وامرأة وأصابت ستة رجال وثلاث نساء وأربعة أطفال. تُعتبر الحالات التالية التي حقق فيها فريق الخبراء عينة تدل على أنماط الضرر الخطير الناجم عن هذه الألغام الأرضية </w:t>
      </w:r>
      <w:r>
        <w:rPr>
          <w:rStyle w:val="fontstyle01"/>
          <w:rFonts w:ascii="Traditional Arabic" w:hAnsi="Traditional Arabic" w:cs="Traditional Arabic" w:hint="cs"/>
          <w:sz w:val="30"/>
          <w:szCs w:val="30"/>
          <w:rtl/>
        </w:rPr>
        <w:t xml:space="preserve">بنوعيها ضد المركبات وضد الافراد </w:t>
      </w:r>
      <w:r w:rsidRPr="001017A1">
        <w:rPr>
          <w:rStyle w:val="fontstyle01"/>
          <w:rFonts w:ascii="Traditional Arabic" w:hAnsi="Traditional Arabic" w:cs="Traditional Arabic"/>
          <w:sz w:val="30"/>
          <w:szCs w:val="30"/>
          <w:rtl/>
        </w:rPr>
        <w:t>في عدن ولحج</w:t>
      </w:r>
      <w:r w:rsidRPr="001017A1">
        <w:rPr>
          <w:rStyle w:val="fontstyle01"/>
          <w:rFonts w:ascii="Traditional Arabic" w:hAnsi="Traditional Arabic" w:cs="Traditional Arabic"/>
          <w:sz w:val="30"/>
          <w:szCs w:val="30"/>
        </w:rPr>
        <w:t>.</w:t>
      </w:r>
    </w:p>
    <w:p w14:paraId="27429C31" w14:textId="6BA73E57" w:rsidR="00967CB7" w:rsidRPr="001017A1" w:rsidRDefault="00967CB7" w:rsidP="009300E4">
      <w:pPr>
        <w:pStyle w:val="NoSpacing"/>
        <w:tabs>
          <w:tab w:val="left" w:pos="720"/>
          <w:tab w:val="left" w:pos="1134"/>
        </w:tabs>
        <w:bidi/>
        <w:ind w:right="827"/>
        <w:rPr>
          <w:rStyle w:val="fontstyle01"/>
          <w:rFonts w:ascii="Traditional Arabic" w:eastAsia="Times New Roman" w:hAnsi="Traditional Arabic" w:cs="Traditional Arabic"/>
          <w:i/>
          <w:iCs/>
          <w:sz w:val="30"/>
          <w:szCs w:val="30"/>
        </w:rPr>
      </w:pPr>
      <w:r w:rsidRPr="00C927B2">
        <w:rPr>
          <w:rFonts w:asciiTheme="majorBidi" w:hAnsiTheme="majorBidi" w:cstheme="majorBidi"/>
          <w:sz w:val="24"/>
          <w:szCs w:val="24"/>
        </w:rPr>
        <w:tab/>
      </w:r>
      <w:r w:rsidR="009300E4">
        <w:rPr>
          <w:rFonts w:asciiTheme="majorBidi" w:hAnsiTheme="majorBidi" w:cstheme="majorBidi"/>
          <w:sz w:val="24"/>
          <w:szCs w:val="24"/>
        </w:rPr>
        <w:tab/>
      </w:r>
      <w:r w:rsidRPr="001017A1">
        <w:rPr>
          <w:rStyle w:val="fontstyle01"/>
          <w:rFonts w:ascii="Traditional Arabic" w:eastAsia="Times New Roman" w:hAnsi="Traditional Arabic" w:cs="Traditional Arabic"/>
          <w:i/>
          <w:iCs/>
          <w:sz w:val="30"/>
          <w:szCs w:val="30"/>
          <w:rtl/>
        </w:rPr>
        <w:t>حوادث قرب المطار - عدن</w:t>
      </w:r>
    </w:p>
    <w:p w14:paraId="416ED8D8" w14:textId="77777777" w:rsidR="00967CB7" w:rsidRPr="00C927B2"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sz w:val="30"/>
          <w:szCs w:val="30"/>
          <w:rtl/>
        </w:rPr>
        <w:t>سيطر مقاتلو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على خورمكسر خلال الفترة من </w:t>
      </w:r>
      <w:r w:rsidRPr="001017A1">
        <w:rPr>
          <w:rStyle w:val="fontstyle01"/>
          <w:rFonts w:ascii="Traditional Arabic" w:hAnsi="Traditional Arabic" w:cs="Traditional Arabic" w:hint="cs"/>
          <w:sz w:val="30"/>
          <w:szCs w:val="30"/>
          <w:rtl/>
        </w:rPr>
        <w:t xml:space="preserve">آذار/ </w:t>
      </w:r>
      <w:r w:rsidRPr="001017A1">
        <w:rPr>
          <w:rStyle w:val="fontstyle01"/>
          <w:rFonts w:ascii="Traditional Arabic" w:hAnsi="Traditional Arabic" w:cs="Traditional Arabic"/>
          <w:sz w:val="30"/>
          <w:szCs w:val="30"/>
          <w:rtl/>
        </w:rPr>
        <w:t xml:space="preserve">مارس إلى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لم يكن معروف</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قبل هذه الفترة أن المنطقة </w:t>
      </w:r>
      <w:r w:rsidRPr="001017A1">
        <w:rPr>
          <w:rStyle w:val="fontstyle01"/>
          <w:rFonts w:ascii="Traditional Arabic" w:hAnsi="Traditional Arabic" w:cs="Traditional Arabic" w:hint="cs"/>
          <w:sz w:val="30"/>
          <w:szCs w:val="30"/>
          <w:rtl/>
        </w:rPr>
        <w:t>ملغّمة</w:t>
      </w:r>
      <w:r w:rsidRPr="001017A1">
        <w:rPr>
          <w:rStyle w:val="fontstyle01"/>
          <w:rFonts w:ascii="Traditional Arabic" w:hAnsi="Traditional Arabic" w:cs="Traditional Arabic"/>
          <w:sz w:val="30"/>
          <w:szCs w:val="30"/>
          <w:rtl/>
        </w:rPr>
        <w:t xml:space="preserve">. مع انسحاب الحوثيين، زرعوا الألغام الأرضية في مناطق أثرت على المدنيين. في إحدى الحالات، في 27 </w:t>
      </w:r>
      <w:r w:rsidRPr="001017A1">
        <w:rPr>
          <w:rStyle w:val="fontstyle01"/>
          <w:rFonts w:ascii="Traditional Arabic" w:hAnsi="Traditional Arabic" w:cs="Traditional Arabic" w:hint="cs"/>
          <w:sz w:val="30"/>
          <w:szCs w:val="30"/>
          <w:rtl/>
        </w:rPr>
        <w:t xml:space="preserve">تموز/ </w:t>
      </w:r>
      <w:r w:rsidRPr="001017A1">
        <w:rPr>
          <w:rStyle w:val="fontstyle01"/>
          <w:rFonts w:ascii="Traditional Arabic" w:hAnsi="Traditional Arabic" w:cs="Traditional Arabic"/>
          <w:sz w:val="30"/>
          <w:szCs w:val="30"/>
          <w:rtl/>
        </w:rPr>
        <w:t>يوليو 2015، خرج مهندس إزالة الألغام من سيارة لالتقاط لغم.</w:t>
      </w:r>
      <w:r w:rsidRPr="001017A1">
        <w:rPr>
          <w:rStyle w:val="fontstyle01"/>
          <w:rFonts w:ascii="Traditional Arabic" w:hAnsi="Traditional Arabic" w:cs="Traditional Arabic" w:hint="cs"/>
          <w:sz w:val="30"/>
          <w:szCs w:val="30"/>
          <w:rtl/>
        </w:rPr>
        <w:t xml:space="preserve"> داس</w:t>
      </w:r>
      <w:r w:rsidRPr="001017A1">
        <w:rPr>
          <w:rStyle w:val="fontstyle01"/>
          <w:rFonts w:ascii="Traditional Arabic" w:hAnsi="Traditional Arabic" w:cs="Traditional Arabic"/>
          <w:sz w:val="30"/>
          <w:szCs w:val="30"/>
          <w:rtl/>
        </w:rPr>
        <w:t xml:space="preserve"> بقدمه اليمنى على لغم أرضي مضاد للأفراد انفجر</w:t>
      </w:r>
      <w:r w:rsidRPr="001017A1">
        <w:rPr>
          <w:rStyle w:val="fontstyle01"/>
          <w:rFonts w:ascii="Traditional Arabic" w:hAnsi="Traditional Arabic" w:cs="Traditional Arabic" w:hint="cs"/>
          <w:sz w:val="30"/>
          <w:szCs w:val="30"/>
          <w:rtl/>
        </w:rPr>
        <w:t xml:space="preserve"> فيه</w:t>
      </w:r>
      <w:r w:rsidRPr="001017A1">
        <w:rPr>
          <w:rStyle w:val="fontstyle01"/>
          <w:rFonts w:ascii="Traditional Arabic" w:hAnsi="Traditional Arabic" w:cs="Traditional Arabic"/>
          <w:sz w:val="30"/>
          <w:szCs w:val="30"/>
          <w:rtl/>
        </w:rPr>
        <w:t xml:space="preserve">. نتيجة </w:t>
      </w:r>
      <w:r w:rsidRPr="001017A1">
        <w:rPr>
          <w:rStyle w:val="fontstyle01"/>
          <w:rFonts w:ascii="Traditional Arabic" w:hAnsi="Traditional Arabic" w:cs="Traditional Arabic"/>
          <w:sz w:val="30"/>
          <w:szCs w:val="30"/>
          <w:rtl/>
        </w:rPr>
        <w:lastRenderedPageBreak/>
        <w:t>لذلك، فقد ساقه. كان اللغم الأرضي من نوع</w:t>
      </w:r>
      <w:r w:rsidRPr="001017A1">
        <w:rPr>
          <w:rStyle w:val="fontstyle01"/>
          <w:rFonts w:ascii="Traditional Arabic" w:hAnsi="Traditional Arabic" w:cs="Traditional Arabic"/>
          <w:sz w:val="30"/>
          <w:szCs w:val="30"/>
        </w:rPr>
        <w:t xml:space="preserve"> PPM2 </w:t>
      </w:r>
      <w:r w:rsidRPr="001017A1">
        <w:rPr>
          <w:rStyle w:val="fontstyle01"/>
          <w:rFonts w:ascii="Traditional Arabic" w:hAnsi="Traditional Arabic" w:cs="Traditional Arabic"/>
          <w:sz w:val="30"/>
          <w:szCs w:val="30"/>
          <w:rtl/>
        </w:rPr>
        <w:t>الألماني المضاد للأفراد، وهو الأكثر شيوعًا بين الألغام المزروعة</w:t>
      </w:r>
      <w:r w:rsidRPr="00C927B2">
        <w:rPr>
          <w:rStyle w:val="FootnoteReference"/>
          <w:sz w:val="24"/>
          <w:szCs w:val="24"/>
        </w:rPr>
        <w:footnoteReference w:id="261"/>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بالإضافة إلى ذلك، في 29 </w:t>
      </w:r>
      <w:r w:rsidRPr="001017A1">
        <w:rPr>
          <w:rStyle w:val="fontstyle01"/>
          <w:rFonts w:ascii="Traditional Arabic" w:hAnsi="Traditional Arabic" w:cs="Traditional Arabic" w:hint="cs"/>
          <w:sz w:val="30"/>
          <w:szCs w:val="30"/>
          <w:rtl/>
        </w:rPr>
        <w:t xml:space="preserve">أيلول/ </w:t>
      </w:r>
      <w:r w:rsidRPr="001017A1">
        <w:rPr>
          <w:rStyle w:val="fontstyle01"/>
          <w:rFonts w:ascii="Traditional Arabic" w:hAnsi="Traditional Arabic" w:cs="Traditional Arabic"/>
          <w:sz w:val="30"/>
          <w:szCs w:val="30"/>
          <w:rtl/>
        </w:rPr>
        <w:t>سبتمبر 2015، أيضًا في المطار، بالقرب من مهبط الطائرات، في حوالي الساعة</w:t>
      </w:r>
      <w:r w:rsidRPr="001017A1">
        <w:rPr>
          <w:rStyle w:val="fontstyle01"/>
          <w:rFonts w:ascii="Traditional Arabic" w:hAnsi="Traditional Arabic" w:cs="Traditional Arabic" w:hint="cs"/>
          <w:sz w:val="30"/>
          <w:szCs w:val="30"/>
          <w:rtl/>
        </w:rPr>
        <w:t xml:space="preserve"> الثانية من بعد الظهر</w:t>
      </w:r>
      <w:r w:rsidRPr="001017A1">
        <w:rPr>
          <w:rStyle w:val="fontstyle01"/>
          <w:rFonts w:ascii="Traditional Arabic" w:hAnsi="Traditional Arabic" w:cs="Traditional Arabic"/>
          <w:sz w:val="30"/>
          <w:szCs w:val="30"/>
          <w:rtl/>
        </w:rPr>
        <w:t xml:space="preserve">، انحرفت مركبة لإزالة الألغام تحمل ألغاما أرضية لم تنفجر عن الطريق الرئيسي </w:t>
      </w:r>
      <w:r w:rsidRPr="001017A1">
        <w:rPr>
          <w:rStyle w:val="fontstyle01"/>
          <w:rFonts w:ascii="Traditional Arabic" w:hAnsi="Traditional Arabic" w:cs="Traditional Arabic" w:hint="cs"/>
          <w:sz w:val="30"/>
          <w:szCs w:val="30"/>
          <w:rtl/>
        </w:rPr>
        <w:t>وداست</w:t>
      </w:r>
      <w:r w:rsidRPr="001017A1">
        <w:rPr>
          <w:rStyle w:val="fontstyle01"/>
          <w:rFonts w:ascii="Traditional Arabic" w:hAnsi="Traditional Arabic" w:cs="Traditional Arabic"/>
          <w:sz w:val="30"/>
          <w:szCs w:val="30"/>
          <w:rtl/>
        </w:rPr>
        <w:t xml:space="preserve">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w:t>
      </w:r>
      <w:r w:rsidRPr="001017A1">
        <w:rPr>
          <w:rStyle w:val="fontstyle01"/>
          <w:rFonts w:ascii="Traditional Arabic" w:hAnsi="Traditional Arabic" w:cs="Traditional Arabic" w:hint="cs"/>
          <w:sz w:val="30"/>
          <w:szCs w:val="30"/>
          <w:rtl/>
        </w:rPr>
        <w:t>ات</w:t>
      </w:r>
      <w:r w:rsidRPr="00C927B2">
        <w:rPr>
          <w:rStyle w:val="FootnoteReference"/>
          <w:sz w:val="24"/>
          <w:szCs w:val="24"/>
        </w:rPr>
        <w:footnoteReference w:id="262"/>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ثلاثة مهندسين</w:t>
      </w:r>
      <w:r w:rsidRPr="001017A1">
        <w:rPr>
          <w:rStyle w:val="fontstyle01"/>
          <w:rFonts w:ascii="Traditional Arabic" w:hAnsi="Traditional Arabic" w:cs="Traditional Arabic" w:hint="cs"/>
          <w:sz w:val="30"/>
          <w:szCs w:val="30"/>
          <w:rtl/>
        </w:rPr>
        <w:t xml:space="preserve"> أصيبوا بجروح طفيفة</w:t>
      </w:r>
      <w:r w:rsidRPr="001017A1">
        <w:rPr>
          <w:rStyle w:val="fontstyle01"/>
          <w:rFonts w:ascii="Traditional Arabic" w:hAnsi="Traditional Arabic" w:cs="Traditional Arabic"/>
          <w:sz w:val="30"/>
          <w:szCs w:val="30"/>
          <w:rtl/>
        </w:rPr>
        <w:t xml:space="preserve"> وق</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تل آخر. فقد السائق ساقه</w:t>
      </w:r>
      <w:r w:rsidRPr="00C927B2">
        <w:rPr>
          <w:rStyle w:val="FootnoteReference"/>
          <w:sz w:val="24"/>
          <w:szCs w:val="24"/>
        </w:rPr>
        <w:footnoteReference w:id="263"/>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 xml:space="preserve">بالقرب من منطقة المطار أيضًا، انفجر لغم أرضي في 2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 xml:space="preserve">أغسطس 2016، عندما </w:t>
      </w:r>
      <w:r w:rsidRPr="001017A1">
        <w:rPr>
          <w:rStyle w:val="fontstyle01"/>
          <w:rFonts w:ascii="Traditional Arabic" w:hAnsi="Traditional Arabic" w:cs="Traditional Arabic" w:hint="cs"/>
          <w:sz w:val="30"/>
          <w:szCs w:val="30"/>
          <w:rtl/>
        </w:rPr>
        <w:t>داس</w:t>
      </w:r>
      <w:r w:rsidRPr="001017A1">
        <w:rPr>
          <w:rStyle w:val="fontstyle01"/>
          <w:rFonts w:ascii="Traditional Arabic" w:hAnsi="Traditional Arabic" w:cs="Traditional Arabic"/>
          <w:sz w:val="30"/>
          <w:szCs w:val="30"/>
          <w:rtl/>
        </w:rPr>
        <w:t xml:space="preserve"> مهندس إزالة الألغام على لغم أرضي ألماني الصنع من</w:t>
      </w:r>
      <w:r w:rsidRPr="001017A1">
        <w:rPr>
          <w:rStyle w:val="fontstyle01"/>
          <w:rFonts w:ascii="Traditional Arabic" w:hAnsi="Traditional Arabic" w:cs="Traditional Arabic" w:hint="cs"/>
          <w:sz w:val="30"/>
          <w:szCs w:val="30"/>
          <w:rtl/>
        </w:rPr>
        <w:t xml:space="preserve"> نوع</w:t>
      </w:r>
      <w:r w:rsidRPr="001017A1">
        <w:rPr>
          <w:rStyle w:val="fontstyle01"/>
          <w:rFonts w:ascii="Traditional Arabic" w:hAnsi="Traditional Arabic" w:cs="Traditional Arabic"/>
          <w:sz w:val="30"/>
          <w:szCs w:val="30"/>
        </w:rPr>
        <w:t xml:space="preserve"> PPM2 </w:t>
      </w:r>
      <w:r w:rsidRPr="001017A1">
        <w:rPr>
          <w:rStyle w:val="fontstyle01"/>
          <w:rFonts w:ascii="Traditional Arabic" w:hAnsi="Traditional Arabic" w:cs="Traditional Arabic"/>
          <w:sz w:val="30"/>
          <w:szCs w:val="30"/>
          <w:rtl/>
        </w:rPr>
        <w:t xml:space="preserve">مغطى بالكربون. </w:t>
      </w:r>
      <w:r w:rsidRPr="001017A1">
        <w:rPr>
          <w:rStyle w:val="fontstyle01"/>
          <w:rFonts w:ascii="Traditional Arabic" w:hAnsi="Traditional Arabic" w:cs="Traditional Arabic" w:hint="cs"/>
          <w:sz w:val="30"/>
          <w:szCs w:val="30"/>
          <w:rtl/>
        </w:rPr>
        <w:t xml:space="preserve">فقد المهندس </w:t>
      </w:r>
      <w:r w:rsidRPr="001017A1">
        <w:rPr>
          <w:rStyle w:val="fontstyle01"/>
          <w:rFonts w:ascii="Traditional Arabic" w:hAnsi="Traditional Arabic" w:cs="Traditional Arabic"/>
          <w:sz w:val="30"/>
          <w:szCs w:val="30"/>
          <w:rtl/>
        </w:rPr>
        <w:t>ساقه</w:t>
      </w:r>
      <w:r w:rsidRPr="00C927B2">
        <w:rPr>
          <w:rStyle w:val="FootnoteReference"/>
          <w:sz w:val="24"/>
          <w:szCs w:val="24"/>
        </w:rPr>
        <w:footnoteReference w:id="264"/>
      </w:r>
      <w:r w:rsidRPr="00C927B2">
        <w:rPr>
          <w:rFonts w:asciiTheme="majorBidi" w:hAnsiTheme="majorBidi" w:cstheme="majorBidi"/>
          <w:sz w:val="24"/>
          <w:szCs w:val="24"/>
        </w:rPr>
        <w:t>.</w:t>
      </w:r>
    </w:p>
    <w:p w14:paraId="5481B687" w14:textId="77777777" w:rsidR="00967CB7" w:rsidRPr="001017A1" w:rsidRDefault="00967CB7" w:rsidP="00361237">
      <w:pPr>
        <w:pStyle w:val="NoSpacing"/>
        <w:tabs>
          <w:tab w:val="left" w:pos="720"/>
          <w:tab w:val="left" w:pos="1134"/>
          <w:tab w:val="left" w:pos="1701"/>
        </w:tabs>
        <w:bidi/>
        <w:spacing w:after="120" w:line="240" w:lineRule="atLeast"/>
        <w:ind w:left="1095" w:right="827"/>
        <w:jc w:val="both"/>
        <w:rPr>
          <w:rStyle w:val="fontstyle01"/>
          <w:rFonts w:ascii="Traditional Arabic" w:eastAsia="Times New Roman" w:hAnsi="Traditional Arabic" w:cs="Traditional Arabic"/>
          <w:i/>
          <w:iCs/>
          <w:sz w:val="30"/>
          <w:szCs w:val="30"/>
        </w:rPr>
      </w:pPr>
      <w:r w:rsidRPr="001017A1">
        <w:rPr>
          <w:rStyle w:val="fontstyle01"/>
          <w:rFonts w:ascii="Traditional Arabic" w:eastAsia="Times New Roman" w:hAnsi="Traditional Arabic" w:cs="Traditional Arabic"/>
          <w:i/>
          <w:iCs/>
          <w:sz w:val="30"/>
          <w:szCs w:val="30"/>
          <w:rtl/>
        </w:rPr>
        <w:t>منطقة اللحوم في دار سعد – عدن</w:t>
      </w:r>
    </w:p>
    <w:p w14:paraId="0F442DA4"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 xml:space="preserve">كانت </w:t>
      </w:r>
      <w:r>
        <w:rPr>
          <w:rStyle w:val="fontstyle01"/>
          <w:rFonts w:ascii="Traditional Arabic" w:hAnsi="Traditional Arabic" w:cs="Traditional Arabic" w:hint="cs"/>
          <w:sz w:val="30"/>
          <w:szCs w:val="30"/>
          <w:rtl/>
        </w:rPr>
        <w:t>منطقة اللحوم</w:t>
      </w:r>
      <w:r w:rsidRPr="001017A1">
        <w:rPr>
          <w:rStyle w:val="fontstyle01"/>
          <w:rFonts w:ascii="Traditional Arabic" w:hAnsi="Traditional Arabic" w:cs="Traditional Arabic"/>
          <w:sz w:val="30"/>
          <w:szCs w:val="30"/>
          <w:rtl/>
        </w:rPr>
        <w:t xml:space="preserve"> خاضعة لسيطرة مقاتلي الحوثي</w:t>
      </w:r>
      <w:r w:rsidRPr="001017A1">
        <w:rPr>
          <w:rStyle w:val="fontstyle01"/>
          <w:rFonts w:ascii="Traditional Arabic" w:hAnsi="Traditional Arabic" w:cs="Traditional Arabic" w:hint="cs"/>
          <w:sz w:val="30"/>
          <w:szCs w:val="30"/>
          <w:rtl/>
        </w:rPr>
        <w:t>ين -</w:t>
      </w:r>
      <w:r w:rsidRPr="001017A1">
        <w:rPr>
          <w:rStyle w:val="fontstyle01"/>
          <w:rFonts w:ascii="Traditional Arabic" w:hAnsi="Traditional Arabic" w:cs="Traditional Arabic"/>
          <w:sz w:val="30"/>
          <w:szCs w:val="30"/>
          <w:rtl/>
        </w:rPr>
        <w:t xml:space="preserve"> صالح خلال الفترة من آذار/ مارس إلى تموز / يوليه 2015. وتركوا الألغام الأرضية وراءهم أثناء انسحابهم. في 6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أغسطس 2015، قُتل ثلاثة مدنيين نازحين وجُرح آخر جراء انفجار لغم أرضي مضاد للمركبات في منطقة اللحوم في م</w:t>
      </w:r>
      <w:r w:rsidRPr="001017A1">
        <w:rPr>
          <w:rStyle w:val="fontstyle01"/>
          <w:rFonts w:ascii="Traditional Arabic" w:hAnsi="Traditional Arabic" w:cs="Traditional Arabic" w:hint="cs"/>
          <w:sz w:val="30"/>
          <w:szCs w:val="30"/>
          <w:rtl/>
        </w:rPr>
        <w:t>ديرية</w:t>
      </w:r>
      <w:r w:rsidRPr="001017A1">
        <w:rPr>
          <w:rStyle w:val="fontstyle01"/>
          <w:rFonts w:ascii="Traditional Arabic" w:hAnsi="Traditional Arabic" w:cs="Traditional Arabic"/>
          <w:sz w:val="30"/>
          <w:szCs w:val="30"/>
          <w:rtl/>
        </w:rPr>
        <w:t xml:space="preserve"> دار سعد</w:t>
      </w:r>
      <w:r w:rsidRPr="00C927B2">
        <w:rPr>
          <w:rStyle w:val="FootnoteReference"/>
          <w:sz w:val="24"/>
          <w:szCs w:val="24"/>
        </w:rPr>
        <w:footnoteReference w:id="265"/>
      </w:r>
      <w:r w:rsidRPr="00C927B2">
        <w:rPr>
          <w:rFonts w:asciiTheme="majorBidi" w:hAnsiTheme="majorBidi"/>
          <w:sz w:val="24"/>
          <w:szCs w:val="24"/>
          <w:rtl/>
        </w:rPr>
        <w:t xml:space="preserve">. </w:t>
      </w:r>
      <w:r w:rsidRPr="001017A1">
        <w:rPr>
          <w:rStyle w:val="fontstyle01"/>
          <w:rFonts w:ascii="Traditional Arabic" w:hAnsi="Traditional Arabic" w:cs="Traditional Arabic"/>
          <w:sz w:val="30"/>
          <w:szCs w:val="30"/>
          <w:rtl/>
        </w:rPr>
        <w:t>كان الضحايا في سيارة متجهة نحو القرية، بينما كانوا في طريقهم لتفقد منازلهم. عند الوصول مدخل القرية، أص</w:t>
      </w:r>
      <w:r w:rsidRPr="001017A1">
        <w:rPr>
          <w:rStyle w:val="fontstyle01"/>
          <w:rFonts w:ascii="Traditional Arabic" w:hAnsi="Traditional Arabic" w:cs="Traditional Arabic" w:hint="cs"/>
          <w:sz w:val="30"/>
          <w:szCs w:val="30"/>
          <w:rtl/>
        </w:rPr>
        <w:t>طدمت</w:t>
      </w:r>
      <w:r w:rsidRPr="001017A1">
        <w:rPr>
          <w:rStyle w:val="fontstyle01"/>
          <w:rFonts w:ascii="Traditional Arabic" w:hAnsi="Traditional Arabic" w:cs="Traditional Arabic"/>
          <w:sz w:val="30"/>
          <w:szCs w:val="30"/>
          <w:rtl/>
        </w:rPr>
        <w:t xml:space="preserve"> العجلة الخلفية اليمنى للسيارة </w:t>
      </w:r>
      <w:r w:rsidRPr="001017A1">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لغم أرضي مضاد للمركبة</w:t>
      </w:r>
      <w:r w:rsidRPr="001017A1">
        <w:rPr>
          <w:rStyle w:val="fontstyle01"/>
          <w:rFonts w:ascii="Traditional Arabic" w:hAnsi="Traditional Arabic" w:cs="Traditional Arabic"/>
          <w:sz w:val="30"/>
          <w:szCs w:val="30"/>
        </w:rPr>
        <w:t>.</w:t>
      </w:r>
    </w:p>
    <w:p w14:paraId="4597A2D4" w14:textId="57F7FE54" w:rsidR="00967CB7" w:rsidRPr="001017A1" w:rsidRDefault="00DE4AAA" w:rsidP="00DE4AAA">
      <w:pPr>
        <w:pStyle w:val="NoSpacing"/>
        <w:tabs>
          <w:tab w:val="left" w:pos="720"/>
          <w:tab w:val="left" w:pos="1134"/>
          <w:tab w:val="left" w:pos="1701"/>
        </w:tabs>
        <w:bidi/>
        <w:spacing w:after="120" w:line="240" w:lineRule="atLeast"/>
        <w:ind w:right="827"/>
        <w:jc w:val="both"/>
        <w:rPr>
          <w:rStyle w:val="fontstyle01"/>
          <w:rFonts w:ascii="Traditional Arabic" w:eastAsia="Times New Roman" w:hAnsi="Traditional Arabic" w:cs="Traditional Arabic"/>
          <w:i/>
          <w:iCs/>
          <w:sz w:val="30"/>
          <w:szCs w:val="30"/>
        </w:rPr>
      </w:pPr>
      <w:r>
        <w:rPr>
          <w:rStyle w:val="fontstyle01"/>
          <w:rFonts w:ascii="Traditional Arabic" w:eastAsia="Times New Roman" w:hAnsi="Traditional Arabic" w:cs="Traditional Arabic"/>
          <w:i/>
          <w:iCs/>
          <w:sz w:val="30"/>
          <w:szCs w:val="30"/>
        </w:rPr>
        <w:tab/>
      </w:r>
      <w:r>
        <w:rPr>
          <w:rStyle w:val="fontstyle01"/>
          <w:rFonts w:ascii="Traditional Arabic" w:eastAsia="Times New Roman" w:hAnsi="Traditional Arabic" w:cs="Traditional Arabic"/>
          <w:i/>
          <w:iCs/>
          <w:sz w:val="30"/>
          <w:szCs w:val="30"/>
        </w:rPr>
        <w:tab/>
      </w:r>
      <w:r w:rsidR="00967CB7" w:rsidRPr="001017A1">
        <w:rPr>
          <w:rStyle w:val="fontstyle01"/>
          <w:rFonts w:ascii="Traditional Arabic" w:eastAsia="Times New Roman" w:hAnsi="Traditional Arabic" w:cs="Traditional Arabic"/>
          <w:i/>
          <w:iCs/>
          <w:sz w:val="30"/>
          <w:szCs w:val="30"/>
          <w:rtl/>
        </w:rPr>
        <w:t xml:space="preserve">داخل المدينة الجديدة ، جزء من مجموعة </w:t>
      </w:r>
      <w:r w:rsidR="00967CB7" w:rsidRPr="001017A1">
        <w:rPr>
          <w:rStyle w:val="fontstyle01"/>
          <w:rFonts w:ascii="Traditional Arabic" w:eastAsia="Times New Roman" w:hAnsi="Traditional Arabic" w:cs="Traditional Arabic" w:hint="cs"/>
          <w:i/>
          <w:iCs/>
          <w:sz w:val="30"/>
          <w:szCs w:val="30"/>
          <w:rtl/>
        </w:rPr>
        <w:t>هايل</w:t>
      </w:r>
      <w:r w:rsidR="00967CB7" w:rsidRPr="001017A1">
        <w:rPr>
          <w:rStyle w:val="fontstyle01"/>
          <w:rFonts w:ascii="Traditional Arabic" w:eastAsia="Times New Roman" w:hAnsi="Traditional Arabic" w:cs="Traditional Arabic"/>
          <w:i/>
          <w:iCs/>
          <w:sz w:val="30"/>
          <w:szCs w:val="30"/>
          <w:rtl/>
        </w:rPr>
        <w:t xml:space="preserve"> السعيد، </w:t>
      </w:r>
      <w:r w:rsidR="00967CB7" w:rsidRPr="001017A1">
        <w:rPr>
          <w:rStyle w:val="fontstyle01"/>
          <w:rFonts w:ascii="Traditional Arabic" w:eastAsia="Times New Roman" w:hAnsi="Traditional Arabic" w:cs="Traditional Arabic" w:hint="cs"/>
          <w:i/>
          <w:iCs/>
          <w:sz w:val="30"/>
          <w:szCs w:val="30"/>
          <w:rtl/>
        </w:rPr>
        <w:t>ال</w:t>
      </w:r>
      <w:r w:rsidR="00967CB7" w:rsidRPr="001017A1">
        <w:rPr>
          <w:rStyle w:val="fontstyle01"/>
          <w:rFonts w:ascii="Traditional Arabic" w:eastAsia="Times New Roman" w:hAnsi="Traditional Arabic" w:cs="Traditional Arabic"/>
          <w:i/>
          <w:iCs/>
          <w:sz w:val="30"/>
          <w:szCs w:val="30"/>
          <w:rtl/>
        </w:rPr>
        <w:t>مدينة الخضراء - عدن</w:t>
      </w:r>
    </w:p>
    <w:p w14:paraId="654E65F9" w14:textId="4C7CF638" w:rsidR="00967CB7"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hint="cs"/>
          <w:sz w:val="30"/>
          <w:szCs w:val="30"/>
          <w:rtl/>
        </w:rPr>
        <w:t xml:space="preserve">في </w:t>
      </w:r>
      <w:r w:rsidRPr="001017A1">
        <w:rPr>
          <w:rStyle w:val="fontstyle01"/>
          <w:rFonts w:ascii="Traditional Arabic" w:hAnsi="Traditional Arabic" w:cs="Traditional Arabic"/>
          <w:sz w:val="30"/>
          <w:szCs w:val="30"/>
          <w:rtl/>
        </w:rPr>
        <w:t xml:space="preserve">22 </w:t>
      </w:r>
      <w:r w:rsidRPr="001017A1">
        <w:rPr>
          <w:rStyle w:val="fontstyle01"/>
          <w:rFonts w:ascii="Traditional Arabic" w:hAnsi="Traditional Arabic" w:cs="Traditional Arabic" w:hint="cs"/>
          <w:sz w:val="30"/>
          <w:szCs w:val="30"/>
          <w:rtl/>
        </w:rPr>
        <w:t xml:space="preserve">آب/ </w:t>
      </w:r>
      <w:r w:rsidRPr="001017A1">
        <w:rPr>
          <w:rStyle w:val="fontstyle01"/>
          <w:rFonts w:ascii="Traditional Arabic" w:hAnsi="Traditional Arabic" w:cs="Traditional Arabic"/>
          <w:sz w:val="30"/>
          <w:szCs w:val="30"/>
          <w:rtl/>
        </w:rPr>
        <w:t>أغسطس 2015، في الساعة</w:t>
      </w:r>
      <w:r w:rsidRPr="001017A1">
        <w:rPr>
          <w:rStyle w:val="fontstyle01"/>
          <w:rFonts w:ascii="Traditional Arabic" w:hAnsi="Traditional Arabic" w:cs="Traditional Arabic" w:hint="cs"/>
          <w:sz w:val="30"/>
          <w:szCs w:val="30"/>
          <w:rtl/>
        </w:rPr>
        <w:t xml:space="preserve"> الثالثة والنصف من بعد الظهر، </w:t>
      </w:r>
      <w:r w:rsidRPr="001017A1">
        <w:rPr>
          <w:rStyle w:val="fontstyle01"/>
          <w:rFonts w:ascii="Traditional Arabic" w:hAnsi="Traditional Arabic" w:cs="Traditional Arabic"/>
          <w:sz w:val="30"/>
          <w:szCs w:val="30"/>
          <w:rtl/>
        </w:rPr>
        <w:t>قتل لغم أرضي مضاد للمركبات ستة رجال وتسب</w:t>
      </w:r>
      <w:r w:rsidRPr="001017A1">
        <w:rPr>
          <w:rStyle w:val="fontstyle01"/>
          <w:rFonts w:ascii="Traditional Arabic" w:hAnsi="Traditional Arabic" w:cs="Traditional Arabic" w:hint="cs"/>
          <w:sz w:val="30"/>
          <w:szCs w:val="30"/>
          <w:rtl/>
        </w:rPr>
        <w:t>ّ</w:t>
      </w:r>
      <w:r w:rsidRPr="001017A1">
        <w:rPr>
          <w:rStyle w:val="fontstyle01"/>
          <w:rFonts w:ascii="Traditional Arabic" w:hAnsi="Traditional Arabic" w:cs="Traditional Arabic"/>
          <w:sz w:val="30"/>
          <w:szCs w:val="30"/>
          <w:rtl/>
        </w:rPr>
        <w:t xml:space="preserve">ب </w:t>
      </w:r>
      <w:r w:rsidRPr="001017A1">
        <w:rPr>
          <w:rStyle w:val="fontstyle01"/>
          <w:rFonts w:ascii="Traditional Arabic" w:hAnsi="Traditional Arabic" w:cs="Traditional Arabic" w:hint="cs"/>
          <w:sz w:val="30"/>
          <w:szCs w:val="30"/>
          <w:rtl/>
        </w:rPr>
        <w:t>ب</w:t>
      </w:r>
      <w:r w:rsidRPr="001017A1">
        <w:rPr>
          <w:rStyle w:val="fontstyle01"/>
          <w:rFonts w:ascii="Traditional Arabic" w:hAnsi="Traditional Arabic" w:cs="Traditional Arabic"/>
          <w:sz w:val="30"/>
          <w:szCs w:val="30"/>
          <w:rtl/>
        </w:rPr>
        <w:t xml:space="preserve">حروق شديدة </w:t>
      </w:r>
      <w:r w:rsidRPr="001017A1">
        <w:rPr>
          <w:rStyle w:val="fontstyle01"/>
          <w:rFonts w:ascii="Traditional Arabic" w:hAnsi="Traditional Arabic" w:cs="Traditional Arabic" w:hint="cs"/>
          <w:sz w:val="30"/>
          <w:szCs w:val="30"/>
          <w:rtl/>
        </w:rPr>
        <w:t xml:space="preserve">في جسم </w:t>
      </w:r>
      <w:r w:rsidRPr="001017A1">
        <w:rPr>
          <w:rStyle w:val="fontstyle01"/>
          <w:rFonts w:ascii="Traditional Arabic" w:hAnsi="Traditional Arabic" w:cs="Traditional Arabic"/>
          <w:sz w:val="30"/>
          <w:szCs w:val="30"/>
          <w:rtl/>
        </w:rPr>
        <w:t xml:space="preserve">رجل آخر. ووقع الحادث عندما دهست حافلة صغيرة تقل عمال مجموعة </w:t>
      </w:r>
      <w:r w:rsidRPr="001017A1">
        <w:rPr>
          <w:rStyle w:val="fontstyle01"/>
          <w:rFonts w:ascii="Traditional Arabic" w:hAnsi="Traditional Arabic" w:cs="Traditional Arabic" w:hint="cs"/>
          <w:sz w:val="30"/>
          <w:szCs w:val="30"/>
          <w:rtl/>
        </w:rPr>
        <w:t>هايل</w:t>
      </w:r>
      <w:r w:rsidRPr="001017A1">
        <w:rPr>
          <w:rStyle w:val="fontstyle01"/>
          <w:rFonts w:ascii="Traditional Arabic" w:hAnsi="Traditional Arabic" w:cs="Traditional Arabic"/>
          <w:sz w:val="30"/>
          <w:szCs w:val="30"/>
          <w:rtl/>
        </w:rPr>
        <w:t xml:space="preserve"> السعيد لغم</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أرضي</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مضاد</w:t>
      </w:r>
      <w:r w:rsidRPr="001017A1">
        <w:rPr>
          <w:rStyle w:val="fontstyle01"/>
          <w:rFonts w:ascii="Traditional Arabic" w:hAnsi="Traditional Arabic" w:cs="Traditional Arabic" w:hint="cs"/>
          <w:sz w:val="30"/>
          <w:szCs w:val="30"/>
          <w:rtl/>
        </w:rPr>
        <w:t>اً</w:t>
      </w:r>
      <w:r w:rsidRPr="001017A1">
        <w:rPr>
          <w:rStyle w:val="fontstyle01"/>
          <w:rFonts w:ascii="Traditional Arabic" w:hAnsi="Traditional Arabic" w:cs="Traditional Arabic"/>
          <w:sz w:val="30"/>
          <w:szCs w:val="30"/>
          <w:rtl/>
        </w:rPr>
        <w:t xml:space="preserve"> للمركبات</w:t>
      </w:r>
      <w:r w:rsidRPr="00C927B2">
        <w:rPr>
          <w:rStyle w:val="FootnoteReference"/>
          <w:sz w:val="24"/>
          <w:szCs w:val="24"/>
        </w:rPr>
        <w:footnoteReference w:id="266"/>
      </w:r>
      <w:r w:rsidRPr="00C927B2">
        <w:rPr>
          <w:rFonts w:asciiTheme="majorBidi" w:hAnsiTheme="majorBidi" w:cstheme="majorBidi"/>
          <w:sz w:val="24"/>
          <w:szCs w:val="24"/>
        </w:rPr>
        <w:t>.</w:t>
      </w:r>
    </w:p>
    <w:p w14:paraId="0BAADBD3" w14:textId="77777777" w:rsidR="00967CB7" w:rsidRPr="001017A1" w:rsidRDefault="00967CB7" w:rsidP="009300E4">
      <w:pPr>
        <w:tabs>
          <w:tab w:val="left" w:pos="720"/>
        </w:tabs>
        <w:bidi/>
        <w:spacing w:after="240"/>
        <w:ind w:firstLine="1116"/>
        <w:rPr>
          <w:rStyle w:val="fontstyle01"/>
          <w:rFonts w:ascii="Traditional Arabic" w:hAnsi="Traditional Arabic" w:cs="Traditional Arabic"/>
          <w:i/>
          <w:iCs/>
          <w:sz w:val="30"/>
          <w:szCs w:val="30"/>
        </w:rPr>
      </w:pPr>
      <w:r w:rsidRPr="001017A1">
        <w:rPr>
          <w:rStyle w:val="fontstyle01"/>
          <w:rFonts w:ascii="Traditional Arabic" w:hAnsi="Traditional Arabic" w:cs="Traditional Arabic"/>
          <w:i/>
          <w:iCs/>
          <w:sz w:val="30"/>
          <w:szCs w:val="30"/>
          <w:rtl/>
        </w:rPr>
        <w:t>كرش ، مديرية القبيطة - محافظة لحج</w:t>
      </w:r>
    </w:p>
    <w:p w14:paraId="34BFE360"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مع انسحاب مقاتلي الحوثيين - صالح من منطقة جبل المشرقي، قاموا بزرع الألغام الأرضية والعبوات البدائية الصنع في أجزاء مختلفة من كرش، مديرية القبيطة</w:t>
      </w:r>
      <w:r w:rsidRPr="001017A1">
        <w:rPr>
          <w:rStyle w:val="FootnoteReference"/>
          <w:sz w:val="24"/>
          <w:szCs w:val="24"/>
        </w:rPr>
        <w:footnoteReference w:id="267"/>
      </w:r>
      <w:r w:rsidRPr="001017A1">
        <w:rPr>
          <w:rStyle w:val="FootnoteReference"/>
          <w:sz w:val="24"/>
          <w:szCs w:val="24"/>
          <w:rtl/>
        </w:rPr>
        <w:t>.</w:t>
      </w:r>
      <w:r w:rsidRPr="001017A1">
        <w:rPr>
          <w:rStyle w:val="fontstyle01"/>
          <w:rFonts w:ascii="Traditional Arabic" w:hAnsi="Traditional Arabic" w:cs="Traditional Arabic"/>
          <w:sz w:val="30"/>
          <w:szCs w:val="30"/>
          <w:rtl/>
        </w:rPr>
        <w:t xml:space="preserve"> نزح العديد من سكان كرش من المنطقة بحثًا عن الأمان. في إحدى الحالات، في 24 أيلول / سبتمبر 2015، في قرية جبل المشرقي في حي كرش، مديرية قبيطة، لحج، داس طفل يبلغ من العمر 13 عاماً على لغم أرضي مضاد للأفراد بالقرب من منزله عندما كان عائداً من الصلاة. أدى الانفجار إلى فقدان ساقه اليمنى. بعد الحادث، نزحت الأسرة إلى منطقة المقيطر</w:t>
      </w:r>
      <w:r w:rsidRPr="001017A1">
        <w:rPr>
          <w:rStyle w:val="fontstyle01"/>
          <w:rFonts w:ascii="Traditional Arabic" w:hAnsi="Traditional Arabic" w:cs="Traditional Arabic" w:hint="cs"/>
          <w:sz w:val="30"/>
          <w:szCs w:val="30"/>
          <w:rtl/>
        </w:rPr>
        <w:t>ه</w:t>
      </w:r>
      <w:r w:rsidRPr="001017A1">
        <w:rPr>
          <w:rStyle w:val="fontstyle01"/>
          <w:rFonts w:ascii="Traditional Arabic" w:hAnsi="Traditional Arabic" w:cs="Traditional Arabic"/>
          <w:sz w:val="30"/>
          <w:szCs w:val="30"/>
          <w:rtl/>
        </w:rPr>
        <w:t xml:space="preserve">، في مديرية </w:t>
      </w:r>
      <w:r w:rsidRPr="001017A1">
        <w:rPr>
          <w:rStyle w:val="fontstyle01"/>
          <w:rFonts w:ascii="Traditional Arabic" w:hAnsi="Traditional Arabic" w:cs="Traditional Arabic" w:hint="cs"/>
          <w:sz w:val="30"/>
          <w:szCs w:val="30"/>
          <w:rtl/>
        </w:rPr>
        <w:t>تبن</w:t>
      </w:r>
      <w:r w:rsidRPr="001017A1">
        <w:rPr>
          <w:rStyle w:val="fontstyle01"/>
          <w:rFonts w:ascii="Traditional Arabic" w:hAnsi="Traditional Arabic" w:cs="Traditional Arabic"/>
          <w:sz w:val="30"/>
          <w:szCs w:val="30"/>
        </w:rPr>
        <w:t>.</w:t>
      </w:r>
    </w:p>
    <w:p w14:paraId="4A199A5B" w14:textId="1E612C75" w:rsidR="00234D2D" w:rsidRDefault="00234D2D" w:rsidP="00234D2D">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sz w:val="30"/>
          <w:szCs w:val="30"/>
          <w:rtl/>
        </w:rPr>
      </w:pPr>
    </w:p>
    <w:p w14:paraId="10F34F10" w14:textId="67C60691" w:rsidR="00234D2D" w:rsidRDefault="00234D2D" w:rsidP="00234D2D">
      <w:pPr>
        <w:pStyle w:val="Footer"/>
        <w:tabs>
          <w:tab w:val="left" w:pos="720"/>
          <w:tab w:val="left" w:pos="1134"/>
          <w:tab w:val="left" w:pos="1701"/>
        </w:tabs>
        <w:bidi/>
        <w:spacing w:after="120" w:line="240" w:lineRule="atLeast"/>
        <w:ind w:left="1080" w:right="827"/>
        <w:jc w:val="both"/>
        <w:rPr>
          <w:rStyle w:val="fontstyle01"/>
          <w:rFonts w:ascii="Traditional Arabic" w:hAnsi="Traditional Arabic" w:cs="Traditional Arabic"/>
          <w:sz w:val="30"/>
          <w:szCs w:val="30"/>
          <w:rtl/>
        </w:rPr>
      </w:pPr>
      <w:r>
        <w:rPr>
          <w:rStyle w:val="fontstyle01"/>
          <w:rFonts w:ascii="Traditional Arabic" w:hAnsi="Traditional Arabic" w:cs="Traditional Arabic"/>
          <w:noProof/>
          <w:sz w:val="30"/>
          <w:szCs w:val="30"/>
          <w:lang w:eastAsia="en-GB"/>
        </w:rPr>
        <w:lastRenderedPageBreak/>
        <w:drawing>
          <wp:inline distT="0" distB="0" distL="0" distR="0" wp14:anchorId="32F6DFD0" wp14:editId="7DBA39FF">
            <wp:extent cx="4928740" cy="3475916"/>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3413" cy="3479212"/>
                    </a:xfrm>
                    <a:prstGeom prst="rect">
                      <a:avLst/>
                    </a:prstGeom>
                    <a:noFill/>
                  </pic:spPr>
                </pic:pic>
              </a:graphicData>
            </a:graphic>
          </wp:inline>
        </w:drawing>
      </w:r>
    </w:p>
    <w:p w14:paraId="4082BCC8" w14:textId="2C36B710" w:rsidR="00967CB7" w:rsidRDefault="00967CB7" w:rsidP="00234D2D">
      <w:pPr>
        <w:pStyle w:val="Footer"/>
        <w:numPr>
          <w:ilvl w:val="0"/>
          <w:numId w:val="3"/>
        </w:numPr>
        <w:tabs>
          <w:tab w:val="left" w:pos="720"/>
          <w:tab w:val="left" w:pos="1134"/>
          <w:tab w:val="left" w:pos="1701"/>
        </w:tabs>
        <w:bidi/>
        <w:spacing w:after="120" w:line="240" w:lineRule="atLeast"/>
        <w:ind w:left="1080" w:right="827" w:firstLine="0"/>
        <w:jc w:val="both"/>
        <w:rPr>
          <w:rStyle w:val="fontstyle01"/>
          <w:rFonts w:ascii="Traditional Arabic" w:hAnsi="Traditional Arabic" w:cs="Traditional Arabic"/>
          <w:sz w:val="30"/>
          <w:szCs w:val="30"/>
        </w:rPr>
      </w:pPr>
      <w:r w:rsidRPr="001017A1">
        <w:rPr>
          <w:rStyle w:val="fontstyle01"/>
          <w:rFonts w:ascii="Traditional Arabic" w:hAnsi="Traditional Arabic" w:cs="Traditional Arabic"/>
          <w:sz w:val="30"/>
          <w:szCs w:val="30"/>
          <w:rtl/>
        </w:rPr>
        <w:t>استمرت المخاطر التي تشكلها الألغام الأرضية. على سبيل ا</w:t>
      </w:r>
      <w:r w:rsidR="00234D2D">
        <w:rPr>
          <w:rStyle w:val="fontstyle01"/>
          <w:rFonts w:ascii="Traditional Arabic" w:hAnsi="Traditional Arabic" w:cs="Traditional Arabic"/>
          <w:sz w:val="30"/>
          <w:szCs w:val="30"/>
          <w:rtl/>
        </w:rPr>
        <w:t>لمثال، في 12 شباط (فبراير) 2018</w:t>
      </w:r>
      <w:r w:rsidRPr="001017A1">
        <w:rPr>
          <w:rStyle w:val="fontstyle01"/>
          <w:rFonts w:ascii="Traditional Arabic" w:hAnsi="Traditional Arabic" w:cs="Traditional Arabic"/>
          <w:sz w:val="30"/>
          <w:szCs w:val="30"/>
          <w:rtl/>
        </w:rPr>
        <w:t xml:space="preserve">، في منطقة </w:t>
      </w:r>
      <w:r w:rsidRPr="001017A1">
        <w:rPr>
          <w:rStyle w:val="fontstyle01"/>
          <w:rFonts w:ascii="Traditional Arabic" w:hAnsi="Traditional Arabic" w:cs="Traditional Arabic" w:hint="cs"/>
          <w:sz w:val="30"/>
          <w:szCs w:val="30"/>
          <w:rtl/>
        </w:rPr>
        <w:t>الحويمي</w:t>
      </w:r>
      <w:r w:rsidRPr="001017A1">
        <w:rPr>
          <w:rStyle w:val="fontstyle01"/>
          <w:rFonts w:ascii="Traditional Arabic" w:hAnsi="Traditional Arabic" w:cs="Traditional Arabic"/>
          <w:sz w:val="30"/>
          <w:szCs w:val="30"/>
          <w:rtl/>
        </w:rPr>
        <w:t xml:space="preserve"> أيضًا في </w:t>
      </w:r>
      <w:r w:rsidRPr="001017A1">
        <w:rPr>
          <w:rStyle w:val="fontstyle01"/>
          <w:rFonts w:ascii="Traditional Arabic" w:hAnsi="Traditional Arabic" w:cs="Traditional Arabic" w:hint="cs"/>
          <w:sz w:val="30"/>
          <w:szCs w:val="30"/>
          <w:rtl/>
        </w:rPr>
        <w:t>كرش</w:t>
      </w:r>
      <w:r w:rsidRPr="001017A1">
        <w:rPr>
          <w:rStyle w:val="FootnoteReference"/>
          <w:sz w:val="24"/>
          <w:szCs w:val="24"/>
        </w:rPr>
        <w:footnoteReference w:id="268"/>
      </w:r>
      <w:r w:rsidRPr="001017A1">
        <w:rPr>
          <w:rStyle w:val="FootnoteReference"/>
          <w:sz w:val="24"/>
          <w:szCs w:val="24"/>
          <w:rtl/>
        </w:rPr>
        <w:t xml:space="preserve"> </w:t>
      </w:r>
      <w:r w:rsidRPr="001017A1">
        <w:rPr>
          <w:rStyle w:val="fontstyle01"/>
          <w:rFonts w:ascii="Traditional Arabic" w:hAnsi="Traditional Arabic" w:cs="Traditional Arabic"/>
          <w:sz w:val="30"/>
          <w:szCs w:val="30"/>
          <w:rtl/>
        </w:rPr>
        <w:t>، داس شاب يبلغ من العمر 21 عامًا على لغم تسبب في بتر ساقه اليسرى. قبل الحادث، كان يعمل كحارس لمبنى، لكن بعد إصابته لم يتمكن من العثور على عمل</w:t>
      </w:r>
      <w:r w:rsidRPr="001017A1">
        <w:rPr>
          <w:rStyle w:val="fontstyle01"/>
          <w:rFonts w:ascii="Traditional Arabic" w:hAnsi="Traditional Arabic" w:cs="Traditional Arabic"/>
          <w:sz w:val="30"/>
          <w:szCs w:val="30"/>
        </w:rPr>
        <w:t xml:space="preserve"> .</w:t>
      </w:r>
      <w:r w:rsidRPr="001017A1">
        <w:rPr>
          <w:rStyle w:val="FootnoteReference"/>
          <w:sz w:val="24"/>
          <w:szCs w:val="24"/>
        </w:rPr>
        <w:footnoteReference w:id="269"/>
      </w:r>
    </w:p>
    <w:p w14:paraId="42F2CF54" w14:textId="13592D65" w:rsidR="00967CB7" w:rsidRDefault="00F36DE8" w:rsidP="00F36DE8">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sz w:val="24"/>
          <w:szCs w:val="24"/>
          <w:rtl/>
        </w:rPr>
      </w:pPr>
      <w:r>
        <w:rPr>
          <w:rStyle w:val="fontstyle01"/>
          <w:rFonts w:ascii="Traditional Arabic" w:hAnsi="Traditional Arabic" w:cs="Traditional Arabic" w:hint="cs"/>
          <w:sz w:val="30"/>
          <w:szCs w:val="30"/>
          <w:rtl/>
        </w:rPr>
        <w:t xml:space="preserve">لا </w:t>
      </w:r>
      <w:r w:rsidR="00967CB7" w:rsidRPr="001017A1">
        <w:rPr>
          <w:rStyle w:val="fontstyle01"/>
          <w:rFonts w:ascii="Traditional Arabic" w:hAnsi="Traditional Arabic" w:cs="Traditional Arabic" w:hint="eastAsia"/>
          <w:sz w:val="30"/>
          <w:szCs w:val="30"/>
          <w:rtl/>
        </w:rPr>
        <w:t>ي</w:t>
      </w:r>
      <w:r>
        <w:rPr>
          <w:rStyle w:val="fontstyle01"/>
          <w:rFonts w:ascii="Traditional Arabic" w:hAnsi="Traditional Arabic" w:cs="Traditional Arabic" w:hint="cs"/>
          <w:sz w:val="30"/>
          <w:szCs w:val="30"/>
          <w:rtl/>
        </w:rPr>
        <w:t xml:space="preserve">حظر </w:t>
      </w:r>
      <w:r w:rsidR="00967CB7" w:rsidRPr="001017A1">
        <w:rPr>
          <w:rStyle w:val="fontstyle01"/>
          <w:rFonts w:ascii="Traditional Arabic" w:hAnsi="Traditional Arabic" w:cs="Traditional Arabic" w:hint="eastAsia"/>
          <w:sz w:val="30"/>
          <w:szCs w:val="30"/>
          <w:rtl/>
        </w:rPr>
        <w:t>القانون</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الإنساني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الدولي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العرفي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استخدام</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الألغام</w:t>
      </w:r>
      <w:r w:rsidRPr="00F36DE8">
        <w:rPr>
          <w:rStyle w:val="fontstyle01"/>
          <w:rFonts w:ascii="Traditional Arabic" w:hAnsi="Traditional Arabic" w:cs="Traditional Arabic" w:hint="eastAsia"/>
          <w:sz w:val="30"/>
          <w:szCs w:val="30"/>
          <w:rtl/>
        </w:rPr>
        <w:t xml:space="preserve"> </w:t>
      </w:r>
      <w:r w:rsidRPr="001017A1">
        <w:rPr>
          <w:rStyle w:val="fontstyle01"/>
          <w:rFonts w:ascii="Traditional Arabic" w:hAnsi="Traditional Arabic" w:cs="Traditional Arabic" w:hint="eastAsia"/>
          <w:sz w:val="30"/>
          <w:szCs w:val="30"/>
          <w:rtl/>
        </w:rPr>
        <w:t>الأرضية</w:t>
      </w:r>
      <w:r>
        <w:rPr>
          <w:rStyle w:val="fontstyle01"/>
          <w:rFonts w:ascii="Traditional Arabic" w:hAnsi="Traditional Arabic" w:cs="Traditional Arabic" w:hint="cs"/>
          <w:sz w:val="30"/>
          <w:szCs w:val="30"/>
          <w:rtl/>
        </w:rPr>
        <w:t xml:space="preserve"> بحد ذاتها،</w:t>
      </w:r>
      <w:r w:rsidR="00967CB7"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إنما يقي</w:t>
      </w:r>
      <w:r w:rsidR="006542C7">
        <w:rPr>
          <w:rStyle w:val="fontstyle01"/>
          <w:rFonts w:ascii="Traditional Arabic" w:hAnsi="Traditional Arabic" w:cs="Traditional Arabic" w:hint="cs"/>
          <w:sz w:val="30"/>
          <w:szCs w:val="30"/>
          <w:rtl/>
        </w:rPr>
        <w:t>ّ</w:t>
      </w:r>
      <w:r>
        <w:rPr>
          <w:rStyle w:val="fontstyle01"/>
          <w:rFonts w:ascii="Traditional Arabic" w:hAnsi="Traditional Arabic" w:cs="Traditional Arabic" w:hint="cs"/>
          <w:sz w:val="30"/>
          <w:szCs w:val="30"/>
          <w:rtl/>
        </w:rPr>
        <w:t>د استخدامها</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تبعا</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لذلك،</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يجب</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توخي</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الحذر</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الشديد</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من</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جانب</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أطراف</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النزاع</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لتقليل</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الآثار</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العشوائية</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للألغام</w:t>
      </w:r>
      <w:r w:rsidR="00967CB7" w:rsidRPr="001017A1">
        <w:rPr>
          <w:rStyle w:val="fontstyle01"/>
          <w:rFonts w:ascii="Traditional Arabic" w:hAnsi="Traditional Arabic" w:cs="Traditional Arabic"/>
          <w:sz w:val="30"/>
          <w:szCs w:val="30"/>
          <w:rtl/>
        </w:rPr>
        <w:t xml:space="preserve"> </w:t>
      </w:r>
      <w:r w:rsidR="00967CB7" w:rsidRPr="001017A1">
        <w:rPr>
          <w:rStyle w:val="fontstyle01"/>
          <w:rFonts w:ascii="Traditional Arabic" w:hAnsi="Traditional Arabic" w:cs="Traditional Arabic" w:hint="eastAsia"/>
          <w:sz w:val="30"/>
          <w:szCs w:val="30"/>
          <w:rtl/>
        </w:rPr>
        <w:t>الأرضية</w:t>
      </w:r>
      <w:r w:rsidR="00967CB7" w:rsidRPr="001017A1">
        <w:rPr>
          <w:rFonts w:asciiTheme="majorBidi" w:hAnsiTheme="majorBidi"/>
          <w:sz w:val="24"/>
          <w:szCs w:val="24"/>
          <w:rtl/>
        </w:rPr>
        <w:t>.</w:t>
      </w:r>
      <w:r w:rsidR="00967CB7">
        <w:rPr>
          <w:rStyle w:val="FootnoteReference"/>
          <w:rFonts w:asciiTheme="majorBidi" w:hAnsiTheme="majorBidi" w:cstheme="majorBidi"/>
          <w:color w:val="282828"/>
          <w:sz w:val="20"/>
        </w:rPr>
        <w:footnoteReference w:id="270"/>
      </w:r>
    </w:p>
    <w:p w14:paraId="78089EDB" w14:textId="77777777" w:rsidR="00967CB7" w:rsidRPr="001017A1" w:rsidRDefault="00967CB7"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4"/>
          <w:szCs w:val="24"/>
        </w:rPr>
      </w:pPr>
      <w:r w:rsidRPr="001017A1">
        <w:rPr>
          <w:rStyle w:val="fontstyle01"/>
          <w:rFonts w:ascii="Traditional Arabic" w:hAnsi="Traditional Arabic" w:cs="Traditional Arabic" w:hint="cs"/>
          <w:sz w:val="30"/>
          <w:szCs w:val="30"/>
          <w:rtl/>
        </w:rPr>
        <w:t>لدى</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فريق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الخبراء</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أسباب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وجيهة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للاعتقاد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بأن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مقاتلي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الحوثي</w:t>
      </w:r>
      <w:r w:rsidRPr="001017A1">
        <w:rPr>
          <w:rStyle w:val="fontstyle01"/>
          <w:rFonts w:ascii="Traditional Arabic" w:hAnsi="Traditional Arabic" w:cs="Traditional Arabic"/>
          <w:sz w:val="30"/>
          <w:szCs w:val="30"/>
          <w:rtl/>
        </w:rPr>
        <w:t>-</w:t>
      </w:r>
      <w:r w:rsidRPr="001017A1">
        <w:rPr>
          <w:rStyle w:val="fontstyle01"/>
          <w:rFonts w:ascii="Traditional Arabic" w:hAnsi="Traditional Arabic" w:cs="Traditional Arabic" w:hint="cs"/>
          <w:sz w:val="30"/>
          <w:szCs w:val="30"/>
          <w:rtl/>
        </w:rPr>
        <w:t>صالح استخدموا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الأرضية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للمركبات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انتهاك</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للقانون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الدولي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الإنساني لا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سيما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الطريقة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التي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تم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وضع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في</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مواقع</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غير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محددة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يرتادها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المدنيون،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ومن دون</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سابق</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إنذار،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مما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جعل</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استخدامها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عشوائيًا</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يُحظر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استخدام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بموجب</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اتفاقية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حظر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الألغام</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المضادة</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للأفراد</w:t>
      </w:r>
      <w:r w:rsidRPr="001017A1">
        <w:rPr>
          <w:rStyle w:val="fontstyle01"/>
          <w:rFonts w:ascii="Traditional Arabic" w:hAnsi="Traditional Arabic" w:cs="Traditional Arabic"/>
          <w:sz w:val="30"/>
          <w:szCs w:val="30"/>
          <w:rtl/>
        </w:rPr>
        <w:t xml:space="preserve"> </w:t>
      </w:r>
      <w:r>
        <w:rPr>
          <w:rStyle w:val="fontstyle01"/>
          <w:rFonts w:ascii="Traditional Arabic" w:hAnsi="Traditional Arabic" w:cs="Traditional Arabic" w:hint="cs"/>
          <w:sz w:val="30"/>
          <w:szCs w:val="30"/>
          <w:rtl/>
        </w:rPr>
        <w:t xml:space="preserve">والتي اليمن هو طرف فيها </w:t>
      </w:r>
      <w:r w:rsidRPr="001017A1">
        <w:rPr>
          <w:rStyle w:val="fontstyle01"/>
          <w:rFonts w:ascii="Traditional Arabic" w:hAnsi="Traditional Arabic" w:cs="Traditional Arabic" w:hint="cs"/>
          <w:sz w:val="30"/>
          <w:szCs w:val="30"/>
          <w:rtl/>
        </w:rPr>
        <w:t>والتي إعترفت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بها سلطات</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الأمر</w:t>
      </w:r>
      <w:r w:rsidRPr="001017A1">
        <w:rPr>
          <w:rStyle w:val="fontstyle01"/>
          <w:rFonts w:ascii="Traditional Arabic" w:hAnsi="Traditional Arabic" w:cs="Traditional Arabic"/>
          <w:sz w:val="30"/>
          <w:szCs w:val="30"/>
          <w:rtl/>
        </w:rPr>
        <w:t xml:space="preserve"> </w:t>
      </w:r>
      <w:r w:rsidRPr="001017A1">
        <w:rPr>
          <w:rStyle w:val="fontstyle01"/>
          <w:rFonts w:ascii="Traditional Arabic" w:hAnsi="Traditional Arabic" w:cs="Traditional Arabic" w:hint="cs"/>
          <w:sz w:val="30"/>
          <w:szCs w:val="30"/>
          <w:rtl/>
        </w:rPr>
        <w:t>الواقع</w:t>
      </w:r>
      <w:r w:rsidRPr="001017A1">
        <w:rPr>
          <w:rStyle w:val="fontstyle01"/>
          <w:rFonts w:ascii="Traditional Arabic" w:hAnsi="Traditional Arabic" w:cs="Traditional Arabic"/>
          <w:sz w:val="30"/>
          <w:szCs w:val="30"/>
          <w:rtl/>
        </w:rPr>
        <w:t>.</w:t>
      </w:r>
    </w:p>
    <w:p w14:paraId="7C671A77" w14:textId="1A416FA0" w:rsidR="00595527" w:rsidRPr="00E70C00" w:rsidRDefault="00B86743" w:rsidP="00DE4AAA">
      <w:pPr>
        <w:pStyle w:val="Heading3"/>
        <w:tabs>
          <w:tab w:val="left" w:pos="720"/>
        </w:tabs>
        <w:bidi/>
        <w:spacing w:after="240"/>
        <w:ind w:firstLine="369"/>
        <w:rPr>
          <w:rFonts w:ascii="Traditional Arabic" w:hAnsi="Traditional Arabic" w:cs="Traditional Arabic"/>
          <w:b/>
          <w:bCs/>
          <w:sz w:val="30"/>
          <w:szCs w:val="30"/>
          <w:rtl/>
        </w:rPr>
      </w:pPr>
      <w:bookmarkStart w:id="27" w:name="_Toc18918107"/>
      <w:r w:rsidRPr="00E70C00">
        <w:rPr>
          <w:rFonts w:ascii="Traditional Arabic" w:hAnsi="Traditional Arabic" w:cs="Traditional Arabic"/>
          <w:b/>
          <w:bCs/>
          <w:sz w:val="30"/>
          <w:szCs w:val="30"/>
          <w:rtl/>
        </w:rPr>
        <w:t>ب.</w:t>
      </w:r>
      <w:r w:rsidRPr="00E70C00">
        <w:rPr>
          <w:rFonts w:ascii="Traditional Arabic" w:hAnsi="Traditional Arabic" w:cs="Traditional Arabic"/>
          <w:b/>
          <w:bCs/>
          <w:sz w:val="30"/>
          <w:szCs w:val="30"/>
          <w:rtl/>
        </w:rPr>
        <w:tab/>
      </w:r>
      <w:r w:rsidR="00DE4AAA">
        <w:rPr>
          <w:rFonts w:ascii="Traditional Arabic" w:hAnsi="Traditional Arabic" w:cs="Traditional Arabic"/>
          <w:b/>
          <w:bCs/>
          <w:sz w:val="30"/>
          <w:szCs w:val="30"/>
        </w:rPr>
        <w:tab/>
      </w:r>
      <w:r w:rsidR="00595527" w:rsidRPr="00E70C00">
        <w:rPr>
          <w:rFonts w:ascii="Traditional Arabic" w:hAnsi="Traditional Arabic" w:cs="Traditional Arabic"/>
          <w:b/>
          <w:bCs/>
          <w:sz w:val="30"/>
          <w:szCs w:val="30"/>
          <w:rtl/>
        </w:rPr>
        <w:t>عدن والجنوب</w:t>
      </w:r>
      <w:r w:rsidR="00595527" w:rsidRPr="00E70C00">
        <w:rPr>
          <w:rFonts w:ascii="Traditional Arabic" w:hAnsi="Traditional Arabic" w:cs="Traditional Arabic"/>
          <w:b/>
          <w:bCs/>
          <w:sz w:val="30"/>
          <w:szCs w:val="30"/>
        </w:rPr>
        <w:t xml:space="preserve"> </w:t>
      </w:r>
      <w:r w:rsidR="00595527" w:rsidRPr="00E70C00">
        <w:rPr>
          <w:rFonts w:ascii="Traditional Arabic" w:hAnsi="Traditional Arabic" w:cs="Traditional Arabic"/>
          <w:b/>
          <w:bCs/>
          <w:sz w:val="30"/>
          <w:szCs w:val="30"/>
          <w:rtl/>
        </w:rPr>
        <w:t>(2016- 2019)</w:t>
      </w:r>
      <w:bookmarkEnd w:id="27"/>
    </w:p>
    <w:p w14:paraId="2745E040" w14:textId="2E84F802" w:rsidR="00A27602" w:rsidRPr="00A27602" w:rsidRDefault="0077685C"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sidRPr="00A27602">
        <w:rPr>
          <w:rFonts w:ascii="Traditional Arabic" w:hAnsi="Traditional Arabic" w:cs="Traditional Arabic"/>
          <w:sz w:val="30"/>
          <w:szCs w:val="30"/>
          <w:rtl/>
          <w:lang w:eastAsia="en-GB"/>
        </w:rPr>
        <w:tab/>
      </w:r>
      <w:r w:rsidR="00A27602" w:rsidRPr="00A27602">
        <w:rPr>
          <w:rFonts w:cs="Traditional Arabic"/>
          <w:sz w:val="30"/>
          <w:szCs w:val="30"/>
          <w:rtl/>
          <w:lang w:eastAsia="en-GB"/>
        </w:rPr>
        <w:t>يوثق</w:t>
      </w:r>
      <w:r w:rsidR="00A27602" w:rsidRPr="00A27602">
        <w:rPr>
          <w:rFonts w:ascii="Traditional Arabic" w:hAnsi="Traditional Arabic" w:cs="Traditional Arabic"/>
          <w:sz w:val="30"/>
          <w:szCs w:val="30"/>
          <w:rtl/>
          <w:lang w:eastAsia="en-GB"/>
        </w:rPr>
        <w:t xml:space="preserve"> هذا الفصل الاعتقال</w:t>
      </w:r>
      <w:r w:rsidR="00A27602" w:rsidRPr="00A27602">
        <w:rPr>
          <w:rFonts w:ascii="Traditional Arabic" w:hAnsi="Traditional Arabic" w:cs="Traditional Arabic"/>
          <w:sz w:val="30"/>
          <w:szCs w:val="30"/>
          <w:rtl/>
          <w:lang w:eastAsia="en-GB" w:bidi="ar-JO"/>
        </w:rPr>
        <w:t xml:space="preserve">ات التعسفية والقتل التعسفي والقيود على حرية التعبير </w:t>
      </w:r>
      <w:r w:rsidR="00A27602" w:rsidRPr="00A27602">
        <w:rPr>
          <w:rFonts w:ascii="Traditional Arabic" w:hAnsi="Traditional Arabic" w:cs="Traditional Arabic"/>
          <w:sz w:val="30"/>
          <w:szCs w:val="30"/>
          <w:rtl/>
          <w:lang w:eastAsia="en-GB"/>
        </w:rPr>
        <w:t>والعنف الجنسي المرتكبة خلال عامي 2018-2019 في المناطق التي مارست كل من دولة الإمارات العربية المتحدة والمجلس الانتقالي الجنوبي والحزام الأمني وسلطات حكومة</w:t>
      </w:r>
      <w:r w:rsidR="00A27602" w:rsidRPr="00A27602">
        <w:rPr>
          <w:rFonts w:ascii="Traditional Arabic" w:hAnsi="Traditional Arabic" w:cs="Traditional Arabic"/>
          <w:sz w:val="30"/>
          <w:szCs w:val="30"/>
          <w:rtl/>
          <w:lang w:eastAsia="en-GB" w:bidi="ar-YE"/>
        </w:rPr>
        <w:t xml:space="preserve"> اليمن </w:t>
      </w:r>
      <w:r w:rsidR="00A27602" w:rsidRPr="00A27602">
        <w:rPr>
          <w:rFonts w:ascii="Traditional Arabic" w:hAnsi="Traditional Arabic" w:cs="Traditional Arabic"/>
          <w:sz w:val="30"/>
          <w:szCs w:val="30"/>
          <w:rtl/>
          <w:lang w:eastAsia="en-GB"/>
        </w:rPr>
        <w:t>سيطرتها عليها في عدن ولحج وأبين وشبوة وحضرموت، وكذلك الأجزاء الجنوبية من محافظتي الضالع وتعز. كما ويبرز حوادث انتهاكات حقوق الإنسان التي وقعت سابقاً كلما تطلب الامر ذلك لتوضيح أنماط الانتهاكات</w:t>
      </w:r>
      <w:r w:rsidR="00A27602" w:rsidRPr="00A27602">
        <w:rPr>
          <w:rFonts w:ascii="Traditional Arabic" w:hAnsi="Traditional Arabic" w:cs="Traditional Arabic"/>
          <w:sz w:val="30"/>
          <w:szCs w:val="30"/>
          <w:lang w:eastAsia="en-GB"/>
        </w:rPr>
        <w:t>.</w:t>
      </w:r>
    </w:p>
    <w:p w14:paraId="0FD74C06" w14:textId="77777777" w:rsidR="00A27602" w:rsidRPr="00A27602" w:rsidRDefault="00A27602" w:rsidP="005D608B">
      <w:pPr>
        <w:numPr>
          <w:ilvl w:val="0"/>
          <w:numId w:val="12"/>
        </w:numPr>
        <w:tabs>
          <w:tab w:val="left" w:pos="720"/>
          <w:tab w:val="left" w:pos="1701"/>
        </w:tabs>
        <w:suppressAutoHyphens w:val="0"/>
        <w:bidi/>
        <w:spacing w:after="240" w:line="240" w:lineRule="auto"/>
        <w:ind w:left="1080" w:right="1080" w:hanging="450"/>
        <w:contextualSpacing/>
        <w:jc w:val="both"/>
        <w:rPr>
          <w:rFonts w:ascii="Traditional Arabic" w:hAnsi="Traditional Arabic" w:cs="Traditional Arabic"/>
          <w:b/>
          <w:bCs/>
          <w:sz w:val="30"/>
          <w:szCs w:val="30"/>
          <w:lang w:eastAsia="en-GB"/>
        </w:rPr>
      </w:pPr>
      <w:r w:rsidRPr="00A27602">
        <w:rPr>
          <w:rFonts w:ascii="Traditional Arabic" w:hAnsi="Traditional Arabic" w:cs="Traditional Arabic"/>
          <w:b/>
          <w:bCs/>
          <w:sz w:val="30"/>
          <w:szCs w:val="30"/>
          <w:rtl/>
          <w:lang w:eastAsia="en-GB"/>
        </w:rPr>
        <w:lastRenderedPageBreak/>
        <w:t>السياق</w:t>
      </w:r>
    </w:p>
    <w:p w14:paraId="518C2F23" w14:textId="7B82E070" w:rsidR="00A27602" w:rsidRPr="00A27602" w:rsidRDefault="00A27602" w:rsidP="00084F50">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eastAsia="en-GB"/>
        </w:rPr>
      </w:pPr>
      <w:r w:rsidRPr="00A27602">
        <w:rPr>
          <w:rFonts w:ascii="Traditional Arabic" w:hAnsi="Traditional Arabic" w:cs="Traditional Arabic"/>
          <w:sz w:val="30"/>
          <w:szCs w:val="30"/>
          <w:rtl/>
          <w:lang w:eastAsia="en-GB"/>
        </w:rPr>
        <w:t xml:space="preserve">منذ نهاية الحرب الأهلية الأولى في اليمن عام 1994 ، كانت الأراضي السابقة في جنوب اليمن مستقطبة سياسياً بين أولئك الذين يدعمون والذين يعارضون الإنفصال. في عام 2007 ، تشكلت الحركة الجنوبية ، المعروفة أيضًا باسم الحراك الجنوبي ، للدعوة إلى الاستقلال. في عام 2011، شارك الحراك الجنوبي في المظاهرات المؤيدة للديمقراطية التي أنهت حكم علي عبد الله صالح وشارك أيضاً في مؤتمر الحوار الوطني في 2013-2014. في آذار/مارس 2015 ، اثناء هجوم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A27602">
        <w:rPr>
          <w:rFonts w:ascii="Traditional Arabic" w:hAnsi="Traditional Arabic" w:cs="Traditional Arabic"/>
          <w:sz w:val="30"/>
          <w:szCs w:val="30"/>
          <w:rtl/>
          <w:lang w:eastAsia="en-GB"/>
        </w:rPr>
        <w:t xml:space="preserve"> </w:t>
      </w:r>
      <w:r w:rsidRPr="00A27602">
        <w:rPr>
          <w:rFonts w:ascii="Traditional Arabic" w:hAnsi="Traditional Arabic" w:cs="Traditional Arabic"/>
          <w:sz w:val="30"/>
          <w:szCs w:val="30"/>
          <w:rtl/>
          <w:lang w:eastAsia="en-GB"/>
        </w:rPr>
        <w:t>-صالح على مناطق الجنوب ، بما في ذلك عدن ، اندمج الحراك الجنوبي مع قوات المقاومة والقوات الحكومية التي تعارض تقدم قوات الحوثي-صالح. شُكلت المقاومة من رجال وفتيان لا تتجاوز أعمارهم 15 عامًا من مختلف الانتماءات، بما في ذلك المدنيون المحليون، والحراك الجنوبي، وميليشيات اللجان الشعبية التي سبق وأن دعمت الحكومة في حربها ضد القاعدة في جزيرة العرب، كما اشتملت المقاومة على السلفيين، وحزب الإصلاح، ومقاتلين يتبعوا الدولة الإسلامية. من أبريل 2015 ، تم تنظيم وتجهيز وتمويل المقاومة من قبل دولة الإمارات العربية المتحدة تحت القيادة الاستراتيجية لقائد التحالف الاماراتي</w:t>
      </w:r>
      <w:r w:rsidRPr="00A27602">
        <w:rPr>
          <w:vertAlign w:val="superscript"/>
          <w:lang w:eastAsia="en-GB"/>
        </w:rPr>
        <w:footnoteReference w:id="271"/>
      </w:r>
      <w:r w:rsidRPr="00A27602">
        <w:rPr>
          <w:sz w:val="24"/>
          <w:szCs w:val="24"/>
          <w:rtl/>
          <w:lang w:eastAsia="en-GB"/>
        </w:rPr>
        <w:t xml:space="preserve">. </w:t>
      </w:r>
      <w:r w:rsidRPr="00A27602">
        <w:rPr>
          <w:rFonts w:ascii="Traditional Arabic" w:hAnsi="Traditional Arabic" w:cs="Traditional Arabic"/>
          <w:sz w:val="30"/>
          <w:szCs w:val="30"/>
          <w:rtl/>
          <w:lang w:eastAsia="en-GB"/>
        </w:rPr>
        <w:t>أولئك الذين أصبحوا فيما بعد قادة المجلس الانتقالي الجنوبي والحزام الأمني واللذين اكتسبوا شهرة في القتال خلال المقاومة</w:t>
      </w:r>
      <w:r w:rsidRPr="00A27602">
        <w:rPr>
          <w:rFonts w:ascii="Traditional Arabic" w:hAnsi="Traditional Arabic" w:cs="Traditional Arabic"/>
          <w:sz w:val="30"/>
          <w:szCs w:val="30"/>
          <w:lang w:eastAsia="en-GB"/>
        </w:rPr>
        <w:t>.</w:t>
      </w:r>
    </w:p>
    <w:p w14:paraId="09F92AF5" w14:textId="4F6ED7BA" w:rsidR="00A27602" w:rsidRDefault="00D612DE" w:rsidP="007D4171">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eastAsia="en-GB"/>
        </w:rPr>
      </w:pPr>
      <w:r>
        <w:rPr>
          <w:rFonts w:ascii="Traditional Arabic" w:hAnsi="Traditional Arabic" w:cs="Traditional Arabic"/>
          <w:sz w:val="30"/>
          <w:szCs w:val="30"/>
          <w:rtl/>
          <w:lang w:eastAsia="en-GB"/>
        </w:rPr>
        <w:t>بحلول آب /أغسطس 2015</w:t>
      </w:r>
      <w:r w:rsidR="00A27602" w:rsidRPr="00A27602">
        <w:rPr>
          <w:rFonts w:ascii="Traditional Arabic" w:hAnsi="Traditional Arabic" w:cs="Traditional Arabic"/>
          <w:sz w:val="30"/>
          <w:szCs w:val="30"/>
          <w:rtl/>
          <w:lang w:eastAsia="en-GB"/>
        </w:rPr>
        <w:t>، أجبر</w:t>
      </w:r>
      <w:r>
        <w:rPr>
          <w:rFonts w:ascii="Traditional Arabic" w:hAnsi="Traditional Arabic" w:cs="Traditional Arabic" w:hint="cs"/>
          <w:sz w:val="30"/>
          <w:szCs w:val="30"/>
          <w:rtl/>
          <w:lang w:eastAsia="en-GB"/>
        </w:rPr>
        <w:t>ت</w:t>
      </w:r>
      <w:r w:rsidR="00A27602" w:rsidRPr="00A27602">
        <w:rPr>
          <w:rFonts w:ascii="Traditional Arabic" w:hAnsi="Traditional Arabic" w:cs="Traditional Arabic"/>
          <w:sz w:val="30"/>
          <w:szCs w:val="30"/>
          <w:rtl/>
          <w:lang w:eastAsia="en-GB"/>
        </w:rPr>
        <w:t xml:space="preserve"> الهجم</w:t>
      </w:r>
      <w:r>
        <w:rPr>
          <w:rFonts w:ascii="Traditional Arabic" w:hAnsi="Traditional Arabic" w:cs="Traditional Arabic" w:hint="cs"/>
          <w:sz w:val="30"/>
          <w:szCs w:val="30"/>
          <w:rtl/>
          <w:lang w:eastAsia="en-GB"/>
        </w:rPr>
        <w:t>ات</w:t>
      </w:r>
      <w:r w:rsidR="00A27602" w:rsidRPr="00A27602">
        <w:rPr>
          <w:rFonts w:ascii="Traditional Arabic" w:hAnsi="Traditional Arabic" w:cs="Traditional Arabic"/>
          <w:sz w:val="30"/>
          <w:szCs w:val="30"/>
          <w:rtl/>
          <w:lang w:eastAsia="en-GB"/>
        </w:rPr>
        <w:t xml:space="preserve"> الم</w:t>
      </w:r>
      <w:r w:rsidR="00DE16BD">
        <w:rPr>
          <w:rFonts w:ascii="Traditional Arabic" w:hAnsi="Traditional Arabic" w:cs="Traditional Arabic" w:hint="cs"/>
          <w:sz w:val="30"/>
          <w:szCs w:val="30"/>
          <w:rtl/>
          <w:lang w:eastAsia="en-GB"/>
        </w:rPr>
        <w:t>ضاد</w:t>
      </w:r>
      <w:r>
        <w:rPr>
          <w:rFonts w:ascii="Traditional Arabic" w:hAnsi="Traditional Arabic" w:cs="Traditional Arabic" w:hint="cs"/>
          <w:sz w:val="30"/>
          <w:szCs w:val="30"/>
          <w:rtl/>
          <w:lang w:eastAsia="en-GB"/>
        </w:rPr>
        <w:t>ة</w:t>
      </w:r>
      <w:r w:rsidR="00A27602" w:rsidRPr="00A27602">
        <w:rPr>
          <w:rFonts w:ascii="Traditional Arabic" w:hAnsi="Traditional Arabic" w:cs="Traditional Arabic"/>
          <w:sz w:val="30"/>
          <w:szCs w:val="30"/>
          <w:rtl/>
          <w:lang w:eastAsia="en-GB"/>
        </w:rPr>
        <w:t xml:space="preserve"> الذي قامت به المقاومة والقوات التي تقودها السعودية-الامارات العربية المتحدة مقاتلي الحوثيين-صالح على الانسحاب من عدن ولحج وأبين وشبوة </w:t>
      </w:r>
      <w:r w:rsidR="00783EF2">
        <w:rPr>
          <w:rFonts w:ascii="Traditional Arabic" w:hAnsi="Traditional Arabic" w:cs="Traditional Arabic"/>
          <w:sz w:val="30"/>
          <w:szCs w:val="30"/>
          <w:rtl/>
          <w:lang w:eastAsia="en-GB"/>
        </w:rPr>
        <w:t>وحضرموت وجنوب تعز. في أعقاب هذا</w:t>
      </w:r>
      <w:r w:rsidR="00A27602" w:rsidRPr="00A27602">
        <w:rPr>
          <w:rFonts w:ascii="Traditional Arabic" w:hAnsi="Traditional Arabic" w:cs="Traditional Arabic"/>
          <w:sz w:val="30"/>
          <w:szCs w:val="30"/>
          <w:rtl/>
          <w:lang w:eastAsia="en-GB"/>
        </w:rPr>
        <w:t>، حدث فراغ أمني. لقد ا</w:t>
      </w:r>
      <w:r w:rsidR="00783EF2">
        <w:rPr>
          <w:rFonts w:ascii="Traditional Arabic" w:hAnsi="Traditional Arabic" w:cs="Traditional Arabic"/>
          <w:sz w:val="30"/>
          <w:szCs w:val="30"/>
          <w:rtl/>
          <w:lang w:eastAsia="en-GB"/>
        </w:rPr>
        <w:t>نهار التحالف داخل قوات المقاومة</w:t>
      </w:r>
      <w:r w:rsidR="00A27602" w:rsidRPr="00A27602">
        <w:rPr>
          <w:rFonts w:ascii="Traditional Arabic" w:hAnsi="Traditional Arabic" w:cs="Traditional Arabic"/>
          <w:sz w:val="30"/>
          <w:szCs w:val="30"/>
          <w:rtl/>
          <w:lang w:eastAsia="en-GB"/>
        </w:rPr>
        <w:t>، ويرجع ذلك جزئيًا إلى الاختلافات في الرأي بين الجماعات التي تتألف منها المقاومة حول الانفصال وكذلك مدى قربها من التحالف بقيادة المملكة العربية السعودية والإمارات العربية المتحدة. أدت المصادمات داخل المق</w:t>
      </w:r>
      <w:r w:rsidR="00783EF2">
        <w:rPr>
          <w:rFonts w:ascii="Traditional Arabic" w:hAnsi="Traditional Arabic" w:cs="Traditional Arabic"/>
          <w:sz w:val="30"/>
          <w:szCs w:val="30"/>
          <w:rtl/>
          <w:lang w:eastAsia="en-GB"/>
        </w:rPr>
        <w:t>اومة إلى الانقسام</w:t>
      </w:r>
      <w:r w:rsidR="00A27602" w:rsidRPr="00A27602">
        <w:rPr>
          <w:rFonts w:ascii="Traditional Arabic" w:hAnsi="Traditional Arabic" w:cs="Traditional Arabic"/>
          <w:sz w:val="30"/>
          <w:szCs w:val="30"/>
          <w:rtl/>
          <w:lang w:eastAsia="en-GB"/>
        </w:rPr>
        <w:t>، حيث انحازت إحدى المجموعات إلى الحكومة، والأخرى مع الإمارات العربية المتحدة. عانت الحركة الجنوبية من فجوة مماثلة بين مؤيدي الإمارات وخصومها. وقد استغلت هذه الجماعات التابعة لتنظيم القاعدة في جزيرة العرب وتنظيم الدولة الإسلامية هذا الوضع وقيل إنهم قاموا بعمليات الخطف والقتل التعسفي والتفجيرات</w:t>
      </w:r>
      <w:r w:rsidR="00A27602" w:rsidRPr="00A27602">
        <w:rPr>
          <w:rFonts w:ascii="Traditional Arabic" w:hAnsi="Traditional Arabic" w:cs="Traditional Arabic"/>
          <w:sz w:val="30"/>
          <w:szCs w:val="30"/>
          <w:lang w:eastAsia="en-GB"/>
        </w:rPr>
        <w:t>.</w:t>
      </w:r>
    </w:p>
    <w:p w14:paraId="36F1B94B" w14:textId="39E9D463" w:rsidR="00A27602" w:rsidRPr="00A27602" w:rsidRDefault="00A27602" w:rsidP="007D4171">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val="en-AU" w:eastAsia="en-GB"/>
        </w:rPr>
      </w:pPr>
      <w:r w:rsidRPr="00A27602">
        <w:rPr>
          <w:rFonts w:ascii="Traditional Arabic" w:hAnsi="Traditional Arabic" w:cs="Traditional Arabic"/>
          <w:sz w:val="30"/>
          <w:szCs w:val="30"/>
          <w:rtl/>
          <w:lang w:eastAsia="en-GB"/>
        </w:rPr>
        <w:t>في أكتوبر 2015 ، توصلت دولة الإمارات العربية المتحدة والحكومة اليمنية إلى اتفاق يقضي بتبديل ق</w:t>
      </w:r>
      <w:r w:rsidR="007D4171">
        <w:rPr>
          <w:rFonts w:ascii="Traditional Arabic" w:hAnsi="Traditional Arabic" w:cs="Traditional Arabic" w:hint="cs"/>
          <w:sz w:val="30"/>
          <w:szCs w:val="30"/>
          <w:rtl/>
          <w:lang w:eastAsia="en-GB"/>
        </w:rPr>
        <w:t>وات</w:t>
      </w:r>
      <w:r w:rsidRPr="00A27602">
        <w:rPr>
          <w:rFonts w:ascii="Traditional Arabic" w:hAnsi="Traditional Arabic" w:cs="Traditional Arabic"/>
          <w:sz w:val="30"/>
          <w:szCs w:val="30"/>
          <w:rtl/>
          <w:lang w:eastAsia="en-GB"/>
        </w:rPr>
        <w:t xml:space="preserve"> الإمارات العربية المتحدة في اليمن كل ستة أشهر، بشرط أن يعين الرئيس هادي اللواء عيدروس قاسم الزبيدي محافظاً لعدن والشيخ السلفي هاني بن بريك وزيرا للدولة، واللواء شلال علي شايع مديرا لأمن عدن</w:t>
      </w:r>
      <w:r w:rsidRPr="00A27602">
        <w:rPr>
          <w:sz w:val="24"/>
          <w:szCs w:val="24"/>
          <w:lang w:eastAsia="en-GB"/>
        </w:rPr>
        <w:t>.</w:t>
      </w:r>
      <w:r w:rsidRPr="00A27602">
        <w:rPr>
          <w:vertAlign w:val="superscript"/>
          <w:lang w:eastAsia="en-GB"/>
        </w:rPr>
        <w:t xml:space="preserve"> </w:t>
      </w:r>
      <w:r w:rsidRPr="00A27602">
        <w:rPr>
          <w:vertAlign w:val="superscript"/>
          <w:lang w:eastAsia="en-GB"/>
        </w:rPr>
        <w:footnoteReference w:id="272"/>
      </w:r>
    </w:p>
    <w:p w14:paraId="725E463D" w14:textId="5B5EAC85" w:rsidR="00A27602" w:rsidRPr="00A27602" w:rsidRDefault="00A27602" w:rsidP="007D4171">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eastAsia="en-GB"/>
        </w:rPr>
      </w:pPr>
      <w:r w:rsidRPr="00A27602">
        <w:rPr>
          <w:rFonts w:ascii="Traditional Arabic" w:hAnsi="Traditional Arabic" w:cs="Traditional Arabic"/>
          <w:sz w:val="30"/>
          <w:szCs w:val="30"/>
          <w:rtl/>
          <w:lang w:eastAsia="en-GB"/>
        </w:rPr>
        <w:t xml:space="preserve">في الفترة بين تشرين الاول/أكتوبر 2015 وحزيران/ يونيو 2019، تم تنظيم ما لا يقل عن 30000 من مقاتلي المقاومة من عدن والضالع وأبين ولحج في قوات الحزام الأمني، التي تم تجهيزها وتدريبها وتمويلها من قبل دولة الإمارات العربية </w:t>
      </w:r>
      <w:r w:rsidRPr="00A27602">
        <w:rPr>
          <w:rFonts w:ascii="Traditional Arabic" w:hAnsi="Traditional Arabic" w:cs="Traditional Arabic"/>
          <w:sz w:val="30"/>
          <w:szCs w:val="30"/>
          <w:rtl/>
          <w:lang w:eastAsia="en-GB"/>
        </w:rPr>
        <w:lastRenderedPageBreak/>
        <w:t>المتحدة</w:t>
      </w:r>
      <w:r w:rsidRPr="00A27602">
        <w:rPr>
          <w:vertAlign w:val="superscript"/>
          <w:lang w:eastAsia="en-GB"/>
        </w:rPr>
        <w:footnoteReference w:id="273"/>
      </w:r>
      <w:r w:rsidRPr="00A27602">
        <w:rPr>
          <w:sz w:val="24"/>
          <w:szCs w:val="24"/>
          <w:rtl/>
          <w:lang w:eastAsia="en-GB"/>
        </w:rPr>
        <w:t xml:space="preserve">. </w:t>
      </w:r>
      <w:r w:rsidRPr="00A27602">
        <w:rPr>
          <w:rFonts w:ascii="Traditional Arabic" w:hAnsi="Traditional Arabic" w:cs="Traditional Arabic"/>
          <w:sz w:val="30"/>
          <w:szCs w:val="30"/>
          <w:rtl/>
          <w:lang w:eastAsia="en-GB"/>
        </w:rPr>
        <w:t>خلال نفس الفترة، قامت دولة الإمارات العربية المتحدة بتأسيس وتجنيد ودعم النخبة الشبوانية في محافظة شبوة والنخبة الحضرمية في النصف الجنوبي/ الساحل من محافظة حضرموت. وكانت الغاية المعلنه لهذه الجماعات المسلحة هي إرساء الأمن في مناطق عملياتها. بحلول نهاية عام 2016 ، كانت قوات الإمارات العربية المتحدة والقوات المدعومة من الإمارات العربية المتحدة قد سيطرت بشكل عام على معظم عدن ولحج وابين وشبوة وجنوب حضرموت، و</w:t>
      </w:r>
      <w:r w:rsidRPr="00A27602">
        <w:rPr>
          <w:rFonts w:ascii="Traditional Arabic" w:hAnsi="Traditional Arabic" w:cs="Traditional Arabic"/>
          <w:sz w:val="30"/>
          <w:szCs w:val="30"/>
          <w:rtl/>
          <w:lang w:eastAsia="en-GB" w:bidi="ar-LB"/>
        </w:rPr>
        <w:t xml:space="preserve">تم </w:t>
      </w:r>
      <w:r w:rsidRPr="00A27602">
        <w:rPr>
          <w:rFonts w:ascii="Traditional Arabic" w:hAnsi="Traditional Arabic" w:cs="Traditional Arabic"/>
          <w:sz w:val="30"/>
          <w:szCs w:val="30"/>
          <w:rtl/>
          <w:lang w:eastAsia="en-GB"/>
        </w:rPr>
        <w:t>طرد تنظيم القاعدة والدولة الإسلامية إلى حد كبير</w:t>
      </w:r>
      <w:r w:rsidRPr="00A27602">
        <w:rPr>
          <w:sz w:val="24"/>
          <w:szCs w:val="24"/>
          <w:lang w:eastAsia="en-GB"/>
        </w:rPr>
        <w:t>.</w:t>
      </w:r>
      <w:r w:rsidRPr="00A27602">
        <w:rPr>
          <w:vertAlign w:val="superscript"/>
          <w:lang w:eastAsia="en-GB"/>
        </w:rPr>
        <w:t xml:space="preserve"> </w:t>
      </w:r>
      <w:r w:rsidRPr="00A27602">
        <w:rPr>
          <w:vertAlign w:val="superscript"/>
          <w:lang w:eastAsia="en-GB"/>
        </w:rPr>
        <w:footnoteReference w:id="274"/>
      </w:r>
    </w:p>
    <w:p w14:paraId="25B983C1" w14:textId="5DD0233A" w:rsidR="00A27602" w:rsidRP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eastAsia="en-GB"/>
        </w:rPr>
      </w:pPr>
      <w:r w:rsidRPr="00A27602">
        <w:rPr>
          <w:rFonts w:ascii="Traditional Arabic" w:hAnsi="Traditional Arabic" w:cs="Traditional Arabic"/>
          <w:sz w:val="30"/>
          <w:szCs w:val="30"/>
          <w:rtl/>
          <w:lang w:eastAsia="en-GB"/>
        </w:rPr>
        <w:t>وقامت الحكومة أيضًا ب</w:t>
      </w:r>
      <w:r w:rsidR="00783EF2">
        <w:rPr>
          <w:rFonts w:ascii="Traditional Arabic" w:hAnsi="Traditional Arabic" w:cs="Traditional Arabic" w:hint="cs"/>
          <w:sz w:val="30"/>
          <w:szCs w:val="30"/>
          <w:rtl/>
          <w:lang w:eastAsia="en-GB"/>
        </w:rPr>
        <w:t xml:space="preserve">إدراج </w:t>
      </w:r>
      <w:r w:rsidRPr="00A27602">
        <w:rPr>
          <w:rFonts w:ascii="Traditional Arabic" w:hAnsi="Traditional Arabic" w:cs="Traditional Arabic"/>
          <w:sz w:val="30"/>
          <w:szCs w:val="30"/>
          <w:rtl/>
          <w:lang w:eastAsia="en-GB"/>
        </w:rPr>
        <w:t>مجموعات المقاومة المحلية الأخرى في القوات المسلحة الحكومية، التي احتفظت جنبًا إلى جنب مع القوات النظامية الأخرى بالسيطرة على مناطق تشمل جنوب تعز، الضالع، وشمال حضرموت</w:t>
      </w:r>
      <w:r w:rsidRPr="00A27602">
        <w:rPr>
          <w:rFonts w:ascii="Traditional Arabic" w:hAnsi="Traditional Arabic" w:cs="Traditional Arabic"/>
          <w:sz w:val="30"/>
          <w:szCs w:val="30"/>
          <w:lang w:eastAsia="en-GB"/>
        </w:rPr>
        <w:t>.</w:t>
      </w:r>
    </w:p>
    <w:p w14:paraId="590044AD" w14:textId="250D2418" w:rsidR="00A27602" w:rsidRPr="00A27602" w:rsidRDefault="00A27602" w:rsidP="00DE4AAA">
      <w:pPr>
        <w:pStyle w:val="Footer"/>
        <w:numPr>
          <w:ilvl w:val="0"/>
          <w:numId w:val="3"/>
        </w:numPr>
        <w:tabs>
          <w:tab w:val="left" w:pos="720"/>
          <w:tab w:val="left" w:pos="1134"/>
          <w:tab w:val="left" w:pos="1701"/>
        </w:tabs>
        <w:bidi/>
        <w:spacing w:after="240" w:line="240" w:lineRule="atLeast"/>
        <w:ind w:left="1080" w:right="827" w:firstLine="0"/>
        <w:jc w:val="both"/>
        <w:rPr>
          <w:lang w:eastAsia="en-GB"/>
        </w:rPr>
      </w:pPr>
      <w:r w:rsidRPr="00A27602">
        <w:rPr>
          <w:rFonts w:ascii="Traditional Arabic" w:hAnsi="Traditional Arabic" w:cs="Traditional Arabic"/>
          <w:sz w:val="30"/>
          <w:szCs w:val="30"/>
          <w:rtl/>
          <w:lang w:eastAsia="en-GB"/>
        </w:rPr>
        <w:t>بين شباط/فبراير وأيار/مايو 2017 ، قاتلت الإمارات العربية المتحدة وقوات الحزام الأمني ضد القوات الحكومية للسيطرة على مطار عدن. ونتيجة لذلك، في 27 أبريل 2017 ، أعفى الرئيس هادي وزير الدولة هاني بن بريك والمحافظ عدروس الزبيدي من منصبيهما. تم إعفاء قادة الحزام الأمني والمقاتلين الذين تجاهلو أوامر الإمارات العربية المتحدة بمهاجمة القوات الحكومية، وانضم بعضهم إلى القوات الحكومية. وكان بعضهم ضحايا لهجمات انتقامية قام بها الحزام الأمني والجماعات المرتبطة نتيجة لذلك</w:t>
      </w:r>
      <w:r w:rsidRPr="00A27602">
        <w:rPr>
          <w:vertAlign w:val="superscript"/>
          <w:lang w:eastAsia="en-GB"/>
        </w:rPr>
        <w:footnoteReference w:id="275"/>
      </w:r>
      <w:r w:rsidRPr="00A27602">
        <w:rPr>
          <w:vertAlign w:val="superscript"/>
          <w:rtl/>
          <w:lang w:val="en-AU" w:eastAsia="en-GB"/>
        </w:rPr>
        <w:t xml:space="preserve">. </w:t>
      </w:r>
      <w:r w:rsidRPr="00A27602">
        <w:rPr>
          <w:rFonts w:ascii="Traditional Arabic" w:hAnsi="Traditional Arabic" w:cs="Traditional Arabic"/>
          <w:sz w:val="30"/>
          <w:szCs w:val="30"/>
          <w:rtl/>
          <w:lang w:eastAsia="en-GB"/>
        </w:rPr>
        <w:t>كان هناك عدد من المظاهرات ضد الحكومة للمطالبه باستقلال ج</w:t>
      </w:r>
      <w:r w:rsidR="00DE4AAA">
        <w:rPr>
          <w:rFonts w:ascii="Traditional Arabic" w:hAnsi="Traditional Arabic" w:cs="Traditional Arabic"/>
          <w:sz w:val="30"/>
          <w:szCs w:val="30"/>
          <w:rtl/>
          <w:lang w:eastAsia="en-GB"/>
        </w:rPr>
        <w:t>نوب اليمن. في 11 أيار/مايو 2017</w:t>
      </w:r>
      <w:r w:rsidRPr="00A27602">
        <w:rPr>
          <w:rFonts w:ascii="Traditional Arabic" w:hAnsi="Traditional Arabic" w:cs="Traditional Arabic"/>
          <w:sz w:val="30"/>
          <w:szCs w:val="30"/>
          <w:rtl/>
          <w:lang w:eastAsia="en-GB"/>
        </w:rPr>
        <w:t>، أسس هاني بن بريك والزبيدي ، مع 10 سياسيين آخرين ، المجلس الانتقالي الجنوبي ، زاعمين أنه الممثل الشرعي لليمنيين الجنوبيين</w:t>
      </w:r>
      <w:r w:rsidRPr="00A27602">
        <w:rPr>
          <w:sz w:val="24"/>
          <w:szCs w:val="24"/>
          <w:rtl/>
          <w:lang w:eastAsia="en-GB"/>
        </w:rPr>
        <w:t>.</w:t>
      </w:r>
    </w:p>
    <w:p w14:paraId="7A577836" w14:textId="58A751C1" w:rsidR="00A27602" w:rsidRP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vertAlign w:val="superscript"/>
          <w:lang w:val="en-AU" w:eastAsia="en-GB"/>
        </w:rPr>
      </w:pPr>
      <w:r w:rsidRPr="00A27602">
        <w:rPr>
          <w:rFonts w:ascii="Traditional Arabic" w:hAnsi="Traditional Arabic" w:cs="Traditional Arabic"/>
          <w:sz w:val="30"/>
          <w:szCs w:val="30"/>
          <w:rtl/>
          <w:lang w:eastAsia="en-GB"/>
        </w:rPr>
        <w:t>في كانون الثاني (يناير) 2018 ، أعلن المجلس الانتقالي الجنوبي علانية أنه سيشن انقلابًا ، بعد ذلك هاجمت قوات الحزام الأمني المناطق التي تسيطر عليها الحكومة في عدن. اعترف الرئيس هادي علنا بمحاولة الانقلاب. بحلول 30 يناير 2018 ، أعلن المجلس الانتقالي الجنوبي النصر في عدن ، مع سيطرة الحزام الأمني سيطرة كاملة على المحافظة. فر وزراء الحكومة من البلاد وانسحبت القوات المسلحة اليمنية (الالوية الرئاسية) من جميع مناطق عدن باستثناء القصر الرئاسي وقاعدتين عسكريتين. صرح هاني بن بريك في وقت لاحق أن هذ</w:t>
      </w:r>
      <w:r w:rsidR="00783EF2">
        <w:rPr>
          <w:rFonts w:ascii="Traditional Arabic" w:hAnsi="Traditional Arabic" w:cs="Traditional Arabic" w:hint="cs"/>
          <w:sz w:val="30"/>
          <w:szCs w:val="30"/>
          <w:rtl/>
          <w:lang w:eastAsia="en-GB"/>
        </w:rPr>
        <w:t>ه الهجمات كانت</w:t>
      </w:r>
      <w:r w:rsidRPr="00A27602">
        <w:rPr>
          <w:rFonts w:ascii="Traditional Arabic" w:hAnsi="Traditional Arabic" w:cs="Traditional Arabic"/>
          <w:sz w:val="30"/>
          <w:szCs w:val="30"/>
          <w:rtl/>
          <w:lang w:eastAsia="en-GB"/>
        </w:rPr>
        <w:t xml:space="preserve"> بناء</w:t>
      </w:r>
      <w:r w:rsidR="00783EF2">
        <w:rPr>
          <w:rFonts w:ascii="Traditional Arabic" w:hAnsi="Traditional Arabic" w:cs="Traditional Arabic" w:hint="cs"/>
          <w:sz w:val="30"/>
          <w:szCs w:val="30"/>
          <w:rtl/>
          <w:lang w:eastAsia="en-GB"/>
        </w:rPr>
        <w:t>ًا</w:t>
      </w:r>
      <w:r w:rsidRPr="00A27602">
        <w:rPr>
          <w:rFonts w:ascii="Traditional Arabic" w:hAnsi="Traditional Arabic" w:cs="Traditional Arabic"/>
          <w:sz w:val="30"/>
          <w:szCs w:val="30"/>
          <w:rtl/>
          <w:lang w:eastAsia="en-GB"/>
        </w:rPr>
        <w:t xml:space="preserve"> على أوامر من قبل التحالف</w:t>
      </w:r>
      <w:r w:rsidRPr="00A27602">
        <w:rPr>
          <w:vertAlign w:val="superscript"/>
          <w:lang w:eastAsia="en-GB"/>
        </w:rPr>
        <w:footnoteReference w:id="276"/>
      </w:r>
      <w:r w:rsidRPr="00A27602">
        <w:rPr>
          <w:sz w:val="24"/>
          <w:szCs w:val="24"/>
          <w:rtl/>
          <w:lang w:eastAsia="en-GB"/>
        </w:rPr>
        <w:t xml:space="preserve">. </w:t>
      </w:r>
      <w:r w:rsidR="00783EF2">
        <w:rPr>
          <w:rFonts w:ascii="Traditional Arabic" w:hAnsi="Traditional Arabic" w:cs="Traditional Arabic"/>
          <w:sz w:val="30"/>
          <w:szCs w:val="30"/>
          <w:rtl/>
          <w:lang w:eastAsia="en-GB"/>
        </w:rPr>
        <w:t>في أيار/مايو 2018</w:t>
      </w:r>
      <w:r w:rsidRPr="00A27602">
        <w:rPr>
          <w:rFonts w:ascii="Traditional Arabic" w:hAnsi="Traditional Arabic" w:cs="Traditional Arabic"/>
          <w:sz w:val="30"/>
          <w:szCs w:val="30"/>
          <w:rtl/>
          <w:lang w:eastAsia="en-GB"/>
        </w:rPr>
        <w:t>، أنشأت الحكومة المجلس الوطني الجنوبي، بزعم تمثيل مصالح ابناء الجنوب، كرد على المجلس الانتقالي الجنوبي. في شهري تموز/يوليو وتشرين الأول/أكتوبر 2018، أصدر المجلس الانتقالي الجنوبي تصريحات بأن الحكومة كانت معادية للجنوب، وأعلن انقلابًا وشيكًا إذا لم تتنازل الحكومة، ودعا إلى انتفاضة شعبية</w:t>
      </w:r>
      <w:r w:rsidRPr="00A27602">
        <w:rPr>
          <w:sz w:val="24"/>
          <w:szCs w:val="24"/>
          <w:lang w:eastAsia="en-GB"/>
        </w:rPr>
        <w:t>.</w:t>
      </w:r>
      <w:r w:rsidRPr="00A27602">
        <w:rPr>
          <w:vertAlign w:val="superscript"/>
          <w:lang w:eastAsia="en-GB"/>
        </w:rPr>
        <w:t xml:space="preserve"> </w:t>
      </w:r>
    </w:p>
    <w:p w14:paraId="08ABA7E1" w14:textId="77777777" w:rsidR="00A27602" w:rsidRP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eastAsia="en-GB"/>
        </w:rPr>
      </w:pPr>
      <w:r w:rsidRPr="00A27602">
        <w:rPr>
          <w:rFonts w:ascii="Traditional Arabic" w:hAnsi="Traditional Arabic" w:cs="Traditional Arabic"/>
          <w:sz w:val="30"/>
          <w:szCs w:val="30"/>
          <w:rtl/>
          <w:lang w:eastAsia="en-GB"/>
        </w:rPr>
        <w:lastRenderedPageBreak/>
        <w:t>في أيلول/سبتمبر 2018 ، صرح هاني بن بريك علنًا بأن قوات المجلس الانتقالي الجنوبي تتألف من "قوات المقاومة العسكرية" تحت القيادة العملياتية للتحالف</w:t>
      </w:r>
      <w:r w:rsidRPr="00A27602">
        <w:rPr>
          <w:vertAlign w:val="superscript"/>
          <w:lang w:eastAsia="en-GB"/>
        </w:rPr>
        <w:footnoteReference w:id="277"/>
      </w:r>
      <w:r w:rsidRPr="00A27602">
        <w:rPr>
          <w:sz w:val="24"/>
          <w:szCs w:val="24"/>
          <w:rtl/>
          <w:lang w:eastAsia="en-GB"/>
        </w:rPr>
        <w:t xml:space="preserve">. </w:t>
      </w:r>
      <w:r w:rsidRPr="00A27602">
        <w:rPr>
          <w:rFonts w:ascii="Traditional Arabic" w:hAnsi="Traditional Arabic" w:cs="Traditional Arabic"/>
          <w:sz w:val="30"/>
          <w:szCs w:val="30"/>
          <w:rtl/>
          <w:lang w:eastAsia="en-GB"/>
        </w:rPr>
        <w:t>في 1 تشرين الاول/نوفمبر 2018، افتتح المجلس الانتقالي الجنوبي الجمعية الوطنية الجنوبية ، وهي هيئة تشريعية تضم 303 ممثلين في جميع أنحاء جنوب اليمن. منذ ذلك الحين ، افتتح المجلس الجنوبي الانتقالي ، الذي يزعم أنه "حرر" أيضًا شبوة وحضرموت ، مكاتب تمثيلية أجنبية ، وطور وجودًا إعلاميًا</w:t>
      </w:r>
      <w:r w:rsidRPr="00A27602">
        <w:rPr>
          <w:sz w:val="24"/>
          <w:szCs w:val="24"/>
          <w:rtl/>
          <w:lang w:eastAsia="en-GB"/>
        </w:rPr>
        <w:t xml:space="preserve"> </w:t>
      </w:r>
      <w:r w:rsidRPr="00A27602">
        <w:rPr>
          <w:rFonts w:ascii="Traditional Arabic" w:hAnsi="Traditional Arabic" w:cs="Traditional Arabic"/>
          <w:sz w:val="30"/>
          <w:szCs w:val="30"/>
          <w:rtl/>
          <w:lang w:eastAsia="en-GB"/>
        </w:rPr>
        <w:t>وصورة عامة على المستوى الدولي</w:t>
      </w:r>
      <w:r w:rsidRPr="00A27602">
        <w:rPr>
          <w:rFonts w:ascii="Traditional Arabic" w:hAnsi="Traditional Arabic" w:cs="Traditional Arabic"/>
          <w:sz w:val="30"/>
          <w:szCs w:val="30"/>
          <w:lang w:eastAsia="en-GB"/>
        </w:rPr>
        <w:t>.</w:t>
      </w:r>
    </w:p>
    <w:p w14:paraId="3C542ABF" w14:textId="77777777" w:rsidR="00A27602" w:rsidRP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lang w:eastAsia="en-GB"/>
        </w:rPr>
      </w:pPr>
      <w:r w:rsidRPr="00A27602">
        <w:rPr>
          <w:rFonts w:ascii="Traditional Arabic" w:hAnsi="Traditional Arabic" w:cs="Traditional Arabic"/>
          <w:sz w:val="30"/>
          <w:szCs w:val="30"/>
          <w:rtl/>
          <w:lang w:eastAsia="en-GB"/>
        </w:rPr>
        <w:t>في نيسان أبريل 2019، التقى البرلمان اليمني لأول مرة منذ آذار/مارس 2015 في سيئون، حضرموت. في تموز/يوليو 2019، أعلنت دولة الإمارات العربية المتحدة سحب معظم قواتها من الجبهات مع الحوثيين، لكنها أعادت تأكيد عزمها على استمرار وجودها في عدن والمحافظات الجنوبية ، ودعمها للحزام الأمني وقوات النخبة الشبوانية والحضرميه</w:t>
      </w:r>
      <w:r w:rsidRPr="00A27602">
        <w:rPr>
          <w:rFonts w:ascii="Traditional Arabic" w:hAnsi="Traditional Arabic" w:cs="Traditional Arabic"/>
          <w:sz w:val="30"/>
          <w:szCs w:val="30"/>
          <w:lang w:eastAsia="en-GB"/>
        </w:rPr>
        <w:t xml:space="preserve">. </w:t>
      </w:r>
    </w:p>
    <w:p w14:paraId="0582E821" w14:textId="7EA94CF6" w:rsidR="00A27602" w:rsidRDefault="00A27602" w:rsidP="005D608B">
      <w:pPr>
        <w:numPr>
          <w:ilvl w:val="0"/>
          <w:numId w:val="12"/>
        </w:numPr>
        <w:tabs>
          <w:tab w:val="left" w:pos="720"/>
          <w:tab w:val="left" w:pos="1701"/>
        </w:tabs>
        <w:suppressAutoHyphens w:val="0"/>
        <w:bidi/>
        <w:spacing w:after="240" w:line="240" w:lineRule="auto"/>
        <w:ind w:left="1080" w:right="1080" w:hanging="450"/>
        <w:contextualSpacing/>
        <w:jc w:val="both"/>
        <w:rPr>
          <w:rFonts w:ascii="Traditional Arabic" w:hAnsi="Traditional Arabic" w:cs="Traditional Arabic"/>
          <w:b/>
          <w:bCs/>
          <w:sz w:val="30"/>
          <w:szCs w:val="30"/>
          <w:lang w:eastAsia="en-GB"/>
        </w:rPr>
      </w:pPr>
      <w:r>
        <w:rPr>
          <w:rFonts w:ascii="Traditional Arabic" w:hAnsi="Traditional Arabic" w:cs="Traditional Arabic"/>
          <w:b/>
          <w:bCs/>
          <w:sz w:val="30"/>
          <w:szCs w:val="30"/>
          <w:rtl/>
          <w:lang w:eastAsia="en-GB"/>
        </w:rPr>
        <w:t>الانتهاكات المتعلقة بالاعتقال: الاعتقال التعسفي والاختفاء القسري والتعذيب وسوء المعاملة</w:t>
      </w:r>
    </w:p>
    <w:p w14:paraId="0A0FE214" w14:textId="6FD2F7CB"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وجد فريق الخبراء في تقريره لعام 2018 أسبابًا معقولة للاعتقاد بأن الإمارات العربية المتحدة والحزام الأمني والنخبه الشبوانية قاموا بين عامي 2016 و أيار/مايو 2018 بادارة شبكة من مرافق الاعتقال غير الرسمية، بما في ذلك المنشآت المعروفة باسم "بير أحمد 1" ، "بير أحمد 2"</w:t>
      </w:r>
      <w:r>
        <w:rPr>
          <w:rStyle w:val="FootnoteReference"/>
          <w:rFonts w:asciiTheme="majorBidi" w:hAnsiTheme="majorBidi" w:cstheme="majorBidi"/>
          <w:sz w:val="20"/>
        </w:rPr>
        <w:footnoteReference w:id="278"/>
      </w:r>
      <w:r>
        <w:rPr>
          <w:rFonts w:asciiTheme="majorBidi" w:hAnsiTheme="majorBidi"/>
          <w:sz w:val="24"/>
          <w:szCs w:val="24"/>
          <w:rtl/>
        </w:rPr>
        <w:t xml:space="preserve">، </w:t>
      </w:r>
      <w:r>
        <w:rPr>
          <w:rFonts w:ascii="Traditional Arabic" w:hAnsi="Traditional Arabic" w:cs="Traditional Arabic"/>
          <w:sz w:val="30"/>
          <w:szCs w:val="30"/>
          <w:rtl/>
        </w:rPr>
        <w:t>منشآت في قاعدة البريقه التابعه للتحالف وقاعدة الريان الجوية التابعه للتحالف في محافظة حضرموت. ووجد الفريق كذلك أنه داخل هذه المرافق ، حدث اعتقال تعسفي وتعذيب بما في ذلك العنف الجنسي</w:t>
      </w:r>
      <w:r>
        <w:rPr>
          <w:rFonts w:ascii="Traditional Arabic" w:hAnsi="Traditional Arabic" w:cs="Traditional Arabic"/>
          <w:sz w:val="30"/>
          <w:szCs w:val="30"/>
        </w:rPr>
        <w:t>.</w:t>
      </w:r>
    </w:p>
    <w:p w14:paraId="1E60D390" w14:textId="3D592B3E" w:rsidR="00A27602" w:rsidRPr="00F91E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sidRPr="0091629E">
        <w:rPr>
          <w:rFonts w:ascii="Traditional Arabic" w:hAnsi="Traditional Arabic" w:cs="Traditional Arabic"/>
          <w:sz w:val="30"/>
          <w:szCs w:val="30"/>
          <w:rtl/>
        </w:rPr>
        <w:t xml:space="preserve">في الفترة 2018-2019 ، وثق الفريق استمرار أنماط الاعتقال التعسفي والاختفاء القسري والتعذيب والعنف الجنسي في نفس المنشئات، وواصل توسيع نطاق تحقيقاته لفحص منشأت أخرى تتعلق بنظام الاعتقال الذي توجد فيه هذه المرافق. وجد الفريق أن مرفق الاعتقال السري في قاعدة البريقه للتحالف (سيشار اليها لاحقاً باسم "البريقة") ومرفق اعتقال بير أحمد 2 (سيشار له لاحقاً باسم "بير أحمد 2") يعملان كمحور، حيث يتم نقل المحتجزين من مواقع التجميع الى الاعتقال لمدة اطول. في حالة مرفق البريقة، وجد الفريق كذلك أنه تم استخدامه للتحقيق والتعذيب والعنف الجنسي. كان بير أحمد 2 ومرفق البريقة بمثابة نقطة انطلاق للمعتلقين إلى مرافق أخرى في حضرموت </w:t>
      </w:r>
      <w:r w:rsidRPr="001A1CEE">
        <w:rPr>
          <w:rFonts w:ascii="Traditional Arabic" w:hAnsi="Traditional Arabic" w:cs="Traditional Arabic"/>
          <w:sz w:val="30"/>
          <w:szCs w:val="30"/>
          <w:vertAlign w:val="superscript"/>
        </w:rPr>
        <w:footnoteReference w:id="279"/>
      </w:r>
      <w:r w:rsidRPr="0091629E">
        <w:rPr>
          <w:rFonts w:ascii="Traditional Arabic" w:hAnsi="Traditional Arabic" w:cs="Traditional Arabic"/>
          <w:sz w:val="30"/>
          <w:szCs w:val="30"/>
        </w:rPr>
        <w:t xml:space="preserve"> </w:t>
      </w:r>
      <w:r w:rsidRPr="0091629E">
        <w:rPr>
          <w:rFonts w:ascii="Traditional Arabic" w:hAnsi="Traditional Arabic" w:cs="Traditional Arabic"/>
          <w:sz w:val="30"/>
          <w:szCs w:val="30"/>
          <w:rtl/>
        </w:rPr>
        <w:t>وعصب في إريتريا</w:t>
      </w:r>
      <w:r w:rsidRPr="0091629E">
        <w:rPr>
          <w:rFonts w:asciiTheme="majorBidi" w:hAnsiTheme="majorBidi" w:cstheme="majorBidi"/>
          <w:sz w:val="24"/>
          <w:szCs w:val="24"/>
        </w:rPr>
        <w:t>.</w:t>
      </w:r>
      <w:r w:rsidRPr="0091629E">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0"/>
      </w:r>
    </w:p>
    <w:p w14:paraId="20DCCE87" w14:textId="07EF2B80" w:rsidR="00F91E02" w:rsidRPr="0091629E" w:rsidRDefault="00F91E02" w:rsidP="00361237">
      <w:pPr>
        <w:pStyle w:val="Footer"/>
        <w:tabs>
          <w:tab w:val="left" w:pos="720"/>
          <w:tab w:val="left" w:pos="1134"/>
          <w:tab w:val="left" w:pos="1701"/>
        </w:tabs>
        <w:bidi/>
        <w:spacing w:after="120" w:line="240" w:lineRule="atLeast"/>
        <w:ind w:left="1080" w:right="827"/>
        <w:jc w:val="both"/>
        <w:rPr>
          <w:rStyle w:val="FootnoteReference"/>
          <w:rFonts w:ascii="Traditional Arabic" w:hAnsi="Traditional Arabic" w:cs="Traditional Arabic"/>
          <w:sz w:val="30"/>
          <w:szCs w:val="30"/>
          <w:vertAlign w:val="baseline"/>
        </w:rPr>
      </w:pPr>
      <w:r>
        <w:rPr>
          <w:rStyle w:val="FootnoteReference"/>
          <w:rFonts w:ascii="Traditional Arabic" w:hAnsi="Traditional Arabic" w:cs="Traditional Arabic"/>
          <w:noProof/>
          <w:sz w:val="30"/>
          <w:szCs w:val="30"/>
          <w:vertAlign w:val="baseline"/>
          <w:lang w:eastAsia="en-GB"/>
        </w:rPr>
        <w:lastRenderedPageBreak/>
        <w:drawing>
          <wp:inline distT="0" distB="0" distL="0" distR="0" wp14:anchorId="05EBD6A5" wp14:editId="28468A8E">
            <wp:extent cx="4989014" cy="352539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92027" cy="3527526"/>
                    </a:xfrm>
                    <a:prstGeom prst="rect">
                      <a:avLst/>
                    </a:prstGeom>
                    <a:noFill/>
                  </pic:spPr>
                </pic:pic>
              </a:graphicData>
            </a:graphic>
          </wp:inline>
        </w:drawing>
      </w:r>
    </w:p>
    <w:p w14:paraId="03A0FAEE" w14:textId="77777777"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pPr>
      <w:r>
        <w:rPr>
          <w:rFonts w:ascii="Traditional Arabic" w:hAnsi="Traditional Arabic" w:cs="Traditional Arabic"/>
          <w:sz w:val="30"/>
          <w:szCs w:val="30"/>
          <w:rtl/>
        </w:rPr>
        <w:t>في جميع الحالات التي حقق فيها الفريق تقريبًا، لم يكن هناك دليل على وجود إجراءات قانونية رسمية أو الحصول على تمثيل قانوني</w:t>
      </w:r>
      <w:r>
        <w:rPr>
          <w:rStyle w:val="FootnoteReference"/>
          <w:rFonts w:asciiTheme="majorBidi" w:hAnsiTheme="majorBidi" w:cstheme="majorBidi"/>
          <w:sz w:val="20"/>
        </w:rPr>
        <w:footnoteReference w:id="281"/>
      </w:r>
      <w:r>
        <w:rPr>
          <w:rFonts w:asciiTheme="majorBidi" w:hAnsiTheme="majorBidi"/>
          <w:sz w:val="24"/>
          <w:szCs w:val="24"/>
          <w:rtl/>
        </w:rPr>
        <w:t xml:space="preserve">. </w:t>
      </w:r>
      <w:r>
        <w:rPr>
          <w:rFonts w:ascii="Traditional Arabic" w:hAnsi="Traditional Arabic" w:cs="Traditional Arabic"/>
          <w:sz w:val="30"/>
          <w:szCs w:val="30"/>
          <w:rtl/>
        </w:rPr>
        <w:t>في معظم الحالات التي تم التحقيق فيها، كان المعتقلون إما قادة مقاومة، او جنود وضباط في القوات المسلحة اليمنية، او "شماليين"، او نشطاء حقوق الإنسان، او صحفيين أو مرتبطين بزعماء دينيين</w:t>
      </w:r>
      <w:r>
        <w:rPr>
          <w:rFonts w:asciiTheme="majorBidi" w:hAnsiTheme="majorBidi" w:cstheme="majorBidi"/>
          <w:sz w:val="2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2"/>
      </w:r>
    </w:p>
    <w:p w14:paraId="62C02DC3" w14:textId="77777777" w:rsidR="00A27602" w:rsidRPr="00686917"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أ) مركز الاعتقال التابع لقاعدة البريقه، عدن</w:t>
      </w:r>
    </w:p>
    <w:p w14:paraId="01A87666" w14:textId="70506EF5"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4"/>
          <w:szCs w:val="24"/>
        </w:rPr>
      </w:pPr>
      <w:r>
        <w:rPr>
          <w:rFonts w:ascii="Traditional Arabic" w:hAnsi="Traditional Arabic" w:cs="Traditional Arabic"/>
          <w:sz w:val="30"/>
          <w:szCs w:val="30"/>
          <w:rtl/>
        </w:rPr>
        <w:t>تعمل قاعدة التحالف البريقه كمقر قيادة للتحالف في اليمن ، وتسيطر عليها دولة الإمارات العربية المتحدة</w:t>
      </w:r>
      <w:r>
        <w:rPr>
          <w:rStyle w:val="FootnoteReference"/>
          <w:rFonts w:asciiTheme="majorBidi" w:hAnsiTheme="majorBidi" w:cstheme="majorBidi"/>
          <w:sz w:val="20"/>
        </w:rPr>
        <w:footnoteReference w:id="283"/>
      </w:r>
      <w:r>
        <w:rPr>
          <w:rFonts w:asciiTheme="majorBidi" w:hAnsiTheme="majorBidi"/>
          <w:sz w:val="24"/>
          <w:szCs w:val="24"/>
          <w:rtl/>
        </w:rPr>
        <w:t xml:space="preserve">. </w:t>
      </w:r>
      <w:r>
        <w:rPr>
          <w:rFonts w:ascii="Traditional Arabic" w:hAnsi="Traditional Arabic" w:cs="Traditional Arabic"/>
          <w:sz w:val="30"/>
          <w:szCs w:val="30"/>
          <w:rtl/>
        </w:rPr>
        <w:t>تقع في منطقة البريقة في محافظة عدن ، وقد تم تأسيسها في عام 2015 في بداية تدخل التحالف في النزاع</w:t>
      </w:r>
      <w:r>
        <w:rPr>
          <w:rFonts w:asciiTheme="majorBidi" w:hAnsiTheme="majorBidi"/>
          <w:sz w:val="24"/>
          <w:szCs w:val="24"/>
          <w:rtl/>
        </w:rPr>
        <w:t xml:space="preserve"> </w:t>
      </w:r>
      <w:r>
        <w:rPr>
          <w:rStyle w:val="FootnoteReference"/>
          <w:rFonts w:asciiTheme="majorBidi" w:hAnsiTheme="majorBidi" w:cstheme="majorBidi"/>
          <w:sz w:val="20"/>
        </w:rPr>
        <w:footnoteReference w:id="284"/>
      </w:r>
      <w:r>
        <w:rPr>
          <w:rFonts w:asciiTheme="majorBidi" w:hAnsiTheme="majorBidi"/>
          <w:sz w:val="24"/>
          <w:szCs w:val="24"/>
          <w:rtl/>
        </w:rPr>
        <w:t xml:space="preserve">. </w:t>
      </w:r>
      <w:r>
        <w:rPr>
          <w:rFonts w:ascii="Traditional Arabic" w:hAnsi="Traditional Arabic" w:cs="Traditional Arabic"/>
          <w:sz w:val="30"/>
          <w:szCs w:val="30"/>
          <w:rtl/>
        </w:rPr>
        <w:t>داخل حدود القاعدة ، يدير التحالف مركز اعتقال سري. حقق الفريق في الحالات التي نُقل فيها المعتقلون بشكل روتيني مباش</w:t>
      </w:r>
      <w:r w:rsidR="00B67CA3">
        <w:rPr>
          <w:rFonts w:ascii="Traditional Arabic" w:hAnsi="Traditional Arabic" w:cs="Traditional Arabic"/>
          <w:sz w:val="30"/>
          <w:szCs w:val="30"/>
          <w:rtl/>
        </w:rPr>
        <w:t>رة إلى البريقة ، أو نُقلوا من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لفترات تتراوح بين بضعة أيام إلى 10 أشهر</w:t>
      </w:r>
      <w:r w:rsidR="00686917">
        <w:rPr>
          <w:rFonts w:ascii="Traditional Arabic" w:hAnsi="Traditional Arabic" w:cs="Traditional Arabic" w:hint="cs"/>
          <w:sz w:val="30"/>
          <w:szCs w:val="30"/>
          <w:rtl/>
        </w:rPr>
        <w:t>،</w:t>
      </w:r>
      <w:r w:rsidR="00686917">
        <w:rPr>
          <w:rStyle w:val="FootnoteReference"/>
          <w:rFonts w:cs="Traditional Arabic"/>
          <w:szCs w:val="30"/>
          <w:rtl/>
        </w:rPr>
        <w:footnoteReference w:id="285"/>
      </w:r>
      <w:r>
        <w:rPr>
          <w:rFonts w:ascii="Traditional Arabic" w:hAnsi="Traditional Arabic" w:cs="Traditional Arabic"/>
          <w:sz w:val="30"/>
          <w:szCs w:val="30"/>
          <w:rtl/>
        </w:rPr>
        <w:t xml:space="preserve"> قبل نقلهم إلى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بقي المعتقلون في الحبس الانفرادي. ونتيجة لذلك ، لم يتمكن الفريق من تحديد عدد المعتقلين في المرفق. يحتوي الموقع على مبان متعددة بها عدة زنازين قائمة بذاتها وغرف احتجاز واستجواب. في أكثر من 14 حالة منفصلة تم التحقيق فيها بين عام 2017 وأيار/مايو 2019، بما في ذلك صبي واحد، كان المعتقلون من مقاتلي المقاومة السابقين، والجنود الحكوميين، ونشطاء حقوق الإنسان. يُعتقد أن عينة الحالات التي تم التحقيق فيها تمثل نبذه عن الحجم الحقيقي  للانتهاكات التي تحدث هناك وخطورتها</w:t>
      </w:r>
      <w:r>
        <w:rPr>
          <w:rFonts w:asciiTheme="majorBidi" w:hAnsiTheme="majorBidi" w:cstheme="majorBidi"/>
          <w:sz w:val="24"/>
          <w:szCs w:val="24"/>
          <w:rtl/>
        </w:rPr>
        <w:t>.</w:t>
      </w:r>
    </w:p>
    <w:p w14:paraId="36D2D164" w14:textId="10739991" w:rsidR="00A27602" w:rsidRPr="00686917"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Style w:val="FootnoteReference"/>
          <w:rFonts w:asciiTheme="majorBidi" w:hAnsiTheme="majorBidi" w:cstheme="majorBidi"/>
          <w:sz w:val="24"/>
          <w:szCs w:val="24"/>
          <w:vertAlign w:val="baseline"/>
          <w:rtl/>
        </w:rPr>
      </w:pPr>
      <w:r w:rsidRPr="00686917">
        <w:rPr>
          <w:rFonts w:ascii="Traditional Arabic" w:hAnsi="Traditional Arabic" w:cs="Traditional Arabic"/>
          <w:sz w:val="30"/>
          <w:szCs w:val="30"/>
          <w:rtl/>
        </w:rPr>
        <w:lastRenderedPageBreak/>
        <w:t xml:space="preserve">في البريقة، ظل جميع المعتقلين في الحبس الانفرادي. ثم نُقلوا إلى غرف محددة ، يشار إليها من قبل أفراد عسكريين من الإمارات العربية المتحدة على أنها "غرفة التعذيب" أو "غرفة الأحلام" وتعرضوا المعتقلين للاستجواب المطول والتعذيب على أيدي أفراد عسكريين من الإمارات العربية المتحدة على مدار عدة ساعات ، وغالباً ما يتكرر ذلك لعدد من الأيام أو الأسابيع أو الأشهر. جميع المعتقلين كانوا مكبلي الأيدي وعُصبت أعينهم أثناء استجوابهم كوسيلة لإحباطهم وتعطيلهم. في هذه الاستجوابات ، قام أفراد من جيش الإمارات العربية المتحدة بممارسة التعذيب والتهديدات والعنف الجنسي. وقد طبقوا ذلك عن قصد من أجل إذلال المحتجزين ووصمهم بالعار </w:t>
      </w:r>
      <w:r w:rsidR="00783EF2">
        <w:rPr>
          <w:rFonts w:ascii="Traditional Arabic" w:hAnsi="Traditional Arabic" w:cs="Traditional Arabic" w:hint="cs"/>
          <w:sz w:val="30"/>
          <w:szCs w:val="30"/>
          <w:rtl/>
        </w:rPr>
        <w:t>و</w:t>
      </w:r>
      <w:r w:rsidRPr="00686917">
        <w:rPr>
          <w:rFonts w:ascii="Traditional Arabic" w:hAnsi="Traditional Arabic" w:cs="Traditional Arabic"/>
          <w:sz w:val="30"/>
          <w:szCs w:val="30"/>
          <w:rtl/>
        </w:rPr>
        <w:t>إكراههم على الاعتراف أو تجنيدهم بالقوة. شمل التعذيب الصعق بالكهرباء، والتعليق من السقف لفترات طويلة، والضرب المتكرر بالكابلات المعدنية، وإزالة أصابع القدم والأظافر، والعري القسري، والاغتصاب، والاعتداء الجنسي</w:t>
      </w:r>
      <w:r w:rsidRPr="00686917">
        <w:rPr>
          <w:rFonts w:asciiTheme="majorBidi" w:hAnsiTheme="majorBidi" w:cstheme="majorBidi"/>
          <w:sz w:val="24"/>
          <w:szCs w:val="24"/>
        </w:rPr>
        <w:t>.</w:t>
      </w:r>
      <w:r w:rsidRPr="0068691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6"/>
      </w:r>
    </w:p>
    <w:p w14:paraId="50B7B4DB" w14:textId="2AB4208F" w:rsidR="00A27602" w:rsidRDefault="00A27602" w:rsidP="00783EF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 xml:space="preserve">وثّق فريق الخبراء حالات العنف الجنسي في مركز الاعتقال في البريقة بين عامي 2017 و2019. ووثق فريق الخبراء اغتصاب ستة رجال وصبي واحد بالإضافة </w:t>
      </w:r>
      <w:r w:rsidR="00783EF2">
        <w:rPr>
          <w:rFonts w:ascii="Traditional Arabic" w:hAnsi="Traditional Arabic" w:cs="Traditional Arabic" w:hint="cs"/>
          <w:sz w:val="30"/>
          <w:szCs w:val="30"/>
          <w:rtl/>
        </w:rPr>
        <w:t xml:space="preserve"> </w:t>
      </w:r>
      <w:r>
        <w:rPr>
          <w:rFonts w:ascii="Traditional Arabic" w:hAnsi="Traditional Arabic" w:cs="Traditional Arabic"/>
          <w:sz w:val="30"/>
          <w:szCs w:val="30"/>
          <w:rtl/>
        </w:rPr>
        <w:t xml:space="preserve">إلى </w:t>
      </w:r>
      <w:r w:rsidR="00783EF2">
        <w:rPr>
          <w:rFonts w:ascii="Traditional Arabic" w:hAnsi="Traditional Arabic" w:cs="Traditional Arabic" w:hint="cs"/>
          <w:sz w:val="30"/>
          <w:szCs w:val="30"/>
          <w:rtl/>
        </w:rPr>
        <w:t xml:space="preserve">حالات </w:t>
      </w:r>
      <w:r>
        <w:rPr>
          <w:rFonts w:ascii="Traditional Arabic" w:hAnsi="Traditional Arabic" w:cs="Traditional Arabic"/>
          <w:sz w:val="30"/>
          <w:szCs w:val="30"/>
          <w:rtl/>
        </w:rPr>
        <w:t xml:space="preserve">اعتداءات جنسية </w:t>
      </w:r>
      <w:r w:rsidR="00783EF2">
        <w:rPr>
          <w:rFonts w:ascii="Traditional Arabic" w:hAnsi="Traditional Arabic" w:cs="Traditional Arabic" w:hint="cs"/>
          <w:sz w:val="30"/>
          <w:szCs w:val="30"/>
          <w:rtl/>
        </w:rPr>
        <w:t>و</w:t>
      </w:r>
      <w:r>
        <w:rPr>
          <w:rFonts w:ascii="Traditional Arabic" w:hAnsi="Traditional Arabic" w:cs="Traditional Arabic"/>
          <w:sz w:val="30"/>
          <w:szCs w:val="30"/>
          <w:rtl/>
        </w:rPr>
        <w:t>عري قسري</w:t>
      </w:r>
      <w:r w:rsidR="00783EF2">
        <w:rPr>
          <w:rFonts w:ascii="Traditional Arabic" w:hAnsi="Traditional Arabic" w:cs="Traditional Arabic" w:hint="cs"/>
          <w:sz w:val="30"/>
          <w:szCs w:val="30"/>
          <w:rtl/>
        </w:rPr>
        <w:t xml:space="preserve"> أخرى</w:t>
      </w:r>
      <w:r>
        <w:rPr>
          <w:rFonts w:ascii="Traditional Arabic" w:hAnsi="Traditional Arabic" w:cs="Traditional Arabic"/>
          <w:sz w:val="30"/>
          <w:szCs w:val="30"/>
          <w:rtl/>
        </w:rPr>
        <w:t>. في عدد من الحالات، تم اغتصاب الضحايا عدة مرات. ارتكب الأفراد العسكريون في الإمارات العربية المتحدة اغتصابًا شفهيًا وشرجياً بأشياء وبالعضو الذكري. وشمل ذلك الاغتصاب الجماعي على أيدي أفراد عسكريين متعددين. في جميع الحالات، استخدم العنف الجنسي كأسلوب استجواب وتعذيب. وذكر المعتقلون أن العنف والتهديدات المستخدمة تتصاعد وأن التهديد النهائي هو الاغتصاب. عندما لم ينجح الأفراد العسكريون في الإمارات العربية المتحدة في تحقيق أهدافهم بوسائل أخرى، قاموا باغتصاب الضحايا أو الاعتداء عليهم جنسياً</w:t>
      </w:r>
      <w:r>
        <w:rPr>
          <w:rFonts w:ascii="Traditional Arabic" w:hAnsi="Traditional Arabic" w:cs="Traditional Arabic"/>
          <w:sz w:val="30"/>
          <w:szCs w:val="30"/>
        </w:rPr>
        <w:t>.</w:t>
      </w:r>
    </w:p>
    <w:p w14:paraId="32A21E76" w14:textId="77777777" w:rsidR="00A27602" w:rsidRPr="00686917"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ب) معتقل بير أحمد 2 ، عدن</w:t>
      </w:r>
    </w:p>
    <w:p w14:paraId="107753BC" w14:textId="7F24F295"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4"/>
          <w:szCs w:val="24"/>
        </w:rPr>
      </w:pPr>
      <w:r>
        <w:rPr>
          <w:rFonts w:ascii="Traditional Arabic" w:hAnsi="Traditional Arabic" w:cs="Traditional Arabic"/>
          <w:sz w:val="30"/>
          <w:szCs w:val="30"/>
          <w:rtl/>
        </w:rPr>
        <w:t>مرفق الاعتقال في بير أحمد 2 هو ثاني أكبر مركز اعتقال في محافظة عدن بعد سجن المنصورة المركزي الذي تديره الحكومة اليمنية. يقع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في مديرية البريقة</w:t>
      </w:r>
      <w:r w:rsidRPr="00B67CA3">
        <w:rPr>
          <w:rFonts w:ascii="Traditional Arabic" w:hAnsi="Traditional Arabic" w:cs="Traditional Arabic"/>
          <w:sz w:val="20"/>
          <w:vertAlign w:val="superscript"/>
        </w:rPr>
        <w:footnoteReference w:id="287"/>
      </w:r>
      <w:r>
        <w:rPr>
          <w:rFonts w:ascii="Traditional Arabic" w:hAnsi="Traditional Arabic" w:cs="Traditional Arabic"/>
          <w:sz w:val="30"/>
          <w:szCs w:val="30"/>
          <w:rtl/>
        </w:rPr>
        <w:t xml:space="preserve"> على بعد حوالي 2.5 كم شمال قاعدة البريقة العسكرية التابعه للتحالف-الإمارات العربية المتحدة ، وعلى بعد 10 كم شرق مدينة عدن. شيدت الإمارات العربية المتحدة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وبدأ تشغيله في 12 تشرين الثاني /نوفمبر 2017.</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88"/>
      </w:r>
      <w:r>
        <w:rPr>
          <w:rFonts w:asciiTheme="majorBidi" w:hAnsiTheme="majorBidi"/>
          <w:sz w:val="24"/>
          <w:szCs w:val="24"/>
          <w:rtl/>
        </w:rPr>
        <w:t xml:space="preserve"> </w:t>
      </w:r>
      <w:r>
        <w:rPr>
          <w:rFonts w:ascii="Traditional Arabic" w:hAnsi="Traditional Arabic" w:cs="Traditional Arabic"/>
          <w:sz w:val="30"/>
          <w:szCs w:val="30"/>
          <w:rtl/>
        </w:rPr>
        <w:t>نفذت قوات الحزام الأمني، وغالبًا وحدة مكافحة الإرهاب، جميع عمليات اعتقال المعتقلين المحتجزين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والبريقة ، ومواقع غير الرسمية اخرى في عدن سيتم التطرق لها لاحقاً. كما نفذت كتائب أبو العباس</w:t>
      </w:r>
      <w:r>
        <w:rPr>
          <w:rStyle w:val="FootnoteReference"/>
          <w:rFonts w:asciiTheme="majorBidi" w:hAnsiTheme="majorBidi" w:cstheme="majorBidi"/>
          <w:sz w:val="20"/>
        </w:rPr>
        <w:footnoteReference w:id="289"/>
      </w:r>
      <w:r>
        <w:rPr>
          <w:rFonts w:asciiTheme="majorBidi" w:hAnsiTheme="majorBidi"/>
          <w:sz w:val="24"/>
          <w:szCs w:val="24"/>
          <w:rtl/>
        </w:rPr>
        <w:t xml:space="preserve"> </w:t>
      </w:r>
      <w:r>
        <w:rPr>
          <w:rFonts w:ascii="Traditional Arabic" w:hAnsi="Traditional Arabic" w:cs="Traditional Arabic"/>
          <w:sz w:val="30"/>
          <w:szCs w:val="30"/>
          <w:rtl/>
        </w:rPr>
        <w:t>المدعومة من الإمارات العربية المتحدة وقوات النخبه الشبوانيه والنخبة الحضرميه توقيف معتقلين في المرافق</w:t>
      </w:r>
      <w:r>
        <w:rPr>
          <w:rFonts w:asciiTheme="majorBidi" w:hAnsiTheme="majorBidi" w:cstheme="majorBidi"/>
          <w:sz w:val="24"/>
          <w:szCs w:val="24"/>
        </w:rPr>
        <w:t>.</w:t>
      </w:r>
    </w:p>
    <w:p w14:paraId="4CD415FC" w14:textId="45F3EC7E" w:rsidR="00A27602" w:rsidRDefault="00A27602" w:rsidP="00436C02">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lastRenderedPageBreak/>
        <w:t>في 30 حزيران/ يونيو 2019 ، تم احتجاز حوالي 157 رجلاً وصبيًا في بير أحمد 2. وتم احتجاز معظمهم بصورة تعسفية لفترات تتراوح بين 4 أشهر وسنتين ونصف</w:t>
      </w:r>
      <w:r>
        <w:rPr>
          <w:rStyle w:val="FootnoteReference"/>
          <w:rFonts w:asciiTheme="majorBidi" w:hAnsiTheme="majorBidi" w:cstheme="majorBidi"/>
          <w:sz w:val="20"/>
        </w:rPr>
        <w:footnoteReference w:id="290"/>
      </w:r>
      <w:r>
        <w:rPr>
          <w:rFonts w:asciiTheme="majorBidi" w:hAnsiTheme="majorBidi" w:cstheme="majorBidi"/>
          <w:sz w:val="20"/>
        </w:rPr>
        <w:t xml:space="preserve"> </w:t>
      </w:r>
      <w:r>
        <w:rPr>
          <w:rFonts w:ascii="Traditional Arabic" w:hAnsi="Traditional Arabic" w:cs="Traditional Arabic"/>
          <w:sz w:val="30"/>
          <w:szCs w:val="30"/>
          <w:rtl/>
        </w:rPr>
        <w:t>، بينما اختفى آخرون، الذين كانت المجموعة على علم أنهم كانوا محتجزين هناك سابقًا ، لأكثر من عام</w:t>
      </w:r>
      <w:r>
        <w:rPr>
          <w:rStyle w:val="FootnoteReference"/>
          <w:rFonts w:asciiTheme="majorBidi" w:hAnsiTheme="majorBidi" w:cstheme="majorBidi"/>
          <w:sz w:val="20"/>
        </w:rPr>
        <w:footnoteReference w:id="291"/>
      </w:r>
      <w:r>
        <w:rPr>
          <w:rFonts w:asciiTheme="majorBidi" w:hAnsiTheme="majorBidi"/>
          <w:sz w:val="24"/>
          <w:szCs w:val="24"/>
          <w:rtl/>
        </w:rPr>
        <w:t xml:space="preserve">. </w:t>
      </w:r>
      <w:r>
        <w:rPr>
          <w:rFonts w:ascii="Traditional Arabic" w:hAnsi="Traditional Arabic" w:cs="Traditional Arabic"/>
          <w:sz w:val="30"/>
          <w:szCs w:val="30"/>
          <w:rtl/>
        </w:rPr>
        <w:t>ويشمل المعتقلون البالغ عددهم 157 محتجزًا 65 من المقاتلين الحوثيين السابقين (بما في ذلك 11 صبيا على الأقل) ، والمحتجزين منذ عام 2015 والذين لم يتم توجيه تهم إليهم أو اتهامهم رسمياً كما هو مطلوب بموجب قانون العقوبات العسكري والقانون الدولي. أحبطت الجهود الحكومية الرامية إلى توجيه الاتهامات من قبل أولئك الذين يسيطرون على السجن. لا يزال بعض المقاتلين الحوثيين السابقين محتجزين في قبو تحت الأرض منفصل عن المعتقلين في المنشأة الرئيسية. في عام 2018، وثق الفريق 71 من المقات</w:t>
      </w:r>
      <w:r w:rsidR="00436C02">
        <w:rPr>
          <w:rFonts w:ascii="Traditional Arabic" w:hAnsi="Traditional Arabic" w:cs="Traditional Arabic"/>
          <w:sz w:val="30"/>
          <w:szCs w:val="30"/>
          <w:rtl/>
        </w:rPr>
        <w:t>لين الحوثيين السابقين في المرفق</w:t>
      </w:r>
      <w:r>
        <w:rPr>
          <w:rFonts w:ascii="Traditional Arabic" w:hAnsi="Traditional Arabic" w:cs="Traditional Arabic"/>
          <w:sz w:val="30"/>
          <w:szCs w:val="30"/>
          <w:rtl/>
        </w:rPr>
        <w:t>، وترك ستة في عداد المفقودين</w:t>
      </w:r>
      <w:r>
        <w:rPr>
          <w:rFonts w:ascii="Traditional Arabic" w:hAnsi="Traditional Arabic" w:cs="Traditional Arabic"/>
          <w:sz w:val="30"/>
          <w:szCs w:val="30"/>
        </w:rPr>
        <w:t>.</w:t>
      </w:r>
    </w:p>
    <w:p w14:paraId="7F5C3158" w14:textId="198D87AE" w:rsidR="00A27602" w:rsidRDefault="00A27602" w:rsidP="00B67CA3">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heme="majorBidi" w:hAnsiTheme="majorBidi"/>
          <w:sz w:val="24"/>
          <w:szCs w:val="24"/>
          <w:rtl/>
        </w:rPr>
        <w:t xml:space="preserve"> </w:t>
      </w:r>
      <w:r w:rsidR="00B67CA3">
        <w:rPr>
          <w:rFonts w:ascii="Traditional Arabic" w:hAnsi="Traditional Arabic" w:cs="Traditional Arabic"/>
          <w:sz w:val="30"/>
          <w:szCs w:val="30"/>
          <w:rtl/>
        </w:rPr>
        <w:t>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استمر الحبس الانفرادي وضرب المعتقلين، تعرض للحبس الانفرادي أو النقل إلى البريقه المعتقلين البارزين "المناهضين لدولة الإمارات العربية المتحدة"، بمن فيهم النشطاء وأفراد القوات المسلحة اليمنية</w:t>
      </w:r>
      <w:r>
        <w:rPr>
          <w:rStyle w:val="FootnoteReference"/>
          <w:rFonts w:asciiTheme="majorBidi" w:hAnsiTheme="majorBidi" w:cstheme="majorBidi"/>
          <w:sz w:val="20"/>
        </w:rPr>
        <w:footnoteReference w:id="292"/>
      </w:r>
      <w:r>
        <w:rPr>
          <w:rFonts w:asciiTheme="majorBidi" w:hAnsiTheme="majorBidi"/>
          <w:sz w:val="24"/>
          <w:szCs w:val="24"/>
          <w:rtl/>
        </w:rPr>
        <w:t xml:space="preserve">. </w:t>
      </w:r>
      <w:r>
        <w:rPr>
          <w:rFonts w:ascii="Traditional Arabic" w:hAnsi="Traditional Arabic" w:cs="Traditional Arabic"/>
          <w:sz w:val="30"/>
          <w:szCs w:val="30"/>
          <w:rtl/>
        </w:rPr>
        <w:t>كم</w:t>
      </w:r>
      <w:r w:rsidR="00436C02">
        <w:rPr>
          <w:rFonts w:ascii="Traditional Arabic" w:hAnsi="Traditional Arabic" w:cs="Traditional Arabic"/>
          <w:sz w:val="30"/>
          <w:szCs w:val="30"/>
          <w:rtl/>
        </w:rPr>
        <w:t>ا ورد في تقرير الفريق لعام 2018</w:t>
      </w:r>
      <w:r>
        <w:rPr>
          <w:rFonts w:ascii="Traditional Arabic" w:hAnsi="Traditional Arabic" w:cs="Traditional Arabic"/>
          <w:sz w:val="30"/>
          <w:szCs w:val="30"/>
          <w:rtl/>
        </w:rPr>
        <w:t>، في بير أحمد 2 في تشرين الثاني /نوفمبر إلى مارس 2018، قام أفراد عسكريون من الإمارات العربية المتحدة بتعريه ما يقارب 200 معتقل ووقوفهم عراه أمام بعضهم البعض ونفذوا عمليات بحث عن الهواتف المحمولة. تعرض العديد من المعتقلين للاغتصاب رقمياً (بالاصابع) واغتصابهم بالعصي والأدوات على أيدي الحراس أثناء عمليات التفتيش هذه</w:t>
      </w:r>
      <w:r>
        <w:rPr>
          <w:rFonts w:asciiTheme="majorBidi" w:hAnsiTheme="majorBidi"/>
          <w:sz w:val="24"/>
          <w:szCs w:val="24"/>
          <w:rtl/>
        </w:rPr>
        <w:t>.</w:t>
      </w:r>
      <w:r>
        <w:rPr>
          <w:rFonts w:asciiTheme="majorBidi" w:hAnsiTheme="majorBidi" w:cstheme="majorBidi"/>
          <w:vertAlign w:val="superscript"/>
        </w:rPr>
        <w:t xml:space="preserve"> </w:t>
      </w:r>
      <w:r>
        <w:rPr>
          <w:rFonts w:asciiTheme="majorBidi" w:hAnsiTheme="majorBidi" w:cstheme="majorBidi"/>
          <w:vertAlign w:val="superscript"/>
        </w:rPr>
        <w:footnoteReference w:id="293"/>
      </w:r>
      <w:r>
        <w:rPr>
          <w:rFonts w:asciiTheme="majorBidi" w:hAnsiTheme="majorBidi"/>
          <w:sz w:val="24"/>
          <w:szCs w:val="24"/>
          <w:rtl/>
        </w:rPr>
        <w:t xml:space="preserve"> </w:t>
      </w:r>
      <w:r>
        <w:rPr>
          <w:rFonts w:ascii="Traditional Arabic" w:hAnsi="Traditional Arabic" w:cs="Traditional Arabic"/>
          <w:sz w:val="30"/>
          <w:szCs w:val="30"/>
          <w:rtl/>
        </w:rPr>
        <w:t>في وقت كتابة هذا التقرير، كانت زيارات مرفق الاحتجاز لا تزال محظورة على العائلات للتواصل مع المعتلقين. وقد قوبلت النساء من أقارب المعتقلين الذين تظاهروا ضد هذا الحظر بالعنف</w:t>
      </w:r>
      <w:r>
        <w:rPr>
          <w:rFonts w:asciiTheme="majorBidi" w:hAnsiTheme="majorBidi" w:cstheme="majorBidi"/>
          <w:vertAlign w:val="superscript"/>
        </w:rPr>
        <w:footnoteReference w:id="294"/>
      </w:r>
      <w:r>
        <w:rPr>
          <w:rFonts w:asciiTheme="majorBidi" w:hAnsiTheme="majorBidi" w:cstheme="majorBidi"/>
          <w:vertAlign w:val="superscript"/>
          <w:rtl/>
        </w:rPr>
        <w:t>.</w:t>
      </w:r>
      <w:r>
        <w:rPr>
          <w:rFonts w:ascii="Traditional Arabic" w:hAnsi="Traditional Arabic" w:cs="Traditional Arabic"/>
          <w:sz w:val="30"/>
          <w:szCs w:val="30"/>
          <w:rtl/>
        </w:rPr>
        <w:t xml:space="preserve"> تزامن ذلك مع وصول حراس الحزام الأمني الجدد في آذار/مارس 2019 </w:t>
      </w:r>
      <w:r w:rsidR="00436C02">
        <w:rPr>
          <w:rFonts w:ascii="Traditional Arabic" w:hAnsi="Traditional Arabic" w:cs="Traditional Arabic" w:hint="cs"/>
          <w:sz w:val="30"/>
          <w:szCs w:val="30"/>
          <w:rtl/>
        </w:rPr>
        <w:t>و</w:t>
      </w:r>
      <w:r>
        <w:rPr>
          <w:rFonts w:ascii="Traditional Arabic" w:hAnsi="Traditional Arabic" w:cs="Traditional Arabic"/>
          <w:sz w:val="30"/>
          <w:szCs w:val="30"/>
          <w:rtl/>
        </w:rPr>
        <w:t xml:space="preserve">الذين داهموا </w:t>
      </w:r>
      <w:r w:rsidR="00436C02">
        <w:rPr>
          <w:rFonts w:ascii="Traditional Arabic" w:hAnsi="Traditional Arabic" w:cs="Traditional Arabic" w:hint="cs"/>
          <w:sz w:val="30"/>
          <w:szCs w:val="30"/>
          <w:rtl/>
        </w:rPr>
        <w:t xml:space="preserve">زنزانات </w:t>
      </w:r>
      <w:r>
        <w:rPr>
          <w:rFonts w:ascii="Traditional Arabic" w:hAnsi="Traditional Arabic" w:cs="Traditional Arabic"/>
          <w:sz w:val="30"/>
          <w:szCs w:val="30"/>
          <w:rtl/>
        </w:rPr>
        <w:t>المعتقلين وهاجموهم في أكثر من مناسبة أثناء البحث عن الهواتف المحمولة. إن الوضع الحالي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 بما في ذلك مداهمات قام بها أفراد الحزام الأمني لأسباب مماثلة، وغياب أي إشراف على المنشأة من قبل الحكومة اليمنية يعرض المعتقلين باستمرار لخطر التعذيب بالاضافة الى العنف الجنسي</w:t>
      </w:r>
      <w:r>
        <w:rPr>
          <w:rFonts w:ascii="Traditional Arabic" w:hAnsi="Traditional Arabic" w:cs="Traditional Arabic"/>
          <w:sz w:val="30"/>
          <w:szCs w:val="30"/>
        </w:rPr>
        <w:t>.</w:t>
      </w:r>
    </w:p>
    <w:p w14:paraId="0EDE0425" w14:textId="3EB03884" w:rsidR="00A27602" w:rsidRPr="00686917"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Style w:val="FootnoteReference"/>
          <w:rFonts w:ascii="Traditional Arabic" w:hAnsi="Traditional Arabic" w:cs="Traditional Arabic"/>
          <w:sz w:val="30"/>
          <w:szCs w:val="30"/>
          <w:vertAlign w:val="baseline"/>
        </w:rPr>
      </w:pPr>
      <w:r w:rsidRPr="00686917">
        <w:rPr>
          <w:rFonts w:ascii="Traditional Arabic" w:hAnsi="Traditional Arabic" w:cs="Traditional Arabic"/>
          <w:sz w:val="30"/>
          <w:szCs w:val="30"/>
          <w:rtl/>
        </w:rPr>
        <w:t>في 20 تموز / يوليو 2019 ، أُفرج عن 13 من المعتقلين الـ 157 المذكورين أعلاه المحتجزين في بير أحمد 2. علماً بان المدعي العام قد أمر بالإفراج عن بعضهم قبل ستة أشهر، ظل المحتجزون خلال تلك الفتره  يتعرضون لمعاملة سيئة. وقد ظل هؤلاء المعتقلون محتجزين لأكثر من عام، ويقال إنه في بعض الحالات يصل إلى أربع سنوات</w:t>
      </w:r>
      <w:r w:rsidRPr="00686917">
        <w:rPr>
          <w:rFonts w:asciiTheme="majorBidi" w:hAnsiTheme="majorBidi" w:cstheme="majorBidi"/>
          <w:sz w:val="24"/>
          <w:szCs w:val="24"/>
        </w:rPr>
        <w:t>.</w:t>
      </w:r>
      <w:r w:rsidRPr="00686917">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95"/>
      </w:r>
    </w:p>
    <w:p w14:paraId="7651A6A0" w14:textId="71B98FEE"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tl/>
        </w:rPr>
      </w:pPr>
      <w:r>
        <w:rPr>
          <w:rFonts w:ascii="Traditional Arabic" w:hAnsi="Traditional Arabic" w:cs="Traditional Arabic"/>
          <w:sz w:val="30"/>
          <w:szCs w:val="30"/>
          <w:rtl/>
        </w:rPr>
        <w:t xml:space="preserve">رغم أن الحكومة قد صرحت علانية في بعض الأحيان بأنها تسيطر على المرفق، فقد ذكرت في بعض الأحيان أنها لا تسيطر عليه. وفقًا لأدلة موثوقة، من الواضح أن وزارة الداخلية ووزارة الدفاع والقضاء والمدعي العام ليست لهم سيطرة </w:t>
      </w:r>
      <w:r>
        <w:rPr>
          <w:rFonts w:ascii="Traditional Arabic" w:hAnsi="Traditional Arabic" w:cs="Traditional Arabic"/>
          <w:sz w:val="30"/>
          <w:szCs w:val="30"/>
          <w:rtl/>
        </w:rPr>
        <w:lastRenderedPageBreak/>
        <w:t>فعلية على الاعتقال والإفراج عنهم في بير أحمد الثاني. بدلاً من ذلك، لا يمكن الموافقة على الإفراج إلا من قبل دولة الإمارات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296"/>
      </w:r>
    </w:p>
    <w:p w14:paraId="35724841" w14:textId="77777777" w:rsidR="00A27602" w:rsidRPr="00686917" w:rsidRDefault="00A27602" w:rsidP="00361237">
      <w:pPr>
        <w:pStyle w:val="ListParagraph"/>
        <w:tabs>
          <w:tab w:val="left" w:pos="720"/>
        </w:tabs>
        <w:bidi/>
        <w:spacing w:after="240" w:line="240" w:lineRule="auto"/>
        <w:ind w:left="1494" w:right="1080" w:hanging="855"/>
        <w:jc w:val="both"/>
        <w:rPr>
          <w:rFonts w:ascii="Traditional Arabic" w:hAnsi="Traditional Arabic" w:cs="Traditional Arabic"/>
          <w:b/>
          <w:bCs/>
          <w:sz w:val="30"/>
          <w:szCs w:val="30"/>
          <w:lang w:val="en-GB"/>
        </w:rPr>
      </w:pPr>
      <w:r w:rsidRPr="00686917">
        <w:rPr>
          <w:rFonts w:ascii="Traditional Arabic" w:hAnsi="Traditional Arabic" w:cs="Traditional Arabic"/>
          <w:b/>
          <w:bCs/>
          <w:sz w:val="30"/>
          <w:szCs w:val="30"/>
          <w:rtl/>
          <w:lang w:val="en-GB"/>
        </w:rPr>
        <w:t>ج) منشآت الحزام الأمني غير الرسمية، عدن</w:t>
      </w:r>
    </w:p>
    <w:p w14:paraId="7C4AB077" w14:textId="1A7EE823" w:rsidR="00A27602" w:rsidRDefault="00A27602" w:rsidP="00436C02">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منشأت الحزام الأمني غير الرسمية التي استمرت في العمل حتى وقت كتابة هذا التقرير، تشمل ما يلي: مرفق وحدة مكافحة الإرهاب في قاعة الرقص في وضاح في التواهي؛ مقر إقامة اللواء شلال علي الشايع في جولدمور في التواهي؛ مديرية الأمن وإدارة البحث الجنائي في خور مكسر؛ معسكر الحزام الأمني للواء الأول في معسكر الجلاء بحي البريقة؛ ومخيم 20 في كريتر</w:t>
      </w:r>
      <w:r>
        <w:rPr>
          <w:rStyle w:val="FootnoteReference"/>
          <w:rFonts w:asciiTheme="majorBidi" w:hAnsiTheme="majorBidi" w:cstheme="majorBidi"/>
          <w:sz w:val="20"/>
        </w:rPr>
        <w:footnoteReference w:id="297"/>
      </w:r>
      <w:r>
        <w:rPr>
          <w:rFonts w:asciiTheme="majorBidi" w:hAnsiTheme="majorBidi"/>
          <w:sz w:val="24"/>
          <w:szCs w:val="24"/>
          <w:rtl/>
        </w:rPr>
        <w:t xml:space="preserve">. </w:t>
      </w:r>
      <w:r>
        <w:rPr>
          <w:rFonts w:ascii="Traditional Arabic" w:hAnsi="Traditional Arabic" w:cs="Traditional Arabic"/>
          <w:sz w:val="30"/>
          <w:szCs w:val="30"/>
          <w:rtl/>
        </w:rPr>
        <w:t>مرفق معسكر الحزام الأمني في 7 أكتوبر في زنجبار في أبين الذي لا زال عاملاً</w:t>
      </w:r>
      <w:r>
        <w:rPr>
          <w:rStyle w:val="FootnoteReference"/>
          <w:rFonts w:asciiTheme="majorBidi" w:hAnsiTheme="majorBidi" w:cstheme="majorBidi"/>
          <w:sz w:val="20"/>
        </w:rPr>
        <w:footnoteReference w:id="298"/>
      </w:r>
      <w:r>
        <w:rPr>
          <w:rFonts w:asciiTheme="majorBidi" w:hAnsiTheme="majorBidi"/>
          <w:sz w:val="24"/>
          <w:szCs w:val="24"/>
          <w:rtl/>
        </w:rPr>
        <w:t xml:space="preserve">. </w:t>
      </w:r>
      <w:r>
        <w:rPr>
          <w:rFonts w:ascii="Traditional Arabic" w:hAnsi="Traditional Arabic" w:cs="Traditional Arabic"/>
          <w:sz w:val="30"/>
          <w:szCs w:val="30"/>
          <w:rtl/>
        </w:rPr>
        <w:t>تشمل المرافق الأخرى التي لم يتم الإبلاغ عنها مسبقًا من قبل الفريق نادي الضباط في جزيرة العمال في خور مكسر</w:t>
      </w:r>
      <w:r>
        <w:rPr>
          <w:rFonts w:asciiTheme="majorBidi" w:hAnsiTheme="majorBidi"/>
          <w:sz w:val="24"/>
          <w:szCs w:val="24"/>
          <w:rtl/>
        </w:rPr>
        <w:t xml:space="preserve"> </w:t>
      </w:r>
      <w:r>
        <w:rPr>
          <w:rStyle w:val="FootnoteReference"/>
          <w:rFonts w:asciiTheme="majorBidi" w:hAnsiTheme="majorBidi" w:cstheme="majorBidi"/>
          <w:sz w:val="20"/>
        </w:rPr>
        <w:footnoteReference w:id="299"/>
      </w:r>
      <w:r>
        <w:rPr>
          <w:rFonts w:asciiTheme="majorBidi" w:hAnsiTheme="majorBidi"/>
          <w:sz w:val="24"/>
          <w:szCs w:val="24"/>
          <w:rtl/>
        </w:rPr>
        <w:t>.</w:t>
      </w:r>
      <w:r>
        <w:rPr>
          <w:rFonts w:ascii="Traditional Arabic" w:hAnsi="Traditional Arabic" w:cs="Traditional Arabic"/>
          <w:sz w:val="30"/>
          <w:szCs w:val="30"/>
          <w:rtl/>
        </w:rPr>
        <w:t>ومعسكر اللواء الخامس في الحبيلين في لحج</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00"/>
      </w:r>
    </w:p>
    <w:p w14:paraId="5860B0AD" w14:textId="5D963A91" w:rsidR="00A27602" w:rsidRDefault="00A27602" w:rsidP="00B67CA3">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وفي هذه المرافق، استخدم التعذيب وسوء المعاملة ضد المعتقلين خلال الفترة 2018-2019</w:t>
      </w:r>
      <w:r>
        <w:rPr>
          <w:rFonts w:asciiTheme="majorBidi" w:hAnsiTheme="majorBidi"/>
          <w:sz w:val="24"/>
          <w:szCs w:val="24"/>
          <w:rtl/>
        </w:rPr>
        <w:t>.</w:t>
      </w:r>
      <w:r>
        <w:rPr>
          <w:rStyle w:val="FootnoteReference"/>
          <w:rFonts w:asciiTheme="majorBidi" w:hAnsiTheme="majorBidi" w:cstheme="majorBidi"/>
          <w:sz w:val="20"/>
        </w:rPr>
        <w:footnoteReference w:id="301"/>
      </w:r>
      <w:r>
        <w:rPr>
          <w:rFonts w:asciiTheme="majorBidi" w:hAnsiTheme="majorBidi"/>
          <w:sz w:val="24"/>
          <w:szCs w:val="24"/>
          <w:rtl/>
        </w:rPr>
        <w:t xml:space="preserve"> </w:t>
      </w:r>
      <w:r>
        <w:rPr>
          <w:rFonts w:ascii="Traditional Arabic" w:hAnsi="Traditional Arabic" w:cs="Traditional Arabic"/>
          <w:sz w:val="30"/>
          <w:szCs w:val="30"/>
          <w:rtl/>
        </w:rPr>
        <w:t>ونتيجة للتعذيب ، أصبح أحد المعتقلين مكفوفًا، وتوفي آخر، وأصيب آخرون بأمراض</w:t>
      </w:r>
      <w:r>
        <w:rPr>
          <w:rStyle w:val="FootnoteReference"/>
          <w:rFonts w:asciiTheme="majorBidi" w:hAnsiTheme="majorBidi" w:cstheme="majorBidi"/>
          <w:sz w:val="20"/>
        </w:rPr>
        <w:footnoteReference w:id="302"/>
      </w:r>
      <w:r>
        <w:rPr>
          <w:rFonts w:asciiTheme="majorBidi" w:hAnsiTheme="majorBidi"/>
          <w:sz w:val="24"/>
          <w:szCs w:val="24"/>
          <w:rtl/>
        </w:rPr>
        <w:t xml:space="preserve">. </w:t>
      </w:r>
      <w:r>
        <w:rPr>
          <w:rFonts w:ascii="Traditional Arabic" w:hAnsi="Traditional Arabic" w:cs="Traditional Arabic"/>
          <w:sz w:val="30"/>
          <w:szCs w:val="30"/>
          <w:rtl/>
        </w:rPr>
        <w:t>في بعض الحالات، تم إطلاق سراح المحتجزين بعد تعذيبهم. وفي حالات أخرى ، نُقلوا إلى بريقه أو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w:t>
      </w:r>
      <w:r>
        <w:rPr>
          <w:rFonts w:asciiTheme="majorBidi" w:hAnsiTheme="majorBidi" w:cstheme="majorBidi"/>
          <w:sz w:val="24"/>
          <w:szCs w:val="24"/>
        </w:rPr>
        <w:t>.</w:t>
      </w:r>
      <w:r>
        <w:rPr>
          <w:rStyle w:val="FootnoteReference"/>
          <w:rFonts w:asciiTheme="majorBidi" w:hAnsiTheme="majorBidi" w:cstheme="majorBidi"/>
          <w:sz w:val="20"/>
        </w:rPr>
        <w:footnoteReference w:id="303"/>
      </w:r>
    </w:p>
    <w:p w14:paraId="1066C8F9" w14:textId="77777777" w:rsidR="00A27602" w:rsidRDefault="00A27602" w:rsidP="00870006">
      <w:pPr>
        <w:tabs>
          <w:tab w:val="left" w:pos="720"/>
          <w:tab w:val="left" w:pos="900"/>
        </w:tabs>
        <w:bidi/>
        <w:spacing w:line="240" w:lineRule="auto"/>
        <w:ind w:left="1539" w:right="1080"/>
        <w:jc w:val="right"/>
        <w:rPr>
          <w:rFonts w:asciiTheme="majorBidi" w:hAnsiTheme="majorBidi" w:cstheme="majorBidi"/>
          <w:i/>
          <w:iCs/>
          <w:sz w:val="24"/>
          <w:szCs w:val="24"/>
        </w:rPr>
      </w:pPr>
      <w:r>
        <w:rPr>
          <w:rFonts w:ascii="Traditional Arabic" w:hAnsi="Traditional Arabic" w:cs="Traditional Arabic"/>
          <w:i/>
          <w:iCs/>
          <w:sz w:val="30"/>
          <w:szCs w:val="30"/>
          <w:rtl/>
          <w:lang w:bidi="ar-JO"/>
        </w:rPr>
        <w:t>"</w:t>
      </w:r>
      <w:r>
        <w:rPr>
          <w:rFonts w:ascii="Traditional Arabic" w:hAnsi="Traditional Arabic" w:cs="Traditional Arabic"/>
          <w:i/>
          <w:iCs/>
          <w:sz w:val="30"/>
          <w:szCs w:val="30"/>
          <w:rtl/>
        </w:rPr>
        <w:t>كل يوم كان هناك روتين عشوائي من التعذيب. صعقونا، وأنزلوا علينا الماء البارد ، وجعلونا نزحف بين الأوساخ عارين والحجارة على ظهرنا ، وعلقونا من ذراعينا وساقينا ، وعصبت أعيننا في عمليات إعدام وهمية حيث قالوا لنا أننا على وشك الموت</w:t>
      </w:r>
      <w:r>
        <w:rPr>
          <w:rFonts w:ascii="Traditional Arabic" w:hAnsi="Traditional Arabic" w:cs="Traditional Arabic"/>
          <w:i/>
          <w:iCs/>
          <w:sz w:val="30"/>
          <w:szCs w:val="30"/>
        </w:rPr>
        <w:t>. "</w:t>
      </w:r>
    </w:p>
    <w:p w14:paraId="5238B00E" w14:textId="77777777" w:rsidR="00A27602" w:rsidRDefault="00A27602" w:rsidP="00361237">
      <w:pPr>
        <w:tabs>
          <w:tab w:val="left" w:pos="720"/>
          <w:tab w:val="left" w:pos="900"/>
        </w:tabs>
        <w:bidi/>
        <w:spacing w:after="240" w:line="240" w:lineRule="auto"/>
        <w:ind w:left="5454" w:right="1080" w:firstLine="306"/>
        <w:rPr>
          <w:rFonts w:asciiTheme="majorBidi" w:hAnsiTheme="majorBidi" w:cstheme="majorBidi"/>
          <w:b/>
          <w:bCs/>
          <w:sz w:val="24"/>
          <w:szCs w:val="24"/>
        </w:rPr>
      </w:pPr>
      <w:r>
        <w:rPr>
          <w:rFonts w:ascii="Traditional Arabic" w:hAnsi="Traditional Arabic" w:cs="Traditional Arabic"/>
          <w:b/>
          <w:bCs/>
          <w:sz w:val="30"/>
          <w:szCs w:val="30"/>
          <w:rtl/>
        </w:rPr>
        <w:t>رجل ضحية الاختفاء والتعذيب</w:t>
      </w:r>
      <w:r>
        <w:rPr>
          <w:rStyle w:val="FootnoteReference"/>
          <w:rFonts w:asciiTheme="majorBidi" w:hAnsiTheme="majorBidi" w:cstheme="majorBidi"/>
          <w:b/>
          <w:bCs/>
          <w:sz w:val="20"/>
        </w:rPr>
        <w:footnoteReference w:id="304"/>
      </w:r>
    </w:p>
    <w:p w14:paraId="30AA8F71" w14:textId="77777777" w:rsidR="00870006" w:rsidRDefault="00870006" w:rsidP="00361237">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03B80D15" w14:textId="77777777" w:rsidR="001A1CEE" w:rsidRDefault="001A1CEE">
      <w:pPr>
        <w:suppressAutoHyphens w:val="0"/>
        <w:spacing w:line="240" w:lineRule="auto"/>
        <w:rPr>
          <w:rFonts w:ascii="Traditional Arabic" w:eastAsia="Calibri" w:hAnsi="Traditional Arabic" w:cs="Traditional Arabic"/>
          <w:b/>
          <w:bCs/>
          <w:sz w:val="30"/>
          <w:szCs w:val="30"/>
          <w:rtl/>
        </w:rPr>
      </w:pPr>
      <w:r>
        <w:rPr>
          <w:rFonts w:ascii="Traditional Arabic" w:hAnsi="Traditional Arabic" w:cs="Traditional Arabic"/>
          <w:b/>
          <w:bCs/>
          <w:sz w:val="30"/>
          <w:szCs w:val="30"/>
          <w:rtl/>
        </w:rPr>
        <w:br w:type="page"/>
      </w:r>
    </w:p>
    <w:p w14:paraId="63C6DA62" w14:textId="659AEE62" w:rsidR="00A27602" w:rsidRPr="00121FB4" w:rsidRDefault="00A27602" w:rsidP="00870006">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r w:rsidRPr="00121FB4">
        <w:rPr>
          <w:rFonts w:ascii="Traditional Arabic" w:hAnsi="Traditional Arabic" w:cs="Traditional Arabic"/>
          <w:b/>
          <w:bCs/>
          <w:sz w:val="30"/>
          <w:szCs w:val="30"/>
          <w:rtl/>
          <w:lang w:val="en-GB"/>
        </w:rPr>
        <w:lastRenderedPageBreak/>
        <w:t>د) معتقلات الريان والمنورة ، المكلا ، محافظة حضرموت</w:t>
      </w:r>
    </w:p>
    <w:p w14:paraId="5EB4BE83" w14:textId="6C3ABF55"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يقع مركز اعتقال الريان داخل قاعدة الريان الجوية التابعة للإمارات العربية المتحدة، على بعد 30 كم شرق مدينة المكلا. تقع مدينة المكلا في النصف الجنوبي من محافظة حضرموت، وهي منطقة بالكامل تحت سيطرة الإمارات العربية المتحدة والنخبة الحضرميه. أحدث الادله الاساسيه المتعلقه بالاعتقال التي حصل عليها الفريق يشير إلى أن منشأة الريان لا زالت تعمل  في آب/أغسطس 2018. في تلك المرحلة، كان لا يزال هناك محتجزون، وكان بعضهم هناك لمدة عام وثمانية أشهر من دون توجيه تهم إليهم</w:t>
      </w:r>
      <w:r>
        <w:rPr>
          <w:rStyle w:val="FootnoteReference"/>
          <w:rFonts w:asciiTheme="majorBidi" w:hAnsiTheme="majorBidi" w:cstheme="majorBidi"/>
          <w:sz w:val="20"/>
        </w:rPr>
        <w:footnoteReference w:id="305"/>
      </w:r>
      <w:r>
        <w:rPr>
          <w:rFonts w:asciiTheme="majorBidi" w:hAnsiTheme="majorBidi"/>
          <w:sz w:val="24"/>
          <w:szCs w:val="24"/>
          <w:rtl/>
        </w:rPr>
        <w:t xml:space="preserve">. </w:t>
      </w:r>
      <w:r>
        <w:rPr>
          <w:rFonts w:ascii="Traditional Arabic" w:hAnsi="Traditional Arabic" w:cs="Traditional Arabic"/>
          <w:sz w:val="30"/>
          <w:szCs w:val="30"/>
          <w:rtl/>
        </w:rPr>
        <w:t>هناك أيضًا تقارير عن معتقلين موجودين وغيرهم ممن اختفوا هناك مؤخرًا بحلول نهاية عام 2018 والتي لم يستكمل الفريق تحقيقاته في وقت كتابة هذا التقرير</w:t>
      </w:r>
      <w:r>
        <w:rPr>
          <w:rFonts w:ascii="Traditional Arabic" w:hAnsi="Traditional Arabic" w:cs="Traditional Arabic"/>
          <w:sz w:val="30"/>
          <w:szCs w:val="30"/>
        </w:rPr>
        <w:t>.</w:t>
      </w:r>
    </w:p>
    <w:p w14:paraId="56FD8A6B" w14:textId="56CF6398" w:rsidR="00A27602" w:rsidRPr="00521EC0" w:rsidRDefault="00A27602" w:rsidP="004646FC">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sidRPr="00521EC0">
        <w:rPr>
          <w:rFonts w:ascii="Traditional Arabic" w:hAnsi="Traditional Arabic" w:cs="Traditional Arabic" w:hint="cs"/>
          <w:sz w:val="30"/>
          <w:szCs w:val="30"/>
          <w:rtl/>
        </w:rPr>
        <w:t>يقع سجن المنورة المركزي في مدينة المكلا بمحافظة حضرموت. تم افتتاح المرفق في تشرين الاول/نوفمبر 2017.</w:t>
      </w:r>
      <w:r w:rsidRPr="00521EC0">
        <w:rPr>
          <w:rStyle w:val="FootnoteReference"/>
          <w:rFonts w:ascii="Traditional Arabic" w:hAnsi="Traditional Arabic" w:cs="Traditional Arabic" w:hint="cs"/>
          <w:sz w:val="30"/>
          <w:szCs w:val="30"/>
        </w:rPr>
        <w:t xml:space="preserve"> </w:t>
      </w:r>
      <w:r w:rsidRPr="00521EC0">
        <w:rPr>
          <w:rFonts w:ascii="Traditional Arabic" w:hAnsi="Traditional Arabic" w:cs="Traditional Arabic" w:hint="cs"/>
          <w:sz w:val="30"/>
          <w:szCs w:val="30"/>
          <w:rtl/>
        </w:rPr>
        <w:t>محافظ حضرموت ومدير الأمن، يديران كل من النخبة الحضرميه المدعومة من الإمارات وسجن المنورة المركزي</w:t>
      </w:r>
      <w:r w:rsidRPr="00521EC0">
        <w:rPr>
          <w:rStyle w:val="FootnoteReference"/>
          <w:rFonts w:ascii="Traditional Arabic" w:hAnsi="Traditional Arabic" w:cs="Traditional Arabic" w:hint="cs"/>
          <w:sz w:val="30"/>
          <w:szCs w:val="30"/>
        </w:rPr>
        <w:footnoteReference w:id="306"/>
      </w:r>
      <w:r w:rsidRPr="00521EC0">
        <w:rPr>
          <w:rFonts w:ascii="Traditional Arabic" w:hAnsi="Traditional Arabic" w:cs="Traditional Arabic" w:hint="cs"/>
          <w:sz w:val="30"/>
          <w:szCs w:val="30"/>
          <w:rtl/>
        </w:rPr>
        <w:t xml:space="preserve">. قبل أيار/ مايو 2018، أفاد شهود بأن قوات الإمارات العربية المتحدة احتفظت ببعض السيطرة على المنشأة. حقيقة أنه في </w:t>
      </w:r>
      <w:r w:rsidR="00436C02" w:rsidRPr="00521EC0">
        <w:rPr>
          <w:rFonts w:ascii="Traditional Arabic" w:hAnsi="Traditional Arabic" w:cs="Traditional Arabic" w:hint="cs"/>
          <w:sz w:val="30"/>
          <w:szCs w:val="30"/>
          <w:rtl/>
        </w:rPr>
        <w:t>ال</w:t>
      </w:r>
      <w:r w:rsidRPr="00521EC0">
        <w:rPr>
          <w:rFonts w:ascii="Traditional Arabic" w:hAnsi="Traditional Arabic" w:cs="Traditional Arabic" w:hint="cs"/>
          <w:sz w:val="30"/>
          <w:szCs w:val="30"/>
          <w:rtl/>
        </w:rPr>
        <w:t>عام 2019، بقي المحتجزون في المرفق حتى بعد أن أمر المدعي العام بإطلاق سراحهم، وفي بعض الحالات بعد أكثر من عام، تدعم التقارير التي تفيد بأن المرفق لا يخضع بالكامل لسيطرة الحكومة اليمنية. بالنظر إلى تأثير دولة الإمارات العربية المتحدة على أولئك الذين يسيطرون على المنشأة، يعتقد الفريق أنها</w:t>
      </w:r>
      <w:r w:rsidR="00436C02" w:rsidRPr="00521EC0">
        <w:rPr>
          <w:rFonts w:ascii="Traditional Arabic" w:hAnsi="Traditional Arabic" w:cs="Traditional Arabic" w:hint="cs"/>
          <w:sz w:val="30"/>
          <w:szCs w:val="30"/>
          <w:rtl/>
        </w:rPr>
        <w:t xml:space="preserve"> لا تزال </w:t>
      </w:r>
      <w:r w:rsidRPr="00521EC0">
        <w:rPr>
          <w:rFonts w:ascii="Traditional Arabic" w:hAnsi="Traditional Arabic" w:cs="Traditional Arabic" w:hint="cs"/>
          <w:sz w:val="30"/>
          <w:szCs w:val="30"/>
          <w:rtl/>
        </w:rPr>
        <w:t>تحتفظ ببعض التحكم في المنشأة</w:t>
      </w:r>
      <w:r w:rsidRPr="00521EC0">
        <w:rPr>
          <w:rFonts w:ascii="Traditional Arabic" w:hAnsi="Traditional Arabic" w:cs="Traditional Arabic" w:hint="cs"/>
          <w:sz w:val="30"/>
          <w:szCs w:val="30"/>
        </w:rPr>
        <w:t>.</w:t>
      </w:r>
      <w:r w:rsidRPr="00521EC0">
        <w:rPr>
          <w:rStyle w:val="FootnoteReference"/>
          <w:rFonts w:ascii="Traditional Arabic" w:hAnsi="Traditional Arabic" w:cs="Traditional Arabic" w:hint="cs"/>
          <w:sz w:val="30"/>
          <w:szCs w:val="30"/>
        </w:rPr>
        <w:t xml:space="preserve"> </w:t>
      </w:r>
      <w:r w:rsidRPr="00521EC0">
        <w:rPr>
          <w:rStyle w:val="FootnoteReference"/>
          <w:rFonts w:ascii="Traditional Arabic" w:hAnsi="Traditional Arabic" w:cs="Traditional Arabic" w:hint="cs"/>
          <w:sz w:val="30"/>
          <w:szCs w:val="30"/>
        </w:rPr>
        <w:footnoteReference w:id="307"/>
      </w:r>
    </w:p>
    <w:p w14:paraId="57B41B1D" w14:textId="2C519138" w:rsidR="00A27602" w:rsidRDefault="00A27602" w:rsidP="004646FC">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في نيسان / أبريل 2019، استمرت النخبة الحضرمية في احتجاز الأفراد بصورة تعسفية، بمن فيهم بعض الصبية لا تتجاوز أعمارهم 16 عامًا والذين يُعتقد أنهم معارضون لدولة الإمارات العربية المتحدة. يقال ان هناك ما يقارب 120 محتجزًا بمن فيهم نشطاء حقوق الإنسان  نُقلوا إلى سجن المنورة المركزي من الريان والذين ظلوا محتجزين لمدة تصل إلى ثلاث سنوات دون تهمة أو محاكمة</w:t>
      </w:r>
      <w:r w:rsidR="00121FB4">
        <w:rPr>
          <w:rStyle w:val="FootnoteReference"/>
          <w:rFonts w:cs="Traditional Arabic"/>
          <w:szCs w:val="30"/>
          <w:rtl/>
        </w:rPr>
        <w:footnoteReference w:id="308"/>
      </w:r>
      <w:r>
        <w:rPr>
          <w:rFonts w:asciiTheme="majorBidi" w:hAnsiTheme="majorBidi" w:cstheme="majorBidi"/>
          <w:sz w:val="24"/>
          <w:szCs w:val="24"/>
        </w:rPr>
        <w:t>.</w:t>
      </w:r>
    </w:p>
    <w:p w14:paraId="3381051F" w14:textId="62DFB264" w:rsidR="00A27602" w:rsidRDefault="00A27602" w:rsidP="00403084">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لم يتلق الفريق تقارير عن سوء المعاملة أو التعذيب في سجن المنورة. تم السماح بالزيارة والاتصال بشكل منتظم. بالإضافة إلى ذلك، فإن نقل بعض المعتقلين من الريان إلى المنشأة الحكومية الرسمية في المنورة لمقاضاتهم ، والبعض الآخر إلى المرافق المحلية ، وقبول بعض قرارات المدعي العام ، هي تطورات إيجابية</w:t>
      </w:r>
      <w:r>
        <w:rPr>
          <w:rFonts w:ascii="Traditional Arabic" w:hAnsi="Traditional Arabic" w:cs="Traditional Arabic"/>
          <w:sz w:val="30"/>
          <w:szCs w:val="30"/>
        </w:rPr>
        <w:t>.</w:t>
      </w:r>
    </w:p>
    <w:p w14:paraId="6D509E08" w14:textId="77777777" w:rsidR="009300E4" w:rsidRDefault="009300E4" w:rsidP="00870006">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365F5CDD" w14:textId="77777777" w:rsidR="009300E4" w:rsidRDefault="009300E4"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GB"/>
        </w:rPr>
      </w:pPr>
    </w:p>
    <w:p w14:paraId="77AE4B14" w14:textId="25BF48FA" w:rsidR="00A27602" w:rsidRPr="00121FB4" w:rsidRDefault="00A27602" w:rsidP="009300E4">
      <w:pPr>
        <w:pStyle w:val="ListParagraph"/>
        <w:tabs>
          <w:tab w:val="left" w:pos="720"/>
        </w:tabs>
        <w:bidi/>
        <w:spacing w:after="240" w:line="240" w:lineRule="auto"/>
        <w:ind w:left="1494" w:right="1080" w:hanging="765"/>
        <w:jc w:val="both"/>
        <w:rPr>
          <w:rFonts w:asciiTheme="majorBidi" w:hAnsiTheme="majorBidi" w:cstheme="majorBidi"/>
          <w:b/>
          <w:bCs/>
          <w:sz w:val="24"/>
          <w:szCs w:val="24"/>
          <w:lang w:val="en-GB"/>
        </w:rPr>
      </w:pPr>
      <w:r w:rsidRPr="00121FB4">
        <w:rPr>
          <w:rFonts w:ascii="Traditional Arabic" w:hAnsi="Traditional Arabic" w:cs="Traditional Arabic"/>
          <w:b/>
          <w:bCs/>
          <w:sz w:val="30"/>
          <w:szCs w:val="30"/>
          <w:rtl/>
          <w:lang w:val="en-GB"/>
        </w:rPr>
        <w:t>هـ) معسكر لواء الشهداء ، ومخيم الحوطة وعزان ، وقاعدة التحالف بلحاف ، شبوة</w:t>
      </w:r>
    </w:p>
    <w:p w14:paraId="74832FC7" w14:textId="17836089"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lastRenderedPageBreak/>
        <w:t>تسيطر قوات النخبة الشبوانيه على مرافق الاعتقال في معسكر لواء الشهداء في عتق</w:t>
      </w:r>
      <w:r>
        <w:rPr>
          <w:rStyle w:val="FootnoteReference"/>
          <w:rFonts w:asciiTheme="majorBidi" w:hAnsiTheme="majorBidi" w:cstheme="majorBidi"/>
          <w:bCs/>
          <w:sz w:val="20"/>
        </w:rPr>
        <w:footnoteReference w:id="309"/>
      </w:r>
      <w:r>
        <w:rPr>
          <w:rFonts w:asciiTheme="majorBidi" w:hAnsiTheme="majorBidi"/>
          <w:sz w:val="24"/>
          <w:szCs w:val="24"/>
          <w:rtl/>
        </w:rPr>
        <w:t xml:space="preserve">، </w:t>
      </w:r>
      <w:r>
        <w:rPr>
          <w:rFonts w:ascii="Traditional Arabic" w:hAnsi="Traditional Arabic" w:cs="Traditional Arabic"/>
          <w:sz w:val="30"/>
          <w:szCs w:val="30"/>
          <w:rtl/>
        </w:rPr>
        <w:t>وفي مخيم الحوطة على بعد 5 كم شمال عزان</w:t>
      </w:r>
      <w:r>
        <w:rPr>
          <w:rStyle w:val="FootnoteReference"/>
          <w:rFonts w:asciiTheme="majorBidi" w:hAnsiTheme="majorBidi" w:cstheme="majorBidi"/>
          <w:bCs/>
          <w:sz w:val="20"/>
        </w:rPr>
        <w:footnoteReference w:id="310"/>
      </w:r>
      <w:r>
        <w:rPr>
          <w:rFonts w:asciiTheme="majorBidi" w:hAnsiTheme="majorBidi"/>
          <w:sz w:val="24"/>
          <w:szCs w:val="24"/>
          <w:rtl/>
        </w:rPr>
        <w:t xml:space="preserve">. </w:t>
      </w:r>
      <w:r>
        <w:rPr>
          <w:rFonts w:ascii="Traditional Arabic" w:hAnsi="Traditional Arabic" w:cs="Traditional Arabic"/>
          <w:sz w:val="30"/>
          <w:szCs w:val="30"/>
          <w:rtl/>
        </w:rPr>
        <w:t>وقد استخدموا أيضًا مواقع مخصصة أخرى للاعتقال، بما في ذلك معسكر سيفين-وان الواقع بالقرب من عزان. معسكر لواء الشهداء هو مقر نخبة شبوة ، ومخيم الحوطة هو مقرهم في المناطق الجنوبية الشرقية من شبوة. في جميع الحالات التي حقق فيها الفريق أو أبلغ عنها ، أجرت قوات النخبه الشبوانيه الاعتقالات وكان الحراس في هذه المنشآت. في شبوة ، يوجد أيضًا مرفق اعتقال في قاعدة التحالف بلحاف التي تسيطر عليها الإمارات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1"/>
      </w:r>
    </w:p>
    <w:p w14:paraId="67CCECB0" w14:textId="06509A6D"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معسكر لواء الشهداء هو كلية سابقة تم تغيير الغايه من استخدامها. تم احتجاز المعتقلين هناك في مبنى من طابق واحد على مشارف الكلية وهي عباره عن مستودع معدني. تم احتجاز 5 إلى 7 معتقلين في كل غرفة في عدة غرف</w:t>
      </w:r>
      <w:r>
        <w:rPr>
          <w:rStyle w:val="FootnoteReference"/>
          <w:rFonts w:asciiTheme="majorBidi" w:hAnsiTheme="majorBidi" w:cstheme="majorBidi"/>
          <w:bCs/>
          <w:sz w:val="20"/>
        </w:rPr>
        <w:footnoteReference w:id="312"/>
      </w:r>
      <w:r>
        <w:rPr>
          <w:rFonts w:asciiTheme="majorBidi" w:hAnsiTheme="majorBidi"/>
          <w:sz w:val="24"/>
          <w:szCs w:val="24"/>
          <w:rtl/>
        </w:rPr>
        <w:t xml:space="preserve">. </w:t>
      </w:r>
      <w:r>
        <w:rPr>
          <w:rFonts w:ascii="Traditional Arabic" w:hAnsi="Traditional Arabic" w:cs="Traditional Arabic"/>
          <w:sz w:val="30"/>
          <w:szCs w:val="30"/>
          <w:rtl/>
        </w:rPr>
        <w:t>عدد المعتقلين في معسكرات الشهد</w:t>
      </w:r>
      <w:r w:rsidR="00870006">
        <w:rPr>
          <w:rFonts w:ascii="Traditional Arabic" w:hAnsi="Traditional Arabic" w:cs="Traditional Arabic"/>
          <w:sz w:val="30"/>
          <w:szCs w:val="30"/>
          <w:rtl/>
        </w:rPr>
        <w:t>اء وعزان غير معروف. في عام 2019</w:t>
      </w:r>
      <w:r>
        <w:rPr>
          <w:rFonts w:ascii="Traditional Arabic" w:hAnsi="Traditional Arabic" w:cs="Traditional Arabic"/>
          <w:sz w:val="30"/>
          <w:szCs w:val="30"/>
          <w:rtl/>
        </w:rPr>
        <w:t>، احتُجز أحد المعتقلين في معسكر عزان الحوطة في حاوية معدنية وقد رأى معتقلين آخرين في مكان قريب</w:t>
      </w:r>
      <w:r>
        <w:rPr>
          <w:rStyle w:val="FootnoteReference"/>
          <w:rFonts w:asciiTheme="majorBidi" w:hAnsiTheme="majorBidi" w:cstheme="majorBidi"/>
          <w:bCs/>
          <w:sz w:val="20"/>
        </w:rPr>
        <w:footnoteReference w:id="313"/>
      </w:r>
      <w:r>
        <w:rPr>
          <w:rFonts w:asciiTheme="majorBidi" w:hAnsiTheme="majorBidi" w:cstheme="majorBidi"/>
          <w:sz w:val="24"/>
          <w:szCs w:val="24"/>
        </w:rPr>
        <w:t>.</w:t>
      </w:r>
    </w:p>
    <w:p w14:paraId="3BA0FE78" w14:textId="2DA74740" w:rsid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المعتقلين يتم اعتقالهم من قبل النخبة الشبوانية ويتم اقتيادهم إلى هذه المعسكرات حيث يمكثوا لمدة قد تصل إلى أسبوعين  قبل ان يتم الإفراج عنهم أو الوفاة في الحجز أو نقلهم إلى قاعدة التحالف بلحاف أو سجن المكلا المركزي أو مرافق في عدن</w:t>
      </w:r>
      <w:r>
        <w:rPr>
          <w:rStyle w:val="FootnoteReference"/>
          <w:rFonts w:asciiTheme="majorBidi" w:hAnsiTheme="majorBidi" w:cstheme="majorBidi"/>
          <w:bCs/>
          <w:sz w:val="20"/>
        </w:rPr>
        <w:footnoteReference w:id="314"/>
      </w:r>
      <w:r>
        <w:rPr>
          <w:rFonts w:asciiTheme="majorBidi" w:hAnsiTheme="majorBidi"/>
          <w:sz w:val="24"/>
          <w:szCs w:val="24"/>
          <w:rtl/>
        </w:rPr>
        <w:t xml:space="preserve">. </w:t>
      </w:r>
      <w:r>
        <w:rPr>
          <w:rFonts w:ascii="Traditional Arabic" w:hAnsi="Traditional Arabic" w:cs="Traditional Arabic"/>
          <w:sz w:val="30"/>
          <w:szCs w:val="30"/>
          <w:rtl/>
        </w:rPr>
        <w:t>اختفى المعتقلون المنقولون لفترات طويلة من الاحتجاز لمدة تتراوح بين عام ونصف وعامين</w:t>
      </w:r>
      <w:r>
        <w:rPr>
          <w:rStyle w:val="FootnoteReference"/>
          <w:rFonts w:asciiTheme="majorBidi" w:hAnsiTheme="majorBidi" w:cstheme="majorBidi"/>
          <w:bCs/>
          <w:sz w:val="20"/>
        </w:rPr>
        <w:footnoteReference w:id="315"/>
      </w:r>
      <w:r>
        <w:rPr>
          <w:rFonts w:asciiTheme="majorBidi" w:hAnsiTheme="majorBidi"/>
          <w:sz w:val="24"/>
          <w:szCs w:val="24"/>
          <w:rtl/>
        </w:rPr>
        <w:t xml:space="preserve">. </w:t>
      </w:r>
      <w:r>
        <w:rPr>
          <w:rFonts w:ascii="Traditional Arabic" w:hAnsi="Traditional Arabic" w:cs="Traditional Arabic"/>
          <w:sz w:val="30"/>
          <w:szCs w:val="30"/>
          <w:rtl/>
        </w:rPr>
        <w:t>وفي جميع الحالات ، احتُجزوا بمعزل عن العالم الخارجي ، ودون تهمة رسمية أو إجراءات قانونية. وكان من بين المعتقلين أولئك الذين انتقدوا الإمارات العربية المتحدة والمجلس الانتقالي الجنوبي علانيةً ، والذين لهم صلات واضحة بقطر ، وغيرهم بناءً على المظالم المحلية مع النخبة الشبوانية. تعرض المعتقلون للتعذيب داخل معسكرات النخبة الشبوانية وخارجها من خلال الضرب بالكابلات والبنادق، والحرق، وفي حالتين مات المعتقلون بعد تعذيبهم وأصيبوا بجروح خطيرة في الحجز</w:t>
      </w:r>
      <w:r>
        <w:rPr>
          <w:rStyle w:val="FootnoteReference"/>
          <w:rFonts w:asciiTheme="majorBidi" w:hAnsiTheme="majorBidi" w:cstheme="majorBidi"/>
          <w:bCs/>
          <w:sz w:val="20"/>
        </w:rPr>
        <w:footnoteReference w:id="316"/>
      </w:r>
      <w:r>
        <w:rPr>
          <w:rFonts w:asciiTheme="majorBidi" w:hAnsiTheme="majorBidi" w:cstheme="majorBidi"/>
          <w:sz w:val="24"/>
          <w:szCs w:val="24"/>
        </w:rPr>
        <w:t>.</w:t>
      </w:r>
    </w:p>
    <w:p w14:paraId="2A4F15F7" w14:textId="4F76ADE0" w:rsidR="00A27602" w:rsidRPr="00121FB4" w:rsidRDefault="00A27602" w:rsidP="00436C02">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GB"/>
        </w:rPr>
      </w:pPr>
      <w:r w:rsidRPr="00121FB4">
        <w:rPr>
          <w:rFonts w:ascii="Traditional Arabic" w:hAnsi="Traditional Arabic" w:cs="Traditional Arabic"/>
          <w:b/>
          <w:bCs/>
          <w:sz w:val="30"/>
          <w:szCs w:val="30"/>
          <w:rtl/>
          <w:lang w:val="en-GB"/>
        </w:rPr>
        <w:t>و) معتقل الطين، سيئون</w:t>
      </w:r>
    </w:p>
    <w:p w14:paraId="370A6C70" w14:textId="1830E41F" w:rsidR="00A27602" w:rsidRDefault="00A27602" w:rsidP="00361237">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مركز احتجاز الطين هو مرفق سري صغير يقع جنوب مدينة سيئون داخل مقر القوات المسلحة اليمنية في المنطقة العسكرية الأولى</w:t>
      </w:r>
      <w:r>
        <w:rPr>
          <w:rStyle w:val="FootnoteReference"/>
          <w:rFonts w:asciiTheme="majorBidi" w:hAnsiTheme="majorBidi" w:cstheme="majorBidi"/>
          <w:sz w:val="20"/>
        </w:rPr>
        <w:footnoteReference w:id="317"/>
      </w:r>
      <w:r>
        <w:rPr>
          <w:rFonts w:asciiTheme="majorBidi" w:hAnsiTheme="majorBidi"/>
          <w:sz w:val="24"/>
          <w:szCs w:val="24"/>
          <w:rtl/>
        </w:rPr>
        <w:t xml:space="preserve">. </w:t>
      </w:r>
      <w:r>
        <w:rPr>
          <w:rFonts w:ascii="Traditional Arabic" w:hAnsi="Traditional Arabic" w:cs="Traditional Arabic"/>
          <w:sz w:val="30"/>
          <w:szCs w:val="30"/>
          <w:rtl/>
        </w:rPr>
        <w:t>يقع على بعد 50 مترًا إلى الشرق من السجن العسكري الأكبر، والذي يقع أيضًا داخل مقر المنطقة العسكرية الأولى</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8"/>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كان الطين في السابق سجنا قديما قبل أن يتم التخلي عنه عام 2006 لصالح السجن العسكري. في عام 2016 ، أعادت المملكة العربية السعودية </w:t>
      </w:r>
      <w:r>
        <w:rPr>
          <w:rFonts w:ascii="Traditional Arabic" w:hAnsi="Traditional Arabic" w:cs="Traditional Arabic"/>
          <w:sz w:val="30"/>
          <w:szCs w:val="30"/>
          <w:rtl/>
        </w:rPr>
        <w:lastRenderedPageBreak/>
        <w:t>إنشاء معتقل الطين ، وبعد ذلك تم بناء جدار يفصله عن السجن العسكري</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19"/>
      </w:r>
      <w:r>
        <w:rPr>
          <w:rFonts w:asciiTheme="majorBidi" w:hAnsiTheme="majorBidi"/>
          <w:sz w:val="24"/>
          <w:szCs w:val="24"/>
          <w:rtl/>
        </w:rPr>
        <w:t xml:space="preserve"> </w:t>
      </w:r>
      <w:r>
        <w:rPr>
          <w:rFonts w:ascii="Traditional Arabic" w:hAnsi="Traditional Arabic" w:cs="Traditional Arabic"/>
          <w:sz w:val="30"/>
          <w:szCs w:val="30"/>
          <w:rtl/>
        </w:rPr>
        <w:t>تقع هذه المنشآت في النصف الشمالي من محافظة حضرموت، وهي منطقة تقع بالكامل تحت سيطرة الحكومة والقوات المسلحة السعودية. الرسم البياني أدناه للمنشأة بني على  أدلة موثوقة وتحليل صور الأقمار الصناعية</w:t>
      </w:r>
      <w:r w:rsidR="00121FB4">
        <w:rPr>
          <w:rStyle w:val="FootnoteReference"/>
          <w:rFonts w:cs="Traditional Arabic"/>
          <w:szCs w:val="30"/>
          <w:rtl/>
        </w:rPr>
        <w:footnoteReference w:id="320"/>
      </w:r>
      <w:r>
        <w:rPr>
          <w:rFonts w:ascii="Traditional Arabic" w:hAnsi="Traditional Arabic" w:cs="Traditional Arabic"/>
          <w:sz w:val="30"/>
          <w:szCs w:val="30"/>
        </w:rPr>
        <w:t>.</w:t>
      </w:r>
    </w:p>
    <w:p w14:paraId="56E19DF7" w14:textId="1CE528D2" w:rsidR="00A27602" w:rsidRDefault="00A27602" w:rsidP="00361237">
      <w:pPr>
        <w:pStyle w:val="ListParagraph"/>
        <w:tabs>
          <w:tab w:val="left" w:pos="630"/>
          <w:tab w:val="left" w:pos="720"/>
          <w:tab w:val="left" w:pos="900"/>
        </w:tabs>
        <w:bidi/>
        <w:spacing w:after="240" w:line="240" w:lineRule="auto"/>
        <w:ind w:left="1134" w:right="1080"/>
        <w:jc w:val="both"/>
        <w:rPr>
          <w:rFonts w:asciiTheme="majorBidi" w:hAnsiTheme="majorBidi" w:cstheme="majorBidi"/>
          <w:sz w:val="24"/>
          <w:szCs w:val="24"/>
        </w:rPr>
      </w:pPr>
      <w:r>
        <w:rPr>
          <w:rFonts w:asciiTheme="majorBidi" w:hAnsiTheme="majorBidi" w:cstheme="majorBidi"/>
          <w:bCs/>
          <w:sz w:val="24"/>
          <w:szCs w:val="24"/>
          <w:lang w:val="en-GB"/>
        </w:rPr>
        <w:t xml:space="preserve"> </w:t>
      </w:r>
      <w:r w:rsidR="00121FB4">
        <w:rPr>
          <w:rFonts w:asciiTheme="majorBidi" w:hAnsiTheme="majorBidi" w:cstheme="majorBidi"/>
          <w:bCs/>
          <w:noProof/>
          <w:sz w:val="24"/>
          <w:szCs w:val="24"/>
          <w:lang w:val="en-GB" w:eastAsia="en-GB"/>
        </w:rPr>
        <w:drawing>
          <wp:inline distT="0" distB="0" distL="0" distR="0" wp14:anchorId="7D6A7E2E" wp14:editId="1DF5E821">
            <wp:extent cx="4886509" cy="3672659"/>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96095" cy="3679864"/>
                    </a:xfrm>
                    <a:prstGeom prst="rect">
                      <a:avLst/>
                    </a:prstGeom>
                    <a:noFill/>
                  </pic:spPr>
                </pic:pic>
              </a:graphicData>
            </a:graphic>
          </wp:inline>
        </w:drawing>
      </w:r>
    </w:p>
    <w:p w14:paraId="2875F362" w14:textId="7F1542BE" w:rsidR="00A27602" w:rsidRDefault="00A27602" w:rsidP="00403084">
      <w:pPr>
        <w:pStyle w:val="Footer"/>
        <w:numPr>
          <w:ilvl w:val="0"/>
          <w:numId w:val="3"/>
        </w:numPr>
        <w:tabs>
          <w:tab w:val="left" w:pos="720"/>
          <w:tab w:val="left" w:pos="1134"/>
          <w:tab w:val="left" w:pos="1701"/>
        </w:tabs>
        <w:bidi/>
        <w:spacing w:after="12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أوقفت القوات المسلحة اليمنية التابعه للمنطقة العسكرية الأولى جميع المعتقلين في الطين. تم نقل بعض المعتقلين إلى معتقل الطين من قاعدة القطن العسكرية التابعة للقوات المسلحة اليمنية والتي تقع على بعد 45 كم غرب سيئون. الحراس في كلا المرفقين هم شرطة عسكرية من منتسبي المنطقة العسكرية الأولى</w:t>
      </w:r>
      <w:r w:rsidRPr="001D3023">
        <w:rPr>
          <w:rFonts w:ascii="Traditional Arabic" w:hAnsi="Traditional Arabic" w:cs="Traditional Arabic"/>
          <w:sz w:val="22"/>
          <w:szCs w:val="22"/>
          <w:vertAlign w:val="superscript"/>
        </w:rPr>
        <w:footnoteReference w:id="321"/>
      </w:r>
      <w:r>
        <w:rPr>
          <w:rFonts w:ascii="Traditional Arabic" w:hAnsi="Traditional Arabic" w:cs="Traditional Arabic"/>
          <w:sz w:val="30"/>
          <w:szCs w:val="30"/>
          <w:rtl/>
        </w:rPr>
        <w:t>. في الطين، شوهد المسؤولون عن الاستجواب والتعذيب على أنهم مزيج من ضباط الاستخبارات السعودية والحكومة اليمنية، وفهمهم الشهود على أنهم تحت إشراف الموظفين السعوديين</w:t>
      </w:r>
      <w:r>
        <w:rPr>
          <w:rStyle w:val="FootnoteReference"/>
          <w:rFonts w:asciiTheme="majorBidi" w:hAnsiTheme="majorBidi" w:cstheme="majorBidi"/>
          <w:sz w:val="20"/>
        </w:rPr>
        <w:footnoteReference w:id="322"/>
      </w:r>
      <w:r>
        <w:rPr>
          <w:rFonts w:asciiTheme="majorBidi" w:hAnsiTheme="majorBidi"/>
          <w:sz w:val="24"/>
          <w:szCs w:val="24"/>
          <w:rtl/>
        </w:rPr>
        <w:t xml:space="preserve">. </w:t>
      </w:r>
      <w:r>
        <w:rPr>
          <w:rFonts w:ascii="Traditional Arabic" w:hAnsi="Traditional Arabic" w:cs="Traditional Arabic"/>
          <w:sz w:val="30"/>
          <w:szCs w:val="30"/>
          <w:rtl/>
        </w:rPr>
        <w:t>كان للأفراد العسكريين التابعين للحكومة اليمنية الوصول إلى السجن العسكري ولكن ليس معتقل الطين</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3"/>
      </w:r>
      <w:r>
        <w:rPr>
          <w:rFonts w:asciiTheme="majorBidi" w:hAnsiTheme="majorBidi"/>
          <w:sz w:val="24"/>
          <w:szCs w:val="24"/>
          <w:rtl/>
        </w:rPr>
        <w:t xml:space="preserve"> </w:t>
      </w:r>
      <w:r>
        <w:rPr>
          <w:rFonts w:ascii="Traditional Arabic" w:hAnsi="Traditional Arabic" w:cs="Traditional Arabic"/>
          <w:sz w:val="30"/>
          <w:szCs w:val="30"/>
          <w:rtl/>
        </w:rPr>
        <w:t>في جميع الحالات التي حقق فيها الفريق، أوضحت القوات السعودية وسلطات الحكومة اليمنية من المنطقة العسكرية الأولى للشهود أن لديهم مستوى من السيطرة المشتركة على الإفراج عنهم</w:t>
      </w:r>
      <w:r>
        <w:rPr>
          <w:rFonts w:ascii="Traditional Arabic" w:hAnsi="Traditional Arabic" w:cs="Traditional Arabic"/>
          <w:sz w:val="30"/>
          <w:szCs w:val="30"/>
        </w:rPr>
        <w:t>.</w:t>
      </w:r>
    </w:p>
    <w:p w14:paraId="5006CA98" w14:textId="1DC2D7EA"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 xml:space="preserve">من المفهوم أن معتقل الطين لديه القدرة على استيعاب حوالي 20 شخصًا. وثق الفريق المعتقلين المحتجزين هناك على أنهم رجال بشكل أساسي ، لكنه يدرك </w:t>
      </w:r>
      <w:r>
        <w:rPr>
          <w:rFonts w:ascii="Traditional Arabic" w:hAnsi="Traditional Arabic" w:cs="Traditional Arabic"/>
          <w:sz w:val="30"/>
          <w:szCs w:val="30"/>
          <w:rtl/>
        </w:rPr>
        <w:lastRenderedPageBreak/>
        <w:t>أيضًا أن فتيانًا لا تتجاوز أعمارهم 15 عامًا كانوا محتجزين في المرفق</w:t>
      </w:r>
      <w:r>
        <w:rPr>
          <w:rStyle w:val="FootnoteReference"/>
          <w:rFonts w:asciiTheme="majorBidi" w:hAnsiTheme="majorBidi" w:cstheme="majorBidi"/>
          <w:sz w:val="20"/>
        </w:rPr>
        <w:footnoteReference w:id="324"/>
      </w:r>
      <w:r>
        <w:rPr>
          <w:rFonts w:asciiTheme="majorBidi" w:hAnsiTheme="majorBidi"/>
          <w:sz w:val="24"/>
          <w:szCs w:val="24"/>
          <w:rtl/>
        </w:rPr>
        <w:t xml:space="preserve">. </w:t>
      </w:r>
      <w:r>
        <w:rPr>
          <w:rFonts w:ascii="Traditional Arabic" w:hAnsi="Traditional Arabic" w:cs="Traditional Arabic"/>
          <w:sz w:val="30"/>
          <w:szCs w:val="30"/>
          <w:rtl/>
        </w:rPr>
        <w:t>المعتقلون في الطين منفصلون عن سكان السجن العسكري ، لكن هناك بعض التبادل بين الاثنين. تم احتجاز ما لا يقل عن 12 محتجزًا في الطين لمدة تصل إلى ثلاث سنوات</w:t>
      </w:r>
      <w:r>
        <w:rPr>
          <w:rStyle w:val="FootnoteReference"/>
          <w:rFonts w:asciiTheme="majorBidi" w:hAnsiTheme="majorBidi" w:cstheme="majorBidi"/>
          <w:sz w:val="20"/>
        </w:rPr>
        <w:footnoteReference w:id="325"/>
      </w:r>
      <w:r>
        <w:rPr>
          <w:rFonts w:asciiTheme="majorBidi" w:hAnsiTheme="majorBidi"/>
          <w:sz w:val="24"/>
          <w:szCs w:val="24"/>
          <w:rtl/>
        </w:rPr>
        <w:t xml:space="preserve">. </w:t>
      </w:r>
      <w:r>
        <w:rPr>
          <w:rFonts w:ascii="Traditional Arabic" w:hAnsi="Traditional Arabic" w:cs="Traditional Arabic"/>
          <w:sz w:val="30"/>
          <w:szCs w:val="30"/>
          <w:rtl/>
        </w:rPr>
        <w:t>في الطين، احتُجز المعتقلون في الحبس الانفرادي أو اثنين في غرفة واحدة تلو الأخرى التي أشار إليها الحراس باسم "غرفة الضغط"</w:t>
      </w:r>
      <w:r>
        <w:rPr>
          <w:rStyle w:val="FootnoteReference"/>
          <w:rFonts w:asciiTheme="majorBidi" w:hAnsiTheme="majorBidi" w:cstheme="majorBidi"/>
          <w:sz w:val="20"/>
        </w:rPr>
        <w:footnoteReference w:id="326"/>
      </w:r>
      <w:r>
        <w:rPr>
          <w:rFonts w:asciiTheme="majorBidi" w:hAnsiTheme="majorBidi"/>
          <w:sz w:val="24"/>
          <w:szCs w:val="24"/>
          <w:rtl/>
        </w:rPr>
        <w:t xml:space="preserve">. </w:t>
      </w:r>
      <w:r>
        <w:rPr>
          <w:rFonts w:ascii="Traditional Arabic" w:hAnsi="Traditional Arabic" w:cs="Traditional Arabic"/>
          <w:sz w:val="30"/>
          <w:szCs w:val="30"/>
          <w:rtl/>
        </w:rPr>
        <w:t xml:space="preserve">وتعرض جميع المعتقلين لما وصفوه بأنه روتين تعذيب عشوائي على ما يبدو داخل الغرف. وعلى أرض المنشأة ، بما في ذلك العري القسري أثناء الزحف </w:t>
      </w:r>
      <w:r w:rsidR="001D3023">
        <w:rPr>
          <w:rFonts w:ascii="Traditional Arabic" w:hAnsi="Traditional Arabic" w:cs="Traditional Arabic"/>
          <w:sz w:val="30"/>
          <w:szCs w:val="30"/>
          <w:rtl/>
        </w:rPr>
        <w:t>عبر الأوساخ والحجارة على ظهورهم</w:t>
      </w:r>
      <w:r>
        <w:rPr>
          <w:rFonts w:ascii="Traditional Arabic" w:hAnsi="Traditional Arabic" w:cs="Traditional Arabic"/>
          <w:sz w:val="30"/>
          <w:szCs w:val="30"/>
          <w:rtl/>
        </w:rPr>
        <w:t>، والضرب بالبنادق والعصي، والصعق بالكهرباء، والإعدام الوهمي، والتعليق المطول من السقف بأذرعهم.</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7"/>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تم استجوابهم واتُهموا بالانتماء إلى تنظيم القاعدة في جزيرة العرب، لكن في كثير من الأحيان لم يكن التعذيب مصحوبًا بأي استجواب من هذا القبيل</w:t>
      </w:r>
      <w:r>
        <w:rPr>
          <w:rStyle w:val="FootnoteReference"/>
          <w:rFonts w:asciiTheme="majorBidi" w:hAnsiTheme="majorBidi" w:cstheme="majorBidi"/>
          <w:sz w:val="20"/>
        </w:rPr>
        <w:footnoteReference w:id="328"/>
      </w:r>
      <w:r>
        <w:rPr>
          <w:rFonts w:asciiTheme="majorBidi" w:hAnsiTheme="majorBidi" w:cstheme="majorBidi"/>
          <w:sz w:val="24"/>
          <w:szCs w:val="24"/>
        </w:rPr>
        <w:t>.</w:t>
      </w:r>
    </w:p>
    <w:p w14:paraId="2F971AD0" w14:textId="253EC4A2" w:rsidR="00A27602" w:rsidRDefault="00A27602" w:rsidP="001D3023">
      <w:pPr>
        <w:pStyle w:val="Footer"/>
        <w:numPr>
          <w:ilvl w:val="0"/>
          <w:numId w:val="3"/>
        </w:numPr>
        <w:tabs>
          <w:tab w:val="left" w:pos="720"/>
          <w:tab w:val="left" w:pos="1134"/>
          <w:tab w:val="left" w:pos="1701"/>
        </w:tabs>
        <w:bidi/>
        <w:spacing w:after="12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 xml:space="preserve"> لا يسمح بالزيارة المعتادة في معتقل الطين ، وظل المعتقلون بمعزل عن العالم الخارجي أو اختفوا لمدة تصل إلى عامين. في حالات استثنائية، تم التفاوض على الزيارات المتقطعة مع السلطات السعودية والحكومة اليمنية</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29"/>
      </w:r>
      <w:r>
        <w:rPr>
          <w:rFonts w:asciiTheme="majorBidi" w:hAnsiTheme="majorBidi"/>
          <w:sz w:val="24"/>
          <w:szCs w:val="24"/>
          <w:rtl/>
        </w:rPr>
        <w:t xml:space="preserve"> </w:t>
      </w:r>
      <w:r>
        <w:rPr>
          <w:rFonts w:ascii="Traditional Arabic" w:hAnsi="Traditional Arabic" w:cs="Traditional Arabic"/>
          <w:sz w:val="30"/>
          <w:szCs w:val="30"/>
          <w:rtl/>
        </w:rPr>
        <w:t>في الحالات التي نُقل فيها المعتقلون إلى السجن العسكري، لم يُسمح بالزيارة إلا عند دفع المال للحراس</w:t>
      </w:r>
      <w:r>
        <w:rPr>
          <w:rStyle w:val="FootnoteReference"/>
          <w:rFonts w:asciiTheme="majorBidi" w:hAnsiTheme="majorBidi" w:cstheme="majorBidi"/>
          <w:sz w:val="20"/>
        </w:rPr>
        <w:footnoteReference w:id="330"/>
      </w:r>
      <w:r>
        <w:rPr>
          <w:rFonts w:asciiTheme="majorBidi" w:hAnsiTheme="majorBidi"/>
          <w:sz w:val="24"/>
          <w:szCs w:val="24"/>
          <w:rtl/>
        </w:rPr>
        <w:t xml:space="preserve">. </w:t>
      </w:r>
      <w:r>
        <w:rPr>
          <w:rFonts w:ascii="Traditional Arabic" w:hAnsi="Traditional Arabic" w:cs="Traditional Arabic"/>
          <w:sz w:val="30"/>
          <w:szCs w:val="30"/>
          <w:rtl/>
        </w:rPr>
        <w:t>في جميع الحالات المعروفة لدى الفريق، احتُجز المعتقلون لفترات طويلة دون تهمة رسمية أو إجراءات قانونية. في مارس 2019 ، تم توجيه الاتهام إلى 10 معتقلين كانوا في الطين منذ عام 2015 وعام 2016 من قبل المدعي العام وتم نقلهم إلى سجن المنورة المركزي</w:t>
      </w:r>
      <w:r>
        <w:rPr>
          <w:rStyle w:val="FootnoteReference"/>
          <w:rFonts w:asciiTheme="majorBidi" w:hAnsiTheme="majorBidi" w:cstheme="majorBidi"/>
          <w:sz w:val="20"/>
        </w:rPr>
        <w:footnoteReference w:id="331"/>
      </w:r>
      <w:r>
        <w:rPr>
          <w:rFonts w:asciiTheme="majorBidi" w:hAnsiTheme="majorBidi"/>
          <w:sz w:val="24"/>
          <w:szCs w:val="24"/>
          <w:rtl/>
        </w:rPr>
        <w:t xml:space="preserve">. </w:t>
      </w:r>
      <w:r>
        <w:rPr>
          <w:rFonts w:ascii="Traditional Arabic" w:hAnsi="Traditional Arabic" w:cs="Traditional Arabic"/>
          <w:sz w:val="30"/>
          <w:szCs w:val="30"/>
          <w:rtl/>
        </w:rPr>
        <w:t>وقد أبلغ المحتجزون الآخرون ، أو السلطات السعودية والحكومة اليمنية ، المحتجزين وأفراد الأسرة بأن المعتقلين كانوا متهمين بـ "الإرهاب". في بعض الحالات، اتُهم المعتقلون بصلتهم بأبناء حضرموت، وهي مجموعة من الرجال والصبية المحليين الذين سيطروا لفترة قصيرة على المكلا حتى عام 2016، والذين انضموا إلى القاعدة في جزيرة العرب</w:t>
      </w:r>
      <w:r>
        <w:rPr>
          <w:rStyle w:val="FootnoteReference"/>
          <w:rFonts w:asciiTheme="majorBidi" w:hAnsiTheme="majorBidi" w:cstheme="majorBidi"/>
          <w:sz w:val="20"/>
        </w:rPr>
        <w:footnoteReference w:id="332"/>
      </w:r>
      <w:r>
        <w:rPr>
          <w:rFonts w:asciiTheme="majorBidi" w:hAnsiTheme="majorBidi"/>
          <w:sz w:val="24"/>
          <w:szCs w:val="24"/>
          <w:rtl/>
        </w:rPr>
        <w:t xml:space="preserve">. </w:t>
      </w:r>
      <w:r>
        <w:rPr>
          <w:rFonts w:ascii="Traditional Arabic" w:hAnsi="Traditional Arabic" w:cs="Traditional Arabic"/>
          <w:sz w:val="30"/>
          <w:szCs w:val="30"/>
          <w:rtl/>
        </w:rPr>
        <w:t>واحتُجز آخرون كرهائن أو بناءً على المظالم المحلية</w:t>
      </w:r>
      <w:r>
        <w:rPr>
          <w:rFonts w:asciiTheme="majorBidi" w:hAnsiTheme="majorBidi" w:cstheme="majorBidi"/>
          <w:sz w:val="2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33"/>
      </w:r>
    </w:p>
    <w:p w14:paraId="44EA1599" w14:textId="77777777" w:rsidR="009300E4" w:rsidRDefault="009300E4" w:rsidP="00B1160A">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Pr>
      </w:pPr>
    </w:p>
    <w:p w14:paraId="31F6969A" w14:textId="77777777" w:rsidR="009300E4" w:rsidRDefault="009300E4"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Pr>
      </w:pPr>
    </w:p>
    <w:p w14:paraId="52EC5F20" w14:textId="1C5CDF7E" w:rsidR="00A27602" w:rsidRPr="00121FB4" w:rsidRDefault="00A27602" w:rsidP="009300E4">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lang w:val="en-AU"/>
        </w:rPr>
      </w:pPr>
      <w:r w:rsidRPr="00121FB4">
        <w:rPr>
          <w:rFonts w:ascii="Traditional Arabic" w:hAnsi="Traditional Arabic" w:cs="Traditional Arabic"/>
          <w:b/>
          <w:bCs/>
          <w:sz w:val="30"/>
          <w:szCs w:val="30"/>
          <w:rtl/>
        </w:rPr>
        <w:t>ز) مرفق الاعتقال عصب، إريتريا</w:t>
      </w:r>
    </w:p>
    <w:p w14:paraId="510A25FE" w14:textId="6A2FA81E"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يقع مركز الاعتقال في عصب على بعد 12 كيلومتراً شمال مدينة عصب</w:t>
      </w:r>
      <w:r>
        <w:rPr>
          <w:rFonts w:asciiTheme="majorBidi" w:hAnsiTheme="majorBidi" w:cstheme="majorBidi"/>
          <w:vertAlign w:val="superscript"/>
        </w:rPr>
        <w:footnoteReference w:id="334"/>
      </w:r>
      <w:r>
        <w:rPr>
          <w:rFonts w:asciiTheme="majorBidi" w:hAnsiTheme="majorBidi"/>
          <w:sz w:val="24"/>
          <w:szCs w:val="24"/>
          <w:rtl/>
        </w:rPr>
        <w:t xml:space="preserve"> ، </w:t>
      </w:r>
      <w:r>
        <w:rPr>
          <w:rFonts w:ascii="Traditional Arabic" w:hAnsi="Traditional Arabic" w:cs="Traditional Arabic"/>
          <w:sz w:val="30"/>
          <w:szCs w:val="30"/>
          <w:rtl/>
        </w:rPr>
        <w:t>في مقاطعة داناكاليا الجنوبية، إقليم البحر الأحمر الجنوبي، إريتريا.</w:t>
      </w:r>
      <w:r>
        <w:rPr>
          <w:rFonts w:ascii="Traditional Arabic" w:hAnsi="Traditional Arabic" w:cs="Traditional Arabic"/>
          <w:sz w:val="30"/>
          <w:szCs w:val="30"/>
        </w:rPr>
        <w:t xml:space="preserve"> </w:t>
      </w:r>
      <w:r>
        <w:rPr>
          <w:rFonts w:asciiTheme="majorBidi" w:hAnsiTheme="majorBidi" w:cstheme="majorBidi"/>
          <w:vertAlign w:val="superscript"/>
        </w:rPr>
        <w:footnoteReference w:id="335"/>
      </w:r>
      <w:r>
        <w:rPr>
          <w:rFonts w:asciiTheme="majorBidi" w:hAnsiTheme="majorBidi" w:cstheme="majorBidi"/>
          <w:bCs/>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يتم التحكم في المنشأة من قبل دولة الإمارات العربية المتحدة وهي مجاورة لقاعدتها البحرية. تقع </w:t>
      </w:r>
      <w:r>
        <w:rPr>
          <w:rFonts w:ascii="Traditional Arabic" w:hAnsi="Traditional Arabic" w:cs="Traditional Arabic"/>
          <w:sz w:val="30"/>
          <w:szCs w:val="30"/>
          <w:rtl/>
        </w:rPr>
        <w:lastRenderedPageBreak/>
        <w:t>على بعد 2.5 كم شرق قاعدة الإمارات العربية المتحدة الجوية في عصب</w:t>
      </w:r>
      <w:r>
        <w:rPr>
          <w:rFonts w:asciiTheme="majorBidi" w:hAnsiTheme="majorBidi" w:cstheme="majorBidi"/>
          <w:vertAlign w:val="superscript"/>
        </w:rPr>
        <w:footnoteReference w:id="336"/>
      </w:r>
      <w:r>
        <w:rPr>
          <w:rFonts w:asciiTheme="majorBidi" w:hAnsiTheme="majorBidi"/>
          <w:sz w:val="24"/>
          <w:szCs w:val="24"/>
          <w:rtl/>
        </w:rPr>
        <w:t xml:space="preserve">. </w:t>
      </w:r>
      <w:r>
        <w:rPr>
          <w:rFonts w:ascii="Traditional Arabic" w:hAnsi="Traditional Arabic" w:cs="Traditional Arabic"/>
          <w:sz w:val="30"/>
          <w:szCs w:val="30"/>
          <w:rtl/>
        </w:rPr>
        <w:t>في بداية تدخل التحالف في الحرب في أيار / مايو 2015، أنشأت الإمارات العربية المتحدة هذه القواعد علنًا في عصب كمواقع تنطلق منها قواتها للتدخل في اليمن. وشملت الأنشطة المعلنة التي تجري في القاعدة تدريب قوات الحزام الأمني</w:t>
      </w:r>
      <w:r>
        <w:rPr>
          <w:rFonts w:asciiTheme="majorBidi" w:hAnsiTheme="majorBidi" w:cstheme="majorBidi"/>
          <w:sz w:val="24"/>
          <w:szCs w:val="24"/>
        </w:rPr>
        <w:t>.</w:t>
      </w:r>
      <w:r>
        <w:rPr>
          <w:rFonts w:asciiTheme="majorBidi" w:hAnsiTheme="majorBidi" w:cstheme="majorBidi"/>
          <w:vertAlign w:val="superscript"/>
        </w:rPr>
        <w:t xml:space="preserve"> </w:t>
      </w:r>
      <w:r>
        <w:rPr>
          <w:rFonts w:asciiTheme="majorBidi" w:hAnsiTheme="majorBidi" w:cstheme="majorBidi"/>
          <w:vertAlign w:val="superscript"/>
        </w:rPr>
        <w:footnoteReference w:id="337"/>
      </w:r>
    </w:p>
    <w:p w14:paraId="0D60532C" w14:textId="375EDF9A" w:rsidR="00A27602" w:rsidRDefault="00A27602" w:rsidP="001D3023">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حدد شهود عيان ان الحراس والمحقيين في عصب هم عسكريين اماراتين. كانوا مزيجًا من الإماراتيين وغير العرب الذين يحملون جنسية أو إثنية مجهولة الهوية، وكانوا يرتدون الزي العسكري لدولة الإمارات العربية المتحدة</w:t>
      </w:r>
      <w:r>
        <w:rPr>
          <w:rFonts w:asciiTheme="majorBidi" w:hAnsiTheme="majorBidi" w:cstheme="majorBidi"/>
          <w:vertAlign w:val="superscript"/>
        </w:rPr>
        <w:footnoteReference w:id="338"/>
      </w:r>
      <w:r>
        <w:rPr>
          <w:rFonts w:asciiTheme="majorBidi" w:hAnsiTheme="majorBidi"/>
          <w:sz w:val="24"/>
          <w:szCs w:val="24"/>
          <w:rtl/>
        </w:rPr>
        <w:t xml:space="preserve">. </w:t>
      </w:r>
      <w:r>
        <w:rPr>
          <w:rFonts w:ascii="Traditional Arabic" w:hAnsi="Traditional Arabic" w:cs="Traditional Arabic"/>
          <w:sz w:val="30"/>
          <w:szCs w:val="30"/>
          <w:rtl/>
        </w:rPr>
        <w:t>في حالات معينة، اختفى المقاتلون أو المقاتلون المناهضون لدولة الإمارات العربية المتحدة الذين رفضوا العمل لحساب الحزام الأمني في عصب، ثم قاموا بالإكراه من قبل أفراد الجيش الإماراتي للعمل معهم في عمليات الاغتيال. ثم نُقلوا مرة أخرى إلى اليمن عن طريق البريقة أو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 xml:space="preserve">ر أحمد 1 و 2 </w:t>
      </w:r>
      <w:r>
        <w:rPr>
          <w:rFonts w:asciiTheme="majorBidi" w:hAnsiTheme="majorBidi" w:cstheme="majorBidi"/>
          <w:vertAlign w:val="superscript"/>
        </w:rPr>
        <w:footnoteReference w:id="339"/>
      </w:r>
      <w:r>
        <w:rPr>
          <w:rFonts w:asciiTheme="majorBidi" w:hAnsiTheme="majorBidi"/>
          <w:sz w:val="24"/>
          <w:szCs w:val="24"/>
          <w:rtl/>
        </w:rPr>
        <w:t xml:space="preserve">. </w:t>
      </w:r>
      <w:r>
        <w:rPr>
          <w:rFonts w:ascii="Traditional Arabic" w:hAnsi="Traditional Arabic" w:cs="Traditional Arabic"/>
          <w:sz w:val="30"/>
          <w:szCs w:val="30"/>
          <w:rtl/>
        </w:rPr>
        <w:t>في عام 2018، كان هناك ما لا يقل عن تسعة معتقلين من الرجال شهدوا في عصب، ويتألفون من المقاومة السابقة وأعضاء الحزام الأمني ومقاتلي الحوثيين</w:t>
      </w:r>
      <w:r>
        <w:rPr>
          <w:rFonts w:asciiTheme="majorBidi" w:hAnsiTheme="majorBidi" w:cstheme="majorBidi"/>
          <w:vertAlign w:val="superscript"/>
        </w:rPr>
        <w:footnoteReference w:id="340"/>
      </w:r>
      <w:r>
        <w:rPr>
          <w:rFonts w:asciiTheme="majorBidi" w:hAnsiTheme="majorBidi"/>
          <w:sz w:val="24"/>
          <w:szCs w:val="24"/>
          <w:rtl/>
        </w:rPr>
        <w:t xml:space="preserve">. </w:t>
      </w:r>
      <w:r>
        <w:rPr>
          <w:rFonts w:ascii="Traditional Arabic" w:hAnsi="Traditional Arabic" w:cs="Traditional Arabic"/>
          <w:sz w:val="30"/>
          <w:szCs w:val="30"/>
          <w:rtl/>
        </w:rPr>
        <w:t xml:space="preserve">بناءً على أدلة الشهود الموثوقة وتحليل صور الأقمار الصناعية، </w:t>
      </w:r>
      <w:r w:rsidR="00436C02">
        <w:rPr>
          <w:rFonts w:ascii="Traditional Arabic" w:hAnsi="Traditional Arabic" w:cs="Traditional Arabic" w:hint="cs"/>
          <w:sz w:val="30"/>
          <w:szCs w:val="30"/>
          <w:rtl/>
        </w:rPr>
        <w:t>بدا المرفق في وقت إلتقاط صورته وك</w:t>
      </w:r>
      <w:r>
        <w:rPr>
          <w:rFonts w:ascii="Traditional Arabic" w:hAnsi="Traditional Arabic" w:cs="Traditional Arabic"/>
          <w:sz w:val="30"/>
          <w:szCs w:val="30"/>
          <w:rtl/>
        </w:rPr>
        <w:t>أنه يضم ما لا يقل عن 70 خلية منفصلة يحتجز فيها السجناء</w:t>
      </w:r>
      <w:r>
        <w:rPr>
          <w:rFonts w:ascii="Traditional Arabic" w:hAnsi="Traditional Arabic" w:cs="Traditional Arabic"/>
          <w:sz w:val="30"/>
          <w:szCs w:val="30"/>
        </w:rPr>
        <w:t>.</w:t>
      </w:r>
      <w:r w:rsidR="002106AD">
        <w:rPr>
          <w:rStyle w:val="FootnoteReference"/>
          <w:rFonts w:cs="Traditional Arabic"/>
          <w:szCs w:val="30"/>
        </w:rPr>
        <w:footnoteReference w:id="341"/>
      </w:r>
    </w:p>
    <w:p w14:paraId="778B75AC" w14:textId="6B2281FE"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heme="majorBidi" w:hAnsiTheme="majorBidi" w:cstheme="majorBidi"/>
          <w:bCs/>
          <w:sz w:val="24"/>
          <w:szCs w:val="24"/>
        </w:rPr>
        <w:t xml:space="preserve"> </w:t>
      </w:r>
      <w:r>
        <w:rPr>
          <w:rFonts w:ascii="Traditional Arabic" w:hAnsi="Traditional Arabic" w:cs="Traditional Arabic"/>
          <w:sz w:val="30"/>
          <w:szCs w:val="30"/>
          <w:rtl/>
        </w:rPr>
        <w:t>إن الافتقار إلى الشفافية بشأن هذا المرفق يعرض خطر حقيقي للغاية لسوء المعاملة والتعذيب وغيره من انتهاكات حقوق الإنسان. تلقى فريق الخبراء تقارير موثوق بها عن التعذيب في مرفق الاعتقال هذا، والذي لم تكن تحقيقاته قد اكتملت وقت كتابة هذا التقرير</w:t>
      </w:r>
      <w:r>
        <w:rPr>
          <w:rFonts w:asciiTheme="majorBidi" w:hAnsiTheme="majorBidi" w:cstheme="majorBidi"/>
          <w:sz w:val="24"/>
          <w:szCs w:val="24"/>
        </w:rPr>
        <w:t>.</w:t>
      </w:r>
      <w:r>
        <w:rPr>
          <w:rFonts w:asciiTheme="majorBidi" w:hAnsiTheme="majorBidi" w:cstheme="majorBidi"/>
          <w:vertAlign w:val="superscript"/>
        </w:rPr>
        <w:t xml:space="preserve"> </w:t>
      </w:r>
      <w:r>
        <w:rPr>
          <w:rFonts w:asciiTheme="majorBidi" w:hAnsiTheme="majorBidi" w:cstheme="majorBidi"/>
          <w:vertAlign w:val="superscript"/>
        </w:rPr>
        <w:footnoteReference w:id="342"/>
      </w:r>
    </w:p>
    <w:p w14:paraId="4940D1B2" w14:textId="77777777" w:rsidR="001A1CEE" w:rsidRDefault="001A1CEE">
      <w:pPr>
        <w:suppressAutoHyphens w:val="0"/>
        <w:spacing w:line="240" w:lineRule="auto"/>
        <w:rPr>
          <w:rFonts w:ascii="Traditional Arabic" w:eastAsia="Calibri" w:hAnsi="Traditional Arabic" w:cs="Traditional Arabic"/>
          <w:b/>
          <w:bCs/>
          <w:sz w:val="30"/>
          <w:szCs w:val="30"/>
          <w:rtl/>
          <w:lang w:val="de-AT"/>
        </w:rPr>
      </w:pPr>
      <w:r>
        <w:rPr>
          <w:rFonts w:ascii="Traditional Arabic" w:hAnsi="Traditional Arabic" w:cs="Traditional Arabic"/>
          <w:b/>
          <w:bCs/>
          <w:sz w:val="30"/>
          <w:szCs w:val="30"/>
          <w:rtl/>
        </w:rPr>
        <w:br w:type="page"/>
      </w:r>
    </w:p>
    <w:p w14:paraId="3C2E2F43" w14:textId="46DA8C2F" w:rsidR="00A27602" w:rsidRPr="001406EA" w:rsidRDefault="00A27602" w:rsidP="009300E4">
      <w:pPr>
        <w:pStyle w:val="ListParagraph"/>
        <w:tabs>
          <w:tab w:val="left" w:pos="720"/>
        </w:tabs>
        <w:bidi/>
        <w:spacing w:line="240" w:lineRule="auto"/>
        <w:ind w:left="1491" w:right="1080" w:hanging="852"/>
        <w:rPr>
          <w:rFonts w:ascii="Traditional Arabic" w:hAnsi="Traditional Arabic" w:cs="Traditional Arabic"/>
          <w:b/>
          <w:bCs/>
          <w:sz w:val="30"/>
          <w:szCs w:val="30"/>
          <w:lang w:val="en-AU"/>
        </w:rPr>
      </w:pPr>
      <w:r w:rsidRPr="001406EA">
        <w:rPr>
          <w:rFonts w:ascii="Traditional Arabic" w:hAnsi="Traditional Arabic" w:cs="Traditional Arabic"/>
          <w:b/>
          <w:bCs/>
          <w:sz w:val="30"/>
          <w:szCs w:val="30"/>
          <w:rtl/>
        </w:rPr>
        <w:lastRenderedPageBreak/>
        <w:t xml:space="preserve">ح) الانتهاكات </w:t>
      </w:r>
    </w:p>
    <w:p w14:paraId="52D7E6D8" w14:textId="69A948B1"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sz w:val="20"/>
          <w:rtl/>
        </w:rPr>
      </w:pPr>
      <w:r>
        <w:rPr>
          <w:rFonts w:ascii="Traditional Arabic" w:hAnsi="Traditional Arabic" w:cs="Traditional Arabic"/>
          <w:sz w:val="30"/>
          <w:szCs w:val="30"/>
          <w:rtl/>
        </w:rPr>
        <w:t>يحظر القانون الدولي لحقوق الإنسان والقانون الدولي الإنساني حالات الاختفاء القسري، لا سيما باعتبارها انتهاكًا لحظر الحرمان التعسفي من الحرية و</w:t>
      </w:r>
      <w:r w:rsidR="00436C02">
        <w:rPr>
          <w:rFonts w:ascii="Traditional Arabic" w:hAnsi="Traditional Arabic" w:cs="Traditional Arabic" w:hint="cs"/>
          <w:sz w:val="30"/>
          <w:szCs w:val="30"/>
          <w:rtl/>
        </w:rPr>
        <w:t xml:space="preserve">من الممكن </w:t>
      </w:r>
      <w:r>
        <w:rPr>
          <w:rFonts w:ascii="Traditional Arabic" w:hAnsi="Traditional Arabic" w:cs="Traditional Arabic"/>
          <w:sz w:val="30"/>
          <w:szCs w:val="30"/>
          <w:rtl/>
        </w:rPr>
        <w:t>حظر التعذيب</w:t>
      </w:r>
      <w:r>
        <w:rPr>
          <w:rFonts w:asciiTheme="majorBidi" w:hAnsiTheme="majorBidi"/>
          <w:sz w:val="24"/>
          <w:szCs w:val="24"/>
          <w:rtl/>
        </w:rPr>
        <w:t>.</w:t>
      </w:r>
      <w:r>
        <w:rPr>
          <w:rStyle w:val="FootnoteReference"/>
          <w:sz w:val="20"/>
        </w:rPr>
        <w:t xml:space="preserve"> </w:t>
      </w:r>
      <w:r>
        <w:rPr>
          <w:rStyle w:val="FootnoteReference"/>
          <w:sz w:val="20"/>
        </w:rPr>
        <w:footnoteReference w:id="343"/>
      </w:r>
      <w:r>
        <w:rPr>
          <w:rStyle w:val="FootnoteReference"/>
          <w:sz w:val="20"/>
          <w:rtl/>
        </w:rPr>
        <w:t xml:space="preserve"> </w:t>
      </w:r>
      <w:r>
        <w:rPr>
          <w:rFonts w:ascii="Traditional Arabic" w:hAnsi="Traditional Arabic" w:cs="Traditional Arabic"/>
          <w:sz w:val="30"/>
          <w:szCs w:val="30"/>
          <w:rtl/>
        </w:rPr>
        <w:t>كما يحظر القانون الدولي لحقوق الإنسان والقانون الدولي الإنساني الاعتقال التعسفي</w:t>
      </w:r>
      <w:r>
        <w:rPr>
          <w:rStyle w:val="FootnoteReference"/>
          <w:rFonts w:asciiTheme="majorBidi" w:hAnsiTheme="majorBidi" w:cstheme="majorBidi"/>
          <w:sz w:val="20"/>
        </w:rPr>
        <w:footnoteReference w:id="344"/>
      </w:r>
      <w:r>
        <w:rPr>
          <w:rStyle w:val="tlid-translation"/>
          <w:rtl/>
        </w:rPr>
        <w:t xml:space="preserve">. </w:t>
      </w:r>
      <w:r>
        <w:rPr>
          <w:rFonts w:ascii="Traditional Arabic" w:hAnsi="Traditional Arabic" w:cs="Traditional Arabic"/>
          <w:sz w:val="30"/>
          <w:szCs w:val="30"/>
          <w:rtl/>
        </w:rPr>
        <w:t>حالات الحرمان من الحرية تُعتبر تعسفية ومخالفة لأحكام القانون الدولي، ومعظمها تلك المتعلقة بالحق في محاكمة عادلة أو غيرها من</w:t>
      </w:r>
      <w:r>
        <w:rPr>
          <w:rStyle w:val="tlid-translation"/>
          <w:rtl/>
        </w:rPr>
        <w:t xml:space="preserve"> الضمانات </w:t>
      </w:r>
      <w:r>
        <w:rPr>
          <w:rFonts w:ascii="Traditional Arabic" w:hAnsi="Traditional Arabic" w:cs="Traditional Arabic"/>
          <w:sz w:val="30"/>
          <w:szCs w:val="30"/>
          <w:rtl/>
        </w:rPr>
        <w:t>الإجرائية، أو القيود غير القانونية المفروضة على ممارسة الحريات الأساسية</w:t>
      </w:r>
      <w:r w:rsidRPr="00436C02">
        <w:rPr>
          <w:rFonts w:ascii="Traditional Arabic" w:hAnsi="Traditional Arabic" w:cs="Traditional Arabic"/>
          <w:sz w:val="30"/>
          <w:szCs w:val="30"/>
          <w:vertAlign w:val="superscript"/>
        </w:rPr>
        <w:footnoteReference w:id="345"/>
      </w:r>
      <w:r>
        <w:rPr>
          <w:rFonts w:ascii="Traditional Arabic" w:hAnsi="Traditional Arabic" w:cs="Traditional Arabic"/>
          <w:sz w:val="30"/>
          <w:szCs w:val="30"/>
        </w:rPr>
        <w:t>.</w:t>
      </w:r>
      <w:r>
        <w:rPr>
          <w:rFonts w:ascii="Traditional Arabic" w:hAnsi="Traditional Arabic" w:cs="Traditional Arabic"/>
          <w:sz w:val="30"/>
          <w:szCs w:val="30"/>
          <w:rtl/>
        </w:rPr>
        <w:t xml:space="preserve"> إن حرمان شخص من الحق في محاكمة عادلة قد يعتبر جريمة حرب في نزاع غير دولي</w:t>
      </w:r>
      <w:r>
        <w:rPr>
          <w:rStyle w:val="tlid-translation"/>
          <w:rtl/>
        </w:rPr>
        <w:t>.</w:t>
      </w:r>
      <w:r>
        <w:rPr>
          <w:rStyle w:val="FootnoteReference"/>
          <w:sz w:val="20"/>
        </w:rPr>
        <w:t xml:space="preserve"> </w:t>
      </w:r>
      <w:r>
        <w:rPr>
          <w:rStyle w:val="FootnoteReference"/>
          <w:sz w:val="20"/>
        </w:rPr>
        <w:footnoteReference w:id="346"/>
      </w:r>
    </w:p>
    <w:p w14:paraId="3FBFCD93" w14:textId="66BBA01D" w:rsidR="00A27602" w:rsidRDefault="00A27602" w:rsidP="00870006">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ab/>
        <w:t xml:space="preserve">بناءً على تحقيقاته، وجد فريق الخبراء أسبابًا معقولة للاعتقاد بأن العديد من حالات الاختفاء القسري حدثت في </w:t>
      </w:r>
      <w:r w:rsidRPr="00870006">
        <w:rPr>
          <w:rFonts w:ascii="Traditional Arabic" w:hAnsi="Traditional Arabic" w:cs="Traditional Arabic"/>
          <w:sz w:val="30"/>
          <w:szCs w:val="30"/>
          <w:rtl/>
        </w:rPr>
        <w:t>محافظات عدن وشبوة وحضرموت وعصب في اريتريا</w:t>
      </w:r>
      <w:r>
        <w:rPr>
          <w:rFonts w:ascii="Traditional Arabic" w:hAnsi="Traditional Arabic" w:cs="Traditional Arabic"/>
          <w:sz w:val="30"/>
          <w:szCs w:val="30"/>
          <w:rtl/>
        </w:rPr>
        <w:t>، بالإضافة إلى ممارسة الاحتجاز التعسفي في جميع المرافق المذكورة أعلاه.</w:t>
      </w:r>
      <w:r>
        <w:rPr>
          <w:rFonts w:ascii="Traditional Arabic" w:hAnsi="Traditional Arabic" w:cs="Traditional Arabic"/>
          <w:sz w:val="30"/>
          <w:szCs w:val="30"/>
        </w:rPr>
        <w:t xml:space="preserve"> </w:t>
      </w:r>
      <w:r>
        <w:rPr>
          <w:rFonts w:ascii="Traditional Arabic" w:hAnsi="Traditional Arabic" w:cs="Traditional Arabic"/>
          <w:sz w:val="30"/>
          <w:szCs w:val="30"/>
          <w:rtl/>
        </w:rPr>
        <w:t>في ما يتعلق بحالات الاختفاء القسري، فقد تم استخدام شبكة من المرافق لاختفاء الأفراد الذين يُعتبروا مُعارضين لدولة الإمارات العربية المتحدة بشكل أساسي، وإبعادهم عن أي إشراف قضائي، وكذلك عن أقربائهم</w:t>
      </w:r>
      <w:r>
        <w:rPr>
          <w:rFonts w:ascii="Traditional Arabic" w:hAnsi="Traditional Arabic" w:cs="Traditional Arabic"/>
          <w:sz w:val="30"/>
          <w:szCs w:val="30"/>
        </w:rPr>
        <w:t>.</w:t>
      </w:r>
      <w:r>
        <w:rPr>
          <w:rFonts w:ascii="Traditional Arabic" w:hAnsi="Traditional Arabic" w:cs="Traditional Arabic"/>
          <w:sz w:val="30"/>
          <w:szCs w:val="30"/>
          <w:rtl/>
        </w:rPr>
        <w:t xml:space="preserve"> ينطبق هذا الأمر في مرافق الاحتجاز التالية: مرفق احتجاز قاعدة التحالف في البريقة (مرفق سري تسيطر عليه الإمارات العربية المتحدة)؛ مرفق احتجاز الريان (مرفق سري للقاعدة الجوية الإماراتية)؛ معسكر لواء الشهداء ومخيم الحوطة (الذي تسيطر عليه قوات النخبة الشبوانية المدعومة من الإمارات العربية المتحدة)؛ قاعدة التحالف في بلحاف (التي تسيطر عليها الإمارات العربية المتحدة)؛ مرفق اعتقال التين (مرفق سري تسيطر عليه الحكومة اليمنية والقوات المسلحة السعودية)؛ سجن عصب في إريتريا (مرفق سري للإمارات العربية المتحدة)</w:t>
      </w:r>
      <w:r>
        <w:rPr>
          <w:rFonts w:ascii="Traditional Arabic" w:hAnsi="Traditional Arabic" w:cs="Traditional Arabic"/>
          <w:sz w:val="30"/>
          <w:szCs w:val="30"/>
        </w:rPr>
        <w:t>.</w:t>
      </w:r>
    </w:p>
    <w:p w14:paraId="3C3E69D4" w14:textId="36CBFD97" w:rsidR="00A27602" w:rsidRDefault="00A27602" w:rsidP="00BE746A">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 xml:space="preserve">في جميع مرافق الاحتجاز المذكورة أعلاه يُعتبر الاحتجاز تعسفيًا خاصةً بسبب الحرمان من حقوق المحاكمة العادلة مثل الاحتجاز دون إجراءات قانونية أو دون توجيه أي اتهامات لفترات طويلة من الزمن (تتخطى العامين في بعض الحالات) أو عدم إمكانية الوصول إلى التمثيل القانوني أو عدم الامتثال لأوامر الإفراج الصادرة عن المدّعين العامين والمسؤولين الحكوميّين في حالة عدم وجود </w:t>
      </w:r>
      <w:r>
        <w:rPr>
          <w:rFonts w:ascii="Traditional Arabic" w:hAnsi="Traditional Arabic" w:cs="Traditional Arabic"/>
          <w:sz w:val="30"/>
          <w:szCs w:val="30"/>
          <w:rtl/>
        </w:rPr>
        <w:lastRenderedPageBreak/>
        <w:t>أي تهم أو حالات التأخير في تنفيذ أوامر الإفراج هذه.</w:t>
      </w:r>
      <w:r>
        <w:rPr>
          <w:rFonts w:ascii="Traditional Arabic" w:hAnsi="Traditional Arabic" w:cs="Traditional Arabic"/>
          <w:sz w:val="30"/>
          <w:szCs w:val="30"/>
        </w:rPr>
        <w:t xml:space="preserve"> </w:t>
      </w:r>
      <w:r>
        <w:rPr>
          <w:rFonts w:ascii="Traditional Arabic" w:hAnsi="Traditional Arabic" w:cs="Traditional Arabic"/>
          <w:sz w:val="30"/>
          <w:szCs w:val="30"/>
          <w:rtl/>
        </w:rPr>
        <w:t>في بعض الحالات، يكون الاحتجاز تعسفيًا أيضًا لأن المعتقلين تم اعتقالهم واحتجازهم لأنهم عبّروا عن معارضتهم للسلطات المسيطرة</w:t>
      </w:r>
      <w:r>
        <w:rPr>
          <w:rFonts w:ascii="Traditional Arabic" w:hAnsi="Traditional Arabic" w:cs="Traditional Arabic"/>
          <w:sz w:val="30"/>
          <w:szCs w:val="30"/>
        </w:rPr>
        <w:t>.</w:t>
      </w:r>
      <w:r>
        <w:rPr>
          <w:rFonts w:ascii="Traditional Arabic" w:hAnsi="Traditional Arabic" w:cs="Traditional Arabic"/>
          <w:sz w:val="30"/>
          <w:szCs w:val="30"/>
          <w:rtl/>
        </w:rPr>
        <w:t xml:space="preserve"> نفذت قوات الحزام الأمنيالمدعومة من الإمارات العربية المتحدة (تتمتع هذه القوات بسلطات إنفاذ القانون تحت سلطة الحكومة اليمنية)، بأغلب الأوقات وحدة مكافحة الإرهاب ضمن قوات الحزام الأمني، جميع عمليات توقيف ا</w:t>
      </w:r>
      <w:r w:rsidR="00B67CA3">
        <w:rPr>
          <w:rFonts w:ascii="Traditional Arabic" w:hAnsi="Traditional Arabic" w:cs="Traditional Arabic"/>
          <w:sz w:val="30"/>
          <w:szCs w:val="30"/>
          <w:rtl/>
        </w:rPr>
        <w:t>لمعتقلين المحتجزين في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ر أحمد 2 والبريقة والمواقع الأصغر غير الرسمية. وبينما يدير التحالف مرفق البريقة ويدير الحزام الأمني المدعوم إماراتيًا مرفق ب</w:t>
      </w:r>
      <w:r w:rsidR="00B67CA3">
        <w:rPr>
          <w:rFonts w:ascii="Traditional Arabic" w:hAnsi="Traditional Arabic" w:cs="Traditional Arabic" w:hint="cs"/>
          <w:sz w:val="30"/>
          <w:szCs w:val="30"/>
          <w:rtl/>
        </w:rPr>
        <w:t>ي</w:t>
      </w:r>
      <w:r>
        <w:rPr>
          <w:rFonts w:ascii="Traditional Arabic" w:hAnsi="Traditional Arabic" w:cs="Traditional Arabic"/>
          <w:sz w:val="30"/>
          <w:szCs w:val="30"/>
          <w:rtl/>
        </w:rPr>
        <w:t xml:space="preserve">ر أحمد 2، فإن الحكومة اليمنية ليس لديها إمكانية الوصول إلى المعتقلين ولا سلطة إطلاق سراحهم. احتُجز بعض الأسرى هناك ما بين أربعة أشهر وسنتين ونصف. وينطبق الشيء نفسه في مرفق المنورة </w:t>
      </w:r>
      <w:r w:rsidR="00C30C24">
        <w:rPr>
          <w:rFonts w:ascii="Traditional Arabic" w:hAnsi="Traditional Arabic" w:cs="Traditional Arabic" w:hint="cs"/>
          <w:sz w:val="30"/>
          <w:szCs w:val="30"/>
          <w:rtl/>
        </w:rPr>
        <w:t xml:space="preserve">حيث </w:t>
      </w:r>
      <w:r w:rsidR="00C30C24">
        <w:rPr>
          <w:rFonts w:ascii="Traditional Arabic" w:hAnsi="Traditional Arabic" w:cs="Traditional Arabic"/>
          <w:sz w:val="30"/>
          <w:szCs w:val="30"/>
          <w:rtl/>
        </w:rPr>
        <w:t xml:space="preserve">لم يسمح </w:t>
      </w:r>
      <w:r w:rsidR="00BE746A">
        <w:rPr>
          <w:rFonts w:ascii="Traditional Arabic" w:hAnsi="Traditional Arabic" w:cs="Traditional Arabic" w:hint="cs"/>
          <w:sz w:val="30"/>
          <w:szCs w:val="30"/>
          <w:rtl/>
        </w:rPr>
        <w:t xml:space="preserve">محافظ </w:t>
      </w:r>
      <w:r>
        <w:rPr>
          <w:rFonts w:ascii="Traditional Arabic" w:hAnsi="Traditional Arabic" w:cs="Traditional Arabic"/>
          <w:sz w:val="30"/>
          <w:szCs w:val="30"/>
          <w:rtl/>
        </w:rPr>
        <w:t>حضرموت بالإفراج عن المحتجزين بعد أوامر من المدعي العام، وبالتالي احتجاز الأسرى لمدة تصل إلى 3 سنوات دون توجيه تهم رسمية أو القيام بإجراءات قانونية. في مرفق احتجاز التين، وهو مرفق مشترك تديره القوات المسلحة اليمنية والمملكة العربية السعودية، احتُجز المعتقلون أيضًا لفترات طويلة دون إجراءات قانونية. واتُهم بعضهم في نهاية المطاف بعد سنتين إلى ثلاث سنوا</w:t>
      </w:r>
      <w:r w:rsidR="00BE746A">
        <w:rPr>
          <w:rFonts w:ascii="Traditional Arabic" w:hAnsi="Traditional Arabic" w:cs="Traditional Arabic"/>
          <w:sz w:val="30"/>
          <w:szCs w:val="30"/>
          <w:rtl/>
        </w:rPr>
        <w:t>ت وأُرسلوا إلى مرفق احتجاز المن</w:t>
      </w:r>
      <w:r>
        <w:rPr>
          <w:rFonts w:ascii="Traditional Arabic" w:hAnsi="Traditional Arabic" w:cs="Traditional Arabic"/>
          <w:sz w:val="30"/>
          <w:szCs w:val="30"/>
          <w:rtl/>
        </w:rPr>
        <w:t xml:space="preserve">ورة. إن اعتقال المسجونين وابقائهم في مرافق الاحتجاز هذه بسبب معارضتهم المُفترضة أو العلنية لدولة الإمارات العربية المتحدة وللمجلس الانتقالي الجنوبي عنصر آخر يجعل حرمانهم من الحرية تعسفياً. </w:t>
      </w:r>
    </w:p>
    <w:p w14:paraId="416EB34C" w14:textId="1E1D1515" w:rsidR="00A27602" w:rsidRDefault="00A27602" w:rsidP="00BE746A">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heme="minorHAnsi" w:hAnsiTheme="minorHAnsi" w:cstheme="minorBidi"/>
          <w:color w:val="auto"/>
          <w:sz w:val="22"/>
          <w:szCs w:val="22"/>
          <w:rtl/>
          <w:lang w:bidi="ar"/>
        </w:rPr>
      </w:pPr>
      <w:r>
        <w:rPr>
          <w:rFonts w:ascii="Traditional Arabic" w:hAnsi="Traditional Arabic" w:cs="Traditional Arabic"/>
          <w:sz w:val="30"/>
          <w:szCs w:val="30"/>
          <w:rtl/>
        </w:rPr>
        <w:t xml:space="preserve">التعذيب وغيره من ضروب المعاملة القاسية أو </w:t>
      </w:r>
      <w:r w:rsidR="00BE746A">
        <w:rPr>
          <w:rFonts w:ascii="Traditional Arabic" w:hAnsi="Traditional Arabic" w:cs="Traditional Arabic" w:hint="cs"/>
          <w:sz w:val="30"/>
          <w:szCs w:val="30"/>
          <w:rtl/>
        </w:rPr>
        <w:t xml:space="preserve">اللاإنسانية </w:t>
      </w:r>
      <w:r>
        <w:rPr>
          <w:rFonts w:ascii="Traditional Arabic" w:hAnsi="Traditional Arabic" w:cs="Traditional Arabic"/>
          <w:sz w:val="30"/>
          <w:szCs w:val="30"/>
          <w:rtl/>
        </w:rPr>
        <w:t>أو المهينة ممنوعًا منعًا باتا بموجب القانون الدولي لحقوق الإنسان والقانون الدولي الإنساني وقد يؤدي إلى مسؤولية جنائية فردية عن جرائم الحرب</w:t>
      </w:r>
      <w:r>
        <w:rPr>
          <w:rStyle w:val="tlid-translation"/>
          <w:lang w:bidi="ar"/>
        </w:rPr>
        <w:t>.</w:t>
      </w:r>
      <w:r>
        <w:rPr>
          <w:rStyle w:val="FootnoteReference"/>
          <w:sz w:val="20"/>
        </w:rPr>
        <w:footnoteReference w:id="347"/>
      </w:r>
    </w:p>
    <w:p w14:paraId="4EE136D0" w14:textId="71BB8823" w:rsidR="00A27602" w:rsidRDefault="00A27602" w:rsidP="00B350A5">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بناءً على التحقيقات التي أجراها، لدى فريق الخبراء أسباب معقولة للاعتقاد بأن التعذيب وسوء المعاملة</w:t>
      </w:r>
      <w:r>
        <w:rPr>
          <w:rStyle w:val="tlid-translation"/>
          <w:rtl/>
        </w:rPr>
        <w:t xml:space="preserve"> </w:t>
      </w:r>
      <w:r>
        <w:rPr>
          <w:rFonts w:ascii="Traditional Arabic" w:hAnsi="Traditional Arabic" w:cs="Traditional Arabic"/>
          <w:sz w:val="30"/>
          <w:szCs w:val="30"/>
          <w:rtl/>
        </w:rPr>
        <w:t>قد استُخدما في مرافق الاحتجاز في عدن وبالأخص في مركز احتجاز قاعدة التحالف في البريقة (تحت سيط</w:t>
      </w:r>
      <w:r w:rsidR="00B350A5">
        <w:rPr>
          <w:rFonts w:ascii="Traditional Arabic" w:hAnsi="Traditional Arabic" w:cs="Traditional Arabic"/>
          <w:sz w:val="30"/>
          <w:szCs w:val="30"/>
          <w:rtl/>
        </w:rPr>
        <w:t>رة الإمارات العربية المتحدة)، ب</w:t>
      </w:r>
      <w:r w:rsidR="00B350A5">
        <w:rPr>
          <w:rFonts w:ascii="Traditional Arabic" w:hAnsi="Traditional Arabic" w:cs="Traditional Arabic" w:hint="cs"/>
          <w:sz w:val="30"/>
          <w:szCs w:val="30"/>
          <w:rtl/>
        </w:rPr>
        <w:t>ي</w:t>
      </w:r>
      <w:r>
        <w:rPr>
          <w:rFonts w:ascii="Traditional Arabic" w:hAnsi="Traditional Arabic" w:cs="Traditional Arabic"/>
          <w:sz w:val="30"/>
          <w:szCs w:val="30"/>
          <w:rtl/>
        </w:rPr>
        <w:t>ر أحمد 2 (التي تسيطر عليه قوات الحزام الأمني المدعومة من الإمارات العربية المتحدة)، في مرافق الحزام الأمني غير الرسمية ومرفق اعتقال التين (الذي تسيطر عليها الحكومة اليمنية والقوات المسلحة السعودية).</w:t>
      </w:r>
      <w:r>
        <w:rPr>
          <w:rFonts w:ascii="Traditional Arabic" w:hAnsi="Traditional Arabic" w:cs="Traditional Arabic"/>
          <w:sz w:val="30"/>
          <w:szCs w:val="30"/>
        </w:rPr>
        <w:t xml:space="preserve"> </w:t>
      </w:r>
      <w:r>
        <w:rPr>
          <w:rFonts w:ascii="Traditional Arabic" w:hAnsi="Traditional Arabic" w:cs="Traditional Arabic"/>
          <w:sz w:val="30"/>
          <w:szCs w:val="30"/>
          <w:rtl/>
        </w:rPr>
        <w:t>في جميع هذه المنشآت، استخدم التعذيب أثناء الاستجوابات وذلك بشكل أساسي من أجل إرغامهم على الاعتراف. وورد أنه تم استخدام التعذيب في البريقة في سبيل التجنيد.</w:t>
      </w:r>
    </w:p>
    <w:p w14:paraId="310098FD" w14:textId="4B5DEB4B" w:rsidR="00A27602" w:rsidRDefault="00A27602" w:rsidP="00C30C24">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tl/>
        </w:rPr>
      </w:pPr>
      <w:r>
        <w:rPr>
          <w:rFonts w:ascii="Traditional Arabic" w:hAnsi="Traditional Arabic" w:cs="Traditional Arabic"/>
          <w:sz w:val="30"/>
          <w:szCs w:val="30"/>
          <w:rtl/>
        </w:rPr>
        <w:tab/>
        <w:t>كذلك استخدم العنف الجنسي في مرافق الاحتجاز بما في ذلك تعذيب المحتجزين.</w:t>
      </w:r>
      <w:r>
        <w:rPr>
          <w:rFonts w:ascii="Traditional Arabic" w:hAnsi="Traditional Arabic" w:cs="Traditional Arabic"/>
          <w:sz w:val="30"/>
          <w:szCs w:val="30"/>
        </w:rPr>
        <w:t xml:space="preserve"> </w:t>
      </w:r>
      <w:r>
        <w:rPr>
          <w:rFonts w:ascii="Traditional Arabic" w:hAnsi="Traditional Arabic" w:cs="Traditional Arabic"/>
          <w:sz w:val="30"/>
          <w:szCs w:val="30"/>
          <w:rtl/>
        </w:rPr>
        <w:t>يحظر القانون الدولي لحقوق الإنسان والقانون الدولي الإنساني الاغتصاب وغيره من أشكال العنف الجنسي</w:t>
      </w:r>
      <w:r>
        <w:rPr>
          <w:rStyle w:val="tlid-translation"/>
          <w:rtl/>
        </w:rPr>
        <w:t>.</w:t>
      </w:r>
      <w:r>
        <w:rPr>
          <w:rStyle w:val="FootnoteReference"/>
          <w:rtl/>
          <w:lang w:bidi="ar"/>
        </w:rPr>
        <w:footnoteReference w:id="348"/>
      </w:r>
      <w:r>
        <w:rPr>
          <w:rFonts w:asciiTheme="majorBidi" w:hAnsiTheme="majorBidi" w:cstheme="majorBidi"/>
          <w:sz w:val="20"/>
          <w:rtl/>
          <w:lang w:bidi="ar"/>
        </w:rPr>
        <w:t xml:space="preserve"> </w:t>
      </w:r>
      <w:r>
        <w:rPr>
          <w:rFonts w:ascii="Traditional Arabic" w:hAnsi="Traditional Arabic" w:cs="Traditional Arabic"/>
          <w:sz w:val="30"/>
          <w:szCs w:val="30"/>
          <w:rtl/>
        </w:rPr>
        <w:t>قد يؤدي هذا إلى مسؤولية جنائية فردية لجريمة الحرب المتمثلة في الاغتصاب وأشك</w:t>
      </w:r>
      <w:r w:rsidR="00C30C24">
        <w:rPr>
          <w:rFonts w:ascii="Traditional Arabic" w:hAnsi="Traditional Arabic" w:cs="Traditional Arabic" w:hint="cs"/>
          <w:sz w:val="30"/>
          <w:szCs w:val="30"/>
          <w:rtl/>
        </w:rPr>
        <w:t>ا</w:t>
      </w:r>
      <w:r w:rsidR="00C30C24">
        <w:rPr>
          <w:rFonts w:ascii="Traditional Arabic" w:hAnsi="Traditional Arabic" w:cs="Traditional Arabic"/>
          <w:sz w:val="30"/>
          <w:szCs w:val="30"/>
          <w:rtl/>
        </w:rPr>
        <w:t xml:space="preserve">ل </w:t>
      </w:r>
      <w:r w:rsidR="00C30C24">
        <w:rPr>
          <w:rFonts w:ascii="Traditional Arabic" w:hAnsi="Traditional Arabic" w:cs="Traditional Arabic" w:hint="cs"/>
          <w:sz w:val="30"/>
          <w:szCs w:val="30"/>
          <w:rtl/>
        </w:rPr>
        <w:t>أ</w:t>
      </w:r>
      <w:r>
        <w:rPr>
          <w:rFonts w:ascii="Traditional Arabic" w:hAnsi="Traditional Arabic" w:cs="Traditional Arabic"/>
          <w:sz w:val="30"/>
          <w:szCs w:val="30"/>
          <w:rtl/>
        </w:rPr>
        <w:t>خر</w:t>
      </w:r>
      <w:r w:rsidR="00C30C24">
        <w:rPr>
          <w:rFonts w:ascii="Traditional Arabic" w:hAnsi="Traditional Arabic" w:cs="Traditional Arabic" w:hint="cs"/>
          <w:sz w:val="30"/>
          <w:szCs w:val="30"/>
          <w:rtl/>
        </w:rPr>
        <w:t>ى</w:t>
      </w:r>
      <w:r>
        <w:rPr>
          <w:rFonts w:ascii="Traditional Arabic" w:hAnsi="Traditional Arabic" w:cs="Traditional Arabic"/>
          <w:sz w:val="30"/>
          <w:szCs w:val="30"/>
          <w:rtl/>
        </w:rPr>
        <w:t xml:space="preserve"> من أشكال العنف الجنسي، فضلاً عن التعذيب والاعتداء على الكرامة الشخصية</w:t>
      </w:r>
      <w:r w:rsidR="008B187E">
        <w:rPr>
          <w:rFonts w:ascii="Traditional Arabic" w:hAnsi="Traditional Arabic" w:cs="Traditional Arabic" w:hint="cs"/>
          <w:sz w:val="30"/>
          <w:szCs w:val="30"/>
          <w:rtl/>
          <w:lang w:bidi="ar-JO"/>
        </w:rPr>
        <w:t>.</w:t>
      </w:r>
      <w:r w:rsidR="008B187E">
        <w:rPr>
          <w:rStyle w:val="FootnoteReference"/>
          <w:rFonts w:cs="Traditional Arabic"/>
          <w:szCs w:val="30"/>
          <w:rtl/>
          <w:lang w:bidi="ar-JO"/>
        </w:rPr>
        <w:footnoteReference w:id="349"/>
      </w:r>
      <w:r>
        <w:rPr>
          <w:rStyle w:val="tlid-translation"/>
          <w:rFonts w:hint="cs"/>
          <w:lang w:bidi="ar"/>
        </w:rPr>
        <w:t xml:space="preserve"> </w:t>
      </w:r>
      <w:r>
        <w:rPr>
          <w:rFonts w:ascii="Traditional Arabic" w:hAnsi="Traditional Arabic" w:cs="Traditional Arabic"/>
          <w:sz w:val="30"/>
          <w:szCs w:val="30"/>
          <w:rtl/>
        </w:rPr>
        <w:t xml:space="preserve">لدى فريق </w:t>
      </w:r>
      <w:r>
        <w:rPr>
          <w:rFonts w:ascii="Traditional Arabic" w:hAnsi="Traditional Arabic" w:cs="Traditional Arabic"/>
          <w:sz w:val="30"/>
          <w:szCs w:val="30"/>
          <w:rtl/>
        </w:rPr>
        <w:lastRenderedPageBreak/>
        <w:t xml:space="preserve">الخبراء أسباب معقولة للاعتقاد بأن العنف الجنسي قد تم استخدامه في مرفق احتجاز قاعدة البريقة (الخاضع لسيطرة </w:t>
      </w:r>
      <w:r w:rsidR="00B350A5">
        <w:rPr>
          <w:rFonts w:ascii="Traditional Arabic" w:hAnsi="Traditional Arabic" w:cs="Traditional Arabic"/>
          <w:sz w:val="30"/>
          <w:szCs w:val="30"/>
          <w:rtl/>
        </w:rPr>
        <w:t>الإمارات العربية المتحدة) وفي ب</w:t>
      </w:r>
      <w:r w:rsidR="00B350A5">
        <w:rPr>
          <w:rFonts w:ascii="Traditional Arabic" w:hAnsi="Traditional Arabic" w:cs="Traditional Arabic" w:hint="cs"/>
          <w:sz w:val="30"/>
          <w:szCs w:val="30"/>
          <w:rtl/>
        </w:rPr>
        <w:t>ي</w:t>
      </w:r>
      <w:r>
        <w:rPr>
          <w:rFonts w:ascii="Traditional Arabic" w:hAnsi="Traditional Arabic" w:cs="Traditional Arabic"/>
          <w:sz w:val="30"/>
          <w:szCs w:val="30"/>
          <w:rtl/>
        </w:rPr>
        <w:t>ر أحمد  2 (الخاضع لسيطرة الحزام الأمني المدعوم من الإمارات العربية المتحدة)</w:t>
      </w:r>
      <w:r>
        <w:rPr>
          <w:rFonts w:ascii="Traditional Arabic" w:hAnsi="Traditional Arabic" w:cs="Traditional Arabic"/>
          <w:sz w:val="30"/>
          <w:szCs w:val="30"/>
        </w:rPr>
        <w:t>.</w:t>
      </w:r>
    </w:p>
    <w:p w14:paraId="7EF9EA10" w14:textId="38771E39"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Style w:val="fontstyle01"/>
          <w:rFonts w:asciiTheme="majorBidi" w:hAnsiTheme="majorBidi" w:cstheme="majorBidi"/>
          <w:color w:val="auto"/>
          <w:rtl/>
        </w:rPr>
      </w:pPr>
      <w:r>
        <w:rPr>
          <w:rFonts w:ascii="Traditional Arabic" w:hAnsi="Traditional Arabic" w:cs="Traditional Arabic"/>
          <w:sz w:val="30"/>
          <w:szCs w:val="30"/>
          <w:rtl/>
        </w:rPr>
        <w:t>بناءً على ذلك ، لدى فريق الخبراء أسباب معقولة للاعتقاد بأن حكومات اليمن والمملكة العربية السعودية والإمارات العربية المتحدة قد انتهكت الحق في الحرية والأمن الشخصي، خاصةً في حالات الاختفاء القسري والاعتقالات والاحتجازات التعسفية وكذلك التعذيب وغيره من ضروب سوء المعاملة بما في ذلك الاغتصاب وغيره من أشكال العنف الجنسي.</w:t>
      </w:r>
      <w:r>
        <w:rPr>
          <w:rFonts w:ascii="Traditional Arabic" w:hAnsi="Traditional Arabic" w:cs="Traditional Arabic"/>
          <w:sz w:val="30"/>
          <w:szCs w:val="30"/>
        </w:rPr>
        <w:t xml:space="preserve"> </w:t>
      </w:r>
      <w:r>
        <w:rPr>
          <w:rFonts w:ascii="Traditional Arabic" w:hAnsi="Traditional Arabic" w:cs="Traditional Arabic"/>
          <w:sz w:val="30"/>
          <w:szCs w:val="30"/>
          <w:rtl/>
        </w:rPr>
        <w:t>بالنظر إلى الصلة بين هذه الانتهاكات والنزاع المسلح غير الدولي في اليمن، ينطبق القانون الدولي الإنساني أيضًا.</w:t>
      </w:r>
      <w:r>
        <w:rPr>
          <w:rFonts w:ascii="Traditional Arabic" w:hAnsi="Traditional Arabic" w:cs="Traditional Arabic"/>
          <w:sz w:val="30"/>
          <w:szCs w:val="30"/>
        </w:rPr>
        <w:t xml:space="preserve"> </w:t>
      </w:r>
      <w:r>
        <w:rPr>
          <w:rFonts w:ascii="Traditional Arabic" w:hAnsi="Traditional Arabic" w:cs="Traditional Arabic"/>
          <w:sz w:val="30"/>
          <w:szCs w:val="30"/>
          <w:rtl/>
        </w:rPr>
        <w:t>بناءً على ذلك ووفقًا لتقرير صادر عن سلطة قضائية مختصة، يمكن اعتبار الأفراد المتورطين في ارتكاب الأفعال المذكورة أعلاه أو إصدار الأوامر أو المسؤولية عن ارتكابها، مسؤولين عن جرائم الحرب التالية: التعذيب أو المعاملة القاسية أو اللاإنسانية أو الاعتداء على الكرامة الشخصية والاغتصاب وغيره من أشكال العنف الجنسي</w:t>
      </w:r>
      <w:r>
        <w:rPr>
          <w:rStyle w:val="tlid-translation"/>
          <w:lang w:bidi="ar"/>
        </w:rPr>
        <w:t>.</w:t>
      </w:r>
    </w:p>
    <w:p w14:paraId="549564F1" w14:textId="3209EC46" w:rsidR="00A27602" w:rsidRDefault="00A27602" w:rsidP="00D06937">
      <w:pPr>
        <w:pStyle w:val="ListParagraph"/>
        <w:bidi/>
        <w:spacing w:after="240" w:line="240" w:lineRule="auto"/>
        <w:ind w:left="999" w:right="1080" w:hanging="360"/>
        <w:jc w:val="both"/>
        <w:rPr>
          <w:rFonts w:ascii="Traditional Arabic" w:hAnsi="Traditional Arabic" w:cs="Traditional Arabic"/>
          <w:b/>
          <w:bCs/>
          <w:sz w:val="30"/>
          <w:szCs w:val="30"/>
          <w:rtl/>
          <w:lang w:val="en-AU"/>
        </w:rPr>
      </w:pPr>
      <w:r>
        <w:rPr>
          <w:rFonts w:ascii="Traditional Arabic" w:hAnsi="Traditional Arabic" w:cs="Traditional Arabic"/>
          <w:b/>
          <w:bCs/>
          <w:sz w:val="30"/>
          <w:szCs w:val="30"/>
          <w:rtl/>
          <w:lang w:val="en-GB"/>
        </w:rPr>
        <w:t>3</w:t>
      </w:r>
      <w:r>
        <w:rPr>
          <w:rFonts w:ascii="Traditional Arabic" w:hAnsi="Traditional Arabic" w:cs="Traditional Arabic"/>
          <w:sz w:val="30"/>
          <w:szCs w:val="30"/>
          <w:rtl/>
        </w:rPr>
        <w:t xml:space="preserve">. </w:t>
      </w:r>
      <w:r w:rsidR="00D06937">
        <w:rPr>
          <w:rFonts w:ascii="Traditional Arabic" w:hAnsi="Traditional Arabic" w:cs="Traditional Arabic"/>
          <w:sz w:val="30"/>
          <w:szCs w:val="30"/>
        </w:rPr>
        <w:tab/>
      </w:r>
      <w:r w:rsidR="00D06937">
        <w:rPr>
          <w:rFonts w:ascii="Traditional Arabic" w:hAnsi="Traditional Arabic" w:cs="Traditional Arabic"/>
          <w:sz w:val="30"/>
          <w:szCs w:val="30"/>
        </w:rPr>
        <w:tab/>
      </w:r>
      <w:r>
        <w:rPr>
          <w:rFonts w:ascii="Traditional Arabic" w:hAnsi="Traditional Arabic" w:cs="Traditional Arabic"/>
          <w:b/>
          <w:bCs/>
          <w:sz w:val="30"/>
          <w:szCs w:val="30"/>
          <w:rtl/>
        </w:rPr>
        <w:t>القتل التعسفي</w:t>
      </w:r>
    </w:p>
    <w:p w14:paraId="024E5895" w14:textId="77777777" w:rsidR="00A27602" w:rsidRDefault="00A27602" w:rsidP="00D06937">
      <w:pPr>
        <w:tabs>
          <w:tab w:val="left" w:pos="720"/>
        </w:tabs>
        <w:bidi/>
        <w:spacing w:line="240" w:lineRule="auto"/>
        <w:ind w:left="1449" w:right="1080"/>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"رأيت النار تطلق عليه ويموت أمامي. كان الأمر مرعباً ولا يمكنني التوقف عن إعادة تذكره. كان والدي وصديقي. نحن عائلة كبيرة وكلنا نعتمد عليه، عاطفيا واقتصاديا. الآن لا نعرف كيف سنستمر</w:t>
      </w:r>
      <w:r>
        <w:rPr>
          <w:rFonts w:ascii="Traditional Arabic" w:hAnsi="Traditional Arabic" w:cs="Traditional Arabic"/>
          <w:i/>
          <w:iCs/>
          <w:sz w:val="30"/>
          <w:szCs w:val="30"/>
          <w:lang w:val="en-AU"/>
        </w:rPr>
        <w:t xml:space="preserve"> ".</w:t>
      </w:r>
      <w:r>
        <w:rPr>
          <w:rFonts w:ascii="Traditional Arabic" w:hAnsi="Traditional Arabic" w:cs="Traditional Arabic"/>
          <w:i/>
          <w:iCs/>
          <w:sz w:val="30"/>
          <w:szCs w:val="30"/>
          <w:rtl/>
          <w:lang w:val="en-AU"/>
        </w:rPr>
        <w:t xml:space="preserve"> </w:t>
      </w:r>
    </w:p>
    <w:p w14:paraId="12A8F63E" w14:textId="77777777" w:rsidR="00A27602" w:rsidRDefault="00A27602" w:rsidP="00361237">
      <w:pPr>
        <w:tabs>
          <w:tab w:val="left" w:pos="720"/>
        </w:tabs>
        <w:bidi/>
        <w:spacing w:after="240" w:line="240" w:lineRule="auto"/>
        <w:ind w:left="6174" w:right="1080" w:firstLine="306"/>
        <w:rPr>
          <w:rFonts w:asciiTheme="majorBidi" w:hAnsiTheme="majorBidi" w:cstheme="majorBidi"/>
          <w:b/>
          <w:bCs/>
          <w:i/>
          <w:iCs/>
          <w:sz w:val="24"/>
          <w:szCs w:val="24"/>
          <w:rtl/>
        </w:rPr>
      </w:pPr>
      <w:r>
        <w:rPr>
          <w:rFonts w:ascii="Traditional Arabic" w:hAnsi="Traditional Arabic" w:cs="Traditional Arabic"/>
          <w:b/>
          <w:bCs/>
          <w:sz w:val="30"/>
          <w:szCs w:val="30"/>
          <w:rtl/>
          <w:lang w:val="en-AU"/>
        </w:rPr>
        <w:t>نجل ضحية اغتيال</w:t>
      </w:r>
    </w:p>
    <w:p w14:paraId="76FB5F25" w14:textId="0E454E02"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rPr>
      </w:pPr>
      <w:r>
        <w:rPr>
          <w:rFonts w:ascii="Traditional Arabic" w:hAnsi="Traditional Arabic" w:cs="Traditional Arabic"/>
          <w:sz w:val="30"/>
          <w:szCs w:val="30"/>
          <w:rtl/>
        </w:rPr>
        <w:t>بين تشرين الاول/ أكتوبر 2015 وأيار/مايو 2019، تحقق فريق الخبراء بحالات لما لا يقل عن 90 شخصًا قُتلوا، حسبما ذُكر، عن طريق إطلاق نار وانفجارات في مدينة عدن والمحافظات المحيطة بها. وتتألف عمليات القتل المستهدف البالغ عددها 90 من قادة المقاومة السابقين، وكبار موظفي الحكومة المدنية، والزعماء الدينيين، وأصحاب النفوذ المجتمعي، والذين انتقدوا المجلس الانتقالي الجنوبي والإمارات العربية المتحدة. من بين هذه الحالات، وقعت 86 حالة في الفترة ما بين 6 أكتوبر 2015 و 23 أكتوبر 2018 ، وكان الأخير هو تاريخ آخر استهداف لزعيم دي</w:t>
      </w:r>
      <w:r w:rsidR="00C30C24">
        <w:rPr>
          <w:rFonts w:ascii="Traditional Arabic" w:hAnsi="Traditional Arabic" w:cs="Traditional Arabic"/>
          <w:sz w:val="30"/>
          <w:szCs w:val="30"/>
          <w:rtl/>
        </w:rPr>
        <w:t>ني وثقه الفريق. منذ أكتوبر 2018</w:t>
      </w:r>
      <w:r>
        <w:rPr>
          <w:rFonts w:ascii="Traditional Arabic" w:hAnsi="Traditional Arabic" w:cs="Traditional Arabic"/>
          <w:sz w:val="30"/>
          <w:szCs w:val="30"/>
          <w:rtl/>
        </w:rPr>
        <w:t>، كان هناك انخفاض ملحوظ في عمليات القت</w:t>
      </w:r>
      <w:r w:rsidR="00C30C24">
        <w:rPr>
          <w:rFonts w:ascii="Traditional Arabic" w:hAnsi="Traditional Arabic" w:cs="Traditional Arabic"/>
          <w:sz w:val="30"/>
          <w:szCs w:val="30"/>
          <w:rtl/>
        </w:rPr>
        <w:t>ل المستهدف المبلغ عنها. ومع ذلك</w:t>
      </w:r>
      <w:r>
        <w:rPr>
          <w:rFonts w:ascii="Traditional Arabic" w:hAnsi="Traditional Arabic" w:cs="Traditional Arabic"/>
          <w:sz w:val="30"/>
          <w:szCs w:val="30"/>
          <w:rtl/>
        </w:rPr>
        <w:t>، بدأت التقارير تظهر مرة أخرى ابتداءً من مايو 2019 حول عمليات القتل المستهدفة لأعضاء الحراك الجنوبي المعارضين للمجلس الانتقالي الجنوبي والإمارات العربية المتحدة. لم يكمل الفريق التحقيق في عمليات القتل المستهدف التي زادت مؤخرا  وقت كتابة هذا التقرير</w:t>
      </w:r>
      <w:r>
        <w:rPr>
          <w:rFonts w:ascii="Traditional Arabic" w:hAnsi="Traditional Arabic" w:cs="Traditional Arabic"/>
          <w:sz w:val="30"/>
          <w:szCs w:val="30"/>
        </w:rPr>
        <w:t>.</w:t>
      </w:r>
    </w:p>
    <w:p w14:paraId="247E0F3F" w14:textId="5BDE61F3"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tl/>
        </w:rPr>
      </w:pPr>
      <w:r>
        <w:rPr>
          <w:rFonts w:ascii="Traditional Arabic" w:hAnsi="Traditional Arabic" w:cs="Traditional Arabic"/>
          <w:sz w:val="30"/>
          <w:szCs w:val="30"/>
          <w:rtl/>
        </w:rPr>
        <w:t xml:space="preserve">حقق فريق الخبراء في عينة من 10 حالات فردية لاغتيالات مزعومة أو محاولات اغتيال بما في ذلك حالة واحدة في العام 2015 وحالتان في العام 2017 وست حالات في العام 2018 وواحدة في العام 2019 مع التركيز على سلسلة </w:t>
      </w:r>
      <w:r>
        <w:rPr>
          <w:rFonts w:ascii="Traditional Arabic" w:hAnsi="Traditional Arabic" w:cs="Traditional Arabic"/>
          <w:sz w:val="30"/>
          <w:szCs w:val="30"/>
          <w:rtl/>
        </w:rPr>
        <w:lastRenderedPageBreak/>
        <w:t xml:space="preserve">اغتيالات الزعماء الدينيّين. تتألف الحالات التي استهدفت الزعماء الدينيّين حالة واحدة في العام 2015 واثنتان في العام 2017 وسبعة في العام 2018. </w:t>
      </w:r>
      <w:r w:rsidR="00EB4AA4">
        <w:rPr>
          <w:rStyle w:val="FootnoteReference"/>
          <w:rFonts w:cs="Traditional Arabic"/>
          <w:szCs w:val="30"/>
          <w:rtl/>
        </w:rPr>
        <w:footnoteReference w:id="350"/>
      </w:r>
    </w:p>
    <w:p w14:paraId="131BA0A8" w14:textId="77777777" w:rsidR="00A27602" w:rsidRPr="008B187E" w:rsidRDefault="00A27602" w:rsidP="00361237">
      <w:pPr>
        <w:pStyle w:val="ListParagraph"/>
        <w:tabs>
          <w:tab w:val="left" w:pos="720"/>
        </w:tabs>
        <w:bidi/>
        <w:spacing w:after="240" w:line="240" w:lineRule="auto"/>
        <w:ind w:left="1494" w:right="1080" w:hanging="765"/>
        <w:jc w:val="both"/>
        <w:rPr>
          <w:rFonts w:ascii="Traditional Arabic" w:hAnsi="Traditional Arabic" w:cs="Traditional Arabic"/>
          <w:b/>
          <w:bCs/>
          <w:sz w:val="30"/>
          <w:szCs w:val="30"/>
          <w:rtl/>
          <w:lang w:val="en-AU"/>
        </w:rPr>
      </w:pPr>
      <w:r w:rsidRPr="008B187E">
        <w:rPr>
          <w:rFonts w:ascii="Traditional Arabic" w:hAnsi="Traditional Arabic" w:cs="Traditional Arabic"/>
          <w:b/>
          <w:bCs/>
          <w:sz w:val="30"/>
          <w:szCs w:val="30"/>
          <w:rtl/>
        </w:rPr>
        <w:t>أ) ملخص الأدلة</w:t>
      </w:r>
    </w:p>
    <w:p w14:paraId="25EF0C6C" w14:textId="1CDAFF98"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heme="majorBidi" w:hAnsiTheme="majorBidi" w:cstheme="majorBidi"/>
          <w:sz w:val="20"/>
        </w:rPr>
      </w:pPr>
      <w:r>
        <w:rPr>
          <w:rFonts w:ascii="Traditional Arabic" w:hAnsi="Traditional Arabic" w:cs="Traditional Arabic"/>
          <w:sz w:val="30"/>
          <w:szCs w:val="30"/>
          <w:rtl/>
        </w:rPr>
        <w:t>في الفترة من نهاية القتال في عدن في آب/ أغسطس 2015 حتى منتصف عام 2016 ، كان الوضع الأمني في عدن غير مستقر. وورد أن تنظيم القاعدة في جزيرة العرب والدولة الإسلامية ما زالا نشطين. تضمنت الاغتيالات الـ 46 المبلغ عنها بين 6 كانون الاول/ديسمبر 2015 و 9 شباط/فبراير 2017 سلسلة من ثماني عمليات اغتيال لزعماء دينيين بارزين على مدى ثمانية أشهر بين 4 يناير 2016 و 15 أغسطس 2016. وكان أول اغتيال تم الإبلاغ عنه هو لمحافظ عدن في ذلك الوقت ، جعفر سعد، في ديسمبر 2015. أعلنت الدولة الإسلامية علانية مسؤوليتها عن اغتيال سعد ، لكن لم يتم التعرف على مرتكبيها. استعيض عن جعفر سعد بالمحافظ عيدروس الزبيدي، الذي تم اختياره بالفعل لهذا المنصب قبل مقتل جعفر</w:t>
      </w:r>
      <w:r w:rsidR="00EB4AA4">
        <w:rPr>
          <w:rFonts w:asciiTheme="majorBidi" w:hAnsiTheme="majorBidi" w:cstheme="majorBidi" w:hint="cs"/>
          <w:sz w:val="24"/>
          <w:szCs w:val="24"/>
          <w:rtl/>
        </w:rPr>
        <w:t>.</w:t>
      </w:r>
      <w:r w:rsidR="00EB4AA4">
        <w:rPr>
          <w:rStyle w:val="FootnoteReference"/>
          <w:rFonts w:cstheme="majorBidi"/>
          <w:szCs w:val="24"/>
          <w:rtl/>
        </w:rPr>
        <w:footnoteReference w:id="351"/>
      </w:r>
    </w:p>
    <w:p w14:paraId="5EBC5856" w14:textId="76E34BC7" w:rsidR="00A27602" w:rsidRDefault="00A27602" w:rsidP="00D06937">
      <w:pPr>
        <w:pStyle w:val="Footer"/>
        <w:numPr>
          <w:ilvl w:val="0"/>
          <w:numId w:val="3"/>
        </w:numPr>
        <w:tabs>
          <w:tab w:val="left" w:pos="720"/>
          <w:tab w:val="left" w:pos="1134"/>
          <w:tab w:val="left" w:pos="1701"/>
        </w:tabs>
        <w:bidi/>
        <w:spacing w:after="240" w:line="240" w:lineRule="atLeast"/>
        <w:ind w:left="1080" w:right="827"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منذ نهاية العام 2015 بدأ الحزام الأمني والإمارات العربية المتحدة بممارسة رقابة أمنية أكبر في عدن بعد الحد من نفوذ تنظيم القاعدة في جزيرة العرب وتنظيم الدولة الإسلامية</w:t>
      </w:r>
      <w:r>
        <w:rPr>
          <w:rFonts w:asciiTheme="majorBidi" w:hAnsiTheme="majorBidi" w:cstheme="majorBidi"/>
          <w:sz w:val="20"/>
        </w:rPr>
        <w:t xml:space="preserve"> </w:t>
      </w:r>
      <w:r>
        <w:rPr>
          <w:rFonts w:asciiTheme="majorBidi" w:hAnsiTheme="majorBidi"/>
          <w:sz w:val="24"/>
          <w:szCs w:val="24"/>
          <w:rtl/>
        </w:rPr>
        <w:t xml:space="preserve">. </w:t>
      </w:r>
      <w:r w:rsidR="00EB4AA4">
        <w:rPr>
          <w:rStyle w:val="FootnoteReference"/>
          <w:szCs w:val="24"/>
          <w:rtl/>
        </w:rPr>
        <w:footnoteReference w:id="352"/>
      </w:r>
      <w:r w:rsidR="00EB4AA4">
        <w:rPr>
          <w:rFonts w:asciiTheme="majorBidi" w:hAnsiTheme="majorBidi" w:hint="cs"/>
          <w:sz w:val="24"/>
          <w:szCs w:val="24"/>
          <w:rtl/>
        </w:rPr>
        <w:t xml:space="preserve"> </w:t>
      </w:r>
      <w:r>
        <w:rPr>
          <w:rFonts w:ascii="Traditional Arabic" w:hAnsi="Traditional Arabic" w:cs="Traditional Arabic"/>
          <w:sz w:val="30"/>
          <w:szCs w:val="30"/>
          <w:rtl/>
        </w:rPr>
        <w:t>وهذا توافق مع توقيت إنشاء المجلس الانتقالي الجنوبي والتحدي العلني للسلطة الحكومية</w:t>
      </w:r>
      <w:r>
        <w:rPr>
          <w:rFonts w:ascii="Traditional Arabic" w:hAnsi="Traditional Arabic" w:cs="Traditional Arabic"/>
          <w:sz w:val="30"/>
          <w:szCs w:val="30"/>
        </w:rPr>
        <w:t>.</w:t>
      </w:r>
    </w:p>
    <w:p w14:paraId="4FC92E31" w14:textId="77777777" w:rsidR="00EB4AA4" w:rsidRPr="00EB4AA4"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i/>
          <w:iCs/>
          <w:sz w:val="24"/>
          <w:szCs w:val="24"/>
        </w:rPr>
      </w:pPr>
      <w:r w:rsidRPr="00EB4AA4">
        <w:rPr>
          <w:rFonts w:ascii="Traditional Arabic" w:hAnsi="Traditional Arabic" w:cs="Traditional Arabic"/>
          <w:sz w:val="30"/>
          <w:szCs w:val="30"/>
          <w:rtl/>
        </w:rPr>
        <w:t>أوضح بيانان علنيان لشلال علي الشايع وهاني بن بريك مواقفهما. في تشرين الثاني /نوفمبر 2016 ، أصدر شلال علي الشايع بثًا تلفزيونيًا يهدد بإنهاء وجود حزب الإصلاح في عدن</w:t>
      </w:r>
      <w:r w:rsidR="00EB4AA4" w:rsidRPr="00EB4AA4">
        <w:rPr>
          <w:rStyle w:val="FootnoteReference"/>
          <w:rFonts w:asciiTheme="majorBidi" w:hAnsiTheme="majorBidi" w:hint="cs"/>
          <w:sz w:val="24"/>
          <w:szCs w:val="24"/>
          <w:rtl/>
        </w:rPr>
        <w:t>.</w:t>
      </w:r>
      <w:r w:rsidR="00EB4AA4">
        <w:rPr>
          <w:rStyle w:val="FootnoteReference"/>
          <w:szCs w:val="24"/>
          <w:rtl/>
        </w:rPr>
        <w:footnoteReference w:id="353"/>
      </w:r>
      <w:r w:rsidR="00EB4AA4" w:rsidRPr="00EB4AA4">
        <w:rPr>
          <w:rFonts w:asciiTheme="majorBidi" w:hAnsiTheme="majorBidi" w:hint="cs"/>
          <w:sz w:val="24"/>
          <w:szCs w:val="24"/>
          <w:rtl/>
        </w:rPr>
        <w:t xml:space="preserve"> </w:t>
      </w:r>
      <w:r w:rsidRPr="00EB4AA4">
        <w:rPr>
          <w:rFonts w:ascii="Traditional Arabic" w:hAnsi="Traditional Arabic" w:cs="Traditional Arabic"/>
          <w:sz w:val="30"/>
          <w:szCs w:val="30"/>
          <w:rtl/>
        </w:rPr>
        <w:t>في 10 كانون الاول/ديسمبر 2016 ، نشر هاني بن بريك رسالة على حسابه الرسمي على</w:t>
      </w:r>
      <w:r w:rsidRPr="00EB4AA4">
        <w:rPr>
          <w:rFonts w:ascii="Traditional Arabic" w:hAnsi="Traditional Arabic" w:cs="Traditional Arabic"/>
          <w:sz w:val="30"/>
          <w:szCs w:val="30"/>
        </w:rPr>
        <w:t xml:space="preserve"> </w:t>
      </w:r>
      <w:r w:rsidRPr="00EB4AA4">
        <w:rPr>
          <w:rFonts w:ascii="Traditional Arabic" w:hAnsi="Traditional Arabic" w:cs="Traditional Arabic"/>
          <w:sz w:val="30"/>
          <w:szCs w:val="30"/>
          <w:rtl/>
        </w:rPr>
        <w:t>تويتر</w:t>
      </w:r>
      <w:r w:rsidRPr="00EB4AA4">
        <w:rPr>
          <w:rFonts w:ascii="Traditional Arabic" w:hAnsi="Traditional Arabic" w:cs="Traditional Arabic"/>
          <w:sz w:val="30"/>
          <w:szCs w:val="30"/>
        </w:rPr>
        <w:t xml:space="preserve"> </w:t>
      </w:r>
      <w:r w:rsidRPr="00EB4AA4">
        <w:rPr>
          <w:rFonts w:ascii="Traditional Arabic" w:hAnsi="Traditional Arabic" w:cs="Traditional Arabic"/>
          <w:sz w:val="30"/>
          <w:szCs w:val="30"/>
          <w:rtl/>
        </w:rPr>
        <w:t xml:space="preserve">يشجع فيها على </w:t>
      </w:r>
      <w:r w:rsidRPr="00E91440">
        <w:rPr>
          <w:rFonts w:ascii="Traditional Arabic" w:hAnsi="Traditional Arabic" w:cs="Traditional Arabic"/>
          <w:i/>
          <w:iCs/>
          <w:sz w:val="30"/>
          <w:szCs w:val="30"/>
          <w:rtl/>
        </w:rPr>
        <w:t>"تطهير المساجد من الفكر الإجرامي"</w:t>
      </w:r>
      <w:r w:rsidRPr="00EB4AA4">
        <w:rPr>
          <w:rFonts w:ascii="Traditional Arabic" w:hAnsi="Traditional Arabic" w:cs="Traditional Arabic"/>
          <w:sz w:val="30"/>
          <w:szCs w:val="30"/>
          <w:rtl/>
        </w:rPr>
        <w:t xml:space="preserve"> وذكر أنه </w:t>
      </w:r>
      <w:r w:rsidRPr="00E91440">
        <w:rPr>
          <w:rFonts w:ascii="Traditional Arabic" w:hAnsi="Traditional Arabic" w:cs="Traditional Arabic"/>
          <w:i/>
          <w:iCs/>
          <w:sz w:val="30"/>
          <w:szCs w:val="30"/>
          <w:rtl/>
        </w:rPr>
        <w:t>"يجب اتخاذ موقف حازم صارم</w:t>
      </w:r>
      <w:r w:rsidRPr="00E91440">
        <w:rPr>
          <w:rFonts w:asciiTheme="majorBidi" w:hAnsiTheme="majorBidi"/>
          <w:i/>
          <w:iCs/>
          <w:sz w:val="24"/>
          <w:szCs w:val="24"/>
          <w:rtl/>
        </w:rPr>
        <w:t>"</w:t>
      </w:r>
      <w:r w:rsidR="00EB4AA4" w:rsidRPr="00EB4AA4">
        <w:rPr>
          <w:rFonts w:asciiTheme="majorBidi" w:hAnsiTheme="majorBidi" w:hint="cs"/>
          <w:sz w:val="24"/>
          <w:szCs w:val="24"/>
          <w:rtl/>
        </w:rPr>
        <w:t>.</w:t>
      </w:r>
      <w:r w:rsidR="00EB4AA4">
        <w:rPr>
          <w:rStyle w:val="FootnoteReference"/>
          <w:szCs w:val="24"/>
          <w:rtl/>
        </w:rPr>
        <w:footnoteReference w:id="354"/>
      </w:r>
      <w:r w:rsidRPr="00EB4AA4">
        <w:rPr>
          <w:rFonts w:asciiTheme="majorBidi" w:hAnsiTheme="majorBidi"/>
          <w:sz w:val="24"/>
          <w:szCs w:val="24"/>
          <w:rtl/>
        </w:rPr>
        <w:t xml:space="preserve"> </w:t>
      </w:r>
    </w:p>
    <w:p w14:paraId="5BC99E61" w14:textId="223BB1D3" w:rsidR="00A27602" w:rsidRPr="00EB4AA4" w:rsidRDefault="00A27602" w:rsidP="00E91440">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i/>
          <w:iCs/>
          <w:sz w:val="24"/>
          <w:szCs w:val="24"/>
        </w:rPr>
      </w:pPr>
      <w:r w:rsidRPr="00EB4AA4">
        <w:rPr>
          <w:rFonts w:ascii="Traditional Arabic" w:hAnsi="Traditional Arabic" w:cs="Traditional Arabic"/>
          <w:sz w:val="30"/>
          <w:szCs w:val="30"/>
          <w:rtl/>
        </w:rPr>
        <w:t>في 1 شباط/فبراير 2017 ، قام عيدروس الزبيدي وهاني بن بريك وشلال علي الشايع ببث فيديو مشترك يقول إن حزب الإصلاح خطرين "خوارج" قاموا بأذى للدين و "لا يستحقون الرحمة</w:t>
      </w:r>
      <w:r w:rsidRPr="00EB4AA4">
        <w:rPr>
          <w:rFonts w:asciiTheme="majorBidi" w:hAnsiTheme="majorBidi"/>
          <w:sz w:val="24"/>
          <w:szCs w:val="24"/>
          <w:rtl/>
        </w:rPr>
        <w:t>"</w:t>
      </w:r>
      <w:r w:rsidR="00934B22">
        <w:rPr>
          <w:rFonts w:asciiTheme="majorBidi" w:hAnsiTheme="majorBidi"/>
          <w:sz w:val="24"/>
          <w:szCs w:val="24"/>
          <w:rtl/>
        </w:rPr>
        <w:t>.</w:t>
      </w:r>
      <w:r w:rsidR="00EB4AA4">
        <w:rPr>
          <w:rStyle w:val="FootnoteReference"/>
          <w:szCs w:val="24"/>
          <w:rtl/>
        </w:rPr>
        <w:footnoteReference w:id="355"/>
      </w:r>
      <w:r w:rsidR="00934B22">
        <w:rPr>
          <w:rFonts w:asciiTheme="majorBidi" w:hAnsiTheme="majorBidi" w:hint="cs"/>
          <w:sz w:val="24"/>
          <w:szCs w:val="24"/>
          <w:rtl/>
        </w:rPr>
        <w:t xml:space="preserve"> </w:t>
      </w:r>
      <w:r w:rsidRPr="00EB4AA4">
        <w:rPr>
          <w:rFonts w:ascii="Traditional Arabic" w:hAnsi="Traditional Arabic" w:cs="Traditional Arabic"/>
          <w:sz w:val="30"/>
          <w:szCs w:val="30"/>
          <w:rtl/>
        </w:rPr>
        <w:t>في 6 أيار/مايو 2017، أحرقت قوات الحزام الأمني مقر حزب الإصلاح في عدن</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6"/>
      </w:r>
      <w:r w:rsidR="00934B22">
        <w:rPr>
          <w:rFonts w:ascii="Traditional Arabic" w:hAnsi="Traditional Arabic" w:cs="Traditional Arabic" w:hint="cs"/>
          <w:sz w:val="30"/>
          <w:szCs w:val="30"/>
          <w:rtl/>
        </w:rPr>
        <w:t xml:space="preserve"> </w:t>
      </w:r>
      <w:r w:rsidRPr="00EB4AA4">
        <w:rPr>
          <w:rFonts w:asciiTheme="majorBidi" w:hAnsiTheme="majorBidi"/>
          <w:sz w:val="24"/>
          <w:szCs w:val="24"/>
          <w:rtl/>
        </w:rPr>
        <w:t xml:space="preserve"> </w:t>
      </w:r>
      <w:r w:rsidRPr="00EB4AA4">
        <w:rPr>
          <w:rFonts w:ascii="Traditional Arabic" w:hAnsi="Traditional Arabic" w:cs="Traditional Arabic"/>
          <w:sz w:val="30"/>
          <w:szCs w:val="30"/>
          <w:rtl/>
        </w:rPr>
        <w:t>في 7 تموز/يوليو 2017 ، ألقى عيدروس الزبيدي خطابًا علنيًا أعلن فيه حظر "الإخوان المسلمين" إلى جانب "منظمات إرهابية" أخ</w:t>
      </w:r>
      <w:r w:rsidR="00E91440">
        <w:rPr>
          <w:rFonts w:ascii="Traditional Arabic" w:hAnsi="Traditional Arabic" w:cs="Traditional Arabic"/>
          <w:sz w:val="30"/>
          <w:szCs w:val="30"/>
          <w:rtl/>
        </w:rPr>
        <w:t>رى من المحافظات الجنوبية، وذكر</w:t>
      </w:r>
      <w:r w:rsidRPr="00EB4AA4">
        <w:rPr>
          <w:rFonts w:ascii="Traditional Arabic" w:hAnsi="Traditional Arabic" w:cs="Traditional Arabic"/>
          <w:sz w:val="30"/>
          <w:szCs w:val="30"/>
          <w:rtl/>
        </w:rPr>
        <w:t xml:space="preserve">، "سنتخذ الخطوات </w:t>
      </w:r>
      <w:r w:rsidRPr="00EB4AA4">
        <w:rPr>
          <w:rFonts w:ascii="Traditional Arabic" w:hAnsi="Traditional Arabic" w:cs="Traditional Arabic"/>
          <w:sz w:val="30"/>
          <w:szCs w:val="30"/>
          <w:rtl/>
        </w:rPr>
        <w:lastRenderedPageBreak/>
        <w:t>اللازمة لتحقيق ذلك.</w:t>
      </w:r>
      <w:r w:rsidR="00934B22">
        <w:rPr>
          <w:rStyle w:val="FootnoteReference"/>
          <w:rFonts w:cs="Traditional Arabic"/>
          <w:szCs w:val="30"/>
          <w:rtl/>
        </w:rPr>
        <w:footnoteReference w:id="357"/>
      </w:r>
      <w:r w:rsidRPr="00EB4AA4">
        <w:rPr>
          <w:rFonts w:ascii="Traditional Arabic" w:hAnsi="Traditional Arabic" w:cs="Traditional Arabic"/>
          <w:sz w:val="30"/>
          <w:szCs w:val="30"/>
          <w:rtl/>
        </w:rPr>
        <w:t xml:space="preserve"> في 12 أو 13 أكتوبر 2017 ، داهمت قوات الحزام الأمني مقر الإصلاح في عدن، والتي واصلوا اشغالها لغاية وقت كتابة هذا التقرير</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8"/>
      </w:r>
      <w:r w:rsidR="00934B22">
        <w:rPr>
          <w:rFonts w:ascii="Traditional Arabic" w:hAnsi="Traditional Arabic" w:cs="Traditional Arabic" w:hint="cs"/>
          <w:sz w:val="30"/>
          <w:szCs w:val="30"/>
          <w:rtl/>
        </w:rPr>
        <w:t xml:space="preserve"> </w:t>
      </w:r>
      <w:r w:rsidRPr="00EB4AA4">
        <w:rPr>
          <w:rFonts w:ascii="Traditional Arabic" w:hAnsi="Traditional Arabic" w:cs="Traditional Arabic"/>
          <w:sz w:val="30"/>
          <w:szCs w:val="30"/>
          <w:rtl/>
        </w:rPr>
        <w:t>في 13 أكتوبر 2017 ، أصدر شلال علي الشايع بثًا تلفزيونيًا عن الغارة قائلًا إن "الوقت قد حان" للإصلاح، وأنه لن يكون لهم أي مقر آمن، وأنهم سيتابعون الإصلاح بكل جهد</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59"/>
      </w:r>
    </w:p>
    <w:p w14:paraId="60CDCA93" w14:textId="6234D13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 بين 10 أكتوبر 2017 و 23 أكتوبر 2018، حدث تصعيد دراماتيكي في اغتيالات الزعماء الدينيين ومؤيدي الإصلاح. تصاعد هذا بشكل كبير في سبتمبر وأكتوبر 2018 قبل أن يتوقف فجأة. في المجموع ، كان من بين 35 ضحية ، 20 من القادة الدينيين أو الأشخاص ذوي النفوذ المنتمين إلى الإصلاح. في 18 أكتوبر 2017 ، قُتل الامام فهد اليونيسي. وبحسب ما ورد، أصدرت إدارة الأمن في عدن بيانًا في 19 أكتوبر 2017 تنكر فيه تورط هاني بن بريك بحادثة الاغتيال، لكنه ذكر أنه قابل اليونيسي في الأيام السابقة لمقتله وطلب منه مغادرة الجمعية الخيرية المدعومة من الإصلاح، ورفض القيام بذلك</w:t>
      </w:r>
      <w:r w:rsidR="00934B22">
        <w:rPr>
          <w:rFonts w:asciiTheme="majorBidi" w:hAnsiTheme="majorBidi" w:cstheme="majorBidi" w:hint="cs"/>
          <w:sz w:val="24"/>
          <w:szCs w:val="24"/>
          <w:rtl/>
        </w:rPr>
        <w:t>.</w:t>
      </w:r>
      <w:r w:rsidR="00934B22">
        <w:rPr>
          <w:rStyle w:val="FootnoteReference"/>
          <w:rFonts w:cstheme="majorBidi"/>
          <w:szCs w:val="24"/>
          <w:rtl/>
        </w:rPr>
        <w:footnoteReference w:id="360"/>
      </w:r>
    </w:p>
    <w:p w14:paraId="51E1535A" w14:textId="77777777" w:rsidR="00A27602" w:rsidRPr="00934B22" w:rsidRDefault="00A27602" w:rsidP="00361237">
      <w:pPr>
        <w:pStyle w:val="ListParagraph"/>
        <w:tabs>
          <w:tab w:val="left" w:pos="720"/>
        </w:tabs>
        <w:bidi/>
        <w:spacing w:after="240" w:line="240" w:lineRule="auto"/>
        <w:ind w:left="1494" w:right="1080" w:hanging="675"/>
        <w:jc w:val="both"/>
        <w:rPr>
          <w:rFonts w:asciiTheme="majorBidi" w:hAnsiTheme="majorBidi" w:cstheme="majorBidi"/>
          <w:b/>
          <w:bCs/>
          <w:sz w:val="24"/>
          <w:szCs w:val="24"/>
          <w:lang w:val="en-GB"/>
        </w:rPr>
      </w:pPr>
      <w:r w:rsidRPr="00934B22">
        <w:rPr>
          <w:rFonts w:asciiTheme="majorBidi" w:hAnsiTheme="majorBidi"/>
          <w:b/>
          <w:bCs/>
          <w:sz w:val="24"/>
          <w:szCs w:val="24"/>
          <w:rtl/>
          <w:lang w:val="en-GB"/>
        </w:rPr>
        <w:t>ب) تحليل</w:t>
      </w:r>
    </w:p>
    <w:p w14:paraId="4C477764" w14:textId="712D05AB" w:rsidR="00A27602" w:rsidRDefault="00D914EC" w:rsidP="00D9578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hint="cs"/>
          <w:sz w:val="30"/>
          <w:szCs w:val="30"/>
          <w:rtl/>
        </w:rPr>
        <w:t xml:space="preserve">يوجد </w:t>
      </w:r>
      <w:r w:rsidR="00A27602">
        <w:rPr>
          <w:rFonts w:ascii="Traditional Arabic" w:hAnsi="Traditional Arabic" w:cs="Traditional Arabic"/>
          <w:sz w:val="30"/>
          <w:szCs w:val="30"/>
          <w:rtl/>
        </w:rPr>
        <w:t>عوامل شائعة تدعم هذه الحالات العشرين</w:t>
      </w:r>
      <w:r>
        <w:rPr>
          <w:rFonts w:ascii="Traditional Arabic" w:hAnsi="Traditional Arabic" w:cs="Traditional Arabic" w:hint="cs"/>
          <w:sz w:val="30"/>
          <w:szCs w:val="30"/>
          <w:rtl/>
        </w:rPr>
        <w:t xml:space="preserve"> التي تشمل قادة دينيين</w:t>
      </w:r>
      <w:r w:rsidR="00A27602">
        <w:rPr>
          <w:rFonts w:ascii="Traditional Arabic" w:hAnsi="Traditional Arabic" w:cs="Traditional Arabic"/>
          <w:sz w:val="30"/>
          <w:szCs w:val="30"/>
          <w:rtl/>
        </w:rPr>
        <w:t>، إلى جانب الحالات الثماني السابقة في عام 2016، وحالة مقتل زعيم ملحد في عام 2017، وتسع من الحالات العشر التي حقق فيها الفريق</w:t>
      </w:r>
      <w:r w:rsidR="00934B22">
        <w:rPr>
          <w:rFonts w:asciiTheme="majorBidi" w:hAnsiTheme="majorBidi"/>
          <w:sz w:val="24"/>
          <w:szCs w:val="24"/>
          <w:rtl/>
        </w:rPr>
        <w:t>.</w:t>
      </w:r>
      <w:r w:rsidR="00934B22">
        <w:rPr>
          <w:rFonts w:asciiTheme="majorBidi" w:hAnsiTheme="majorBidi" w:hint="cs"/>
          <w:sz w:val="24"/>
          <w:szCs w:val="24"/>
          <w:rtl/>
        </w:rPr>
        <w:t xml:space="preserve"> </w:t>
      </w:r>
      <w:r w:rsidR="00A27602">
        <w:rPr>
          <w:rFonts w:ascii="Traditional Arabic" w:hAnsi="Traditional Arabic" w:cs="Traditional Arabic"/>
          <w:sz w:val="30"/>
          <w:szCs w:val="30"/>
          <w:rtl/>
        </w:rPr>
        <w:t>أولاً ، كان كل هؤلاء الضحايا مؤثرين رئيسيين في مجتمعهم ، قادرين على تحفيز الناس وقياده الرأي العام. ثانياً ، إنهم ينتقدوا علناً أو لا يتفقوا مع الإمارات العربية المتحدة والمجلس الانتقالي الجنوبي و / أو الحزام الأمني، وكانوا معروفين على هذا النحو من خلال انتماءاتهم أو من خلال تصريحات عامة قبل وفاتهم</w:t>
      </w:r>
      <w:r w:rsidR="00A27602">
        <w:rPr>
          <w:rFonts w:ascii="Traditional Arabic" w:hAnsi="Traditional Arabic" w:cs="Traditional Arabic"/>
          <w:sz w:val="30"/>
          <w:szCs w:val="30"/>
        </w:rPr>
        <w:t>.</w:t>
      </w:r>
    </w:p>
    <w:p w14:paraId="6CBC0D0B" w14:textId="09078033"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ثمانية حالات من بين الحالات العشر التي حقق فيها الفريق ، تتعلق بزعماء دينيون أو أشخاص مؤثرون ينتمون إلى الإصلاح. تم ربط ثلاثة من </w:t>
      </w:r>
      <w:r w:rsidR="00D95784">
        <w:rPr>
          <w:rFonts w:ascii="Traditional Arabic" w:hAnsi="Traditional Arabic" w:cs="Traditional Arabic" w:hint="cs"/>
          <w:sz w:val="30"/>
          <w:szCs w:val="30"/>
          <w:rtl/>
        </w:rPr>
        <w:t xml:space="preserve">هؤلاء </w:t>
      </w:r>
      <w:r>
        <w:rPr>
          <w:rFonts w:ascii="Traditional Arabic" w:hAnsi="Traditional Arabic" w:cs="Traditional Arabic"/>
          <w:sz w:val="30"/>
          <w:szCs w:val="30"/>
          <w:rtl/>
        </w:rPr>
        <w:t>الضحايا من خلال مواقعهم في المساجد والمؤسسات التعليمية أو الخيرية أو الدينية</w:t>
      </w:r>
      <w:r w:rsidR="00934B22">
        <w:rPr>
          <w:rFonts w:ascii="Traditional Arabic" w:hAnsi="Traditional Arabic" w:cs="Traditional Arabic" w:hint="cs"/>
          <w:sz w:val="30"/>
          <w:szCs w:val="30"/>
          <w:rtl/>
        </w:rPr>
        <w:t>.</w:t>
      </w:r>
      <w:r w:rsidR="00934B22">
        <w:rPr>
          <w:rStyle w:val="FootnoteReference"/>
          <w:rFonts w:cs="Traditional Arabic"/>
          <w:szCs w:val="30"/>
          <w:rtl/>
        </w:rPr>
        <w:footnoteReference w:id="361"/>
      </w:r>
      <w:r w:rsidR="00934B22">
        <w:rPr>
          <w:rFonts w:ascii="Traditional Arabic" w:hAnsi="Traditional Arabic" w:cs="Traditional Arabic" w:hint="cs"/>
          <w:sz w:val="30"/>
          <w:szCs w:val="30"/>
          <w:rtl/>
        </w:rPr>
        <w:t xml:space="preserve"> </w:t>
      </w:r>
      <w:r>
        <w:rPr>
          <w:rFonts w:ascii="Traditional Arabic" w:hAnsi="Traditional Arabic" w:cs="Traditional Arabic"/>
          <w:sz w:val="30"/>
          <w:szCs w:val="30"/>
          <w:rtl/>
        </w:rPr>
        <w:t>تم ربط خمس ضحايا آخرين للاغتيالات المبلغ عنها بالطريقة نفسها، بما في ذلك من حل مكانهم في المؤسسات التي قادوها. في حالة وجود زعيم ملحد، استُهدف زملاؤه لاحقًا أيضًا</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2"/>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هناك تقارير عن حالات أخرى مرتبطة مماثلة ، مثل قضايا تتعلق بالإصلاح مثل الإمام والمعلم شوقي محمد مقبل الكمادي ، والإمام والصحفي صفوان الشرابي في مايو 2018</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3"/>
      </w:r>
      <w:r>
        <w:rPr>
          <w:rFonts w:asciiTheme="majorBidi" w:hAnsiTheme="majorBidi" w:cstheme="majorBidi"/>
          <w:sz w:val="20"/>
        </w:rPr>
        <w:t xml:space="preserve"> </w:t>
      </w:r>
      <w:r>
        <w:rPr>
          <w:rFonts w:asciiTheme="majorBidi" w:hAnsiTheme="majorBidi"/>
          <w:sz w:val="24"/>
          <w:szCs w:val="24"/>
          <w:rtl/>
        </w:rPr>
        <w:t xml:space="preserve"> </w:t>
      </w:r>
      <w:r>
        <w:rPr>
          <w:rFonts w:ascii="Traditional Arabic" w:hAnsi="Traditional Arabic" w:cs="Traditional Arabic"/>
          <w:sz w:val="30"/>
          <w:szCs w:val="30"/>
          <w:rtl/>
        </w:rPr>
        <w:t xml:space="preserve">وجدير بالذكر أنه في ثلاث حالات تم التحقيق فيها ، تم استبدال الأئمة الذين تم القضاء </w:t>
      </w:r>
      <w:r>
        <w:rPr>
          <w:rFonts w:ascii="Traditional Arabic" w:hAnsi="Traditional Arabic" w:cs="Traditional Arabic"/>
          <w:sz w:val="30"/>
          <w:szCs w:val="30"/>
          <w:rtl/>
        </w:rPr>
        <w:lastRenderedPageBreak/>
        <w:t>عليهم بأئمة لم ينتقدوا دولة الإمارات العربية المتحدة أو المجلس الانتقالي الجنوبي أو الحزام الأمني</w:t>
      </w:r>
      <w:r>
        <w:rPr>
          <w:rStyle w:val="FootnoteReference"/>
          <w:rFonts w:asciiTheme="majorBidi" w:hAnsiTheme="majorBidi" w:cstheme="majorBidi"/>
          <w:sz w:val="20"/>
        </w:rPr>
        <w:footnoteReference w:id="364"/>
      </w:r>
      <w:r>
        <w:rPr>
          <w:rFonts w:asciiTheme="majorBidi" w:hAnsiTheme="majorBidi" w:cstheme="majorBidi"/>
          <w:sz w:val="24"/>
          <w:szCs w:val="24"/>
        </w:rPr>
        <w:t>.</w:t>
      </w:r>
    </w:p>
    <w:p w14:paraId="054D5769" w14:textId="7960DA58"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من بين 28 حالة اغتيال لزعماء دينيين، قتل 16 في حي المنصورة في عدن. كل هؤلاء الضحايا كانوا معروفين باسم السلفيين أو أعضاء أو مؤيدي الإصلاح. قُتل غالبية الثمانية والعشرين في إطلاق نار من قبل الجناة باستخدام المركبات. أخفى الجناة هويتهم وفي بعض الحالات استخدموا الأسلحة الصامتة. جميع الحالات الـ 28 المبلغ عنها وجميع الحالات العشر التي تم التحقيق فيها وقعت في إقليم يسيطر عليه الحزام الأمني. في خمس من أصل 10 </w:t>
      </w:r>
      <w:r w:rsidR="00D95784">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حالات </w:t>
      </w:r>
      <w:r w:rsidR="00D95784">
        <w:rPr>
          <w:rFonts w:ascii="Traditional Arabic" w:hAnsi="Traditional Arabic" w:cs="Traditional Arabic" w:hint="cs"/>
          <w:sz w:val="30"/>
          <w:szCs w:val="30"/>
          <w:rtl/>
        </w:rPr>
        <w:t xml:space="preserve">التي </w:t>
      </w:r>
      <w:r>
        <w:rPr>
          <w:rFonts w:ascii="Traditional Arabic" w:hAnsi="Traditional Arabic" w:cs="Traditional Arabic"/>
          <w:sz w:val="30"/>
          <w:szCs w:val="30"/>
          <w:rtl/>
        </w:rPr>
        <w:t>تم التحقيق فيها، تم التعرف على الجناة الأفراد من قبل الشهود كجزء من الحزام الأمني وفي حاله واحده من قوات الإمارات العربية المتحدة</w:t>
      </w:r>
      <w:r>
        <w:rPr>
          <w:rStyle w:val="FootnoteReference"/>
          <w:rFonts w:asciiTheme="majorBidi" w:hAnsiTheme="majorBidi" w:cstheme="majorBidi"/>
          <w:sz w:val="20"/>
        </w:rPr>
        <w:footnoteReference w:id="365"/>
      </w:r>
      <w:r>
        <w:rPr>
          <w:rFonts w:asciiTheme="majorBidi" w:hAnsiTheme="majorBidi"/>
          <w:sz w:val="24"/>
          <w:szCs w:val="24"/>
          <w:rtl/>
        </w:rPr>
        <w:t xml:space="preserve">. </w:t>
      </w:r>
      <w:r>
        <w:rPr>
          <w:rFonts w:ascii="Traditional Arabic" w:hAnsi="Traditional Arabic" w:cs="Traditional Arabic"/>
          <w:sz w:val="30"/>
          <w:szCs w:val="30"/>
          <w:rtl/>
        </w:rPr>
        <w:t>في أربع حالات أخرى ، وقع الاغتيال جزئيًا أو كليًا في محيط أو بالقرب من مواقع الحزام الامني</w:t>
      </w:r>
      <w:r>
        <w:rPr>
          <w:rStyle w:val="FootnoteReference"/>
          <w:rFonts w:asciiTheme="majorBidi" w:hAnsiTheme="majorBidi" w:cstheme="majorBidi"/>
          <w:sz w:val="20"/>
        </w:rPr>
        <w:footnoteReference w:id="366"/>
      </w:r>
      <w:r>
        <w:rPr>
          <w:rFonts w:asciiTheme="majorBidi" w:hAnsiTheme="majorBidi" w:cstheme="majorBidi"/>
          <w:sz w:val="24"/>
          <w:szCs w:val="24"/>
        </w:rPr>
        <w:t>.</w:t>
      </w:r>
    </w:p>
    <w:p w14:paraId="031F06BA" w14:textId="047E04DD"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ثلاث مناسبات خلال الفترة 2017-2018 ، اقترب ضباط الإمارات العربية المتحدة من المحتجزين في مرفق قاعدة البريقة للتحالف ممن كانوا من الحزام الأمني السابق أو مقاتلي المقاومة وطلبوا منهم أن يصبحوا قتلة. عندما رفضوا القيام بذلك ، حاول موظفو الإمارات العربية المتحدة إكراههم بالاعتقال المطول والتعذيب ، بما في ذلك العنف الجنسي</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7"/>
      </w:r>
    </w:p>
    <w:p w14:paraId="5851CE28" w14:textId="756067C0" w:rsidR="00A27602" w:rsidRDefault="00A27602" w:rsidP="00D95784">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يتزامن وقف اغتيال الزعماء الدينيين في 23 </w:t>
      </w:r>
      <w:r w:rsidR="00D95784">
        <w:rPr>
          <w:rFonts w:ascii="Traditional Arabic" w:hAnsi="Traditional Arabic" w:cs="Traditional Arabic" w:hint="cs"/>
          <w:sz w:val="30"/>
          <w:szCs w:val="30"/>
          <w:rtl/>
        </w:rPr>
        <w:t xml:space="preserve">تشرين الأول/ </w:t>
      </w:r>
      <w:r>
        <w:rPr>
          <w:rFonts w:ascii="Traditional Arabic" w:hAnsi="Traditional Arabic" w:cs="Traditional Arabic"/>
          <w:sz w:val="30"/>
          <w:szCs w:val="30"/>
          <w:rtl/>
        </w:rPr>
        <w:t xml:space="preserve">أكتوبر 2018 والانخفاض الملحوظ في الاغتيالات في عدن من ذلك الحين وحتى </w:t>
      </w:r>
      <w:r w:rsidR="00D95784">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 xml:space="preserve">مايو 2019 مع سيطرة دولة الإمارات العربية المتحدة والمجلس الانتقالي الجنوبي والحزام الأمني بشكل متزايد في الجنوب. ومع ذلك، قيل إن ما بين 1 و 28 </w:t>
      </w:r>
      <w:r w:rsidR="00D95784">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2019 قُتل ثلاثة من أعضاء الحركة الجنوبية الذين عارضوا المجلس الانتقالي الجنوبي في ثلاث عمليات اغتيال منفصلة في عدن. كما تلقى أعضاء الحركة الجنوبية تهديدات واحتُجزوا</w:t>
      </w:r>
      <w:r w:rsidR="00D95784">
        <w:rPr>
          <w:rFonts w:ascii="Traditional Arabic" w:hAnsi="Traditional Arabic" w:cs="Traditional Arabic" w:hint="cs"/>
          <w:sz w:val="30"/>
          <w:szCs w:val="30"/>
          <w:rtl/>
        </w:rPr>
        <w:t xml:space="preserve"> على الأقل </w:t>
      </w:r>
      <w:r>
        <w:rPr>
          <w:rFonts w:ascii="Traditional Arabic" w:hAnsi="Traditional Arabic" w:cs="Traditional Arabic"/>
          <w:sz w:val="30"/>
          <w:szCs w:val="30"/>
          <w:rtl/>
        </w:rPr>
        <w:t xml:space="preserve">حتى </w:t>
      </w:r>
      <w:r w:rsidR="00D95784">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بسبب تعبيرهم عن مشاعر معادية للجنوب أو  للإمارات العربية المتحدة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68"/>
      </w:r>
    </w:p>
    <w:p w14:paraId="555EC467" w14:textId="248B2DEA"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من خلال بث تلفزيوني في سبتمبر 2018 ومن خلال التصريحات العامة في نوفمبر 2018، هاني بن بريك صرح بأن أعضاء حزب الإصلاح الذين تم اغتيالهم قتلوا على أيدي أعضاء الإصلاح الآخرين بعد أن بدأوا يدعمون الانفصالية الجنوبية</w:t>
      </w:r>
      <w:r>
        <w:rPr>
          <w:rStyle w:val="FootnoteReference"/>
          <w:rFonts w:asciiTheme="majorBidi" w:hAnsiTheme="majorBidi" w:cstheme="majorBidi"/>
          <w:sz w:val="20"/>
        </w:rPr>
        <w:footnoteReference w:id="369"/>
      </w:r>
      <w:r>
        <w:rPr>
          <w:rFonts w:asciiTheme="majorBidi" w:hAnsiTheme="majorBidi"/>
          <w:sz w:val="24"/>
          <w:szCs w:val="24"/>
          <w:rtl/>
        </w:rPr>
        <w:t xml:space="preserve">. </w:t>
      </w:r>
      <w:r>
        <w:rPr>
          <w:rFonts w:ascii="Traditional Arabic" w:hAnsi="Traditional Arabic" w:cs="Traditional Arabic"/>
          <w:sz w:val="30"/>
          <w:szCs w:val="30"/>
          <w:rtl/>
        </w:rPr>
        <w:t>في ديسمبر 2018، صرح هاني بن بريك خلال مقابلة مع صحفي أن الإمارات العربية المتحدة كانت تدعم "القتال" ضد الإصلاح</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0"/>
      </w:r>
    </w:p>
    <w:p w14:paraId="2FA1752B" w14:textId="758EC4B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في 4 كانون الأول / ديسمبر 2018 ، وفي أوج الاغتيالات ، نُشر فيديو من خلال المصادر المفتوحه  يُسمي 10 من مرتكبي الجرائم كانوا جزءًا من </w:t>
      </w:r>
      <w:r>
        <w:rPr>
          <w:rFonts w:ascii="Traditional Arabic" w:hAnsi="Traditional Arabic" w:cs="Traditional Arabic"/>
          <w:sz w:val="30"/>
          <w:szCs w:val="30"/>
          <w:rtl/>
        </w:rPr>
        <w:lastRenderedPageBreak/>
        <w:t>خلية اغتيال داخل الحزام الأمني، ولا سيما وحدة مكافحة الإرهاب. قيل إن مؤلف هذا الفيديو قُتل. في عام 2019، اعتقلت السلطات الحكومية ثلاثة من هؤلاء الأفراد للاشتباه في سلسلة من الاغتيالات، بما في ذلك واحدة على الأقل من الحالات التي حققت فيها المجموعة. وتعرض المسؤولون الذين يحققون ويلاحقون قضائياً هذه القضايا للتخويف والتهديدات من الإمارات العربية المتحدة وقوات الحزام الأمني. في فبراير 2019، تم توجيه الاتهام رسميًا إلى هؤلاء الأفراد الثلاثة في انتظار المحاكمة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1"/>
      </w:r>
    </w:p>
    <w:p w14:paraId="6018AC9D" w14:textId="7EEFE5A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في 17 يوليو 2019 ، بالتزامن مع إعلان دولة الإمارات العربية المتحدة بسحب بعض قواتها من اليمن ، أفادت التقارير بأن المدعي العام أصدر وثائق لم يتم التحقق منها تتضمن تفاصيل الاتهامات مرة أخرى للمتهمين الثلاثة. ذكرت هذه الوثائق أن هاني بن بريك كان قد أمر هؤلاء الثلاثة وساعدهم لقتل ما يصل إلى 26 من القادة الدينيين منذ عام 2016 ، مع الاشتباه في تورط قائد إماراتي</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2"/>
      </w:r>
    </w:p>
    <w:p w14:paraId="2DA2F381" w14:textId="46547930"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فيما يلي أربع حالات اغتيال أو محاولات اغتيال حقق فيها الفريق. لا يتم نشر تفاصيل الحالات الست الإضافية التي تم التحقيق فيها بسبب مخاوف تتعلق بالحماية. تستند استنتاجات الفريق في هذه الحالات إلى مجموع الأدلة في جميع هذه الحالات مع الأدلة والملاحظات المذكورة أعلاه</w:t>
      </w:r>
      <w:r>
        <w:rPr>
          <w:rFonts w:ascii="Traditional Arabic" w:hAnsi="Traditional Arabic" w:cs="Traditional Arabic"/>
          <w:sz w:val="30"/>
          <w:szCs w:val="30"/>
        </w:rPr>
        <w:t>.</w:t>
      </w:r>
    </w:p>
    <w:p w14:paraId="5F6467FD" w14:textId="77777777" w:rsidR="00A27602"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مثال الحالة 1: محاولة اغتيال النائب أنصاف علي مايو</w:t>
      </w:r>
    </w:p>
    <w:p w14:paraId="29F643BB" w14:textId="3CA0E59D"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29 أكتوبر 2015 ، الساعة 22:00 في مكتب الإصلاح في عدن، كريتر، حاولت قوات الإمارات العربية المتحدة، بما في ذلك مرتزقة أجانب قتل عضو البرلمان الإصلاحي أنصاف علي مايو وذلك من خلال تفجير الجزء الأمامي من المبنى. لم يكن انصاف موجودا في المبنى في ذلك الوقت. كان هناك خمسة وعشرون مدنياً، من بينهم 10 صحفيين يعملون في وسائل الإعلام الدولية، وموظفو حزب الإصلاح، وكان بعضهم يقيمون في ممتلكاتهم في ذلك المبنى. رغم عدم وجود دليل على أن الانفجار تسبب في وقوع إصابات في صفوف المدنيين، إلا أن عددًا من المدنيين أصيبوا بالرصاص من قبل هؤلاء المرتزقة</w:t>
      </w:r>
      <w:r>
        <w:rPr>
          <w:rStyle w:val="FootnoteReference"/>
          <w:rFonts w:asciiTheme="majorBidi" w:hAnsiTheme="majorBidi" w:cstheme="majorBidi"/>
          <w:sz w:val="20"/>
        </w:rPr>
        <w:footnoteReference w:id="373"/>
      </w:r>
      <w:r>
        <w:rPr>
          <w:rFonts w:asciiTheme="majorBidi" w:hAnsiTheme="majorBidi" w:cstheme="majorBidi"/>
          <w:sz w:val="24"/>
          <w:szCs w:val="24"/>
        </w:rPr>
        <w:t>.</w:t>
      </w:r>
      <w:r>
        <w:rPr>
          <w:rStyle w:val="FootnoteReference"/>
          <w:rFonts w:asciiTheme="majorBidi" w:hAnsiTheme="majorBidi" w:cstheme="majorBidi"/>
          <w:sz w:val="20"/>
        </w:rPr>
        <w:t xml:space="preserve"> </w:t>
      </w:r>
    </w:p>
    <w:p w14:paraId="67912935" w14:textId="3445537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أنصاف هو عضو في البرلمان عن مديرية كريتر، ورئيس حزب الإصلاح البرلماني وشخصية بارزة في البرلمان العربي. كان الموقع في السابق مقرًا لقسم الإعلام في الإصلاح، وأصبح مقرًا للإصلاح في عدن، فضلاً عن كونه ملاذًا آمنًا للصحفيين المستقلين، بمن فيهم الفارين من الحوثيين. كان الموقع مجرد مكتب مدني، وعُرف باسمه على هذا النحو، وكان حارس الأمن المدني الوحيد معروف وغير مسلح</w:t>
      </w:r>
      <w:r>
        <w:rPr>
          <w:rStyle w:val="FootnoteReference"/>
          <w:rFonts w:asciiTheme="majorBidi" w:hAnsiTheme="majorBidi" w:cstheme="majorBidi"/>
          <w:sz w:val="20"/>
        </w:rPr>
        <w:footnoteReference w:id="374"/>
      </w:r>
      <w:r>
        <w:rPr>
          <w:rFonts w:asciiTheme="majorBidi" w:hAnsiTheme="majorBidi"/>
          <w:sz w:val="24"/>
          <w:szCs w:val="24"/>
          <w:rtl/>
        </w:rPr>
        <w:t xml:space="preserve">. </w:t>
      </w:r>
      <w:r>
        <w:rPr>
          <w:rFonts w:ascii="Traditional Arabic" w:hAnsi="Traditional Arabic" w:cs="Traditional Arabic"/>
          <w:sz w:val="30"/>
          <w:szCs w:val="30"/>
          <w:rtl/>
        </w:rPr>
        <w:t xml:space="preserve">بعد اغتيال جعفر سعد، أصبح أنصاف الشخصية </w:t>
      </w:r>
      <w:r>
        <w:rPr>
          <w:rFonts w:ascii="Traditional Arabic" w:hAnsi="Traditional Arabic" w:cs="Traditional Arabic"/>
          <w:sz w:val="30"/>
          <w:szCs w:val="30"/>
          <w:rtl/>
        </w:rPr>
        <w:lastRenderedPageBreak/>
        <w:t>السياسية الأكثر نفوذاً.</w:t>
      </w:r>
      <w:r w:rsidR="00387A2C">
        <w:rPr>
          <w:rStyle w:val="FootnoteReference"/>
          <w:rFonts w:cs="Traditional Arabic"/>
          <w:szCs w:val="30"/>
          <w:rtl/>
        </w:rPr>
        <w:footnoteReference w:id="375"/>
      </w:r>
      <w:r>
        <w:rPr>
          <w:rFonts w:ascii="Traditional Arabic" w:hAnsi="Traditional Arabic" w:cs="Traditional Arabic"/>
          <w:sz w:val="30"/>
          <w:szCs w:val="30"/>
        </w:rPr>
        <w:t xml:space="preserve"> </w:t>
      </w:r>
      <w:r>
        <w:rPr>
          <w:rFonts w:ascii="Traditional Arabic" w:hAnsi="Traditional Arabic" w:cs="Traditional Arabic"/>
          <w:sz w:val="30"/>
          <w:szCs w:val="30"/>
          <w:rtl/>
        </w:rPr>
        <w:t xml:space="preserve"> قبل الحادث الذي وقع في ديسمبر 2015، هدد أعضاء من الحراك الجنوبي والسلفيين باقتحام المكتب في 31 ديسمبر 2015</w:t>
      </w:r>
      <w:r>
        <w:rPr>
          <w:rFonts w:ascii="Traditional Arabic" w:hAnsi="Traditional Arabic" w:cs="Traditional Arabic"/>
          <w:sz w:val="30"/>
          <w:szCs w:val="3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76"/>
      </w:r>
    </w:p>
    <w:p w14:paraId="46E6D302" w14:textId="1F4CC34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كان الموقع تحت سيطرة الحزام الأمني. كان محاط بثلاث نقاط تفتيش دائمة ، تقع على بعد 50 إلى 400 متر. وصلت قوات ومرتزقة دولة الإمارات العربية المتحدة إلى المنطقة عبر نقطة تفتيش للحزام الأمني على بعد 300 متر ، وغادرت المنطقة عبر نقطة تفتيش أخرى على بعد 150 متر. في الهجمات اللاحقة ، احتلت قوات الحزام الأمني المبنى ومنذ أكتوبر 2017، أصبح مركز الحزام الأمني</w:t>
      </w:r>
      <w:r>
        <w:rPr>
          <w:rStyle w:val="FootnoteReference"/>
          <w:rFonts w:asciiTheme="majorBidi" w:hAnsiTheme="majorBidi" w:cstheme="majorBidi"/>
          <w:sz w:val="20"/>
        </w:rPr>
        <w:footnoteReference w:id="377"/>
      </w:r>
      <w:r>
        <w:rPr>
          <w:rFonts w:asciiTheme="majorBidi" w:hAnsiTheme="majorBidi"/>
          <w:sz w:val="24"/>
          <w:szCs w:val="24"/>
          <w:rtl/>
        </w:rPr>
        <w:t xml:space="preserve">. </w:t>
      </w:r>
      <w:r>
        <w:rPr>
          <w:rFonts w:ascii="Traditional Arabic" w:hAnsi="Traditional Arabic" w:cs="Traditional Arabic"/>
          <w:sz w:val="30"/>
          <w:szCs w:val="30"/>
          <w:rtl/>
        </w:rPr>
        <w:t>تم تعيين المرتزقة، ودفع رواتبهم وتجهيزهم، وتزويدهم بالمعلومات الاستخبارية من قبل أفراد دولة الإمارات العربية المتحدة، ثم كلفوا بقتل عدد من الأهداف من الإصلاح</w:t>
      </w:r>
      <w:r>
        <w:rPr>
          <w:rFonts w:asciiTheme="majorBidi" w:hAnsiTheme="majorBidi"/>
          <w:sz w:val="24"/>
          <w:szCs w:val="24"/>
          <w:rtl/>
        </w:rPr>
        <w:t xml:space="preserve"> </w:t>
      </w:r>
      <w:r>
        <w:rPr>
          <w:rStyle w:val="FootnoteReference"/>
          <w:rFonts w:asciiTheme="majorBidi" w:hAnsiTheme="majorBidi" w:cstheme="majorBidi"/>
          <w:sz w:val="20"/>
        </w:rPr>
        <w:footnoteReference w:id="378"/>
      </w:r>
      <w:r>
        <w:rPr>
          <w:rFonts w:asciiTheme="majorBidi" w:hAnsiTheme="majorBidi"/>
          <w:sz w:val="24"/>
          <w:szCs w:val="24"/>
          <w:rtl/>
        </w:rPr>
        <w:t xml:space="preserve">. </w:t>
      </w:r>
      <w:r>
        <w:rPr>
          <w:rFonts w:ascii="Traditional Arabic" w:hAnsi="Traditional Arabic" w:cs="Traditional Arabic"/>
          <w:sz w:val="30"/>
          <w:szCs w:val="30"/>
          <w:rtl/>
        </w:rPr>
        <w:t>لقد تم منحهم رتب عسكرية وزي عسكري اماراتي، وكانوا جزءًا من الهيكل القيادي التابع لوزارة الدفاع لدولة الإمارات العربية المتحدة. لقد رافقتهم قوات اماراتيه ليتمكنوا من الوصول إلى المناطق في عدن أثناء عملياتهم</w:t>
      </w:r>
      <w:r>
        <w:rPr>
          <w:rStyle w:val="FootnoteReference"/>
          <w:rFonts w:asciiTheme="majorBidi" w:hAnsiTheme="majorBidi" w:cstheme="majorBidi"/>
          <w:sz w:val="20"/>
        </w:rPr>
        <w:footnoteReference w:id="379"/>
      </w:r>
      <w:r>
        <w:rPr>
          <w:rFonts w:asciiTheme="majorBidi" w:hAnsiTheme="majorBidi" w:cstheme="majorBidi"/>
          <w:sz w:val="24"/>
          <w:szCs w:val="24"/>
        </w:rPr>
        <w:t>.</w:t>
      </w:r>
    </w:p>
    <w:p w14:paraId="2039DE21" w14:textId="77777777" w:rsidR="00A27602"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lang w:val="en-AU"/>
        </w:rPr>
        <w:t>مثال الحالة الثانية: اغتيال الإمام فهد اليونيسي</w:t>
      </w:r>
    </w:p>
    <w:p w14:paraId="670B48C4" w14:textId="21978A8B" w:rsidR="00A27602" w:rsidRDefault="004C35C0"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hint="cs"/>
          <w:sz w:val="30"/>
          <w:szCs w:val="30"/>
          <w:rtl/>
        </w:rPr>
        <w:t>في</w:t>
      </w:r>
      <w:r w:rsidR="00A27602">
        <w:rPr>
          <w:rFonts w:ascii="Traditional Arabic" w:hAnsi="Traditional Arabic" w:cs="Traditional Arabic"/>
          <w:sz w:val="30"/>
          <w:szCs w:val="30"/>
          <w:rtl/>
        </w:rPr>
        <w:t xml:space="preserve"> 18 أكتوبر 2017، الساعة 04:45 في المنصورة بلوك 23، عدن، قَتلَ مسلح الإمام فهد اليونيسي بإطلاق النار عليه مرة واحدة في رأسه</w:t>
      </w:r>
      <w:r>
        <w:rPr>
          <w:rFonts w:ascii="Traditional Arabic" w:hAnsi="Traditional Arabic" w:cs="Traditional Arabic" w:hint="cs"/>
          <w:sz w:val="30"/>
          <w:szCs w:val="30"/>
          <w:rtl/>
        </w:rPr>
        <w:t>.</w:t>
      </w:r>
      <w:r>
        <w:rPr>
          <w:rStyle w:val="FootnoteReference"/>
          <w:rFonts w:cs="Traditional Arabic"/>
          <w:szCs w:val="30"/>
          <w:rtl/>
        </w:rPr>
        <w:footnoteReference w:id="380"/>
      </w:r>
      <w:r w:rsidR="00A27602">
        <w:rPr>
          <w:rFonts w:ascii="Traditional Arabic" w:hAnsi="Traditional Arabic" w:cs="Traditional Arabic"/>
          <w:sz w:val="30"/>
          <w:szCs w:val="30"/>
          <w:rtl/>
        </w:rPr>
        <w:t xml:space="preserve"> تقع المنطقة المحيطة بمكان عملية الاغتيال تحت سيطرة قوات الحزام الامني حيث هناك نقطه تابعه لهم تقع على بعد 100-150 متر</w:t>
      </w:r>
      <w:r w:rsidR="00A27602">
        <w:rPr>
          <w:rStyle w:val="FootnoteReference"/>
          <w:rFonts w:asciiTheme="majorBidi" w:hAnsiTheme="majorBidi" w:cstheme="majorBidi"/>
          <w:sz w:val="20"/>
        </w:rPr>
        <w:footnoteReference w:id="381"/>
      </w:r>
      <w:r w:rsidR="00A27602">
        <w:rPr>
          <w:rFonts w:asciiTheme="majorBidi" w:hAnsiTheme="majorBidi"/>
          <w:sz w:val="24"/>
          <w:szCs w:val="24"/>
          <w:rtl/>
        </w:rPr>
        <w:t xml:space="preserve">. </w:t>
      </w:r>
      <w:r w:rsidR="00A27602">
        <w:rPr>
          <w:rFonts w:ascii="Traditional Arabic" w:hAnsi="Traditional Arabic" w:cs="Traditional Arabic"/>
          <w:sz w:val="30"/>
          <w:szCs w:val="30"/>
          <w:rtl/>
        </w:rPr>
        <w:t>كان اليونسي إمام وخطيب مسجد الصحابة في المنصورة. وكان مدير مدارس البنيان. كان جزءًا من جمعية الحكمة اليمنية الخيرية مع أئمة آخرين وشارك في أعمال خيرية. كان ينظر إليه على أنه قريب من الإصلاح، لكنه ليس عضوًا في الحزب. في وقت اغتياله، كان على وشك أن يتم تعيينه مسؤولاً في وزارة الأوقاف الدينية في الحكومة اليمنية. تناول اليونسي القضايا السياسية والاجتماعية، وندد بالفساد وتحدث عن الوضع الاقتصادي السيء</w:t>
      </w:r>
      <w:r w:rsidR="00A27602">
        <w:rPr>
          <w:rStyle w:val="FootnoteReference"/>
          <w:rFonts w:asciiTheme="majorBidi" w:hAnsiTheme="majorBidi" w:cstheme="majorBidi"/>
          <w:sz w:val="20"/>
        </w:rPr>
        <w:footnoteReference w:id="382"/>
      </w:r>
      <w:r w:rsidR="00A27602">
        <w:rPr>
          <w:rFonts w:asciiTheme="majorBidi" w:hAnsiTheme="majorBidi" w:cstheme="majorBidi"/>
          <w:sz w:val="24"/>
          <w:szCs w:val="24"/>
        </w:rPr>
        <w:t>.</w:t>
      </w:r>
    </w:p>
    <w:p w14:paraId="36F36A8F" w14:textId="42FFDD2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نهاية العام 2016، اتهمت مجموعة من أنصار الحراك الجنوبي فهد اليونيسي بأنه مع حزب الإصلاح ونظم مظاهرات. صرح شلال علي الشايع علناً بأن اليونيسي كان يخضع للمراقبة من قبل قوات الأمن، لكنهم لم يعثروا على أي دليل على ارتكاب أي مخالفات بحقه</w:t>
      </w:r>
      <w:r>
        <w:rPr>
          <w:rStyle w:val="FootnoteReference"/>
          <w:rFonts w:asciiTheme="majorBidi" w:hAnsiTheme="majorBidi" w:cstheme="majorBidi"/>
          <w:sz w:val="20"/>
        </w:rPr>
        <w:footnoteReference w:id="383"/>
      </w:r>
      <w:r>
        <w:rPr>
          <w:rFonts w:asciiTheme="majorBidi" w:hAnsiTheme="majorBidi"/>
          <w:sz w:val="24"/>
          <w:szCs w:val="24"/>
          <w:rtl/>
        </w:rPr>
        <w:t xml:space="preserve">. </w:t>
      </w:r>
      <w:r>
        <w:rPr>
          <w:rFonts w:ascii="Traditional Arabic" w:hAnsi="Traditional Arabic" w:cs="Traditional Arabic"/>
          <w:sz w:val="30"/>
          <w:szCs w:val="30"/>
          <w:rtl/>
        </w:rPr>
        <w:t>في كانون الأول/ ديسمبر 2016، نشر هاني بن بريك علناً الاسم الكامل وعنوان اليونيسي وعنوانه على الإنترنت قائلًا إن إرهابيًا عاش في ذلك الموقع، وقيل إنه قابله في الأيام التي سبقت وفاته، وطلب منه مغادرة جمعية الحكمة الخيرية، ولكنه رفض</w:t>
      </w:r>
      <w:r>
        <w:rPr>
          <w:rFonts w:ascii="Traditional Arabic" w:hAnsi="Traditional Arabic" w:cs="Traditional Arabic"/>
          <w:sz w:val="30"/>
          <w:szCs w:val="30"/>
        </w:rPr>
        <w:t xml:space="preserve"> </w:t>
      </w:r>
      <w:r>
        <w:rPr>
          <w:rFonts w:ascii="Traditional Arabic" w:hAnsi="Traditional Arabic" w:cs="Traditional Arabic"/>
          <w:sz w:val="30"/>
          <w:szCs w:val="30"/>
          <w:rtl/>
        </w:rPr>
        <w:t>القيام بذلك</w:t>
      </w:r>
      <w:r w:rsidR="004C35C0">
        <w:rPr>
          <w:rFonts w:ascii="Traditional Arabic" w:hAnsi="Traditional Arabic" w:cs="Traditional Arabic" w:hint="cs"/>
          <w:sz w:val="30"/>
          <w:szCs w:val="30"/>
          <w:rtl/>
        </w:rPr>
        <w:t>.</w:t>
      </w:r>
      <w:r>
        <w:rPr>
          <w:rFonts w:ascii="Traditional Arabic" w:hAnsi="Traditional Arabic" w:cs="Traditional Arabic"/>
          <w:sz w:val="30"/>
          <w:szCs w:val="30"/>
          <w:rtl/>
        </w:rPr>
        <w:t xml:space="preserve"> </w:t>
      </w:r>
      <w:r w:rsidR="004C35C0">
        <w:rPr>
          <w:rStyle w:val="FootnoteReference"/>
          <w:rFonts w:cs="Traditional Arabic"/>
          <w:szCs w:val="30"/>
          <w:rtl/>
        </w:rPr>
        <w:footnoteReference w:id="384"/>
      </w:r>
      <w:r>
        <w:rPr>
          <w:rFonts w:ascii="Traditional Arabic" w:hAnsi="Traditional Arabic" w:cs="Traditional Arabic"/>
          <w:sz w:val="30"/>
          <w:szCs w:val="30"/>
          <w:rtl/>
        </w:rPr>
        <w:t xml:space="preserve">في </w:t>
      </w:r>
      <w:r>
        <w:rPr>
          <w:rFonts w:ascii="Traditional Arabic" w:hAnsi="Traditional Arabic" w:cs="Traditional Arabic"/>
          <w:sz w:val="30"/>
          <w:szCs w:val="30"/>
          <w:rtl/>
        </w:rPr>
        <w:lastRenderedPageBreak/>
        <w:t>أكتوبر 2017، وقبل وفاته، قام اليونيسي بنشر سلسلة من المنشورات عبر وسائل التواصل الاجتماعي تتحدى السلطات وتدعو إلى عقد جلسات تعليمية في المساجد لتوفير ملجأ للناس بعيدا عن مناقشة القضايا السياسية</w:t>
      </w:r>
      <w:r>
        <w:rPr>
          <w:rFonts w:ascii="Traditional Arabic" w:hAnsi="Traditional Arabic" w:cs="Traditional Arabic"/>
          <w:sz w:val="30"/>
          <w:szCs w:val="30"/>
        </w:rPr>
        <w:t xml:space="preserve">. </w:t>
      </w:r>
      <w:r>
        <w:rPr>
          <w:rStyle w:val="FootnoteReference"/>
          <w:rFonts w:asciiTheme="majorBidi" w:hAnsiTheme="majorBidi" w:cstheme="majorBidi"/>
          <w:sz w:val="20"/>
        </w:rPr>
        <w:footnoteReference w:id="385"/>
      </w:r>
    </w:p>
    <w:p w14:paraId="334BC43F" w14:textId="4ACC6664"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Style w:val="FootnoteReference"/>
          <w:rFonts w:asciiTheme="minorHAnsi" w:hAnsiTheme="minorHAnsi" w:cstheme="minorBidi"/>
          <w:sz w:val="22"/>
          <w:lang w:val="en-AU"/>
        </w:rPr>
      </w:pPr>
      <w:r>
        <w:rPr>
          <w:rFonts w:ascii="Traditional Arabic" w:hAnsi="Traditional Arabic" w:cs="Traditional Arabic"/>
          <w:sz w:val="30"/>
          <w:szCs w:val="30"/>
          <w:rtl/>
        </w:rPr>
        <w:t>مدارس البنيان تمولها جمعية الحكمة، وتشتهر بتقديم تعليم اجتماعي يقدمه اليونيسي وغيره من الأئمة، بمن فيهم نائبه رمزي الزغير، الذي اغتيل بعد ذلك بسنة في المنطقة المجاورة من مقتل اليونسي. في تشرين الأول/ أكتوبر 2017، بعد أسبوعين من اغتيال اليونيسي، ورد أنه قُتل الإمام عادل الشيري، وهو قائد آخر في مدارس البنيان وجمعية الحكمة. بعد شهر من ذلك، اغتيل الإمام البديل لمسجد الصحابة، عبدالرحمن العمراني، بالقرب من المكان الذي قُتل فيه اليونيسي</w:t>
      </w:r>
      <w:r>
        <w:rPr>
          <w:rStyle w:val="FootnoteReference"/>
          <w:rFonts w:asciiTheme="majorBidi" w:hAnsiTheme="majorBidi" w:cstheme="majorBidi"/>
          <w:sz w:val="20"/>
        </w:rPr>
        <w:footnoteReference w:id="386"/>
      </w:r>
      <w:r>
        <w:rPr>
          <w:rFonts w:asciiTheme="majorBidi" w:hAnsiTheme="majorBidi"/>
          <w:sz w:val="24"/>
          <w:szCs w:val="24"/>
          <w:rtl/>
        </w:rPr>
        <w:t xml:space="preserve">. </w:t>
      </w:r>
      <w:r w:rsidR="00D06937">
        <w:rPr>
          <w:rFonts w:ascii="Traditional Arabic" w:hAnsi="Traditional Arabic" w:cs="Traditional Arabic"/>
          <w:sz w:val="30"/>
          <w:szCs w:val="30"/>
          <w:rtl/>
        </w:rPr>
        <w:t xml:space="preserve">في </w:t>
      </w:r>
      <w:r w:rsidR="00D95784">
        <w:rPr>
          <w:rFonts w:ascii="Traditional Arabic" w:hAnsi="Traditional Arabic" w:cs="Traditional Arabic" w:hint="cs"/>
          <w:sz w:val="30"/>
          <w:szCs w:val="30"/>
          <w:rtl/>
        </w:rPr>
        <w:t xml:space="preserve">كانون الثاني/ </w:t>
      </w:r>
      <w:r w:rsidR="00D06937">
        <w:rPr>
          <w:rFonts w:ascii="Traditional Arabic" w:hAnsi="Traditional Arabic" w:cs="Traditional Arabic"/>
          <w:sz w:val="30"/>
          <w:szCs w:val="30"/>
          <w:rtl/>
        </w:rPr>
        <w:t>يناير 2018</w:t>
      </w:r>
      <w:r>
        <w:rPr>
          <w:rFonts w:ascii="Traditional Arabic" w:hAnsi="Traditional Arabic" w:cs="Traditional Arabic"/>
          <w:sz w:val="30"/>
          <w:szCs w:val="30"/>
          <w:rtl/>
        </w:rPr>
        <w:t xml:space="preserve">، تم اغتيال الإمام عارف الصبيحي، وهو صديق لليونيسي الذي كان عضوًا في جمعية الحكمة وداعية يدعم الحكومة، </w:t>
      </w:r>
      <w:r w:rsidR="00C66E15">
        <w:rPr>
          <w:rFonts w:ascii="Traditional Arabic" w:hAnsi="Traditional Arabic" w:cs="Traditional Arabic" w:hint="cs"/>
          <w:sz w:val="30"/>
          <w:szCs w:val="30"/>
          <w:rtl/>
        </w:rPr>
        <w:t xml:space="preserve">أيضًا </w:t>
      </w:r>
      <w:r>
        <w:rPr>
          <w:rFonts w:ascii="Traditional Arabic" w:hAnsi="Traditional Arabic" w:cs="Traditional Arabic"/>
          <w:sz w:val="30"/>
          <w:szCs w:val="30"/>
          <w:rtl/>
        </w:rPr>
        <w:t>بالقرب من المكان الذي قُتل فيه اليونيسي</w:t>
      </w:r>
      <w:r>
        <w:rPr>
          <w:rStyle w:val="FootnoteReference"/>
          <w:rFonts w:asciiTheme="majorBidi" w:hAnsiTheme="majorBidi" w:cstheme="majorBidi"/>
          <w:sz w:val="20"/>
        </w:rPr>
        <w:footnoteReference w:id="387"/>
      </w:r>
      <w:r>
        <w:rPr>
          <w:rFonts w:asciiTheme="majorBidi" w:hAnsiTheme="majorBidi"/>
          <w:sz w:val="24"/>
          <w:szCs w:val="24"/>
          <w:rtl/>
        </w:rPr>
        <w:t xml:space="preserve">. </w:t>
      </w:r>
      <w:r>
        <w:rPr>
          <w:rFonts w:ascii="Traditional Arabic" w:hAnsi="Traditional Arabic" w:cs="Traditional Arabic"/>
          <w:sz w:val="30"/>
          <w:szCs w:val="30"/>
          <w:rtl/>
        </w:rPr>
        <w:t>في أكتوبر 2017، احتجز الحزام الأمني تعسفيًا أحد أعضاء مسجد الصحابة لأسباب غير محددة</w:t>
      </w:r>
      <w:r>
        <w:rPr>
          <w:rStyle w:val="FootnoteReference"/>
          <w:rFonts w:asciiTheme="majorBidi" w:hAnsiTheme="majorBidi" w:cstheme="majorBidi"/>
          <w:sz w:val="20"/>
        </w:rPr>
        <w:footnoteReference w:id="388"/>
      </w:r>
      <w:r>
        <w:rPr>
          <w:rFonts w:asciiTheme="majorBidi" w:hAnsiTheme="majorBidi"/>
          <w:sz w:val="24"/>
          <w:szCs w:val="24"/>
          <w:rtl/>
        </w:rPr>
        <w:t xml:space="preserve">. </w:t>
      </w:r>
      <w:r>
        <w:rPr>
          <w:rFonts w:ascii="Traditional Arabic" w:hAnsi="Traditional Arabic" w:cs="Traditional Arabic"/>
          <w:sz w:val="30"/>
          <w:szCs w:val="30"/>
          <w:rtl/>
        </w:rPr>
        <w:t>تم استبدال اليونيسي في المسجد وتم تعيين شخص في منصبه في وزارة الأوقاف الدينية ينتمي إلى المجلس الانتقالي الجنوبي</w:t>
      </w:r>
      <w:r>
        <w:rPr>
          <w:rStyle w:val="FootnoteReference"/>
          <w:rFonts w:asciiTheme="majorBidi" w:hAnsiTheme="majorBidi" w:cstheme="majorBidi"/>
          <w:sz w:val="20"/>
          <w:rtl/>
        </w:rPr>
        <w:t>.</w:t>
      </w:r>
      <w:r>
        <w:rPr>
          <w:rStyle w:val="FootnoteReference"/>
          <w:rFonts w:asciiTheme="majorBidi" w:hAnsiTheme="majorBidi" w:cstheme="majorBidi"/>
          <w:sz w:val="20"/>
        </w:rPr>
        <w:footnoteReference w:id="389"/>
      </w:r>
    </w:p>
    <w:p w14:paraId="7CB4659F" w14:textId="77777777" w:rsidR="00A27602" w:rsidRDefault="00A27602" w:rsidP="00361237">
      <w:pPr>
        <w:tabs>
          <w:tab w:val="left" w:pos="720"/>
          <w:tab w:val="left" w:pos="900"/>
        </w:tabs>
        <w:bidi/>
        <w:spacing w:after="240" w:line="240" w:lineRule="auto"/>
        <w:ind w:left="1134" w:right="1080"/>
        <w:jc w:val="both"/>
        <w:rPr>
          <w:rFonts w:ascii="Traditional Arabic" w:hAnsi="Traditional Arabic" w:cs="Traditional Arabic"/>
          <w:i/>
          <w:iCs/>
          <w:sz w:val="30"/>
          <w:szCs w:val="30"/>
        </w:rPr>
      </w:pPr>
      <w:r>
        <w:rPr>
          <w:rFonts w:ascii="Traditional Arabic" w:hAnsi="Traditional Arabic" w:cs="Traditional Arabic"/>
          <w:i/>
          <w:iCs/>
          <w:sz w:val="30"/>
          <w:szCs w:val="30"/>
          <w:rtl/>
        </w:rPr>
        <w:t>مثال الحالة 3: اغتيال رمزي محمد الزغير</w:t>
      </w:r>
    </w:p>
    <w:p w14:paraId="2FAB8291" w14:textId="355B1B93"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sz w:val="24"/>
          <w:szCs w:val="24"/>
        </w:rPr>
      </w:pPr>
      <w:r>
        <w:rPr>
          <w:rFonts w:ascii="Traditional Arabic" w:hAnsi="Traditional Arabic" w:cs="Traditional Arabic"/>
          <w:sz w:val="30"/>
          <w:szCs w:val="30"/>
          <w:rtl/>
        </w:rPr>
        <w:t xml:space="preserve">في 23 أيلول/سبتمبر 2018 ، الساعة 12:30 ظهراً خارج مدارس البنيان، المنصورة، قام ستة من أفراد قوات الحزام الأمني بقتل رمزي محمد الزغير بإطلاق النار عليه 18 مرة في جميع أنحاء جسده ببنادق </w:t>
      </w:r>
      <w:r>
        <w:rPr>
          <w:rFonts w:ascii="Traditional Arabic" w:hAnsi="Traditional Arabic" w:cs="Traditional Arabic"/>
          <w:sz w:val="30"/>
          <w:szCs w:val="30"/>
        </w:rPr>
        <w:t>AK-47</w:t>
      </w:r>
      <w:r>
        <w:rPr>
          <w:rFonts w:ascii="Traditional Arabic" w:hAnsi="Traditional Arabic" w:cs="Traditional Arabic"/>
          <w:sz w:val="30"/>
          <w:szCs w:val="30"/>
          <w:rtl/>
        </w:rPr>
        <w:t>. كما أطلقوا النار على أحد المارة الآخرين، ثم غادروا في سيارة بيك آب تويوتا.</w:t>
      </w:r>
      <w:r>
        <w:rPr>
          <w:rFonts w:ascii="Traditional Arabic" w:hAnsi="Traditional Arabic" w:cs="Traditional Arabic"/>
          <w:sz w:val="30"/>
          <w:szCs w:val="30"/>
        </w:rPr>
        <w:t xml:space="preserve"> </w:t>
      </w:r>
      <w:r w:rsidRPr="007871B3">
        <w:rPr>
          <w:rFonts w:ascii="Traditional Arabic" w:hAnsi="Traditional Arabic" w:cs="Traditional Arabic"/>
          <w:sz w:val="22"/>
          <w:szCs w:val="22"/>
          <w:vertAlign w:val="superscript"/>
        </w:rPr>
        <w:footnoteReference w:id="390"/>
      </w:r>
      <w:r w:rsidRPr="007871B3">
        <w:rPr>
          <w:rFonts w:ascii="Traditional Arabic" w:hAnsi="Traditional Arabic" w:cs="Traditional Arabic"/>
          <w:sz w:val="22"/>
          <w:szCs w:val="22"/>
          <w:vertAlign w:val="superscript"/>
          <w:rtl/>
        </w:rPr>
        <w:t xml:space="preserve"> </w:t>
      </w:r>
      <w:r>
        <w:rPr>
          <w:rFonts w:ascii="Traditional Arabic" w:hAnsi="Traditional Arabic" w:cs="Traditional Arabic"/>
          <w:sz w:val="30"/>
          <w:szCs w:val="30"/>
          <w:rtl/>
        </w:rPr>
        <w:t>كان الزغير مديراً لمدارس البنيان، حيث حل محل فهد اليونيسي بعد وفاته</w:t>
      </w:r>
      <w:r>
        <w:rPr>
          <w:rStyle w:val="FootnoteReference"/>
          <w:rFonts w:asciiTheme="majorBidi" w:hAnsiTheme="majorBidi" w:cstheme="majorBidi"/>
          <w:sz w:val="20"/>
        </w:rPr>
        <w:footnoteReference w:id="391"/>
      </w:r>
      <w:r>
        <w:rPr>
          <w:rFonts w:asciiTheme="majorBidi" w:hAnsiTheme="majorBidi"/>
          <w:sz w:val="24"/>
          <w:szCs w:val="24"/>
          <w:rtl/>
        </w:rPr>
        <w:t xml:space="preserve">. </w:t>
      </w:r>
      <w:r>
        <w:rPr>
          <w:rFonts w:ascii="Traditional Arabic" w:hAnsi="Traditional Arabic" w:cs="Traditional Arabic"/>
          <w:sz w:val="30"/>
          <w:szCs w:val="30"/>
          <w:rtl/>
        </w:rPr>
        <w:t>على الرغم من أنه لم يكن عضوًا في حزب الإصلاح، إلا أنه كان مؤيدًا للحكومة. وكان قد انتقد علانية المجلس الانتقالي الجنوبي والإمارات العربية المتحدة في عدن، مشيرا إلى أنه يعتقد أنهم ارتكبوا أعمال القتل وسوء السلوك والفساد. كان يتمتع بشعبية لدى المجتمع المحلي، وكان عضواً في جمعية الحكمة، وأجرى أعمالًا خيرية مع المحتاجين. اشتهر بتقديمه تعليمًا اجتماعيًا في مدارس البنيان</w:t>
      </w:r>
      <w:r>
        <w:rPr>
          <w:rStyle w:val="FootnoteReference"/>
          <w:rFonts w:asciiTheme="majorBidi" w:hAnsiTheme="majorBidi" w:cstheme="majorBidi"/>
          <w:sz w:val="20"/>
        </w:rPr>
        <w:footnoteReference w:id="392"/>
      </w:r>
      <w:r>
        <w:rPr>
          <w:rFonts w:asciiTheme="majorBidi" w:hAnsiTheme="majorBidi" w:cstheme="majorBidi"/>
          <w:sz w:val="24"/>
          <w:szCs w:val="24"/>
        </w:rPr>
        <w:t>.</w:t>
      </w:r>
    </w:p>
    <w:p w14:paraId="61BCCD9D" w14:textId="30FCE31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 xml:space="preserve">في سبتمبر 2018، اي ثلاثة أيام قبل اغتياله، تلقى الزغير تهديدات بقتله من أشخاص مجهولين قالوا إنهم من مؤيدي المجلس الانتقالي الجنوبي واتهموه </w:t>
      </w:r>
      <w:r>
        <w:rPr>
          <w:rFonts w:ascii="Traditional Arabic" w:hAnsi="Traditional Arabic" w:cs="Traditional Arabic"/>
          <w:sz w:val="30"/>
          <w:szCs w:val="30"/>
          <w:rtl/>
        </w:rPr>
        <w:lastRenderedPageBreak/>
        <w:t>بأنه مع الإصلاح. كانت هناك معلومات موثوقة تشير إلى أنه كان تحت المراقبة</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3"/>
      </w:r>
    </w:p>
    <w:p w14:paraId="2328F12E" w14:textId="0350AA4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heme="majorBidi" w:hAnsiTheme="majorBidi"/>
          <w:sz w:val="24"/>
          <w:szCs w:val="24"/>
          <w:rtl/>
        </w:rPr>
        <w:t xml:space="preserve"> </w:t>
      </w:r>
      <w:r>
        <w:rPr>
          <w:rFonts w:ascii="Traditional Arabic" w:hAnsi="Traditional Arabic" w:cs="Traditional Arabic"/>
          <w:sz w:val="30"/>
          <w:szCs w:val="30"/>
          <w:rtl/>
        </w:rPr>
        <w:t>تحيط قوات الحزام الأمني موقع الاغتيال حيث يوجد نقطة تفتيش للحزام الامني على بعد 400 متر جنوبًا عند التقاطع مع الطريق السريع 90 وطريق البحر. وهناك موقع  للحزام الأمني على بعد 900 متر من الشمال في سجن المنصورة. هناك حاجز أمني آخر يقع على بعد 1.7 كم شرقًا بين الطريق السريع 90 والطريق السريع 19</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4"/>
      </w:r>
      <w:r>
        <w:rPr>
          <w:rFonts w:ascii="Traditional Arabic" w:hAnsi="Traditional Arabic" w:cs="Traditional Arabic"/>
          <w:sz w:val="30"/>
          <w:szCs w:val="30"/>
          <w:rtl/>
        </w:rPr>
        <w:t>ومنذ الاغتيال، تلقى العديد من الزعماء الدينيين المرتبطين بالزغير تهديدات وهربوا من عدن</w:t>
      </w:r>
      <w:r>
        <w:rPr>
          <w:rFonts w:ascii="Traditional Arabic" w:hAnsi="Traditional Arabic" w:cs="Traditional Arabic"/>
          <w:sz w:val="30"/>
          <w:szCs w:val="30"/>
        </w:rPr>
        <w:t>.</w:t>
      </w:r>
    </w:p>
    <w:p w14:paraId="74B92FD3" w14:textId="77777777" w:rsidR="00A27602" w:rsidRPr="004C35C0" w:rsidRDefault="00A27602" w:rsidP="00361237">
      <w:pPr>
        <w:tabs>
          <w:tab w:val="left" w:pos="720"/>
        </w:tabs>
        <w:bidi/>
        <w:spacing w:after="240" w:line="240" w:lineRule="auto"/>
        <w:ind w:left="567" w:right="1080" w:firstLine="567"/>
        <w:jc w:val="both"/>
        <w:rPr>
          <w:rFonts w:ascii="Traditional Arabic" w:hAnsi="Traditional Arabic" w:cs="Traditional Arabic"/>
          <w:i/>
          <w:iCs/>
          <w:sz w:val="30"/>
          <w:szCs w:val="30"/>
        </w:rPr>
      </w:pPr>
      <w:r w:rsidRPr="004C35C0">
        <w:rPr>
          <w:rFonts w:ascii="Traditional Arabic" w:hAnsi="Traditional Arabic" w:cs="Traditional Arabic"/>
          <w:i/>
          <w:iCs/>
          <w:sz w:val="30"/>
          <w:szCs w:val="30"/>
          <w:rtl/>
        </w:rPr>
        <w:t>مثال الحالة 4: اغتيال رأفت دنبغ</w:t>
      </w:r>
    </w:p>
    <w:p w14:paraId="7F6CA1BE" w14:textId="4002EE06"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في 2 آذار/مارس 2019، الساعة 00:00 في ساحة الكبة ، المعلا ، قتل 12 من مقاتلي الحزام الأمني رأفت دنبغ بإطلاق النار عليه عدة مرات في الجسد والرأس. توفي دنبغ متأثرا بجراحه في المستشفى في اليوم التالي</w:t>
      </w:r>
      <w:r>
        <w:rPr>
          <w:rFonts w:ascii="Traditional Arabic" w:hAnsi="Traditional Arabic" w:cs="Traditional Arabic"/>
          <w:sz w:val="30"/>
          <w:szCs w:val="30"/>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5"/>
      </w:r>
    </w:p>
    <w:p w14:paraId="0585EC0A" w14:textId="45F64A5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رأفت دنبغ، مساعد لقوات الأمن العاملة خارج مركز شرطة المعلا. في مايو 2018 ، حدد دنبغ افراد  من الحزام الأمني كجناة في قضية اغتصاب. واجه الجناة في مشاجرة عنيفة أصيب فيها أحدهم بالرصاص. ذهب دنبغ للاختباء خوفًا من الانتقام وكان مطلوبًا لدوره في هذه المشاجرات</w:t>
      </w:r>
      <w:r w:rsidRPr="00E16AA3">
        <w:rPr>
          <w:rFonts w:ascii="Traditional Arabic" w:hAnsi="Traditional Arabic" w:cs="Traditional Arabic"/>
          <w:sz w:val="20"/>
          <w:vertAlign w:val="superscript"/>
        </w:rPr>
        <w:footnoteReference w:id="396"/>
      </w:r>
      <w:r>
        <w:rPr>
          <w:rFonts w:ascii="Traditional Arabic" w:hAnsi="Traditional Arabic" w:cs="Traditional Arabic"/>
          <w:sz w:val="30"/>
          <w:szCs w:val="30"/>
          <w:rtl/>
        </w:rPr>
        <w:t>. في نهاية عام 2018، تلقى</w:t>
      </w:r>
      <w:r>
        <w:rPr>
          <w:rFonts w:ascii="Traditional Arabic" w:hAnsi="Traditional Arabic" w:cs="Traditional Arabic"/>
          <w:sz w:val="30"/>
          <w:szCs w:val="30"/>
        </w:rPr>
        <w:t xml:space="preserve"> </w:t>
      </w:r>
      <w:r>
        <w:rPr>
          <w:rFonts w:ascii="Traditional Arabic" w:hAnsi="Traditional Arabic" w:cs="Traditional Arabic"/>
          <w:sz w:val="30"/>
          <w:szCs w:val="30"/>
          <w:rtl/>
        </w:rPr>
        <w:t>تهديدًا مكتوبًا بالقتل من أحد افراد الحزام الأمني الذي كان له صلة بأحد مرتكبي الاغتصاب</w:t>
      </w:r>
      <w:r>
        <w:rPr>
          <w:rStyle w:val="FootnoteReference"/>
          <w:rFonts w:asciiTheme="majorBidi" w:hAnsiTheme="majorBidi" w:cstheme="majorBidi"/>
          <w:sz w:val="20"/>
        </w:rPr>
        <w:footnoteReference w:id="397"/>
      </w:r>
      <w:r>
        <w:rPr>
          <w:rFonts w:asciiTheme="majorBidi" w:hAnsiTheme="majorBidi"/>
          <w:sz w:val="24"/>
          <w:szCs w:val="24"/>
          <w:rtl/>
        </w:rPr>
        <w:t xml:space="preserve">. </w:t>
      </w:r>
      <w:r>
        <w:rPr>
          <w:rFonts w:ascii="Traditional Arabic" w:hAnsi="Traditional Arabic" w:cs="Traditional Arabic"/>
          <w:sz w:val="30"/>
          <w:szCs w:val="30"/>
          <w:rtl/>
        </w:rPr>
        <w:t>تلقى فريق الخبراء تقارير تفيد بأن افراد الحزام الأمني قاموا بتعذيب أربعة شهود في عملية الاغتيال</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398"/>
      </w:r>
    </w:p>
    <w:p w14:paraId="7DBCF267" w14:textId="10D057E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رداً على اغتيال رأفت، وقعت احتجاجات شعبية في المعلا، حيث توفي متظاهرون أثناء الاشتباكات، مما دفع وزارة الداخلية إلى تشكيل لجنة تحقيق. استمعت اللجنة إلى أدلة من عدد من الشهود، لكن في وقت كتابة هذا التقرير، لم يتم القبض على أي من الجناة أو توجيه تهم إليهم</w:t>
      </w:r>
      <w:r>
        <w:rPr>
          <w:rStyle w:val="FootnoteReference"/>
          <w:rFonts w:asciiTheme="majorBidi" w:hAnsiTheme="majorBidi" w:cstheme="majorBidi"/>
          <w:sz w:val="20"/>
        </w:rPr>
        <w:footnoteReference w:id="399"/>
      </w:r>
      <w:r>
        <w:rPr>
          <w:rFonts w:asciiTheme="majorBidi" w:hAnsiTheme="majorBidi" w:cstheme="majorBidi"/>
          <w:sz w:val="24"/>
          <w:szCs w:val="24"/>
        </w:rPr>
        <w:t>.</w:t>
      </w:r>
    </w:p>
    <w:p w14:paraId="54AC5127" w14:textId="77777777" w:rsidR="00A27602" w:rsidRPr="004C35C0"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AU"/>
        </w:rPr>
      </w:pPr>
      <w:r w:rsidRPr="004C35C0">
        <w:rPr>
          <w:rFonts w:ascii="Traditional Arabic" w:hAnsi="Traditional Arabic" w:cs="Traditional Arabic"/>
          <w:b/>
          <w:bCs/>
          <w:sz w:val="30"/>
          <w:szCs w:val="30"/>
          <w:rtl/>
        </w:rPr>
        <w:t xml:space="preserve">ج) الانتهاكات </w:t>
      </w:r>
    </w:p>
    <w:p w14:paraId="71B22932" w14:textId="17E3068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lang w:val="en-US" w:bidi="ar-YE"/>
        </w:rPr>
      </w:pPr>
      <w:r>
        <w:rPr>
          <w:rtl/>
          <w:lang w:bidi="ar-YE"/>
        </w:rPr>
        <w:t xml:space="preserve"> </w:t>
      </w:r>
      <w:r>
        <w:rPr>
          <w:rFonts w:ascii="Traditional Arabic" w:hAnsi="Traditional Arabic" w:cs="Traditional Arabic"/>
          <w:sz w:val="30"/>
          <w:szCs w:val="30"/>
          <w:rtl/>
          <w:lang w:val="en-AU"/>
        </w:rPr>
        <w:t>الحرمان التعسفي من الحياة ممنوع منعا باتا بموجب القانون الدولي لحقوق الإنسان</w:t>
      </w:r>
      <w:r>
        <w:rPr>
          <w:rStyle w:val="FootnoteReference"/>
          <w:rFonts w:asciiTheme="majorBidi" w:hAnsiTheme="majorBidi" w:cstheme="majorBidi"/>
          <w:sz w:val="20"/>
        </w:rPr>
        <w:footnoteReference w:id="400"/>
      </w:r>
      <w:r>
        <w:rPr>
          <w:rtl/>
          <w:lang w:bidi="ar-YE"/>
        </w:rPr>
        <w:t xml:space="preserve">. </w:t>
      </w:r>
      <w:r>
        <w:rPr>
          <w:rFonts w:ascii="Traditional Arabic" w:hAnsi="Traditional Arabic" w:cs="Traditional Arabic"/>
          <w:sz w:val="30"/>
          <w:szCs w:val="30"/>
          <w:rtl/>
          <w:lang w:val="en-AU"/>
        </w:rPr>
        <w:t xml:space="preserve">عندما يتم تنفيذ عملية قتل غير قانونية من قبل ممثلي السلطات الحكومية، مثل موظفي إنفاذ القانون، فإن ذلك يعد بمثابة الإعدام خارج نطاق القضاء. بموجب القانون الدولي الإنساني، عندما - في سياق نزاع مسلح - يقوم أحد أطراف النزاع بقتل مدني محمي عن قصد، فإن هذا يرقى إلى القتل المتعمد أو – في خضم نزاع غير دولي – يُعد جريمة قتل مع سابق الاصرار </w:t>
      </w:r>
      <w:r>
        <w:rPr>
          <w:rFonts w:ascii="Traditional Arabic" w:hAnsi="Traditional Arabic" w:cs="Traditional Arabic"/>
          <w:sz w:val="30"/>
          <w:szCs w:val="30"/>
          <w:rtl/>
          <w:lang w:val="en-AU"/>
        </w:rPr>
        <w:lastRenderedPageBreak/>
        <w:t>والترصد</w:t>
      </w:r>
      <w:r>
        <w:rPr>
          <w:rStyle w:val="FootnoteReference"/>
          <w:rFonts w:asciiTheme="majorBidi" w:hAnsiTheme="majorBidi" w:cstheme="majorBidi"/>
          <w:sz w:val="20"/>
        </w:rPr>
        <w:footnoteReference w:id="401"/>
      </w:r>
      <w:r>
        <w:rPr>
          <w:rtl/>
          <w:lang w:bidi="ar-YE"/>
        </w:rPr>
        <w:t xml:space="preserve">. </w:t>
      </w:r>
      <w:r>
        <w:rPr>
          <w:rFonts w:ascii="Traditional Arabic" w:hAnsi="Traditional Arabic" w:cs="Traditional Arabic"/>
          <w:sz w:val="30"/>
          <w:szCs w:val="30"/>
          <w:rtl/>
          <w:lang w:val="en-AU"/>
        </w:rPr>
        <w:t>القتل هو انتهاك خطير للقانون الدولي الإنساني وبالتالي جريمة حرب قد تؤدي إلى مسؤولية جنائية فردية</w:t>
      </w:r>
      <w:r>
        <w:rPr>
          <w:rFonts w:ascii="Traditional Arabic" w:hAnsi="Traditional Arabic" w:cs="Traditional Arabic"/>
          <w:sz w:val="30"/>
          <w:szCs w:val="30"/>
          <w:lang w:val="en-AU"/>
        </w:rPr>
        <w:t xml:space="preserve">. </w:t>
      </w:r>
      <w:r>
        <w:rPr>
          <w:rStyle w:val="FootnoteReference"/>
          <w:rFonts w:asciiTheme="majorBidi" w:hAnsiTheme="majorBidi" w:cstheme="majorBidi"/>
          <w:sz w:val="20"/>
        </w:rPr>
        <w:footnoteReference w:id="402"/>
      </w:r>
    </w:p>
    <w:p w14:paraId="5AE34FCF" w14:textId="618A01C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lang w:val="en-AU"/>
        </w:rPr>
        <w:t>في الحالات العشر التي تم التحقيق فيها ، لدى فريق الخبراء أسباب معقولة للاعتقاد بأن عمليات القتل قد ارتكبت عن عمد وتعزيزا لأهداف الجماعات المسلحة التي هي أطراف في النزاع</w:t>
      </w:r>
      <w:r>
        <w:rPr>
          <w:rFonts w:ascii="Traditional Arabic" w:hAnsi="Traditional Arabic" w:cs="Traditional Arabic"/>
          <w:sz w:val="30"/>
          <w:szCs w:val="30"/>
          <w:lang w:val="en-AU"/>
        </w:rPr>
        <w:t xml:space="preserve">. </w:t>
      </w:r>
      <w:r>
        <w:rPr>
          <w:rFonts w:ascii="Traditional Arabic" w:hAnsi="Traditional Arabic" w:cs="Traditional Arabic"/>
          <w:sz w:val="30"/>
          <w:szCs w:val="30"/>
          <w:rtl/>
          <w:lang w:val="en-AU"/>
        </w:rPr>
        <w:t xml:space="preserve">تتحمل قوات الحزام الأمني مسؤوليات إنفاذ القانون كجزء من حكومة اليمن. </w:t>
      </w:r>
    </w:p>
    <w:p w14:paraId="5D79A0B9" w14:textId="539E21B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lang w:val="en-AU"/>
        </w:rPr>
        <w:t>وجد فريق الخبراء أسبابًا معقولة للاعتقاد بأن دولة الإمارات العربية المتحدة وقوات الحزام الأمني التابعة لها مسؤولة عن الاغتيالات العشرة التي حقق فيها، والتي ترقى إلى انتهاك لقانون حقوق الإنسان في الحرمان التعسفي من الحياة. في الحالات التي تم فيها تحديد قوات الحزام الأمني كمرتكبة لهذه الجرائم، ضمن صفة المسؤولين عن إنفاذ القانون، فإن عمليات القتل هذه ترقى إلى الإعدام خارج نطاق القضاء. نظرًا لارتباطها بالنزاع المسلح وارتكابها من قِبل أطراف هذا النزاع، فإن عمليات القتل غير القانونية هذه ترقى أيضًا إلى القتل بموجب القانون الدولي الإنساني مما قد يؤدي إلى المسؤولية الجنائية الفردية عن جريمة الحرب المتمثلة في جريمة قتل المسؤولين عن ارتكاب الجريمة، والأمر، المساعدة والتحريض أو المساهمة في ارتكاب عمليات القتل، وكذلك لأي فرد يتحمل مسؤولية القيادة. كما أن الحكومة اليمنية ملزمة باحترام وحماية وإعمال حقوق الإنسان للسكان في أراضيها وبالتالي اتخاذ إجراءات إيجابية لحماية الحق في الحياة. ويشير فريق الخبراء كذلك إلى أن النتائج التي توصل إليها في الحالات العشر التي تم التحقيق فيها على أنها عينة من 90 حالة اغتيال تم الإبلاغ عنها تثير بواعث قلق خطيرة فيما يتعلق بالمسؤولية عن الحالات الأخرى المبلغ عنها</w:t>
      </w:r>
      <w:r>
        <w:rPr>
          <w:rFonts w:ascii="Traditional Arabic" w:hAnsi="Traditional Arabic" w:cs="Traditional Arabic"/>
          <w:sz w:val="30"/>
          <w:szCs w:val="30"/>
          <w:lang w:val="en-AU"/>
        </w:rPr>
        <w:t>.</w:t>
      </w:r>
    </w:p>
    <w:p w14:paraId="1E17C1F6" w14:textId="43119A5C" w:rsidR="00A27602" w:rsidRDefault="00A27602" w:rsidP="00361237">
      <w:pPr>
        <w:pStyle w:val="ListParagraph"/>
        <w:tabs>
          <w:tab w:val="left" w:pos="720"/>
          <w:tab w:val="left" w:pos="900"/>
          <w:tab w:val="left" w:pos="1701"/>
        </w:tabs>
        <w:bidi/>
        <w:spacing w:after="240" w:line="240" w:lineRule="auto"/>
        <w:ind w:left="1134" w:right="1080" w:hanging="495"/>
        <w:jc w:val="both"/>
        <w:rPr>
          <w:rFonts w:asciiTheme="majorBidi" w:hAnsiTheme="majorBidi" w:cstheme="majorBidi"/>
          <w:b/>
          <w:bCs/>
          <w:sz w:val="24"/>
          <w:szCs w:val="24"/>
          <w:rtl/>
          <w:lang w:val="en-GB"/>
        </w:rPr>
      </w:pPr>
      <w:r>
        <w:rPr>
          <w:rFonts w:asciiTheme="majorBidi" w:hAnsiTheme="majorBidi" w:cstheme="majorBidi"/>
          <w:sz w:val="20"/>
          <w:szCs w:val="20"/>
        </w:rPr>
        <w:t xml:space="preserve"> </w:t>
      </w:r>
      <w:r>
        <w:rPr>
          <w:rFonts w:ascii="Traditional Arabic" w:hAnsi="Traditional Arabic" w:cs="Traditional Arabic"/>
          <w:b/>
          <w:bCs/>
          <w:sz w:val="30"/>
          <w:szCs w:val="30"/>
          <w:rtl/>
        </w:rPr>
        <w:t xml:space="preserve">4. </w:t>
      </w:r>
      <w:r w:rsidR="00D06937">
        <w:rPr>
          <w:rFonts w:ascii="Traditional Arabic" w:hAnsi="Traditional Arabic" w:cs="Traditional Arabic"/>
          <w:b/>
          <w:bCs/>
          <w:sz w:val="30"/>
          <w:szCs w:val="30"/>
        </w:rPr>
        <w:t xml:space="preserve"> </w:t>
      </w:r>
      <w:r>
        <w:rPr>
          <w:rFonts w:ascii="Traditional Arabic" w:hAnsi="Traditional Arabic" w:cs="Traditional Arabic"/>
          <w:b/>
          <w:bCs/>
          <w:sz w:val="30"/>
          <w:szCs w:val="30"/>
          <w:rtl/>
        </w:rPr>
        <w:t>فرض القيود على حرية التعبير</w:t>
      </w:r>
    </w:p>
    <w:p w14:paraId="1078AB4C" w14:textId="296811FC"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بالإضافة إلى عمليات الاعتقال والقتل المفصلة أعلاه، ارتكبت الإمارات العربية المتحدة و</w:t>
      </w:r>
      <w:r>
        <w:rPr>
          <w:rFonts w:ascii="Traditional Arabic" w:hAnsi="Traditional Arabic" w:cs="Traditional Arabic"/>
          <w:sz w:val="30"/>
          <w:szCs w:val="30"/>
          <w:rtl/>
          <w:lang w:bidi="ar-LB"/>
        </w:rPr>
        <w:t xml:space="preserve">قوات </w:t>
      </w:r>
      <w:r>
        <w:rPr>
          <w:rFonts w:ascii="Traditional Arabic" w:hAnsi="Traditional Arabic" w:cs="Traditional Arabic"/>
          <w:sz w:val="30"/>
          <w:szCs w:val="30"/>
          <w:rtl/>
        </w:rPr>
        <w:t xml:space="preserve">الحزام الأمني انتهاكات أخرى استهدفت الآراء المخالفة، على ما يبدو من اجل تعزيز سلطتهم في الجنوب ،على حساب الحكومة، الإصلاح وغيرها من المعارضة. في تقريره لعام 2018، وجد فريق الخبراء أنه في الفترة من 2017 إلى </w:t>
      </w:r>
      <w:r w:rsidR="00E16AA3">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كانت هناك سلسلة من الاعتقالات والتهديدات والاعتداءات والعوائق ضد الصحفيين ونشطاء حقوق الإنسان والصحف الذين انتقدوا دولة الإمارات العربية المتحدة أو المجلس الانتقالي الجنوبي أو الحزام الأمني أو تم اعتبارهم مؤيدين للإصلاح. وشمل ذلك استهداف الناشطات والمتظاهرات</w:t>
      </w:r>
      <w:r>
        <w:rPr>
          <w:rStyle w:val="FootnoteReference"/>
          <w:rFonts w:asciiTheme="majorBidi" w:hAnsiTheme="majorBidi" w:cstheme="majorBidi"/>
          <w:sz w:val="20"/>
        </w:rPr>
        <w:footnoteReference w:id="403"/>
      </w:r>
      <w:r>
        <w:rPr>
          <w:rFonts w:asciiTheme="majorBidi" w:hAnsiTheme="majorBidi" w:cstheme="majorBidi"/>
          <w:sz w:val="24"/>
          <w:szCs w:val="24"/>
        </w:rPr>
        <w:t>.</w:t>
      </w:r>
    </w:p>
    <w:p w14:paraId="00504D8B" w14:textId="5AE159F4"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heme="majorBidi" w:hAnsiTheme="majorBidi"/>
          <w:sz w:val="24"/>
          <w:szCs w:val="24"/>
          <w:rtl/>
        </w:rPr>
        <w:t xml:space="preserve"> </w:t>
      </w:r>
      <w:r>
        <w:rPr>
          <w:rFonts w:ascii="Traditional Arabic" w:hAnsi="Traditional Arabic" w:cs="Traditional Arabic"/>
          <w:sz w:val="30"/>
          <w:szCs w:val="30"/>
          <w:rtl/>
        </w:rPr>
        <w:t xml:space="preserve">من </w:t>
      </w:r>
      <w:r w:rsidR="00E16AA3">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عام 2016 إلى أوائل </w:t>
      </w:r>
      <w:r w:rsidR="00E16AA3">
        <w:rPr>
          <w:rFonts w:ascii="Traditional Arabic" w:hAnsi="Traditional Arabic" w:cs="Traditional Arabic" w:hint="cs"/>
          <w:sz w:val="30"/>
          <w:szCs w:val="30"/>
          <w:rtl/>
        </w:rPr>
        <w:t>ال</w:t>
      </w:r>
      <w:r>
        <w:rPr>
          <w:rFonts w:ascii="Traditional Arabic" w:hAnsi="Traditional Arabic" w:cs="Traditional Arabic"/>
          <w:sz w:val="30"/>
          <w:szCs w:val="30"/>
          <w:rtl/>
        </w:rPr>
        <w:t xml:space="preserve">عام 2018، </w:t>
      </w:r>
      <w:r w:rsidR="00C66E15">
        <w:rPr>
          <w:rFonts w:ascii="Traditional Arabic" w:hAnsi="Traditional Arabic" w:cs="Traditional Arabic" w:hint="cs"/>
          <w:sz w:val="30"/>
          <w:szCs w:val="30"/>
          <w:rtl/>
        </w:rPr>
        <w:t xml:space="preserve">في نفس الوقت مع </w:t>
      </w:r>
      <w:r w:rsidR="00F470D7">
        <w:rPr>
          <w:rFonts w:ascii="Traditional Arabic" w:hAnsi="Traditional Arabic" w:cs="Traditional Arabic"/>
          <w:sz w:val="30"/>
          <w:szCs w:val="30"/>
          <w:rtl/>
        </w:rPr>
        <w:t>رحيل قطر عن التحالف في عام 2017</w:t>
      </w:r>
      <w:r w:rsidR="00F470D7">
        <w:rPr>
          <w:rFonts w:ascii="Traditional Arabic" w:hAnsi="Traditional Arabic" w:cs="Traditional Arabic" w:hint="cs"/>
          <w:sz w:val="30"/>
          <w:szCs w:val="30"/>
          <w:rtl/>
        </w:rPr>
        <w:t>،</w:t>
      </w:r>
      <w:r>
        <w:rPr>
          <w:rFonts w:ascii="Traditional Arabic" w:hAnsi="Traditional Arabic" w:cs="Traditional Arabic"/>
          <w:sz w:val="30"/>
          <w:szCs w:val="30"/>
          <w:rtl/>
        </w:rPr>
        <w:t xml:space="preserve"> هددت قوات الحزام الأمني وأجرت مراقبة على </w:t>
      </w:r>
      <w:r>
        <w:rPr>
          <w:rFonts w:ascii="Traditional Arabic" w:hAnsi="Traditional Arabic" w:cs="Traditional Arabic"/>
          <w:sz w:val="30"/>
          <w:szCs w:val="30"/>
          <w:rtl/>
        </w:rPr>
        <w:lastRenderedPageBreak/>
        <w:t>موظفي وكالة الأنباء القطرية الدولية الجزيرة. في أوائل عام 2018، أفادت التقارير أن الإمارات العربية المتحدة أجبرت الحكومة على حرمان الجزيرة من الإذن للعمل في اليمن</w:t>
      </w:r>
      <w:r>
        <w:rPr>
          <w:rStyle w:val="FootnoteReference"/>
          <w:rFonts w:asciiTheme="majorBidi" w:hAnsiTheme="majorBidi" w:cstheme="majorBidi"/>
          <w:sz w:val="20"/>
          <w:lang w:eastAsia="en-GB"/>
        </w:rPr>
        <w:footnoteReference w:id="404"/>
      </w:r>
      <w:r>
        <w:rPr>
          <w:rFonts w:asciiTheme="majorBidi" w:hAnsiTheme="majorBidi"/>
          <w:sz w:val="24"/>
          <w:szCs w:val="24"/>
          <w:rtl/>
        </w:rPr>
        <w:t xml:space="preserve">. </w:t>
      </w:r>
      <w:r>
        <w:rPr>
          <w:rFonts w:ascii="Traditional Arabic" w:hAnsi="Traditional Arabic" w:cs="Traditional Arabic"/>
          <w:sz w:val="30"/>
          <w:szCs w:val="30"/>
          <w:rtl/>
        </w:rPr>
        <w:t>بالإضافة إلى ذلك، خلال عام 2018 واستمرت حتى عام 2019 ، استخدمت قوات الإمارات العربية المتحدة وقوات الحزام الأمني تهديدات وتخويف لمنع الصحفيين الآخرين في عدن، الذين كان الكثير منهم ينتقد ممارسات احتجاز الإمارات العربية المتحدة والحزام الأمني، من تغطية القتال في الحديدة عن طريق تقييد وصول الصحفيين إلى المناطق الخاضعة لسيطرتهم</w:t>
      </w:r>
      <w:r w:rsidR="00F470D7">
        <w:rPr>
          <w:rFonts w:ascii="Traditional Arabic" w:hAnsi="Traditional Arabic" w:cs="Traditional Arabic" w:hint="cs"/>
          <w:sz w:val="30"/>
          <w:szCs w:val="30"/>
          <w:rtl/>
        </w:rPr>
        <w:t>.</w:t>
      </w:r>
      <w:r>
        <w:rPr>
          <w:rStyle w:val="FootnoteReference"/>
          <w:rFonts w:asciiTheme="majorBidi" w:hAnsiTheme="majorBidi" w:cstheme="majorBidi"/>
          <w:sz w:val="20"/>
        </w:rPr>
        <w:footnoteReference w:id="405"/>
      </w:r>
    </w:p>
    <w:p w14:paraId="23BB7330" w14:textId="7827BA3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في الفترة ما بين </w:t>
      </w:r>
      <w:r w:rsidR="00E16AA3">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و</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 تعرض سبعة نشطاء وصحفيين منفصلين قاموا بتوثيق انتهاكات الاحتجاز من قبل الإمارات العربية المتحدة ونشرها، أو الذين انتقدوا علانية دولة الإمارات العربية المتحدة والمجلس الانتقالي الجنوبي، للاعتقال التعسفي وفي بعض الحالات تعرضوا للتعذيب</w:t>
      </w:r>
      <w:r>
        <w:rPr>
          <w:rStyle w:val="FootnoteReference"/>
          <w:rFonts w:asciiTheme="majorBidi" w:hAnsiTheme="majorBidi" w:cstheme="majorBidi"/>
          <w:sz w:val="20"/>
        </w:rPr>
        <w:footnoteReference w:id="406"/>
      </w:r>
      <w:r>
        <w:rPr>
          <w:rFonts w:asciiTheme="majorBidi" w:hAnsiTheme="majorBidi"/>
          <w:sz w:val="24"/>
          <w:szCs w:val="24"/>
          <w:rtl/>
        </w:rPr>
        <w:t xml:space="preserve">. </w:t>
      </w:r>
      <w:r>
        <w:rPr>
          <w:rFonts w:ascii="Traditional Arabic" w:hAnsi="Traditional Arabic" w:cs="Traditional Arabic"/>
          <w:sz w:val="30"/>
          <w:szCs w:val="30"/>
          <w:rtl/>
        </w:rPr>
        <w:t xml:space="preserve">في 10 </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2019، تم اعتقال سالم عوض الربيزي، وهو عضو في الدائرة السياسية للحركة الجنوبية، على يد النخبة الشبوانية في عتق. في الليلة التي سبقت نشره علناً صورة كاريكاتورية للشيخ محمد بن زايد، بجانب صورة لقيادة المجلس الانتقالي الجنوبي ، كتبت عليها "نحن عبيدك". نُقل الربيزي إلى قاعدة بلحاف التابعة للتحالف حيث بقي مختفياً وقت كتابة هذا التقرير، ويقال أنه تعرض للتعذيب والأذى الشديد</w:t>
      </w:r>
      <w:r>
        <w:rPr>
          <w:rFonts w:asciiTheme="majorBidi" w:hAnsiTheme="majorBidi" w:cstheme="majorBidi"/>
          <w:sz w:val="24"/>
          <w:szCs w:val="24"/>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407"/>
      </w:r>
    </w:p>
    <w:p w14:paraId="693EB9ED" w14:textId="1D391F1B"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4"/>
          <w:szCs w:val="24"/>
        </w:rPr>
      </w:pPr>
      <w:r>
        <w:rPr>
          <w:rFonts w:ascii="Traditional Arabic" w:hAnsi="Traditional Arabic" w:cs="Traditional Arabic"/>
          <w:sz w:val="30"/>
          <w:szCs w:val="30"/>
          <w:rtl/>
        </w:rPr>
        <w:t>ونتيجة لما ورد أعلاه حدث "أثر سلبي" بشكل ملحوظ خلال عام 2018 وحتى يونيو 2019</w:t>
      </w:r>
      <w:r>
        <w:rPr>
          <w:rFonts w:asciiTheme="majorBidi" w:hAnsiTheme="majorBidi"/>
          <w:sz w:val="24"/>
          <w:szCs w:val="24"/>
          <w:rtl/>
        </w:rPr>
        <w:t>.</w:t>
      </w:r>
      <w:r>
        <w:rPr>
          <w:rStyle w:val="FootnoteReference"/>
          <w:rFonts w:asciiTheme="majorBidi" w:hAnsiTheme="majorBidi" w:cstheme="majorBidi"/>
          <w:sz w:val="20"/>
        </w:rPr>
        <w:footnoteReference w:id="408"/>
      </w:r>
      <w:r>
        <w:rPr>
          <w:rFonts w:asciiTheme="majorBidi" w:hAnsiTheme="majorBidi"/>
          <w:sz w:val="24"/>
          <w:szCs w:val="24"/>
          <w:rtl/>
        </w:rPr>
        <w:t xml:space="preserve"> </w:t>
      </w:r>
      <w:r>
        <w:rPr>
          <w:rFonts w:ascii="Traditional Arabic" w:hAnsi="Traditional Arabic" w:cs="Traditional Arabic"/>
          <w:sz w:val="30"/>
          <w:szCs w:val="30"/>
          <w:rtl/>
        </w:rPr>
        <w:t>ترك معظم الصحفيون المستقلون عدن والمناطق الجنوبية للتنقل إلى الخارج، وخضع أولئك الباقون إلى الرقابة الذاتية، والامتناع عن انتقاد المجلس الانتقالي الجنوبي، الإمارات العربية المتحدة والحزام الأمني خوفاً من الانتقام</w:t>
      </w:r>
      <w:r>
        <w:rPr>
          <w:rStyle w:val="FootnoteReference"/>
          <w:rFonts w:asciiTheme="majorBidi" w:hAnsiTheme="majorBidi" w:cstheme="majorBidi"/>
          <w:sz w:val="20"/>
        </w:rPr>
        <w:footnoteReference w:id="409"/>
      </w:r>
      <w:r>
        <w:rPr>
          <w:rFonts w:asciiTheme="majorBidi" w:hAnsiTheme="majorBidi"/>
          <w:sz w:val="24"/>
          <w:szCs w:val="24"/>
          <w:rtl/>
        </w:rPr>
        <w:t xml:space="preserve">. </w:t>
      </w:r>
      <w:r>
        <w:rPr>
          <w:rFonts w:ascii="Traditional Arabic" w:hAnsi="Traditional Arabic" w:cs="Traditional Arabic"/>
          <w:sz w:val="30"/>
          <w:szCs w:val="30"/>
          <w:rtl/>
        </w:rPr>
        <w:t>غادر قادة الإصلاح اليمن لتجنب التعرض للقتل، وكما ورد أعلاه فقد تم استبدال الأئمة بهؤلاء الأكثر امتثالًا للمجلس الانتقالي الجنوبي</w:t>
      </w:r>
      <w:r>
        <w:rPr>
          <w:rStyle w:val="FootnoteReference"/>
          <w:rFonts w:asciiTheme="majorBidi" w:hAnsiTheme="majorBidi" w:cstheme="majorBidi"/>
          <w:sz w:val="20"/>
        </w:rPr>
        <w:footnoteReference w:id="410"/>
      </w:r>
      <w:r>
        <w:rPr>
          <w:rFonts w:asciiTheme="majorBidi" w:hAnsiTheme="majorBidi"/>
          <w:sz w:val="24"/>
          <w:szCs w:val="24"/>
          <w:rtl/>
        </w:rPr>
        <w:t xml:space="preserve">. </w:t>
      </w:r>
      <w:r>
        <w:rPr>
          <w:rFonts w:ascii="Traditional Arabic" w:hAnsi="Traditional Arabic" w:cs="Traditional Arabic"/>
          <w:sz w:val="30"/>
          <w:szCs w:val="30"/>
          <w:rtl/>
        </w:rPr>
        <w:t>لقد ملأ المجلس الانتقالي الجنوبي هذه الفجوة بتطوير وجوده الإعلامي الخاص</w:t>
      </w:r>
      <w:r w:rsidRPr="00AF435C">
        <w:rPr>
          <w:rFonts w:ascii="Traditional Arabic" w:hAnsi="Traditional Arabic" w:cs="Traditional Arabic"/>
          <w:sz w:val="22"/>
          <w:szCs w:val="22"/>
          <w:vertAlign w:val="superscript"/>
        </w:rPr>
        <w:footnoteReference w:id="411"/>
      </w:r>
      <w:r>
        <w:rPr>
          <w:rFonts w:ascii="Traditional Arabic" w:hAnsi="Traditional Arabic" w:cs="Traditional Arabic"/>
          <w:sz w:val="30"/>
          <w:szCs w:val="30"/>
          <w:rtl/>
        </w:rPr>
        <w:t>. استمر توثيق الانتهاكات الأخرى المزعومة لحرية التعبير حتى يونيو 2019 والتي لم يكتمل فيها تحقيقات الفريق بحلول وقت كتابة هذا التقرير</w:t>
      </w:r>
      <w:r>
        <w:rPr>
          <w:rFonts w:asciiTheme="majorBidi" w:hAnsiTheme="majorBidi" w:cstheme="majorBidi"/>
          <w:sz w:val="24"/>
          <w:szCs w:val="24"/>
        </w:rPr>
        <w:t>.</w:t>
      </w:r>
    </w:p>
    <w:p w14:paraId="266F97E2" w14:textId="2696BFAA"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rPr>
        <w:t xml:space="preserve">لدى فريق الخبراء أسباب معقولة للاعتقاد بأن حرية التعبير مقيدة من قبل السلطات التي تسيطر على عدن وفي ذلك انتهاك لالتزاماتها في مجال حقوق الإنسان. قد يجوز تقييد حرية التعبير قانونيا، لكن فقط وفقًا لما ينص عليه القانون وما هو ضروري لحماية حقوق وحريات الآخرين ولحماية الأمن القومي أو </w:t>
      </w:r>
      <w:r>
        <w:rPr>
          <w:rFonts w:ascii="Traditional Arabic" w:hAnsi="Traditional Arabic" w:cs="Traditional Arabic"/>
          <w:sz w:val="30"/>
          <w:szCs w:val="30"/>
          <w:rtl/>
        </w:rPr>
        <w:lastRenderedPageBreak/>
        <w:t>للسلامة العامة أو النظام أو الصحة أو الأخلاق</w:t>
      </w:r>
      <w:r>
        <w:rPr>
          <w:rStyle w:val="FootnoteReference"/>
          <w:sz w:val="20"/>
        </w:rPr>
        <w:t xml:space="preserve"> </w:t>
      </w:r>
      <w:r>
        <w:rPr>
          <w:rStyle w:val="FootnoteReference"/>
          <w:sz w:val="20"/>
        </w:rPr>
        <w:footnoteReference w:id="412"/>
      </w:r>
      <w:r>
        <w:rPr>
          <w:rFonts w:asciiTheme="majorBidi" w:hAnsiTheme="majorBidi"/>
          <w:sz w:val="24"/>
          <w:szCs w:val="24"/>
          <w:rtl/>
        </w:rPr>
        <w:t xml:space="preserve">. </w:t>
      </w:r>
      <w:r>
        <w:rPr>
          <w:rFonts w:ascii="Traditional Arabic" w:hAnsi="Traditional Arabic" w:cs="Traditional Arabic"/>
          <w:sz w:val="30"/>
          <w:szCs w:val="30"/>
          <w:rtl/>
        </w:rPr>
        <w:t>لا يبدو أن هذه الشروط قد استوفيت في الحالات التي نظر فيها فريق الخبراء.</w:t>
      </w:r>
    </w:p>
    <w:p w14:paraId="22216819" w14:textId="4C0F9E3B" w:rsidR="00A27602" w:rsidRPr="00F470D7" w:rsidRDefault="00A27602" w:rsidP="005D608B">
      <w:pPr>
        <w:pStyle w:val="ListParagraph"/>
        <w:numPr>
          <w:ilvl w:val="0"/>
          <w:numId w:val="6"/>
        </w:numPr>
        <w:tabs>
          <w:tab w:val="left" w:pos="720"/>
        </w:tabs>
        <w:bidi/>
        <w:spacing w:after="240" w:line="240" w:lineRule="auto"/>
        <w:ind w:left="1089" w:right="1080"/>
        <w:jc w:val="both"/>
        <w:rPr>
          <w:rFonts w:ascii="Traditional Arabic" w:hAnsi="Traditional Arabic" w:cs="Traditional Arabic"/>
          <w:b/>
          <w:bCs/>
          <w:sz w:val="30"/>
          <w:szCs w:val="30"/>
        </w:rPr>
      </w:pPr>
      <w:r w:rsidRPr="00F470D7">
        <w:rPr>
          <w:rFonts w:ascii="Traditional Arabic" w:hAnsi="Traditional Arabic" w:cs="Traditional Arabic"/>
          <w:b/>
          <w:bCs/>
          <w:sz w:val="30"/>
          <w:szCs w:val="30"/>
          <w:rtl/>
        </w:rPr>
        <w:t>العنف الجنسي المرتبط بالنزاع</w:t>
      </w:r>
    </w:p>
    <w:p w14:paraId="76A347AB" w14:textId="77777777" w:rsidR="00A27602" w:rsidRDefault="00A27602" w:rsidP="00D06937">
      <w:pPr>
        <w:tabs>
          <w:tab w:val="left" w:pos="720"/>
        </w:tabs>
        <w:bidi/>
        <w:spacing w:line="240" w:lineRule="auto"/>
        <w:ind w:left="1359" w:right="1080"/>
        <w:rPr>
          <w:rFonts w:asciiTheme="majorBidi" w:hAnsiTheme="majorBidi" w:cstheme="majorBidi"/>
          <w:i/>
          <w:iCs/>
          <w:sz w:val="24"/>
          <w:szCs w:val="24"/>
        </w:rPr>
      </w:pPr>
      <w:r>
        <w:rPr>
          <w:rFonts w:ascii="Traditional Arabic" w:hAnsi="Traditional Arabic" w:cs="Traditional Arabic"/>
          <w:i/>
          <w:iCs/>
          <w:sz w:val="30"/>
          <w:szCs w:val="30"/>
          <w:lang w:val="en-AU"/>
        </w:rPr>
        <w:t>"</w:t>
      </w:r>
      <w:r>
        <w:rPr>
          <w:rFonts w:ascii="Traditional Arabic" w:hAnsi="Traditional Arabic" w:cs="Traditional Arabic"/>
          <w:i/>
          <w:iCs/>
          <w:sz w:val="30"/>
          <w:szCs w:val="30"/>
          <w:rtl/>
          <w:lang w:val="en-AU"/>
        </w:rPr>
        <w:t>في الساعة الثانية صباحًا، كنت نائمة عندما أتى الجنود. ضربوني بشدة في الرأس بمؤخرة بنادقهم. لقد سقطت نصف واعية والدم يتدفق عبر عيني. سحبوا العباءة وبدأوا يغتصبونني. بدأت أصرخ طلبًا للمساعدة، مما جعل أحدهم يغتصبني في الفم. بعد أن انتهوا، هربت عارية نحو الشارع</w:t>
      </w:r>
      <w:r>
        <w:rPr>
          <w:rFonts w:ascii="Traditional Arabic" w:hAnsi="Traditional Arabic" w:cs="Traditional Arabic"/>
          <w:i/>
          <w:iCs/>
          <w:sz w:val="30"/>
          <w:szCs w:val="30"/>
          <w:lang w:val="en-AU"/>
        </w:rPr>
        <w:t>.</w:t>
      </w:r>
      <w:r>
        <w:rPr>
          <w:rFonts w:asciiTheme="majorBidi" w:hAnsiTheme="majorBidi" w:cstheme="majorBidi"/>
          <w:i/>
          <w:iCs/>
          <w:sz w:val="24"/>
          <w:szCs w:val="24"/>
        </w:rPr>
        <w:t xml:space="preserve"> "</w:t>
      </w:r>
    </w:p>
    <w:p w14:paraId="71015AFD" w14:textId="77777777" w:rsidR="00A27602" w:rsidRDefault="00A27602" w:rsidP="00361237">
      <w:pPr>
        <w:tabs>
          <w:tab w:val="left" w:pos="720"/>
        </w:tabs>
        <w:bidi/>
        <w:spacing w:after="240" w:line="240" w:lineRule="auto"/>
        <w:ind w:left="5454" w:right="1080" w:firstLine="306"/>
        <w:rPr>
          <w:rFonts w:ascii="Traditional Arabic" w:hAnsi="Traditional Arabic" w:cs="Traditional Arabic"/>
          <w:i/>
          <w:iCs/>
          <w:sz w:val="30"/>
          <w:szCs w:val="30"/>
          <w:lang w:val="en-AU"/>
        </w:rPr>
      </w:pPr>
      <w:r>
        <w:rPr>
          <w:rFonts w:ascii="Traditional Arabic" w:hAnsi="Traditional Arabic" w:cs="Traditional Arabic"/>
          <w:b/>
          <w:bCs/>
          <w:i/>
          <w:iCs/>
          <w:sz w:val="30"/>
          <w:szCs w:val="30"/>
          <w:rtl/>
          <w:lang w:val="en-AU"/>
        </w:rPr>
        <w:t>امرأة ناجية من الاغتصاب</w:t>
      </w:r>
      <w:r>
        <w:rPr>
          <w:rStyle w:val="FootnoteReference"/>
          <w:rFonts w:asciiTheme="majorBidi" w:hAnsiTheme="majorBidi" w:cstheme="majorBidi"/>
          <w:b/>
          <w:bCs/>
          <w:sz w:val="24"/>
          <w:szCs w:val="24"/>
        </w:rPr>
        <w:footnoteReference w:id="413"/>
      </w:r>
    </w:p>
    <w:p w14:paraId="5C0C7D17" w14:textId="77777777" w:rsidR="00A27602" w:rsidRDefault="00A27602" w:rsidP="00361237">
      <w:pPr>
        <w:pStyle w:val="ListParagraph"/>
        <w:tabs>
          <w:tab w:val="left" w:pos="720"/>
        </w:tabs>
        <w:bidi/>
        <w:spacing w:after="240" w:line="240" w:lineRule="auto"/>
        <w:ind w:left="1134" w:right="1080"/>
        <w:jc w:val="both"/>
        <w:rPr>
          <w:rFonts w:ascii="Traditional Arabic" w:hAnsi="Traditional Arabic" w:cs="Traditional Arabic"/>
          <w:i/>
          <w:iCs/>
          <w:sz w:val="30"/>
          <w:szCs w:val="30"/>
          <w:lang w:val="en-AU"/>
        </w:rPr>
      </w:pPr>
      <w:r>
        <w:rPr>
          <w:rFonts w:ascii="Traditional Arabic" w:hAnsi="Traditional Arabic" w:cs="Traditional Arabic"/>
          <w:i/>
          <w:iCs/>
          <w:sz w:val="30"/>
          <w:szCs w:val="30"/>
          <w:rtl/>
        </w:rPr>
        <w:t>العنف الجنسي من قبل قوات الحزام الأمني المدعومة من الإمارات العربية المتحدة</w:t>
      </w:r>
    </w:p>
    <w:p w14:paraId="6627CBD2" w14:textId="531246CE"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Pr>
          <w:rFonts w:ascii="Traditional Arabic" w:hAnsi="Traditional Arabic" w:cs="Traditional Arabic"/>
          <w:sz w:val="30"/>
          <w:szCs w:val="30"/>
          <w:rtl/>
        </w:rPr>
        <w:t>في تقريره لعام 2018 ، وجد فريق الخبراء أسبابًا معقولة للاعتقاد بأن قوات الحزام الأمني ارتكبت أعمال عنف جنسي، بما في ذلك الاغتصاب ضد مهاجرين ولاجئين أفارقة في منطقتين في عدن: مركز اعتقال المهاجرين في البريقة وحي البساتين</w:t>
      </w:r>
      <w:r>
        <w:rPr>
          <w:rFonts w:ascii="Traditional Arabic" w:hAnsi="Traditional Arabic" w:cs="Traditional Arabic"/>
          <w:sz w:val="30"/>
          <w:szCs w:val="30"/>
        </w:rPr>
        <w:t>.</w:t>
      </w:r>
    </w:p>
    <w:p w14:paraId="1FC329C8" w14:textId="7C429E49" w:rsidR="00A27602" w:rsidRDefault="00A27602" w:rsidP="00AF435C">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بعد </w:t>
      </w:r>
      <w:r w:rsidR="00C66E15">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2018، تم إغلاق مرفق البريقة للمهاجرين. هددت قوات وزارة الداخلية والحزام الأمني باعتقال المهاجرين في منشآت جديدة في المستقبل، ولم تبذل أي جهود واضحة لتصحيح القضايا التي أدت إلى انتهاكات سابقة</w:t>
      </w:r>
      <w:r>
        <w:rPr>
          <w:rStyle w:val="FootnoteReference"/>
          <w:rFonts w:asciiTheme="majorBidi" w:hAnsiTheme="majorBidi" w:cstheme="majorBidi"/>
          <w:sz w:val="20"/>
          <w:lang w:eastAsia="en-GB"/>
        </w:rPr>
        <w:footnoteReference w:id="414"/>
      </w:r>
      <w:r>
        <w:rPr>
          <w:rFonts w:asciiTheme="majorBidi" w:hAnsiTheme="majorBidi"/>
          <w:sz w:val="24"/>
          <w:szCs w:val="24"/>
          <w:rtl/>
        </w:rPr>
        <w:t xml:space="preserve">. </w:t>
      </w:r>
      <w:r>
        <w:rPr>
          <w:rFonts w:ascii="Traditional Arabic" w:hAnsi="Traditional Arabic" w:cs="Traditional Arabic"/>
          <w:sz w:val="30"/>
          <w:szCs w:val="30"/>
          <w:rtl/>
        </w:rPr>
        <w:t xml:space="preserve">لم يتم الإبلاغ عن أي إجراء حتى 21 نيسان/أبريل 2019، عندما استأنفت قوات الحزام الأمني، بحجة الأمن القومي، اعتقال المهاجرين الإثيوبيين والإريتريين. بين هذا التاريخ و 21 </w:t>
      </w:r>
      <w:r w:rsidR="00C66E15">
        <w:rPr>
          <w:rFonts w:ascii="Traditional Arabic" w:hAnsi="Traditional Arabic" w:cs="Traditional Arabic" w:hint="cs"/>
          <w:sz w:val="30"/>
          <w:szCs w:val="30"/>
          <w:rtl/>
        </w:rPr>
        <w:t xml:space="preserve">نيسان/ </w:t>
      </w:r>
      <w:r>
        <w:rPr>
          <w:rFonts w:ascii="Traditional Arabic" w:hAnsi="Traditional Arabic" w:cs="Traditional Arabic"/>
          <w:sz w:val="30"/>
          <w:szCs w:val="30"/>
          <w:rtl/>
        </w:rPr>
        <w:t xml:space="preserve">أبريل و 30 </w:t>
      </w:r>
      <w:r w:rsidR="00C66E15">
        <w:rPr>
          <w:rFonts w:ascii="Traditional Arabic" w:hAnsi="Traditional Arabic" w:cs="Traditional Arabic" w:hint="cs"/>
          <w:sz w:val="30"/>
          <w:szCs w:val="30"/>
          <w:rtl/>
        </w:rPr>
        <w:t xml:space="preserve">أيار/ </w:t>
      </w:r>
      <w:r>
        <w:rPr>
          <w:rFonts w:ascii="Traditional Arabic" w:hAnsi="Traditional Arabic" w:cs="Traditional Arabic"/>
          <w:sz w:val="30"/>
          <w:szCs w:val="30"/>
          <w:rtl/>
        </w:rPr>
        <w:t>مايو 2019، تم اعتقال ما يقدر بنحو 5000 شخص من إريتريا وإثيوبيا في ظروف قاسية في الملاعب الرياضية الخاضعة لسيطرة قوات الحزام الأمني. وشملت هذه الرجال والنساء والفتيات والفتيان</w:t>
      </w:r>
      <w:r>
        <w:rPr>
          <w:rStyle w:val="FootnoteReference"/>
          <w:rFonts w:asciiTheme="majorBidi" w:hAnsiTheme="majorBidi" w:cstheme="majorBidi"/>
          <w:sz w:val="20"/>
          <w:lang w:eastAsia="en-GB"/>
        </w:rPr>
        <w:footnoteReference w:id="415"/>
      </w:r>
      <w:r>
        <w:rPr>
          <w:rFonts w:asciiTheme="majorBidi" w:hAnsiTheme="majorBidi"/>
          <w:sz w:val="24"/>
          <w:szCs w:val="24"/>
          <w:rtl/>
        </w:rPr>
        <w:t xml:space="preserve">. </w:t>
      </w:r>
      <w:r>
        <w:rPr>
          <w:rFonts w:ascii="Traditional Arabic" w:hAnsi="Traditional Arabic" w:cs="Traditional Arabic"/>
          <w:sz w:val="30"/>
          <w:szCs w:val="30"/>
          <w:rtl/>
        </w:rPr>
        <w:t>يشعر الفريق بالقلق من أنه إذا كان هناك فشل في اتخاذ أي تدابير تصحيحية للقضايا الموثقة في المرفق السابق للمهاجرين، فقد تنشأ مخاوف مماثلة للمهاجرين في المرفق الجديد. لم تكتمل التحقيقات في هذه المشكلة بحلول وقت الانتهاء من هذا التقرير</w:t>
      </w:r>
      <w:r>
        <w:rPr>
          <w:rFonts w:ascii="Traditional Arabic" w:hAnsi="Traditional Arabic" w:cs="Traditional Arabic"/>
          <w:sz w:val="30"/>
          <w:szCs w:val="30"/>
        </w:rPr>
        <w:t>.</w:t>
      </w:r>
    </w:p>
    <w:p w14:paraId="1D26A61D" w14:textId="6EBD4C68"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Style w:val="fontstyle01"/>
          <w:rFonts w:asciiTheme="majorBidi" w:hAnsiTheme="majorBidi" w:cstheme="majorBidi"/>
          <w:color w:val="auto"/>
        </w:rPr>
      </w:pPr>
      <w:r>
        <w:rPr>
          <w:rFonts w:ascii="Traditional Arabic" w:hAnsi="Traditional Arabic" w:cs="Traditional Arabic"/>
          <w:sz w:val="30"/>
          <w:szCs w:val="30"/>
          <w:rtl/>
        </w:rPr>
        <w:t>في الفترة 2018-2019 ، تحقق فريق الخبراء من حالتين أخريين من حالات اغتصاب امرأة وصبي في مناطق أخرى من عدن. تشير تقارير موثوقة في عام 2019 إلى استمرار العنف الجنسي من قبل قوات الحزام الأمني ضد المجتمع في البساتين والمعلا وأماكن أخرى في عدن</w:t>
      </w:r>
      <w:r>
        <w:rPr>
          <w:rStyle w:val="FootnoteReference"/>
          <w:rFonts w:asciiTheme="majorBidi" w:hAnsiTheme="majorBidi" w:cstheme="majorBidi"/>
          <w:sz w:val="20"/>
          <w:lang w:eastAsia="en-GB"/>
        </w:rPr>
        <w:footnoteReference w:id="416"/>
      </w:r>
      <w:r>
        <w:rPr>
          <w:rStyle w:val="fontstyle01"/>
          <w:rFonts w:asciiTheme="majorBidi" w:hAnsiTheme="majorBidi"/>
          <w:sz w:val="24"/>
          <w:szCs w:val="24"/>
          <w:rtl/>
        </w:rPr>
        <w:t xml:space="preserve">. </w:t>
      </w:r>
      <w:r>
        <w:rPr>
          <w:rFonts w:ascii="Traditional Arabic" w:hAnsi="Traditional Arabic" w:cs="Traditional Arabic"/>
          <w:sz w:val="30"/>
          <w:szCs w:val="30"/>
          <w:rtl/>
        </w:rPr>
        <w:t xml:space="preserve">بالإضافة إلى ذلك، </w:t>
      </w:r>
      <w:r>
        <w:rPr>
          <w:rFonts w:ascii="Traditional Arabic" w:hAnsi="Traditional Arabic" w:cs="Traditional Arabic"/>
          <w:sz w:val="30"/>
          <w:szCs w:val="30"/>
          <w:rtl/>
        </w:rPr>
        <w:lastRenderedPageBreak/>
        <w:t>استمرت قوات الحزام الأمني في التهديد بالقتل وإكراه الناجين على عدم الإبلاغ</w:t>
      </w:r>
      <w:r>
        <w:rPr>
          <w:rStyle w:val="fontstyle01"/>
          <w:rFonts w:asciiTheme="majorBidi" w:hAnsiTheme="majorBidi"/>
          <w:sz w:val="24"/>
          <w:szCs w:val="24"/>
          <w:rtl/>
        </w:rPr>
        <w:t>.</w:t>
      </w:r>
      <w:r>
        <w:rPr>
          <w:rFonts w:asciiTheme="majorBidi" w:hAnsiTheme="majorBidi" w:cstheme="majorBidi"/>
          <w:sz w:val="20"/>
          <w:vertAlign w:val="superscript"/>
          <w:lang w:eastAsia="en-GB"/>
        </w:rPr>
        <w:t xml:space="preserve"> </w:t>
      </w:r>
      <w:r>
        <w:rPr>
          <w:rFonts w:asciiTheme="majorBidi" w:hAnsiTheme="majorBidi" w:cstheme="majorBidi"/>
          <w:sz w:val="20"/>
          <w:vertAlign w:val="superscript"/>
          <w:lang w:eastAsia="en-GB"/>
        </w:rPr>
        <w:footnoteReference w:id="417"/>
      </w:r>
      <w:r>
        <w:rPr>
          <w:rFonts w:asciiTheme="majorBidi" w:hAnsiTheme="majorBidi" w:cstheme="majorBidi"/>
          <w:sz w:val="20"/>
          <w:lang w:eastAsia="en-GB"/>
        </w:rPr>
        <w:t xml:space="preserve"> </w:t>
      </w:r>
      <w:r>
        <w:rPr>
          <w:rStyle w:val="FootnoteReference"/>
          <w:rFonts w:asciiTheme="majorBidi" w:hAnsiTheme="majorBidi" w:cstheme="majorBidi"/>
          <w:sz w:val="20"/>
          <w:lang w:eastAsia="en-GB"/>
        </w:rPr>
        <w:footnoteReference w:id="418"/>
      </w:r>
      <w:r>
        <w:rPr>
          <w:rFonts w:asciiTheme="majorBidi" w:hAnsiTheme="majorBidi" w:cstheme="majorBidi"/>
          <w:sz w:val="20"/>
          <w:lang w:eastAsia="en-GB"/>
        </w:rPr>
        <w:t xml:space="preserve"> </w:t>
      </w:r>
      <w:r>
        <w:rPr>
          <w:rStyle w:val="fontstyle01"/>
          <w:rFonts w:asciiTheme="majorBidi" w:hAnsiTheme="majorBidi"/>
          <w:sz w:val="24"/>
          <w:szCs w:val="24"/>
          <w:rtl/>
        </w:rPr>
        <w:t xml:space="preserve"> </w:t>
      </w:r>
      <w:r>
        <w:rPr>
          <w:rStyle w:val="FootnoteReference"/>
          <w:rFonts w:asciiTheme="majorBidi" w:hAnsiTheme="majorBidi" w:cstheme="majorBidi"/>
          <w:sz w:val="20"/>
          <w:lang w:eastAsia="en-GB"/>
        </w:rPr>
        <w:footnoteReference w:id="419"/>
      </w:r>
      <w:r>
        <w:rPr>
          <w:rFonts w:asciiTheme="majorBidi" w:hAnsiTheme="majorBidi" w:cstheme="majorBidi"/>
          <w:sz w:val="20"/>
          <w:lang w:eastAsia="en-GB"/>
        </w:rPr>
        <w:t xml:space="preserve"> </w:t>
      </w:r>
      <w:r>
        <w:rPr>
          <w:rFonts w:ascii="Traditional Arabic" w:hAnsi="Traditional Arabic" w:cs="Traditional Arabic"/>
          <w:sz w:val="30"/>
          <w:szCs w:val="30"/>
          <w:rtl/>
        </w:rPr>
        <w:t>في المجموع، بين عامي 2016 و 2019 ، اغتصبت قوات الحزام الأمني على الأقل 18 امرأة، وأربعة صبية لا تتجاوز أعمارهم 12 عامًا، وفتاة واحدة، وحاولت اغتصاب امرأة وفتاة واحدة، واختطفت ست نساء</w:t>
      </w:r>
      <w:r>
        <w:rPr>
          <w:rStyle w:val="fontstyle01"/>
          <w:rFonts w:asciiTheme="majorBidi" w:hAnsiTheme="majorBidi" w:cstheme="majorBidi"/>
          <w:sz w:val="24"/>
          <w:szCs w:val="24"/>
        </w:rPr>
        <w:t>.</w:t>
      </w:r>
    </w:p>
    <w:p w14:paraId="6EBF72CF" w14:textId="66754D0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ووصفت المصادر الموثوقة، بما في ذلك الأشخاص الذين يعملون في المجتمعات المحلية في عدن، فضلاً عن الضحايا والشهود الأفراد، السلوك العدواني المستمر والشائع لقوات الحزام الأمني ضد سكان حي البساتين وأماكن أخرى في عدن. ولاحظ الجميع الإفلات من العقاب الذي تعمل به هذه القوات في المنطقة ، فضلاً عن الخوف الموجود في كل مكان بين السكان</w:t>
      </w:r>
      <w:r>
        <w:rPr>
          <w:rFonts w:ascii="Traditional Arabic" w:hAnsi="Traditional Arabic" w:cs="Traditional Arabic"/>
          <w:sz w:val="30"/>
          <w:szCs w:val="30"/>
        </w:rPr>
        <w:t>.</w:t>
      </w:r>
    </w:p>
    <w:p w14:paraId="41A46BF4" w14:textId="489009E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 وشملت الممارسات الموصوفة دخول قوات الحزام الأمني إلى المنازل في منتصف الليل أو اخذ النساء من الشارع لاغتصابهن. وشمل ذلك الاغتصاب الجماعي، واستخدام الأسلحة لإخضاع الناجين أو اغتصابهم، والعنف الشديد مثل العض والقطع بالسكاكين. ومن الممارسات الشائعة الأخرى اختطاف النساء واغتصابهن، أو التهديد به، كوسيلة لابتزاز الأموال في شكل أخذ رهائن. على حد تعبير أحد الشهود: "السلطات تبيع نساء مجتمعنا</w:t>
      </w:r>
      <w:r>
        <w:rPr>
          <w:rFonts w:asciiTheme="majorBidi" w:hAnsiTheme="majorBidi" w:cstheme="majorBidi"/>
          <w:sz w:val="24"/>
          <w:szCs w:val="24"/>
        </w:rPr>
        <w:t>".</w:t>
      </w:r>
      <w:r>
        <w:rPr>
          <w:rStyle w:val="FootnoteReference"/>
          <w:rFonts w:asciiTheme="majorBidi" w:hAnsiTheme="majorBidi" w:cstheme="majorBidi"/>
          <w:sz w:val="20"/>
        </w:rPr>
        <w:footnoteReference w:id="420"/>
      </w:r>
    </w:p>
    <w:p w14:paraId="5BCE5A1D" w14:textId="77777777" w:rsidR="00A27602" w:rsidRPr="00AD2C7B" w:rsidRDefault="00A27602" w:rsidP="00361237">
      <w:pPr>
        <w:pStyle w:val="ListParagraph"/>
        <w:tabs>
          <w:tab w:val="left" w:pos="720"/>
        </w:tabs>
        <w:bidi/>
        <w:spacing w:after="240" w:line="240" w:lineRule="auto"/>
        <w:ind w:left="1494" w:right="1080" w:hanging="675"/>
        <w:jc w:val="both"/>
        <w:rPr>
          <w:rFonts w:ascii="Traditional Arabic" w:hAnsi="Traditional Arabic" w:cs="Traditional Arabic"/>
          <w:b/>
          <w:bCs/>
          <w:sz w:val="30"/>
          <w:szCs w:val="30"/>
          <w:lang w:val="en-AU"/>
        </w:rPr>
      </w:pPr>
      <w:r w:rsidRPr="00AD2C7B">
        <w:rPr>
          <w:rFonts w:ascii="Traditional Arabic" w:hAnsi="Traditional Arabic" w:cs="Traditional Arabic"/>
          <w:b/>
          <w:bCs/>
          <w:sz w:val="30"/>
          <w:szCs w:val="30"/>
          <w:rtl/>
        </w:rPr>
        <w:t>أ) العنف الجنسي من قبل قوات اللواء المدرع الخامس والثلاثين</w:t>
      </w:r>
    </w:p>
    <w:p w14:paraId="1663E8A6" w14:textId="22C959E7"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حقق الفريق في مزاعم العنف الجنسي من قبل أفراد من اللواء 35 المدرع في القوات المسلحة اليمنية في الشماتين، محافظة تعز. تحد محافظة لحج هذه المنطقة الريفية، ويبلغ عدد سكانها عدد كبير من النازحين و"المهمشين"</w:t>
      </w:r>
      <w:r>
        <w:rPr>
          <w:rFonts w:asciiTheme="majorBidi" w:hAnsiTheme="majorBidi"/>
          <w:sz w:val="24"/>
          <w:szCs w:val="24"/>
          <w:rtl/>
        </w:rPr>
        <w:t>.</w:t>
      </w:r>
      <w:r>
        <w:rPr>
          <w:rStyle w:val="FootnoteReference"/>
          <w:rFonts w:asciiTheme="majorBidi" w:hAnsiTheme="majorBidi" w:cstheme="majorBidi"/>
          <w:sz w:val="20"/>
          <w:lang w:eastAsia="en-GB"/>
        </w:rPr>
        <w:footnoteReference w:id="421"/>
      </w:r>
      <w:r>
        <w:rPr>
          <w:rFonts w:asciiTheme="majorBidi" w:hAnsiTheme="majorBidi" w:cstheme="majorBidi"/>
          <w:sz w:val="20"/>
          <w:lang w:eastAsia="en-GB"/>
        </w:rPr>
        <w:t xml:space="preserve"> </w:t>
      </w:r>
      <w:r>
        <w:rPr>
          <w:rFonts w:asciiTheme="majorBidi" w:hAnsiTheme="majorBidi"/>
          <w:sz w:val="24"/>
          <w:szCs w:val="24"/>
          <w:rtl/>
        </w:rPr>
        <w:t xml:space="preserve"> </w:t>
      </w:r>
      <w:r>
        <w:rPr>
          <w:rFonts w:ascii="Traditional Arabic" w:hAnsi="Traditional Arabic" w:cs="Traditional Arabic"/>
          <w:sz w:val="30"/>
          <w:szCs w:val="30"/>
          <w:rtl/>
        </w:rPr>
        <w:t>يسيطر اللواء 35 المدرع على الشماتين من قاعدته في بلدة  التربة ومن مقر قيادتهم في المخا. تم تشكيل اللواء 35 المدرع من قوات المقاومة المحلية بعد انسحاب الحوثيين من المنطقة في عام 2015 ويحتوي على قوات مع مزيج من الانتماءات وهي قوات تابعه إلى الحكومة</w:t>
      </w:r>
      <w:r>
        <w:rPr>
          <w:rFonts w:asciiTheme="majorBidi" w:hAnsiTheme="majorBidi" w:cstheme="majorBidi"/>
          <w:sz w:val="24"/>
          <w:szCs w:val="24"/>
          <w:rtl/>
        </w:rPr>
        <w:t>.</w:t>
      </w:r>
      <w:r>
        <w:rPr>
          <w:rStyle w:val="FootnoteReference"/>
          <w:rFonts w:asciiTheme="majorBidi" w:hAnsiTheme="majorBidi" w:cstheme="majorBidi"/>
          <w:sz w:val="20"/>
          <w:lang w:eastAsia="en-GB"/>
        </w:rPr>
        <w:footnoteReference w:id="422"/>
      </w:r>
    </w:p>
    <w:p w14:paraId="11E0E12E" w14:textId="305987D1" w:rsidR="00A27602" w:rsidRDefault="00A27602" w:rsidP="00E16AA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AU"/>
        </w:rPr>
      </w:pPr>
      <w:r>
        <w:rPr>
          <w:rFonts w:ascii="Traditional Arabic" w:hAnsi="Traditional Arabic" w:cs="Traditional Arabic"/>
          <w:sz w:val="30"/>
          <w:szCs w:val="30"/>
          <w:rtl/>
        </w:rPr>
        <w:t xml:space="preserve">في الفترة ما بين </w:t>
      </w:r>
      <w:r w:rsidR="00E16AA3">
        <w:rPr>
          <w:rFonts w:ascii="Traditional Arabic" w:hAnsi="Traditional Arabic" w:cs="Traditional Arabic" w:hint="cs"/>
          <w:sz w:val="30"/>
          <w:szCs w:val="30"/>
          <w:rtl/>
        </w:rPr>
        <w:t xml:space="preserve">حزيران/ </w:t>
      </w:r>
      <w:r>
        <w:rPr>
          <w:rFonts w:ascii="Traditional Arabic" w:hAnsi="Traditional Arabic" w:cs="Traditional Arabic"/>
          <w:sz w:val="30"/>
          <w:szCs w:val="30"/>
          <w:rtl/>
        </w:rPr>
        <w:t>يونيو 2017 و2019، اغتصب أفراد من اللواء المدرع الخامس والثلاثون على الأقل امرأة واثنين من الصبية وحاولوا اغتصاب فتاة واحدة واعتدوا جنسياً على رجل وصبي. قامت القوات بخطف الضحايا وتعريضهم للعنف الشديد والاغتصاب وغيره من أشكال العنف الجنسي. ارتكب هذه الحالات عدة افراد مسلحين، واستخداموا مركبات عسكرية. تم ارتكاب ست من الحالات السبع في سياق قيام الجنود بواجباتهم المزعومة</w:t>
      </w:r>
      <w:r>
        <w:rPr>
          <w:rFonts w:ascii="Traditional Arabic" w:hAnsi="Traditional Arabic" w:cs="Traditional Arabic"/>
          <w:sz w:val="30"/>
          <w:szCs w:val="30"/>
        </w:rPr>
        <w:t>.</w:t>
      </w:r>
    </w:p>
    <w:p w14:paraId="7B2B5003" w14:textId="7600CAF9"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cstheme="majorBidi"/>
          <w:sz w:val="20"/>
        </w:rPr>
      </w:pPr>
      <w:r>
        <w:rPr>
          <w:rFonts w:ascii="Traditional Arabic" w:hAnsi="Traditional Arabic" w:cs="Traditional Arabic"/>
          <w:sz w:val="30"/>
          <w:szCs w:val="30"/>
          <w:rtl/>
        </w:rPr>
        <w:t xml:space="preserve">وشملت الأساليب المستخدمة اغتصاب العصابات، وارتكاب الإيذاء أمام أفراد الأسرة، واستخدام الأسلحة والأشياء، والتعذيب المطول والعنف والإصابات الشديدة. تم استخدام العنف الجنسي كوسيلة لإذلال وإخضاع أفراد </w:t>
      </w:r>
      <w:r>
        <w:rPr>
          <w:rFonts w:ascii="Traditional Arabic" w:hAnsi="Traditional Arabic" w:cs="Traditional Arabic"/>
          <w:sz w:val="30"/>
          <w:szCs w:val="30"/>
          <w:rtl/>
        </w:rPr>
        <w:lastRenderedPageBreak/>
        <w:t>مجتمع</w:t>
      </w:r>
      <w:r>
        <w:rPr>
          <w:rFonts w:ascii="Traditional Arabic" w:hAnsi="Traditional Arabic" w:cs="Traditional Arabic"/>
          <w:sz w:val="30"/>
          <w:szCs w:val="30"/>
        </w:rPr>
        <w:t xml:space="preserve"> </w:t>
      </w:r>
      <w:r>
        <w:rPr>
          <w:rFonts w:ascii="Traditional Arabic" w:hAnsi="Traditional Arabic" w:cs="Traditional Arabic"/>
          <w:sz w:val="30"/>
          <w:szCs w:val="30"/>
          <w:rtl/>
        </w:rPr>
        <w:t>المهمشين</w:t>
      </w:r>
      <w:r>
        <w:rPr>
          <w:rFonts w:ascii="Traditional Arabic" w:hAnsi="Traditional Arabic" w:cs="Traditional Arabic"/>
          <w:sz w:val="30"/>
          <w:szCs w:val="30"/>
        </w:rPr>
        <w:t xml:space="preserve"> </w:t>
      </w:r>
      <w:r>
        <w:rPr>
          <w:rFonts w:ascii="Traditional Arabic" w:hAnsi="Traditional Arabic" w:cs="Traditional Arabic"/>
          <w:sz w:val="30"/>
          <w:szCs w:val="30"/>
          <w:rtl/>
        </w:rPr>
        <w:t>الكبير، وليس فقط الناجين أنفسهم. كان للعنف تأثير عاطفي عميق على المجتمع، الذي يقع بالفعل ضحية التمييز المستوطن</w:t>
      </w:r>
      <w:r>
        <w:rPr>
          <w:rFonts w:asciiTheme="majorBidi" w:hAnsiTheme="majorBidi" w:cstheme="majorBidi"/>
          <w:sz w:val="24"/>
          <w:szCs w:val="24"/>
        </w:rPr>
        <w:t>.</w:t>
      </w:r>
      <w:r>
        <w:rPr>
          <w:rStyle w:val="FootnoteReference"/>
          <w:rFonts w:asciiTheme="majorBidi" w:hAnsiTheme="majorBidi" w:cstheme="majorBidi"/>
          <w:sz w:val="20"/>
          <w:lang w:eastAsia="en-GB"/>
        </w:rPr>
        <w:t xml:space="preserve"> </w:t>
      </w:r>
      <w:r>
        <w:rPr>
          <w:rStyle w:val="FootnoteReference"/>
          <w:rFonts w:asciiTheme="majorBidi" w:hAnsiTheme="majorBidi" w:cstheme="majorBidi"/>
          <w:sz w:val="20"/>
          <w:lang w:eastAsia="en-GB"/>
        </w:rPr>
        <w:footnoteReference w:id="423"/>
      </w:r>
    </w:p>
    <w:p w14:paraId="47A98D08" w14:textId="77777777" w:rsidR="00A27602" w:rsidRDefault="00A27602" w:rsidP="00D06937">
      <w:pPr>
        <w:pStyle w:val="ListParagraph"/>
        <w:tabs>
          <w:tab w:val="left" w:pos="360"/>
          <w:tab w:val="left" w:pos="720"/>
        </w:tabs>
        <w:bidi/>
        <w:spacing w:after="0" w:line="240" w:lineRule="auto"/>
        <w:ind w:left="1449" w:right="1080"/>
        <w:rPr>
          <w:rFonts w:ascii="Traditional Arabic" w:hAnsi="Traditional Arabic" w:cs="Traditional Arabic"/>
          <w:i/>
          <w:iCs/>
          <w:sz w:val="30"/>
          <w:szCs w:val="30"/>
          <w:lang w:val="en-AU"/>
        </w:rPr>
      </w:pPr>
      <w:r>
        <w:rPr>
          <w:rFonts w:ascii="Traditional Arabic" w:hAnsi="Traditional Arabic" w:cs="Traditional Arabic"/>
          <w:i/>
          <w:iCs/>
          <w:sz w:val="30"/>
          <w:szCs w:val="30"/>
        </w:rPr>
        <w:t>"</w:t>
      </w:r>
      <w:r>
        <w:rPr>
          <w:rFonts w:ascii="Traditional Arabic" w:hAnsi="Traditional Arabic" w:cs="Traditional Arabic"/>
          <w:i/>
          <w:iCs/>
          <w:sz w:val="30"/>
          <w:szCs w:val="30"/>
          <w:rtl/>
        </w:rPr>
        <w:t>لأكثر من شهر [تم حجب الاسم] لم يتمكن من الجلوس أو المشي. كان يبكي كل يوم وكان قلقًا دائمًا. توقف عن الأكل مما أدى الى اصابة كليتيه. فقد طفلي براءته وأخذت طفولته على يد مجرمين تحميهم القيادة العسكرية</w:t>
      </w:r>
      <w:r>
        <w:rPr>
          <w:rFonts w:ascii="Traditional Arabic" w:hAnsi="Traditional Arabic" w:cs="Traditional Arabic"/>
          <w:i/>
          <w:iCs/>
          <w:sz w:val="30"/>
          <w:szCs w:val="30"/>
        </w:rPr>
        <w:t>. "</w:t>
      </w:r>
    </w:p>
    <w:p w14:paraId="4E94552E" w14:textId="4ED14973" w:rsidR="00A27602" w:rsidRDefault="00A27602" w:rsidP="00361237">
      <w:pPr>
        <w:pStyle w:val="ListParagraph"/>
        <w:tabs>
          <w:tab w:val="left" w:pos="360"/>
          <w:tab w:val="left" w:pos="720"/>
        </w:tabs>
        <w:bidi/>
        <w:spacing w:after="240" w:line="240" w:lineRule="auto"/>
        <w:ind w:left="1134" w:right="1080"/>
        <w:rPr>
          <w:rFonts w:asciiTheme="majorBidi" w:hAnsiTheme="majorBidi"/>
          <w:b/>
          <w:bCs/>
          <w:sz w:val="24"/>
          <w:szCs w:val="24"/>
          <w:lang w:val="en-GB"/>
        </w:rPr>
      </w:pP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heme="majorBidi" w:hAnsiTheme="majorBidi"/>
          <w:b/>
          <w:bCs/>
          <w:sz w:val="24"/>
          <w:szCs w:val="24"/>
          <w:rtl/>
          <w:lang w:val="en-GB"/>
        </w:rPr>
        <w:tab/>
      </w:r>
      <w:r>
        <w:rPr>
          <w:rFonts w:ascii="Traditional Arabic" w:hAnsi="Traditional Arabic" w:cs="Traditional Arabic"/>
          <w:b/>
          <w:bCs/>
          <w:sz w:val="30"/>
          <w:szCs w:val="30"/>
          <w:rtl/>
        </w:rPr>
        <w:t>والدة أحد الناجين من الاغتصاب</w:t>
      </w:r>
      <w:r w:rsidR="00AD2C7B">
        <w:rPr>
          <w:rStyle w:val="FootnoteReference"/>
          <w:rFonts w:cs="Traditional Arabic"/>
          <w:b/>
          <w:bCs/>
          <w:szCs w:val="30"/>
          <w:rtl/>
        </w:rPr>
        <w:footnoteReference w:id="424"/>
      </w:r>
    </w:p>
    <w:p w14:paraId="2B94A76B" w14:textId="77777777" w:rsidR="00A27602" w:rsidRPr="00AD2C7B" w:rsidRDefault="00A27602" w:rsidP="00361237">
      <w:pPr>
        <w:pStyle w:val="ListParagraph"/>
        <w:tabs>
          <w:tab w:val="left" w:pos="360"/>
          <w:tab w:val="left" w:pos="720"/>
        </w:tabs>
        <w:bidi/>
        <w:spacing w:after="240" w:line="240" w:lineRule="auto"/>
        <w:ind w:left="819" w:right="1080" w:hanging="315"/>
        <w:rPr>
          <w:rFonts w:ascii="Traditional Arabic" w:hAnsi="Traditional Arabic" w:cs="Traditional Arabic"/>
          <w:b/>
          <w:bCs/>
          <w:sz w:val="30"/>
          <w:szCs w:val="30"/>
          <w:rtl/>
          <w:lang w:val="en-AU"/>
        </w:rPr>
      </w:pPr>
      <w:r>
        <w:rPr>
          <w:rFonts w:asciiTheme="majorBidi" w:hAnsiTheme="majorBidi"/>
          <w:sz w:val="24"/>
          <w:szCs w:val="24"/>
          <w:rtl/>
          <w:lang w:val="en-GB"/>
        </w:rPr>
        <w:tab/>
      </w:r>
      <w:r w:rsidRPr="00AD2C7B">
        <w:rPr>
          <w:rFonts w:ascii="Traditional Arabic" w:hAnsi="Traditional Arabic" w:cs="Traditional Arabic"/>
          <w:b/>
          <w:bCs/>
          <w:sz w:val="30"/>
          <w:szCs w:val="30"/>
          <w:rtl/>
        </w:rPr>
        <w:t xml:space="preserve">ب) الانتهاكات </w:t>
      </w:r>
    </w:p>
    <w:p w14:paraId="00E78852" w14:textId="6B2A1AA2" w:rsidR="00A27602" w:rsidRDefault="00A27602" w:rsidP="00361237">
      <w:pPr>
        <w:pStyle w:val="Footer"/>
        <w:numPr>
          <w:ilvl w:val="0"/>
          <w:numId w:val="3"/>
        </w:numPr>
        <w:tabs>
          <w:tab w:val="left" w:pos="720"/>
          <w:tab w:val="left" w:pos="900"/>
          <w:tab w:val="left" w:pos="1134"/>
          <w:tab w:val="left" w:pos="1701"/>
        </w:tabs>
        <w:bidi/>
        <w:spacing w:after="240"/>
        <w:ind w:left="1134" w:right="1080" w:firstLine="0"/>
        <w:jc w:val="both"/>
        <w:rPr>
          <w:rFonts w:asciiTheme="majorBidi" w:hAnsiTheme="majorBidi"/>
          <w:sz w:val="24"/>
          <w:szCs w:val="24"/>
          <w:rtl/>
        </w:rPr>
      </w:pPr>
      <w:r>
        <w:rPr>
          <w:rFonts w:asciiTheme="majorBidi" w:hAnsiTheme="majorBidi"/>
          <w:sz w:val="24"/>
          <w:szCs w:val="24"/>
          <w:rtl/>
        </w:rPr>
        <w:t xml:space="preserve"> </w:t>
      </w:r>
      <w:r>
        <w:rPr>
          <w:rFonts w:ascii="Traditional Arabic" w:hAnsi="Traditional Arabic" w:cs="Traditional Arabic"/>
          <w:sz w:val="30"/>
          <w:szCs w:val="30"/>
          <w:rtl/>
        </w:rPr>
        <w:t>يحظر القانون الدولي لحقوق الإنسان والقانون الدولي الإنساني الاغتصاب وغيره من أشكال العنف الجنسي</w:t>
      </w:r>
      <w:r>
        <w:rPr>
          <w:rFonts w:asciiTheme="majorBidi" w:hAnsiTheme="majorBidi"/>
          <w:sz w:val="24"/>
          <w:szCs w:val="24"/>
          <w:rtl/>
        </w:rPr>
        <w:t>.</w:t>
      </w:r>
      <w:r>
        <w:rPr>
          <w:rStyle w:val="FootnoteReference"/>
          <w:sz w:val="20"/>
        </w:rPr>
        <w:t xml:space="preserve"> </w:t>
      </w:r>
      <w:r>
        <w:rPr>
          <w:rStyle w:val="FootnoteReference"/>
          <w:sz w:val="20"/>
        </w:rPr>
        <w:footnoteReference w:id="425"/>
      </w:r>
      <w:r>
        <w:rPr>
          <w:rFonts w:ascii="Traditional Arabic" w:hAnsi="Traditional Arabic" w:cs="Traditional Arabic"/>
          <w:sz w:val="30"/>
          <w:szCs w:val="30"/>
          <w:rtl/>
        </w:rPr>
        <w:t>قد يؤدي هذا إلى مسؤولية جنائية فردية عن جريمة الحرب المتمثلة في الاغتصاب وأي شكل آخر من أشكال العنف الجنسي فضلاً عن التعذيب والاعتداء على الكرامة الشخصية</w:t>
      </w:r>
      <w:r>
        <w:rPr>
          <w:rFonts w:asciiTheme="majorBidi" w:hAnsiTheme="majorBidi" w:cstheme="majorBidi"/>
          <w:sz w:val="20"/>
          <w:rtl/>
        </w:rPr>
        <w:t xml:space="preserve">. </w:t>
      </w:r>
      <w:r>
        <w:rPr>
          <w:rStyle w:val="FootnoteReference"/>
          <w:rFonts w:asciiTheme="majorBidi" w:hAnsiTheme="majorBidi" w:cstheme="majorBidi"/>
          <w:sz w:val="20"/>
        </w:rPr>
        <w:footnoteReference w:id="426"/>
      </w:r>
      <w:r>
        <w:rPr>
          <w:rFonts w:ascii="Traditional Arabic" w:hAnsi="Traditional Arabic" w:cs="Traditional Arabic"/>
          <w:sz w:val="30"/>
          <w:szCs w:val="30"/>
          <w:rtl/>
        </w:rPr>
        <w:t>إن أخذ الرهائن محظور أيضًا من قِبل كياني القانون</w:t>
      </w:r>
      <w:r w:rsidRPr="00E16AA3">
        <w:rPr>
          <w:rFonts w:ascii="Traditional Arabic" w:hAnsi="Traditional Arabic" w:cs="Traditional Arabic"/>
          <w:sz w:val="22"/>
          <w:szCs w:val="22"/>
          <w:vertAlign w:val="superscript"/>
        </w:rPr>
        <w:footnoteReference w:id="427"/>
      </w:r>
      <w:r>
        <w:rPr>
          <w:rFonts w:ascii="Traditional Arabic" w:hAnsi="Traditional Arabic" w:cs="Traditional Arabic"/>
          <w:sz w:val="30"/>
          <w:szCs w:val="30"/>
          <w:rtl/>
        </w:rPr>
        <w:t xml:space="preserve"> ويعتبر جريمة حرب، وأيضًا في النزاعات المسلحة غير الدولية</w:t>
      </w:r>
      <w:r>
        <w:rPr>
          <w:rFonts w:asciiTheme="majorBidi" w:hAnsiTheme="majorBidi"/>
          <w:sz w:val="24"/>
          <w:szCs w:val="24"/>
          <w:rtl/>
        </w:rPr>
        <w:t>.</w:t>
      </w:r>
      <w:r>
        <w:rPr>
          <w:rStyle w:val="FootnoteReference"/>
          <w:rFonts w:asciiTheme="majorBidi" w:hAnsiTheme="majorBidi" w:cstheme="majorBidi"/>
          <w:sz w:val="20"/>
        </w:rPr>
        <w:t xml:space="preserve"> </w:t>
      </w:r>
      <w:r>
        <w:rPr>
          <w:rStyle w:val="FootnoteReference"/>
          <w:rFonts w:asciiTheme="majorBidi" w:hAnsiTheme="majorBidi" w:cstheme="majorBidi"/>
          <w:sz w:val="20"/>
        </w:rPr>
        <w:footnoteReference w:id="428"/>
      </w:r>
      <w:r>
        <w:rPr>
          <w:rFonts w:asciiTheme="majorBidi" w:hAnsiTheme="majorBidi"/>
          <w:sz w:val="24"/>
          <w:szCs w:val="24"/>
          <w:rtl/>
        </w:rPr>
        <w:t>]</w:t>
      </w:r>
    </w:p>
    <w:p w14:paraId="4D655A1A" w14:textId="1709DCC0" w:rsidR="00A27602" w:rsidRDefault="00A27602" w:rsidP="00C66E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AU"/>
        </w:rPr>
      </w:pPr>
      <w:r>
        <w:rPr>
          <w:rFonts w:ascii="Traditional Arabic" w:hAnsi="Traditional Arabic" w:cs="Traditional Arabic"/>
          <w:sz w:val="30"/>
          <w:szCs w:val="30"/>
          <w:rtl/>
        </w:rPr>
        <w:t>لدى فريق الخبراء أسباب معقولة للاعتقاد بأن أفراد اللواء المدرع 35 وقوات الحزام الأمني ارتكبوا الاغتصاب وغيره من أشكال العنف الجنسي، والتي قد يتحمل الأفراد مسؤولية جرائم الحرب المتعلقة بالاغتصاب و</w:t>
      </w:r>
      <w:r w:rsidR="00C66E15">
        <w:rPr>
          <w:rFonts w:ascii="Traditional Arabic" w:hAnsi="Traditional Arabic" w:cs="Traditional Arabic" w:hint="cs"/>
          <w:sz w:val="30"/>
          <w:szCs w:val="30"/>
          <w:rtl/>
        </w:rPr>
        <w:t>أ</w:t>
      </w:r>
      <w:r>
        <w:rPr>
          <w:rFonts w:ascii="Traditional Arabic" w:hAnsi="Traditional Arabic" w:cs="Traditional Arabic"/>
          <w:sz w:val="30"/>
          <w:szCs w:val="30"/>
          <w:rtl/>
        </w:rPr>
        <w:t>شك</w:t>
      </w:r>
      <w:r w:rsidR="00C66E15">
        <w:rPr>
          <w:rFonts w:ascii="Traditional Arabic" w:hAnsi="Traditional Arabic" w:cs="Traditional Arabic" w:hint="cs"/>
          <w:sz w:val="30"/>
          <w:szCs w:val="30"/>
          <w:rtl/>
        </w:rPr>
        <w:t>ا</w:t>
      </w:r>
      <w:r>
        <w:rPr>
          <w:rFonts w:ascii="Traditional Arabic" w:hAnsi="Traditional Arabic" w:cs="Traditional Arabic"/>
          <w:sz w:val="30"/>
          <w:szCs w:val="30"/>
          <w:rtl/>
        </w:rPr>
        <w:t xml:space="preserve">ل </w:t>
      </w:r>
      <w:r w:rsidR="00C66E15">
        <w:rPr>
          <w:rFonts w:ascii="Traditional Arabic" w:hAnsi="Traditional Arabic" w:cs="Traditional Arabic" w:hint="cs"/>
          <w:sz w:val="30"/>
          <w:szCs w:val="30"/>
          <w:rtl/>
        </w:rPr>
        <w:t>أ</w:t>
      </w:r>
      <w:r>
        <w:rPr>
          <w:rFonts w:ascii="Traditional Arabic" w:hAnsi="Traditional Arabic" w:cs="Traditional Arabic"/>
          <w:sz w:val="30"/>
          <w:szCs w:val="30"/>
          <w:rtl/>
        </w:rPr>
        <w:t>خر</w:t>
      </w:r>
      <w:r w:rsidR="00C66E15">
        <w:rPr>
          <w:rFonts w:ascii="Traditional Arabic" w:hAnsi="Traditional Arabic" w:cs="Traditional Arabic" w:hint="cs"/>
          <w:sz w:val="30"/>
          <w:szCs w:val="30"/>
          <w:rtl/>
        </w:rPr>
        <w:t>ى</w:t>
      </w:r>
      <w:r>
        <w:rPr>
          <w:rFonts w:ascii="Traditional Arabic" w:hAnsi="Traditional Arabic" w:cs="Traditional Arabic"/>
          <w:sz w:val="30"/>
          <w:szCs w:val="30"/>
          <w:rtl/>
        </w:rPr>
        <w:t xml:space="preserve"> من أشكال العنف الجنسي وكذلك التعذيب والاعتداء على الكرامة الشخصية. بالإضافة إلى ذلك، يمكن أن يكونوا مسؤولين عن جريمة الحرب المتمثلة في أخذ الرهائن. إن الحكومة اليمنية والإمارات العربية المتحدة، بقدر ما هي مسيطرة على القوات و/ أو المنشآت، ملزمة أيضًا باحترام حقوق الإنسان وحمايتها والوفاء بها. حقوق السكان، وبالتالي اتخاذ إجراءات إيجابية لحماية السكان من العنف الجنسي، وغيرها من الأعمال التي تنتهك حقهم في الحرية والأمن الشخصي.</w:t>
      </w:r>
    </w:p>
    <w:p w14:paraId="1A6F3F1E" w14:textId="4F7021DD" w:rsidR="00595527" w:rsidRPr="00AE6847" w:rsidRDefault="0077685C" w:rsidP="00D06937">
      <w:pPr>
        <w:pStyle w:val="Heading3"/>
        <w:bidi/>
        <w:spacing w:after="240"/>
        <w:ind w:left="1089" w:hanging="720"/>
        <w:rPr>
          <w:rFonts w:ascii="Traditional Arabic" w:hAnsi="Traditional Arabic" w:cs="Traditional Arabic"/>
          <w:b/>
          <w:bCs/>
          <w:sz w:val="30"/>
          <w:szCs w:val="30"/>
          <w:rtl/>
        </w:rPr>
      </w:pPr>
      <w:bookmarkStart w:id="28" w:name="_Toc18918108"/>
      <w:r w:rsidRPr="00AE6847">
        <w:rPr>
          <w:rFonts w:ascii="Traditional Arabic" w:hAnsi="Traditional Arabic" w:cs="Traditional Arabic"/>
          <w:b/>
          <w:bCs/>
          <w:sz w:val="30"/>
          <w:szCs w:val="30"/>
          <w:rtl/>
        </w:rPr>
        <w:t>جـ.</w:t>
      </w:r>
      <w:r w:rsidRPr="00AE6847">
        <w:rPr>
          <w:rFonts w:ascii="Traditional Arabic" w:hAnsi="Traditional Arabic" w:cs="Traditional Arabic"/>
          <w:b/>
          <w:bCs/>
          <w:sz w:val="30"/>
          <w:szCs w:val="30"/>
          <w:rtl/>
        </w:rPr>
        <w:tab/>
      </w:r>
      <w:r w:rsidR="00595527" w:rsidRPr="00AE6847">
        <w:rPr>
          <w:rFonts w:ascii="Traditional Arabic" w:hAnsi="Traditional Arabic" w:cs="Traditional Arabic"/>
          <w:b/>
          <w:bCs/>
          <w:sz w:val="30"/>
          <w:szCs w:val="30"/>
          <w:rtl/>
        </w:rPr>
        <w:t>تعز، خط المواجهة المستمر</w:t>
      </w:r>
      <w:bookmarkEnd w:id="28"/>
    </w:p>
    <w:p w14:paraId="1D574E87" w14:textId="51240303" w:rsidR="00AE6847" w:rsidRPr="00D06937" w:rsidRDefault="00AE6847" w:rsidP="00D06937">
      <w:pPr>
        <w:pStyle w:val="ListParagraph"/>
        <w:numPr>
          <w:ilvl w:val="3"/>
          <w:numId w:val="12"/>
        </w:numPr>
        <w:bidi/>
        <w:spacing w:line="240" w:lineRule="auto"/>
        <w:ind w:left="1089" w:right="827"/>
        <w:rPr>
          <w:rFonts w:ascii="Traditional Arabic" w:hAnsi="Traditional Arabic" w:cs="Traditional Arabic"/>
          <w:b/>
          <w:bCs/>
          <w:sz w:val="30"/>
          <w:szCs w:val="30"/>
          <w:rtl/>
          <w:lang w:bidi="ar-MA"/>
        </w:rPr>
      </w:pPr>
      <w:r w:rsidRPr="00D06937">
        <w:rPr>
          <w:rFonts w:ascii="Traditional Arabic" w:hAnsi="Traditional Arabic" w:cs="Traditional Arabic"/>
          <w:b/>
          <w:bCs/>
          <w:sz w:val="30"/>
          <w:szCs w:val="30"/>
          <w:rtl/>
          <w:lang w:bidi="ar-MA"/>
        </w:rPr>
        <w:t>السياق</w:t>
      </w:r>
    </w:p>
    <w:p w14:paraId="396C4ABD" w14:textId="2F460ED0"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تعتبر مدينة تعز، عاصمة محافظة تعز، ثالث أكبر مدينة في اليمن من حيث عدد السكان. كانت تعز، المعروفة سابقًا باسم العاصمة الثقافية للبلاد، مسقط رأس احتجاجات عام 2011 التي أدت إلى نهاية حكم الرئيس علي عبد الله صالح. تقع بين الجبال، وعلى الطريق الرئيسي بين صنعاء إلى الشمال، عدن من الشرق، والحديدة إلى الغرب. مع أهميتها السياسية والتاريخية، وموقعها </w:t>
      </w:r>
      <w:r w:rsidRPr="00AE6847">
        <w:rPr>
          <w:rFonts w:ascii="Traditional Arabic" w:hAnsi="Traditional Arabic" w:cs="Traditional Arabic"/>
          <w:sz w:val="30"/>
          <w:szCs w:val="30"/>
          <w:rtl/>
          <w:lang w:eastAsia="en-GB"/>
        </w:rPr>
        <w:lastRenderedPageBreak/>
        <w:t>الاستراتيجي الذي يربط بين الأجزاء الشمالية والجنوبية من البلاد ويطل على مضيق باب المندب، تقع المحافظة في قلب النزاع</w:t>
      </w:r>
      <w:r w:rsidR="00B52358">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وتمثل خط المواجهة </w:t>
      </w:r>
      <w:r w:rsidRPr="00AE6847">
        <w:rPr>
          <w:rFonts w:ascii="Traditional Arabic" w:hAnsi="Traditional Arabic" w:cs="Traditional Arabic"/>
          <w:sz w:val="30"/>
          <w:szCs w:val="30"/>
          <w:vertAlign w:val="superscript"/>
          <w:lang w:eastAsia="en-GB"/>
        </w:rPr>
        <w:footnoteReference w:id="429"/>
      </w:r>
      <w:r w:rsidRPr="00AE6847">
        <w:rPr>
          <w:rFonts w:ascii="Traditional Arabic" w:hAnsi="Traditional Arabic" w:cs="Traditional Arabic"/>
          <w:sz w:val="30"/>
          <w:szCs w:val="30"/>
          <w:rtl/>
          <w:lang w:eastAsia="en-GB"/>
        </w:rPr>
        <w:t>الأطول</w:t>
      </w:r>
      <w:r w:rsidR="00B52358">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مع تعرض سكانها لأكثر من أربع سنوات من القتال </w:t>
      </w:r>
      <w:r w:rsidR="00B52358">
        <w:rPr>
          <w:rFonts w:ascii="Traditional Arabic" w:hAnsi="Traditional Arabic" w:cs="Traditional Arabic" w:hint="cs"/>
          <w:sz w:val="30"/>
          <w:szCs w:val="30"/>
          <w:rtl/>
          <w:lang w:eastAsia="en-GB"/>
        </w:rPr>
        <w:t>لتضييق</w:t>
      </w:r>
      <w:r w:rsidR="00452D9D">
        <w:rPr>
          <w:rFonts w:ascii="Traditional Arabic" w:hAnsi="Traditional Arabic" w:cs="Traditional Arabic" w:hint="cs"/>
          <w:sz w:val="30"/>
          <w:szCs w:val="30"/>
          <w:rtl/>
          <w:lang w:eastAsia="en-GB"/>
        </w:rPr>
        <w:t>،</w:t>
      </w:r>
      <w:r w:rsidR="00B52358">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بدرجات متفاوتة </w:t>
      </w:r>
      <w:r w:rsidR="00B52358">
        <w:rPr>
          <w:rFonts w:ascii="Traditional Arabic" w:hAnsi="Traditional Arabic" w:cs="Traditional Arabic" w:hint="cs"/>
          <w:sz w:val="30"/>
          <w:szCs w:val="30"/>
          <w:rtl/>
          <w:lang w:eastAsia="en-GB"/>
        </w:rPr>
        <w:t>زمنيًا</w:t>
      </w:r>
      <w:r w:rsidR="00452D9D">
        <w:rPr>
          <w:rFonts w:ascii="Traditional Arabic" w:hAnsi="Traditional Arabic" w:cs="Traditional Arabic" w:hint="cs"/>
          <w:sz w:val="30"/>
          <w:szCs w:val="30"/>
          <w:rtl/>
          <w:lang w:eastAsia="en-GB"/>
        </w:rPr>
        <w:t>،</w:t>
      </w:r>
      <w:r w:rsidR="00B52358">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على الإمدادات الإنسانية وقيود فرض</w:t>
      </w:r>
      <w:r w:rsidR="00B52358">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على حركة</w:t>
      </w:r>
      <w:r w:rsidR="00B52358">
        <w:rPr>
          <w:rFonts w:ascii="Traditional Arabic" w:hAnsi="Traditional Arabic" w:cs="Traditional Arabic" w:hint="cs"/>
          <w:sz w:val="30"/>
          <w:szCs w:val="30"/>
          <w:rtl/>
          <w:lang w:eastAsia="en-GB"/>
        </w:rPr>
        <w:t xml:space="preserve"> سكانها</w:t>
      </w:r>
      <w:r w:rsidRPr="00AE6847">
        <w:rPr>
          <w:rFonts w:ascii="Traditional Arabic" w:hAnsi="Traditional Arabic" w:cs="Traditional Arabic"/>
          <w:sz w:val="30"/>
          <w:szCs w:val="30"/>
          <w:rtl/>
          <w:lang w:eastAsia="en-GB"/>
        </w:rPr>
        <w:t>. بعد إطلاق "عملية الرمح الذهبي" والتقدم السريع في أوائل عام 2017 من قبل القوات المسلحة اليمنية والجماعات المسلحة التابعة لها ، عززت الحكومة والقوات التابعة لها مواقعها على الجانب الغربي من المحافظة بينما حافظ الحوثيون على سيطرتهم على المناطق الشمالية والشرقية وخاصة منطقة الحوبان شرق تعز. على الرغم من كون تعز موضوع بيان التفاهم</w:t>
      </w:r>
      <w:r w:rsidRPr="00AE6847">
        <w:rPr>
          <w:rFonts w:ascii="Traditional Arabic" w:hAnsi="Traditional Arabic" w:cs="Traditional Arabic"/>
          <w:sz w:val="30"/>
          <w:szCs w:val="30"/>
          <w:vertAlign w:val="superscript"/>
          <w:lang w:eastAsia="en-GB"/>
        </w:rPr>
        <w:footnoteReference w:id="430"/>
      </w:r>
      <w:r w:rsidRPr="00AE6847">
        <w:rPr>
          <w:rFonts w:ascii="Traditional Arabic" w:hAnsi="Traditional Arabic" w:cs="Traditional Arabic"/>
          <w:sz w:val="30"/>
          <w:szCs w:val="30"/>
          <w:rtl/>
          <w:lang w:eastAsia="en-GB"/>
        </w:rPr>
        <w:t xml:space="preserve"> بين أطراف النزاع بموجب اتفاقية استكهولم في كانون الاول/ديسمبر 2018، فقد تم إحراز تقدم ضئيل حتى الآن في تنفيذه، واستمرت تعز في كون</w:t>
      </w:r>
      <w:r w:rsidR="00452D9D">
        <w:rPr>
          <w:rFonts w:ascii="Traditional Arabic" w:hAnsi="Traditional Arabic" w:cs="Traditional Arabic" w:hint="cs"/>
          <w:sz w:val="30"/>
          <w:szCs w:val="30"/>
          <w:rtl/>
          <w:lang w:eastAsia="en-GB"/>
        </w:rPr>
        <w:t>ها</w:t>
      </w: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bidi="ar-LB"/>
        </w:rPr>
        <w:t>رهن</w:t>
      </w:r>
      <w:r w:rsidR="00452D9D">
        <w:rPr>
          <w:rFonts w:ascii="Traditional Arabic" w:hAnsi="Traditional Arabic" w:cs="Traditional Arabic" w:hint="cs"/>
          <w:sz w:val="30"/>
          <w:szCs w:val="30"/>
          <w:rtl/>
          <w:lang w:eastAsia="en-GB" w:bidi="ar-LB"/>
        </w:rPr>
        <w:t>ًا</w:t>
      </w:r>
      <w:r w:rsidRPr="00AE6847">
        <w:rPr>
          <w:rFonts w:ascii="Traditional Arabic" w:hAnsi="Traditional Arabic" w:cs="Traditional Arabic"/>
          <w:sz w:val="30"/>
          <w:szCs w:val="30"/>
          <w:rtl/>
          <w:lang w:eastAsia="en-GB"/>
        </w:rPr>
        <w:t xml:space="preserve"> للتفاوض بين مختلف الأطراف. في عام 2019، ازداد تعقيد ديناميات المدينة بسبب وجود مجموعات مسلحة مختلفة تقاتل الى جانب القوات المسلحة اليمنية. أدى الخلاف على السلطة بين العناصر العسكرية والسياسية التي كانت متحدة فقط في قتالها ضد الحوثيين ، إلى مواجهات مسلحة بين هذه الجماعات المختلفة داخل المدينة. في 2018-2019، شهدت تعز مواجهات عنيفة بين الجماعات المرتبطة بالإصلاح والجماعة السلفية الرئيسية داخل المدينة المتمثله  بكتائب ابو العباس</w:t>
      </w:r>
      <w:r w:rsidRPr="00AE6847">
        <w:rPr>
          <w:rFonts w:ascii="Traditional Arabic" w:hAnsi="Traditional Arabic" w:cs="Traditional Arabic"/>
          <w:sz w:val="30"/>
          <w:szCs w:val="30"/>
          <w:lang w:eastAsia="en-GB"/>
        </w:rPr>
        <w:t>.</w:t>
      </w:r>
    </w:p>
    <w:p w14:paraId="0A7C0942" w14:textId="2951B689"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حقق</w:t>
      </w:r>
      <w:r w:rsidRPr="00AE6847">
        <w:rPr>
          <w:rFonts w:ascii="Traditional Arabic" w:hAnsi="Traditional Arabic" w:cs="Traditional Arabic"/>
          <w:sz w:val="30"/>
          <w:szCs w:val="30"/>
          <w:rtl/>
          <w:lang w:eastAsia="en-GB" w:bidi="ar-LB"/>
        </w:rPr>
        <w:t xml:space="preserve"> </w:t>
      </w:r>
      <w:r w:rsidRPr="00AE6847">
        <w:rPr>
          <w:rFonts w:ascii="Traditional Arabic" w:hAnsi="Traditional Arabic" w:cs="Traditional Arabic"/>
          <w:sz w:val="30"/>
          <w:szCs w:val="30"/>
          <w:rtl/>
          <w:lang w:eastAsia="en-GB"/>
        </w:rPr>
        <w:t xml:space="preserve">فريق الخبراء البارزين في الوضع في تعز على مدى فترتين من الزمن تعتبران رمزا لمختلف </w:t>
      </w:r>
      <w:r w:rsidRPr="00AE6847">
        <w:rPr>
          <w:rFonts w:ascii="Traditional Arabic" w:hAnsi="Traditional Arabic" w:cs="Traditional Arabic"/>
          <w:sz w:val="30"/>
          <w:szCs w:val="30"/>
          <w:rtl/>
          <w:lang w:eastAsia="en-GB" w:bidi="ar-JO"/>
        </w:rPr>
        <w:t xml:space="preserve">تطورات </w:t>
      </w:r>
      <w:r w:rsidRPr="00AE6847">
        <w:rPr>
          <w:rFonts w:ascii="Traditional Arabic" w:hAnsi="Traditional Arabic" w:cs="Traditional Arabic"/>
          <w:sz w:val="30"/>
          <w:szCs w:val="30"/>
          <w:rtl/>
          <w:lang w:eastAsia="en-GB"/>
        </w:rPr>
        <w:t>النزاع في المحافظة. أولاً، حقق الفريق في الانتهاكات المتعلقة بالنزاع في تعز خلال عامه الأول في 2015-2016، و</w:t>
      </w:r>
      <w:r w:rsidR="00452D9D">
        <w:rPr>
          <w:rFonts w:ascii="Traditional Arabic" w:hAnsi="Traditional Arabic" w:cs="Traditional Arabic" w:hint="cs"/>
          <w:sz w:val="30"/>
          <w:szCs w:val="30"/>
          <w:rtl/>
          <w:lang w:eastAsia="en-GB"/>
        </w:rPr>
        <w:t xml:space="preserve">هي فترة عُرفت بإسم </w:t>
      </w:r>
      <w:r w:rsidRPr="00AE6847">
        <w:rPr>
          <w:rFonts w:ascii="Traditional Arabic" w:hAnsi="Traditional Arabic" w:cs="Traditional Arabic"/>
          <w:sz w:val="30"/>
          <w:szCs w:val="30"/>
          <w:rtl/>
          <w:lang w:eastAsia="en-GB"/>
        </w:rPr>
        <w:t xml:space="preserve">"معركة تعز"، وأعقبت استيلاء </w:t>
      </w:r>
      <w:r w:rsidR="00452D9D">
        <w:rPr>
          <w:rFonts w:ascii="Traditional Arabic" w:hAnsi="Traditional Arabic" w:cs="Traditional Arabic" w:hint="cs"/>
          <w:sz w:val="30"/>
          <w:szCs w:val="30"/>
          <w:rtl/>
          <w:lang w:eastAsia="en-GB"/>
        </w:rPr>
        <w:t xml:space="preserve">مقاتلي </w:t>
      </w:r>
      <w:r w:rsidR="00452D9D">
        <w:rPr>
          <w:rFonts w:ascii="Traditional Arabic" w:hAnsi="Traditional Arabic" w:cs="Traditional Arabic"/>
          <w:sz w:val="30"/>
          <w:szCs w:val="30"/>
          <w:rtl/>
          <w:lang w:eastAsia="en-GB"/>
        </w:rPr>
        <w:t>الحوثي</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صالح على المدينة في آذار/مارس 2015 وما تلاها من الأعمال العدائية بين مقاتلي الحوثي- صالح والمقاومة</w:t>
      </w:r>
      <w:r w:rsidRPr="00AE6847">
        <w:rPr>
          <w:rFonts w:ascii="Traditional Arabic" w:hAnsi="Traditional Arabic" w:cs="Traditional Arabic"/>
          <w:sz w:val="30"/>
          <w:szCs w:val="30"/>
          <w:vertAlign w:val="superscript"/>
          <w:lang w:eastAsia="en-GB"/>
        </w:rPr>
        <w:footnoteReference w:id="431"/>
      </w:r>
      <w:r w:rsidRPr="00AE6847">
        <w:rPr>
          <w:rFonts w:ascii="Traditional Arabic" w:hAnsi="Traditional Arabic" w:cs="Traditional Arabic"/>
          <w:sz w:val="30"/>
          <w:szCs w:val="30"/>
          <w:rtl/>
          <w:lang w:eastAsia="en-GB"/>
        </w:rPr>
        <w:t>. تميزت هذه الفترة بالوضع الذي يشبه الحصار الذي أحدثه مقاتلو الحوثي صالح الذين قطعوا طرق الإمداد الرئيسية عن المدينة بعد دفعه</w:t>
      </w:r>
      <w:r w:rsidR="00452D9D">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إلى أطرافها. بعد ذلك، حقق الفريق في الانتهاكات التي وقعت في عامي 2018 و 2019 أثناء القتال المستمر للسيطرة على تعز. بينما استمر "الحصار" في التأثير على المدينة ، تميزت هذه الفترة أيضًا بالاشتباكات التي وقعت بين مختلف الجماعات المسلحة التابعة للقوات المسلحة اليمنية. حدد فريق الخبراء أنماط السلوك التي تُظهر نطاق الانتهاكات التي تحدث </w:t>
      </w:r>
      <w:r w:rsidR="00452D9D" w:rsidRPr="00AE6847">
        <w:rPr>
          <w:rFonts w:ascii="Traditional Arabic" w:hAnsi="Traditional Arabic" w:cs="Traditional Arabic"/>
          <w:sz w:val="30"/>
          <w:szCs w:val="30"/>
          <w:rtl/>
          <w:lang w:eastAsia="en-GB"/>
        </w:rPr>
        <w:t>و</w:t>
      </w:r>
      <w:r w:rsidR="00452D9D">
        <w:rPr>
          <w:rFonts w:ascii="Traditional Arabic" w:hAnsi="Traditional Arabic" w:cs="Traditional Arabic" w:hint="cs"/>
          <w:sz w:val="30"/>
          <w:szCs w:val="30"/>
          <w:rtl/>
          <w:lang w:eastAsia="en-GB"/>
        </w:rPr>
        <w:t>مداها</w:t>
      </w:r>
      <w:r w:rsidR="00452D9D"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وتثير شواغل جدية بشأن خطر استمرار الانتهاكات، حيث لا تظهر هذه الأنماط أي علامات على التراجع. هذا القسم ليس شاملاً لجميع أنماط أو حوادث الانتهاكات</w:t>
      </w:r>
      <w:r w:rsidRPr="00AE6847">
        <w:rPr>
          <w:rFonts w:ascii="Traditional Arabic" w:hAnsi="Traditional Arabic" w:cs="Traditional Arabic"/>
          <w:sz w:val="30"/>
          <w:szCs w:val="30"/>
          <w:lang w:eastAsia="en-GB"/>
        </w:rPr>
        <w:t>.</w:t>
      </w:r>
    </w:p>
    <w:p w14:paraId="537BDF39" w14:textId="77777777" w:rsidR="00AE6847" w:rsidRPr="00AE6847" w:rsidRDefault="00AE6847" w:rsidP="00361237">
      <w:pPr>
        <w:tabs>
          <w:tab w:val="left" w:pos="720"/>
        </w:tabs>
        <w:suppressAutoHyphens w:val="0"/>
        <w:bidi/>
        <w:spacing w:after="160" w:line="240" w:lineRule="auto"/>
        <w:ind w:left="422" w:right="828" w:firstLine="360"/>
        <w:contextualSpacing/>
        <w:rPr>
          <w:rFonts w:ascii="Traditional Arabic" w:eastAsia="Calibri" w:hAnsi="Traditional Arabic" w:cs="Traditional Arabic"/>
          <w:b/>
          <w:bCs/>
          <w:sz w:val="30"/>
          <w:szCs w:val="30"/>
          <w:lang w:eastAsia="en-GB"/>
        </w:rPr>
      </w:pPr>
      <w:r w:rsidRPr="00AE6847">
        <w:rPr>
          <w:rFonts w:ascii="Traditional Arabic" w:hAnsi="Traditional Arabic" w:cs="Traditional Arabic"/>
          <w:b/>
          <w:bCs/>
          <w:sz w:val="30"/>
          <w:szCs w:val="30"/>
          <w:rtl/>
          <w:lang w:eastAsia="en-GB"/>
        </w:rPr>
        <w:t>2.  معركة تعز</w:t>
      </w:r>
      <w:r w:rsidRPr="00AE6847">
        <w:rPr>
          <w:rFonts w:ascii="Traditional Arabic" w:hAnsi="Traditional Arabic" w:cs="Traditional Arabic"/>
          <w:b/>
          <w:bCs/>
          <w:sz w:val="30"/>
          <w:szCs w:val="30"/>
          <w:lang w:eastAsia="en-GB"/>
        </w:rPr>
        <w:t xml:space="preserve"> (2015-2016)</w:t>
      </w:r>
    </w:p>
    <w:p w14:paraId="522F7B07" w14:textId="0A6A2F55"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في  22 آذار/مارس 2015 ، دخل الحوثيون، بدعم من الجماعات المسلحة الموالية للرئيس السابق علي عبد الله صالح الذي لعب دورًا رئيسيًا في الاستيلاء على تعز، المحافظة خلال تقدمهم جنوباً من صنعاء إلى عدن واستولوا على المطار الدولي لتعز وغيرها من المواقع الرئيسية. سرعان ما أقام مقاتلو الحوثي</w:t>
      </w:r>
      <w:r w:rsidR="00452D9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صالح معسكرات داخل المدينة، مما أدى إلى زيادة الاحتجاجات المحلية وتشكيل المقاومة في أبريل / نيسان، والتي تضمنت مواطنين من تعز والألوية العسكرية التي ظلت موالية للرئيس هادي (كتائب من الويه تعز 22 و 35 بعد انقسام الألوية بين الطرفين)</w:t>
      </w:r>
      <w:r w:rsidRPr="00AE6847">
        <w:rPr>
          <w:rFonts w:ascii="Traditional Arabic" w:hAnsi="Traditional Arabic" w:cs="Traditional Arabic"/>
          <w:sz w:val="30"/>
          <w:szCs w:val="30"/>
          <w:lang w:eastAsia="en-GB"/>
        </w:rPr>
        <w:t>.</w:t>
      </w:r>
    </w:p>
    <w:p w14:paraId="028F95E9" w14:textId="236D003B" w:rsidR="00AE6847" w:rsidRPr="00AE6847" w:rsidRDefault="00AE6847" w:rsidP="00351C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بين آذار/مارس وتموز/ يوليو 2015، اندلع قتال عنيف في مدينة تعز والمناطق المحيطة بها بين مقاتلي الحوثي</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صالح والمتحالفين مع القوات المسلحة اليمنية. وقد شمل ذلك على ما يبدو الاستخدام العشوائي لأسلحة إطلاق النار غير المباشر مثل قذائف الهاون والمدفعية التي تصيب المدنيين والأهداف المدنية، وإطلاق نيران القناصة على المدنيين بشكل عشوائي أو توجيهها نحوهم، لأن القتال أخذ شكل القتال في المناطق المبنيه من شارع إلى آخر. قدمت قوات التحالف الدعم للمقاومة في تعز من خلال الغارات الجوية على مواقع الحوثيين</w:t>
      </w:r>
      <w:r w:rsidR="00351C37">
        <w:rPr>
          <w:rFonts w:ascii="Traditional Arabic" w:hAnsi="Traditional Arabic" w:cs="Traditional Arabic" w:hint="cs"/>
          <w:sz w:val="30"/>
          <w:szCs w:val="30"/>
          <w:rtl/>
          <w:lang w:eastAsia="en-GB" w:bidi="ar-JO"/>
        </w:rPr>
        <w:t xml:space="preserve"> - صالح</w:t>
      </w:r>
      <w:r w:rsidRPr="00AE6847">
        <w:rPr>
          <w:rFonts w:ascii="Traditional Arabic" w:hAnsi="Traditional Arabic" w:cs="Traditional Arabic"/>
          <w:sz w:val="30"/>
          <w:szCs w:val="30"/>
          <w:rtl/>
          <w:lang w:eastAsia="en-GB"/>
        </w:rPr>
        <w:t xml:space="preserve"> المزعومة وانزال جوي للأسلحة والذخيرة للمقاومة داخل المدينة. في أوائل يوليو 2015، عززت القوى بما في ذلك الجماعات السلفية من عدن المقاومة داخل تعز، مما دفع </w:t>
      </w:r>
      <w:r w:rsidR="00351C37">
        <w:rPr>
          <w:rFonts w:ascii="Traditional Arabic" w:hAnsi="Traditional Arabic" w:cs="Traditional Arabic" w:hint="cs"/>
          <w:sz w:val="30"/>
          <w:szCs w:val="30"/>
          <w:rtl/>
          <w:lang w:eastAsia="en-GB"/>
        </w:rPr>
        <w:t xml:space="preserve">مقاتلي </w:t>
      </w:r>
      <w:r w:rsidRPr="00AE6847">
        <w:rPr>
          <w:rFonts w:ascii="Traditional Arabic" w:hAnsi="Traditional Arabic" w:cs="Traditional Arabic"/>
          <w:sz w:val="30"/>
          <w:szCs w:val="30"/>
          <w:rtl/>
          <w:lang w:eastAsia="en-GB"/>
        </w:rPr>
        <w:t>الحوثي</w:t>
      </w:r>
      <w:r w:rsidR="00351C37">
        <w:rPr>
          <w:rFonts w:ascii="Traditional Arabic" w:hAnsi="Traditional Arabic" w:cs="Traditional Arabic" w:hint="cs"/>
          <w:sz w:val="30"/>
          <w:szCs w:val="30"/>
          <w:rtl/>
          <w:lang w:eastAsia="en-GB"/>
        </w:rPr>
        <w:t xml:space="preserve"> - صالح</w:t>
      </w:r>
      <w:r w:rsidRPr="00AE6847">
        <w:rPr>
          <w:rFonts w:ascii="Traditional Arabic" w:hAnsi="Traditional Arabic" w:cs="Traditional Arabic"/>
          <w:sz w:val="30"/>
          <w:szCs w:val="30"/>
          <w:rtl/>
          <w:lang w:eastAsia="en-GB"/>
        </w:rPr>
        <w:t xml:space="preserve"> إلى خارج المدينة</w:t>
      </w:r>
      <w:r w:rsidRPr="00AE6847">
        <w:rPr>
          <w:rFonts w:ascii="Traditional Arabic" w:hAnsi="Traditional Arabic" w:cs="Traditional Arabic"/>
          <w:sz w:val="30"/>
          <w:szCs w:val="30"/>
          <w:lang w:eastAsia="en-GB"/>
        </w:rPr>
        <w:t>.</w:t>
      </w:r>
    </w:p>
    <w:p w14:paraId="5976C15E" w14:textId="5535250A"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بدأ حصار مدينة تعز في </w:t>
      </w:r>
      <w:r w:rsidRPr="00AE6847">
        <w:rPr>
          <w:rFonts w:ascii="Traditional Arabic" w:hAnsi="Traditional Arabic" w:cs="Traditional Arabic"/>
          <w:sz w:val="30"/>
          <w:szCs w:val="30"/>
          <w:rtl/>
          <w:lang w:eastAsia="en-GB" w:bidi="ar-LB"/>
        </w:rPr>
        <w:t>آب/</w:t>
      </w:r>
      <w:r w:rsidRPr="00AE6847">
        <w:rPr>
          <w:rFonts w:ascii="Traditional Arabic" w:hAnsi="Traditional Arabic" w:cs="Traditional Arabic"/>
          <w:sz w:val="30"/>
          <w:szCs w:val="30"/>
          <w:rtl/>
          <w:lang w:eastAsia="en-GB"/>
        </w:rPr>
        <w:t xml:space="preserve">أغسطس 2015. بعد سيطرة القوات المسلحة اليمنية والجماعات المسلحة التابعة لها على أجزاء من المدينة، </w:t>
      </w:r>
      <w:r w:rsidR="00452D9D" w:rsidRPr="00AE6847">
        <w:rPr>
          <w:rFonts w:ascii="Traditional Arabic" w:hAnsi="Traditional Arabic" w:cs="Traditional Arabic"/>
          <w:sz w:val="30"/>
          <w:szCs w:val="30"/>
          <w:rtl/>
          <w:lang w:eastAsia="en-GB"/>
        </w:rPr>
        <w:t xml:space="preserve">تمثلت </w:t>
      </w:r>
      <w:r w:rsidR="00452D9D">
        <w:rPr>
          <w:rFonts w:ascii="Traditional Arabic" w:hAnsi="Traditional Arabic" w:cs="Traditional Arabic"/>
          <w:sz w:val="30"/>
          <w:szCs w:val="30"/>
          <w:rtl/>
          <w:lang w:eastAsia="en-GB"/>
        </w:rPr>
        <w:t>رد</w:t>
      </w:r>
      <w:r w:rsidR="00452D9D">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فعل مقاتل</w:t>
      </w:r>
      <w:r w:rsidR="00452D9D">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 xml:space="preserve"> الحوثي - صالح بالسيطرة على الطريقين الرئيسيين، في الغرب والشرق، داخل وخارج المدينة ، وخلق حصار فعال استمر حتى آذار/مارس 2016. كانت الغارات الجوية من قبل قوات التحالف على المدينة وضواحيها في الشهر الأول من النزاع على أساس يومي واستمرت الغارات الجوية العادية طوال الفترة المتبقية من السنة. في جميع أنحاء المحافظة ، بين آذار / مارس وكانون الأول / ديسمبر 2015، تم التقرير عن 687 غارة جوية من قبل مشروع البيانات اليمني</w:t>
      </w:r>
      <w:r w:rsidRPr="00AE6847">
        <w:rPr>
          <w:rFonts w:ascii="Traditional Arabic" w:hAnsi="Traditional Arabic" w:cs="Traditional Arabic"/>
          <w:sz w:val="30"/>
          <w:szCs w:val="30"/>
          <w:lang w:eastAsia="en-GB"/>
        </w:rPr>
        <w:t>.</w:t>
      </w:r>
    </w:p>
    <w:p w14:paraId="3BE5160F" w14:textId="4B1EEB64" w:rsidR="00AE6847" w:rsidRPr="00AE6847" w:rsidRDefault="00AE6847" w:rsidP="00452D9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تشرين الأول/أكتوبر 2015، تكثف قصف المناطق المدنية داخل المدينة، مما أدى إلى سقوط أعداد كبيرة من الضحايا المدنيين،</w:t>
      </w:r>
      <w:r w:rsidR="00452D9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وتكرار متزايد للهجمات التي نفذت خلال شهري تشرين الثاني / نوفمبر وكانون الأول / ديسمبر وكان لها أثر مدمر. </w:t>
      </w:r>
      <w:r w:rsidR="00452D9D">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شمل</w:t>
      </w:r>
      <w:r w:rsidR="00452D9D">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w:t>
      </w:r>
      <w:r w:rsidR="00452D9D">
        <w:rPr>
          <w:rFonts w:ascii="Traditional Arabic" w:hAnsi="Traditional Arabic" w:cs="Traditional Arabic" w:hint="cs"/>
          <w:sz w:val="30"/>
          <w:szCs w:val="30"/>
          <w:rtl/>
          <w:lang w:eastAsia="en-GB"/>
        </w:rPr>
        <w:t>ال</w:t>
      </w:r>
      <w:r w:rsidRPr="00AE6847">
        <w:rPr>
          <w:rFonts w:ascii="Traditional Arabic" w:hAnsi="Traditional Arabic" w:cs="Traditional Arabic"/>
          <w:sz w:val="30"/>
          <w:szCs w:val="30"/>
          <w:rtl/>
          <w:lang w:eastAsia="en-GB"/>
        </w:rPr>
        <w:t>اعتقال</w:t>
      </w:r>
      <w:r w:rsidR="00452D9D">
        <w:rPr>
          <w:rFonts w:ascii="Traditional Arabic" w:hAnsi="Traditional Arabic" w:cs="Traditional Arabic" w:hint="cs"/>
          <w:sz w:val="30"/>
          <w:szCs w:val="30"/>
          <w:rtl/>
          <w:lang w:eastAsia="en-GB"/>
        </w:rPr>
        <w:t>ات من قبل</w:t>
      </w:r>
      <w:r w:rsidRPr="00AE6847">
        <w:rPr>
          <w:rFonts w:ascii="Traditional Arabic" w:hAnsi="Traditional Arabic" w:cs="Traditional Arabic"/>
          <w:sz w:val="30"/>
          <w:szCs w:val="30"/>
          <w:rtl/>
          <w:lang w:eastAsia="en-GB"/>
        </w:rPr>
        <w:t xml:space="preserve"> سلطات </w:t>
      </w:r>
      <w:r w:rsidR="00452D9D">
        <w:rPr>
          <w:rFonts w:ascii="Traditional Arabic" w:hAnsi="Traditional Arabic" w:cs="Traditional Arabic" w:hint="cs"/>
          <w:sz w:val="30"/>
          <w:szCs w:val="30"/>
          <w:rtl/>
          <w:lang w:eastAsia="en-GB"/>
        </w:rPr>
        <w:t>الأمر الواقع</w:t>
      </w:r>
      <w:r w:rsidRPr="00AE6847">
        <w:rPr>
          <w:rFonts w:ascii="Traditional Arabic" w:hAnsi="Traditional Arabic" w:cs="Traditional Arabic"/>
          <w:sz w:val="30"/>
          <w:szCs w:val="30"/>
          <w:rtl/>
          <w:lang w:eastAsia="en-GB"/>
        </w:rPr>
        <w:t xml:space="preserve">، </w:t>
      </w:r>
      <w:r w:rsidR="00452D9D">
        <w:rPr>
          <w:rFonts w:ascii="Traditional Arabic" w:hAnsi="Traditional Arabic" w:cs="Traditional Arabic" w:hint="cs"/>
          <w:sz w:val="30"/>
          <w:szCs w:val="30"/>
          <w:rtl/>
          <w:lang w:eastAsia="en-GB"/>
        </w:rPr>
        <w:t>وهي استهدفت بشكل خاص</w:t>
      </w:r>
      <w:r w:rsidR="00452D9D"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 xml:space="preserve">الأفراد الذين </w:t>
      </w:r>
      <w:r w:rsidR="00452D9D">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عت</w:t>
      </w:r>
      <w:r w:rsidR="00452D9D">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قد أنهم دعمو</w:t>
      </w:r>
      <w:r w:rsidR="00452D9D">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المقاومة، اختطاف رجال من مناطق </w:t>
      </w:r>
      <w:r w:rsidR="00452D9D">
        <w:rPr>
          <w:rFonts w:ascii="Traditional Arabic" w:hAnsi="Traditional Arabic" w:cs="Traditional Arabic" w:hint="cs"/>
          <w:sz w:val="30"/>
          <w:szCs w:val="30"/>
          <w:rtl/>
          <w:lang w:eastAsia="en-GB"/>
        </w:rPr>
        <w:t xml:space="preserve">تحت سيطرة </w:t>
      </w:r>
      <w:r w:rsidRPr="00AE6847">
        <w:rPr>
          <w:rFonts w:ascii="Traditional Arabic" w:hAnsi="Traditional Arabic" w:cs="Traditional Arabic"/>
          <w:sz w:val="30"/>
          <w:szCs w:val="30"/>
          <w:rtl/>
          <w:lang w:eastAsia="en-GB"/>
        </w:rPr>
        <w:t>الحوثي</w:t>
      </w:r>
      <w:r w:rsidR="00452D9D">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ن أو عند نقاط التفتيش. قام قناصة الحوثي - صالح بقتل عدة مدنيين بالرصاص في نوفمبر في مدينة تعز</w:t>
      </w:r>
      <w:r w:rsidRPr="00AE6847">
        <w:rPr>
          <w:rFonts w:ascii="Traditional Arabic" w:hAnsi="Traditional Arabic" w:cs="Traditional Arabic"/>
          <w:sz w:val="30"/>
          <w:szCs w:val="30"/>
          <w:vertAlign w:val="superscript"/>
          <w:lang w:eastAsia="en-GB"/>
        </w:rPr>
        <w:footnoteReference w:id="432"/>
      </w:r>
      <w:r w:rsidRPr="00AE6847">
        <w:rPr>
          <w:rFonts w:ascii="Traditional Arabic" w:hAnsi="Traditional Arabic" w:cs="Traditional Arabic"/>
          <w:sz w:val="30"/>
          <w:szCs w:val="30"/>
          <w:rtl/>
          <w:lang w:eastAsia="en-GB"/>
        </w:rPr>
        <w:t xml:space="preserve">. وكان أولئك الذين يعيشون بالقرب من </w:t>
      </w:r>
      <w:r w:rsidR="00452D9D">
        <w:rPr>
          <w:rFonts w:ascii="Traditional Arabic" w:hAnsi="Traditional Arabic" w:cs="Traditional Arabic" w:hint="cs"/>
          <w:sz w:val="30"/>
          <w:szCs w:val="30"/>
          <w:rtl/>
          <w:lang w:eastAsia="en-GB"/>
        </w:rPr>
        <w:t>ال</w:t>
      </w:r>
      <w:r w:rsidRPr="00AE6847">
        <w:rPr>
          <w:rFonts w:ascii="Traditional Arabic" w:hAnsi="Traditional Arabic" w:cs="Traditional Arabic"/>
          <w:sz w:val="30"/>
          <w:szCs w:val="30"/>
          <w:rtl/>
          <w:lang w:eastAsia="en-GB"/>
        </w:rPr>
        <w:t>خطوط ا</w:t>
      </w:r>
      <w:r w:rsidR="00452D9D">
        <w:rPr>
          <w:rFonts w:ascii="Traditional Arabic" w:hAnsi="Traditional Arabic" w:cs="Traditional Arabic" w:hint="cs"/>
          <w:sz w:val="30"/>
          <w:szCs w:val="30"/>
          <w:rtl/>
          <w:lang w:eastAsia="en-GB"/>
        </w:rPr>
        <w:t xml:space="preserve">لأمامية </w:t>
      </w:r>
      <w:r w:rsidRPr="00AE6847">
        <w:rPr>
          <w:rFonts w:ascii="Traditional Arabic" w:hAnsi="Traditional Arabic" w:cs="Traditional Arabic"/>
          <w:sz w:val="30"/>
          <w:szCs w:val="30"/>
          <w:rtl/>
          <w:lang w:eastAsia="en-GB"/>
        </w:rPr>
        <w:t xml:space="preserve">الأكثر تضرراً من القناصة فوق المباني، وبعضهم بدا يستهدف المدنيين، بما في ذلك أولئك الذين يبحثون عن الطعام أو </w:t>
      </w:r>
      <w:r w:rsidR="00452D9D" w:rsidRPr="00AE6847">
        <w:rPr>
          <w:rFonts w:ascii="Traditional Arabic" w:hAnsi="Traditional Arabic" w:cs="Traditional Arabic"/>
          <w:sz w:val="30"/>
          <w:szCs w:val="30"/>
          <w:rtl/>
          <w:lang w:eastAsia="en-GB"/>
        </w:rPr>
        <w:t>ال</w:t>
      </w:r>
      <w:r w:rsidR="00452D9D">
        <w:rPr>
          <w:rFonts w:ascii="Traditional Arabic" w:hAnsi="Traditional Arabic" w:cs="Traditional Arabic" w:hint="cs"/>
          <w:sz w:val="30"/>
          <w:szCs w:val="30"/>
          <w:rtl/>
          <w:lang w:eastAsia="en-GB"/>
        </w:rPr>
        <w:t>أمان</w:t>
      </w:r>
      <w:r w:rsidRPr="00AE6847">
        <w:rPr>
          <w:rFonts w:ascii="Traditional Arabic" w:hAnsi="Traditional Arabic" w:cs="Traditional Arabic"/>
          <w:sz w:val="30"/>
          <w:szCs w:val="30"/>
          <w:rtl/>
          <w:lang w:eastAsia="en-GB"/>
        </w:rPr>
        <w:t xml:space="preserve">. بحلول نهاية عام 2015 ، كانت الجبهة الرئيسية تقع في </w:t>
      </w:r>
      <w:r w:rsidRPr="00AE6847">
        <w:rPr>
          <w:rFonts w:ascii="Traditional Arabic" w:hAnsi="Traditional Arabic" w:cs="Traditional Arabic"/>
          <w:sz w:val="30"/>
          <w:szCs w:val="30"/>
          <w:rtl/>
          <w:lang w:eastAsia="en-GB"/>
        </w:rPr>
        <w:lastRenderedPageBreak/>
        <w:t>مديريه صاله في شرق المدينة ، حيث أقام الحوثيون نقاطاً تطل على قلب المدينة التجاري.</w:t>
      </w:r>
      <w:r w:rsidR="00CC1F8C">
        <w:rPr>
          <w:rStyle w:val="FootnoteReference"/>
          <w:rFonts w:cs="Traditional Arabic"/>
          <w:szCs w:val="30"/>
          <w:rtl/>
          <w:lang w:eastAsia="en-GB"/>
        </w:rPr>
        <w:footnoteReference w:id="433"/>
      </w:r>
      <w:r w:rsidRPr="00AE6847">
        <w:rPr>
          <w:rFonts w:ascii="Traditional Arabic" w:hAnsi="Traditional Arabic" w:cs="Traditional Arabic"/>
          <w:sz w:val="30"/>
          <w:szCs w:val="30"/>
          <w:rtl/>
          <w:lang w:eastAsia="en-GB"/>
        </w:rPr>
        <w:t xml:space="preserve"> "في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مارس 2016 ، سيطرت القوات المسلحة اليمنية على مدخل ثالث إلى مدينة تعز ، نحو الجنوب، كاسر</w:t>
      </w:r>
      <w:r w:rsidR="00452D9D">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"الحصار</w:t>
      </w:r>
      <w:r w:rsidRPr="00AE6847">
        <w:rPr>
          <w:rFonts w:ascii="Traditional Arabic" w:hAnsi="Traditional Arabic" w:cs="Traditional Arabic"/>
          <w:sz w:val="30"/>
          <w:szCs w:val="30"/>
          <w:lang w:eastAsia="en-GB"/>
        </w:rPr>
        <w:t>".</w:t>
      </w:r>
    </w:p>
    <w:p w14:paraId="5E8BFEEF" w14:textId="7EC8DA2A" w:rsidR="00AE6847" w:rsidRPr="00AE6847" w:rsidRDefault="00AE6847" w:rsidP="00E16AA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اتفقت أطراف النزاع على وقف إطلاق النار في تعز في 11 </w:t>
      </w:r>
      <w:r w:rsidR="00E16AA3">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 xml:space="preserve">أبريل 2016 ، لكن كلا الطرفين انتهك الاتفاق. الهدنة التي تم تجديدها انتهت  في 17 </w:t>
      </w:r>
      <w:r w:rsidR="00E16AA3">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 xml:space="preserve">أبريل 2016 قبل يوم من استئناف القتال. استمرت الاشتباكات خلال الأشهر التالية، مما أسفر عن سقوط العديد من الضحايا المدنيين وسط قصف عنيف وقتال </w:t>
      </w:r>
      <w:r w:rsidR="00E16AA3">
        <w:rPr>
          <w:rFonts w:ascii="Traditional Arabic" w:hAnsi="Traditional Arabic" w:cs="Traditional Arabic"/>
          <w:sz w:val="30"/>
          <w:szCs w:val="30"/>
          <w:rtl/>
          <w:lang w:eastAsia="en-GB"/>
        </w:rPr>
        <w:t>بري. بحلول نهاية العام</w:t>
      </w:r>
      <w:r w:rsidRPr="00AE6847">
        <w:rPr>
          <w:rFonts w:ascii="Traditional Arabic" w:hAnsi="Traditional Arabic" w:cs="Traditional Arabic"/>
          <w:sz w:val="30"/>
          <w:szCs w:val="30"/>
          <w:rtl/>
          <w:lang w:eastAsia="en-GB"/>
        </w:rPr>
        <w:t>، أصبحت المواقع داخل المدينة راسخة وبقيت الخطوط الأمامية ثابتة إلى حد ما</w:t>
      </w:r>
      <w:r w:rsidRPr="00AE6847">
        <w:rPr>
          <w:rFonts w:ascii="Traditional Arabic" w:hAnsi="Traditional Arabic" w:cs="Traditional Arabic"/>
          <w:sz w:val="30"/>
          <w:szCs w:val="30"/>
          <w:lang w:eastAsia="en-GB"/>
        </w:rPr>
        <w:t>.</w:t>
      </w:r>
    </w:p>
    <w:p w14:paraId="3BC00D96" w14:textId="77777777" w:rsidR="00AE6847" w:rsidRPr="00AE6847" w:rsidRDefault="00AE6847" w:rsidP="00361237">
      <w:pPr>
        <w:tabs>
          <w:tab w:val="left" w:pos="720"/>
        </w:tabs>
        <w:suppressAutoHyphens w:val="0"/>
        <w:bidi/>
        <w:spacing w:line="240" w:lineRule="auto"/>
        <w:ind w:left="1134" w:right="827" w:hanging="315"/>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أ) الانتهاكات والجرائم المزعومة خلال معركة تعز</w:t>
      </w:r>
    </w:p>
    <w:p w14:paraId="73625453" w14:textId="54EB4E1A" w:rsidR="00D06937" w:rsidRDefault="00AE6847" w:rsidP="004A3B54">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كنت أجلس وأراقب الأولاد يلعبون الكرة الطائرة في الحارة و</w:t>
      </w:r>
      <w:r w:rsidR="004A3B54">
        <w:rPr>
          <w:rFonts w:ascii="Traditional Arabic" w:eastAsia="Calibri" w:hAnsi="Traditional Arabic" w:cs="Traditional Arabic" w:hint="cs"/>
          <w:i/>
          <w:iCs/>
          <w:sz w:val="30"/>
          <w:szCs w:val="30"/>
          <w:rtl/>
        </w:rPr>
        <w:t>إذ ب</w:t>
      </w:r>
      <w:r w:rsidRPr="00AE6847">
        <w:rPr>
          <w:rFonts w:ascii="Traditional Arabic" w:eastAsia="Calibri" w:hAnsi="Traditional Arabic" w:cs="Traditional Arabic"/>
          <w:i/>
          <w:iCs/>
          <w:sz w:val="30"/>
          <w:szCs w:val="30"/>
          <w:rtl/>
        </w:rPr>
        <w:t>صاروخ يصيب الملعب ويصيبهم جميعًا</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vertAlign w:val="superscript"/>
        </w:rPr>
        <w:footnoteReference w:id="434"/>
      </w:r>
    </w:p>
    <w:p w14:paraId="1B37AE26" w14:textId="36ABA900" w:rsidR="00AE6847" w:rsidRPr="00AE6847" w:rsidRDefault="00AE6847" w:rsidP="00D06937">
      <w:pPr>
        <w:tabs>
          <w:tab w:val="left" w:pos="720"/>
        </w:tabs>
        <w:suppressAutoHyphens w:val="0"/>
        <w:bidi/>
        <w:spacing w:after="240" w:line="240" w:lineRule="auto"/>
        <w:ind w:left="2979" w:right="827"/>
        <w:rPr>
          <w:rFonts w:ascii="Traditional Arabic" w:eastAsia="Calibri" w:hAnsi="Traditional Arabic" w:cs="Traditional Arabic"/>
          <w:b/>
          <w:bCs/>
          <w:i/>
          <w:iCs/>
          <w:sz w:val="30"/>
          <w:szCs w:val="30"/>
        </w:rPr>
      </w:pPr>
      <w:r w:rsidRPr="00AE6847">
        <w:rPr>
          <w:rFonts w:ascii="Traditional Arabic" w:eastAsia="Calibri" w:hAnsi="Traditional Arabic" w:cs="Traditional Arabic"/>
          <w:b/>
          <w:bCs/>
          <w:i/>
          <w:iCs/>
          <w:sz w:val="30"/>
          <w:szCs w:val="30"/>
          <w:rtl/>
        </w:rPr>
        <w:t>رجل يبلغ من العمر 36 عامًا من حي الكوثر ، مدينة تعز ، أصيب بجروح في هجوم بقذائف الهاون في 27 يناير 2016</w:t>
      </w:r>
      <w:r w:rsidRPr="00AE6847">
        <w:rPr>
          <w:rFonts w:ascii="Traditional Arabic" w:eastAsia="Calibri" w:hAnsi="Traditional Arabic" w:cs="Traditional Arabic"/>
          <w:b/>
          <w:bCs/>
          <w:i/>
          <w:iCs/>
          <w:sz w:val="30"/>
          <w:szCs w:val="30"/>
        </w:rPr>
        <w:t>.</w:t>
      </w:r>
    </w:p>
    <w:p w14:paraId="4220AD30" w14:textId="4DFAC787"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منذ بداية النزاع، وخاصةً خلال السنة الأولى، تعرضت مدينة تعز وضواحيها المحيطة وسكانها لقتال عنيف بين أطراف النزاع ، وكل اطراف النزاع احتلت مواقع في مناطق سكنية. تضمنت الهجمات البرية استخدام أسلحة نيران غير مباشرة مثل قذائف الهاون والمدفعية والصواريخ، وكذلك استخدام الدبابات ومدافع ضد الطائرات لضرب أهداف أرضية. تتحمل المناطق السكنية المكتظة بالسكان في المدينة التي تشمل مديريات القاهرة وصاله والمظفر وطأة ذلك، كما يتضح ذلك من حجم التدمير التدريجي الذي يظهر بوضوح</w:t>
      </w:r>
      <w:r w:rsidR="00EC1CD1">
        <w:rPr>
          <w:rFonts w:ascii="Traditional Arabic" w:hAnsi="Traditional Arabic" w:cs="Traditional Arabic"/>
          <w:sz w:val="30"/>
          <w:szCs w:val="30"/>
          <w:rtl/>
          <w:lang w:eastAsia="en-GB"/>
        </w:rPr>
        <w:t xml:space="preserve"> على صور الأقمار الصناعية. أصبح</w:t>
      </w:r>
      <w:r w:rsidRPr="00AE6847">
        <w:rPr>
          <w:rFonts w:ascii="Traditional Arabic" w:hAnsi="Traditional Arabic" w:cs="Traditional Arabic"/>
          <w:sz w:val="30"/>
          <w:szCs w:val="30"/>
          <w:rtl/>
          <w:lang w:eastAsia="en-GB"/>
        </w:rPr>
        <w:t xml:space="preserve"> العديد من الأحياء، وخاصة تلك الواقعة على أطراف المدينة، خطوط أمامية لحرب المدن التي تضمنت معارك من شارع إلى شارع.</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35"/>
      </w: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hint="cs"/>
          <w:sz w:val="30"/>
          <w:szCs w:val="30"/>
          <w:rtl/>
          <w:lang w:eastAsia="en-GB"/>
        </w:rPr>
        <w:t>حقق فريق الخبراء في عينة من حوادث القصف التي و</w:t>
      </w:r>
      <w:r w:rsidR="00EC1CD1">
        <w:rPr>
          <w:rFonts w:ascii="Traditional Arabic" w:hAnsi="Traditional Arabic" w:cs="Traditional Arabic" w:hint="cs"/>
          <w:sz w:val="30"/>
          <w:szCs w:val="30"/>
          <w:rtl/>
          <w:lang w:eastAsia="en-GB"/>
        </w:rPr>
        <w:t>قعت خلال السنة الأولى من النزاع،</w:t>
      </w:r>
      <w:r w:rsidRPr="00AE6847">
        <w:rPr>
          <w:rFonts w:ascii="Traditional Arabic" w:hAnsi="Traditional Arabic" w:cs="Traditional Arabic" w:hint="cs"/>
          <w:sz w:val="30"/>
          <w:szCs w:val="30"/>
          <w:rtl/>
          <w:lang w:eastAsia="en-GB"/>
        </w:rPr>
        <w:t xml:space="preserve"> </w:t>
      </w:r>
      <w:r w:rsidR="00EC1CD1" w:rsidRPr="00AE6847">
        <w:rPr>
          <w:rFonts w:ascii="Traditional Arabic" w:hAnsi="Traditional Arabic" w:cs="Traditional Arabic" w:hint="cs"/>
          <w:sz w:val="30"/>
          <w:szCs w:val="30"/>
          <w:rtl/>
          <w:lang w:eastAsia="en-GB"/>
        </w:rPr>
        <w:t xml:space="preserve">قيل </w:t>
      </w:r>
      <w:r w:rsidRPr="00AE6847">
        <w:rPr>
          <w:rFonts w:ascii="Traditional Arabic" w:hAnsi="Traditional Arabic" w:cs="Traditional Arabic" w:hint="cs"/>
          <w:sz w:val="30"/>
          <w:szCs w:val="30"/>
          <w:rtl/>
          <w:lang w:eastAsia="en-GB"/>
        </w:rPr>
        <w:t xml:space="preserve">في معظم هذه الهجمات، </w:t>
      </w:r>
      <w:r w:rsidR="00EC1CD1">
        <w:rPr>
          <w:rFonts w:ascii="Traditional Arabic" w:hAnsi="Traditional Arabic" w:cs="Traditional Arabic" w:hint="cs"/>
          <w:sz w:val="30"/>
          <w:szCs w:val="30"/>
          <w:rtl/>
          <w:lang w:eastAsia="en-GB"/>
        </w:rPr>
        <w:t>أ</w:t>
      </w:r>
      <w:r w:rsidRPr="00AE6847">
        <w:rPr>
          <w:rFonts w:ascii="Traditional Arabic" w:hAnsi="Traditional Arabic" w:cs="Traditional Arabic" w:hint="cs"/>
          <w:sz w:val="30"/>
          <w:szCs w:val="30"/>
          <w:rtl/>
          <w:lang w:eastAsia="en-GB"/>
        </w:rPr>
        <w:t>ن مقاتلي الحوثي - صالح كانوا مسؤولين</w:t>
      </w:r>
      <w:r w:rsidR="00EC1CD1">
        <w:rPr>
          <w:rFonts w:ascii="Traditional Arabic" w:hAnsi="Traditional Arabic" w:cs="Traditional Arabic" w:hint="cs"/>
          <w:sz w:val="30"/>
          <w:szCs w:val="30"/>
          <w:rtl/>
          <w:lang w:eastAsia="en-GB"/>
        </w:rPr>
        <w:t xml:space="preserve"> عنها</w:t>
      </w:r>
      <w:r w:rsidRPr="00AE6847">
        <w:rPr>
          <w:rFonts w:ascii="Traditional Arabic" w:hAnsi="Traditional Arabic" w:cs="Traditional Arabic" w:hint="cs"/>
          <w:sz w:val="30"/>
          <w:szCs w:val="30"/>
          <w:rtl/>
          <w:lang w:eastAsia="en-GB"/>
        </w:rPr>
        <w:t>، لا سيما بعد تمركزهم في المناطق المرتفعه والمواقع الاستراتيجية  في ضواحي المدينة في صيف عام 2015، بعد أن دفعتهم المقاومة إلى خارج المدينة. بدا أن العديد من الهجمات عشوائية بطبيعتها وأفيد أنها أسفرت عن وقوع إصابات في صفوف المدنيين، بما في ذلك بعض الهجمات التي أسفرت عن مقتل وإصابة أعداد كبيرة من الرجال والأطفال المدنيين</w:t>
      </w:r>
      <w:r w:rsidR="00EC1CD1">
        <w:rPr>
          <w:rFonts w:ascii="Traditional Arabic" w:hAnsi="Traditional Arabic" w:cs="Traditional Arabic" w:hint="cs"/>
          <w:sz w:val="30"/>
          <w:szCs w:val="30"/>
          <w:rtl/>
          <w:lang w:eastAsia="en-GB"/>
        </w:rPr>
        <w:t xml:space="preserve"> وهي</w:t>
      </w:r>
      <w:r w:rsidRPr="00AE6847">
        <w:rPr>
          <w:rFonts w:ascii="Traditional Arabic" w:hAnsi="Traditional Arabic" w:cs="Traditional Arabic" w:hint="cs"/>
          <w:sz w:val="30"/>
          <w:szCs w:val="30"/>
          <w:rtl/>
          <w:lang w:eastAsia="en-GB"/>
        </w:rPr>
        <w:t xml:space="preserve"> غالبًا ما </w:t>
      </w:r>
      <w:r w:rsidR="00EC1CD1">
        <w:rPr>
          <w:rFonts w:ascii="Traditional Arabic" w:hAnsi="Traditional Arabic" w:cs="Traditional Arabic" w:hint="cs"/>
          <w:sz w:val="30"/>
          <w:szCs w:val="30"/>
          <w:rtl/>
          <w:lang w:eastAsia="en-GB"/>
        </w:rPr>
        <w:t xml:space="preserve">كانت </w:t>
      </w:r>
      <w:r w:rsidRPr="00AE6847">
        <w:rPr>
          <w:rFonts w:ascii="Traditional Arabic" w:hAnsi="Traditional Arabic" w:cs="Traditional Arabic" w:hint="cs"/>
          <w:sz w:val="30"/>
          <w:szCs w:val="30"/>
          <w:rtl/>
          <w:lang w:eastAsia="en-GB"/>
        </w:rPr>
        <w:t>تحصل عندما كان الناس يمارسون حياتهم اليومية، بما في ذلك التسوق للكبار ولعب الأطفال. كما اتخذ القناصة الحوثيون مواقعهم وأطلقوا النار على المدنيين بتهور أو عن عمد، مما أثار الخوف بين تلك المجتمعات التي ت</w:t>
      </w:r>
      <w:r w:rsidR="00EC1CD1">
        <w:rPr>
          <w:rFonts w:ascii="Traditional Arabic" w:hAnsi="Traditional Arabic" w:cs="Traditional Arabic" w:hint="cs"/>
          <w:sz w:val="30"/>
          <w:szCs w:val="30"/>
          <w:rtl/>
          <w:lang w:eastAsia="en-GB"/>
        </w:rPr>
        <w:t>عيش بالقرب من الخطوط الأمامية</w:t>
      </w:r>
      <w:r w:rsidRPr="00AE6847">
        <w:rPr>
          <w:rFonts w:ascii="Traditional Arabic" w:hAnsi="Traditional Arabic" w:cs="Traditional Arabic" w:hint="cs"/>
          <w:sz w:val="30"/>
          <w:szCs w:val="30"/>
          <w:rtl/>
          <w:lang w:eastAsia="en-GB"/>
        </w:rPr>
        <w:t xml:space="preserve"> و</w:t>
      </w:r>
      <w:r w:rsidR="00EC1CD1">
        <w:rPr>
          <w:rFonts w:ascii="Traditional Arabic" w:hAnsi="Traditional Arabic" w:cs="Traditional Arabic" w:hint="cs"/>
          <w:sz w:val="30"/>
          <w:szCs w:val="30"/>
          <w:rtl/>
          <w:lang w:eastAsia="en-GB"/>
        </w:rPr>
        <w:t>على ا</w:t>
      </w:r>
      <w:r w:rsidRPr="00AE6847">
        <w:rPr>
          <w:rFonts w:ascii="Traditional Arabic" w:hAnsi="Traditional Arabic" w:cs="Traditional Arabic" w:hint="cs"/>
          <w:sz w:val="30"/>
          <w:szCs w:val="30"/>
          <w:rtl/>
          <w:lang w:eastAsia="en-GB"/>
        </w:rPr>
        <w:t>لصحفيين الذين ي</w:t>
      </w:r>
      <w:r w:rsidR="00EC1CD1">
        <w:rPr>
          <w:rFonts w:ascii="Traditional Arabic" w:hAnsi="Traditional Arabic" w:cs="Traditional Arabic" w:hint="cs"/>
          <w:sz w:val="30"/>
          <w:szCs w:val="30"/>
          <w:rtl/>
          <w:lang w:eastAsia="en-GB"/>
        </w:rPr>
        <w:t xml:space="preserve">غطون </w:t>
      </w:r>
      <w:r w:rsidRPr="00AE6847">
        <w:rPr>
          <w:rFonts w:ascii="Traditional Arabic" w:hAnsi="Traditional Arabic" w:cs="Traditional Arabic" w:hint="cs"/>
          <w:sz w:val="30"/>
          <w:szCs w:val="30"/>
          <w:rtl/>
          <w:lang w:eastAsia="en-GB"/>
        </w:rPr>
        <w:t>النزاع من الخطوط الأمامية</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rtl/>
          <w:lang w:eastAsia="en-GB"/>
        </w:rPr>
        <w:t>كما تسبب القصف في تدمير المنازل والمحلات التجارية والمدارس والمباني الحكومية</w:t>
      </w:r>
      <w:r w:rsidRPr="00AE6847">
        <w:rPr>
          <w:rFonts w:ascii="Traditional Arabic" w:hAnsi="Traditional Arabic" w:cs="Traditional Arabic"/>
          <w:sz w:val="30"/>
          <w:szCs w:val="30"/>
          <w:vertAlign w:val="superscript"/>
          <w:lang w:eastAsia="en-GB"/>
        </w:rPr>
        <w:footnoteReference w:id="436"/>
      </w:r>
      <w:r w:rsidRPr="00AE6847">
        <w:rPr>
          <w:rFonts w:ascii="Traditional Arabic" w:hAnsi="Traditional Arabic" w:cs="Traditional Arabic"/>
          <w:sz w:val="30"/>
          <w:szCs w:val="30"/>
          <w:rtl/>
          <w:lang w:eastAsia="en-GB"/>
        </w:rPr>
        <w:t xml:space="preserve"> والأعيان المدنية</w:t>
      </w:r>
      <w:r w:rsidR="00D06937">
        <w:rPr>
          <w:rFonts w:ascii="Traditional Arabic" w:hAnsi="Traditional Arabic" w:cs="Traditional Arabic"/>
          <w:sz w:val="30"/>
          <w:szCs w:val="30"/>
          <w:rtl/>
          <w:lang w:eastAsia="en-GB"/>
        </w:rPr>
        <w:t xml:space="preserve"> الأخرى، بما في ذلك المستشفيات</w:t>
      </w:r>
      <w:r w:rsidRPr="00AE6847">
        <w:rPr>
          <w:rFonts w:ascii="Traditional Arabic" w:hAnsi="Traditional Arabic" w:cs="Traditional Arabic"/>
          <w:sz w:val="30"/>
          <w:szCs w:val="30"/>
          <w:rtl/>
          <w:lang w:eastAsia="en-GB"/>
        </w:rPr>
        <w:t xml:space="preserve">، وفي </w:t>
      </w:r>
      <w:r w:rsidRPr="00AE6847">
        <w:rPr>
          <w:rFonts w:ascii="Traditional Arabic" w:hAnsi="Traditional Arabic" w:cs="Traditional Arabic"/>
          <w:sz w:val="30"/>
          <w:szCs w:val="30"/>
          <w:rtl/>
          <w:lang w:eastAsia="en-GB"/>
        </w:rPr>
        <w:lastRenderedPageBreak/>
        <w:t>العديد من الحالات، أدت هذه الهجمات إلى تعطيل توفير الخدمات الحيوية للسكان</w:t>
      </w:r>
      <w:r w:rsidRPr="00AE6847">
        <w:rPr>
          <w:rFonts w:ascii="Traditional Arabic" w:hAnsi="Traditional Arabic" w:cs="Traditional Arabic"/>
          <w:sz w:val="30"/>
          <w:szCs w:val="30"/>
          <w:vertAlign w:val="superscript"/>
          <w:lang w:eastAsia="en-GB"/>
        </w:rPr>
        <w:footnoteReference w:id="437"/>
      </w:r>
      <w:r w:rsidRPr="00AE6847">
        <w:rPr>
          <w:rFonts w:ascii="Traditional Arabic" w:hAnsi="Traditional Arabic" w:cs="Traditional Arabic"/>
          <w:sz w:val="30"/>
          <w:szCs w:val="30"/>
          <w:rtl/>
          <w:lang w:eastAsia="en-GB"/>
        </w:rPr>
        <w:t>. فيما يلي تفاصيل حوادث تعتبر رمزا لهذه الحالة التي حقق فيها فريق الخبراء والتي وقعت خلال السنة الأولى من النزاع في تعز</w:t>
      </w:r>
      <w:r w:rsidRPr="00AE6847">
        <w:rPr>
          <w:rFonts w:ascii="Traditional Arabic" w:hAnsi="Traditional Arabic" w:cs="Traditional Arabic"/>
          <w:sz w:val="30"/>
          <w:szCs w:val="30"/>
          <w:lang w:eastAsia="en-GB"/>
        </w:rPr>
        <w:t>.</w:t>
      </w:r>
    </w:p>
    <w:p w14:paraId="7AA0EBEA" w14:textId="77777777" w:rsidR="00AE6847" w:rsidRPr="00AE6847" w:rsidRDefault="00AE6847" w:rsidP="00361237">
      <w:pPr>
        <w:tabs>
          <w:tab w:val="left" w:pos="720"/>
        </w:tabs>
        <w:suppressAutoHyphens w:val="0"/>
        <w:bidi/>
        <w:spacing w:before="160" w:after="160" w:line="240" w:lineRule="auto"/>
        <w:ind w:left="1134" w:right="828" w:hanging="45"/>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القصف الحوثي والقناصة</w:t>
      </w:r>
    </w:p>
    <w:p w14:paraId="0A877C47" w14:textId="77777777" w:rsidR="00AE6847" w:rsidRPr="00AE6847" w:rsidRDefault="00AE6847" w:rsidP="00361237">
      <w:pPr>
        <w:tabs>
          <w:tab w:val="left" w:pos="720"/>
        </w:tabs>
        <w:suppressAutoHyphens w:val="0"/>
        <w:bidi/>
        <w:spacing w:after="120" w:line="240" w:lineRule="auto"/>
        <w:ind w:left="720" w:right="828" w:firstLine="720"/>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u w:val="single"/>
          <w:rtl/>
        </w:rPr>
        <w:t>هجمات صاروخية على مدينة تعز ، 21 تشرين الاول/أكتوبر 2017</w:t>
      </w:r>
    </w:p>
    <w:p w14:paraId="0AB76479" w14:textId="1FF87BB2"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مدينة تعز في 21 </w:t>
      </w:r>
      <w:r w:rsidR="00AF435C">
        <w:rPr>
          <w:rFonts w:ascii="Traditional Arabic" w:hAnsi="Traditional Arabic" w:cs="Traditional Arabic" w:hint="cs"/>
          <w:sz w:val="30"/>
          <w:szCs w:val="30"/>
          <w:rtl/>
          <w:lang w:eastAsia="en-GB"/>
        </w:rPr>
        <w:t xml:space="preserve">كانون الأول/ </w:t>
      </w:r>
      <w:r w:rsidRPr="00AE6847">
        <w:rPr>
          <w:rFonts w:ascii="Traditional Arabic" w:hAnsi="Traditional Arabic" w:cs="Traditional Arabic"/>
          <w:sz w:val="30"/>
          <w:szCs w:val="30"/>
          <w:rtl/>
          <w:lang w:eastAsia="en-GB"/>
        </w:rPr>
        <w:t xml:space="preserve">أكتوبر 2015، قُتل ما لا يقل عن 11 مدنياً (بينهم طفلان وامرأة) وأصيب 29 آخرون (بينهم أربعة أطفال وامرأة) عندما أطلق مقاتلو الحوثي- صالح 10-15 صاروخًا على المناطق السكنية والتجارية، بما في ذلك السوق المركزي في حوالي الساعة 16:30. وصف صحفي الحادث حيث قال أنه سمع انفجارات متتالية بالقرب من منزله وأنه زار المواقع التي سقطت فيها الصواريخ، بما في ذلك شارع 26 </w:t>
      </w:r>
      <w:r w:rsidR="00AF435C">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w:t>
      </w:r>
      <w:r w:rsidRPr="00AE6847">
        <w:rPr>
          <w:rFonts w:ascii="Traditional Arabic" w:hAnsi="Traditional Arabic" w:cs="Traditional Arabic"/>
          <w:sz w:val="30"/>
          <w:szCs w:val="30"/>
          <w:vertAlign w:val="superscript"/>
          <w:lang w:eastAsia="en-GB"/>
        </w:rPr>
        <w:footnoteReference w:id="43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وشارع التحرير</w:t>
      </w:r>
      <w:r w:rsidRPr="00AE6847">
        <w:rPr>
          <w:rFonts w:ascii="Traditional Arabic" w:hAnsi="Traditional Arabic" w:cs="Traditional Arabic"/>
          <w:sz w:val="30"/>
          <w:szCs w:val="30"/>
          <w:vertAlign w:val="superscript"/>
          <w:lang w:eastAsia="en-GB"/>
        </w:rPr>
        <w:footnoteReference w:id="439"/>
      </w:r>
      <w:r w:rsidRPr="00AE6847">
        <w:rPr>
          <w:rFonts w:ascii="Traditional Arabic" w:hAnsi="Traditional Arabic" w:cs="Traditional Arabic"/>
          <w:sz w:val="30"/>
          <w:szCs w:val="30"/>
          <w:rtl/>
          <w:lang w:eastAsia="en-GB"/>
        </w:rPr>
        <w:t xml:space="preserve">. وصف أحد الشهود كيف ذهب إلى سطح منزله، الواقع في حي المصباح، بعد سماعه للانفجارات وشاهد تأثير الصواريخ على السوق المركزي وشارع 26 </w:t>
      </w:r>
      <w:r w:rsidR="00AF435C">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 الذي كان مكتظاً بالسكان. يحتوي الشارع على العديد من المتاجر، بما في ذلك متجر لبيع ملابس الأطفال وغيرها من الأشياء التي أصيبت مباشرة</w:t>
      </w:r>
      <w:r w:rsidRPr="00AE6847">
        <w:rPr>
          <w:rFonts w:ascii="Traditional Arabic" w:hAnsi="Traditional Arabic" w:cs="Traditional Arabic"/>
          <w:sz w:val="30"/>
          <w:szCs w:val="30"/>
          <w:vertAlign w:val="superscript"/>
          <w:lang w:eastAsia="en-GB"/>
        </w:rPr>
        <w:footnoteReference w:id="440"/>
      </w:r>
      <w:r w:rsidRPr="00AE6847">
        <w:rPr>
          <w:rFonts w:ascii="Traditional Arabic" w:hAnsi="Traditional Arabic" w:cs="Traditional Arabic"/>
          <w:sz w:val="30"/>
          <w:szCs w:val="30"/>
          <w:rtl/>
          <w:lang w:eastAsia="en-GB"/>
        </w:rPr>
        <w:t>. كما سقط صاروخ على بعد حوالي كيلومتر واحد من مدرسة ها</w:t>
      </w:r>
      <w:r w:rsidR="00EC1CD1">
        <w:rPr>
          <w:rFonts w:ascii="Traditional Arabic" w:hAnsi="Traditional Arabic" w:cs="Traditional Arabic" w:hint="cs"/>
          <w:sz w:val="30"/>
          <w:szCs w:val="30"/>
          <w:rtl/>
          <w:lang w:eastAsia="en-GB"/>
        </w:rPr>
        <w:t>ئ</w:t>
      </w:r>
      <w:r w:rsidRPr="00AE6847">
        <w:rPr>
          <w:rFonts w:ascii="Traditional Arabic" w:hAnsi="Traditional Arabic" w:cs="Traditional Arabic"/>
          <w:sz w:val="30"/>
          <w:szCs w:val="30"/>
          <w:rtl/>
          <w:lang w:eastAsia="en-GB"/>
        </w:rPr>
        <w:t xml:space="preserve">ل للبنات، التي كانت تستخدم كقاعدة عسكرية لكتائب أبو العباس منذ بداية النزاع في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 xml:space="preserve">مارس </w:t>
      </w:r>
      <w:r w:rsidRPr="00AE6847">
        <w:rPr>
          <w:rFonts w:ascii="Traditional Arabic" w:hAnsi="Traditional Arabic" w:cs="Traditional Arabic"/>
          <w:sz w:val="30"/>
          <w:szCs w:val="30"/>
          <w:vertAlign w:val="superscript"/>
          <w:lang w:eastAsia="en-GB"/>
        </w:rPr>
        <w:footnoteReference w:id="441"/>
      </w:r>
      <w:r w:rsidRPr="00AE6847">
        <w:rPr>
          <w:rFonts w:ascii="Traditional Arabic" w:hAnsi="Traditional Arabic" w:cs="Traditional Arabic"/>
          <w:sz w:val="30"/>
          <w:szCs w:val="30"/>
          <w:rtl/>
          <w:lang w:eastAsia="en-GB"/>
        </w:rPr>
        <w:t>2015. استقبل الأطباء في مستشفى الثورة أكثر من 50 مريضاً وعالجوا الإصابات في الصدر والبطن والرأس.</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42"/>
      </w:r>
      <w:r w:rsidRPr="00AE6847">
        <w:rPr>
          <w:rFonts w:ascii="Traditional Arabic" w:hAnsi="Traditional Arabic" w:cs="Traditional Arabic"/>
          <w:sz w:val="30"/>
          <w:szCs w:val="30"/>
          <w:rtl/>
          <w:lang w:eastAsia="en-GB"/>
        </w:rPr>
        <w:t xml:space="preserve"> قال شهود </w:t>
      </w:r>
      <w:r w:rsidR="00EC1CD1">
        <w:rPr>
          <w:rFonts w:ascii="Traditional Arabic" w:hAnsi="Traditional Arabic" w:cs="Traditional Arabic" w:hint="cs"/>
          <w:sz w:val="30"/>
          <w:szCs w:val="30"/>
          <w:rtl/>
          <w:lang w:eastAsia="en-GB"/>
        </w:rPr>
        <w:t>أ</w:t>
      </w:r>
      <w:r w:rsidR="00EC1CD1" w:rsidRPr="00AE6847">
        <w:rPr>
          <w:rFonts w:ascii="Traditional Arabic" w:hAnsi="Traditional Arabic" w:cs="Traditional Arabic"/>
          <w:sz w:val="30"/>
          <w:szCs w:val="30"/>
          <w:rtl/>
          <w:lang w:eastAsia="en-GB"/>
        </w:rPr>
        <w:t xml:space="preserve">نهم </w:t>
      </w:r>
      <w:r w:rsidRPr="00AE6847">
        <w:rPr>
          <w:rFonts w:ascii="Traditional Arabic" w:hAnsi="Traditional Arabic" w:cs="Traditional Arabic"/>
          <w:sz w:val="30"/>
          <w:szCs w:val="30"/>
          <w:rtl/>
          <w:lang w:eastAsia="en-GB"/>
        </w:rPr>
        <w:t>رأوا ما بين 10 و 15 صاروخًا ، تقريبًا ، أفادوا أنهم يعتقدون أن الصواريخ أطلقت من عدة مواقع بما في ذلك تلة سوفيتيل وشارع الستين، حيث أفاد السكان إلى أنهما مواقع للحوثيين</w:t>
      </w:r>
      <w:r w:rsidRPr="00AE6847">
        <w:rPr>
          <w:rFonts w:ascii="Traditional Arabic" w:hAnsi="Traditional Arabic" w:cs="Traditional Arabic"/>
          <w:sz w:val="30"/>
          <w:szCs w:val="30"/>
          <w:vertAlign w:val="superscript"/>
          <w:lang w:eastAsia="en-GB"/>
        </w:rPr>
        <w:footnoteReference w:id="443"/>
      </w:r>
      <w:r w:rsidRPr="00AE6847">
        <w:rPr>
          <w:rFonts w:ascii="Traditional Arabic" w:hAnsi="Traditional Arabic" w:cs="Traditional Arabic"/>
          <w:sz w:val="30"/>
          <w:szCs w:val="30"/>
          <w:rtl/>
          <w:lang w:eastAsia="en-GB"/>
        </w:rPr>
        <w:t>. ومع ذلك ، بالنظر إلى عدد الصواريخ التي تم إطلاقها، فمن المرجح أنها أطلقت من مكان واحد. كانت المناطق التي قصفت خلال هذا الهجوم تحت سيطرة المقاومة في ذلك الوقت</w:t>
      </w:r>
      <w:r w:rsidRPr="00AE6847">
        <w:rPr>
          <w:rFonts w:ascii="Traditional Arabic" w:hAnsi="Traditional Arabic" w:cs="Traditional Arabic"/>
          <w:sz w:val="30"/>
          <w:szCs w:val="30"/>
          <w:lang w:eastAsia="en-GB"/>
        </w:rPr>
        <w:t>.</w:t>
      </w:r>
    </w:p>
    <w:p w14:paraId="38961DAB" w14:textId="2D8402A8" w:rsidR="00AE6847" w:rsidRPr="00AE6847" w:rsidRDefault="00AE6847" w:rsidP="00DB17C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u w:val="single"/>
          <w:lang w:eastAsia="en-GB"/>
        </w:rPr>
      </w:pPr>
      <w:r w:rsidRPr="00AE6847">
        <w:rPr>
          <w:rFonts w:ascii="Traditional Arabic" w:hAnsi="Traditional Arabic" w:cs="Traditional Arabic"/>
          <w:sz w:val="30"/>
          <w:szCs w:val="30"/>
          <w:rtl/>
          <w:lang w:eastAsia="en-GB"/>
        </w:rPr>
        <w:t>كان من المعروف أن مقاتلي الحوثي-صالح يمتلكون نوع الصواريخ المستخدمة في هذا الهجوم</w:t>
      </w:r>
      <w:r w:rsidRPr="00AE6847">
        <w:rPr>
          <w:rFonts w:ascii="Traditional Arabic" w:hAnsi="Traditional Arabic" w:cs="Traditional Arabic"/>
          <w:sz w:val="30"/>
          <w:szCs w:val="30"/>
          <w:lang w:eastAsia="en-GB"/>
        </w:rPr>
        <w:t xml:space="preserve"> (BM-21) </w:t>
      </w:r>
      <w:r w:rsidRPr="00AE6847">
        <w:rPr>
          <w:rFonts w:ascii="Traditional Arabic" w:hAnsi="Traditional Arabic" w:cs="Traditional Arabic"/>
          <w:sz w:val="30"/>
          <w:szCs w:val="30"/>
          <w:rtl/>
          <w:lang w:eastAsia="en-GB"/>
        </w:rPr>
        <w:t xml:space="preserve">، وكانت </w:t>
      </w:r>
      <w:r w:rsidR="00DB17C5">
        <w:rPr>
          <w:rFonts w:ascii="Traditional Arabic" w:hAnsi="Traditional Arabic" w:cs="Traditional Arabic" w:hint="cs"/>
          <w:sz w:val="30"/>
          <w:szCs w:val="30"/>
          <w:rtl/>
          <w:lang w:eastAsia="en-GB"/>
        </w:rPr>
        <w:t xml:space="preserve">الأهداف </w:t>
      </w:r>
      <w:r w:rsidR="00EC1CD1" w:rsidRPr="00AE6847">
        <w:rPr>
          <w:rFonts w:ascii="Traditional Arabic" w:hAnsi="Traditional Arabic" w:cs="Traditional Arabic"/>
          <w:sz w:val="30"/>
          <w:szCs w:val="30"/>
          <w:rtl/>
          <w:lang w:eastAsia="en-GB"/>
        </w:rPr>
        <w:t xml:space="preserve">التي تأثرت </w:t>
      </w:r>
      <w:r w:rsidR="00DB17C5">
        <w:rPr>
          <w:rFonts w:ascii="Traditional Arabic" w:hAnsi="Traditional Arabic" w:cs="Traditional Arabic" w:hint="cs"/>
          <w:sz w:val="30"/>
          <w:szCs w:val="30"/>
          <w:rtl/>
          <w:lang w:eastAsia="en-GB"/>
        </w:rPr>
        <w:t xml:space="preserve">تقع </w:t>
      </w:r>
      <w:r w:rsidR="00EC1CD1" w:rsidRPr="00AE6847">
        <w:rPr>
          <w:rFonts w:ascii="Traditional Arabic" w:hAnsi="Traditional Arabic" w:cs="Traditional Arabic"/>
          <w:sz w:val="30"/>
          <w:szCs w:val="30"/>
          <w:rtl/>
          <w:lang w:eastAsia="en-GB"/>
        </w:rPr>
        <w:t xml:space="preserve">ضمن نطاق </w:t>
      </w:r>
      <w:r w:rsidR="00EC1CD1">
        <w:rPr>
          <w:rFonts w:ascii="Traditional Arabic" w:hAnsi="Traditional Arabic" w:cs="Traditional Arabic" w:hint="cs"/>
          <w:sz w:val="30"/>
          <w:szCs w:val="30"/>
          <w:rtl/>
          <w:lang w:eastAsia="en-GB"/>
        </w:rPr>
        <w:t xml:space="preserve">تغطية صواريخ </w:t>
      </w:r>
      <w:r w:rsidR="00DB17C5">
        <w:rPr>
          <w:rFonts w:ascii="Traditional Arabic" w:hAnsi="Traditional Arabic" w:cs="Traditional Arabic" w:hint="cs"/>
          <w:sz w:val="30"/>
          <w:szCs w:val="30"/>
          <w:rtl/>
          <w:lang w:eastAsia="en-GB"/>
        </w:rPr>
        <w:t xml:space="preserve">مقاتلي الحوثي- صالح من المواقع </w:t>
      </w:r>
      <w:r w:rsidR="00DB17C5" w:rsidRPr="00AE6847">
        <w:rPr>
          <w:rFonts w:ascii="Traditional Arabic" w:hAnsi="Traditional Arabic" w:cs="Traditional Arabic"/>
          <w:sz w:val="30"/>
          <w:szCs w:val="30"/>
          <w:rtl/>
          <w:lang w:eastAsia="en-GB"/>
        </w:rPr>
        <w:t>التي احتل</w:t>
      </w:r>
      <w:r w:rsidR="00DB17C5">
        <w:rPr>
          <w:rFonts w:ascii="Traditional Arabic" w:hAnsi="Traditional Arabic" w:cs="Traditional Arabic" w:hint="cs"/>
          <w:sz w:val="30"/>
          <w:szCs w:val="30"/>
          <w:rtl/>
          <w:lang w:eastAsia="en-GB"/>
        </w:rPr>
        <w:t>و</w:t>
      </w:r>
      <w:r w:rsidR="00DB17C5" w:rsidRPr="00AE6847">
        <w:rPr>
          <w:rFonts w:ascii="Traditional Arabic" w:hAnsi="Traditional Arabic" w:cs="Traditional Arabic"/>
          <w:sz w:val="30"/>
          <w:szCs w:val="30"/>
          <w:rtl/>
          <w:lang w:eastAsia="en-GB"/>
        </w:rPr>
        <w:t>ها</w:t>
      </w:r>
      <w:r w:rsidR="00DB17C5">
        <w:rPr>
          <w:rFonts w:ascii="Traditional Arabic" w:hAnsi="Traditional Arabic" w:cs="Traditional Arabic" w:hint="cs"/>
          <w:sz w:val="30"/>
          <w:szCs w:val="30"/>
          <w:rtl/>
          <w:lang w:eastAsia="en-GB"/>
        </w:rPr>
        <w:t xml:space="preserve"> داخل</w:t>
      </w:r>
      <w:r w:rsidRPr="00AE6847">
        <w:rPr>
          <w:rFonts w:ascii="Traditional Arabic" w:hAnsi="Traditional Arabic" w:cs="Traditional Arabic"/>
          <w:sz w:val="30"/>
          <w:szCs w:val="30"/>
          <w:rtl/>
          <w:lang w:eastAsia="en-GB"/>
        </w:rPr>
        <w:t xml:space="preserve"> المدينة. علاوة على ذلك، سقطت الصواريخ في جزء من المدينة تحت سيطرة القوات المسلحة اليمنية والجماعات التابعة لها. لذلك وجد فريق الخبراء أسبابًا معقولة للاعتقاد بأن مقاتلو الحوثي -صالح تسبب</w:t>
      </w:r>
      <w:r w:rsidR="00DB17C5">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في مقتل وإصابة المدنيين وتدمير الأهداف المدنية في هذه الحالة من خلال استخدام أسلحة نيران غير مباشرة لها تأثير واسع النطاق في منطقة مأهولة بالسكان المدنيين.</w:t>
      </w:r>
    </w:p>
    <w:p w14:paraId="71FD0D4C" w14:textId="77777777" w:rsidR="00AE6847" w:rsidRPr="00AE6847" w:rsidRDefault="00AE6847" w:rsidP="00361237">
      <w:pPr>
        <w:tabs>
          <w:tab w:val="left" w:pos="720"/>
          <w:tab w:val="left" w:pos="1701"/>
        </w:tabs>
        <w:suppressAutoHyphens w:val="0"/>
        <w:bidi/>
        <w:spacing w:before="240" w:after="120"/>
        <w:ind w:left="1412" w:right="720"/>
        <w:contextualSpacing/>
        <w:jc w:val="both"/>
        <w:rPr>
          <w:rFonts w:ascii="Traditional Arabic" w:hAnsi="Traditional Arabic" w:cs="Traditional Arabic"/>
          <w:sz w:val="30"/>
          <w:szCs w:val="30"/>
          <w:u w:val="single"/>
          <w:lang w:eastAsia="en-GB"/>
        </w:rPr>
      </w:pPr>
      <w:r w:rsidRPr="00AE6847">
        <w:rPr>
          <w:rFonts w:ascii="Traditional Arabic" w:hAnsi="Traditional Arabic" w:cs="Traditional Arabic"/>
          <w:sz w:val="30"/>
          <w:szCs w:val="30"/>
          <w:u w:val="single"/>
          <w:rtl/>
          <w:lang w:eastAsia="en-GB"/>
        </w:rPr>
        <w:lastRenderedPageBreak/>
        <w:t>هجوم بقذائف الهاون على حي الكوثر ، 27 كانون الاول/يناير 2016</w:t>
      </w:r>
    </w:p>
    <w:p w14:paraId="13F41732" w14:textId="3F90920E"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vertAlign w:val="superscript"/>
          <w:lang w:eastAsia="en-GB"/>
        </w:rPr>
      </w:pPr>
      <w:r w:rsidRPr="00AE6847">
        <w:rPr>
          <w:rFonts w:ascii="Traditional Arabic" w:hAnsi="Traditional Arabic" w:cs="Traditional Arabic"/>
          <w:sz w:val="30"/>
          <w:szCs w:val="30"/>
          <w:rtl/>
          <w:lang w:eastAsia="en-GB"/>
        </w:rPr>
        <w:t xml:space="preserve">في 27 </w:t>
      </w:r>
      <w:r w:rsidR="00AF435C">
        <w:rPr>
          <w:rFonts w:ascii="Traditional Arabic" w:hAnsi="Traditional Arabic" w:cs="Traditional Arabic" w:hint="cs"/>
          <w:sz w:val="30"/>
          <w:szCs w:val="30"/>
          <w:rtl/>
          <w:lang w:eastAsia="en-GB"/>
        </w:rPr>
        <w:t xml:space="preserve">كانون الثاني/ </w:t>
      </w:r>
      <w:r w:rsidRPr="00AE6847">
        <w:rPr>
          <w:rFonts w:ascii="Traditional Arabic" w:hAnsi="Traditional Arabic" w:cs="Traditional Arabic"/>
          <w:sz w:val="30"/>
          <w:szCs w:val="30"/>
          <w:rtl/>
          <w:lang w:eastAsia="en-GB"/>
        </w:rPr>
        <w:t>يناير 2016، في حوالي الساعة 5:30 مساءً ، سقطت قذيفة هاون على شارع العريش</w:t>
      </w:r>
      <w:r w:rsidRPr="00AE6847">
        <w:rPr>
          <w:rFonts w:ascii="Traditional Arabic" w:hAnsi="Traditional Arabic" w:cs="Traditional Arabic"/>
          <w:sz w:val="30"/>
          <w:szCs w:val="30"/>
          <w:vertAlign w:val="superscript"/>
          <w:lang w:eastAsia="en-GB"/>
        </w:rPr>
        <w:footnoteReference w:id="444"/>
      </w:r>
      <w:r w:rsidRPr="00AE6847">
        <w:rPr>
          <w:rFonts w:ascii="Traditional Arabic" w:hAnsi="Traditional Arabic" w:cs="Traditional Arabic"/>
          <w:sz w:val="30"/>
          <w:szCs w:val="30"/>
          <w:rtl/>
          <w:lang w:eastAsia="en-GB"/>
        </w:rPr>
        <w:t xml:space="preserve"> في حي الكوثر، في شمال مدينة تعز، مما أسفر عن مقتل أربعة أشخاص (رجل وثلاثة أولاد) وجرح 17 آخرين ( 12 رجلاً وخمسة أولاد) أثناء لعبهم لكرة الطائرة. قال أحد الشهود إن هذا حدث بالقرب من منزله، القريب من مسجد الكوثر، </w:t>
      </w:r>
      <w:r w:rsidRPr="00AE6847">
        <w:rPr>
          <w:rFonts w:ascii="Traditional Arabic" w:hAnsi="Traditional Arabic" w:cs="Traditional Arabic"/>
          <w:i/>
          <w:iCs/>
          <w:sz w:val="30"/>
          <w:szCs w:val="30"/>
          <w:rtl/>
          <w:lang w:eastAsia="en-GB"/>
        </w:rPr>
        <w:t>"كان الرجال يلعبون كرة الطائرة وسقطت قذيفة فجأة وكان الوضع بائسًا"</w:t>
      </w:r>
      <w:r w:rsidRPr="00AE6847">
        <w:rPr>
          <w:rFonts w:ascii="Traditional Arabic" w:hAnsi="Traditional Arabic" w:cs="Traditional Arabic"/>
          <w:i/>
          <w:sz w:val="30"/>
          <w:szCs w:val="30"/>
          <w:vertAlign w:val="superscript"/>
          <w:lang w:eastAsia="en-GB"/>
        </w:rPr>
        <w:footnoteReference w:id="445"/>
      </w:r>
      <w:r w:rsidRPr="00AE6847">
        <w:rPr>
          <w:rFonts w:ascii="Traditional Arabic" w:hAnsi="Traditional Arabic" w:cs="Traditional Arabic"/>
          <w:i/>
          <w:sz w:val="30"/>
          <w:szCs w:val="30"/>
          <w:rtl/>
          <w:lang w:eastAsia="en-GB"/>
        </w:rPr>
        <w:t>.</w:t>
      </w:r>
      <w:r w:rsidRPr="00AE6847">
        <w:rPr>
          <w:rFonts w:ascii="Traditional Arabic" w:hAnsi="Traditional Arabic" w:cs="Traditional Arabic"/>
          <w:sz w:val="30"/>
          <w:szCs w:val="30"/>
          <w:rtl/>
          <w:lang w:eastAsia="en-GB"/>
        </w:rPr>
        <w:t xml:space="preserve"> كان الجيران يلعبون كرة</w:t>
      </w:r>
      <w:r w:rsidR="00AF435C">
        <w:rPr>
          <w:rFonts w:ascii="Traditional Arabic" w:hAnsi="Traditional Arabic" w:cs="Traditional Arabic"/>
          <w:sz w:val="30"/>
          <w:szCs w:val="30"/>
          <w:rtl/>
          <w:lang w:eastAsia="en-GB"/>
        </w:rPr>
        <w:t xml:space="preserve"> الطائرة يوميًا منذ بداية الحرب</w:t>
      </w:r>
      <w:r w:rsidRPr="00AE6847">
        <w:rPr>
          <w:rFonts w:ascii="Traditional Arabic" w:hAnsi="Traditional Arabic" w:cs="Traditional Arabic"/>
          <w:sz w:val="30"/>
          <w:szCs w:val="30"/>
          <w:rtl/>
          <w:lang w:eastAsia="en-GB"/>
        </w:rPr>
        <w:t xml:space="preserve">، وفقا لشخص محلي آخر شهد ما حدث وأصيب. كان السكان يجتمعون كل يوم بين الساعة 16:00 والساعة 18:00، </w:t>
      </w:r>
      <w:r w:rsidRPr="00AE6847">
        <w:rPr>
          <w:rFonts w:ascii="Traditional Arabic" w:hAnsi="Traditional Arabic" w:cs="Traditional Arabic"/>
          <w:i/>
          <w:iCs/>
          <w:sz w:val="30"/>
          <w:szCs w:val="30"/>
          <w:rtl/>
          <w:lang w:eastAsia="en-GB"/>
        </w:rPr>
        <w:t>ولكننا "توقفنا مباشرة بعد ما حدث، كنا نلعب منذ بداية الحرب حيث لم يكن لدينا أي شيء بسبب الحصار على المدينة</w:t>
      </w:r>
      <w:r w:rsidRPr="00AE6847">
        <w:rPr>
          <w:rFonts w:ascii="Traditional Arabic" w:hAnsi="Traditional Arabic" w:cs="Traditional Arabic"/>
          <w:sz w:val="30"/>
          <w:szCs w:val="30"/>
          <w:vertAlign w:val="superscript"/>
          <w:lang w:eastAsia="en-GB"/>
        </w:rPr>
        <w:footnoteReference w:id="446"/>
      </w:r>
      <w:r w:rsidRPr="00AE6847">
        <w:rPr>
          <w:rFonts w:ascii="Traditional Arabic" w:hAnsi="Traditional Arabic" w:cs="Traditional Arabic"/>
          <w:sz w:val="30"/>
          <w:szCs w:val="30"/>
          <w:rtl/>
          <w:lang w:eastAsia="en-GB"/>
        </w:rPr>
        <w:t>. أصيب الشاهد الثاني في هجوم سابق بقذائف الهاون على الحي في 10 أغسطس 2015، وأصيب بجروح في الرأس</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47"/>
      </w:r>
    </w:p>
    <w:p w14:paraId="162A92F0" w14:textId="218B8E46"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lang w:eastAsia="en-GB"/>
        </w:rPr>
      </w:pPr>
      <w:r w:rsidRPr="00AE6847">
        <w:rPr>
          <w:rFonts w:ascii="Traditional Arabic" w:hAnsi="Traditional Arabic" w:cs="Traditional Arabic"/>
          <w:sz w:val="30"/>
          <w:szCs w:val="30"/>
          <w:rtl/>
          <w:lang w:eastAsia="en-GB"/>
        </w:rPr>
        <w:t>وصف أحد الشهود الحي بأنه "</w:t>
      </w:r>
      <w:r w:rsidRPr="00AE6847">
        <w:rPr>
          <w:rFonts w:ascii="Traditional Arabic" w:hAnsi="Traditional Arabic" w:cs="Traditional Arabic"/>
          <w:i/>
          <w:iCs/>
          <w:sz w:val="30"/>
          <w:szCs w:val="30"/>
          <w:rtl/>
          <w:lang w:eastAsia="en-GB"/>
        </w:rPr>
        <w:t>مزدحم، متواضع ، ومليء بالسكان</w:t>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footnoteReference w:id="44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في وقت الهجوم ، كانت المنطقة تحت سيطرة المقاومة ، كما كانت معظم المدينة. على وجه التحديد ، من المعروف أن كتائب الحسم </w:t>
      </w:r>
      <w:r w:rsidRPr="00AE6847">
        <w:rPr>
          <w:rFonts w:ascii="Traditional Arabic" w:hAnsi="Traditional Arabic" w:cs="Traditional Arabic"/>
          <w:sz w:val="30"/>
          <w:szCs w:val="30"/>
          <w:vertAlign w:val="superscript"/>
          <w:lang w:eastAsia="en-GB"/>
        </w:rPr>
        <w:footnoteReference w:id="449"/>
      </w:r>
      <w:r w:rsidRPr="00AE6847">
        <w:rPr>
          <w:rFonts w:ascii="Traditional Arabic" w:hAnsi="Traditional Arabic" w:cs="Traditional Arabic"/>
          <w:sz w:val="30"/>
          <w:szCs w:val="30"/>
          <w:rtl/>
          <w:lang w:eastAsia="en-GB"/>
        </w:rPr>
        <w:t>، التي كانت تسيطر على هذه المنطقة في ذلك الوقت ، كانت موجودة في المنطقة من وقت لآخر</w:t>
      </w:r>
      <w:r w:rsidRPr="00AE6847">
        <w:rPr>
          <w:rFonts w:ascii="Traditional Arabic" w:hAnsi="Traditional Arabic" w:cs="Traditional Arabic"/>
          <w:sz w:val="30"/>
          <w:szCs w:val="30"/>
          <w:vertAlign w:val="superscript"/>
          <w:lang w:eastAsia="en-GB"/>
        </w:rPr>
        <w:footnoteReference w:id="450"/>
      </w:r>
      <w:r w:rsidRPr="00AE6847">
        <w:rPr>
          <w:rFonts w:ascii="Traditional Arabic" w:hAnsi="Traditional Arabic" w:cs="Traditional Arabic"/>
          <w:sz w:val="30"/>
          <w:szCs w:val="30"/>
          <w:rtl/>
          <w:lang w:eastAsia="en-GB"/>
        </w:rPr>
        <w:t>. أفادت التقارير أن المقاومة الشعبية كانت تسيطر على مبنيين، المعهد الوطني للعلوم الإدارية والمنظمة المركزية للتحكم والمساءلة ، على بعد حوالي نصف كيلومتر في اتجاه الشمال الغربي من حيث سقطت قذيفة الهاون</w:t>
      </w:r>
      <w:r w:rsidRPr="00AE6847">
        <w:rPr>
          <w:rFonts w:ascii="Traditional Arabic" w:hAnsi="Traditional Arabic" w:cs="Traditional Arabic"/>
          <w:sz w:val="30"/>
          <w:szCs w:val="30"/>
          <w:vertAlign w:val="superscript"/>
          <w:lang w:eastAsia="en-GB"/>
        </w:rPr>
        <w:footnoteReference w:id="451"/>
      </w:r>
      <w:r w:rsidRPr="00AE6847">
        <w:rPr>
          <w:rFonts w:ascii="Traditional Arabic" w:hAnsi="Traditional Arabic" w:cs="Traditional Arabic"/>
          <w:sz w:val="30"/>
          <w:szCs w:val="30"/>
          <w:rtl/>
          <w:lang w:eastAsia="en-GB"/>
        </w:rPr>
        <w:t>. ويُزعم أن هذا الهجوم شن من منطقة قصر الشعب، والمعروف أيضًا باسم القصر الجمهوري ، أو من الشارع 60 ، وكلاهما كان وقت وقوع الهجوم تحت سيطرة مقاتلي الحوثي- صالح.</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52"/>
      </w:r>
      <w:r w:rsidRPr="00AE6847">
        <w:rPr>
          <w:rFonts w:ascii="Traditional Arabic" w:hAnsi="Traditional Arabic" w:cs="Traditional Arabic"/>
          <w:sz w:val="30"/>
          <w:szCs w:val="30"/>
          <w:rtl/>
          <w:lang w:eastAsia="en-GB"/>
        </w:rPr>
        <w:t xml:space="preserve"> صرح أحد السكان المحليين، "</w:t>
      </w:r>
      <w:r w:rsidRPr="00AE6847">
        <w:rPr>
          <w:rFonts w:ascii="Traditional Arabic" w:hAnsi="Traditional Arabic" w:cs="Traditional Arabic"/>
          <w:i/>
          <w:iCs/>
          <w:sz w:val="30"/>
          <w:szCs w:val="30"/>
          <w:rtl/>
          <w:lang w:eastAsia="en-GB"/>
        </w:rPr>
        <w:t>يفهم الناس أنه تم إطلاقه من قصر الشعب في الشرق حيث كان الحوثيون ، لم يكن أحد في الغرب</w:t>
      </w:r>
      <w:r w:rsidRPr="00AE6847">
        <w:rPr>
          <w:rFonts w:ascii="Traditional Arabic" w:hAnsi="Traditional Arabic" w:cs="Traditional Arabic"/>
          <w:i/>
          <w:iCs/>
          <w:sz w:val="30"/>
          <w:szCs w:val="30"/>
          <w:lang w:eastAsia="en-GB"/>
        </w:rPr>
        <w:t>".</w:t>
      </w:r>
      <w:r w:rsidRPr="00AE6847">
        <w:rPr>
          <w:rFonts w:ascii="Traditional Arabic" w:hAnsi="Traditional Arabic" w:cs="Traditional Arabic"/>
          <w:sz w:val="30"/>
          <w:szCs w:val="30"/>
          <w:vertAlign w:val="superscript"/>
          <w:lang w:eastAsia="en-GB"/>
        </w:rPr>
        <w:footnoteReference w:id="453"/>
      </w:r>
      <w:r w:rsidRPr="00AE6847">
        <w:rPr>
          <w:rFonts w:ascii="Traditional Arabic" w:hAnsi="Traditional Arabic" w:cs="Traditional Arabic"/>
          <w:sz w:val="30"/>
          <w:szCs w:val="30"/>
          <w:lang w:eastAsia="en-GB"/>
        </w:rPr>
        <w:t> </w:t>
      </w:r>
    </w:p>
    <w:p w14:paraId="7A53B662"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كان من المعروف أن مقاتلي الحوثي صالح يمتلكون قذائف الهاون مثل تلك المستخدمة في هذا الهجوم، وكانت المواقع التي احتلوها في المدينة ضمن نطاق المواقع التي تأثرت من هذه الأسلحة. علاوة على ذلك، سقطت قذائف الهاون على جزء من المدينة تحت سيطرة القوات المسلحة اليمنية والجماعات التابعة لها. وجد فريق الخبراء أسبابًا معقولة للاعتقاد بأن مقاتلي الحوثي صالح تسببوا في مقتل وإصابة المدنيين وتدمير الأهداف المدنية في هذه الحالة من خلال استخدام أسلحة إطلاق نار غير مباشرة ذات تأثير واسع على منطقة واسعة في منطقة مأهولة بالسكان المدنيين</w:t>
      </w:r>
      <w:r w:rsidRPr="00AE6847">
        <w:rPr>
          <w:rFonts w:ascii="Traditional Arabic" w:hAnsi="Traditional Arabic" w:cs="Traditional Arabic"/>
          <w:sz w:val="30"/>
          <w:szCs w:val="30"/>
          <w:lang w:eastAsia="en-GB"/>
        </w:rPr>
        <w:t>.</w:t>
      </w:r>
    </w:p>
    <w:p w14:paraId="7888CC74" w14:textId="62DD74DF" w:rsidR="00AE6847" w:rsidRPr="00AE6847" w:rsidRDefault="00AE6847" w:rsidP="00361237">
      <w:pPr>
        <w:tabs>
          <w:tab w:val="left" w:pos="720"/>
        </w:tabs>
        <w:suppressAutoHyphens w:val="0"/>
        <w:bidi/>
        <w:spacing w:after="120" w:line="240" w:lineRule="auto"/>
        <w:ind w:left="1134" w:right="828"/>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u w:val="single"/>
          <w:rtl/>
        </w:rPr>
        <w:lastRenderedPageBreak/>
        <w:t>هجوم</w:t>
      </w:r>
      <w:r w:rsidR="00DB17C5">
        <w:rPr>
          <w:rFonts w:ascii="Traditional Arabic" w:eastAsia="Calibri" w:hAnsi="Traditional Arabic" w:cs="Traditional Arabic"/>
          <w:sz w:val="30"/>
          <w:szCs w:val="30"/>
          <w:u w:val="single"/>
          <w:rtl/>
        </w:rPr>
        <w:t xml:space="preserve"> قناص يقتل الصحفي أحمد الشيباني</w:t>
      </w:r>
      <w:r w:rsidRPr="00AE6847">
        <w:rPr>
          <w:rFonts w:ascii="Traditional Arabic" w:eastAsia="Calibri" w:hAnsi="Traditional Arabic" w:cs="Traditional Arabic"/>
          <w:sz w:val="30"/>
          <w:szCs w:val="30"/>
          <w:u w:val="single"/>
          <w:rtl/>
        </w:rPr>
        <w:t>، 16 شباط/ فبراير 2016</w:t>
      </w:r>
    </w:p>
    <w:p w14:paraId="4AF0A788" w14:textId="22BF4CD5" w:rsidR="00AE6847" w:rsidRPr="00AE6847" w:rsidRDefault="00AE6847" w:rsidP="008F24E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بالنسبة لأولئك الذين يعملون أيضًا بالقرب من الجبهات الأمامية، مثل الصحفيين والناشطين، كانت المخاطر هائلة. قُتل الصحفي أحمد الشيباني برصاص قناص، يقال إنه مقاتل من الحوثي -صالح ، في 16 فبراير / شباط 2016 بينما كان هو وزملاؤه يغطون الأحداث في منطقة بالقرب من مصنع البلاستيك في الحوبان ، شرق المدينة</w:t>
      </w:r>
      <w:r w:rsidRPr="00AE6847">
        <w:rPr>
          <w:rFonts w:ascii="Traditional Arabic" w:hAnsi="Traditional Arabic" w:cs="Traditional Arabic"/>
          <w:sz w:val="30"/>
          <w:szCs w:val="30"/>
          <w:vertAlign w:val="superscript"/>
          <w:lang w:eastAsia="en-GB"/>
        </w:rPr>
        <w:footnoteReference w:id="454"/>
      </w:r>
      <w:r w:rsidRPr="00AE6847">
        <w:rPr>
          <w:rFonts w:ascii="Traditional Arabic" w:hAnsi="Traditional Arabic" w:cs="Traditional Arabic"/>
          <w:sz w:val="30"/>
          <w:szCs w:val="30"/>
          <w:rtl/>
          <w:lang w:eastAsia="en-GB"/>
        </w:rPr>
        <w:t>. تم تصوير عملية القتل وبثتها قناة اليمن للشباب التلفزيونية وتبين أن رصاصة واحدة أطلقت  على الشيباني أثناء عبوره للشارع ، بعد ثوانٍ من عبور ثلاثة مدنيين آخرين في نفس المكان</w:t>
      </w:r>
      <w:r w:rsidRPr="00AE6847">
        <w:rPr>
          <w:rFonts w:ascii="Traditional Arabic" w:hAnsi="Traditional Arabic" w:cs="Traditional Arabic"/>
          <w:sz w:val="30"/>
          <w:szCs w:val="30"/>
          <w:vertAlign w:val="superscript"/>
          <w:lang w:eastAsia="en-GB"/>
        </w:rPr>
        <w:footnoteReference w:id="455"/>
      </w:r>
      <w:r w:rsidRPr="00AE6847">
        <w:rPr>
          <w:rFonts w:ascii="Traditional Arabic" w:hAnsi="Traditional Arabic" w:cs="Traditional Arabic"/>
          <w:sz w:val="30"/>
          <w:szCs w:val="30"/>
          <w:rtl/>
          <w:lang w:eastAsia="en-GB"/>
        </w:rPr>
        <w:t>. قال أحد الزملاء الذي كان يعمل معه في ذلك اليوم إنه على الرغم من أنهم لم يرتدوا سترات خاصة بالصحافة في ذلك اليوم، كانوا واثقين من أنهم تم التعرف عليهم من قبل كصحفيين لأنهم كانوا يحملون كاميرا بوضوح ، ويمكن تحديدها بوضوح على هذا النحو</w:t>
      </w:r>
      <w:r w:rsidRPr="00AE6847">
        <w:rPr>
          <w:rFonts w:ascii="Traditional Arabic" w:hAnsi="Traditional Arabic" w:cs="Traditional Arabic"/>
          <w:sz w:val="30"/>
          <w:szCs w:val="30"/>
          <w:vertAlign w:val="superscript"/>
          <w:lang w:eastAsia="en-GB"/>
        </w:rPr>
        <w:footnoteReference w:id="456"/>
      </w:r>
      <w:r w:rsidRPr="00AE6847">
        <w:rPr>
          <w:rFonts w:ascii="Traditional Arabic" w:hAnsi="Traditional Arabic" w:cs="Traditional Arabic"/>
          <w:sz w:val="30"/>
          <w:szCs w:val="30"/>
          <w:rtl/>
          <w:lang w:eastAsia="en-GB"/>
        </w:rPr>
        <w:t>. أصدرت لجنة حماية الصحفيين بيانًا حول مقتله ودعت جميع الأطراف إلى تحمل مسؤوليتها بعدم استهداف الصحفيين</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57"/>
      </w:r>
    </w:p>
    <w:p w14:paraId="2E29DAC7"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Calibri" w:hAnsi="Traditional Arabic" w:cs="Traditional Arabic"/>
          <w:sz w:val="30"/>
          <w:szCs w:val="30"/>
          <w:u w:val="single"/>
        </w:rPr>
      </w:pPr>
      <w:r w:rsidRPr="00AE6847">
        <w:rPr>
          <w:rFonts w:ascii="Traditional Arabic" w:eastAsia="Calibri" w:hAnsi="Traditional Arabic" w:cs="Traditional Arabic"/>
          <w:sz w:val="30"/>
          <w:szCs w:val="30"/>
          <w:rtl/>
        </w:rPr>
        <w:t>وجد فريق الخبراء أسبابًا معقولة للاعتقاد بأن قناص الحوثي -صالح كان مسؤولًا عن هذا القتل المتعمد</w:t>
      </w:r>
      <w:r w:rsidRPr="00AE6847">
        <w:rPr>
          <w:rFonts w:ascii="Traditional Arabic" w:eastAsia="Calibri" w:hAnsi="Traditional Arabic" w:cs="Traditional Arabic"/>
          <w:sz w:val="30"/>
          <w:szCs w:val="30"/>
        </w:rPr>
        <w:t>.</w:t>
      </w:r>
    </w:p>
    <w:p w14:paraId="0D57D6BD" w14:textId="693E64FA" w:rsidR="00AE6847" w:rsidRPr="00AE6847" w:rsidRDefault="00AE6847" w:rsidP="00361237">
      <w:pPr>
        <w:pStyle w:val="Footer"/>
        <w:tabs>
          <w:tab w:val="left" w:pos="720"/>
          <w:tab w:val="left" w:pos="900"/>
          <w:tab w:val="left" w:pos="1134"/>
          <w:tab w:val="left" w:pos="1701"/>
        </w:tabs>
        <w:bidi/>
        <w:spacing w:after="240"/>
        <w:ind w:left="1134" w:right="1080"/>
        <w:jc w:val="both"/>
        <w:rPr>
          <w:rFonts w:ascii="Traditional Arabic" w:eastAsia="Calibri" w:hAnsi="Traditional Arabic" w:cs="Traditional Arabic"/>
          <w:sz w:val="30"/>
          <w:szCs w:val="30"/>
          <w:u w:val="single"/>
        </w:rPr>
      </w:pPr>
      <w:r>
        <w:rPr>
          <w:rFonts w:ascii="Traditional Arabic" w:eastAsia="Calibri" w:hAnsi="Traditional Arabic" w:cs="Traditional Arabic"/>
          <w:sz w:val="30"/>
          <w:szCs w:val="30"/>
        </w:rPr>
        <w:tab/>
      </w:r>
      <w:r w:rsidRPr="00AE6847">
        <w:rPr>
          <w:rFonts w:ascii="Traditional Arabic" w:eastAsia="Calibri" w:hAnsi="Traditional Arabic" w:cs="Traditional Arabic"/>
          <w:sz w:val="30"/>
          <w:szCs w:val="30"/>
          <w:u w:val="single"/>
          <w:rtl/>
        </w:rPr>
        <w:t>الانتهاكات</w:t>
      </w:r>
      <w:r w:rsidRPr="00AE6847">
        <w:rPr>
          <w:rFonts w:ascii="Traditional Arabic" w:eastAsia="Calibri" w:hAnsi="Traditional Arabic" w:cs="Traditional Arabic"/>
          <w:sz w:val="30"/>
          <w:szCs w:val="30"/>
          <w:rtl/>
        </w:rPr>
        <w:t xml:space="preserve"> </w:t>
      </w:r>
    </w:p>
    <w:p w14:paraId="7DD5CB53"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يحظر القانون الإنساني الدولي الهجمات المباشرة ضد المدنيين ، ولا يجوز توجيه الهجمات إلا ضد المشاركين مباشرة في الأعمال العدائية. يُعد توجيه الهجمات المتعمدة ضد السكان المدنيين بصفتهم هذه أو ضد الأفراد المدنيين الذين لا يشاركون مباشرة في الأعمال العدائية انتهاكًا خطيرًا للقانون الإنساني ويصل إلى حد جريمة الحرب التي قد تؤدي إلى مسؤولية جنائية فردية</w:t>
      </w:r>
      <w:r w:rsidRPr="00AE6847">
        <w:rPr>
          <w:rFonts w:ascii="Traditional Arabic" w:hAnsi="Traditional Arabic" w:cs="Traditional Arabic"/>
          <w:sz w:val="30"/>
          <w:szCs w:val="30"/>
          <w:vertAlign w:val="superscript"/>
          <w:lang w:eastAsia="en-GB"/>
        </w:rPr>
        <w:footnoteReference w:id="458"/>
      </w:r>
      <w:r w:rsidRPr="00AE6847">
        <w:rPr>
          <w:rFonts w:ascii="Traditional Arabic" w:hAnsi="Traditional Arabic" w:cs="Traditional Arabic"/>
          <w:sz w:val="30"/>
          <w:szCs w:val="30"/>
          <w:rtl/>
          <w:lang w:eastAsia="en-GB"/>
        </w:rPr>
        <w:t>. يحظر مبدأ التمييز كذلك الهجمات العشوائية ، أي الهجمات التي من هذا النوع لضرب الأهداف العسكرية والمدنيين أو الأعيان المدنية دون تمييز</w:t>
      </w:r>
      <w:r w:rsidRPr="00AE6847">
        <w:rPr>
          <w:rFonts w:ascii="Traditional Arabic" w:hAnsi="Traditional Arabic" w:cs="Traditional Arabic"/>
          <w:sz w:val="30"/>
          <w:szCs w:val="30"/>
          <w:vertAlign w:val="superscript"/>
          <w:lang w:eastAsia="en-GB"/>
        </w:rPr>
        <w:footnoteReference w:id="459"/>
      </w:r>
      <w:r w:rsidRPr="00AE6847">
        <w:rPr>
          <w:rFonts w:ascii="Traditional Arabic" w:hAnsi="Traditional Arabic" w:cs="Traditional Arabic"/>
          <w:sz w:val="30"/>
          <w:szCs w:val="30"/>
          <w:rtl/>
          <w:lang w:eastAsia="en-GB"/>
        </w:rPr>
        <w:t>. تشكل الهجمات العشوائية ، على سبيل المثال ، هجمات تستخدم طريقة أو وسيلة للقتال لا يمكن توجيهها نحو هدف عسكري محدد.</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60"/>
      </w:r>
      <w:r w:rsidRPr="00AE6847">
        <w:rPr>
          <w:rFonts w:ascii="Traditional Arabic" w:hAnsi="Traditional Arabic" w:cs="Traditional Arabic"/>
          <w:sz w:val="30"/>
          <w:szCs w:val="30"/>
          <w:rtl/>
          <w:lang w:eastAsia="en-GB"/>
        </w:rPr>
        <w:t xml:space="preserve"> إن شن هجوم عشوائي يؤدي إلى مقتل أو إصابة مدنيين يعد جريمة حرب.</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61"/>
      </w:r>
    </w:p>
    <w:p w14:paraId="0DE637FA" w14:textId="6E857AC7" w:rsidR="00AE6847" w:rsidRPr="00AE6847" w:rsidRDefault="00AE6847" w:rsidP="00FA392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هناك أنواع معينة من الأسلحة المتفجرة التي لها مدى واسع الصدمات ، مثل المدفعية ومدافع الهاون والصواريخ غير الموجهة، والتي تستخدم التفجير وال</w:t>
      </w:r>
      <w:r w:rsidR="00E05D05">
        <w:rPr>
          <w:rFonts w:ascii="Traditional Arabic" w:hAnsi="Traditional Arabic" w:cs="Traditional Arabic" w:hint="cs"/>
          <w:sz w:val="30"/>
          <w:szCs w:val="30"/>
          <w:rtl/>
          <w:lang w:eastAsia="en-GB"/>
        </w:rPr>
        <w:t xml:space="preserve">شظايا </w:t>
      </w:r>
      <w:r w:rsidRPr="00AE6847">
        <w:rPr>
          <w:rFonts w:ascii="Traditional Arabic" w:hAnsi="Traditional Arabic" w:cs="Traditional Arabic"/>
          <w:sz w:val="30"/>
          <w:szCs w:val="30"/>
          <w:rtl/>
          <w:lang w:eastAsia="en-GB"/>
        </w:rPr>
        <w:t>للقتل والإصابة تكون غير دقيقة بطبيعتها عندما تستخدم في أماكن سكنية. في عام 2011</w:t>
      </w:r>
      <w:r w:rsidR="00E05D05">
        <w:rPr>
          <w:rFonts w:ascii="Traditional Arabic" w:hAnsi="Traditional Arabic" w:cs="Traditional Arabic"/>
          <w:sz w:val="30"/>
          <w:szCs w:val="30"/>
          <w:rtl/>
          <w:lang w:eastAsia="en-GB"/>
        </w:rPr>
        <w:t>، ذكرت اللجنة الدولية للصليب ال</w:t>
      </w:r>
      <w:r w:rsidR="00E05D05">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حمر أنه "نظراً للاحتمالية الكبيرة للتأثيرات العشوائية وعلى الرغم من عدم وجود حظر قانوني </w:t>
      </w:r>
      <w:r w:rsidRPr="00AE6847">
        <w:rPr>
          <w:rFonts w:ascii="Traditional Arabic" w:hAnsi="Traditional Arabic" w:cs="Traditional Arabic"/>
          <w:sz w:val="30"/>
          <w:szCs w:val="30"/>
          <w:rtl/>
          <w:lang w:eastAsia="en-GB"/>
        </w:rPr>
        <w:lastRenderedPageBreak/>
        <w:t>صريح لأنواع محددة من الأسلحة، ترى اللجنة الدولية أنه ينبغي تجنب الأسلحة المتفجرة ذات المدى الواسع التأثير في المناطق المكتظة بالسكان</w:t>
      </w:r>
      <w:r w:rsidRPr="00AE6847">
        <w:rPr>
          <w:rFonts w:ascii="Traditional Arabic" w:hAnsi="Traditional Arabic" w:cs="Traditional Arabic"/>
          <w:sz w:val="30"/>
          <w:szCs w:val="30"/>
          <w:vertAlign w:val="superscript"/>
          <w:lang w:eastAsia="en-GB"/>
        </w:rPr>
        <w:footnoteReference w:id="462"/>
      </w:r>
      <w:r w:rsidRPr="00AE6847">
        <w:rPr>
          <w:rFonts w:ascii="Traditional Arabic" w:hAnsi="Traditional Arabic" w:cs="Traditional Arabic"/>
          <w:sz w:val="30"/>
          <w:szCs w:val="30"/>
          <w:rtl/>
          <w:lang w:eastAsia="en-GB"/>
        </w:rPr>
        <w:t>. "استخدام هذه الأنواع من الأسلحة ضد الأهداف العسكرية الموجودة في المناطق المأهولة بالسكان" من المحتمل أن يكون ضد قواعد القانون الإنساني الدولي التي تحظر الهجمات العشوائية وغير المتناسبة</w:t>
      </w:r>
      <w:r w:rsidRPr="00AE6847">
        <w:rPr>
          <w:rFonts w:ascii="Traditional Arabic" w:hAnsi="Traditional Arabic" w:cs="Traditional Arabic"/>
          <w:sz w:val="30"/>
          <w:szCs w:val="30"/>
          <w:vertAlign w:val="superscript"/>
          <w:lang w:eastAsia="en-GB"/>
        </w:rPr>
        <w:footnoteReference w:id="463"/>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"مبدأ التمييز مهم بشكل خاص في سياق استخدام الأسلحة الثقيلة بكثافة </w:t>
      </w:r>
      <w:r w:rsidR="00800B81">
        <w:rPr>
          <w:rFonts w:ascii="Traditional Arabic" w:hAnsi="Traditional Arabic" w:cs="Traditional Arabic" w:hint="cs"/>
          <w:sz w:val="30"/>
          <w:szCs w:val="30"/>
          <w:rtl/>
          <w:lang w:eastAsia="en-GB"/>
        </w:rPr>
        <w:t xml:space="preserve">في </w:t>
      </w:r>
      <w:r w:rsidRPr="00AE6847">
        <w:rPr>
          <w:rFonts w:ascii="Traditional Arabic" w:hAnsi="Traditional Arabic" w:cs="Traditional Arabic"/>
          <w:sz w:val="30"/>
          <w:szCs w:val="30"/>
          <w:rtl/>
          <w:lang w:eastAsia="en-GB"/>
        </w:rPr>
        <w:t>المناطق المأهولة بالسكان، كما هو الحال في حوادث القصف المذكورة أعلاه. على الرغم من وجود أهداف عسكرية يمكن تحديدها والتي ربما كانت هدف الهجوم، إلا أن نوع السلاح المستخدم والمكان الذي أطلق منه يجعلان الهجوم بلا تمييز. لدى فريق الخبراء أسباب معقولة للاعتقاد بأن مقاتلي الحوثي- صالح كانوا مسؤولين عن شن هجمات على مناطق مكتظة بالسكان باستخدام أسلحة غير مباش</w:t>
      </w:r>
      <w:r w:rsidR="008F24E2">
        <w:rPr>
          <w:rFonts w:ascii="Traditional Arabic" w:hAnsi="Traditional Arabic" w:cs="Traditional Arabic"/>
          <w:sz w:val="30"/>
          <w:szCs w:val="30"/>
          <w:rtl/>
          <w:lang w:eastAsia="en-GB"/>
        </w:rPr>
        <w:t xml:space="preserve">رة ذات تأثير واسع النطاق </w:t>
      </w:r>
      <w:r w:rsidR="008F24E2">
        <w:rPr>
          <w:rFonts w:ascii="Traditional Arabic" w:hAnsi="Traditional Arabic" w:cs="Traditional Arabic" w:hint="cs"/>
          <w:sz w:val="30"/>
          <w:szCs w:val="30"/>
          <w:rtl/>
          <w:lang w:eastAsia="en-GB"/>
        </w:rPr>
        <w:t>قد يصل الى الهجوم العشوائي</w:t>
      </w:r>
      <w:r w:rsidRPr="00AE6847">
        <w:rPr>
          <w:rFonts w:ascii="Traditional Arabic" w:hAnsi="Traditional Arabic" w:cs="Traditional Arabic"/>
          <w:sz w:val="30"/>
          <w:szCs w:val="30"/>
          <w:rtl/>
          <w:lang w:eastAsia="en-GB"/>
        </w:rPr>
        <w:t>. قد يولد ذلك مسؤولية جنائية عن جريمة الحرب المتمثلة في شن هجوم عشوائي يؤدي إلى مقتل أو إصابة مدنيين</w:t>
      </w:r>
      <w:r w:rsidRPr="00AE6847">
        <w:rPr>
          <w:rFonts w:ascii="Traditional Arabic" w:hAnsi="Traditional Arabic" w:cs="Traditional Arabic"/>
          <w:sz w:val="30"/>
          <w:szCs w:val="30"/>
          <w:vertAlign w:val="superscript"/>
          <w:lang w:eastAsia="en-GB"/>
        </w:rPr>
        <w:footnoteReference w:id="464"/>
      </w:r>
      <w:r w:rsidRPr="00AE6847">
        <w:rPr>
          <w:rFonts w:ascii="Traditional Arabic" w:hAnsi="Traditional Arabic" w:cs="Traditional Arabic"/>
          <w:sz w:val="30"/>
          <w:szCs w:val="30"/>
          <w:rtl/>
          <w:lang w:eastAsia="en-GB"/>
        </w:rPr>
        <w:t>. نظرًا لظروف الهجوم، على سبيل المثال توقيت الهجوم الذي ضرب السوق المركزي في ساعة مزدحمة، انتهك الحوثيون أيضًا الالتزام باتخاذ جميع الاحتياطات الممكنة لحماية المدنيين وتقليل الخسائر في صفوفهم.</w:t>
      </w:r>
    </w:p>
    <w:p w14:paraId="53FE1902" w14:textId="66CF9A3B"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lang w:eastAsia="en-GB"/>
        </w:rPr>
      </w:pPr>
      <w:r w:rsidRPr="00AE6847">
        <w:rPr>
          <w:rFonts w:ascii="Traditional Arabic" w:hAnsi="Traditional Arabic" w:cs="Traditional Arabic"/>
          <w:sz w:val="30"/>
          <w:szCs w:val="30"/>
          <w:rtl/>
          <w:lang w:eastAsia="en-GB"/>
        </w:rPr>
        <w:t>فيما يتعلق بمقتل الصحفي على يد قناص في 16 فبراير/ شباط 2016 ، لدى فريق الخبراء أسباب معقولة للاعتقاد بأنه استهدف عمداً بواسطة قناص من الحوثيين. حقيقة أنه أطلق عليه الرصاص بعد أن عبر ثلاثة مدنيين الطريق بالفعل والدقة التي أصيب بها في الرأس تدل على أن القناص أطلق النار عليه عمداً وأنه لم يطلق النار بشكل عشوائي. بالإضافة إلى ذلك ، لم تكن هناك أي إشارة على إن كان الصحفي يشارك مباشرة في الأعمال العدائية وبالتالي فقد حمايته كمدني وقت قتله. علم القناص أو كان ينبغي أن يعلم أن الشخص الذي استهدفه كان مدنيًا. قد يؤدي ذلك إلى مسؤولية جنائية فردية عن جريمة الحرب المتمثلة في توجيه هجوم متعمد ضد مدني لا يشارك مباشرة في الأعمال العدائية.</w:t>
      </w:r>
    </w:p>
    <w:p w14:paraId="56123B7D" w14:textId="77777777" w:rsidR="00AE6847" w:rsidRPr="00AE6847" w:rsidRDefault="00AE6847" w:rsidP="00361237">
      <w:pPr>
        <w:tabs>
          <w:tab w:val="left" w:pos="720"/>
        </w:tabs>
        <w:suppressAutoHyphens w:val="0"/>
        <w:bidi/>
        <w:spacing w:before="160" w:after="160" w:line="240" w:lineRule="auto"/>
        <w:ind w:left="1440" w:right="828"/>
        <w:rPr>
          <w:rFonts w:ascii="Traditional Arabic" w:eastAsia="Calibri" w:hAnsi="Traditional Arabic" w:cs="Traditional Arabic"/>
          <w:i/>
          <w:iCs/>
          <w:sz w:val="30"/>
          <w:szCs w:val="30"/>
          <w:u w:val="single"/>
          <w:rtl/>
        </w:rPr>
      </w:pPr>
      <w:r w:rsidRPr="00AE6847">
        <w:rPr>
          <w:rFonts w:ascii="Traditional Arabic" w:eastAsia="Calibri" w:hAnsi="Traditional Arabic" w:cs="Traditional Arabic"/>
          <w:i/>
          <w:iCs/>
          <w:sz w:val="30"/>
          <w:szCs w:val="30"/>
          <w:u w:val="single"/>
          <w:rtl/>
        </w:rPr>
        <w:t>قصف مزعوم من قبل القوات المسلحة اليمنية والجماعات التابعة لها</w:t>
      </w:r>
    </w:p>
    <w:p w14:paraId="3807F4D5" w14:textId="65FC3421" w:rsidR="00AE6847" w:rsidRPr="005A2A33" w:rsidRDefault="00AE6847" w:rsidP="008F24E2">
      <w:pPr>
        <w:pStyle w:val="Footer"/>
        <w:numPr>
          <w:ilvl w:val="0"/>
          <w:numId w:val="3"/>
        </w:numPr>
        <w:tabs>
          <w:tab w:val="left" w:pos="720"/>
          <w:tab w:val="left" w:pos="900"/>
          <w:tab w:val="left" w:pos="1179"/>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خلال النزاع في تعز، ورد أن القوات المسلحة اليمنية والجماعات التابعة لها </w:t>
      </w:r>
      <w:r w:rsidR="008F24E2">
        <w:rPr>
          <w:rFonts w:ascii="Traditional Arabic" w:hAnsi="Traditional Arabic" w:cs="Traditional Arabic" w:hint="cs"/>
          <w:sz w:val="30"/>
          <w:szCs w:val="30"/>
          <w:rtl/>
          <w:lang w:eastAsia="en-GB"/>
        </w:rPr>
        <w:t>اطلقت النار</w:t>
      </w:r>
      <w:r w:rsidRPr="00AE6847">
        <w:rPr>
          <w:rFonts w:ascii="Traditional Arabic" w:hAnsi="Traditional Arabic" w:cs="Traditional Arabic"/>
          <w:sz w:val="30"/>
          <w:szCs w:val="30"/>
          <w:rtl/>
          <w:lang w:eastAsia="en-GB"/>
        </w:rPr>
        <w:t xml:space="preserve"> أيضًا</w:t>
      </w:r>
      <w:r w:rsidR="008F24E2">
        <w:rPr>
          <w:rFonts w:ascii="Traditional Arabic" w:hAnsi="Traditional Arabic" w:cs="Traditional Arabic" w:hint="cs"/>
          <w:sz w:val="30"/>
          <w:szCs w:val="30"/>
          <w:rtl/>
          <w:lang w:eastAsia="en-GB"/>
        </w:rPr>
        <w:t xml:space="preserve"> على</w:t>
      </w:r>
      <w:r w:rsidRPr="00AE6847">
        <w:rPr>
          <w:rFonts w:ascii="Traditional Arabic" w:hAnsi="Traditional Arabic" w:cs="Traditional Arabic"/>
          <w:sz w:val="30"/>
          <w:szCs w:val="30"/>
          <w:rtl/>
          <w:lang w:eastAsia="en-GB"/>
        </w:rPr>
        <w:t xml:space="preserve"> المناطق المأهولة التي يسيطر عليها الحوثيون باستخدام أسلحة نارية غير مباشرة ذات تأثير واسع على المنطقة. في 9 أغسطس 2015 </w:t>
      </w:r>
      <w:r w:rsidRPr="00AE6847">
        <w:rPr>
          <w:rFonts w:ascii="Traditional Arabic" w:hAnsi="Traditional Arabic" w:cs="Traditional Arabic"/>
          <w:sz w:val="30"/>
          <w:szCs w:val="30"/>
          <w:vertAlign w:val="superscript"/>
          <w:lang w:eastAsia="en-GB"/>
        </w:rPr>
        <w:footnoteReference w:id="465"/>
      </w:r>
      <w:r w:rsidRPr="00AE6847">
        <w:rPr>
          <w:rFonts w:ascii="Traditional Arabic" w:hAnsi="Traditional Arabic" w:cs="Traditional Arabic"/>
          <w:sz w:val="30"/>
          <w:szCs w:val="30"/>
          <w:rtl/>
          <w:lang w:eastAsia="en-GB"/>
        </w:rPr>
        <w:t>، في فترة ما بعد الظهر، سقطت قذيفة هاون أطلقتها المقاومة</w:t>
      </w:r>
      <w:r w:rsidRPr="00AE6847">
        <w:rPr>
          <w:rFonts w:ascii="Traditional Arabic" w:hAnsi="Traditional Arabic" w:cs="Traditional Arabic"/>
          <w:sz w:val="30"/>
          <w:szCs w:val="30"/>
          <w:vertAlign w:val="superscript"/>
          <w:lang w:eastAsia="en-GB"/>
        </w:rPr>
        <w:footnoteReference w:id="466"/>
      </w:r>
      <w:r w:rsidRPr="00AE6847">
        <w:rPr>
          <w:rFonts w:ascii="Traditional Arabic" w:hAnsi="Traditional Arabic" w:cs="Traditional Arabic"/>
          <w:sz w:val="30"/>
          <w:szCs w:val="30"/>
          <w:rtl/>
          <w:lang w:eastAsia="en-GB"/>
        </w:rPr>
        <w:t xml:space="preserve"> في </w:t>
      </w:r>
      <w:r w:rsidRPr="00AE6847">
        <w:rPr>
          <w:rFonts w:ascii="Traditional Arabic" w:hAnsi="Traditional Arabic" w:cs="Traditional Arabic"/>
          <w:sz w:val="30"/>
          <w:szCs w:val="30"/>
          <w:rtl/>
          <w:lang w:eastAsia="en-GB"/>
        </w:rPr>
        <w:lastRenderedPageBreak/>
        <w:t xml:space="preserve">منتصف شارع في حي الصويمل ، في مديرية الصاله ، مدينة تعز ، مما أسفر عن إصابة 16 مدنياً (12 صبيا ، ثلاثة رجال وامرأة واحدة). بحسب أحد الشهود، </w:t>
      </w:r>
      <w:r w:rsidRPr="00AE6847">
        <w:rPr>
          <w:rFonts w:ascii="Traditional Arabic" w:hAnsi="Traditional Arabic" w:cs="Traditional Arabic"/>
          <w:i/>
          <w:iCs/>
          <w:sz w:val="30"/>
          <w:szCs w:val="30"/>
          <w:rtl/>
          <w:lang w:eastAsia="en-GB"/>
        </w:rPr>
        <w:t>"كان الأطفال يلعبون في الشارع عندما سقط الصاروخ"</w:t>
      </w:r>
      <w:r w:rsidRPr="00AE6847">
        <w:rPr>
          <w:rFonts w:ascii="Traditional Arabic" w:hAnsi="Traditional Arabic" w:cs="Traditional Arabic"/>
          <w:sz w:val="30"/>
          <w:szCs w:val="30"/>
          <w:vertAlign w:val="superscript"/>
          <w:lang w:eastAsia="en-GB"/>
        </w:rPr>
        <w:footnoteReference w:id="467"/>
      </w:r>
      <w:r w:rsidRPr="00AE6847">
        <w:rPr>
          <w:rFonts w:ascii="Traditional Arabic" w:hAnsi="Traditional Arabic" w:cs="Traditional Arabic"/>
          <w:sz w:val="30"/>
          <w:szCs w:val="30"/>
          <w:rtl/>
          <w:lang w:eastAsia="en-GB"/>
        </w:rPr>
        <w:t>. وصف شاهد آخر تأثير القذيفة: "</w:t>
      </w:r>
      <w:r w:rsidRPr="00AE6847">
        <w:rPr>
          <w:rFonts w:ascii="Traditional Arabic" w:hAnsi="Traditional Arabic" w:cs="Traditional Arabic"/>
          <w:i/>
          <w:iCs/>
          <w:sz w:val="30"/>
          <w:szCs w:val="30"/>
          <w:rtl/>
          <w:lang w:eastAsia="en-GB"/>
        </w:rPr>
        <w:t>سمعت قذيفة قوية وسقط الهاتف من يدي بسبب تأثيره، سمعت صراخًا عالياً وركضت لأرى ما حدث، كان الجميع يصرخون قذيفة ، قذيفة</w:t>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footnoteReference w:id="468"/>
      </w:r>
      <w:r w:rsidRPr="00AE6847">
        <w:rPr>
          <w:rFonts w:ascii="Traditional Arabic" w:hAnsi="Traditional Arabic" w:cs="Traditional Arabic"/>
          <w:sz w:val="30"/>
          <w:szCs w:val="30"/>
          <w:lang w:eastAsia="en-GB"/>
        </w:rPr>
        <w:t> </w:t>
      </w:r>
      <w:r w:rsidRPr="00AE6847">
        <w:rPr>
          <w:rFonts w:ascii="Traditional Arabic" w:hAnsi="Traditional Arabic" w:cs="Traditional Arabic"/>
          <w:sz w:val="30"/>
          <w:szCs w:val="30"/>
          <w:rtl/>
          <w:lang w:eastAsia="en-GB"/>
        </w:rPr>
        <w:t>. وقت وقوع الهجوم،</w:t>
      </w:r>
      <w:r w:rsidRPr="00AE6847">
        <w:rPr>
          <w:rFonts w:ascii="Traditional Arabic" w:hAnsi="Traditional Arabic" w:cs="Traditional Arabic"/>
          <w:sz w:val="30"/>
          <w:szCs w:val="30"/>
          <w:vertAlign w:val="superscript"/>
          <w:lang w:eastAsia="en-GB"/>
        </w:rPr>
        <w:footnoteReference w:id="469"/>
      </w:r>
      <w:r w:rsidRPr="00AE6847">
        <w:rPr>
          <w:rFonts w:ascii="Traditional Arabic" w:hAnsi="Traditional Arabic" w:cs="Traditional Arabic"/>
          <w:sz w:val="30"/>
          <w:szCs w:val="30"/>
          <w:rtl/>
          <w:lang w:eastAsia="en-GB"/>
        </w:rPr>
        <w:t xml:space="preserve"> كانت المنطقة تحت سيطرة مقاتلي الحوثي-صالح، وكان مقاتلو الحوثي-صالح في بعض المباني في شارع بجوار المكان الذي كان يلعب فيه الأطفال ، وفقًا لأحد الشهود</w:t>
      </w:r>
      <w:r w:rsidRPr="00AE6847">
        <w:rPr>
          <w:rFonts w:ascii="Traditional Arabic" w:hAnsi="Traditional Arabic" w:cs="Traditional Arabic"/>
          <w:sz w:val="30"/>
          <w:szCs w:val="30"/>
          <w:vertAlign w:val="superscript"/>
          <w:lang w:eastAsia="en-GB"/>
        </w:rPr>
        <w:footnoteReference w:id="470"/>
      </w:r>
      <w:r w:rsidRPr="00AE6847">
        <w:rPr>
          <w:rFonts w:ascii="Traditional Arabic" w:hAnsi="Traditional Arabic" w:cs="Traditional Arabic"/>
          <w:sz w:val="30"/>
          <w:szCs w:val="30"/>
          <w:rtl/>
          <w:lang w:eastAsia="en-GB"/>
        </w:rPr>
        <w:t>. وورد أن المقاومة كانت على بعد حوالي 100 متر من الشارع الذي استهدف كما واحتلت مدرسة ومكتبة قريبة</w:t>
      </w:r>
      <w:r w:rsidRPr="00AE6847">
        <w:rPr>
          <w:rFonts w:ascii="Traditional Arabic" w:hAnsi="Traditional Arabic" w:cs="Traditional Arabic"/>
          <w:sz w:val="30"/>
          <w:szCs w:val="30"/>
          <w:vertAlign w:val="superscript"/>
          <w:lang w:eastAsia="en-GB"/>
        </w:rPr>
        <w:footnoteReference w:id="471"/>
      </w:r>
      <w:r w:rsidRPr="00AE6847">
        <w:rPr>
          <w:rFonts w:ascii="Traditional Arabic" w:hAnsi="Traditional Arabic" w:cs="Traditional Arabic"/>
          <w:sz w:val="30"/>
          <w:szCs w:val="30"/>
          <w:rtl/>
          <w:lang w:eastAsia="en-GB"/>
        </w:rPr>
        <w:t>. شهدت المنطقة مواجهات عنيفة بين الجانبين رغم أن ذلك اليوم كان هادئًا وفقًا لشاهد واحد. توقفت المواجهات في المنطقة في أوائل عام 2018 ، وفي ذلك الوقت تم تهجير العديد من السكان المحليين ، تاركين سوق الصويمل وهو كان شارعا مزدهرا مليئا بالتجار، وأصبح مهجورًا تمامًا الآن</w:t>
      </w:r>
      <w:r w:rsidRPr="00AE6847">
        <w:rPr>
          <w:rFonts w:ascii="Traditional Arabic" w:hAnsi="Traditional Arabic" w:cs="Traditional Arabic"/>
          <w:sz w:val="30"/>
          <w:szCs w:val="30"/>
          <w:vertAlign w:val="superscript"/>
          <w:lang w:eastAsia="en-GB"/>
        </w:rPr>
        <w:footnoteReference w:id="472"/>
      </w:r>
      <w:r w:rsidRPr="00AE6847">
        <w:rPr>
          <w:rFonts w:ascii="Traditional Arabic" w:hAnsi="Traditional Arabic" w:cs="Traditional Arabic"/>
          <w:sz w:val="30"/>
          <w:szCs w:val="30"/>
          <w:rtl/>
          <w:lang w:eastAsia="en-GB"/>
        </w:rPr>
        <w:t>. لم تصل التحقيقات في حادثة القصف المزعوم هذه إلى نتيجة فيما يتعلق بالمسؤولية بسبب وجود مواقع كلا الطرفين ضمن نطاق هذا الموقع ولا يوجد أي دليل واضح حول الاتجاه الذي تم إطلاق القصف منه</w:t>
      </w:r>
      <w:r w:rsidRPr="00AE6847">
        <w:rPr>
          <w:rFonts w:ascii="Traditional Arabic" w:hAnsi="Traditional Arabic" w:cs="Traditional Arabic"/>
          <w:sz w:val="30"/>
          <w:szCs w:val="30"/>
          <w:lang w:eastAsia="en-GB"/>
        </w:rPr>
        <w:t>.</w:t>
      </w:r>
    </w:p>
    <w:p w14:paraId="24485D3B"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استمرت الأعمال القتالية في الضواحي الشرقية للمدينة، ونفذت القوات المسلحة اليمنية والجماعات التابعة لها هجمات في الأحياء السكنية في المناطق التي يسيطر عليها الحوثيون، مما تسبب في خسائر في صفوف المدنيين</w:t>
      </w:r>
      <w:r w:rsidRPr="00AE6847">
        <w:rPr>
          <w:rFonts w:ascii="Traditional Arabic" w:hAnsi="Traditional Arabic" w:cs="Traditional Arabic"/>
          <w:sz w:val="30"/>
          <w:szCs w:val="30"/>
          <w:vertAlign w:val="superscript"/>
          <w:lang w:eastAsia="en-GB"/>
        </w:rPr>
        <w:footnoteReference w:id="473"/>
      </w:r>
      <w:r w:rsidRPr="00AE6847">
        <w:rPr>
          <w:rFonts w:ascii="Traditional Arabic" w:hAnsi="Traditional Arabic" w:cs="Traditional Arabic"/>
          <w:sz w:val="30"/>
          <w:szCs w:val="30"/>
          <w:rtl/>
          <w:lang w:eastAsia="en-GB"/>
        </w:rPr>
        <w:t>. حقق فريق الخبراء في عدد من حوادث القصف هذه في مدينة تعز التي يُزعم أنها نسبت إلى القوات المسلحة اليمنية والجماعات التابعة لها ، والتي لم تتوصل التحقيقات بشأنها إلى استنتاجات فيما يتعلق بالطرف المسؤول بحلول وقت الانتهاء من هذا التقرير.</w:t>
      </w:r>
    </w:p>
    <w:p w14:paraId="072D6FB6" w14:textId="6B3CCA52" w:rsidR="00AE6847" w:rsidRPr="00AE6847" w:rsidRDefault="00AE6847" w:rsidP="000C6E35">
      <w:pPr>
        <w:tabs>
          <w:tab w:val="left" w:pos="1701"/>
        </w:tabs>
        <w:suppressAutoHyphens w:val="0"/>
        <w:bidi/>
        <w:spacing w:before="240" w:after="120"/>
        <w:ind w:left="1089" w:right="720" w:hanging="360"/>
        <w:contextualSpacing/>
        <w:jc w:val="both"/>
        <w:rPr>
          <w:rFonts w:ascii="Traditional Arabic" w:hAnsi="Traditional Arabic" w:cs="Traditional Arabic"/>
          <w:b/>
          <w:bCs/>
          <w:sz w:val="30"/>
          <w:szCs w:val="30"/>
          <w:rtl/>
          <w:lang w:eastAsia="en-GB"/>
        </w:rPr>
      </w:pPr>
      <w:r w:rsidRPr="00AE6847">
        <w:rPr>
          <w:rFonts w:ascii="Traditional Arabic" w:hAnsi="Traditional Arabic" w:cs="Traditional Arabic"/>
          <w:b/>
          <w:bCs/>
          <w:sz w:val="30"/>
          <w:szCs w:val="30"/>
          <w:rtl/>
          <w:lang w:eastAsia="en-GB"/>
        </w:rPr>
        <w:t>3</w:t>
      </w:r>
      <w:r w:rsidR="005A2A33">
        <w:rPr>
          <w:rFonts w:ascii="Traditional Arabic" w:hAnsi="Traditional Arabic" w:cs="Traditional Arabic" w:hint="cs"/>
          <w:b/>
          <w:bCs/>
          <w:sz w:val="30"/>
          <w:szCs w:val="30"/>
          <w:rtl/>
          <w:lang w:eastAsia="en-GB" w:bidi="ar-JO"/>
        </w:rPr>
        <w:t>.</w:t>
      </w:r>
      <w:r w:rsidRPr="00AE6847">
        <w:rPr>
          <w:rFonts w:ascii="Traditional Arabic" w:hAnsi="Traditional Arabic" w:cs="Traditional Arabic"/>
          <w:b/>
          <w:bCs/>
          <w:sz w:val="30"/>
          <w:szCs w:val="30"/>
          <w:rtl/>
          <w:lang w:eastAsia="en-GB"/>
        </w:rPr>
        <w:t xml:space="preserve"> ال</w:t>
      </w:r>
      <w:r w:rsidRPr="00AE6847">
        <w:rPr>
          <w:rFonts w:ascii="Traditional Arabic" w:hAnsi="Traditional Arabic" w:cs="Traditional Arabic"/>
          <w:b/>
          <w:bCs/>
          <w:sz w:val="30"/>
          <w:szCs w:val="30"/>
          <w:rtl/>
          <w:lang w:eastAsia="en-GB" w:bidi="ar-LB"/>
        </w:rPr>
        <w:t>صراع</w:t>
      </w:r>
      <w:r w:rsidRPr="00AE6847">
        <w:rPr>
          <w:rFonts w:ascii="Traditional Arabic" w:hAnsi="Traditional Arabic" w:cs="Traditional Arabic"/>
          <w:b/>
          <w:bCs/>
          <w:sz w:val="30"/>
          <w:szCs w:val="30"/>
          <w:rtl/>
          <w:lang w:eastAsia="en-GB"/>
        </w:rPr>
        <w:t xml:space="preserve"> المستمر للسيطرة على تعز</w:t>
      </w:r>
      <w:r w:rsidRPr="00AE6847">
        <w:rPr>
          <w:rFonts w:ascii="Traditional Arabic" w:hAnsi="Traditional Arabic" w:cs="Traditional Arabic"/>
          <w:b/>
          <w:bCs/>
          <w:sz w:val="30"/>
          <w:szCs w:val="30"/>
          <w:lang w:eastAsia="en-GB"/>
        </w:rPr>
        <w:t xml:space="preserve"> (2018 - 2019)</w:t>
      </w:r>
    </w:p>
    <w:p w14:paraId="7CC11681" w14:textId="77777777" w:rsidR="00A84CF1" w:rsidRPr="00A84CF1"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84CF1">
        <w:rPr>
          <w:rFonts w:ascii="Traditional Arabic" w:hAnsi="Traditional Arabic" w:cs="Traditional Arabic" w:hint="cs"/>
          <w:sz w:val="30"/>
          <w:szCs w:val="30"/>
          <w:rtl/>
          <w:lang w:eastAsia="en-GB"/>
        </w:rPr>
        <w:t>خلال عامي 2018 و 2019 ، تغيرت ديناميكيات النزاع  داخل مدينة تعز، بما في ذلك تصاعد النزاع بين الجماعات التابعة للقوات المسلحة اليمنية. في حين أن القتال بين الحوثيين والجماعات اليمنية التابعة للقوات المسلحة اليمنية انخفض نسبيًا في الشدة ، إلا أن الأنماط المرصودة سابقًا ، بما في ذلك استمرار القيود المفروضة على حرية التنقل ، استمرت في التأثير على المدنيين. انتهى عام 2017 بغارة جوية قاتلة في 26 ديسمبر / كانون الأول قصفت سوق محسيس في مديرية التعزية ، مما أسفر عن مقتل 36 مدنياً على الأقل (بينهم تسعة أولاد) ، وجرح 46 رجلاً</w:t>
      </w:r>
      <w:r w:rsidRPr="00AE6847">
        <w:rPr>
          <w:rFonts w:ascii="Traditional Arabic" w:hAnsi="Traditional Arabic" w:cs="Traditional Arabic"/>
          <w:sz w:val="30"/>
          <w:szCs w:val="30"/>
          <w:vertAlign w:val="superscript"/>
          <w:lang w:eastAsia="en-GB"/>
        </w:rPr>
        <w:footnoteReference w:id="474"/>
      </w:r>
      <w:r w:rsidRPr="00A84CF1">
        <w:rPr>
          <w:rFonts w:ascii="Traditional Arabic" w:hAnsi="Traditional Arabic" w:cs="Traditional Arabic"/>
          <w:sz w:val="30"/>
          <w:szCs w:val="30"/>
          <w:rtl/>
          <w:lang w:eastAsia="en-GB"/>
        </w:rPr>
        <w:t xml:space="preserve">. في حين أن عدد الغارات الجوية في عامي 2018 و 2019 كان أقل مقارنة بالسنوات السابقة ، وفقًا لمشروع البيانات اليمني </w:t>
      </w:r>
      <w:r w:rsidRPr="00A84CF1">
        <w:rPr>
          <w:rFonts w:ascii="Traditional Arabic" w:hAnsi="Traditional Arabic" w:cs="Traditional Arabic"/>
          <w:sz w:val="30"/>
          <w:szCs w:val="30"/>
          <w:rtl/>
          <w:lang w:eastAsia="en-GB"/>
        </w:rPr>
        <w:lastRenderedPageBreak/>
        <w:t xml:space="preserve">، استمرت الغارات الجوية في المحافظة في </w:t>
      </w:r>
      <w:r w:rsidRPr="00A84CF1">
        <w:rPr>
          <w:rFonts w:ascii="Traditional Arabic" w:hAnsi="Traditional Arabic" w:cs="Traditional Arabic"/>
          <w:sz w:val="30"/>
          <w:szCs w:val="30"/>
          <w:rtl/>
          <w:lang w:eastAsia="en-GB" w:bidi="ar-LB"/>
        </w:rPr>
        <w:t xml:space="preserve">احداث </w:t>
      </w:r>
      <w:r w:rsidRPr="00A84CF1">
        <w:rPr>
          <w:rFonts w:ascii="Traditional Arabic" w:hAnsi="Traditional Arabic" w:cs="Traditional Arabic"/>
          <w:sz w:val="30"/>
          <w:szCs w:val="30"/>
          <w:rtl/>
          <w:lang w:eastAsia="en-GB"/>
        </w:rPr>
        <w:t>إصابات بين المدنيين، مما يبرز المخاوف المستمرة بشأن عمليات الاستهداف التابعة للتحالف</w:t>
      </w:r>
      <w:r w:rsidRPr="00A84CF1">
        <w:rPr>
          <w:rFonts w:ascii="Traditional Arabic" w:hAnsi="Traditional Arabic" w:cs="Traditional Arabic"/>
          <w:sz w:val="30"/>
          <w:szCs w:val="30"/>
          <w:lang w:eastAsia="en-GB"/>
        </w:rPr>
        <w:t>.</w:t>
      </w:r>
      <w:r w:rsidRPr="00A84CF1">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75"/>
      </w:r>
    </w:p>
    <w:p w14:paraId="40412261" w14:textId="7F0EFB06" w:rsidR="00AE6847" w:rsidRPr="00A84CF1"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84CF1">
        <w:rPr>
          <w:rFonts w:ascii="Traditional Arabic" w:hAnsi="Traditional Arabic" w:cs="Traditional Arabic"/>
          <w:sz w:val="30"/>
          <w:szCs w:val="30"/>
          <w:rtl/>
          <w:lang w:eastAsia="en-GB"/>
        </w:rPr>
        <w:t xml:space="preserve"> </w:t>
      </w:r>
      <w:r w:rsidRPr="00A84CF1">
        <w:rPr>
          <w:rFonts w:ascii="Traditional Arabic" w:hAnsi="Traditional Arabic" w:cs="Traditional Arabic" w:hint="cs"/>
          <w:sz w:val="30"/>
          <w:szCs w:val="30"/>
          <w:rtl/>
          <w:lang w:eastAsia="en-GB"/>
        </w:rPr>
        <w:t>على الرغم من الانخفاض في القتال المستمر في عامي 2017 و 2018 بين الحوثيين والقوات المسلحة اليمنية والجماعات التابعة لها مقارنة بالعامين الأولين من النزاع ، فإن القتال المتقطع والقصف المكثف طوال الفترة استمر في إلحاق الضرر بالمدنيين والتأثير على الأهداف المدنية. في بداية عام 2018، قيل ان هناك قصف عشوائي على المناطق السكنية في مدينة تعز، وكذلك في منطقتي المقبنه والوازعية</w:t>
      </w:r>
      <w:r w:rsidRPr="00AE6847">
        <w:rPr>
          <w:rFonts w:ascii="Traditional Arabic" w:hAnsi="Traditional Arabic" w:cs="Traditional Arabic"/>
          <w:sz w:val="30"/>
          <w:szCs w:val="30"/>
          <w:vertAlign w:val="superscript"/>
          <w:lang w:eastAsia="en-GB"/>
        </w:rPr>
        <w:footnoteReference w:id="476"/>
      </w:r>
      <w:r w:rsidRPr="00A84CF1">
        <w:rPr>
          <w:rFonts w:ascii="Traditional Arabic" w:hAnsi="Traditional Arabic" w:cs="Traditional Arabic"/>
          <w:sz w:val="30"/>
          <w:szCs w:val="30"/>
          <w:rtl/>
          <w:lang w:eastAsia="en-GB"/>
        </w:rPr>
        <w:t>. يُزعم أن الصواريخ التي أطلقت من مواقع الحوثيين قتلت وجرحت مدنيين في المديريات الريفية بالمحافظة، في مناطق خالية من أي نزاع قريب أو أهداف عسكرية واضحة. استمر القناصة الحوثيون في تهديد أولئك الذين يعيشون بالقرب من الجبهات الأمامية ، والذين يتعرضون في حياتهم اليومية لخطر إطلاق النار عليهم. من أواخر مايو 2019 ، تصاعد القتال العنيف على أطراف المدينة من الغرب والشمال والشرق باستخدام أسلحة ثقيلة. بدأت المواجهات في ساعة متأخرة من الليل واستمرت حتى الصباح</w:t>
      </w:r>
      <w:r w:rsidRPr="00AE6847">
        <w:rPr>
          <w:rFonts w:ascii="Traditional Arabic" w:hAnsi="Traditional Arabic" w:cs="Traditional Arabic"/>
          <w:sz w:val="30"/>
          <w:szCs w:val="30"/>
          <w:vertAlign w:val="superscript"/>
          <w:lang w:eastAsia="en-GB"/>
        </w:rPr>
        <w:footnoteReference w:id="477"/>
      </w:r>
      <w:r w:rsidRPr="00A84CF1">
        <w:rPr>
          <w:rFonts w:ascii="Traditional Arabic" w:hAnsi="Traditional Arabic" w:cs="Traditional Arabic"/>
          <w:sz w:val="30"/>
          <w:szCs w:val="30"/>
          <w:rtl/>
          <w:lang w:eastAsia="en-GB"/>
        </w:rPr>
        <w:t>. كما وصفها أحد السكان المحليين: "في ثلاثة أيام تمت إعادتنا إلى بداية الحرب</w:t>
      </w:r>
      <w:r w:rsidRPr="00A84CF1">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vertAlign w:val="superscript"/>
          <w:lang w:eastAsia="en-GB"/>
        </w:rPr>
        <w:footnoteReference w:id="478"/>
      </w:r>
    </w:p>
    <w:p w14:paraId="568D034D" w14:textId="38AD0D56" w:rsidR="00AE6847" w:rsidRPr="005A2A33"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vertAlign w:val="superscript"/>
          <w:rtl/>
          <w:lang w:eastAsia="en-GB"/>
        </w:rPr>
      </w:pPr>
      <w:r w:rsidRPr="00AE6847">
        <w:rPr>
          <w:rFonts w:ascii="Traditional Arabic" w:hAnsi="Traditional Arabic" w:cs="Traditional Arabic"/>
          <w:sz w:val="30"/>
          <w:szCs w:val="30"/>
          <w:rtl/>
          <w:lang w:eastAsia="en-GB"/>
        </w:rPr>
        <w:t xml:space="preserve"> منذ حزيران/يونيو 2018 وصاعدا، سعت القوات المسلحة اليمنية والجماعات التابعة لها لكسر الحصار على المدينة من خلال مهاجمة طرق الإمداد الحوثية الرئيسية المؤدية إلى محافظتي الحديدة وإب. على الرغم من فتح طريق أدى إلى عدن ، ظل الوصول الإنساني والتجاري مقيدًا بسبب ظروف الطرق والسيطرة على الطرق الرئيسية على الرغم من محاولات التوسط في وقف إطلاق النار وفتح الطريق من وإلى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79"/>
      </w:r>
    </w:p>
    <w:p w14:paraId="7AC490FD"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Calibri" w:hAnsi="Calibri" w:cs="Arial"/>
          <w:sz w:val="22"/>
          <w:szCs w:val="22"/>
          <w:rtl/>
          <w:lang w:eastAsia="en-GB"/>
        </w:rPr>
      </w:pPr>
      <w:r w:rsidRPr="005A2A33">
        <w:rPr>
          <w:rFonts w:ascii="Traditional Arabic" w:hAnsi="Traditional Arabic" w:cs="Traditional Arabic"/>
          <w:sz w:val="30"/>
          <w:szCs w:val="30"/>
          <w:rtl/>
          <w:lang w:eastAsia="en-GB"/>
        </w:rPr>
        <w:t>قامت</w:t>
      </w:r>
      <w:r w:rsidRPr="00AE6847">
        <w:rPr>
          <w:rFonts w:ascii="Traditional Arabic" w:hAnsi="Traditional Arabic" w:cs="Traditional Arabic"/>
          <w:sz w:val="32"/>
          <w:szCs w:val="32"/>
          <w:rtl/>
          <w:lang w:eastAsia="en-GB"/>
        </w:rPr>
        <w:t xml:space="preserve"> جميع أطراف النزاع بالاعتقال والاحتجاز التعسفيين، ووردت أنباء عن العديد من حالات الاختفاء القسري وكذلك عن أماكن احتجاز غير قانونية وسرية في تعز. ووردت أنباء عن التعذيب وغيره من أشكال سوء المعاملة في مراكز الاعتقال التي تديرها سلطات الأمر الواقع</w:t>
      </w:r>
      <w:r w:rsidRPr="00AE6847">
        <w:rPr>
          <w:rFonts w:ascii="Traditional Arabic" w:hAnsi="Traditional Arabic" w:cs="Traditional Arabic"/>
          <w:sz w:val="32"/>
          <w:szCs w:val="32"/>
          <w:lang w:eastAsia="en-GB"/>
        </w:rPr>
        <w:t>.</w:t>
      </w:r>
    </w:p>
    <w:p w14:paraId="61FB28F4" w14:textId="6965B8C0" w:rsidR="00AE6847" w:rsidRPr="00AE6847" w:rsidRDefault="00AE6847" w:rsidP="00BD50A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اندلعت اشتباكات داخلية عنيفة في بعض الأحيان خلال عام 2018 بين قوات مختلفة تقاتل إلى جانب القو</w:t>
      </w:r>
      <w:r w:rsidR="00BD50A4">
        <w:rPr>
          <w:rFonts w:ascii="Traditional Arabic" w:hAnsi="Traditional Arabic" w:cs="Traditional Arabic"/>
          <w:sz w:val="30"/>
          <w:szCs w:val="30"/>
          <w:rtl/>
          <w:lang w:eastAsia="en-GB"/>
        </w:rPr>
        <w:t>ات المسلحة اليمنية، وهي كتا</w:t>
      </w:r>
      <w:r w:rsidR="00BD50A4">
        <w:rPr>
          <w:rFonts w:ascii="Traditional Arabic" w:hAnsi="Traditional Arabic" w:cs="Traditional Arabic" w:hint="cs"/>
          <w:sz w:val="30"/>
          <w:szCs w:val="30"/>
          <w:rtl/>
          <w:lang w:eastAsia="en-GB"/>
        </w:rPr>
        <w:t>ئ</w:t>
      </w:r>
      <w:r w:rsidRPr="00AE6847">
        <w:rPr>
          <w:rFonts w:ascii="Traditional Arabic" w:hAnsi="Traditional Arabic" w:cs="Traditional Arabic"/>
          <w:sz w:val="30"/>
          <w:szCs w:val="30"/>
          <w:rtl/>
          <w:lang w:eastAsia="en-GB"/>
        </w:rPr>
        <w:t xml:space="preserve">ب أبو العباس والجماعات التابعة لحزب الإصلاح. (بما في ذلك اللواء 22 مشاه </w:t>
      </w:r>
      <w:r w:rsidR="00446364">
        <w:rPr>
          <w:rFonts w:ascii="Traditional Arabic" w:hAnsi="Traditional Arabic" w:cs="Traditional Arabic" w:hint="cs"/>
          <w:sz w:val="30"/>
          <w:szCs w:val="30"/>
          <w:rtl/>
          <w:lang w:eastAsia="en-GB"/>
        </w:rPr>
        <w:t>آ</w:t>
      </w:r>
      <w:r w:rsidRPr="00AE6847">
        <w:rPr>
          <w:rFonts w:ascii="Traditional Arabic" w:hAnsi="Traditional Arabic" w:cs="Traditional Arabic"/>
          <w:sz w:val="30"/>
          <w:szCs w:val="30"/>
          <w:rtl/>
          <w:lang w:eastAsia="en-GB"/>
        </w:rPr>
        <w:t>لي. في آب/ أغسطس 2018، عقد اجتماع طارئ بين الرئيس هادي ومحافظ تعز أمين محمود، مما أسفر عن إنشاء لجنة امنية لإنهاء العنف</w:t>
      </w:r>
      <w:r w:rsidRPr="00AE6847">
        <w:rPr>
          <w:rFonts w:ascii="Traditional Arabic" w:hAnsi="Traditional Arabic" w:cs="Traditional Arabic"/>
          <w:sz w:val="30"/>
          <w:szCs w:val="30"/>
          <w:vertAlign w:val="superscript"/>
          <w:rtl/>
          <w:lang w:eastAsia="en-GB"/>
        </w:rPr>
        <w:footnoteReference w:id="480"/>
      </w:r>
      <w:r w:rsidRPr="00AE6847">
        <w:rPr>
          <w:rFonts w:ascii="Traditional Arabic" w:hAnsi="Traditional Arabic" w:cs="Traditional Arabic"/>
          <w:sz w:val="30"/>
          <w:szCs w:val="30"/>
          <w:rtl/>
          <w:lang w:eastAsia="en-GB"/>
        </w:rPr>
        <w:t xml:space="preserve">. ومع ذلك، استمرت التوترات والاشتباكات، وتفاقمت في </w:t>
      </w:r>
      <w:r w:rsidR="00446364">
        <w:rPr>
          <w:rFonts w:ascii="Traditional Arabic" w:hAnsi="Traditional Arabic" w:cs="Traditional Arabic" w:hint="cs"/>
          <w:sz w:val="30"/>
          <w:szCs w:val="30"/>
          <w:rtl/>
          <w:lang w:eastAsia="en-GB"/>
        </w:rPr>
        <w:t>آ</w:t>
      </w:r>
      <w:r w:rsidR="00446364">
        <w:rPr>
          <w:rFonts w:ascii="Traditional Arabic" w:hAnsi="Traditional Arabic" w:cs="Traditional Arabic" w:hint="cs"/>
          <w:sz w:val="30"/>
          <w:szCs w:val="30"/>
          <w:rtl/>
          <w:lang w:eastAsia="en-GB" w:bidi="ar-JO"/>
        </w:rPr>
        <w:t xml:space="preserve">ذار/ </w:t>
      </w:r>
      <w:r w:rsidRPr="00AE6847">
        <w:rPr>
          <w:rFonts w:ascii="Traditional Arabic" w:hAnsi="Traditional Arabic" w:cs="Traditional Arabic"/>
          <w:sz w:val="30"/>
          <w:szCs w:val="30"/>
          <w:rtl/>
          <w:lang w:eastAsia="en-GB"/>
        </w:rPr>
        <w:t>مارس و</w:t>
      </w:r>
      <w:r w:rsidR="00446364">
        <w:rPr>
          <w:rFonts w:ascii="Traditional Arabic" w:hAnsi="Traditional Arabic" w:cs="Traditional Arabic" w:hint="cs"/>
          <w:sz w:val="30"/>
          <w:szCs w:val="30"/>
          <w:rtl/>
          <w:lang w:eastAsia="en-GB"/>
        </w:rPr>
        <w:t xml:space="preserve">نيسان/ </w:t>
      </w:r>
      <w:r w:rsidRPr="00AE6847">
        <w:rPr>
          <w:rFonts w:ascii="Traditional Arabic" w:hAnsi="Traditional Arabic" w:cs="Traditional Arabic"/>
          <w:sz w:val="30"/>
          <w:szCs w:val="30"/>
          <w:rtl/>
          <w:lang w:eastAsia="en-GB"/>
        </w:rPr>
        <w:t>أبريل 2019 مع مزاعم بحدوث انتهاكات لحقوق الإنسان ، بما في ذلك عمليات الإعدام دون محاكمة</w:t>
      </w:r>
      <w:r w:rsidRPr="00AE6847">
        <w:rPr>
          <w:rFonts w:ascii="Traditional Arabic" w:hAnsi="Traditional Arabic" w:cs="Traditional Arabic"/>
          <w:sz w:val="30"/>
          <w:szCs w:val="30"/>
          <w:vertAlign w:val="superscript"/>
          <w:rtl/>
          <w:lang w:eastAsia="en-GB"/>
        </w:rPr>
        <w:footnoteReference w:id="481"/>
      </w:r>
      <w:r w:rsidRPr="00AE6847">
        <w:rPr>
          <w:rFonts w:ascii="Traditional Arabic" w:hAnsi="Traditional Arabic" w:cs="Traditional Arabic"/>
          <w:sz w:val="30"/>
          <w:szCs w:val="30"/>
          <w:rtl/>
          <w:lang w:eastAsia="en-GB"/>
        </w:rPr>
        <w:t xml:space="preserve">. كجزء من اتفاق تم التوصل إليه، في </w:t>
      </w:r>
      <w:r w:rsidR="00446364">
        <w:rPr>
          <w:rFonts w:ascii="Traditional Arabic" w:hAnsi="Traditional Arabic" w:cs="Traditional Arabic" w:hint="cs"/>
          <w:sz w:val="30"/>
          <w:szCs w:val="30"/>
          <w:rtl/>
          <w:lang w:eastAsia="en-GB"/>
        </w:rPr>
        <w:t xml:space="preserve">أيار/ </w:t>
      </w:r>
      <w:r w:rsidRPr="00AE6847">
        <w:rPr>
          <w:rFonts w:ascii="Traditional Arabic" w:hAnsi="Traditional Arabic" w:cs="Traditional Arabic"/>
          <w:sz w:val="30"/>
          <w:szCs w:val="30"/>
          <w:rtl/>
          <w:lang w:eastAsia="en-GB"/>
        </w:rPr>
        <w:t>مايو 2019، انسحبت كت</w:t>
      </w:r>
      <w:r w:rsidR="00BD50A4">
        <w:rPr>
          <w:rFonts w:ascii="Traditional Arabic" w:hAnsi="Traditional Arabic" w:cs="Traditional Arabic" w:hint="cs"/>
          <w:sz w:val="30"/>
          <w:szCs w:val="30"/>
          <w:rtl/>
          <w:lang w:eastAsia="en-GB"/>
        </w:rPr>
        <w:t xml:space="preserve">ائب </w:t>
      </w:r>
      <w:r w:rsidRPr="00AE6847">
        <w:rPr>
          <w:rFonts w:ascii="Traditional Arabic" w:hAnsi="Traditional Arabic" w:cs="Traditional Arabic"/>
          <w:sz w:val="30"/>
          <w:szCs w:val="30"/>
          <w:rtl/>
          <w:lang w:eastAsia="en-GB"/>
        </w:rPr>
        <w:t>أبو العباس من المدينة القديمة، التي سيطرت عليها، وأعادت نشرها على جبهة الكدحه، على الجانب الغربي من تعز. أدت المنافسة على النفوذ والسلطة بين هذه الجهات الفاعلة المختلفة التي تعمل مع القوات المسلحة اليمنية في تعز إلى تفاقم حالة انعدام الأمن الناجمة عن النزاع المسلح، وأعاقت تحسين الأمن وسيادة القانون والمساءلة داخل المناطق الخاضعة لسيطرة الحكومة في تعز. استمرت هذه التطورات في إعاقة وصول الضحايا وعائلاتهم إلى العدالة، بما في ذلك انتهاكات حقوق الإنسان</w:t>
      </w:r>
      <w:r w:rsidRPr="00AE6847">
        <w:rPr>
          <w:rFonts w:ascii="Traditional Arabic" w:hAnsi="Traditional Arabic" w:cs="Traditional Arabic"/>
          <w:sz w:val="30"/>
          <w:szCs w:val="30"/>
          <w:lang w:eastAsia="en-GB"/>
        </w:rPr>
        <w:t>.</w:t>
      </w:r>
    </w:p>
    <w:p w14:paraId="53CDA932" w14:textId="77777777" w:rsidR="009300E4" w:rsidRDefault="009300E4" w:rsidP="00361237">
      <w:pPr>
        <w:tabs>
          <w:tab w:val="left" w:pos="720"/>
        </w:tabs>
        <w:suppressAutoHyphens w:val="0"/>
        <w:bidi/>
        <w:spacing w:after="160" w:line="240" w:lineRule="auto"/>
        <w:ind w:left="1134" w:right="828" w:firstLine="306"/>
        <w:rPr>
          <w:rFonts w:ascii="Traditional Arabic" w:eastAsia="Calibri" w:hAnsi="Traditional Arabic" w:cs="Traditional Arabic"/>
          <w:i/>
          <w:iCs/>
          <w:sz w:val="30"/>
          <w:szCs w:val="30"/>
        </w:rPr>
      </w:pPr>
    </w:p>
    <w:p w14:paraId="7B5EF9F8" w14:textId="689268DC" w:rsidR="00AE6847" w:rsidRPr="005A2A33" w:rsidRDefault="00AE6847" w:rsidP="009300E4">
      <w:pPr>
        <w:tabs>
          <w:tab w:val="left" w:pos="720"/>
        </w:tabs>
        <w:suppressAutoHyphens w:val="0"/>
        <w:bidi/>
        <w:spacing w:after="160" w:line="240" w:lineRule="auto"/>
        <w:ind w:left="1134" w:right="828" w:firstLine="306"/>
        <w:rPr>
          <w:rFonts w:ascii="Traditional Arabic" w:eastAsia="Calibri" w:hAnsi="Traditional Arabic" w:cs="Traditional Arabic"/>
          <w:i/>
          <w:iCs/>
          <w:sz w:val="30"/>
          <w:szCs w:val="30"/>
          <w:rtl/>
        </w:rPr>
      </w:pPr>
      <w:r w:rsidRPr="005A2A33">
        <w:rPr>
          <w:rFonts w:ascii="Traditional Arabic" w:eastAsia="Calibri" w:hAnsi="Traditional Arabic" w:cs="Traditional Arabic"/>
          <w:i/>
          <w:iCs/>
          <w:sz w:val="30"/>
          <w:szCs w:val="30"/>
          <w:rtl/>
        </w:rPr>
        <w:t>غارات جوية مزعومة من قبل قوات التحالف</w:t>
      </w:r>
    </w:p>
    <w:p w14:paraId="05A89D6D" w14:textId="79071C6B" w:rsidR="00AE6847" w:rsidRPr="00AE6847" w:rsidRDefault="00AE6847" w:rsidP="0044636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24 أيار</w:t>
      </w:r>
      <w:r w:rsidR="00446364">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مايو 2019، في مديرية </w:t>
      </w:r>
      <w:r w:rsidRPr="000C6E35">
        <w:rPr>
          <w:rFonts w:ascii="Traditional Arabic" w:hAnsi="Traditional Arabic" w:cs="Traditional Arabic"/>
          <w:sz w:val="30"/>
          <w:szCs w:val="30"/>
          <w:rtl/>
          <w:lang w:eastAsia="en-GB"/>
        </w:rPr>
        <w:t>ماويه،</w:t>
      </w:r>
      <w:r w:rsidRPr="00AE6847">
        <w:rPr>
          <w:rFonts w:ascii="Traditional Arabic" w:hAnsi="Traditional Arabic" w:cs="Traditional Arabic"/>
          <w:sz w:val="30"/>
          <w:szCs w:val="30"/>
          <w:rtl/>
          <w:lang w:eastAsia="en-GB"/>
        </w:rPr>
        <w:t xml:space="preserve"> في غرب محافظة تعز، في حوالي الساعة 12:20 ظهراً ، وقت صلاة الجمعة تقريباً، دمر انفجار، يُزعم </w:t>
      </w:r>
      <w:r w:rsidR="005802E6">
        <w:rPr>
          <w:rFonts w:ascii="Traditional Arabic" w:hAnsi="Traditional Arabic" w:cs="Traditional Arabic"/>
          <w:sz w:val="30"/>
          <w:szCs w:val="30"/>
          <w:rtl/>
          <w:lang w:eastAsia="en-GB"/>
        </w:rPr>
        <w:t>أنه نتيجة غارة جوية، محطة وقود</w:t>
      </w:r>
      <w:r w:rsidRPr="00AE6847">
        <w:rPr>
          <w:rFonts w:ascii="Traditional Arabic" w:hAnsi="Traditional Arabic" w:cs="Traditional Arabic"/>
          <w:sz w:val="30"/>
          <w:szCs w:val="30"/>
          <w:rtl/>
          <w:lang w:eastAsia="en-GB"/>
        </w:rPr>
        <w:t>، قتل 12 مدنياً (بينهم سبعة أولاد) وجرح اثنين آخرين</w:t>
      </w:r>
      <w:r w:rsidRPr="00AE6847">
        <w:rPr>
          <w:rFonts w:ascii="Traditional Arabic" w:hAnsi="Traditional Arabic" w:cs="Traditional Arabic"/>
          <w:sz w:val="30"/>
          <w:szCs w:val="30"/>
          <w:vertAlign w:val="superscript"/>
          <w:lang w:eastAsia="en-GB"/>
        </w:rPr>
        <w:footnoteReference w:id="482"/>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اثنان من الرجال الذين قتلوا كانا موظفين في محطة الوقود، والأشخاص الثلاثة الباقون لم يتم التعرف عليهم. وكان الرجلان المصابان من موظفي محطة الوقود. </w:t>
      </w:r>
      <w:r w:rsidRPr="00AE6847">
        <w:rPr>
          <w:rFonts w:ascii="Traditional Arabic" w:hAnsi="Traditional Arabic" w:cs="Traditional Arabic"/>
          <w:sz w:val="30"/>
          <w:szCs w:val="30"/>
          <w:vertAlign w:val="superscript"/>
          <w:lang w:eastAsia="en-GB"/>
        </w:rPr>
        <w:footnoteReference w:id="483"/>
      </w:r>
      <w:r w:rsidRPr="00AE6847">
        <w:rPr>
          <w:rFonts w:ascii="Traditional Arabic" w:hAnsi="Traditional Arabic" w:cs="Traditional Arabic"/>
          <w:sz w:val="30"/>
          <w:szCs w:val="30"/>
          <w:rtl/>
          <w:lang w:eastAsia="en-GB"/>
        </w:rPr>
        <w:t>هرع السكان المحليون إلى مكان الحادث، ووصف أحد الشهود أنهم شاهدوا النار وبقايا القتلى</w:t>
      </w:r>
      <w:r w:rsidRPr="00AE6847">
        <w:rPr>
          <w:rFonts w:ascii="Traditional Arabic" w:hAnsi="Traditional Arabic" w:cs="Traditional Arabic"/>
          <w:sz w:val="30"/>
          <w:szCs w:val="30"/>
          <w:vertAlign w:val="superscript"/>
          <w:lang w:eastAsia="en-GB"/>
        </w:rPr>
        <w:footnoteReference w:id="484"/>
      </w:r>
      <w:r w:rsidRPr="00AE6847">
        <w:rPr>
          <w:rFonts w:ascii="Traditional Arabic" w:hAnsi="Traditional Arabic" w:cs="Traditional Arabic"/>
          <w:sz w:val="30"/>
          <w:szCs w:val="30"/>
          <w:rtl/>
          <w:lang w:eastAsia="en-GB"/>
        </w:rPr>
        <w:t>. حدد فريق الخبراء موقع محطة الوقود، التي تقع في</w:t>
      </w:r>
      <w:r w:rsidR="005802E6">
        <w:rPr>
          <w:rFonts w:ascii="Traditional Arabic" w:hAnsi="Traditional Arabic" w:cs="Traditional Arabic"/>
          <w:sz w:val="30"/>
          <w:szCs w:val="30"/>
          <w:rtl/>
          <w:lang w:eastAsia="en-GB"/>
        </w:rPr>
        <w:t xml:space="preserve"> منطقة نائية وريفية من المديري</w:t>
      </w:r>
      <w:r w:rsidR="005802E6">
        <w:rPr>
          <w:rFonts w:ascii="Traditional Arabic" w:hAnsi="Traditional Arabic" w:cs="Traditional Arabic" w:hint="cs"/>
          <w:sz w:val="30"/>
          <w:szCs w:val="30"/>
          <w:rtl/>
          <w:lang w:eastAsia="en-GB"/>
        </w:rPr>
        <w:t>ة</w:t>
      </w:r>
      <w:r w:rsidRPr="00AE6847">
        <w:rPr>
          <w:rFonts w:ascii="Traditional Arabic" w:hAnsi="Traditional Arabic" w:cs="Traditional Arabic"/>
          <w:sz w:val="30"/>
          <w:szCs w:val="30"/>
          <w:rtl/>
          <w:lang w:eastAsia="en-GB"/>
        </w:rPr>
        <w:t xml:space="preserve">، وحصل على صور الأقمار الصناعية والأدلة الفوتوغرافية التي أكدت تدميرها. وفقًا لشهود عيان </w:t>
      </w:r>
      <w:r w:rsidRPr="00AE6847">
        <w:rPr>
          <w:rFonts w:ascii="Traditional Arabic" w:hAnsi="Traditional Arabic" w:cs="Traditional Arabic"/>
          <w:sz w:val="30"/>
          <w:szCs w:val="30"/>
          <w:rtl/>
          <w:lang w:eastAsia="en-GB" w:bidi="ar-LB"/>
        </w:rPr>
        <w:t xml:space="preserve">لحادثة </w:t>
      </w:r>
      <w:r w:rsidRPr="00AE6847">
        <w:rPr>
          <w:rFonts w:ascii="Traditional Arabic" w:hAnsi="Traditional Arabic" w:cs="Traditional Arabic"/>
          <w:sz w:val="30"/>
          <w:szCs w:val="30"/>
          <w:rtl/>
          <w:lang w:eastAsia="en-GB"/>
        </w:rPr>
        <w:t>الانفجار، لم تكن هناك مواقع عسكرية أو وجود</w:t>
      </w:r>
      <w:r w:rsidR="00446364">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عسكري في المنطقة</w:t>
      </w:r>
      <w:r w:rsidRPr="00AE6847">
        <w:rPr>
          <w:rFonts w:ascii="Traditional Arabic" w:hAnsi="Traditional Arabic" w:cs="Traditional Arabic"/>
          <w:sz w:val="30"/>
          <w:szCs w:val="30"/>
          <w:vertAlign w:val="superscript"/>
          <w:lang w:eastAsia="en-GB"/>
        </w:rPr>
        <w:footnoteReference w:id="485"/>
      </w:r>
      <w:r w:rsidRPr="00AE6847">
        <w:rPr>
          <w:rFonts w:ascii="Traditional Arabic" w:hAnsi="Traditional Arabic" w:cs="Traditional Arabic"/>
          <w:sz w:val="30"/>
          <w:szCs w:val="30"/>
          <w:lang w:eastAsia="en-GB"/>
        </w:rPr>
        <w:t xml:space="preserve">. </w:t>
      </w:r>
    </w:p>
    <w:p w14:paraId="30AC1BAA" w14:textId="01F12243" w:rsidR="00AE6847" w:rsidRPr="00AE6847" w:rsidRDefault="00665E63" w:rsidP="00361237">
      <w:pPr>
        <w:tabs>
          <w:tab w:val="left" w:pos="720"/>
          <w:tab w:val="left" w:pos="8100"/>
        </w:tabs>
        <w:suppressAutoHyphens w:val="0"/>
        <w:spacing w:line="240" w:lineRule="auto"/>
        <w:ind w:left="180" w:right="1089" w:firstLine="990"/>
        <w:rPr>
          <w:rFonts w:ascii="Traditional Arabic" w:eastAsia="Calibri" w:hAnsi="Traditional Arabic" w:cs="Traditional Arabic"/>
          <w:sz w:val="30"/>
          <w:szCs w:val="30"/>
        </w:rPr>
      </w:pPr>
      <w:r w:rsidRPr="008E3AB8">
        <w:rPr>
          <w:noProof/>
          <w:lang w:eastAsia="en-GB"/>
        </w:rPr>
        <w:lastRenderedPageBreak/>
        <w:drawing>
          <wp:inline distT="0" distB="0" distL="0" distR="0" wp14:anchorId="1ABC1A5E" wp14:editId="3D4C3A34">
            <wp:extent cx="4687557" cy="3570089"/>
            <wp:effectExtent l="0" t="0" r="0" b="0"/>
            <wp:docPr id="16" name="Picture 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4674" t="16099" r="11817" b="6250"/>
                    <a:stretch/>
                  </pic:blipFill>
                  <pic:spPr bwMode="auto">
                    <a:xfrm>
                      <a:off x="0" y="0"/>
                      <a:ext cx="4724554" cy="3598266"/>
                    </a:xfrm>
                    <a:prstGeom prst="rect">
                      <a:avLst/>
                    </a:prstGeom>
                    <a:ln>
                      <a:noFill/>
                    </a:ln>
                    <a:extLst>
                      <a:ext uri="{53640926-AAD7-44D8-BBD7-CCE9431645EC}">
                        <a14:shadowObscured xmlns:a14="http://schemas.microsoft.com/office/drawing/2010/main"/>
                      </a:ext>
                    </a:extLst>
                  </pic:spPr>
                </pic:pic>
              </a:graphicData>
            </a:graphic>
          </wp:inline>
        </w:drawing>
      </w:r>
    </w:p>
    <w:p w14:paraId="55AE2405" w14:textId="7D9B2146"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تلقى فريق الخبراء تقارير</w:t>
      </w:r>
      <w:r w:rsidRPr="00AE6847">
        <w:rPr>
          <w:rFonts w:ascii="Traditional Arabic" w:hAnsi="Traditional Arabic" w:cs="Traditional Arabic"/>
          <w:sz w:val="30"/>
          <w:szCs w:val="30"/>
          <w:vertAlign w:val="superscript"/>
          <w:lang w:eastAsia="en-GB"/>
        </w:rPr>
        <w:footnoteReference w:id="486"/>
      </w:r>
      <w:r w:rsidRPr="00AE6847">
        <w:rPr>
          <w:rFonts w:ascii="Traditional Arabic" w:hAnsi="Traditional Arabic" w:cs="Traditional Arabic"/>
          <w:sz w:val="30"/>
          <w:szCs w:val="30"/>
          <w:rtl/>
          <w:lang w:eastAsia="en-GB"/>
        </w:rPr>
        <w:t xml:space="preserve"> عن غارتين جويتين زُعم أنهما وقعتا في 28 حزيران</w:t>
      </w:r>
      <w:r w:rsidR="00094E33">
        <w:rPr>
          <w:rFonts w:ascii="Traditional Arabic" w:hAnsi="Traditional Arabic" w:cs="Traditional Arabic" w:hint="cs"/>
          <w:sz w:val="30"/>
          <w:szCs w:val="30"/>
          <w:rtl/>
          <w:lang w:eastAsia="en-GB"/>
        </w:rPr>
        <w:t xml:space="preserve">/ </w:t>
      </w:r>
      <w:r w:rsidR="00094E33" w:rsidRPr="00AE6847">
        <w:rPr>
          <w:rFonts w:ascii="Traditional Arabic" w:hAnsi="Traditional Arabic" w:cs="Traditional Arabic"/>
          <w:sz w:val="30"/>
          <w:szCs w:val="30"/>
          <w:rtl/>
          <w:lang w:eastAsia="en-GB"/>
        </w:rPr>
        <w:t>يونيو</w:t>
      </w:r>
      <w:r w:rsidRPr="00AE6847">
        <w:rPr>
          <w:rFonts w:ascii="Traditional Arabic" w:hAnsi="Traditional Arabic" w:cs="Traditional Arabic"/>
          <w:sz w:val="30"/>
          <w:szCs w:val="30"/>
          <w:rtl/>
          <w:lang w:eastAsia="en-GB"/>
        </w:rPr>
        <w:t xml:space="preserve"> 2019 عند الظهر تقريبًا على منزل في منطقة ورزان، في مديرية دمنة خضير، وأفيد أن الغارة الأولى أسفرت عن مقتل ستة أشخاص على الأقل (رجلان وامرأة واحدة وثلاثة أطفال). وذُكر أن المنزل نفسه قد تعرض للهجوم مرة أخرى، لمرة ثالثة، في 2 يوليو/ تموز</w:t>
      </w:r>
      <w:r w:rsidRPr="00AE6847">
        <w:rPr>
          <w:rFonts w:ascii="Traditional Arabic" w:hAnsi="Traditional Arabic" w:cs="Traditional Arabic"/>
          <w:sz w:val="30"/>
          <w:szCs w:val="30"/>
          <w:lang w:eastAsia="en-GB"/>
        </w:rPr>
        <w:t>.</w:t>
      </w:r>
    </w:p>
    <w:p w14:paraId="277987ED" w14:textId="7BBAC6A7" w:rsidR="00AE6847" w:rsidRPr="00AE6847" w:rsidRDefault="00AE6847" w:rsidP="001D302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لا يزال فريق الخبراء يشعر بالقلق إزاء هذه الغارات الجوية المزعومة ، والتي لم تكتمل التحقيقات بشأنها حتى وقت الانتهاء من هذا التقرير، وإن أثبتت، أن هذه الهجمات تعرض أنماطًا مماثلة للهجمات الأخرى التي وثقها الفريق ، والتي أثيرت بشأنها مخاوف حول انتهاك القانون الإنساني الدولي فيما يتعلق بمبادئ التمييز التي قد يكون لدى التحالف أو التناسب ، وكذلك الاحتياطات في الهجوم ، وهذه الانتهاكات قد تشكل جرائم حرب.</w:t>
      </w:r>
    </w:p>
    <w:p w14:paraId="7C606470" w14:textId="77777777" w:rsidR="00AE6847" w:rsidRPr="005A2A33" w:rsidRDefault="00AE6847" w:rsidP="00361237">
      <w:pPr>
        <w:tabs>
          <w:tab w:val="left" w:pos="720"/>
        </w:tabs>
        <w:suppressAutoHyphens w:val="0"/>
        <w:bidi/>
        <w:spacing w:line="240" w:lineRule="auto"/>
        <w:ind w:left="1134" w:right="827" w:firstLine="306"/>
        <w:rPr>
          <w:rFonts w:ascii="Traditional Arabic" w:eastAsia="Calibri" w:hAnsi="Traditional Arabic" w:cs="Traditional Arabic"/>
          <w:i/>
          <w:iCs/>
          <w:sz w:val="30"/>
          <w:szCs w:val="30"/>
        </w:rPr>
      </w:pPr>
      <w:r w:rsidRPr="005A2A33">
        <w:rPr>
          <w:rFonts w:ascii="Traditional Arabic" w:eastAsia="Calibri" w:hAnsi="Traditional Arabic" w:cs="Traditional Arabic"/>
          <w:i/>
          <w:iCs/>
          <w:sz w:val="30"/>
          <w:szCs w:val="30"/>
          <w:rtl/>
          <w:lang w:bidi="ar-LB"/>
        </w:rPr>
        <w:t xml:space="preserve">القصف </w:t>
      </w:r>
      <w:r w:rsidRPr="005A2A33">
        <w:rPr>
          <w:rFonts w:ascii="Traditional Arabic" w:eastAsia="Calibri" w:hAnsi="Traditional Arabic" w:cs="Traditional Arabic"/>
          <w:i/>
          <w:iCs/>
          <w:sz w:val="30"/>
          <w:szCs w:val="30"/>
          <w:rtl/>
        </w:rPr>
        <w:t>الحوثي وهجوم القناصة</w:t>
      </w:r>
    </w:p>
    <w:p w14:paraId="4D8F5005" w14:textId="77777777" w:rsidR="00AE6847" w:rsidRPr="00AE6847" w:rsidRDefault="00AE6847" w:rsidP="00361237">
      <w:pPr>
        <w:tabs>
          <w:tab w:val="left" w:pos="720"/>
        </w:tabs>
        <w:suppressAutoHyphens w:val="0"/>
        <w:bidi/>
        <w:spacing w:line="240" w:lineRule="auto"/>
        <w:ind w:left="1134" w:right="630"/>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نحن نعيش بين الحياة والموت ولا يمكننا الذهاب إلى أي مكان</w:t>
      </w: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vertAlign w:val="superscript"/>
        </w:rPr>
        <w:footnoteReference w:id="487"/>
      </w:r>
    </w:p>
    <w:p w14:paraId="0DFDBBDE" w14:textId="77777777" w:rsidR="00AE6847" w:rsidRPr="00AE6847" w:rsidRDefault="00AE6847" w:rsidP="00361237">
      <w:pPr>
        <w:tabs>
          <w:tab w:val="left" w:pos="720"/>
        </w:tabs>
        <w:suppressAutoHyphens w:val="0"/>
        <w:bidi/>
        <w:spacing w:line="240" w:lineRule="auto"/>
        <w:ind w:left="1134" w:right="630"/>
        <w:jc w:val="right"/>
        <w:rPr>
          <w:rFonts w:ascii="Traditional Arabic" w:eastAsia="Calibri" w:hAnsi="Traditional Arabic" w:cs="Traditional Arabic"/>
          <w:b/>
          <w:bCs/>
          <w:i/>
          <w:iCs/>
          <w:sz w:val="30"/>
          <w:szCs w:val="30"/>
        </w:rPr>
      </w:pPr>
      <w:r w:rsidRPr="00AE6847">
        <w:rPr>
          <w:rFonts w:ascii="Traditional Arabic" w:eastAsia="Calibri" w:hAnsi="Traditional Arabic" w:cs="Traditional Arabic"/>
          <w:b/>
          <w:bCs/>
          <w:i/>
          <w:iCs/>
          <w:sz w:val="30"/>
          <w:szCs w:val="30"/>
          <w:rtl/>
        </w:rPr>
        <w:t>والد أطلق قناص النار على ابنه البالغ من العمر 13 عامًا</w:t>
      </w:r>
    </w:p>
    <w:p w14:paraId="5A1CE447" w14:textId="77777777" w:rsidR="00AE6847" w:rsidRPr="00AE6847" w:rsidRDefault="00AE6847" w:rsidP="00361237">
      <w:pPr>
        <w:tabs>
          <w:tab w:val="left" w:pos="720"/>
        </w:tabs>
        <w:suppressAutoHyphens w:val="0"/>
        <w:spacing w:line="240" w:lineRule="auto"/>
        <w:ind w:left="1134" w:right="630"/>
        <w:rPr>
          <w:rFonts w:ascii="Traditional Arabic" w:eastAsia="Calibri" w:hAnsi="Traditional Arabic" w:cs="Traditional Arabic"/>
          <w:i/>
          <w:iCs/>
          <w:sz w:val="30"/>
          <w:szCs w:val="30"/>
        </w:rPr>
      </w:pPr>
    </w:p>
    <w:p w14:paraId="216E4D37"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أسفرت حوادث القصف والقناصة عن مقتل وإصابة المدنيين ، ولا سيما الأطفال. حقق فريق الخبراء في عينة من الادعاءات الرمزية ، عبر إجراء تقصي حقائق مفصل في العديد منها. في حالتين قام فريق الخبراء بالتحقيق فيهما ، سقطت صواريخ أطلقت من مواقع الحوثيين المزعومة في المناطق الريفية ، مما أدى إلى مقتل وإصابة ثمانية من الإناث من عائلة كبيرة ، وفي الحالة الأخرى قتل وجرح سبعة إخوة وأخوات أثناء سيرهم في مقبرة في صباح عيد </w:t>
      </w:r>
      <w:r w:rsidRPr="00AE6847">
        <w:rPr>
          <w:rFonts w:ascii="Traditional Arabic" w:hAnsi="Traditional Arabic" w:cs="Traditional Arabic"/>
          <w:sz w:val="30"/>
          <w:szCs w:val="30"/>
          <w:rtl/>
          <w:lang w:eastAsia="en-GB"/>
        </w:rPr>
        <w:lastRenderedPageBreak/>
        <w:t>الفطر. في حالتين أخريين ، تم إطلاق النار على فتاة تبلغ من العمر 12 عامًا وصبي يبلغ من العمر 13 عامًا على أيدي قناصة الحوثيين المزعومين خلال أسبوع عيد الفطر. وترد أدناه نتائج هذه الحالات ، وكذلك وفاة اثنين من النشطاء الذين يساعدون العائلات على الجبهات الأمامية</w:t>
      </w:r>
      <w:r w:rsidRPr="00AE6847">
        <w:rPr>
          <w:rFonts w:ascii="Traditional Arabic" w:hAnsi="Traditional Arabic" w:cs="Traditional Arabic"/>
          <w:sz w:val="30"/>
          <w:szCs w:val="30"/>
          <w:lang w:eastAsia="en-GB"/>
        </w:rPr>
        <w:t>.</w:t>
      </w:r>
    </w:p>
    <w:p w14:paraId="2F5AD785"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وثق فريق الخبراء مقتل اثنين من النشطاء المحليين ففي 8 شباط / فبراير 2018 كان الناشطون يساعدون الأسر التي تعيش بالقرب من الجبهات، وهما ريهام بدر الذبحاني  ومؤمن سعيد حمود رسام. قُتل الاثنان في مديرية صاله نتيجة لإطلاق نار عشوائي من سلاح متوسط الى ثقيل الحجم من موقع الحوثيين </w:t>
      </w:r>
      <w:r w:rsidRPr="00AE6847">
        <w:rPr>
          <w:rFonts w:ascii="Traditional Arabic" w:hAnsi="Traditional Arabic" w:cs="Traditional Arabic"/>
          <w:sz w:val="30"/>
          <w:szCs w:val="30"/>
          <w:vertAlign w:val="superscript"/>
          <w:lang w:eastAsia="en-GB"/>
        </w:rPr>
        <w:footnoteReference w:id="488"/>
      </w:r>
      <w:r w:rsidRPr="00AE6847">
        <w:rPr>
          <w:rFonts w:ascii="Traditional Arabic" w:hAnsi="Traditional Arabic" w:cs="Traditional Arabic"/>
          <w:sz w:val="30"/>
          <w:szCs w:val="30"/>
          <w:rtl/>
          <w:lang w:eastAsia="en-GB"/>
        </w:rPr>
        <w:t>، وربما عبر طلقة مقاومة للطائرات</w:t>
      </w:r>
      <w:r w:rsidRPr="00AE6847">
        <w:rPr>
          <w:rFonts w:ascii="Traditional Arabic" w:hAnsi="Traditional Arabic" w:cs="Traditional Arabic"/>
          <w:sz w:val="30"/>
          <w:szCs w:val="30"/>
          <w:vertAlign w:val="superscript"/>
          <w:lang w:eastAsia="en-GB"/>
        </w:rPr>
        <w:footnoteReference w:id="489"/>
      </w:r>
      <w:r w:rsidRPr="00AE6847">
        <w:rPr>
          <w:rFonts w:ascii="Traditional Arabic" w:hAnsi="Traditional Arabic" w:cs="Traditional Arabic"/>
          <w:sz w:val="30"/>
          <w:szCs w:val="30"/>
          <w:rtl/>
          <w:lang w:eastAsia="en-GB"/>
        </w:rPr>
        <w:t>. كانت ريهام من الناشطين البارزين في تعز وأيضًا مراقبة ميدانية للجنة التحقيق الوطنية</w:t>
      </w:r>
      <w:r w:rsidRPr="00AE6847">
        <w:rPr>
          <w:rFonts w:ascii="Traditional Arabic" w:hAnsi="Traditional Arabic" w:cs="Traditional Arabic"/>
          <w:sz w:val="30"/>
          <w:szCs w:val="30"/>
          <w:lang w:eastAsia="en-GB"/>
        </w:rPr>
        <w:t>.</w:t>
      </w:r>
    </w:p>
    <w:p w14:paraId="7C6B7F2E" w14:textId="6D12F200" w:rsidR="00AE6847" w:rsidRPr="00AE6847" w:rsidRDefault="00AE6847" w:rsidP="008426A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w:t>
      </w:r>
      <w:r w:rsidR="008426A9">
        <w:rPr>
          <w:rFonts w:ascii="Traditional Arabic" w:hAnsi="Traditional Arabic" w:cs="Traditional Arabic"/>
          <w:sz w:val="30"/>
          <w:szCs w:val="30"/>
          <w:rtl/>
          <w:lang w:eastAsia="en-GB"/>
        </w:rPr>
        <w:t xml:space="preserve"> 28 نيسان / أبريل 2019</w:t>
      </w:r>
      <w:r w:rsidRPr="00AE6847">
        <w:rPr>
          <w:rFonts w:ascii="Traditional Arabic" w:hAnsi="Traditional Arabic" w:cs="Traditional Arabic"/>
          <w:sz w:val="30"/>
          <w:szCs w:val="30"/>
          <w:rtl/>
          <w:lang w:eastAsia="en-GB"/>
        </w:rPr>
        <w:t>، سقط صاروخ على منزل في منطقة جبل حبشي، مما أسفر عن مقتل خمسة من الإناث من عائلة كبيرة (امرأتان وثلاث فتيات)، وإصابة ثلاث فتيات تتراوح أعمارهن بين 3 و 4 و 12 سنة. سمع قريب للعائلة صاروخاً يمر فوق منزله في ذلك الصباح بعد صلاة الفجر واعتقد أنه سقط في حقل كما رأى الكثير من الغبار. عندما وصل إلى المنزل مكان الحادثه ، قال إنه رأى جثث الموتى ويمكنه "سماع معاناة أقربائه".</w:t>
      </w:r>
      <w:r w:rsidRPr="00AE6847">
        <w:rPr>
          <w:rFonts w:ascii="Traditional Arabic" w:hAnsi="Traditional Arabic" w:cs="Traditional Arabic"/>
          <w:sz w:val="30"/>
          <w:szCs w:val="30"/>
          <w:vertAlign w:val="superscript"/>
          <w:lang w:eastAsia="en-GB"/>
        </w:rPr>
        <w:footnoteReference w:id="490"/>
      </w:r>
      <w:r w:rsidRPr="00AE6847">
        <w:rPr>
          <w:rFonts w:ascii="Traditional Arabic" w:hAnsi="Traditional Arabic" w:cs="Traditional Arabic"/>
          <w:sz w:val="30"/>
          <w:szCs w:val="30"/>
          <w:rtl/>
          <w:lang w:eastAsia="en-GB"/>
        </w:rPr>
        <w:t xml:space="preserve"> حاول إزالة الجثث وتمكن من انقاذ إحدى الفتيات الصغيرات المصابات</w:t>
      </w:r>
      <w:r w:rsidRPr="00AE6847">
        <w:rPr>
          <w:rFonts w:ascii="Traditional Arabic" w:hAnsi="Traditional Arabic" w:cs="Traditional Arabic"/>
          <w:sz w:val="30"/>
          <w:szCs w:val="30"/>
          <w:vertAlign w:val="superscript"/>
          <w:lang w:eastAsia="en-GB"/>
        </w:rPr>
        <w:footnoteReference w:id="491"/>
      </w:r>
      <w:r w:rsidRPr="00AE6847">
        <w:rPr>
          <w:rFonts w:ascii="Traditional Arabic" w:hAnsi="Traditional Arabic" w:cs="Traditional Arabic"/>
          <w:sz w:val="30"/>
          <w:szCs w:val="30"/>
          <w:rtl/>
          <w:lang w:eastAsia="en-GB"/>
        </w:rPr>
        <w:t xml:space="preserve">. يُعتقد أن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أطلق</w:t>
      </w:r>
      <w:r w:rsidR="00084F50">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الصاروخ من موقعه</w:t>
      </w:r>
      <w:r w:rsidR="00084F50">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في منطقة الكدحة </w:t>
      </w:r>
      <w:r w:rsidRPr="00AE6847">
        <w:rPr>
          <w:rFonts w:ascii="Traditional Arabic" w:hAnsi="Traditional Arabic" w:cs="Traditional Arabic"/>
          <w:sz w:val="30"/>
          <w:szCs w:val="30"/>
          <w:vertAlign w:val="superscript"/>
          <w:lang w:eastAsia="en-GB"/>
        </w:rPr>
        <w:footnoteReference w:id="492"/>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الواقعة على الجانب الغربي من مدينة تعز</w:t>
      </w:r>
      <w:r w:rsidRPr="00AE6847">
        <w:rPr>
          <w:rFonts w:ascii="Traditional Arabic" w:hAnsi="Traditional Arabic" w:cs="Traditional Arabic"/>
          <w:sz w:val="30"/>
          <w:szCs w:val="30"/>
          <w:vertAlign w:val="superscript"/>
          <w:lang w:eastAsia="en-GB"/>
        </w:rPr>
        <w:footnoteReference w:id="493"/>
      </w:r>
      <w:r w:rsidRPr="00AE6847">
        <w:rPr>
          <w:rFonts w:ascii="Traditional Arabic" w:hAnsi="Traditional Arabic" w:cs="Traditional Arabic"/>
          <w:sz w:val="30"/>
          <w:szCs w:val="30"/>
          <w:rtl/>
          <w:lang w:eastAsia="en-GB"/>
        </w:rPr>
        <w:t xml:space="preserve">. في حادثة أخرى، يوم الثلاثاء 4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يونيو 2019، في حوالي الساعة 6:30 صباحًا، في صباح عيد الفطر ، قتل صاروخ فتاة في السادسة من العمر وأصاب ستة أطفال آخرين (أربعة فتيان وفتاتان)</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94"/>
      </w:r>
      <w:r w:rsidRPr="00AE6847">
        <w:rPr>
          <w:rFonts w:ascii="Traditional Arabic" w:hAnsi="Traditional Arabic" w:cs="Traditional Arabic"/>
          <w:sz w:val="30"/>
          <w:szCs w:val="30"/>
          <w:rtl/>
          <w:lang w:eastAsia="en-GB"/>
        </w:rPr>
        <w:t xml:space="preserve">. كان الأطفال يمشون من قرية العصب إلى قرية القردين، الواقعة في حي المسراخ عبر مقبرة ، عندما سقط الصاروخ </w:t>
      </w:r>
      <w:r w:rsidR="001D3023">
        <w:rPr>
          <w:rFonts w:ascii="Traditional Arabic" w:hAnsi="Traditional Arabic" w:cs="Traditional Arabic"/>
          <w:sz w:val="30"/>
          <w:szCs w:val="30"/>
          <w:rtl/>
          <w:lang w:eastAsia="en-GB"/>
        </w:rPr>
        <w:t>وانفجر. "</w:t>
      </w:r>
      <w:r w:rsidR="001D3023" w:rsidRPr="00387593">
        <w:rPr>
          <w:rFonts w:ascii="Traditional Arabic" w:hAnsi="Traditional Arabic" w:cs="Traditional Arabic"/>
          <w:i/>
          <w:iCs/>
          <w:sz w:val="30"/>
          <w:szCs w:val="30"/>
          <w:rtl/>
          <w:lang w:eastAsia="en-GB"/>
        </w:rPr>
        <w:t>[كنا] في طريقنا للصلاة</w:t>
      </w:r>
      <w:r w:rsidRPr="00387593">
        <w:rPr>
          <w:rFonts w:ascii="Traditional Arabic" w:hAnsi="Traditional Arabic" w:cs="Traditional Arabic"/>
          <w:i/>
          <w:iCs/>
          <w:sz w:val="30"/>
          <w:szCs w:val="30"/>
          <w:rtl/>
          <w:lang w:eastAsia="en-GB"/>
        </w:rPr>
        <w:t>؛ لقد كنا بالقرب من المكان وتفاجأنا بصاروخين. شاهدنا الدخان والنار ورأينا الأطفال يفرون من الحادث ورأينا بعض الأشخاص يساعدون الطفل.</w:t>
      </w:r>
      <w:r w:rsidRPr="00387593">
        <w:rPr>
          <w:rFonts w:ascii="Traditional Arabic" w:hAnsi="Traditional Arabic" w:cs="Traditional Arabic"/>
          <w:i/>
          <w:iCs/>
          <w:sz w:val="30"/>
          <w:szCs w:val="30"/>
          <w:vertAlign w:val="superscript"/>
          <w:lang w:eastAsia="en-GB"/>
        </w:rPr>
        <w:t xml:space="preserve"> </w:t>
      </w:r>
      <w:r w:rsidRPr="00387593">
        <w:rPr>
          <w:rFonts w:ascii="Traditional Arabic" w:hAnsi="Traditional Arabic" w:cs="Traditional Arabic"/>
          <w:i/>
          <w:iCs/>
          <w:sz w:val="30"/>
          <w:szCs w:val="30"/>
          <w:rtl/>
          <w:lang w:eastAsia="en-GB"/>
        </w:rPr>
        <w:t>ذهبنا إلى المكان للمساعدة ولإنقاذ الاطفال.</w:t>
      </w:r>
      <w:r w:rsidRPr="00387593">
        <w:rPr>
          <w:rFonts w:ascii="Traditional Arabic" w:hAnsi="Traditional Arabic" w:cs="Traditional Arabic"/>
          <w:i/>
          <w:iCs/>
          <w:sz w:val="30"/>
          <w:szCs w:val="30"/>
          <w:vertAlign w:val="superscript"/>
          <w:lang w:eastAsia="en-GB"/>
        </w:rPr>
        <w:t xml:space="preserve"> </w:t>
      </w:r>
      <w:r w:rsidRPr="00387593">
        <w:rPr>
          <w:rFonts w:ascii="Traditional Arabic" w:hAnsi="Traditional Arabic" w:cs="Traditional Arabic"/>
          <w:i/>
          <w:iCs/>
          <w:sz w:val="30"/>
          <w:szCs w:val="30"/>
          <w:vertAlign w:val="superscript"/>
          <w:lang w:eastAsia="en-GB"/>
        </w:rPr>
        <w:footnoteReference w:id="495"/>
      </w:r>
      <w:r w:rsidRPr="00387593">
        <w:rPr>
          <w:rFonts w:ascii="Traditional Arabic" w:hAnsi="Traditional Arabic" w:cs="Traditional Arabic"/>
          <w:i/>
          <w:iCs/>
          <w:sz w:val="30"/>
          <w:szCs w:val="30"/>
          <w:lang w:eastAsia="en-GB"/>
        </w:rPr>
        <w:t xml:space="preserve"> </w:t>
      </w:r>
      <w:r w:rsidRPr="00AE6847">
        <w:rPr>
          <w:rFonts w:ascii="Traditional Arabic" w:hAnsi="Traditional Arabic" w:cs="Traditional Arabic"/>
          <w:sz w:val="30"/>
          <w:szCs w:val="30"/>
          <w:rtl/>
          <w:lang w:eastAsia="en-GB"/>
        </w:rPr>
        <w:t xml:space="preserve">" فُهم أن </w:t>
      </w:r>
      <w:r w:rsidR="00E6457A">
        <w:rPr>
          <w:rFonts w:ascii="Traditional Arabic" w:hAnsi="Traditional Arabic" w:cs="Traditional Arabic" w:hint="cs"/>
          <w:sz w:val="30"/>
          <w:szCs w:val="30"/>
          <w:rtl/>
        </w:rPr>
        <w:t>مقاتلي</w:t>
      </w:r>
      <w:r w:rsidR="00E6457A" w:rsidRPr="009D7B92">
        <w:rPr>
          <w:rFonts w:ascii="Traditional Arabic" w:hAnsi="Traditional Arabic" w:cs="Traditional Arabic"/>
          <w:sz w:val="30"/>
          <w:szCs w:val="30"/>
          <w:rtl/>
        </w:rPr>
        <w:t xml:space="preserve"> الحوثي</w:t>
      </w:r>
      <w:r w:rsidR="00E6457A"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sz w:val="30"/>
          <w:szCs w:val="30"/>
          <w:rtl/>
          <w:lang w:eastAsia="en-GB"/>
        </w:rPr>
        <w:t>أطلق</w:t>
      </w:r>
      <w:r w:rsidR="00E6457A">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الصاروخ من مو</w:t>
      </w:r>
      <w:r w:rsidR="00C05657">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قعه</w:t>
      </w:r>
      <w:r w:rsidR="00E6457A">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في الحوبان، شرق مدينة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496"/>
      </w:r>
    </w:p>
    <w:p w14:paraId="354E5807" w14:textId="21AFA8D1"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2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 xml:space="preserve">يونيو 2019، في حوالي الساعة 3:30 صباحًا، أصابت رصاصة أطلقها قناص يعتقد أنه من مقاتلي الحوثي فتاة تبلغ من العمر 12 عامًا. اخترقت الرصاصة منزل جدها في مديرية المظفر، غرب مدينة تعز. توفيت فيما بعد متأثرة بجراحها في 7 </w:t>
      </w:r>
      <w:r w:rsidR="001D3023">
        <w:rPr>
          <w:rFonts w:ascii="Traditional Arabic" w:hAnsi="Traditional Arabic" w:cs="Traditional Arabic" w:hint="cs"/>
          <w:sz w:val="30"/>
          <w:szCs w:val="30"/>
          <w:rtl/>
          <w:lang w:eastAsia="en-GB"/>
        </w:rPr>
        <w:t xml:space="preserve">حزيران/ </w:t>
      </w:r>
      <w:r w:rsidRPr="00AE6847">
        <w:rPr>
          <w:rFonts w:ascii="Traditional Arabic" w:hAnsi="Traditional Arabic" w:cs="Traditional Arabic"/>
          <w:sz w:val="30"/>
          <w:szCs w:val="30"/>
          <w:rtl/>
          <w:lang w:eastAsia="en-GB"/>
        </w:rPr>
        <w:t>يونيو</w:t>
      </w:r>
      <w:r w:rsidR="001D3023">
        <w:rPr>
          <w:rFonts w:ascii="Traditional Arabic" w:hAnsi="Traditional Arabic" w:cs="Traditional Arabic" w:hint="cs"/>
          <w:sz w:val="30"/>
          <w:szCs w:val="30"/>
          <w:rtl/>
          <w:lang w:eastAsia="en-GB"/>
        </w:rPr>
        <w:t xml:space="preserve"> 2019</w:t>
      </w:r>
      <w:r w:rsidRPr="00AE6847">
        <w:rPr>
          <w:rFonts w:ascii="Traditional Arabic" w:hAnsi="Traditional Arabic" w:cs="Traditional Arabic"/>
          <w:sz w:val="30"/>
          <w:szCs w:val="30"/>
          <w:rtl/>
          <w:lang w:eastAsia="en-GB"/>
        </w:rPr>
        <w:t xml:space="preserve"> </w:t>
      </w:r>
      <w:r w:rsidRPr="001D3023">
        <w:rPr>
          <w:rFonts w:ascii="Traditional Arabic" w:hAnsi="Traditional Arabic" w:cs="Traditional Arabic"/>
          <w:sz w:val="24"/>
          <w:szCs w:val="24"/>
          <w:vertAlign w:val="superscript"/>
          <w:lang w:eastAsia="en-GB"/>
        </w:rPr>
        <w:footnoteReference w:id="497"/>
      </w:r>
      <w:r w:rsidRPr="00AE6847">
        <w:rPr>
          <w:rFonts w:ascii="Traditional Arabic" w:hAnsi="Traditional Arabic" w:cs="Traditional Arabic"/>
          <w:sz w:val="30"/>
          <w:szCs w:val="30"/>
          <w:rtl/>
          <w:lang w:eastAsia="en-GB"/>
        </w:rPr>
        <w:t xml:space="preserve">. كانت تتناول السحور ، </w:t>
      </w:r>
      <w:r w:rsidRPr="00AE6847">
        <w:rPr>
          <w:rFonts w:ascii="Traditional Arabic" w:hAnsi="Traditional Arabic" w:cs="Traditional Arabic"/>
          <w:sz w:val="30"/>
          <w:szCs w:val="30"/>
          <w:rtl/>
          <w:lang w:eastAsia="en-GB"/>
        </w:rPr>
        <w:lastRenderedPageBreak/>
        <w:t>الوجبة الثانية خلال شهر رمضان، مع أجدادها وعمتها في الطابق الأرضي من منزل أجدادها، والذي يقع في شارع الثلاثين، بالقرب من المطار القديم، منطقة قريبة من الجبهة الأمامية</w:t>
      </w:r>
      <w:r w:rsidRPr="00AE6847">
        <w:rPr>
          <w:rFonts w:ascii="Traditional Arabic" w:hAnsi="Traditional Arabic" w:cs="Traditional Arabic"/>
          <w:sz w:val="30"/>
          <w:szCs w:val="30"/>
          <w:vertAlign w:val="superscript"/>
          <w:lang w:eastAsia="en-GB"/>
        </w:rPr>
        <w:footnoteReference w:id="498"/>
      </w:r>
      <w:r w:rsidRPr="00AE6847">
        <w:rPr>
          <w:rFonts w:ascii="Traditional Arabic" w:hAnsi="Traditional Arabic" w:cs="Traditional Arabic"/>
          <w:sz w:val="30"/>
          <w:szCs w:val="30"/>
          <w:rtl/>
          <w:lang w:eastAsia="en-GB"/>
        </w:rPr>
        <w:t>. كانت هذه المنطقة عرضة لمواجهات شديدة خلال الليل</w:t>
      </w:r>
      <w:r w:rsidRPr="00AE6847">
        <w:rPr>
          <w:rFonts w:ascii="Traditional Arabic" w:hAnsi="Traditional Arabic" w:cs="Traditional Arabic"/>
          <w:sz w:val="30"/>
          <w:szCs w:val="30"/>
          <w:vertAlign w:val="superscript"/>
          <w:lang w:eastAsia="en-GB"/>
        </w:rPr>
        <w:footnoteReference w:id="499"/>
      </w:r>
      <w:r w:rsidRPr="00AE6847">
        <w:rPr>
          <w:rFonts w:ascii="Traditional Arabic" w:hAnsi="Traditional Arabic" w:cs="Traditional Arabic"/>
          <w:sz w:val="30"/>
          <w:szCs w:val="30"/>
          <w:rtl/>
          <w:lang w:eastAsia="en-GB"/>
        </w:rPr>
        <w:t>. دخلت الرصاصة من خلال نافذة معدنية صغيرة في الجزء الأمامي من المنزل ثم خرجت من الباب إلى المكان / الصالون حيث كانت الأسرة تأكل وأصابت الفتاة في رقبتها</w:t>
      </w:r>
      <w:r w:rsidRPr="00AE6847">
        <w:rPr>
          <w:rFonts w:ascii="Traditional Arabic" w:hAnsi="Traditional Arabic" w:cs="Traditional Arabic"/>
          <w:sz w:val="30"/>
          <w:szCs w:val="30"/>
          <w:vertAlign w:val="superscript"/>
          <w:lang w:eastAsia="en-GB"/>
        </w:rPr>
        <w:footnoteReference w:id="500"/>
      </w:r>
      <w:r w:rsidRPr="00AE6847">
        <w:rPr>
          <w:rFonts w:ascii="Traditional Arabic" w:hAnsi="Traditional Arabic" w:cs="Traditional Arabic"/>
          <w:sz w:val="30"/>
          <w:szCs w:val="30"/>
          <w:rtl/>
          <w:lang w:eastAsia="en-GB"/>
        </w:rPr>
        <w:t>. يبدو أن القناص أطلق رصاصة واحدة بدلاً من عدة طلقات من الأسلحة الخفيفة، حيث لم ترد أنباء عن أن الرصاص قد اخترق المنزل</w:t>
      </w:r>
      <w:r w:rsidRPr="00AE6847">
        <w:rPr>
          <w:rFonts w:ascii="Traditional Arabic" w:hAnsi="Traditional Arabic" w:cs="Traditional Arabic"/>
          <w:sz w:val="30"/>
          <w:szCs w:val="30"/>
          <w:lang w:eastAsia="en-GB"/>
        </w:rPr>
        <w:t>.</w:t>
      </w:r>
    </w:p>
    <w:p w14:paraId="597C3F20" w14:textId="423E0411"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5 يونيو / حزيران 2019، في اليوم الثاني من عيد الفطر، أطلق قناص النار على صبي يبلغ من العمر 13 عامًا وقتله بينما كان يجلب الماء في الصباح الباكر في منطقة المفتش، عصيفرة، في شمال مدينة تعز</w:t>
      </w:r>
      <w:r w:rsidRPr="00AE6847">
        <w:rPr>
          <w:rFonts w:ascii="Traditional Arabic" w:hAnsi="Traditional Arabic" w:cs="Traditional Arabic"/>
          <w:sz w:val="30"/>
          <w:szCs w:val="30"/>
          <w:vertAlign w:val="superscript"/>
          <w:lang w:eastAsia="en-GB"/>
        </w:rPr>
        <w:footnoteReference w:id="501"/>
      </w:r>
      <w:r w:rsidRPr="00AE6847">
        <w:rPr>
          <w:rFonts w:ascii="Traditional Arabic" w:hAnsi="Traditional Arabic" w:cs="Traditional Arabic"/>
          <w:sz w:val="30"/>
          <w:szCs w:val="30"/>
          <w:rtl/>
          <w:lang w:eastAsia="en-GB"/>
        </w:rPr>
        <w:t>. هرع والده، الذي نبهه أصدقاء ابنه، إلى البئر، على بعد 400 متر من منزله، ورفع ابنه النازف على دراجته النارية لنقله إلى المستشفى</w:t>
      </w:r>
      <w:r w:rsidRPr="00AE6847">
        <w:rPr>
          <w:rFonts w:ascii="Traditional Arabic" w:hAnsi="Traditional Arabic" w:cs="Traditional Arabic"/>
          <w:sz w:val="30"/>
          <w:szCs w:val="30"/>
          <w:vertAlign w:val="superscript"/>
          <w:lang w:eastAsia="en-GB"/>
        </w:rPr>
        <w:footnoteReference w:id="502"/>
      </w:r>
      <w:r w:rsidRPr="00AE6847">
        <w:rPr>
          <w:rFonts w:ascii="Traditional Arabic" w:hAnsi="Traditional Arabic" w:cs="Traditional Arabic"/>
          <w:sz w:val="30"/>
          <w:szCs w:val="30"/>
          <w:rtl/>
          <w:lang w:eastAsia="en-GB"/>
        </w:rPr>
        <w:t>. وبحسب ما ورد كان القناص متموضعا على بعد حوالي كيلومتر واحد</w:t>
      </w:r>
      <w:r w:rsidRPr="00AE6847">
        <w:rPr>
          <w:rFonts w:ascii="Traditional Arabic" w:hAnsi="Traditional Arabic" w:cs="Traditional Arabic"/>
          <w:sz w:val="30"/>
          <w:szCs w:val="30"/>
          <w:vertAlign w:val="superscript"/>
          <w:lang w:eastAsia="en-GB"/>
        </w:rPr>
        <w:footnoteReference w:id="503"/>
      </w:r>
      <w:r w:rsidRPr="00AE6847">
        <w:rPr>
          <w:rFonts w:ascii="Traditional Arabic" w:hAnsi="Traditional Arabic" w:cs="Traditional Arabic"/>
          <w:sz w:val="30"/>
          <w:szCs w:val="30"/>
          <w:rtl/>
          <w:lang w:eastAsia="en-GB"/>
        </w:rPr>
        <w:t xml:space="preserve">، واستناداً إلى صور المنطقة التي فحصها فريق الخبراء، كان من الممكن أن يكون لديه رؤية واضحة للطفل الصغير. قال الأب إنهم يعيشون على خط المواجهة، </w:t>
      </w:r>
      <w:r w:rsidRPr="00F35C15">
        <w:rPr>
          <w:rFonts w:ascii="Traditional Arabic" w:hAnsi="Traditional Arabic" w:cs="Traditional Arabic"/>
          <w:i/>
          <w:iCs/>
          <w:sz w:val="30"/>
          <w:szCs w:val="30"/>
          <w:rtl/>
          <w:lang w:eastAsia="en-GB"/>
        </w:rPr>
        <w:t>"نحن نعيش بين الحياة والموت ولا يمكننا الذهاب إلى أي مكان"</w:t>
      </w:r>
      <w:r w:rsidRPr="00F35C15">
        <w:rPr>
          <w:rFonts w:ascii="Traditional Arabic" w:hAnsi="Traditional Arabic" w:cs="Traditional Arabic"/>
          <w:i/>
          <w:iCs/>
          <w:sz w:val="30"/>
          <w:szCs w:val="30"/>
          <w:vertAlign w:val="superscript"/>
          <w:lang w:eastAsia="en-GB"/>
        </w:rPr>
        <w:footnoteReference w:id="504"/>
      </w:r>
      <w:r w:rsidRPr="00F35C15">
        <w:rPr>
          <w:rFonts w:ascii="Traditional Arabic" w:hAnsi="Traditional Arabic" w:cs="Traditional Arabic"/>
          <w:i/>
          <w:iCs/>
          <w:sz w:val="30"/>
          <w:szCs w:val="30"/>
          <w:rtl/>
          <w:lang w:eastAsia="en-GB"/>
        </w:rPr>
        <w:t>.</w:t>
      </w:r>
      <w:r w:rsidRPr="00AE6847">
        <w:rPr>
          <w:rFonts w:ascii="Traditional Arabic" w:hAnsi="Traditional Arabic" w:cs="Traditional Arabic"/>
          <w:sz w:val="30"/>
          <w:szCs w:val="30"/>
          <w:rtl/>
          <w:lang w:eastAsia="en-GB"/>
        </w:rPr>
        <w:t xml:space="preserve"> كان هذا الفتى أحد ثلاثة أطفال أطلق عليهم قناصة الحوثيون النار في المدينة خلال أسبوع عيد الفطر</w:t>
      </w:r>
      <w:r w:rsidRPr="00AE6847">
        <w:rPr>
          <w:rFonts w:ascii="Traditional Arabic" w:hAnsi="Traditional Arabic" w:cs="Traditional Arabic"/>
          <w:sz w:val="30"/>
          <w:szCs w:val="30"/>
          <w:lang w:eastAsia="en-GB"/>
        </w:rPr>
        <w:t>.</w:t>
      </w:r>
    </w:p>
    <w:p w14:paraId="0E5AE04B" w14:textId="77777777" w:rsidR="00AE6847" w:rsidRPr="00AE6847" w:rsidRDefault="00AE6847" w:rsidP="00361237">
      <w:pPr>
        <w:tabs>
          <w:tab w:val="left" w:pos="720"/>
        </w:tabs>
        <w:suppressAutoHyphens w:val="0"/>
        <w:bidi/>
        <w:spacing w:line="240" w:lineRule="auto"/>
        <w:ind w:left="414" w:right="827" w:firstLine="720"/>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الانتهاكات</w:t>
      </w:r>
      <w:r w:rsidRPr="00AE6847">
        <w:rPr>
          <w:rFonts w:ascii="Traditional Arabic" w:eastAsia="Calibri" w:hAnsi="Traditional Arabic" w:cs="Traditional Arabic"/>
          <w:sz w:val="30"/>
          <w:szCs w:val="30"/>
          <w:rtl/>
        </w:rPr>
        <w:t xml:space="preserve"> </w:t>
      </w:r>
    </w:p>
    <w:p w14:paraId="4F5B4AF4" w14:textId="54BDC3D2"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يحظر القانون الإنساني الدولي الهجمات المباشرة ضد المدنيين وينص على أنه لا يجوز توجيه الهجمات إلا ضد المشاركين مباشرة في الأعمال العدائية. يعد توجيه الهجمات المتعمدة ضد السكان المدنيين بصفتهم هذه أو ضد الأفراد المدنيين الذين لا يشاركون مباشرة في الأعمال العدائية انتهاكًا خطيرًا للقانون الإنساني ويصل إلى حد جريمة الحرب</w:t>
      </w:r>
      <w:r w:rsidRPr="00AE6847">
        <w:rPr>
          <w:rFonts w:ascii="Traditional Arabic" w:hAnsi="Traditional Arabic" w:cs="Traditional Arabic"/>
          <w:sz w:val="30"/>
          <w:szCs w:val="30"/>
          <w:vertAlign w:val="superscript"/>
          <w:lang w:eastAsia="en-GB"/>
        </w:rPr>
        <w:footnoteReference w:id="505"/>
      </w:r>
      <w:r w:rsidRPr="00AE6847">
        <w:rPr>
          <w:rFonts w:ascii="Traditional Arabic" w:hAnsi="Traditional Arabic" w:cs="Traditional Arabic"/>
          <w:sz w:val="30"/>
          <w:szCs w:val="30"/>
          <w:rtl/>
          <w:lang w:eastAsia="en-GB"/>
        </w:rPr>
        <w:t>. يحظر مبدأ التمييز كذلك الهجمات العشوائية، أي الهجمات التي من هذا النوع لضرب الأهداف العسكرية والمدنيين أو الأعيان المدنية دون تمييز</w:t>
      </w:r>
      <w:r w:rsidRPr="00AE6847">
        <w:rPr>
          <w:rFonts w:ascii="Traditional Arabic" w:hAnsi="Traditional Arabic" w:cs="Traditional Arabic"/>
          <w:sz w:val="30"/>
          <w:szCs w:val="30"/>
          <w:vertAlign w:val="superscript"/>
          <w:lang w:eastAsia="en-GB"/>
        </w:rPr>
        <w:footnoteReference w:id="506"/>
      </w:r>
      <w:r w:rsidRPr="00AE6847">
        <w:rPr>
          <w:rFonts w:ascii="Traditional Arabic" w:hAnsi="Traditional Arabic" w:cs="Traditional Arabic"/>
          <w:sz w:val="30"/>
          <w:szCs w:val="30"/>
          <w:rtl/>
          <w:lang w:eastAsia="en-GB"/>
        </w:rPr>
        <w:t>. تشكل الهجمات العشوائية، على سبيل المثال، هجمات تستخدم طريقة أو وسيلة للقتال لا يمكن توجيهها نحو هدف عسكري محدد</w:t>
      </w:r>
      <w:r w:rsidRPr="00AE6847">
        <w:rPr>
          <w:rFonts w:ascii="Traditional Arabic" w:hAnsi="Traditional Arabic" w:cs="Traditional Arabic"/>
          <w:sz w:val="30"/>
          <w:szCs w:val="30"/>
          <w:vertAlign w:val="superscript"/>
          <w:lang w:eastAsia="en-GB"/>
        </w:rPr>
        <w:footnoteReference w:id="507"/>
      </w:r>
      <w:r w:rsidRPr="00AE6847">
        <w:rPr>
          <w:rFonts w:ascii="Traditional Arabic" w:hAnsi="Traditional Arabic" w:cs="Traditional Arabic"/>
          <w:sz w:val="30"/>
          <w:szCs w:val="30"/>
          <w:rtl/>
          <w:lang w:eastAsia="en-GB"/>
        </w:rPr>
        <w:t>. إن شن هجوم عشوائي يؤدي إلى مقتل أو إصابة مدنيين يعد جريمة حرب</w:t>
      </w:r>
      <w:r w:rsidRPr="00AE6847">
        <w:rPr>
          <w:rFonts w:ascii="Traditional Arabic" w:hAnsi="Traditional Arabic" w:cs="Traditional Arabic"/>
          <w:sz w:val="30"/>
          <w:szCs w:val="30"/>
          <w:vertAlign w:val="superscript"/>
          <w:lang w:eastAsia="en-GB"/>
        </w:rPr>
        <w:footnoteReference w:id="508"/>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t xml:space="preserve"> </w:t>
      </w:r>
    </w:p>
    <w:p w14:paraId="3AF8A98C" w14:textId="31C2A807" w:rsidR="00AE6847" w:rsidRPr="009300E4"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w w:val="90"/>
          <w:sz w:val="30"/>
          <w:szCs w:val="30"/>
          <w:rtl/>
          <w:lang w:eastAsia="en-GB"/>
        </w:rPr>
      </w:pPr>
      <w:r w:rsidRPr="009300E4">
        <w:rPr>
          <w:rFonts w:ascii="Traditional Arabic" w:hAnsi="Traditional Arabic" w:cs="Traditional Arabic"/>
          <w:w w:val="90"/>
          <w:sz w:val="30"/>
          <w:szCs w:val="30"/>
          <w:rtl/>
          <w:lang w:eastAsia="en-GB"/>
        </w:rPr>
        <w:t xml:space="preserve">في جميع الهجمات الموصوفة أعلاه، قدم فريق الخبراء أسبابا معقولة للاعتقاد بأن الحوثيين كانوا مسؤولين، بسبب موقع تموضعهم فيما يتعلق بمكان وقوع الأسلحة. القصف </w:t>
      </w:r>
      <w:r w:rsidRPr="009300E4">
        <w:rPr>
          <w:rFonts w:ascii="Traditional Arabic" w:hAnsi="Traditional Arabic" w:cs="Traditional Arabic"/>
          <w:w w:val="90"/>
          <w:sz w:val="30"/>
          <w:szCs w:val="30"/>
          <w:rtl/>
          <w:lang w:eastAsia="en-GB"/>
        </w:rPr>
        <w:lastRenderedPageBreak/>
        <w:t>الذي وقع في المناطق الريفية دون قتال حوله هو بمثابة هجمات عشوائية بسبب</w:t>
      </w:r>
      <w:r w:rsidRPr="009300E4">
        <w:rPr>
          <w:rFonts w:ascii="Traditional Arabic" w:hAnsi="Traditional Arabic" w:cs="Traditional Arabic"/>
          <w:w w:val="90"/>
          <w:sz w:val="30"/>
          <w:szCs w:val="30"/>
          <w:rtl/>
          <w:lang w:eastAsia="en-GB" w:bidi="ar-LB"/>
        </w:rPr>
        <w:t xml:space="preserve"> طبيعة</w:t>
      </w:r>
      <w:r w:rsidRPr="009300E4">
        <w:rPr>
          <w:rFonts w:ascii="Traditional Arabic" w:hAnsi="Traditional Arabic" w:cs="Traditional Arabic"/>
          <w:w w:val="90"/>
          <w:sz w:val="30"/>
          <w:szCs w:val="30"/>
          <w:rtl/>
          <w:lang w:eastAsia="en-GB"/>
        </w:rPr>
        <w:t xml:space="preserve"> السلاح المستخدم والمكان الذي يستهدفه. حتى لو كانت الأهداف العسكرية المحددة قد تكون هدفًا للهجوم ، فإن حقيقة أن نوع السلاح المختار لا يضمن أنه يمكن التمييز بين تلك الأهداف والمدنيين المعروفين في المناطق بشكل صحيح ، مما يجعل الهجوم عشوائيًا، وانتهاكا للقانون الإنساني الدولي. في حالة الصبي الذي يبلغ من العمر 13 عامًا والذي قُتل في 5 </w:t>
      </w:r>
      <w:r w:rsidR="006842B4" w:rsidRPr="009300E4">
        <w:rPr>
          <w:rFonts w:ascii="Traditional Arabic" w:hAnsi="Traditional Arabic" w:cs="Traditional Arabic" w:hint="cs"/>
          <w:w w:val="90"/>
          <w:sz w:val="30"/>
          <w:szCs w:val="30"/>
          <w:rtl/>
          <w:lang w:eastAsia="en-GB"/>
        </w:rPr>
        <w:t xml:space="preserve">حزيران/ </w:t>
      </w:r>
      <w:r w:rsidRPr="009300E4">
        <w:rPr>
          <w:rFonts w:ascii="Traditional Arabic" w:hAnsi="Traditional Arabic" w:cs="Traditional Arabic"/>
          <w:w w:val="90"/>
          <w:sz w:val="30"/>
          <w:szCs w:val="30"/>
          <w:rtl/>
          <w:lang w:eastAsia="en-GB"/>
        </w:rPr>
        <w:t>يونيو 2019 ، لدى فريق الخبراء أسباب معقولة للاعتقاد بأن الحو</w:t>
      </w:r>
      <w:r w:rsidR="006842B4" w:rsidRPr="009300E4">
        <w:rPr>
          <w:rFonts w:ascii="Traditional Arabic" w:hAnsi="Traditional Arabic" w:cs="Traditional Arabic"/>
          <w:w w:val="90"/>
          <w:sz w:val="30"/>
          <w:szCs w:val="30"/>
          <w:rtl/>
          <w:lang w:eastAsia="en-GB"/>
        </w:rPr>
        <w:t>ثيين استهدفوا مدنيًا بشكل متعمد</w:t>
      </w:r>
      <w:r w:rsidRPr="009300E4">
        <w:rPr>
          <w:rFonts w:ascii="Traditional Arabic" w:hAnsi="Traditional Arabic" w:cs="Traditional Arabic"/>
          <w:w w:val="90"/>
          <w:sz w:val="30"/>
          <w:szCs w:val="30"/>
          <w:rtl/>
          <w:lang w:eastAsia="en-GB"/>
        </w:rPr>
        <w:t>، حيث كان هناك على ما يبدو خط واضح للعيان فيما يتعلق بما كان مستهدفًا.</w:t>
      </w:r>
    </w:p>
    <w:p w14:paraId="749ADD51" w14:textId="3F743F39"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وجد فريق الخبراء أسبابا معقولة للاعتقاد بأن الحوثيين مسؤولون عن شن هجمات عشوائية تؤدي إلى مقتل أو إصابة مدنيين، وفي قضية قناص واحدة، لاستهداف المدنيين عمدا. هذه الأعمال قد تؤدي إلى مسؤولية جنائية فردية عن جرائم الحرب.</w:t>
      </w:r>
    </w:p>
    <w:p w14:paraId="74392E3B" w14:textId="1157020E" w:rsidR="00AE6847" w:rsidRPr="000C6E35" w:rsidRDefault="00A84CF1" w:rsidP="000C6E35">
      <w:pPr>
        <w:pStyle w:val="ListParagraph"/>
        <w:numPr>
          <w:ilvl w:val="0"/>
          <w:numId w:val="12"/>
        </w:numPr>
        <w:tabs>
          <w:tab w:val="left" w:pos="720"/>
        </w:tabs>
        <w:bidi/>
        <w:spacing w:line="240" w:lineRule="auto"/>
        <w:ind w:left="1179" w:right="827" w:hanging="630"/>
        <w:rPr>
          <w:rFonts w:ascii="Traditional Arabic" w:hAnsi="Traditional Arabic" w:cs="Traditional Arabic"/>
          <w:b/>
          <w:bCs/>
          <w:sz w:val="30"/>
          <w:szCs w:val="30"/>
          <w:rtl/>
          <w:lang w:bidi="ar-JO"/>
        </w:rPr>
      </w:pPr>
      <w:r w:rsidRPr="000C6E35">
        <w:rPr>
          <w:rFonts w:ascii="Traditional Arabic" w:hAnsi="Traditional Arabic" w:cs="Traditional Arabic" w:hint="cs"/>
          <w:b/>
          <w:bCs/>
          <w:sz w:val="30"/>
          <w:szCs w:val="30"/>
          <w:rtl/>
          <w:lang w:bidi="ar-JO"/>
        </w:rPr>
        <w:t>إستخدام الالغام الارضية من قبل الحوثيين</w:t>
      </w:r>
    </w:p>
    <w:p w14:paraId="7AD66C94"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sz w:val="30"/>
          <w:szCs w:val="30"/>
          <w:rtl/>
        </w:rPr>
      </w:pPr>
      <w:r w:rsidRPr="00AE6847">
        <w:rPr>
          <w:rFonts w:ascii="Traditional Arabic" w:eastAsia="Calibri" w:hAnsi="Traditional Arabic" w:cs="Traditional Arabic"/>
          <w:sz w:val="30"/>
          <w:szCs w:val="30"/>
        </w:rPr>
        <w:t>"</w:t>
      </w:r>
      <w:r w:rsidRPr="00AE6847">
        <w:rPr>
          <w:rFonts w:ascii="Traditional Arabic" w:eastAsia="Calibri" w:hAnsi="Traditional Arabic" w:cs="Traditional Arabic"/>
          <w:i/>
          <w:iCs/>
          <w:sz w:val="30"/>
          <w:szCs w:val="30"/>
          <w:rtl/>
        </w:rPr>
        <w:t>لم نكن نعرف أن هناك ألغام أرضية زرعها الحوثيون. دست على لغم أرضي بينما كنت أسير.لقد تم زرع لغم أرضي بجانب الطريق وآخر بالقرب من بئر الماء. صرخت ، "ساعدوني". تنفست بشدة وجلست لفترة حتى وجدت شخصًا يأخذني إلى المستشفى. لقد صدمت عندما علمت أن قدمي قد بترت</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rPr>
        <w:t xml:space="preserve"> </w:t>
      </w:r>
    </w:p>
    <w:p w14:paraId="0F105F1B" w14:textId="0DD4F8AA" w:rsidR="00AE6847" w:rsidRPr="00AE6847" w:rsidRDefault="00AE6847" w:rsidP="00361237">
      <w:pPr>
        <w:tabs>
          <w:tab w:val="left" w:pos="720"/>
        </w:tabs>
        <w:suppressAutoHyphens w:val="0"/>
        <w:bidi/>
        <w:spacing w:line="240" w:lineRule="auto"/>
        <w:ind w:left="1134" w:right="827"/>
        <w:rPr>
          <w:rFonts w:ascii="Traditional Arabic" w:eastAsia="Calibri" w:hAnsi="Traditional Arabic" w:cs="Traditional Arabic"/>
          <w:b/>
          <w:bCs/>
          <w:sz w:val="30"/>
          <w:szCs w:val="30"/>
          <w:rtl/>
        </w:rPr>
      </w:pPr>
      <w:r w:rsidRPr="00AE6847">
        <w:rPr>
          <w:rFonts w:ascii="Traditional Arabic" w:eastAsia="Calibri" w:hAnsi="Traditional Arabic" w:cs="Traditional Arabic"/>
          <w:b/>
          <w:bCs/>
          <w:sz w:val="30"/>
          <w:szCs w:val="30"/>
        </w:rPr>
        <w:t xml:space="preserve">  </w:t>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000C6E35">
        <w:rPr>
          <w:rFonts w:ascii="Traditional Arabic" w:eastAsia="Calibri" w:hAnsi="Traditional Arabic" w:cs="Traditional Arabic"/>
          <w:b/>
          <w:bCs/>
          <w:sz w:val="30"/>
          <w:szCs w:val="30"/>
        </w:rPr>
        <w:tab/>
      </w:r>
      <w:r w:rsidRPr="00AE6847">
        <w:rPr>
          <w:rFonts w:ascii="Traditional Arabic" w:eastAsia="Calibri" w:hAnsi="Traditional Arabic" w:cs="Traditional Arabic"/>
          <w:b/>
          <w:bCs/>
          <w:sz w:val="30"/>
          <w:szCs w:val="30"/>
          <w:rtl/>
        </w:rPr>
        <w:t>ضحية لغم أرضي في تعز</w:t>
      </w:r>
    </w:p>
    <w:p w14:paraId="021D53AC" w14:textId="75BD1F42" w:rsidR="00AE6847" w:rsidRPr="00AE6847" w:rsidRDefault="005A2A33" w:rsidP="00361237">
      <w:pPr>
        <w:tabs>
          <w:tab w:val="left" w:pos="720"/>
        </w:tabs>
        <w:suppressAutoHyphens w:val="0"/>
        <w:bidi/>
        <w:spacing w:line="240" w:lineRule="auto"/>
        <w:ind w:left="1134" w:right="827"/>
        <w:rPr>
          <w:rFonts w:ascii="Traditional Arabic" w:eastAsia="Calibri" w:hAnsi="Traditional Arabic" w:cs="Traditional Arabic"/>
          <w:sz w:val="30"/>
          <w:szCs w:val="30"/>
          <w:rtl/>
        </w:rPr>
      </w:pPr>
      <w:r>
        <w:rPr>
          <w:rFonts w:ascii="Traditional Arabic" w:eastAsia="Calibri" w:hAnsi="Traditional Arabic" w:cs="Traditional Arabic"/>
          <w:noProof/>
          <w:sz w:val="30"/>
          <w:szCs w:val="30"/>
          <w:lang w:eastAsia="en-GB"/>
        </w:rPr>
        <w:lastRenderedPageBreak/>
        <w:drawing>
          <wp:inline distT="0" distB="0" distL="0" distR="0" wp14:anchorId="698BCEF7" wp14:editId="5E18BAA4">
            <wp:extent cx="4676140" cy="66211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6140" cy="6621145"/>
                    </a:xfrm>
                    <a:prstGeom prst="rect">
                      <a:avLst/>
                    </a:prstGeom>
                    <a:noFill/>
                  </pic:spPr>
                </pic:pic>
              </a:graphicData>
            </a:graphic>
          </wp:inline>
        </w:drawing>
      </w:r>
    </w:p>
    <w:p w14:paraId="6A0473D3" w14:textId="6B167F67"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استمر تاثير الألغام الأرضية التي زرعها الحوثيون منذ عام 2015 ، أثناء تقدمهم نحو تعز، في إلحاق الأذى بالمدنيين حتى عام 2019. إن زرع الألغام في بداية النزاع  لإبطاء تقدم القوات المسلحة اليمنية والتابعة لها، أدى الى تلوث مساحات شاسعة من المحافظة. ألحقت الألغام الأرضية المضادة للأفراد والمضادة للمركبات التي زرعت في مداخل ومخارج المدن والبلدات والقرى، وكذلك في المنازل والحدائق والأراضي الزراعية في المناطق التي قاومت وجود الحوثيين أضرارا في حياة السكان وسبل عيشهم. تعز هي واحدة من أكثر المحافظات المتضررة بالألغام في اليمن حيث قتلت الألغام الأرضية وشوهت المدنيين، وأعاقت حياتهم، وعرقلت وصول المساعدات الإنسانية، ومنعت عودتهم بأمان إلى منازلهم</w:t>
      </w:r>
      <w:r w:rsidRPr="00AE6847">
        <w:rPr>
          <w:rFonts w:ascii="Traditional Arabic" w:hAnsi="Traditional Arabic" w:cs="Traditional Arabic"/>
          <w:sz w:val="30"/>
          <w:szCs w:val="30"/>
          <w:lang w:eastAsia="en-GB"/>
        </w:rPr>
        <w:t>.</w:t>
      </w:r>
    </w:p>
    <w:p w14:paraId="6AB87132" w14:textId="5EE6C23F" w:rsidR="00AE6847" w:rsidRPr="00AE6847"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lang w:eastAsia="en-GB"/>
        </w:rPr>
        <w:lastRenderedPageBreak/>
        <w:t xml:space="preserve"> </w:t>
      </w:r>
      <w:r w:rsidRPr="00AE6847">
        <w:rPr>
          <w:rFonts w:ascii="Traditional Arabic" w:hAnsi="Traditional Arabic" w:cs="Traditional Arabic"/>
          <w:sz w:val="30"/>
          <w:szCs w:val="30"/>
          <w:rtl/>
          <w:lang w:eastAsia="en-GB"/>
        </w:rPr>
        <w:t xml:space="preserve">استعرض فريق الخبراء 32 حادث لغم أرضي في تعز حدثت بين الفترة من تموز/ يوليو 2016 إلى تموز / يوليو 2018. </w:t>
      </w:r>
      <w:r w:rsidR="00C05657">
        <w:rPr>
          <w:rFonts w:ascii="Traditional Arabic" w:hAnsi="Traditional Arabic" w:cs="Traditional Arabic" w:hint="cs"/>
          <w:sz w:val="30"/>
          <w:szCs w:val="30"/>
          <w:rtl/>
          <w:lang w:eastAsia="en-GB"/>
        </w:rPr>
        <w:t xml:space="preserve">تحقق فريق الخبراء من </w:t>
      </w:r>
      <w:r w:rsidR="0097776A">
        <w:rPr>
          <w:rFonts w:ascii="Traditional Arabic" w:hAnsi="Traditional Arabic" w:cs="Traditional Arabic" w:hint="cs"/>
          <w:sz w:val="30"/>
          <w:szCs w:val="30"/>
          <w:rtl/>
          <w:lang w:eastAsia="en-GB"/>
        </w:rPr>
        <w:t xml:space="preserve">17 حادث انفجار الغام ارضية في تعز والتي تسببت بمقتل 15 مدني (7 أطفال، و 6 رجال، وامرأتين) وكذلك جرح 28 مدنياً ( 12 رجل، و9 اطفال، و7 نساء). </w:t>
      </w:r>
      <w:r w:rsidR="00C05657">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تشير سجلات </w:t>
      </w:r>
      <w:r w:rsidR="00770135">
        <w:rPr>
          <w:rFonts w:ascii="Traditional Arabic" w:hAnsi="Traditional Arabic" w:cs="Traditional Arabic" w:hint="cs"/>
          <w:sz w:val="30"/>
          <w:szCs w:val="30"/>
          <w:rtl/>
        </w:rPr>
        <w:t>ال</w:t>
      </w:r>
      <w:r w:rsidR="00770135" w:rsidRPr="009D7B92">
        <w:rPr>
          <w:rFonts w:ascii="Traditional Arabic" w:hAnsi="Traditional Arabic" w:cs="Traditional Arabic"/>
          <w:sz w:val="30"/>
          <w:szCs w:val="30"/>
          <w:rtl/>
        </w:rPr>
        <w:t xml:space="preserve">لجنة الوطنية </w:t>
      </w:r>
      <w:r w:rsidR="00770135">
        <w:rPr>
          <w:rFonts w:ascii="Traditional Arabic" w:hAnsi="Traditional Arabic" w:cs="Traditional Arabic" w:hint="cs"/>
          <w:sz w:val="30"/>
          <w:szCs w:val="30"/>
          <w:rtl/>
        </w:rPr>
        <w:t>ل</w:t>
      </w:r>
      <w:r w:rsidR="00770135" w:rsidRPr="009D7B92">
        <w:rPr>
          <w:rFonts w:ascii="Traditional Arabic" w:hAnsi="Traditional Arabic" w:cs="Traditional Arabic"/>
          <w:sz w:val="30"/>
          <w:szCs w:val="30"/>
          <w:rtl/>
        </w:rPr>
        <w:t xml:space="preserve">لتحقيق </w:t>
      </w:r>
      <w:r w:rsidRPr="00AE6847">
        <w:rPr>
          <w:rFonts w:ascii="Traditional Arabic" w:hAnsi="Traditional Arabic" w:cs="Traditional Arabic"/>
          <w:sz w:val="30"/>
          <w:szCs w:val="30"/>
          <w:rtl/>
          <w:lang w:eastAsia="en-GB"/>
        </w:rPr>
        <w:t xml:space="preserve">اليمنية إلى أن 145 مدنياً (70 رجلاً و 35 طفلاً وتسع نساء) قُتلوا بسبب انفجار ألغام أرضية في تعز، وأصيب 138 مدنياً (89 رجلاً و 34 طفلاً و 15 امرأة) من بداية النزاع حتى </w:t>
      </w:r>
      <w:r w:rsidR="006842B4">
        <w:rPr>
          <w:rFonts w:ascii="Traditional Arabic" w:hAnsi="Traditional Arabic" w:cs="Traditional Arabic" w:hint="cs"/>
          <w:sz w:val="30"/>
          <w:szCs w:val="30"/>
          <w:rtl/>
          <w:lang w:eastAsia="en-GB"/>
        </w:rPr>
        <w:t xml:space="preserve">كانون الثاني/ </w:t>
      </w:r>
      <w:r w:rsidRPr="00AE6847">
        <w:rPr>
          <w:rFonts w:ascii="Traditional Arabic" w:hAnsi="Traditional Arabic" w:cs="Traditional Arabic"/>
          <w:sz w:val="30"/>
          <w:szCs w:val="30"/>
          <w:rtl/>
          <w:lang w:eastAsia="en-GB"/>
        </w:rPr>
        <w:t>يناير  2019. وفقًا ل</w:t>
      </w:r>
      <w:r w:rsidR="001E611C">
        <w:rPr>
          <w:rFonts w:ascii="Traditional Arabic" w:hAnsi="Traditional Arabic" w:cs="Traditional Arabic" w:hint="cs"/>
          <w:sz w:val="30"/>
          <w:szCs w:val="30"/>
          <w:rtl/>
          <w:lang w:eastAsia="en-GB"/>
        </w:rPr>
        <w:t xml:space="preserve">ما ورد لفريق الخبراء فأن </w:t>
      </w:r>
      <w:r w:rsidRPr="00AE6847">
        <w:rPr>
          <w:rFonts w:ascii="Traditional Arabic" w:hAnsi="Traditional Arabic" w:cs="Traditional Arabic"/>
          <w:sz w:val="30"/>
          <w:szCs w:val="30"/>
          <w:rtl/>
          <w:lang w:eastAsia="en-GB"/>
        </w:rPr>
        <w:t xml:space="preserve">مركز الاطراف الصناعيه وإعادة التأهيل التابع لمكتب الصحة العامة والسكان في تعز  </w:t>
      </w:r>
      <w:r w:rsidR="001E611C">
        <w:rPr>
          <w:rFonts w:ascii="Traditional Arabic" w:hAnsi="Traditional Arabic" w:cs="Traditional Arabic" w:hint="cs"/>
          <w:sz w:val="30"/>
          <w:szCs w:val="30"/>
          <w:rtl/>
          <w:lang w:eastAsia="en-GB"/>
        </w:rPr>
        <w:t>عالج</w:t>
      </w:r>
      <w:r w:rsidRPr="00AE6847">
        <w:rPr>
          <w:rFonts w:ascii="Traditional Arabic" w:hAnsi="Traditional Arabic" w:cs="Traditional Arabic"/>
          <w:sz w:val="30"/>
          <w:szCs w:val="30"/>
          <w:rtl/>
          <w:lang w:eastAsia="en-GB"/>
        </w:rPr>
        <w:t xml:space="preserve"> 288 من ضحايا الألغام الأرضية بترت أطرافهم بسبب إصابات الانفجار وينتظرون الأطراف الاصطناعيه.</w:t>
      </w:r>
      <w:r w:rsidRPr="00AE6847">
        <w:rPr>
          <w:rFonts w:ascii="Traditional Arabic" w:hAnsi="Traditional Arabic" w:cs="Traditional Arabic"/>
          <w:sz w:val="30"/>
          <w:szCs w:val="30"/>
          <w:vertAlign w:val="superscript"/>
          <w:rtl/>
          <w:lang w:eastAsia="en-GB"/>
        </w:rPr>
        <w:footnoteReference w:id="509"/>
      </w:r>
      <w:r w:rsidRPr="00AE6847">
        <w:rPr>
          <w:rFonts w:ascii="Traditional Arabic" w:hAnsi="Traditional Arabic" w:cs="Traditional Arabic"/>
          <w:sz w:val="30"/>
          <w:szCs w:val="30"/>
          <w:rtl/>
          <w:lang w:eastAsia="en-GB"/>
        </w:rPr>
        <w:t xml:space="preserve"> توضح هذه الأرقام وحدها حجم تأثير الألغام الأرضية على المدنيين في المحافظة. حقق فريق الخبراء في عينة من الحوادث الناتجه عن انفجارات الألغام الأرضية التي أسفرت عن مقتل وجرح مدنيين، ترد تفاصيلها أدناه</w:t>
      </w:r>
      <w:r w:rsidRPr="00AE6847">
        <w:rPr>
          <w:rFonts w:ascii="Traditional Arabic" w:hAnsi="Traditional Arabic" w:cs="Traditional Arabic"/>
          <w:sz w:val="30"/>
          <w:szCs w:val="30"/>
          <w:lang w:eastAsia="en-GB"/>
        </w:rPr>
        <w:t>.</w:t>
      </w:r>
    </w:p>
    <w:p w14:paraId="41C92375" w14:textId="45BF3577"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في 15 يونيو / حزيران 2018 ، في الصباح الباكر ، أصيب رجل جراء انفجار لغم أرضي بالقرب من قرية المعقر في مديرية الموزع .</w:t>
      </w:r>
      <w:r w:rsidRPr="00AE6847">
        <w:rPr>
          <w:rFonts w:ascii="Traditional Arabic" w:hAnsi="Traditional Arabic" w:cs="Traditional Arabic"/>
          <w:sz w:val="30"/>
          <w:szCs w:val="30"/>
          <w:vertAlign w:val="superscript"/>
          <w:rtl/>
          <w:lang w:eastAsia="en-GB"/>
        </w:rPr>
        <w:footnoteReference w:id="510"/>
      </w:r>
      <w:r w:rsidRPr="00AE6847">
        <w:rPr>
          <w:rFonts w:ascii="Traditional Arabic" w:hAnsi="Traditional Arabic" w:cs="Traditional Arabic"/>
          <w:sz w:val="30"/>
          <w:szCs w:val="30"/>
          <w:rtl/>
          <w:lang w:eastAsia="en-GB"/>
        </w:rPr>
        <w:t xml:space="preserve"> بينما كان في طريقه يرعى الاغنام، داس على لغم أرضي. أدى  الانفجار إلى بتر قدمه اليسرى. كان الرجل يكسب رزقه من الرعي. على عكس كثيرين آخرين من قريته، فقد قرر البقاء عندما تقدم الحوثيون في المنطقة في المراحل الأولى من النزاع. استعادت القوات المسلحة اليمنية سيطرتها على المنطقة بحلول ديسمبر 2015، لكن الألغام التي زرعها الحوثيون ظلت</w:t>
      </w:r>
      <w:r w:rsidRPr="00AE6847">
        <w:rPr>
          <w:rFonts w:ascii="Traditional Arabic" w:hAnsi="Traditional Arabic" w:cs="Traditional Arabic"/>
          <w:sz w:val="30"/>
          <w:szCs w:val="30"/>
          <w:lang w:eastAsia="en-GB"/>
        </w:rPr>
        <w:t>.</w:t>
      </w:r>
    </w:p>
    <w:p w14:paraId="3B9289B5" w14:textId="6258AC13"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في حادثة أخرى، في 14 سبتمبر / أيلول 2017 ، الساعة 13:00، قُتلت امرأة وطفلها في مديرية الصلو عندما داست على لغم أرضي زرع على طريق على بعد 300 متر من منزلها. ووفقًا للشهود ، تلقت المرأة تهديدات عبر الهاتف من أحد زعماء الحوثيين المحليين الذي قيل إنه أراد التحدث إليها حول "حركات غير طبيعية بالقرب من منزلها". ورد أن الشهود سمعوا صوت الانفجار ورأوا الدخان عندما انفجر الجهاز. علماً ان المرأة سبق وقد أصيبت من قبل قناص حوثي أثناء عملها في مزرعتها</w:t>
      </w:r>
      <w:r w:rsidRPr="00AE6847">
        <w:rPr>
          <w:rFonts w:ascii="Traditional Arabic" w:hAnsi="Traditional Arabic" w:cs="Traditional Arabic"/>
          <w:sz w:val="30"/>
          <w:szCs w:val="30"/>
          <w:lang w:eastAsia="en-GB"/>
        </w:rPr>
        <w:t>.</w:t>
      </w:r>
    </w:p>
    <w:p w14:paraId="153BCE99" w14:textId="1B0A48AF"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في 7 يوليو / تموز 2017 ، حوالي الساعة 09:00 صباحًا، تم تشويه سيدتين عندما انفجر لغمان أرضيان في منطقة الشقب بمديرية صبر الموادم  في محافظة تعز. اللجان الشعبية التابعة للحوثيين والجماعات المسلحة المكونة من وحدات الجيش الموالية للرئيس السابق قد زرعت الألغام الأرضية على الطريق الغير معبدة في منطقة الشقب، وهو موقع استراتيجي للوصول إلى قرى مختلفة، لإبطاء تقدم جماعات المقاومة التابعة للقوات المسلحة اليمنية. أصبحت الألغام الأرضية تهديدًا واضحًا للمدنيين في هذه المنطقة حيث قتل ثلاثة وأصيب 11 آخرون</w:t>
      </w:r>
      <w:r w:rsidRPr="00AE6847">
        <w:rPr>
          <w:rFonts w:ascii="Traditional Arabic" w:hAnsi="Traditional Arabic" w:cs="Traditional Arabic"/>
          <w:sz w:val="30"/>
          <w:szCs w:val="30"/>
          <w:lang w:eastAsia="en-GB"/>
        </w:rPr>
        <w:t>.</w:t>
      </w:r>
    </w:p>
    <w:p w14:paraId="49EDF5EF" w14:textId="63EED445" w:rsidR="00AE6847" w:rsidRPr="001E611C" w:rsidRDefault="00AE6847" w:rsidP="001B48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lastRenderedPageBreak/>
        <w:t xml:space="preserve">في 13 </w:t>
      </w:r>
      <w:r w:rsidR="001D3023">
        <w:rPr>
          <w:rFonts w:ascii="Traditional Arabic" w:hAnsi="Traditional Arabic" w:cs="Traditional Arabic" w:hint="cs"/>
          <w:sz w:val="30"/>
          <w:szCs w:val="30"/>
          <w:rtl/>
          <w:lang w:eastAsia="en-GB"/>
        </w:rPr>
        <w:t xml:space="preserve">شباط/ </w:t>
      </w:r>
      <w:r w:rsidRPr="00AE6847">
        <w:rPr>
          <w:rFonts w:ascii="Traditional Arabic" w:hAnsi="Traditional Arabic" w:cs="Traditional Arabic"/>
          <w:sz w:val="30"/>
          <w:szCs w:val="30"/>
          <w:rtl/>
          <w:lang w:eastAsia="en-GB"/>
        </w:rPr>
        <w:t xml:space="preserve">فبراير 2019 ، أصيبت امرأتان بجروح نتيجة انفجار لغم أرضي في حي ذراع الغبار، شرقي قرية الشقب، في مديرية صبر الموادم. في الساعة 10:30 من ذلك اليوم، كانت امرأة تبلغ من العمر 43 عامًا تجمع الحطب للطهي قد دعست على لغم أرضي. أدى الانفجار إلى إصابة المرأة وبتر ساقها اليمنى. ساعد الشهود في نقلها إلى مستشفى الصفوة في مدينة تعز . </w:t>
      </w:r>
      <w:r w:rsidRPr="00AE6847">
        <w:rPr>
          <w:rFonts w:ascii="Traditional Arabic" w:hAnsi="Traditional Arabic" w:cs="Traditional Arabic"/>
          <w:sz w:val="30"/>
          <w:szCs w:val="30"/>
          <w:vertAlign w:val="superscript"/>
          <w:rtl/>
          <w:lang w:eastAsia="en-GB"/>
        </w:rPr>
        <w:footnoteReference w:id="511"/>
      </w:r>
      <w:r w:rsidR="001E611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كما أصيبت سيدة في الخامسة والعشرين من عمرها في يدها وساقها جراء شظايا الانفجار نفسه. وفقًا لسكان محليين ، لم تكن هاتان المرأتان أول ضحايا الألغام الأرضية في القرية. كان 14 قرويًا قد وقعوا بالفعل ضحايا للألغام الأرضية التي زرعها الحوثيون في المناطق الشرقية من الشقب، على الطرق والأجزاء السكنية، قُتل ثلاثة منهم وأصيب 11 آخرون، بينهم أربع نساء عانين من البتر وأصبحن معاقات بشكل دائم. تتميز قرية الشقب بموقع استراتيجي عالٍ في الجبال في محافظة تعز الجنوبية، وقد استخدم الحوثيون الألغام على نطاق واسع في المنطقة لعرقلة تقدم القوات المسلحة اليمنية والجماعات التابعة لها ، وعزلت قريه يبلغ عدد سكانها 10000 شخص وحولتها إلى خط مواجهة.</w:t>
      </w:r>
      <w:r w:rsidRPr="00AE6847">
        <w:rPr>
          <w:rFonts w:ascii="Traditional Arabic" w:hAnsi="Traditional Arabic" w:cs="Traditional Arabic"/>
          <w:sz w:val="30"/>
          <w:szCs w:val="30"/>
          <w:vertAlign w:val="superscript"/>
          <w:rtl/>
          <w:lang w:eastAsia="en-GB"/>
        </w:rPr>
        <w:footnoteReference w:id="512"/>
      </w:r>
      <w:r w:rsidRPr="00AE6847">
        <w:rPr>
          <w:rFonts w:ascii="Traditional Arabic" w:hAnsi="Traditional Arabic" w:cs="Traditional Arabic"/>
          <w:sz w:val="30"/>
          <w:szCs w:val="30"/>
          <w:rtl/>
          <w:lang w:eastAsia="en-GB"/>
        </w:rPr>
        <w:t xml:space="preserve"> لا توجد علامات أو خرائط للإشارة إلى</w:t>
      </w:r>
      <w:r w:rsidR="001B48DD">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مواقع الألغام</w:t>
      </w:r>
      <w:r w:rsidRPr="00AE6847">
        <w:rPr>
          <w:rFonts w:ascii="Traditional Arabic" w:hAnsi="Traditional Arabic" w:cs="Traditional Arabic"/>
          <w:sz w:val="30"/>
          <w:szCs w:val="30"/>
          <w:lang w:eastAsia="en-GB"/>
        </w:rPr>
        <w:t>.</w:t>
      </w:r>
      <w:r w:rsidRPr="001E611C">
        <w:rPr>
          <w:rFonts w:ascii="Traditional Arabic" w:eastAsia="Calibri" w:hAnsi="Traditional Arabic" w:cs="Traditional Arabic"/>
          <w:sz w:val="30"/>
          <w:szCs w:val="30"/>
          <w:rtl/>
        </w:rPr>
        <w:t xml:space="preserve">       </w:t>
      </w:r>
      <w:r w:rsidRPr="001E611C">
        <w:rPr>
          <w:rFonts w:ascii="Traditional Arabic" w:eastAsia="Calibri" w:hAnsi="Traditional Arabic" w:cs="Traditional Arabic"/>
          <w:sz w:val="30"/>
          <w:szCs w:val="30"/>
        </w:rPr>
        <w:tab/>
        <w:t xml:space="preserve">  </w:t>
      </w:r>
    </w:p>
    <w:p w14:paraId="75B148CB" w14:textId="77777777" w:rsidR="00AE6847" w:rsidRPr="005A2A33" w:rsidRDefault="00AE6847" w:rsidP="000C6E35">
      <w:pPr>
        <w:tabs>
          <w:tab w:val="left" w:pos="720"/>
        </w:tabs>
        <w:suppressAutoHyphens w:val="0"/>
        <w:bidi/>
        <w:spacing w:after="240" w:line="240" w:lineRule="auto"/>
        <w:ind w:right="827" w:firstLine="567"/>
        <w:rPr>
          <w:rFonts w:ascii="Traditional Arabic" w:eastAsia="Calibri" w:hAnsi="Traditional Arabic" w:cs="Traditional Arabic"/>
          <w:i/>
          <w:iCs/>
          <w:sz w:val="30"/>
          <w:szCs w:val="30"/>
          <w:rtl/>
        </w:rPr>
      </w:pPr>
      <w:r w:rsidRPr="00AE6847">
        <w:rPr>
          <w:rFonts w:ascii="Traditional Arabic" w:eastAsia="Calibri" w:hAnsi="Traditional Arabic" w:cs="Traditional Arabic"/>
          <w:sz w:val="30"/>
          <w:szCs w:val="30"/>
        </w:rPr>
        <w:t xml:space="preserve">      </w:t>
      </w:r>
      <w:r w:rsidRPr="005A2A33">
        <w:rPr>
          <w:rFonts w:ascii="Traditional Arabic" w:eastAsia="Calibri" w:hAnsi="Traditional Arabic" w:cs="Traditional Arabic"/>
          <w:i/>
          <w:iCs/>
          <w:sz w:val="30"/>
          <w:szCs w:val="30"/>
          <w:rtl/>
        </w:rPr>
        <w:t xml:space="preserve">الانتهاكات </w:t>
      </w:r>
    </w:p>
    <w:p w14:paraId="2D428DF5" w14:textId="5E84E2FB" w:rsidR="00AE6847" w:rsidRPr="00AE6847" w:rsidRDefault="00AE6847" w:rsidP="00BE746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 xml:space="preserve"> رغم أن القانون الإنساني الدولي العرفي لا يحظر في حد ذاته استخدام الألغام الأرضية، فإنه يفرض قيوداً على استخدامها. تبعا لذلك، يجب توخي الحذر الشديد من جانب أطراف النزاع لتقليل الآثار العشوائية للألغام الأرضية.</w:t>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vertAlign w:val="superscript"/>
          <w:lang w:eastAsia="en-GB"/>
        </w:rPr>
        <w:footnoteReference w:id="513"/>
      </w:r>
    </w:p>
    <w:p w14:paraId="31A3E649" w14:textId="03E9B252" w:rsidR="00AE6847" w:rsidRPr="00AE6847" w:rsidRDefault="00AE6847" w:rsidP="00203F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في أيار / مايو 2019، أكدت سلطات الأمر الواقع لفريق الخبراء أن الحوثيين استخدموا ألغام </w:t>
      </w:r>
      <w:r w:rsidR="00FE51AC">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 xml:space="preserve">لمركبات، لكنهم </w:t>
      </w:r>
      <w:r w:rsidR="00203FF6">
        <w:rPr>
          <w:rFonts w:ascii="Traditional Arabic" w:hAnsi="Traditional Arabic" w:cs="Traditional Arabic" w:hint="cs"/>
          <w:sz w:val="30"/>
          <w:szCs w:val="30"/>
          <w:rtl/>
          <w:lang w:eastAsia="en-GB"/>
        </w:rPr>
        <w:t>أنكر</w:t>
      </w:r>
      <w:r w:rsidRPr="00AE6847">
        <w:rPr>
          <w:rFonts w:ascii="Traditional Arabic" w:hAnsi="Traditional Arabic" w:cs="Traditional Arabic"/>
          <w:sz w:val="30"/>
          <w:szCs w:val="30"/>
          <w:rtl/>
          <w:lang w:eastAsia="en-GB"/>
        </w:rPr>
        <w:t xml:space="preserve">وا استخدام ألغام </w:t>
      </w:r>
      <w:r w:rsidR="00FE51AC">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 xml:space="preserve">لأفراد، مشيرة إلى </w:t>
      </w:r>
      <w:r w:rsidR="006842B4">
        <w:rPr>
          <w:rFonts w:ascii="Traditional Arabic" w:hAnsi="Traditional Arabic" w:cs="Traditional Arabic" w:hint="cs"/>
          <w:sz w:val="30"/>
          <w:szCs w:val="30"/>
          <w:rtl/>
          <w:lang w:eastAsia="en-GB"/>
        </w:rPr>
        <w:t>إ</w:t>
      </w:r>
      <w:r w:rsidRPr="00AE6847">
        <w:rPr>
          <w:rFonts w:ascii="Traditional Arabic" w:hAnsi="Traditional Arabic" w:cs="Traditional Arabic"/>
          <w:sz w:val="30"/>
          <w:szCs w:val="30"/>
          <w:rtl/>
          <w:lang w:eastAsia="en-GB"/>
        </w:rPr>
        <w:t xml:space="preserve">لتزاماتهم بموجب القانون الإنساني الدولي، بما في ذلك اتفاقية حظر الألغام </w:t>
      </w:r>
      <w:r w:rsidR="00203FF6">
        <w:rPr>
          <w:rFonts w:ascii="Traditional Arabic" w:hAnsi="Traditional Arabic" w:cs="Traditional Arabic" w:hint="cs"/>
          <w:sz w:val="30"/>
          <w:szCs w:val="30"/>
          <w:rtl/>
          <w:lang w:eastAsia="en-GB"/>
        </w:rPr>
        <w:t>ضد ا</w:t>
      </w:r>
      <w:r w:rsidRPr="00AE6847">
        <w:rPr>
          <w:rFonts w:ascii="Traditional Arabic" w:hAnsi="Traditional Arabic" w:cs="Traditional Arabic"/>
          <w:sz w:val="30"/>
          <w:szCs w:val="30"/>
          <w:rtl/>
          <w:lang w:eastAsia="en-GB"/>
        </w:rPr>
        <w:t>لأفراد التي صادقت عليها اليمن</w:t>
      </w:r>
      <w:r w:rsidRPr="00AE6847">
        <w:rPr>
          <w:rFonts w:ascii="Traditional Arabic" w:hAnsi="Traditional Arabic" w:cs="Traditional Arabic"/>
          <w:sz w:val="30"/>
          <w:szCs w:val="30"/>
          <w:lang w:eastAsia="en-GB"/>
        </w:rPr>
        <w:t>.</w:t>
      </w:r>
    </w:p>
    <w:p w14:paraId="0E249F83" w14:textId="6CB7F42F" w:rsidR="00AE6847" w:rsidRPr="00AE6847" w:rsidRDefault="00AE6847" w:rsidP="006842B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لدى فريق الخبراء أسباب معقولة للاعتقاد بأن الحوثيين استخدموا الألغام الأرضية المضادة للأفراد والمركبات في تعز في انتهاك للقانون الإنساني الدولي. نظرًا للطريقة التي تم بها وضع الألغام في مواقع غير محددة يرتادها المدنيون، مع القليل من التحذير أو عدم تقديمه، فقد انتهك الحوثيون التزامهم بموجب القانون الإنساني الدولي بتقليل الآثار العشوائية للألغام الأرضية. يحظر استخدام الألغام المضادة للأفراد بموجب اتفاقية حظر الألغام المضادة للأفراد والتي اليمن طرف فيها، وتم الاعتراف بتطبيقها من قبل سلطات الأمر الواقع</w:t>
      </w:r>
      <w:r w:rsidRPr="00AE6847">
        <w:rPr>
          <w:rFonts w:ascii="Traditional Arabic" w:hAnsi="Traditional Arabic" w:cs="Traditional Arabic"/>
          <w:sz w:val="30"/>
          <w:szCs w:val="30"/>
          <w:lang w:eastAsia="en-GB"/>
        </w:rPr>
        <w:t>.</w:t>
      </w:r>
    </w:p>
    <w:p w14:paraId="095081AD" w14:textId="77777777" w:rsidR="00AE6847" w:rsidRPr="00AE6847" w:rsidRDefault="00AE6847" w:rsidP="000C6E35">
      <w:pPr>
        <w:tabs>
          <w:tab w:val="left" w:pos="720"/>
        </w:tabs>
        <w:suppressAutoHyphens w:val="0"/>
        <w:bidi/>
        <w:spacing w:after="160" w:line="240" w:lineRule="auto"/>
        <w:ind w:right="828" w:firstLine="639"/>
        <w:rPr>
          <w:rFonts w:ascii="Traditional Arabic" w:eastAsia="Calibri" w:hAnsi="Traditional Arabic" w:cs="Traditional Arabic"/>
          <w:b/>
          <w:bCs/>
          <w:sz w:val="30"/>
          <w:szCs w:val="30"/>
          <w:lang w:val="en-US"/>
        </w:rPr>
      </w:pPr>
      <w:r w:rsidRPr="00AE6847">
        <w:rPr>
          <w:rFonts w:ascii="Traditional Arabic" w:eastAsia="Calibri" w:hAnsi="Traditional Arabic" w:cs="Traditional Arabic"/>
          <w:b/>
          <w:bCs/>
          <w:sz w:val="30"/>
          <w:szCs w:val="30"/>
          <w:rtl/>
        </w:rPr>
        <w:t>5.</w:t>
      </w:r>
      <w:r w:rsidRPr="00AE6847">
        <w:rPr>
          <w:rFonts w:ascii="Traditional Arabic" w:eastAsia="Calibri" w:hAnsi="Traditional Arabic" w:cs="Traditional Arabic"/>
          <w:b/>
          <w:bCs/>
          <w:sz w:val="30"/>
          <w:szCs w:val="30"/>
          <w:rtl/>
        </w:rPr>
        <w:tab/>
        <w:t xml:space="preserve"> "حصار" تعز</w:t>
      </w:r>
    </w:p>
    <w:p w14:paraId="708B862A" w14:textId="77777777" w:rsidR="00AE6847" w:rsidRPr="00AE6847" w:rsidRDefault="00AE6847" w:rsidP="000C6E35">
      <w:pPr>
        <w:tabs>
          <w:tab w:val="left" w:pos="720"/>
          <w:tab w:val="left" w:pos="1701"/>
        </w:tabs>
        <w:suppressAutoHyphens w:val="0"/>
        <w:bidi/>
        <w:spacing w:after="120"/>
        <w:ind w:left="1530" w:right="828" w:hanging="81"/>
        <w:contextualSpacing/>
        <w:rPr>
          <w:rFonts w:ascii="Traditional Arabic" w:hAnsi="Traditional Arabic" w:cs="Traditional Arabic"/>
          <w:i/>
          <w:iCs/>
          <w:sz w:val="30"/>
          <w:szCs w:val="30"/>
          <w:lang w:eastAsia="en-GB"/>
        </w:rPr>
      </w:pPr>
      <w:r w:rsidRPr="00AE6847">
        <w:rPr>
          <w:rFonts w:ascii="Traditional Arabic" w:hAnsi="Traditional Arabic" w:cs="Traditional Arabic"/>
          <w:i/>
          <w:iCs/>
          <w:sz w:val="30"/>
          <w:szCs w:val="30"/>
          <w:rtl/>
          <w:lang w:eastAsia="en-GB"/>
        </w:rPr>
        <w:t>"كانت محاولتهم الأخيرة لجعل المدينة تسقط</w:t>
      </w:r>
      <w:r w:rsidRPr="00AE6847">
        <w:rPr>
          <w:rFonts w:ascii="Traditional Arabic" w:hAnsi="Traditional Arabic" w:cs="Traditional Arabic"/>
          <w:i/>
          <w:iCs/>
          <w:sz w:val="30"/>
          <w:szCs w:val="30"/>
          <w:lang w:eastAsia="en-GB"/>
        </w:rPr>
        <w:t>"</w:t>
      </w:r>
      <w:r w:rsidRPr="00AE6847">
        <w:rPr>
          <w:rFonts w:ascii="Traditional Arabic" w:hAnsi="Traditional Arabic" w:cs="Traditional Arabic"/>
          <w:i/>
          <w:iCs/>
          <w:sz w:val="30"/>
          <w:szCs w:val="30"/>
          <w:vertAlign w:val="superscript"/>
          <w:lang w:eastAsia="en-GB"/>
        </w:rPr>
        <w:footnoteReference w:id="514"/>
      </w:r>
    </w:p>
    <w:p w14:paraId="33A6DB91" w14:textId="3F3C7AA9" w:rsidR="00AE6847" w:rsidRPr="00AE6847" w:rsidRDefault="00AE6847" w:rsidP="00405F5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lastRenderedPageBreak/>
        <w:t xml:space="preserve">عندما قامت القوات المسلحة اليمنية والجماعات المسلحة التابعة لها بطرد مقاتلي الحوثي صالح من مدينة تعز إلى المناطق المحيطة بها في </w:t>
      </w:r>
      <w:r w:rsidR="00BE746A">
        <w:rPr>
          <w:rFonts w:ascii="Traditional Arabic" w:hAnsi="Traditional Arabic" w:cs="Traditional Arabic" w:hint="cs"/>
          <w:sz w:val="30"/>
          <w:szCs w:val="30"/>
          <w:rtl/>
          <w:lang w:eastAsia="en-GB" w:bidi="ar-JO"/>
        </w:rPr>
        <w:t xml:space="preserve">تموز/ </w:t>
      </w:r>
      <w:r w:rsidRPr="00AE6847">
        <w:rPr>
          <w:rFonts w:ascii="Traditional Arabic" w:hAnsi="Traditional Arabic" w:cs="Traditional Arabic"/>
          <w:sz w:val="30"/>
          <w:szCs w:val="30"/>
          <w:rtl/>
          <w:lang w:eastAsia="en-GB"/>
        </w:rPr>
        <w:t>يوليو 2015، انخرطت الأخيرة في محاولات لإضعاف المقاومة واستعادة السيطرة على المدينة المحاصرة. ومع ذلك، ظل مركز تعز تحت السيطرة العسكرية للمقاومة، والتي كانت آنذاك تحظى بدعم شعبي كبير. خلال المراحل الأولى من ال</w:t>
      </w:r>
      <w:r w:rsidR="00BE746A">
        <w:rPr>
          <w:rFonts w:ascii="Traditional Arabic" w:hAnsi="Traditional Arabic" w:cs="Traditional Arabic" w:hint="cs"/>
          <w:sz w:val="30"/>
          <w:szCs w:val="30"/>
          <w:rtl/>
          <w:lang w:eastAsia="en-GB"/>
        </w:rPr>
        <w:t>نزا</w:t>
      </w:r>
      <w:r w:rsidRPr="00AE6847">
        <w:rPr>
          <w:rFonts w:ascii="Traditional Arabic" w:hAnsi="Traditional Arabic" w:cs="Traditional Arabic"/>
          <w:sz w:val="30"/>
          <w:szCs w:val="30"/>
          <w:rtl/>
          <w:lang w:eastAsia="en-GB"/>
        </w:rPr>
        <w:t>ع في تعز، اندلعت مواجهات مسلحة</w:t>
      </w:r>
      <w:r w:rsidR="0097776A">
        <w:rPr>
          <w:rFonts w:ascii="Traditional Arabic" w:hAnsi="Traditional Arabic" w:cs="Traditional Arabic" w:hint="cs"/>
          <w:sz w:val="30"/>
          <w:szCs w:val="30"/>
          <w:rtl/>
          <w:lang w:eastAsia="en-GB"/>
        </w:rPr>
        <w:t xml:space="preserve"> مع مقاتلي الحوثي- صالح</w:t>
      </w:r>
      <w:r w:rsidRPr="00AE6847">
        <w:rPr>
          <w:rFonts w:ascii="Traditional Arabic" w:hAnsi="Traditional Arabic" w:cs="Traditional Arabic"/>
          <w:sz w:val="30"/>
          <w:szCs w:val="30"/>
          <w:rtl/>
          <w:lang w:eastAsia="en-GB"/>
        </w:rPr>
        <w:t xml:space="preserve"> في أجزاء مختلفة من المدينة، بهدف الوصول إلى مركزها ، الذي استعادته المقاومة التابعة للحكومة. </w:t>
      </w:r>
      <w:r w:rsidR="00BE746A">
        <w:rPr>
          <w:rFonts w:ascii="Traditional Arabic" w:hAnsi="Traditional Arabic" w:cs="Traditional Arabic" w:hint="cs"/>
          <w:sz w:val="30"/>
          <w:szCs w:val="30"/>
          <w:rtl/>
          <w:lang w:eastAsia="en-GB"/>
        </w:rPr>
        <w:t xml:space="preserve">وقد </w:t>
      </w:r>
      <w:r w:rsidRPr="00AE6847">
        <w:rPr>
          <w:rFonts w:ascii="Traditional Arabic" w:hAnsi="Traditional Arabic" w:cs="Traditional Arabic"/>
          <w:sz w:val="30"/>
          <w:szCs w:val="30"/>
          <w:rtl/>
          <w:lang w:eastAsia="en-GB"/>
        </w:rPr>
        <w:t>فشلت هذه المحاولات للسيطرة على مركز تعز. بحلول آب / أغس</w:t>
      </w:r>
      <w:r w:rsidR="001E611C">
        <w:rPr>
          <w:rFonts w:ascii="Traditional Arabic" w:hAnsi="Traditional Arabic" w:cs="Traditional Arabic"/>
          <w:sz w:val="30"/>
          <w:szCs w:val="30"/>
          <w:rtl/>
          <w:lang w:eastAsia="en-GB"/>
        </w:rPr>
        <w:t>طس - أيلول / سبتمبر 2015 ، كان</w:t>
      </w:r>
      <w:r w:rsidR="00BE746A">
        <w:rPr>
          <w:rFonts w:ascii="Traditional Arabic" w:hAnsi="Traditional Arabic" w:cs="Traditional Arabic" w:hint="cs"/>
          <w:sz w:val="30"/>
          <w:szCs w:val="30"/>
          <w:rtl/>
          <w:lang w:eastAsia="en-GB"/>
        </w:rPr>
        <w:t xml:space="preserve"> مقاتلو</w:t>
      </w:r>
      <w:r w:rsidR="001E611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الحوثي </w:t>
      </w:r>
      <w:r w:rsidR="00BE746A">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 xml:space="preserve">صالح قد </w:t>
      </w:r>
      <w:r w:rsidR="00BE746A">
        <w:rPr>
          <w:rFonts w:ascii="Traditional Arabic" w:hAnsi="Traditional Arabic" w:cs="Traditional Arabic" w:hint="cs"/>
          <w:sz w:val="30"/>
          <w:szCs w:val="30"/>
          <w:rtl/>
          <w:lang w:eastAsia="en-GB"/>
        </w:rPr>
        <w:t xml:space="preserve">تمركزوا </w:t>
      </w:r>
      <w:r w:rsidRPr="00AE6847">
        <w:rPr>
          <w:rFonts w:ascii="Traditional Arabic" w:hAnsi="Traditional Arabic" w:cs="Traditional Arabic"/>
          <w:sz w:val="30"/>
          <w:szCs w:val="30"/>
          <w:rtl/>
          <w:lang w:eastAsia="en-GB"/>
        </w:rPr>
        <w:t>على طول المداخل الرئي</w:t>
      </w:r>
      <w:r w:rsidR="000C6E35">
        <w:rPr>
          <w:rFonts w:ascii="Traditional Arabic" w:hAnsi="Traditional Arabic" w:cs="Traditional Arabic"/>
          <w:sz w:val="30"/>
          <w:szCs w:val="30"/>
          <w:rtl/>
          <w:lang w:eastAsia="en-GB"/>
        </w:rPr>
        <w:t>سية للمدينة</w:t>
      </w:r>
      <w:r w:rsidRPr="00AE6847">
        <w:rPr>
          <w:rFonts w:ascii="Traditional Arabic" w:hAnsi="Traditional Arabic" w:cs="Traditional Arabic"/>
          <w:sz w:val="30"/>
          <w:szCs w:val="30"/>
          <w:rtl/>
          <w:lang w:eastAsia="en-GB"/>
        </w:rPr>
        <w:t>، وفرض</w:t>
      </w:r>
      <w:r w:rsidR="00BE746A">
        <w:rPr>
          <w:rFonts w:ascii="Traditional Arabic" w:hAnsi="Traditional Arabic" w:cs="Traditional Arabic" w:hint="cs"/>
          <w:sz w:val="30"/>
          <w:szCs w:val="30"/>
          <w:rtl/>
          <w:lang w:eastAsia="en-GB"/>
        </w:rPr>
        <w:t>وا</w:t>
      </w:r>
      <w:r w:rsidRPr="00AE6847">
        <w:rPr>
          <w:rFonts w:ascii="Traditional Arabic" w:hAnsi="Traditional Arabic" w:cs="Traditional Arabic"/>
          <w:sz w:val="30"/>
          <w:szCs w:val="30"/>
          <w:rtl/>
          <w:lang w:eastAsia="en-GB"/>
        </w:rPr>
        <w:t xml:space="preserve"> "حصارًا" أثر بشكل خاص على مديريات المظفر والقاهرة والصاله</w:t>
      </w:r>
      <w:r w:rsidRPr="00AE6847">
        <w:rPr>
          <w:rFonts w:ascii="Traditional Arabic" w:hAnsi="Traditional Arabic" w:cs="Traditional Arabic"/>
          <w:sz w:val="30"/>
          <w:szCs w:val="30"/>
          <w:vertAlign w:val="superscript"/>
          <w:lang w:eastAsia="en-GB"/>
        </w:rPr>
        <w:footnoteReference w:id="515"/>
      </w:r>
      <w:r w:rsidRPr="00AE6847">
        <w:rPr>
          <w:rFonts w:ascii="Traditional Arabic" w:hAnsi="Traditional Arabic" w:cs="Traditional Arabic"/>
          <w:sz w:val="30"/>
          <w:szCs w:val="30"/>
          <w:rtl/>
          <w:lang w:eastAsia="en-GB"/>
        </w:rPr>
        <w:t>. وفقًا لمصادر مختلفة، فإن هذا الشكل الجديد من أشكال الحرب في تعز قد تراكم تدريجيا. لقد حاصر المدينة بسرعة وأثر بشكل أساسي على سكانها المدنيين: " كانت م</w:t>
      </w:r>
      <w:r w:rsidR="00405F59">
        <w:rPr>
          <w:rFonts w:ascii="Traditional Arabic" w:hAnsi="Traditional Arabic" w:cs="Traditional Arabic"/>
          <w:sz w:val="30"/>
          <w:szCs w:val="30"/>
          <w:rtl/>
          <w:lang w:eastAsia="en-GB"/>
        </w:rPr>
        <w:t>حاولتهم الأخيرة لإسقاط المدينة"</w:t>
      </w:r>
      <w:r w:rsidRPr="00AE6847">
        <w:rPr>
          <w:rFonts w:ascii="Traditional Arabic" w:hAnsi="Traditional Arabic" w:cs="Traditional Arabic"/>
          <w:sz w:val="30"/>
          <w:szCs w:val="30"/>
          <w:rtl/>
          <w:lang w:eastAsia="en-GB"/>
        </w:rPr>
        <w:t>، هذا ما قاله مصدر من تعز لفريق الخبراء. القيود التي هدف</w:t>
      </w:r>
      <w:r w:rsidR="00405F59">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إلى </w:t>
      </w:r>
      <w:r w:rsidR="00405F59">
        <w:rPr>
          <w:rFonts w:ascii="Traditional Arabic" w:hAnsi="Traditional Arabic" w:cs="Traditional Arabic" w:hint="cs"/>
          <w:sz w:val="30"/>
          <w:szCs w:val="30"/>
          <w:rtl/>
          <w:lang w:eastAsia="en-GB"/>
        </w:rPr>
        <w:t xml:space="preserve">الحد من </w:t>
      </w:r>
      <w:r w:rsidRPr="00AE6847">
        <w:rPr>
          <w:rFonts w:ascii="Traditional Arabic" w:hAnsi="Traditional Arabic" w:cs="Traditional Arabic"/>
          <w:sz w:val="30"/>
          <w:szCs w:val="30"/>
          <w:rtl/>
          <w:lang w:eastAsia="en-GB"/>
        </w:rPr>
        <w:t xml:space="preserve">دخول الأسلحة إلى مركز تعز </w:t>
      </w:r>
      <w:r w:rsidR="00405F59">
        <w:rPr>
          <w:rFonts w:ascii="Traditional Arabic" w:hAnsi="Traditional Arabic" w:cs="Traditional Arabic" w:hint="cs"/>
          <w:sz w:val="30"/>
          <w:szCs w:val="30"/>
          <w:rtl/>
          <w:lang w:eastAsia="en-GB"/>
        </w:rPr>
        <w:t xml:space="preserve">فُرضت أيضًا </w:t>
      </w:r>
      <w:r w:rsidRPr="00AE6847">
        <w:rPr>
          <w:rFonts w:ascii="Traditional Arabic" w:hAnsi="Traditional Arabic" w:cs="Traditional Arabic"/>
          <w:sz w:val="30"/>
          <w:szCs w:val="30"/>
          <w:rtl/>
          <w:lang w:eastAsia="en-GB"/>
        </w:rPr>
        <w:t xml:space="preserve">على إمدادات الأدوية، والمعدات اللازمة لتشغيل المستشفيات داخل المدينة، وخزانات الأكسجين التي </w:t>
      </w:r>
      <w:r w:rsidR="00405F59">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شتد</w:t>
      </w:r>
      <w:r w:rsidR="00405F59">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الحاجة إليها لغرف الطوارئ، واسطوانات الغاز</w:t>
      </w:r>
      <w:r w:rsidRPr="00AE6847">
        <w:rPr>
          <w:rFonts w:ascii="Traditional Arabic" w:hAnsi="Traditional Arabic" w:cs="Traditional Arabic"/>
          <w:sz w:val="30"/>
          <w:szCs w:val="30"/>
          <w:vertAlign w:val="superscript"/>
          <w:lang w:eastAsia="en-GB"/>
        </w:rPr>
        <w:footnoteReference w:id="516"/>
      </w:r>
      <w:r w:rsidRPr="00AE6847">
        <w:rPr>
          <w:rFonts w:ascii="Traditional Arabic" w:hAnsi="Traditional Arabic" w:cs="Traditional Arabic"/>
          <w:sz w:val="30"/>
          <w:szCs w:val="30"/>
          <w:lang w:eastAsia="en-GB"/>
        </w:rPr>
        <w:t>.</w:t>
      </w:r>
    </w:p>
    <w:p w14:paraId="37657E26" w14:textId="43CB78B2" w:rsidR="00AE6847" w:rsidRPr="00AE6847" w:rsidRDefault="00AE6847" w:rsidP="007871B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استمرت القيود في التزايد وسرعان ما أثرت على الوصول إلى المواد الغذائية، مثل الخضروات والدقيق والسكر وحتى مياه الشرب. عند نقاط التفتيش التي أقامها مقاتلو الحوثي</w:t>
      </w:r>
      <w:r w:rsidR="007A5D8B">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صالح ، لم يُسمح للتجار ب</w:t>
      </w:r>
      <w:r w:rsidR="007A5D8B">
        <w:rPr>
          <w:rFonts w:ascii="Traditional Arabic" w:hAnsi="Traditional Arabic" w:cs="Traditional Arabic" w:hint="cs"/>
          <w:sz w:val="30"/>
          <w:szCs w:val="30"/>
          <w:rtl/>
          <w:lang w:eastAsia="en-GB"/>
        </w:rPr>
        <w:t>إ</w:t>
      </w:r>
      <w:r w:rsidR="007A5D8B">
        <w:rPr>
          <w:rFonts w:ascii="Traditional Arabic" w:hAnsi="Traditional Arabic" w:cs="Traditional Arabic"/>
          <w:sz w:val="30"/>
          <w:szCs w:val="30"/>
          <w:rtl/>
          <w:lang w:eastAsia="en-GB"/>
        </w:rPr>
        <w:t>دخ</w:t>
      </w:r>
      <w:r w:rsidR="007A5D8B">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ل المواد الغذائية، وكان يُسمح للمدنيين بحمل كميات كافية فقط لأسرهم، "ليس أكثر من كيلو واحد من الخضروات في وقت واحد" في بعض الأحيان</w:t>
      </w:r>
      <w:r w:rsidRPr="00AE6847">
        <w:rPr>
          <w:rFonts w:ascii="Traditional Arabic" w:hAnsi="Traditional Arabic" w:cs="Traditional Arabic"/>
          <w:sz w:val="30"/>
          <w:szCs w:val="30"/>
          <w:vertAlign w:val="superscript"/>
          <w:lang w:eastAsia="en-GB"/>
        </w:rPr>
        <w:footnoteReference w:id="517"/>
      </w:r>
      <w:r w:rsidRPr="00AE6847">
        <w:rPr>
          <w:rFonts w:ascii="Traditional Arabic" w:hAnsi="Traditional Arabic" w:cs="Traditional Arabic"/>
          <w:sz w:val="30"/>
          <w:szCs w:val="30"/>
          <w:rtl/>
          <w:lang w:eastAsia="en-GB"/>
        </w:rPr>
        <w:t>. ووفقًا للمصادر</w:t>
      </w:r>
      <w:r w:rsidRPr="00AE6847">
        <w:rPr>
          <w:rFonts w:ascii="Traditional Arabic" w:hAnsi="Traditional Arabic" w:cs="Traditional Arabic"/>
          <w:sz w:val="30"/>
          <w:szCs w:val="30"/>
          <w:vertAlign w:val="superscript"/>
          <w:lang w:eastAsia="en-GB"/>
        </w:rPr>
        <w:footnoteReference w:id="518"/>
      </w:r>
      <w:r w:rsidRPr="00AE6847">
        <w:rPr>
          <w:rFonts w:ascii="Traditional Arabic" w:hAnsi="Traditional Arabic" w:cs="Traditional Arabic"/>
          <w:sz w:val="30"/>
          <w:szCs w:val="30"/>
          <w:rtl/>
          <w:lang w:eastAsia="en-GB"/>
        </w:rPr>
        <w:t xml:space="preserve">، </w:t>
      </w:r>
      <w:r w:rsidR="007871B3">
        <w:rPr>
          <w:rFonts w:ascii="Traditional Arabic" w:hAnsi="Traditional Arabic" w:cs="Traditional Arabic" w:hint="cs"/>
          <w:sz w:val="30"/>
          <w:szCs w:val="30"/>
          <w:rtl/>
          <w:lang w:eastAsia="en-GB"/>
        </w:rPr>
        <w:t xml:space="preserve">تكون </w:t>
      </w:r>
      <w:r w:rsidRPr="00AE6847">
        <w:rPr>
          <w:rFonts w:ascii="Traditional Arabic" w:hAnsi="Traditional Arabic" w:cs="Traditional Arabic"/>
          <w:sz w:val="30"/>
          <w:szCs w:val="30"/>
          <w:rtl/>
          <w:lang w:eastAsia="en-GB"/>
        </w:rPr>
        <w:t xml:space="preserve">المدينة </w:t>
      </w:r>
      <w:r w:rsidR="007871B3">
        <w:rPr>
          <w:rFonts w:ascii="Traditional Arabic" w:hAnsi="Traditional Arabic" w:cs="Traditional Arabic" w:hint="cs"/>
          <w:sz w:val="30"/>
          <w:szCs w:val="30"/>
          <w:rtl/>
          <w:lang w:eastAsia="en-GB"/>
        </w:rPr>
        <w:t>ت</w:t>
      </w:r>
      <w:r w:rsidR="007871B3" w:rsidRPr="00AE6847">
        <w:rPr>
          <w:rFonts w:ascii="Traditional Arabic" w:hAnsi="Traditional Arabic" w:cs="Traditional Arabic"/>
          <w:sz w:val="30"/>
          <w:szCs w:val="30"/>
          <w:rtl/>
          <w:lang w:eastAsia="en-GB"/>
        </w:rPr>
        <w:t xml:space="preserve">عتمد </w:t>
      </w:r>
      <w:r w:rsidRPr="00AE6847">
        <w:rPr>
          <w:rFonts w:ascii="Traditional Arabic" w:hAnsi="Traditional Arabic" w:cs="Traditional Arabic"/>
          <w:sz w:val="30"/>
          <w:szCs w:val="30"/>
          <w:rtl/>
          <w:lang w:eastAsia="en-GB"/>
        </w:rPr>
        <w:t>على آبار في المناطق التي تسيطر عليها سلطات الأمر الواقع، وغياب الآبار داخل تعز جعل الموقف أكثر خطورة. اعتمد الناس على الحطب والكرتون والمنتجات البلاستيكية لاستبدال الغاز لأغراض الطهي، حيث لم يتمكنو من ايصال أسطوانات الغاز إلى المدينة. إن ما أطلق عليه "حصار تعز" يقع في قلب المعاناة المستمرة للمحافظة، واستمر في التأثير على سكانها المدنيين حتى مع الانتهاء من إعداد هذا التقرير. خلال استفسارات فريق الخبراء حول تعز، وصف النشطاء وسكان تعز الأثر الإنساني للحصار بأنه أكبر مأساة</w:t>
      </w:r>
      <w:r w:rsidR="007871B3">
        <w:rPr>
          <w:rFonts w:ascii="Traditional Arabic" w:hAnsi="Traditional Arabic" w:cs="Traditional Arabic" w:hint="cs"/>
          <w:sz w:val="30"/>
          <w:szCs w:val="30"/>
          <w:rtl/>
          <w:lang w:eastAsia="en-GB"/>
        </w:rPr>
        <w:t xml:space="preserve"> أصابت تعز</w:t>
      </w:r>
      <w:r w:rsidRPr="00AE6847">
        <w:rPr>
          <w:rFonts w:ascii="Traditional Arabic" w:hAnsi="Traditional Arabic" w:cs="Traditional Arabic"/>
          <w:sz w:val="30"/>
          <w:szCs w:val="30"/>
          <w:vertAlign w:val="superscript"/>
          <w:lang w:eastAsia="en-GB"/>
        </w:rPr>
        <w:footnoteReference w:id="519"/>
      </w:r>
      <w:r w:rsidRPr="00AE6847">
        <w:rPr>
          <w:rFonts w:ascii="Traditional Arabic" w:hAnsi="Traditional Arabic" w:cs="Traditional Arabic"/>
          <w:sz w:val="30"/>
          <w:szCs w:val="30"/>
          <w:lang w:eastAsia="en-GB"/>
        </w:rPr>
        <w:t>.</w:t>
      </w:r>
    </w:p>
    <w:p w14:paraId="1F14C5CF" w14:textId="7D7F838C" w:rsidR="00AE6847" w:rsidRPr="00AE6847" w:rsidRDefault="00AE6847" w:rsidP="007871B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رغم أن المدينة لم تكن مغلقة تمامًا، حيث كان ا</w:t>
      </w:r>
      <w:r w:rsidR="007871B3">
        <w:rPr>
          <w:rFonts w:ascii="Traditional Arabic" w:hAnsi="Traditional Arabic" w:cs="Traditional Arabic"/>
          <w:sz w:val="30"/>
          <w:szCs w:val="30"/>
          <w:rtl/>
          <w:lang w:eastAsia="en-GB"/>
        </w:rPr>
        <w:t>لمدنيون قادرين على مغادرة تعز و</w:t>
      </w:r>
      <w:r w:rsidR="007871B3">
        <w:rPr>
          <w:rFonts w:ascii="Traditional Arabic" w:hAnsi="Traditional Arabic" w:cs="Traditional Arabic" w:hint="cs"/>
          <w:sz w:val="30"/>
          <w:szCs w:val="30"/>
          <w:rtl/>
          <w:lang w:eastAsia="en-GB"/>
        </w:rPr>
        <w:t xml:space="preserve">حيث </w:t>
      </w:r>
      <w:r w:rsidRPr="00AE6847">
        <w:rPr>
          <w:rFonts w:ascii="Traditional Arabic" w:hAnsi="Traditional Arabic" w:cs="Traditional Arabic"/>
          <w:sz w:val="30"/>
          <w:szCs w:val="30"/>
          <w:rtl/>
          <w:lang w:eastAsia="en-GB"/>
        </w:rPr>
        <w:t>شهدت الأسابيع والأشهر المت</w:t>
      </w:r>
      <w:r w:rsidR="007871B3">
        <w:rPr>
          <w:rFonts w:ascii="Traditional Arabic" w:hAnsi="Traditional Arabic" w:cs="Traditional Arabic" w:hint="cs"/>
          <w:sz w:val="30"/>
          <w:szCs w:val="30"/>
          <w:rtl/>
          <w:lang w:eastAsia="en-GB"/>
        </w:rPr>
        <w:t>تا</w:t>
      </w:r>
      <w:r w:rsidRPr="00AE6847">
        <w:rPr>
          <w:rFonts w:ascii="Traditional Arabic" w:hAnsi="Traditional Arabic" w:cs="Traditional Arabic"/>
          <w:sz w:val="30"/>
          <w:szCs w:val="30"/>
          <w:rtl/>
          <w:lang w:eastAsia="en-GB"/>
        </w:rPr>
        <w:t>ل</w:t>
      </w:r>
      <w:r w:rsidR="007871B3">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ة تدابير مختلفة مفروضة</w:t>
      </w:r>
      <w:r w:rsidR="007871B3">
        <w:rPr>
          <w:rFonts w:ascii="Traditional Arabic" w:hAnsi="Traditional Arabic" w:cs="Traditional Arabic" w:hint="cs"/>
          <w:sz w:val="30"/>
          <w:szCs w:val="30"/>
          <w:rtl/>
          <w:lang w:eastAsia="en-GB"/>
        </w:rPr>
        <w:t xml:space="preserve"> بأسلوب مت</w:t>
      </w:r>
      <w:r w:rsidRPr="00AE6847">
        <w:rPr>
          <w:rFonts w:ascii="Traditional Arabic" w:hAnsi="Traditional Arabic" w:cs="Traditional Arabic"/>
          <w:sz w:val="30"/>
          <w:szCs w:val="30"/>
          <w:rtl/>
          <w:lang w:eastAsia="en-GB"/>
        </w:rPr>
        <w:t>عسف</w:t>
      </w:r>
      <w:r w:rsidR="007871B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7871B3">
        <w:rPr>
          <w:rFonts w:ascii="Traditional Arabic" w:hAnsi="Traditional Arabic" w:cs="Traditional Arabic" w:hint="cs"/>
          <w:sz w:val="30"/>
          <w:szCs w:val="30"/>
          <w:rtl/>
          <w:lang w:eastAsia="en-GB"/>
        </w:rPr>
        <w:t>غير أ</w:t>
      </w:r>
      <w:r w:rsidRPr="00AE6847">
        <w:rPr>
          <w:rFonts w:ascii="Traditional Arabic" w:hAnsi="Traditional Arabic" w:cs="Traditional Arabic"/>
          <w:sz w:val="30"/>
          <w:szCs w:val="30"/>
          <w:rtl/>
          <w:lang w:eastAsia="en-GB"/>
        </w:rPr>
        <w:t xml:space="preserve">ن </w:t>
      </w:r>
      <w:r w:rsidR="007871B3">
        <w:rPr>
          <w:rFonts w:ascii="Traditional Arabic" w:hAnsi="Traditional Arabic" w:cs="Traditional Arabic" w:hint="cs"/>
          <w:sz w:val="30"/>
          <w:szCs w:val="30"/>
          <w:rtl/>
          <w:lang w:eastAsia="en-GB"/>
        </w:rPr>
        <w:t xml:space="preserve">هذه </w:t>
      </w:r>
      <w:r w:rsidRPr="00AE6847">
        <w:rPr>
          <w:rFonts w:ascii="Traditional Arabic" w:hAnsi="Traditional Arabic" w:cs="Traditional Arabic"/>
          <w:sz w:val="30"/>
          <w:szCs w:val="30"/>
          <w:rtl/>
          <w:lang w:eastAsia="en-GB"/>
        </w:rPr>
        <w:t xml:space="preserve">التدابير </w:t>
      </w:r>
      <w:r w:rsidR="007871B3">
        <w:rPr>
          <w:rFonts w:ascii="Traditional Arabic" w:hAnsi="Traditional Arabic" w:cs="Traditional Arabic" w:hint="cs"/>
          <w:sz w:val="30"/>
          <w:szCs w:val="30"/>
          <w:rtl/>
          <w:lang w:eastAsia="en-GB"/>
        </w:rPr>
        <w:t xml:space="preserve">قد </w:t>
      </w:r>
      <w:r w:rsidRPr="00AE6847">
        <w:rPr>
          <w:rFonts w:ascii="Traditional Arabic" w:hAnsi="Traditional Arabic" w:cs="Traditional Arabic"/>
          <w:sz w:val="30"/>
          <w:szCs w:val="30"/>
          <w:rtl/>
          <w:lang w:eastAsia="en-GB"/>
        </w:rPr>
        <w:t>ساهمت بشكل كبير في</w:t>
      </w:r>
      <w:r w:rsidR="007871B3">
        <w:rPr>
          <w:rFonts w:ascii="Traditional Arabic" w:hAnsi="Traditional Arabic" w:cs="Traditional Arabic" w:hint="cs"/>
          <w:sz w:val="30"/>
          <w:szCs w:val="30"/>
          <w:rtl/>
          <w:lang w:eastAsia="en-GB"/>
        </w:rPr>
        <w:t xml:space="preserve"> خلق</w:t>
      </w:r>
      <w:r w:rsidRPr="00AE6847">
        <w:rPr>
          <w:rFonts w:ascii="Traditional Arabic" w:hAnsi="Traditional Arabic" w:cs="Traditional Arabic"/>
          <w:sz w:val="30"/>
          <w:szCs w:val="30"/>
          <w:rtl/>
          <w:lang w:eastAsia="en-GB"/>
        </w:rPr>
        <w:t xml:space="preserve"> وضع إنساني </w:t>
      </w:r>
      <w:r w:rsidR="007871B3">
        <w:rPr>
          <w:rFonts w:ascii="Traditional Arabic" w:hAnsi="Traditional Arabic" w:cs="Traditional Arabic" w:hint="cs"/>
          <w:sz w:val="30"/>
          <w:szCs w:val="30"/>
          <w:rtl/>
          <w:lang w:eastAsia="en-GB"/>
        </w:rPr>
        <w:t xml:space="preserve">متأزم </w:t>
      </w:r>
      <w:r w:rsidRPr="00AE6847">
        <w:rPr>
          <w:rFonts w:ascii="Traditional Arabic" w:hAnsi="Traditional Arabic" w:cs="Traditional Arabic"/>
          <w:sz w:val="30"/>
          <w:szCs w:val="30"/>
          <w:rtl/>
          <w:lang w:eastAsia="en-GB"/>
        </w:rPr>
        <w:t xml:space="preserve">داخل المدينة. جعلت التدابير المختلفة السلع الأساسية وكذلك الإمدادات الطبية غير متوفرة، مما </w:t>
      </w:r>
      <w:r w:rsidR="007871B3">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ث</w:t>
      </w:r>
      <w:r w:rsidR="007871B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ر على حقوق الناس بما في ذلك الرعاية </w:t>
      </w:r>
      <w:r w:rsidRPr="00AE6847">
        <w:rPr>
          <w:rFonts w:ascii="Traditional Arabic" w:hAnsi="Traditional Arabic" w:cs="Traditional Arabic"/>
          <w:sz w:val="30"/>
          <w:szCs w:val="30"/>
          <w:rtl/>
          <w:lang w:eastAsia="en-GB"/>
        </w:rPr>
        <w:lastRenderedPageBreak/>
        <w:t xml:space="preserve">الصحية والغذاء. بحلول </w:t>
      </w:r>
      <w:r w:rsidR="007871B3">
        <w:rPr>
          <w:rFonts w:ascii="Traditional Arabic" w:hAnsi="Traditional Arabic" w:cs="Traditional Arabic" w:hint="cs"/>
          <w:sz w:val="30"/>
          <w:szCs w:val="30"/>
          <w:rtl/>
          <w:lang w:eastAsia="en-GB"/>
        </w:rPr>
        <w:t xml:space="preserve">تشرين الأول/ </w:t>
      </w:r>
      <w:r w:rsidRPr="00AE6847">
        <w:rPr>
          <w:rFonts w:ascii="Traditional Arabic" w:hAnsi="Traditional Arabic" w:cs="Traditional Arabic"/>
          <w:sz w:val="30"/>
          <w:szCs w:val="30"/>
          <w:rtl/>
          <w:lang w:eastAsia="en-GB"/>
        </w:rPr>
        <w:t xml:space="preserve">أكتوبر 2015، كان ثلثا سكان تعز قد </w:t>
      </w:r>
      <w:r w:rsidR="007871B3">
        <w:rPr>
          <w:rFonts w:ascii="Traditional Arabic" w:hAnsi="Traditional Arabic" w:cs="Traditional Arabic" w:hint="cs"/>
          <w:sz w:val="30"/>
          <w:szCs w:val="30"/>
          <w:rtl/>
          <w:lang w:eastAsia="en-GB"/>
        </w:rPr>
        <w:t xml:space="preserve">غادروا </w:t>
      </w:r>
      <w:r w:rsidRPr="00AE6847">
        <w:rPr>
          <w:rFonts w:ascii="Traditional Arabic" w:hAnsi="Traditional Arabic" w:cs="Traditional Arabic"/>
          <w:sz w:val="30"/>
          <w:szCs w:val="30"/>
          <w:rtl/>
          <w:lang w:eastAsia="en-GB"/>
        </w:rPr>
        <w:t>المدينة</w:t>
      </w:r>
      <w:r w:rsidRPr="00AE6847">
        <w:rPr>
          <w:rFonts w:ascii="Traditional Arabic" w:hAnsi="Traditional Arabic" w:cs="Traditional Arabic"/>
          <w:sz w:val="30"/>
          <w:szCs w:val="30"/>
          <w:vertAlign w:val="superscript"/>
          <w:lang w:eastAsia="en-GB"/>
        </w:rPr>
        <w:footnoteReference w:id="520"/>
      </w:r>
      <w:r w:rsidRPr="00AE6847">
        <w:rPr>
          <w:rFonts w:ascii="Traditional Arabic" w:hAnsi="Traditional Arabic" w:cs="Traditional Arabic"/>
          <w:sz w:val="30"/>
          <w:szCs w:val="30"/>
          <w:rtl/>
          <w:lang w:eastAsia="en-GB"/>
        </w:rPr>
        <w:t xml:space="preserve">. لم يبق سوى </w:t>
      </w:r>
      <w:r w:rsidRPr="00AE6847">
        <w:rPr>
          <w:rFonts w:ascii="Traditional Arabic" w:hAnsi="Traditional Arabic" w:cs="Traditional Arabic"/>
          <w:sz w:val="30"/>
          <w:szCs w:val="30"/>
          <w:rtl/>
          <w:lang w:val="en-US" w:eastAsia="en-GB"/>
        </w:rPr>
        <w:t>175,000</w:t>
      </w:r>
      <w:r w:rsidRPr="00AE6847">
        <w:rPr>
          <w:rFonts w:ascii="Traditional Arabic" w:hAnsi="Traditional Arabic" w:cs="Traditional Arabic"/>
          <w:sz w:val="30"/>
          <w:szCs w:val="30"/>
          <w:rtl/>
          <w:lang w:eastAsia="en-GB"/>
        </w:rPr>
        <w:t xml:space="preserve"> إلى 200,000 أي ما يقدر بثلث سكانها قبل الحرب. في أكتوبر 2015 ، تحدث منسق الأمم المتحدة للشؤون الإنسانية في اليمن عن الوضع المزري في تعز ، واصفًا المدينة بأنها محاصرة فعليًا: "لقد كانت مدينة تعز تحت حالة حصار فعلي منذ بداية </w:t>
      </w:r>
      <w:r w:rsidR="007871B3">
        <w:rPr>
          <w:rFonts w:ascii="Traditional Arabic" w:hAnsi="Traditional Arabic" w:cs="Traditional Arabic" w:hint="cs"/>
          <w:sz w:val="30"/>
          <w:szCs w:val="30"/>
          <w:rtl/>
          <w:lang w:eastAsia="en-GB"/>
        </w:rPr>
        <w:t xml:space="preserve">أيلول/ </w:t>
      </w:r>
      <w:r w:rsidRPr="00AE6847">
        <w:rPr>
          <w:rFonts w:ascii="Traditional Arabic" w:hAnsi="Traditional Arabic" w:cs="Traditional Arabic"/>
          <w:sz w:val="30"/>
          <w:szCs w:val="30"/>
          <w:rtl/>
          <w:lang w:eastAsia="en-GB"/>
        </w:rPr>
        <w:t>سبتمبر 2015</w:t>
      </w:r>
      <w:r w:rsidR="00E16AA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لم تتمكن سوى القليل من السلع التجارية أو المساعدات الإنسانية، إن وجدت، من الدخول إلى أحياء المديريات الثلاث وهي المظفر والقاهرة والصاله. غادر ثلث</w:t>
      </w:r>
      <w:r w:rsidR="007871B3">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سكان المدينة"</w:t>
      </w:r>
      <w:r w:rsidRPr="00AE6847">
        <w:rPr>
          <w:rFonts w:ascii="Traditional Arabic" w:hAnsi="Traditional Arabic" w:cs="Traditional Arabic"/>
          <w:sz w:val="30"/>
          <w:szCs w:val="30"/>
          <w:vertAlign w:val="superscript"/>
          <w:lang w:eastAsia="en-GB"/>
        </w:rPr>
        <w:footnoteReference w:id="521"/>
      </w:r>
      <w:r w:rsidRPr="00AE6847">
        <w:rPr>
          <w:rFonts w:ascii="Traditional Arabic" w:hAnsi="Traditional Arabic" w:cs="Traditional Arabic"/>
          <w:sz w:val="30"/>
          <w:szCs w:val="30"/>
          <w:rtl/>
          <w:lang w:eastAsia="en-GB"/>
        </w:rPr>
        <w:t>. أُبلغ فريق الخبراء من مصادر مختلفة أن ارتفاع تكلفة المعيشة وارتفاع الأسعار بسبب "الحصار" وكذلك عدم الوصول إلى الخدمات الأساسية كان أحد الأسباب الرئيسية التي دفعت المدنيين إلى الانتقال خارج المدينة</w:t>
      </w:r>
      <w:r w:rsidRPr="00AE6847">
        <w:rPr>
          <w:rFonts w:ascii="Traditional Arabic" w:hAnsi="Traditional Arabic" w:cs="Traditional Arabic"/>
          <w:sz w:val="30"/>
          <w:szCs w:val="30"/>
          <w:vertAlign w:val="superscript"/>
          <w:lang w:eastAsia="en-GB"/>
        </w:rPr>
        <w:footnoteReference w:id="522"/>
      </w:r>
      <w:r w:rsidRPr="00AE6847">
        <w:rPr>
          <w:rFonts w:ascii="Traditional Arabic" w:hAnsi="Traditional Arabic" w:cs="Traditional Arabic"/>
          <w:sz w:val="30"/>
          <w:szCs w:val="30"/>
          <w:lang w:eastAsia="en-GB"/>
        </w:rPr>
        <w:t>.</w:t>
      </w:r>
    </w:p>
    <w:p w14:paraId="2EC7C724" w14:textId="55D17F6E" w:rsidR="00AE6847" w:rsidRPr="00AE6847" w:rsidRDefault="00AE6847" w:rsidP="00AF435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استمرت المرحلة الأولى من "حصار" تعز حتى </w:t>
      </w:r>
      <w:r w:rsidR="00AF435C">
        <w:rPr>
          <w:rFonts w:ascii="Traditional Arabic" w:hAnsi="Traditional Arabic" w:cs="Traditional Arabic" w:hint="cs"/>
          <w:sz w:val="30"/>
          <w:szCs w:val="30"/>
          <w:rtl/>
          <w:lang w:eastAsia="en-GB"/>
        </w:rPr>
        <w:t xml:space="preserve">آذار/ </w:t>
      </w:r>
      <w:r w:rsidRPr="00AE6847">
        <w:rPr>
          <w:rFonts w:ascii="Traditional Arabic" w:hAnsi="Traditional Arabic" w:cs="Traditional Arabic"/>
          <w:sz w:val="30"/>
          <w:szCs w:val="30"/>
          <w:rtl/>
          <w:lang w:eastAsia="en-GB"/>
        </w:rPr>
        <w:t xml:space="preserve">مارس 2016. خلال هذه الفترة، </w:t>
      </w:r>
      <w:r w:rsidR="00AF435C">
        <w:rPr>
          <w:rFonts w:ascii="Traditional Arabic" w:hAnsi="Traditional Arabic" w:cs="Traditional Arabic" w:hint="cs"/>
          <w:sz w:val="30"/>
          <w:szCs w:val="30"/>
          <w:rtl/>
          <w:lang w:eastAsia="en-GB"/>
        </w:rPr>
        <w:t xml:space="preserve">كانت </w:t>
      </w:r>
      <w:r w:rsidRPr="00AE6847">
        <w:rPr>
          <w:rFonts w:ascii="Traditional Arabic" w:hAnsi="Traditional Arabic" w:cs="Traditional Arabic"/>
          <w:sz w:val="30"/>
          <w:szCs w:val="30"/>
          <w:rtl/>
          <w:lang w:eastAsia="en-GB"/>
        </w:rPr>
        <w:t xml:space="preserve">نقاط التفتيش التي سيطر عليها الحوثي- صالح </w:t>
      </w:r>
      <w:r w:rsidR="00AF435C">
        <w:rPr>
          <w:rFonts w:ascii="Traditional Arabic" w:hAnsi="Traditional Arabic" w:cs="Traditional Arabic" w:hint="cs"/>
          <w:sz w:val="30"/>
          <w:szCs w:val="30"/>
          <w:rtl/>
          <w:lang w:eastAsia="en-GB"/>
        </w:rPr>
        <w:t xml:space="preserve">تغلق </w:t>
      </w:r>
      <w:r w:rsidRPr="00AE6847">
        <w:rPr>
          <w:rFonts w:ascii="Traditional Arabic" w:hAnsi="Traditional Arabic" w:cs="Traditional Arabic"/>
          <w:sz w:val="30"/>
          <w:szCs w:val="30"/>
          <w:rtl/>
          <w:lang w:eastAsia="en-GB"/>
        </w:rPr>
        <w:t xml:space="preserve">بشكل </w:t>
      </w:r>
      <w:r w:rsidR="00AF435C">
        <w:rPr>
          <w:rFonts w:ascii="Traditional Arabic" w:hAnsi="Traditional Arabic" w:cs="Traditional Arabic" w:hint="cs"/>
          <w:sz w:val="30"/>
          <w:szCs w:val="30"/>
          <w:rtl/>
          <w:lang w:eastAsia="en-GB"/>
        </w:rPr>
        <w:t>اعتباطي</w:t>
      </w:r>
      <w:r w:rsidRPr="00AE6847">
        <w:rPr>
          <w:rFonts w:ascii="Traditional Arabic" w:hAnsi="Traditional Arabic" w:cs="Traditional Arabic"/>
          <w:sz w:val="30"/>
          <w:szCs w:val="30"/>
          <w:rtl/>
          <w:lang w:eastAsia="en-GB"/>
        </w:rPr>
        <w:t xml:space="preserve">. أشارت بعض المصادر إلى أوقات تم فيها فتح نقاط تفتيش معينة لبضع ساعات لمدة يوم أو يومين في الأسبوع. بالإضافة إلى المخاطر الناجمة عن القتال المستمر ، تم إيقاف الناس لعدة ساعات ، وتم تفتيشهم ووصف العديد منهم لفريق الخبراء الإذلال </w:t>
      </w:r>
      <w:r w:rsidRPr="00AE6847">
        <w:rPr>
          <w:rFonts w:ascii="Traditional Arabic" w:hAnsi="Traditional Arabic" w:cs="Traditional Arabic"/>
          <w:sz w:val="30"/>
          <w:szCs w:val="30"/>
          <w:vertAlign w:val="superscript"/>
          <w:lang w:eastAsia="en-GB"/>
        </w:rPr>
        <w:footnoteReference w:id="523"/>
      </w:r>
      <w:r w:rsidRPr="00AE6847">
        <w:rPr>
          <w:rFonts w:ascii="Traditional Arabic" w:hAnsi="Traditional Arabic" w:cs="Traditional Arabic"/>
          <w:sz w:val="30"/>
          <w:szCs w:val="30"/>
          <w:rtl/>
          <w:lang w:eastAsia="en-GB"/>
        </w:rPr>
        <w:t>الذي عانى منه المدنيون أثناء عبورهم. وشملت هذه مصادرة البضائع التي كانوا يحملونها ، مما دفع الكثيرين إلى تجنب حمل أشياء ثمينة مثل أسطوانات الغاز ، والقيود المفروضة على الكميات التي يمكنهم حملها ، حتى فيما يتعلق بالخضروات والمواد الغذائية. وورد أن بعضهم خضعوا للضريبة</w:t>
      </w:r>
      <w:r w:rsidRPr="00AE6847">
        <w:rPr>
          <w:rFonts w:ascii="Traditional Arabic" w:hAnsi="Traditional Arabic" w:cs="Traditional Arabic"/>
          <w:sz w:val="30"/>
          <w:szCs w:val="30"/>
          <w:vertAlign w:val="superscript"/>
          <w:lang w:eastAsia="en-GB"/>
        </w:rPr>
        <w:footnoteReference w:id="524"/>
      </w:r>
      <w:r w:rsidRPr="00AE6847">
        <w:rPr>
          <w:rFonts w:ascii="Traditional Arabic" w:hAnsi="Traditional Arabic" w:cs="Traditional Arabic"/>
          <w:sz w:val="30"/>
          <w:szCs w:val="30"/>
          <w:rtl/>
          <w:lang w:eastAsia="en-GB"/>
        </w:rPr>
        <w:t>. ويذكر الكثيرون أن معبر الدحي كان سيئ السمعة بسبب المعاملة القاسية</w:t>
      </w:r>
      <w:r w:rsidR="0097776A">
        <w:rPr>
          <w:rFonts w:ascii="Traditional Arabic" w:hAnsi="Traditional Arabic" w:cs="Traditional Arabic" w:hint="cs"/>
          <w:sz w:val="30"/>
          <w:szCs w:val="30"/>
          <w:rtl/>
          <w:lang w:eastAsia="en-GB"/>
        </w:rPr>
        <w:t xml:space="preserve"> التي حصلت هناك</w:t>
      </w:r>
      <w:r w:rsidRPr="00AE6847">
        <w:rPr>
          <w:rFonts w:ascii="Traditional Arabic" w:hAnsi="Traditional Arabic" w:cs="Traditional Arabic"/>
          <w:sz w:val="30"/>
          <w:szCs w:val="30"/>
          <w:rtl/>
          <w:lang w:eastAsia="en-GB"/>
        </w:rPr>
        <w:t>. كانت نقطة العبور الرئيسية للمدنيين من وإلى مدينة تعز ، وأجبر الناس على المشي لمسافات طويلة للوصول إليها ، والتي تتراوح من 400 متر إلى أكثر من كيلومتر واحد في وقت ما وفقًا للبعض. وهذا جعلها مهمة شاقة بالنسبة للأشخاص ذوي الإعاقة والمسنين. "اعتادت والدتي أن تطلب من صبي من الحي أن يرافقها أثناء العبور حتى تتمكن من شراء طعامها ، لأنها لا</w:t>
      </w:r>
      <w:r w:rsidR="001A1CEE">
        <w:rPr>
          <w:rFonts w:ascii="Traditional Arabic" w:hAnsi="Traditional Arabic" w:cs="Traditional Arabic"/>
          <w:sz w:val="30"/>
          <w:szCs w:val="30"/>
          <w:lang w:eastAsia="en-GB"/>
        </w:rPr>
        <w:t> </w:t>
      </w:r>
      <w:r w:rsidRPr="00AE6847">
        <w:rPr>
          <w:rFonts w:ascii="Traditional Arabic" w:hAnsi="Traditional Arabic" w:cs="Traditional Arabic"/>
          <w:sz w:val="30"/>
          <w:szCs w:val="30"/>
          <w:rtl/>
          <w:lang w:eastAsia="en-GB"/>
        </w:rPr>
        <w:t>تستطيع العبور بخلاف هذه الطريقه"</w:t>
      </w:r>
      <w:r w:rsidRPr="00AE6847">
        <w:rPr>
          <w:rFonts w:ascii="Traditional Arabic" w:hAnsi="Traditional Arabic" w:cs="Traditional Arabic"/>
          <w:sz w:val="30"/>
          <w:szCs w:val="30"/>
          <w:vertAlign w:val="superscript"/>
          <w:lang w:eastAsia="en-GB"/>
        </w:rPr>
        <w:footnoteReference w:id="525"/>
      </w:r>
      <w:r w:rsidRPr="00AE6847">
        <w:rPr>
          <w:rFonts w:ascii="Traditional Arabic" w:hAnsi="Traditional Arabic" w:cs="Traditional Arabic"/>
          <w:sz w:val="30"/>
          <w:szCs w:val="30"/>
          <w:rtl/>
          <w:lang w:eastAsia="en-GB"/>
        </w:rPr>
        <w:t xml:space="preserve">. تحدث الناس إلى فريق الخبراء عن النساء اللواتي يتعرضن للمضايقة وعن أكياس الطعام التي تمزق أو يتم الدوس عليها. فحص فريق الخبراء لقطات تظهر رجالاً مسلحين يطاردون المدنيين عند نقطة التفتيش </w:t>
      </w:r>
      <w:r w:rsidRPr="00AE6847">
        <w:rPr>
          <w:rFonts w:ascii="Traditional Arabic" w:hAnsi="Traditional Arabic" w:cs="Traditional Arabic"/>
          <w:sz w:val="30"/>
          <w:szCs w:val="30"/>
          <w:vertAlign w:val="superscript"/>
          <w:lang w:eastAsia="en-GB"/>
        </w:rPr>
        <w:footnoteReference w:id="526"/>
      </w:r>
      <w:r w:rsidRPr="00AE6847">
        <w:rPr>
          <w:rFonts w:ascii="Traditional Arabic" w:hAnsi="Traditional Arabic" w:cs="Traditional Arabic"/>
          <w:sz w:val="30"/>
          <w:szCs w:val="30"/>
          <w:rtl/>
          <w:lang w:eastAsia="en-GB"/>
        </w:rPr>
        <w:t xml:space="preserve">، وقاموا بضربهم عشوائيًا وإطلاق النار في الهواء. وشملت أساليب الحصار المبلغ عنها استخدام القناصة لإطلاق النار على المدنيين عند نقاط التفتيش. وقال أحد المصادر لفريق الخبراء </w:t>
      </w:r>
      <w:r w:rsidR="00AF435C">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نه تم تحويل ثلاثة متاجر قريبة من الممر إلى أماكن احتجاز إداري ، حيث يتم احتجاز "المشتبه بهم" ونقلهم في </w:t>
      </w:r>
      <w:r w:rsidRPr="00AE6847">
        <w:rPr>
          <w:rFonts w:ascii="Traditional Arabic" w:hAnsi="Traditional Arabic" w:cs="Traditional Arabic"/>
          <w:sz w:val="30"/>
          <w:szCs w:val="30"/>
          <w:rtl/>
          <w:lang w:eastAsia="en-GB"/>
        </w:rPr>
        <w:lastRenderedPageBreak/>
        <w:t xml:space="preserve">كثير من الأحيان إلى سجن الصالح. وقال المصدر نفسه </w:t>
      </w:r>
      <w:r w:rsidRPr="00AE6847">
        <w:rPr>
          <w:rFonts w:ascii="Traditional Arabic" w:hAnsi="Traditional Arabic" w:cs="Traditional Arabic"/>
          <w:sz w:val="30"/>
          <w:szCs w:val="30"/>
          <w:vertAlign w:val="superscript"/>
          <w:lang w:eastAsia="en-GB"/>
        </w:rPr>
        <w:footnoteReference w:id="527"/>
      </w:r>
      <w:r w:rsidRPr="00AE6847">
        <w:rPr>
          <w:rFonts w:ascii="Traditional Arabic" w:hAnsi="Traditional Arabic" w:cs="Traditional Arabic"/>
          <w:sz w:val="30"/>
          <w:szCs w:val="30"/>
          <w:rtl/>
          <w:lang w:eastAsia="en-GB"/>
        </w:rPr>
        <w:t xml:space="preserve">"كان أكبر مصدر للإهانة للمدينة". كما وثق فريق الخبراء حالات الاعتقالات التي حدثت بالقرب من نقاط التفتيش أو أثناء عبور المدنيين. استهدف مقاتلو الحوثي </w:t>
      </w:r>
      <w:r w:rsidR="00AF435C">
        <w:rPr>
          <w:rFonts w:ascii="Traditional Arabic" w:hAnsi="Traditional Arabic" w:cs="Traditional Arabic" w:hint="cs"/>
          <w:sz w:val="30"/>
          <w:szCs w:val="30"/>
          <w:rtl/>
          <w:lang w:eastAsia="en-GB"/>
        </w:rPr>
        <w:t xml:space="preserve">- </w:t>
      </w:r>
      <w:r w:rsidRPr="00AE6847">
        <w:rPr>
          <w:rFonts w:ascii="Traditional Arabic" w:hAnsi="Traditional Arabic" w:cs="Traditional Arabic"/>
          <w:sz w:val="30"/>
          <w:szCs w:val="30"/>
          <w:rtl/>
          <w:lang w:eastAsia="en-GB"/>
        </w:rPr>
        <w:t>صالح الشباب على وجه التحديد ، في الحالات التي وثقتها فريق الخبراء ، اتُهم مدنيون بأنهم "دواعش" أو يدعمون المقاومة، واحتُجزوا وتعرضوا للتعذيب بصورة تعسفية أثناء محاولتهم العبور أو في المناطق التي يسيطر عليها الحوثيون.</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28"/>
      </w:r>
    </w:p>
    <w:p w14:paraId="57CACE0B" w14:textId="6411CD23"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لتجنب الحواجز </w:t>
      </w:r>
      <w:r w:rsidR="00AF435C">
        <w:rPr>
          <w:rFonts w:ascii="Traditional Arabic" w:hAnsi="Traditional Arabic" w:cs="Traditional Arabic" w:hint="cs"/>
          <w:sz w:val="30"/>
          <w:szCs w:val="30"/>
          <w:rtl/>
          <w:lang w:eastAsia="en-GB"/>
        </w:rPr>
        <w:t>التي كان ي</w:t>
      </w:r>
      <w:r w:rsidRPr="00AE6847">
        <w:rPr>
          <w:rFonts w:ascii="Traditional Arabic" w:hAnsi="Traditional Arabic" w:cs="Traditional Arabic"/>
          <w:sz w:val="30"/>
          <w:szCs w:val="30"/>
          <w:rtl/>
          <w:lang w:eastAsia="en-GB"/>
        </w:rPr>
        <w:t>غلق</w:t>
      </w:r>
      <w:r w:rsidR="00AF435C">
        <w:rPr>
          <w:rFonts w:ascii="Traditional Arabic" w:hAnsi="Traditional Arabic" w:cs="Traditional Arabic" w:hint="cs"/>
          <w:sz w:val="30"/>
          <w:szCs w:val="30"/>
          <w:rtl/>
          <w:lang w:eastAsia="en-GB"/>
        </w:rPr>
        <w:t>ها مقاتلو</w:t>
      </w:r>
      <w:r w:rsidRPr="00AE6847">
        <w:rPr>
          <w:rFonts w:ascii="Traditional Arabic" w:hAnsi="Traditional Arabic" w:cs="Traditional Arabic"/>
          <w:sz w:val="30"/>
          <w:szCs w:val="30"/>
          <w:rtl/>
          <w:lang w:eastAsia="en-GB"/>
        </w:rPr>
        <w:t xml:space="preserve"> الحوثي- صالح، بدأ المدنيون بالاعتماد على طريق جبلي للتحايل على المعبر، والمعروف باسم طريق </w:t>
      </w:r>
      <w:r w:rsidR="00AF435C">
        <w:rPr>
          <w:rFonts w:ascii="Traditional Arabic" w:hAnsi="Traditional Arabic" w:cs="Traditional Arabic" w:hint="cs"/>
          <w:sz w:val="30"/>
          <w:szCs w:val="30"/>
          <w:rtl/>
          <w:lang w:eastAsia="en-GB"/>
        </w:rPr>
        <w:t>ط</w:t>
      </w:r>
      <w:r w:rsidRPr="00AE6847">
        <w:rPr>
          <w:rFonts w:ascii="Traditional Arabic" w:hAnsi="Traditional Arabic" w:cs="Traditional Arabic"/>
          <w:sz w:val="30"/>
          <w:szCs w:val="30"/>
          <w:rtl/>
          <w:lang w:eastAsia="en-GB"/>
        </w:rPr>
        <w:t>ال</w:t>
      </w:r>
      <w:r w:rsidR="00AF435C">
        <w:rPr>
          <w:rFonts w:ascii="Traditional Arabic" w:hAnsi="Traditional Arabic" w:cs="Traditional Arabic" w:hint="cs"/>
          <w:sz w:val="30"/>
          <w:szCs w:val="30"/>
          <w:rtl/>
          <w:lang w:eastAsia="en-GB"/>
        </w:rPr>
        <w:t>وق</w:t>
      </w:r>
      <w:r w:rsidRPr="00AE6847">
        <w:rPr>
          <w:rFonts w:ascii="Traditional Arabic" w:hAnsi="Traditional Arabic" w:cs="Traditional Arabic"/>
          <w:sz w:val="30"/>
          <w:szCs w:val="30"/>
          <w:rtl/>
          <w:lang w:eastAsia="en-GB"/>
        </w:rPr>
        <w:t>، وهو طريق شديد الانحدار لا يمكن عبوره إلا سيرًا على الأقدام أو بالحمير أو بمركبات الدفع الربا</w:t>
      </w:r>
      <w:r w:rsidR="00AF435C">
        <w:rPr>
          <w:rFonts w:ascii="Traditional Arabic" w:hAnsi="Traditional Arabic" w:cs="Traditional Arabic"/>
          <w:sz w:val="30"/>
          <w:szCs w:val="30"/>
          <w:rtl/>
          <w:lang w:eastAsia="en-GB"/>
        </w:rPr>
        <w:t>عي. أصبح الممر معبر للمواد الطب</w:t>
      </w:r>
      <w:r w:rsidR="00AF435C">
        <w:rPr>
          <w:rFonts w:ascii="Traditional Arabic" w:hAnsi="Traditional Arabic" w:cs="Traditional Arabic" w:hint="cs"/>
          <w:sz w:val="30"/>
          <w:szCs w:val="30"/>
          <w:rtl/>
          <w:lang w:eastAsia="en-GB"/>
        </w:rPr>
        <w:t>ية</w:t>
      </w:r>
      <w:r w:rsidRPr="00AE6847">
        <w:rPr>
          <w:rFonts w:ascii="Traditional Arabic" w:hAnsi="Traditional Arabic" w:cs="Traditional Arabic"/>
          <w:sz w:val="30"/>
          <w:szCs w:val="30"/>
          <w:rtl/>
          <w:lang w:eastAsia="en-GB"/>
        </w:rPr>
        <w:t xml:space="preserve"> والإمدادات المختلفة في المدينة. كان معروفًا أيضًا باسم "طريق الموت" بسبب الصعوبات والمخاطر الطبيعية. وبحسب ما ورد </w:t>
      </w:r>
      <w:r w:rsidR="00AF435C">
        <w:rPr>
          <w:rFonts w:ascii="Traditional Arabic" w:hAnsi="Traditional Arabic" w:cs="Traditional Arabic" w:hint="cs"/>
          <w:sz w:val="30"/>
          <w:szCs w:val="30"/>
          <w:rtl/>
          <w:lang w:eastAsia="en-GB"/>
        </w:rPr>
        <w:t xml:space="preserve">كان </w:t>
      </w:r>
      <w:r w:rsidRPr="00AE6847">
        <w:rPr>
          <w:rFonts w:ascii="Traditional Arabic" w:hAnsi="Traditional Arabic" w:cs="Traditional Arabic"/>
          <w:sz w:val="30"/>
          <w:szCs w:val="30"/>
          <w:rtl/>
          <w:lang w:eastAsia="en-GB"/>
        </w:rPr>
        <w:t>يتم إغلاق الطريق لعدة أيام متتاليه بسبب ه</w:t>
      </w:r>
      <w:r w:rsidR="00AF435C">
        <w:rPr>
          <w:rFonts w:ascii="Traditional Arabic" w:hAnsi="Traditional Arabic" w:cs="Traditional Arabic"/>
          <w:sz w:val="30"/>
          <w:szCs w:val="30"/>
          <w:rtl/>
          <w:lang w:eastAsia="en-GB"/>
        </w:rPr>
        <w:t>طول الأمطار والانهيارات الأرضية</w:t>
      </w:r>
      <w:r w:rsidRPr="00AE6847">
        <w:rPr>
          <w:rFonts w:ascii="Traditional Arabic" w:hAnsi="Traditional Arabic" w:cs="Traditional Arabic"/>
          <w:sz w:val="30"/>
          <w:szCs w:val="30"/>
          <w:rtl/>
          <w:lang w:eastAsia="en-GB"/>
        </w:rPr>
        <w:t>، و</w:t>
      </w:r>
      <w:r w:rsidR="00AF435C">
        <w:rPr>
          <w:rFonts w:ascii="Traditional Arabic" w:hAnsi="Traditional Arabic" w:cs="Traditional Arabic" w:hint="cs"/>
          <w:sz w:val="30"/>
          <w:szCs w:val="30"/>
          <w:rtl/>
          <w:lang w:eastAsia="en-GB"/>
        </w:rPr>
        <w:t xml:space="preserve">قد </w:t>
      </w:r>
      <w:r w:rsidRPr="00AE6847">
        <w:rPr>
          <w:rFonts w:ascii="Traditional Arabic" w:hAnsi="Traditional Arabic" w:cs="Traditional Arabic"/>
          <w:sz w:val="30"/>
          <w:szCs w:val="30"/>
          <w:rtl/>
          <w:lang w:eastAsia="en-GB"/>
        </w:rPr>
        <w:t>حمل الناس على ظهورهم الطعام</w:t>
      </w:r>
      <w:r w:rsidR="00AF435C">
        <w:rPr>
          <w:rFonts w:ascii="Traditional Arabic" w:hAnsi="Traditional Arabic" w:cs="Traditional Arabic"/>
          <w:sz w:val="30"/>
          <w:szCs w:val="30"/>
          <w:rtl/>
          <w:lang w:eastAsia="en-GB"/>
        </w:rPr>
        <w:t>، واسطوانات الأكسجين</w:t>
      </w:r>
      <w:r w:rsidRPr="00AE6847">
        <w:rPr>
          <w:rFonts w:ascii="Traditional Arabic" w:hAnsi="Traditional Arabic" w:cs="Traditional Arabic"/>
          <w:sz w:val="30"/>
          <w:szCs w:val="30"/>
          <w:rtl/>
          <w:lang w:eastAsia="en-GB"/>
        </w:rPr>
        <w:t xml:space="preserve">، وأحيانًا مرضاهم وكبار السن. ساهمت الأخطار الكامنة في هذا الطريق في </w:t>
      </w:r>
      <w:r w:rsidR="00AF435C">
        <w:rPr>
          <w:rFonts w:ascii="Traditional Arabic" w:hAnsi="Traditional Arabic" w:cs="Traditional Arabic" w:hint="cs"/>
          <w:sz w:val="30"/>
          <w:szCs w:val="30"/>
          <w:rtl/>
          <w:lang w:eastAsia="en-GB"/>
        </w:rPr>
        <w:t xml:space="preserve">ازدياد </w:t>
      </w:r>
      <w:r w:rsidRPr="00AE6847">
        <w:rPr>
          <w:rFonts w:ascii="Traditional Arabic" w:hAnsi="Traditional Arabic" w:cs="Traditional Arabic"/>
          <w:sz w:val="30"/>
          <w:szCs w:val="30"/>
          <w:rtl/>
          <w:lang w:eastAsia="en-GB"/>
        </w:rPr>
        <w:t xml:space="preserve">ارتفاع الأسعار، لأنها جاءت "بتكلفة بشرية". استمرت </w:t>
      </w:r>
      <w:r w:rsidR="00AF435C">
        <w:rPr>
          <w:rFonts w:ascii="Traditional Arabic" w:hAnsi="Traditional Arabic" w:cs="Traditional Arabic" w:hint="cs"/>
          <w:sz w:val="30"/>
          <w:szCs w:val="30"/>
          <w:rtl/>
          <w:lang w:eastAsia="en-GB"/>
        </w:rPr>
        <w:t xml:space="preserve">معاناة </w:t>
      </w:r>
      <w:r w:rsidR="00AF435C">
        <w:rPr>
          <w:rFonts w:ascii="Traditional Arabic" w:hAnsi="Traditional Arabic" w:cs="Traditional Arabic"/>
          <w:sz w:val="30"/>
          <w:szCs w:val="30"/>
          <w:rtl/>
          <w:lang w:eastAsia="en-GB"/>
        </w:rPr>
        <w:t>مدينة تعز</w:t>
      </w:r>
      <w:r w:rsidRPr="00AE6847">
        <w:rPr>
          <w:rFonts w:ascii="Traditional Arabic" w:hAnsi="Traditional Arabic" w:cs="Traditional Arabic"/>
          <w:sz w:val="30"/>
          <w:szCs w:val="30"/>
          <w:rtl/>
          <w:lang w:eastAsia="en-GB"/>
        </w:rPr>
        <w:t>، بما في ذلك تراكم النفايات داخل المدينة، حيث تعذر الوصول إلى مواقع مكبات النفايات، والتي تقع بشكل أساسي خارج المدينة، مما ساهم في زيادة المخاطر الصحية داخل المدينة</w:t>
      </w:r>
      <w:r w:rsidRPr="00AE6847">
        <w:rPr>
          <w:rFonts w:ascii="Traditional Arabic" w:hAnsi="Traditional Arabic" w:cs="Traditional Arabic"/>
          <w:sz w:val="30"/>
          <w:szCs w:val="30"/>
          <w:vertAlign w:val="superscript"/>
          <w:lang w:eastAsia="en-GB"/>
        </w:rPr>
        <w:footnoteReference w:id="529"/>
      </w:r>
      <w:r w:rsidRPr="00AE6847">
        <w:rPr>
          <w:rFonts w:ascii="Traditional Arabic" w:hAnsi="Traditional Arabic" w:cs="Traditional Arabic"/>
          <w:sz w:val="30"/>
          <w:szCs w:val="30"/>
          <w:rtl/>
          <w:lang w:eastAsia="en-GB"/>
        </w:rPr>
        <w:t>.</w:t>
      </w:r>
    </w:p>
    <w:p w14:paraId="708B8530" w14:textId="7A9B4112"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لم تخفف سيطره القوات المسلحة اليمنية والجماعات التابعة لها على معبر الدحي في مارس / آذار 2016 الوضع، بسبب استمرار القتال، مما حال دون الوصول إلى هذا الطريق. مع الجهود المبذولة لكسر "الحصار" ، استمر هذا الوضع حتى سعت القوات التابعة للحكومة لكسر الحصار على المدينة من خلال مهاجمة طرق الإمداد الرئيسية للحوثيين المؤدية إلى محافظتي الحديدة وإب. لقد تم كسر "الحصار" بافتتاح طريق يؤدي اليوم إلى عدن، وإن كان طريقًا طويلًا متعرجًا. في المرحلة الثانية من الحصار تم وصف الفتحة</w:t>
      </w:r>
      <w:r w:rsidR="006149F8">
        <w:rPr>
          <w:rFonts w:ascii="Traditional Arabic" w:hAnsi="Traditional Arabic" w:cs="Traditional Arabic" w:hint="cs"/>
          <w:sz w:val="30"/>
          <w:szCs w:val="30"/>
          <w:rtl/>
          <w:lang w:eastAsia="en-GB"/>
        </w:rPr>
        <w:t xml:space="preserve"> من قبل المصادر</w:t>
      </w:r>
      <w:r w:rsidR="006149F8">
        <w:rPr>
          <w:rFonts w:ascii="Traditional Arabic" w:hAnsi="Traditional Arabic" w:cs="Traditional Arabic"/>
          <w:sz w:val="30"/>
          <w:szCs w:val="30"/>
          <w:rtl/>
          <w:lang w:eastAsia="en-GB"/>
        </w:rPr>
        <w:t xml:space="preserve"> بأنها "مساحة </w:t>
      </w:r>
      <w:r w:rsidRPr="00AE6847">
        <w:rPr>
          <w:rFonts w:ascii="Traditional Arabic" w:hAnsi="Traditional Arabic" w:cs="Traditional Arabic"/>
          <w:sz w:val="30"/>
          <w:szCs w:val="30"/>
          <w:rtl/>
          <w:lang w:eastAsia="en-GB"/>
        </w:rPr>
        <w:t>تنفس" على الرغم من أن الطريق لا يزال لا يسمح</w:t>
      </w:r>
      <w:r w:rsidR="006149F8">
        <w:rPr>
          <w:rFonts w:ascii="Traditional Arabic" w:hAnsi="Traditional Arabic" w:cs="Traditional Arabic"/>
          <w:sz w:val="30"/>
          <w:szCs w:val="30"/>
          <w:rtl/>
          <w:lang w:eastAsia="en-GB"/>
        </w:rPr>
        <w:t xml:space="preserve"> بمرور الشاحنات الكبيرة المحملة</w:t>
      </w:r>
      <w:r w:rsidRPr="00AE6847">
        <w:rPr>
          <w:rFonts w:ascii="Traditional Arabic" w:hAnsi="Traditional Arabic" w:cs="Traditional Arabic"/>
          <w:sz w:val="30"/>
          <w:szCs w:val="30"/>
          <w:rtl/>
          <w:lang w:eastAsia="en-GB"/>
        </w:rPr>
        <w:t xml:space="preserve">، وظلت المسافات أطول بكثير مما كانت عليه قبل النزاع. هذا، إلى جانب انخفاض قيمة الريال اليمني وعدم دفع الرواتب ، مما واصل الضغط على سكان تعز. ظلت القيود المفروضة على حرية تنقل المدنيين ، </w:t>
      </w:r>
      <w:r w:rsidR="00AF087C">
        <w:rPr>
          <w:rFonts w:ascii="Traditional Arabic" w:hAnsi="Traditional Arabic" w:cs="Traditional Arabic" w:hint="cs"/>
          <w:sz w:val="30"/>
          <w:szCs w:val="30"/>
          <w:rtl/>
          <w:lang w:eastAsia="en-GB"/>
        </w:rPr>
        <w:t xml:space="preserve">وكذلك على </w:t>
      </w:r>
      <w:r w:rsidRPr="00AE6847">
        <w:rPr>
          <w:rFonts w:ascii="Traditional Arabic" w:hAnsi="Traditional Arabic" w:cs="Traditional Arabic"/>
          <w:sz w:val="30"/>
          <w:szCs w:val="30"/>
          <w:rtl/>
          <w:lang w:eastAsia="en-GB"/>
        </w:rPr>
        <w:t>القوافل الإنسانية والتجارية، واستمرت أسعار السلع الأساسية في الارتفاع ، حيث استمر الحصار في تقييد الوصول إلى الغذاء والمواد الأساسية الأخرى ، على حساب المدنيين الذين يعيشون داخل تعز</w:t>
      </w:r>
      <w:r w:rsidRPr="00AE6847">
        <w:rPr>
          <w:rFonts w:ascii="Traditional Arabic" w:hAnsi="Traditional Arabic" w:cs="Traditional Arabic"/>
          <w:sz w:val="30"/>
          <w:szCs w:val="30"/>
          <w:vertAlign w:val="superscript"/>
          <w:lang w:eastAsia="en-GB"/>
        </w:rPr>
        <w:footnoteReference w:id="530"/>
      </w:r>
      <w:r w:rsidRPr="00AE6847">
        <w:rPr>
          <w:rFonts w:ascii="Traditional Arabic" w:hAnsi="Traditional Arabic" w:cs="Traditional Arabic"/>
          <w:sz w:val="30"/>
          <w:szCs w:val="30"/>
          <w:lang w:eastAsia="en-GB"/>
        </w:rPr>
        <w:t>.</w:t>
      </w:r>
    </w:p>
    <w:p w14:paraId="086137A4" w14:textId="41F5A8E2" w:rsidR="00AE6847" w:rsidRPr="00AE6847" w:rsidRDefault="00AE6847" w:rsidP="006149F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lang w:eastAsia="en-GB"/>
        </w:rPr>
      </w:pPr>
      <w:r w:rsidRPr="00AE6847">
        <w:rPr>
          <w:rFonts w:ascii="Traditional Arabic" w:hAnsi="Traditional Arabic" w:cs="Traditional Arabic"/>
          <w:sz w:val="30"/>
          <w:szCs w:val="30"/>
          <w:rtl/>
          <w:lang w:eastAsia="en-GB"/>
        </w:rPr>
        <w:t xml:space="preserve"> </w:t>
      </w:r>
      <w:r w:rsidRPr="00AE6847">
        <w:rPr>
          <w:rFonts w:ascii="Traditional Arabic" w:hAnsi="Traditional Arabic" w:cs="Traditional Arabic" w:hint="cs"/>
          <w:sz w:val="30"/>
          <w:szCs w:val="30"/>
          <w:rtl/>
          <w:lang w:eastAsia="en-GB"/>
        </w:rPr>
        <w:t xml:space="preserve">بقيت القيود الإنسانية ونددت العديد من المنظمات علناً بهذا الوضع ، بما في ذلك منظمة أطباء بلا حدود ، والتي ذكرت أن المستشفيات في تعز "بحاجة ماسة إلى الإمدادات" ، </w:t>
      </w:r>
      <w:r w:rsidRPr="00AE6847">
        <w:rPr>
          <w:rFonts w:ascii="Traditional Arabic" w:hAnsi="Traditional Arabic" w:cs="Traditional Arabic" w:hint="cs"/>
          <w:i/>
          <w:iCs/>
          <w:sz w:val="30"/>
          <w:szCs w:val="30"/>
          <w:rtl/>
          <w:lang w:eastAsia="en-GB"/>
        </w:rPr>
        <w:t xml:space="preserve">قائلة "إن تسهيل نقل الإمدادات الإنسانية من صنعاء إلى </w:t>
      </w:r>
      <w:r w:rsidRPr="00AE6847">
        <w:rPr>
          <w:rFonts w:ascii="Traditional Arabic" w:hAnsi="Traditional Arabic" w:cs="Traditional Arabic" w:hint="cs"/>
          <w:i/>
          <w:iCs/>
          <w:sz w:val="30"/>
          <w:szCs w:val="30"/>
          <w:rtl/>
          <w:lang w:eastAsia="en-GB"/>
        </w:rPr>
        <w:lastRenderedPageBreak/>
        <w:t>وسط مدينة تعز محدود للغاية من قبل السلطات الحوثية ، مما تسبب في تأخير كبير للعمليات الإنسانية. في مناسبات عديدة ، تم رفض أو تأخير وصول المساعدات الإنسانية والطبية إلى كل من وسط المدينة والمناطق المحيطة بها. تفتقر المستشفيات إلى الأدوية الأساسية والإمدادات الأساسية مثل الأكسجين والوقود للمولدات. يتوفر الوقود والأكسجين عادة في السوق المحلية ، لكن نادراً ما تستطيع المستشفيات شرا</w:t>
      </w:r>
      <w:r w:rsidR="006149F8">
        <w:rPr>
          <w:rFonts w:ascii="Traditional Arabic" w:hAnsi="Traditional Arabic" w:cs="Traditional Arabic" w:hint="cs"/>
          <w:i/>
          <w:iCs/>
          <w:sz w:val="30"/>
          <w:szCs w:val="30"/>
          <w:rtl/>
          <w:lang w:eastAsia="en-GB"/>
        </w:rPr>
        <w:t>ء</w:t>
      </w:r>
      <w:r w:rsidRPr="00AE6847">
        <w:rPr>
          <w:rFonts w:ascii="Traditional Arabic" w:hAnsi="Traditional Arabic" w:cs="Traditional Arabic" w:hint="cs"/>
          <w:i/>
          <w:iCs/>
          <w:sz w:val="30"/>
          <w:szCs w:val="30"/>
          <w:rtl/>
          <w:lang w:eastAsia="en-GB"/>
        </w:rPr>
        <w:t>ه</w:t>
      </w:r>
      <w:r w:rsidRPr="00AE6847">
        <w:rPr>
          <w:rFonts w:ascii="Traditional Arabic" w:hAnsi="Traditional Arabic" w:cs="Traditional Arabic"/>
          <w:i/>
          <w:iCs/>
          <w:sz w:val="30"/>
          <w:szCs w:val="30"/>
          <w:lang w:eastAsia="en-GB"/>
        </w:rPr>
        <w:t xml:space="preserve"> ".</w:t>
      </w:r>
      <w:r w:rsidRPr="00AE6847">
        <w:rPr>
          <w:rFonts w:ascii="Traditional Arabic" w:hAnsi="Traditional Arabic" w:cs="Traditional Arabic"/>
          <w:i/>
          <w:iCs/>
          <w:sz w:val="30"/>
          <w:szCs w:val="30"/>
          <w:vertAlign w:val="superscript"/>
          <w:lang w:eastAsia="en-GB"/>
        </w:rPr>
        <w:footnoteReference w:id="531"/>
      </w:r>
    </w:p>
    <w:p w14:paraId="14A05012" w14:textId="146478AC" w:rsidR="00AE6847" w:rsidRPr="00AE6847" w:rsidRDefault="00AE6847" w:rsidP="000E6F8E">
      <w:pPr>
        <w:pStyle w:val="Footer"/>
        <w:numPr>
          <w:ilvl w:val="0"/>
          <w:numId w:val="3"/>
        </w:numPr>
        <w:tabs>
          <w:tab w:val="left" w:pos="720"/>
          <w:tab w:val="left" w:pos="900"/>
          <w:tab w:val="left" w:pos="1134"/>
          <w:tab w:val="left" w:pos="1701"/>
        </w:tabs>
        <w:bidi/>
        <w:spacing w:after="240"/>
        <w:ind w:left="1134" w:right="1080" w:firstLine="0"/>
        <w:jc w:val="both"/>
        <w:rPr>
          <w:vertAlign w:val="superscript"/>
          <w:rtl/>
          <w:lang w:eastAsia="en-GB"/>
        </w:rPr>
      </w:pPr>
      <w:r w:rsidRPr="00AE6847">
        <w:rPr>
          <w:rFonts w:ascii="Traditional Arabic" w:hAnsi="Traditional Arabic" w:cs="Traditional Arabic"/>
          <w:i/>
          <w:iCs/>
          <w:sz w:val="30"/>
          <w:szCs w:val="30"/>
          <w:rtl/>
          <w:lang w:eastAsia="en-GB"/>
        </w:rPr>
        <w:t xml:space="preserve"> </w:t>
      </w:r>
      <w:r w:rsidRPr="00AE6847">
        <w:rPr>
          <w:rFonts w:ascii="Traditional Arabic" w:hAnsi="Traditional Arabic" w:cs="Traditional Arabic"/>
          <w:sz w:val="30"/>
          <w:szCs w:val="30"/>
          <w:rtl/>
          <w:lang w:eastAsia="en-GB"/>
        </w:rPr>
        <w:t xml:space="preserve">أُبلغ فريق الخبراء بالعديد من التحديات التي </w:t>
      </w:r>
      <w:r w:rsidR="006149F8">
        <w:rPr>
          <w:rFonts w:ascii="Traditional Arabic" w:hAnsi="Traditional Arabic" w:cs="Traditional Arabic" w:hint="cs"/>
          <w:sz w:val="30"/>
          <w:szCs w:val="30"/>
          <w:rtl/>
          <w:lang w:eastAsia="en-GB"/>
        </w:rPr>
        <w:t xml:space="preserve">أعاقت </w:t>
      </w:r>
      <w:r w:rsidRPr="00AE6847">
        <w:rPr>
          <w:rFonts w:ascii="Traditional Arabic" w:hAnsi="Traditional Arabic" w:cs="Traditional Arabic"/>
          <w:sz w:val="30"/>
          <w:szCs w:val="30"/>
          <w:rtl/>
          <w:lang w:eastAsia="en-GB"/>
        </w:rPr>
        <w:t xml:space="preserve">تقديم المساعدة الإنسانية </w:t>
      </w:r>
      <w:r w:rsidR="006149F8">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داخل تعز، بما في ذلك تحويل المساعدات</w:t>
      </w:r>
      <w:r w:rsidR="00AF087C">
        <w:rPr>
          <w:rFonts w:ascii="Traditional Arabic" w:hAnsi="Traditional Arabic" w:cs="Traditional Arabic" w:hint="cs"/>
          <w:sz w:val="30"/>
          <w:szCs w:val="30"/>
          <w:rtl/>
          <w:lang w:eastAsia="en-GB"/>
        </w:rPr>
        <w:t xml:space="preserve"> عن مقاصدها و</w:t>
      </w:r>
      <w:r w:rsidR="006149F8">
        <w:rPr>
          <w:rFonts w:ascii="Traditional Arabic" w:hAnsi="Traditional Arabic" w:cs="Traditional Arabic" w:hint="cs"/>
          <w:sz w:val="30"/>
          <w:szCs w:val="30"/>
          <w:rtl/>
          <w:lang w:eastAsia="en-GB"/>
        </w:rPr>
        <w:t>الا</w:t>
      </w:r>
      <w:r w:rsidR="00AF087C">
        <w:rPr>
          <w:rFonts w:ascii="Traditional Arabic" w:hAnsi="Traditional Arabic" w:cs="Traditional Arabic" w:hint="cs"/>
          <w:sz w:val="30"/>
          <w:szCs w:val="30"/>
          <w:rtl/>
          <w:lang w:eastAsia="en-GB"/>
        </w:rPr>
        <w:t>ست</w:t>
      </w:r>
      <w:r w:rsidR="006149F8">
        <w:rPr>
          <w:rFonts w:ascii="Traditional Arabic" w:hAnsi="Traditional Arabic" w:cs="Traditional Arabic" w:hint="cs"/>
          <w:sz w:val="30"/>
          <w:szCs w:val="30"/>
          <w:rtl/>
          <w:lang w:eastAsia="en-GB"/>
        </w:rPr>
        <w:t>يلاء</w:t>
      </w:r>
      <w:r w:rsidR="000E6F8E">
        <w:rPr>
          <w:rFonts w:ascii="Traditional Arabic" w:hAnsi="Traditional Arabic" w:cs="Traditional Arabic" w:hint="cs"/>
          <w:sz w:val="30"/>
          <w:szCs w:val="30"/>
          <w:rtl/>
          <w:lang w:eastAsia="en-GB"/>
        </w:rPr>
        <w:t xml:space="preserve"> عليها</w:t>
      </w:r>
      <w:r w:rsidR="00AF087C">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AF087C">
        <w:rPr>
          <w:rFonts w:ascii="Traditional Arabic" w:hAnsi="Traditional Arabic" w:cs="Traditional Arabic" w:hint="cs"/>
          <w:sz w:val="30"/>
          <w:szCs w:val="30"/>
          <w:rtl/>
          <w:lang w:eastAsia="en-GB"/>
        </w:rPr>
        <w:t xml:space="preserve">مما فاقم عمل </w:t>
      </w:r>
      <w:r w:rsidRPr="00AE6847">
        <w:rPr>
          <w:rFonts w:ascii="Traditional Arabic" w:hAnsi="Traditional Arabic" w:cs="Traditional Arabic"/>
          <w:sz w:val="30"/>
          <w:szCs w:val="30"/>
          <w:rtl/>
          <w:lang w:eastAsia="en-GB"/>
        </w:rPr>
        <w:t xml:space="preserve">المنظمات الإنسانية التي تدير عمليات نائية في العديد من الحالات ولا تستطيع مراقبة </w:t>
      </w:r>
      <w:r w:rsidR="00AF087C">
        <w:rPr>
          <w:rFonts w:ascii="Traditional Arabic" w:hAnsi="Traditional Arabic" w:cs="Traditional Arabic" w:hint="cs"/>
          <w:sz w:val="30"/>
          <w:szCs w:val="30"/>
          <w:rtl/>
          <w:lang w:eastAsia="en-GB"/>
        </w:rPr>
        <w:t xml:space="preserve">ومتابعة </w:t>
      </w:r>
      <w:r w:rsidRPr="00AE6847">
        <w:rPr>
          <w:rFonts w:ascii="Traditional Arabic" w:hAnsi="Traditional Arabic" w:cs="Traditional Arabic"/>
          <w:sz w:val="30"/>
          <w:szCs w:val="30"/>
          <w:rtl/>
          <w:lang w:eastAsia="en-GB"/>
        </w:rPr>
        <w:t xml:space="preserve">التوزيعات بشكل صحيح </w:t>
      </w:r>
      <w:r w:rsidR="000E6F8E">
        <w:rPr>
          <w:rFonts w:ascii="Traditional Arabic" w:hAnsi="Traditional Arabic" w:cs="Traditional Arabic" w:hint="cs"/>
          <w:sz w:val="30"/>
          <w:szCs w:val="30"/>
          <w:rtl/>
          <w:lang w:eastAsia="en-GB"/>
        </w:rPr>
        <w:t xml:space="preserve">أو رصد </w:t>
      </w:r>
      <w:r w:rsidRPr="00AE6847">
        <w:rPr>
          <w:rFonts w:ascii="Traditional Arabic" w:hAnsi="Traditional Arabic" w:cs="Traditional Arabic"/>
          <w:sz w:val="30"/>
          <w:szCs w:val="30"/>
          <w:rtl/>
          <w:lang w:eastAsia="en-GB"/>
        </w:rPr>
        <w:t>حالات تحويل أو سرقة إمدادات المساعدات. أُبلغ فريق الخبراء أيضًا بحالة واحدة كانت فيها الجماعات المسلحة داخل تعز مسؤولة عن سرقة المساعدات الإنسانية في ربيع عام 2018 ، أي أكثر من 570 سلال غذائية موجهة إلى المحتاجين داخل تعز. وبحسب ما ورد قوبلت طلبات المساءلة بشأن هذا الحادث بالتحديد بعدم الاستجابة من جانب السلطات المحلية داخل تعز</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32"/>
      </w:r>
    </w:p>
    <w:p w14:paraId="744E196B" w14:textId="27881691" w:rsidR="00AE6847" w:rsidRPr="00AE6847" w:rsidRDefault="00AE6847" w:rsidP="002A07F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lang w:eastAsia="en-GB"/>
        </w:rPr>
      </w:pPr>
      <w:r w:rsidRPr="00AE6847">
        <w:rPr>
          <w:rFonts w:ascii="Traditional Arabic" w:hAnsi="Traditional Arabic" w:cs="Traditional Arabic"/>
          <w:sz w:val="30"/>
          <w:szCs w:val="30"/>
          <w:rtl/>
          <w:lang w:eastAsia="en-GB"/>
        </w:rPr>
        <w:t>عقب نشوب النزاع ، سرعان ما شهدت تعز ، التي استضافت خمسة مستشفيات عامة عاملة</w:t>
      </w:r>
      <w:r w:rsidRPr="00AE6847">
        <w:rPr>
          <w:rFonts w:ascii="Traditional Arabic" w:hAnsi="Traditional Arabic" w:cs="Traditional Arabic"/>
          <w:sz w:val="30"/>
          <w:szCs w:val="30"/>
          <w:vertAlign w:val="superscript"/>
          <w:lang w:eastAsia="en-GB"/>
        </w:rPr>
        <w:footnoteReference w:id="533"/>
      </w:r>
      <w:r w:rsidRPr="00AE6847">
        <w:rPr>
          <w:rFonts w:ascii="Traditional Arabic" w:hAnsi="Traditional Arabic" w:cs="Traditional Arabic"/>
          <w:sz w:val="30"/>
          <w:szCs w:val="30"/>
          <w:rtl/>
          <w:lang w:eastAsia="en-GB"/>
        </w:rPr>
        <w:t xml:space="preserve"> ، انهيارًا سريعًا لنظامها الصحي. على الرغم من أن المستشفيات داخل مدينة تعز ظلت مفتوحة، إلا أنها كانت تعمل جزئيًا ولا توفر مستوى الخدمات التي اعتاد عليها أو احتاجها السكان المدنيون داخل المدينة. وجود "الحصار" داخل تعز زاد من تعقيد الوصول إلى الرعاية الصحية بما في ذلك للسكان المقيمين في منطقة الحوبان. الوصول إلى مستشفى في تعز من هذا الجزء، والذي كان يستغرق حوالي 15 دقيقة ، هو الآن رحلة لعدة ساعات وفقا لمصادر مختلفة. كما أدى "الحصار" إلى تعقيد عملية توصيل اللقاحات داخل المدينة، وقيد وصول المرضى إلى علاج متخصص، </w:t>
      </w:r>
      <w:r w:rsidR="002A07F9">
        <w:rPr>
          <w:rFonts w:ascii="Traditional Arabic" w:hAnsi="Traditional Arabic" w:cs="Traditional Arabic" w:hint="cs"/>
          <w:sz w:val="30"/>
          <w:szCs w:val="30"/>
          <w:rtl/>
          <w:lang w:eastAsia="en-GB"/>
        </w:rPr>
        <w:t xml:space="preserve">ضمنها </w:t>
      </w:r>
      <w:r w:rsidRPr="00AE6847">
        <w:rPr>
          <w:rFonts w:ascii="Traditional Arabic" w:hAnsi="Traditional Arabic" w:cs="Traditional Arabic"/>
          <w:sz w:val="30"/>
          <w:szCs w:val="30"/>
          <w:rtl/>
          <w:lang w:eastAsia="en-GB"/>
        </w:rPr>
        <w:t>الحالات التي تتطلب غسيل الكلى. تم تقييد الوصول إلى التعليم بالمثل ، حيث لم يتمكن الطلاب من الوصول إلى الجامعة داخل المدينة</w:t>
      </w:r>
      <w:r w:rsidRPr="00AE6847">
        <w:rPr>
          <w:rFonts w:ascii="Traditional Arabic" w:hAnsi="Traditional Arabic" w:cs="Traditional Arabic"/>
          <w:sz w:val="30"/>
          <w:szCs w:val="30"/>
          <w:vertAlign w:val="superscript"/>
          <w:lang w:eastAsia="en-GB"/>
        </w:rPr>
        <w:footnoteReference w:id="534"/>
      </w:r>
      <w:r w:rsidRPr="00AE6847">
        <w:rPr>
          <w:rFonts w:ascii="Traditional Arabic" w:hAnsi="Traditional Arabic" w:cs="Traditional Arabic"/>
          <w:sz w:val="30"/>
          <w:szCs w:val="30"/>
          <w:rtl/>
          <w:lang w:eastAsia="en-GB"/>
        </w:rPr>
        <w:t>. وفقًا لمصدر واحد،</w:t>
      </w:r>
      <w:r w:rsidRPr="00AE6847">
        <w:rPr>
          <w:rFonts w:ascii="Traditional Arabic" w:hAnsi="Traditional Arabic" w:cs="Traditional Arabic"/>
          <w:sz w:val="30"/>
          <w:szCs w:val="30"/>
          <w:vertAlign w:val="superscript"/>
          <w:lang w:eastAsia="en-GB"/>
        </w:rPr>
        <w:footnoteReference w:id="535"/>
      </w:r>
      <w:r w:rsidRPr="00AE6847">
        <w:rPr>
          <w:rFonts w:ascii="Traditional Arabic" w:hAnsi="Traditional Arabic" w:cs="Traditional Arabic"/>
          <w:sz w:val="30"/>
          <w:szCs w:val="30"/>
          <w:rtl/>
          <w:lang w:eastAsia="en-GB"/>
        </w:rPr>
        <w:t xml:space="preserve"> لا يتمكن 200 طالب من حضور دوراتهم في الجامعة بسبب المسافة التي يجب أن يسافروا بها على الطريق المؤدي إلى المدينة من مختلف المناطق بما في ذلك الحوبان ، في حين انخفض عدد الطلاب الملتحقين بالمعاهد الفنية 35 في المائة منذ بدء الحرب. أُبلغ فريق الخبر</w:t>
      </w:r>
      <w:r w:rsidR="00AF435C">
        <w:rPr>
          <w:rFonts w:ascii="Traditional Arabic" w:hAnsi="Traditional Arabic" w:cs="Traditional Arabic"/>
          <w:sz w:val="30"/>
          <w:szCs w:val="30"/>
          <w:rtl/>
          <w:lang w:eastAsia="en-GB"/>
        </w:rPr>
        <w:t>اء أن الطالبات هن الأكثر تضرراً</w:t>
      </w:r>
      <w:r w:rsidRPr="00AE6847">
        <w:rPr>
          <w:rFonts w:ascii="Traditional Arabic" w:hAnsi="Traditional Arabic" w:cs="Traditional Arabic"/>
          <w:sz w:val="30"/>
          <w:szCs w:val="30"/>
          <w:rtl/>
          <w:lang w:eastAsia="en-GB"/>
        </w:rPr>
        <w:t>، لأن أسرهن خائفة على سلامة تنقلهن، خاصة بعد تعرض عدة طلاب للإهانة أو الاعتداء أو الاحتجاز التعسفي في نقاط التفتيش</w:t>
      </w:r>
      <w:r w:rsidRPr="00AE6847">
        <w:rPr>
          <w:rFonts w:ascii="Traditional Arabic" w:hAnsi="Traditional Arabic" w:cs="Traditional Arabic"/>
          <w:sz w:val="30"/>
          <w:szCs w:val="30"/>
          <w:vertAlign w:val="superscript"/>
          <w:lang w:eastAsia="en-GB"/>
        </w:rPr>
        <w:footnoteReference w:id="536"/>
      </w:r>
      <w:r w:rsidRPr="00AE6847">
        <w:rPr>
          <w:rFonts w:ascii="Traditional Arabic" w:hAnsi="Traditional Arabic" w:cs="Traditional Arabic"/>
          <w:sz w:val="30"/>
          <w:szCs w:val="30"/>
          <w:lang w:eastAsia="en-GB"/>
        </w:rPr>
        <w:t>.</w:t>
      </w:r>
    </w:p>
    <w:p w14:paraId="61FB3034" w14:textId="18FA6D9B" w:rsidR="00AE6847" w:rsidRPr="00AE6847" w:rsidRDefault="00AF435C"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Pr>
          <w:rFonts w:ascii="Traditional Arabic" w:hAnsi="Traditional Arabic" w:cs="Traditional Arabic"/>
          <w:sz w:val="30"/>
          <w:szCs w:val="30"/>
          <w:rtl/>
          <w:lang w:eastAsia="en-GB"/>
        </w:rPr>
        <w:t>أدى النزاع في تعز، مثله مثل أي مكان آخر في اليمن</w:t>
      </w:r>
      <w:r w:rsidR="00AE6847" w:rsidRPr="00AE6847">
        <w:rPr>
          <w:rFonts w:ascii="Traditional Arabic" w:hAnsi="Traditional Arabic" w:cs="Traditional Arabic"/>
          <w:sz w:val="30"/>
          <w:szCs w:val="30"/>
          <w:rtl/>
          <w:lang w:eastAsia="en-GB"/>
        </w:rPr>
        <w:t>،</w:t>
      </w:r>
      <w:r>
        <w:rPr>
          <w:rFonts w:ascii="Traditional Arabic" w:hAnsi="Traditional Arabic" w:cs="Traditional Arabic"/>
          <w:sz w:val="30"/>
          <w:szCs w:val="30"/>
          <w:rtl/>
          <w:lang w:eastAsia="en-GB"/>
        </w:rPr>
        <w:t xml:space="preserve"> إلى زيادة العبء على المرأة</w:t>
      </w:r>
      <w:r w:rsidR="00AE6847" w:rsidRPr="00AE6847">
        <w:rPr>
          <w:rFonts w:ascii="Traditional Arabic" w:hAnsi="Traditional Arabic" w:cs="Traditional Arabic"/>
          <w:sz w:val="30"/>
          <w:szCs w:val="30"/>
          <w:rtl/>
          <w:lang w:eastAsia="en-GB"/>
        </w:rPr>
        <w:t xml:space="preserve">، فضلاً عن خطر تعرضها لانتهاكات حقوق الإنسان. أصبحت النساء </w:t>
      </w:r>
      <w:r w:rsidR="00AE6847" w:rsidRPr="00AE6847">
        <w:rPr>
          <w:rFonts w:ascii="Traditional Arabic" w:hAnsi="Traditional Arabic" w:cs="Traditional Arabic"/>
          <w:sz w:val="30"/>
          <w:szCs w:val="30"/>
          <w:rtl/>
          <w:lang w:eastAsia="en-GB"/>
        </w:rPr>
        <w:lastRenderedPageBreak/>
        <w:t>في كثير من الحالات المعيل الرئيسي ، وكثيراً ما غامرن بمفردهن خوفًا من اختطاف أو قتل أقربائهن الذكور. بعض أبرز الناشطين في تعز كانوا من النساء ، قُتل عدد قليل منهن أثناء النزاع. إن أثر النزاع</w:t>
      </w:r>
      <w:r>
        <w:rPr>
          <w:rFonts w:ascii="Traditional Arabic" w:hAnsi="Traditional Arabic" w:cs="Traditional Arabic"/>
          <w:sz w:val="30"/>
          <w:szCs w:val="30"/>
          <w:rtl/>
          <w:lang w:eastAsia="en-GB"/>
        </w:rPr>
        <w:t xml:space="preserve"> على السكان المدنيين في المدينة</w:t>
      </w:r>
      <w:r w:rsidR="00AE6847" w:rsidRPr="00AE6847">
        <w:rPr>
          <w:rFonts w:ascii="Traditional Arabic" w:hAnsi="Traditional Arabic" w:cs="Traditional Arabic"/>
          <w:sz w:val="30"/>
          <w:szCs w:val="30"/>
          <w:rtl/>
          <w:lang w:eastAsia="en-GB"/>
        </w:rPr>
        <w:t>، بما في ذلك ذوي الاحتياجات الخاصة والمسنين لم يتم الإبلاغ عنه إلى حد كبير. استضافت تعز عددًا كبيرًا من أفراد مجتمع "المهمشين" الذين عانوا أيضًا من انتهاكات عديدة أثناء النزاع.</w:t>
      </w:r>
      <w:r w:rsidR="00AE6847" w:rsidRPr="00AE6847">
        <w:rPr>
          <w:rFonts w:ascii="Traditional Arabic" w:hAnsi="Traditional Arabic" w:cs="Traditional Arabic"/>
          <w:sz w:val="30"/>
          <w:szCs w:val="30"/>
          <w:vertAlign w:val="superscript"/>
          <w:lang w:eastAsia="en-GB"/>
        </w:rPr>
        <w:t xml:space="preserve"> </w:t>
      </w:r>
      <w:r w:rsidR="00AE6847" w:rsidRPr="00AE6847">
        <w:rPr>
          <w:rFonts w:ascii="Traditional Arabic" w:hAnsi="Traditional Arabic" w:cs="Traditional Arabic"/>
          <w:sz w:val="30"/>
          <w:szCs w:val="30"/>
          <w:vertAlign w:val="superscript"/>
          <w:lang w:eastAsia="en-GB"/>
        </w:rPr>
        <w:footnoteReference w:id="537"/>
      </w:r>
    </w:p>
    <w:p w14:paraId="34DC8242" w14:textId="77777777"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شعر الكثير من الأشخاص الذين تحدث إليهم فريق الخبراء أن معاناة تعز قد أهملت. تحدثوا أيضًا عن صمود المدنيين في تعز ، وعن إرادتهم لاستعادة مدينتهم كما كانوا يعرفونها</w:t>
      </w:r>
      <w:r w:rsidRPr="00AE6847">
        <w:rPr>
          <w:rFonts w:ascii="Traditional Arabic" w:hAnsi="Traditional Arabic" w:cs="Traditional Arabic"/>
          <w:sz w:val="30"/>
          <w:szCs w:val="30"/>
          <w:lang w:eastAsia="en-GB"/>
        </w:rPr>
        <w:t>:</w:t>
      </w:r>
    </w:p>
    <w:p w14:paraId="0A7DF56C" w14:textId="117FE7BD" w:rsidR="00AE6847" w:rsidRPr="00AE6847" w:rsidRDefault="00AE6847" w:rsidP="002A07F9">
      <w:pPr>
        <w:tabs>
          <w:tab w:val="left" w:pos="720"/>
          <w:tab w:val="left" w:pos="1701"/>
        </w:tabs>
        <w:suppressAutoHyphens w:val="0"/>
        <w:bidi/>
        <w:spacing w:after="120"/>
        <w:ind w:left="1701" w:right="720"/>
        <w:jc w:val="both"/>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tl/>
        </w:rPr>
        <w:t>تعز مدينة الغفران. اعتاد الناس بيع ممتلكاتهم لتعليم أطفالهم. لقد اعتادوا أن ينظروا إلى من حمل ا</w:t>
      </w:r>
      <w:r w:rsidR="002A07F9">
        <w:rPr>
          <w:rFonts w:ascii="Traditional Arabic" w:eastAsia="Calibri" w:hAnsi="Traditional Arabic" w:cs="Traditional Arabic" w:hint="cs"/>
          <w:i/>
          <w:iCs/>
          <w:sz w:val="30"/>
          <w:szCs w:val="30"/>
          <w:rtl/>
        </w:rPr>
        <w:t>ل</w:t>
      </w:r>
      <w:r w:rsidRPr="00AE6847">
        <w:rPr>
          <w:rFonts w:ascii="Traditional Arabic" w:eastAsia="Calibri" w:hAnsi="Traditional Arabic" w:cs="Traditional Arabic"/>
          <w:i/>
          <w:iCs/>
          <w:sz w:val="30"/>
          <w:szCs w:val="30"/>
          <w:rtl/>
        </w:rPr>
        <w:t>سل</w:t>
      </w:r>
      <w:r w:rsidR="002A07F9">
        <w:rPr>
          <w:rFonts w:ascii="Traditional Arabic" w:eastAsia="Calibri" w:hAnsi="Traditional Arabic" w:cs="Traditional Arabic" w:hint="cs"/>
          <w:i/>
          <w:iCs/>
          <w:sz w:val="30"/>
          <w:szCs w:val="30"/>
          <w:rtl/>
        </w:rPr>
        <w:t>ا</w:t>
      </w:r>
      <w:r w:rsidRPr="00AE6847">
        <w:rPr>
          <w:rFonts w:ascii="Traditional Arabic" w:eastAsia="Calibri" w:hAnsi="Traditional Arabic" w:cs="Traditional Arabic"/>
          <w:i/>
          <w:iCs/>
          <w:sz w:val="30"/>
          <w:szCs w:val="30"/>
          <w:rtl/>
        </w:rPr>
        <w:t>ح على أن</w:t>
      </w:r>
      <w:r w:rsidR="002A07F9">
        <w:rPr>
          <w:rFonts w:ascii="Traditional Arabic" w:eastAsia="Calibri" w:hAnsi="Traditional Arabic" w:cs="Traditional Arabic" w:hint="cs"/>
          <w:i/>
          <w:iCs/>
          <w:sz w:val="30"/>
          <w:szCs w:val="30"/>
          <w:rtl/>
        </w:rPr>
        <w:t>ه</w:t>
      </w:r>
      <w:r w:rsidRPr="00AE6847">
        <w:rPr>
          <w:rFonts w:ascii="Traditional Arabic" w:eastAsia="Calibri" w:hAnsi="Traditional Arabic" w:cs="Traditional Arabic"/>
          <w:i/>
          <w:iCs/>
          <w:sz w:val="30"/>
          <w:szCs w:val="30"/>
          <w:rtl/>
        </w:rPr>
        <w:t xml:space="preserve"> غريب على تعز ... التطرف لا يؤدي إلا إلى الدمار. إن ما يجري في تعز اليوم هو </w:t>
      </w:r>
      <w:r w:rsidR="002A07F9">
        <w:rPr>
          <w:rFonts w:ascii="Traditional Arabic" w:eastAsia="Calibri" w:hAnsi="Traditional Arabic" w:cs="Traditional Arabic" w:hint="cs"/>
          <w:i/>
          <w:iCs/>
          <w:sz w:val="30"/>
          <w:szCs w:val="30"/>
          <w:rtl/>
        </w:rPr>
        <w:t xml:space="preserve">فعل </w:t>
      </w:r>
      <w:r w:rsidRPr="00AE6847">
        <w:rPr>
          <w:rFonts w:ascii="Traditional Arabic" w:eastAsia="Calibri" w:hAnsi="Traditional Arabic" w:cs="Traditional Arabic"/>
          <w:i/>
          <w:iCs/>
          <w:sz w:val="30"/>
          <w:szCs w:val="30"/>
          <w:rtl/>
        </w:rPr>
        <w:t xml:space="preserve">هؤلاء غير المستنيرين. </w:t>
      </w:r>
      <w:r w:rsidR="002A07F9">
        <w:rPr>
          <w:rFonts w:ascii="Traditional Arabic" w:eastAsia="Calibri" w:hAnsi="Traditional Arabic" w:cs="Traditional Arabic" w:hint="cs"/>
          <w:i/>
          <w:iCs/>
          <w:sz w:val="30"/>
          <w:szCs w:val="30"/>
          <w:rtl/>
        </w:rPr>
        <w:t>و</w:t>
      </w:r>
      <w:r w:rsidRPr="00AE6847">
        <w:rPr>
          <w:rFonts w:ascii="Traditional Arabic" w:eastAsia="Calibri" w:hAnsi="Traditional Arabic" w:cs="Traditional Arabic"/>
          <w:i/>
          <w:iCs/>
          <w:sz w:val="30"/>
          <w:szCs w:val="30"/>
          <w:rtl/>
        </w:rPr>
        <w:t>ل</w:t>
      </w:r>
      <w:r w:rsidR="002A07F9">
        <w:rPr>
          <w:rFonts w:ascii="Traditional Arabic" w:eastAsia="Calibri" w:hAnsi="Traditional Arabic" w:cs="Traditional Arabic" w:hint="cs"/>
          <w:i/>
          <w:iCs/>
          <w:sz w:val="30"/>
          <w:szCs w:val="30"/>
          <w:rtl/>
        </w:rPr>
        <w:t>ك</w:t>
      </w:r>
      <w:r w:rsidRPr="00AE6847">
        <w:rPr>
          <w:rFonts w:ascii="Traditional Arabic" w:eastAsia="Calibri" w:hAnsi="Traditional Arabic" w:cs="Traditional Arabic"/>
          <w:i/>
          <w:iCs/>
          <w:sz w:val="30"/>
          <w:szCs w:val="30"/>
          <w:rtl/>
        </w:rPr>
        <w:t>ن</w:t>
      </w:r>
      <w:r w:rsidR="002A07F9">
        <w:rPr>
          <w:rFonts w:ascii="Traditional Arabic" w:eastAsia="Calibri" w:hAnsi="Traditional Arabic" w:cs="Traditional Arabic" w:hint="cs"/>
          <w:i/>
          <w:iCs/>
          <w:sz w:val="30"/>
          <w:szCs w:val="30"/>
          <w:rtl/>
        </w:rPr>
        <w:t>هم لن</w:t>
      </w:r>
      <w:r w:rsidRPr="00AE6847">
        <w:rPr>
          <w:rFonts w:ascii="Traditional Arabic" w:eastAsia="Calibri" w:hAnsi="Traditional Arabic" w:cs="Traditional Arabic"/>
          <w:i/>
          <w:iCs/>
          <w:sz w:val="30"/>
          <w:szCs w:val="30"/>
          <w:rtl/>
        </w:rPr>
        <w:t xml:space="preserve"> يتحدثوا باسمنا</w:t>
      </w:r>
      <w:r w:rsidRPr="00AE6847">
        <w:rPr>
          <w:rFonts w:ascii="Traditional Arabic" w:eastAsia="Calibri" w:hAnsi="Traditional Arabic" w:cs="Traditional Arabic"/>
          <w:i/>
          <w:iCs/>
          <w:sz w:val="30"/>
          <w:szCs w:val="30"/>
        </w:rPr>
        <w:t xml:space="preserve"> "</w:t>
      </w:r>
      <w:r w:rsidRPr="00AE6847">
        <w:rPr>
          <w:rFonts w:ascii="Traditional Arabic" w:eastAsia="Calibri" w:hAnsi="Traditional Arabic" w:cs="Traditional Arabic"/>
          <w:sz w:val="30"/>
          <w:szCs w:val="30"/>
          <w:vertAlign w:val="superscript"/>
        </w:rPr>
        <w:footnoteReference w:id="538"/>
      </w:r>
    </w:p>
    <w:p w14:paraId="43D33078" w14:textId="7DE79ED1" w:rsidR="00AE6847" w:rsidRPr="00AE6847" w:rsidRDefault="00AE6847" w:rsidP="00361237">
      <w:pPr>
        <w:tabs>
          <w:tab w:val="left" w:pos="720"/>
        </w:tabs>
        <w:suppressAutoHyphens w:val="0"/>
        <w:bidi/>
        <w:spacing w:after="160" w:line="240" w:lineRule="auto"/>
        <w:ind w:right="828"/>
        <w:rPr>
          <w:rFonts w:ascii="Traditional Arabic" w:eastAsia="Calibri" w:hAnsi="Traditional Arabic" w:cs="Traditional Arabic"/>
          <w:sz w:val="30"/>
          <w:szCs w:val="30"/>
          <w:rtl/>
        </w:rPr>
      </w:pPr>
      <w:r w:rsidRPr="00AE6847">
        <w:rPr>
          <w:rFonts w:ascii="Traditional Arabic" w:eastAsia="Calibri" w:hAnsi="Traditional Arabic" w:cs="Traditional Arabic"/>
          <w:sz w:val="30"/>
          <w:szCs w:val="30"/>
          <w:rtl/>
        </w:rPr>
        <w:t xml:space="preserve">       </w:t>
      </w:r>
      <w:r w:rsidR="00965C2C">
        <w:rPr>
          <w:rFonts w:ascii="Traditional Arabic" w:eastAsia="Calibri" w:hAnsi="Traditional Arabic" w:cs="Traditional Arabic"/>
          <w:sz w:val="30"/>
          <w:szCs w:val="30"/>
          <w:rtl/>
        </w:rPr>
        <w:tab/>
      </w:r>
      <w:r w:rsidR="00965C2C">
        <w:rPr>
          <w:rFonts w:ascii="Traditional Arabic" w:eastAsia="Calibri" w:hAnsi="Traditional Arabic" w:cs="Traditional Arabic"/>
          <w:sz w:val="30"/>
          <w:szCs w:val="30"/>
          <w:rtl/>
        </w:rPr>
        <w:tab/>
      </w:r>
      <w:r w:rsidRPr="00AE6847">
        <w:rPr>
          <w:rFonts w:ascii="Traditional Arabic" w:eastAsia="Calibri" w:hAnsi="Traditional Arabic" w:cs="Traditional Arabic"/>
          <w:sz w:val="30"/>
          <w:szCs w:val="30"/>
          <w:rtl/>
        </w:rPr>
        <w:t>الاستنتاجات</w:t>
      </w:r>
    </w:p>
    <w:p w14:paraId="17F75432" w14:textId="42B3C64E" w:rsidR="00AE6847" w:rsidRPr="00AE6847" w:rsidRDefault="00AE6847" w:rsidP="00915B4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في رد مكتوب على الأسئلة التي طرحها فريق الخبراء ، رفضت سلطات الأمر الواقع مزاعم الانتهاكات المتعلقة بالقصف ونيران القناصة في تعز. وأشارت سلطات الأمر الواقع إلى حالة انعدام الأمن السائدة داخل المدينة بسبب سيطرة "الميليشيات والمنظمات الإرهابية" ، والتي أدت إلى حدوث انتهاكات مختلفة، بما في ذلك مقتل مندوب اللجنة الدولية للصليب الأحمر حنا لحود.</w:t>
      </w:r>
      <w:r w:rsidRPr="00AE6847">
        <w:rPr>
          <w:rFonts w:ascii="Traditional Arabic" w:hAnsi="Traditional Arabic" w:cs="Traditional Arabic"/>
          <w:b/>
          <w:sz w:val="30"/>
          <w:szCs w:val="30"/>
          <w:rtl/>
          <w:lang w:eastAsia="en-GB"/>
          <w14:textOutline w14:w="10541" w14:cap="flat" w14:cmpd="sng" w14:algn="ctr">
            <w14:solidFill>
              <w14:srgbClr w14:val="5093CF"/>
            </w14:solidFill>
            <w14:prstDash w14:val="solid"/>
            <w14:round/>
          </w14:textOutline>
          <w14:textFill>
            <w14:gradFill>
              <w14:gsLst>
                <w14:gs w14:pos="0">
                  <w14:srgbClr w14:val="BBDAFF">
                    <w14:tint w14:val="40000"/>
                    <w14:satMod w14:val="250000"/>
                  </w14:srgbClr>
                </w14:gs>
                <w14:gs w14:pos="9000">
                  <w14:srgbClr w14:val="98CDFF">
                    <w14:tint w14:val="52000"/>
                    <w14:satMod w14:val="300000"/>
                  </w14:srgbClr>
                </w14:gs>
                <w14:gs w14:pos="50000">
                  <w14:srgbClr w14:val="004BA4">
                    <w14:shade w14:val="20000"/>
                    <w14:satMod w14:val="300000"/>
                  </w14:srgbClr>
                </w14:gs>
                <w14:gs w14:pos="79000">
                  <w14:srgbClr w14:val="98CDFF">
                    <w14:tint w14:val="52000"/>
                    <w14:satMod w14:val="300000"/>
                  </w14:srgbClr>
                </w14:gs>
                <w14:gs w14:pos="100000">
                  <w14:srgbClr w14:val="BBDAFF">
                    <w14:tint w14:val="40000"/>
                    <w14:satMod w14:val="250000"/>
                  </w14:srgbClr>
                </w14:gs>
              </w14:gsLst>
              <w14:lin w14:ang="5400000" w14:scaled="0"/>
            </w14:gradFill>
          </w14:textFill>
        </w:rPr>
        <w:t xml:space="preserve"> </w:t>
      </w:r>
      <w:r w:rsidRPr="00AE6847">
        <w:rPr>
          <w:rFonts w:ascii="Traditional Arabic" w:hAnsi="Traditional Arabic" w:cs="Traditional Arabic"/>
          <w:sz w:val="30"/>
          <w:szCs w:val="30"/>
          <w:rtl/>
          <w:lang w:eastAsia="en-GB"/>
        </w:rPr>
        <w:t>فيما يتعلق بـ"الحصار" على تعز ، وتحديداً بين مارس ويوليو 2015 ، نفت سلطات الأمر الواقع جميع الادعاءات المتعلقة بمنع المدنيين من مغادرة المدينة أو إجبارهم على المشي لمسافات طويلة أو تجريدهم من ممتلكاتهم عند نقاط التفتيش. واصلت سلطات الأمر الواقع بقولها، "</w:t>
      </w:r>
      <w:r w:rsidR="00915B4B">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إ</w:t>
      </w:r>
      <w:r w:rsidR="00915B4B">
        <w:rPr>
          <w:rFonts w:ascii="Traditional Arabic" w:hAnsi="Traditional Arabic" w:cs="Traditional Arabic" w:hint="cs"/>
          <w:sz w:val="30"/>
          <w:szCs w:val="30"/>
          <w:rtl/>
          <w:lang w:eastAsia="en-GB"/>
        </w:rPr>
        <w:t>ن</w:t>
      </w:r>
      <w:r w:rsidRPr="00AE6847">
        <w:rPr>
          <w:rFonts w:ascii="Traditional Arabic" w:hAnsi="Traditional Arabic" w:cs="Traditional Arabic"/>
          <w:sz w:val="30"/>
          <w:szCs w:val="30"/>
          <w:rtl/>
          <w:lang w:eastAsia="en-GB"/>
        </w:rPr>
        <w:t xml:space="preserve"> وجدت حالات، ف</w:t>
      </w:r>
      <w:r w:rsidR="00915B4B">
        <w:rPr>
          <w:rFonts w:ascii="Traditional Arabic" w:hAnsi="Traditional Arabic" w:cs="Traditional Arabic" w:hint="cs"/>
          <w:sz w:val="30"/>
          <w:szCs w:val="30"/>
          <w:rtl/>
          <w:lang w:eastAsia="en-GB"/>
        </w:rPr>
        <w:t xml:space="preserve">هي فردية </w:t>
      </w:r>
      <w:r w:rsidRPr="00AE6847">
        <w:rPr>
          <w:rFonts w:ascii="Traditional Arabic" w:hAnsi="Traditional Arabic" w:cs="Traditional Arabic"/>
          <w:sz w:val="30"/>
          <w:szCs w:val="30"/>
          <w:rtl/>
          <w:lang w:eastAsia="en-GB"/>
        </w:rPr>
        <w:t>وتم</w:t>
      </w:r>
      <w:r w:rsidR="00915B4B">
        <w:rPr>
          <w:rFonts w:ascii="Traditional Arabic" w:hAnsi="Traditional Arabic" w:cs="Traditional Arabic" w:hint="cs"/>
          <w:sz w:val="30"/>
          <w:szCs w:val="30"/>
          <w:rtl/>
          <w:lang w:eastAsia="en-GB"/>
        </w:rPr>
        <w:t>ت</w:t>
      </w:r>
      <w:r w:rsidRPr="00AE6847">
        <w:rPr>
          <w:rFonts w:ascii="Traditional Arabic" w:hAnsi="Traditional Arabic" w:cs="Traditional Arabic"/>
          <w:sz w:val="30"/>
          <w:szCs w:val="30"/>
          <w:rtl/>
          <w:lang w:eastAsia="en-GB"/>
        </w:rPr>
        <w:t xml:space="preserve"> مع</w:t>
      </w:r>
      <w:r w:rsidR="00915B4B">
        <w:rPr>
          <w:rFonts w:ascii="Traditional Arabic" w:hAnsi="Traditional Arabic" w:cs="Traditional Arabic" w:hint="cs"/>
          <w:sz w:val="30"/>
          <w:szCs w:val="30"/>
          <w:rtl/>
          <w:lang w:eastAsia="en-GB"/>
        </w:rPr>
        <w:t>الجتها</w:t>
      </w:r>
      <w:r w:rsidRPr="00AE6847">
        <w:rPr>
          <w:rFonts w:ascii="Traditional Arabic" w:hAnsi="Traditional Arabic" w:cs="Traditional Arabic"/>
          <w:sz w:val="30"/>
          <w:szCs w:val="30"/>
          <w:rtl/>
          <w:lang w:eastAsia="en-GB"/>
        </w:rPr>
        <w:t>". كما نفت سلطات الأمر الواقع فرض قيود على وصول المساعدات الإنسانية أو الإمدادات الأساسية وذكرت أن البضائع لم تُوقف إلا لفحص أمني منتظم لضمان عدم تهريب أي أسلحة أو أشياء محظورة</w:t>
      </w:r>
      <w:r w:rsidRPr="00AE6847">
        <w:rPr>
          <w:rFonts w:ascii="Traditional Arabic" w:hAnsi="Traditional Arabic" w:cs="Traditional Arabic"/>
          <w:sz w:val="30"/>
          <w:szCs w:val="30"/>
          <w:lang w:eastAsia="en-GB"/>
        </w:rPr>
        <w:t>.</w:t>
      </w:r>
    </w:p>
    <w:p w14:paraId="0A3D807E" w14:textId="031571C9" w:rsidR="00AE6847" w:rsidRPr="00AE6847" w:rsidRDefault="00AE6847" w:rsidP="00852CE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لا يحظر القانون الإنساني الدولي الحصار</w:t>
      </w:r>
      <w:r w:rsidRPr="00AE6847">
        <w:rPr>
          <w:rFonts w:ascii="Traditional Arabic" w:hAnsi="Traditional Arabic" w:cs="Traditional Arabic"/>
          <w:sz w:val="30"/>
          <w:szCs w:val="30"/>
          <w:vertAlign w:val="superscript"/>
          <w:lang w:eastAsia="en-GB"/>
        </w:rPr>
        <w:footnoteReference w:id="539"/>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والحرب الشبيهة بالحصار في حد ذاته ، طالما أن الغرض هو تحقيق هدف عسكري ولا تُفرض بغرض تجويع السكان</w:t>
      </w:r>
      <w:r w:rsidRPr="00AE6847">
        <w:rPr>
          <w:rFonts w:ascii="Traditional Arabic" w:hAnsi="Traditional Arabic" w:cs="Traditional Arabic"/>
          <w:sz w:val="30"/>
          <w:szCs w:val="30"/>
          <w:vertAlign w:val="superscript"/>
          <w:lang w:eastAsia="en-GB"/>
        </w:rPr>
        <w:footnoteReference w:id="540"/>
      </w:r>
      <w:r w:rsidRPr="00AE6847">
        <w:rPr>
          <w:rFonts w:ascii="Traditional Arabic" w:hAnsi="Traditional Arabic" w:cs="Traditional Arabic"/>
          <w:sz w:val="30"/>
          <w:szCs w:val="30"/>
          <w:rtl/>
          <w:lang w:eastAsia="en-GB"/>
        </w:rPr>
        <w:t xml:space="preserve"> المدنيين. ومع ذلك ، قد تنطوي التكتيكات الشبيهة بالحصار على انتهاكات أخرى للقانون الإنساني الدولي ، كما يتضح في حالة تعز. وتشمل هذه</w:t>
      </w:r>
      <w:r w:rsidR="00AF087C">
        <w:rPr>
          <w:rFonts w:ascii="Traditional Arabic" w:hAnsi="Traditional Arabic" w:cs="Traditional Arabic" w:hint="cs"/>
          <w:sz w:val="30"/>
          <w:szCs w:val="30"/>
          <w:rtl/>
          <w:lang w:eastAsia="en-GB"/>
        </w:rPr>
        <w:t xml:space="preserve"> فرض</w:t>
      </w:r>
      <w:r w:rsidRPr="00AE6847">
        <w:rPr>
          <w:rFonts w:ascii="Traditional Arabic" w:hAnsi="Traditional Arabic" w:cs="Traditional Arabic"/>
          <w:sz w:val="30"/>
          <w:szCs w:val="30"/>
          <w:rtl/>
          <w:lang w:eastAsia="en-GB"/>
        </w:rPr>
        <w:t xml:space="preserve"> عوائق غير قانونية تحول دون وصول المساعدات الإنسانية، بما في ذلك الهجمات ضد العاملين في المجال الإنساني وأدوات الإغاثة، فضلاً عن </w:t>
      </w:r>
      <w:r w:rsidRPr="00AE6847">
        <w:rPr>
          <w:rFonts w:ascii="Traditional Arabic" w:hAnsi="Traditional Arabic" w:cs="Traditional Arabic"/>
          <w:sz w:val="30"/>
          <w:szCs w:val="30"/>
          <w:rtl/>
          <w:lang w:eastAsia="en-GB"/>
        </w:rPr>
        <w:lastRenderedPageBreak/>
        <w:t>الهجمات ضد الأشياء التي لا غنى عنها لبقاء السكان ، مثل المواد الغذائية والأدوية، أو نقلها. أثر "الحصار" من قبل الحوثيين على حصول السكان المدنيين على الغذاء والمياه والمواد الطبية الأساسية لتشغيل المستشفيات وتقديم المساعدة الطبية الحيوية. لقد فشل كلا الطرفين ، إما عن طريق تقييد دخول المساعدات الإنسانية أو عن طريق تحويل المساعدات داخل المدينة للوفاء ب</w:t>
      </w:r>
      <w:r w:rsidR="00852CE7">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لتزاماته</w:t>
      </w:r>
      <w:r w:rsidR="00852CE7">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xml:space="preserve"> بتوفير الإمدادات الأساسية ورعاية المرضى والجرحى. إن التكتيكات الشبيهة بالحصار التي يستخدمها الحوثيون في تعز تتعدى على العديد من حقوق الإنسان ، مثل الحق في مستوى معيشي لائق ، بما في ذلك الحق في الغذاء والماء ، والحق في الصحة ، والتعليم ، وفي حرية التنقل.</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1"/>
      </w:r>
    </w:p>
    <w:p w14:paraId="15496304" w14:textId="31F81D1C" w:rsidR="00AE6847" w:rsidRPr="00852CE7" w:rsidRDefault="00AE6847" w:rsidP="00084F5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وفي هذا السياق الذي توجد فيه احتياجات إنسانية ماسة ، هناك شواغل مشروعة بشأن ما إذا كانت هذه الأعمال تساهم في المجاعة. (انظر الفصل الخاص بالانتهاكات المتعلقة بالحالة الإنسانية). أخيرًا ، تشير الأدلة التي جمعها فريق الخبراء إلى أن مقاتلي الحوثي-صالح قد استخدموا الحصار كشكل من أشكال العقاب الجماعي على السكان المدنيين المقيمين داخل تعز ، لدعمهم المتصوَّر للمقاومة الشعبية والمجموعات المنتسبة للحكومة. يحظر القانون الإنساني الدولي كل من </w:t>
      </w:r>
      <w:r w:rsidR="000E71EF">
        <w:rPr>
          <w:rFonts w:ascii="Traditional Arabic" w:hAnsi="Traditional Arabic" w:cs="Traditional Arabic" w:hint="cs"/>
          <w:sz w:val="30"/>
          <w:szCs w:val="30"/>
          <w:rtl/>
          <w:lang w:eastAsia="en-GB"/>
        </w:rPr>
        <w:t>التجويع</w:t>
      </w:r>
      <w:r w:rsidRPr="00AE6847">
        <w:rPr>
          <w:rFonts w:ascii="Traditional Arabic" w:hAnsi="Traditional Arabic" w:cs="Traditional Arabic"/>
          <w:sz w:val="30"/>
          <w:szCs w:val="30"/>
          <w:rtl/>
          <w:lang w:eastAsia="en-GB"/>
        </w:rPr>
        <w:t xml:space="preserve"> كوسيلة من وسائل الحرب والعقوبات الجماعية.</w:t>
      </w:r>
      <w:r w:rsidR="000E71EF">
        <w:rPr>
          <w:rStyle w:val="FootnoteReference"/>
          <w:rFonts w:cs="Traditional Arabic"/>
          <w:szCs w:val="30"/>
          <w:rtl/>
          <w:lang w:eastAsia="en-GB"/>
        </w:rPr>
        <w:footnoteReference w:id="542"/>
      </w:r>
      <w:r w:rsidRPr="00AE6847">
        <w:rPr>
          <w:rFonts w:ascii="Traditional Arabic" w:hAnsi="Traditional Arabic" w:cs="Traditional Arabic"/>
          <w:sz w:val="30"/>
          <w:szCs w:val="30"/>
          <w:rtl/>
          <w:lang w:eastAsia="en-GB"/>
        </w:rPr>
        <w:t xml:space="preserve"> بالاضافة، ال</w:t>
      </w:r>
      <w:r w:rsidR="00084F50">
        <w:rPr>
          <w:rFonts w:ascii="Traditional Arabic" w:hAnsi="Traditional Arabic" w:cs="Traditional Arabic" w:hint="cs"/>
          <w:sz w:val="30"/>
          <w:szCs w:val="30"/>
          <w:rtl/>
          <w:lang w:eastAsia="en-GB"/>
        </w:rPr>
        <w:t xml:space="preserve">تجويع </w:t>
      </w:r>
      <w:r w:rsidRPr="00AE6847">
        <w:rPr>
          <w:rFonts w:ascii="Traditional Arabic" w:hAnsi="Traditional Arabic" w:cs="Traditional Arabic"/>
          <w:sz w:val="30"/>
          <w:szCs w:val="30"/>
          <w:rtl/>
          <w:lang w:eastAsia="en-GB"/>
        </w:rPr>
        <w:t>كأسلوب للحرب هو جريمة حرب في النزاعات غير الدولية التي قد تؤدي إلى مسؤولية جنائية فردية</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3"/>
      </w:r>
    </w:p>
    <w:p w14:paraId="16819158" w14:textId="77777777" w:rsidR="00852CE7" w:rsidRPr="00AE6847" w:rsidRDefault="00852CE7" w:rsidP="00852CE7">
      <w:pPr>
        <w:pStyle w:val="Footer"/>
        <w:tabs>
          <w:tab w:val="left" w:pos="720"/>
          <w:tab w:val="left" w:pos="900"/>
          <w:tab w:val="left" w:pos="1134"/>
          <w:tab w:val="left" w:pos="1701"/>
        </w:tabs>
        <w:bidi/>
        <w:spacing w:after="240"/>
        <w:ind w:left="1134" w:right="1080"/>
        <w:jc w:val="both"/>
        <w:rPr>
          <w:rFonts w:ascii="Traditional Arabic" w:hAnsi="Traditional Arabic" w:cs="Traditional Arabic"/>
          <w:sz w:val="30"/>
          <w:szCs w:val="30"/>
          <w:rtl/>
          <w:lang w:eastAsia="en-GB"/>
        </w:rPr>
      </w:pPr>
    </w:p>
    <w:p w14:paraId="2905DE84" w14:textId="77777777" w:rsidR="00AE6847" w:rsidRPr="00AE6847" w:rsidRDefault="00AE6847" w:rsidP="00361237">
      <w:pPr>
        <w:tabs>
          <w:tab w:val="left" w:pos="720"/>
          <w:tab w:val="left" w:pos="1701"/>
        </w:tabs>
        <w:suppressAutoHyphens w:val="0"/>
        <w:bidi/>
        <w:spacing w:after="120"/>
        <w:ind w:left="692" w:right="828"/>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6.  استهداف موظفي الإغاثة الإنسانية</w:t>
      </w:r>
    </w:p>
    <w:p w14:paraId="6136325C" w14:textId="2F5C0D2A" w:rsidR="00AE6847" w:rsidRPr="00AE6847" w:rsidRDefault="00AE6847" w:rsidP="00BD07C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لقد كانت تعز مكانًا صعبًا للغاية لموظفي الإغاثة الإنسانية للقيام بعملهم ، وفي الوقت نفسه تبقى واحدة من المواقع التي يكون وصول المساعدات الإنسانية فيها أكثر أهمية، بسبب الأعمال القتالية المستمرة والقيود المفروضة على المجتمعات المحلية منذ أيام النزاع</w:t>
      </w:r>
      <w:r w:rsidR="00BD07C7">
        <w:rPr>
          <w:rFonts w:ascii="Traditional Arabic" w:hAnsi="Traditional Arabic" w:cs="Traditional Arabic" w:hint="cs"/>
          <w:sz w:val="30"/>
          <w:szCs w:val="30"/>
          <w:rtl/>
          <w:lang w:eastAsia="en-GB"/>
        </w:rPr>
        <w:t xml:space="preserve"> الأولى</w:t>
      </w:r>
      <w:r w:rsidRPr="00AE6847">
        <w:rPr>
          <w:rFonts w:ascii="Traditional Arabic" w:hAnsi="Traditional Arabic" w:cs="Traditional Arabic"/>
          <w:sz w:val="30"/>
          <w:szCs w:val="30"/>
          <w:rtl/>
          <w:lang w:eastAsia="en-GB"/>
        </w:rPr>
        <w:t>. في حين أن القيود المفروضة على الوصول وخوف الوكالات الإنسانية من التعامل مع فريق الخبراء قد حد من قدر</w:t>
      </w:r>
      <w:r w:rsidR="00BD07C7">
        <w:rPr>
          <w:rFonts w:ascii="Traditional Arabic" w:hAnsi="Traditional Arabic" w:cs="Traditional Arabic" w:hint="cs"/>
          <w:sz w:val="30"/>
          <w:szCs w:val="30"/>
          <w:rtl/>
          <w:lang w:eastAsia="en-GB"/>
        </w:rPr>
        <w:t xml:space="preserve">ة الفريق </w:t>
      </w:r>
      <w:r w:rsidRPr="00AE6847">
        <w:rPr>
          <w:rFonts w:ascii="Traditional Arabic" w:hAnsi="Traditional Arabic" w:cs="Traditional Arabic"/>
          <w:sz w:val="30"/>
          <w:szCs w:val="30"/>
          <w:rtl/>
          <w:lang w:eastAsia="en-GB"/>
        </w:rPr>
        <w:t>على توثيق جميع حالات تخويف ومضايقة عمال الإغاثة، وثق الفرق عدداً من الحالات التي تعرض فيها موظف</w:t>
      </w:r>
      <w:r w:rsidR="00BD07C7">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 xml:space="preserve"> الإغاثة للمضايقات والتهديدات والاعتقال التعسفي والاحتجاز ، والقيود المفروضة على الوصول. في كل مرة يُستهدف فيها موظفو الإغاثة أو يدركون أنهم معرضون لخطر الاستهداف، ت</w:t>
      </w:r>
      <w:r w:rsidR="00BD07C7">
        <w:rPr>
          <w:rFonts w:ascii="Traditional Arabic" w:hAnsi="Traditional Arabic" w:cs="Traditional Arabic" w:hint="cs"/>
          <w:sz w:val="30"/>
          <w:szCs w:val="30"/>
          <w:rtl/>
          <w:lang w:eastAsia="en-GB"/>
        </w:rPr>
        <w:t xml:space="preserve">صبح </w:t>
      </w:r>
      <w:r w:rsidRPr="00AE6847">
        <w:rPr>
          <w:rFonts w:ascii="Traditional Arabic" w:hAnsi="Traditional Arabic" w:cs="Traditional Arabic"/>
          <w:sz w:val="30"/>
          <w:szCs w:val="30"/>
          <w:rtl/>
          <w:lang w:eastAsia="en-GB"/>
        </w:rPr>
        <w:t>قدرتهم على تسيير أعمالهم معرضة للخطر. حقق الفريق في حادثة تعتبر رمزية لهذا الوضع تمثلت بمقتل مندوب للجنة الدولية للصليب الاحمر في تعز في أبريل / نيسان 2018 ، مما أدى، إلى جانب تهديدات أخرى، إلى سحب المنظمة للموظفين من اليمن ووقف بعض عملياتها</w:t>
      </w:r>
      <w:r w:rsidRPr="00AE6847">
        <w:rPr>
          <w:rFonts w:ascii="Traditional Arabic" w:hAnsi="Traditional Arabic" w:cs="Traditional Arabic"/>
          <w:sz w:val="30"/>
          <w:szCs w:val="30"/>
          <w:lang w:eastAsia="en-GB"/>
        </w:rPr>
        <w:t>.</w:t>
      </w:r>
    </w:p>
    <w:p w14:paraId="113E7D89" w14:textId="77777777" w:rsidR="00AE6847" w:rsidRPr="00AE6847" w:rsidRDefault="00AE6847" w:rsidP="005D608B">
      <w:pPr>
        <w:numPr>
          <w:ilvl w:val="0"/>
          <w:numId w:val="13"/>
        </w:numPr>
        <w:tabs>
          <w:tab w:val="left" w:pos="720"/>
        </w:tabs>
        <w:suppressAutoHyphens w:val="0"/>
        <w:bidi/>
        <w:spacing w:after="160" w:line="256" w:lineRule="auto"/>
        <w:ind w:left="729" w:right="827" w:firstLine="0"/>
        <w:contextualSpacing/>
        <w:rPr>
          <w:rFonts w:ascii="Traditional Arabic" w:hAnsi="Traditional Arabic" w:cs="Traditional Arabic"/>
          <w:b/>
          <w:bCs/>
          <w:sz w:val="30"/>
          <w:szCs w:val="30"/>
          <w:lang w:eastAsia="en-GB"/>
        </w:rPr>
      </w:pPr>
      <w:r w:rsidRPr="00AE6847">
        <w:rPr>
          <w:rFonts w:ascii="Traditional Arabic" w:hAnsi="Traditional Arabic" w:cs="Traditional Arabic"/>
          <w:b/>
          <w:bCs/>
          <w:sz w:val="30"/>
          <w:szCs w:val="30"/>
          <w:rtl/>
          <w:lang w:eastAsia="en-GB"/>
        </w:rPr>
        <w:t>مقتل أحد مندوبي اللجنة الدولية للصليب الاحمر، تعز، أبريل / نيسان 2018</w:t>
      </w:r>
      <w:r w:rsidRPr="00AE6847">
        <w:rPr>
          <w:rFonts w:ascii="Traditional Arabic" w:hAnsi="Traditional Arabic" w:cs="Traditional Arabic"/>
          <w:b/>
          <w:bCs/>
          <w:sz w:val="30"/>
          <w:szCs w:val="30"/>
          <w:vertAlign w:val="superscript"/>
          <w:lang w:eastAsia="en-GB"/>
        </w:rPr>
        <w:footnoteReference w:id="544"/>
      </w:r>
    </w:p>
    <w:p w14:paraId="2562A0A7" w14:textId="77777777" w:rsidR="00AE6847" w:rsidRPr="00AE6847" w:rsidRDefault="00AE6847" w:rsidP="00361237">
      <w:pPr>
        <w:tabs>
          <w:tab w:val="left" w:pos="720"/>
        </w:tabs>
        <w:suppressAutoHyphens w:val="0"/>
        <w:bidi/>
        <w:spacing w:after="160" w:line="256" w:lineRule="auto"/>
        <w:ind w:left="1134" w:right="827" w:firstLine="8"/>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Pr>
        <w:lastRenderedPageBreak/>
        <w:t> "</w:t>
      </w:r>
      <w:r w:rsidRPr="00AE6847">
        <w:rPr>
          <w:rFonts w:ascii="Traditional Arabic" w:eastAsia="Calibri" w:hAnsi="Traditional Arabic" w:cs="Traditional Arabic"/>
          <w:i/>
          <w:iCs/>
          <w:sz w:val="30"/>
          <w:szCs w:val="30"/>
          <w:rtl/>
        </w:rPr>
        <w:t>لا يمكنني أن أشير إلى أولئك الذين قتلوا حنا لحود ، لكن يمكنني أن أقول إن الذين قتلوه هم أولئك الذين لا يحبون تعز ، والذين يريدون حرمان شعب تعز من حقوقهم ، والذين يريدون أن يقولوا أن "تعز تستضيف الإرهاب</w:t>
      </w: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sz w:val="30"/>
          <w:szCs w:val="30"/>
          <w:vertAlign w:val="superscript"/>
        </w:rPr>
        <w:footnoteReference w:id="545"/>
      </w:r>
    </w:p>
    <w:p w14:paraId="53B9DCC4" w14:textId="29CC7C62" w:rsidR="00AE6847" w:rsidRPr="00AE6847" w:rsidRDefault="00AE6847" w:rsidP="008C5E00">
      <w:pPr>
        <w:tabs>
          <w:tab w:val="left" w:pos="720"/>
        </w:tabs>
        <w:suppressAutoHyphens w:val="0"/>
        <w:bidi/>
        <w:spacing w:after="160" w:line="256" w:lineRule="auto"/>
        <w:ind w:left="1134" w:right="827"/>
        <w:jc w:val="right"/>
        <w:rPr>
          <w:rFonts w:ascii="Traditional Arabic" w:eastAsia="Calibri" w:hAnsi="Traditional Arabic" w:cs="Traditional Arabic"/>
          <w:b/>
          <w:bCs/>
          <w:sz w:val="30"/>
          <w:szCs w:val="30"/>
        </w:rPr>
      </w:pPr>
      <w:r w:rsidRPr="00AE6847">
        <w:rPr>
          <w:rFonts w:ascii="Traditional Arabic" w:eastAsia="Calibri" w:hAnsi="Traditional Arabic" w:cs="Traditional Arabic"/>
          <w:b/>
          <w:bCs/>
          <w:sz w:val="30"/>
          <w:szCs w:val="30"/>
          <w:rtl/>
        </w:rPr>
        <w:t>عامل إغاثة إنسانية من تعز</w:t>
      </w:r>
    </w:p>
    <w:p w14:paraId="1C572A97" w14:textId="3C3FFE38" w:rsidR="00AE6847" w:rsidRPr="00AE6847"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في 21 أبريل / نيسان 2018 ، توجهت قافلة تقل وفداً من اللجنة الدولية إلى مكان احتجاز لم يكشف عنه داخل مدينة تعز في زيارة احتجاز </w:t>
      </w:r>
      <w:r w:rsidR="008C5E00">
        <w:rPr>
          <w:rFonts w:ascii="Traditional Arabic" w:hAnsi="Traditional Arabic" w:cs="Traditional Arabic" w:hint="cs"/>
          <w:sz w:val="30"/>
          <w:szCs w:val="30"/>
          <w:rtl/>
          <w:lang w:eastAsia="en-GB"/>
        </w:rPr>
        <w:t xml:space="preserve">وقد </w:t>
      </w:r>
      <w:r w:rsidRPr="00AE6847">
        <w:rPr>
          <w:rFonts w:ascii="Traditional Arabic" w:hAnsi="Traditional Arabic" w:cs="Traditional Arabic"/>
          <w:sz w:val="30"/>
          <w:szCs w:val="30"/>
          <w:rtl/>
          <w:lang w:eastAsia="en-GB"/>
        </w:rPr>
        <w:t xml:space="preserve">قيل </w:t>
      </w:r>
      <w:r w:rsidR="008C5E00">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 البعثة قد نسقت </w:t>
      </w:r>
      <w:r w:rsidR="008C5E00">
        <w:rPr>
          <w:rFonts w:ascii="Traditional Arabic" w:hAnsi="Traditional Arabic" w:cs="Traditional Arabic" w:hint="cs"/>
          <w:sz w:val="30"/>
          <w:szCs w:val="30"/>
          <w:rtl/>
          <w:lang w:eastAsia="en-GB"/>
        </w:rPr>
        <w:t xml:space="preserve">مع </w:t>
      </w:r>
      <w:r w:rsidRPr="00AE6847">
        <w:rPr>
          <w:rFonts w:ascii="Traditional Arabic" w:hAnsi="Traditional Arabic" w:cs="Traditional Arabic"/>
          <w:sz w:val="30"/>
          <w:szCs w:val="30"/>
          <w:rtl/>
          <w:lang w:eastAsia="en-GB"/>
        </w:rPr>
        <w:t>جميع السلطات المختصة</w:t>
      </w:r>
      <w:r w:rsidR="008C5E00">
        <w:rPr>
          <w:rFonts w:ascii="Traditional Arabic" w:hAnsi="Traditional Arabic" w:cs="Traditional Arabic" w:hint="cs"/>
          <w:sz w:val="30"/>
          <w:szCs w:val="30"/>
          <w:rtl/>
          <w:lang w:eastAsia="en-GB"/>
        </w:rPr>
        <w:t xml:space="preserve"> وأخذت الموافقة لإتمام الزيارة</w:t>
      </w:r>
      <w:r w:rsidRPr="00AE6847">
        <w:rPr>
          <w:rFonts w:ascii="Traditional Arabic" w:hAnsi="Traditional Arabic" w:cs="Traditional Arabic"/>
          <w:sz w:val="30"/>
          <w:szCs w:val="30"/>
          <w:vertAlign w:val="superscript"/>
          <w:lang w:eastAsia="en-GB"/>
        </w:rPr>
        <w:footnoteReference w:id="546"/>
      </w:r>
      <w:r w:rsidRPr="00AE6847">
        <w:rPr>
          <w:rFonts w:ascii="Traditional Arabic" w:hAnsi="Traditional Arabic" w:cs="Traditional Arabic"/>
          <w:sz w:val="30"/>
          <w:szCs w:val="30"/>
          <w:rtl/>
          <w:lang w:eastAsia="en-GB"/>
        </w:rPr>
        <w:t>. ضم الفريق مندوبين دوليين كانوا ضمن وفد إلى تعز في مهمة قصيرة قبل أن يكملو طريقهم إلى عدن في نفس اليوم. كان الفريق</w:t>
      </w:r>
      <w:r w:rsidR="009865D4">
        <w:rPr>
          <w:rFonts w:ascii="Traditional Arabic" w:hAnsi="Traditional Arabic" w:cs="Traditional Arabic" w:hint="cs"/>
          <w:sz w:val="30"/>
          <w:szCs w:val="30"/>
          <w:rtl/>
          <w:lang w:eastAsia="en-GB"/>
        </w:rPr>
        <w:t xml:space="preserve"> قد وصل</w:t>
      </w:r>
      <w:r w:rsidRPr="00AE6847">
        <w:rPr>
          <w:rFonts w:ascii="Traditional Arabic" w:hAnsi="Traditional Arabic" w:cs="Traditional Arabic"/>
          <w:sz w:val="30"/>
          <w:szCs w:val="30"/>
          <w:rtl/>
          <w:lang w:eastAsia="en-GB"/>
        </w:rPr>
        <w:t xml:space="preserve"> </w:t>
      </w:r>
      <w:r w:rsidR="009865D4">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تعز منذ أسبوع واحد، منذ 16 أبريل/ نيسان، وقام بالفعل بزيارتين لمركزين مختلفين للاعتقال، يومي 18 و 19 أبريل / نيسان، ويبدو أن كل ذلك تم دون أي تحديات</w:t>
      </w:r>
      <w:r w:rsidRPr="00AE6847">
        <w:rPr>
          <w:rFonts w:ascii="Traditional Arabic" w:hAnsi="Traditional Arabic" w:cs="Traditional Arabic"/>
          <w:sz w:val="30"/>
          <w:szCs w:val="30"/>
          <w:vertAlign w:val="superscript"/>
          <w:lang w:eastAsia="en-GB"/>
        </w:rPr>
        <w:footnoteReference w:id="547"/>
      </w:r>
      <w:r w:rsidRPr="00AE6847">
        <w:rPr>
          <w:rFonts w:ascii="Traditional Arabic" w:hAnsi="Traditional Arabic" w:cs="Traditional Arabic"/>
          <w:sz w:val="30"/>
          <w:szCs w:val="30"/>
          <w:rtl/>
          <w:lang w:eastAsia="en-GB"/>
        </w:rPr>
        <w:t xml:space="preserve">. في صباح يوم 21 أبريل، تحركت القافلة عبر تعز. توقفت في طريقها عبر منطقة ذباب في متجر محلي </w:t>
      </w:r>
      <w:r w:rsidR="009865D4">
        <w:rPr>
          <w:rFonts w:ascii="Traditional Arabic" w:hAnsi="Traditional Arabic" w:cs="Traditional Arabic" w:hint="cs"/>
          <w:sz w:val="30"/>
          <w:szCs w:val="30"/>
          <w:rtl/>
          <w:lang w:eastAsia="en-GB"/>
        </w:rPr>
        <w:t>لبيع ا</w:t>
      </w:r>
      <w:r w:rsidR="009865D4">
        <w:rPr>
          <w:rFonts w:ascii="Traditional Arabic" w:hAnsi="Traditional Arabic" w:cs="Traditional Arabic"/>
          <w:sz w:val="30"/>
          <w:szCs w:val="30"/>
          <w:rtl/>
          <w:lang w:eastAsia="en-GB"/>
        </w:rPr>
        <w:t>ل</w:t>
      </w:r>
      <w:r w:rsidR="009865D4">
        <w:rPr>
          <w:rFonts w:ascii="Traditional Arabic" w:hAnsi="Traditional Arabic" w:cs="Traditional Arabic" w:hint="cs"/>
          <w:sz w:val="30"/>
          <w:szCs w:val="30"/>
          <w:rtl/>
          <w:lang w:eastAsia="en-GB"/>
        </w:rPr>
        <w:t>أجبان</w:t>
      </w:r>
      <w:r w:rsidRPr="00AE6847">
        <w:rPr>
          <w:rFonts w:ascii="Traditional Arabic" w:hAnsi="Traditional Arabic" w:cs="Traditional Arabic"/>
          <w:sz w:val="30"/>
          <w:szCs w:val="30"/>
          <w:rtl/>
          <w:lang w:eastAsia="en-GB"/>
        </w:rPr>
        <w:t>. بعد توقفها بفترة وجيزة، ورد أن السيارة الرئيسية، التي كانت تضم سائقًا من اللجنة الدولية وثلاثة مندوبين، بمن فيهم قائد فريقهم حنا لحود، قد تباطأت قبل أن تصل إلى مطب في الطريق. أثناء التباطؤ، اقترب منه</w:t>
      </w:r>
      <w:r w:rsidR="009865D4">
        <w:rPr>
          <w:rFonts w:ascii="Traditional Arabic" w:hAnsi="Traditional Arabic" w:cs="Traditional Arabic" w:hint="cs"/>
          <w:sz w:val="30"/>
          <w:szCs w:val="30"/>
          <w:rtl/>
          <w:lang w:eastAsia="en-GB"/>
        </w:rPr>
        <w:t>ا</w:t>
      </w:r>
      <w:r w:rsidRPr="00AE6847">
        <w:rPr>
          <w:rFonts w:ascii="Traditional Arabic" w:hAnsi="Traditional Arabic" w:cs="Traditional Arabic"/>
          <w:sz w:val="30"/>
          <w:szCs w:val="30"/>
          <w:rtl/>
          <w:lang w:eastAsia="en-GB"/>
        </w:rPr>
        <w:t xml:space="preserve"> رجل </w:t>
      </w:r>
      <w:r w:rsidR="009865D4">
        <w:rPr>
          <w:rFonts w:ascii="Traditional Arabic" w:hAnsi="Traditional Arabic" w:cs="Traditional Arabic" w:hint="cs"/>
          <w:sz w:val="30"/>
          <w:szCs w:val="30"/>
          <w:rtl/>
          <w:lang w:eastAsia="en-GB"/>
        </w:rPr>
        <w:t xml:space="preserve">ملثم الوجه </w:t>
      </w:r>
      <w:r w:rsidRPr="00AE6847">
        <w:rPr>
          <w:rFonts w:ascii="Traditional Arabic" w:hAnsi="Traditional Arabic" w:cs="Traditional Arabic"/>
          <w:sz w:val="30"/>
          <w:szCs w:val="30"/>
          <w:rtl/>
          <w:lang w:eastAsia="en-GB"/>
        </w:rPr>
        <w:t>وسأل السائق "من أنت</w:t>
      </w:r>
      <w:r w:rsidR="009865D4">
        <w:rPr>
          <w:rFonts w:ascii="Traditional Arabic" w:hAnsi="Traditional Arabic" w:cs="Traditional Arabic" w:hint="cs"/>
          <w:sz w:val="30"/>
          <w:szCs w:val="30"/>
          <w:rtl/>
          <w:lang w:eastAsia="en-GB"/>
        </w:rPr>
        <w:t>م</w:t>
      </w:r>
      <w:r w:rsidRPr="00AE6847">
        <w:rPr>
          <w:rFonts w:ascii="Traditional Arabic" w:hAnsi="Traditional Arabic" w:cs="Traditional Arabic"/>
          <w:sz w:val="30"/>
          <w:szCs w:val="30"/>
          <w:rtl/>
          <w:lang w:eastAsia="en-GB"/>
        </w:rPr>
        <w:t>" ثم استدار فورًا ، قبل أن يتمكن السائق من الإجابة، وأطلق النار على حنا، الذي كان جالسًا خلف السائق،</w:t>
      </w:r>
      <w:r w:rsidR="009865D4">
        <w:rPr>
          <w:rFonts w:ascii="Traditional Arabic" w:hAnsi="Traditional Arabic" w:cs="Traditional Arabic" w:hint="cs"/>
          <w:sz w:val="30"/>
          <w:szCs w:val="30"/>
          <w:rtl/>
          <w:lang w:eastAsia="en-GB"/>
        </w:rPr>
        <w:t xml:space="preserve"> فأصابه</w:t>
      </w:r>
      <w:r w:rsidRPr="00AE6847">
        <w:rPr>
          <w:rFonts w:ascii="Traditional Arabic" w:hAnsi="Traditional Arabic" w:cs="Traditional Arabic"/>
          <w:sz w:val="30"/>
          <w:szCs w:val="30"/>
          <w:rtl/>
          <w:lang w:eastAsia="en-GB"/>
        </w:rPr>
        <w:t xml:space="preserve"> </w:t>
      </w:r>
      <w:r w:rsidR="009865D4">
        <w:rPr>
          <w:rFonts w:ascii="Traditional Arabic" w:hAnsi="Traditional Arabic" w:cs="Traditional Arabic" w:hint="cs"/>
          <w:sz w:val="30"/>
          <w:szCs w:val="30"/>
          <w:rtl/>
          <w:lang w:eastAsia="en-GB"/>
        </w:rPr>
        <w:t>ب</w:t>
      </w:r>
      <w:r w:rsidRPr="00AE6847">
        <w:rPr>
          <w:rFonts w:ascii="Traditional Arabic" w:hAnsi="Traditional Arabic" w:cs="Traditional Arabic"/>
          <w:sz w:val="30"/>
          <w:szCs w:val="30"/>
          <w:rtl/>
          <w:lang w:eastAsia="en-GB"/>
        </w:rPr>
        <w:t xml:space="preserve">رصاصتين في الرأس وخمسة في القلب. ويقال </w:t>
      </w:r>
      <w:r w:rsidR="009865D4">
        <w:rPr>
          <w:rFonts w:ascii="Traditional Arabic" w:hAnsi="Traditional Arabic" w:cs="Traditional Arabic" w:hint="cs"/>
          <w:sz w:val="30"/>
          <w:szCs w:val="30"/>
          <w:rtl/>
          <w:lang w:eastAsia="en-GB"/>
        </w:rPr>
        <w:t>أ</w:t>
      </w:r>
      <w:r w:rsidRPr="00AE6847">
        <w:rPr>
          <w:rFonts w:ascii="Traditional Arabic" w:hAnsi="Traditional Arabic" w:cs="Traditional Arabic"/>
          <w:sz w:val="30"/>
          <w:szCs w:val="30"/>
          <w:rtl/>
          <w:lang w:eastAsia="en-GB"/>
        </w:rPr>
        <w:t xml:space="preserve">ن رجل يقود دراجة نارية كان بانتظار الرجل المسلح </w:t>
      </w:r>
      <w:r w:rsidR="009865D4">
        <w:rPr>
          <w:rFonts w:ascii="Traditional Arabic" w:hAnsi="Traditional Arabic" w:cs="Traditional Arabic" w:hint="cs"/>
          <w:sz w:val="30"/>
          <w:szCs w:val="30"/>
          <w:rtl/>
          <w:lang w:eastAsia="en-GB"/>
        </w:rPr>
        <w:t>ف</w:t>
      </w:r>
      <w:r w:rsidRPr="00AE6847">
        <w:rPr>
          <w:rFonts w:ascii="Traditional Arabic" w:hAnsi="Traditional Arabic" w:cs="Traditional Arabic"/>
          <w:sz w:val="30"/>
          <w:szCs w:val="30"/>
          <w:rtl/>
          <w:lang w:eastAsia="en-GB"/>
        </w:rPr>
        <w:t>انطلق الاثنان</w:t>
      </w:r>
      <w:r w:rsidR="009865D4">
        <w:rPr>
          <w:rFonts w:ascii="Traditional Arabic" w:hAnsi="Traditional Arabic" w:cs="Traditional Arabic" w:hint="cs"/>
          <w:sz w:val="30"/>
          <w:szCs w:val="30"/>
          <w:rtl/>
          <w:lang w:eastAsia="en-GB"/>
        </w:rPr>
        <w:t xml:space="preserve"> سويًا</w:t>
      </w:r>
      <w:r w:rsidRPr="00AE6847">
        <w:rPr>
          <w:rFonts w:ascii="Traditional Arabic" w:hAnsi="Traditional Arabic" w:cs="Traditional Arabic"/>
          <w:sz w:val="30"/>
          <w:szCs w:val="30"/>
          <w:rtl/>
          <w:lang w:eastAsia="en-GB"/>
        </w:rPr>
        <w:t xml:space="preserve">. حول الوفد </w:t>
      </w:r>
      <w:r w:rsidR="009865D4">
        <w:rPr>
          <w:rFonts w:ascii="Traditional Arabic" w:hAnsi="Traditional Arabic" w:cs="Traditional Arabic" w:hint="cs"/>
          <w:sz w:val="30"/>
          <w:szCs w:val="30"/>
          <w:rtl/>
          <w:lang w:eastAsia="en-GB"/>
        </w:rPr>
        <w:t xml:space="preserve">مسيرته حيث </w:t>
      </w:r>
      <w:r w:rsidRPr="00AE6847">
        <w:rPr>
          <w:rFonts w:ascii="Traditional Arabic" w:hAnsi="Traditional Arabic" w:cs="Traditional Arabic"/>
          <w:sz w:val="30"/>
          <w:szCs w:val="30"/>
          <w:rtl/>
          <w:lang w:eastAsia="en-GB"/>
        </w:rPr>
        <w:t xml:space="preserve">وتوجه إلى عيادة حيث أعلن </w:t>
      </w:r>
      <w:r w:rsidR="00690DBC">
        <w:rPr>
          <w:rFonts w:ascii="Traditional Arabic" w:hAnsi="Traditional Arabic" w:cs="Traditional Arabic" w:hint="cs"/>
          <w:sz w:val="30"/>
          <w:szCs w:val="30"/>
          <w:rtl/>
          <w:lang w:eastAsia="en-GB"/>
        </w:rPr>
        <w:t xml:space="preserve">وفاة </w:t>
      </w:r>
      <w:r w:rsidRPr="00AE6847">
        <w:rPr>
          <w:rFonts w:ascii="Traditional Arabic" w:hAnsi="Traditional Arabic" w:cs="Traditional Arabic"/>
          <w:sz w:val="30"/>
          <w:szCs w:val="30"/>
          <w:rtl/>
          <w:lang w:eastAsia="en-GB"/>
        </w:rPr>
        <w:t>حنا. تم إخلاء الوفد بأكمله من خلال عدن و</w:t>
      </w:r>
      <w:r w:rsidR="00690DBC">
        <w:rPr>
          <w:rFonts w:ascii="Traditional Arabic" w:hAnsi="Traditional Arabic" w:cs="Traditional Arabic" w:hint="cs"/>
          <w:sz w:val="30"/>
          <w:szCs w:val="30"/>
          <w:rtl/>
          <w:lang w:eastAsia="en-GB"/>
        </w:rPr>
        <w:t>أ</w:t>
      </w:r>
      <w:r w:rsidR="00690DBC">
        <w:rPr>
          <w:rFonts w:ascii="Traditional Arabic" w:hAnsi="Traditional Arabic" w:cs="Traditional Arabic"/>
          <w:sz w:val="30"/>
          <w:szCs w:val="30"/>
          <w:rtl/>
          <w:lang w:eastAsia="en-GB"/>
        </w:rPr>
        <w:t>ع</w:t>
      </w:r>
      <w:r w:rsidR="00690DBC">
        <w:rPr>
          <w:rFonts w:ascii="Traditional Arabic" w:hAnsi="Traditional Arabic" w:cs="Traditional Arabic" w:hint="cs"/>
          <w:sz w:val="30"/>
          <w:szCs w:val="30"/>
          <w:rtl/>
          <w:lang w:eastAsia="en-GB"/>
        </w:rPr>
        <w:t>ي</w:t>
      </w:r>
      <w:r w:rsidRPr="00AE6847">
        <w:rPr>
          <w:rFonts w:ascii="Traditional Arabic" w:hAnsi="Traditional Arabic" w:cs="Traditional Arabic"/>
          <w:sz w:val="30"/>
          <w:szCs w:val="30"/>
          <w:rtl/>
          <w:lang w:eastAsia="en-GB"/>
        </w:rPr>
        <w:t>د جثمان حنا إلى وطنه، لبنان</w:t>
      </w:r>
      <w:r w:rsidRPr="00AE6847">
        <w:rPr>
          <w:rFonts w:ascii="Traditional Arabic" w:hAnsi="Traditional Arabic" w:cs="Traditional Arabic"/>
          <w:sz w:val="30"/>
          <w:szCs w:val="30"/>
          <w:lang w:eastAsia="en-GB"/>
        </w:rPr>
        <w:t>.</w:t>
      </w:r>
    </w:p>
    <w:p w14:paraId="27295D6C" w14:textId="67725A0E" w:rsidR="00AE6847" w:rsidRPr="00AE6847"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بعد وفاة حنا لحود ، كانت هناك عمليات نظمتها السلطات الأمنية داخل تعز ، بهدف العثور على المسؤولين عن اغتياله واعتقالهم. قُبض على رجل في 26 نوفمبر 2018 ، حسبما ورد ، باعتباره أحد المشتبه بهم الرئيسيين في اغتياله.</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48"/>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في وقت وضع اللمسات الأخيرة على التقرير، كان المشتبه  قد نُقل إلى عدن ، لكنه لم يُقدم بعد للمحاكمة ولم تُنشر التهم الموجهة إليه</w:t>
      </w:r>
      <w:r w:rsidRPr="00AE6847">
        <w:rPr>
          <w:rFonts w:ascii="Traditional Arabic" w:hAnsi="Traditional Arabic" w:cs="Traditional Arabic"/>
          <w:sz w:val="30"/>
          <w:szCs w:val="30"/>
          <w:vertAlign w:val="superscript"/>
          <w:lang w:eastAsia="en-GB"/>
        </w:rPr>
        <w:footnoteReference w:id="549"/>
      </w:r>
      <w:r w:rsidRPr="00AE6847">
        <w:rPr>
          <w:rFonts w:ascii="Traditional Arabic" w:hAnsi="Traditional Arabic" w:cs="Traditional Arabic"/>
          <w:sz w:val="30"/>
          <w:szCs w:val="30"/>
          <w:rtl/>
          <w:lang w:eastAsia="en-GB"/>
        </w:rPr>
        <w:t>. تشير المعلومات التي جمعها فريق الخبراء إلى أن السلطات قد تعرفت على مشتبه بهم آخرين، هذا ولم يتمكن الفريق من تأكيد مكانهم أو التهم الموجهة إليهم</w:t>
      </w:r>
      <w:r w:rsidRPr="00AE6847">
        <w:rPr>
          <w:rFonts w:ascii="Traditional Arabic" w:hAnsi="Traditional Arabic" w:cs="Traditional Arabic"/>
          <w:sz w:val="30"/>
          <w:szCs w:val="30"/>
          <w:vertAlign w:val="superscript"/>
          <w:lang w:eastAsia="en-GB"/>
        </w:rPr>
        <w:footnoteReference w:id="550"/>
      </w:r>
      <w:r w:rsidRPr="00AE6847">
        <w:rPr>
          <w:rFonts w:ascii="Traditional Arabic" w:hAnsi="Traditional Arabic" w:cs="Traditional Arabic"/>
          <w:sz w:val="30"/>
          <w:szCs w:val="30"/>
          <w:lang w:eastAsia="en-GB"/>
        </w:rPr>
        <w:t>.</w:t>
      </w:r>
    </w:p>
    <w:p w14:paraId="6CBF3AFB" w14:textId="6B696AEE" w:rsidR="00AE6847" w:rsidRPr="00690DBC" w:rsidRDefault="00AE6847" w:rsidP="00690D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قبل وقوع الحادث، أفادت التقارير أن اللجنة الدولية للصليب الأحمر قد أوقفت أنشطتها في "الحوبان" ، وهي منطقة يسيطر عليها الحوثيون حيث </w:t>
      </w:r>
      <w:r w:rsidR="00690DBC">
        <w:rPr>
          <w:rFonts w:ascii="Traditional Arabic" w:hAnsi="Traditional Arabic" w:cs="Traditional Arabic" w:hint="cs"/>
          <w:sz w:val="30"/>
          <w:szCs w:val="30"/>
          <w:rtl/>
          <w:lang w:eastAsia="en-GB"/>
        </w:rPr>
        <w:t xml:space="preserve">كان </w:t>
      </w:r>
      <w:r w:rsidRPr="00AE6847">
        <w:rPr>
          <w:rFonts w:ascii="Traditional Arabic" w:hAnsi="Traditional Arabic" w:cs="Traditional Arabic"/>
          <w:sz w:val="30"/>
          <w:szCs w:val="30"/>
          <w:rtl/>
          <w:lang w:eastAsia="en-GB"/>
        </w:rPr>
        <w:t>يقع مكتب تعز التابع للجنة الدولية، بسبب العديد من التحديات الأمنية والتشغيلية. وقبل وقوع الحادث أيضاً، ذُكر أن وفدًا رفيع المستوى من اللجنة الدولية للصليب الاحمر قد زار</w:t>
      </w:r>
      <w:r w:rsidRPr="00AE6847">
        <w:rPr>
          <w:rFonts w:ascii="Traditional Arabic" w:hAnsi="Traditional Arabic" w:cs="Traditional Arabic"/>
          <w:sz w:val="30"/>
          <w:szCs w:val="30"/>
          <w:vertAlign w:val="superscript"/>
          <w:lang w:eastAsia="en-GB"/>
        </w:rPr>
        <w:footnoteReference w:id="551"/>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مدينة تعز </w:t>
      </w:r>
      <w:r w:rsidR="00690DBC">
        <w:rPr>
          <w:rFonts w:ascii="Traditional Arabic" w:hAnsi="Traditional Arabic" w:cs="Traditional Arabic" w:hint="cs"/>
          <w:sz w:val="30"/>
          <w:szCs w:val="30"/>
          <w:rtl/>
          <w:lang w:eastAsia="en-GB"/>
        </w:rPr>
        <w:t>ل</w:t>
      </w:r>
      <w:r w:rsidRPr="00AE6847">
        <w:rPr>
          <w:rFonts w:ascii="Traditional Arabic" w:hAnsi="Traditional Arabic" w:cs="Traditional Arabic"/>
          <w:sz w:val="30"/>
          <w:szCs w:val="30"/>
          <w:rtl/>
          <w:lang w:eastAsia="en-GB"/>
        </w:rPr>
        <w:t xml:space="preserve">لبحث </w:t>
      </w:r>
      <w:r w:rsidR="00690DBC">
        <w:rPr>
          <w:rFonts w:ascii="Traditional Arabic" w:hAnsi="Traditional Arabic" w:cs="Traditional Arabic" w:hint="cs"/>
          <w:sz w:val="30"/>
          <w:szCs w:val="30"/>
          <w:rtl/>
          <w:lang w:eastAsia="en-GB"/>
        </w:rPr>
        <w:t xml:space="preserve">في تطوير </w:t>
      </w:r>
      <w:r w:rsidRPr="00AE6847">
        <w:rPr>
          <w:rFonts w:ascii="Traditional Arabic" w:hAnsi="Traditional Arabic" w:cs="Traditional Arabic"/>
          <w:sz w:val="30"/>
          <w:szCs w:val="30"/>
          <w:rtl/>
          <w:lang w:eastAsia="en-GB"/>
        </w:rPr>
        <w:t xml:space="preserve">الأنشطة داخل المدينة. لم </w:t>
      </w:r>
      <w:r w:rsidRPr="00AE6847">
        <w:rPr>
          <w:rFonts w:ascii="Traditional Arabic" w:hAnsi="Traditional Arabic" w:cs="Traditional Arabic"/>
          <w:sz w:val="30"/>
          <w:szCs w:val="30"/>
          <w:rtl/>
          <w:lang w:eastAsia="en-GB"/>
        </w:rPr>
        <w:lastRenderedPageBreak/>
        <w:t xml:space="preserve">تستأنف اللجنة الدولية أنشطتها في تعز بعد اغتيال لحود. في يونيو 2018، أعلنت المنظمة سحب </w:t>
      </w:r>
      <w:r w:rsidRPr="00690DBC">
        <w:rPr>
          <w:rFonts w:ascii="Traditional Arabic" w:hAnsi="Traditional Arabic" w:cs="Traditional Arabic"/>
          <w:sz w:val="30"/>
          <w:szCs w:val="30"/>
          <w:rtl/>
          <w:lang w:eastAsia="en-GB"/>
        </w:rPr>
        <w:t>71 من موظفيها من</w:t>
      </w:r>
      <w:r w:rsidR="00AF087C" w:rsidRPr="00690DBC">
        <w:rPr>
          <w:rFonts w:ascii="Traditional Arabic" w:hAnsi="Traditional Arabic" w:cs="Traditional Arabic"/>
          <w:sz w:val="30"/>
          <w:szCs w:val="30"/>
          <w:rtl/>
          <w:lang w:eastAsia="en-GB"/>
        </w:rPr>
        <w:t xml:space="preserve"> اليمن وتوقف عددًا من أنشطتها. </w:t>
      </w:r>
      <w:r w:rsidR="00690DBC" w:rsidRPr="00690DBC">
        <w:rPr>
          <w:rFonts w:ascii="Traditional Arabic" w:hAnsi="Traditional Arabic" w:cs="Traditional Arabic"/>
          <w:sz w:val="30"/>
          <w:szCs w:val="30"/>
          <w:rtl/>
          <w:lang w:eastAsia="en-GB"/>
        </w:rPr>
        <w:t>وأفادت في بيان لها "</w:t>
      </w:r>
      <w:r w:rsidR="00690DBC" w:rsidRPr="00690DBC">
        <w:rPr>
          <w:rFonts w:ascii="Traditional Arabic" w:hAnsi="Traditional Arabic" w:cs="Traditional Arabic"/>
          <w:color w:val="333333"/>
          <w:sz w:val="30"/>
          <w:szCs w:val="30"/>
          <w:shd w:val="clear" w:color="auto" w:fill="FFFFFF"/>
          <w:rtl/>
        </w:rPr>
        <w:t xml:space="preserve"> تعمل اللجنة الدولية في اليمن منذ عام 1962، غير أننا نشهد هذه الأيام اتجاهات خطيرة. فقد حيل بيننا وبين أداء أنشطتنا الحالية، وتعرضنا لتهديدات، بل واستُهدفنا بشكل مباشر في الأسابيع الأخيرة. ونحن نرى سعياً قوياً إلى استغلال منظمتنا لتكون بيدقاً في مجريات النزاع. وتُحمّل اللجنة الدولية جميع الأطراف مسؤولية أمن موظفيها</w:t>
      </w:r>
      <w:r w:rsidR="00690DBC" w:rsidRPr="00690DBC">
        <w:rPr>
          <w:rFonts w:ascii="Traditional Arabic" w:hAnsi="Traditional Arabic" w:cs="Traditional Arabic"/>
          <w:color w:val="333333"/>
          <w:sz w:val="30"/>
          <w:szCs w:val="30"/>
          <w:shd w:val="clear" w:color="auto" w:fill="FFFFFF"/>
        </w:rPr>
        <w:t>.</w:t>
      </w:r>
      <w:r w:rsidR="00690DBC" w:rsidRPr="00690DBC">
        <w:rPr>
          <w:rFonts w:ascii="Traditional Arabic" w:hAnsi="Traditional Arabic" w:cs="Traditional Arabic"/>
          <w:color w:val="333333"/>
          <w:sz w:val="30"/>
          <w:szCs w:val="30"/>
          <w:shd w:val="clear" w:color="auto" w:fill="FFFFFF"/>
          <w:rtl/>
        </w:rPr>
        <w:t xml:space="preserve"> </w:t>
      </w:r>
      <w:r w:rsidRPr="00690DBC">
        <w:rPr>
          <w:rFonts w:ascii="Traditional Arabic" w:hAnsi="Traditional Arabic" w:cs="Traditional Arabic"/>
          <w:sz w:val="30"/>
          <w:szCs w:val="30"/>
          <w:rtl/>
          <w:lang w:eastAsia="en-GB"/>
        </w:rPr>
        <w:t>وذكر البيان على وجه التحديد أنه على الرغم من أن اللجنة الدولية تلقت في السابق تهديدات في اليمن، إلا أنها لم تستطع تحمل أي مخاطر إضافية بعد أقل من شهرين على مقتل مندوبها</w:t>
      </w:r>
      <w:r w:rsidRPr="00690DBC">
        <w:rPr>
          <w:rFonts w:ascii="Traditional Arabic" w:hAnsi="Traditional Arabic" w:cs="Traditional Arabic"/>
          <w:sz w:val="30"/>
          <w:szCs w:val="30"/>
          <w:lang w:eastAsia="en-GB"/>
        </w:rPr>
        <w:t>.</w:t>
      </w:r>
    </w:p>
    <w:p w14:paraId="552801B2" w14:textId="5C439117" w:rsidR="00AE6847" w:rsidRPr="00690DBC" w:rsidRDefault="00AE6847" w:rsidP="00361237">
      <w:pPr>
        <w:tabs>
          <w:tab w:val="left" w:pos="720"/>
          <w:tab w:val="left" w:pos="1701"/>
        </w:tabs>
        <w:suppressAutoHyphens w:val="0"/>
        <w:bidi/>
        <w:spacing w:after="120"/>
        <w:ind w:right="828"/>
        <w:rPr>
          <w:rFonts w:ascii="Traditional Arabic" w:eastAsia="Calibri" w:hAnsi="Traditional Arabic" w:cs="Traditional Arabic"/>
          <w:sz w:val="30"/>
          <w:szCs w:val="30"/>
        </w:rPr>
      </w:pPr>
      <w:r w:rsidRPr="00690DBC">
        <w:rPr>
          <w:rFonts w:ascii="Traditional Arabic" w:eastAsia="Calibri" w:hAnsi="Traditional Arabic" w:cs="Traditional Arabic"/>
          <w:sz w:val="30"/>
          <w:szCs w:val="30"/>
          <w:rtl/>
        </w:rPr>
        <w:t xml:space="preserve">     </w:t>
      </w:r>
      <w:r w:rsidR="00965C2C" w:rsidRPr="00690DBC">
        <w:rPr>
          <w:rFonts w:ascii="Traditional Arabic" w:eastAsia="Calibri" w:hAnsi="Traditional Arabic" w:cs="Traditional Arabic"/>
          <w:sz w:val="30"/>
          <w:szCs w:val="30"/>
          <w:rtl/>
        </w:rPr>
        <w:tab/>
      </w:r>
      <w:r w:rsidRPr="00690DBC">
        <w:rPr>
          <w:rFonts w:ascii="Traditional Arabic" w:eastAsia="Calibri" w:hAnsi="Traditional Arabic" w:cs="Traditional Arabic"/>
          <w:sz w:val="30"/>
          <w:szCs w:val="30"/>
          <w:rtl/>
        </w:rPr>
        <w:t xml:space="preserve">الانتهاكات </w:t>
      </w:r>
    </w:p>
    <w:p w14:paraId="7AD5E273" w14:textId="66EAEF91" w:rsidR="00AE6847" w:rsidRPr="00AE6847" w:rsidRDefault="00AE6847" w:rsidP="00E41EE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كقاعدة من قواعد القانون الإنساني الدولي العرفي، يجب على أطراف النزاع احترام وحماية موظفي الإغاثة الإنسانية</w:t>
      </w:r>
      <w:r w:rsidRPr="00AE6847">
        <w:rPr>
          <w:rFonts w:ascii="Traditional Arabic" w:hAnsi="Traditional Arabic" w:cs="Traditional Arabic"/>
          <w:sz w:val="30"/>
          <w:szCs w:val="30"/>
          <w:vertAlign w:val="superscript"/>
          <w:lang w:eastAsia="en-GB"/>
        </w:rPr>
        <w:footnoteReference w:id="552"/>
      </w:r>
      <w:r w:rsidRPr="00AE6847">
        <w:rPr>
          <w:rFonts w:ascii="Traditional Arabic" w:hAnsi="Traditional Arabic" w:cs="Traditional Arabic"/>
          <w:sz w:val="30"/>
          <w:szCs w:val="30"/>
          <w:rtl/>
          <w:lang w:eastAsia="en-GB"/>
        </w:rPr>
        <w:t>، المحميين بالفعل كمدنيين، طالما أنهم لا يشاركون مباشرة في الأعمال العدائية. هذه الحماية الخاصة هي نتيجة طبيعية للالتزام بالسماح وتسهيل توصيل المساعد</w:t>
      </w:r>
      <w:r w:rsidR="0016009F">
        <w:rPr>
          <w:rFonts w:ascii="Traditional Arabic" w:hAnsi="Traditional Arabic" w:cs="Traditional Arabic" w:hint="cs"/>
          <w:sz w:val="30"/>
          <w:szCs w:val="30"/>
          <w:rtl/>
          <w:lang w:eastAsia="en-GB"/>
        </w:rPr>
        <w:t>ات</w:t>
      </w:r>
      <w:r w:rsidRPr="00AE6847">
        <w:rPr>
          <w:rFonts w:ascii="Traditional Arabic" w:hAnsi="Traditional Arabic" w:cs="Traditional Arabic"/>
          <w:sz w:val="30"/>
          <w:szCs w:val="30"/>
          <w:rtl/>
          <w:lang w:eastAsia="en-GB"/>
        </w:rPr>
        <w:t xml:space="preserve"> الإنسانية إلى المحتاجين</w:t>
      </w:r>
      <w:r w:rsidRPr="00AE6847">
        <w:rPr>
          <w:rFonts w:ascii="Traditional Arabic" w:hAnsi="Traditional Arabic" w:cs="Traditional Arabic"/>
          <w:sz w:val="30"/>
          <w:szCs w:val="30"/>
          <w:vertAlign w:val="superscript"/>
          <w:lang w:eastAsia="en-GB"/>
        </w:rPr>
        <w:footnoteReference w:id="553"/>
      </w:r>
      <w:r w:rsidRPr="00AE6847">
        <w:rPr>
          <w:rFonts w:ascii="Traditional Arabic" w:hAnsi="Traditional Arabic" w:cs="Traditional Arabic"/>
          <w:sz w:val="30"/>
          <w:szCs w:val="30"/>
          <w:rtl/>
          <w:lang w:eastAsia="en-GB"/>
        </w:rPr>
        <w:t>. إن الهجوم المتعمد على موظفي الإغاثة الإنسانية المحميين يعد جريمة حرب</w:t>
      </w:r>
      <w:r w:rsidRPr="00AE6847">
        <w:rPr>
          <w:rFonts w:ascii="Traditional Arabic" w:hAnsi="Traditional Arabic" w:cs="Traditional Arabic"/>
          <w:sz w:val="30"/>
          <w:szCs w:val="30"/>
          <w:vertAlign w:val="superscript"/>
          <w:lang w:eastAsia="en-GB"/>
        </w:rPr>
        <w:footnoteReference w:id="554"/>
      </w:r>
      <w:r w:rsidRPr="00AE6847">
        <w:rPr>
          <w:rFonts w:ascii="Traditional Arabic" w:hAnsi="Traditional Arabic" w:cs="Traditional Arabic"/>
          <w:sz w:val="30"/>
          <w:szCs w:val="30"/>
          <w:rtl/>
          <w:lang w:eastAsia="en-GB"/>
        </w:rPr>
        <w:t>.</w:t>
      </w:r>
    </w:p>
    <w:p w14:paraId="6B1F9FB0" w14:textId="54D1DC18"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لدى فريق الخبراء أسباب معقولة للاعتقاد بأن حنا لحود كان مستهدفاً بصفته مندوب اللجنة الدولية، وهو هجوم متعمد على عامل إنساني. تشير الأدلة المتوفرة كذلك إلى أن العملية تضمنت طرفًا أو أطرافًا في النزاع. لم يصل الفريق حتى الآن</w:t>
      </w:r>
      <w:r w:rsidR="0016009F">
        <w:rPr>
          <w:rFonts w:ascii="Traditional Arabic" w:hAnsi="Traditional Arabic" w:cs="Traditional Arabic" w:hint="cs"/>
          <w:sz w:val="30"/>
          <w:szCs w:val="30"/>
          <w:rtl/>
          <w:lang w:eastAsia="en-GB"/>
        </w:rPr>
        <w:t xml:space="preserve"> إلى نقطة</w:t>
      </w:r>
      <w:r w:rsidRPr="00AE6847">
        <w:rPr>
          <w:rFonts w:ascii="Traditional Arabic" w:hAnsi="Traditional Arabic" w:cs="Traditional Arabic"/>
          <w:sz w:val="30"/>
          <w:szCs w:val="30"/>
          <w:rtl/>
          <w:lang w:eastAsia="en-GB"/>
        </w:rPr>
        <w:t xml:space="preserve"> تحديد المسؤولية، ويرجع ذلك جزئيًا </w:t>
      </w:r>
      <w:r w:rsidR="00787636">
        <w:rPr>
          <w:rFonts w:ascii="Traditional Arabic" w:hAnsi="Traditional Arabic" w:cs="Traditional Arabic" w:hint="cs"/>
          <w:sz w:val="30"/>
          <w:szCs w:val="30"/>
          <w:rtl/>
          <w:lang w:eastAsia="en-GB"/>
        </w:rPr>
        <w:t xml:space="preserve">إلى </w:t>
      </w:r>
      <w:r w:rsidRPr="00AE6847">
        <w:rPr>
          <w:rFonts w:ascii="Traditional Arabic" w:hAnsi="Traditional Arabic" w:cs="Traditional Arabic"/>
          <w:sz w:val="30"/>
          <w:szCs w:val="30"/>
          <w:rtl/>
          <w:lang w:eastAsia="en-GB"/>
        </w:rPr>
        <w:t>أن التحقيقات لا تزال جارية من قبل السلطات. إذا تم تحديد بواسطة سلطة مختصة على أن</w:t>
      </w:r>
      <w:r w:rsidR="00787636">
        <w:rPr>
          <w:rFonts w:ascii="Traditional Arabic" w:hAnsi="Traditional Arabic" w:cs="Traditional Arabic" w:hint="cs"/>
          <w:sz w:val="30"/>
          <w:szCs w:val="30"/>
          <w:rtl/>
          <w:lang w:eastAsia="en-GB"/>
        </w:rPr>
        <w:t xml:space="preserve"> </w:t>
      </w:r>
      <w:r w:rsidR="00787636" w:rsidRPr="00AE6847">
        <w:rPr>
          <w:rFonts w:ascii="Traditional Arabic" w:hAnsi="Traditional Arabic" w:cs="Traditional Arabic"/>
          <w:sz w:val="30"/>
          <w:szCs w:val="30"/>
          <w:rtl/>
          <w:lang w:eastAsia="en-GB"/>
        </w:rPr>
        <w:t>القتل</w:t>
      </w:r>
      <w:r w:rsidRPr="00AE6847">
        <w:rPr>
          <w:rFonts w:ascii="Traditional Arabic" w:hAnsi="Traditional Arabic" w:cs="Traditional Arabic"/>
          <w:sz w:val="30"/>
          <w:szCs w:val="30"/>
          <w:rtl/>
          <w:lang w:eastAsia="en-GB"/>
        </w:rPr>
        <w:t xml:space="preserve"> ارتكب من قبل طرف في النزاع أو نيابة عن أحد الأطراف، فقد يؤدي ذلك إلى مسؤولية جنائية فردية عن جريمة حرب متمثلة في مهاجمة موظفي الإغاثة الإنسانية المحميين ، وكذلك القتل.</w:t>
      </w:r>
    </w:p>
    <w:p w14:paraId="63530ACB" w14:textId="1D2A38F4" w:rsidR="00AE6847" w:rsidRPr="00AE6847" w:rsidRDefault="00AE6847" w:rsidP="0036123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يوضح هذا الحادث أيضًا النمط الأوسع للعنف والهجمات التي أثرت على العمل الإنساني في اليمن ، وبالتحديد في تعز. استمرت أطراف النزاع في تعز في حظر وتقييد عمل المنظمات الإنسانية</w:t>
      </w:r>
      <w:r w:rsidRPr="00AE6847">
        <w:rPr>
          <w:rFonts w:ascii="Traditional Arabic" w:hAnsi="Traditional Arabic" w:cs="Traditional Arabic"/>
          <w:sz w:val="30"/>
          <w:szCs w:val="30"/>
          <w:vertAlign w:val="superscript"/>
          <w:lang w:eastAsia="en-GB"/>
        </w:rPr>
        <w:footnoteReference w:id="555"/>
      </w:r>
      <w:r w:rsidRPr="00AE6847">
        <w:rPr>
          <w:rFonts w:ascii="Traditional Arabic" w:hAnsi="Traditional Arabic" w:cs="Traditional Arabic"/>
          <w:sz w:val="30"/>
          <w:szCs w:val="30"/>
          <w:rtl/>
          <w:lang w:eastAsia="en-GB"/>
        </w:rPr>
        <w:t>، و مثل هذه الهجمات، قد ضيقت أكثر المجال الإنساني وحماية المدنيين في تعز. كما أنها انتهاك واضح لالتزام الأطراف بالسماح بتسهيل وتيسير مرور الإغاثة الإنسانية دون عوائق للمدنيين المحتاجين.</w:t>
      </w:r>
    </w:p>
    <w:p w14:paraId="574F39A8" w14:textId="77777777" w:rsidR="00AE6847" w:rsidRPr="00AE6847" w:rsidRDefault="00AE6847" w:rsidP="00361237">
      <w:pPr>
        <w:tabs>
          <w:tab w:val="left" w:pos="720"/>
        </w:tabs>
        <w:suppressAutoHyphens w:val="0"/>
        <w:bidi/>
        <w:spacing w:after="160" w:line="256" w:lineRule="auto"/>
        <w:ind w:left="692"/>
        <w:rPr>
          <w:rFonts w:ascii="Traditional Arabic" w:eastAsia="Calibri" w:hAnsi="Traditional Arabic" w:cs="Traditional Arabic"/>
          <w:sz w:val="30"/>
          <w:szCs w:val="30"/>
          <w:rtl/>
        </w:rPr>
      </w:pPr>
      <w:r w:rsidRPr="00AE6847">
        <w:rPr>
          <w:rFonts w:ascii="Traditional Arabic" w:eastAsia="Calibri" w:hAnsi="Traditional Arabic" w:cs="Traditional Arabic"/>
          <w:b/>
          <w:bCs/>
          <w:sz w:val="30"/>
          <w:szCs w:val="30"/>
          <w:rtl/>
        </w:rPr>
        <w:t>7.  الاعتقال والاختفاء القسري والتعذيب وسوء المعاملة</w:t>
      </w:r>
    </w:p>
    <w:p w14:paraId="1563D712"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 xml:space="preserve">في فترة اعتقالي ، من بين 100 معتقلين آخرين محتجزين معي ، كان هناك الكثير الحاصلين على درجة البكالوريوس ودرجات الماجستير والدكتوراه </w:t>
      </w:r>
      <w:r w:rsidRPr="00AE6847">
        <w:rPr>
          <w:rFonts w:ascii="Traditional Arabic" w:eastAsia="Calibri" w:hAnsi="Traditional Arabic" w:cs="Traditional Arabic"/>
          <w:i/>
          <w:iCs/>
          <w:sz w:val="30"/>
          <w:szCs w:val="30"/>
          <w:rtl/>
        </w:rPr>
        <w:lastRenderedPageBreak/>
        <w:t>وكانوا من خلفيات تمريض ومحاسبة. حاولت أن أجد شخصًا وأسأل من هو من  الجبهات ولكن معظمهم كانوا متعلمين. تم اعتقالهم جميعا بتهم زائفة</w:t>
      </w:r>
      <w:r w:rsidRPr="00AE6847">
        <w:rPr>
          <w:rFonts w:ascii="Traditional Arabic" w:eastAsia="Calibri" w:hAnsi="Traditional Arabic" w:cs="Traditional Arabic"/>
          <w:i/>
          <w:iCs/>
          <w:sz w:val="30"/>
          <w:szCs w:val="30"/>
        </w:rPr>
        <w:t xml:space="preserve"> ".</w:t>
      </w:r>
    </w:p>
    <w:p w14:paraId="323E9CBD" w14:textId="13CA1E51" w:rsidR="00AE6847" w:rsidRPr="00AE6847" w:rsidRDefault="000C6E35" w:rsidP="00361237">
      <w:pPr>
        <w:tabs>
          <w:tab w:val="left" w:pos="720"/>
        </w:tabs>
        <w:suppressAutoHyphens w:val="0"/>
        <w:bidi/>
        <w:spacing w:line="240" w:lineRule="auto"/>
        <w:ind w:left="1134" w:right="827"/>
        <w:rPr>
          <w:rFonts w:ascii="Traditional Arabic" w:eastAsia="Calibri" w:hAnsi="Traditional Arabic" w:cs="Traditional Arabic"/>
          <w:b/>
          <w:bCs/>
          <w:i/>
          <w:iCs/>
          <w:sz w:val="30"/>
          <w:szCs w:val="30"/>
        </w:rPr>
      </w:pP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sidR="00AE6847" w:rsidRPr="00AE6847">
        <w:rPr>
          <w:rFonts w:ascii="Traditional Arabic" w:eastAsia="Calibri" w:hAnsi="Traditional Arabic" w:cs="Traditional Arabic"/>
          <w:b/>
          <w:bCs/>
          <w:i/>
          <w:iCs/>
          <w:sz w:val="30"/>
          <w:szCs w:val="30"/>
          <w:rtl/>
        </w:rPr>
        <w:t>طالب جامعي معتقل في مارس / آذار 2016 وهو يغادر تعز للامتحان النهائي</w:t>
      </w:r>
    </w:p>
    <w:p w14:paraId="270FD847" w14:textId="77777777" w:rsidR="00AE6847" w:rsidRPr="00AE6847" w:rsidRDefault="00AE6847" w:rsidP="00361237">
      <w:pPr>
        <w:tabs>
          <w:tab w:val="left" w:pos="720"/>
        </w:tabs>
        <w:suppressAutoHyphens w:val="0"/>
        <w:bidi/>
        <w:spacing w:line="240" w:lineRule="auto"/>
        <w:ind w:left="1134" w:right="827"/>
        <w:rPr>
          <w:rFonts w:ascii="Traditional Arabic" w:eastAsia="Calibri" w:hAnsi="Traditional Arabic" w:cs="Traditional Arabic"/>
          <w:i/>
          <w:iCs/>
          <w:sz w:val="30"/>
          <w:szCs w:val="30"/>
        </w:rPr>
      </w:pPr>
    </w:p>
    <w:p w14:paraId="25E8D890" w14:textId="77777777" w:rsidR="00AE6847" w:rsidRPr="00AE6847" w:rsidRDefault="00AE6847" w:rsidP="000C6E35">
      <w:pPr>
        <w:tabs>
          <w:tab w:val="left" w:pos="720"/>
        </w:tabs>
        <w:suppressAutoHyphens w:val="0"/>
        <w:bidi/>
        <w:spacing w:line="240" w:lineRule="auto"/>
        <w:ind w:left="1449" w:right="827"/>
        <w:rPr>
          <w:rFonts w:ascii="Traditional Arabic" w:eastAsia="Calibri" w:hAnsi="Traditional Arabic" w:cs="Traditional Arabic"/>
          <w:i/>
          <w:iCs/>
          <w:sz w:val="30"/>
          <w:szCs w:val="30"/>
        </w:rPr>
      </w:pPr>
      <w:r w:rsidRPr="00AE6847">
        <w:rPr>
          <w:rFonts w:ascii="Traditional Arabic" w:eastAsia="Calibri" w:hAnsi="Traditional Arabic" w:cs="Traditional Arabic"/>
          <w:i/>
          <w:iCs/>
          <w:sz w:val="30"/>
          <w:szCs w:val="30"/>
        </w:rPr>
        <w:t>"</w:t>
      </w:r>
      <w:r w:rsidRPr="00AE6847">
        <w:rPr>
          <w:rFonts w:ascii="Traditional Arabic" w:eastAsia="Calibri" w:hAnsi="Traditional Arabic" w:cs="Traditional Arabic"/>
          <w:i/>
          <w:iCs/>
          <w:sz w:val="30"/>
          <w:szCs w:val="30"/>
          <w:rtl/>
        </w:rPr>
        <w:t>دمروا مستقبلي. لم أكمل دراستي بعد. لكن إن شاء الله ، سأكملها لأنني عندما خرجت لم أكن مستعدًا لإكمالها: "خرجت وقلبي حزين لما تعرض له المختطفين في السجن</w:t>
      </w:r>
      <w:r w:rsidRPr="00AE6847">
        <w:rPr>
          <w:rFonts w:ascii="Traditional Arabic" w:eastAsia="Calibri" w:hAnsi="Traditional Arabic" w:cs="Traditional Arabic"/>
          <w:i/>
          <w:iCs/>
          <w:sz w:val="30"/>
          <w:szCs w:val="30"/>
        </w:rPr>
        <w:t>".</w:t>
      </w:r>
    </w:p>
    <w:p w14:paraId="623B857D" w14:textId="7BC67256" w:rsidR="00AE6847" w:rsidRPr="000C6E35" w:rsidRDefault="000C6E35" w:rsidP="000C6E35">
      <w:pPr>
        <w:tabs>
          <w:tab w:val="left" w:pos="720"/>
        </w:tabs>
        <w:suppressAutoHyphens w:val="0"/>
        <w:bidi/>
        <w:spacing w:after="240" w:line="240" w:lineRule="auto"/>
        <w:ind w:left="1134" w:right="827"/>
        <w:jc w:val="center"/>
        <w:rPr>
          <w:rFonts w:ascii="Traditional Arabic" w:eastAsia="Calibri" w:hAnsi="Traditional Arabic" w:cs="Traditional Arabic"/>
          <w:b/>
          <w:bCs/>
          <w:sz w:val="30"/>
          <w:szCs w:val="30"/>
        </w:rPr>
      </w:pP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Pr>
          <w:rFonts w:ascii="Traditional Arabic" w:eastAsia="Calibri" w:hAnsi="Traditional Arabic" w:cs="Traditional Arabic"/>
          <w:b/>
          <w:bCs/>
          <w:i/>
          <w:iCs/>
          <w:sz w:val="30"/>
          <w:szCs w:val="30"/>
        </w:rPr>
        <w:tab/>
      </w:r>
      <w:r w:rsidR="00AE6847" w:rsidRPr="00AE6847">
        <w:rPr>
          <w:rFonts w:ascii="Traditional Arabic" w:eastAsia="Calibri" w:hAnsi="Traditional Arabic" w:cs="Traditional Arabic"/>
          <w:b/>
          <w:bCs/>
          <w:i/>
          <w:iCs/>
          <w:sz w:val="30"/>
          <w:szCs w:val="30"/>
          <w:rtl/>
        </w:rPr>
        <w:t>اعتقال طالب جامعي أثناء مغادرته تعز بعد العطلة المدرسية</w:t>
      </w:r>
    </w:p>
    <w:p w14:paraId="207D092B" w14:textId="15CB5BCC"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lang w:eastAsia="en-GB"/>
        </w:rPr>
      </w:pPr>
      <w:r w:rsidRPr="00AE6847">
        <w:rPr>
          <w:rFonts w:ascii="Traditional Arabic" w:hAnsi="Traditional Arabic" w:cs="Traditional Arabic"/>
          <w:sz w:val="30"/>
          <w:szCs w:val="30"/>
          <w:rtl/>
          <w:lang w:eastAsia="en-GB"/>
        </w:rPr>
        <w:t>حقق فريق الخبراء في عينة من الحالات الرمزية لأشخاص زعموا أنهم احتجزتهم سلطات الأمر الواقع وتحدثوا إلى أسر أبلغت عن احتجاز أقاربها واختفائهم.</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rtl/>
          <w:lang w:eastAsia="en-GB"/>
        </w:rPr>
        <w:t>تلقى فريق الخبراء أسماء أكثر من 700 شخص، معظمهم من المدنيين، الذين زُعم أنهم احتُجزوا في تعز أثناء النزاع من جانب سلطات الأمر الواقع.</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56"/>
      </w:r>
      <w:r w:rsidRPr="00AE6847">
        <w:rPr>
          <w:rFonts w:ascii="Traditional Arabic" w:hAnsi="Traditional Arabic" w:cs="Traditional Arabic"/>
          <w:sz w:val="30"/>
          <w:szCs w:val="30"/>
          <w:rtl/>
          <w:lang w:eastAsia="en-GB"/>
        </w:rPr>
        <w:t xml:space="preserve"> ووجد الفريق أن تلك الحالات التي حقق فيها أظهرت أنماطًا مماثلة للادعاءات الأوسع نطاقًا التي وردت للفريق، والتي تبين أنها تدل على حجم الانتهاكات المتعلقة بالاعتقال من جانب سلطات الأمر الواقع في جميع أنحاء المحافظة. حدثت حالات اختفاء قسري في ست من أصل تسع حالات تم التحقيق فيها في تعز، ظل بعضها في عداد المفقودين وقت كتابة هذا التقرير. وصف العديد من المعتقلين عدم وجود اتصال مع عائلاتهم لفترات تتراوح بين شهرين وتسعة أشهر، ووصف كل من المعتقلين وعائلاتهم حالات لم يكونوا على علم بمكان وجودهم فيها. تم اعتقال الأفراد أثناء دخولهم إلى تعز أو الخروج منها عبر نقاط التفتيش أو المناطق التي يسيطر عليها الحوثيون، وتم إبعادهم أيضًا عن منازلهم أو احتجازهم عندما اصبحت العمليات العسكرية للحوثيين في المناطق المجاوره لهم وكان معظم المحتجزين الذين أفرجت عنهم سلطات الأمر الواقع من المدنيين الذين قيل انه تم الافراج عنهم في عملية التبادل لمقاتلي الحوثيين الذين احتجزتهم الحكومة</w:t>
      </w:r>
      <w:r w:rsidRPr="00AE6847">
        <w:rPr>
          <w:rFonts w:ascii="Traditional Arabic" w:hAnsi="Traditional Arabic" w:cs="Traditional Arabic"/>
          <w:sz w:val="30"/>
          <w:szCs w:val="30"/>
          <w:vertAlign w:val="superscript"/>
          <w:lang w:eastAsia="en-GB"/>
        </w:rPr>
        <w:footnoteReference w:id="557"/>
      </w:r>
      <w:r w:rsidRPr="00AE6847">
        <w:rPr>
          <w:rFonts w:ascii="Traditional Arabic" w:hAnsi="Traditional Arabic" w:cs="Traditional Arabic"/>
          <w:sz w:val="30"/>
          <w:szCs w:val="30"/>
          <w:rtl/>
          <w:lang w:eastAsia="en-GB"/>
        </w:rPr>
        <w:t xml:space="preserve">. في بعض الحالات، تم إطلاق سراح المحتجزين بسبب تدهور صحتهم أو مقابل دفع مبالغ ماليه </w:t>
      </w:r>
      <w:r w:rsidRPr="00AE6847">
        <w:rPr>
          <w:rFonts w:ascii="Traditional Arabic" w:hAnsi="Traditional Arabic" w:cs="Traditional Arabic"/>
          <w:sz w:val="30"/>
          <w:szCs w:val="30"/>
          <w:vertAlign w:val="superscript"/>
          <w:lang w:eastAsia="en-GB"/>
        </w:rPr>
        <w:footnoteReference w:id="558"/>
      </w:r>
      <w:r w:rsidRPr="00AE6847">
        <w:rPr>
          <w:rFonts w:ascii="Traditional Arabic" w:hAnsi="Traditional Arabic" w:cs="Traditional Arabic"/>
          <w:sz w:val="30"/>
          <w:szCs w:val="30"/>
          <w:rtl/>
          <w:lang w:eastAsia="en-GB"/>
        </w:rPr>
        <w:t>. بالنسبة لأولئك الذين أُفرج عنهم من الاعتقال، بعد قضاء شهور أو سنوات في التعرض للتعذيب وسوء المعاملة فضلاً عن الظروف المهينة، استمرت المعاناه في صحتهم الجسدية والعقلية: "</w:t>
      </w:r>
      <w:r w:rsidRPr="00AE6847">
        <w:rPr>
          <w:rFonts w:ascii="Traditional Arabic" w:hAnsi="Traditional Arabic" w:cs="Traditional Arabic"/>
          <w:i/>
          <w:iCs/>
          <w:sz w:val="30"/>
          <w:szCs w:val="30"/>
          <w:rtl/>
          <w:lang w:eastAsia="en-GB"/>
        </w:rPr>
        <w:t>أعاني من الكوابيس والأحلام السيئة، وأشك في الناس وأخاف من هاتفي عندما يرن</w:t>
      </w:r>
      <w:r w:rsidRPr="00AE6847">
        <w:rPr>
          <w:rFonts w:ascii="Traditional Arabic" w:hAnsi="Traditional Arabic" w:cs="Traditional Arabic"/>
          <w:sz w:val="30"/>
          <w:szCs w:val="30"/>
          <w:vertAlign w:val="superscript"/>
          <w:lang w:eastAsia="en-GB"/>
        </w:rPr>
        <w:footnoteReference w:id="559"/>
      </w:r>
      <w:r w:rsidRPr="00AE6847">
        <w:rPr>
          <w:rFonts w:ascii="Traditional Arabic" w:hAnsi="Traditional Arabic" w:cs="Traditional Arabic"/>
          <w:i/>
          <w:iCs/>
          <w:sz w:val="30"/>
          <w:szCs w:val="30"/>
          <w:lang w:eastAsia="en-GB"/>
        </w:rPr>
        <w:t xml:space="preserve"> ".</w:t>
      </w:r>
    </w:p>
    <w:p w14:paraId="53CF562C" w14:textId="255BE54C"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eastAsia="en-GB"/>
        </w:rPr>
      </w:pPr>
      <w:r w:rsidRPr="00AE6847">
        <w:rPr>
          <w:rFonts w:ascii="Traditional Arabic" w:hAnsi="Traditional Arabic" w:cs="Traditional Arabic"/>
          <w:sz w:val="30"/>
          <w:szCs w:val="30"/>
          <w:rtl/>
          <w:lang w:eastAsia="en-GB"/>
        </w:rPr>
        <w:t xml:space="preserve">نُقل معظم المعتقلين إلى سجن مدينة الصالح حيث تم التحقيق معهم ، ثم نُقلوا إلى كلية ذمار المجتمعية. سجن مدينة الصالح، الموصوف بأنه "مركز كبير للمعتقلين" </w:t>
      </w:r>
      <w:r w:rsidRPr="00AE6847">
        <w:rPr>
          <w:rFonts w:ascii="Traditional Arabic" w:hAnsi="Traditional Arabic" w:cs="Traditional Arabic"/>
          <w:sz w:val="30"/>
          <w:szCs w:val="30"/>
          <w:vertAlign w:val="superscript"/>
          <w:lang w:eastAsia="en-GB"/>
        </w:rPr>
        <w:footnoteReference w:id="560"/>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xml:space="preserve">، هو "واحد من أكبر السجون في اليمن حيث تقع انتهاكات كبيرة" </w:t>
      </w:r>
      <w:r w:rsidRPr="00AE6847">
        <w:rPr>
          <w:rFonts w:ascii="Traditional Arabic" w:hAnsi="Traditional Arabic" w:cs="Traditional Arabic"/>
          <w:sz w:val="30"/>
          <w:szCs w:val="30"/>
          <w:rtl/>
          <w:lang w:eastAsia="en-GB"/>
        </w:rPr>
        <w:lastRenderedPageBreak/>
        <w:t xml:space="preserve">، وفقًا لما ذكره أحد المحامين </w:t>
      </w:r>
      <w:r w:rsidRPr="00AE6847">
        <w:rPr>
          <w:rFonts w:ascii="Traditional Arabic" w:hAnsi="Traditional Arabic" w:cs="Traditional Arabic"/>
          <w:sz w:val="30"/>
          <w:szCs w:val="30"/>
          <w:vertAlign w:val="superscript"/>
          <w:lang w:eastAsia="en-GB"/>
        </w:rPr>
        <w:footnoteReference w:id="561"/>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 ويقع في مدينة الحوبان شرق مدينة تعز، ويتكون من عدة مبانٍ تضم حوالي 400 شخص معتقل في أقسام مختلفة بما في ذلك قسما "الأمن القومي" و "الأمن السياسي" حيث يحتجز العاملون في مجال حقوق الإنسان والنشطاء السياسيون والمحامون والمعارضون السياسيون، إضافة إلى المقاتلين المعتقلين خلال الاعمال العدائية</w:t>
      </w:r>
      <w:r w:rsidRPr="00AE6847">
        <w:rPr>
          <w:rFonts w:ascii="Traditional Arabic" w:hAnsi="Traditional Arabic" w:cs="Traditional Arabic"/>
          <w:sz w:val="30"/>
          <w:szCs w:val="30"/>
          <w:vertAlign w:val="superscript"/>
          <w:lang w:eastAsia="en-GB"/>
        </w:rPr>
        <w:footnoteReference w:id="562"/>
      </w:r>
      <w:r w:rsidRPr="00AE6847">
        <w:rPr>
          <w:rFonts w:ascii="Traditional Arabic" w:hAnsi="Traditional Arabic" w:cs="Traditional Arabic"/>
          <w:sz w:val="30"/>
          <w:szCs w:val="30"/>
          <w:rtl/>
          <w:lang w:eastAsia="en-GB"/>
        </w:rPr>
        <w:t>. تُعتبر هذه الأقسام أهم قسمين، ونادراً ما يُمنح أي شخص محتجز فيها أي إجراءات قانونية، وتقع كلية ذمار على بعد عدة كيلومترات شمال مدينة ذمار، ومع ذلك فهي معروفة كمركز احتجاز سري. ولا تعترف سلطات الأمر الواقع بوجودها، إذ يستخدم المكان للتحقيق مع المحتجزين الذين يتم إحضارهم من مرافق احتجاز أخرى مثل السجن المركزي في مدينة ذمار</w:t>
      </w:r>
      <w:r w:rsidRPr="00AE6847">
        <w:rPr>
          <w:rFonts w:ascii="Traditional Arabic" w:hAnsi="Traditional Arabic" w:cs="Traditional Arabic"/>
          <w:sz w:val="30"/>
          <w:szCs w:val="30"/>
          <w:vertAlign w:val="superscript"/>
          <w:lang w:eastAsia="en-GB"/>
        </w:rPr>
        <w:footnoteReference w:id="563"/>
      </w:r>
      <w:r w:rsidRPr="00AE6847">
        <w:rPr>
          <w:rFonts w:ascii="Traditional Arabic" w:hAnsi="Traditional Arabic" w:cs="Traditional Arabic"/>
          <w:sz w:val="30"/>
          <w:szCs w:val="30"/>
          <w:lang w:eastAsia="en-GB"/>
        </w:rPr>
        <w:t xml:space="preserve"> </w:t>
      </w:r>
      <w:r w:rsidRPr="00AE6847">
        <w:rPr>
          <w:rFonts w:ascii="Traditional Arabic" w:hAnsi="Traditional Arabic" w:cs="Traditional Arabic"/>
          <w:sz w:val="30"/>
          <w:szCs w:val="30"/>
          <w:rtl/>
          <w:lang w:eastAsia="en-GB"/>
        </w:rPr>
        <w:t>والتحقيق معهم. كما احتُجز المعتقلون هناك قبل إطلاق سراحهم من خلال تبادل في مقابل المقاتلين الحوثيين الذين تحتجزهم الحكومة</w:t>
      </w:r>
      <w:r w:rsidRPr="00AE6847">
        <w:rPr>
          <w:rFonts w:ascii="Traditional Arabic" w:hAnsi="Traditional Arabic" w:cs="Traditional Arabic"/>
          <w:sz w:val="30"/>
          <w:szCs w:val="30"/>
          <w:vertAlign w:val="superscript"/>
          <w:lang w:eastAsia="en-GB"/>
        </w:rPr>
        <w:footnoteReference w:id="564"/>
      </w:r>
      <w:r w:rsidRPr="00AE6847">
        <w:rPr>
          <w:rFonts w:ascii="Traditional Arabic" w:hAnsi="Traditional Arabic" w:cs="Traditional Arabic"/>
          <w:sz w:val="30"/>
          <w:szCs w:val="30"/>
          <w:rtl/>
          <w:lang w:eastAsia="en-GB"/>
        </w:rPr>
        <w:t>. معظم المحتجزين في كلية ذمار المجتمعية هم من محافظة تعز ونُقلوا من سجن مدينة الصالح</w:t>
      </w:r>
      <w:r w:rsidRPr="00AE6847">
        <w:rPr>
          <w:rFonts w:ascii="Traditional Arabic" w:hAnsi="Traditional Arabic" w:cs="Traditional Arabic"/>
          <w:sz w:val="30"/>
          <w:szCs w:val="30"/>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vertAlign w:val="superscript"/>
          <w:lang w:eastAsia="en-GB"/>
        </w:rPr>
        <w:footnoteReference w:id="565"/>
      </w:r>
    </w:p>
    <w:p w14:paraId="18666E32" w14:textId="2C8BA26E"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eastAsia="en-GB"/>
        </w:rPr>
      </w:pPr>
      <w:r w:rsidRPr="00AE6847">
        <w:rPr>
          <w:rFonts w:ascii="Traditional Arabic" w:hAnsi="Traditional Arabic" w:cs="Traditional Arabic"/>
          <w:sz w:val="30"/>
          <w:szCs w:val="30"/>
          <w:rtl/>
          <w:lang w:eastAsia="en-GB"/>
        </w:rPr>
        <w:t>وادعى عدة معتقلون سابقون أنهم تعرضوا لأعمال تعذيب وسوء معاملة</w:t>
      </w:r>
      <w:r w:rsidRPr="00AE6847">
        <w:rPr>
          <w:rFonts w:ascii="Traditional Arabic" w:hAnsi="Traditional Arabic" w:cs="Traditional Arabic"/>
          <w:sz w:val="30"/>
          <w:szCs w:val="30"/>
          <w:vertAlign w:val="superscript"/>
          <w:lang w:eastAsia="en-GB"/>
        </w:rPr>
        <w:footnoteReference w:id="566"/>
      </w:r>
      <w:r w:rsidRPr="00AE6847">
        <w:rPr>
          <w:rFonts w:ascii="Traditional Arabic" w:hAnsi="Traditional Arabic" w:cs="Traditional Arabic"/>
          <w:sz w:val="30"/>
          <w:szCs w:val="30"/>
          <w:rtl/>
          <w:lang w:eastAsia="en-GB"/>
        </w:rPr>
        <w:t>. وذكروا أنهم تعرضوا مراراً للضرب ، بما في ذلك استخدام الأسلاك الكهربائية والصدمات الكهربائية خلال مرحلة التحقيق في اعتقالهم واتُهموا بأنهم أعضاء في المقاومة و "داعش"</w:t>
      </w:r>
      <w:r w:rsidRPr="00AE6847">
        <w:rPr>
          <w:rFonts w:ascii="Traditional Arabic" w:hAnsi="Traditional Arabic" w:cs="Traditional Arabic"/>
          <w:sz w:val="30"/>
          <w:szCs w:val="30"/>
          <w:vertAlign w:val="superscript"/>
          <w:lang w:eastAsia="en-GB"/>
        </w:rPr>
        <w:footnoteReference w:id="567"/>
      </w:r>
      <w:r w:rsidRPr="00AE6847">
        <w:rPr>
          <w:rFonts w:ascii="Traditional Arabic" w:hAnsi="Traditional Arabic" w:cs="Traditional Arabic"/>
          <w:sz w:val="30"/>
          <w:szCs w:val="30"/>
          <w:rtl/>
          <w:lang w:eastAsia="en-GB"/>
        </w:rPr>
        <w:t>. تلقى فريق الخبراء عدة تقارير تتعلق بحالات الوفيات في الاعتقال، والتي رافقتها أيضًا مزاعم التعذيب وسوء المعاملة أثناء احتجازهم</w:t>
      </w:r>
      <w:r w:rsidRPr="00AE6847">
        <w:rPr>
          <w:rFonts w:ascii="Traditional Arabic" w:hAnsi="Traditional Arabic" w:cs="Traditional Arabic"/>
          <w:sz w:val="30"/>
          <w:szCs w:val="30"/>
          <w:vertAlign w:val="superscript"/>
          <w:lang w:eastAsia="en-GB"/>
        </w:rPr>
        <w:footnoteReference w:id="568"/>
      </w:r>
      <w:r w:rsidRPr="00AE6847">
        <w:rPr>
          <w:rFonts w:ascii="Traditional Arabic" w:hAnsi="Traditional Arabic" w:cs="Traditional Arabic"/>
          <w:sz w:val="30"/>
          <w:szCs w:val="30"/>
          <w:rtl/>
          <w:lang w:eastAsia="en-GB"/>
        </w:rPr>
        <w:t>. في إحدى الحالات، توفي صحفي بعد أقل من يومين من إطلاق سراحه في حالة حرجة بعد تعرضه للتعذيب أثناء احتجازه لمدة عام في سجن مدينة صالح</w:t>
      </w:r>
      <w:r w:rsidRPr="00AE6847">
        <w:rPr>
          <w:rFonts w:ascii="Traditional Arabic" w:hAnsi="Traditional Arabic" w:cs="Traditional Arabic"/>
          <w:sz w:val="30"/>
          <w:szCs w:val="30"/>
          <w:vertAlign w:val="superscript"/>
          <w:lang w:eastAsia="en-GB"/>
        </w:rPr>
        <w:footnoteReference w:id="569"/>
      </w:r>
      <w:r w:rsidRPr="00AE6847">
        <w:rPr>
          <w:rFonts w:ascii="Traditional Arabic" w:hAnsi="Traditional Arabic" w:cs="Traditional Arabic"/>
          <w:sz w:val="30"/>
          <w:szCs w:val="30"/>
          <w:rtl/>
          <w:lang w:eastAsia="en-GB"/>
        </w:rPr>
        <w:t>. حقق فريق الخبراء في حالتين أخريين توفي فيهما المحتجزون بعد وقت قصير من إطلاق سراحهم نتيجة لمضاعفات طبية ، ذُكر أنها تتعلق بالتعذيب أثناء الاحتجاز</w:t>
      </w:r>
      <w:r w:rsidRPr="00AE6847">
        <w:rPr>
          <w:rFonts w:ascii="Traditional Arabic" w:hAnsi="Traditional Arabic" w:cs="Traditional Arabic"/>
          <w:sz w:val="30"/>
          <w:szCs w:val="30"/>
          <w:vertAlign w:val="superscript"/>
          <w:lang w:eastAsia="en-GB"/>
        </w:rPr>
        <w:footnoteReference w:id="570"/>
      </w:r>
      <w:r w:rsidRPr="00AE6847">
        <w:rPr>
          <w:rFonts w:ascii="Traditional Arabic" w:hAnsi="Traditional Arabic" w:cs="Traditional Arabic"/>
          <w:sz w:val="30"/>
          <w:szCs w:val="30"/>
          <w:rtl/>
          <w:lang w:eastAsia="en-GB"/>
        </w:rPr>
        <w:t>. وفي حالة أخرى ، توفي رجل يبلغ من العمر 40 عامًا في المستشفى بعد أسبوع من نقله إلى هناك بعد عامين في مرفق اعتقال الحوثي. من الصعب تحديد الظروف الدقيقة التي تسببت في وفاتهم لأن التقارير الطبية لا تثبت السبب ونادراً ما تتوفر تقارير الطب الشرعي، ومع ذلك، كان من الواضح أنه في بعض الحالات ، ساهم التعذيب على الأقل في وفاة المعتقلين.</w:t>
      </w:r>
    </w:p>
    <w:p w14:paraId="49BFC31F" w14:textId="5C5137C5" w:rsidR="00AE6847" w:rsidRPr="00AE6847" w:rsidRDefault="00AE6847"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lang w:val="en-US" w:eastAsia="en-GB"/>
        </w:rPr>
      </w:pPr>
      <w:r w:rsidRPr="00AE6847">
        <w:rPr>
          <w:rFonts w:ascii="Traditional Arabic" w:hAnsi="Traditional Arabic" w:cs="Traditional Arabic"/>
          <w:sz w:val="30"/>
          <w:szCs w:val="30"/>
          <w:rtl/>
          <w:lang w:eastAsia="en-GB"/>
        </w:rPr>
        <w:t xml:space="preserve">تلقى فريق الخبراء ادعاءات متعددة حول حالات الاعتقال التعسفي والاختفاء القسري، بما في ذلك من قبل كتائب أبو العباس، واللواء المشاه الالي الثاني والعشرين ، والمجموعات التي يُزعم أنها تابعة للإصلاح ، وغيرها في </w:t>
      </w:r>
      <w:r w:rsidRPr="00AE6847">
        <w:rPr>
          <w:rFonts w:ascii="Traditional Arabic" w:hAnsi="Traditional Arabic" w:cs="Traditional Arabic"/>
          <w:sz w:val="30"/>
          <w:szCs w:val="30"/>
          <w:rtl/>
          <w:lang w:eastAsia="en-GB"/>
        </w:rPr>
        <w:lastRenderedPageBreak/>
        <w:t>تعز ، أما التحقيقات في هذه لم تكتمل في الوقت المناسب لإدراجها في هذا التقرير. ومن بين الأشخاص الذين يُزعم أنهم اختفوا، أعضاء في وحدات عسكرية مختلفة، فضلاً عن شخصيات سياسية واجتماعية</w:t>
      </w:r>
      <w:r w:rsidRPr="00AE6847">
        <w:rPr>
          <w:rFonts w:ascii="Traditional Arabic" w:hAnsi="Traditional Arabic" w:cs="Traditional Arabic"/>
          <w:sz w:val="30"/>
          <w:szCs w:val="30"/>
          <w:vertAlign w:val="superscript"/>
          <w:lang w:eastAsia="en-GB"/>
        </w:rPr>
        <w:footnoteReference w:id="571"/>
      </w:r>
      <w:r w:rsidRPr="00AE6847">
        <w:rPr>
          <w:rFonts w:ascii="Traditional Arabic" w:hAnsi="Traditional Arabic" w:cs="Traditional Arabic"/>
          <w:sz w:val="30"/>
          <w:szCs w:val="30"/>
          <w:rtl/>
          <w:lang w:eastAsia="en-GB"/>
        </w:rPr>
        <w:t>. وبحسب ما ورد اعتقل الأفراد في مرافق الاحتجاز غير المعروفة التي تديرها مختلف الوحدات العسكرية والاستخبارية. وبحسب ما ورد حاول النشطاء والأسر والمحامون تقديم دعاوى قانونية وطلبوا معلومات من النيابة العامة والشرطة ومحافظ تعز عن مكان وجود الأفراد</w:t>
      </w:r>
      <w:r w:rsidRPr="00AE6847">
        <w:rPr>
          <w:rFonts w:ascii="Traditional Arabic" w:hAnsi="Traditional Arabic" w:cs="Traditional Arabic"/>
          <w:sz w:val="30"/>
          <w:szCs w:val="30"/>
          <w:vertAlign w:val="superscript"/>
          <w:lang w:eastAsia="en-GB"/>
        </w:rPr>
        <w:footnoteReference w:id="572"/>
      </w:r>
      <w:r w:rsidRPr="00AE6847">
        <w:rPr>
          <w:rFonts w:ascii="Traditional Arabic" w:hAnsi="Traditional Arabic" w:cs="Traditional Arabic"/>
          <w:sz w:val="30"/>
          <w:szCs w:val="30"/>
          <w:rtl/>
          <w:lang w:eastAsia="en-GB"/>
        </w:rPr>
        <w:t>.</w:t>
      </w:r>
      <w:r w:rsidRPr="00AE6847">
        <w:rPr>
          <w:rFonts w:ascii="Traditional Arabic" w:hAnsi="Traditional Arabic" w:cs="Traditional Arabic"/>
          <w:sz w:val="30"/>
          <w:szCs w:val="30"/>
          <w:vertAlign w:val="superscript"/>
          <w:lang w:eastAsia="en-GB"/>
        </w:rPr>
        <w:t xml:space="preserve"> </w:t>
      </w:r>
      <w:r w:rsidRPr="00AE6847">
        <w:rPr>
          <w:rFonts w:ascii="Traditional Arabic" w:hAnsi="Traditional Arabic" w:cs="Traditional Arabic"/>
          <w:sz w:val="30"/>
          <w:szCs w:val="30"/>
          <w:rtl/>
          <w:lang w:eastAsia="en-GB"/>
        </w:rPr>
        <w:t>ومع ذلك، كانت العائلات خائفة من متابعة القضايا، وظلت ردود العدالة الجنائية على مزاعم انتهاكات حقوق الإنسان محدودة</w:t>
      </w:r>
      <w:r w:rsidRPr="00AE6847">
        <w:rPr>
          <w:rFonts w:ascii="Traditional Arabic" w:hAnsi="Traditional Arabic" w:cs="Traditional Arabic"/>
          <w:sz w:val="30"/>
          <w:szCs w:val="30"/>
          <w:vertAlign w:val="superscript"/>
          <w:lang w:eastAsia="en-GB"/>
        </w:rPr>
        <w:footnoteReference w:id="573"/>
      </w:r>
      <w:r w:rsidRPr="00AE6847">
        <w:rPr>
          <w:rFonts w:ascii="Traditional Arabic" w:hAnsi="Traditional Arabic" w:cs="Traditional Arabic"/>
          <w:sz w:val="30"/>
          <w:szCs w:val="30"/>
          <w:rtl/>
          <w:lang w:eastAsia="en-GB"/>
        </w:rPr>
        <w:t>.</w:t>
      </w:r>
    </w:p>
    <w:p w14:paraId="03A2C46E" w14:textId="65E01101" w:rsidR="00AE6847" w:rsidRPr="00AE6847" w:rsidRDefault="00AE6847"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lang w:val="en-US" w:eastAsia="en-GB"/>
        </w:rPr>
      </w:pPr>
      <w:r w:rsidRPr="00AE6847">
        <w:rPr>
          <w:rFonts w:ascii="Traditional Arabic" w:hAnsi="Traditional Arabic" w:cs="Traditional Arabic"/>
          <w:sz w:val="30"/>
          <w:szCs w:val="30"/>
          <w:rtl/>
          <w:lang w:eastAsia="en-GB"/>
        </w:rPr>
        <w:t>يحظر القانون الدولي لحقوق الإنسان والقانون الإنساني الدولي حالات الاختفاء القسري، لا سيما باعتبارها انتهاكًا لحظر الحرمان التعسفي من الحرية وحظر التعذيب</w:t>
      </w:r>
      <w:r w:rsidRPr="00AE6847">
        <w:rPr>
          <w:rFonts w:ascii="Traditional Arabic" w:hAnsi="Traditional Arabic" w:cs="Traditional Arabic"/>
          <w:sz w:val="30"/>
          <w:szCs w:val="30"/>
          <w:vertAlign w:val="superscript"/>
          <w:lang w:eastAsia="en-GB"/>
        </w:rPr>
        <w:footnoteReference w:id="574"/>
      </w:r>
      <w:r w:rsidRPr="00AE6847">
        <w:rPr>
          <w:rFonts w:ascii="Traditional Arabic" w:hAnsi="Traditional Arabic" w:cs="Traditional Arabic"/>
          <w:sz w:val="30"/>
          <w:szCs w:val="30"/>
          <w:rtl/>
          <w:lang w:eastAsia="en-GB"/>
        </w:rPr>
        <w:t>، بالاضافة الى أنهما يحظران الاعتقال التعسفي</w:t>
      </w:r>
      <w:r w:rsidRPr="00AE6847">
        <w:rPr>
          <w:rFonts w:ascii="Traditional Arabic" w:hAnsi="Traditional Arabic" w:cs="Traditional Arabic"/>
          <w:sz w:val="30"/>
          <w:szCs w:val="30"/>
          <w:vertAlign w:val="superscript"/>
          <w:lang w:eastAsia="en-GB"/>
        </w:rPr>
        <w:footnoteReference w:id="575"/>
      </w:r>
      <w:r w:rsidR="00755443">
        <w:rPr>
          <w:rFonts w:ascii="Traditional Arabic" w:hAnsi="Traditional Arabic" w:cs="Traditional Arabic" w:hint="cs"/>
          <w:sz w:val="30"/>
          <w:szCs w:val="30"/>
          <w:rtl/>
          <w:lang w:eastAsia="en-GB"/>
        </w:rPr>
        <w:t>،</w:t>
      </w:r>
      <w:r w:rsidRPr="00AE6847">
        <w:rPr>
          <w:rFonts w:ascii="Traditional Arabic" w:hAnsi="Traditional Arabic" w:cs="Traditional Arabic"/>
          <w:sz w:val="30"/>
          <w:szCs w:val="30"/>
          <w:rtl/>
          <w:lang w:eastAsia="en-GB"/>
        </w:rPr>
        <w:t xml:space="preserve"> </w:t>
      </w:r>
      <w:r w:rsidR="00755443">
        <w:rPr>
          <w:rFonts w:ascii="Traditional Arabic" w:hAnsi="Traditional Arabic" w:cs="Traditional Arabic" w:hint="cs"/>
          <w:sz w:val="30"/>
          <w:szCs w:val="30"/>
          <w:rtl/>
          <w:lang w:eastAsia="en-GB"/>
        </w:rPr>
        <w:t>و</w:t>
      </w:r>
      <w:r w:rsidRPr="00AE6847">
        <w:rPr>
          <w:rFonts w:ascii="Traditional Arabic" w:hAnsi="Traditional Arabic" w:cs="Traditional Arabic"/>
          <w:sz w:val="30"/>
          <w:szCs w:val="30"/>
          <w:rtl/>
          <w:lang w:eastAsia="en-GB"/>
        </w:rPr>
        <w:t xml:space="preserve">تعتبر حالات الحرمان من الحرية التي </w:t>
      </w:r>
      <w:r w:rsidR="00755443">
        <w:rPr>
          <w:rFonts w:ascii="Traditional Arabic" w:hAnsi="Traditional Arabic" w:cs="Traditional Arabic"/>
          <w:sz w:val="30"/>
          <w:szCs w:val="30"/>
          <w:rtl/>
          <w:lang w:eastAsia="en-GB"/>
        </w:rPr>
        <w:t>تتعارض مع القانون الدولي تعسفية</w:t>
      </w:r>
      <w:r w:rsidRPr="00AE6847">
        <w:rPr>
          <w:rFonts w:ascii="Traditional Arabic" w:hAnsi="Traditional Arabic" w:cs="Traditional Arabic"/>
          <w:sz w:val="30"/>
          <w:szCs w:val="30"/>
          <w:rtl/>
          <w:lang w:eastAsia="en-GB"/>
        </w:rPr>
        <w:t>، وغالبًا ما لا يتم احترام الحق في محاكمة عادلة أو غيرها من الضمانات الإجرائية ، أو عندما يكون الاحتجاز قائمًا على ممارسة الحريات الأساسية</w:t>
      </w:r>
      <w:r w:rsidRPr="00AE6847">
        <w:rPr>
          <w:rFonts w:ascii="Traditional Arabic" w:hAnsi="Traditional Arabic" w:cs="Traditional Arabic"/>
          <w:sz w:val="30"/>
          <w:szCs w:val="30"/>
          <w:vertAlign w:val="superscript"/>
          <w:lang w:eastAsia="en-GB"/>
        </w:rPr>
        <w:footnoteReference w:id="576"/>
      </w:r>
      <w:r w:rsidRPr="00AE6847">
        <w:rPr>
          <w:rFonts w:ascii="Traditional Arabic" w:hAnsi="Traditional Arabic" w:cs="Traditional Arabic"/>
          <w:sz w:val="30"/>
          <w:szCs w:val="30"/>
          <w:rtl/>
          <w:lang w:eastAsia="en-GB"/>
        </w:rPr>
        <w:t>. إن حرمان شخص من الحق في محاكمة عادلة قد يعتبر جريمة حرب في نزاع غير دولي</w:t>
      </w:r>
      <w:r w:rsidRPr="00AE6847">
        <w:rPr>
          <w:rFonts w:ascii="Traditional Arabic" w:hAnsi="Traditional Arabic" w:cs="Traditional Arabic"/>
          <w:sz w:val="30"/>
          <w:szCs w:val="30"/>
          <w:vertAlign w:val="superscript"/>
          <w:lang w:eastAsia="en-GB"/>
        </w:rPr>
        <w:footnoteReference w:id="577"/>
      </w:r>
      <w:r w:rsidRPr="00AE6847">
        <w:rPr>
          <w:rFonts w:ascii="Traditional Arabic" w:hAnsi="Traditional Arabic" w:cs="Traditional Arabic"/>
          <w:sz w:val="30"/>
          <w:szCs w:val="30"/>
          <w:rtl/>
          <w:lang w:eastAsia="en-GB"/>
        </w:rPr>
        <w:t>.  بناءً على التحقيقات التي أجراها، لدى فريق الخبراء أسباب معقولة للاعتقاد بأن حالات الاختفاء القسري ارتكبت من قبل سلطات الأمر الواقع في تعز ، إلى جانب ممارسة الاعتقال التعسفي ، بما في ذلك انتهاك حقوق المحاكمة العادلة، وخاصة للأشخاص الذين يُنظر إليهم على أنهم المعارضين للسلطات الأمر الواقع. بناءً على التحقيقات التي أجراها ، لدى فريق الخبراء أيضًا أسباب معقولة للاعتقاد بأن التعذيب وسوء المعاملة قد استُخدمت من قبل سلطات الأمر الواقع في مرافق الاعتقال في تعز. قد تؤدي هذه الأعمال إلى مسؤولية جنائية عن جرائم الحرب المتمثلة في التعذيب، والمعاملة القاسية أو اللاإنسانية، والاعتداء على الكرامة الشخصية، وربما الحرمان من المحاكمة العادلة.</w:t>
      </w:r>
    </w:p>
    <w:p w14:paraId="04FA81C7" w14:textId="45463421" w:rsidR="0032333A" w:rsidRPr="0032333A" w:rsidRDefault="0077685C" w:rsidP="000C6E35">
      <w:pPr>
        <w:pStyle w:val="Heading3"/>
        <w:tabs>
          <w:tab w:val="left" w:pos="720"/>
        </w:tabs>
        <w:bidi/>
        <w:spacing w:after="240"/>
        <w:ind w:left="279"/>
        <w:rPr>
          <w:rFonts w:ascii="Traditional Arabic" w:hAnsi="Traditional Arabic" w:cs="Traditional Arabic"/>
          <w:b/>
          <w:bCs/>
          <w:sz w:val="30"/>
          <w:szCs w:val="30"/>
        </w:rPr>
      </w:pPr>
      <w:bookmarkStart w:id="29" w:name="_Toc18918109"/>
      <w:r w:rsidRPr="0032333A">
        <w:rPr>
          <w:rFonts w:ascii="Traditional Arabic" w:hAnsi="Traditional Arabic" w:cs="Traditional Arabic"/>
          <w:b/>
          <w:bCs/>
          <w:sz w:val="30"/>
          <w:szCs w:val="30"/>
          <w:rtl/>
        </w:rPr>
        <w:t>د.</w:t>
      </w:r>
      <w:r w:rsidRPr="0032333A">
        <w:rPr>
          <w:rFonts w:ascii="Traditional Arabic" w:hAnsi="Traditional Arabic" w:cs="Traditional Arabic"/>
          <w:b/>
          <w:bCs/>
          <w:sz w:val="30"/>
          <w:szCs w:val="30"/>
          <w:rtl/>
        </w:rPr>
        <w:tab/>
      </w:r>
      <w:r w:rsidR="000C6E35">
        <w:rPr>
          <w:rFonts w:ascii="Traditional Arabic" w:hAnsi="Traditional Arabic" w:cs="Traditional Arabic"/>
          <w:b/>
          <w:bCs/>
          <w:sz w:val="30"/>
          <w:szCs w:val="30"/>
        </w:rPr>
        <w:tab/>
      </w:r>
      <w:r w:rsidR="0032333A" w:rsidRPr="0032333A">
        <w:rPr>
          <w:rFonts w:ascii="Traditional Arabic" w:hAnsi="Traditional Arabic" w:cs="Traditional Arabic"/>
          <w:b/>
          <w:bCs/>
          <w:sz w:val="30"/>
          <w:szCs w:val="30"/>
          <w:rtl/>
        </w:rPr>
        <w:t>الحياة في المناطق الخاضعة لسيطرة سلطات الأمر الواقع</w:t>
      </w:r>
      <w:bookmarkEnd w:id="29"/>
    </w:p>
    <w:p w14:paraId="195154F2" w14:textId="5F69EF39" w:rsidR="0032333A" w:rsidRPr="0032333A" w:rsidRDefault="0032333A" w:rsidP="000C6E35">
      <w:pPr>
        <w:bidi/>
        <w:spacing w:after="120"/>
        <w:ind w:left="549" w:right="827"/>
        <w:jc w:val="both"/>
        <w:rPr>
          <w:rFonts w:ascii="Traditional Arabic" w:hAnsi="Traditional Arabic" w:cs="Traditional Arabic"/>
          <w:b/>
          <w:bCs/>
          <w:sz w:val="30"/>
          <w:szCs w:val="30"/>
        </w:rPr>
      </w:pPr>
      <w:r>
        <w:rPr>
          <w:rFonts w:ascii="Traditional Arabic" w:hAnsi="Traditional Arabic" w:cs="Traditional Arabic" w:hint="cs"/>
          <w:b/>
          <w:bCs/>
          <w:sz w:val="30"/>
          <w:szCs w:val="30"/>
          <w:rtl/>
          <w:lang w:bidi="ar-JO"/>
        </w:rPr>
        <w:lastRenderedPageBreak/>
        <w:t>1.</w:t>
      </w:r>
      <w:r>
        <w:rPr>
          <w:rFonts w:ascii="Traditional Arabic" w:hAnsi="Traditional Arabic" w:cs="Traditional Arabic" w:hint="cs"/>
          <w:b/>
          <w:bCs/>
          <w:sz w:val="30"/>
          <w:szCs w:val="30"/>
          <w:rtl/>
          <w:lang w:bidi="ar-JO"/>
        </w:rPr>
        <w:tab/>
      </w:r>
      <w:r w:rsidRPr="0032333A">
        <w:rPr>
          <w:rFonts w:ascii="Traditional Arabic" w:hAnsi="Traditional Arabic" w:cs="Traditional Arabic"/>
          <w:b/>
          <w:bCs/>
          <w:sz w:val="30"/>
          <w:szCs w:val="30"/>
          <w:rtl/>
        </w:rPr>
        <w:t>الاعتقال والاحتجاز التعسفي، والاختفاء القسري، والتعذيب، وغيره من ضروب سوء المعاملة وانتهاكات الحريات الأساسية في صنعاء</w:t>
      </w:r>
    </w:p>
    <w:p w14:paraId="60349919" w14:textId="77777777" w:rsidR="0032333A" w:rsidRPr="0032333A" w:rsidRDefault="0032333A" w:rsidP="000C6E35">
      <w:pPr>
        <w:bidi/>
        <w:spacing w:after="120"/>
        <w:ind w:left="567" w:right="827" w:firstLine="567"/>
        <w:rPr>
          <w:rFonts w:ascii="Traditional Arabic" w:hAnsi="Traditional Arabic" w:cs="Traditional Arabic"/>
          <w:b/>
          <w:bCs/>
          <w:sz w:val="30"/>
          <w:szCs w:val="30"/>
        </w:rPr>
      </w:pPr>
      <w:r w:rsidRPr="0032333A">
        <w:rPr>
          <w:rFonts w:ascii="Traditional Arabic" w:hAnsi="Traditional Arabic" w:cs="Traditional Arabic"/>
          <w:b/>
          <w:bCs/>
          <w:sz w:val="30"/>
          <w:szCs w:val="30"/>
          <w:rtl/>
        </w:rPr>
        <w:t>أ) الخلفية</w:t>
      </w:r>
    </w:p>
    <w:p w14:paraId="5CE239B9" w14:textId="31B9057A" w:rsidR="0032333A" w:rsidRPr="0032333A" w:rsidRDefault="00755443"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Pr>
          <w:rFonts w:ascii="Traditional Arabic" w:hAnsi="Traditional Arabic" w:cs="Traditional Arabic"/>
          <w:sz w:val="30"/>
          <w:szCs w:val="30"/>
          <w:rtl/>
        </w:rPr>
        <w:t>تجسّدت سيطر</w:t>
      </w:r>
      <w:r w:rsidR="00AB3802">
        <w:rPr>
          <w:rFonts w:ascii="Traditional Arabic" w:hAnsi="Traditional Arabic" w:cs="Traditional Arabic" w:hint="cs"/>
          <w:sz w:val="30"/>
          <w:szCs w:val="30"/>
          <w:rtl/>
        </w:rPr>
        <w:t>ة</w:t>
      </w:r>
      <w:r>
        <w:rPr>
          <w:rFonts w:ascii="Traditional Arabic" w:hAnsi="Traditional Arabic" w:cs="Traditional Arabic" w:hint="cs"/>
          <w:sz w:val="30"/>
          <w:szCs w:val="30"/>
          <w:rtl/>
        </w:rPr>
        <w:t xml:space="preserve"> مقاتلو </w:t>
      </w:r>
      <w:r w:rsidR="0032333A" w:rsidRPr="0032333A">
        <w:rPr>
          <w:rFonts w:ascii="Traditional Arabic" w:hAnsi="Traditional Arabic" w:cs="Traditional Arabic"/>
          <w:sz w:val="30"/>
          <w:szCs w:val="30"/>
          <w:rtl/>
        </w:rPr>
        <w:t xml:space="preserve">الحوثي - صالح على صنعاء من خلال وضع اليد على التشكيلات العسكرية والامنية في صنعاء والسيطرة على مؤسسات الدولة السابقة. وبدأت </w:t>
      </w:r>
      <w:r w:rsidR="007E1C66">
        <w:rPr>
          <w:rFonts w:ascii="Traditional Arabic" w:hAnsi="Traditional Arabic" w:cs="Traditional Arabic" w:hint="cs"/>
          <w:sz w:val="30"/>
          <w:szCs w:val="30"/>
          <w:rtl/>
        </w:rPr>
        <w:t xml:space="preserve">عندها </w:t>
      </w:r>
      <w:r w:rsidR="0032333A" w:rsidRPr="0032333A">
        <w:rPr>
          <w:rFonts w:ascii="Traditional Arabic" w:hAnsi="Traditional Arabic" w:cs="Traditional Arabic"/>
          <w:sz w:val="30"/>
          <w:szCs w:val="30"/>
          <w:rtl/>
        </w:rPr>
        <w:t>القيادة السياسية في ممارسة السيطرة الفعلية على الوظائف الإدارية والأمنية في العاصمة. وأدى</w:t>
      </w:r>
      <w:r w:rsidR="0032333A" w:rsidRPr="0032333A">
        <w:rPr>
          <w:rFonts w:ascii="Traditional Arabic" w:hAnsi="Traditional Arabic" w:cs="Traditional Arabic"/>
          <w:sz w:val="30"/>
          <w:szCs w:val="30"/>
        </w:rPr>
        <w:t xml:space="preserve"> </w:t>
      </w:r>
      <w:r w:rsidR="0032333A" w:rsidRPr="0032333A">
        <w:rPr>
          <w:rFonts w:ascii="Traditional Arabic" w:hAnsi="Traditional Arabic" w:cs="Traditional Arabic"/>
          <w:sz w:val="30"/>
          <w:szCs w:val="30"/>
          <w:rtl/>
          <w:lang w:bidi="ar-YE"/>
        </w:rPr>
        <w:t xml:space="preserve">هذا </w:t>
      </w:r>
      <w:r w:rsidR="0032333A" w:rsidRPr="0032333A">
        <w:rPr>
          <w:rFonts w:ascii="Traditional Arabic" w:hAnsi="Traditional Arabic" w:cs="Traditional Arabic"/>
          <w:sz w:val="30"/>
          <w:szCs w:val="30"/>
          <w:rtl/>
        </w:rPr>
        <w:t xml:space="preserve">إلى زيادة هائلة في عمليات </w:t>
      </w:r>
      <w:r w:rsidR="0032333A" w:rsidRPr="0032333A">
        <w:rPr>
          <w:rFonts w:ascii="Traditional Arabic" w:hAnsi="Traditional Arabic" w:cs="Traditional Arabic"/>
          <w:sz w:val="30"/>
          <w:szCs w:val="30"/>
          <w:rtl/>
          <w:lang w:bidi="ar-LB"/>
        </w:rPr>
        <w:t xml:space="preserve">الاعتقال </w:t>
      </w:r>
      <w:r w:rsidR="0032333A" w:rsidRPr="0032333A">
        <w:rPr>
          <w:rFonts w:ascii="Traditional Arabic" w:hAnsi="Traditional Arabic" w:cs="Traditional Arabic"/>
          <w:sz w:val="30"/>
          <w:szCs w:val="30"/>
          <w:rtl/>
        </w:rPr>
        <w:t>والاحتجاز التعسفي، وقد ارتفعت نسبتها مع بدء غارات التحالف الجوية في 26 آذار/ مارس 2015 على صنعاء</w:t>
      </w:r>
      <w:r w:rsidR="0032333A" w:rsidRPr="0032333A">
        <w:rPr>
          <w:rStyle w:val="FootnoteReference"/>
          <w:rFonts w:ascii="Traditional Arabic" w:hAnsi="Traditional Arabic" w:cs="Traditional Arabic"/>
          <w:sz w:val="30"/>
          <w:szCs w:val="30"/>
        </w:rPr>
        <w:footnoteReference w:id="578"/>
      </w:r>
      <w:r w:rsidR="0032333A" w:rsidRPr="0032333A">
        <w:rPr>
          <w:rFonts w:ascii="Traditional Arabic" w:hAnsi="Traditional Arabic" w:cs="Traditional Arabic"/>
          <w:sz w:val="30"/>
          <w:szCs w:val="30"/>
          <w:rtl/>
        </w:rPr>
        <w:t>. منذ ذلك الوقت، ساد مناخ من الخوف المتزايد في العاصمة وغيرها من المناطق في الشمال. واستهدفت سلطات الأمر الواقع أفراداً شكّت في أنهم من "المعارضين"، سواء كانوا أعضاء في أحزاب سياسية أو ناشطين في الشؤون الاجتماعية أو في مجال حقوق الإنسان، أو صحافيين أو حتى أعضاء في جماعات دينية معيّنة وغيرها. وقد تأثّرت المساحة المدنية التي شهدت انفتاحاً في أعقاب ثورة اليمن الشعبية عام 2011 بشكل سلبي، حيث تمّ تقويض احترام الحريات الأساسية إلى حد كبير، بما في ذلك الحق في حرية الرأي والتعبير والتجمّع وتكوين الجمعيات</w:t>
      </w:r>
      <w:r w:rsidR="0032333A" w:rsidRPr="0032333A">
        <w:rPr>
          <w:rFonts w:ascii="Traditional Arabic" w:hAnsi="Traditional Arabic" w:cs="Traditional Arabic"/>
          <w:sz w:val="30"/>
          <w:szCs w:val="30"/>
        </w:rPr>
        <w:t>.</w:t>
      </w:r>
    </w:p>
    <w:p w14:paraId="76B96CE2" w14:textId="77777777"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ركّز فريق الخبراء تحقيقاته على انتهاكات هذه الحقوق خلال الفترة 2018 - 2019، على الرغم من التحقيقات في بعض الادعاءات الخطيرة بانتهاكات حقوق الإنسان قبل هذه التواريخ. وتمّ التركيز في هذه الفترة بشكل أساسي على التغيرات التي حدثت في صنعاء عقب وفاة الرئيس السابق علي عبد الله صالح في كانون الأول/ ديسمبر 2017، والانقسام الذي حصل بعد ذلك داخل المؤتمر الشعبي العام وتزايد الهيمنة السياسية للحوثيين على المناطق الشمالية الخاضعة لسيطرتهم</w:t>
      </w:r>
      <w:r w:rsidRPr="0032333A">
        <w:rPr>
          <w:rFonts w:ascii="Traditional Arabic" w:hAnsi="Traditional Arabic" w:cs="Traditional Arabic"/>
          <w:sz w:val="30"/>
          <w:szCs w:val="30"/>
        </w:rPr>
        <w:t>.</w:t>
      </w:r>
    </w:p>
    <w:p w14:paraId="42930E2A" w14:textId="46C5EFC1" w:rsidR="0032333A" w:rsidRPr="0032333A" w:rsidRDefault="0032333A" w:rsidP="007E1C66">
      <w:pPr>
        <w:bidi/>
        <w:spacing w:line="240" w:lineRule="auto"/>
        <w:ind w:left="2268" w:right="82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"المشكلة تتجاوز التعذيب ... ما لا أستطيع تقبّله</w:t>
      </w:r>
      <w:r w:rsidR="007E1C66">
        <w:rPr>
          <w:rFonts w:ascii="Traditional Arabic" w:hAnsi="Traditional Arabic" w:cs="Traditional Arabic" w:hint="cs"/>
          <w:i/>
          <w:iCs/>
          <w:sz w:val="30"/>
          <w:szCs w:val="30"/>
          <w:rtl/>
        </w:rPr>
        <w:t xml:space="preserve"> هو خسارة الإنسانية</w:t>
      </w:r>
      <w:r w:rsidRPr="0032333A">
        <w:rPr>
          <w:rFonts w:ascii="Traditional Arabic" w:hAnsi="Traditional Arabic" w:cs="Traditional Arabic"/>
          <w:i/>
          <w:iCs/>
          <w:sz w:val="30"/>
          <w:szCs w:val="30"/>
        </w:rPr>
        <w:t>"</w:t>
      </w:r>
      <w:r w:rsidRPr="0032333A">
        <w:rPr>
          <w:rStyle w:val="FootnoteReference"/>
          <w:rFonts w:ascii="Traditional Arabic" w:hAnsi="Traditional Arabic" w:cs="Traditional Arabic"/>
          <w:i/>
          <w:iCs/>
          <w:sz w:val="30"/>
          <w:szCs w:val="30"/>
        </w:rPr>
        <w:footnoteReference w:id="579"/>
      </w:r>
      <w:r w:rsidRPr="0032333A">
        <w:rPr>
          <w:rFonts w:ascii="Traditional Arabic" w:hAnsi="Traditional Arabic" w:cs="Traditional Arabic"/>
          <w:i/>
          <w:iCs/>
          <w:sz w:val="30"/>
          <w:szCs w:val="30"/>
        </w:rPr>
        <w:t>.</w:t>
      </w:r>
    </w:p>
    <w:p w14:paraId="1E934909" w14:textId="77777777" w:rsidR="0032333A" w:rsidRPr="0032333A" w:rsidRDefault="0032333A" w:rsidP="0032333A">
      <w:pPr>
        <w:bidi/>
        <w:spacing w:line="240" w:lineRule="auto"/>
        <w:ind w:left="5670"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محتجز سابق، صنعاء</w:t>
      </w:r>
    </w:p>
    <w:p w14:paraId="3DDF582B" w14:textId="0CCB5141" w:rsidR="0032333A" w:rsidRDefault="0032333A" w:rsidP="007E1C6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صحيح أن فريق الخبراء قد وثّق أنماط الاحتجاز التعسفي وسوء المعاملة في معظم حالات الاحتجاز المرتبطة بسلطات الأمر الواقع في صنعاء، لكنه يركّز في هذا القسم على حالات الاحتجاز التعسفي، والاختفاء القسري والتعذيب في الغالب خلال الفترة من حزيران/ يونيو 2018 حتى حزيران/ يونيو 2019، مع إدراج عيّنة من الحالات السابقة لتلك الفترة، وذلك لإبراز النمط المستمر لعمليات القمع السياسي التي تستهدف مجموعات معينة مثل الصحافيين والعاملين في وسائل الإعلام. وقد أعرب المحتجزون المفرج عنهم، وأقاربهم، والناشطون على حدّ سواء عن خوفهم من التواصل مع فريق الخبراء، لا سيما في الحالات التي أرغمت فيها سلطات</w:t>
      </w:r>
      <w:r w:rsidR="007E1C66">
        <w:rPr>
          <w:rFonts w:ascii="Traditional Arabic" w:hAnsi="Traditional Arabic" w:cs="Traditional Arabic"/>
          <w:sz w:val="30"/>
          <w:szCs w:val="30"/>
          <w:rtl/>
        </w:rPr>
        <w:t xml:space="preserve"> الأمر الواقع</w:t>
      </w:r>
      <w:r w:rsidRPr="0032333A">
        <w:rPr>
          <w:rFonts w:ascii="Traditional Arabic" w:hAnsi="Traditional Arabic" w:cs="Traditional Arabic"/>
          <w:sz w:val="30"/>
          <w:szCs w:val="30"/>
          <w:rtl/>
        </w:rPr>
        <w:t xml:space="preserve"> المحتجزين على التوقيع على بيانات تحذرهم من الإبلاغ عن احتجازهم لدى إطلاق سراحهم. كما يخشى الضحايا </w:t>
      </w:r>
      <w:r w:rsidRPr="0032333A">
        <w:rPr>
          <w:rFonts w:ascii="Traditional Arabic" w:hAnsi="Traditional Arabic" w:cs="Traditional Arabic"/>
          <w:sz w:val="30"/>
          <w:szCs w:val="30"/>
          <w:rtl/>
        </w:rPr>
        <w:lastRenderedPageBreak/>
        <w:t>والشهود أن يكونوا تحت المراقبة. في بعض الحالات، الضحايا الذين غادروا صنعاء ما زالوا يخشون الاتصال بفريق الخبراء</w:t>
      </w:r>
      <w:r w:rsidRPr="0032333A">
        <w:rPr>
          <w:rStyle w:val="FootnoteReference"/>
          <w:rFonts w:ascii="Traditional Arabic" w:hAnsi="Traditional Arabic" w:cs="Traditional Arabic"/>
          <w:sz w:val="30"/>
          <w:szCs w:val="30"/>
        </w:rPr>
        <w:footnoteReference w:id="580"/>
      </w:r>
      <w:r w:rsidRPr="0032333A">
        <w:rPr>
          <w:rFonts w:ascii="Traditional Arabic" w:hAnsi="Traditional Arabic" w:cs="Traditional Arabic"/>
          <w:sz w:val="30"/>
          <w:szCs w:val="30"/>
        </w:rPr>
        <w:t>.</w:t>
      </w:r>
    </w:p>
    <w:p w14:paraId="0D73ED4E" w14:textId="4F60EF60" w:rsidR="007E1C66" w:rsidRDefault="007E1C66" w:rsidP="007E1C66">
      <w:pPr>
        <w:pStyle w:val="Footer"/>
        <w:tabs>
          <w:tab w:val="left" w:pos="720"/>
          <w:tab w:val="left" w:pos="900"/>
          <w:tab w:val="left" w:pos="1134"/>
          <w:tab w:val="left" w:pos="1701"/>
        </w:tabs>
        <w:bidi/>
        <w:spacing w:after="240"/>
        <w:ind w:left="1134" w:right="1080"/>
        <w:jc w:val="both"/>
        <w:rPr>
          <w:rFonts w:ascii="Traditional Arabic" w:hAnsi="Traditional Arabic" w:cs="Traditional Arabic"/>
          <w:sz w:val="30"/>
          <w:szCs w:val="30"/>
          <w:rtl/>
        </w:rPr>
      </w:pPr>
      <w:r>
        <w:rPr>
          <w:rFonts w:ascii="Traditional Arabic" w:hAnsi="Traditional Arabic" w:cs="Traditional Arabic"/>
          <w:noProof/>
          <w:sz w:val="30"/>
          <w:szCs w:val="30"/>
          <w:lang w:eastAsia="en-GB"/>
        </w:rPr>
        <w:drawing>
          <wp:inline distT="0" distB="0" distL="0" distR="0" wp14:anchorId="54CC17A8" wp14:editId="7400A420">
            <wp:extent cx="4679651" cy="6630137"/>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83985" cy="6636278"/>
                    </a:xfrm>
                    <a:prstGeom prst="rect">
                      <a:avLst/>
                    </a:prstGeom>
                    <a:noFill/>
                  </pic:spPr>
                </pic:pic>
              </a:graphicData>
            </a:graphic>
          </wp:inline>
        </w:drawing>
      </w:r>
    </w:p>
    <w:p w14:paraId="6BCB17BD" w14:textId="77777777" w:rsidR="0032333A" w:rsidRPr="0032333A" w:rsidRDefault="0032333A" w:rsidP="000C6E35">
      <w:pPr>
        <w:pStyle w:val="ListParagraph"/>
        <w:bidi/>
        <w:spacing w:after="120" w:line="240" w:lineRule="atLeast"/>
        <w:ind w:right="827" w:firstLine="414"/>
        <w:jc w:val="both"/>
        <w:rPr>
          <w:rFonts w:ascii="Traditional Arabic" w:hAnsi="Traditional Arabic" w:cs="Traditional Arabic"/>
          <w:sz w:val="30"/>
          <w:szCs w:val="30"/>
          <w:rtl/>
        </w:rPr>
      </w:pPr>
      <w:r w:rsidRPr="0032333A">
        <w:rPr>
          <w:rFonts w:ascii="Traditional Arabic" w:hAnsi="Traditional Arabic" w:cs="Traditional Arabic"/>
          <w:b/>
          <w:bCs/>
          <w:sz w:val="30"/>
          <w:szCs w:val="30"/>
          <w:rtl/>
        </w:rPr>
        <w:t>ب) الاحتجاز التعسفي والاختفاء القسري</w:t>
      </w:r>
    </w:p>
    <w:p w14:paraId="695AA3BF" w14:textId="378FBAC5" w:rsidR="0032333A" w:rsidRPr="0032333A" w:rsidRDefault="0032333A" w:rsidP="007E1C6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الحالات التي حقق فيها الفريق، تبيّن أن سلطات الأمر الواقع لم تبلّغ الضحايا بطبيعة احتجازهم والأسباب وراء ذلك، باستثناء أولئك الذين وجهت إليهم التّهم (انظر أدناه حالات الصحافيين العشرة، و36 محتجزاً، وأفراد ينتمون الى العقيده البهائي</w:t>
      </w:r>
      <w:r w:rsidR="007E1C66">
        <w:rPr>
          <w:rFonts w:ascii="Traditional Arabic" w:hAnsi="Traditional Arabic" w:cs="Traditional Arabic" w:hint="cs"/>
          <w:sz w:val="30"/>
          <w:szCs w:val="30"/>
          <w:rtl/>
        </w:rPr>
        <w:t>ة</w:t>
      </w:r>
      <w:r w:rsidRPr="0032333A">
        <w:rPr>
          <w:rFonts w:ascii="Traditional Arabic" w:hAnsi="Traditional Arabic" w:cs="Traditional Arabic"/>
          <w:sz w:val="30"/>
          <w:szCs w:val="30"/>
          <w:rtl/>
        </w:rPr>
        <w:t xml:space="preserve">). تمّ اعتقال الضحايا بدون مذكرات توقيف. كما أُفيد عن </w:t>
      </w:r>
      <w:r w:rsidRPr="0032333A">
        <w:rPr>
          <w:rFonts w:ascii="Traditional Arabic" w:hAnsi="Traditional Arabic" w:cs="Traditional Arabic"/>
          <w:sz w:val="30"/>
          <w:szCs w:val="30"/>
          <w:rtl/>
        </w:rPr>
        <w:lastRenderedPageBreak/>
        <w:t>استخدام العنف الجسدي أثناء الاعتقال. وفي عيّنة الحالات التي حقق فيها فريق الخبراء، والتي يعتبر أنها ترمز الى وضع أوسع نطاقاً، كان انعدام الرقابة القضائية مستشرياً. غالباً ما بقي الأشخاص محتجزين لسنوات بدون أن يمثلوا أمام المدّعي العام أو يحضروا جلسة استماع أمام سلطة قضائية، وبدون الوصول إلى أي شكل من أشكال المساعدة القانونية. ولم يتم إبلاغ بعض المحتجزين بالتهم الموجهة إليهم إلا عندما أُحيلوا في نهاية المطاف إلى المدعي العام، وهو ما حدث في حالات محدودة للغاية. في إحدى الحالات، قرأت السلطات في مركز الاحتجاز قائمة طويلة من "التهم" علناً لمدة 45 دقيقة عندما كانت على وشك إطلاق سراح المحتجز بعد أن أمضى قرابة عام في الاحتجاز التعسفي</w:t>
      </w:r>
      <w:r w:rsidRPr="0032333A">
        <w:rPr>
          <w:rStyle w:val="FootnoteReference"/>
          <w:rFonts w:ascii="Traditional Arabic" w:hAnsi="Traditional Arabic" w:cs="Traditional Arabic"/>
          <w:sz w:val="30"/>
          <w:szCs w:val="30"/>
        </w:rPr>
        <w:footnoteReference w:id="581"/>
      </w:r>
      <w:r w:rsidRPr="0032333A">
        <w:rPr>
          <w:rFonts w:ascii="Traditional Arabic" w:hAnsi="Traditional Arabic" w:cs="Traditional Arabic"/>
          <w:sz w:val="30"/>
          <w:szCs w:val="30"/>
        </w:rPr>
        <w:t>.</w:t>
      </w:r>
    </w:p>
    <w:p w14:paraId="62246127" w14:textId="28D9BDE3" w:rsidR="0032333A" w:rsidRPr="0032333A" w:rsidRDefault="0032333A" w:rsidP="00E05D05">
      <w:pPr>
        <w:pStyle w:val="CommentText"/>
        <w:bidi/>
        <w:spacing w:after="0"/>
        <w:ind w:left="1449" w:right="827"/>
        <w:jc w:val="both"/>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كنت أصرخ وأقول إن هذه كذبة وكان أبي يبكي ويطلب مني أن أصمت – إذ خشي أن يعيدوني الى السجن. </w:t>
      </w:r>
      <w:r w:rsidR="00E05D05">
        <w:rPr>
          <w:rFonts w:ascii="Traditional Arabic" w:hAnsi="Traditional Arabic" w:cs="Traditional Arabic" w:hint="cs"/>
          <w:sz w:val="30"/>
          <w:szCs w:val="30"/>
          <w:rtl/>
        </w:rPr>
        <w:t>ويقول</w:t>
      </w:r>
      <w:r w:rsidRPr="0032333A">
        <w:rPr>
          <w:rFonts w:ascii="Traditional Arabic" w:hAnsi="Traditional Arabic" w:cs="Traditional Arabic"/>
          <w:sz w:val="30"/>
          <w:szCs w:val="30"/>
          <w:rtl/>
        </w:rPr>
        <w:t xml:space="preserve"> "هذا صحيح، كل هذا صحيح</w:t>
      </w:r>
      <w:r w:rsidRPr="0032333A">
        <w:rPr>
          <w:rFonts w:ascii="Traditional Arabic" w:hAnsi="Traditional Arabic" w:cs="Traditional Arabic"/>
          <w:sz w:val="30"/>
          <w:szCs w:val="30"/>
        </w:rPr>
        <w:t>".</w:t>
      </w:r>
    </w:p>
    <w:p w14:paraId="28AFFD8B" w14:textId="77777777" w:rsidR="0032333A" w:rsidRPr="0032333A" w:rsidRDefault="0032333A" w:rsidP="000C6E35">
      <w:pPr>
        <w:pStyle w:val="CommentText"/>
        <w:bidi/>
        <w:spacing w:after="0"/>
        <w:ind w:left="2835"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محتجز سابق يروي إطلاق سراحه من خلال "نظام ال</w:t>
      </w:r>
      <w:r w:rsidRPr="0032333A">
        <w:rPr>
          <w:rFonts w:ascii="Traditional Arabic" w:hAnsi="Traditional Arabic" w:cs="Traditional Arabic"/>
          <w:b/>
          <w:bCs/>
          <w:sz w:val="30"/>
          <w:szCs w:val="30"/>
          <w:rtl/>
          <w:lang w:bidi="ar-LB"/>
        </w:rPr>
        <w:t>ضمانات</w:t>
      </w:r>
      <w:r w:rsidRPr="0032333A">
        <w:rPr>
          <w:rFonts w:ascii="Traditional Arabic" w:hAnsi="Traditional Arabic" w:cs="Traditional Arabic"/>
          <w:b/>
          <w:bCs/>
          <w:sz w:val="30"/>
          <w:szCs w:val="30"/>
          <w:rtl/>
        </w:rPr>
        <w:t>".</w:t>
      </w:r>
    </w:p>
    <w:p w14:paraId="2AD13DFB" w14:textId="6C600184"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لجأت سلطات الأمر الواقع بانتظام إلى ممارسةٍ خارجة عن إطار النظام القضائي للإفراج عن المحتجزين. يتمثّل أحد الممارسات في الحصول على "ضمانة" موقعة من جانب فرد - الضامن - يكون مسؤولاً حينئذٍ عن إعادة المحتجز إلى سلطات الأمر الواقع في حال </w:t>
      </w:r>
      <w:r w:rsidRPr="0032333A">
        <w:rPr>
          <w:rFonts w:ascii="Traditional Arabic" w:hAnsi="Traditional Arabic" w:cs="Traditional Arabic"/>
          <w:sz w:val="30"/>
          <w:szCs w:val="30"/>
          <w:rtl/>
          <w:lang w:bidi="ar-LB"/>
        </w:rPr>
        <w:t xml:space="preserve">طلبت </w:t>
      </w:r>
      <w:r w:rsidRPr="0032333A">
        <w:rPr>
          <w:rFonts w:ascii="Traditional Arabic" w:hAnsi="Traditional Arabic" w:cs="Traditional Arabic"/>
          <w:sz w:val="30"/>
          <w:szCs w:val="30"/>
          <w:rtl/>
        </w:rPr>
        <w:t>السلطات ذلك في المستقبل. وبشكل منفصل، انتهى المطاف بالإفراج عن بعض المحتجزين في إطار تبادل للأسرى نظمه شيوخ القبائل. في إحدى الحالات التي وثقها فريق الخبراء، تمّ تسليم "المحتجز" إلى مجموعة من الأشخاص بينهم أقارب وشخصيات قبلية واجتماعية</w:t>
      </w:r>
      <w:r w:rsidRPr="0032333A">
        <w:rPr>
          <w:rFonts w:ascii="Traditional Arabic" w:hAnsi="Traditional Arabic" w:cs="Traditional Arabic"/>
          <w:sz w:val="30"/>
          <w:szCs w:val="30"/>
        </w:rPr>
        <w:t>.</w:t>
      </w:r>
    </w:p>
    <w:p w14:paraId="5F6799D6" w14:textId="5ACDFFD5" w:rsidR="0032333A" w:rsidRP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تلقى الفريق تقارير تفيد باحتجاز حوالي مائة امرأة ورجل لارتكابهم جريمة المشاركة في شبكات دعارة. وورد أن هذه الأنواع من الاتهامات قد ازداد إلى حد كبير منذ أن سيطرت سلطات الأمر الواقع على صنعاء.</w:t>
      </w:r>
      <w:r w:rsidR="00950566">
        <w:rPr>
          <w:rStyle w:val="FootnoteReference"/>
          <w:rFonts w:cs="Traditional Arabic"/>
          <w:szCs w:val="30"/>
          <w:rtl/>
        </w:rPr>
        <w:footnoteReference w:id="582"/>
      </w:r>
      <w:r w:rsidRPr="0032333A">
        <w:rPr>
          <w:rFonts w:ascii="Traditional Arabic" w:hAnsi="Traditional Arabic" w:cs="Traditional Arabic"/>
          <w:sz w:val="30"/>
          <w:szCs w:val="30"/>
          <w:rtl/>
        </w:rPr>
        <w:t xml:space="preserve"> وفيما شنت سلطات الأمر الواقع حملة ضد الدعارة، أشارت المعلومات الواردة إلى أن الاتهامات بارتكاب أفعال "الفجور" قد استخدمت لتغطية بعض القضايا ذات الدوافع السياسية. فوصمة العار الاجتماعية تجعل النساء المتهمات بمثل هذه الجرائم عرضة للضغوط الاجتماعية والعائلية وللإقصاء. وتلقى الفريق تقارير تزعم أن المحامين من رجال ونساء ترددوا في التعامل مع هذه الحالات وأن أفراد الأسرة لم يشأوا طلب المساعدة القانونية لمصلحة أقاربهم. وتساور الفريق مخاوف جدية من أن الهدف من استخدام تهم الدعارة بهذه الطريقة من جانب سلطات الأمر الواقع هو استغلال الضعف الناتج عن وصمة العار</w:t>
      </w:r>
      <w:r w:rsidR="00B61ECD">
        <w:rPr>
          <w:rFonts w:ascii="Traditional Arabic" w:hAnsi="Traditional Arabic" w:cs="Traditional Arabic" w:hint="cs"/>
          <w:sz w:val="30"/>
          <w:szCs w:val="30"/>
          <w:rtl/>
        </w:rPr>
        <w:t xml:space="preserve"> </w:t>
      </w:r>
      <w:r w:rsidRPr="0032333A">
        <w:rPr>
          <w:rFonts w:ascii="Traditional Arabic" w:hAnsi="Traditional Arabic" w:cs="Traditional Arabic"/>
          <w:sz w:val="30"/>
          <w:szCs w:val="30"/>
          <w:rtl/>
        </w:rPr>
        <w:t>المرتبطة بطبيعة التهم</w:t>
      </w:r>
      <w:r w:rsidRPr="0032333A">
        <w:rPr>
          <w:rFonts w:ascii="Traditional Arabic" w:hAnsi="Traditional Arabic" w:cs="Traditional Arabic"/>
          <w:sz w:val="30"/>
          <w:szCs w:val="30"/>
        </w:rPr>
        <w:t>.</w:t>
      </w:r>
    </w:p>
    <w:p w14:paraId="24859FE7" w14:textId="69882E11" w:rsidR="0032333A" w:rsidRDefault="0032333A" w:rsidP="0032333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وتثير القضايا التي حقق فيها فريق الخبراء أيضاً مخاوف بشأن استقلال</w:t>
      </w:r>
      <w:r w:rsidRPr="0032333A">
        <w:rPr>
          <w:rFonts w:ascii="Traditional Arabic" w:hAnsi="Traditional Arabic" w:cs="Traditional Arabic"/>
          <w:sz w:val="30"/>
          <w:szCs w:val="30"/>
          <w:rtl/>
          <w:lang w:bidi="ar-LB"/>
        </w:rPr>
        <w:t>ية</w:t>
      </w:r>
      <w:r w:rsidRPr="0032333A">
        <w:rPr>
          <w:rFonts w:ascii="Traditional Arabic" w:hAnsi="Traditional Arabic" w:cs="Traditional Arabic"/>
          <w:sz w:val="30"/>
          <w:szCs w:val="30"/>
          <w:rtl/>
        </w:rPr>
        <w:t xml:space="preserve"> القضاء في المناطق التي تسيطر عليها سلطات الأمر الواقع. في إحدى الحالات، أفاد ضحايا ومصادر أخرى لفريق الخبراء بأن النيابة العامة اعتقلت أشخاصاً </w:t>
      </w:r>
      <w:r w:rsidRPr="0032333A">
        <w:rPr>
          <w:rFonts w:ascii="Traditional Arabic" w:hAnsi="Traditional Arabic" w:cs="Traditional Arabic"/>
          <w:sz w:val="30"/>
          <w:szCs w:val="30"/>
          <w:rtl/>
        </w:rPr>
        <w:lastRenderedPageBreak/>
        <w:t>بدون أمر بالتوقيف أو أسباب قانونية، أثناء حضورهم جلسة استماع في قضية أخرى</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footnoteReference w:id="583"/>
      </w:r>
      <w:r w:rsidRPr="0032333A">
        <w:rPr>
          <w:rFonts w:ascii="Traditional Arabic" w:hAnsi="Traditional Arabic" w:cs="Traditional Arabic"/>
          <w:sz w:val="30"/>
          <w:szCs w:val="30"/>
          <w:rtl/>
        </w:rPr>
        <w:t xml:space="preserve"> في ثلاث حالات على الأقل، تمّ انتهاك الحق في ضمانات الإجراءات القانونية والحق في محاكمة عادلة بشكل صارخ</w:t>
      </w:r>
      <w:r w:rsidRPr="0032333A">
        <w:rPr>
          <w:rStyle w:val="FootnoteReference"/>
          <w:rFonts w:ascii="Traditional Arabic" w:hAnsi="Traditional Arabic" w:cs="Traditional Arabic"/>
          <w:sz w:val="30"/>
          <w:szCs w:val="30"/>
        </w:rPr>
        <w:footnoteReference w:id="584"/>
      </w:r>
      <w:r w:rsidRPr="0032333A">
        <w:rPr>
          <w:rFonts w:ascii="Traditional Arabic" w:hAnsi="Traditional Arabic" w:cs="Traditional Arabic"/>
          <w:sz w:val="30"/>
          <w:szCs w:val="30"/>
        </w:rPr>
        <w:t>.</w:t>
      </w:r>
    </w:p>
    <w:p w14:paraId="79B86928" w14:textId="77777777" w:rsidR="0032333A" w:rsidRPr="0032333A" w:rsidRDefault="0032333A" w:rsidP="0032333A">
      <w:pPr>
        <w:pStyle w:val="ListParagraph"/>
        <w:shd w:val="clear" w:color="auto" w:fill="FFFFFF" w:themeFill="background1"/>
        <w:bidi/>
        <w:spacing w:after="0" w:line="240" w:lineRule="auto"/>
        <w:ind w:left="962" w:right="827"/>
        <w:jc w:val="both"/>
        <w:rPr>
          <w:rFonts w:ascii="Traditional Arabic" w:hAnsi="Traditional Arabic" w:cs="Traditional Arabic"/>
          <w:i/>
          <w:iCs/>
          <w:sz w:val="30"/>
          <w:szCs w:val="30"/>
          <w:rtl/>
        </w:rPr>
      </w:pPr>
      <w:r w:rsidRPr="0032333A">
        <w:rPr>
          <w:rFonts w:ascii="Traditional Arabic" w:hAnsi="Traditional Arabic" w:cs="Traditional Arabic"/>
          <w:i/>
          <w:iCs/>
          <w:sz w:val="30"/>
          <w:szCs w:val="30"/>
          <w:rtl/>
        </w:rPr>
        <w:t>حالات الاختفاء القسري</w:t>
      </w:r>
    </w:p>
    <w:p w14:paraId="32A71B45" w14:textId="77777777" w:rsidR="0032333A" w:rsidRPr="0032333A" w:rsidRDefault="0032333A" w:rsidP="0032333A">
      <w:pPr>
        <w:pStyle w:val="ListParagraph"/>
        <w:bidi/>
        <w:spacing w:after="120" w:line="240" w:lineRule="atLeast"/>
        <w:ind w:left="1412" w:right="827"/>
        <w:jc w:val="both"/>
        <w:rPr>
          <w:rFonts w:ascii="Traditional Arabic" w:hAnsi="Traditional Arabic" w:cs="Traditional Arabic"/>
          <w:sz w:val="30"/>
          <w:szCs w:val="30"/>
        </w:rPr>
      </w:pPr>
      <w:r w:rsidRPr="0032333A">
        <w:rPr>
          <w:rFonts w:ascii="Traditional Arabic" w:hAnsi="Traditional Arabic" w:cs="Traditional Arabic"/>
          <w:i/>
          <w:iCs/>
          <w:sz w:val="30"/>
          <w:szCs w:val="30"/>
          <w:rtl/>
        </w:rPr>
        <w:t>"بعد ثلاثة أشهر [من الاختفاء القسري في الأمن السياسي في العام 2015] في الحبس الانفرادي، سُمح لي بالاتصال بزوجتي وأمي لمدة دقيقة وثلاثين ثانية. أستطعت فقط أن أقول "مرحبًا، هذا أنا"، لكن لم يُسمح لي أن أذكر مكان احتجازي</w:t>
      </w:r>
      <w:r w:rsidRPr="0032333A">
        <w:rPr>
          <w:rStyle w:val="FootnoteReference"/>
          <w:rFonts w:ascii="Traditional Arabic" w:hAnsi="Traditional Arabic" w:cs="Traditional Arabic"/>
          <w:sz w:val="30"/>
          <w:szCs w:val="30"/>
        </w:rPr>
        <w:footnoteReference w:id="585"/>
      </w:r>
      <w:r w:rsidRPr="0032333A">
        <w:rPr>
          <w:rFonts w:ascii="Traditional Arabic" w:hAnsi="Traditional Arabic" w:cs="Traditional Arabic"/>
          <w:sz w:val="30"/>
          <w:szCs w:val="30"/>
        </w:rPr>
        <w:t>"</w:t>
      </w:r>
    </w:p>
    <w:p w14:paraId="4FCDE3BB" w14:textId="77777777" w:rsidR="0032333A" w:rsidRPr="0032333A" w:rsidRDefault="0032333A" w:rsidP="0032333A">
      <w:pPr>
        <w:pStyle w:val="ListParagraph"/>
        <w:shd w:val="clear" w:color="auto" w:fill="FFFFFF" w:themeFill="background1"/>
        <w:bidi/>
        <w:spacing w:after="0" w:line="240" w:lineRule="auto"/>
        <w:ind w:left="3230" w:right="827" w:firstLine="172"/>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اعتقال ناشط شاب لانتقاده الحوثيين على صفحته على فيسبوك</w:t>
      </w:r>
    </w:p>
    <w:p w14:paraId="132D3B25" w14:textId="77239D69" w:rsidR="0032333A" w:rsidRPr="0032333A"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إن ممارسة الاختفاء القسري واسعة الانتشار. وقد وثّق الفريق 45 حالة من الاختفاء القسري بحق رجال وفتاة واحدة، وفي بعض الحالات أكثر من مرة، أثناء احتجازهم. كان الاختفاء القسري منهجيًا تقريبًا في </w:t>
      </w:r>
      <w:r w:rsidR="00E05D05">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 xml:space="preserve">حالات </w:t>
      </w:r>
      <w:r w:rsidR="00E05D05">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 xml:space="preserve">موثقة </w:t>
      </w:r>
      <w:r w:rsidR="00E05D05">
        <w:rPr>
          <w:rFonts w:ascii="Traditional Arabic" w:hAnsi="Traditional Arabic" w:cs="Traditional Arabic" w:hint="cs"/>
          <w:sz w:val="30"/>
          <w:szCs w:val="30"/>
          <w:rtl/>
        </w:rPr>
        <w:t>ل</w:t>
      </w:r>
      <w:r w:rsidRPr="0032333A">
        <w:rPr>
          <w:rFonts w:ascii="Traditional Arabic" w:hAnsi="Traditional Arabic" w:cs="Traditional Arabic"/>
          <w:sz w:val="30"/>
          <w:szCs w:val="30"/>
          <w:rtl/>
        </w:rPr>
        <w:t>احتجاز المعارضة السياسية. في عامي 2015 و2016، استخدمت سلطات الأمر الواقع عددًا لا يحصى من أماكن الاحتجاز السرية في صنعاء، مما جعل من المستحيل على أقارب المحتجزين تحديد مكان وجودهم. وشملت أماكن الاحتجاز غير الرسمية المنازل الخاصة والشقق والمساجد وال</w:t>
      </w:r>
      <w:r w:rsidRPr="0032333A">
        <w:rPr>
          <w:rFonts w:ascii="Traditional Arabic" w:hAnsi="Traditional Arabic" w:cs="Traditional Arabic"/>
          <w:sz w:val="30"/>
          <w:szCs w:val="30"/>
          <w:rtl/>
          <w:lang w:bidi="ar-LB"/>
        </w:rPr>
        <w:t>طوابق السفلية تحت الأرض،</w:t>
      </w:r>
      <w:r w:rsidRPr="0032333A">
        <w:rPr>
          <w:rFonts w:ascii="Traditional Arabic" w:hAnsi="Traditional Arabic" w:cs="Traditional Arabic"/>
          <w:sz w:val="30"/>
          <w:szCs w:val="30"/>
          <w:rtl/>
        </w:rPr>
        <w:t xml:space="preserve"> والمقر الرئاسي</w:t>
      </w:r>
      <w:r w:rsidRPr="0032333A">
        <w:rPr>
          <w:rStyle w:val="FootnoteReference"/>
          <w:rFonts w:ascii="Traditional Arabic" w:hAnsi="Traditional Arabic" w:cs="Traditional Arabic"/>
          <w:sz w:val="30"/>
          <w:szCs w:val="30"/>
        </w:rPr>
        <w:footnoteReference w:id="586"/>
      </w:r>
      <w:r w:rsidRPr="0032333A">
        <w:rPr>
          <w:rFonts w:ascii="Traditional Arabic" w:hAnsi="Traditional Arabic" w:cs="Traditional Arabic"/>
          <w:sz w:val="30"/>
          <w:szCs w:val="30"/>
          <w:rtl/>
        </w:rPr>
        <w:t>. وفي الآونة الأخيرة، وثق فريق الخبراء حالات احتجاز مختلفة في أماكن سرية وأكّد استمرار استخدام سلطات الأمر الواقع للاحتجاز السري في صنعاء بحق الصحافيين حتى عام 2018</w:t>
      </w:r>
      <w:r w:rsidRPr="0032333A">
        <w:rPr>
          <w:rFonts w:ascii="Traditional Arabic" w:hAnsi="Traditional Arabic" w:cs="Traditional Arabic"/>
          <w:sz w:val="30"/>
          <w:szCs w:val="30"/>
        </w:rPr>
        <w:t>.</w:t>
      </w:r>
    </w:p>
    <w:p w14:paraId="087DF9F8" w14:textId="2AD3E087" w:rsidR="0032333A" w:rsidRPr="009300E4"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w w:val="90"/>
          <w:sz w:val="30"/>
          <w:szCs w:val="30"/>
        </w:rPr>
      </w:pPr>
      <w:r w:rsidRPr="009300E4">
        <w:rPr>
          <w:rFonts w:ascii="Traditional Arabic" w:hAnsi="Traditional Arabic" w:cs="Traditional Arabic"/>
          <w:w w:val="90"/>
          <w:sz w:val="30"/>
          <w:szCs w:val="30"/>
          <w:rtl/>
        </w:rPr>
        <w:t>تراكمت حالات الاختفاء القسري في صنعاء من خلال نقل المحتجزين بشكل منتظم بين مختلف مراكز الاحتجاز، بما في ذلك أماكن الاحتجاز السرية والرسمية. في حالة واحدة وثقها فريق الخبراء، نُقلت الضحية بسبب الأعمال العدائية، وبالتحديد بسبب الضربات الجوية التي نفّذها التحالف</w:t>
      </w:r>
      <w:r w:rsidRPr="009300E4">
        <w:rPr>
          <w:rStyle w:val="FootnoteReference"/>
          <w:rFonts w:ascii="Traditional Arabic" w:hAnsi="Traditional Arabic" w:cs="Traditional Arabic"/>
          <w:w w:val="90"/>
          <w:sz w:val="30"/>
          <w:szCs w:val="30"/>
        </w:rPr>
        <w:footnoteReference w:id="587"/>
      </w:r>
      <w:r w:rsidRPr="009300E4">
        <w:rPr>
          <w:rFonts w:ascii="Traditional Arabic" w:hAnsi="Traditional Arabic" w:cs="Traditional Arabic"/>
          <w:w w:val="90"/>
          <w:sz w:val="30"/>
          <w:szCs w:val="30"/>
          <w:rtl/>
        </w:rPr>
        <w:t xml:space="preserve"> ضدّ مركز الاحتجاز، لكن في معظم الحالات لم يفهم الضحايا الأسباب الكامنة وراء نقلهم. زادت هذه الممارسة من الصعوبات التي تواجهها الأسر في تحديد مكان وجود أفرادها. وقد وثّق فريق الخبراء العديد من الحالات التي نُقل فيها المحتجزون إلى صنعاء من مراكز الاحتجاز في المحافظات الأخرى، مثل تعز والحديدة وحجة، إما كجزء من تبادل الأسرى، ب</w:t>
      </w:r>
      <w:r w:rsidRPr="009300E4">
        <w:rPr>
          <w:rFonts w:ascii="Traditional Arabic" w:hAnsi="Traditional Arabic" w:cs="Traditional Arabic"/>
          <w:w w:val="90"/>
          <w:sz w:val="30"/>
          <w:szCs w:val="30"/>
          <w:rtl/>
          <w:lang w:bidi="ar-LB"/>
        </w:rPr>
        <w:t xml:space="preserve">ينهم </w:t>
      </w:r>
      <w:r w:rsidRPr="009300E4">
        <w:rPr>
          <w:rFonts w:ascii="Traditional Arabic" w:hAnsi="Traditional Arabic" w:cs="Traditional Arabic"/>
          <w:w w:val="90"/>
          <w:sz w:val="30"/>
          <w:szCs w:val="30"/>
          <w:rtl/>
        </w:rPr>
        <w:t>المحتجزون القبليون، أو لأسباب غير واضحة</w:t>
      </w:r>
      <w:r w:rsidRPr="009300E4">
        <w:rPr>
          <w:rFonts w:ascii="Traditional Arabic" w:hAnsi="Traditional Arabic" w:cs="Traditional Arabic"/>
          <w:w w:val="90"/>
          <w:sz w:val="30"/>
          <w:szCs w:val="30"/>
        </w:rPr>
        <w:t>.</w:t>
      </w:r>
    </w:p>
    <w:p w14:paraId="54C8C859" w14:textId="77777777" w:rsidR="0032333A" w:rsidRPr="0032333A" w:rsidRDefault="0032333A" w:rsidP="0032333A">
      <w:pPr>
        <w:pStyle w:val="ListParagraph"/>
        <w:bidi/>
        <w:spacing w:after="0" w:line="240" w:lineRule="auto"/>
        <w:ind w:left="1502" w:right="827" w:hanging="90"/>
        <w:rPr>
          <w:rFonts w:ascii="Traditional Arabic" w:hAnsi="Traditional Arabic" w:cs="Traditional Arabic"/>
          <w:i/>
          <w:iCs/>
          <w:sz w:val="30"/>
          <w:szCs w:val="30"/>
        </w:rPr>
      </w:pPr>
      <w:r w:rsidRPr="0032333A">
        <w:rPr>
          <w:rFonts w:ascii="Traditional Arabic" w:hAnsi="Traditional Arabic" w:cs="Traditional Arabic"/>
          <w:i/>
          <w:iCs/>
          <w:sz w:val="30"/>
          <w:szCs w:val="30"/>
        </w:rPr>
        <w:t>"</w:t>
      </w:r>
      <w:r w:rsidRPr="0032333A">
        <w:rPr>
          <w:rFonts w:ascii="Traditional Arabic" w:hAnsi="Traditional Arabic" w:cs="Traditional Arabic"/>
          <w:i/>
          <w:iCs/>
          <w:sz w:val="30"/>
          <w:szCs w:val="30"/>
          <w:rtl/>
        </w:rPr>
        <w:t>لقد تعرضت للمضايقة، وتعرضت للضرب والاحتجاز لساعات أو أيام، لمنعي من البحث عن أخي المختطف. لم أجده آنذاك. دفعت أكثر من مليون ريال</w:t>
      </w:r>
      <w:r w:rsidRPr="0032333A">
        <w:rPr>
          <w:rFonts w:ascii="Traditional Arabic" w:hAnsi="Traditional Arabic" w:cs="Traditional Arabic"/>
          <w:i/>
          <w:iCs/>
          <w:sz w:val="30"/>
          <w:szCs w:val="30"/>
        </w:rPr>
        <w:t>. "</w:t>
      </w:r>
    </w:p>
    <w:p w14:paraId="35BAF159" w14:textId="77777777" w:rsidR="0032333A" w:rsidRPr="0032333A" w:rsidRDefault="0032333A" w:rsidP="0032333A">
      <w:pPr>
        <w:pStyle w:val="ListParagraph"/>
        <w:bidi/>
        <w:spacing w:after="0" w:line="240" w:lineRule="auto"/>
        <w:ind w:left="962" w:right="827"/>
        <w:jc w:val="right"/>
        <w:rPr>
          <w:rFonts w:ascii="Traditional Arabic" w:hAnsi="Traditional Arabic" w:cs="Traditional Arabic"/>
          <w:sz w:val="30"/>
          <w:szCs w:val="30"/>
        </w:rPr>
      </w:pPr>
      <w:r w:rsidRPr="0032333A">
        <w:rPr>
          <w:rFonts w:ascii="Traditional Arabic" w:hAnsi="Traditional Arabic" w:cs="Traditional Arabic"/>
          <w:b/>
          <w:bCs/>
          <w:sz w:val="30"/>
          <w:szCs w:val="30"/>
          <w:rtl/>
        </w:rPr>
        <w:t>رجل يبحث عن شقيقه المجهول المصير</w:t>
      </w:r>
      <w:r w:rsidRPr="0032333A">
        <w:rPr>
          <w:rStyle w:val="FootnoteReference"/>
          <w:rFonts w:ascii="Traditional Arabic" w:hAnsi="Traditional Arabic" w:cs="Traditional Arabic"/>
          <w:sz w:val="30"/>
          <w:szCs w:val="30"/>
        </w:rPr>
        <w:footnoteReference w:id="588"/>
      </w:r>
    </w:p>
    <w:p w14:paraId="585FBEAF"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كذلك،</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وثّق فريق الخبراء استخدام سلطات الأمر الواقع للاختفاء القسري كعقوبة. بعد أن ورد أنّ أحد المحتجزين قد شجب في جلسة علنية للمحكمة في 2 أبريل / نيسان 2019 سوء المعاملة التي تعرّض لها هو وزملاؤه المحتجزون في مركز الاحتجاز التابع للأمن السياسي، اختفى قسراً لأكثر من شهر، وتغيّب بعد ذلك عن جلسة المحكمة التالية</w:t>
      </w:r>
      <w:r w:rsidRPr="0032333A">
        <w:rPr>
          <w:rStyle w:val="FootnoteReference"/>
          <w:rFonts w:ascii="Traditional Arabic" w:hAnsi="Traditional Arabic" w:cs="Traditional Arabic"/>
          <w:sz w:val="30"/>
          <w:szCs w:val="30"/>
        </w:rPr>
        <w:footnoteReference w:id="589"/>
      </w:r>
      <w:r w:rsidRPr="0032333A">
        <w:rPr>
          <w:rFonts w:ascii="Traditional Arabic" w:hAnsi="Traditional Arabic" w:cs="Traditional Arabic"/>
          <w:sz w:val="30"/>
          <w:szCs w:val="30"/>
          <w:rtl/>
        </w:rPr>
        <w:t>. أفاد بعض أقارب المحتجزين المختفين أنهم تلقوا تهديدات وتعرّضوا للمضايقات أثناء بحثهم عن مكان وجود أحبائهم</w:t>
      </w:r>
      <w:r w:rsidRPr="0032333A">
        <w:rPr>
          <w:rStyle w:val="FootnoteReference"/>
          <w:rFonts w:ascii="Traditional Arabic" w:hAnsi="Traditional Arabic" w:cs="Traditional Arabic"/>
          <w:sz w:val="30"/>
          <w:szCs w:val="30"/>
        </w:rPr>
        <w:footnoteReference w:id="590"/>
      </w:r>
      <w:r w:rsidRPr="0032333A">
        <w:rPr>
          <w:rFonts w:ascii="Traditional Arabic" w:hAnsi="Traditional Arabic" w:cs="Traditional Arabic"/>
          <w:sz w:val="30"/>
          <w:szCs w:val="30"/>
          <w:rtl/>
        </w:rPr>
        <w:t>. في حالتين، أُبلغ فريق الخبراء أنه تم دفع مبالغ كبيرة من المال للوسطاء والأشخاص الذين ادعوا أنهم يستطيعون المساعدة في هذه العملية</w:t>
      </w:r>
      <w:r w:rsidRPr="0032333A">
        <w:rPr>
          <w:rStyle w:val="FootnoteReference"/>
          <w:rFonts w:ascii="Traditional Arabic" w:hAnsi="Traditional Arabic" w:cs="Traditional Arabic"/>
          <w:sz w:val="30"/>
          <w:szCs w:val="30"/>
        </w:rPr>
        <w:footnoteReference w:id="591"/>
      </w:r>
      <w:r w:rsidRPr="0032333A">
        <w:rPr>
          <w:rFonts w:ascii="Traditional Arabic" w:hAnsi="Traditional Arabic" w:cs="Traditional Arabic"/>
          <w:sz w:val="30"/>
          <w:szCs w:val="30"/>
        </w:rPr>
        <w:t>.</w:t>
      </w:r>
    </w:p>
    <w:p w14:paraId="19732A9B" w14:textId="7D36C75F"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تلقّى فريق الخبراء معلومات تفيد بأن رؤساء السجون ومراكز الاحتجاز لم يطيعوا القرارات والطلبات القضائية. في شباط/ فبراير 2019، أصدر المدعي العام قرارًا يطلب فيه من وزارة الداخلية الإفراج عن محمد محمد قحطان، وهو عضو قيادي في حزب الإصلاح تمّ اعتقاله في 4 نيسان/ أبريل 2015 وتعرض للاختفاء. لكن أُفيد بأنّ رئيس مركز الاحتجاز التابع للأمن السياسي لم يحترم أمر الادعاء حتى الآن</w:t>
      </w:r>
      <w:r w:rsidR="00950566">
        <w:rPr>
          <w:rStyle w:val="FootnoteReference"/>
          <w:rFonts w:cs="Traditional Arabic"/>
          <w:szCs w:val="30"/>
          <w:rtl/>
        </w:rPr>
        <w:footnoteReference w:id="592"/>
      </w:r>
      <w:r w:rsidRPr="0032333A">
        <w:rPr>
          <w:rFonts w:ascii="Traditional Arabic" w:hAnsi="Traditional Arabic" w:cs="Traditional Arabic"/>
          <w:sz w:val="30"/>
          <w:szCs w:val="30"/>
        </w:rPr>
        <w:t>.</w:t>
      </w:r>
    </w:p>
    <w:p w14:paraId="7FD2DD37" w14:textId="77777777" w:rsidR="0032333A" w:rsidRPr="0032333A" w:rsidRDefault="0032333A" w:rsidP="000C6E35">
      <w:pPr>
        <w:pStyle w:val="ListParagraph"/>
        <w:bidi/>
        <w:spacing w:before="240" w:after="120" w:line="240" w:lineRule="atLeast"/>
        <w:ind w:left="962" w:right="827" w:firstLine="172"/>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ج) القيود المفروضة على الحريات الأساسية، بما في ذلك الاحتجاز التعسفي</w:t>
      </w:r>
    </w:p>
    <w:p w14:paraId="05420D34" w14:textId="3D001071" w:rsidR="0032333A" w:rsidRPr="0032333A"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w:t>
      </w:r>
      <w:r w:rsidRPr="0032333A">
        <w:rPr>
          <w:rFonts w:ascii="Traditional Arabic" w:hAnsi="Traditional Arabic" w:cs="Traditional Arabic"/>
          <w:sz w:val="30"/>
          <w:szCs w:val="30"/>
          <w:rtl/>
          <w:lang w:bidi="ar-LB"/>
        </w:rPr>
        <w:t>ّ</w:t>
      </w:r>
      <w:r w:rsidRPr="0032333A">
        <w:rPr>
          <w:rFonts w:ascii="Traditional Arabic" w:hAnsi="Traditional Arabic" w:cs="Traditional Arabic"/>
          <w:sz w:val="30"/>
          <w:szCs w:val="30"/>
          <w:rtl/>
        </w:rPr>
        <w:t>ق فريق الخبراء في عيّنة من الحوادث الرمزية التي توضّح نمط الاعتقال والاحتجاز التعسفي والاختفاء القسري والتعذيب وسوء المعاملة بحق أشخاص اعترضوا أو أعلنوا معارضتهم لسيطرة سلطات الأمر الواقع على العاصمة، مما قوّض المساحة المدنية. وقد كشفت تحقيقات فريق الخبراء عن سلسلة من الجماعات والأفراد المستهدفين، بينهم صحافيون، وعاملون في مجال الإعلام، وشيوخ قبائل، وأقليات دينية، ومدافعون عن حقوق الإنسان مع التعريف الواسع للمصطلح، وعاملون في المنظمات غير الحكومية، ومحامون، وأشخاص ناشطون على وسائل التواصل الاجتماعي. وقد أثّرت القيود أيضًا على المواطنين العاديين الذين اعتُبروا تهديداً على أساس معتقداتهم، أو أنشطتهم الاجتماعية، أو مشاركتهم في الحياة المدنية والسياسية، مثل المعلمين والطلاب، من بين آخرين كثيرين. كما تعرضت النساء اللائي نظّمن وشاركن في التجمعات السلمية لمعاملة قاسية. واستُهدف قادة الأحزاب السياسية وأنصارهم بشكل رئيسي، لا سيما أتباع الإصلاح، حتى أولئك الذين ليسوا أعضاءً فاعلين في الحزب، فضلاً عن آخرين من حزب المؤتمر الشعبي العام، وتحديداً بعد انهيار التحالف بين الحوثيين وأنصار صالح (والمؤتمر الشعبي العام) في كانون الأول/ ديسمبر 2017.</w:t>
      </w:r>
      <w:r w:rsidR="00950566">
        <w:rPr>
          <w:rStyle w:val="FootnoteReference"/>
          <w:rFonts w:cs="Traditional Arabic"/>
          <w:szCs w:val="30"/>
          <w:rtl/>
        </w:rPr>
        <w:footnoteReference w:id="593"/>
      </w:r>
      <w:r w:rsidRPr="0032333A">
        <w:rPr>
          <w:rFonts w:ascii="Traditional Arabic" w:hAnsi="Traditional Arabic" w:cs="Traditional Arabic"/>
          <w:sz w:val="30"/>
          <w:szCs w:val="30"/>
          <w:rtl/>
        </w:rPr>
        <w:t xml:space="preserve"> ونظر الفريق في أنماط مختلفة حيث لجأت سلطات الأمر الواقع الى فرض القيود على الحريات الأساسية والى الاحتجاز التعسفي كوسيلة للقمع ولتهيئة بيئة "دولة بوليسية" داخل المناطق الخاضعة لسيطرتها. وأعرب عدد كبير من المصادر، بينهم شهود وضحايا، عن خوفهم الشديد من التعامل مع فريق الخبراء، لأن المخاطر التي تتعرض لها حياتهم وعائلاتهم بدت حقيقية ومقلقة. </w:t>
      </w:r>
      <w:r w:rsidRPr="0032333A">
        <w:rPr>
          <w:rFonts w:ascii="Traditional Arabic" w:hAnsi="Traditional Arabic" w:cs="Traditional Arabic"/>
          <w:sz w:val="30"/>
          <w:szCs w:val="30"/>
          <w:rtl/>
        </w:rPr>
        <w:lastRenderedPageBreak/>
        <w:t>وبالنسبة الى اليمنيين الذين يعيشون في صنعاء وفي مناطق أخرى خاضعة لسيطرة سلطات الأمر الواقع، أصبح هذا الخوف جزءًا من حياتهم اليومية</w:t>
      </w:r>
      <w:r w:rsidRPr="0032333A">
        <w:rPr>
          <w:rFonts w:ascii="Traditional Arabic" w:hAnsi="Traditional Arabic" w:cs="Traditional Arabic"/>
          <w:sz w:val="30"/>
          <w:szCs w:val="30"/>
        </w:rPr>
        <w:t>.</w:t>
      </w:r>
    </w:p>
    <w:p w14:paraId="6B69B758" w14:textId="21F696CD" w:rsidR="0032333A" w:rsidRPr="002E0EF7" w:rsidRDefault="0032333A" w:rsidP="00E05D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منذ نهاية العام 2014، ذُكر أن سلطات الأمر الواقع داهمت ونهبت وأغلقت أكثر من 50 منظمة لحقوق الإنسان ومنظمات من المجتمع المدني</w:t>
      </w:r>
      <w:r w:rsidRPr="0032333A">
        <w:rPr>
          <w:rStyle w:val="FootnoteReference"/>
          <w:rFonts w:ascii="Traditional Arabic" w:hAnsi="Traditional Arabic" w:cs="Traditional Arabic"/>
          <w:sz w:val="30"/>
          <w:szCs w:val="30"/>
        </w:rPr>
        <w:footnoteReference w:id="594"/>
      </w:r>
      <w:r w:rsidRPr="0032333A">
        <w:rPr>
          <w:rFonts w:ascii="Traditional Arabic" w:hAnsi="Traditional Arabic" w:cs="Traditional Arabic"/>
          <w:sz w:val="30"/>
          <w:szCs w:val="30"/>
          <w:rtl/>
        </w:rPr>
        <w:t>. خوفاً من الت</w:t>
      </w:r>
      <w:r w:rsidR="00E05D05">
        <w:rPr>
          <w:rFonts w:ascii="Traditional Arabic" w:hAnsi="Traditional Arabic" w:cs="Traditional Arabic" w:hint="cs"/>
          <w:sz w:val="30"/>
          <w:szCs w:val="30"/>
          <w:rtl/>
        </w:rPr>
        <w:t>د</w:t>
      </w:r>
      <w:r w:rsidRPr="0032333A">
        <w:rPr>
          <w:rFonts w:ascii="Traditional Arabic" w:hAnsi="Traditional Arabic" w:cs="Traditional Arabic"/>
          <w:sz w:val="30"/>
          <w:szCs w:val="30"/>
          <w:rtl/>
        </w:rPr>
        <w:t>ا</w:t>
      </w:r>
      <w:r w:rsidR="00E05D05">
        <w:rPr>
          <w:rFonts w:ascii="Traditional Arabic" w:hAnsi="Traditional Arabic" w:cs="Traditional Arabic" w:hint="cs"/>
          <w:sz w:val="30"/>
          <w:szCs w:val="30"/>
          <w:rtl/>
        </w:rPr>
        <w:t>عيات</w:t>
      </w:r>
      <w:r w:rsidRPr="0032333A">
        <w:rPr>
          <w:rFonts w:ascii="Traditional Arabic" w:hAnsi="Traditional Arabic" w:cs="Traditional Arabic"/>
          <w:sz w:val="30"/>
          <w:szCs w:val="30"/>
          <w:rtl/>
        </w:rPr>
        <w:t>، أُجبر العديد من النشطاء أو المعارضين أو النقّاد على مغادرة صنعاء. لجأ بعضهم إلى الخارج بينما فر آخرون إلى أجزاء أخرى من البلاد تحت سيطرة الحكومة اليمنية. اعتمد الباقون في صنعاء، وكذلك بعض الذين فروا وأبقوا على صلاتهم العائلية في صنعاء، الرقابة الذاتية بدافع الخوف وكوسيلة لحماية حياتهم وحياة أحبائهم.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595"/>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وبحلول عام 2019، أصبحت صنعاء أشبه بدولة متجانسة يسيطر عليها الخوف أو التلقين، وعدم التسامح مع المعارضة بأي شكل من الأشكال.</w:t>
      </w:r>
    </w:p>
    <w:p w14:paraId="3ED02B64" w14:textId="0AE7D9D4" w:rsidR="0032333A" w:rsidRPr="002E0EF7" w:rsidRDefault="0032333A" w:rsidP="002747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ابتداءً من أيلول / سبتمبر 2014، أُفيد عن سيطرة اللجان الشعبية الحوثية على وسائل الإعلام التي تملكها الدولة وعن مداهمتها القنوات التلفزيونية ومكاتب الصحف ومحطات الإذاعة</w:t>
      </w:r>
      <w:r w:rsidR="002747DA">
        <w:rPr>
          <w:rFonts w:ascii="Traditional Arabic" w:hAnsi="Traditional Arabic" w:cs="Traditional Arabic" w:hint="cs"/>
          <w:sz w:val="30"/>
          <w:szCs w:val="30"/>
          <w:rtl/>
        </w:rPr>
        <w:t>.</w:t>
      </w:r>
      <w:r w:rsidRPr="0032333A">
        <w:rPr>
          <w:rFonts w:ascii="Traditional Arabic" w:hAnsi="Traditional Arabic" w:cs="Traditional Arabic"/>
          <w:sz w:val="30"/>
          <w:szCs w:val="30"/>
          <w:rtl/>
        </w:rPr>
        <w:t xml:space="preserve"> وقامت بحظر 21 موقعًا إخباريًا، وفرضت الرقابة على سبع قنوات تلفزيونية، وحظرت نشر 18 صحيفة</w:t>
      </w:r>
      <w:r w:rsidRPr="0032333A">
        <w:rPr>
          <w:rFonts w:ascii="Traditional Arabic" w:hAnsi="Traditional Arabic" w:cs="Traditional Arabic"/>
          <w:sz w:val="30"/>
          <w:szCs w:val="30"/>
          <w:vertAlign w:val="superscript"/>
        </w:rPr>
        <w:footnoteReference w:id="596"/>
      </w:r>
      <w:r w:rsidRPr="0032333A">
        <w:rPr>
          <w:rFonts w:ascii="Traditional Arabic" w:hAnsi="Traditional Arabic" w:cs="Traditional Arabic"/>
          <w:sz w:val="30"/>
          <w:szCs w:val="30"/>
          <w:rtl/>
        </w:rPr>
        <w:t>. وتمّ تعليق حوالي 30 صحيفة عن العمل أو إجبارها على الإغلاق</w:t>
      </w:r>
      <w:r w:rsidRPr="0032333A">
        <w:rPr>
          <w:rFonts w:ascii="Traditional Arabic" w:hAnsi="Traditional Arabic" w:cs="Traditional Arabic"/>
          <w:sz w:val="30"/>
          <w:szCs w:val="30"/>
          <w:vertAlign w:val="superscript"/>
        </w:rPr>
        <w:footnoteReference w:id="597"/>
      </w:r>
      <w:r w:rsidRPr="0032333A">
        <w:rPr>
          <w:rFonts w:ascii="Traditional Arabic" w:hAnsi="Traditional Arabic" w:cs="Traditional Arabic"/>
          <w:sz w:val="30"/>
          <w:szCs w:val="30"/>
          <w:rtl/>
        </w:rPr>
        <w:t>. وفضّلت بعض وسائل الإعلام الإغلاق بدلاً من فقدان استقلاليتها. وتمّ استهداف صحافيين وإعلاميين لهم علاقة بحزب الإصلاح على نطاق واسع، بما في ذلك من خلال الغارات ونهب منازلهم والاعتقالات التعسفية</w:t>
      </w:r>
      <w:r w:rsidRPr="0032333A">
        <w:rPr>
          <w:rFonts w:ascii="Traditional Arabic" w:hAnsi="Traditional Arabic" w:cs="Traditional Arabic"/>
          <w:sz w:val="30"/>
          <w:szCs w:val="30"/>
          <w:vertAlign w:val="superscript"/>
        </w:rPr>
        <w:footnoteReference w:id="598"/>
      </w:r>
      <w:r w:rsidRPr="0032333A">
        <w:rPr>
          <w:rFonts w:ascii="Traditional Arabic" w:hAnsi="Traditional Arabic" w:cs="Traditional Arabic"/>
          <w:sz w:val="30"/>
          <w:szCs w:val="30"/>
          <w:rtl/>
        </w:rPr>
        <w:t xml:space="preserve">. وبحلول حزيران/ يونيو 2019، كانت وسائل الإعلام التي تبث من صنعاء إما موالية لأيديولوجية سلطات الأمر الواقع أو أجبرت على العمل تحت مراقبة صارمة من السلطات. وأُفيد أيضاً عن حظر بعض المواقع الإلكترونية في العام 2018 من خلال سيطرة الحوثيين على وزارة الاتصالات وعلى مزوّد خدمة الإنترنت يمنيت </w:t>
      </w:r>
      <w:r w:rsidRPr="0032333A">
        <w:rPr>
          <w:rFonts w:ascii="Traditional Arabic" w:hAnsi="Traditional Arabic" w:cs="Traditional Arabic"/>
          <w:sz w:val="30"/>
          <w:szCs w:val="30"/>
        </w:rPr>
        <w:t>YemenNet</w:t>
      </w:r>
      <w:r w:rsidRPr="0032333A">
        <w:rPr>
          <w:rFonts w:ascii="Traditional Arabic" w:hAnsi="Traditional Arabic" w:cs="Traditional Arabic"/>
          <w:sz w:val="30"/>
          <w:szCs w:val="30"/>
          <w:rtl/>
        </w:rPr>
        <w:t>.</w:t>
      </w:r>
    </w:p>
    <w:p w14:paraId="531D7398" w14:textId="77777777" w:rsidR="0032333A" w:rsidRPr="0032333A" w:rsidRDefault="0032333A" w:rsidP="002E0EF7">
      <w:pPr>
        <w:pStyle w:val="ListParagraph"/>
        <w:bidi/>
        <w:spacing w:after="120" w:line="240" w:lineRule="atLeast"/>
        <w:ind w:left="962" w:right="827" w:firstLine="172"/>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القيود المفروضة على ممارسة حرية الرأي والتعبير</w:t>
      </w:r>
    </w:p>
    <w:p w14:paraId="0DC49AEF" w14:textId="77777777" w:rsidR="0032333A" w:rsidRPr="0032333A" w:rsidRDefault="0032333A" w:rsidP="0032333A">
      <w:pPr>
        <w:pStyle w:val="ListParagraph"/>
        <w:tabs>
          <w:tab w:val="right" w:pos="1412"/>
        </w:tabs>
        <w:bidi/>
        <w:spacing w:after="120" w:line="240" w:lineRule="atLeast"/>
        <w:ind w:left="1412" w:right="827"/>
        <w:jc w:val="both"/>
        <w:rPr>
          <w:rFonts w:ascii="Traditional Arabic" w:hAnsi="Traditional Arabic" w:cs="Traditional Arabic"/>
          <w:i/>
          <w:iCs/>
          <w:sz w:val="30"/>
          <w:szCs w:val="30"/>
          <w:rtl/>
        </w:rPr>
      </w:pPr>
      <w:r w:rsidRPr="0032333A">
        <w:rPr>
          <w:rFonts w:ascii="Traditional Arabic" w:hAnsi="Traditional Arabic" w:cs="Traditional Arabic"/>
          <w:i/>
          <w:iCs/>
          <w:sz w:val="30"/>
          <w:szCs w:val="30"/>
          <w:rtl/>
        </w:rPr>
        <w:t>"أصبح الوضع بالنسبة لي وللعديد من الصحافيين اليمنيين غير المصطفّين مع الحوثيين أمرًا بالغ الصعوبة في أيلول/ سبتمبر 2014، وتزايد سوءاً مع بدء حملة التحالف في عام 2015. أراد الحوثيون إغلاق أي فم يدعم التحالف أو لا يعارضه</w:t>
      </w:r>
      <w:r w:rsidRPr="0032333A">
        <w:rPr>
          <w:rFonts w:ascii="Traditional Arabic" w:hAnsi="Traditional Arabic" w:cs="Traditional Arabic"/>
          <w:b/>
          <w:bCs/>
          <w:i/>
          <w:iCs/>
          <w:sz w:val="30"/>
          <w:szCs w:val="30"/>
        </w:rPr>
        <w:t>"</w:t>
      </w:r>
      <w:r w:rsidRPr="0032333A">
        <w:rPr>
          <w:rStyle w:val="FootnoteReference"/>
          <w:rFonts w:ascii="Traditional Arabic" w:hAnsi="Traditional Arabic" w:cs="Traditional Arabic"/>
          <w:i/>
          <w:iCs/>
          <w:sz w:val="30"/>
          <w:szCs w:val="30"/>
        </w:rPr>
        <w:footnoteReference w:id="599"/>
      </w:r>
      <w:r w:rsidRPr="0032333A">
        <w:rPr>
          <w:rFonts w:ascii="Traditional Arabic" w:hAnsi="Traditional Arabic" w:cs="Traditional Arabic"/>
          <w:b/>
          <w:bCs/>
          <w:i/>
          <w:iCs/>
          <w:sz w:val="30"/>
          <w:szCs w:val="30"/>
        </w:rPr>
        <w:t>.</w:t>
      </w:r>
    </w:p>
    <w:p w14:paraId="4A78892E" w14:textId="77777777" w:rsidR="0032333A" w:rsidRPr="0032333A" w:rsidRDefault="0032333A" w:rsidP="0032333A">
      <w:pPr>
        <w:pStyle w:val="ListParagraph"/>
        <w:bidi/>
        <w:spacing w:after="120" w:line="240" w:lineRule="atLeast"/>
        <w:ind w:left="5256" w:right="827" w:firstLine="414"/>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صحفي يعيش في المنفى</w:t>
      </w:r>
    </w:p>
    <w:p w14:paraId="0F8384C8"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حقّق فريق الخبراء في 30 حالة من الصحافيين والعاملين في وسائل الإعلام المحتجزين نتيجة لممارسة حقهم في حرية الرأي والتعبير. وفي حين </w:t>
      </w:r>
      <w:r w:rsidRPr="0032333A">
        <w:rPr>
          <w:rFonts w:ascii="Traditional Arabic" w:hAnsi="Traditional Arabic" w:cs="Traditional Arabic"/>
          <w:sz w:val="30"/>
          <w:szCs w:val="30"/>
          <w:rtl/>
        </w:rPr>
        <w:lastRenderedPageBreak/>
        <w:t>غطت التحقيقات حالات احتجاز الصحافيين التي تعود إلى الأيام الأولى للنزاع، فقد ركز فريق الخبراء بشكل خاص على حالات الاحتجاز المستمر أو تلك التي حدثت في العام 2018 وما بعده والتي أظهرت استمرار أنماط تقييد حرية الرأي والتعبير في صنعاء</w:t>
      </w: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 كان البعض يعمل لصالح وسائل الإعلام المتحالفة مع المعارضة السياسية بينما عمل البعض الآخر لصالح وسائل الإعلام التي تنتقد سلطات الأمر الواقع. تمّ اعتقال الكثيرين في المراحل الأولى من النزاع. وفقاً لأحد الصحافيين، حتى قبل سيطرتهم على صنعاء، كان الحوثيون قد حدّدوا الصحافيين الذين عبّروا عن مواقف ضدهم: "</w:t>
      </w:r>
      <w:r w:rsidRPr="0032333A">
        <w:rPr>
          <w:rFonts w:ascii="Traditional Arabic" w:hAnsi="Traditional Arabic" w:cs="Traditional Arabic"/>
          <w:i/>
          <w:iCs/>
          <w:sz w:val="30"/>
          <w:szCs w:val="30"/>
          <w:rtl/>
        </w:rPr>
        <w:t>كانوا منظّمين جيدًا وبشكل مُسبق</w:t>
      </w:r>
      <w:r w:rsidRPr="0032333A">
        <w:rPr>
          <w:rFonts w:ascii="Traditional Arabic" w:hAnsi="Traditional Arabic" w:cs="Traditional Arabic"/>
          <w:sz w:val="30"/>
          <w:szCs w:val="30"/>
          <w:rtl/>
        </w:rPr>
        <w:t xml:space="preserve">"، حسبما قال الصحافي لفريق الخبراء. </w:t>
      </w:r>
      <w:r w:rsidRPr="0032333A">
        <w:rPr>
          <w:rFonts w:ascii="Traditional Arabic" w:hAnsi="Traditional Arabic" w:cs="Traditional Arabic"/>
          <w:i/>
          <w:iCs/>
          <w:sz w:val="30"/>
          <w:szCs w:val="30"/>
          <w:rtl/>
        </w:rPr>
        <w:t>"كانوا يعرفون مسبقاً من سيستهدفون أو يعاقبون بمجرد وصولهم إلى صنعاء"</w:t>
      </w:r>
      <w:r w:rsidRPr="0032333A">
        <w:rPr>
          <w:rFonts w:ascii="Traditional Arabic" w:hAnsi="Traditional Arabic" w:cs="Traditional Arabic"/>
          <w:sz w:val="30"/>
          <w:szCs w:val="30"/>
          <w:rtl/>
        </w:rPr>
        <w:t xml:space="preserve">. ومن بين هذه الحالات، أُصيب صحافي بجروح خطيرة أثناء احتجازه، وعلى ما يبدو نتيجةً للتعذيب والمعاملة السيئة التي تعرّض لها. ولم يُطلق سراحه إلا عندما تدهورت حالته الصحية بشكل خطير. </w:t>
      </w:r>
    </w:p>
    <w:p w14:paraId="4389A634" w14:textId="77777777" w:rsidR="0032333A" w:rsidRPr="0032333A" w:rsidRDefault="0032333A" w:rsidP="006E4E4F">
      <w:pPr>
        <w:pStyle w:val="ListParagraph"/>
        <w:bidi/>
        <w:spacing w:after="120" w:line="240" w:lineRule="atLeast"/>
        <w:ind w:left="962" w:right="827" w:firstLine="172"/>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ق</w:t>
      </w:r>
      <w:r w:rsidRPr="0032333A">
        <w:rPr>
          <w:rFonts w:ascii="Traditional Arabic" w:hAnsi="Traditional Arabic" w:cs="Traditional Arabic"/>
          <w:sz w:val="30"/>
          <w:szCs w:val="30"/>
          <w:u w:val="single"/>
          <w:rtl/>
        </w:rPr>
        <w:t>ضية 10 صحافيين محتجزين تعسفياً منذ عام 2015</w:t>
      </w:r>
    </w:p>
    <w:p w14:paraId="12B9DF8D"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حقق فريق الخبراء في احتجاز 10 صحافيين (جميعهم من الرجال) اتُهموا بنشر معلومات وهمية على المواقع الإلكترونية ومنصات وسائل الإعلام الاجتماعية دعماً للمملكة العربية السعودية والتحالف. وفي 9 حزيران/ يونيو 2015، تمّ اعتقال تسعة صحافيين في الوقت نفسه في فندق في صنعاء، بينما تمّ اعتقال صحافي آخر في 28 آب/ أغسطس 2015 في منزله في صنعاء. وأُفيد بأن معظمهم يعملون في وسائل إعلام على الإنترنت معارضة للحوثيين، ومعظمهم على صلة بحزب الإصلاح. تم احتجازهم في أربعة أماكن احتجاز مختلفة قبل نقلهم إلى مركز الاحتجاز التابع للأمن السياسي في صنعاء حيث هم محتجزون حاليًا. وفي خلال عمليات نقلهم المختلفة، اختفى الصحافيون قسراً لفترات زمنية مختلفة</w:t>
      </w:r>
      <w:r w:rsidRPr="0032333A">
        <w:rPr>
          <w:rFonts w:ascii="Traditional Arabic" w:hAnsi="Traditional Arabic" w:cs="Traditional Arabic"/>
          <w:sz w:val="30"/>
          <w:szCs w:val="30"/>
        </w:rPr>
        <w:t>.</w:t>
      </w:r>
    </w:p>
    <w:p w14:paraId="4C234CB0" w14:textId="442FEB6E" w:rsidR="0032333A" w:rsidRPr="0032333A" w:rsidRDefault="0032333A" w:rsidP="000A673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ﻭﰲ 5 ﺗﺸﺮﻳﻦ ﺍﻷﻭﻝ / ﺃﻛﺘﻮﺑﺮ 2015، ﻃﻠﺐ المدعي ﺍﻟﻌﺎﻡ ﻣﻦ ﺭﺋﻴﺲ </w:t>
      </w:r>
      <w:r w:rsidR="000A6738">
        <w:rPr>
          <w:rFonts w:ascii="Traditional Arabic" w:hAnsi="Traditional Arabic" w:cs="Traditional Arabic" w:hint="cs"/>
          <w:sz w:val="30"/>
          <w:szCs w:val="30"/>
          <w:rtl/>
        </w:rPr>
        <w:t>سجن</w:t>
      </w:r>
      <w:r w:rsidRPr="0032333A">
        <w:rPr>
          <w:rFonts w:ascii="Traditional Arabic" w:hAnsi="Traditional Arabic" w:cs="Traditional Arabic"/>
          <w:sz w:val="30"/>
          <w:szCs w:val="30"/>
          <w:rtl/>
        </w:rPr>
        <w:t xml:space="preserve"> ﺍﻟﺜﻮﺭﺓ ﺇﺑﻼﻏﻪ ﻓﻮﺭﺍﹰ ﺑﺄﺳﺒﺎﺏ ﺍﺣﺘﺠﺎﺯ عشرة صحافيين ﺃﻭ ﻭﺟﻮﺩﻫﻢ في ﺍﻻﺣﺘﺠﺎﺯ بدون محاكمة مسبقة. قرر أنه يجب إطلاق سراحهم فورًا إذا لم يُعتقلوا وفقًا للقانون اليمني. غير انّ رئيس السجن </w:t>
      </w:r>
      <w:r w:rsidR="00755443">
        <w:rPr>
          <w:rFonts w:ascii="Traditional Arabic" w:hAnsi="Traditional Arabic" w:cs="Traditional Arabic" w:hint="cs"/>
          <w:sz w:val="30"/>
          <w:szCs w:val="30"/>
          <w:rtl/>
        </w:rPr>
        <w:t>لم يستجب ل</w:t>
      </w:r>
      <w:r w:rsidRPr="0032333A">
        <w:rPr>
          <w:rFonts w:ascii="Traditional Arabic" w:hAnsi="Traditional Arabic" w:cs="Traditional Arabic"/>
          <w:sz w:val="30"/>
          <w:szCs w:val="30"/>
          <w:rtl/>
        </w:rPr>
        <w:t>طلب المدعي العام</w:t>
      </w:r>
      <w:r w:rsidRPr="0032333A">
        <w:rPr>
          <w:rFonts w:ascii="Traditional Arabic" w:hAnsi="Traditional Arabic" w:cs="Traditional Arabic"/>
          <w:sz w:val="30"/>
          <w:szCs w:val="30"/>
        </w:rPr>
        <w:t>.</w:t>
      </w:r>
      <w:r w:rsidR="002747DA">
        <w:rPr>
          <w:rStyle w:val="FootnoteReference"/>
          <w:rFonts w:cs="Traditional Arabic"/>
          <w:szCs w:val="30"/>
        </w:rPr>
        <w:footnoteReference w:id="600"/>
      </w:r>
    </w:p>
    <w:p w14:paraId="3FE081F8" w14:textId="3EBFE825" w:rsidR="0032333A" w:rsidRPr="002E0EF7"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بعد حوالي أربع سنوات على اعتقالهم لأول مرّة، لم يكن الصحافيون المعتقلون العشرة قد مثلوا أمام المدعي العام أو أمام المحكمة. ولم يتم إبلاغهم بالاتهامات الجنائية الموجهة ضدهم إلا في 18 شباط/ فبراير 2019 عندما أصدر قرار الاتهام رئيس المحكمة الجنائية المتخصصة في أمانة العاصمة. وأُفيد بأنهم اتُهموا بنشر إشاعات وأكاذيب على مواقع الإنترنت ومنصات وسائل الإعلام الاجتماعية، وبدعم التحالف. وقبل ذلك، لم يُمنحوا الحق في اللجوء الى مستشار قانوني للطعن في قانونية احتجازهم. وتمّ رفض طلب رسمي من محاميي الدفاع إلى النيابة العامة للتحدث مع موكليهم على انفراد، تمشياً مع حقهم </w:t>
      </w:r>
      <w:r w:rsidRPr="0032333A">
        <w:rPr>
          <w:rFonts w:ascii="Traditional Arabic" w:hAnsi="Traditional Arabic" w:cs="Traditional Arabic"/>
          <w:sz w:val="30"/>
          <w:szCs w:val="30"/>
          <w:rtl/>
        </w:rPr>
        <w:lastRenderedPageBreak/>
        <w:t>في إجراء مقابلات سرية. لم تبدأ محاكمتهم حتى بعد مرور أكثر من أربعة أشهر من توجيه التهم إليهم</w:t>
      </w:r>
      <w:r w:rsidRPr="0032333A">
        <w:rPr>
          <w:rFonts w:ascii="Traditional Arabic" w:hAnsi="Traditional Arabic" w:cs="Traditional Arabic"/>
          <w:sz w:val="30"/>
          <w:szCs w:val="30"/>
        </w:rPr>
        <w:t>.</w:t>
      </w:r>
    </w:p>
    <w:p w14:paraId="0E448304"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ثلاث حالات على الأقل حقق فيها فريق الخبراء، زُعم أن المحتجزين تعرضوا للتعذيب أو غيره من ضروب المعاملة السيئة في ثلاثة أماكن احتجاز مختلفة، بما في ذلك خلال جلسات الاستجواب في المديرية العامة للتحقيق الجنائي وفي مركز الاحتجاز التابع للأمن السياسي. وشملت أعمال التعذيب المبلّغ عنها التعليق من السقف، والصدمات الكهربائية، والضرب بألواح خشبية والسلاسل، والركل والصفع، وحظر التبوّل، والإساءة والإهانة اللفظية، والحبس الانفرادي. وفي معظم جلسات الاستجواب والتعذيب، كان الضحايا معصوبي العينين وتركزت الأسئلة أثناء الاستجواب على تعاونهم المزعوم مع التحالف. وإذا أنكروا ذلك، كان الحراس يضربونهم حتى يعترفوا</w:t>
      </w:r>
      <w:r w:rsidRPr="0032333A">
        <w:rPr>
          <w:rFonts w:ascii="Traditional Arabic" w:hAnsi="Traditional Arabic" w:cs="Traditional Arabic"/>
          <w:sz w:val="30"/>
          <w:szCs w:val="30"/>
        </w:rPr>
        <w:t>.</w:t>
      </w:r>
    </w:p>
    <w:p w14:paraId="70361774"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أُفيد عن إضراب المحتجزين عن الطعام في العام 2016 أثناء وجودهم في مركز احتجاز هبرة في صنعاء للاحتجاج على ظروف الاحتجاز السيئة وعلى احتجازهم بمعزل عن العالم الخارجي لمدة خمسة أشهر</w:t>
      </w:r>
      <w:r w:rsidRPr="0032333A">
        <w:rPr>
          <w:rStyle w:val="FootnoteReference"/>
          <w:rFonts w:ascii="Traditional Arabic" w:hAnsi="Traditional Arabic" w:cs="Traditional Arabic"/>
          <w:sz w:val="30"/>
          <w:szCs w:val="30"/>
        </w:rPr>
        <w:footnoteReference w:id="601"/>
      </w:r>
      <w:r w:rsidRPr="0032333A">
        <w:rPr>
          <w:rFonts w:ascii="Traditional Arabic" w:hAnsi="Traditional Arabic" w:cs="Traditional Arabic"/>
          <w:sz w:val="30"/>
          <w:szCs w:val="30"/>
          <w:rtl/>
        </w:rPr>
        <w:t xml:space="preserve">. وورد أن الإيذاء الجسدي بحق هؤلاء الصحافيين قد حدث مؤخرًا اعتبارًا من نيسان/ أبريل 2019 في مركز الاحتجاز التابع للأمن السياسي، بينما أدّت الموافقات غير النظامية على الزيارات العائلية الى تدهور صحة المحتجزين العقلية. </w:t>
      </w:r>
    </w:p>
    <w:p w14:paraId="2A22AAB8" w14:textId="6402B057" w:rsidR="0032333A" w:rsidRPr="0032333A" w:rsidRDefault="0032333A" w:rsidP="0017380D">
      <w:pPr>
        <w:pStyle w:val="ListParagraph"/>
        <w:bidi/>
        <w:spacing w:after="120" w:line="240" w:lineRule="auto"/>
        <w:ind w:left="1412" w:right="828"/>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w:t>
      </w:r>
      <w:r w:rsidR="00B13D4E" w:rsidRPr="0032333A">
        <w:rPr>
          <w:rFonts w:ascii="Traditional Arabic" w:hAnsi="Traditional Arabic" w:cs="Traditional Arabic"/>
          <w:i/>
          <w:iCs/>
          <w:sz w:val="30"/>
          <w:szCs w:val="30"/>
          <w:rtl/>
        </w:rPr>
        <w:t>يق</w:t>
      </w:r>
      <w:r w:rsidR="00B13D4E">
        <w:rPr>
          <w:rFonts w:ascii="Traditional Arabic" w:hAnsi="Traditional Arabic" w:cs="Traditional Arabic" w:hint="cs"/>
          <w:i/>
          <w:iCs/>
          <w:sz w:val="30"/>
          <w:szCs w:val="30"/>
          <w:rtl/>
          <w:lang w:bidi="ar-MA"/>
        </w:rPr>
        <w:t>ال أن المسجون</w:t>
      </w:r>
      <w:r w:rsidRPr="0032333A">
        <w:rPr>
          <w:rFonts w:ascii="Traditional Arabic" w:hAnsi="Traditional Arabic" w:cs="Traditional Arabic"/>
          <w:i/>
          <w:iCs/>
          <w:sz w:val="30"/>
          <w:szCs w:val="30"/>
          <w:rtl/>
        </w:rPr>
        <w:t xml:space="preserve"> نصف مجنون... لا </w:t>
      </w:r>
      <w:r w:rsidR="00B13D4E">
        <w:rPr>
          <w:rFonts w:ascii="Traditional Arabic" w:hAnsi="Traditional Arabic" w:cs="Traditional Arabic" w:hint="cs"/>
          <w:i/>
          <w:iCs/>
          <w:sz w:val="30"/>
          <w:szCs w:val="30"/>
          <w:rtl/>
        </w:rPr>
        <w:t>أ</w:t>
      </w:r>
      <w:r w:rsidRPr="0032333A">
        <w:rPr>
          <w:rFonts w:ascii="Traditional Arabic" w:hAnsi="Traditional Arabic" w:cs="Traditional Arabic"/>
          <w:i/>
          <w:iCs/>
          <w:sz w:val="30"/>
          <w:szCs w:val="30"/>
          <w:rtl/>
        </w:rPr>
        <w:t xml:space="preserve">شك في أني </w:t>
      </w:r>
      <w:r w:rsidR="00B13D4E">
        <w:rPr>
          <w:rFonts w:ascii="Traditional Arabic" w:hAnsi="Traditional Arabic" w:cs="Traditional Arabic" w:hint="cs"/>
          <w:i/>
          <w:iCs/>
          <w:sz w:val="30"/>
          <w:szCs w:val="30"/>
          <w:rtl/>
        </w:rPr>
        <w:t xml:space="preserve">أركض </w:t>
      </w:r>
      <w:r w:rsidRPr="0032333A">
        <w:rPr>
          <w:rFonts w:ascii="Traditional Arabic" w:hAnsi="Traditional Arabic" w:cs="Traditional Arabic"/>
          <w:i/>
          <w:iCs/>
          <w:sz w:val="30"/>
          <w:szCs w:val="30"/>
          <w:rtl/>
        </w:rPr>
        <w:t>نحو الجنون</w:t>
      </w:r>
      <w:r w:rsidR="00B13D4E">
        <w:rPr>
          <w:rFonts w:ascii="Traditional Arabic" w:hAnsi="Traditional Arabic" w:cs="Traditional Arabic" w:hint="cs"/>
          <w:i/>
          <w:iCs/>
          <w:sz w:val="30"/>
          <w:szCs w:val="30"/>
          <w:rtl/>
        </w:rPr>
        <w:t xml:space="preserve"> بأقدامي </w:t>
      </w:r>
      <w:r w:rsidRPr="0032333A">
        <w:rPr>
          <w:rFonts w:ascii="Traditional Arabic" w:hAnsi="Traditional Arabic" w:cs="Traditional Arabic"/>
          <w:i/>
          <w:iCs/>
          <w:sz w:val="30"/>
          <w:szCs w:val="30"/>
          <w:rtl/>
        </w:rPr>
        <w:t xml:space="preserve"> و</w:t>
      </w:r>
      <w:r w:rsidR="0017380D">
        <w:rPr>
          <w:rFonts w:ascii="Traditional Arabic" w:hAnsi="Traditional Arabic" w:cs="Traditional Arabic" w:hint="cs"/>
          <w:i/>
          <w:iCs/>
          <w:sz w:val="30"/>
          <w:szCs w:val="30"/>
          <w:rtl/>
        </w:rPr>
        <w:t xml:space="preserve">يجري هو نحوي بأقدام كثيرة وصور </w:t>
      </w:r>
      <w:r w:rsidRPr="0032333A">
        <w:rPr>
          <w:rFonts w:ascii="Traditional Arabic" w:hAnsi="Traditional Arabic" w:cs="Traditional Arabic"/>
          <w:i/>
          <w:iCs/>
          <w:sz w:val="30"/>
          <w:szCs w:val="30"/>
          <w:rtl/>
        </w:rPr>
        <w:t>مختلفة"</w:t>
      </w:r>
      <w:r w:rsidRPr="0032333A">
        <w:rPr>
          <w:rStyle w:val="FootnoteReference"/>
          <w:rFonts w:ascii="Traditional Arabic" w:hAnsi="Traditional Arabic" w:cs="Traditional Arabic"/>
          <w:i/>
          <w:iCs/>
          <w:sz w:val="30"/>
          <w:szCs w:val="30"/>
          <w:rtl/>
        </w:rPr>
        <w:footnoteReference w:id="602"/>
      </w:r>
    </w:p>
    <w:p w14:paraId="0EFC0ED7" w14:textId="77777777" w:rsidR="0032333A" w:rsidRPr="0032333A" w:rsidRDefault="0032333A" w:rsidP="009300E4">
      <w:pPr>
        <w:pStyle w:val="ListParagraph"/>
        <w:bidi/>
        <w:spacing w:after="120" w:line="240" w:lineRule="auto"/>
        <w:ind w:left="3508" w:right="828" w:firstLine="461"/>
        <w:jc w:val="both"/>
        <w:rPr>
          <w:rFonts w:ascii="Traditional Arabic" w:hAnsi="Traditional Arabic" w:cs="Traditional Arabic"/>
          <w:b/>
          <w:bCs/>
          <w:sz w:val="30"/>
          <w:szCs w:val="30"/>
          <w:u w:val="single"/>
        </w:rPr>
      </w:pPr>
      <w:r w:rsidRPr="0032333A">
        <w:rPr>
          <w:rFonts w:ascii="Traditional Arabic" w:hAnsi="Traditional Arabic" w:cs="Traditional Arabic"/>
          <w:b/>
          <w:bCs/>
          <w:sz w:val="30"/>
          <w:szCs w:val="30"/>
          <w:rtl/>
        </w:rPr>
        <w:t>صحافي محتجز في صنعاء</w:t>
      </w:r>
    </w:p>
    <w:p w14:paraId="74F79BBE" w14:textId="77777777" w:rsidR="0032333A" w:rsidRPr="0032333A" w:rsidRDefault="0032333A" w:rsidP="006E4E4F">
      <w:pPr>
        <w:pStyle w:val="ListParagraph"/>
        <w:bidi/>
        <w:spacing w:after="120" w:line="240" w:lineRule="atLeast"/>
        <w:ind w:left="1134" w:right="827" w:hanging="45"/>
        <w:jc w:val="both"/>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قضية طالب وناشط في وسائل التواصل الاجتماعي محتجز بدون تهم رغم صدور أمر قضائي بالإفراج عنه</w:t>
      </w:r>
    </w:p>
    <w:p w14:paraId="5A1EB6D7"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تمّ القبض على طالب جامعي وناشط في وسائل التواصل الاجتماعي</w:t>
      </w:r>
      <w:r w:rsidRPr="0032333A">
        <w:rPr>
          <w:rStyle w:val="FootnoteReference"/>
          <w:rFonts w:ascii="Traditional Arabic" w:hAnsi="Traditional Arabic" w:cs="Traditional Arabic"/>
          <w:sz w:val="30"/>
          <w:szCs w:val="30"/>
        </w:rPr>
        <w:footnoteReference w:id="603"/>
      </w:r>
      <w:r w:rsidRPr="0032333A">
        <w:rPr>
          <w:rFonts w:ascii="Traditional Arabic" w:hAnsi="Traditional Arabic" w:cs="Traditional Arabic"/>
          <w:sz w:val="30"/>
          <w:szCs w:val="30"/>
          <w:rtl/>
        </w:rPr>
        <w:t>، أو ما يسمى "المواطن  الصحفـــي" في صنعاء في العام 2016، حيث تعرّض للضرب على أيدي رجال يرتدون ملابس مدنية. واتّهم بأنه من أتباع الرئيس هادي وأنه يدعم التحالف. لاحقاً، احتُجز تعسفيًا في خمسة مراكز مختلفة في صنعاء حيث تعرّض لسوء المعاملة جسدياً ونفسياً وتمّ تهديده بالقتل كوسيلة لإجباره على "توقيع" محضر استجوابه ببصماته. وأثناء احتجازه، اختفى قسراً في مراحل مختلفة، ولفترات تمتد على شهر بكامله</w:t>
      </w:r>
      <w:r w:rsidRPr="0032333A">
        <w:rPr>
          <w:rFonts w:ascii="Traditional Arabic" w:hAnsi="Traditional Arabic" w:cs="Traditional Arabic"/>
          <w:sz w:val="30"/>
          <w:szCs w:val="30"/>
        </w:rPr>
        <w:t>.</w:t>
      </w:r>
      <w:r w:rsidRPr="0032333A">
        <w:rPr>
          <w:rFonts w:ascii="Traditional Arabic" w:hAnsi="Traditional Arabic" w:cs="Traditional Arabic"/>
          <w:sz w:val="30"/>
          <w:szCs w:val="30"/>
          <w:rtl/>
        </w:rPr>
        <w:t xml:space="preserve"> </w:t>
      </w:r>
    </w:p>
    <w:p w14:paraId="674B7DA6"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على الرغم من صدور أمر من المدعي العام بالإفراج عنه في العام 2017 على أساس أنه تجاوز الفترة التي يمكن احتجازه فيها بدون توجيه تهم رسمية اليه، كان لا يزال رهن الاحتجاز التعسفي وقت كتابة هذا التقرير</w:t>
      </w:r>
      <w:r w:rsidRPr="0032333A">
        <w:rPr>
          <w:rStyle w:val="FootnoteReference"/>
          <w:rFonts w:ascii="Traditional Arabic" w:hAnsi="Traditional Arabic" w:cs="Traditional Arabic"/>
          <w:sz w:val="30"/>
          <w:szCs w:val="30"/>
        </w:rPr>
        <w:footnoteReference w:id="604"/>
      </w:r>
      <w:r w:rsidRPr="0032333A">
        <w:rPr>
          <w:rFonts w:ascii="Traditional Arabic" w:hAnsi="Traditional Arabic" w:cs="Traditional Arabic"/>
          <w:sz w:val="30"/>
          <w:szCs w:val="30"/>
        </w:rPr>
        <w:t>.</w:t>
      </w:r>
    </w:p>
    <w:p w14:paraId="22461FC7" w14:textId="5BB2707B" w:rsidR="0032333A" w:rsidRPr="002E0EF7" w:rsidRDefault="0032333A" w:rsidP="002E0EF7">
      <w:pPr>
        <w:pStyle w:val="ListParagraph"/>
        <w:bidi/>
        <w:spacing w:after="120" w:line="240" w:lineRule="atLeast"/>
        <w:ind w:left="962" w:right="827"/>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توقيف واحتجاز الصحافيين بين حزيران/ يونيو وكانون الأول/ ديسمبر 2018</w:t>
      </w:r>
    </w:p>
    <w:p w14:paraId="1A208A29" w14:textId="0660EBED" w:rsidR="0032333A" w:rsidRPr="002E0EF7" w:rsidRDefault="0032333A"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خلال الفترة الممتدة من حزيران / يونيه إلى كانون الأول / ديسمبر 2018، حقق فريق الخبراء في سبع حالات (كلّهم رجال) من الاعتقال والاحتجاز التعسفي بحق صحافيين وعاملين في وسائل الإعلام في صنعاء</w:t>
      </w:r>
      <w:r w:rsidRPr="0032333A">
        <w:rPr>
          <w:rStyle w:val="FootnoteReference"/>
          <w:rFonts w:ascii="Traditional Arabic" w:hAnsi="Traditional Arabic" w:cs="Traditional Arabic"/>
          <w:sz w:val="30"/>
          <w:szCs w:val="30"/>
        </w:rPr>
        <w:footnoteReference w:id="605"/>
      </w:r>
      <w:r w:rsidRPr="0032333A">
        <w:rPr>
          <w:rFonts w:ascii="Traditional Arabic" w:hAnsi="Traditional Arabic" w:cs="Traditional Arabic"/>
          <w:sz w:val="30"/>
          <w:szCs w:val="30"/>
          <w:rtl/>
        </w:rPr>
        <w:t xml:space="preserve">. وفي ثلاث حالات على الأقل، تعرّض الصحافيون للاعتقال العنيف، ودوهمت منازلهم، وأُخذت ممتلكاتهم الشخصية. لم يتم عرض قضية أيّ من الصحافيين السبعة الذين احتجزتهم سلطات الأمر الواقع أمام المدعي العام ولم تنظّم أي جلسة استماع أمام هيئة قضائية. ستة منهم اختفوا قسراً لفترات تتراوح بين ثلاثة أسابيع وخمسة أشهر. وقد احتُجزوا في أماكن مختلفة، بينها إدارة التحقيقات الجنائية وأماكن الاحتجاز السرية. واحد منهم على الأقل تعرض لسوء المعاملة الجسدية. وأُطلق سراح أربعة منهم، ولا يزال ثلاثة قيد الاحتجاز في صنعاء. بالإضافة إلى ذلك، تلقى الفريق معلومات موثوقاً بها تتعلق بصحافي زُعم أنّ  </w:t>
      </w:r>
      <w:r w:rsidR="00755443">
        <w:rPr>
          <w:rFonts w:ascii="Traditional Arabic" w:hAnsi="Traditional Arabic" w:cs="Traditional Arabic" w:hint="cs"/>
          <w:sz w:val="30"/>
          <w:szCs w:val="30"/>
          <w:rtl/>
        </w:rPr>
        <w:t xml:space="preserve">مقاتلو </w:t>
      </w:r>
      <w:r w:rsidRPr="0032333A">
        <w:rPr>
          <w:rFonts w:ascii="Traditional Arabic" w:hAnsi="Traditional Arabic" w:cs="Traditional Arabic"/>
          <w:sz w:val="30"/>
          <w:szCs w:val="30"/>
          <w:rtl/>
        </w:rPr>
        <w:t>الحوثي -صالح قبضت عليه في صنعاء في أبريل / نيسان 2015. مرّ أكثر من أربع سنوات ولا يزال مكانه ومصيره مجهولين</w:t>
      </w:r>
      <w:r w:rsidRPr="0032333A">
        <w:rPr>
          <w:rStyle w:val="FootnoteReference"/>
          <w:rFonts w:ascii="Traditional Arabic" w:hAnsi="Traditional Arabic" w:cs="Traditional Arabic"/>
          <w:sz w:val="30"/>
          <w:szCs w:val="30"/>
        </w:rPr>
        <w:footnoteReference w:id="606"/>
      </w:r>
      <w:r w:rsidRPr="0032333A">
        <w:rPr>
          <w:rFonts w:ascii="Traditional Arabic" w:hAnsi="Traditional Arabic" w:cs="Traditional Arabic"/>
          <w:sz w:val="30"/>
          <w:szCs w:val="30"/>
        </w:rPr>
        <w:t>.</w:t>
      </w:r>
    </w:p>
    <w:p w14:paraId="6D610CCD"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كان الصحافيون المحتجزون إما يعملون في وسائل الإعلام الموالية للمعارضة أو ينتقدون الحوثيين. كما أنّ العدد الكبير من الصحافيين الذين تم احتجازهم بشكل تعسفي في ظروف غير إنسانية، حيث تعرّض بعضهم لمعاملة سيئة، قد زرع الخوف في نفوس الصحافيين والمدنيين العاديين الذين يريدون ممارسة حقهم في حرية الرأي والتعبير. وتأكد فريق الخبراء من أن 14 صحفياً (جميعهم رجال) ما زالوا رهن الاحتجاز حتى الآن في صنعاء. وقد احتُجزوا جميعًا لمجرّد ممارستهم المشروعة لمهنتهم أو حقهم في حرية التعبير. وقد استخدمت سلطات الأمر الواقع سيطرتها على العاصمة لتقويض وتقييد حرية الرأي والتعبير واستهداف الصحافيين والعاملين في مجال الإعلام، وكذلك أولئك الذين يعبّرون عن معارضتهم أو عن وجهات نظرهم السياسية بأي شكل من الأشكال.</w:t>
      </w:r>
    </w:p>
    <w:p w14:paraId="6F5C0590" w14:textId="77777777" w:rsidR="0032333A" w:rsidRPr="0032333A" w:rsidRDefault="0032333A" w:rsidP="0032333A">
      <w:pPr>
        <w:pStyle w:val="ListParagraph"/>
        <w:bidi/>
        <w:spacing w:after="120" w:line="240" w:lineRule="atLeast"/>
        <w:ind w:left="962" w:right="827"/>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القيود المفروضة على حرية تكوين الجمعيات والتجمع</w:t>
      </w:r>
    </w:p>
    <w:p w14:paraId="35DD8DAE" w14:textId="68255143" w:rsidR="0032333A" w:rsidRPr="002E0EF7" w:rsidRDefault="0032333A" w:rsidP="002E0EF7">
      <w:pPr>
        <w:pStyle w:val="ListParagraph"/>
        <w:bidi/>
        <w:spacing w:after="120" w:line="240" w:lineRule="atLeast"/>
        <w:ind w:left="962" w:right="827"/>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تدهور بيئة عمل النشطاء السياسيين والمدافعين عن حقوق الإنسان، بما في ذلك المنظمات النسائية</w:t>
      </w:r>
      <w:r w:rsidRPr="0032333A">
        <w:rPr>
          <w:rFonts w:ascii="Traditional Arabic" w:hAnsi="Traditional Arabic" w:cs="Traditional Arabic"/>
          <w:sz w:val="30"/>
          <w:szCs w:val="30"/>
          <w:u w:val="single"/>
        </w:rPr>
        <w:t>.</w:t>
      </w:r>
    </w:p>
    <w:p w14:paraId="0F91254E" w14:textId="77777777" w:rsidR="0032333A" w:rsidRPr="0032333A"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إن استهداف أشخاص "اعتُبروا معارضين" في صنعاء أثّر على المعارضة السياسية وعلى المدافعين عن حقوق الإنسان من رجال ونساء، وعلى منظمات المجتمع المدني التي تعمل على قضايا لا تُعتبر متوافقة مع أيديولوجية الحوثيين. ومنذ العام 2015، أُفيد بأنّ سلطات الأمر الواقع قد داهمت أو أغلقت مقرّ ما لا يقل عن 52 منظمة لحقوق الإنسان ومنظمات من المجتمع المدني</w:t>
      </w:r>
      <w:r w:rsidRPr="0032333A">
        <w:rPr>
          <w:rFonts w:ascii="Traditional Arabic" w:hAnsi="Traditional Arabic" w:cs="Traditional Arabic"/>
          <w:sz w:val="30"/>
          <w:szCs w:val="30"/>
          <w:vertAlign w:val="superscript"/>
        </w:rPr>
        <w:footnoteReference w:id="607"/>
      </w:r>
      <w:r w:rsidRPr="0032333A">
        <w:rPr>
          <w:rFonts w:ascii="Traditional Arabic" w:hAnsi="Traditional Arabic" w:cs="Traditional Arabic"/>
          <w:sz w:val="30"/>
          <w:szCs w:val="30"/>
          <w:rtl/>
        </w:rPr>
        <w:t xml:space="preserve">. وكان استهداف المدافعين عن حقوق الإنسان قد بدأ بالفعل في عام 2014. وتلقى فريق الخبراء العديد من التقارير عن قيام سلطات الأمر الواقع بحظر المدافعين عن حقوق الإنسان من السفر إلى خارج البلاد أو باستجوابهم عند عودتهم من أنشطة انعقدت في الخارج. كما حقق الفريق في الانتهاكات المرتكبة ضد المدافعين عن حقوق الإنسان - بما في ذلك المدافعات عن حقوق الإنسان - في </w:t>
      </w:r>
      <w:r w:rsidRPr="0032333A">
        <w:rPr>
          <w:rFonts w:ascii="Traditional Arabic" w:hAnsi="Traditional Arabic" w:cs="Traditional Arabic"/>
          <w:sz w:val="30"/>
          <w:szCs w:val="30"/>
          <w:rtl/>
        </w:rPr>
        <w:lastRenderedPageBreak/>
        <w:t>2018 و2019.</w:t>
      </w:r>
      <w:r w:rsidRPr="0032333A">
        <w:rPr>
          <w:rStyle w:val="FootnoteReference"/>
          <w:rFonts w:ascii="Traditional Arabic" w:hAnsi="Traditional Arabic" w:cs="Traditional Arabic"/>
          <w:sz w:val="30"/>
          <w:szCs w:val="30"/>
        </w:rPr>
        <w:footnoteReference w:id="608"/>
      </w:r>
      <w:r w:rsidRPr="0032333A">
        <w:rPr>
          <w:rFonts w:ascii="Traditional Arabic" w:hAnsi="Traditional Arabic" w:cs="Traditional Arabic"/>
          <w:sz w:val="30"/>
          <w:szCs w:val="30"/>
          <w:rtl/>
        </w:rPr>
        <w:t xml:space="preserve"> </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وطلب الضحايا الحفاظ على سرية المعلومات الخاصة بقضاياهم خوفاً من الانتقام لاسيما أنهم ما زالوا يعيشون في مناطق خاضعة لسيطرة سلطات الأمر الواقع. وهذا الطلب يعكس مناخ الخوف الذي يعيش فيه النشطاء والمدافعون عن حقوق الإنسان في صنعاء اليوم</w:t>
      </w:r>
      <w:r w:rsidRPr="0032333A">
        <w:rPr>
          <w:rFonts w:ascii="Traditional Arabic" w:hAnsi="Traditional Arabic" w:cs="Traditional Arabic"/>
          <w:sz w:val="30"/>
          <w:szCs w:val="30"/>
        </w:rPr>
        <w:t>.</w:t>
      </w:r>
    </w:p>
    <w:p w14:paraId="6178FFD3" w14:textId="0504EB44" w:rsidR="0032333A" w:rsidRPr="002E0EF7" w:rsidRDefault="0032333A" w:rsidP="002E0EF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في هذه البيئة القسرية حيث لا يُسمح فيها بالمعارضة، يشعر محامو الدفاع الذين يمثلون السجناء السياسيين بالخطر أيضًا في ممارسة وظائفهم بشكل مشروع. ففي العام 2016، قُبض على أحد المحامين لمدة شهرين أثناء مشاركته في مظاهرة تطالب بالإفراج عن الأشخاص المحتجزين تعسفياً في المديرية العامة للتحقيق الجنائي في صنعاء. وفي 6 نيسان/ إبريل 2019، تم توقيف أحد المحامين عن 36 محتجزًا داخل المحكمة لأنه قام بتمرير قلم لموكله في نهاية المحاكمة. وترد تفاصيل قضيته أدناه في القسم الخاص بالحق في المحاكمة العادلة. تمّ التحقيق معه لمدة 24 ساعة واتهم بالمساعدة على محاولة ارتكاب جريمة قتل داخل السجن</w:t>
      </w:r>
      <w:r w:rsidRPr="0032333A">
        <w:rPr>
          <w:rStyle w:val="FootnoteReference"/>
          <w:rFonts w:ascii="Traditional Arabic" w:hAnsi="Traditional Arabic" w:cs="Traditional Arabic"/>
          <w:sz w:val="30"/>
          <w:szCs w:val="30"/>
        </w:rPr>
        <w:footnoteReference w:id="609"/>
      </w:r>
      <w:r w:rsidRPr="0032333A">
        <w:rPr>
          <w:rFonts w:ascii="Traditional Arabic" w:hAnsi="Traditional Arabic" w:cs="Traditional Arabic"/>
          <w:sz w:val="30"/>
          <w:szCs w:val="30"/>
        </w:rPr>
        <w:t>.</w:t>
      </w:r>
    </w:p>
    <w:p w14:paraId="34851DFA" w14:textId="6179F3ED" w:rsidR="0032333A" w:rsidRPr="002E0EF7" w:rsidRDefault="0032333A" w:rsidP="00DC6F8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 إحدى المنظمات النسائية الوطنية التي تناصر عملية الإفراج عن المحتجزين بشكل تعسّفي أو عن المختفين القسريين قد تعرّضت لحالات مضايقة وإعتقال تعسفي.</w:t>
      </w:r>
      <w:r w:rsidRPr="0032333A">
        <w:rPr>
          <w:rStyle w:val="FootnoteReference"/>
          <w:rFonts w:ascii="Traditional Arabic" w:hAnsi="Traditional Arabic" w:cs="Traditional Arabic"/>
          <w:sz w:val="30"/>
          <w:szCs w:val="30"/>
        </w:rPr>
        <w:t xml:space="preserve"> </w:t>
      </w:r>
      <w:r w:rsidRPr="0032333A">
        <w:rPr>
          <w:rFonts w:ascii="Traditional Arabic" w:hAnsi="Traditional Arabic" w:cs="Traditional Arabic"/>
          <w:sz w:val="30"/>
          <w:szCs w:val="30"/>
          <w:rtl/>
        </w:rPr>
        <w:t>فقد تمّ القبض على أحد مؤسسيها بشكل تعسفي عدة مرات في السنوات الأولى بعد أن بدأت المنظمة عملها. وفي العام 2018، تعرّضت ناشطات كنّ ينظّمن اجتماعات حاشدة للمنظمة، للتهويل والتخويف على أيدي رجال مجهولين يرتدون ملابس مدنية قاموا بمضايقتهن أثناء ممارستهن لأنشطتهن أو لحقوهنّ قبل أن ينضمّين إلى نشاط ما. كما قاموا بإلغاء احتجاجاتهن العامة في أكثر من مناسبة بعد أن حُذرن من عمليات مداهمة وشيكة من جانب الأمن الحوثي وخشين أن يتم القبض عليهن</w:t>
      </w:r>
      <w:r w:rsidRPr="0032333A">
        <w:rPr>
          <w:rFonts w:ascii="Traditional Arabic" w:hAnsi="Traditional Arabic" w:cs="Traditional Arabic"/>
          <w:sz w:val="30"/>
          <w:szCs w:val="30"/>
        </w:rPr>
        <w:t>.</w:t>
      </w:r>
    </w:p>
    <w:p w14:paraId="18798E3E" w14:textId="53124E8B" w:rsidR="0032333A" w:rsidRPr="002E0EF7" w:rsidRDefault="0032333A" w:rsidP="00BD50A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منذ أواخر العام 2016، </w:t>
      </w:r>
      <w:r w:rsidRPr="0032333A">
        <w:rPr>
          <w:rFonts w:ascii="Traditional Arabic" w:hAnsi="Traditional Arabic" w:cs="Traditional Arabic"/>
          <w:sz w:val="30"/>
          <w:szCs w:val="30"/>
          <w:rtl/>
          <w:lang w:bidi="ar-LB"/>
        </w:rPr>
        <w:t xml:space="preserve">أفادت تقارير عن </w:t>
      </w:r>
      <w:r w:rsidRPr="0032333A">
        <w:rPr>
          <w:rFonts w:ascii="Traditional Arabic" w:hAnsi="Traditional Arabic" w:cs="Traditional Arabic"/>
          <w:sz w:val="30"/>
          <w:szCs w:val="30"/>
          <w:rtl/>
        </w:rPr>
        <w:t xml:space="preserve">تفريق تجمّعات سلمية بالقوة، ولا سيما التجمعات النسائية، ومنها الاحتجاجات التي قادتها نساء المؤتمر الشعبي العام في كانون الأول/ ديسمبر 2017 وآذار/ مارس 2018 </w:t>
      </w:r>
      <w:r w:rsidRPr="0032333A">
        <w:rPr>
          <w:rStyle w:val="FootnoteReference"/>
          <w:rFonts w:ascii="Traditional Arabic" w:hAnsi="Traditional Arabic" w:cs="Traditional Arabic"/>
          <w:sz w:val="30"/>
          <w:szCs w:val="30"/>
        </w:rPr>
        <w:footnoteReference w:id="610"/>
      </w:r>
      <w:r w:rsidRPr="0032333A">
        <w:rPr>
          <w:rFonts w:ascii="Traditional Arabic" w:hAnsi="Traditional Arabic" w:cs="Traditional Arabic"/>
          <w:sz w:val="30"/>
          <w:szCs w:val="30"/>
          <w:rtl/>
        </w:rPr>
        <w:t xml:space="preserve"> وقمعتها بعنف قوات الأمن النسائية </w:t>
      </w:r>
      <w:r w:rsidR="00BD50A4">
        <w:rPr>
          <w:rFonts w:ascii="Traditional Arabic" w:hAnsi="Traditional Arabic" w:cs="Traditional Arabic" w:hint="cs"/>
          <w:sz w:val="30"/>
          <w:szCs w:val="30"/>
          <w:rtl/>
        </w:rPr>
        <w:t>التابعة</w:t>
      </w:r>
      <w:r w:rsidRPr="0032333A">
        <w:rPr>
          <w:rFonts w:ascii="Traditional Arabic" w:hAnsi="Traditional Arabic" w:cs="Traditional Arabic"/>
          <w:sz w:val="30"/>
          <w:szCs w:val="30"/>
          <w:rtl/>
        </w:rPr>
        <w:t xml:space="preserve"> </w:t>
      </w:r>
      <w:r w:rsidR="00BD50A4">
        <w:rPr>
          <w:rFonts w:ascii="Traditional Arabic" w:hAnsi="Traditional Arabic" w:cs="Traditional Arabic" w:hint="cs"/>
          <w:sz w:val="30"/>
          <w:szCs w:val="30"/>
          <w:rtl/>
        </w:rPr>
        <w:t>ل</w:t>
      </w:r>
      <w:r w:rsidRPr="0032333A">
        <w:rPr>
          <w:rFonts w:ascii="Traditional Arabic" w:hAnsi="Traditional Arabic" w:cs="Traditional Arabic"/>
          <w:sz w:val="30"/>
          <w:szCs w:val="30"/>
          <w:rtl/>
        </w:rPr>
        <w:t xml:space="preserve">لحوثيين، أو من يشار إليهن باسم "الزينبيات". </w:t>
      </w:r>
      <w:r w:rsidR="00BD50A4">
        <w:rPr>
          <w:rFonts w:ascii="Traditional Arabic" w:hAnsi="Traditional Arabic" w:cs="Traditional Arabic" w:hint="cs"/>
          <w:sz w:val="30"/>
          <w:szCs w:val="30"/>
          <w:rtl/>
        </w:rPr>
        <w:t>و</w:t>
      </w:r>
      <w:r w:rsidRPr="0032333A">
        <w:rPr>
          <w:rFonts w:ascii="Traditional Arabic" w:hAnsi="Traditional Arabic" w:cs="Traditional Arabic"/>
          <w:sz w:val="30"/>
          <w:szCs w:val="30"/>
          <w:rtl/>
        </w:rPr>
        <w:t>"</w:t>
      </w:r>
      <w:r w:rsidR="00BD50A4">
        <w:rPr>
          <w:rFonts w:ascii="Traditional Arabic" w:hAnsi="Traditional Arabic" w:cs="Traditional Arabic" w:hint="cs"/>
          <w:sz w:val="30"/>
          <w:szCs w:val="30"/>
          <w:rtl/>
        </w:rPr>
        <w:t>ال</w:t>
      </w:r>
      <w:r w:rsidRPr="0032333A">
        <w:rPr>
          <w:rFonts w:ascii="Traditional Arabic" w:hAnsi="Traditional Arabic" w:cs="Traditional Arabic"/>
          <w:sz w:val="30"/>
          <w:szCs w:val="30"/>
          <w:rtl/>
        </w:rPr>
        <w:t>زينبيات" هي قوة أمنية من الحوثيين تم تشكيلها للتعامل حصريًا مع النساء والفتيات</w:t>
      </w:r>
      <w:r w:rsidRPr="0032333A">
        <w:rPr>
          <w:rStyle w:val="FootnoteReference"/>
          <w:rFonts w:ascii="Traditional Arabic" w:hAnsi="Traditional Arabic" w:cs="Traditional Arabic"/>
          <w:sz w:val="30"/>
          <w:szCs w:val="30"/>
        </w:rPr>
        <w:footnoteReference w:id="611"/>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لأن العملاء الذكور من قوات الأمن لا يمكنهم مواجهة أو اعتقال النساء علنًا بسبب المجتمع اليمني المحافظ. </w:t>
      </w:r>
      <w:r w:rsidR="00BD50A4">
        <w:rPr>
          <w:rFonts w:ascii="Traditional Arabic" w:hAnsi="Traditional Arabic" w:cs="Traditional Arabic" w:hint="cs"/>
          <w:sz w:val="30"/>
          <w:szCs w:val="30"/>
          <w:rtl/>
        </w:rPr>
        <w:t>وحصل تشكيلها</w:t>
      </w:r>
      <w:r w:rsidR="00BD50A4" w:rsidRPr="0032333A">
        <w:rPr>
          <w:rFonts w:ascii="Traditional Arabic" w:hAnsi="Traditional Arabic" w:cs="Traditional Arabic"/>
          <w:sz w:val="30"/>
          <w:szCs w:val="30"/>
          <w:rtl/>
        </w:rPr>
        <w:t xml:space="preserve"> </w:t>
      </w:r>
      <w:r w:rsidRPr="0032333A">
        <w:rPr>
          <w:rFonts w:ascii="Traditional Arabic" w:hAnsi="Traditional Arabic" w:cs="Traditional Arabic"/>
          <w:sz w:val="30"/>
          <w:szCs w:val="30"/>
          <w:rtl/>
        </w:rPr>
        <w:t>عندما بدأت النساء والفتيات في لعب دور قيادي في المظاهرات في صنعاء، إذ شعرن أن مكانهن في المجتمع اليمني سيوفر لهن حماية أفضل ضد انتهاكات حقوق الإنسان من الذكور</w:t>
      </w:r>
      <w:r w:rsidRPr="0032333A">
        <w:rPr>
          <w:rFonts w:ascii="Traditional Arabic" w:hAnsi="Traditional Arabic" w:cs="Traditional Arabic"/>
          <w:sz w:val="30"/>
          <w:szCs w:val="30"/>
        </w:rPr>
        <w:t>.</w:t>
      </w:r>
    </w:p>
    <w:p w14:paraId="0A52B0C6" w14:textId="77777777" w:rsidR="0032333A" w:rsidRPr="0032333A" w:rsidRDefault="0032333A" w:rsidP="0032333A">
      <w:pPr>
        <w:bidi/>
        <w:spacing w:after="120"/>
        <w:ind w:left="962" w:right="827" w:firstLine="567"/>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الاستخدام المفرط للقوة ضد المرأة في تجمّع سلمي، في 6 تشرين الأول/ أكتوبر 2018</w:t>
      </w:r>
    </w:p>
    <w:p w14:paraId="21546403" w14:textId="6D4C1987" w:rsidR="0032333A" w:rsidRPr="0032333A" w:rsidRDefault="0032333A" w:rsidP="0075544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lastRenderedPageBreak/>
        <w:t xml:space="preserve">في 6 تشرين الأول / أكتوبر 2018، نظمت شابات ناشطات تجمّعاً سلمياً </w:t>
      </w:r>
      <w:r w:rsidRPr="0032333A">
        <w:rPr>
          <w:rStyle w:val="FootnoteReference"/>
          <w:rFonts w:ascii="Traditional Arabic" w:hAnsi="Traditional Arabic" w:cs="Traditional Arabic"/>
          <w:sz w:val="30"/>
          <w:szCs w:val="30"/>
          <w:rtl/>
        </w:rPr>
        <w:footnoteReference w:id="612"/>
      </w:r>
      <w:r w:rsidRPr="0032333A">
        <w:rPr>
          <w:rFonts w:ascii="Traditional Arabic" w:hAnsi="Traditional Arabic" w:cs="Traditional Arabic"/>
          <w:sz w:val="30"/>
          <w:szCs w:val="30"/>
          <w:rtl/>
        </w:rPr>
        <w:t>عبر وسائل التواصل الاجتماعي، للمطالبة بوضع حدّ للتدهور المستمر للحالة الاجتماعية والاقتصادية في بلد مزّقته الحرب. دعا المنظمون الى مشاركة الإناث، بسبب الشعور بالخوف من تعرّض الرجال لخطر الاعتداء الجسدي أو الاعتقالات، كما حصل في مظاهرات سابقة</w:t>
      </w:r>
      <w:r w:rsidRPr="0032333A">
        <w:rPr>
          <w:rStyle w:val="FootnoteReference"/>
          <w:rFonts w:ascii="Traditional Arabic" w:hAnsi="Traditional Arabic" w:cs="Traditional Arabic"/>
          <w:sz w:val="30"/>
          <w:szCs w:val="30"/>
        </w:rPr>
        <w:footnoteReference w:id="613"/>
      </w:r>
      <w:r w:rsidRPr="0032333A">
        <w:rPr>
          <w:rFonts w:ascii="Traditional Arabic" w:hAnsi="Traditional Arabic" w:cs="Traditional Arabic"/>
          <w:sz w:val="30"/>
          <w:szCs w:val="30"/>
          <w:rtl/>
        </w:rPr>
        <w:t>. في ذلك الصباح، حصل انتشار كبير لل</w:t>
      </w:r>
      <w:r w:rsidR="00755443">
        <w:rPr>
          <w:rFonts w:ascii="Traditional Arabic" w:hAnsi="Traditional Arabic" w:cs="Traditional Arabic" w:hint="cs"/>
          <w:sz w:val="30"/>
          <w:szCs w:val="30"/>
          <w:rtl/>
        </w:rPr>
        <w:t>أفراد</w:t>
      </w:r>
      <w:r w:rsidRPr="0032333A">
        <w:rPr>
          <w:rFonts w:ascii="Traditional Arabic" w:hAnsi="Traditional Arabic" w:cs="Traditional Arabic"/>
          <w:sz w:val="30"/>
          <w:szCs w:val="30"/>
          <w:rtl/>
        </w:rPr>
        <w:t xml:space="preserve"> المسلح</w:t>
      </w:r>
      <w:r w:rsidR="00755443">
        <w:rPr>
          <w:rFonts w:ascii="Traditional Arabic" w:hAnsi="Traditional Arabic" w:cs="Traditional Arabic" w:hint="cs"/>
          <w:sz w:val="30"/>
          <w:szCs w:val="30"/>
          <w:rtl/>
        </w:rPr>
        <w:t>ين</w:t>
      </w:r>
      <w:r w:rsidRPr="0032333A">
        <w:rPr>
          <w:rFonts w:ascii="Traditional Arabic" w:hAnsi="Traditional Arabic" w:cs="Traditional Arabic"/>
          <w:sz w:val="30"/>
          <w:szCs w:val="30"/>
          <w:rtl/>
        </w:rPr>
        <w:t xml:space="preserve"> من الرجال والنساء الحوثيين وحوالي 40 حافلة كانت متوقفة حول ميدان التحرير حيث كان من المفترض أن تجري المظاهرة. عرقلت "الزينبيات" وصول المتظاهرين إلى الميدان واعتقلت بشكل عشوائي متظاهرين من ذكور وإناث وكذلك المارّة. تم احتجاز أحد الصحافيين الذكور بشكل عشوائي مع عشرات الأشخاص الآخرين  وتم نقله إلى مركز شرطة محلي. كان لا يزال في الاحتجاز وقت كتابة هذا التقرير</w:t>
      </w:r>
      <w:r w:rsidRPr="0032333A">
        <w:rPr>
          <w:rStyle w:val="FootnoteReference"/>
          <w:rFonts w:ascii="Traditional Arabic" w:hAnsi="Traditional Arabic" w:cs="Traditional Arabic"/>
          <w:sz w:val="30"/>
          <w:szCs w:val="30"/>
        </w:rPr>
        <w:footnoteReference w:id="614"/>
      </w:r>
      <w:r w:rsidRPr="0032333A">
        <w:rPr>
          <w:rFonts w:ascii="Traditional Arabic" w:hAnsi="Traditional Arabic" w:cs="Traditional Arabic"/>
          <w:sz w:val="30"/>
          <w:szCs w:val="30"/>
        </w:rPr>
        <w:t>.</w:t>
      </w:r>
    </w:p>
    <w:p w14:paraId="41E35527" w14:textId="1B4B1E11"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 xml:space="preserve">وفي الوقت نفسه، خارج جامعة صنعاء، تمّ نشر رجال حوثيين مسلحين وحوالي مائة من "الزينبيات" يحملون </w:t>
      </w:r>
      <w:r w:rsidRPr="0032333A">
        <w:rPr>
          <w:rFonts w:ascii="Traditional Arabic" w:hAnsi="Traditional Arabic" w:cs="Traditional Arabic"/>
          <w:sz w:val="30"/>
          <w:szCs w:val="30"/>
          <w:rtl/>
          <w:lang w:bidi="ar-LB"/>
        </w:rPr>
        <w:t>بنادق صاعقة من نوع تاسر</w:t>
      </w:r>
      <w:r w:rsidRPr="0032333A">
        <w:rPr>
          <w:rFonts w:ascii="Traditional Arabic" w:hAnsi="Traditional Arabic" w:cs="Traditional Arabic"/>
          <w:sz w:val="30"/>
          <w:szCs w:val="30"/>
          <w:rtl/>
        </w:rPr>
        <w:t xml:space="preserve"> والعصي والسكاكين. وذكر أحد الشهود أنهم أيضًا يحملون المسدسات والبنادق. قاموا بتفتيش الطلاب بطريقة عشوائية، بما في ذلك الفتيات والنساء اللواتي يعتزمن الانضمام إلى التجمّع فضلاً عن المارّة من الإناث، حوالي مائة فتاة وامرأة في المجموع. بدأت "الزينبيات" بمهاجمة النساء والفتيات بشكل عشوائي، مع استخدام العصي والصواعق الكهربائيه نوع  تاسر، مع التركيز بشكل خاص على الرقبة والظهر. يقال أن إحدى أفراد "الزينبيات" كانت تقول: "هيا أنتم المرتزقة"، "أنتم الإماراتيين"، "هيا يا حلفاء العدو</w:t>
      </w:r>
      <w:r w:rsidRPr="0032333A">
        <w:rPr>
          <w:rFonts w:ascii="Traditional Arabic" w:hAnsi="Traditional Arabic" w:cs="Traditional Arabic"/>
          <w:sz w:val="30"/>
          <w:szCs w:val="30"/>
        </w:rPr>
        <w:t>".</w:t>
      </w:r>
    </w:p>
    <w:p w14:paraId="4946976D" w14:textId="77777777" w:rsidR="0032333A" w:rsidRPr="0032333A" w:rsidRDefault="0032333A" w:rsidP="0032333A">
      <w:pPr>
        <w:pStyle w:val="ListParagraph"/>
        <w:bidi/>
        <w:spacing w:after="120" w:line="240" w:lineRule="atLeast"/>
        <w:ind w:left="1412" w:right="827"/>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هجمن علينا أنا وصديقتي التي ضربوها على رأسها بالعصا. هربنا [..] ولحقت بنا الزينبيات اللواتي واصلن ضربنا. قمن بخلع الحجاب عنا، فارتبكنا فيما كنا نحاول إعادته لتغطية رأسينا، بينما كنّ يضربننا على الجسد والرأس. كنّ يستخدمن الصواعق ويستهدفن منطقة العنق بشكل خاص</w:t>
      </w:r>
      <w:r w:rsidRPr="0032333A">
        <w:rPr>
          <w:rFonts w:ascii="Traditional Arabic" w:hAnsi="Traditional Arabic" w:cs="Traditional Arabic"/>
          <w:sz w:val="30"/>
          <w:szCs w:val="30"/>
        </w:rPr>
        <w:t xml:space="preserve"> "</w:t>
      </w:r>
    </w:p>
    <w:p w14:paraId="1B7EDAFF" w14:textId="429006A5" w:rsidR="0032333A" w:rsidRPr="00E07AC2" w:rsidRDefault="0032333A" w:rsidP="00E07AC2">
      <w:pPr>
        <w:pStyle w:val="ListParagraph"/>
        <w:bidi/>
        <w:spacing w:after="120" w:line="240" w:lineRule="atLeast"/>
        <w:ind w:left="962" w:right="827"/>
        <w:jc w:val="right"/>
        <w:rPr>
          <w:rFonts w:ascii="Traditional Arabic" w:hAnsi="Traditional Arabic" w:cs="Traditional Arabic"/>
          <w:b/>
          <w:bCs/>
          <w:sz w:val="30"/>
          <w:szCs w:val="30"/>
          <w:rtl/>
        </w:rPr>
      </w:pPr>
      <w:r w:rsidRPr="0032333A">
        <w:rPr>
          <w:rFonts w:ascii="Traditional Arabic" w:hAnsi="Traditional Arabic" w:cs="Traditional Arabic"/>
          <w:b/>
          <w:bCs/>
          <w:sz w:val="30"/>
          <w:szCs w:val="30"/>
          <w:rtl/>
        </w:rPr>
        <w:t>شابة حاولت المشاركة في مظاهرة في صنعاء</w:t>
      </w:r>
    </w:p>
    <w:p w14:paraId="6CA4269A"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في حوالي الساعة الحادية عشرة ظهراً، تمّ سحب ما بين 30 و 50 امرأة وإصعادهن الى الحافلات ونقلهن إلى مركز للشرطة في صنعاء حيث تم احتجازهن في زنزانات.  بعض الشاهدات يتذكّرن الاعتداء اللفظي الذي مارسته "الزينبيات" عليهن، حيث استخدمن لغة هجومية وتهديدات بالاغتصاب: </w:t>
      </w:r>
      <w:r w:rsidRPr="0032333A">
        <w:rPr>
          <w:rFonts w:ascii="Traditional Arabic" w:hAnsi="Traditional Arabic" w:cs="Traditional Arabic"/>
          <w:i/>
          <w:iCs/>
          <w:sz w:val="30"/>
          <w:szCs w:val="30"/>
          <w:rtl/>
        </w:rPr>
        <w:t xml:space="preserve">"قيل لنا إننا نستحق الموت، وكن يناديننا عاهرات ويهددن بأخذنا إلى الجنود السودانيين كي يغتصبوننا. قلن لنا أيضاً "سنرسلكنّ الى رجالنا على الخطوط الأمامية، على الأقل لديهم حقوق أكثر منكن". تلقينا محاضرات عن الدين. كانت إحدى النساء المتقدمات في السن مصابة بداء السكري وتحتاج إلى مساعدة، لكن تمّ رفضها". </w:t>
      </w:r>
      <w:r w:rsidRPr="0032333A">
        <w:rPr>
          <w:rFonts w:ascii="Traditional Arabic" w:hAnsi="Traditional Arabic" w:cs="Traditional Arabic"/>
          <w:sz w:val="30"/>
          <w:szCs w:val="30"/>
          <w:rtl/>
        </w:rPr>
        <w:t>وروت شابة راشدة قائلة</w:t>
      </w:r>
      <w:r w:rsidRPr="0032333A">
        <w:rPr>
          <w:rFonts w:ascii="Traditional Arabic" w:hAnsi="Traditional Arabic" w:cs="Traditional Arabic"/>
          <w:i/>
          <w:iCs/>
          <w:sz w:val="30"/>
          <w:szCs w:val="30"/>
          <w:rtl/>
        </w:rPr>
        <w:t xml:space="preserve"> "سمعت كلمات لم أسمعها في حياتي. لا استطيع أن أنسى ذلك اليوم المليء بالإهانات"</w:t>
      </w:r>
      <w:r w:rsidRPr="0032333A">
        <w:rPr>
          <w:rFonts w:ascii="Traditional Arabic" w:hAnsi="Traditional Arabic" w:cs="Traditional Arabic"/>
          <w:sz w:val="30"/>
          <w:szCs w:val="30"/>
          <w:rtl/>
        </w:rPr>
        <w:t xml:space="preserve">. قام رجال من سلطات الأمر الواقع الذين يرتدون ملابس مدنية باستجواب نساء بشكل فردي في غرفة منفصلة، متهمين </w:t>
      </w:r>
      <w:r w:rsidRPr="0032333A">
        <w:rPr>
          <w:rFonts w:ascii="Traditional Arabic" w:hAnsi="Traditional Arabic" w:cs="Traditional Arabic"/>
          <w:sz w:val="30"/>
          <w:szCs w:val="30"/>
          <w:rtl/>
        </w:rPr>
        <w:lastRenderedPageBreak/>
        <w:t>إياهن بالتعاون مع التحالف. وقد أُطلق سراحهن في نهاية اليوم، بعد أن احتُجزن بدون السماح لهن بالاتصال بمحامٍ، وبعد توقيع بيان يتعهدن فيه عدم المشاركة في الاحتجاجات مجدداً، شرط أن يأتي رجل راشد لاصطحابهن. واضطرّ عدد من النساء للفرار من صنعاء عقب المظاهرة، خوفًا من الانتقام منهن عبر الإساءة الى سلامتهن البدنية سيما أن تهديدات صدرت بعد الحدث</w:t>
      </w:r>
      <w:r w:rsidRPr="0032333A">
        <w:rPr>
          <w:rFonts w:ascii="Traditional Arabic" w:hAnsi="Traditional Arabic" w:cs="Traditional Arabic"/>
          <w:sz w:val="30"/>
          <w:szCs w:val="30"/>
        </w:rPr>
        <w:t>.</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15"/>
      </w:r>
    </w:p>
    <w:p w14:paraId="2494F17D"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يبدو أن قيام سلطات الأمر الواقع بفرض وجود وصي/محرم  ذكر كشرط للسماح بالإفراج عن النساء والفتيات اللائي قُبض عليهن خلال الاحتجاجات، والناشطات السياسيات أو الناشطات في مجال حقوق الإنسان، يهدف إلى إذلال كل من الأنثى المعتقلة وزوجها أو والدها. أخبرت إحدى المحتجزات السابقات فريق الخبراء بأنها رفضت أن يأتي زوجها "العجوز" ويأخذها من مركز الشرطة لأنها شعرت أن هذه إهانة بالنسبة إليه. بقيت محتجزة حتى تفاوضت معهم كي يأتي أحد أقربائها كبديل لاصطحابها</w:t>
      </w:r>
      <w:r w:rsidRPr="0032333A">
        <w:rPr>
          <w:rStyle w:val="FootnoteReference"/>
          <w:rFonts w:ascii="Traditional Arabic" w:hAnsi="Traditional Arabic" w:cs="Traditional Arabic"/>
          <w:sz w:val="30"/>
          <w:szCs w:val="30"/>
        </w:rPr>
        <w:footnoteReference w:id="616"/>
      </w:r>
      <w:r w:rsidRPr="0032333A">
        <w:rPr>
          <w:rFonts w:ascii="Traditional Arabic" w:hAnsi="Traditional Arabic" w:cs="Traditional Arabic"/>
          <w:sz w:val="30"/>
          <w:szCs w:val="30"/>
        </w:rPr>
        <w:t>.</w:t>
      </w:r>
    </w:p>
    <w:p w14:paraId="204468B0" w14:textId="46FA525D" w:rsidR="0032333A" w:rsidRPr="0032333A" w:rsidRDefault="0032333A" w:rsidP="00387593">
      <w:pPr>
        <w:bidi/>
        <w:spacing w:line="240" w:lineRule="auto"/>
        <w:ind w:left="962" w:right="827"/>
        <w:jc w:val="both"/>
        <w:rPr>
          <w:rFonts w:ascii="Traditional Arabic" w:hAnsi="Traditional Arabic" w:cs="Traditional Arabic"/>
          <w:sz w:val="30"/>
          <w:szCs w:val="30"/>
          <w:u w:val="single"/>
          <w:rtl/>
        </w:rPr>
      </w:pPr>
      <w:r w:rsidRPr="0032333A">
        <w:rPr>
          <w:rFonts w:ascii="Traditional Arabic" w:hAnsi="Traditional Arabic" w:cs="Traditional Arabic"/>
          <w:sz w:val="30"/>
          <w:szCs w:val="30"/>
          <w:u w:val="single"/>
          <w:rtl/>
        </w:rPr>
        <w:t>القيود المفروضة على التجمعات السلمية في "</w:t>
      </w:r>
      <w:r w:rsidR="00387593">
        <w:rPr>
          <w:rFonts w:ascii="Traditional Arabic" w:hAnsi="Traditional Arabic" w:cs="Traditional Arabic" w:hint="cs"/>
          <w:sz w:val="30"/>
          <w:szCs w:val="30"/>
          <w:u w:val="single"/>
          <w:rtl/>
        </w:rPr>
        <w:t xml:space="preserve">زمن </w:t>
      </w:r>
      <w:r w:rsidRPr="0032333A">
        <w:rPr>
          <w:rFonts w:ascii="Traditional Arabic" w:hAnsi="Traditional Arabic" w:cs="Traditional Arabic"/>
          <w:sz w:val="30"/>
          <w:szCs w:val="30"/>
          <w:u w:val="single"/>
          <w:rtl/>
        </w:rPr>
        <w:t>الحرب</w:t>
      </w:r>
      <w:r w:rsidR="00387593">
        <w:rPr>
          <w:rFonts w:ascii="Traditional Arabic" w:hAnsi="Traditional Arabic" w:cs="Traditional Arabic" w:hint="cs"/>
          <w:sz w:val="30"/>
          <w:szCs w:val="30"/>
          <w:u w:val="single"/>
          <w:rtl/>
        </w:rPr>
        <w:t>"</w:t>
      </w:r>
    </w:p>
    <w:p w14:paraId="35A97725" w14:textId="77777777" w:rsidR="0032333A" w:rsidRPr="0032333A" w:rsidRDefault="0032333A" w:rsidP="0032333A">
      <w:pPr>
        <w:bidi/>
        <w:spacing w:line="240" w:lineRule="auto"/>
        <w:ind w:left="1701" w:right="827"/>
        <w:jc w:val="both"/>
        <w:rPr>
          <w:rFonts w:ascii="Traditional Arabic" w:hAnsi="Traditional Arabic" w:cs="Traditional Arabic"/>
          <w:sz w:val="30"/>
          <w:szCs w:val="30"/>
          <w:rtl/>
        </w:rPr>
      </w:pPr>
      <w:r w:rsidRPr="0032333A">
        <w:rPr>
          <w:rFonts w:ascii="Traditional Arabic" w:hAnsi="Traditional Arabic" w:cs="Traditional Arabic"/>
          <w:i/>
          <w:iCs/>
          <w:sz w:val="30"/>
          <w:szCs w:val="30"/>
          <w:rtl/>
        </w:rPr>
        <w:t>قال: "هل تعرف التهم الموجهة إليك؟" قلت، "لا ، ليس رسميًا". قال: "أنت تدعو للسلام ... قلت" أنت تمزح بالتأكيد". قال: "لا ، نحن الآن في زمن الحرب ... علينا تعبئة الناس كي يقاتلوا، لذلك عندما تتحدث عن السلام، فأنت تتصرف ضد الدولة</w:t>
      </w:r>
      <w:r w:rsidRPr="0032333A">
        <w:rPr>
          <w:rStyle w:val="FootnoteReference"/>
          <w:rFonts w:ascii="Traditional Arabic" w:hAnsi="Traditional Arabic" w:cs="Traditional Arabic"/>
          <w:i/>
          <w:iCs/>
          <w:sz w:val="30"/>
          <w:szCs w:val="30"/>
        </w:rPr>
        <w:footnoteReference w:id="617"/>
      </w:r>
      <w:r w:rsidRPr="0032333A">
        <w:rPr>
          <w:rFonts w:ascii="Traditional Arabic" w:hAnsi="Traditional Arabic" w:cs="Traditional Arabic"/>
          <w:sz w:val="30"/>
          <w:szCs w:val="30"/>
        </w:rPr>
        <w:t>".</w:t>
      </w:r>
    </w:p>
    <w:p w14:paraId="414C9963" w14:textId="77777777" w:rsidR="0032333A" w:rsidRPr="0032333A" w:rsidRDefault="0032333A" w:rsidP="006E4E4F">
      <w:pPr>
        <w:bidi/>
        <w:spacing w:after="240" w:line="240" w:lineRule="auto"/>
        <w:ind w:left="2268" w:right="82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رجل احتجز بصورة تعسفية واستجوبته سلطات الأمر الواقع لمشاركته في مؤتمر</w:t>
      </w:r>
    </w:p>
    <w:p w14:paraId="09BD7F78" w14:textId="5E169FC2"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قام فريق الخبراء بتوثيق حادثتين وقعتا في آب/ أغسطس 2016 </w:t>
      </w:r>
      <w:r w:rsidRPr="0032333A">
        <w:rPr>
          <w:rStyle w:val="FootnoteReference"/>
          <w:rFonts w:ascii="Traditional Arabic" w:hAnsi="Traditional Arabic" w:cs="Traditional Arabic"/>
          <w:sz w:val="30"/>
          <w:szCs w:val="30"/>
        </w:rPr>
        <w:footnoteReference w:id="618"/>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وفي تشرين الأول/ أكتوبر 2018 </w:t>
      </w:r>
      <w:r w:rsidRPr="0032333A">
        <w:rPr>
          <w:rStyle w:val="FootnoteReference"/>
          <w:rFonts w:ascii="Traditional Arabic" w:hAnsi="Traditional Arabic" w:cs="Traditional Arabic"/>
          <w:sz w:val="30"/>
          <w:szCs w:val="30"/>
        </w:rPr>
        <w:footnoteReference w:id="619"/>
      </w:r>
      <w:r w:rsidRPr="0032333A">
        <w:rPr>
          <w:rFonts w:ascii="Traditional Arabic" w:hAnsi="Traditional Arabic" w:cs="Traditional Arabic"/>
          <w:sz w:val="30"/>
          <w:szCs w:val="30"/>
          <w:rtl/>
        </w:rPr>
        <w:t xml:space="preserve"> في صنعاء حيث داهم عملاء مسلحون من قوات الأمن التابعة لسلطات الأمر الواقع التجمعات السلمية، بما في ذلك مؤتمراً صحافياً حضره حوالي 20 مشاركًا</w:t>
      </w:r>
      <w:r w:rsidR="00387593">
        <w:rPr>
          <w:rFonts w:ascii="Traditional Arabic" w:hAnsi="Traditional Arabic" w:cs="Traditional Arabic" w:hint="cs"/>
          <w:sz w:val="30"/>
          <w:szCs w:val="30"/>
          <w:rtl/>
        </w:rPr>
        <w:t>،</w:t>
      </w:r>
      <w:r w:rsidRPr="0032333A">
        <w:rPr>
          <w:rFonts w:ascii="Traditional Arabic" w:hAnsi="Traditional Arabic" w:cs="Traditional Arabic"/>
          <w:sz w:val="30"/>
          <w:szCs w:val="30"/>
          <w:rtl/>
        </w:rPr>
        <w:t xml:space="preserve"> وفعالية مجتمعية ضمّت حوالي 60 مشاركاً. في كلتا الحالتين، تم القبض على جميع المشاركين واحتجازهم. في أحد هذين الحدثين تم إطلاق سراح المشاركين بحلول نهاية اليوم، أما في الحدث الآخر، فتمّ احتجاز حوالي 11 مشاركًا (من رجال ونساء) لفترة أطول من الوقت، تصل إلى شهر كامل للبعض، وبدون توجيه التهم إليهم. وأثناء استجوابهم، سُئلوا عن دوافعهم لتنظيم مثل هذه الفعاليات وفي بعض الحالات عُصبت عيونهم أثناء الاستجواب. قبل إطلاق سراحهم، طُلب من العديد منهم التوقيع على التزامات بالموافقة على عدم المشاركة أو تنظيم أي فعاليات مجتمعية مجدداً</w:t>
      </w:r>
      <w:r w:rsidRPr="0032333A">
        <w:rPr>
          <w:rFonts w:ascii="Traditional Arabic" w:hAnsi="Traditional Arabic" w:cs="Traditional Arabic"/>
          <w:sz w:val="30"/>
          <w:szCs w:val="30"/>
        </w:rPr>
        <w:t>.</w:t>
      </w:r>
    </w:p>
    <w:p w14:paraId="4F92BB88" w14:textId="77777777" w:rsidR="0032333A" w:rsidRPr="0032333A" w:rsidRDefault="0032333A" w:rsidP="0032333A">
      <w:pPr>
        <w:bidi/>
        <w:spacing w:after="120"/>
        <w:ind w:left="395" w:right="827" w:firstLine="56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القيود المفروضة على حرية تكوين الجمعيات، بما في ذلك الانتماء السياسي</w:t>
      </w:r>
    </w:p>
    <w:p w14:paraId="4B312C45" w14:textId="65994963" w:rsidR="0032333A" w:rsidRPr="0032333A" w:rsidRDefault="0032333A" w:rsidP="00E90691">
      <w:pPr>
        <w:bidi/>
        <w:spacing w:after="120"/>
        <w:ind w:left="962"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قضية المعتقلين الذكور البالغ عددهم 36 معتقل</w:t>
      </w:r>
      <w:r w:rsidR="00E90691">
        <w:rPr>
          <w:rFonts w:ascii="Traditional Arabic" w:hAnsi="Traditional Arabic" w:cs="Traditional Arabic" w:hint="cs"/>
          <w:sz w:val="30"/>
          <w:szCs w:val="30"/>
          <w:u w:val="single"/>
          <w:rtl/>
        </w:rPr>
        <w:t>،</w:t>
      </w:r>
      <w:r w:rsidRPr="0032333A">
        <w:rPr>
          <w:rFonts w:ascii="Traditional Arabic" w:hAnsi="Traditional Arabic" w:cs="Traditional Arabic"/>
          <w:sz w:val="30"/>
          <w:szCs w:val="30"/>
          <w:u w:val="single"/>
          <w:rtl/>
        </w:rPr>
        <w:t xml:space="preserve"> حُكم عل</w:t>
      </w:r>
      <w:r w:rsidR="00E90691">
        <w:rPr>
          <w:rFonts w:ascii="Traditional Arabic" w:hAnsi="Traditional Arabic" w:cs="Traditional Arabic" w:hint="cs"/>
          <w:sz w:val="30"/>
          <w:szCs w:val="30"/>
          <w:u w:val="single"/>
          <w:rtl/>
        </w:rPr>
        <w:t>ى</w:t>
      </w:r>
      <w:r w:rsidRPr="0032333A">
        <w:rPr>
          <w:rFonts w:ascii="Traditional Arabic" w:hAnsi="Traditional Arabic" w:cs="Traditional Arabic"/>
          <w:sz w:val="30"/>
          <w:szCs w:val="30"/>
          <w:u w:val="single"/>
          <w:rtl/>
        </w:rPr>
        <w:t xml:space="preserve"> </w:t>
      </w:r>
      <w:r w:rsidR="00E90691" w:rsidRPr="0032333A">
        <w:rPr>
          <w:rFonts w:ascii="Traditional Arabic" w:hAnsi="Traditional Arabic" w:cs="Traditional Arabic"/>
          <w:sz w:val="30"/>
          <w:szCs w:val="30"/>
          <w:u w:val="single"/>
          <w:rtl/>
        </w:rPr>
        <w:t xml:space="preserve">30 منهم </w:t>
      </w:r>
      <w:r w:rsidRPr="0032333A">
        <w:rPr>
          <w:rFonts w:ascii="Traditional Arabic" w:hAnsi="Traditional Arabic" w:cs="Traditional Arabic"/>
          <w:sz w:val="30"/>
          <w:szCs w:val="30"/>
          <w:u w:val="single"/>
          <w:rtl/>
        </w:rPr>
        <w:t>بالإعدام</w:t>
      </w:r>
    </w:p>
    <w:p w14:paraId="0D0D6664" w14:textId="772FECF3"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lastRenderedPageBreak/>
        <w:t xml:space="preserve">نظر فريق الخبراء في عملية احتجاز ومحاكمة 36 رجلاً كانت تتراوح أعمارهم بين 21 و48 عامًا عند </w:t>
      </w:r>
      <w:r w:rsidR="005A4F5C">
        <w:rPr>
          <w:rFonts w:ascii="Traditional Arabic" w:hAnsi="Traditional Arabic" w:cs="Traditional Arabic" w:hint="cs"/>
          <w:sz w:val="30"/>
          <w:szCs w:val="30"/>
          <w:rtl/>
        </w:rPr>
        <w:t xml:space="preserve">فترة </w:t>
      </w:r>
      <w:r w:rsidRPr="0032333A">
        <w:rPr>
          <w:rFonts w:ascii="Traditional Arabic" w:hAnsi="Traditional Arabic" w:cs="Traditional Arabic"/>
          <w:sz w:val="30"/>
          <w:szCs w:val="30"/>
          <w:rtl/>
        </w:rPr>
        <w:t>إلقاء القبض عليهم، بمن فيهم أستاذ جامعي، ومعلمون، وطلاب (14)، ومدير مدرسة، وعمال، ومهندسون، وموظفون حكوميون سابقون اعتقلتهم قوات الأمن التابعة لسلطات الأمر الواقع في أماكن مختلفة من شمال اليمن تعسفاً في فترات مختلفة، قرب نهاية العام 2015 والعام 2016، بدون إبلاغهم بالتّهم الموجهة إليهم وقت القبض عليهم</w:t>
      </w:r>
      <w:r w:rsidRPr="0032333A">
        <w:rPr>
          <w:rStyle w:val="FootnoteReference"/>
          <w:rFonts w:ascii="Traditional Arabic" w:hAnsi="Traditional Arabic" w:cs="Traditional Arabic"/>
          <w:sz w:val="30"/>
          <w:szCs w:val="30"/>
        </w:rPr>
        <w:footnoteReference w:id="620"/>
      </w:r>
      <w:r w:rsidRPr="0032333A">
        <w:rPr>
          <w:rFonts w:ascii="Traditional Arabic" w:hAnsi="Traditional Arabic" w:cs="Traditional Arabic"/>
          <w:sz w:val="30"/>
          <w:szCs w:val="30"/>
          <w:rtl/>
        </w:rPr>
        <w:t>. وأُفيد بأن معظمهم كانوا أعضاء أو مؤيدين لحزب الإصلاح، مما يشير إلى أن اعتقالهم قد يكون مرتبط بانتمائهم السياسي. وقد تمّ إخفاء 36 محتجزًا قسريًا في مراحل مختلفة من احتجازهم، واحتُجزوا في الحبس الانفرادي لفترات طويلة تصل إلى 6 أشهر في كل مرة. وفي نيسان/ إبريل 2017، وُجهت تهم إليهم، بما فيها عضويتهم في الجناح العسكري للإصلاح، والمشاركة في الاغتيالات، وتفجير القنابل، والقيام بالتدريب العسكري في مأرب، وتتبّع تحركات شخصيات من الحوثيين ومن المؤتمر الشعبي العام. في 9 تموز/ يوليو 2019، وعلى الرغم من أنّ المحاكمة التي جرت بدت مليئة بالشوائب، حكمت المحكمة الجنائية المتخصصة في صنعاء على 30 من هؤلاء الرجال بالإعدام وبرّأت ستة</w:t>
      </w:r>
      <w:r w:rsidRPr="0032333A">
        <w:rPr>
          <w:rFonts w:ascii="Traditional Arabic" w:hAnsi="Traditional Arabic" w:cs="Traditional Arabic"/>
          <w:sz w:val="30"/>
          <w:szCs w:val="30"/>
        </w:rPr>
        <w:t>.</w:t>
      </w:r>
    </w:p>
    <w:p w14:paraId="561DBC4E" w14:textId="52F4EE81" w:rsidR="0032333A" w:rsidRPr="0032333A" w:rsidRDefault="0032333A" w:rsidP="00F35C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وجد فريق الخبراء أنه طوال العملية القضائية، لم يتم احترام حق المتهمين في ضمان تأمين محاكمة عادلة حسب الأصول. ولعلّ الانتهاك الأبرز هو أن المحاكمة استندت الى اعترافات تمّ الحصول عليها بالإكراه. وأثناء الاستجواب من جانب هيئة النيابة العامة، أنكر العديد من المتهمين التهم الموجهة إليهم، زاعمين أن ش</w:t>
      </w:r>
      <w:r w:rsidR="00F35C15">
        <w:rPr>
          <w:rFonts w:ascii="Traditional Arabic" w:hAnsi="Traditional Arabic" w:cs="Traditional Arabic"/>
          <w:sz w:val="30"/>
          <w:szCs w:val="30"/>
          <w:rtl/>
        </w:rPr>
        <w:t>هاداتهم انتُزعت بعد التعذيب. ت</w:t>
      </w:r>
      <w:r w:rsidR="00F35C15">
        <w:rPr>
          <w:rFonts w:ascii="Traditional Arabic" w:hAnsi="Traditional Arabic" w:cs="Traditional Arabic" w:hint="cs"/>
          <w:sz w:val="30"/>
          <w:szCs w:val="30"/>
          <w:rtl/>
        </w:rPr>
        <w:t>فيد</w:t>
      </w:r>
      <w:r w:rsidRPr="0032333A">
        <w:rPr>
          <w:rFonts w:ascii="Traditional Arabic" w:hAnsi="Traditional Arabic" w:cs="Traditional Arabic"/>
          <w:sz w:val="30"/>
          <w:szCs w:val="30"/>
          <w:rtl/>
        </w:rPr>
        <w:t xml:space="preserve"> ادعاءات موثوقة أن العديد منهم قد تعرّضوا لسوء المعاملة والتعذيب في مراكز احتجاز مختلفة، بما في ذلك المديرية العامة للتحقيق الجنائي في صنعاء حيث استجوبتهم القوات الأمنية فور إلقاء القبض عليهم، وفي مركز الاحتجاز التابع للأمن السياسي حيث هم محتجزون حالياً. وفي جلسات الاستماع العامة المختلفة، ذكر محتجزون أنهم يتعرضون لسوء المعاملة المستمرة. ولدى بدء محاكمة بعض المدعى عليهم الذين عينوا محامياً، لم  يتمكّنوا من الالتقاء بالمحامي قبل مثولهم للمرّة الأولى أمام النيابة. ولم يُسمح للمحامين والمدعى عليهم عقد اجتماعات على انفراد. جرى إستجواب بعض المدعى عليهم من جانب المدّعين العامين بغياب المحامين. وحتى أثناء جلسات الاستماع، لم يُسمح لمحامي الدفاع بالتحدث إلى موكليهم. لم يتم إطلاعهم بشكل كافٍ على جدول جلسات الاستماع، كما لم يتم منحهم الوقت لإعداد دفاعهم أو للتدخل في جلسات المحكمة</w:t>
      </w:r>
      <w:r w:rsidRPr="0032333A">
        <w:rPr>
          <w:rFonts w:ascii="Traditional Arabic" w:hAnsi="Traditional Arabic" w:cs="Traditional Arabic"/>
          <w:sz w:val="30"/>
          <w:szCs w:val="30"/>
        </w:rPr>
        <w:t>.</w:t>
      </w:r>
    </w:p>
    <w:p w14:paraId="6D8163CD" w14:textId="77777777" w:rsidR="0032333A" w:rsidRPr="0032333A" w:rsidRDefault="0032333A" w:rsidP="0032333A">
      <w:pPr>
        <w:bidi/>
        <w:spacing w:after="120"/>
        <w:ind w:left="395" w:right="827" w:firstLine="56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القيود على حرية الفكر والضمير والدين</w:t>
      </w:r>
    </w:p>
    <w:p w14:paraId="17DE9C92" w14:textId="77777777" w:rsidR="0032333A" w:rsidRPr="0032333A" w:rsidRDefault="0032333A" w:rsidP="0032333A">
      <w:pPr>
        <w:bidi/>
        <w:spacing w:after="120"/>
        <w:ind w:left="962"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عقوبة الإعدام بحق بهائي محتجز منذ عام 2013</w:t>
      </w:r>
    </w:p>
    <w:p w14:paraId="5229527F" w14:textId="307A4FD1" w:rsidR="0032333A" w:rsidRPr="0032333A" w:rsidRDefault="0032333A" w:rsidP="00F35C1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حقّق فريق الخبراء في حالات مختلفة حيث استُهدف أفراد من الطائفة البهائية في اليمن</w:t>
      </w:r>
      <w:r w:rsidRPr="0032333A">
        <w:rPr>
          <w:rStyle w:val="FootnoteReference"/>
          <w:rFonts w:ascii="Traditional Arabic" w:hAnsi="Traditional Arabic" w:cs="Traditional Arabic"/>
          <w:sz w:val="30"/>
          <w:szCs w:val="30"/>
        </w:rPr>
        <w:footnoteReference w:id="621"/>
      </w:r>
      <w:r w:rsidRPr="0032333A">
        <w:rPr>
          <w:rFonts w:ascii="Traditional Arabic" w:hAnsi="Traditional Arabic" w:cs="Traditional Arabic"/>
          <w:sz w:val="30"/>
          <w:szCs w:val="30"/>
          <w:rtl/>
        </w:rPr>
        <w:t xml:space="preserve">، بما في ذلك التهم الموجهة ضد أكثر من 20 شخصًا والمحاكمة المستمرة لرجل بهائي هو </w:t>
      </w:r>
      <w:r w:rsidR="00F35C15" w:rsidRPr="0032333A">
        <w:rPr>
          <w:rFonts w:ascii="Traditional Arabic" w:hAnsi="Traditional Arabic" w:cs="Traditional Arabic"/>
          <w:sz w:val="30"/>
          <w:szCs w:val="30"/>
          <w:rtl/>
        </w:rPr>
        <w:t>ح</w:t>
      </w:r>
      <w:r w:rsidR="00F35C15">
        <w:rPr>
          <w:rFonts w:ascii="Traditional Arabic" w:hAnsi="Traditional Arabic" w:cs="Traditional Arabic" w:hint="cs"/>
          <w:sz w:val="30"/>
          <w:szCs w:val="30"/>
          <w:rtl/>
        </w:rPr>
        <w:t>ا</w:t>
      </w:r>
      <w:r w:rsidR="00F35C15" w:rsidRPr="0032333A">
        <w:rPr>
          <w:rFonts w:ascii="Traditional Arabic" w:hAnsi="Traditional Arabic" w:cs="Traditional Arabic"/>
          <w:sz w:val="30"/>
          <w:szCs w:val="30"/>
          <w:rtl/>
        </w:rPr>
        <w:t xml:space="preserve">مد </w:t>
      </w:r>
      <w:r w:rsidRPr="0032333A">
        <w:rPr>
          <w:rFonts w:ascii="Traditional Arabic" w:hAnsi="Traditional Arabic" w:cs="Traditional Arabic"/>
          <w:sz w:val="30"/>
          <w:szCs w:val="30"/>
          <w:rtl/>
        </w:rPr>
        <w:t xml:space="preserve">كمال بن حيدرة المحتجز منذ العام </w:t>
      </w:r>
      <w:r w:rsidRPr="0032333A">
        <w:rPr>
          <w:rFonts w:ascii="Traditional Arabic" w:hAnsi="Traditional Arabic" w:cs="Traditional Arabic"/>
          <w:sz w:val="30"/>
          <w:szCs w:val="30"/>
          <w:rtl/>
        </w:rPr>
        <w:lastRenderedPageBreak/>
        <w:t>2013، قبل سيطرة سلطات الأمر الواقع على صنعاء. يخشى فريق الخبراء، على ضوء المعلومات التي تلقاها،</w:t>
      </w:r>
      <w:r w:rsidRPr="0032333A">
        <w:rPr>
          <w:rStyle w:val="FootnoteReference"/>
          <w:rFonts w:ascii="Traditional Arabic" w:hAnsi="Traditional Arabic" w:cs="Traditional Arabic"/>
          <w:sz w:val="30"/>
          <w:szCs w:val="30"/>
          <w:rtl/>
        </w:rPr>
        <w:footnoteReference w:id="622"/>
      </w:r>
      <w:r w:rsidRPr="0032333A">
        <w:rPr>
          <w:rFonts w:ascii="Traditional Arabic" w:hAnsi="Traditional Arabic" w:cs="Traditional Arabic"/>
          <w:sz w:val="30"/>
          <w:szCs w:val="30"/>
          <w:rtl/>
        </w:rPr>
        <w:t xml:space="preserve"> أن تكون الاتهامات الموجهة ضد بن حيدرة الذي حُكم عليه بالإعدام في كانون الثاني/ يناير 2018، مرتبطة بالمعتقد الديني. وأُفيد بأن بن حيدرة احتُجز سرّاً لمدة تسعة أشهرعلى التوالي</w:t>
      </w:r>
      <w:r w:rsidRPr="0032333A">
        <w:rPr>
          <w:rStyle w:val="FootnoteReference"/>
          <w:rFonts w:ascii="Traditional Arabic" w:hAnsi="Traditional Arabic" w:cs="Traditional Arabic"/>
          <w:sz w:val="30"/>
          <w:szCs w:val="30"/>
        </w:rPr>
        <w:footnoteReference w:id="623"/>
      </w:r>
      <w:r w:rsidRPr="0032333A">
        <w:rPr>
          <w:rFonts w:ascii="Traditional Arabic" w:hAnsi="Traditional Arabic" w:cs="Traditional Arabic"/>
          <w:sz w:val="30"/>
          <w:szCs w:val="30"/>
          <w:rtl/>
        </w:rPr>
        <w:t>. وفي حين تمّ اعتقال حيدرة في العام 2013 بينما كانت صنعاء تحت سيطرة الحكومة اليمنية، لكن بدأت محاكمته في 18 كانون الثاني/ يناير 2015، بعد أن فرضت سلطات الأمر الواقع سيطرتها على صنعاء. وحُكم على حيدرة بالإعدام بعد الإخفاقات الخطيرة في الحفاظ على حقه في محاكمة عادلة، بما في ذلك عقد معظم جلسات المحكمة غيابياً أثناء احتجازه، وعدم تزويده أو تزويد محاميه بنسخ عن العقوبة الصادرة بحقه، مما أعاق قدرته على الطعن في حكم الإعدام.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24"/>
      </w:r>
      <w:r w:rsidRPr="0032333A">
        <w:rPr>
          <w:rFonts w:ascii="Traditional Arabic" w:hAnsi="Traditional Arabic" w:cs="Traditional Arabic"/>
          <w:sz w:val="30"/>
          <w:szCs w:val="30"/>
          <w:rtl/>
        </w:rPr>
        <w:t xml:space="preserve"> حُرم حيدرة أكثر من مرة من حقه في حضور جلسات الاستماع. كانت محاكمته مستمرة وقت الانتهاء من هذا التقرير</w:t>
      </w:r>
      <w:r w:rsidRPr="0032333A">
        <w:rPr>
          <w:rFonts w:ascii="Traditional Arabic" w:hAnsi="Traditional Arabic" w:cs="Traditional Arabic"/>
          <w:sz w:val="30"/>
          <w:szCs w:val="30"/>
        </w:rPr>
        <w:t>.</w:t>
      </w:r>
    </w:p>
    <w:p w14:paraId="6558EE46" w14:textId="77777777" w:rsidR="0032333A" w:rsidRPr="0032333A" w:rsidRDefault="0032333A" w:rsidP="00E07AC2">
      <w:pPr>
        <w:bidi/>
        <w:spacing w:after="120"/>
        <w:ind w:left="567" w:right="827" w:firstLine="567"/>
        <w:rPr>
          <w:rFonts w:ascii="Traditional Arabic" w:hAnsi="Traditional Arabic" w:cs="Traditional Arabic"/>
          <w:i/>
          <w:iCs/>
          <w:sz w:val="30"/>
          <w:szCs w:val="30"/>
        </w:rPr>
      </w:pPr>
      <w:r w:rsidRPr="0032333A">
        <w:rPr>
          <w:rFonts w:ascii="Traditional Arabic" w:hAnsi="Traditional Arabic" w:cs="Traditional Arabic"/>
          <w:i/>
          <w:iCs/>
          <w:sz w:val="30"/>
          <w:szCs w:val="30"/>
          <w:rtl/>
        </w:rPr>
        <w:t>الانتهاكات</w:t>
      </w:r>
    </w:p>
    <w:p w14:paraId="1FB9CED8" w14:textId="77777777" w:rsidR="0032333A" w:rsidRPr="0032333A" w:rsidRDefault="0032333A" w:rsidP="00E07AC2">
      <w:pPr>
        <w:bidi/>
        <w:spacing w:after="120"/>
        <w:ind w:left="1134" w:right="827" w:firstLine="567"/>
        <w:rPr>
          <w:rFonts w:ascii="Traditional Arabic" w:hAnsi="Traditional Arabic" w:cs="Traditional Arabic"/>
          <w:sz w:val="30"/>
          <w:szCs w:val="30"/>
          <w:u w:val="single"/>
        </w:rPr>
      </w:pPr>
      <w:r w:rsidRPr="0032333A">
        <w:rPr>
          <w:rFonts w:ascii="Traditional Arabic" w:hAnsi="Traditional Arabic" w:cs="Traditional Arabic"/>
          <w:sz w:val="30"/>
          <w:szCs w:val="30"/>
          <w:u w:val="single"/>
          <w:rtl/>
        </w:rPr>
        <w:t>القيود على الحريات الأساسية</w:t>
      </w:r>
    </w:p>
    <w:p w14:paraId="3640FF06" w14:textId="5820A7FC" w:rsidR="0032333A" w:rsidRPr="0032333A" w:rsidRDefault="0032333A" w:rsidP="003A79A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 الحريات الأساسية مكفولة بموجب القانون الدولي لحقوق الإنسان. وهي تشمل حرية الرأي والتعبير</w:t>
      </w:r>
      <w:r w:rsidRPr="0032333A">
        <w:rPr>
          <w:rStyle w:val="FootnoteReference"/>
          <w:rFonts w:ascii="Traditional Arabic" w:hAnsi="Traditional Arabic" w:cs="Traditional Arabic"/>
          <w:sz w:val="30"/>
          <w:szCs w:val="30"/>
        </w:rPr>
        <w:footnoteReference w:id="625"/>
      </w:r>
      <w:r w:rsidRPr="0032333A">
        <w:rPr>
          <w:rFonts w:ascii="Traditional Arabic" w:hAnsi="Traditional Arabic" w:cs="Traditional Arabic"/>
          <w:sz w:val="30"/>
          <w:szCs w:val="30"/>
          <w:rtl/>
        </w:rPr>
        <w:t>، وحق التجمّع السلمي</w:t>
      </w:r>
      <w:r w:rsidRPr="0032333A">
        <w:rPr>
          <w:rStyle w:val="FootnoteReference"/>
          <w:rFonts w:ascii="Traditional Arabic" w:hAnsi="Traditional Arabic" w:cs="Traditional Arabic"/>
          <w:sz w:val="30"/>
          <w:szCs w:val="30"/>
        </w:rPr>
        <w:footnoteReference w:id="626"/>
      </w:r>
      <w:r w:rsidRPr="0032333A">
        <w:rPr>
          <w:rFonts w:ascii="Traditional Arabic" w:hAnsi="Traditional Arabic" w:cs="Traditional Arabic"/>
          <w:sz w:val="30"/>
          <w:szCs w:val="30"/>
          <w:rtl/>
        </w:rPr>
        <w:t>، والحق في حرية تكوين الجمعيات</w:t>
      </w:r>
      <w:r w:rsidRPr="0032333A">
        <w:rPr>
          <w:rStyle w:val="FootnoteReference"/>
          <w:rFonts w:ascii="Traditional Arabic" w:hAnsi="Traditional Arabic" w:cs="Traditional Arabic"/>
          <w:sz w:val="30"/>
          <w:szCs w:val="30"/>
        </w:rPr>
        <w:footnoteReference w:id="627"/>
      </w:r>
      <w:r w:rsidRPr="0032333A">
        <w:rPr>
          <w:rFonts w:ascii="Traditional Arabic" w:hAnsi="Traditional Arabic" w:cs="Traditional Arabic"/>
          <w:sz w:val="30"/>
          <w:szCs w:val="30"/>
          <w:rtl/>
        </w:rPr>
        <w:t>، بما في ذلك حرية الانخراط في الأحزاب السياسية، والحق في حرية الفكر والضمير والدين.</w:t>
      </w:r>
      <w:r w:rsidRPr="0032333A">
        <w:rPr>
          <w:rStyle w:val="FootnoteReference"/>
          <w:rFonts w:ascii="Traditional Arabic" w:hAnsi="Traditional Arabic" w:cs="Traditional Arabic"/>
          <w:sz w:val="30"/>
          <w:szCs w:val="30"/>
        </w:rPr>
        <w:footnoteReference w:id="628"/>
      </w:r>
      <w:r w:rsidRPr="0032333A">
        <w:rPr>
          <w:rFonts w:ascii="Traditional Arabic" w:hAnsi="Traditional Arabic" w:cs="Traditional Arabic"/>
          <w:sz w:val="30"/>
          <w:szCs w:val="30"/>
          <w:rtl/>
        </w:rPr>
        <w:t xml:space="preserve"> من الممكن تقييد الحريات الأساسية، ولكن وفقًا لما ينص عليه القانون وعند ضرورة حماية حقوق الآخرين وحرياتهم، وحماية الأمن القومي، والسلامة العامة، والنظام، والصحة والأخلاق</w:t>
      </w:r>
      <w:r w:rsidRPr="0032333A">
        <w:rPr>
          <w:rFonts w:ascii="Traditional Arabic" w:hAnsi="Traditional Arabic" w:cs="Traditional Arabic"/>
          <w:sz w:val="30"/>
          <w:szCs w:val="30"/>
        </w:rPr>
        <w:t>.</w:t>
      </w:r>
    </w:p>
    <w:p w14:paraId="16ED51DB" w14:textId="275262EA"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لدى فريق الخبراء أسباب معقولة للاعتقاد بأن سلطات الأمر الواقع، وفي جميع الحالات الموصوفة أعلاه، قد قيّدت الحريات الأساسية بدون مبرّر. ويرتبط ذلك أساسًا بحرية الرأي والتعبير، وحرية التجمع السلمي، وحرية تكوين الجمعيات، وحرية الفكر والضمير والدين التي قيّدتها  سلطات الأمر الواقع بشكل غير قانوني، منتهكةّ بذلك التزاماتها في مجال حقوق الإنسان. وشملت القيود غير القانونية المضايقة والترهيب بحق الأفراد أو الجماعات، وحظر وسائل الإعلام أو تعليقها، وإغلاق منظمات المجتمع المدني وتفريق التجمعات السلمية بالقوة. وكما يتضح من الحالات الموصوفة أعلاه، غالباً ما ينطوي انتهاك الحريات الأساسية على الاختفاء القسري والاعتقال التعسفي، ويليه سوء المعاملة في الاحتجاز</w:t>
      </w:r>
      <w:r w:rsidRPr="0032333A">
        <w:rPr>
          <w:rFonts w:ascii="Traditional Arabic" w:hAnsi="Traditional Arabic" w:cs="Traditional Arabic"/>
          <w:sz w:val="30"/>
          <w:szCs w:val="30"/>
        </w:rPr>
        <w:t>.</w:t>
      </w:r>
    </w:p>
    <w:p w14:paraId="6393511E"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بالنسبة الى الحق في التجمع السلمي - وبخاصة بشأن حادثة التجمع السلمي النسائي في 6 تشرين الأول / أكتوبر 2018 - يُسمح لكل شخص بالمشاركة في </w:t>
      </w:r>
      <w:r w:rsidRPr="0032333A">
        <w:rPr>
          <w:rFonts w:ascii="Traditional Arabic" w:hAnsi="Traditional Arabic" w:cs="Traditional Arabic"/>
          <w:sz w:val="30"/>
          <w:szCs w:val="30"/>
          <w:rtl/>
        </w:rPr>
        <w:lastRenderedPageBreak/>
        <w:t>التجمعات القانونية والسلمية، ويجوز تفريق التجمعات غير القانونية من جانب المسؤولين عن إنفاذ القانون. ولدى تفريق التجمعات غير القانونية، وإن كانت غير عنيفة، على المسؤولين عن إنفاذ القانون تجنّب إستخدام القوة أو، حيثما كان ذلك غير عملي، حصرهذه القوة بالمستوى الأدنى المطلوب</w:t>
      </w:r>
      <w:r w:rsidRPr="0032333A">
        <w:rPr>
          <w:rFonts w:ascii="Traditional Arabic" w:hAnsi="Traditional Arabic" w:cs="Traditional Arabic"/>
          <w:sz w:val="30"/>
          <w:szCs w:val="30"/>
          <w:vertAlign w:val="superscript"/>
        </w:rPr>
        <w:footnoteReference w:id="629"/>
      </w:r>
      <w:r w:rsidRPr="0032333A">
        <w:rPr>
          <w:rFonts w:ascii="Traditional Arabic" w:hAnsi="Traditional Arabic" w:cs="Traditional Arabic"/>
          <w:sz w:val="30"/>
          <w:szCs w:val="30"/>
          <w:rtl/>
        </w:rPr>
        <w:t>. بالإضافة إلى ذلك، فإن المعاملة اللاإنسانية أو المهينة أو المسيئة محظورة تماماً بموجب كل من القانون الدولي لحقوق الإنسان والقانون الدولي الإنساني</w:t>
      </w:r>
      <w:r w:rsidRPr="0032333A">
        <w:rPr>
          <w:rStyle w:val="FootnoteReference"/>
          <w:rFonts w:ascii="Traditional Arabic" w:hAnsi="Traditional Arabic" w:cs="Traditional Arabic"/>
          <w:sz w:val="30"/>
          <w:szCs w:val="30"/>
        </w:rPr>
        <w:footnoteReference w:id="630"/>
      </w:r>
      <w:r w:rsidRPr="0032333A">
        <w:rPr>
          <w:rFonts w:ascii="Traditional Arabic" w:hAnsi="Traditional Arabic" w:cs="Traditional Arabic"/>
          <w:sz w:val="30"/>
          <w:szCs w:val="30"/>
          <w:rtl/>
        </w:rPr>
        <w:t>، وقد تؤدي إلى مسؤولية جنائية فردية عن جريمة الحرب المتمثلة في الاعتداء على الكرامة الشخصية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1"/>
      </w:r>
    </w:p>
    <w:p w14:paraId="6553C5F1"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لدى فريق الخبراء أسباب معقولة للاعتقاد بأن سلطات الأمر الواقع قد استخدمت القوة المفرطة ضد النساء المتظاهرات في 6 تشرين الأول / أكتوبر 2018 في صنعاء، وأنها مسؤولة عن المعاملة السيئة والمهينة ضد تلك النساء. بالإضافة إلى ذلك، توجد أسباب معقولة للاعتقاد بأن النساء اللواتي حاولن المشاركة في المظاهرات قد تعرضن للاعتقال والاحتجاز بشكل تعسفي، لاسيم أن اعتقالهن واحتجازهن قد نجم عن مشاركتهن في مظاهرة سلمية، وتعرضن لسوء المعاملة أثناء استجوابهن. وقد تؤدي هذه الأعمال إلى مسؤولية جنائية فردية عن جريمة الحرب المتمثلة في الاعتداء على الكرامة الشخصية</w:t>
      </w:r>
      <w:r w:rsidRPr="0032333A">
        <w:rPr>
          <w:rFonts w:ascii="Traditional Arabic" w:hAnsi="Traditional Arabic" w:cs="Traditional Arabic"/>
          <w:sz w:val="30"/>
          <w:szCs w:val="30"/>
        </w:rPr>
        <w:t>.</w:t>
      </w:r>
    </w:p>
    <w:p w14:paraId="23F4086C" w14:textId="6F458E7F" w:rsidR="0032333A" w:rsidRPr="0032333A" w:rsidRDefault="0032333A" w:rsidP="0032333A">
      <w:pPr>
        <w:bidi/>
        <w:spacing w:after="120"/>
        <w:ind w:right="827"/>
        <w:rPr>
          <w:rFonts w:ascii="Traditional Arabic" w:hAnsi="Traditional Arabic" w:cs="Traditional Arabic"/>
          <w:sz w:val="30"/>
          <w:szCs w:val="30"/>
          <w:u w:val="single"/>
        </w:rPr>
      </w:pPr>
      <w:r w:rsidRPr="00E07AC2">
        <w:rPr>
          <w:rFonts w:ascii="Traditional Arabic" w:hAnsi="Traditional Arabic" w:cs="Traditional Arabic"/>
          <w:sz w:val="30"/>
          <w:szCs w:val="30"/>
          <w:rtl/>
        </w:rPr>
        <w:t xml:space="preserve">    </w:t>
      </w:r>
      <w:r w:rsidR="00E07AC2">
        <w:rPr>
          <w:rFonts w:ascii="Traditional Arabic" w:hAnsi="Traditional Arabic" w:cs="Traditional Arabic"/>
          <w:sz w:val="30"/>
          <w:szCs w:val="30"/>
          <w:rtl/>
        </w:rPr>
        <w:tab/>
      </w:r>
      <w:r w:rsidR="00E07AC2">
        <w:rPr>
          <w:rFonts w:ascii="Traditional Arabic" w:hAnsi="Traditional Arabic" w:cs="Traditional Arabic"/>
          <w:sz w:val="30"/>
          <w:szCs w:val="30"/>
          <w:rtl/>
        </w:rPr>
        <w:tab/>
      </w:r>
      <w:r w:rsidRPr="00E07AC2">
        <w:rPr>
          <w:rFonts w:ascii="Traditional Arabic" w:hAnsi="Traditional Arabic" w:cs="Traditional Arabic"/>
          <w:sz w:val="30"/>
          <w:szCs w:val="30"/>
          <w:rtl/>
        </w:rPr>
        <w:t xml:space="preserve"> </w:t>
      </w:r>
      <w:r w:rsidRPr="0032333A">
        <w:rPr>
          <w:rFonts w:ascii="Traditional Arabic" w:hAnsi="Traditional Arabic" w:cs="Traditional Arabic"/>
          <w:sz w:val="30"/>
          <w:szCs w:val="30"/>
          <w:u w:val="single"/>
          <w:rtl/>
        </w:rPr>
        <w:t>الاعتقال التعسفي</w:t>
      </w:r>
    </w:p>
    <w:p w14:paraId="63F3E5E8" w14:textId="06BC121C" w:rsidR="0032333A" w:rsidRPr="0032333A" w:rsidRDefault="0032333A" w:rsidP="00675C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كما يكفل القانون الدولي لحقوق الإنسان الحق لكل فرد في الحرية والأمن الشخصي</w:t>
      </w:r>
      <w:r w:rsidRPr="0032333A">
        <w:rPr>
          <w:rStyle w:val="FootnoteReference"/>
          <w:rFonts w:ascii="Traditional Arabic" w:hAnsi="Traditional Arabic" w:cs="Traditional Arabic"/>
          <w:sz w:val="30"/>
          <w:szCs w:val="30"/>
        </w:rPr>
        <w:footnoteReference w:id="632"/>
      </w:r>
      <w:r w:rsidRPr="0032333A">
        <w:rPr>
          <w:rFonts w:ascii="Traditional Arabic" w:hAnsi="Traditional Arabic" w:cs="Traditional Arabic"/>
          <w:sz w:val="30"/>
          <w:szCs w:val="30"/>
          <w:rtl/>
        </w:rPr>
        <w:t>. وتُنتهك هذه الحقوق عندما يُحتجز الأفراد بصورة تعسفية، وعندما يتعرضون للتعذيب أو غيره من ضروب سوء المعاملة. وتُعتبر تعسفية حالات الحرمان من الحرية المخالفة لأحكام القانون الدولي، وفي الأغلب تلك التي لا تشكل أساسًا صالحًا للاحتجاز، وحالات الاحتجاز التي يُنتهك فيها الحق في محاكمة عادلة وفي الضمانات الإجرائية إلى حد يصبح فيه الاحتجاز تعسفيًا.</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3"/>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وترد هذه الضمانات الإجرائية في المادتين 9 و14 من العهد الدولي الخاص بالحقوق المدنية والسياسية، وتشمل واجب إبلاغ الشخص الموقوف بأسباب القبض عليه</w:t>
      </w:r>
      <w:r w:rsidRPr="0032333A">
        <w:rPr>
          <w:rStyle w:val="FootnoteReference"/>
          <w:rFonts w:ascii="Traditional Arabic" w:hAnsi="Traditional Arabic" w:cs="Traditional Arabic"/>
          <w:sz w:val="30"/>
          <w:szCs w:val="30"/>
        </w:rPr>
        <w:footnoteReference w:id="634"/>
      </w:r>
      <w:r w:rsidRPr="0032333A">
        <w:rPr>
          <w:rFonts w:ascii="Traditional Arabic" w:hAnsi="Traditional Arabic" w:cs="Traditional Arabic"/>
          <w:sz w:val="30"/>
          <w:szCs w:val="30"/>
          <w:rtl/>
        </w:rPr>
        <w:t xml:space="preserve">؛ وواجب محاكمة شخص قُبض عليه بتهمة جنائية على وجه </w:t>
      </w:r>
      <w:r w:rsidRPr="0032333A">
        <w:rPr>
          <w:rFonts w:ascii="Traditional Arabic" w:hAnsi="Traditional Arabic" w:cs="Traditional Arabic"/>
          <w:sz w:val="30"/>
          <w:szCs w:val="30"/>
          <w:rtl/>
        </w:rPr>
        <w:lastRenderedPageBreak/>
        <w:t>السرعة أمام قاضٍ</w:t>
      </w:r>
      <w:r w:rsidRPr="0032333A">
        <w:rPr>
          <w:rStyle w:val="FootnoteReference"/>
          <w:rFonts w:ascii="Traditional Arabic" w:hAnsi="Traditional Arabic" w:cs="Traditional Arabic"/>
          <w:sz w:val="30"/>
          <w:szCs w:val="30"/>
        </w:rPr>
        <w:footnoteReference w:id="635"/>
      </w:r>
      <w:r w:rsidRPr="0032333A">
        <w:rPr>
          <w:rFonts w:ascii="Traditional Arabic" w:hAnsi="Traditional Arabic" w:cs="Traditional Arabic"/>
          <w:sz w:val="30"/>
          <w:szCs w:val="30"/>
          <w:rtl/>
        </w:rPr>
        <w:t>، وواجب تزويد الشخص المحتجز بفرصة الطعن في قانونية الاحتجاز (حق الدفاع).</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6"/>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xml:space="preserve"> كما يُحظّر الاحتجاز التعسفي بموجب القانون الدولي الإنساني، وقد يُعتبر حرمان شخص من الحق في محاكمة عادلة جريمة حرب في نزاع غير دولي</w:t>
      </w:r>
      <w:r w:rsidRPr="0032333A">
        <w:rPr>
          <w:rStyle w:val="FootnoteReference"/>
          <w:rFonts w:ascii="Traditional Arabic" w:hAnsi="Traditional Arabic" w:cs="Traditional Arabic"/>
          <w:sz w:val="30"/>
          <w:szCs w:val="30"/>
        </w:rPr>
        <w:footnoteReference w:id="637"/>
      </w:r>
      <w:r w:rsidRPr="0032333A">
        <w:rPr>
          <w:rFonts w:ascii="Traditional Arabic" w:hAnsi="Traditional Arabic" w:cs="Traditional Arabic"/>
          <w:sz w:val="30"/>
          <w:szCs w:val="30"/>
        </w:rPr>
        <w:t>.</w:t>
      </w:r>
    </w:p>
    <w:p w14:paraId="09861AC3" w14:textId="304C6D2B"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وجد فريق الخبراء أسبابًا معقولة للاعتقاد بأن سلطات الأمر الواقع قد احتجزت بصورة تعسفية صحافيين وعاملين في مجال الإعلام وأشخاصاً أعربوا عن معارضتهم لسلطات الأمر الواقع. وفي هذه الحالات، يكون الاحتجاز تعسفيًا متى يكون سبب الاحتجاز مرتبط بممارسة الحريات الأساسية أو كان بدون أسباب. في معظم الحالات، يبدو أن الدافع وراء الاحتجاز هو التمييز، بما في ذلك على أساس الدين أو الرأي السياسي أو غيره من الآراء. كما أنّ الاحتجاز على أساس التمييز يعتبر بحد ذاته تعسفيًا.</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38"/>
      </w:r>
      <w:r w:rsidRPr="0032333A">
        <w:rPr>
          <w:rFonts w:ascii="Traditional Arabic" w:hAnsi="Traditional Arabic" w:cs="Traditional Arabic"/>
          <w:sz w:val="30"/>
          <w:szCs w:val="30"/>
          <w:rtl/>
        </w:rPr>
        <w:t xml:space="preserve"> في العديد من الحالات الموضحة أعلاه، يكون الاحتجاز تعسفيًا أيضًا بسبب انتهاك الحق الأساسي في محاكمة عادلة، وعلى الأخص من خلال إطالة فترة الاحتجاز السابقة للمحاكمة، وغياب الإحالة إلى مدّعٍ عام أو قاضٍ، وتأخير المحاكمة بدون سبب، أو محدودية أو عدم إمكانية الاتصال بمستشار قانوني، أو استخدام الاعترافات المنتزعة بالإكراه. بالإضافة إلى ذلك، لدى فريق الخبراء مخاوف جدية بشأن صحة التهم التي وجهت إلى الصحافيين العشرة المحتجزين الذين حرموا من إجراءات قضائية عادلة ومستقلة. وفي إحدى الحالات الموثقة، لا يزال الصحاي محتجزًا بدون سبب، على الرغم من أمر الإفراج الصادر عن المدعي العام. وقد يؤدي الحرمان من المحاكمة العادلة إلى مسؤولية جنائية فردية</w:t>
      </w:r>
      <w:r w:rsidRPr="0032333A">
        <w:rPr>
          <w:rFonts w:ascii="Traditional Arabic" w:hAnsi="Traditional Arabic" w:cs="Traditional Arabic"/>
          <w:sz w:val="30"/>
          <w:szCs w:val="30"/>
        </w:rPr>
        <w:t>.</w:t>
      </w:r>
    </w:p>
    <w:p w14:paraId="15A40669" w14:textId="74C072F8" w:rsidR="0032333A" w:rsidRPr="00E07AC2" w:rsidRDefault="0032333A" w:rsidP="00E07AC2">
      <w:pPr>
        <w:pStyle w:val="ListParagraph"/>
        <w:bidi/>
        <w:ind w:firstLine="414"/>
        <w:jc w:val="both"/>
        <w:rPr>
          <w:rFonts w:ascii="Traditional Arabic" w:hAnsi="Traditional Arabic" w:cs="Traditional Arabic"/>
          <w:sz w:val="30"/>
          <w:szCs w:val="30"/>
        </w:rPr>
      </w:pPr>
      <w:r w:rsidRPr="0032333A">
        <w:rPr>
          <w:rFonts w:ascii="Traditional Arabic" w:hAnsi="Traditional Arabic" w:cs="Traditional Arabic"/>
          <w:sz w:val="30"/>
          <w:szCs w:val="30"/>
          <w:u w:val="single"/>
          <w:rtl/>
        </w:rPr>
        <w:t>حالات الاختفاء القسري</w:t>
      </w:r>
    </w:p>
    <w:p w14:paraId="50969620" w14:textId="188147B5"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يُنتهك الحق في الحرية والأمن الشخصيين أيضاً من خلال حالات الاختفاء القسري التي يحظّرها القانون الدولي لحقوق الإنسان والقانون الدولي الإنساني</w:t>
      </w:r>
      <w:r w:rsidRPr="0032333A">
        <w:rPr>
          <w:rStyle w:val="FootnoteReference"/>
          <w:rFonts w:ascii="Traditional Arabic" w:hAnsi="Traditional Arabic" w:cs="Traditional Arabic"/>
          <w:sz w:val="30"/>
          <w:szCs w:val="30"/>
        </w:rPr>
        <w:footnoteReference w:id="639"/>
      </w:r>
      <w:r w:rsidRPr="0032333A">
        <w:rPr>
          <w:rFonts w:ascii="Traditional Arabic" w:hAnsi="Traditional Arabic" w:cs="Traditional Arabic"/>
          <w:sz w:val="30"/>
          <w:szCs w:val="30"/>
          <w:rtl/>
        </w:rPr>
        <w:t xml:space="preserve">. كما أن الاختفاء القسري </w:t>
      </w:r>
      <w:r w:rsidR="003A79AE">
        <w:rPr>
          <w:rFonts w:ascii="Traditional Arabic" w:hAnsi="Traditional Arabic" w:cs="Traditional Arabic" w:hint="cs"/>
          <w:sz w:val="30"/>
          <w:szCs w:val="30"/>
          <w:rtl/>
        </w:rPr>
        <w:t xml:space="preserve">ربما أيضًا </w:t>
      </w:r>
      <w:r w:rsidRPr="0032333A">
        <w:rPr>
          <w:rFonts w:ascii="Traditional Arabic" w:hAnsi="Traditional Arabic" w:cs="Traditional Arabic"/>
          <w:sz w:val="30"/>
          <w:szCs w:val="30"/>
          <w:rtl/>
        </w:rPr>
        <w:t>ينتهك حظر التعذيب</w:t>
      </w:r>
      <w:r w:rsidRPr="0032333A">
        <w:rPr>
          <w:rFonts w:ascii="Traditional Arabic" w:hAnsi="Traditional Arabic" w:cs="Traditional Arabic"/>
          <w:sz w:val="30"/>
          <w:szCs w:val="30"/>
        </w:rPr>
        <w:t>.</w:t>
      </w:r>
    </w:p>
    <w:p w14:paraId="6F9454A5" w14:textId="629DB92C"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في صنعاء، استُخدمت شبكة من المرافق لإخفاء الأفراد فيها وإبعادهم عن أي إشراف قضائي، وعن أقربائهم. لدى فريق الخبراء أسباب معقولة للاعتقاد بأن سلطات الأمر الواقع قد استخدمت الاختفاء القسري ضد الأفراد في المناطق الخاضعة لسيطرتها، في انتهاك لواجباتها بموجب القانون الدولي لحقوق الإنسان والقانون الدولي الإنساني. وحالات الاختفاء القسري </w:t>
      </w:r>
      <w:r w:rsidR="003A79AE">
        <w:rPr>
          <w:rFonts w:ascii="Traditional Arabic" w:hAnsi="Traditional Arabic" w:cs="Traditional Arabic" w:hint="cs"/>
          <w:sz w:val="30"/>
          <w:szCs w:val="30"/>
          <w:rtl/>
        </w:rPr>
        <w:t xml:space="preserve">قد </w:t>
      </w:r>
      <w:r w:rsidRPr="0032333A">
        <w:rPr>
          <w:rFonts w:ascii="Traditional Arabic" w:hAnsi="Traditional Arabic" w:cs="Traditional Arabic"/>
          <w:sz w:val="30"/>
          <w:szCs w:val="30"/>
          <w:rtl/>
        </w:rPr>
        <w:t>ترقى أيضاً الى مستوى التعذيب. هذه الأعمال قد تؤدي إلى مسؤولية جنائية فردية عن جرائم الحرب</w:t>
      </w:r>
      <w:r w:rsidRPr="0032333A">
        <w:rPr>
          <w:rFonts w:ascii="Traditional Arabic" w:hAnsi="Traditional Arabic" w:cs="Traditional Arabic"/>
          <w:sz w:val="30"/>
          <w:szCs w:val="30"/>
        </w:rPr>
        <w:t>.</w:t>
      </w:r>
    </w:p>
    <w:p w14:paraId="4DAC828F" w14:textId="77777777" w:rsidR="0032333A" w:rsidRPr="0032333A" w:rsidRDefault="0032333A" w:rsidP="000359FF">
      <w:pPr>
        <w:pStyle w:val="CommentText"/>
        <w:bidi/>
        <w:ind w:left="485" w:right="827" w:firstLine="567"/>
        <w:rPr>
          <w:rFonts w:ascii="Traditional Arabic" w:hAnsi="Traditional Arabic" w:cs="Traditional Arabic"/>
          <w:b/>
          <w:bCs/>
          <w:sz w:val="30"/>
          <w:szCs w:val="30"/>
        </w:rPr>
      </w:pPr>
      <w:r w:rsidRPr="0032333A">
        <w:rPr>
          <w:rFonts w:ascii="Traditional Arabic" w:hAnsi="Traditional Arabic" w:cs="Traditional Arabic"/>
          <w:b/>
          <w:bCs/>
          <w:sz w:val="30"/>
          <w:szCs w:val="30"/>
          <w:rtl/>
        </w:rPr>
        <w:t>د) المعاملة أو العقوبة القاسية أو اللاإنسانية أو المهينة وأعمال التعذيب أثناء الاحتجاز</w:t>
      </w:r>
    </w:p>
    <w:p w14:paraId="6E198D53" w14:textId="77777777" w:rsidR="0032333A" w:rsidRPr="0032333A" w:rsidRDefault="0032333A" w:rsidP="000359FF">
      <w:pPr>
        <w:pStyle w:val="CommentText"/>
        <w:bidi/>
        <w:ind w:left="1701" w:right="827"/>
        <w:jc w:val="both"/>
        <w:rPr>
          <w:rFonts w:ascii="Traditional Arabic" w:hAnsi="Traditional Arabic" w:cs="Traditional Arabic"/>
          <w:i/>
          <w:iCs/>
          <w:sz w:val="30"/>
          <w:szCs w:val="30"/>
        </w:rPr>
      </w:pPr>
      <w:r w:rsidRPr="0032333A">
        <w:rPr>
          <w:rFonts w:ascii="Traditional Arabic" w:hAnsi="Traditional Arabic" w:cs="Traditional Arabic"/>
          <w:i/>
          <w:iCs/>
          <w:sz w:val="30"/>
          <w:szCs w:val="30"/>
          <w:rtl/>
        </w:rPr>
        <w:lastRenderedPageBreak/>
        <w:t>تم تعليقي لمدة 13 يومًا وكُبّلت يداي بأسلاك فيما كنت معصوب العينين. تسبّب ذلك في تضخّم جسدي بالكامل. وعندما لم أعد معلّقاً، لم أستطع التحرك لمدة ثلاثة أسابيع. هددوني عدة مرات باعتقال زوجتي وأطفالي. كانوا يتركونني لعدّة أيام بدون طعام مع التهديد بقتلي. لقد كنت أعاني من السلس بسبب الخوف. كنتيجة للقلق، مررت بفترات لم أستطع النوم فيها</w:t>
      </w:r>
      <w:r w:rsidRPr="0032333A">
        <w:rPr>
          <w:rFonts w:ascii="Traditional Arabic" w:hAnsi="Traditional Arabic" w:cs="Traditional Arabic"/>
          <w:i/>
          <w:iCs/>
          <w:sz w:val="30"/>
          <w:szCs w:val="30"/>
        </w:rPr>
        <w:t xml:space="preserve"> "</w:t>
      </w:r>
    </w:p>
    <w:p w14:paraId="654FA023" w14:textId="77777777" w:rsidR="0032333A" w:rsidRPr="0032333A" w:rsidRDefault="0032333A" w:rsidP="0032333A">
      <w:pPr>
        <w:pStyle w:val="CommentText"/>
        <w:bidi/>
        <w:ind w:left="3969"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ناشط سابق شاب احتُجز في مكان سرّي بصنعاء</w:t>
      </w:r>
    </w:p>
    <w:p w14:paraId="3ABF49A3"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وصلت الفريق مزاعم حول التعذيب والمعاملة أو العقوبة القاسية أو اللاإنسانية أو المهينة في أماكن الاحتجاز الخاضعة لإشراف سلطات الأمر الواقع في صنعاء، وكذلك في أماكن الاحتجاز السرية ذات الصلة بالحالات التي تم التحقيق فيها، أي المديرية العامة للتحقيق الجنائي، ومركز الاحتجاز التابع للأمن السياسي، ومركز الاحتجاز الخاص بالأمن القومي، وسجن صنعاء المركزي، وسجن الثورة، وسجن هبرة، وفي أماكن احتجاز سرية وبعض مراكز الشرطة.</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40"/>
      </w:r>
      <w:r w:rsidRPr="0032333A">
        <w:rPr>
          <w:rFonts w:ascii="Traditional Arabic" w:hAnsi="Traditional Arabic" w:cs="Traditional Arabic"/>
          <w:sz w:val="30"/>
          <w:szCs w:val="30"/>
          <w:rtl/>
        </w:rPr>
        <w:t>حدث ذلك أثناء جلسات الاستجواب وخارجها. وقد أُفيد عن مجموعة كبيرة ومتنوعة من حالات سوء المعاملة الجسدية والنفسية وأساليب التعذيب، بما في ذلك التعليق المستمر لعدة أيام وليال، والضرب بالعصي، والركل، وتقييد الوصول إلى المرحاض، والحرمان من الضوء الطبيعي لفترات طويلة من الزمن، والحرمان من النوم، والتهديد بالقتل</w:t>
      </w:r>
      <w:r w:rsidRPr="0032333A">
        <w:rPr>
          <w:rFonts w:ascii="Traditional Arabic" w:hAnsi="Traditional Arabic" w:cs="Traditional Arabic"/>
          <w:sz w:val="30"/>
          <w:szCs w:val="30"/>
          <w:vertAlign w:val="superscript"/>
        </w:rPr>
        <w:footnoteReference w:id="641"/>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والصعق بالكهرباء، والحرق، والعري القسري</w:t>
      </w:r>
      <w:r w:rsidRPr="0032333A">
        <w:rPr>
          <w:rFonts w:ascii="Traditional Arabic" w:hAnsi="Traditional Arabic" w:cs="Traditional Arabic"/>
          <w:sz w:val="30"/>
          <w:szCs w:val="30"/>
        </w:rPr>
        <w:t>.</w:t>
      </w:r>
    </w:p>
    <w:p w14:paraId="1519B49B" w14:textId="02BA7029"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أُفيد عن اللجوء الى الحبس الانفرادي، في زنزانات بدون ضوء لفترات طويلة تصل إلى سبعة أشهر في حالة واحدة، وذلك في مراكز احتجاز مختلفة في صنعاء، وخاصة في مركز الاحتجاز التابع للأمن السياسي. وفي إحدى الحالات، احتُجز رجل في الحبس الانفرادي لمدة شهرين لأنه رفض تكرار"الصرخة" (شعار الحوثيين).</w:t>
      </w:r>
      <w:r w:rsidRPr="0032333A">
        <w:rPr>
          <w:rFonts w:ascii="Traditional Arabic" w:hAnsi="Traditional Arabic" w:cs="Traditional Arabic"/>
          <w:sz w:val="30"/>
          <w:szCs w:val="30"/>
          <w:vertAlign w:val="superscript"/>
        </w:rPr>
        <w:t xml:space="preserve"> </w:t>
      </w:r>
      <w:r w:rsidRPr="0032333A">
        <w:rPr>
          <w:rFonts w:ascii="Traditional Arabic" w:hAnsi="Traditional Arabic" w:cs="Traditional Arabic"/>
          <w:sz w:val="30"/>
          <w:szCs w:val="30"/>
          <w:vertAlign w:val="superscript"/>
        </w:rPr>
        <w:footnoteReference w:id="642"/>
      </w:r>
      <w:r w:rsidRPr="0032333A">
        <w:rPr>
          <w:rFonts w:ascii="Traditional Arabic" w:hAnsi="Traditional Arabic" w:cs="Traditional Arabic"/>
          <w:sz w:val="30"/>
          <w:szCs w:val="30"/>
          <w:rtl/>
        </w:rPr>
        <w:t xml:space="preserve"> ويتذكر شاهد آخر قائلاً أنه </w:t>
      </w:r>
      <w:r w:rsidRPr="0032333A">
        <w:rPr>
          <w:rFonts w:ascii="Traditional Arabic" w:hAnsi="Traditional Arabic" w:cs="Traditional Arabic"/>
          <w:i/>
          <w:iCs/>
          <w:sz w:val="30"/>
          <w:szCs w:val="30"/>
          <w:rtl/>
        </w:rPr>
        <w:t>"خلال الأشهر الثلاثة الأولى، تم عزل قريبي</w:t>
      </w:r>
      <w:r w:rsidRPr="0032333A">
        <w:rPr>
          <w:rStyle w:val="FootnoteReference"/>
          <w:rFonts w:ascii="Traditional Arabic" w:hAnsi="Traditional Arabic" w:cs="Traditional Arabic"/>
          <w:i/>
          <w:iCs/>
          <w:sz w:val="30"/>
          <w:szCs w:val="30"/>
          <w:rtl/>
        </w:rPr>
        <w:footnoteReference w:id="643"/>
      </w:r>
      <w:r w:rsidRPr="0032333A">
        <w:rPr>
          <w:rFonts w:ascii="Traditional Arabic" w:hAnsi="Traditional Arabic" w:cs="Traditional Arabic"/>
          <w:i/>
          <w:iCs/>
          <w:sz w:val="30"/>
          <w:szCs w:val="30"/>
          <w:rtl/>
        </w:rPr>
        <w:t xml:space="preserve"> في زنزانة مساحتها متر مربّع واحد. وكان يستخدم الحجرة في كل شيء. في الأشهر الثلاثة التالية، تمّ وضع شخص مجنون معه في الزنزانة نفسها. تخيل نفسك جالساً في غرفة مساحتها متر مربع مع شخص مجنون".</w:t>
      </w:r>
      <w:r w:rsidRPr="0032333A">
        <w:rPr>
          <w:rFonts w:ascii="Traditional Arabic" w:hAnsi="Traditional Arabic" w:cs="Traditional Arabic"/>
          <w:sz w:val="30"/>
          <w:szCs w:val="30"/>
          <w:rtl/>
        </w:rPr>
        <w:t xml:space="preserve"> في بعض الحالات، استمر التعذيب وسوء المعاملة أثناء وجود المعتقلين في الحبس الانفرادي</w:t>
      </w:r>
      <w:r w:rsidRPr="0032333A">
        <w:rPr>
          <w:rFonts w:ascii="Traditional Arabic" w:hAnsi="Traditional Arabic" w:cs="Traditional Arabic"/>
          <w:sz w:val="30"/>
          <w:szCs w:val="30"/>
        </w:rPr>
        <w:t>.</w:t>
      </w:r>
    </w:p>
    <w:p w14:paraId="16326CC3"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 xml:space="preserve">استُخدمت أعمال التعذيب أثناء جلسات الاستجواب لإجبار المحتجزين على التوقيع على وثائق ووضع بصماتهم عليها، حتى وهم معصوبو العينين، حيث عليهم "الاعتراف" بمسؤوليتهم المزعومة. ويتذكر موظف في إحدى المنظمات غير الحكومية احتجز سابقاً قائلاً: </w:t>
      </w:r>
      <w:r w:rsidRPr="0032333A">
        <w:rPr>
          <w:rFonts w:ascii="Traditional Arabic" w:hAnsi="Traditional Arabic" w:cs="Traditional Arabic"/>
          <w:i/>
          <w:iCs/>
          <w:sz w:val="30"/>
          <w:szCs w:val="30"/>
          <w:rtl/>
        </w:rPr>
        <w:t>"تم تعليقي أثناء استجوابي وتقييد يدي وعصب عيني. لم أكن أعرف هوية الأشخاص الذين كانوا يستجوبونني لأنني كنت دائمًا معصوب العينين. لقد وضعت بصماتي على وثائق بينما كنت معصوب العينين.</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lastRenderedPageBreak/>
        <w:footnoteReference w:id="644"/>
      </w:r>
      <w:r w:rsidRPr="0032333A">
        <w:rPr>
          <w:rFonts w:ascii="Traditional Arabic" w:hAnsi="Traditional Arabic" w:cs="Traditional Arabic"/>
          <w:i/>
          <w:iCs/>
          <w:sz w:val="30"/>
          <w:szCs w:val="30"/>
          <w:rtl/>
        </w:rPr>
        <w:t xml:space="preserve"> </w:t>
      </w:r>
      <w:r w:rsidRPr="0032333A">
        <w:rPr>
          <w:rFonts w:ascii="Traditional Arabic" w:hAnsi="Traditional Arabic" w:cs="Traditional Arabic"/>
          <w:sz w:val="30"/>
          <w:szCs w:val="30"/>
          <w:rtl/>
        </w:rPr>
        <w:t>"ظلّ يعاني من آثار التعذيب على يديه وساقيه وكليته وكبده. وصف معتقلان سابقان للفريق درجة الخوف التي انتابتهما خلال عصب عيونهما، حيث شعرا بوجود شخص يقف وراءهما أثناء حديثهما، متسائلين من أين ستأتي الضربة، عندما سمعا صوتاً خلفهما يقول فجأة "إجابة خاطئة"</w:t>
      </w:r>
      <w:r w:rsidRPr="0032333A">
        <w:rPr>
          <w:rStyle w:val="FootnoteReference"/>
          <w:rFonts w:ascii="Traditional Arabic" w:hAnsi="Traditional Arabic" w:cs="Traditional Arabic"/>
          <w:sz w:val="30"/>
          <w:szCs w:val="30"/>
        </w:rPr>
        <w:footnoteReference w:id="645"/>
      </w:r>
      <w:r w:rsidRPr="0032333A">
        <w:rPr>
          <w:rFonts w:ascii="Traditional Arabic" w:hAnsi="Traditional Arabic" w:cs="Traditional Arabic"/>
          <w:sz w:val="30"/>
          <w:szCs w:val="30"/>
        </w:rPr>
        <w:t>.</w:t>
      </w:r>
    </w:p>
    <w:p w14:paraId="27832F23" w14:textId="77777777" w:rsidR="0032333A" w:rsidRPr="0032333A" w:rsidRDefault="0032333A" w:rsidP="000359FF">
      <w:pPr>
        <w:bidi/>
        <w:spacing w:line="240" w:lineRule="auto"/>
        <w:ind w:left="1449" w:right="827"/>
        <w:jc w:val="both"/>
        <w:rPr>
          <w:rFonts w:ascii="Traditional Arabic" w:hAnsi="Traditional Arabic" w:cs="Traditional Arabic"/>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علقوني هذه المرة عارياً بالكامل في خطاف على الحائط، ومرتين في مناسبتين منفصلتين قاموا بربط قنينة ماء بخصيتي ملأوها بالماء. كان هذا مؤلماً أكثر من الصعق بالكهرباء</w:t>
      </w:r>
      <w:r w:rsidRPr="0032333A">
        <w:rPr>
          <w:rStyle w:val="FootnoteReference"/>
          <w:rFonts w:ascii="Traditional Arabic" w:hAnsi="Traditional Arabic" w:cs="Traditional Arabic"/>
          <w:i/>
          <w:iCs/>
          <w:sz w:val="30"/>
          <w:szCs w:val="30"/>
          <w:rtl/>
        </w:rPr>
        <w:footnoteReference w:id="646"/>
      </w:r>
      <w:r w:rsidRPr="0032333A">
        <w:rPr>
          <w:rFonts w:ascii="Traditional Arabic" w:hAnsi="Traditional Arabic" w:cs="Traditional Arabic"/>
          <w:i/>
          <w:iCs/>
          <w:sz w:val="30"/>
          <w:szCs w:val="30"/>
        </w:rPr>
        <w:t xml:space="preserve"> "</w:t>
      </w:r>
    </w:p>
    <w:p w14:paraId="6EB41154" w14:textId="77777777" w:rsidR="0032333A" w:rsidRPr="0032333A" w:rsidRDefault="0032333A" w:rsidP="000359FF">
      <w:pPr>
        <w:bidi/>
        <w:spacing w:after="240" w:line="240" w:lineRule="auto"/>
        <w:ind w:left="5103" w:right="827" w:firstLine="56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أحد الناجين من التعذيب في صنعاء</w:t>
      </w:r>
    </w:p>
    <w:p w14:paraId="4D6D5E68"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tl/>
        </w:rPr>
        <w:t>وصلت الفريق، خلال التحقيقات التي أجراها، مزاعم بأن العنف الجنسي قد استخدم كشكل من أشكال التعذيب ضد أربعة محتجزين، بما في ذلك في مركز الاحتجاز التابع للأمن السياسي. وشملت الادعاءات التي تلقاها الفريق ضحية رُبط عضوه التناسلي بسلك لمدة خمسة أيام</w:t>
      </w:r>
      <w:r w:rsidRPr="0032333A">
        <w:rPr>
          <w:rFonts w:ascii="Traditional Arabic" w:hAnsi="Traditional Arabic" w:cs="Traditional Arabic"/>
          <w:sz w:val="30"/>
          <w:szCs w:val="30"/>
          <w:vertAlign w:val="superscript"/>
        </w:rPr>
        <w:footnoteReference w:id="647"/>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 فيما تمّ تهديد آخر بالاغتصاب، بما في ذلك بواسطة أداة</w:t>
      </w:r>
      <w:r w:rsidRPr="0032333A">
        <w:rPr>
          <w:rStyle w:val="FootnoteReference"/>
          <w:rFonts w:ascii="Traditional Arabic" w:hAnsi="Traditional Arabic" w:cs="Traditional Arabic"/>
          <w:sz w:val="30"/>
          <w:szCs w:val="30"/>
        </w:rPr>
        <w:footnoteReference w:id="648"/>
      </w:r>
      <w:r w:rsidRPr="0032333A">
        <w:rPr>
          <w:rFonts w:ascii="Traditional Arabic" w:hAnsi="Traditional Arabic" w:cs="Traditional Arabic"/>
          <w:sz w:val="30"/>
          <w:szCs w:val="30"/>
          <w:rtl/>
        </w:rPr>
        <w:t>. كما تلقى فريق الخبراء تقارير مختلفة عن العري القسري أمام معتقلين آخرين وأمام الحرّاس</w:t>
      </w:r>
      <w:r w:rsidRPr="0032333A">
        <w:rPr>
          <w:rFonts w:ascii="Traditional Arabic" w:hAnsi="Traditional Arabic" w:cs="Traditional Arabic"/>
          <w:sz w:val="30"/>
          <w:szCs w:val="30"/>
          <w:vertAlign w:val="superscript"/>
        </w:rPr>
        <w:footnoteReference w:id="649"/>
      </w:r>
      <w:r w:rsidRPr="0032333A">
        <w:rPr>
          <w:rFonts w:ascii="Traditional Arabic" w:hAnsi="Traditional Arabic" w:cs="Traditional Arabic"/>
          <w:sz w:val="30"/>
          <w:szCs w:val="30"/>
          <w:rtl/>
        </w:rPr>
        <w:t>. كما وصلت الفريق مزاعم بحجز الفتيان الصغار، إما لارتباطهم المزعوم بأحزاب المعارضة، أو لاستخراج المعلومات منهم، أو لممارسة الضغط على أحد أفراد الأسرة "للاستسلام" إلى سلطات الأمر الواقع. وفي إحدى هذه الحالات، تلقى الفريق معلومات</w:t>
      </w:r>
      <w:r w:rsidRPr="0032333A">
        <w:rPr>
          <w:rStyle w:val="FootnoteReference"/>
          <w:rFonts w:ascii="Traditional Arabic" w:hAnsi="Traditional Arabic" w:cs="Traditional Arabic"/>
          <w:sz w:val="30"/>
          <w:szCs w:val="30"/>
        </w:rPr>
        <w:footnoteReference w:id="650"/>
      </w:r>
      <w:r w:rsidRPr="0032333A">
        <w:rPr>
          <w:rFonts w:ascii="Traditional Arabic" w:hAnsi="Traditional Arabic" w:cs="Traditional Arabic"/>
          <w:sz w:val="30"/>
          <w:szCs w:val="30"/>
          <w:rtl/>
        </w:rPr>
        <w:t xml:space="preserve"> تفيد بأن أحد هؤلاء الفتيان المحتجز في مرفق احتجاز الأمن السياسي قد تعرّض للتعذيب، بما في ذلك الاعتداء الجنسي كالضرب على أعضائه التناسلية، والعُري القسري، والتهديد بالاغتصاب.</w:t>
      </w:r>
      <w:r w:rsidRPr="0032333A">
        <w:rPr>
          <w:rStyle w:val="FootnoteReference"/>
          <w:rFonts w:ascii="Traditional Arabic" w:hAnsi="Traditional Arabic" w:cs="Traditional Arabic"/>
          <w:sz w:val="30"/>
          <w:szCs w:val="30"/>
        </w:rPr>
        <w:footnoteReference w:id="651"/>
      </w:r>
    </w:p>
    <w:p w14:paraId="56D91636" w14:textId="4F074EE8" w:rsidR="0032333A" w:rsidRPr="0032333A" w:rsidRDefault="00A200B3" w:rsidP="000359FF">
      <w:pPr>
        <w:tabs>
          <w:tab w:val="right" w:pos="422"/>
          <w:tab w:val="left" w:pos="450"/>
        </w:tabs>
        <w:bidi/>
        <w:spacing w:after="240" w:line="240" w:lineRule="auto"/>
        <w:ind w:right="827"/>
        <w:jc w:val="both"/>
        <w:rPr>
          <w:rFonts w:ascii="Traditional Arabic" w:hAnsi="Traditional Arabic" w:cs="Traditional Arabic"/>
          <w:i/>
          <w:iCs/>
          <w:sz w:val="30"/>
          <w:szCs w:val="30"/>
          <w:rtl/>
        </w:rPr>
      </w:pP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Pr>
          <w:rFonts w:ascii="Traditional Arabic" w:hAnsi="Traditional Arabic" w:cs="Traditional Arabic"/>
          <w:i/>
          <w:iCs/>
          <w:sz w:val="30"/>
          <w:szCs w:val="30"/>
          <w:rtl/>
        </w:rPr>
        <w:tab/>
      </w:r>
      <w:r w:rsidR="0032333A" w:rsidRPr="0032333A">
        <w:rPr>
          <w:rFonts w:ascii="Traditional Arabic" w:hAnsi="Traditional Arabic" w:cs="Traditional Arabic"/>
          <w:i/>
          <w:iCs/>
          <w:sz w:val="30"/>
          <w:szCs w:val="30"/>
          <w:rtl/>
        </w:rPr>
        <w:t>ظروف الاحتجاز اللاإنسانية</w:t>
      </w:r>
    </w:p>
    <w:p w14:paraId="6135F30D" w14:textId="77777777" w:rsidR="0032333A" w:rsidRPr="0032333A" w:rsidRDefault="0032333A" w:rsidP="000359FF">
      <w:pPr>
        <w:pStyle w:val="ListParagraph"/>
        <w:tabs>
          <w:tab w:val="left" w:pos="450"/>
          <w:tab w:val="right" w:pos="1052"/>
        </w:tabs>
        <w:bidi/>
        <w:spacing w:after="0" w:line="240" w:lineRule="auto"/>
        <w:ind w:left="1449" w:right="827" w:hanging="90"/>
        <w:jc w:val="both"/>
        <w:rPr>
          <w:rFonts w:ascii="Traditional Arabic" w:hAnsi="Traditional Arabic" w:cs="Traditional Arabic"/>
          <w:i/>
          <w:iCs/>
          <w:sz w:val="30"/>
          <w:szCs w:val="30"/>
        </w:rPr>
      </w:pPr>
      <w:r w:rsidRPr="0032333A">
        <w:rPr>
          <w:rFonts w:ascii="Traditional Arabic" w:hAnsi="Traditional Arabic" w:cs="Traditional Arabic"/>
          <w:sz w:val="30"/>
          <w:szCs w:val="30"/>
        </w:rPr>
        <w:t>"</w:t>
      </w:r>
      <w:r w:rsidRPr="0032333A">
        <w:rPr>
          <w:rFonts w:ascii="Traditional Arabic" w:hAnsi="Traditional Arabic" w:cs="Traditional Arabic"/>
          <w:i/>
          <w:iCs/>
          <w:sz w:val="30"/>
          <w:szCs w:val="30"/>
          <w:rtl/>
        </w:rPr>
        <w:t>لم يُسمح لي بالخروج إلى المرحاض إلا مرة واحدة كل أربع وعشرين ساعة. المياه التي اعتدت شربها لم تكن شفافة. لم يُسمح لي بالاستحمام. كان المكان مظلمًا. المطبخ الذي احتُجزت فيه شديد البرودة، وأصبت بالتهابات في الكلى والرئة. لقد اعتادوا أن يتركوني لأيام بدون طعام ويهددوا بقتلي</w:t>
      </w:r>
      <w:r w:rsidRPr="0032333A">
        <w:rPr>
          <w:rFonts w:ascii="Traditional Arabic" w:hAnsi="Traditional Arabic" w:cs="Traditional Arabic"/>
          <w:i/>
          <w:iCs/>
          <w:sz w:val="30"/>
          <w:szCs w:val="30"/>
        </w:rPr>
        <w:t xml:space="preserve"> "</w:t>
      </w:r>
    </w:p>
    <w:p w14:paraId="1975CB7E" w14:textId="281D98A6" w:rsidR="0032333A" w:rsidRPr="00E07AC2" w:rsidRDefault="0032333A" w:rsidP="000359FF">
      <w:pPr>
        <w:pStyle w:val="ListParagraph"/>
        <w:tabs>
          <w:tab w:val="left" w:pos="450"/>
        </w:tabs>
        <w:bidi/>
        <w:spacing w:line="240" w:lineRule="auto"/>
        <w:ind w:left="1134" w:right="827"/>
        <w:jc w:val="both"/>
        <w:rPr>
          <w:rFonts w:ascii="Traditional Arabic" w:hAnsi="Traditional Arabic" w:cs="Traditional Arabic"/>
          <w:b/>
          <w:bCs/>
          <w:sz w:val="30"/>
          <w:szCs w:val="30"/>
        </w:rPr>
      </w:pP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r>
      <w:r w:rsidRPr="0032333A">
        <w:rPr>
          <w:rFonts w:ascii="Traditional Arabic" w:hAnsi="Traditional Arabic" w:cs="Traditional Arabic"/>
          <w:b/>
          <w:bCs/>
          <w:sz w:val="30"/>
          <w:szCs w:val="30"/>
          <w:rtl/>
        </w:rPr>
        <w:tab/>
        <w:t>معتقل سابق في مركز الاحتجاز التابع للأمن السياسي</w:t>
      </w:r>
    </w:p>
    <w:p w14:paraId="570C5AB1"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أُفيد عن ظروف احتجاز لاإنسانية على نطاق واسع في جميع مراكز الاحتجاز في قضايا حقق فيها فريق الخبراء، لا سيما مركز احتجاز الأمن السياسي في صنعاء. ووصفت مصادر بينها معتقلون سابقون درجة الاكتظاظ – </w:t>
      </w:r>
      <w:r w:rsidRPr="0032333A">
        <w:rPr>
          <w:rFonts w:ascii="Traditional Arabic" w:hAnsi="Traditional Arabic" w:cs="Traditional Arabic"/>
          <w:sz w:val="30"/>
          <w:szCs w:val="30"/>
          <w:rtl/>
        </w:rPr>
        <w:lastRenderedPageBreak/>
        <w:t>فقد وصل عدد الأشخاص الى 37 محتجزاً في غرفة واحدة، حيث حصل كل محتجز على ما يعادل "بلاطة واحدة" لينام عليها. ذكروا أيضاً وجود نقص كبير في الطعام والمياه النظيفة والضوء الطبيعي والتهوية والوصول إلى المراحيض. كما مُنعوا من الوصول إلى الكتب والأخبار والأقلام. وفي عام 2017، أفادت المفوضية السامية لحقوق الانسان عن وجود 150 مرفق احتجاز تديرها سلطات الأمر الواقع التي تخضع للمراقبة منذ آذار/ مارس 2015 ، قائلة إن "ظروف الاحتجاز قد تدهورت بشكل ملحوظ ... وتفاقمت جميعها بسبب النزاع"</w:t>
      </w:r>
      <w:r w:rsidRPr="0032333A">
        <w:rPr>
          <w:rStyle w:val="FootnoteReference"/>
          <w:rFonts w:ascii="Traditional Arabic" w:hAnsi="Traditional Arabic" w:cs="Traditional Arabic"/>
          <w:sz w:val="30"/>
          <w:szCs w:val="30"/>
        </w:rPr>
        <w:footnoteReference w:id="652"/>
      </w:r>
      <w:r w:rsidRPr="0032333A">
        <w:rPr>
          <w:rFonts w:ascii="Traditional Arabic" w:hAnsi="Traditional Arabic" w:cs="Traditional Arabic"/>
          <w:sz w:val="30"/>
          <w:szCs w:val="30"/>
          <w:rtl/>
        </w:rPr>
        <w:t>. وأبلغ محتجز سابق الفريق عن وجود زنزانة مساحتها 4 في 5 أمتار داخلها 20 شخصًا في مركز الاحتجاز التابع للأمن السياسي، بلا نافذة ولا ضوء، مع إجبار المحتجزين على وضع جدول للنوم.</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53"/>
      </w:r>
      <w:r w:rsidRPr="0032333A">
        <w:rPr>
          <w:rFonts w:ascii="Traditional Arabic" w:hAnsi="Traditional Arabic" w:cs="Traditional Arabic"/>
          <w:sz w:val="30"/>
          <w:szCs w:val="30"/>
          <w:rtl/>
        </w:rPr>
        <w:t xml:space="preserve"> يشكّل استخدام مرافق الاحتجاز السرية مصدر قلق إضافياً بشأن ظروف الاحتجاز، حيث أنها لم تصمم لأغراض الاحتجاز. وبيّنت ظروف العيش المروعة التي وصفها المعتقلون مدى بؤسهم اليومي. وفي الحالات التي لم يحدث فيها تعذيب، يصف المحتجزون ظروف الاحتجاز على أنها سوء معاملة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54"/>
      </w:r>
    </w:p>
    <w:p w14:paraId="701D85B8" w14:textId="77777777" w:rsidR="0032333A" w:rsidRPr="0032333A" w:rsidRDefault="0032333A" w:rsidP="000359FF">
      <w:pPr>
        <w:bidi/>
        <w:spacing w:after="240" w:line="240" w:lineRule="auto"/>
        <w:ind w:left="1134" w:right="827"/>
        <w:rPr>
          <w:rFonts w:ascii="Traditional Arabic" w:hAnsi="Traditional Arabic" w:cs="Traditional Arabic"/>
          <w:iCs/>
          <w:sz w:val="30"/>
          <w:szCs w:val="30"/>
        </w:rPr>
      </w:pPr>
      <w:r w:rsidRPr="0032333A">
        <w:rPr>
          <w:rFonts w:ascii="Traditional Arabic" w:hAnsi="Traditional Arabic" w:cs="Traditional Arabic"/>
          <w:iCs/>
          <w:sz w:val="30"/>
          <w:szCs w:val="30"/>
          <w:rtl/>
        </w:rPr>
        <w:t>محدودية الزيارات العائلية أو غيابها كلياً</w:t>
      </w:r>
    </w:p>
    <w:p w14:paraId="379FD24A" w14:textId="77777777" w:rsidR="0032333A" w:rsidRPr="0032333A" w:rsidRDefault="0032333A" w:rsidP="000359FF">
      <w:pPr>
        <w:bidi/>
        <w:spacing w:line="240" w:lineRule="auto"/>
        <w:ind w:left="1449" w:right="827"/>
        <w:rPr>
          <w:rFonts w:ascii="Traditional Arabic" w:hAnsi="Traditional Arabic" w:cs="Traditional Arabic"/>
          <w:iCs/>
          <w:sz w:val="30"/>
          <w:szCs w:val="30"/>
        </w:rPr>
      </w:pPr>
      <w:r w:rsidRPr="0032333A">
        <w:rPr>
          <w:rFonts w:ascii="Traditional Arabic" w:hAnsi="Traditional Arabic" w:cs="Traditional Arabic"/>
          <w:iCs/>
          <w:sz w:val="30"/>
          <w:szCs w:val="30"/>
        </w:rPr>
        <w:t>"</w:t>
      </w:r>
      <w:r w:rsidRPr="0032333A">
        <w:rPr>
          <w:rFonts w:ascii="Traditional Arabic" w:hAnsi="Traditional Arabic" w:cs="Traditional Arabic"/>
          <w:iCs/>
          <w:sz w:val="30"/>
          <w:szCs w:val="30"/>
          <w:rtl/>
        </w:rPr>
        <w:t>في كثير من الأحيان ، تم جرّي وتهديدي أمام عائلتي بأنهم سيمنعون عني الزيارات العائلية لأنني تأخرت وأن وقت الزيارة الممتد على دقيقتين قد انتهى. تعرضنا للضرب بالعصي الكهربائية أمام العائلة أثناء الزيارة</w:t>
      </w:r>
      <w:r w:rsidRPr="0032333A">
        <w:rPr>
          <w:rFonts w:ascii="Traditional Arabic" w:hAnsi="Traditional Arabic" w:cs="Traditional Arabic"/>
          <w:iCs/>
          <w:sz w:val="30"/>
          <w:szCs w:val="30"/>
        </w:rPr>
        <w:t xml:space="preserve"> "</w:t>
      </w:r>
    </w:p>
    <w:p w14:paraId="095330D6" w14:textId="7983595E" w:rsidR="0032333A" w:rsidRPr="0032333A" w:rsidRDefault="0032333A" w:rsidP="000359FF">
      <w:pPr>
        <w:spacing w:after="240" w:line="240" w:lineRule="auto"/>
        <w:ind w:left="1134" w:right="827"/>
        <w:jc w:val="right"/>
        <w:rPr>
          <w:rFonts w:ascii="Traditional Arabic" w:hAnsi="Traditional Arabic" w:cs="Traditional Arabic"/>
          <w:b/>
          <w:bCs/>
          <w:iCs/>
          <w:sz w:val="30"/>
          <w:szCs w:val="30"/>
        </w:rPr>
      </w:pPr>
      <w:r w:rsidRPr="0032333A">
        <w:rPr>
          <w:rFonts w:ascii="Traditional Arabic" w:hAnsi="Traditional Arabic" w:cs="Traditional Arabic"/>
          <w:b/>
          <w:bCs/>
          <w:iCs/>
          <w:sz w:val="30"/>
          <w:szCs w:val="30"/>
          <w:rtl/>
        </w:rPr>
        <w:t>شهادة من معتقل سابق في الأمن السياسي</w:t>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r w:rsidRPr="0032333A">
        <w:rPr>
          <w:rFonts w:ascii="Traditional Arabic" w:hAnsi="Traditional Arabic" w:cs="Traditional Arabic"/>
          <w:b/>
          <w:bCs/>
          <w:iCs/>
          <w:sz w:val="30"/>
          <w:szCs w:val="30"/>
          <w:rtl/>
        </w:rPr>
        <w:tab/>
      </w:r>
    </w:p>
    <w:p w14:paraId="2B40A390" w14:textId="61128456"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Pr>
      </w:pPr>
      <w:r w:rsidRPr="0032333A">
        <w:rPr>
          <w:rFonts w:ascii="Traditional Arabic" w:hAnsi="Traditional Arabic" w:cs="Traditional Arabic"/>
          <w:sz w:val="30"/>
          <w:szCs w:val="30"/>
          <w:rtl/>
        </w:rPr>
        <w:t>أبلغ أقارب المحتجزين فريق الخبراء بأنهم يُحرمون بانتظام من الزيارات العائلية الى مركز الأمن السياسي في صنعاء</w:t>
      </w:r>
      <w:r w:rsidRPr="0032333A">
        <w:rPr>
          <w:rStyle w:val="FootnoteReference"/>
          <w:rFonts w:ascii="Traditional Arabic" w:hAnsi="Traditional Arabic" w:cs="Traditional Arabic"/>
          <w:sz w:val="30"/>
          <w:szCs w:val="30"/>
        </w:rPr>
        <w:footnoteReference w:id="655"/>
      </w:r>
      <w:r w:rsidRPr="0032333A">
        <w:rPr>
          <w:rFonts w:ascii="Traditional Arabic" w:hAnsi="Traditional Arabic" w:cs="Traditional Arabic"/>
          <w:sz w:val="30"/>
          <w:szCs w:val="30"/>
          <w:rtl/>
        </w:rPr>
        <w:t>. وفي بعض الحالات، أعربوا عن خوفهم من أن يكون رفض الزيارات مؤشراً لتعرّض قريبهم للتعذيب. في إحدى الحالات، طلب المدعي العام من رئيس مركز الاحتجاز التابع للأمن السياسي السماح لعائلة بالزيارة بسبب مخاوف جدية بشأن مكان وجود قريبها</w:t>
      </w:r>
      <w:r w:rsidRPr="0032333A">
        <w:rPr>
          <w:rStyle w:val="FootnoteReference"/>
          <w:rFonts w:ascii="Traditional Arabic" w:hAnsi="Traditional Arabic" w:cs="Traditional Arabic"/>
          <w:sz w:val="30"/>
          <w:szCs w:val="30"/>
        </w:rPr>
        <w:footnoteReference w:id="656"/>
      </w:r>
      <w:r w:rsidRPr="0032333A">
        <w:rPr>
          <w:rFonts w:ascii="Traditional Arabic" w:hAnsi="Traditional Arabic" w:cs="Traditional Arabic"/>
          <w:sz w:val="30"/>
          <w:szCs w:val="30"/>
          <w:rtl/>
        </w:rPr>
        <w:t xml:space="preserve">. لم يتم السماح بالزيارة إلا مرة واحدة، ثم تم رفض الزيارات بدون إعطاء سبب. وتلقى الفريق معلومات تفيد بأن حظر الزيارات العائلية استُخدم كعقوبة ضد المعتقلين. ويتذكر أحد المحتجزين المفرج عنهم قائلاً: </w:t>
      </w:r>
      <w:r w:rsidRPr="0032333A">
        <w:rPr>
          <w:rFonts w:ascii="Traditional Arabic" w:hAnsi="Traditional Arabic" w:cs="Traditional Arabic"/>
          <w:i/>
          <w:iCs/>
          <w:sz w:val="30"/>
          <w:szCs w:val="30"/>
          <w:rtl/>
        </w:rPr>
        <w:t>"مُنعت من تلقي الزيارات في الأمن السياسي أكثر من مرة لأنني كنت أطلب علاجات للحساسية والربو بسبب سوء التهوية في الزنزانات"</w:t>
      </w:r>
      <w:r w:rsidRPr="0032333A">
        <w:rPr>
          <w:rStyle w:val="FootnoteReference"/>
          <w:rFonts w:ascii="Traditional Arabic" w:hAnsi="Traditional Arabic" w:cs="Traditional Arabic"/>
          <w:i/>
          <w:iCs/>
          <w:sz w:val="30"/>
          <w:szCs w:val="30"/>
        </w:rPr>
        <w:footnoteReference w:id="657"/>
      </w:r>
      <w:r w:rsidRPr="0032333A">
        <w:rPr>
          <w:rFonts w:ascii="Traditional Arabic" w:hAnsi="Traditional Arabic" w:cs="Traditional Arabic"/>
          <w:sz w:val="30"/>
          <w:szCs w:val="30"/>
          <w:rtl/>
        </w:rPr>
        <w:t xml:space="preserve">. في الواقع، انحصر وقت الزيارات في مركز الأمن السياسي، لدى السماح بها، بوقت محدود للغاية، حيث تراوح المتوسط </w:t>
      </w:r>
      <w:r w:rsidRPr="0032333A">
        <w:rPr>
          <w:rFonts w:ascii="Traditional Arabic" w:hAnsi="Traditional Arabic" w:cs="Traditional Arabic" w:hint="cs"/>
          <w:sz w:val="30"/>
          <w:szCs w:val="30"/>
          <w:rtl/>
        </w:rPr>
        <w:t>بين</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دقيقة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واحدة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وثلاث</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دقائق</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ذكر</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أفراد</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الأسرة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رجالًا</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ونساء،</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أنهم</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lastRenderedPageBreak/>
        <w:t>تعرضوا</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للإهانات</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اللفظية</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من</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جانب</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الحراس</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أثناء</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الزيارات</w:t>
      </w:r>
      <w:r w:rsidRPr="0032333A">
        <w:rPr>
          <w:rFonts w:ascii="Traditional Arabic" w:hAnsi="Traditional Arabic" w:cs="Traditional Arabic"/>
          <w:sz w:val="30"/>
          <w:szCs w:val="30"/>
          <w:rtl/>
        </w:rPr>
        <w:t xml:space="preserve"> </w:t>
      </w:r>
      <w:r w:rsidRPr="0032333A">
        <w:rPr>
          <w:rFonts w:ascii="Traditional Arabic" w:hAnsi="Traditional Arabic" w:cs="Traditional Arabic" w:hint="cs"/>
          <w:sz w:val="30"/>
          <w:szCs w:val="30"/>
          <w:rtl/>
        </w:rPr>
        <w:t>العائلية</w:t>
      </w:r>
      <w:r w:rsidRPr="0032333A">
        <w:rPr>
          <w:rFonts w:ascii="Traditional Arabic" w:hAnsi="Traditional Arabic" w:cs="Traditional Arabic"/>
          <w:sz w:val="30"/>
          <w:szCs w:val="30"/>
          <w:rtl/>
        </w:rPr>
        <w:t>. "</w:t>
      </w:r>
      <w:r w:rsidRPr="0032333A">
        <w:rPr>
          <w:rFonts w:ascii="Traditional Arabic" w:hAnsi="Traditional Arabic" w:cs="Traditional Arabic"/>
          <w:i/>
          <w:iCs/>
          <w:sz w:val="30"/>
          <w:szCs w:val="30"/>
          <w:rtl/>
        </w:rPr>
        <w:t>خلال الزيارة، كانت توجّه الاهانات الينا جميعًا. كانوا يشتموننا ويلعنوننا</w:t>
      </w:r>
      <w:r w:rsidRPr="0032333A">
        <w:rPr>
          <w:rFonts w:ascii="Traditional Arabic" w:hAnsi="Traditional Arabic" w:cs="Traditional Arabic"/>
          <w:i/>
          <w:iCs/>
          <w:sz w:val="30"/>
          <w:szCs w:val="30"/>
        </w:rPr>
        <w:t xml:space="preserve"> "</w:t>
      </w:r>
      <w:r w:rsidRPr="0032333A">
        <w:rPr>
          <w:rStyle w:val="FootnoteReference"/>
          <w:rFonts w:ascii="Traditional Arabic" w:hAnsi="Traditional Arabic" w:cs="Traditional Arabic"/>
          <w:i/>
          <w:iCs/>
          <w:sz w:val="30"/>
          <w:szCs w:val="30"/>
        </w:rPr>
        <w:footnoteReference w:id="658"/>
      </w:r>
      <w:r w:rsidRPr="0032333A">
        <w:rPr>
          <w:rFonts w:ascii="Traditional Arabic" w:hAnsi="Traditional Arabic" w:cs="Traditional Arabic"/>
          <w:i/>
          <w:iCs/>
          <w:sz w:val="30"/>
          <w:szCs w:val="30"/>
        </w:rPr>
        <w:t>.</w:t>
      </w:r>
    </w:p>
    <w:p w14:paraId="5A98A206" w14:textId="77777777" w:rsidR="0032333A" w:rsidRPr="0032333A" w:rsidRDefault="0032333A" w:rsidP="00E07AC2">
      <w:pPr>
        <w:pStyle w:val="ListParagraph"/>
        <w:bidi/>
        <w:spacing w:after="120" w:line="240" w:lineRule="atLeast"/>
        <w:ind w:right="827" w:firstLine="414"/>
        <w:rPr>
          <w:rFonts w:ascii="Traditional Arabic" w:hAnsi="Traditional Arabic" w:cs="Traditional Arabic"/>
          <w:i/>
          <w:iCs/>
          <w:sz w:val="30"/>
          <w:szCs w:val="30"/>
        </w:rPr>
      </w:pPr>
      <w:r w:rsidRPr="0032333A">
        <w:rPr>
          <w:rFonts w:ascii="Traditional Arabic" w:hAnsi="Traditional Arabic" w:cs="Traditional Arabic"/>
          <w:i/>
          <w:iCs/>
          <w:sz w:val="30"/>
          <w:szCs w:val="30"/>
          <w:rtl/>
        </w:rPr>
        <w:t>عدم الحصول على الرعاية الطبية الكافية وتفاقم آثار التعذيب وسوء المعاملة</w:t>
      </w:r>
    </w:p>
    <w:p w14:paraId="2C8CAEA0" w14:textId="0E35E3B3" w:rsidR="0032333A" w:rsidRPr="0032333A" w:rsidRDefault="0032333A" w:rsidP="00C671DD">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استعرض الفريق الحالات التي ادعى فيها محتجزون سابقون أنهم يعانون من مرض خطير، بما في ذلك مشاكل الصحة العقلية أو الإعاقة نتيجة لسوء المعاملة والتعذيب وظروف الاحتجاز اللاإنسانية. أدى عدم الوصول إلى الرعاية الطبية المهنية أو الأدوية المناسبة إلى تفاقم مشاكلهم الصحية وإصاباتهم</w:t>
      </w:r>
      <w:r w:rsidRPr="0032333A">
        <w:rPr>
          <w:rStyle w:val="FootnoteReference"/>
          <w:rFonts w:ascii="Traditional Arabic" w:hAnsi="Traditional Arabic" w:cs="Traditional Arabic"/>
          <w:sz w:val="30"/>
          <w:szCs w:val="30"/>
        </w:rPr>
        <w:footnoteReference w:id="659"/>
      </w:r>
      <w:r w:rsidRPr="0032333A">
        <w:rPr>
          <w:rFonts w:ascii="Traditional Arabic" w:hAnsi="Traditional Arabic" w:cs="Traditional Arabic"/>
          <w:sz w:val="30"/>
          <w:szCs w:val="30"/>
          <w:rtl/>
        </w:rPr>
        <w:t>. وذكر محتجز سابق أنه أصيب بالشلل نتيجة للتعذيب الذي تعرض له في مكان احتجاز سري في صنعاء. تمكن الفريق من تأكيد احتجازه وحالته الصحية وحرمانه من الحصول على رعاية صحية متخصصة وأدوية كافية خلال فترة احتجازه. وقد أبلغ عن صعوبات في الحركة، والوصول إلى المراحيض، وأحيانًا أجبر على استخدام زنزانته للتغوط. وذكر أيضًا أن المحتجزين الآخرين كانوا يوضعون أحيانًا في زنزانته لمساعدته، كوسيلة عقاب لهم</w:t>
      </w:r>
      <w:r w:rsidRPr="0032333A">
        <w:rPr>
          <w:rStyle w:val="FootnoteReference"/>
          <w:rFonts w:ascii="Traditional Arabic" w:hAnsi="Traditional Arabic" w:cs="Traditional Arabic"/>
          <w:sz w:val="30"/>
          <w:szCs w:val="30"/>
        </w:rPr>
        <w:footnoteReference w:id="660"/>
      </w:r>
      <w:r w:rsidRPr="0032333A">
        <w:rPr>
          <w:rFonts w:ascii="Traditional Arabic" w:hAnsi="Traditional Arabic" w:cs="Traditional Arabic"/>
          <w:sz w:val="30"/>
          <w:szCs w:val="30"/>
          <w:rtl/>
        </w:rPr>
        <w:t>. وذكر محتجزان اثنان سابقان أنه طُلب من طبيب العيون المحتجز توزيع مجموعة عشوائية من الأدوية على المحتجزين أحضرها الحراس إلى المنشأة بناءً على تقييمه لاحتياجات المحتجزين من غير السماح لهم بالاتصال بطبيب.</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1"/>
      </w:r>
      <w:r w:rsidRPr="0032333A">
        <w:rPr>
          <w:rFonts w:ascii="Traditional Arabic" w:hAnsi="Traditional Arabic" w:cs="Traditional Arabic"/>
          <w:sz w:val="30"/>
          <w:szCs w:val="30"/>
          <w:rtl/>
        </w:rPr>
        <w:t xml:space="preserve"> وقد مُنع أحد المحتجزين الذي أصيب أيضًا بجروح خطيرة في ظهره، نتيجة التعذيب حسب ما أُفيد، من الوصول إلى طبيب متخصص لفترة طويلة من الزمن، مما أدى إلى تفاقم حالته. وبدلاً من ذلك، أعطي حقن ضد الألم بشكل منتظم، إلى أن رفض الشخص الم</w:t>
      </w:r>
      <w:r w:rsidR="00C671DD">
        <w:rPr>
          <w:rFonts w:ascii="Traditional Arabic" w:hAnsi="Traditional Arabic" w:cs="Traditional Arabic" w:hint="cs"/>
          <w:sz w:val="30"/>
          <w:szCs w:val="30"/>
          <w:rtl/>
        </w:rPr>
        <w:t xml:space="preserve">وكل </w:t>
      </w:r>
      <w:r w:rsidR="00E627E0">
        <w:rPr>
          <w:rFonts w:ascii="Traditional Arabic" w:hAnsi="Traditional Arabic" w:cs="Traditional Arabic" w:hint="cs"/>
          <w:sz w:val="30"/>
          <w:szCs w:val="30"/>
          <w:rtl/>
        </w:rPr>
        <w:t xml:space="preserve">إعطاء الحقن </w:t>
      </w:r>
      <w:r w:rsidRPr="0032333A">
        <w:rPr>
          <w:rFonts w:ascii="Traditional Arabic" w:hAnsi="Traditional Arabic" w:cs="Traditional Arabic"/>
          <w:sz w:val="30"/>
          <w:szCs w:val="30"/>
          <w:rtl/>
        </w:rPr>
        <w:t>في مركز الاعتقال</w:t>
      </w:r>
      <w:r w:rsidR="00C671DD">
        <w:rPr>
          <w:rFonts w:ascii="Traditional Arabic" w:hAnsi="Traditional Arabic" w:cs="Traditional Arabic" w:hint="cs"/>
          <w:sz w:val="30"/>
          <w:szCs w:val="30"/>
          <w:rtl/>
        </w:rPr>
        <w:t xml:space="preserve"> مواصلتها</w:t>
      </w:r>
      <w:r w:rsidRPr="0032333A">
        <w:rPr>
          <w:rFonts w:ascii="Traditional Arabic" w:hAnsi="Traditional Arabic" w:cs="Traditional Arabic"/>
          <w:sz w:val="30"/>
          <w:szCs w:val="30"/>
          <w:rtl/>
        </w:rPr>
        <w:t xml:space="preserve"> خوفاً من التسبب </w:t>
      </w:r>
      <w:r w:rsidR="00C671DD">
        <w:rPr>
          <w:rFonts w:ascii="Traditional Arabic" w:hAnsi="Traditional Arabic" w:cs="Traditional Arabic" w:hint="cs"/>
          <w:sz w:val="30"/>
          <w:szCs w:val="30"/>
          <w:rtl/>
        </w:rPr>
        <w:t>له ب</w:t>
      </w:r>
      <w:r w:rsidRPr="0032333A">
        <w:rPr>
          <w:rFonts w:ascii="Traditional Arabic" w:hAnsi="Traditional Arabic" w:cs="Traditional Arabic"/>
          <w:sz w:val="30"/>
          <w:szCs w:val="30"/>
          <w:rtl/>
        </w:rPr>
        <w:t>فشل كلوي. وأخيراً تم إطلاق سراح المحتجز المعني بعد قرابة عام من الاحتجاز، وذلك لأسباب طبية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2"/>
      </w:r>
    </w:p>
    <w:p w14:paraId="164DEBBC" w14:textId="180E94A5" w:rsidR="0032333A" w:rsidRPr="0032333A" w:rsidRDefault="0032333A" w:rsidP="00D31305">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lang w:bidi="ar-LB"/>
        </w:rPr>
        <w:t xml:space="preserve">أفادت </w:t>
      </w:r>
      <w:r w:rsidRPr="0032333A">
        <w:rPr>
          <w:rFonts w:ascii="Traditional Arabic" w:hAnsi="Traditional Arabic" w:cs="Traditional Arabic"/>
          <w:sz w:val="30"/>
          <w:szCs w:val="30"/>
          <w:rtl/>
        </w:rPr>
        <w:t>شهادات أيضاً عن وجود أشخاص يعانون من اضطرابات نفسية اجتماعية شديدة احتُجزوا في زنزانات مشتركة مع محتجزين آخرين، بدون الحصول على الرعاية الصحية الخاصة. بالإضافة إلى المخاوف المتعلقة ب</w:t>
      </w:r>
      <w:r w:rsidR="00E627E0">
        <w:rPr>
          <w:rFonts w:ascii="Traditional Arabic" w:hAnsi="Traditional Arabic" w:cs="Traditional Arabic" w:hint="cs"/>
          <w:sz w:val="30"/>
          <w:szCs w:val="30"/>
          <w:rtl/>
          <w:lang w:bidi="ar-JO"/>
        </w:rPr>
        <w:t>سلامتهم</w:t>
      </w:r>
      <w:r w:rsidRPr="0032333A">
        <w:rPr>
          <w:rFonts w:ascii="Traditional Arabic" w:hAnsi="Traditional Arabic" w:cs="Traditional Arabic"/>
          <w:sz w:val="30"/>
          <w:szCs w:val="30"/>
          <w:rtl/>
        </w:rPr>
        <w:t>، شكّل ذلك سببًا إضافيًا لشعورهم بالتوتر</w:t>
      </w:r>
      <w:r w:rsidR="00E627E0">
        <w:rPr>
          <w:rFonts w:ascii="Traditional Arabic" w:hAnsi="Traditional Arabic" w:cs="Traditional Arabic"/>
          <w:sz w:val="30"/>
          <w:szCs w:val="30"/>
          <w:rtl/>
        </w:rPr>
        <w:t xml:space="preserve"> وأيضًا </w:t>
      </w:r>
      <w:r w:rsidR="00E627E0">
        <w:rPr>
          <w:rFonts w:ascii="Traditional Arabic" w:hAnsi="Traditional Arabic" w:cs="Traditional Arabic" w:hint="cs"/>
          <w:sz w:val="30"/>
          <w:szCs w:val="30"/>
          <w:rtl/>
        </w:rPr>
        <w:t xml:space="preserve">التهديد بحدوث </w:t>
      </w:r>
      <w:r w:rsidRPr="0032333A">
        <w:rPr>
          <w:rFonts w:ascii="Traditional Arabic" w:hAnsi="Traditional Arabic" w:cs="Traditional Arabic"/>
          <w:sz w:val="30"/>
          <w:szCs w:val="30"/>
          <w:rtl/>
        </w:rPr>
        <w:t>العنف ال</w:t>
      </w:r>
      <w:r w:rsidR="00D31305">
        <w:rPr>
          <w:rFonts w:ascii="Traditional Arabic" w:hAnsi="Traditional Arabic" w:cs="Traditional Arabic" w:hint="cs"/>
          <w:sz w:val="30"/>
          <w:szCs w:val="30"/>
          <w:rtl/>
        </w:rPr>
        <w:t>جسدي</w:t>
      </w:r>
      <w:r w:rsidRPr="0032333A">
        <w:rPr>
          <w:rFonts w:ascii="Traditional Arabic" w:hAnsi="Traditional Arabic" w:cs="Traditional Arabic"/>
          <w:sz w:val="30"/>
          <w:szCs w:val="30"/>
          <w:rtl/>
        </w:rPr>
        <w:t>، بما في ذلك الاعتداء الجنسي</w:t>
      </w:r>
      <w:r w:rsidRPr="0032333A">
        <w:rPr>
          <w:rStyle w:val="FootnoteReference"/>
          <w:rFonts w:ascii="Traditional Arabic" w:hAnsi="Traditional Arabic" w:cs="Traditional Arabic"/>
          <w:sz w:val="30"/>
          <w:szCs w:val="30"/>
        </w:rPr>
        <w:footnoteReference w:id="663"/>
      </w:r>
      <w:r w:rsidR="00E627E0">
        <w:rPr>
          <w:rFonts w:ascii="Traditional Arabic" w:hAnsi="Traditional Arabic" w:cs="Traditional Arabic" w:hint="cs"/>
          <w:sz w:val="30"/>
          <w:szCs w:val="30"/>
          <w:rtl/>
        </w:rPr>
        <w:t xml:space="preserve"> على المحتجزين الذين لا يعانون من </w:t>
      </w:r>
      <w:r w:rsidR="00E627E0" w:rsidRPr="0032333A">
        <w:rPr>
          <w:rFonts w:ascii="Traditional Arabic" w:hAnsi="Traditional Arabic" w:cs="Traditional Arabic"/>
          <w:sz w:val="30"/>
          <w:szCs w:val="30"/>
          <w:rtl/>
        </w:rPr>
        <w:t>اضطرابات نفسية</w:t>
      </w:r>
      <w:r w:rsidRPr="0032333A">
        <w:rPr>
          <w:rFonts w:ascii="Traditional Arabic" w:hAnsi="Traditional Arabic" w:cs="Traditional Arabic"/>
          <w:sz w:val="30"/>
          <w:szCs w:val="30"/>
          <w:rtl/>
        </w:rPr>
        <w:t>. ووثّق الفريق حالة شاب محتجز يعاني من اضطرابات نفسية اجتماعية شديدة نتيجة لأعمال التعذيب</w:t>
      </w:r>
      <w:r w:rsidRPr="0032333A">
        <w:rPr>
          <w:rStyle w:val="FootnoteReference"/>
          <w:rFonts w:ascii="Traditional Arabic" w:hAnsi="Traditional Arabic" w:cs="Traditional Arabic"/>
          <w:sz w:val="30"/>
          <w:szCs w:val="30"/>
        </w:rPr>
        <w:footnoteReference w:id="664"/>
      </w:r>
      <w:r w:rsidRPr="0032333A">
        <w:rPr>
          <w:rFonts w:ascii="Traditional Arabic" w:hAnsi="Traditional Arabic" w:cs="Traditional Arabic"/>
          <w:sz w:val="30"/>
          <w:szCs w:val="30"/>
          <w:rtl/>
        </w:rPr>
        <w:t>. يُعتبر اعتقاله تعسفياً، ومع ذلك، رُفض طلبه بالحصول على رعاية طبية خارجية متخصصة. وبدلاً من ذلك، أُجبر على تلقي الحقن داخل مرافق مركز الاحتجاز، بدون إشراف طبيب مختص. وأفيد أن هذا العلاج الطبي القسري يؤثر على حالته الصحية العقلية بدرجة أكبر</w:t>
      </w:r>
      <w:r w:rsidRPr="0032333A">
        <w:rPr>
          <w:rFonts w:ascii="Traditional Arabic" w:hAnsi="Traditional Arabic" w:cs="Traditional Arabic"/>
          <w:sz w:val="30"/>
          <w:szCs w:val="30"/>
        </w:rPr>
        <w:t xml:space="preserve">. </w:t>
      </w:r>
    </w:p>
    <w:p w14:paraId="16E216E8" w14:textId="7A73D6F2" w:rsidR="0032333A" w:rsidRPr="00E07AC2" w:rsidRDefault="0032333A" w:rsidP="000359FF">
      <w:pPr>
        <w:pStyle w:val="ListParagraph"/>
        <w:bidi/>
        <w:spacing w:after="120" w:line="240" w:lineRule="atLeast"/>
        <w:ind w:right="827" w:firstLine="414"/>
        <w:rPr>
          <w:rFonts w:ascii="Traditional Arabic" w:hAnsi="Traditional Arabic" w:cs="Traditional Arabic"/>
          <w:i/>
          <w:iCs/>
          <w:sz w:val="30"/>
          <w:szCs w:val="30"/>
        </w:rPr>
      </w:pPr>
      <w:r w:rsidRPr="0032333A">
        <w:rPr>
          <w:rFonts w:ascii="Traditional Arabic" w:hAnsi="Traditional Arabic" w:cs="Traditional Arabic"/>
          <w:i/>
          <w:iCs/>
          <w:sz w:val="30"/>
          <w:szCs w:val="30"/>
          <w:rtl/>
        </w:rPr>
        <w:lastRenderedPageBreak/>
        <w:t>الوفيات في الاحتجاز المرتبطة بأعمال التعذيب وسوء المعاملة</w:t>
      </w:r>
    </w:p>
    <w:p w14:paraId="7A958D48" w14:textId="77777777" w:rsidR="0032333A" w:rsidRPr="0032333A"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tl/>
        </w:rPr>
      </w:pPr>
      <w:r w:rsidRPr="0032333A">
        <w:rPr>
          <w:rFonts w:ascii="Traditional Arabic" w:hAnsi="Traditional Arabic" w:cs="Traditional Arabic"/>
          <w:sz w:val="30"/>
          <w:szCs w:val="30"/>
          <w:rtl/>
        </w:rPr>
        <w:t>تلقى فريق الخبراء 10 حالات وفاة مزعومة خلال الاحتجاز مرتبطة بإساءة المعاملة في أماكن الاعتقال في صنعاء بين عامي 2015 و 2016. واستعرض الفريق</w:t>
      </w:r>
      <w:r w:rsidRPr="0032333A">
        <w:rPr>
          <w:rFonts w:ascii="Traditional Arabic" w:hAnsi="Traditional Arabic" w:cs="Traditional Arabic"/>
          <w:sz w:val="30"/>
          <w:szCs w:val="30"/>
          <w:vertAlign w:val="superscript"/>
        </w:rPr>
        <w:footnoteReference w:id="665"/>
      </w:r>
      <w:r w:rsidRPr="0032333A">
        <w:rPr>
          <w:rFonts w:ascii="Traditional Arabic" w:hAnsi="Traditional Arabic" w:cs="Traditional Arabic"/>
          <w:sz w:val="30"/>
          <w:szCs w:val="30"/>
          <w:rtl/>
        </w:rPr>
        <w:t xml:space="preserve"> تقارير الطب الشرعي المتعلقة بوفاة ثلاثة محتجزين أشارت إلى حدوث أعمال عنف ضد المتوفين. أحدها، على سبيل المثال، وصف وجود كدمات في أجزاء مختلفة من الجسم، بسبب "استخدام أداة ثقيلة". تلقى الفريق المزيد من الادعاءات عن الوفيات في الحجز في مرافق حيث احتُجز محتجزون سياسيون وحيث تم توثيق سوء المعاملة، لكن لم يتوفّر أي تقرير جنائي. أما عدد الحالات التي وصلت والتي تفيد عن الوفاة بسبب التعذيب أو سوء المعاملة فتستدعي المزيد من التحليل لاسيما أن التحقيقات في هذه الحالات لم تكتمل وقت الانتهاء من هذا التقرير</w:t>
      </w:r>
      <w:r w:rsidRPr="0032333A">
        <w:rPr>
          <w:rFonts w:ascii="Traditional Arabic" w:hAnsi="Traditional Arabic" w:cs="Traditional Arabic"/>
          <w:sz w:val="30"/>
          <w:szCs w:val="30"/>
        </w:rPr>
        <w:t>.</w:t>
      </w:r>
    </w:p>
    <w:p w14:paraId="3198780F" w14:textId="69482CB2" w:rsidR="0032333A" w:rsidRPr="00E07AC2" w:rsidRDefault="0032333A" w:rsidP="00E07AC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i/>
          <w:iCs/>
          <w:sz w:val="30"/>
          <w:szCs w:val="30"/>
        </w:rPr>
      </w:pPr>
      <w:r w:rsidRPr="0032333A">
        <w:rPr>
          <w:rFonts w:ascii="Traditional Arabic" w:hAnsi="Traditional Arabic" w:cs="Traditional Arabic"/>
          <w:sz w:val="30"/>
          <w:szCs w:val="30"/>
          <w:rtl/>
        </w:rPr>
        <w:t>وثّق فريق الخبراء أيضا حالة طلب فيها أفراد من الحوثيين فدية من الأسرة لإعادة جثة قريبها الذي زُعم أنه توفي نتيجة التعذيب في الحجز في العام 2016. وبما أن الأسرة لم تتمكن من جمع المبلغ المطلوب، لم تتمكّن من استرداد الجثة ودفنها. في النهاية، قامت سلطات الأمر الواقع بدفن المتوفي، وفي وقت كتابة هذا التقرير كانت العائلة لا تزال تحاول جمع الأموال لاستخراج الجثة وإعادة دفنها حسب شروطها الخاصة</w:t>
      </w:r>
      <w:r w:rsidRPr="0032333A">
        <w:rPr>
          <w:rFonts w:ascii="Traditional Arabic" w:hAnsi="Traditional Arabic" w:cs="Traditional Arabic"/>
          <w:sz w:val="30"/>
          <w:szCs w:val="30"/>
        </w:rPr>
        <w:t>.</w:t>
      </w:r>
      <w:r w:rsidRPr="0032333A">
        <w:rPr>
          <w:rStyle w:val="FootnoteReference"/>
          <w:rFonts w:ascii="Traditional Arabic" w:hAnsi="Traditional Arabic" w:cs="Traditional Arabic"/>
          <w:sz w:val="30"/>
          <w:szCs w:val="30"/>
        </w:rPr>
        <w:t xml:space="preserve"> </w:t>
      </w:r>
      <w:r w:rsidRPr="0032333A">
        <w:rPr>
          <w:rStyle w:val="FootnoteReference"/>
          <w:rFonts w:ascii="Traditional Arabic" w:hAnsi="Traditional Arabic" w:cs="Traditional Arabic"/>
          <w:sz w:val="30"/>
          <w:szCs w:val="30"/>
        </w:rPr>
        <w:footnoteReference w:id="666"/>
      </w:r>
    </w:p>
    <w:p w14:paraId="4142A9F2" w14:textId="77777777" w:rsidR="0032333A" w:rsidRPr="0032333A" w:rsidRDefault="0032333A" w:rsidP="00CB0671">
      <w:pPr>
        <w:pStyle w:val="ListParagraph"/>
        <w:bidi/>
        <w:spacing w:after="120" w:line="240" w:lineRule="atLeast"/>
        <w:ind w:left="810" w:right="827" w:firstLine="324"/>
        <w:rPr>
          <w:rFonts w:ascii="Traditional Arabic" w:hAnsi="Traditional Arabic" w:cs="Traditional Arabic"/>
          <w:sz w:val="30"/>
          <w:szCs w:val="30"/>
          <w:rtl/>
        </w:rPr>
      </w:pPr>
      <w:r w:rsidRPr="0032333A">
        <w:rPr>
          <w:rFonts w:ascii="Traditional Arabic" w:hAnsi="Traditional Arabic" w:cs="Traditional Arabic"/>
          <w:sz w:val="30"/>
          <w:szCs w:val="30"/>
          <w:rtl/>
        </w:rPr>
        <w:t>الانتهاكات</w:t>
      </w:r>
    </w:p>
    <w:p w14:paraId="5156D8B1" w14:textId="42E796E5" w:rsidR="0032333A" w:rsidRPr="00CB0671"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إن</w:t>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التعذيب وغيره من ضروب المعاملة القاسية أو اللاإنسانية أو المهينة ممنوع منعاً باتاً بموجب القانون الدولي لحقوق الإنسان والقانون الدولي الإنساني</w:t>
      </w:r>
      <w:r w:rsidRPr="0032333A">
        <w:rPr>
          <w:rFonts w:ascii="Traditional Arabic" w:hAnsi="Traditional Arabic" w:cs="Traditional Arabic"/>
          <w:sz w:val="30"/>
          <w:szCs w:val="30"/>
          <w:vertAlign w:val="superscript"/>
        </w:rPr>
        <w:footnoteReference w:id="667"/>
      </w:r>
      <w:r w:rsidRPr="0032333A">
        <w:rPr>
          <w:rFonts w:ascii="Traditional Arabic" w:hAnsi="Traditional Arabic" w:cs="Traditional Arabic"/>
          <w:sz w:val="30"/>
          <w:szCs w:val="30"/>
          <w:rtl/>
        </w:rPr>
        <w:t xml:space="preserve">. يحظّر القانون الدولي لحقوق الإنسان والقانون الدولي الإنساني </w:t>
      </w:r>
      <w:r w:rsidRPr="0032333A">
        <w:rPr>
          <w:rStyle w:val="FootnoteReference"/>
          <w:rFonts w:ascii="Traditional Arabic" w:hAnsi="Traditional Arabic" w:cs="Traditional Arabic"/>
          <w:sz w:val="30"/>
          <w:szCs w:val="30"/>
        </w:rPr>
        <w:footnoteReference w:id="668"/>
      </w: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الاغتصاب وغيره من أشكال العنف الجنسي. هذه الأعمال قد تؤدي إلى مسؤولية جنائية فردية عن جرائم الحرب</w:t>
      </w:r>
      <w:r w:rsidRPr="0032333A">
        <w:rPr>
          <w:rStyle w:val="FootnoteReference"/>
          <w:rFonts w:ascii="Traditional Arabic" w:hAnsi="Traditional Arabic" w:cs="Traditional Arabic"/>
          <w:sz w:val="30"/>
          <w:szCs w:val="30"/>
        </w:rPr>
        <w:footnoteReference w:id="669"/>
      </w:r>
      <w:r w:rsidRPr="0032333A">
        <w:rPr>
          <w:rFonts w:ascii="Traditional Arabic" w:hAnsi="Traditional Arabic" w:cs="Traditional Arabic"/>
          <w:sz w:val="30"/>
          <w:szCs w:val="30"/>
        </w:rPr>
        <w:t>.</w:t>
      </w:r>
    </w:p>
    <w:p w14:paraId="0BC3CE2E" w14:textId="56C5C80E" w:rsidR="0032333A" w:rsidRPr="0032333A" w:rsidRDefault="0032333A" w:rsidP="00CC1DD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 xml:space="preserve">بناءً على التحقيقات التي أجراها، لدى فريق الخبراء أسباب معقولة للاعتقاد بأن التعذيب وسوء المعاملة قد استخدما في جميع أماكن الاحتجاز تحت إشراف سلطات الأمر الواقع في صنعاء </w:t>
      </w:r>
      <w:r w:rsidR="00CC1DD0">
        <w:rPr>
          <w:rFonts w:ascii="Traditional Arabic" w:hAnsi="Traditional Arabic" w:cs="Traditional Arabic" w:hint="cs"/>
          <w:sz w:val="30"/>
          <w:szCs w:val="30"/>
          <w:rtl/>
        </w:rPr>
        <w:t xml:space="preserve">التي حققت </w:t>
      </w:r>
      <w:r w:rsidRPr="0032333A">
        <w:rPr>
          <w:rFonts w:ascii="Traditional Arabic" w:hAnsi="Traditional Arabic" w:cs="Traditional Arabic"/>
          <w:sz w:val="30"/>
          <w:szCs w:val="30"/>
          <w:rtl/>
        </w:rPr>
        <w:t>بقضايا</w:t>
      </w:r>
      <w:r w:rsidR="00CC1DD0">
        <w:rPr>
          <w:rFonts w:ascii="Traditional Arabic" w:hAnsi="Traditional Arabic" w:cs="Traditional Arabic" w:hint="cs"/>
          <w:sz w:val="30"/>
          <w:szCs w:val="30"/>
          <w:rtl/>
        </w:rPr>
        <w:t>، أي</w:t>
      </w:r>
      <w:r w:rsidRPr="0032333A">
        <w:rPr>
          <w:rFonts w:ascii="Traditional Arabic" w:hAnsi="Traditional Arabic" w:cs="Traditional Arabic"/>
          <w:sz w:val="30"/>
          <w:szCs w:val="30"/>
          <w:rtl/>
        </w:rPr>
        <w:t xml:space="preserve"> قسم التحقيق الجنائي</w:t>
      </w:r>
      <w:r w:rsidRPr="0032333A">
        <w:rPr>
          <w:rStyle w:val="FootnoteReference"/>
          <w:rFonts w:ascii="Traditional Arabic" w:hAnsi="Traditional Arabic" w:cs="Traditional Arabic"/>
          <w:sz w:val="30"/>
          <w:szCs w:val="30"/>
        </w:rPr>
        <w:footnoteReference w:id="670"/>
      </w:r>
      <w:r w:rsidRPr="0032333A">
        <w:rPr>
          <w:rFonts w:ascii="Traditional Arabic" w:hAnsi="Traditional Arabic" w:cs="Traditional Arabic"/>
          <w:sz w:val="30"/>
          <w:szCs w:val="30"/>
          <w:rtl/>
        </w:rPr>
        <w:t>، ومركز الاحتجاز التابع للأمن السياسي</w:t>
      </w:r>
      <w:r w:rsidRPr="0032333A">
        <w:rPr>
          <w:rStyle w:val="FootnoteReference"/>
          <w:rFonts w:ascii="Traditional Arabic" w:hAnsi="Traditional Arabic" w:cs="Traditional Arabic"/>
          <w:sz w:val="30"/>
          <w:szCs w:val="30"/>
        </w:rPr>
        <w:footnoteReference w:id="671"/>
      </w:r>
      <w:r w:rsidRPr="0032333A">
        <w:rPr>
          <w:rFonts w:ascii="Traditional Arabic" w:hAnsi="Traditional Arabic" w:cs="Traditional Arabic"/>
          <w:sz w:val="30"/>
          <w:szCs w:val="30"/>
          <w:rtl/>
        </w:rPr>
        <w:t>، ومركز الاحتجاز التابع للأمن القومي</w:t>
      </w:r>
      <w:r w:rsidRPr="0032333A">
        <w:rPr>
          <w:rStyle w:val="FootnoteReference"/>
          <w:rFonts w:ascii="Traditional Arabic" w:hAnsi="Traditional Arabic" w:cs="Traditional Arabic"/>
          <w:sz w:val="30"/>
          <w:szCs w:val="30"/>
        </w:rPr>
        <w:footnoteReference w:id="672"/>
      </w:r>
      <w:r w:rsidRPr="0032333A">
        <w:rPr>
          <w:rFonts w:ascii="Traditional Arabic" w:hAnsi="Traditional Arabic" w:cs="Traditional Arabic"/>
          <w:sz w:val="30"/>
          <w:szCs w:val="30"/>
          <w:rtl/>
        </w:rPr>
        <w:t>، وسجن صنعاء المركزي</w:t>
      </w:r>
      <w:r w:rsidRPr="0032333A">
        <w:rPr>
          <w:rStyle w:val="FootnoteReference"/>
          <w:rFonts w:ascii="Traditional Arabic" w:hAnsi="Traditional Arabic" w:cs="Traditional Arabic"/>
          <w:sz w:val="30"/>
          <w:szCs w:val="30"/>
        </w:rPr>
        <w:footnoteReference w:id="673"/>
      </w:r>
      <w:r w:rsidRPr="0032333A">
        <w:rPr>
          <w:rFonts w:ascii="Traditional Arabic" w:hAnsi="Traditional Arabic" w:cs="Traditional Arabic"/>
          <w:sz w:val="30"/>
          <w:szCs w:val="30"/>
          <w:rtl/>
        </w:rPr>
        <w:t>، وسجن الثورة</w:t>
      </w:r>
      <w:r w:rsidRPr="0032333A">
        <w:rPr>
          <w:rStyle w:val="FootnoteReference"/>
          <w:rFonts w:ascii="Traditional Arabic" w:hAnsi="Traditional Arabic" w:cs="Traditional Arabic"/>
          <w:sz w:val="30"/>
          <w:szCs w:val="30"/>
        </w:rPr>
        <w:footnoteReference w:id="674"/>
      </w:r>
      <w:r w:rsidRPr="0032333A">
        <w:rPr>
          <w:rFonts w:ascii="Traditional Arabic" w:hAnsi="Traditional Arabic" w:cs="Traditional Arabic"/>
          <w:sz w:val="30"/>
          <w:szCs w:val="30"/>
          <w:rtl/>
        </w:rPr>
        <w:t xml:space="preserve">، وسجن </w:t>
      </w:r>
      <w:r w:rsidRPr="0032333A">
        <w:rPr>
          <w:rFonts w:ascii="Traditional Arabic" w:hAnsi="Traditional Arabic" w:cs="Traditional Arabic"/>
          <w:sz w:val="30"/>
          <w:szCs w:val="30"/>
          <w:rtl/>
        </w:rPr>
        <w:lastRenderedPageBreak/>
        <w:t>هبرة</w:t>
      </w:r>
      <w:r w:rsidRPr="0032333A">
        <w:rPr>
          <w:rStyle w:val="FootnoteReference"/>
          <w:rFonts w:ascii="Traditional Arabic" w:hAnsi="Traditional Arabic" w:cs="Traditional Arabic"/>
          <w:sz w:val="30"/>
          <w:szCs w:val="30"/>
        </w:rPr>
        <w:footnoteReference w:id="675"/>
      </w:r>
      <w:r w:rsidRPr="0032333A">
        <w:rPr>
          <w:rFonts w:ascii="Traditional Arabic" w:hAnsi="Traditional Arabic" w:cs="Traditional Arabic"/>
          <w:sz w:val="30"/>
          <w:szCs w:val="30"/>
          <w:rtl/>
        </w:rPr>
        <w:t>، وكذلك في أماكن الاحتجازه السرية التابعة لها وبعض مراكز الشرطة. لدى فريق الخبراء أيضًا أسباب معقولة للاعتقاد بأن التعذيب قد استخدم أثناء الاستجواب، بشكل أساسي للإعتراف عبر الإكراه، أو لإهانة المحتجزين، في قسم التحقيقات الجنائية ومركز الاحتجاز التابع للأمن القومي ومركز الاحتجاز الخاص بالأمن السياسي</w:t>
      </w:r>
      <w:r w:rsidRPr="0032333A">
        <w:rPr>
          <w:rFonts w:ascii="Traditional Arabic" w:hAnsi="Traditional Arabic" w:cs="Traditional Arabic"/>
          <w:sz w:val="30"/>
          <w:szCs w:val="30"/>
        </w:rPr>
        <w:t>.</w:t>
      </w:r>
    </w:p>
    <w:p w14:paraId="5572D1AE" w14:textId="77777777" w:rsidR="0032333A" w:rsidRPr="0032333A"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32333A">
        <w:rPr>
          <w:rFonts w:ascii="Traditional Arabic" w:hAnsi="Traditional Arabic" w:cs="Traditional Arabic"/>
          <w:sz w:val="30"/>
          <w:szCs w:val="30"/>
        </w:rPr>
        <w:t xml:space="preserve"> </w:t>
      </w:r>
      <w:r w:rsidRPr="0032333A">
        <w:rPr>
          <w:rFonts w:ascii="Traditional Arabic" w:hAnsi="Traditional Arabic" w:cs="Traditional Arabic"/>
          <w:sz w:val="30"/>
          <w:szCs w:val="30"/>
          <w:rtl/>
        </w:rPr>
        <w:t>كما استخدم العنف الجنسي في مراكز الاحتجاز، بما في ذلك لتعذيب المحتجزين. لدى فريق الخبراء أسباب معقولة للاعتقاد بأن سلطات الأمر الواقع لجأت الى العنف الجنسي في مركز الاحتجاز التابع للأمن السياسي، ومركز الاحتجاز الخاص بالأمن القومي</w:t>
      </w:r>
      <w:r w:rsidRPr="0032333A">
        <w:rPr>
          <w:rStyle w:val="FootnoteReference"/>
          <w:rFonts w:ascii="Traditional Arabic" w:hAnsi="Traditional Arabic" w:cs="Traditional Arabic"/>
          <w:sz w:val="30"/>
          <w:szCs w:val="30"/>
        </w:rPr>
        <w:footnoteReference w:id="676"/>
      </w:r>
      <w:r w:rsidRPr="0032333A">
        <w:rPr>
          <w:rFonts w:ascii="Traditional Arabic" w:hAnsi="Traditional Arabic" w:cs="Traditional Arabic"/>
          <w:sz w:val="30"/>
          <w:szCs w:val="30"/>
          <w:rtl/>
        </w:rPr>
        <w:t xml:space="preserve"> وفي قسم التحقيقات الجنائية</w:t>
      </w:r>
      <w:r w:rsidRPr="0032333A">
        <w:rPr>
          <w:rStyle w:val="FootnoteReference"/>
          <w:rFonts w:ascii="Traditional Arabic" w:hAnsi="Traditional Arabic" w:cs="Traditional Arabic"/>
          <w:sz w:val="30"/>
          <w:szCs w:val="30"/>
        </w:rPr>
        <w:footnoteReference w:id="677"/>
      </w:r>
      <w:r w:rsidRPr="0032333A">
        <w:rPr>
          <w:rFonts w:ascii="Traditional Arabic" w:hAnsi="Traditional Arabic" w:cs="Traditional Arabic"/>
          <w:sz w:val="30"/>
          <w:szCs w:val="30"/>
        </w:rPr>
        <w:t>.</w:t>
      </w:r>
    </w:p>
    <w:p w14:paraId="0C1E5C04" w14:textId="2F3F98CF" w:rsidR="0032333A" w:rsidRDefault="0032333A" w:rsidP="00CB067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32333A">
        <w:rPr>
          <w:rFonts w:ascii="Traditional Arabic" w:hAnsi="Traditional Arabic" w:cs="Traditional Arabic"/>
          <w:sz w:val="30"/>
          <w:szCs w:val="30"/>
          <w:rtl/>
        </w:rPr>
        <w:t>قد تؤدي هذه الأفعال إلى مسؤولية جنائية فردية بالنسبة الى أفراد سلطات الأمر الواقع عن جرائم الحرب المتمثلة في التعذيب والتعرّض للكرامة الشخصية، فضلاً عن الاغتصاب وأي شكل من أشكال العنف الجنسي.</w:t>
      </w:r>
    </w:p>
    <w:p w14:paraId="312EDC6E" w14:textId="7BFA8264" w:rsidR="00870A70" w:rsidRPr="00870A70" w:rsidRDefault="00870A70" w:rsidP="000359FF">
      <w:pPr>
        <w:suppressAutoHyphens w:val="0"/>
        <w:bidi/>
        <w:spacing w:after="160" w:line="259" w:lineRule="auto"/>
        <w:ind w:left="459"/>
        <w:rPr>
          <w:rFonts w:ascii="Traditional Arabic" w:eastAsiaTheme="minorHAnsi" w:hAnsi="Traditional Arabic" w:cs="Traditional Arabic"/>
          <w:b/>
          <w:bCs/>
          <w:sz w:val="30"/>
          <w:szCs w:val="30"/>
          <w:rtl/>
          <w:lang w:val="en-US" w:bidi="ar-YE"/>
        </w:rPr>
      </w:pPr>
      <w:r w:rsidRPr="00870A70">
        <w:rPr>
          <w:rFonts w:asciiTheme="majorBidi" w:eastAsiaTheme="minorHAnsi" w:hAnsiTheme="majorBidi" w:cstheme="majorBidi"/>
          <w:b/>
          <w:bCs/>
          <w:sz w:val="24"/>
          <w:szCs w:val="24"/>
          <w:rtl/>
          <w:lang w:val="en-US" w:bidi="ar-YE"/>
        </w:rPr>
        <w:t>2</w:t>
      </w:r>
      <w:r w:rsidRPr="00870A70">
        <w:rPr>
          <w:rFonts w:ascii="Traditional Arabic" w:eastAsiaTheme="minorHAnsi" w:hAnsi="Traditional Arabic" w:cs="Traditional Arabic"/>
          <w:b/>
          <w:bCs/>
          <w:sz w:val="30"/>
          <w:szCs w:val="30"/>
          <w:rtl/>
          <w:lang w:val="en-US" w:bidi="ar-YE"/>
        </w:rPr>
        <w:t>.</w:t>
      </w:r>
      <w:r w:rsidR="000359FF">
        <w:rPr>
          <w:rFonts w:ascii="Traditional Arabic" w:eastAsiaTheme="minorHAnsi" w:hAnsi="Traditional Arabic" w:cs="Traditional Arabic"/>
          <w:b/>
          <w:bCs/>
          <w:sz w:val="30"/>
          <w:szCs w:val="30"/>
          <w:lang w:val="en-US" w:bidi="ar-YE"/>
        </w:rPr>
        <w:tab/>
      </w:r>
      <w:r w:rsidRPr="00870A70">
        <w:rPr>
          <w:rFonts w:ascii="Traditional Arabic" w:eastAsiaTheme="minorHAnsi" w:hAnsi="Traditional Arabic" w:cs="Traditional Arabic"/>
          <w:b/>
          <w:bCs/>
          <w:sz w:val="30"/>
          <w:szCs w:val="30"/>
          <w:rtl/>
          <w:lang w:val="en-US" w:bidi="ar-YE"/>
        </w:rPr>
        <w:t xml:space="preserve">غارات التحالف الجوية في المناطق الشمالية بما في ذلك صنعاء وصعدة وحجة </w:t>
      </w:r>
    </w:p>
    <w:p w14:paraId="283277F5" w14:textId="77777777" w:rsidR="00870A70" w:rsidRPr="00870A70" w:rsidRDefault="00870A70" w:rsidP="000359FF">
      <w:pPr>
        <w:numPr>
          <w:ilvl w:val="0"/>
          <w:numId w:val="20"/>
        </w:numPr>
        <w:suppressAutoHyphens w:val="0"/>
        <w:bidi/>
        <w:spacing w:after="160" w:line="259" w:lineRule="auto"/>
        <w:ind w:left="1179" w:hanging="90"/>
        <w:contextualSpacing/>
        <w:rPr>
          <w:rFonts w:ascii="Traditional Arabic" w:eastAsiaTheme="minorHAnsi" w:hAnsi="Traditional Arabic" w:cs="Traditional Arabic"/>
          <w:b/>
          <w:bCs/>
          <w:sz w:val="30"/>
          <w:szCs w:val="30"/>
          <w:lang w:val="en-US" w:bidi="ar-YE"/>
        </w:rPr>
      </w:pPr>
      <w:r w:rsidRPr="00870A70">
        <w:rPr>
          <w:rFonts w:ascii="Traditional Arabic" w:eastAsiaTheme="minorHAnsi" w:hAnsi="Traditional Arabic" w:cs="Traditional Arabic"/>
          <w:b/>
          <w:bCs/>
          <w:sz w:val="30"/>
          <w:szCs w:val="30"/>
          <w:rtl/>
          <w:lang w:val="en-US" w:bidi="ar-YE"/>
        </w:rPr>
        <w:t>السياق</w:t>
      </w:r>
    </w:p>
    <w:p w14:paraId="71C3F23E" w14:textId="267128A3" w:rsidR="00870A70" w:rsidRPr="00870A70" w:rsidRDefault="00870A70" w:rsidP="006841B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بين 1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2015 و30 حزيران</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يونيو 2019 نفذت قوات التحالف 19 ألف و874 غارة جوية على الأراضي اليمنية</w:t>
      </w:r>
      <w:r w:rsidR="00CC1DD0">
        <w:rPr>
          <w:rFonts w:ascii="Traditional Arabic" w:eastAsiaTheme="minorHAnsi" w:hAnsi="Traditional Arabic" w:cs="Traditional Arabic" w:hint="cs"/>
          <w:sz w:val="30"/>
          <w:szCs w:val="30"/>
          <w:rtl/>
        </w:rPr>
        <w:t xml:space="preserve"> وفقًا لمشروع معلومات اليمن</w:t>
      </w:r>
      <w:r w:rsidRPr="00870A70">
        <w:rPr>
          <w:rFonts w:ascii="Traditional Arabic" w:eastAsiaTheme="minorHAnsi" w:hAnsi="Traditional Arabic" w:cs="Traditional Arabic"/>
          <w:sz w:val="30"/>
          <w:szCs w:val="30"/>
          <w:rtl/>
        </w:rPr>
        <w:t>.</w:t>
      </w:r>
      <w:r w:rsidRPr="00870A70">
        <w:rPr>
          <w:rFonts w:ascii="Traditional Arabic" w:eastAsiaTheme="minorHAnsi" w:hAnsi="Traditional Arabic" w:cs="Traditional Arabic"/>
          <w:sz w:val="30"/>
          <w:szCs w:val="30"/>
          <w:vertAlign w:val="superscript"/>
          <w:lang w:val="en-US"/>
        </w:rPr>
        <w:t xml:space="preserve"> </w:t>
      </w:r>
      <w:r w:rsidRPr="006841B6">
        <w:rPr>
          <w:rFonts w:ascii="Traditional Arabic" w:eastAsiaTheme="minorHAnsi" w:hAnsi="Traditional Arabic" w:cs="Traditional Arabic"/>
          <w:sz w:val="20"/>
          <w:vertAlign w:val="superscript"/>
          <w:lang w:val="en-US"/>
        </w:rPr>
        <w:footnoteReference w:id="678"/>
      </w:r>
      <w:r w:rsidRPr="00870A70">
        <w:rPr>
          <w:rFonts w:ascii="Traditional Arabic" w:eastAsiaTheme="minorHAnsi" w:hAnsi="Traditional Arabic" w:cs="Traditional Arabic"/>
          <w:sz w:val="30"/>
          <w:szCs w:val="30"/>
          <w:rtl/>
        </w:rPr>
        <w:t xml:space="preserve"> في حين تفيد التقارير أن عدد الغارات الجوية المبلّغ عنها قد انخفض بشكل طفيف خلال العام الماضي فإن تأثير هذا النوع من أنواع القتال لا يزال ذات تكلفة مرتفعة للغاية بالنسبة للمدنيين الذين يعيشون في الغالب في المناطق الخاضعة لسيطرة سلطات الأمر الواقع. بالإضافة إلى الغارات الجوية التي تم التحقيق فيها على النحو المفصل في التقرير، قام فريق الخبراء أيضًا بالنظر في 14 غارة جوية أصابت كلها بنى تحتية مدنية  في محافظتي صعدة وحجة بين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مارس 2018 و حزيران</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يونيو 2019</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vertAlign w:val="superscript"/>
          <w:lang w:val="en-US"/>
        </w:rPr>
        <w:footnoteReference w:id="679"/>
      </w:r>
      <w:r w:rsidRPr="00870A70">
        <w:rPr>
          <w:rFonts w:ascii="Traditional Arabic" w:eastAsiaTheme="minorHAnsi" w:hAnsi="Traditional Arabic" w:cs="Traditional Arabic"/>
          <w:sz w:val="30"/>
          <w:szCs w:val="30"/>
          <w:rtl/>
        </w:rPr>
        <w:t xml:space="preserve">, ضمنها مزارع وأبراج الاتصالات وبنوك ومدارس وشاحنات تحمل </w:t>
      </w:r>
      <w:r w:rsidR="006841B6">
        <w:rPr>
          <w:rFonts w:ascii="Traditional Arabic" w:eastAsiaTheme="minorHAnsi" w:hAnsi="Traditional Arabic" w:cs="Traditional Arabic" w:hint="cs"/>
          <w:sz w:val="30"/>
          <w:szCs w:val="30"/>
          <w:rtl/>
        </w:rPr>
        <w:t>خلايا النحل</w:t>
      </w:r>
      <w:r w:rsidRPr="00870A70">
        <w:rPr>
          <w:rFonts w:ascii="Traditional Arabic" w:eastAsiaTheme="minorHAnsi" w:hAnsi="Traditional Arabic" w:cs="Traditional Arabic"/>
          <w:sz w:val="30"/>
          <w:szCs w:val="30"/>
          <w:lang w:bidi="ar"/>
        </w:rPr>
        <w:t>.</w:t>
      </w:r>
    </w:p>
    <w:p w14:paraId="49427207" w14:textId="75BE57F4" w:rsidR="00870A70" w:rsidRPr="00870A70" w:rsidRDefault="00870A70" w:rsidP="006841B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sz w:val="30"/>
          <w:szCs w:val="30"/>
          <w:rtl/>
        </w:rPr>
        <w:t>هذا الجزء ينظر بالتحديد في  بعض الغارات الجوية  التي  أصابت مناطق شمالية من البلاد خلال العام الماضي وهي تمثّل نمطًا يستمر بالتأثير سلب</w:t>
      </w:r>
      <w:r w:rsidR="006841B6">
        <w:rPr>
          <w:rFonts w:ascii="Traditional Arabic" w:eastAsiaTheme="minorHAnsi" w:hAnsi="Traditional Arabic" w:cs="Traditional Arabic" w:hint="cs"/>
          <w:sz w:val="30"/>
          <w:szCs w:val="30"/>
          <w:rtl/>
        </w:rPr>
        <w:t>ً</w:t>
      </w:r>
      <w:r w:rsidR="006841B6">
        <w:rPr>
          <w:rFonts w:ascii="Traditional Arabic" w:eastAsiaTheme="minorHAnsi" w:hAnsi="Traditional Arabic" w:cs="Traditional Arabic"/>
          <w:sz w:val="30"/>
          <w:szCs w:val="30"/>
          <w:rtl/>
        </w:rPr>
        <w:t>ا</w:t>
      </w:r>
      <w:r w:rsidRPr="00870A70">
        <w:rPr>
          <w:rFonts w:ascii="Traditional Arabic" w:eastAsiaTheme="minorHAnsi" w:hAnsi="Traditional Arabic" w:cs="Traditional Arabic"/>
          <w:sz w:val="30"/>
          <w:szCs w:val="30"/>
          <w:rtl/>
        </w:rPr>
        <w:t xml:space="preserve"> على المدنيين والأعيان المدنية بشكل مباشر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lang w:bidi="ar-MA"/>
        </w:rPr>
        <w:t xml:space="preserve">وقد قام </w:t>
      </w:r>
      <w:r w:rsidRPr="00870A70">
        <w:rPr>
          <w:rFonts w:ascii="Traditional Arabic" w:eastAsiaTheme="minorHAnsi" w:hAnsi="Traditional Arabic" w:cs="Traditional Arabic"/>
          <w:sz w:val="30"/>
          <w:szCs w:val="30"/>
          <w:rtl/>
        </w:rPr>
        <w:t xml:space="preserve">الفريق المشترك لتقييم الحوادث بالتحقيق في حالتين من الحالات الخمس المستعرضة, على النحو المفصل أدناه.  بالإضافة إلى احتمال كونها انتهاكات للقانون الدولي الإنساني ,ما تُظهره الحوادث التي حقق فيها فريق الخبراء هو أنه بغض النظر عما إذا كانت قد أصابت هدفًا </w:t>
      </w:r>
      <w:r w:rsidRPr="00870A70">
        <w:rPr>
          <w:rFonts w:ascii="Traditional Arabic" w:eastAsiaTheme="minorHAnsi" w:hAnsi="Traditional Arabic" w:cs="Traditional Arabic"/>
          <w:sz w:val="30"/>
          <w:szCs w:val="30"/>
          <w:rtl/>
          <w:lang w:bidi="ar-MA"/>
        </w:rPr>
        <w:t>مشروعا"</w:t>
      </w:r>
      <w:r w:rsidRPr="00870A70">
        <w:rPr>
          <w:rFonts w:ascii="Traditional Arabic" w:eastAsiaTheme="minorHAnsi" w:hAnsi="Traditional Arabic" w:cs="Traditional Arabic"/>
          <w:sz w:val="30"/>
          <w:szCs w:val="30"/>
          <w:rtl/>
        </w:rPr>
        <w:t xml:space="preserve"> أو نتجت عن تراكم أخطاء، فإن تأثيرها الأكبر والأكثر مباشرة هو على المدنيين</w:t>
      </w:r>
      <w:r w:rsidRPr="00870A70">
        <w:rPr>
          <w:rFonts w:ascii="Traditional Arabic" w:eastAsiaTheme="minorHAnsi" w:hAnsi="Traditional Arabic" w:cs="Traditional Arabic"/>
          <w:sz w:val="30"/>
          <w:szCs w:val="30"/>
          <w:lang w:bidi="ar"/>
        </w:rPr>
        <w:t>.</w:t>
      </w:r>
    </w:p>
    <w:p w14:paraId="20BB701D" w14:textId="77777777" w:rsidR="00870A70" w:rsidRPr="00870A70" w:rsidRDefault="00870A70" w:rsidP="00385E46">
      <w:pPr>
        <w:numPr>
          <w:ilvl w:val="0"/>
          <w:numId w:val="20"/>
        </w:numPr>
        <w:suppressAutoHyphens w:val="0"/>
        <w:bidi/>
        <w:spacing w:after="160" w:line="259" w:lineRule="auto"/>
        <w:ind w:left="1089" w:right="1080" w:firstLine="0"/>
        <w:contextualSpacing/>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val="en-US" w:bidi="ar-YE"/>
        </w:rPr>
        <w:lastRenderedPageBreak/>
        <w:t>مركز علاج الكوليرا التابع لمنظمة أطباء بلا حدود، 11 حزيران</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يونيو 2018، مدينة عبس، مديرية عبس، محافظة حجة </w:t>
      </w:r>
    </w:p>
    <w:p w14:paraId="1D012F57" w14:textId="1E6BCE3B"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bidi="ar-YE"/>
        </w:rPr>
      </w:pPr>
      <w:r w:rsidRPr="00870A70">
        <w:rPr>
          <w:rFonts w:ascii="Traditional Arabic" w:eastAsiaTheme="minorHAnsi" w:hAnsi="Traditional Arabic" w:cs="Traditional Arabic"/>
          <w:sz w:val="30"/>
          <w:szCs w:val="30"/>
          <w:rtl/>
          <w:lang w:val="en-US" w:bidi="ar-YE"/>
        </w:rPr>
        <w:t>في يوم الإثنين 11 حزيران</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يونيو 2018 حوالي الساعة 05:45 صباحا، </w:t>
      </w:r>
      <w:r w:rsidRPr="00870A70">
        <w:rPr>
          <w:rFonts w:ascii="Traditional Arabic" w:eastAsiaTheme="minorHAnsi" w:hAnsi="Traditional Arabic" w:cs="Traditional Arabic"/>
          <w:sz w:val="30"/>
          <w:szCs w:val="30"/>
          <w:rtl/>
        </w:rPr>
        <w:t>نفذ التحالف غارة جوية باستخدام قنبلة موجهة</w:t>
      </w:r>
      <w:r w:rsidRPr="00870A70">
        <w:rPr>
          <w:rFonts w:ascii="Traditional Arabic" w:eastAsiaTheme="minorHAnsi" w:hAnsi="Traditional Arabic" w:cs="Traditional Arabic"/>
          <w:sz w:val="30"/>
          <w:szCs w:val="30"/>
          <w:vertAlign w:val="superscript"/>
        </w:rPr>
        <w:footnoteReference w:id="680"/>
      </w:r>
      <w:r w:rsidRPr="00870A70">
        <w:rPr>
          <w:rFonts w:ascii="Traditional Arabic" w:eastAsiaTheme="minorHAnsi" w:hAnsi="Traditional Arabic" w:cs="Traditional Arabic"/>
          <w:sz w:val="30"/>
          <w:szCs w:val="30"/>
          <w:rtl/>
        </w:rPr>
        <w:t xml:space="preserve"> على منشأة طبية تابعة لمنظمة أطباء بلا حدود في عبس مما أدى إلى تدمير أحد مبانيها الأربعة. كانت المنشأة فارغة في ذلك الوقت فلم تتسبب الضربة بقتل أو اصابة أي موظفين أو مرضىولكنها أدت الى ضرر في جناح للمرضى ودمّرت جناح مجاور للفرز والمراقبة</w:t>
      </w:r>
      <w:r w:rsidRPr="00870A70">
        <w:rPr>
          <w:rFonts w:ascii="Traditional Arabic" w:eastAsiaTheme="minorHAnsi" w:hAnsi="Traditional Arabic" w:cs="Traditional Arabic"/>
          <w:sz w:val="30"/>
          <w:szCs w:val="30"/>
          <w:vertAlign w:val="superscript"/>
        </w:rPr>
        <w:footnoteReference w:id="681"/>
      </w:r>
      <w:r w:rsidRPr="00870A70">
        <w:rPr>
          <w:rFonts w:ascii="Traditional Arabic" w:eastAsiaTheme="minorHAnsi" w:hAnsi="Traditional Arabic" w:cs="Traditional Arabic"/>
          <w:sz w:val="30"/>
          <w:szCs w:val="30"/>
          <w:rtl/>
        </w:rPr>
        <w:t>. وكانت منظمة أطباء بلا حدود قد اسلمت المستودعات الأربعة المكونة للمبنى في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2018 بغرض بناء مركز لعلاج الكوليرا. وضعت أطباء بلا حدود شعار الهلال الأحمر على أسطح المرافق، تبعا لتعليمات وزارة الصحة التابعة لسلطات الأمر الواقع بحسب ما أفيد، للدلالة على أنه مركز طبي.</w:t>
      </w:r>
      <w:r w:rsidRPr="00870A70">
        <w:rPr>
          <w:rFonts w:ascii="Traditional Arabic" w:eastAsiaTheme="minorHAnsi" w:hAnsi="Traditional Arabic" w:cs="Traditional Arabic"/>
          <w:i/>
          <w:iCs/>
          <w:sz w:val="30"/>
          <w:szCs w:val="30"/>
          <w:vertAlign w:val="superscript"/>
        </w:rPr>
        <w:t xml:space="preserve"> </w:t>
      </w:r>
      <w:r w:rsidRPr="00870A70">
        <w:rPr>
          <w:rFonts w:ascii="Traditional Arabic" w:eastAsiaTheme="minorHAnsi" w:hAnsi="Traditional Arabic" w:cs="Traditional Arabic"/>
          <w:i/>
          <w:iCs/>
          <w:sz w:val="30"/>
          <w:szCs w:val="30"/>
          <w:vertAlign w:val="superscript"/>
        </w:rPr>
        <w:footnoteReference w:id="682"/>
      </w:r>
      <w:r w:rsidRPr="00870A70">
        <w:rPr>
          <w:rFonts w:ascii="Traditional Arabic" w:eastAsiaTheme="minorHAnsi" w:hAnsi="Traditional Arabic" w:cs="Traditional Arabic"/>
          <w:sz w:val="30"/>
          <w:szCs w:val="30"/>
          <w:rtl/>
        </w:rPr>
        <w:t xml:space="preserve">في أعقاب الغارة الجوية، أصدرت منظمة أطباء بلا حدود بيانًا أدانت فيه الضربة: </w:t>
      </w:r>
      <w:r w:rsidRPr="00870A70">
        <w:rPr>
          <w:rFonts w:ascii="Traditional Arabic" w:eastAsiaTheme="minorHAnsi" w:hAnsi="Traditional Arabic" w:cs="Traditional Arabic"/>
          <w:i/>
          <w:iCs/>
          <w:sz w:val="30"/>
          <w:szCs w:val="30"/>
          <w:rtl/>
        </w:rPr>
        <w:t>الهجوم الذي وقع صباح اليوم على مركز معالجة الكوليرا التابع لمنظمة أطباء بلا حدود في عبس من قِبل التحالف السعودي والإماراتي</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يُظهر عدم احترام كامل للمرافق الطبية والمرضى. سواء كان مقصودًا أو نتيجة إهمال، هذا غير مقبول على الإطلاق.</w:t>
      </w:r>
      <w:r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i/>
          <w:iCs/>
          <w:sz w:val="30"/>
          <w:szCs w:val="30"/>
          <w:rtl/>
        </w:rPr>
        <w:t xml:space="preserve">تم وضع علامة واضحة على المجمع تدل على أنه مرفق صحي وتم مشاركة إحداثياته </w:t>
      </w:r>
      <w:r w:rsidRPr="00870A70">
        <w:rPr>
          <w:rFonts w:ascii="Traditional Arabic" w:eastAsiaTheme="minorHAnsi" w:hAnsi="Traditional Arabic" w:cs="Traditional Arabic" w:hint="cs"/>
          <w:i/>
          <w:iCs/>
          <w:sz w:val="30"/>
          <w:szCs w:val="30"/>
          <w:rtl/>
        </w:rPr>
        <w:t>مع</w:t>
      </w:r>
      <w:r w:rsidRPr="00870A70">
        <w:rPr>
          <w:rFonts w:ascii="Traditional Arabic" w:eastAsiaTheme="minorHAnsi" w:hAnsi="Traditional Arabic" w:cs="Traditional Arabic"/>
          <w:i/>
          <w:iCs/>
          <w:sz w:val="30"/>
          <w:szCs w:val="30"/>
          <w:rtl/>
        </w:rPr>
        <w:t xml:space="preserve"> التحالف بقيادة المملكة العربية السعودية والإمارات العربية المتحدة</w:t>
      </w:r>
      <w:r w:rsidRPr="00870A70">
        <w:rPr>
          <w:rFonts w:ascii="Traditional Arabic" w:eastAsiaTheme="minorHAnsi" w:hAnsi="Traditional Arabic" w:cs="Traditional Arabic"/>
          <w:i/>
          <w:iCs/>
          <w:sz w:val="30"/>
          <w:szCs w:val="30"/>
          <w:rtl/>
          <w:lang w:bidi="ar"/>
        </w:rPr>
        <w:t>.</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lang w:bidi="ar-MA"/>
        </w:rPr>
        <w:t>علما"</w:t>
      </w:r>
      <w:r w:rsidRPr="00870A70">
        <w:rPr>
          <w:rFonts w:ascii="Traditional Arabic" w:eastAsiaTheme="minorHAnsi" w:hAnsi="Traditional Arabic" w:cs="Traditional Arabic"/>
          <w:i/>
          <w:iCs/>
          <w:sz w:val="30"/>
          <w:szCs w:val="30"/>
          <w:rtl/>
        </w:rPr>
        <w:t xml:space="preserve"> أن نصفا" فقط من المرافق الطبية في اليمن تعمل بكامل طاقتها، ونظرا" لأن حوالي 10 ملايين شخص في حاجة ماسة وبظل</w:t>
      </w:r>
      <w:r w:rsidR="009025B6">
        <w:rPr>
          <w:rFonts w:ascii="Traditional Arabic" w:eastAsiaTheme="minorHAnsi" w:hAnsi="Traditional Arabic" w:cs="Traditional Arabic" w:hint="cs"/>
          <w:i/>
          <w:iCs/>
          <w:sz w:val="30"/>
          <w:szCs w:val="30"/>
          <w:rtl/>
        </w:rPr>
        <w:t xml:space="preserve"> </w:t>
      </w:r>
      <w:r w:rsidRPr="00870A70">
        <w:rPr>
          <w:rFonts w:ascii="Traditional Arabic" w:eastAsiaTheme="minorHAnsi" w:hAnsi="Traditional Arabic" w:cs="Traditional Arabic"/>
          <w:i/>
          <w:iCs/>
          <w:sz w:val="30"/>
          <w:szCs w:val="30"/>
          <w:rtl/>
        </w:rPr>
        <w:t>احتمال تفشي وباء الكوليرا، تم بناء مركز لعلاج الكوليرا لإنقاذ الأرواح. جمدّت منظمة أطباء بلا حدود نشاطاتها مؤقتاً في عبس حتى يتم ضمان سلامة موظفيها ومرضاها.</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83"/>
      </w:r>
      <w:r w:rsidRPr="00870A70">
        <w:rPr>
          <w:rFonts w:ascii="Traditional Arabic" w:eastAsiaTheme="minorHAnsi" w:hAnsi="Traditional Arabic" w:cs="Traditional Arabic"/>
          <w:i/>
          <w:iCs/>
          <w:sz w:val="30"/>
          <w:szCs w:val="30"/>
          <w:rtl/>
        </w:rPr>
        <w:t xml:space="preserve"> </w:t>
      </w:r>
    </w:p>
    <w:p w14:paraId="5181EF07" w14:textId="3096B3D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وفقا لنتائج تحقيقات الفريق المشترك لتقييم الحوادث التي صدرت خلال مؤتمر صحفي في 16 كانون الثاني</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يناير 2019</w:t>
      </w:r>
      <w:r w:rsidRPr="00870A70">
        <w:rPr>
          <w:rFonts w:ascii="Traditional Arabic" w:eastAsiaTheme="minorHAnsi" w:hAnsi="Traditional Arabic" w:cs="Traditional Arabic"/>
          <w:sz w:val="30"/>
          <w:szCs w:val="30"/>
          <w:vertAlign w:val="superscript"/>
          <w:lang w:val="en-US"/>
        </w:rPr>
        <w:footnoteReference w:id="684"/>
      </w:r>
      <w:r w:rsidRPr="00870A70">
        <w:rPr>
          <w:rFonts w:ascii="Traditional Arabic" w:eastAsiaTheme="minorHAnsi" w:hAnsi="Traditional Arabic" w:cs="Traditional Arabic"/>
          <w:sz w:val="30"/>
          <w:szCs w:val="30"/>
          <w:rtl/>
        </w:rPr>
        <w:t xml:space="preserve"> "اعت</w:t>
      </w:r>
      <w:r w:rsidRPr="00870A70">
        <w:rPr>
          <w:rFonts w:ascii="Traditional Arabic" w:eastAsiaTheme="minorHAnsi" w:hAnsi="Traditional Arabic" w:cs="Traditional Arabic"/>
          <w:sz w:val="30"/>
          <w:szCs w:val="30"/>
          <w:rtl/>
          <w:lang w:bidi="ar-YE"/>
        </w:rPr>
        <w:t>ُ</w:t>
      </w:r>
      <w:r w:rsidRPr="00870A70">
        <w:rPr>
          <w:rFonts w:ascii="Traditional Arabic" w:eastAsiaTheme="minorHAnsi" w:hAnsi="Traditional Arabic" w:cs="Traditional Arabic"/>
          <w:sz w:val="30"/>
          <w:szCs w:val="30"/>
          <w:rtl/>
        </w:rPr>
        <w:t xml:space="preserve">بر المستودع في ذلك الوقت هدفا عسكريا مشروعا ويُعد تدميره ميزة عسكرية". وكان هذا التقييم "يعتمد على معلومات استخبارية من داخل اليمن" والتي تفيد بأن "الميليشيا الحوثية المسلحة استخدمت مستودعًا كمخزن للأسلحة والذخيرة". ومع ذلك، اعترف الفريق المشترك لتقييم الحوادث أن العملية تمت من دون المعلومات التي تستوفي </w:t>
      </w:r>
      <w:r w:rsidRPr="00870A70">
        <w:rPr>
          <w:rFonts w:ascii="Traditional Arabic" w:eastAsiaTheme="minorHAnsi" w:hAnsi="Traditional Arabic" w:cs="Traditional Arabic"/>
          <w:i/>
          <w:iCs/>
          <w:sz w:val="30"/>
          <w:szCs w:val="30"/>
          <w:rtl/>
        </w:rPr>
        <w:t>"الإجراءات اللازمة التي تتبعها قوات التحالف"</w:t>
      </w:r>
      <w:r w:rsidRPr="00870A70">
        <w:rPr>
          <w:rFonts w:ascii="Traditional Arabic" w:eastAsiaTheme="minorHAnsi" w:hAnsi="Traditional Arabic" w:cs="Traditional Arabic"/>
          <w:sz w:val="30"/>
          <w:szCs w:val="30"/>
          <w:rtl/>
        </w:rPr>
        <w:t xml:space="preserve">. وأضاف الفريق المشترك لتقييم الحوادث أنه </w:t>
      </w:r>
      <w:r w:rsidRPr="00870A70">
        <w:rPr>
          <w:rFonts w:ascii="Traditional Arabic" w:eastAsiaTheme="minorHAnsi" w:hAnsi="Traditional Arabic" w:cs="Traditional Arabic"/>
          <w:i/>
          <w:iCs/>
          <w:sz w:val="30"/>
          <w:szCs w:val="30"/>
          <w:rtl/>
        </w:rPr>
        <w:t>"بسبب الضرورة الملحة لتنفيذ المهمة وعدم استكمال الإجراءات من قبل مخابرات التحالف، كان استهداف المبنى خطأ غير مقصود".</w:t>
      </w:r>
      <w:r w:rsidRPr="00870A70">
        <w:rPr>
          <w:rFonts w:ascii="Traditional Arabic" w:eastAsiaTheme="minorHAnsi" w:hAnsi="Traditional Arabic" w:cs="Traditional Arabic"/>
          <w:sz w:val="30"/>
          <w:szCs w:val="30"/>
          <w:rtl/>
        </w:rPr>
        <w:t xml:space="preserve"> ومن هذا المنطلق، أوصى الفريق المشترك لتقييم الحوادث بأن </w:t>
      </w:r>
      <w:r w:rsidRPr="00870A70">
        <w:rPr>
          <w:rFonts w:ascii="Traditional Arabic" w:eastAsiaTheme="minorHAnsi" w:hAnsi="Traditional Arabic" w:cs="Traditional Arabic"/>
          <w:i/>
          <w:iCs/>
          <w:sz w:val="30"/>
          <w:szCs w:val="30"/>
          <w:rtl/>
        </w:rPr>
        <w:t>"تقدم دول التحالف المساعدة الطوعية للأضرار المادية للمستودع"</w:t>
      </w:r>
      <w:r w:rsidRPr="00870A70">
        <w:rPr>
          <w:rFonts w:ascii="Traditional Arabic" w:eastAsiaTheme="minorHAnsi" w:hAnsi="Traditional Arabic" w:cs="Traditional Arabic"/>
          <w:sz w:val="30"/>
          <w:szCs w:val="30"/>
          <w:rtl/>
        </w:rPr>
        <w:t xml:space="preserve"> وأن </w:t>
      </w:r>
      <w:r w:rsidRPr="00870A70">
        <w:rPr>
          <w:rFonts w:ascii="Traditional Arabic" w:eastAsiaTheme="minorHAnsi" w:hAnsi="Traditional Arabic" w:cs="Traditional Arabic"/>
          <w:i/>
          <w:iCs/>
          <w:sz w:val="30"/>
          <w:szCs w:val="30"/>
          <w:rtl/>
        </w:rPr>
        <w:t>"ت</w:t>
      </w:r>
      <w:r w:rsidRPr="00870A70">
        <w:rPr>
          <w:rFonts w:ascii="Traditional Arabic" w:eastAsiaTheme="minorHAnsi" w:hAnsi="Traditional Arabic" w:cs="Traditional Arabic"/>
          <w:i/>
          <w:iCs/>
          <w:sz w:val="30"/>
          <w:szCs w:val="30"/>
          <w:rtl/>
          <w:lang w:bidi="ar-YE"/>
        </w:rPr>
        <w:t xml:space="preserve">تخذ </w:t>
      </w:r>
      <w:r w:rsidRPr="00870A70">
        <w:rPr>
          <w:rFonts w:ascii="Traditional Arabic" w:eastAsiaTheme="minorHAnsi" w:hAnsi="Traditional Arabic" w:cs="Traditional Arabic"/>
          <w:i/>
          <w:iCs/>
          <w:sz w:val="30"/>
          <w:szCs w:val="30"/>
          <w:rtl/>
        </w:rPr>
        <w:lastRenderedPageBreak/>
        <w:t>إجراءات قانونية ضد المسؤولين عن الإلحاح في تنفيذ المهمة، والتي نتجت عن خطأ إجرائي وعدم استكمال الإجراءات اللازمة من قبل مخابرات قوات التحالف</w:t>
      </w:r>
      <w:r w:rsidRPr="00870A70">
        <w:rPr>
          <w:rFonts w:ascii="Traditional Arabic" w:eastAsiaTheme="minorHAnsi" w:hAnsi="Traditional Arabic" w:cs="Traditional Arabic"/>
          <w:i/>
          <w:iCs/>
          <w:sz w:val="30"/>
          <w:szCs w:val="30"/>
          <w:lang w:bidi="ar"/>
        </w:rPr>
        <w:t xml:space="preserve"> ".</w:t>
      </w:r>
    </w:p>
    <w:p w14:paraId="207DFEF2" w14:textId="2D230812" w:rsidR="00870A70" w:rsidRPr="00870A70" w:rsidRDefault="00870A70" w:rsidP="00870A70">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tl/>
        </w:rPr>
      </w:pPr>
      <w:r w:rsidRPr="005C193E">
        <w:rPr>
          <w:rFonts w:asciiTheme="majorBidi" w:hAnsiTheme="majorBidi" w:cstheme="majorBidi"/>
          <w:b/>
          <w:bCs/>
        </w:rPr>
        <w:object w:dxaOrig="4320" w:dyaOrig="4320" w14:anchorId="6D533B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366.75pt" o:ole="">
            <v:imagedata r:id="rId21" o:title=""/>
          </v:shape>
          <o:OLEObject Type="Embed" ProgID="FoxitReader.Document" ShapeID="_x0000_i1025" DrawAspect="Content" ObjectID="_1629606224" r:id="rId22"/>
        </w:object>
      </w:r>
    </w:p>
    <w:p w14:paraId="00BBB1E5" w14:textId="6BB8AF8E" w:rsidR="00870A70" w:rsidRPr="00870A70" w:rsidRDefault="00870A70" w:rsidP="007F26B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كذلك ذكر الفريق المشترك لتقييم الحوادث</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أن منظمة أطباء بلا حدود انتهكت المادة 12 (3) من البروتوكول الإضافي الأول الملحق باتفاقيات جنيف لعدم طلبها من التحالف إدراج المرفق في قائمة عدم الاستهداف</w:t>
      </w:r>
      <w:r w:rsidR="007F26B1">
        <w:rPr>
          <w:rStyle w:val="FootnoteReference"/>
          <w:rFonts w:eastAsiaTheme="minorHAnsi" w:cs="Traditional Arabic"/>
          <w:szCs w:val="30"/>
          <w:rtl/>
        </w:rPr>
        <w:footnoteReference w:id="685"/>
      </w:r>
      <w:r w:rsidRPr="00870A70">
        <w:rPr>
          <w:rFonts w:ascii="Traditional Arabic" w:eastAsiaTheme="minorHAnsi" w:hAnsi="Traditional Arabic" w:cs="Traditional Arabic"/>
          <w:sz w:val="30"/>
          <w:szCs w:val="30"/>
          <w:rtl/>
        </w:rPr>
        <w:t>.</w:t>
      </w:r>
      <w:r w:rsidRPr="00870A70">
        <w:rPr>
          <w:rFonts w:ascii="Traditional Arabic" w:eastAsiaTheme="minorHAnsi" w:hAnsi="Traditional Arabic" w:cs="Traditional Arabic"/>
          <w:sz w:val="30"/>
          <w:szCs w:val="30"/>
          <w:rtl/>
          <w:lang w:bidi="ar-MA"/>
        </w:rPr>
        <w:t>يسجّل فريق الخبراء أن هذا البيان يتضمن تطبيقا" خاطأ للقانون الدولي</w:t>
      </w:r>
      <w:r w:rsidRPr="00870A70">
        <w:rPr>
          <w:rFonts w:ascii="Traditional Arabic" w:eastAsiaTheme="minorHAnsi" w:hAnsi="Traditional Arabic" w:cs="Traditional Arabic"/>
          <w:sz w:val="30"/>
          <w:szCs w:val="30"/>
          <w:lang w:bidi="ar-MA"/>
        </w:rPr>
        <w:t>)</w:t>
      </w:r>
      <w:r w:rsidRPr="00870A70">
        <w:rPr>
          <w:rFonts w:ascii="Traditional Arabic" w:eastAsiaTheme="minorHAnsi" w:hAnsi="Traditional Arabic" w:cs="Traditional Arabic"/>
          <w:sz w:val="30"/>
          <w:szCs w:val="30"/>
          <w:rtl/>
          <w:lang w:bidi="ar-MA"/>
        </w:rPr>
        <w:t xml:space="preserve">البروتوكول الاضافي </w:t>
      </w:r>
      <w:r w:rsidRPr="00870A70">
        <w:rPr>
          <w:rFonts w:ascii="Traditional Arabic" w:eastAsiaTheme="minorHAnsi" w:hAnsi="Traditional Arabic" w:cs="Traditional Arabic"/>
          <w:sz w:val="30"/>
          <w:szCs w:val="30"/>
          <w:lang w:val="en-US" w:bidi="ar-MA"/>
        </w:rPr>
        <w:t>I</w:t>
      </w:r>
      <w:r w:rsidRPr="00870A70">
        <w:rPr>
          <w:rFonts w:ascii="Traditional Arabic" w:eastAsiaTheme="minorHAnsi" w:hAnsi="Traditional Arabic" w:cs="Traditional Arabic"/>
          <w:sz w:val="30"/>
          <w:szCs w:val="30"/>
          <w:rtl/>
          <w:lang w:bidi="ar-MA"/>
        </w:rPr>
        <w:t xml:space="preserve"> ينطبق على النزاعات الدولية المسلحة</w:t>
      </w:r>
      <w:r w:rsidRPr="00870A70">
        <w:rPr>
          <w:rFonts w:ascii="Traditional Arabic" w:eastAsiaTheme="minorHAnsi" w:hAnsi="Traditional Arabic" w:cs="Traditional Arabic"/>
          <w:sz w:val="30"/>
          <w:szCs w:val="30"/>
          <w:lang w:val="en-US" w:bidi="ar-MA"/>
        </w:rPr>
        <w:t>(</w:t>
      </w:r>
      <w:r w:rsidRPr="00870A70">
        <w:rPr>
          <w:rFonts w:ascii="Traditional Arabic" w:eastAsiaTheme="minorHAnsi" w:hAnsi="Traditional Arabic" w:cs="Traditional Arabic"/>
          <w:sz w:val="30"/>
          <w:szCs w:val="30"/>
          <w:rtl/>
          <w:lang w:val="en-US" w:bidi="ar-MA"/>
        </w:rPr>
        <w:t xml:space="preserve"> وكذلك </w:t>
      </w:r>
      <w:r w:rsidRPr="00870A70">
        <w:rPr>
          <w:rFonts w:ascii="Traditional Arabic" w:eastAsiaTheme="minorHAnsi" w:hAnsi="Traditional Arabic" w:cs="Traditional Arabic"/>
          <w:sz w:val="30"/>
          <w:szCs w:val="30"/>
          <w:rtl/>
        </w:rPr>
        <w:t>تحويرا</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للمسؤوليات في القانون الانساني الدولي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بحيث أنه يعكس مسؤولية التمييز بين الأهداف العسكرية والمدنية ويضع عبأ ذلك على المنظمات الانسانية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ومع ذلك، أقرّ الفريق المشترك لتقييم الحوادث</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أيضًا، في نفس البيان، أنه قد تم إخطار الفريق بأن منظمة أطباء بلا حدود كانت تتحرك من وإلى هذه المنشأة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Pr>
        <w:t xml:space="preserve"> </w:t>
      </w:r>
    </w:p>
    <w:p w14:paraId="27B317C1" w14:textId="0A94EC29" w:rsidR="00870A70" w:rsidRDefault="00870A70" w:rsidP="00AD4803">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YE"/>
        </w:rPr>
      </w:pPr>
      <w:r w:rsidRPr="00870A70">
        <w:rPr>
          <w:rFonts w:ascii="Traditional Arabic" w:eastAsiaTheme="minorHAnsi" w:hAnsi="Traditional Arabic" w:cs="Traditional Arabic"/>
          <w:sz w:val="30"/>
          <w:szCs w:val="30"/>
          <w:rtl/>
          <w:lang w:bidi="ar-YE"/>
        </w:rPr>
        <w:t xml:space="preserve">كان </w:t>
      </w:r>
      <w:r w:rsidRPr="00870A70">
        <w:rPr>
          <w:rFonts w:ascii="Traditional Arabic" w:eastAsiaTheme="minorHAnsi" w:hAnsi="Traditional Arabic" w:cs="Traditional Arabic"/>
          <w:sz w:val="30"/>
          <w:szCs w:val="30"/>
          <w:rtl/>
        </w:rPr>
        <w:t>المرفق عبارة عن مركز لعلاج الكوليرا تم إنشاؤه حديثًا وكان يستوعب من 50 إلى 60 سريراً،ولم تتمكن المنظمة من فتح أبوابه للمرضى كما كان مخططا لموسم الكوليرا</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 xml:space="preserve"> </w:t>
      </w:r>
      <w:r w:rsidRPr="009025B6">
        <w:rPr>
          <w:rFonts w:ascii="Traditional Arabic" w:eastAsiaTheme="minorHAnsi" w:hAnsi="Traditional Arabic" w:cs="Traditional Arabic"/>
          <w:sz w:val="30"/>
          <w:szCs w:val="30"/>
          <w:rtl/>
        </w:rPr>
        <w:t>(راجع الفصل المتعلق بالانتهاكات المتعلقة بالأزمة الإنسانية، فيما يتع</w:t>
      </w:r>
      <w:r w:rsidR="00AD4803" w:rsidRPr="009025B6">
        <w:rPr>
          <w:rFonts w:ascii="Traditional Arabic" w:eastAsiaTheme="minorHAnsi" w:hAnsi="Traditional Arabic" w:cs="Traditional Arabic"/>
          <w:sz w:val="30"/>
          <w:szCs w:val="30"/>
          <w:rtl/>
        </w:rPr>
        <w:t>لق بالهجمات ضد المنشآت الطبية</w:t>
      </w:r>
      <w:r w:rsidRPr="009025B6">
        <w:rPr>
          <w:rFonts w:ascii="Traditional Arabic" w:eastAsiaTheme="minorHAnsi" w:hAnsi="Traditional Arabic" w:cs="Traditional Arabic"/>
          <w:sz w:val="30"/>
          <w:szCs w:val="30"/>
          <w:rtl/>
          <w:lang w:bidi="ar"/>
        </w:rPr>
        <w:t>)</w:t>
      </w:r>
    </w:p>
    <w:p w14:paraId="0E34A5D5" w14:textId="77777777" w:rsidR="009025B6" w:rsidRPr="00870A70" w:rsidRDefault="009025B6" w:rsidP="009025B6">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tl/>
          <w:lang w:bidi="ar-YE"/>
        </w:rPr>
      </w:pPr>
    </w:p>
    <w:p w14:paraId="3950C105" w14:textId="77777777" w:rsidR="00870A70" w:rsidRPr="00870A70" w:rsidRDefault="00870A70" w:rsidP="00870A70">
      <w:pPr>
        <w:suppressAutoHyphens w:val="0"/>
        <w:bidi/>
        <w:spacing w:after="160" w:line="259" w:lineRule="auto"/>
        <w:ind w:firstLine="567"/>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bidi="ar-YE"/>
        </w:rPr>
        <w:t>ج) حافلة مدرسية وسوق محلي، 9 آب</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أغسطس 2018، ضحيان، مجز، صعدة </w:t>
      </w:r>
    </w:p>
    <w:p w14:paraId="6A09B35B" w14:textId="30CA95D1" w:rsidR="00870A70" w:rsidRPr="00870A70" w:rsidRDefault="00870A70" w:rsidP="00825FCB">
      <w:pPr>
        <w:tabs>
          <w:tab w:val="left" w:pos="5130"/>
        </w:tabs>
        <w:suppressAutoHyphens w:val="0"/>
        <w:bidi/>
        <w:spacing w:after="160" w:line="276" w:lineRule="auto"/>
        <w:ind w:left="1539" w:right="522"/>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i/>
          <w:iCs/>
          <w:sz w:val="30"/>
          <w:szCs w:val="30"/>
          <w:rtl/>
        </w:rPr>
        <w:t>"كنت مع صديقي، من سني. نسخر ونضحك سويًا. استيقظت خارج الحافلة – على بعد حوالي خمسة أمتار من الحافلة استطعت أن أرى أطفالًا آخرين مصابين وقطعًا من أجسادهم، ثم أغمي عليّ مرة أخرى.</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sz w:val="30"/>
          <w:szCs w:val="30"/>
          <w:lang w:bidi="ar"/>
        </w:rPr>
        <w:br/>
      </w:r>
      <w:r>
        <w:rPr>
          <w:rFonts w:ascii="Traditional Arabic" w:eastAsiaTheme="minorHAnsi" w:hAnsi="Traditional Arabic" w:cs="Traditional Arabic"/>
          <w:b/>
          <w:bCs/>
          <w:sz w:val="30"/>
          <w:szCs w:val="30"/>
        </w:rPr>
        <w:t xml:space="preserve">  </w:t>
      </w:r>
      <w:r w:rsidR="00825FCB">
        <w:rPr>
          <w:rFonts w:ascii="Traditional Arabic" w:eastAsiaTheme="minorHAnsi" w:hAnsi="Traditional Arabic" w:cs="Traditional Arabic"/>
          <w:b/>
          <w:bCs/>
          <w:sz w:val="30"/>
          <w:szCs w:val="30"/>
        </w:rPr>
        <w:t xml:space="preserve">                      </w:t>
      </w:r>
      <w:r>
        <w:rPr>
          <w:rFonts w:ascii="Traditional Arabic" w:eastAsiaTheme="minorHAnsi" w:hAnsi="Traditional Arabic" w:cs="Traditional Arabic"/>
          <w:b/>
          <w:bCs/>
          <w:sz w:val="30"/>
          <w:szCs w:val="30"/>
        </w:rPr>
        <w:t xml:space="preserve">                  </w:t>
      </w:r>
      <w:r w:rsidRPr="00870A70">
        <w:rPr>
          <w:rFonts w:ascii="Traditional Arabic" w:eastAsiaTheme="minorHAnsi" w:hAnsi="Traditional Arabic" w:cs="Traditional Arabic"/>
          <w:b/>
          <w:bCs/>
          <w:sz w:val="30"/>
          <w:szCs w:val="30"/>
          <w:rtl/>
        </w:rPr>
        <w:t>أحد الناجين من الهجوم على الحافلة المدرسية في ضحيان</w:t>
      </w:r>
    </w:p>
    <w:p w14:paraId="5E8CCB97" w14:textId="28D371FF"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YE"/>
        </w:rPr>
      </w:pPr>
      <w:r w:rsidRPr="00870A70">
        <w:rPr>
          <w:rFonts w:ascii="Traditional Arabic" w:eastAsiaTheme="minorHAnsi" w:hAnsi="Traditional Arabic" w:cs="Traditional Arabic"/>
          <w:sz w:val="30"/>
          <w:szCs w:val="30"/>
          <w:rtl/>
          <w:lang w:val="en-US" w:bidi="ar-YE"/>
        </w:rPr>
        <w:t>في 9 آب</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أغسطس </w:t>
      </w:r>
      <w:r w:rsidRPr="00870A70">
        <w:rPr>
          <w:rFonts w:ascii="Traditional Arabic" w:eastAsiaTheme="minorHAnsi" w:hAnsi="Traditional Arabic" w:cs="Traditional Arabic"/>
          <w:sz w:val="30"/>
          <w:szCs w:val="30"/>
          <w:lang w:val="en-US" w:bidi="ar-YE"/>
        </w:rPr>
        <w:t>2018</w:t>
      </w:r>
      <w:r w:rsidRPr="00870A70">
        <w:rPr>
          <w:rFonts w:ascii="Traditional Arabic" w:eastAsiaTheme="minorHAnsi" w:hAnsi="Traditional Arabic" w:cs="Traditional Arabic"/>
          <w:sz w:val="30"/>
          <w:szCs w:val="30"/>
          <w:rtl/>
          <w:lang w:val="en-US" w:bidi="ar-YE"/>
        </w:rPr>
        <w:t xml:space="preserve"> حوالي الساعة 8:30 صباحا، </w:t>
      </w:r>
      <w:r w:rsidRPr="00870A70">
        <w:rPr>
          <w:rFonts w:ascii="Traditional Arabic" w:eastAsiaTheme="minorHAnsi" w:hAnsi="Traditional Arabic" w:cs="Traditional Arabic"/>
          <w:sz w:val="30"/>
          <w:szCs w:val="30"/>
          <w:rtl/>
        </w:rPr>
        <w:t>نفذت قوات التحالف غارة جوية على سوق مدينة ضحيان في مديرية مجز بمحافظة صعدة. أصابت الغارة حافلة تقل حوالي 50 طفلاً كانت متوقفة على الطريق السريع لسوق ضحيان. تحقق فريق الخبراء من مقتل 11 طفلاً تراوحت أعمارهم بين 10 و15 عامًا ورجلين بالغين جراء الهجوم، أفادت بأن عدد القتلى كان أعلى بكثير بحسب تقارير تشير الى أن عدد القتلى لا يقل عن 40 شخصًا بينهم 39 صبيا,</w:t>
      </w:r>
      <w:r w:rsidR="00AD4803">
        <w:rPr>
          <w:rStyle w:val="FootnoteReference"/>
          <w:rFonts w:eastAsiaTheme="minorHAnsi" w:cs="Traditional Arabic"/>
          <w:szCs w:val="30"/>
          <w:rtl/>
        </w:rPr>
        <w:footnoteReference w:id="686"/>
      </w:r>
      <w:r w:rsidRPr="00870A70">
        <w:rPr>
          <w:rFonts w:ascii="Traditional Arabic" w:eastAsiaTheme="minorHAnsi" w:hAnsi="Traditional Arabic" w:cs="Traditional Arabic"/>
          <w:sz w:val="30"/>
          <w:szCs w:val="30"/>
          <w:rtl/>
        </w:rPr>
        <w:t xml:space="preserve"> وأن 60 مدنيًا أصيبوا في الحادثة.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87"/>
      </w:r>
      <w:r w:rsidRPr="00870A70">
        <w:rPr>
          <w:rFonts w:ascii="Traditional Arabic" w:eastAsiaTheme="minorHAnsi" w:hAnsi="Traditional Arabic" w:cs="Traditional Arabic"/>
          <w:sz w:val="30"/>
          <w:szCs w:val="30"/>
          <w:rtl/>
        </w:rPr>
        <w:t xml:space="preserve">في يوم الهجوم، تجمع الأطفال في الساعة 7:00 صباحًا في المسجد للانطلاق في الرحلة ليوم واحد لزيارة مقبرة الشهداء في منطقة الجعملة  ضمن مديرية مجز, ومن ثم زيارة قبر حسين بدر الدين الحوثي في </w:t>
      </w:r>
      <w:r w:rsidRPr="00870A70">
        <w:rPr>
          <w:rFonts w:ascii="Traditional Arabic" w:eastAsiaTheme="minorHAnsi" w:hAnsi="Traditional Arabic" w:cs="Traditional Arabic" w:hint="cs"/>
          <w:sz w:val="30"/>
          <w:szCs w:val="30"/>
          <w:rtl/>
        </w:rPr>
        <w:t>منطقة</w:t>
      </w:r>
      <w:r w:rsidRPr="00870A70">
        <w:rPr>
          <w:rFonts w:ascii="Traditional Arabic" w:eastAsiaTheme="minorHAnsi" w:hAnsi="Traditional Arabic" w:cs="Traditional Arabic"/>
          <w:sz w:val="30"/>
          <w:szCs w:val="30"/>
          <w:rtl/>
        </w:rPr>
        <w:t xml:space="preserve"> آل صيفي.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688"/>
      </w:r>
      <w:r w:rsidRPr="00870A70">
        <w:rPr>
          <w:rFonts w:ascii="Traditional Arabic" w:eastAsiaTheme="minorHAnsi" w:hAnsi="Traditional Arabic" w:cs="Traditional Arabic"/>
          <w:sz w:val="30"/>
          <w:szCs w:val="30"/>
          <w:rtl/>
        </w:rPr>
        <w:t xml:space="preserve">كان الأطفال على متن الحافلة دون سن الـ14 عامًا. تدمّرت الحافلة بالكامل بسبب الغارة التي ألحقت أضرارًا جزئية بـ 11 متجرًا وسيارة واحدة. تمزقت أجساد العديد من الأطفال المسافرين على متن الحافلة وكذلك المارة بسبب الضربة لدرجة أن عائلاتهم لم تتمكن من التعرف عليهم أو استرداد جثثهم لإجراء مراسم دفنٍ مناسبة. قال والد طفل كان يبلغ من العمر 11 عامًا وتوفي على متن الحافلة أنه تحصّل فقط على قدمٍ من أقدام ابنه. قال لفريق الخبراء: "لم أجد جثة ابني، أعطوني قدمه فقط، أو ما </w:t>
      </w:r>
      <w:r w:rsidRPr="00870A70">
        <w:rPr>
          <w:rFonts w:ascii="Traditional Arabic" w:eastAsiaTheme="minorHAnsi" w:hAnsi="Traditional Arabic" w:cs="Traditional Arabic"/>
          <w:sz w:val="30"/>
          <w:szCs w:val="30"/>
          <w:rtl/>
          <w:lang w:bidi="ar-YE"/>
        </w:rPr>
        <w:t xml:space="preserve">يشبه </w:t>
      </w:r>
      <w:r w:rsidRPr="00870A70">
        <w:rPr>
          <w:rFonts w:ascii="Traditional Arabic" w:eastAsiaTheme="minorHAnsi" w:hAnsi="Traditional Arabic" w:cs="Traditional Arabic"/>
          <w:sz w:val="30"/>
          <w:szCs w:val="30"/>
          <w:rtl/>
        </w:rPr>
        <w:t>قدمه، لدفن شيء رمزي</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689"/>
      </w:r>
    </w:p>
    <w:p w14:paraId="5A6B43F5" w14:textId="7777777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بعد الهجوم بفترة وجيزة، في تاريخ 11 آب</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أغسطس، قالت البعثة السعودية الدائمة لدى الأمم المتحدة في جنيف أن الغارة الجوية كانت "عملاً عسكريًا مشروعًا استهدف قادة حوثيين كانوا مسؤولين عن تجنيد الأطفال وتدريبهم، ثم إرسالهم إلى المعارك."</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690"/>
      </w:r>
      <w:r w:rsidRPr="00870A70">
        <w:rPr>
          <w:rFonts w:ascii="Traditional Arabic" w:eastAsiaTheme="minorHAnsi" w:hAnsi="Traditional Arabic" w:cs="Traditional Arabic"/>
          <w:sz w:val="30"/>
          <w:szCs w:val="30"/>
          <w:rtl/>
        </w:rPr>
        <w:t>كذلك أشارت الرسالة إلى أن المملكة العربية السعودية قد أحالت الحادثة إلى</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الفريق المشترك لتقييم الحوادث للتحقيق فيها. في 1 أيلول</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سبتمبر 2018، في بيان صحفي، صرح المستشار القانوني للفريق المشترك لتقييم الحوادث الفريق منصور أحمد المنصور</w:t>
      </w:r>
      <w:r w:rsidRPr="00870A70">
        <w:rPr>
          <w:rFonts w:ascii="Traditional Arabic" w:eastAsiaTheme="minorHAnsi" w:hAnsi="Traditional Arabic" w:cs="Traditional Arabic"/>
          <w:sz w:val="30"/>
          <w:szCs w:val="30"/>
          <w:vertAlign w:val="superscript"/>
          <w:lang w:val="en-US"/>
        </w:rPr>
        <w:footnoteReference w:id="691"/>
      </w:r>
      <w:r w:rsidRPr="00870A70">
        <w:rPr>
          <w:rFonts w:ascii="Traditional Arabic" w:eastAsiaTheme="minorHAnsi" w:hAnsi="Traditional Arabic" w:cs="Traditional Arabic"/>
          <w:sz w:val="30"/>
          <w:szCs w:val="30"/>
          <w:rtl/>
        </w:rPr>
        <w:t xml:space="preserve"> أنه بسبب "التأخير الواضح في إعداد الطائرة المقاتلة" لم تنفذ الغارة الجوية على "الحافلة </w:t>
      </w:r>
      <w:r w:rsidRPr="00870A70">
        <w:rPr>
          <w:rFonts w:ascii="Traditional Arabic" w:eastAsiaTheme="minorHAnsi" w:hAnsi="Traditional Arabic" w:cs="Traditional Arabic"/>
          <w:sz w:val="30"/>
          <w:szCs w:val="30"/>
          <w:rtl/>
        </w:rPr>
        <w:lastRenderedPageBreak/>
        <w:t>كهدف عسكري" في منطقة خالية ومفتوحة لتجنب مثل هذه الأضرار الجانبية. صرّح التحالف عن موافقته على تقييم الفريق المشترك لتقييم الحوادث و</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أعرب عن أسفه" للهجوم وقال إنه "سيتخذ إجراءات قانونية لمحاسبة أولئك الذين ارتكبوا أخطاء" وسيوفر "التعويضات أو المساعدات للضحايا". قال المنصور في بيانه يوم 1 أيلول</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سبتمبر 2018، إن التحالف قد راجع معلومات "تم تعميمها وتأكيدها" من قبل مسؤولين حوثيين بأن أربعة قادة حوثيين مسؤولين عن التدريب العسكري وتجنيد أو تدريب المقاتلين وإنتاج العبوات الناسفة كانوا موجودين على متن الحافلة دون توفير مزيد من المعلومات لدعم هذه الادعاءات</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692"/>
      </w:r>
    </w:p>
    <w:p w14:paraId="0719EEA8" w14:textId="77777777" w:rsidR="00870A70" w:rsidRPr="00870A70"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val="en-US" w:bidi="ar-YE"/>
        </w:rPr>
      </w:pPr>
      <w:r w:rsidRPr="00870A70">
        <w:rPr>
          <w:rFonts w:ascii="Traditional Arabic" w:eastAsiaTheme="minorHAnsi" w:hAnsi="Traditional Arabic" w:cs="Traditional Arabic"/>
          <w:b/>
          <w:bCs/>
          <w:sz w:val="30"/>
          <w:szCs w:val="30"/>
          <w:rtl/>
          <w:lang w:bidi="ar-YE"/>
        </w:rPr>
        <w:t>د) غارة جوية بالقرب من مستشفى في كتاف، صعدة، 26 آذار</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مارس 2019</w:t>
      </w:r>
    </w:p>
    <w:p w14:paraId="08E557DC" w14:textId="76444A43" w:rsidR="00870A70" w:rsidRPr="00870A70" w:rsidRDefault="00870A70" w:rsidP="0082480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sz w:val="30"/>
          <w:szCs w:val="30"/>
          <w:rtl/>
          <w:lang w:val="en-US" w:bidi="ar-YE"/>
        </w:rPr>
        <w:t>في 26 آذار</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مارس 2019 حوالي الساعة 09:00 صباحًا أصابت غارة جوية محيط مستشفى كتاف الريفي، وهو مستشفى صغير تدعمه منظمة أنقذوا الأطفال </w:t>
      </w:r>
      <w:r w:rsidRPr="00870A70">
        <w:rPr>
          <w:rFonts w:ascii="Traditional Arabic" w:eastAsiaTheme="minorHAnsi" w:hAnsi="Traditional Arabic" w:cs="Traditional Arabic"/>
          <w:sz w:val="30"/>
          <w:szCs w:val="30"/>
          <w:lang w:val="en-US" w:bidi="ar-YE"/>
        </w:rPr>
        <w:t>(Save the Children)</w:t>
      </w:r>
      <w:r w:rsidRPr="00870A70">
        <w:rPr>
          <w:rFonts w:ascii="Traditional Arabic" w:eastAsiaTheme="minorHAnsi" w:hAnsi="Traditional Arabic" w:cs="Traditional Arabic"/>
          <w:sz w:val="30"/>
          <w:szCs w:val="30"/>
          <w:vertAlign w:val="superscript"/>
        </w:rPr>
        <w:footnoteReference w:id="693"/>
      </w:r>
      <w:r w:rsidRPr="00870A70">
        <w:rPr>
          <w:rFonts w:ascii="Traditional Arabic" w:eastAsiaTheme="minorHAnsi" w:hAnsi="Traditional Arabic" w:cs="Traditional Arabic"/>
          <w:sz w:val="30"/>
          <w:szCs w:val="30"/>
          <w:rtl/>
          <w:lang w:val="en-US" w:bidi="ar-YE"/>
        </w:rPr>
        <w:t xml:space="preserve"> في مديرية كتاف والبقع الريفية بمحافظة صعدة. عند حدوث الغارة الجوية، كان مدنيون من المنطقة، بمن فيهم الأطفال</w:t>
      </w:r>
      <w:r w:rsidRPr="00870A70">
        <w:rPr>
          <w:rFonts w:ascii="Traditional Arabic" w:eastAsiaTheme="minorHAnsi" w:hAnsi="Traditional Arabic" w:cs="Traditional Arabic"/>
          <w:sz w:val="30"/>
          <w:szCs w:val="30"/>
          <w:vertAlign w:val="superscript"/>
        </w:rPr>
        <w:footnoteReference w:id="694"/>
      </w:r>
      <w:r w:rsidRPr="00870A70">
        <w:rPr>
          <w:rFonts w:ascii="Traditional Arabic" w:eastAsiaTheme="minorHAnsi" w:hAnsi="Traditional Arabic" w:cs="Traditional Arabic"/>
          <w:sz w:val="30"/>
          <w:szCs w:val="30"/>
          <w:rtl/>
          <w:lang w:val="en-US" w:bidi="ar-YE"/>
        </w:rPr>
        <w:t>، يتدفقون إلى المستشفى الذي كان يأوي أيض</w:t>
      </w:r>
      <w:r w:rsidR="009025B6">
        <w:rPr>
          <w:rFonts w:ascii="Traditional Arabic" w:eastAsiaTheme="minorHAnsi" w:hAnsi="Traditional Arabic" w:cs="Traditional Arabic" w:hint="cs"/>
          <w:sz w:val="30"/>
          <w:szCs w:val="30"/>
          <w:rtl/>
          <w:lang w:val="en-US" w:bidi="ar-YE"/>
        </w:rPr>
        <w:t>ً</w:t>
      </w:r>
      <w:r w:rsidRPr="00870A70">
        <w:rPr>
          <w:rFonts w:ascii="Traditional Arabic" w:eastAsiaTheme="minorHAnsi" w:hAnsi="Traditional Arabic" w:cs="Traditional Arabic"/>
          <w:sz w:val="30"/>
          <w:szCs w:val="30"/>
          <w:rtl/>
          <w:lang w:val="en-US" w:bidi="ar-YE"/>
        </w:rPr>
        <w:t>ا مركز للتغذية العلاجية</w:t>
      </w:r>
      <w:r w:rsidR="009025B6">
        <w:rPr>
          <w:rFonts w:ascii="Traditional Arabic" w:eastAsiaTheme="minorHAnsi" w:hAnsi="Traditional Arabic" w:cs="Traditional Arabic" w:hint="cs"/>
          <w:sz w:val="30"/>
          <w:szCs w:val="30"/>
          <w:rtl/>
          <w:lang w:val="en-US" w:bidi="ar-YE"/>
        </w:rPr>
        <w:t>،</w:t>
      </w:r>
      <w:r w:rsidRPr="00870A70">
        <w:rPr>
          <w:rFonts w:ascii="Traditional Arabic" w:eastAsiaTheme="minorHAnsi" w:hAnsi="Traditional Arabic" w:cs="Traditional Arabic"/>
          <w:sz w:val="30"/>
          <w:szCs w:val="30"/>
          <w:rtl/>
          <w:lang w:val="en-US" w:bidi="ar-YE"/>
        </w:rPr>
        <w:t xml:space="preserve"> وإلى السوق القريب. قُتل ثمانية أشخاص (جميعهم من الذكور)، بينهم خمسة أطفال وحارس المستشفى</w:t>
      </w:r>
      <w:r w:rsidRPr="00870A70">
        <w:rPr>
          <w:rFonts w:ascii="Traditional Arabic" w:eastAsiaTheme="minorHAnsi" w:hAnsi="Traditional Arabic" w:cs="Traditional Arabic"/>
          <w:sz w:val="30"/>
          <w:szCs w:val="30"/>
          <w:vertAlign w:val="superscript"/>
        </w:rPr>
        <w:footnoteReference w:id="695"/>
      </w:r>
      <w:r w:rsidRPr="00870A70">
        <w:rPr>
          <w:rFonts w:ascii="Traditional Arabic" w:eastAsiaTheme="minorHAnsi" w:hAnsi="Traditional Arabic" w:cs="Traditional Arabic"/>
          <w:sz w:val="30"/>
          <w:szCs w:val="30"/>
          <w:rtl/>
          <w:lang w:val="en-US" w:bidi="ar-YE"/>
        </w:rPr>
        <w:t>. وأصابت الغارة تسعة أشخاص آخرين بينهم طفلان، وفق تقارير. وذكر الشهود أن الجثث كانت ممزقة الى أشلاء، وكان لا بد من نقل عددٍ من الجرحى للعلاج الطارئ إلى مستشفى في مدينة صعدة التي تقع على بعد حوالي 60 كيلومتراً من الموقع.</w:t>
      </w:r>
    </w:p>
    <w:p w14:paraId="29078E07" w14:textId="77777777" w:rsidR="00825FCB" w:rsidRPr="00825FCB" w:rsidRDefault="00870A70" w:rsidP="00BF160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lang w:bidi="ar-YE"/>
        </w:rPr>
        <w:t>وفقاً لتحقيقات فريق الخبراء، أصابت الغارة الجوية مباشرة متجر صغير يبيع مواد غذائية متنوعة ومواد غير غذائية فضلا عن الوقود المخزن بالبراميل</w:t>
      </w:r>
      <w:r w:rsidRPr="00870A70">
        <w:rPr>
          <w:rFonts w:ascii="Traditional Arabic" w:eastAsiaTheme="minorHAnsi" w:hAnsi="Traditional Arabic" w:cs="Traditional Arabic"/>
          <w:sz w:val="30"/>
          <w:szCs w:val="30"/>
          <w:vertAlign w:val="superscript"/>
        </w:rPr>
        <w:footnoteReference w:id="696"/>
      </w:r>
      <w:r w:rsidRPr="00870A70">
        <w:rPr>
          <w:rFonts w:ascii="Traditional Arabic" w:eastAsiaTheme="minorHAnsi" w:hAnsi="Traditional Arabic" w:cs="Traditional Arabic"/>
          <w:sz w:val="30"/>
          <w:szCs w:val="30"/>
          <w:rtl/>
          <w:lang w:bidi="ar-YE"/>
        </w:rPr>
        <w:t>. كان المتجر على مسافة قريبة من مدخل المستشفى ,حوالي 10 إلى 15 مترًا،</w:t>
      </w:r>
      <w:r w:rsidRPr="00870A70">
        <w:rPr>
          <w:rFonts w:ascii="Traditional Arabic" w:eastAsiaTheme="minorHAnsi" w:hAnsi="Traditional Arabic" w:cs="Traditional Arabic"/>
          <w:sz w:val="30"/>
          <w:szCs w:val="30"/>
          <w:vertAlign w:val="superscript"/>
        </w:rPr>
        <w:footnoteReference w:id="697"/>
      </w:r>
      <w:r w:rsidRPr="00870A70">
        <w:rPr>
          <w:rFonts w:ascii="Traditional Arabic" w:eastAsiaTheme="minorHAnsi" w:hAnsi="Traditional Arabic" w:cs="Traditional Arabic"/>
          <w:sz w:val="30"/>
          <w:szCs w:val="30"/>
          <w:rtl/>
          <w:lang w:bidi="ar-YE"/>
        </w:rPr>
        <w:t xml:space="preserve"> و بقربه سوق محلي لبيع القات وسلع مختلفة. بينما أصيبت واجهة مبنى</w:t>
      </w:r>
      <w:r w:rsidR="00D072F6">
        <w:rPr>
          <w:rFonts w:ascii="Traditional Arabic" w:eastAsiaTheme="minorHAnsi" w:hAnsi="Traditional Arabic" w:cs="Traditional Arabic" w:hint="cs"/>
          <w:sz w:val="30"/>
          <w:szCs w:val="30"/>
          <w:rtl/>
          <w:lang w:bidi="ar-YE"/>
        </w:rPr>
        <w:t xml:space="preserve"> المستشفى</w:t>
      </w:r>
      <w:r w:rsidRPr="00870A70">
        <w:rPr>
          <w:rFonts w:ascii="Traditional Arabic" w:eastAsiaTheme="minorHAnsi" w:hAnsi="Traditional Arabic" w:cs="Traditional Arabic"/>
          <w:sz w:val="30"/>
          <w:szCs w:val="30"/>
          <w:rtl/>
          <w:lang w:bidi="ar-YE"/>
        </w:rPr>
        <w:t xml:space="preserve"> بأضرار طفيفة،</w:t>
      </w:r>
      <w:r w:rsidRPr="00870A70">
        <w:rPr>
          <w:rFonts w:ascii="Traditional Arabic" w:eastAsiaTheme="minorHAnsi" w:hAnsi="Traditional Arabic" w:cs="Traditional Arabic"/>
          <w:sz w:val="30"/>
          <w:szCs w:val="30"/>
          <w:vertAlign w:val="superscript"/>
        </w:rPr>
        <w:footnoteReference w:id="698"/>
      </w:r>
      <w:r w:rsidRPr="00870A70">
        <w:rPr>
          <w:rFonts w:ascii="Traditional Arabic" w:eastAsiaTheme="minorHAnsi" w:hAnsi="Traditional Arabic" w:cs="Traditional Arabic"/>
          <w:sz w:val="30"/>
          <w:szCs w:val="30"/>
          <w:rtl/>
          <w:lang w:bidi="ar-YE"/>
        </w:rPr>
        <w:t xml:space="preserve"> أصيب المستشفى</w:t>
      </w:r>
      <w:r w:rsidR="00D072F6">
        <w:rPr>
          <w:rFonts w:ascii="Traditional Arabic" w:eastAsiaTheme="minorHAnsi" w:hAnsi="Traditional Arabic" w:cs="Traditional Arabic" w:hint="cs"/>
          <w:sz w:val="30"/>
          <w:szCs w:val="30"/>
          <w:rtl/>
          <w:lang w:bidi="ar-YE"/>
        </w:rPr>
        <w:t xml:space="preserve"> كذلك</w:t>
      </w:r>
      <w:r w:rsidRPr="00870A70">
        <w:rPr>
          <w:rFonts w:ascii="Traditional Arabic" w:eastAsiaTheme="minorHAnsi" w:hAnsi="Traditional Arabic" w:cs="Traditional Arabic"/>
          <w:sz w:val="30"/>
          <w:szCs w:val="30"/>
          <w:rtl/>
          <w:lang w:bidi="ar-YE"/>
        </w:rPr>
        <w:t xml:space="preserve"> بأضرار جسيمة لمولده ومعداته ونوافذه وأبوابه مما جعله غير مؤهّل للعمل في أعقاب الغارة. لم يستطع المستشفى إعادة فتح أبوابه مباشرة" للمرضى وتم تجهيز الخيم في الخارج في اليوم التالي حتى يستمر في خدمة الأشخاص من المنطقة. كما دُمّرت صيدلية بالقرب من المستشفى حيث وقعت بعض الإصابات، وفق تقارير</w:t>
      </w:r>
      <w:r w:rsidR="00577347">
        <w:rPr>
          <w:rFonts w:ascii="Traditional Arabic" w:eastAsiaTheme="minorHAnsi" w:hAnsi="Traditional Arabic" w:cs="Traditional Arabic" w:hint="cs"/>
          <w:sz w:val="30"/>
          <w:szCs w:val="30"/>
          <w:rtl/>
          <w:lang w:bidi="ar-YE"/>
        </w:rPr>
        <w:t xml:space="preserve"> </w:t>
      </w:r>
      <w:r w:rsidRPr="00870A70">
        <w:rPr>
          <w:rFonts w:ascii="Traditional Arabic" w:eastAsiaTheme="minorHAnsi" w:hAnsi="Traditional Arabic" w:cs="Traditional Arabic"/>
          <w:sz w:val="30"/>
          <w:szCs w:val="30"/>
          <w:rtl/>
          <w:lang w:bidi="ar-YE"/>
        </w:rPr>
        <w:t>تلقتها مجموعة الخبراء</w:t>
      </w:r>
      <w:r w:rsidRPr="00870A70">
        <w:rPr>
          <w:rFonts w:ascii="Traditional Arabic" w:eastAsiaTheme="minorHAnsi" w:hAnsi="Traditional Arabic" w:cs="Traditional Arabic"/>
          <w:sz w:val="30"/>
          <w:szCs w:val="30"/>
          <w:vertAlign w:val="superscript"/>
        </w:rPr>
        <w:footnoteReference w:id="699"/>
      </w:r>
      <w:r w:rsidRPr="00870A70">
        <w:rPr>
          <w:rFonts w:ascii="Traditional Arabic" w:eastAsiaTheme="minorHAnsi" w:hAnsi="Traditional Arabic" w:cs="Traditional Arabic"/>
          <w:sz w:val="30"/>
          <w:szCs w:val="30"/>
          <w:rtl/>
          <w:lang w:bidi="ar-YE"/>
        </w:rPr>
        <w:t>. وفقًا لأحد العاملين في المستشفى،</w:t>
      </w:r>
      <w:r w:rsidRPr="00870A70">
        <w:rPr>
          <w:rFonts w:ascii="Traditional Arabic" w:eastAsiaTheme="minorHAnsi" w:hAnsi="Traditional Arabic" w:cs="Traditional Arabic"/>
          <w:sz w:val="30"/>
          <w:szCs w:val="30"/>
          <w:vertAlign w:val="superscript"/>
        </w:rPr>
        <w:footnoteReference w:id="700"/>
      </w:r>
      <w:r w:rsidRPr="00870A70">
        <w:rPr>
          <w:rFonts w:ascii="Traditional Arabic" w:eastAsiaTheme="minorHAnsi" w:hAnsi="Traditional Arabic" w:cs="Traditional Arabic"/>
          <w:sz w:val="30"/>
          <w:szCs w:val="30"/>
          <w:rtl/>
          <w:lang w:bidi="ar-YE"/>
        </w:rPr>
        <w:t xml:space="preserve"> كان يوجد حوالي 25 </w:t>
      </w:r>
      <w:r w:rsidRPr="00870A70">
        <w:rPr>
          <w:rFonts w:ascii="Traditional Arabic" w:eastAsiaTheme="minorHAnsi" w:hAnsi="Traditional Arabic" w:cs="Traditional Arabic"/>
          <w:sz w:val="30"/>
          <w:szCs w:val="30"/>
          <w:rtl/>
          <w:lang w:bidi="ar-YE"/>
        </w:rPr>
        <w:lastRenderedPageBreak/>
        <w:t>موظفًا داخل المستشفى وقت الضربة. وأفادت منظمة أنقذوا الطفولة علنًا</w:t>
      </w:r>
      <w:r w:rsidRPr="00870A70">
        <w:rPr>
          <w:rFonts w:ascii="Traditional Arabic" w:eastAsiaTheme="minorHAnsi" w:hAnsi="Traditional Arabic" w:cs="Traditional Arabic"/>
          <w:sz w:val="30"/>
          <w:szCs w:val="30"/>
          <w:vertAlign w:val="superscript"/>
        </w:rPr>
        <w:footnoteReference w:id="701"/>
      </w:r>
      <w:r w:rsidRPr="00870A70">
        <w:rPr>
          <w:rFonts w:ascii="Traditional Arabic" w:eastAsiaTheme="minorHAnsi" w:hAnsi="Traditional Arabic" w:cs="Traditional Arabic"/>
          <w:sz w:val="30"/>
          <w:szCs w:val="30"/>
          <w:rtl/>
          <w:lang w:bidi="ar-YE"/>
        </w:rPr>
        <w:t xml:space="preserve">عن إصابة أحد العاملين الصحيين أثناء رعاية طفلين: </w:t>
      </w:r>
      <w:r w:rsidRPr="00870A70">
        <w:rPr>
          <w:rFonts w:ascii="Traditional Arabic" w:eastAsiaTheme="minorHAnsi" w:hAnsi="Traditional Arabic" w:cs="Traditional Arabic"/>
          <w:i/>
          <w:iCs/>
          <w:sz w:val="30"/>
          <w:szCs w:val="30"/>
          <w:rtl/>
          <w:lang w:bidi="ar-YE"/>
        </w:rPr>
        <w:t>"كان جميع الناس يصرخون فارّين من المستشفى. مبنى المستشفى تضرر بالكامل في الداخل. فقد زميلنا طفلين حرقًا... أصبت في رأسي وكنت أنزف. هربت من المستشفى مع زميلي إلى مكان آمن ، لكننا لم نجد شيئًا يمكن أن يساعدني على إيقاف النزيف. كانت أصعب لحظات حياتي ".</w:t>
      </w:r>
    </w:p>
    <w:p w14:paraId="78B4E4F9" w14:textId="3C0C1436" w:rsidR="00870A70" w:rsidRPr="00870A70" w:rsidRDefault="00825FCB" w:rsidP="00825FCB">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sz w:val="30"/>
          <w:szCs w:val="30"/>
        </w:rPr>
      </w:pPr>
      <w:r>
        <w:rPr>
          <w:rFonts w:ascii="Traditional Arabic" w:eastAsiaTheme="minorHAnsi" w:hAnsi="Traditional Arabic" w:cs="Traditional Arabic"/>
          <w:noProof/>
          <w:sz w:val="30"/>
          <w:szCs w:val="30"/>
          <w:lang w:eastAsia="en-GB"/>
        </w:rPr>
        <w:drawing>
          <wp:inline distT="0" distB="0" distL="0" distR="0" wp14:anchorId="7FEDA7B3" wp14:editId="79D0E481">
            <wp:extent cx="4669790" cy="3554095"/>
            <wp:effectExtent l="0" t="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69790" cy="3554095"/>
                    </a:xfrm>
                    <a:prstGeom prst="rect">
                      <a:avLst/>
                    </a:prstGeom>
                    <a:noFill/>
                  </pic:spPr>
                </pic:pic>
              </a:graphicData>
            </a:graphic>
          </wp:inline>
        </w:drawing>
      </w:r>
    </w:p>
    <w:p w14:paraId="2296E395" w14:textId="5B471448" w:rsidR="00870A70" w:rsidRPr="00870A70" w:rsidRDefault="00870A70" w:rsidP="00C311E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بين المعلومات التي جمعها فريق الخبراء أنه ليس هناك تواجد عسكري في المستشفى أو السوق أو المنطقة المحيطة وقت الهجوم. كما لم يكن يوجد ما يشير إلى أن الموقع أو المتجر القريب يحتوي على أي أسلحة، رغم أن هذا الاحتمال لم يتم اعتباره غير صحيح بناءً على نتائج تحقيقات المجموعة.</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02"/>
      </w:r>
      <w:r w:rsidRPr="00870A70">
        <w:rPr>
          <w:rFonts w:ascii="Traditional Arabic" w:eastAsiaTheme="minorHAnsi" w:hAnsi="Traditional Arabic" w:cs="Traditional Arabic"/>
          <w:sz w:val="30"/>
          <w:szCs w:val="30"/>
          <w:rtl/>
        </w:rPr>
        <w:t>ووفقا للمصادر، كان الضحايا جميعهم من المدنيين بينهم سبعة أطفال في المجموع. أُبلغ فريق الخبراء أن المستشفى كان مدرج</w:t>
      </w:r>
      <w:r w:rsidR="00C311E6">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ا على</w:t>
      </w:r>
      <w:r w:rsidR="00C311E6">
        <w:rPr>
          <w:rFonts w:ascii="Traditional Arabic" w:eastAsiaTheme="minorHAnsi" w:hAnsi="Traditional Arabic" w:cs="Traditional Arabic" w:hint="cs"/>
          <w:sz w:val="30"/>
          <w:szCs w:val="30"/>
          <w:rtl/>
        </w:rPr>
        <w:t xml:space="preserve"> قائمة "الأماكن المحرّم قصفها</w:t>
      </w:r>
      <w:r w:rsidRPr="00870A70">
        <w:rPr>
          <w:rFonts w:ascii="Traditional Arabic" w:eastAsiaTheme="minorHAnsi" w:hAnsi="Traditional Arabic" w:cs="Traditional Arabic"/>
          <w:sz w:val="30"/>
          <w:szCs w:val="30"/>
          <w:rtl/>
        </w:rPr>
        <w:t>" وأن إحداثياته معروفة لدى التحالف</w:t>
      </w:r>
      <w:r w:rsidRPr="00870A70">
        <w:rPr>
          <w:rFonts w:ascii="Traditional Arabic" w:eastAsiaTheme="minorHAnsi" w:hAnsi="Traditional Arabic" w:cs="Traditional Arabic"/>
          <w:sz w:val="30"/>
          <w:szCs w:val="30"/>
        </w:rPr>
        <w:t>.</w:t>
      </w:r>
      <w:r w:rsidRPr="00870A70">
        <w:rPr>
          <w:rFonts w:ascii="Traditional Arabic" w:eastAsiaTheme="minorHAnsi" w:hAnsi="Traditional Arabic" w:cs="Traditional Arabic"/>
          <w:sz w:val="30"/>
          <w:szCs w:val="30"/>
          <w:vertAlign w:val="superscript"/>
        </w:rPr>
        <w:footnoteReference w:id="703"/>
      </w:r>
    </w:p>
    <w:p w14:paraId="19A85BED" w14:textId="1204839D" w:rsidR="00870A70" w:rsidRPr="00870A70" w:rsidRDefault="00870A70" w:rsidP="002A6A47">
      <w:pPr>
        <w:suppressAutoHyphens w:val="0"/>
        <w:bidi/>
        <w:spacing w:after="120"/>
        <w:ind w:left="342" w:right="521" w:firstLine="567"/>
        <w:rPr>
          <w:rFonts w:ascii="Traditional Arabic" w:eastAsiaTheme="minorHAnsi" w:hAnsi="Traditional Arabic" w:cs="Traditional Arabic"/>
          <w:sz w:val="30"/>
          <w:szCs w:val="30"/>
          <w:rtl/>
          <w:lang w:val="en-US" w:bidi="ar-YE"/>
        </w:rPr>
      </w:pPr>
      <w:r w:rsidRPr="00870A70">
        <w:rPr>
          <w:rFonts w:ascii="Traditional Arabic" w:eastAsiaTheme="minorHAnsi" w:hAnsi="Traditional Arabic" w:cs="Traditional Arabic"/>
          <w:b/>
          <w:bCs/>
          <w:sz w:val="30"/>
          <w:szCs w:val="30"/>
          <w:rtl/>
        </w:rPr>
        <w:t>ه) الغارات الجوية ضد منازل مدنيين ومزرعة في مغربة طلان</w:t>
      </w:r>
      <w:r w:rsidR="002A6A47">
        <w:rPr>
          <w:rFonts w:ascii="Traditional Arabic" w:eastAsiaTheme="minorHAnsi" w:hAnsi="Traditional Arabic" w:cs="Traditional Arabic" w:hint="cs"/>
          <w:b/>
          <w:bCs/>
          <w:sz w:val="30"/>
          <w:szCs w:val="30"/>
          <w:rtl/>
        </w:rPr>
        <w:t>،</w:t>
      </w:r>
      <w:r w:rsidRPr="00870A70">
        <w:rPr>
          <w:rFonts w:ascii="Traditional Arabic" w:eastAsiaTheme="minorHAnsi" w:hAnsi="Traditional Arabic" w:cs="Traditional Arabic"/>
          <w:b/>
          <w:bCs/>
          <w:sz w:val="30"/>
          <w:szCs w:val="30"/>
          <w:rtl/>
        </w:rPr>
        <w:t>كشر، حجة، 9 نيسان</w:t>
      </w:r>
      <w:r w:rsidRPr="00870A70">
        <w:rPr>
          <w:rFonts w:ascii="Traditional Arabic" w:eastAsiaTheme="minorHAnsi" w:hAnsi="Traditional Arabic" w:cs="Traditional Arabic"/>
          <w:b/>
          <w:bCs/>
          <w:sz w:val="30"/>
          <w:szCs w:val="30"/>
          <w:lang w:val="en-US"/>
        </w:rPr>
        <w:t>/</w:t>
      </w:r>
      <w:r w:rsidRPr="00870A70">
        <w:rPr>
          <w:rFonts w:ascii="Traditional Arabic" w:eastAsiaTheme="minorHAnsi" w:hAnsi="Traditional Arabic" w:cs="Traditional Arabic"/>
          <w:b/>
          <w:bCs/>
          <w:sz w:val="30"/>
          <w:szCs w:val="30"/>
          <w:rtl/>
          <w:lang w:val="en-US" w:bidi="ar-YE"/>
        </w:rPr>
        <w:t xml:space="preserve"> أبريل</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b/>
          <w:bCs/>
          <w:sz w:val="30"/>
          <w:szCs w:val="30"/>
          <w:rtl/>
          <w:lang w:val="en-US" w:bidi="ar-YE"/>
        </w:rPr>
        <w:t>2019</w:t>
      </w:r>
    </w:p>
    <w:p w14:paraId="6ADB49DE" w14:textId="77777777" w:rsidR="00870A70" w:rsidRPr="00870A70" w:rsidRDefault="00870A70" w:rsidP="00385E46">
      <w:pPr>
        <w:tabs>
          <w:tab w:val="left" w:pos="5130"/>
        </w:tabs>
        <w:suppressAutoHyphens w:val="0"/>
        <w:bidi/>
        <w:spacing w:after="160" w:line="276" w:lineRule="auto"/>
        <w:ind w:left="1449" w:right="522"/>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i/>
          <w:iCs/>
          <w:sz w:val="30"/>
          <w:szCs w:val="30"/>
          <w:rtl/>
        </w:rPr>
        <w:t xml:space="preserve">"كانوا يصرخون تعالوا وساعدونا. لم نتمكن من مساعدتهم، لأن طائرة الاستطلاع كانت لا تزال تتجول وخشينا أن تضربنا مرة أخرى. كنت قريب، مقابل المزرعة. كنت أسمعهم يصرخون. أن تفقد عائلتك أمام عينيك ولا تفعل شيئ. تجمّدت. ظللت </w:t>
      </w:r>
      <w:r w:rsidRPr="00870A70">
        <w:rPr>
          <w:rFonts w:ascii="Traditional Arabic" w:eastAsiaTheme="minorHAnsi" w:hAnsi="Traditional Arabic" w:cs="Traditional Arabic"/>
          <w:i/>
          <w:iCs/>
          <w:sz w:val="30"/>
          <w:szCs w:val="30"/>
          <w:rtl/>
        </w:rPr>
        <w:lastRenderedPageBreak/>
        <w:t xml:space="preserve">أصرخ وأبكي. ظلّت طائرة المراقبة </w:t>
      </w:r>
      <w:r w:rsidRPr="00870A70">
        <w:rPr>
          <w:rFonts w:ascii="Traditional Arabic" w:eastAsiaTheme="minorHAnsi" w:hAnsi="Traditional Arabic" w:cs="Traditional Arabic"/>
          <w:i/>
          <w:iCs/>
          <w:sz w:val="30"/>
          <w:szCs w:val="30"/>
          <w:rtl/>
          <w:lang w:bidi="ar-YE"/>
        </w:rPr>
        <w:t>تحلّق.</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 xml:space="preserve">لم نتمكن من جمع أجسادهم إلا في الصباح... عندما لا تعود النساء نساء... تمزقوا أشلاء... مجزرة. حفرنا قبراً واحداً. دفناهم جميعا في قبر واحد. لا حول ولا قوة إلا بالله..." </w:t>
      </w:r>
    </w:p>
    <w:p w14:paraId="79ADC161" w14:textId="77777777" w:rsidR="00870A70" w:rsidRPr="00870A70" w:rsidRDefault="00870A70" w:rsidP="00870A70">
      <w:pPr>
        <w:suppressAutoHyphens w:val="0"/>
        <w:bidi/>
        <w:spacing w:after="120"/>
        <w:ind w:left="3402" w:right="827" w:firstLine="567"/>
        <w:rPr>
          <w:rFonts w:ascii="Traditional Arabic" w:eastAsiaTheme="minorHAnsi" w:hAnsi="Traditional Arabic" w:cs="Traditional Arabic"/>
          <w:b/>
          <w:bCs/>
          <w:sz w:val="30"/>
          <w:szCs w:val="30"/>
          <w:lang w:val="en-US"/>
        </w:rPr>
      </w:pPr>
      <w:r w:rsidRPr="00870A70">
        <w:rPr>
          <w:rFonts w:ascii="Traditional Arabic" w:eastAsiaTheme="minorHAnsi" w:hAnsi="Traditional Arabic" w:cs="Traditional Arabic"/>
          <w:b/>
          <w:bCs/>
          <w:sz w:val="30"/>
          <w:szCs w:val="30"/>
          <w:rtl/>
          <w:lang w:val="en-US"/>
        </w:rPr>
        <w:t xml:space="preserve">أحد الناجين من الغارة الجوية على </w:t>
      </w:r>
      <w:r w:rsidRPr="00870A70">
        <w:rPr>
          <w:rFonts w:ascii="Traditional Arabic" w:eastAsiaTheme="minorHAnsi" w:hAnsi="Traditional Arabic" w:cs="Traditional Arabic"/>
          <w:b/>
          <w:bCs/>
          <w:sz w:val="30"/>
          <w:szCs w:val="30"/>
          <w:rtl/>
        </w:rPr>
        <w:t>مغربة طلان</w:t>
      </w:r>
      <w:r w:rsidRPr="00870A70">
        <w:rPr>
          <w:rFonts w:ascii="Traditional Arabic" w:eastAsiaTheme="minorHAnsi" w:hAnsi="Traditional Arabic" w:cs="Traditional Arabic"/>
          <w:b/>
          <w:bCs/>
          <w:sz w:val="30"/>
          <w:szCs w:val="30"/>
        </w:rPr>
        <w:t xml:space="preserve"> </w:t>
      </w:r>
      <w:r w:rsidRPr="00870A70">
        <w:rPr>
          <w:rFonts w:ascii="Traditional Arabic" w:eastAsiaTheme="minorHAnsi" w:hAnsi="Traditional Arabic" w:cs="Traditional Arabic"/>
          <w:b/>
          <w:bCs/>
          <w:sz w:val="30"/>
          <w:szCs w:val="30"/>
          <w:vertAlign w:val="superscript"/>
          <w:lang w:val="en-US"/>
        </w:rPr>
        <w:footnoteReference w:id="704"/>
      </w:r>
    </w:p>
    <w:p w14:paraId="19E0B0A2" w14:textId="51B317D6" w:rsidR="00870A70" w:rsidRPr="00870A70" w:rsidRDefault="00870A70" w:rsidP="00AB06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في 9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 بين الساعة 21:00 والساعة 22:00 تقريبًا، وقعت ثلاث ضربات جوية متتالية من منزلين مدنيين ومزرعة في مغربة طلان  في كشر</w:t>
      </w:r>
      <w:r w:rsidR="002A6A47">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 xml:space="preserve"> محافظة حجة. تعد كشر واحدة من المناطق الرئيسية في حجة التي ت</w:t>
      </w:r>
      <w:r w:rsidR="00AB06DA">
        <w:rPr>
          <w:rFonts w:ascii="Traditional Arabic" w:eastAsiaTheme="minorHAnsi" w:hAnsi="Traditional Arabic" w:cs="Traditional Arabic" w:hint="cs"/>
          <w:sz w:val="30"/>
          <w:szCs w:val="30"/>
          <w:rtl/>
        </w:rPr>
        <w:t>أ</w:t>
      </w:r>
      <w:r w:rsidRPr="00870A70">
        <w:rPr>
          <w:rFonts w:ascii="Traditional Arabic" w:eastAsiaTheme="minorHAnsi" w:hAnsi="Traditional Arabic" w:cs="Traditional Arabic"/>
          <w:sz w:val="30"/>
          <w:szCs w:val="30"/>
          <w:rtl/>
        </w:rPr>
        <w:t>ثرت بالقتال بين</w:t>
      </w:r>
      <w:r w:rsidR="00AB06DA">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الحوثيين وقبائل حجور بين كانون الثاني</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يناير وآذار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5"/>
      </w:r>
      <w:r w:rsidRPr="00870A70">
        <w:rPr>
          <w:rFonts w:ascii="Traditional Arabic" w:eastAsiaTheme="minorHAnsi" w:hAnsi="Traditional Arabic" w:cs="Traditional Arabic"/>
          <w:sz w:val="30"/>
          <w:szCs w:val="30"/>
          <w:rtl/>
        </w:rPr>
        <w:t>وفقا للمعلومات التي جمعها فريق الخبراء، تكثفت الغارات الجوية بعد استيلاء الحوثيين على المنطقة في 8 آذار</w:t>
      </w:r>
      <w:r w:rsidRPr="00870A70">
        <w:rPr>
          <w:rFonts w:ascii="Traditional Arabic" w:eastAsiaTheme="minorHAnsi" w:hAnsi="Traditional Arabic" w:cs="Traditional Arabic"/>
          <w:sz w:val="30"/>
          <w:szCs w:val="30"/>
          <w:lang w:val="en-US"/>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مارس 2019 وذكر أحد الشهود أن الطائرات كانت تقصف المنطقة وتجوبها لعدة ساعات في تلك الليلة.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6"/>
      </w:r>
      <w:r w:rsidRPr="00870A70">
        <w:rPr>
          <w:rFonts w:ascii="Traditional Arabic" w:eastAsiaTheme="minorHAnsi" w:hAnsi="Traditional Arabic" w:cs="Traditional Arabic"/>
          <w:sz w:val="30"/>
          <w:szCs w:val="30"/>
          <w:vertAlign w:val="superscript"/>
          <w:rtl/>
          <w:lang w:val="en-US"/>
        </w:rPr>
        <w:t xml:space="preserve"> </w:t>
      </w:r>
      <w:r w:rsidRPr="00870A70">
        <w:rPr>
          <w:rFonts w:ascii="Traditional Arabic" w:eastAsiaTheme="minorHAnsi" w:hAnsi="Traditional Arabic" w:cs="Traditional Arabic"/>
          <w:sz w:val="30"/>
          <w:szCs w:val="30"/>
          <w:rtl/>
        </w:rPr>
        <w:t>ضربت الغارة الجوية الأولى منزلاً لرجل  يتبع سلطات الأمر الواقع، وفق تقارير، دون التسبب في خسائر بشرية. بعد حوالي ساعة، تعرض منزل قريب، يؤوي عددًا من العائلات، لضربة جوية أخرى. قُتل سبعة أطفال وتسع نساء وجُرح 13 شخصًا من بينهم ثلاث نساء وسبعة أطفال.</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7"/>
      </w:r>
      <w:r w:rsidRPr="00870A70">
        <w:rPr>
          <w:rFonts w:ascii="Traditional Arabic" w:eastAsiaTheme="minorHAnsi" w:hAnsi="Traditional Arabic" w:cs="Traditional Arabic"/>
          <w:sz w:val="30"/>
          <w:szCs w:val="30"/>
          <w:rtl/>
        </w:rPr>
        <w:t xml:space="preserve"> بعد سماع انفجار الغارة الثانية التي دمرت المنزل بالكامل</w:t>
      </w:r>
      <w:r w:rsidR="00147B32">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خرجت عائلات كانت تحتمي في منزل قريب هربًا إلى منطقة مفتوحة باتجاه مزرعة خشية أن يكون منزلها التالي. غير أنهم تعرضوا بلحظتها لضربة جوية ثالثة أثناء محاولتهم الهرب. كان يفصل بين آخر غارتين من خمس إلى عشر دقائق.</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8"/>
      </w:r>
      <w:r w:rsidRPr="00870A70">
        <w:rPr>
          <w:rFonts w:ascii="Traditional Arabic" w:eastAsiaTheme="minorHAnsi" w:hAnsi="Traditional Arabic" w:cs="Traditional Arabic"/>
          <w:sz w:val="30"/>
          <w:szCs w:val="30"/>
          <w:rtl/>
        </w:rPr>
        <w:t>قُتل ثمانية مدنيين في الضربة الجوية الثالثة، أربع نساء وأربعة أطفال. بحسب تقارير، أصيبت فتاة ذات إعاقة جسدية شديدة في السادسة عشرة من عمرها أثناء محاولتها الهرب. وقد توفت متأثرة بجروحها بعدما أمضت ثلاثة أيام في المستشفى، ومع وفاتها، ارتفع عدد القتلى الذي سجله فريق الخبراء جراء الغارة الجوية الثالثة إلى تسعة.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09"/>
      </w:r>
      <w:r w:rsidRPr="00870A70">
        <w:rPr>
          <w:rFonts w:ascii="Traditional Arabic" w:eastAsiaTheme="minorHAnsi" w:hAnsi="Traditional Arabic" w:cs="Traditional Arabic"/>
          <w:sz w:val="30"/>
          <w:szCs w:val="30"/>
          <w:rtl/>
        </w:rPr>
        <w:t xml:space="preserve"> بالإجمال، قُتل ما لا يقل عن 19 مدنياً بين الغارتين الجويتين في تلك الليلة، بما في ذلك 11 طفلاً وثماني نساء.</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10"/>
      </w:r>
      <w:r w:rsidRPr="00870A70">
        <w:rPr>
          <w:rFonts w:ascii="Traditional Arabic" w:eastAsiaTheme="minorHAnsi" w:hAnsi="Traditional Arabic" w:cs="Traditional Arabic"/>
          <w:sz w:val="30"/>
          <w:szCs w:val="30"/>
          <w:rtl/>
        </w:rPr>
        <w:t xml:space="preserve"> أكد فريق الخبراء وفاة 13 ضحية</w:t>
      </w:r>
      <w:r w:rsidRPr="00870A70">
        <w:rPr>
          <w:rFonts w:ascii="Traditional Arabic" w:eastAsiaTheme="minorHAnsi" w:hAnsi="Traditional Arabic" w:cs="Traditional Arabic"/>
          <w:sz w:val="30"/>
          <w:szCs w:val="30"/>
          <w:vertAlign w:val="superscript"/>
          <w:lang w:val="en-US"/>
        </w:rPr>
        <w:footnoteReference w:id="711"/>
      </w:r>
      <w:r w:rsidRPr="00870A70">
        <w:rPr>
          <w:rFonts w:ascii="Traditional Arabic" w:eastAsiaTheme="minorHAnsi" w:hAnsi="Traditional Arabic" w:cs="Traditional Arabic"/>
          <w:sz w:val="30"/>
          <w:szCs w:val="30"/>
          <w:rtl/>
        </w:rPr>
        <w:t xml:space="preserve"> من بينهم 11 امرأة وفتاة من عائلتين مختلفتين على الأقل. وفق تقارير، قُتلت فتاة عمرها ست سنوات في الغارة الجوية، توفيت مع والدتها وشقيقتها أثناء محاولتهن الفرار إلى المزرعة. ظلت فتاة صغيرة أخرى في حالة حرجة في الوقت الذي كان فيه فريق الخبراء ينهي إعداد هذا التقرير</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12"/>
      </w:r>
      <w:r w:rsidRPr="00870A70">
        <w:rPr>
          <w:rFonts w:ascii="Traditional Arabic" w:eastAsiaTheme="minorHAnsi" w:hAnsi="Traditional Arabic" w:cs="Traditional Arabic"/>
          <w:sz w:val="30"/>
          <w:szCs w:val="30"/>
          <w:lang w:val="en-US"/>
        </w:rPr>
        <w:t xml:space="preserve"> </w:t>
      </w:r>
    </w:p>
    <w:p w14:paraId="7AD2C998" w14:textId="58492600" w:rsidR="00870A70" w:rsidRPr="00870A70" w:rsidRDefault="00870A70" w:rsidP="00D072F6">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وصف شاهد لفريق الخبراء كيف فر 17 شخصًا من المنزل الثاني الذي كان يأوي خمس أسر في ذلك الوقت.</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قال أنه كان يركض للانضمام إليهم بعدما </w:t>
      </w:r>
      <w:r w:rsidRPr="00870A70">
        <w:rPr>
          <w:rFonts w:ascii="Traditional Arabic" w:eastAsiaTheme="minorHAnsi" w:hAnsi="Traditional Arabic" w:cs="Traditional Arabic"/>
          <w:sz w:val="30"/>
          <w:szCs w:val="30"/>
          <w:rtl/>
        </w:rPr>
        <w:lastRenderedPageBreak/>
        <w:t>أخرجوا النساء والأطفال عندما ضربت الغارة الجوية المزرعة.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ولما كانت طائرة يُعتقد أنها تجري استطلاعاً استمرت في التحليق فوق المناطق، اختبأ وأخبر فريق الخبراء أنه يمكن أن يسمع صراخات النجدة لمساعدة من نجوا ولكنه كان خائفًا للغاية من الوصول إليهم. وشرح لفريق الخبراء أن</w:t>
      </w:r>
      <w:r w:rsidR="00D072F6">
        <w:rPr>
          <w:rFonts w:ascii="Traditional Arabic" w:eastAsiaTheme="minorHAnsi" w:hAnsi="Traditional Arabic" w:cs="Traditional Arabic" w:hint="cs"/>
          <w:sz w:val="30"/>
          <w:szCs w:val="30"/>
          <w:rtl/>
        </w:rPr>
        <w:t>ه</w:t>
      </w:r>
      <w:r w:rsidRPr="00870A70">
        <w:rPr>
          <w:rFonts w:ascii="Traditional Arabic" w:eastAsiaTheme="minorHAnsi" w:hAnsi="Traditional Arabic" w:cs="Traditional Arabic"/>
          <w:sz w:val="30"/>
          <w:szCs w:val="30"/>
          <w:rtl/>
        </w:rPr>
        <w:t xml:space="preserve"> </w:t>
      </w:r>
      <w:r w:rsidR="00D072F6">
        <w:rPr>
          <w:rFonts w:ascii="Traditional Arabic" w:eastAsiaTheme="minorHAnsi" w:hAnsi="Traditional Arabic" w:cs="Traditional Arabic" w:hint="cs"/>
          <w:sz w:val="30"/>
          <w:szCs w:val="30"/>
          <w:rtl/>
        </w:rPr>
        <w:t xml:space="preserve">مع </w:t>
      </w:r>
      <w:r w:rsidRPr="00870A70">
        <w:rPr>
          <w:rFonts w:ascii="Traditional Arabic" w:eastAsiaTheme="minorHAnsi" w:hAnsi="Traditional Arabic" w:cs="Traditional Arabic"/>
          <w:sz w:val="30"/>
          <w:szCs w:val="30"/>
          <w:rtl/>
        </w:rPr>
        <w:t>رجال</w:t>
      </w:r>
      <w:r w:rsidR="00D072F6">
        <w:rPr>
          <w:rFonts w:ascii="Traditional Arabic" w:eastAsiaTheme="minorHAnsi" w:hAnsi="Traditional Arabic" w:cs="Traditional Arabic" w:hint="cs"/>
          <w:sz w:val="30"/>
          <w:szCs w:val="30"/>
          <w:rtl/>
        </w:rPr>
        <w:t xml:space="preserve"> آخرين</w:t>
      </w:r>
      <w:r w:rsidRPr="00870A70">
        <w:rPr>
          <w:rFonts w:ascii="Traditional Arabic" w:eastAsiaTheme="minorHAnsi" w:hAnsi="Traditional Arabic" w:cs="Traditional Arabic"/>
          <w:sz w:val="30"/>
          <w:szCs w:val="30"/>
          <w:rtl/>
        </w:rPr>
        <w:t xml:space="preserve"> لم يصلوا إل</w:t>
      </w:r>
      <w:r w:rsidR="00D072F6">
        <w:rPr>
          <w:rFonts w:ascii="Traditional Arabic" w:eastAsiaTheme="minorHAnsi" w:hAnsi="Traditional Arabic" w:cs="Traditional Arabic" w:hint="cs"/>
          <w:sz w:val="30"/>
          <w:szCs w:val="30"/>
          <w:rtl/>
        </w:rPr>
        <w:t>ى الضحايا</w:t>
      </w:r>
      <w:r w:rsidRPr="00870A70">
        <w:rPr>
          <w:rFonts w:ascii="Traditional Arabic" w:eastAsiaTheme="minorHAnsi" w:hAnsi="Traditional Arabic" w:cs="Traditional Arabic"/>
          <w:sz w:val="30"/>
          <w:szCs w:val="30"/>
          <w:rtl/>
        </w:rPr>
        <w:t xml:space="preserve"> إلا في الصباح الباكر، وأنه عثر على أجزاء ممزقة من جثث أطفال والدم ملطخ جميع أنحاء المزرعة، على بعد ما بين 15 إلى 40 مترًا من الانفجار.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لم يتمكن فريق الخبراء من تأكيد وجود أي تواجد عسكري حول المنزل أو المزرعة والتي كانت تقع في قرية نائية</w:t>
      </w:r>
      <w:r w:rsidRPr="00870A70">
        <w:rPr>
          <w:rFonts w:ascii="Traditional Arabic" w:eastAsiaTheme="minorHAnsi" w:hAnsi="Traditional Arabic" w:cs="Traditional Arabic"/>
          <w:sz w:val="30"/>
          <w:szCs w:val="30"/>
          <w:lang w:bidi="ar"/>
        </w:rPr>
        <w:t>.</w:t>
      </w:r>
    </w:p>
    <w:p w14:paraId="4B12626A" w14:textId="77777777" w:rsidR="00870A70" w:rsidRPr="00870A70"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bidi="ar-YE"/>
        </w:rPr>
      </w:pPr>
      <w:r w:rsidRPr="00870A70">
        <w:rPr>
          <w:rFonts w:ascii="Traditional Arabic" w:eastAsiaTheme="minorHAnsi" w:hAnsi="Traditional Arabic" w:cs="Traditional Arabic"/>
          <w:b/>
          <w:bCs/>
          <w:sz w:val="30"/>
          <w:szCs w:val="30"/>
          <w:rtl/>
          <w:lang w:bidi="ar-YE"/>
        </w:rPr>
        <w:t>و) مبنى سكني، 16 أيار</w:t>
      </w:r>
      <w:r w:rsidRPr="00870A70">
        <w:rPr>
          <w:rFonts w:ascii="Traditional Arabic" w:eastAsiaTheme="minorHAnsi" w:hAnsi="Traditional Arabic" w:cs="Traditional Arabic"/>
          <w:b/>
          <w:bCs/>
          <w:sz w:val="30"/>
          <w:szCs w:val="30"/>
          <w:lang w:val="en-US" w:bidi="ar-YE"/>
        </w:rPr>
        <w:t>/</w:t>
      </w:r>
      <w:r w:rsidRPr="00870A70">
        <w:rPr>
          <w:rFonts w:ascii="Traditional Arabic" w:eastAsiaTheme="minorHAnsi" w:hAnsi="Traditional Arabic" w:cs="Traditional Arabic"/>
          <w:b/>
          <w:bCs/>
          <w:sz w:val="30"/>
          <w:szCs w:val="30"/>
          <w:rtl/>
          <w:lang w:val="en-US" w:bidi="ar-YE"/>
        </w:rPr>
        <w:t xml:space="preserve"> </w:t>
      </w:r>
      <w:r w:rsidRPr="00870A70">
        <w:rPr>
          <w:rFonts w:ascii="Traditional Arabic" w:eastAsiaTheme="minorHAnsi" w:hAnsi="Traditional Arabic" w:cs="Traditional Arabic"/>
          <w:b/>
          <w:bCs/>
          <w:sz w:val="30"/>
          <w:szCs w:val="30"/>
          <w:rtl/>
          <w:lang w:bidi="ar-YE"/>
        </w:rPr>
        <w:t xml:space="preserve">مايو 2019 مدينة صنعاء، صنعاء </w:t>
      </w:r>
    </w:p>
    <w:p w14:paraId="5866DB15" w14:textId="77777777"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 xml:space="preserve">في 16 </w:t>
      </w:r>
      <w:r w:rsidRPr="00870A70">
        <w:rPr>
          <w:rFonts w:ascii="Traditional Arabic" w:eastAsiaTheme="minorHAnsi" w:hAnsi="Traditional Arabic" w:cs="Traditional Arabic"/>
          <w:sz w:val="30"/>
          <w:szCs w:val="30"/>
          <w:rtl/>
          <w:lang w:bidi="ar-YE"/>
        </w:rPr>
        <w:t>أيار</w:t>
      </w:r>
      <w:r w:rsidRPr="00870A70">
        <w:rPr>
          <w:rFonts w:ascii="Traditional Arabic" w:eastAsiaTheme="minorHAnsi" w:hAnsi="Traditional Arabic" w:cs="Traditional Arabic"/>
          <w:sz w:val="30"/>
          <w:szCs w:val="30"/>
          <w:lang w:val="en-US" w:bidi="ar-YE"/>
        </w:rPr>
        <w:t>/</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مايو 2019 حوالي الساعة 8:15 صباحًا، شنت قوات التحالف غارة جوية على مدينة صنعاء والمناطق المجاورة قصفت  ضمنها مبنى سكني مؤلف من أربعة طوابق في شارعي الرقاص والرباط. أسفرت الضربة عن مقتل خمسة مدنيين على الأقل (فتاتان تبلغان من العمر 5 و 11 سنة؛ امرأة، ورجلان)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بالإضافة إلى ذلك، جُرح ثمانية أشخاص بينهم رجلان وامرأتان وفتاتان وصبي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تشير المعلومات التي جمعها فريق الخبراء إلى أن الحي كان منطقة سكنية هادئة، مع وجود مدرستين عاملتين أمام المبنى المستهدف. وقعت الضربة خلال شهر رمضان في وقت كان فيه العديد من سكان المبنى نائمين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p>
    <w:p w14:paraId="0F8A8853" w14:textId="77777777" w:rsid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أكد فريق الخبراء وقوع الإصابات بين المدنيين خلال هذه الغارة الجوية، ولم يتعرف على أي أهداف عسكرية واضحة في المنطقة</w:t>
      </w:r>
      <w:r w:rsidRPr="00870A70">
        <w:rPr>
          <w:rFonts w:ascii="Traditional Arabic" w:eastAsiaTheme="minorHAnsi" w:hAnsi="Traditional Arabic" w:cs="Traditional Arabic"/>
          <w:sz w:val="30"/>
          <w:szCs w:val="30"/>
          <w:lang w:bidi="ar"/>
        </w:rPr>
        <w:t>.</w:t>
      </w:r>
    </w:p>
    <w:p w14:paraId="1016624A" w14:textId="77777777" w:rsidR="00870A70" w:rsidRPr="00E100D9" w:rsidRDefault="00870A70" w:rsidP="00385E46">
      <w:pPr>
        <w:suppressAutoHyphens w:val="0"/>
        <w:bidi/>
        <w:spacing w:after="160" w:line="259" w:lineRule="auto"/>
        <w:ind w:left="567" w:firstLine="567"/>
        <w:rPr>
          <w:rFonts w:ascii="Traditional Arabic" w:eastAsiaTheme="minorHAnsi" w:hAnsi="Traditional Arabic" w:cs="Traditional Arabic"/>
          <w:b/>
          <w:bCs/>
          <w:sz w:val="30"/>
          <w:szCs w:val="30"/>
          <w:rtl/>
          <w:lang w:bidi="ar-YE"/>
        </w:rPr>
      </w:pPr>
      <w:r w:rsidRPr="00E100D9">
        <w:rPr>
          <w:rFonts w:ascii="Traditional Arabic" w:eastAsiaTheme="minorHAnsi" w:hAnsi="Traditional Arabic" w:cs="Traditional Arabic"/>
          <w:b/>
          <w:bCs/>
          <w:sz w:val="30"/>
          <w:szCs w:val="30"/>
          <w:rtl/>
        </w:rPr>
        <w:t xml:space="preserve">ز) </w:t>
      </w:r>
      <w:r w:rsidRPr="00E100D9">
        <w:rPr>
          <w:rFonts w:ascii="Traditional Arabic" w:eastAsiaTheme="minorHAnsi" w:hAnsi="Traditional Arabic" w:cs="Traditional Arabic"/>
          <w:b/>
          <w:bCs/>
          <w:sz w:val="30"/>
          <w:szCs w:val="30"/>
          <w:lang w:bidi="ar"/>
        </w:rPr>
        <w:t xml:space="preserve"> </w:t>
      </w:r>
      <w:r w:rsidRPr="00E100D9">
        <w:rPr>
          <w:rFonts w:ascii="Traditional Arabic" w:eastAsiaTheme="minorHAnsi" w:hAnsi="Traditional Arabic" w:cs="Traditional Arabic"/>
          <w:b/>
          <w:bCs/>
          <w:sz w:val="30"/>
          <w:szCs w:val="30"/>
          <w:rtl/>
        </w:rPr>
        <w:t>الانتهاكات</w:t>
      </w:r>
    </w:p>
    <w:p w14:paraId="44178785" w14:textId="1F600719" w:rsidR="00870A70" w:rsidRPr="00870A70" w:rsidRDefault="00870A70" w:rsidP="00870A7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YE"/>
        </w:rPr>
      </w:pPr>
      <w:r w:rsidRPr="00870A70">
        <w:rPr>
          <w:rFonts w:ascii="Traditional Arabic" w:eastAsiaTheme="minorHAnsi" w:hAnsi="Traditional Arabic" w:cs="Traditional Arabic"/>
          <w:sz w:val="30"/>
          <w:szCs w:val="30"/>
          <w:rtl/>
        </w:rPr>
        <w:t>وفقًا لمبدأ التمييز، يجب على أطراف النزاع في جميع الأوقات التمييز بين السكان المدنيين والأفراد المشاركين في الأعمال الحربية، وهؤلاء  الأخرون هم الوحيدون الذين يجوز توجيه الهجمات ضدهم. وبالمثل، يُسمح أن تكون الهجمات موجهة ضد الأهداف العسكرية فقط</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الأعيان المدنية تفقد حمايتها إذا، ولمدة زمنية معينة، أصبحت تُستخدم كأهداف عسكرية.</w:t>
      </w:r>
      <w:r w:rsidRPr="00870A70">
        <w:rPr>
          <w:rFonts w:ascii="Traditional Arabic" w:eastAsiaTheme="minorHAnsi" w:hAnsi="Traditional Arabic" w:cs="Traditional Arabic"/>
          <w:sz w:val="30"/>
          <w:szCs w:val="30"/>
          <w:vertAlign w:val="superscript"/>
        </w:rPr>
        <w:footnoteReference w:id="713"/>
      </w:r>
      <w:r w:rsidRPr="00870A70">
        <w:rPr>
          <w:rFonts w:ascii="Traditional Arabic" w:eastAsiaTheme="minorHAnsi" w:hAnsi="Traditional Arabic" w:cs="Traditional Arabic"/>
          <w:sz w:val="30"/>
          <w:szCs w:val="30"/>
          <w:rtl/>
        </w:rPr>
        <w:t xml:space="preserve"> إذا استهدف أطراف النزاع هدفًا عسكريًا، فيجب عليها احترام مبدأ التناسب في الهجوم.</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وفقًا لهذا المبدأ، قد لا يؤثر أي هجوم على المدنيين أو الأعيان المدنية بطريقة مفرطة فيما يتعلق بالميزة العسكرية المتوقعة.</w:t>
      </w:r>
      <w:r w:rsidR="00147B32">
        <w:rPr>
          <w:rStyle w:val="FootnoteReference"/>
          <w:rFonts w:eastAsiaTheme="minorHAnsi" w:cs="Traditional Arabic"/>
          <w:szCs w:val="30"/>
          <w:rtl/>
        </w:rPr>
        <w:footnoteReference w:id="714"/>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أخيرًا، تماشيا مع مبدأ الاحتياطات في الهجوم، يجب توخي الحذر الدائم لتجنب السكان المدنيين والأعيان المدنية عند إدارة العمليات العسكرية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715"/>
      </w:r>
    </w:p>
    <w:p w14:paraId="627BEF71"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بموجب القانون الدولي الإنساني، </w:t>
      </w:r>
      <w:r w:rsidRPr="00870A70">
        <w:rPr>
          <w:rFonts w:ascii="Traditional Arabic" w:eastAsiaTheme="minorHAnsi" w:hAnsi="Traditional Arabic" w:cs="Traditional Arabic"/>
          <w:sz w:val="30"/>
          <w:szCs w:val="30"/>
          <w:rtl/>
          <w:lang w:bidi="ar-YE"/>
        </w:rPr>
        <w:t>تُ</w:t>
      </w:r>
      <w:r w:rsidRPr="00870A70">
        <w:rPr>
          <w:rFonts w:ascii="Traditional Arabic" w:eastAsiaTheme="minorHAnsi" w:hAnsi="Traditional Arabic" w:cs="Traditional Arabic"/>
          <w:sz w:val="30"/>
          <w:szCs w:val="30"/>
          <w:rtl/>
        </w:rPr>
        <w:t>منح المرافق الطبية</w:t>
      </w:r>
      <w:r w:rsidRPr="00870A70">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حماية خاصة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rPr>
        <w:t xml:space="preserve"> يجب احترام وحماية الطواقم الطبية والوحدات الطبية ووسائل النقل الطبية في جميع الأوقات.</w:t>
      </w:r>
      <w:r w:rsidRPr="00870A70">
        <w:rPr>
          <w:rFonts w:ascii="Traditional Arabic" w:eastAsiaTheme="minorHAnsi" w:hAnsi="Traditional Arabic" w:cs="Traditional Arabic"/>
          <w:sz w:val="30"/>
          <w:szCs w:val="30"/>
          <w:shd w:val="clear" w:color="auto" w:fill="FFFFFF"/>
          <w:vertAlign w:val="superscript"/>
        </w:rPr>
        <w:t xml:space="preserve"> </w:t>
      </w:r>
      <w:r w:rsidRPr="00870A70">
        <w:rPr>
          <w:rFonts w:ascii="Traditional Arabic" w:eastAsiaTheme="minorHAnsi" w:hAnsi="Traditional Arabic" w:cs="Traditional Arabic"/>
          <w:sz w:val="30"/>
          <w:szCs w:val="30"/>
          <w:shd w:val="clear" w:color="auto" w:fill="FFFFFF"/>
          <w:vertAlign w:val="superscript"/>
        </w:rPr>
        <w:footnoteReference w:id="716"/>
      </w:r>
      <w:r w:rsidRPr="00870A70">
        <w:rPr>
          <w:rFonts w:ascii="Traditional Arabic" w:eastAsiaTheme="minorHAnsi" w:hAnsi="Traditional Arabic" w:cs="Traditional Arabic"/>
          <w:sz w:val="30"/>
          <w:szCs w:val="30"/>
          <w:rtl/>
        </w:rPr>
        <w:t xml:space="preserve">يجب ألا تكون موضع هجوم طالما لا تُستخدم لارتكاب أعمال </w:t>
      </w:r>
      <w:r w:rsidRPr="00870A70">
        <w:rPr>
          <w:rFonts w:ascii="Traditional Arabic" w:eastAsiaTheme="minorHAnsi" w:hAnsi="Traditional Arabic" w:cs="Traditional Arabic"/>
          <w:sz w:val="30"/>
          <w:szCs w:val="30"/>
          <w:rtl/>
        </w:rPr>
        <w:lastRenderedPageBreak/>
        <w:t>عدائية ضد العدو</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 اذ عندها تصبح أهدافًا عسكرية مشروعة وتفقد هذه الحماية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بعد تحذيرها من دون استجابة</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shd w:val="clear" w:color="auto" w:fill="FFFFFF"/>
          <w:vertAlign w:val="superscript"/>
        </w:rPr>
        <w:footnoteReference w:id="717"/>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توجيه هجمات ضد الوحدات الطبية المحمية يشكل جريمة حرب في النزاعات المسلحة غير الدولية.</w:t>
      </w:r>
      <w:r w:rsidRPr="00870A70">
        <w:rPr>
          <w:rFonts w:ascii="Traditional Arabic" w:eastAsiaTheme="minorHAnsi" w:hAnsi="Traditional Arabic" w:cs="Traditional Arabic"/>
          <w:sz w:val="30"/>
          <w:szCs w:val="30"/>
          <w:shd w:val="clear" w:color="auto" w:fill="FFFFFF"/>
          <w:vertAlign w:val="superscript"/>
        </w:rPr>
        <w:footnoteReference w:id="718"/>
      </w:r>
    </w:p>
    <w:p w14:paraId="703E447E" w14:textId="7890CB02" w:rsidR="00870A70" w:rsidRP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في معظم الحالات الموضحة أعلاه، أي الضربة الجوية القريبة من مستشفى كتاف في صعدة وعلى المنزل والمزرعة </w:t>
      </w:r>
      <w:r w:rsidRPr="002A6A47">
        <w:rPr>
          <w:rFonts w:ascii="Traditional Arabic" w:eastAsiaTheme="minorHAnsi" w:hAnsi="Traditional Arabic" w:cs="Traditional Arabic"/>
          <w:sz w:val="30"/>
          <w:szCs w:val="30"/>
          <w:rtl/>
        </w:rPr>
        <w:t>في حجة</w:t>
      </w:r>
      <w:r w:rsidRPr="00870A70">
        <w:rPr>
          <w:rFonts w:ascii="Traditional Arabic" w:eastAsiaTheme="minorHAnsi" w:hAnsi="Traditional Arabic" w:cs="Traditional Arabic"/>
          <w:sz w:val="30"/>
          <w:szCs w:val="30"/>
          <w:rtl/>
        </w:rPr>
        <w:t xml:space="preserve"> وعلى المبنى السكني في صنعاء، لا يوجد من الأدلة الموجودة ما يوحي على وجود</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أهداف عسكرية في المواقع المعنية للهجمات أو القريبة منها مما يثير مخاوف بشأن احترام مبدأ التمييز</w:t>
      </w:r>
      <w:r w:rsidRPr="00870A70">
        <w:rPr>
          <w:rFonts w:ascii="Traditional Arabic" w:eastAsiaTheme="minorHAnsi" w:hAnsi="Traditional Arabic" w:cs="Traditional Arabic"/>
          <w:sz w:val="30"/>
          <w:szCs w:val="30"/>
          <w:lang w:bidi="ar"/>
        </w:rPr>
        <w:t>.</w:t>
      </w:r>
    </w:p>
    <w:p w14:paraId="02E33093" w14:textId="19D24D4D" w:rsidR="00870A70" w:rsidRPr="00E100D9"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 حالة مستشفى كتاف على وجه الخصوص، أصابت الغارة الجوية المنطقة القريبة من المستشفى وهذا أمر ينبغي أن يكون معلومًا لدى التحالف، وفي وقت ازدحام خلال النهار وبوجود مدنيين، بما فيهم الطاقم الطبي،</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بالإضافة إلى المتواجدين</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في السوق.</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وحتى في حالة وجود هدف عسكري، فإن محيط المستشفى ووقت الضربة يثيران مخاوف فيما يتعلق باحترام مبادئ التناسب والاحتياطات في الهجوم</w:t>
      </w:r>
      <w:r w:rsidRPr="00870A70">
        <w:rPr>
          <w:rFonts w:ascii="Traditional Arabic" w:eastAsiaTheme="minorHAnsi" w:hAnsi="Traditional Arabic" w:cs="Traditional Arabic"/>
          <w:sz w:val="30"/>
          <w:szCs w:val="30"/>
          <w:lang w:bidi="ar"/>
        </w:rPr>
        <w:t>.</w:t>
      </w:r>
    </w:p>
    <w:p w14:paraId="6B6A003B" w14:textId="728D11F0" w:rsidR="00870A70" w:rsidRPr="00E100D9" w:rsidRDefault="00870A70" w:rsidP="0008495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فيما يتعلق بالغارة الجوية في حجة، فإن عدد الغارات وتوقيتها وقربها من بعضها البعض (أقل من 10 دقائق)، والأضرار التي لحقت بالمنازل</w:t>
      </w:r>
      <w:r w:rsidR="00084951">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وواقع أن آخر غارة استهدفت منطقة مفتوحة فيها النساء والأطفال</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في الغالب يركضون نحوها، توحي بإمكانية إصدار الأمر للقيام بالغارتين الجويتين الثانية والثالثة دون تقييم مناسب للأهداف، في انتهاك لمبدأ التمييز.</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حتى لو اعتبر المنزل الأول هدفًا مشروعًا، يوجد مخاوف من إمكانية أن التحالف قد فشل في احترام مبدأ التناسب واتخاذ الاحتياطات اللازمة لتقليل الأذى المدني إلى الحد الأدنى.</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المخاوف نفسها في ما يتعلق بمبدأ التمييز والاحتياطات حول صلاحية الهجوم على مبنى سكني في صنعاء، بالنظر إلى موقعه في حي سكني أمام مدرستين عاملتين</w:t>
      </w:r>
      <w:r w:rsidRPr="00870A70">
        <w:rPr>
          <w:rFonts w:ascii="Traditional Arabic" w:eastAsiaTheme="minorHAnsi" w:hAnsi="Traditional Arabic" w:cs="Traditional Arabic"/>
          <w:sz w:val="30"/>
          <w:szCs w:val="30"/>
          <w:lang w:bidi="ar"/>
        </w:rPr>
        <w:t>.</w:t>
      </w:r>
    </w:p>
    <w:p w14:paraId="5C97D324"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870A70">
        <w:rPr>
          <w:rFonts w:ascii="Traditional Arabic" w:eastAsiaTheme="minorHAnsi" w:hAnsi="Traditional Arabic" w:cs="Traditional Arabic"/>
          <w:sz w:val="30"/>
          <w:szCs w:val="30"/>
          <w:rtl/>
        </w:rPr>
        <w:t>في ما يتعلق بالهجوم على الحافلة المدرسية في صعدة، من اللافت للنظر أن</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الفريق المشترك لتقييم الحوادث اعتبر الحافلة هدفًا عسكريًا على الرغم من وجود الكثير من الأطفال على متنها. في حالة أنه تم احترام مبدأ التمييز، تثير هذه الضربة مخاوف خطيرة بشأن مبدأ التناسب والاحتياطات في الهجوم</w:t>
      </w:r>
      <w:r w:rsidRPr="00870A70">
        <w:rPr>
          <w:rFonts w:ascii="Traditional Arabic" w:eastAsiaTheme="minorHAnsi" w:hAnsi="Traditional Arabic" w:cs="Traditional Arabic"/>
          <w:sz w:val="30"/>
          <w:szCs w:val="30"/>
          <w:lang w:bidi="ar"/>
        </w:rPr>
        <w:t>.</w:t>
      </w:r>
    </w:p>
    <w:p w14:paraId="5C5F4149" w14:textId="350355C0" w:rsidR="00870A70" w:rsidRPr="00870A70" w:rsidRDefault="00870A70" w:rsidP="009C2CDA">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 xml:space="preserve">بناءً على الأدلة المتوفرة، لدى فريق الخبراء أسبابًا </w:t>
      </w:r>
      <w:r w:rsidR="00D072F6">
        <w:rPr>
          <w:rFonts w:ascii="Traditional Arabic" w:eastAsiaTheme="minorHAnsi" w:hAnsi="Traditional Arabic" w:cs="Traditional Arabic" w:hint="cs"/>
          <w:sz w:val="30"/>
          <w:szCs w:val="30"/>
          <w:rtl/>
        </w:rPr>
        <w:t>معقول</w:t>
      </w:r>
      <w:r w:rsidRPr="00870A70">
        <w:rPr>
          <w:rFonts w:ascii="Traditional Arabic" w:eastAsiaTheme="minorHAnsi" w:hAnsi="Traditional Arabic" w:cs="Traditional Arabic"/>
          <w:sz w:val="30"/>
          <w:szCs w:val="30"/>
          <w:rtl/>
        </w:rPr>
        <w:t>ة لل</w:t>
      </w:r>
      <w:r w:rsidR="00D072F6">
        <w:rPr>
          <w:rFonts w:ascii="Traditional Arabic" w:eastAsiaTheme="minorHAnsi" w:hAnsi="Traditional Arabic" w:cs="Traditional Arabic" w:hint="cs"/>
          <w:sz w:val="30"/>
          <w:szCs w:val="30"/>
          <w:rtl/>
        </w:rPr>
        <w:t xml:space="preserve">إعتقاد </w:t>
      </w:r>
      <w:r w:rsidRPr="00870A70">
        <w:rPr>
          <w:rFonts w:ascii="Traditional Arabic" w:eastAsiaTheme="minorHAnsi" w:hAnsi="Traditional Arabic" w:cs="Traditional Arabic"/>
          <w:sz w:val="30"/>
          <w:szCs w:val="30"/>
          <w:rtl/>
        </w:rPr>
        <w:t xml:space="preserve">بأن التحالف نفذ غارات جوية في محافظات صعدة وحجة وصنعاء والتي ربما لم تمتثل لمبادئ التمييز والتناسب والاحتياطات في الهجوم. تصل انتهاكات مبدأي التمييز والتناسب إلى انتهاكات جسيمة للقانون الدولي الإنساني وقد تؤدي إلى مسؤولية جنائية فردية عن جرائم الحرب المتمثلة في شن هجوم عشوائي يؤدي إلى مقتل أو إصابة مدنيين أو شن هجوم </w:t>
      </w:r>
      <w:r w:rsidR="00084951">
        <w:rPr>
          <w:rFonts w:ascii="Traditional Arabic" w:eastAsiaTheme="minorHAnsi" w:hAnsi="Traditional Arabic" w:cs="Traditional Arabic" w:hint="cs"/>
          <w:sz w:val="30"/>
          <w:szCs w:val="30"/>
          <w:rtl/>
        </w:rPr>
        <w:t>متوقع</w:t>
      </w:r>
      <w:r w:rsidRPr="00870A70">
        <w:rPr>
          <w:rFonts w:ascii="Traditional Arabic" w:eastAsiaTheme="minorHAnsi" w:hAnsi="Traditional Arabic" w:cs="Traditional Arabic"/>
          <w:sz w:val="30"/>
          <w:szCs w:val="30"/>
          <w:rtl/>
        </w:rPr>
        <w:t xml:space="preserve"> أنه سوف يتسبب بخسائر فادحة أو إصابات أو أضرار مدنية مفرطة.</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19"/>
      </w:r>
      <w:r w:rsidRPr="00870A70">
        <w:rPr>
          <w:rFonts w:ascii="Traditional Arabic" w:eastAsiaTheme="minorHAnsi" w:hAnsi="Traditional Arabic" w:cs="Traditional Arabic"/>
          <w:sz w:val="30"/>
          <w:szCs w:val="30"/>
          <w:rtl/>
        </w:rPr>
        <w:t xml:space="preserve">علاوة على ذلك، لدى فريق الخبراء </w:t>
      </w:r>
      <w:r w:rsidRPr="00870A70">
        <w:rPr>
          <w:rFonts w:ascii="Traditional Arabic" w:eastAsiaTheme="minorHAnsi" w:hAnsi="Traditional Arabic" w:cs="Traditional Arabic"/>
          <w:sz w:val="30"/>
          <w:szCs w:val="30"/>
          <w:rtl/>
        </w:rPr>
        <w:lastRenderedPageBreak/>
        <w:t xml:space="preserve">أسبابًا </w:t>
      </w:r>
      <w:r w:rsidR="009C2CDA">
        <w:rPr>
          <w:rFonts w:ascii="Traditional Arabic" w:eastAsiaTheme="minorHAnsi" w:hAnsi="Traditional Arabic" w:cs="Traditional Arabic" w:hint="cs"/>
          <w:sz w:val="30"/>
          <w:szCs w:val="30"/>
          <w:rtl/>
        </w:rPr>
        <w:t xml:space="preserve">معقولة </w:t>
      </w:r>
      <w:r w:rsidRPr="00870A70">
        <w:rPr>
          <w:rFonts w:ascii="Traditional Arabic" w:eastAsiaTheme="minorHAnsi" w:hAnsi="Traditional Arabic" w:cs="Traditional Arabic"/>
          <w:sz w:val="30"/>
          <w:szCs w:val="30"/>
          <w:rtl/>
        </w:rPr>
        <w:t>لل</w:t>
      </w:r>
      <w:r w:rsidR="009C2CDA">
        <w:rPr>
          <w:rFonts w:ascii="Traditional Arabic" w:eastAsiaTheme="minorHAnsi" w:hAnsi="Traditional Arabic" w:cs="Traditional Arabic" w:hint="cs"/>
          <w:sz w:val="30"/>
          <w:szCs w:val="30"/>
          <w:rtl/>
        </w:rPr>
        <w:t xml:space="preserve">إعتقاد </w:t>
      </w:r>
      <w:r w:rsidRPr="00870A70">
        <w:rPr>
          <w:rFonts w:ascii="Traditional Arabic" w:eastAsiaTheme="minorHAnsi" w:hAnsi="Traditional Arabic" w:cs="Traditional Arabic"/>
          <w:sz w:val="30"/>
          <w:szCs w:val="30"/>
          <w:rtl/>
        </w:rPr>
        <w:t>بأن التحالف قد خرق الحماية المحددة للوحدات الطبية من خلال شن هجمات عشوائية وعدم اتخاذ الاحتياطات اللازمة لتفادي الأضرار التي لحقت بمستشفى كتاف وربما في توجيه الهجوم ضد مركز علاج الكوليرا التابع لمنظمة أطباء بلا حدود. قد تؤدي هذه الهجمات العشوائية وتلك التي تستهدف المنشآت الطبية إلى مسؤولية جنائية فردية على جميع مستويات القيادة</w:t>
      </w:r>
      <w:r w:rsidRPr="00870A70">
        <w:rPr>
          <w:rFonts w:ascii="Traditional Arabic" w:eastAsiaTheme="minorHAnsi" w:hAnsi="Traditional Arabic" w:cs="Traditional Arabic"/>
          <w:sz w:val="30"/>
          <w:szCs w:val="30"/>
          <w:lang w:bidi="ar"/>
        </w:rPr>
        <w:t>.</w:t>
      </w:r>
    </w:p>
    <w:p w14:paraId="1ABD73E4" w14:textId="3AAC6508" w:rsidR="00870A70" w:rsidRPr="00870A70" w:rsidRDefault="00870A70" w:rsidP="00385E46">
      <w:pPr>
        <w:suppressAutoHyphens w:val="0"/>
        <w:bidi/>
        <w:spacing w:after="160" w:line="259" w:lineRule="auto"/>
        <w:ind w:left="459"/>
        <w:rPr>
          <w:rFonts w:ascii="Traditional Arabic" w:eastAsiaTheme="minorHAnsi" w:hAnsi="Traditional Arabic" w:cs="Traditional Arabic"/>
          <w:b/>
          <w:bCs/>
          <w:sz w:val="30"/>
          <w:szCs w:val="30"/>
          <w:rtl/>
        </w:rPr>
      </w:pPr>
      <w:r w:rsidRPr="00870A70">
        <w:rPr>
          <w:rFonts w:ascii="Traditional Arabic" w:eastAsiaTheme="minorHAnsi" w:hAnsi="Traditional Arabic" w:cs="Traditional Arabic"/>
          <w:b/>
          <w:bCs/>
          <w:sz w:val="30"/>
          <w:szCs w:val="30"/>
          <w:rtl/>
        </w:rPr>
        <w:t>3.</w:t>
      </w:r>
      <w:r w:rsidR="00385E46">
        <w:rPr>
          <w:rFonts w:ascii="Traditional Arabic" w:eastAsiaTheme="minorHAnsi" w:hAnsi="Traditional Arabic" w:cs="Traditional Arabic"/>
          <w:b/>
          <w:bCs/>
          <w:sz w:val="30"/>
          <w:szCs w:val="30"/>
        </w:rPr>
        <w:tab/>
      </w:r>
      <w:r w:rsidRPr="00870A70">
        <w:rPr>
          <w:rFonts w:ascii="Traditional Arabic" w:eastAsiaTheme="minorHAnsi" w:hAnsi="Traditional Arabic" w:cs="Traditional Arabic"/>
          <w:b/>
          <w:bCs/>
          <w:sz w:val="30"/>
          <w:szCs w:val="30"/>
          <w:rtl/>
        </w:rPr>
        <w:t xml:space="preserve"> محافظة حجة، النزاع في حجور، كانون الثاني/ يناير حتى آذار/ مارس 2019</w:t>
      </w:r>
    </w:p>
    <w:p w14:paraId="1DD8638C" w14:textId="77777777" w:rsidR="00870A70" w:rsidRPr="00E100D9" w:rsidRDefault="00870A70" w:rsidP="0025057B">
      <w:pPr>
        <w:numPr>
          <w:ilvl w:val="0"/>
          <w:numId w:val="21"/>
        </w:numPr>
        <w:tabs>
          <w:tab w:val="left" w:pos="1701"/>
        </w:tabs>
        <w:suppressAutoHyphens w:val="0"/>
        <w:bidi/>
        <w:spacing w:after="120" w:line="259" w:lineRule="auto"/>
        <w:ind w:right="827"/>
        <w:contextualSpacing/>
        <w:jc w:val="both"/>
        <w:rPr>
          <w:rFonts w:ascii="Traditional Arabic" w:eastAsiaTheme="minorHAnsi" w:hAnsi="Traditional Arabic" w:cs="Traditional Arabic"/>
          <w:b/>
          <w:bCs/>
          <w:sz w:val="30"/>
          <w:szCs w:val="30"/>
        </w:rPr>
      </w:pPr>
      <w:r w:rsidRPr="00E100D9">
        <w:rPr>
          <w:rFonts w:ascii="Traditional Arabic" w:eastAsiaTheme="minorHAnsi" w:hAnsi="Traditional Arabic" w:cs="Traditional Arabic"/>
          <w:b/>
          <w:bCs/>
          <w:sz w:val="30"/>
          <w:szCs w:val="30"/>
          <w:rtl/>
        </w:rPr>
        <w:t>السياق</w:t>
      </w:r>
    </w:p>
    <w:p w14:paraId="687BCFB0" w14:textId="55B3B18F" w:rsidR="00870A70" w:rsidRPr="00E100D9" w:rsidRDefault="002A6A47" w:rsidP="002A6A4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Pr>
          <w:rFonts w:ascii="Traditional Arabic" w:eastAsiaTheme="minorHAnsi" w:hAnsi="Traditional Arabic" w:cs="Traditional Arabic" w:hint="cs"/>
          <w:sz w:val="30"/>
          <w:szCs w:val="30"/>
          <w:rtl/>
        </w:rPr>
        <w:t xml:space="preserve">في </w:t>
      </w:r>
      <w:r w:rsidR="00870A70" w:rsidRPr="00870A70">
        <w:rPr>
          <w:rFonts w:ascii="Traditional Arabic" w:eastAsiaTheme="minorHAnsi" w:hAnsi="Traditional Arabic" w:cs="Traditional Arabic"/>
          <w:sz w:val="30"/>
          <w:szCs w:val="30"/>
          <w:rtl/>
        </w:rPr>
        <w:t xml:space="preserve">نهاية العام 2018، تم التوصل إلى اتفاق استكهولم </w:t>
      </w:r>
      <w:r>
        <w:rPr>
          <w:rFonts w:ascii="Traditional Arabic" w:eastAsiaTheme="minorHAnsi" w:hAnsi="Traditional Arabic" w:cs="Traditional Arabic" w:hint="cs"/>
          <w:sz w:val="30"/>
          <w:szCs w:val="30"/>
          <w:rtl/>
        </w:rPr>
        <w:t>ال</w:t>
      </w:r>
      <w:r w:rsidR="00870A70" w:rsidRPr="00870A70">
        <w:rPr>
          <w:rFonts w:ascii="Traditional Arabic" w:eastAsiaTheme="minorHAnsi" w:hAnsi="Traditional Arabic" w:cs="Traditional Arabic"/>
          <w:sz w:val="30"/>
          <w:szCs w:val="30"/>
          <w:rtl/>
        </w:rPr>
        <w:t>ذ</w:t>
      </w:r>
      <w:r>
        <w:rPr>
          <w:rFonts w:ascii="Traditional Arabic" w:eastAsiaTheme="minorHAnsi" w:hAnsi="Traditional Arabic" w:cs="Traditional Arabic" w:hint="cs"/>
          <w:sz w:val="30"/>
          <w:szCs w:val="30"/>
          <w:rtl/>
        </w:rPr>
        <w:t>ي تضم</w:t>
      </w:r>
      <w:r w:rsidR="00B61ECD">
        <w:rPr>
          <w:rFonts w:ascii="Traditional Arabic" w:eastAsiaTheme="minorHAnsi" w:hAnsi="Traditional Arabic" w:cs="Traditional Arabic" w:hint="cs"/>
          <w:sz w:val="30"/>
          <w:szCs w:val="30"/>
          <w:rtl/>
        </w:rPr>
        <w:t>ّ</w:t>
      </w:r>
      <w:r>
        <w:rPr>
          <w:rFonts w:ascii="Traditional Arabic" w:eastAsiaTheme="minorHAnsi" w:hAnsi="Traditional Arabic" w:cs="Traditional Arabic" w:hint="cs"/>
          <w:sz w:val="30"/>
          <w:szCs w:val="30"/>
          <w:rtl/>
        </w:rPr>
        <w:t xml:space="preserve">ن </w:t>
      </w:r>
      <w:r w:rsidR="00870A70" w:rsidRPr="00870A70">
        <w:rPr>
          <w:rFonts w:ascii="Traditional Arabic" w:eastAsiaTheme="minorHAnsi" w:hAnsi="Traditional Arabic" w:cs="Traditional Arabic"/>
          <w:sz w:val="30"/>
          <w:szCs w:val="30"/>
          <w:rtl/>
        </w:rPr>
        <w:t>وقف الأعمال القتالية في الحديدة، وذلك بعد جهود دولية ركزت على وقف اله</w:t>
      </w:r>
      <w:r>
        <w:rPr>
          <w:rFonts w:ascii="Traditional Arabic" w:eastAsiaTheme="minorHAnsi" w:hAnsi="Traditional Arabic" w:cs="Traditional Arabic"/>
          <w:sz w:val="30"/>
          <w:szCs w:val="30"/>
          <w:rtl/>
        </w:rPr>
        <w:t>جوم العسكري</w:t>
      </w:r>
      <w:r w:rsidR="00870A70" w:rsidRPr="00870A70">
        <w:rPr>
          <w:rFonts w:ascii="Traditional Arabic" w:eastAsiaTheme="minorHAnsi" w:hAnsi="Traditional Arabic" w:cs="Traditional Arabic"/>
          <w:sz w:val="30"/>
          <w:szCs w:val="30"/>
          <w:rtl/>
        </w:rPr>
        <w:t>، والذي كان من المحتمل أن يكون له  تداعيات مهولة من حيث وصول اليمن الضئيل إلى الغذاء والإمدادات الإنسانية.</w:t>
      </w:r>
      <w:r w:rsidR="00870A70" w:rsidRPr="00870A70">
        <w:rPr>
          <w:rFonts w:ascii="Traditional Arabic" w:eastAsiaTheme="minorHAnsi" w:hAnsi="Traditional Arabic" w:cs="Traditional Arabic"/>
          <w:sz w:val="30"/>
          <w:szCs w:val="30"/>
          <w:vertAlign w:val="superscript"/>
        </w:rPr>
        <w:t xml:space="preserve"> </w:t>
      </w:r>
      <w:r w:rsidR="00870A70" w:rsidRPr="00870A70">
        <w:rPr>
          <w:rFonts w:ascii="Traditional Arabic" w:eastAsiaTheme="minorHAnsi" w:hAnsi="Traditional Arabic" w:cs="Traditional Arabic"/>
          <w:sz w:val="30"/>
          <w:szCs w:val="30"/>
          <w:vertAlign w:val="superscript"/>
        </w:rPr>
        <w:footnoteReference w:id="720"/>
      </w:r>
      <w:r w:rsidR="00870A70" w:rsidRPr="00870A70">
        <w:rPr>
          <w:rFonts w:ascii="Traditional Arabic" w:eastAsiaTheme="minorHAnsi" w:hAnsi="Traditional Arabic" w:cs="Traditional Arabic"/>
          <w:sz w:val="30"/>
          <w:szCs w:val="30"/>
          <w:rtl/>
        </w:rPr>
        <w:t>في الوقت نفسه، فرضت ديناميكيات الصراع المعقدة في اليمن نفسها مرة أخرى عندما حوّلت الأطراف جهودها إلى مناطق أخرى</w:t>
      </w:r>
      <w:r w:rsidR="00B61ECD">
        <w:rPr>
          <w:rFonts w:ascii="Traditional Arabic" w:eastAsiaTheme="minorHAnsi" w:hAnsi="Traditional Arabic" w:cs="Traditional Arabic" w:hint="cs"/>
          <w:sz w:val="30"/>
          <w:szCs w:val="30"/>
          <w:rtl/>
        </w:rPr>
        <w:t xml:space="preserve"> في الداخل</w:t>
      </w:r>
      <w:r w:rsidR="00870A70" w:rsidRPr="00870A70">
        <w:rPr>
          <w:rFonts w:ascii="Traditional Arabic" w:eastAsiaTheme="minorHAnsi" w:hAnsi="Traditional Arabic" w:cs="Traditional Arabic"/>
          <w:sz w:val="30"/>
          <w:szCs w:val="30"/>
          <w:rtl/>
        </w:rPr>
        <w:t xml:space="preserve">. ظهرت جبهة جديدة، هذه المرة في أقصى الشمال، في منطقة </w:t>
      </w:r>
      <w:r w:rsidR="00B61ECD">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حجور</w:t>
      </w:r>
      <w:r w:rsidR="00B61ECD">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 xml:space="preserve"> في محافظة حجة. جرى النزاع في حجور بشكل أساسي بين كانون الثاني/ يناير وآذار/ مارس 2019 وشمل الحوثيين وقبائل حجور، ويُزعم</w:t>
      </w:r>
      <w:r w:rsidR="00870A70" w:rsidRPr="00870A70">
        <w:rPr>
          <w:rFonts w:ascii="Traditional Arabic" w:eastAsiaTheme="minorHAnsi" w:hAnsi="Traditional Arabic" w:cs="Traditional Arabic"/>
          <w:sz w:val="30"/>
          <w:szCs w:val="30"/>
          <w:vertAlign w:val="superscript"/>
        </w:rPr>
        <w:footnoteReference w:id="721"/>
      </w:r>
      <w:r w:rsidR="00870A70" w:rsidRPr="00870A70">
        <w:rPr>
          <w:rFonts w:ascii="Traditional Arabic" w:eastAsiaTheme="minorHAnsi" w:hAnsi="Traditional Arabic" w:cs="Traditional Arabic"/>
          <w:sz w:val="30"/>
          <w:szCs w:val="30"/>
          <w:rtl/>
        </w:rPr>
        <w:t xml:space="preserve"> أن الأخيرة دعمتها في بعض المراحل جماعات مرتبطة بالإصلاح وجماعات أخرى مرتبطة بالمؤتمر الشعبي العام. مثل العديد من النزاعات المحلية الأخرى في البلاد، كان هذا النزاع مرتبط بخلافات طائفية وقبلية وسياسية قديمة ولم يتم حلها. النزاعات بين قبائل حجور والحوثيين أقدم من النزاع  الحالي في اليمن وتعود إلى محاولة استيلاء الحوثيين على حجور في عامي 2012 و2013. انتهت المواجهات المسلحة العنيفة في ذلك الوقت بصلح بين الطرفين. </w:t>
      </w:r>
      <w:r w:rsidR="00610040">
        <w:rPr>
          <w:rFonts w:ascii="Traditional Arabic" w:eastAsiaTheme="minorHAnsi" w:hAnsi="Traditional Arabic" w:cs="Traditional Arabic" w:hint="cs"/>
          <w:sz w:val="30"/>
          <w:szCs w:val="30"/>
          <w:rtl/>
        </w:rPr>
        <w:t xml:space="preserve">وقد </w:t>
      </w:r>
      <w:r w:rsidR="00870A70" w:rsidRPr="00870A70">
        <w:rPr>
          <w:rFonts w:ascii="Traditional Arabic" w:eastAsiaTheme="minorHAnsi" w:hAnsi="Traditional Arabic" w:cs="Traditional Arabic"/>
          <w:sz w:val="30"/>
          <w:szCs w:val="30"/>
          <w:rtl/>
        </w:rPr>
        <w:t>تضم</w:t>
      </w:r>
      <w:r w:rsidR="00610040">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ن</w:t>
      </w:r>
      <w:r w:rsidR="00610040">
        <w:rPr>
          <w:rFonts w:ascii="Traditional Arabic" w:eastAsiaTheme="minorHAnsi" w:hAnsi="Traditional Arabic" w:cs="Traditional Arabic" w:hint="cs"/>
          <w:sz w:val="30"/>
          <w:szCs w:val="30"/>
          <w:rtl/>
        </w:rPr>
        <w:t xml:space="preserve"> </w:t>
      </w:r>
      <w:r w:rsidR="00870A70" w:rsidRPr="00870A70">
        <w:rPr>
          <w:rFonts w:ascii="Traditional Arabic" w:eastAsiaTheme="minorHAnsi" w:hAnsi="Traditional Arabic" w:cs="Traditional Arabic"/>
          <w:sz w:val="30"/>
          <w:szCs w:val="30"/>
          <w:rtl/>
        </w:rPr>
        <w:t>الصلح، وفق مصادر</w:t>
      </w:r>
      <w:r w:rsidR="00870A70" w:rsidRPr="00870A70">
        <w:rPr>
          <w:rFonts w:ascii="Traditional Arabic" w:eastAsiaTheme="minorHAnsi" w:hAnsi="Traditional Arabic" w:cs="Traditional Arabic"/>
          <w:sz w:val="30"/>
          <w:szCs w:val="30"/>
          <w:vertAlign w:val="superscript"/>
        </w:rPr>
        <w:footnoteReference w:id="722"/>
      </w:r>
      <w:r w:rsidR="00870A70" w:rsidRPr="00870A70">
        <w:rPr>
          <w:rFonts w:ascii="Traditional Arabic" w:eastAsiaTheme="minorHAnsi" w:hAnsi="Traditional Arabic" w:cs="Traditional Arabic"/>
          <w:sz w:val="30"/>
          <w:szCs w:val="30"/>
          <w:rtl/>
        </w:rPr>
        <w:t>، اتفاق</w:t>
      </w:r>
      <w:r w:rsidR="00610040">
        <w:rPr>
          <w:rFonts w:ascii="Traditional Arabic" w:eastAsiaTheme="minorHAnsi" w:hAnsi="Traditional Arabic" w:cs="Traditional Arabic" w:hint="cs"/>
          <w:sz w:val="30"/>
          <w:szCs w:val="30"/>
          <w:rtl/>
        </w:rPr>
        <w:t>ً</w:t>
      </w:r>
      <w:r w:rsidR="00870A70" w:rsidRPr="00870A70">
        <w:rPr>
          <w:rFonts w:ascii="Traditional Arabic" w:eastAsiaTheme="minorHAnsi" w:hAnsi="Traditional Arabic" w:cs="Traditional Arabic"/>
          <w:sz w:val="30"/>
          <w:szCs w:val="30"/>
          <w:rtl/>
        </w:rPr>
        <w:t>ا على أن الحوثيين لن يستخدموا منطقة حجور لأغراض عسكرية</w:t>
      </w:r>
      <w:r w:rsidR="00870A70" w:rsidRPr="00870A70">
        <w:rPr>
          <w:rFonts w:ascii="Traditional Arabic" w:eastAsiaTheme="minorHAnsi" w:hAnsi="Traditional Arabic" w:cs="Traditional Arabic"/>
          <w:sz w:val="30"/>
          <w:szCs w:val="30"/>
          <w:lang w:bidi="ar"/>
        </w:rPr>
        <w:t>.</w:t>
      </w:r>
    </w:p>
    <w:p w14:paraId="2FF3DCEB" w14:textId="7F22DA3F" w:rsidR="00870A70" w:rsidRPr="00E100D9" w:rsidRDefault="00870A70" w:rsidP="0061004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وفقًا للعديد من المصادر، كان لحزب الإصلاح قاعدة دعم كبيرة في تلك المنطقة، وكذلك الرئيس السابق علي عبد الله صالح وحزب المؤتمر الشعبي العام الذي قاده في ذلك الوقت. في حين أن كان لقبائل حجة والحوثيين نصيبهم من النزاعات المذهبية التي تعود إلى إخلاء دماج من الوجود السلفي في كانون الثاني</w:t>
      </w:r>
      <w:r w:rsidRPr="00870A70">
        <w:rPr>
          <w:rFonts w:ascii="Traditional Arabic" w:eastAsiaTheme="minorHAnsi" w:hAnsi="Traditional Arabic" w:cs="Traditional Arabic"/>
          <w:sz w:val="30"/>
          <w:szCs w:val="30"/>
          <w:rtl/>
          <w:lang w:val="en-US" w:bidi="ar-YE"/>
        </w:rPr>
        <w:t xml:space="preserve">/ </w:t>
      </w:r>
      <w:r w:rsidRPr="00870A70">
        <w:rPr>
          <w:rFonts w:ascii="Traditional Arabic" w:eastAsiaTheme="minorHAnsi" w:hAnsi="Traditional Arabic" w:cs="Traditional Arabic"/>
          <w:sz w:val="30"/>
          <w:szCs w:val="30"/>
          <w:rtl/>
        </w:rPr>
        <w:t xml:space="preserve">يناير 2014، فإن التحالف بين الرئيس السابق صالح والحوثيين في العام 2014 خفف الخلافات بينهما. كانت عودة ظهور النزاعات بين صالح والحوثيين والتي أدت إلى وفاته في كانون الأول/ ديسمبر 2017، بمثابة نهاية الوفاق. بينما يزعم الحوثيون أن الخلاف مع قبائل حجور كان سببه توسع الأخيرة وإقامة نقاط تفتيش خارج حجور، تزعم مصادر محلية أن الحوثيين بدأوا في تطويق المنطقة قرب نهاية العام 2018، حتى دخلوا حجور، وأخلوا بالصلح الذي دام لمدة ست سنوات. تقع حجور عند تقاطع استراتيجي يربط صنعاء بصعدة وتؤدي إلى الساحل من الجانب الغربي من المحافظة. فرضت الحكومة اليمنية بالتقدم الذي أحرزته قوات التحالف في ميدي المزيد من الضغط على الحوثيين في "معقلهم" </w:t>
      </w:r>
      <w:r w:rsidRPr="00870A70">
        <w:rPr>
          <w:rFonts w:ascii="Traditional Arabic" w:eastAsiaTheme="minorHAnsi" w:hAnsi="Traditional Arabic" w:cs="Traditional Arabic"/>
          <w:sz w:val="30"/>
          <w:szCs w:val="30"/>
          <w:rtl/>
        </w:rPr>
        <w:lastRenderedPageBreak/>
        <w:t>الشمالي. ينظر البعض إلى الانتقال إلى حجور على أنه خطوة استراتيجية لتأمين جبال حجور والطريق إلى صنعاء، وضمان تحديد موقع الحوثيين في الشمال</w:t>
      </w:r>
      <w:r w:rsidRPr="00870A70">
        <w:rPr>
          <w:rFonts w:ascii="Traditional Arabic" w:eastAsiaTheme="minorHAnsi" w:hAnsi="Traditional Arabic" w:cs="Traditional Arabic"/>
          <w:sz w:val="30"/>
          <w:szCs w:val="30"/>
          <w:lang w:bidi="ar"/>
        </w:rPr>
        <w:t>.</w:t>
      </w:r>
    </w:p>
    <w:p w14:paraId="396EF891"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في حين أن الأسباب الكامنة وراء تصاعد الصراع لا تزال محل خلاف، تكمن الأهمية الرمزية للنزاع في حجور في حقيقة أنه يتحدث عن هذه الديناميكيات المعقدة التي اتسم بها النزاع في اليمن. كما أنه يتحدث عن الجهود التي تبذلها جميع أطراف النزاع لاكتساب قوة تفاوضية، فتقوم بفتح جبهات جديدة ثم، بحسب المظاهر، حل جبهات أخرى، وجميعها معارك تهدف حتى الآن إلى الإبقاء على مجهود الحرب  مع تأثيره المدمر على ملايين من اليمنيين المحاصرين اليوم</w:t>
      </w:r>
      <w:r w:rsidRPr="00870A70">
        <w:rPr>
          <w:rFonts w:ascii="Traditional Arabic" w:eastAsiaTheme="minorHAnsi" w:hAnsi="Traditional Arabic" w:cs="Traditional Arabic"/>
          <w:sz w:val="30"/>
          <w:szCs w:val="30"/>
          <w:lang w:bidi="ar"/>
        </w:rPr>
        <w:t>.</w:t>
      </w:r>
    </w:p>
    <w:p w14:paraId="1A30F129" w14:textId="00425BC7" w:rsidR="00870A70" w:rsidRPr="00E100D9" w:rsidRDefault="00E100D9" w:rsidP="00385E46">
      <w:pPr>
        <w:suppressAutoHyphens w:val="0"/>
        <w:bidi/>
        <w:spacing w:after="160" w:line="259" w:lineRule="auto"/>
        <w:ind w:left="567" w:firstLine="567"/>
        <w:rPr>
          <w:rFonts w:ascii="Traditional Arabic" w:eastAsiaTheme="minorHAnsi" w:hAnsi="Traditional Arabic" w:cs="Traditional Arabic"/>
          <w:b/>
          <w:bCs/>
          <w:sz w:val="30"/>
          <w:szCs w:val="30"/>
          <w:rtl/>
        </w:rPr>
      </w:pPr>
      <w:r w:rsidRPr="00E100D9">
        <w:rPr>
          <w:rFonts w:ascii="Traditional Arabic" w:eastAsiaTheme="minorHAnsi" w:hAnsi="Traditional Arabic" w:cs="Traditional Arabic" w:hint="cs"/>
          <w:b/>
          <w:bCs/>
          <w:sz w:val="30"/>
          <w:szCs w:val="30"/>
          <w:rtl/>
        </w:rPr>
        <w:t xml:space="preserve">ب ) </w:t>
      </w:r>
      <w:r w:rsidRPr="00E100D9">
        <w:rPr>
          <w:rFonts w:ascii="Traditional Arabic" w:eastAsiaTheme="minorHAnsi" w:hAnsi="Traditional Arabic" w:cs="Traditional Arabic" w:hint="cs"/>
          <w:b/>
          <w:bCs/>
          <w:sz w:val="30"/>
          <w:szCs w:val="30"/>
          <w:rtl/>
        </w:rPr>
        <w:tab/>
      </w:r>
      <w:r w:rsidR="00870A70" w:rsidRPr="00E100D9">
        <w:rPr>
          <w:rFonts w:ascii="Traditional Arabic" w:eastAsiaTheme="minorHAnsi" w:hAnsi="Traditional Arabic" w:cs="Traditional Arabic"/>
          <w:b/>
          <w:bCs/>
          <w:sz w:val="30"/>
          <w:szCs w:val="30"/>
          <w:rtl/>
        </w:rPr>
        <w:t>الانتهاكات التي ارتكبها الحوثيين وتأثير النزاع على المدنيين في حجور</w:t>
      </w:r>
    </w:p>
    <w:p w14:paraId="62A078C6" w14:textId="77777777" w:rsidR="00870A70" w:rsidRPr="00870A70" w:rsidRDefault="00870A70" w:rsidP="00385E46">
      <w:pPr>
        <w:tabs>
          <w:tab w:val="left" w:pos="1701"/>
        </w:tabs>
        <w:suppressAutoHyphens w:val="0"/>
        <w:bidi/>
        <w:spacing w:after="120"/>
        <w:ind w:left="1449" w:right="827"/>
        <w:jc w:val="both"/>
        <w:rPr>
          <w:rFonts w:ascii="Traditional Arabic" w:eastAsiaTheme="minorHAnsi" w:hAnsi="Traditional Arabic" w:cs="Traditional Arabic"/>
          <w:b/>
          <w:bCs/>
          <w:i/>
          <w:iCs/>
          <w:sz w:val="30"/>
          <w:szCs w:val="30"/>
        </w:rPr>
      </w:pPr>
      <w:r w:rsidRPr="00870A70">
        <w:rPr>
          <w:rFonts w:ascii="Traditional Arabic" w:eastAsiaTheme="minorHAnsi" w:hAnsi="Traditional Arabic" w:cs="Traditional Arabic"/>
          <w:i/>
          <w:iCs/>
          <w:sz w:val="30"/>
          <w:szCs w:val="30"/>
          <w:rtl/>
        </w:rPr>
        <w:t>لم يُسمح للمدنيين بمغادرة المنطقة خلال الحرب</w:t>
      </w:r>
      <w:r w:rsidRPr="00870A70">
        <w:rPr>
          <w:rFonts w:ascii="Traditional Arabic" w:eastAsiaTheme="minorHAnsi" w:hAnsi="Traditional Arabic" w:cs="Traditional Arabic"/>
          <w:i/>
          <w:iCs/>
          <w:sz w:val="30"/>
          <w:szCs w:val="30"/>
          <w:rtl/>
          <w:lang w:bidi="ar"/>
        </w:rPr>
        <w:t xml:space="preserve">. </w:t>
      </w:r>
      <w:r w:rsidRPr="00870A70">
        <w:rPr>
          <w:rFonts w:ascii="Traditional Arabic" w:eastAsiaTheme="minorHAnsi" w:hAnsi="Traditional Arabic" w:cs="Traditional Arabic"/>
          <w:i/>
          <w:iCs/>
          <w:sz w:val="30"/>
          <w:szCs w:val="30"/>
          <w:rtl/>
        </w:rPr>
        <w:t>إما الموت أو السجن، أو بالطبع، أن تصبح مخلصًا لهم [الحوثيين]</w:t>
      </w:r>
      <w:r w:rsidRPr="00870A70">
        <w:rPr>
          <w:rFonts w:ascii="Traditional Arabic" w:eastAsiaTheme="minorHAnsi" w:hAnsi="Traditional Arabic" w:cs="Traditional Arabic"/>
          <w:i/>
          <w:iCs/>
          <w:sz w:val="30"/>
          <w:szCs w:val="30"/>
          <w:lang w:bidi="ar"/>
        </w:rPr>
        <w:t>.</w:t>
      </w:r>
      <w:r w:rsidRPr="00870A70">
        <w:rPr>
          <w:rFonts w:ascii="Traditional Arabic" w:eastAsiaTheme="minorHAnsi" w:hAnsi="Traditional Arabic" w:cs="Traditional Arabic"/>
          <w:i/>
          <w:iCs/>
          <w:sz w:val="30"/>
          <w:szCs w:val="30"/>
          <w:rtl/>
          <w:lang w:bidi="ar"/>
        </w:rPr>
        <w:t xml:space="preserve"> </w:t>
      </w:r>
      <w:r w:rsidRPr="00870A70">
        <w:rPr>
          <w:rFonts w:ascii="Traditional Arabic" w:eastAsiaTheme="minorHAnsi" w:hAnsi="Traditional Arabic" w:cs="Traditional Arabic"/>
          <w:i/>
          <w:iCs/>
          <w:sz w:val="30"/>
          <w:szCs w:val="30"/>
          <w:rtl/>
        </w:rPr>
        <w:t>والولاء يعني المشاركة في الحرب ضد قبيلتك</w:t>
      </w:r>
      <w:r w:rsidRPr="00870A70">
        <w:rPr>
          <w:rFonts w:ascii="Traditional Arabic" w:eastAsiaTheme="minorHAnsi" w:hAnsi="Traditional Arabic" w:cs="Traditional Arabic"/>
          <w:i/>
          <w:iCs/>
          <w:sz w:val="30"/>
          <w:szCs w:val="30"/>
          <w:lang w:bidi="ar"/>
        </w:rPr>
        <w:t xml:space="preserve"> ".</w:t>
      </w:r>
    </w:p>
    <w:p w14:paraId="41463DB0" w14:textId="21BC94DB" w:rsidR="00870A70" w:rsidRPr="00870A70" w:rsidRDefault="00870A70" w:rsidP="00610040">
      <w:pPr>
        <w:suppressAutoHyphens w:val="0"/>
        <w:bidi/>
        <w:spacing w:after="120"/>
        <w:ind w:left="4536" w:right="521" w:firstLine="567"/>
        <w:contextualSpacing/>
        <w:rPr>
          <w:rFonts w:ascii="Traditional Arabic" w:eastAsiaTheme="minorHAnsi" w:hAnsi="Traditional Arabic" w:cs="Traditional Arabic"/>
          <w:sz w:val="30"/>
          <w:szCs w:val="30"/>
        </w:rPr>
      </w:pPr>
      <w:r w:rsidRPr="00870A70">
        <w:rPr>
          <w:rFonts w:ascii="Traditional Arabic" w:eastAsiaTheme="minorHAnsi" w:hAnsi="Traditional Arabic" w:cs="Traditional Arabic"/>
          <w:b/>
          <w:bCs/>
          <w:sz w:val="30"/>
          <w:szCs w:val="30"/>
          <w:rtl/>
        </w:rPr>
        <w:t>شيخ قبل</w:t>
      </w:r>
      <w:r w:rsidR="00610040">
        <w:rPr>
          <w:rFonts w:ascii="Traditional Arabic" w:eastAsiaTheme="minorHAnsi" w:hAnsi="Traditional Arabic" w:cs="Traditional Arabic" w:hint="cs"/>
          <w:b/>
          <w:bCs/>
          <w:sz w:val="30"/>
          <w:szCs w:val="30"/>
          <w:rtl/>
        </w:rPr>
        <w:t>ي</w:t>
      </w:r>
      <w:r w:rsidRPr="00870A70">
        <w:rPr>
          <w:rFonts w:ascii="Traditional Arabic" w:eastAsiaTheme="minorHAnsi" w:hAnsi="Traditional Arabic" w:cs="Traditional Arabic"/>
          <w:b/>
          <w:bCs/>
          <w:sz w:val="30"/>
          <w:szCs w:val="30"/>
          <w:rtl/>
        </w:rPr>
        <w:t xml:space="preserve"> من حجور</w:t>
      </w:r>
      <w:r w:rsidRPr="00870A70">
        <w:rPr>
          <w:rFonts w:ascii="Traditional Arabic" w:eastAsiaTheme="minorHAnsi" w:hAnsi="Traditional Arabic" w:cs="Traditional Arabic"/>
          <w:sz w:val="30"/>
          <w:szCs w:val="30"/>
          <w:vertAlign w:val="superscript"/>
          <w:lang w:val="en-US"/>
        </w:rPr>
        <w:footnoteReference w:id="723"/>
      </w:r>
    </w:p>
    <w:p w14:paraId="6A0392F8" w14:textId="62F32D35" w:rsidR="00870A70" w:rsidRPr="00870A70" w:rsidRDefault="00870A70" w:rsidP="0061004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rPr>
      </w:pPr>
      <w:r w:rsidRPr="00870A70">
        <w:rPr>
          <w:rFonts w:ascii="Traditional Arabic" w:eastAsiaTheme="minorHAnsi" w:hAnsi="Traditional Arabic" w:cs="Traditional Arabic"/>
          <w:sz w:val="30"/>
          <w:szCs w:val="30"/>
          <w:rtl/>
        </w:rPr>
        <w:t>تميزت الفترة الممتدة من كانون الثاني/ يناير إلى 8 آذار/ مارس 2019 بتصاعد الأعمال القتالية والقتال البري في عدد من المواقع في جميع أنحاء محافظة حجة. قام فريق الخبراء بتوثيق الحوادث في كشر والعبيسة وأيضًا في بني حسن حيث وقعت مواجهات مسلحة بين الحوثيين والحكومة اليمنية. يركز هذا القسم على النزاع في المنطقة الملقبة بحجور</w:t>
      </w:r>
      <w:r w:rsidR="00610040">
        <w:rPr>
          <w:rFonts w:ascii="Traditional Arabic" w:eastAsiaTheme="minorHAnsi" w:hAnsi="Traditional Arabic" w:cs="Traditional Arabic" w:hint="cs"/>
          <w:sz w:val="30"/>
          <w:szCs w:val="30"/>
          <w:rtl/>
        </w:rPr>
        <w:t>.</w:t>
      </w:r>
      <w:r w:rsidRPr="00870A70">
        <w:rPr>
          <w:rFonts w:ascii="Traditional Arabic" w:eastAsiaTheme="minorHAnsi" w:hAnsi="Traditional Arabic" w:cs="Traditional Arabic"/>
          <w:sz w:val="30"/>
          <w:szCs w:val="30"/>
          <w:rtl/>
        </w:rPr>
        <w:t xml:space="preserve"> وفقًا لمصادر مختلفة فإن سلطات الأمر الواقع قد حازت أو أجبرت،</w:t>
      </w:r>
      <w:r w:rsidRPr="00870A70">
        <w:rPr>
          <w:rFonts w:ascii="Traditional Arabic" w:eastAsiaTheme="minorHAnsi" w:hAnsi="Traditional Arabic" w:cs="Traditional Arabic"/>
          <w:sz w:val="30"/>
          <w:szCs w:val="30"/>
          <w:vertAlign w:val="superscript"/>
          <w:lang w:val="en-US"/>
        </w:rPr>
        <w:footnoteReference w:id="724"/>
      </w:r>
      <w:r w:rsidRPr="00870A70">
        <w:rPr>
          <w:rFonts w:ascii="Traditional Arabic" w:eastAsiaTheme="minorHAnsi" w:hAnsi="Traditional Arabic" w:cs="Traditional Arabic"/>
          <w:sz w:val="30"/>
          <w:szCs w:val="30"/>
          <w:rtl/>
        </w:rPr>
        <w:t xml:space="preserve"> حتى قبل بدء الأعمال العدائية، بعض شيوخ القبائل داخل المنطقة على </w:t>
      </w:r>
      <w:r w:rsidRPr="00870A70">
        <w:rPr>
          <w:rFonts w:ascii="Traditional Arabic" w:eastAsiaTheme="minorHAnsi" w:hAnsi="Traditional Arabic" w:cs="Traditional Arabic"/>
          <w:sz w:val="30"/>
          <w:szCs w:val="30"/>
          <w:rtl/>
          <w:lang w:bidi="ar-YE"/>
        </w:rPr>
        <w:t>ال</w:t>
      </w:r>
      <w:r w:rsidRPr="00870A70">
        <w:rPr>
          <w:rFonts w:ascii="Traditional Arabic" w:eastAsiaTheme="minorHAnsi" w:hAnsi="Traditional Arabic" w:cs="Traditional Arabic"/>
          <w:sz w:val="30"/>
          <w:szCs w:val="30"/>
          <w:rtl/>
        </w:rPr>
        <w:t>ولاء لها، مما زاد من تعقيد الديناميكيات المحلية، حيث أصبحت القبائل منقسمة وضعفت المقاومة للعمليات الحوثية العسكرية داخل حجور. في 18 شباط/ فبراير، وردا على دعوة قبائل حجور للحصول على الدعم، وفق تقارير، قامت قوات التحالف بإلقاء ذخيرة فضلا عن إمدادات طبية إلى كشر. وفقًا لمصادر مختلفة،</w:t>
      </w:r>
      <w:r w:rsidRPr="00870A70">
        <w:rPr>
          <w:rFonts w:ascii="Traditional Arabic" w:eastAsiaTheme="minorHAnsi" w:hAnsi="Traditional Arabic" w:cs="Traditional Arabic"/>
          <w:sz w:val="30"/>
          <w:szCs w:val="30"/>
          <w:vertAlign w:val="superscript"/>
          <w:lang w:val="en-US"/>
        </w:rPr>
        <w:footnoteReference w:id="725"/>
      </w:r>
      <w:r w:rsidRPr="00870A70">
        <w:rPr>
          <w:rFonts w:ascii="Traditional Arabic" w:eastAsiaTheme="minorHAnsi" w:hAnsi="Traditional Arabic" w:cs="Traditional Arabic"/>
          <w:sz w:val="30"/>
          <w:szCs w:val="30"/>
          <w:rtl/>
        </w:rPr>
        <w:t xml:space="preserve"> لم تؤد هذه الإمدادات إلا إلى تفاقم النزاعات الداخلية بين القبائل التي كان قد عانى كبار شيوخها من انقسامات كبيرة بينهم بحلول ذلك الوقت. وصف شهود من حجور القصف العنيف والمعارك الأرضية في قراهم، وأشار بعضهم إلى استخدام الحوثيين للصواريخ الباليستية متوسطة المدى في المناطق المأهولة بالسكان.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26"/>
      </w:r>
      <w:r w:rsidRPr="00870A70">
        <w:rPr>
          <w:rFonts w:ascii="Traditional Arabic" w:eastAsiaTheme="minorHAnsi" w:hAnsi="Traditional Arabic" w:cs="Traditional Arabic"/>
          <w:sz w:val="30"/>
          <w:szCs w:val="30"/>
          <w:rtl/>
        </w:rPr>
        <w:t>وفقًا لعدد من الشهود والضحايا، كانت قبائل حجور سيئة التسليح مقارنة بالحوثيين، وانضم الأفراد في بعض الأحيان إلى القتال "للدفاع عن منازلهم" عندما وصل الحوثيون إلى قراهم. تلقى الفريق تقارير عن نمط من الاعتقالات</w:t>
      </w:r>
      <w:r w:rsidRPr="00870A70">
        <w:rPr>
          <w:rFonts w:ascii="Traditional Arabic" w:eastAsiaTheme="minorHAnsi" w:hAnsi="Traditional Arabic" w:cs="Traditional Arabic"/>
          <w:sz w:val="30"/>
          <w:szCs w:val="30"/>
        </w:rPr>
        <w:t xml:space="preserve"> </w:t>
      </w:r>
      <w:r w:rsidRPr="00870A70">
        <w:rPr>
          <w:rFonts w:ascii="Traditional Arabic" w:eastAsiaTheme="minorHAnsi" w:hAnsi="Traditional Arabic" w:cs="Traditional Arabic"/>
          <w:sz w:val="30"/>
          <w:szCs w:val="30"/>
          <w:rtl/>
        </w:rPr>
        <w:t xml:space="preserve">مثير للقلق </w:t>
      </w:r>
      <w:r w:rsidRPr="00870A70">
        <w:rPr>
          <w:rFonts w:ascii="Traditional Arabic" w:eastAsiaTheme="minorHAnsi" w:hAnsi="Traditional Arabic" w:cs="Traditional Arabic"/>
          <w:sz w:val="30"/>
          <w:szCs w:val="30"/>
          <w:rtl/>
          <w:lang w:bidi="ar-YE"/>
        </w:rPr>
        <w:t xml:space="preserve">ومنتشر على </w:t>
      </w:r>
      <w:r w:rsidRPr="00870A70">
        <w:rPr>
          <w:rFonts w:ascii="Traditional Arabic" w:eastAsiaTheme="minorHAnsi" w:hAnsi="Traditional Arabic" w:cs="Traditional Arabic"/>
          <w:sz w:val="30"/>
          <w:szCs w:val="30"/>
          <w:rtl/>
        </w:rPr>
        <w:t xml:space="preserve">نطاق واسع واستهدف رجال وصبيان قبائل حجور، حيث اختفى </w:t>
      </w:r>
      <w:r w:rsidR="00610040">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كثير منهم وفقًا لتقارير</w:t>
      </w:r>
      <w:r w:rsidRPr="00870A70">
        <w:rPr>
          <w:rFonts w:ascii="Traditional Arabic" w:eastAsiaTheme="minorHAnsi" w:hAnsi="Traditional Arabic" w:cs="Traditional Arabic"/>
          <w:sz w:val="30"/>
          <w:szCs w:val="30"/>
          <w:lang w:bidi="ar"/>
        </w:rPr>
        <w:t>.</w:t>
      </w:r>
    </w:p>
    <w:p w14:paraId="3B5342B9"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lastRenderedPageBreak/>
        <w:t>قام فريق الخبراء، أثناء التحقيقات التي أجراها في الحوادث التي وقعت في حجور، بتوثيق عدد من الانتهاكات المرتبطة بالنزاع المسلح، وخاصة التي ارتكبها الحوثيون في عدد من القرى أثناء الاستيلاء العسكري على المنطقة أو بعده. بالإضافة إلى ذلك، تلقى فريق الخبراء ادعاءات بشأن حالة واحدة من حالات القبض على رجل من حجور وإساءة معاملته على أيدي قوات التحالف،</w:t>
      </w:r>
      <w:r w:rsidRPr="00870A70">
        <w:rPr>
          <w:rFonts w:ascii="Traditional Arabic" w:eastAsiaTheme="minorHAnsi" w:hAnsi="Traditional Arabic" w:cs="Traditional Arabic"/>
          <w:sz w:val="30"/>
          <w:szCs w:val="30"/>
          <w:vertAlign w:val="superscript"/>
          <w:lang w:val="en-US"/>
        </w:rPr>
        <w:footnoteReference w:id="727"/>
      </w:r>
      <w:r w:rsidRPr="00870A70">
        <w:rPr>
          <w:rFonts w:ascii="Traditional Arabic" w:eastAsiaTheme="minorHAnsi" w:hAnsi="Traditional Arabic" w:cs="Traditional Arabic"/>
          <w:sz w:val="30"/>
          <w:szCs w:val="30"/>
          <w:rtl/>
        </w:rPr>
        <w:t xml:space="preserve"> رغم أن الفريق لم يستطع تأكيد هذه المزاعم بسبب مخاوف أمنية للضحايا والمصادر. وفي حادثة أخرى، أُبلغ الفريق بوفاة محتجز ينتمي إلى الحوثيين، وفق مصادر، هو احتُجز كرهينة من قبل الحكومة اليمنية خلال مواجهات على إحدى جبهات حجة. ومع ذلك، لم يتسن تأكيد هذه الادعاءات وظلت ظروف وفاته غير واضحة. كان للقيود الزمنية، وعدم القدرة للوصول، والاعتبارات الأمنية المتعلقة بالضحايا والمصادر تأثير كبير على قدرة المجموعة على مواصلة التحقيق في الانتهاكات المزعومة التي ارتكبتها جميع أطراف النزاع في حجور. هذه ستبقى قيد التحقيق</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p>
    <w:p w14:paraId="47BCC248" w14:textId="68428E60" w:rsidR="00870A70" w:rsidRPr="00870A70" w:rsidRDefault="00870A70" w:rsidP="002C03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في حين أن فريق الخبراء شهد مباشرة، من خلال تفاعله عن بعد مع الضحايا ومصادر أخرى في جميع أنحاء اليمن، الخوف الذي يختبره اليمنيون باستمرار، فإن هذا الخوف يستحق التأكيد عليه فيما يتعلق بسكان حجة وأحداث نزاع حجور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بالإضافة إلى التغطية الإعلامية المحدودة للغاية من المنطقة.وضعت مسائل الاتصال والاعتبارات الأمنية قيودًا كبيرة على قدرة فريق الخبراء على العمل وقد تضررت شبكات الاتصالات بشدة من النزاع في حجة.</w:t>
      </w:r>
      <w:r w:rsidR="002C03BC">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أما</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بالنسبة للمدنيين الذين لم يغادروا  المنطقة، فقد أعربوا بشكل متكرر عن مخاوفهم من التعامل مع فريق الخبراء، الذي اختار من نفسه في بعض الأحيان عدم التعامل مع الشهود خوفًا من تعريضهم للمزيد من الخطر.</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على الرغم من هذه التحديات التي واجهت التحقيقات، فقد قدمت التحقيقات في أحداث حجور لمحة عن حياة الناس في المنطقة، والمخاطر التي يواجهونها عبر بقائهم، والتأثير الذي أحدثه إغلاق المنطقة على حجور والسكان المدنيين</w:t>
      </w:r>
      <w:r w:rsidRPr="00870A70">
        <w:rPr>
          <w:rFonts w:ascii="Traditional Arabic" w:eastAsiaTheme="minorHAnsi" w:hAnsi="Traditional Arabic" w:cs="Traditional Arabic"/>
          <w:sz w:val="30"/>
          <w:szCs w:val="30"/>
          <w:lang w:bidi="ar"/>
        </w:rPr>
        <w:t>.</w:t>
      </w:r>
    </w:p>
    <w:p w14:paraId="63551B31" w14:textId="1683460F" w:rsidR="00870A70" w:rsidRPr="00E100D9" w:rsidRDefault="00385E46" w:rsidP="00870A70">
      <w:pPr>
        <w:tabs>
          <w:tab w:val="left" w:pos="1701"/>
        </w:tabs>
        <w:suppressAutoHyphens w:val="0"/>
        <w:bidi/>
        <w:spacing w:after="120"/>
        <w:ind w:right="827"/>
        <w:jc w:val="both"/>
        <w:rPr>
          <w:rFonts w:ascii="Traditional Arabic" w:eastAsiaTheme="minorHAnsi" w:hAnsi="Traditional Arabic" w:cs="Traditional Arabic"/>
          <w:b/>
          <w:bCs/>
          <w:sz w:val="30"/>
          <w:szCs w:val="30"/>
          <w:rtl/>
          <w:lang w:val="en-US"/>
        </w:rPr>
      </w:pPr>
      <w:r>
        <w:rPr>
          <w:rFonts w:ascii="Traditional Arabic" w:eastAsiaTheme="minorHAnsi" w:hAnsi="Traditional Arabic" w:cs="Traditional Arabic"/>
          <w:b/>
          <w:bCs/>
          <w:sz w:val="30"/>
          <w:szCs w:val="30"/>
          <w:lang w:val="en-US"/>
        </w:rPr>
        <w:t xml:space="preserve">              </w:t>
      </w:r>
      <w:r w:rsidR="00870A70" w:rsidRPr="00E100D9">
        <w:rPr>
          <w:rFonts w:ascii="Traditional Arabic" w:eastAsiaTheme="minorHAnsi" w:hAnsi="Traditional Arabic" w:cs="Traditional Arabic"/>
          <w:b/>
          <w:bCs/>
          <w:sz w:val="30"/>
          <w:szCs w:val="30"/>
          <w:rtl/>
          <w:lang w:val="en-US"/>
        </w:rPr>
        <w:t>ج) مزاعم استهداف أعيان مدنية وقصف عشوائي</w:t>
      </w:r>
    </w:p>
    <w:p w14:paraId="6C119C40" w14:textId="128C282C" w:rsidR="00870A70" w:rsidRPr="00870A70" w:rsidRDefault="00870A70" w:rsidP="002C03BC">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تلقى فريق الخبراء تقارير واسعة النطاق</w:t>
      </w:r>
      <w:r w:rsidRPr="00870A70">
        <w:rPr>
          <w:rFonts w:ascii="Traditional Arabic" w:eastAsiaTheme="minorHAnsi" w:hAnsi="Traditional Arabic" w:cs="Traditional Arabic"/>
          <w:sz w:val="30"/>
          <w:szCs w:val="30"/>
          <w:vertAlign w:val="superscript"/>
          <w:lang w:val="en-US"/>
        </w:rPr>
        <w:footnoteReference w:id="728"/>
      </w:r>
      <w:r w:rsidRPr="00870A70">
        <w:rPr>
          <w:rFonts w:ascii="Traditional Arabic" w:eastAsiaTheme="minorHAnsi" w:hAnsi="Traditional Arabic" w:cs="Traditional Arabic"/>
          <w:sz w:val="30"/>
          <w:szCs w:val="30"/>
          <w:rtl/>
        </w:rPr>
        <w:t xml:space="preserve"> تفيد بأن </w:t>
      </w:r>
      <w:r w:rsidR="00D072F6">
        <w:rPr>
          <w:rFonts w:ascii="Traditional Arabic" w:eastAsiaTheme="minorHAnsi" w:hAnsi="Traditional Arabic" w:cs="Traditional Arabic" w:hint="cs"/>
          <w:sz w:val="30"/>
          <w:szCs w:val="30"/>
          <w:rtl/>
        </w:rPr>
        <w:t xml:space="preserve">مقاتلي </w:t>
      </w:r>
      <w:r w:rsidRPr="00870A70">
        <w:rPr>
          <w:rFonts w:ascii="Traditional Arabic" w:eastAsiaTheme="minorHAnsi" w:hAnsi="Traditional Arabic" w:cs="Traditional Arabic"/>
          <w:sz w:val="30"/>
          <w:szCs w:val="30"/>
          <w:rtl/>
        </w:rPr>
        <w:t>الحوثي استخدم</w:t>
      </w:r>
      <w:r w:rsidR="002C03BC">
        <w:rPr>
          <w:rFonts w:ascii="Traditional Arabic" w:eastAsiaTheme="minorHAnsi" w:hAnsi="Traditional Arabic" w:cs="Traditional Arabic" w:hint="cs"/>
          <w:sz w:val="30"/>
          <w:szCs w:val="30"/>
          <w:rtl/>
        </w:rPr>
        <w:t>وا</w:t>
      </w:r>
      <w:r w:rsidRPr="00870A70">
        <w:rPr>
          <w:rFonts w:ascii="Traditional Arabic" w:eastAsiaTheme="minorHAnsi" w:hAnsi="Traditional Arabic" w:cs="Traditional Arabic"/>
          <w:sz w:val="30"/>
          <w:szCs w:val="30"/>
          <w:rtl/>
        </w:rPr>
        <w:t xml:space="preserve"> القصف العشوائي والأسلحة التي وصفها الشهود بأنها "ثقيلة"، بما في ذلك القذائف متوسطة المدى، والمتفجرات، في المناطق المأهولة بالسكان أثناء المواجهات المسلحة في مختلف أنحاء حجور، بما في ذلك العبيسة.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تلقت المجموعة العديد من المزاعم حول استخدام المتفجرات من قبل الحوثيين لاستهداف منازل المدنيين خلال استيلائهم على القرى، وأحياناً بعد إفراغها</w:t>
      </w:r>
      <w:r w:rsidRPr="00870A70">
        <w:rPr>
          <w:rFonts w:ascii="Traditional Arabic" w:eastAsiaTheme="minorHAnsi" w:hAnsi="Traditional Arabic" w:cs="Traditional Arabic"/>
          <w:sz w:val="30"/>
          <w:szCs w:val="30"/>
          <w:vertAlign w:val="superscript"/>
          <w:lang w:val="en-US"/>
        </w:rPr>
        <w:footnoteReference w:id="729"/>
      </w:r>
      <w:r w:rsidRPr="00870A70">
        <w:rPr>
          <w:rFonts w:ascii="Traditional Arabic" w:eastAsiaTheme="minorHAnsi" w:hAnsi="Traditional Arabic" w:cs="Traditional Arabic"/>
          <w:sz w:val="30"/>
          <w:szCs w:val="30"/>
          <w:rtl/>
        </w:rPr>
        <w:t xml:space="preserve"> أو بعد أن حاولت الأسرة "الدفاع عن المنزل</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30"/>
      </w:r>
    </w:p>
    <w:p w14:paraId="0A5DAF3C" w14:textId="6D3B4AA3"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تلقى فريق الخبراء معلومات عن حوالي 25 منزلاً، قام الحوثيون، وفق تقارير، بتفجيرها باستخدام عبوات ناسفة أو أسلحة متفجرة، فضلاً عن مدرسة </w:t>
      </w:r>
      <w:r w:rsidRPr="00870A70">
        <w:rPr>
          <w:rFonts w:ascii="Traditional Arabic" w:eastAsiaTheme="minorHAnsi" w:hAnsi="Traditional Arabic" w:cs="Traditional Arabic"/>
          <w:sz w:val="30"/>
          <w:szCs w:val="30"/>
          <w:rtl/>
        </w:rPr>
        <w:lastRenderedPageBreak/>
        <w:t>واحدة ومسجد واحد.</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1"/>
      </w:r>
      <w:r w:rsidRPr="00870A70">
        <w:rPr>
          <w:rFonts w:ascii="Traditional Arabic" w:eastAsiaTheme="minorHAnsi" w:hAnsi="Traditional Arabic" w:cs="Traditional Arabic"/>
          <w:sz w:val="30"/>
          <w:szCs w:val="30"/>
          <w:rtl/>
        </w:rPr>
        <w:t>بالإضافة إلى ذلك، وثّق فريق الخبراء حادثة</w:t>
      </w:r>
      <w:r w:rsidRPr="00870A70">
        <w:rPr>
          <w:rFonts w:ascii="Traditional Arabic" w:eastAsiaTheme="minorHAnsi" w:hAnsi="Traditional Arabic" w:cs="Traditional Arabic"/>
          <w:sz w:val="30"/>
          <w:szCs w:val="30"/>
          <w:vertAlign w:val="superscript"/>
          <w:lang w:val="en-US"/>
        </w:rPr>
        <w:footnoteReference w:id="732"/>
      </w:r>
      <w:r w:rsidRPr="00870A70">
        <w:rPr>
          <w:rFonts w:ascii="Traditional Arabic" w:eastAsiaTheme="minorHAnsi" w:hAnsi="Traditional Arabic" w:cs="Traditional Arabic"/>
          <w:sz w:val="30"/>
          <w:szCs w:val="30"/>
          <w:rtl/>
        </w:rPr>
        <w:t xml:space="preserve"> انفجار استهدفت منزلاً مدنياً في قرية العبيسة بعد فرار أصحابه. بحسب ما ورد، استهدف الحوثيون المنزل لأن مالكه كان شخصية بارزة في المنطقة</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3"/>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تشير الشخصيات السياسية والقبلية التي قابلتها المجموعة مرارًا وتكرارًا إلى نمط من </w:t>
      </w:r>
      <w:r w:rsidR="00505522">
        <w:rPr>
          <w:rFonts w:ascii="Traditional Arabic" w:eastAsiaTheme="minorHAnsi" w:hAnsi="Traditional Arabic" w:cs="Traditional Arabic"/>
          <w:sz w:val="30"/>
          <w:szCs w:val="30"/>
          <w:rtl/>
        </w:rPr>
        <w:t>"الانتقام" ضد سكان حجور بسبب ال</w:t>
      </w:r>
      <w:r w:rsidR="00505522">
        <w:rPr>
          <w:rFonts w:ascii="Traditional Arabic" w:eastAsiaTheme="minorHAnsi" w:hAnsi="Traditional Arabic" w:cs="Traditional Arabic" w:hint="cs"/>
          <w:sz w:val="30"/>
          <w:szCs w:val="30"/>
          <w:rtl/>
        </w:rPr>
        <w:t xml:space="preserve">خلافات </w:t>
      </w:r>
      <w:r w:rsidRPr="00870A70">
        <w:rPr>
          <w:rFonts w:ascii="Traditional Arabic" w:eastAsiaTheme="minorHAnsi" w:hAnsi="Traditional Arabic" w:cs="Traditional Arabic"/>
          <w:sz w:val="30"/>
          <w:szCs w:val="30"/>
          <w:rtl/>
        </w:rPr>
        <w:t>السابقة.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4"/>
      </w:r>
      <w:r w:rsidRPr="00870A70">
        <w:rPr>
          <w:rFonts w:ascii="Traditional Arabic" w:eastAsiaTheme="minorHAnsi" w:hAnsi="Traditional Arabic" w:cs="Traditional Arabic"/>
          <w:sz w:val="30"/>
          <w:szCs w:val="30"/>
          <w:rtl/>
        </w:rPr>
        <w:t>لم تكتمل التحقيقات في مزاعم أخرى بشأن القصف العشوائي والتفجيرات واستهداف المدنيين بحلول الانتهاء من كتابة هذا التقرير بسبب قيود الوقت والوصول</w:t>
      </w:r>
      <w:r w:rsidRPr="00870A70">
        <w:rPr>
          <w:rFonts w:ascii="Traditional Arabic" w:eastAsiaTheme="minorHAnsi" w:hAnsi="Traditional Arabic" w:cs="Traditional Arabic"/>
          <w:sz w:val="30"/>
          <w:szCs w:val="30"/>
          <w:lang w:bidi="ar"/>
        </w:rPr>
        <w:t>.</w:t>
      </w:r>
    </w:p>
    <w:p w14:paraId="086A89D5"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تجدر الإشارة إلى أن الهجمات المباشرة ضد المدنيين والأعيان المدنية فضلاً عن الهجمات العشوائية، محظورة بموجب القانون الدولي الإنساني، باعتبارها انتهاكًا لمبدأ التمييز.</w:t>
      </w:r>
      <w:r w:rsidRPr="00870A70">
        <w:rPr>
          <w:rFonts w:ascii="Traditional Arabic" w:eastAsiaTheme="minorHAnsi" w:hAnsi="Traditional Arabic" w:cs="Traditional Arabic"/>
          <w:sz w:val="30"/>
          <w:szCs w:val="30"/>
          <w:vertAlign w:val="superscript"/>
          <w:lang w:val="en-US"/>
        </w:rPr>
        <w:footnoteReference w:id="735"/>
      </w:r>
      <w:r w:rsidRPr="00870A70">
        <w:rPr>
          <w:rFonts w:ascii="Traditional Arabic" w:eastAsiaTheme="minorHAnsi" w:hAnsi="Traditional Arabic" w:cs="Traditional Arabic"/>
          <w:sz w:val="30"/>
          <w:szCs w:val="30"/>
          <w:lang w:val="en-US"/>
        </w:rPr>
        <w:t xml:space="preserve"> </w:t>
      </w:r>
    </w:p>
    <w:p w14:paraId="11F046BE" w14:textId="1C810C7B" w:rsidR="00825FCB" w:rsidRDefault="00825FCB" w:rsidP="00825FCB">
      <w:pPr>
        <w:pStyle w:val="Footer"/>
        <w:tabs>
          <w:tab w:val="left" w:pos="720"/>
          <w:tab w:val="left" w:pos="900"/>
          <w:tab w:val="left" w:pos="1134"/>
          <w:tab w:val="left" w:pos="1701"/>
        </w:tabs>
        <w:bidi/>
        <w:spacing w:after="240"/>
        <w:ind w:left="1134" w:right="1080"/>
        <w:jc w:val="both"/>
        <w:rPr>
          <w:rFonts w:ascii="Traditional Arabic" w:eastAsiaTheme="minorHAnsi" w:hAnsi="Traditional Arabic" w:cs="Traditional Arabic"/>
          <w:b/>
          <w:bCs/>
          <w:sz w:val="30"/>
          <w:szCs w:val="30"/>
        </w:rPr>
      </w:pPr>
    </w:p>
    <w:p w14:paraId="4EA5C418" w14:textId="77777777" w:rsidR="00825FCB" w:rsidRDefault="00825FCB" w:rsidP="00825FCB">
      <w:pPr>
        <w:pStyle w:val="Footer"/>
        <w:tabs>
          <w:tab w:val="left" w:pos="720"/>
          <w:tab w:val="left" w:pos="900"/>
          <w:tab w:val="left" w:pos="1134"/>
          <w:tab w:val="left" w:pos="1701"/>
        </w:tabs>
        <w:bidi/>
        <w:spacing w:after="240"/>
        <w:ind w:left="1134" w:right="1080" w:hanging="1035"/>
        <w:jc w:val="both"/>
        <w:rPr>
          <w:rFonts w:ascii="Traditional Arabic" w:eastAsiaTheme="minorHAnsi" w:hAnsi="Traditional Arabic" w:cs="Traditional Arabic"/>
          <w:b/>
          <w:bCs/>
          <w:sz w:val="30"/>
          <w:szCs w:val="30"/>
        </w:rPr>
      </w:pPr>
    </w:p>
    <w:p w14:paraId="4AFC8B4C" w14:textId="55E611D3" w:rsidR="00E100D9" w:rsidRDefault="00825FCB" w:rsidP="00825FCB">
      <w:pPr>
        <w:pStyle w:val="Footer"/>
        <w:tabs>
          <w:tab w:val="left" w:pos="720"/>
          <w:tab w:val="left" w:pos="900"/>
          <w:tab w:val="left" w:pos="1134"/>
          <w:tab w:val="left" w:pos="1701"/>
        </w:tabs>
        <w:bidi/>
        <w:spacing w:after="240"/>
        <w:ind w:left="1134" w:right="1080" w:hanging="1035"/>
        <w:jc w:val="both"/>
        <w:rPr>
          <w:rFonts w:ascii="Traditional Arabic" w:eastAsiaTheme="minorHAnsi" w:hAnsi="Traditional Arabic" w:cs="Traditional Arabic"/>
          <w:b/>
          <w:bCs/>
          <w:sz w:val="30"/>
          <w:szCs w:val="30"/>
          <w:rtl/>
          <w:lang w:bidi="ar"/>
        </w:rPr>
      </w:pPr>
      <w:r>
        <w:rPr>
          <w:rFonts w:ascii="Traditional Arabic" w:eastAsiaTheme="minorHAnsi" w:hAnsi="Traditional Arabic" w:cs="Traditional Arabic"/>
          <w:b/>
          <w:bCs/>
          <w:sz w:val="30"/>
          <w:szCs w:val="30"/>
        </w:rPr>
        <w:tab/>
      </w:r>
      <w:r w:rsidR="00870A70" w:rsidRPr="00E100D9">
        <w:rPr>
          <w:rFonts w:ascii="Traditional Arabic" w:eastAsiaTheme="minorHAnsi" w:hAnsi="Traditional Arabic" w:cs="Traditional Arabic"/>
          <w:b/>
          <w:bCs/>
          <w:sz w:val="30"/>
          <w:szCs w:val="30"/>
          <w:rtl/>
        </w:rPr>
        <w:t>د) القيود المفروضة على حرية الحركة وإدخال الإمدادات الأساسية والمساعدات الإنسانية</w:t>
      </w:r>
    </w:p>
    <w:p w14:paraId="51B076A8" w14:textId="2DB5EBA6" w:rsidR="00870A70" w:rsidRPr="00870A70" w:rsidRDefault="00870A70" w:rsidP="00084951">
      <w:pPr>
        <w:suppressAutoHyphens w:val="0"/>
        <w:bidi/>
        <w:spacing w:after="160" w:line="259" w:lineRule="auto"/>
        <w:ind w:left="1701" w:right="1080"/>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كنا في وضع إنساني مرير للغاية. لم نتمكن من الحصول على قطرة ماء واحدة.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مرت الأيام دون أن يصل الطعام إلى منازلنا وقرانا..." </w:t>
      </w:r>
      <w:r w:rsidRPr="00870A70">
        <w:rPr>
          <w:rFonts w:ascii="Traditional Arabic" w:eastAsiaTheme="minorHAnsi" w:hAnsi="Traditional Arabic" w:cs="Traditional Arabic"/>
          <w:sz w:val="30"/>
          <w:szCs w:val="30"/>
          <w:lang w:bidi="ar"/>
        </w:rPr>
        <w:br/>
      </w:r>
      <w:r w:rsidR="00E100D9">
        <w:rPr>
          <w:rFonts w:ascii="Traditional Arabic" w:eastAsiaTheme="minorHAnsi" w:hAnsi="Traditional Arabic" w:cs="Traditional Arabic" w:hint="cs"/>
          <w:b/>
          <w:bCs/>
          <w:sz w:val="30"/>
          <w:szCs w:val="30"/>
          <w:rtl/>
        </w:rPr>
        <w:t xml:space="preserve">                     </w:t>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825FCB">
        <w:rPr>
          <w:rFonts w:ascii="Traditional Arabic" w:eastAsiaTheme="minorHAnsi" w:hAnsi="Traditional Arabic" w:cs="Traditional Arabic"/>
          <w:b/>
          <w:bCs/>
          <w:sz w:val="30"/>
          <w:szCs w:val="30"/>
        </w:rPr>
        <w:tab/>
      </w:r>
      <w:r w:rsidR="00E100D9">
        <w:rPr>
          <w:rFonts w:ascii="Traditional Arabic" w:eastAsiaTheme="minorHAnsi" w:hAnsi="Traditional Arabic" w:cs="Traditional Arabic" w:hint="cs"/>
          <w:b/>
          <w:bCs/>
          <w:sz w:val="30"/>
          <w:szCs w:val="30"/>
          <w:rtl/>
        </w:rPr>
        <w:t xml:space="preserve">  </w:t>
      </w:r>
      <w:r w:rsidRPr="00870A70">
        <w:rPr>
          <w:rFonts w:ascii="Traditional Arabic" w:eastAsiaTheme="minorHAnsi" w:hAnsi="Traditional Arabic" w:cs="Traditional Arabic"/>
          <w:b/>
          <w:bCs/>
          <w:sz w:val="30"/>
          <w:szCs w:val="30"/>
          <w:rtl/>
        </w:rPr>
        <w:t>رجل نازح داخليا من حجور</w:t>
      </w:r>
    </w:p>
    <w:p w14:paraId="14D18B0D" w14:textId="7C803D2B"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سبق الصراع في حجة ما لا يقل عن شهرين مما وصفه الشهود والمصادر بـ"الحصار" على المنطقة بأنها "منطقة معزولة" حيث أقام الحوثيون نقاط تفتيش عند المداخل المختلفة ال</w:t>
      </w:r>
      <w:r w:rsidR="00505522">
        <w:rPr>
          <w:rFonts w:ascii="Traditional Arabic" w:eastAsiaTheme="minorHAnsi" w:hAnsi="Traditional Arabic" w:cs="Traditional Arabic" w:hint="cs"/>
          <w:sz w:val="30"/>
          <w:szCs w:val="30"/>
          <w:rtl/>
        </w:rPr>
        <w:t>م</w:t>
      </w:r>
      <w:r w:rsidRPr="00870A70">
        <w:rPr>
          <w:rFonts w:ascii="Traditional Arabic" w:eastAsiaTheme="minorHAnsi" w:hAnsi="Traditional Arabic" w:cs="Traditional Arabic"/>
          <w:sz w:val="30"/>
          <w:szCs w:val="30"/>
          <w:rtl/>
        </w:rPr>
        <w:t>ؤدية لقرى حجور.</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6"/>
      </w:r>
      <w:r w:rsidRPr="00870A70">
        <w:rPr>
          <w:rFonts w:ascii="Traditional Arabic" w:eastAsiaTheme="minorHAnsi" w:hAnsi="Traditional Arabic" w:cs="Traditional Arabic"/>
          <w:sz w:val="30"/>
          <w:szCs w:val="30"/>
          <w:rtl/>
        </w:rPr>
        <w:t>وفق تقارير، طُلب من الناس إبراز بطاقات هوية وقام رجال حوثيون بتفتيشهم وهم في طريقهم من وإلى المنطقة. ازدادت القيود المفروضة على حجور وبحلول بداية العمليات العسكرية داخل حجور، لم يُسمح للسيارات بالدخول، وتم نقل البضائع على الحمير وحتى تلك الوسيلة توقفت في بعض الأحيان. كما تم منع شاحنات المياه من دخول المنطقة. وفقًا لبعض المصادر، كانت مصادر مياه حجور تحت سيطرة الحوثيين وزعموا أن الحوثيين أوقفوا المياه عمدًا من الوصول إلى المحافظة.</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37"/>
      </w:r>
      <w:r w:rsidRPr="00870A70">
        <w:rPr>
          <w:rFonts w:ascii="Traditional Arabic" w:eastAsiaTheme="minorHAnsi" w:hAnsi="Traditional Arabic" w:cs="Traditional Arabic"/>
          <w:sz w:val="30"/>
          <w:szCs w:val="30"/>
          <w:rtl/>
        </w:rPr>
        <w:t xml:space="preserve"> أحد الشهود الذي نزح مع أسرته بأكملها وصف قضاء أيام دون وصول طعام إلى قريتهم: "لم نتمكن من الحصول على قطرة ماء واحدة"، كما أخبر فريق الخبراء.</w:t>
      </w:r>
      <w:r w:rsidRPr="00870A70">
        <w:rPr>
          <w:rFonts w:ascii="Traditional Arabic" w:eastAsiaTheme="minorHAnsi" w:hAnsi="Traditional Arabic" w:cs="Traditional Arabic"/>
          <w:sz w:val="30"/>
          <w:szCs w:val="30"/>
          <w:vertAlign w:val="superscript"/>
          <w:lang w:val="en-US"/>
        </w:rPr>
        <w:footnoteReference w:id="738"/>
      </w:r>
      <w:r w:rsidRPr="00870A70">
        <w:rPr>
          <w:rFonts w:ascii="Traditional Arabic" w:eastAsiaTheme="minorHAnsi" w:hAnsi="Traditional Arabic" w:cs="Traditional Arabic"/>
          <w:sz w:val="30"/>
          <w:szCs w:val="30"/>
          <w:rtl/>
        </w:rPr>
        <w:t xml:space="preserve"> وفقًا لشهود ومصادر قابلهم فريق الخبراء،</w:t>
      </w:r>
      <w:r w:rsidRPr="00870A70">
        <w:rPr>
          <w:rFonts w:ascii="Traditional Arabic" w:eastAsiaTheme="minorHAnsi" w:hAnsi="Traditional Arabic" w:cs="Traditional Arabic"/>
          <w:sz w:val="30"/>
          <w:szCs w:val="30"/>
          <w:vertAlign w:val="superscript"/>
          <w:lang w:val="en-US"/>
        </w:rPr>
        <w:footnoteReference w:id="739"/>
      </w:r>
      <w:r w:rsidRPr="00870A70">
        <w:rPr>
          <w:rFonts w:ascii="Traditional Arabic" w:eastAsiaTheme="minorHAnsi" w:hAnsi="Traditional Arabic" w:cs="Traditional Arabic"/>
          <w:sz w:val="30"/>
          <w:szCs w:val="30"/>
          <w:rtl/>
        </w:rPr>
        <w:t xml:space="preserve"> كان لتكثيف الحصار </w:t>
      </w:r>
      <w:r w:rsidRPr="00870A70">
        <w:rPr>
          <w:rFonts w:ascii="Traditional Arabic" w:eastAsiaTheme="minorHAnsi" w:hAnsi="Traditional Arabic" w:cs="Traditional Arabic"/>
          <w:sz w:val="30"/>
          <w:szCs w:val="30"/>
          <w:rtl/>
        </w:rPr>
        <w:lastRenderedPageBreak/>
        <w:t>بعد كانون الثاني/ يناير 2019 تأثير كبير على قدرة السكان المدنيين الوصول إلى الغذاء والماء وأخبر بعض النازحين داخليا فريق الخبراء أن نزوحهم كان بسبب الأعمال العدائية بالإضافة إلى عدم الحصول على السلع الأساسية، بما في ذلك الأدوية والخدمات الطبية</w:t>
      </w:r>
      <w:r w:rsidRPr="00870A70">
        <w:rPr>
          <w:rFonts w:ascii="Traditional Arabic" w:eastAsiaTheme="minorHAnsi" w:hAnsi="Traditional Arabic" w:cs="Traditional Arabic"/>
          <w:sz w:val="30"/>
          <w:szCs w:val="30"/>
          <w:lang w:bidi="ar"/>
        </w:rPr>
        <w:t>.</w:t>
      </w:r>
    </w:p>
    <w:p w14:paraId="6162F6D4" w14:textId="77777777"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وصفت العائلات النازحة من أجزاء مختلفة من حجور القصف العنيف للمناطق المدنية والانفجارات واستهداف المنازل المدنية داخل القرى، وتأثير "الحصار" على حصولهم على الرعاية الطبية والغذاء والمياه. وفق تقارير، أوقف الناس عند نقاط التفتيش التي يديرها الحوثيون و"اختفى" البعض أثناء محاولتهم مغادرة المنطقة. وصف أحد الشهود</w:t>
      </w:r>
      <w:r w:rsidRPr="00870A70">
        <w:rPr>
          <w:rFonts w:ascii="Traditional Arabic" w:eastAsiaTheme="minorHAnsi" w:hAnsi="Traditional Arabic" w:cs="Traditional Arabic"/>
          <w:sz w:val="30"/>
          <w:szCs w:val="30"/>
          <w:vertAlign w:val="superscript"/>
          <w:lang w:val="en-US"/>
        </w:rPr>
        <w:footnoteReference w:id="740"/>
      </w:r>
      <w:r w:rsidRPr="00870A70">
        <w:rPr>
          <w:rFonts w:ascii="Traditional Arabic" w:eastAsiaTheme="minorHAnsi" w:hAnsi="Traditional Arabic" w:cs="Traditional Arabic"/>
          <w:sz w:val="30"/>
          <w:szCs w:val="30"/>
          <w:rtl/>
        </w:rPr>
        <w:t xml:space="preserve"> الذي نزح مع أسرته بأكملها كيف سار هو وعائلته في الليل لتفادي نقاط التفتيش حتى مروا بالمناطق التي يسيطر عليها الحوثيون ووصلوا إلى جزء تمكنوا فيه من الطلب من السيارات المارة نقلهم إلى بر الأمان. مشوا لمدة ثلاثة أيام. قال: "</w:t>
      </w:r>
      <w:r w:rsidRPr="00870A70">
        <w:rPr>
          <w:rFonts w:ascii="Traditional Arabic" w:eastAsiaTheme="minorHAnsi" w:hAnsi="Traditional Arabic" w:cs="Traditional Arabic"/>
          <w:i/>
          <w:iCs/>
          <w:sz w:val="30"/>
          <w:szCs w:val="30"/>
          <w:rtl/>
        </w:rPr>
        <w:t xml:space="preserve">لقد حالفنا الحظ في العثور على أشخاص طيبين لاصطحابنا." </w:t>
      </w:r>
      <w:r w:rsidRPr="00870A70">
        <w:rPr>
          <w:rFonts w:ascii="Traditional Arabic" w:eastAsiaTheme="minorHAnsi" w:hAnsi="Traditional Arabic" w:cs="Traditional Arabic"/>
          <w:sz w:val="30"/>
          <w:szCs w:val="30"/>
          <w:rtl/>
        </w:rPr>
        <w:t>أخبر الرجل</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فريق الخبراء بأنه وصل مع عائلته إلى منطقة آمنة في 10 آذار/ مارس، بعد 25 يومًا من بدء رحلتهم من كشر</w:t>
      </w:r>
      <w:r w:rsidRPr="00870A70">
        <w:rPr>
          <w:rFonts w:ascii="Traditional Arabic" w:eastAsiaTheme="minorHAnsi" w:hAnsi="Traditional Arabic" w:cs="Traditional Arabic"/>
          <w:sz w:val="30"/>
          <w:szCs w:val="30"/>
          <w:lang w:bidi="ar"/>
        </w:rPr>
        <w:t>.</w:t>
      </w:r>
    </w:p>
    <w:p w14:paraId="5ED155D0" w14:textId="77777777" w:rsidR="00825FCB" w:rsidRDefault="00E100D9" w:rsidP="00870A70">
      <w:pPr>
        <w:tabs>
          <w:tab w:val="left" w:pos="1701"/>
        </w:tabs>
        <w:suppressAutoHyphens w:val="0"/>
        <w:bidi/>
        <w:spacing w:after="120"/>
        <w:ind w:right="827"/>
        <w:jc w:val="both"/>
        <w:rPr>
          <w:rFonts w:ascii="Traditional Arabic" w:eastAsiaTheme="minorHAnsi" w:hAnsi="Traditional Arabic" w:cs="Traditional Arabic"/>
          <w:i/>
          <w:iCs/>
          <w:sz w:val="30"/>
          <w:szCs w:val="30"/>
        </w:rPr>
      </w:pPr>
      <w:r>
        <w:rPr>
          <w:rFonts w:ascii="Traditional Arabic" w:eastAsiaTheme="minorHAnsi" w:hAnsi="Traditional Arabic" w:cs="Traditional Arabic" w:hint="cs"/>
          <w:i/>
          <w:iCs/>
          <w:sz w:val="30"/>
          <w:szCs w:val="30"/>
          <w:rtl/>
        </w:rPr>
        <w:t xml:space="preserve">             </w:t>
      </w:r>
    </w:p>
    <w:p w14:paraId="2ED3F96F" w14:textId="01A82BAA" w:rsidR="00870A70" w:rsidRPr="00870A70"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rtl/>
          <w:lang w:val="en-US"/>
        </w:rPr>
      </w:pPr>
      <w:r>
        <w:rPr>
          <w:rFonts w:ascii="Traditional Arabic" w:eastAsiaTheme="minorHAnsi" w:hAnsi="Traditional Arabic" w:cs="Traditional Arabic"/>
          <w:i/>
          <w:iCs/>
          <w:sz w:val="30"/>
          <w:szCs w:val="30"/>
        </w:rPr>
        <w:t xml:space="preserve">                </w:t>
      </w:r>
      <w:r w:rsidR="00870A70" w:rsidRPr="00870A70">
        <w:rPr>
          <w:rFonts w:ascii="Traditional Arabic" w:eastAsiaTheme="minorHAnsi" w:hAnsi="Traditional Arabic" w:cs="Traditional Arabic"/>
          <w:i/>
          <w:iCs/>
          <w:sz w:val="30"/>
          <w:szCs w:val="30"/>
          <w:rtl/>
        </w:rPr>
        <w:t>الحرمان من وصول المساعدات الإنسانية والعوائق أمام المساعدات الإنسانية</w:t>
      </w:r>
    </w:p>
    <w:p w14:paraId="5B6F983A" w14:textId="4D6D13E0"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sz w:val="30"/>
          <w:szCs w:val="30"/>
          <w:rtl/>
        </w:rPr>
        <w:t>وفقًا للمفوضية السامية للأمم المتحدة لشؤون اللاجئين، تستضيف حجة "وبفارق كبير" أكبر عدد من مواقع النازحين داخلياً وعدد الأفراد النازحين داخلياً قد وصل إلى 300 ألف اعتبارًا من 28 حزيران/ يونيو 2019.</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1"/>
      </w:r>
      <w:r w:rsidRPr="00870A70">
        <w:rPr>
          <w:rFonts w:ascii="Traditional Arabic" w:eastAsiaTheme="minorHAnsi" w:hAnsi="Traditional Arabic" w:cs="Traditional Arabic"/>
          <w:sz w:val="30"/>
          <w:szCs w:val="30"/>
          <w:rtl/>
        </w:rPr>
        <w:t>وتشير التقديرات إلى أن ما يصل إلى 68 ألف أسرة قد نزحت داخل حجة أو منها بين شباط/ فبراير ونهاية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آذار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مارس 2019. قدّر مكتب الأمم المتحدة لتنسيق الشؤون الإنسانية أنه بين منتصف شباط/ فبراير ومنتصف آذار/ مارس 20</w:t>
      </w:r>
      <w:r w:rsidR="00505522">
        <w:rPr>
          <w:rFonts w:ascii="Traditional Arabic" w:eastAsiaTheme="minorHAnsi" w:hAnsi="Traditional Arabic" w:cs="Traditional Arabic"/>
          <w:sz w:val="30"/>
          <w:szCs w:val="30"/>
          <w:rtl/>
        </w:rPr>
        <w:t>19، شُرِدت 8400 أسرة من منطقة ك</w:t>
      </w:r>
      <w:r w:rsidRPr="00870A70">
        <w:rPr>
          <w:rFonts w:ascii="Traditional Arabic" w:eastAsiaTheme="minorHAnsi" w:hAnsi="Traditional Arabic" w:cs="Traditional Arabic"/>
          <w:sz w:val="30"/>
          <w:szCs w:val="30"/>
          <w:rtl/>
        </w:rPr>
        <w:t>شر وحدها نتيجة للاشتباكات المسلحة بين قبائل حجور والحوثيين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2"/>
      </w:r>
    </w:p>
    <w:p w14:paraId="3CE498D5" w14:textId="31AEB3A3" w:rsidR="00870A70" w:rsidRPr="00870A70" w:rsidRDefault="00870A70" w:rsidP="00E100D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أبلغ مكتب الأمم المتحدة لتنسيق الشؤون الإنسانية عن المساعدة التي قدمتها الأمم المتحدة للنازحين من المنطقة، وذكر أن أكثر من مليون شخص لا يحصلون على الغذاء وأنه تم الإبلاغ عن الآلاف من حالات الكوليرا في جميع أنحاء محافظة حجة</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كررت الأمم المتحدة طلبها للوصول إلى المنطقة</w:t>
      </w:r>
      <w:r w:rsidRPr="00870A70">
        <w:rPr>
          <w:rFonts w:ascii="Traditional Arabic" w:eastAsiaTheme="minorHAnsi" w:hAnsi="Traditional Arabic" w:cs="Traditional Arabic"/>
          <w:sz w:val="30"/>
          <w:szCs w:val="30"/>
          <w:lang w:bidi="ar"/>
        </w:rPr>
        <w:t>.</w:t>
      </w:r>
      <w:r w:rsidR="00170082">
        <w:rPr>
          <w:rStyle w:val="FootnoteReference"/>
          <w:rFonts w:eastAsiaTheme="minorHAnsi" w:cs="Traditional Arabic"/>
          <w:szCs w:val="30"/>
          <w:lang w:bidi="ar"/>
        </w:rPr>
        <w:footnoteReference w:id="743"/>
      </w:r>
    </w:p>
    <w:p w14:paraId="18648062" w14:textId="0B3EA85A"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lastRenderedPageBreak/>
        <w:t>مصادر، بما في ذلك المنظمات غير الحكومية</w:t>
      </w:r>
      <w:r w:rsidRPr="00870A70">
        <w:rPr>
          <w:rFonts w:ascii="Traditional Arabic" w:eastAsiaTheme="minorHAnsi" w:hAnsi="Traditional Arabic" w:cs="Traditional Arabic"/>
          <w:sz w:val="30"/>
          <w:szCs w:val="30"/>
          <w:vertAlign w:val="superscript"/>
          <w:lang w:val="en-US"/>
        </w:rPr>
        <w:footnoteReference w:id="744"/>
      </w:r>
      <w:r w:rsidRPr="00870A70">
        <w:rPr>
          <w:rFonts w:ascii="Traditional Arabic" w:eastAsiaTheme="minorHAnsi" w:hAnsi="Traditional Arabic" w:cs="Traditional Arabic"/>
          <w:sz w:val="30"/>
          <w:szCs w:val="30"/>
          <w:rtl/>
        </w:rPr>
        <w:t xml:space="preserve"> العاملة في محافظة حجة بينها إحدى مناطقها التي </w:t>
      </w:r>
      <w:r w:rsidR="00505522">
        <w:rPr>
          <w:rFonts w:ascii="Traditional Arabic" w:eastAsiaTheme="minorHAnsi" w:hAnsi="Traditional Arabic" w:cs="Traditional Arabic" w:hint="cs"/>
          <w:sz w:val="30"/>
          <w:szCs w:val="30"/>
          <w:rtl/>
        </w:rPr>
        <w:t xml:space="preserve">قصدها </w:t>
      </w:r>
      <w:r w:rsidRPr="00870A70">
        <w:rPr>
          <w:rFonts w:ascii="Traditional Arabic" w:eastAsiaTheme="minorHAnsi" w:hAnsi="Traditional Arabic" w:cs="Traditional Arabic"/>
          <w:sz w:val="30"/>
          <w:szCs w:val="30"/>
          <w:rtl/>
        </w:rPr>
        <w:t xml:space="preserve">عدد من النازحين </w:t>
      </w:r>
      <w:r w:rsidR="00505522">
        <w:rPr>
          <w:rFonts w:ascii="Traditional Arabic" w:eastAsiaTheme="minorHAnsi" w:hAnsi="Traditional Arabic" w:cs="Traditional Arabic" w:hint="cs"/>
          <w:sz w:val="30"/>
          <w:szCs w:val="30"/>
          <w:rtl/>
        </w:rPr>
        <w:t xml:space="preserve">بحثًا عن </w:t>
      </w:r>
      <w:r w:rsidRPr="00870A70">
        <w:rPr>
          <w:rFonts w:ascii="Traditional Arabic" w:eastAsiaTheme="minorHAnsi" w:hAnsi="Traditional Arabic" w:cs="Traditional Arabic"/>
          <w:sz w:val="30"/>
          <w:szCs w:val="30"/>
          <w:rtl/>
        </w:rPr>
        <w:t>الأمان، بلّغت فريق الخبراء أنه من الصعب للغاية التأكد من العدد الدقيق للنازحين داخلياً في المنطقة. والسبب الرئيسي لذلك هو أن الحوثيين منعوا وصول الوكالات الإنسانية إلى حجور في أغلب الأحيان خلال فترات الصراع النشيط، وبالتحديد إلى حجور منذ اندلاع النزاع. أشار أحد المصادر إلى أن ندرة الوكالات الإنسانية الدولية في حجة، على الرغم من احتياجات المحافظة الهائلة، كان أحد الأسباب التي جعلت الاستجابة المناسبة للأزمة غير ممكنة في الوقت المناسب.</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5"/>
      </w:r>
      <w:r w:rsidRPr="00870A70">
        <w:rPr>
          <w:rFonts w:ascii="Traditional Arabic" w:eastAsiaTheme="minorHAnsi" w:hAnsi="Traditional Arabic" w:cs="Traditional Arabic"/>
          <w:sz w:val="30"/>
          <w:szCs w:val="30"/>
          <w:rtl/>
        </w:rPr>
        <w:t xml:space="preserve">وصفت المصادر نمطًا اتبعه الحوثيون بالضغط على المنظمات غير الحكومية ودفعهم إلى </w:t>
      </w:r>
      <w:r w:rsidR="00505522">
        <w:rPr>
          <w:rFonts w:ascii="Traditional Arabic" w:eastAsiaTheme="minorHAnsi" w:hAnsi="Traditional Arabic" w:cs="Traditional Arabic" w:hint="cs"/>
          <w:sz w:val="30"/>
          <w:szCs w:val="30"/>
          <w:rtl/>
        </w:rPr>
        <w:t xml:space="preserve">نقل </w:t>
      </w:r>
      <w:r w:rsidRPr="00870A70">
        <w:rPr>
          <w:rFonts w:ascii="Traditional Arabic" w:eastAsiaTheme="minorHAnsi" w:hAnsi="Traditional Arabic" w:cs="Traditional Arabic"/>
          <w:sz w:val="30"/>
          <w:szCs w:val="30"/>
          <w:rtl/>
        </w:rPr>
        <w:t xml:space="preserve">مكاتبهم الفرعية على مستوى المديرية باتجاه المدينة الرئيسية في حجة، وبالتحكم بقدرة الوصول إلى الميدان، بما في ذلك عن طريق نقل الجهات الإنسانية الفاعلة بعيداً عن أولئك الذين تحاول الوصول إليهم في المواقع التي تستضيف النازحين. وفق تقارير، مُنع الوصول إلى مواقع النزاع لأسباب أمنية. لكن الضغط لنقل المكاتب من المناطق الفرعية وضع أعباء إضافية على الوصول إلى المواقع الميدانية المتبقية مثل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عبيسة، والتي تتطلب عدة ساعات من القيادة من حجة. الوصول إلى هذه المواقع الميدانية يتطلب، وفق تقارير، تصاريح أمنية إضافية، والتي يتم الحصول عليها في بعض الأحيان لمدة يوم أو يومين فقط،</w:t>
      </w:r>
      <w:r w:rsidRPr="00870A70">
        <w:rPr>
          <w:rFonts w:ascii="Traditional Arabic" w:eastAsiaTheme="minorHAnsi" w:hAnsi="Traditional Arabic" w:cs="Traditional Arabic"/>
          <w:sz w:val="30"/>
          <w:szCs w:val="30"/>
          <w:vertAlign w:val="superscript"/>
          <w:lang w:val="en-US"/>
        </w:rPr>
        <w:footnoteReference w:id="746"/>
      </w:r>
      <w:r w:rsidRPr="00870A70">
        <w:rPr>
          <w:rFonts w:ascii="Traditional Arabic" w:eastAsiaTheme="minorHAnsi" w:hAnsi="Traditional Arabic" w:cs="Traditional Arabic"/>
          <w:sz w:val="30"/>
          <w:szCs w:val="30"/>
          <w:rtl/>
        </w:rPr>
        <w:t xml:space="preserve"> مما يقيد عمل المنظمات الإنسانية. تضاف العوائق البيروقراطية كهذه إلى القدرة المحدودة أصلا لتقديم الحلول الطارئة والاستجابة للاحتياجات عند الحاجة. وصف بعض العاملين في المجال الإنساني قيود الوصول في حجة خلال الأشهر الأخيرة بأنها لم يسبق لها مثيل وأسوأ ما شهدوه في اليمن حتى الآن</w:t>
      </w:r>
      <w:r w:rsidRPr="00870A70">
        <w:rPr>
          <w:rFonts w:ascii="Traditional Arabic" w:eastAsiaTheme="minorHAnsi" w:hAnsi="Traditional Arabic" w:cs="Traditional Arabic"/>
          <w:sz w:val="30"/>
          <w:szCs w:val="30"/>
          <w:rtl/>
          <w:lang w:bidi="ar"/>
        </w:rPr>
        <w:t>.</w:t>
      </w:r>
      <w:r w:rsidRPr="00870A70">
        <w:rPr>
          <w:rFonts w:ascii="Traditional Arabic" w:eastAsiaTheme="minorHAnsi" w:hAnsi="Traditional Arabic" w:cs="Traditional Arabic"/>
          <w:sz w:val="30"/>
          <w:szCs w:val="30"/>
          <w:vertAlign w:val="superscript"/>
          <w:lang w:val="en-US"/>
        </w:rPr>
        <w:footnoteReference w:id="747"/>
      </w:r>
      <w:r w:rsidRPr="00870A70">
        <w:rPr>
          <w:rFonts w:ascii="Traditional Arabic" w:eastAsiaTheme="minorHAnsi" w:hAnsi="Traditional Arabic" w:cs="Traditional Arabic"/>
          <w:sz w:val="30"/>
          <w:szCs w:val="30"/>
          <w:lang w:val="en-US"/>
        </w:rPr>
        <w:t xml:space="preserve"> </w:t>
      </w:r>
    </w:p>
    <w:p w14:paraId="629DFE0D" w14:textId="266EFF43" w:rsidR="00870A70" w:rsidRPr="00870A70" w:rsidRDefault="00870A70" w:rsidP="0017008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أبلغت إحدى المنظمات غير الحكومية</w:t>
      </w:r>
      <w:r w:rsidR="0017008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في إحدى المناطق</w:t>
      </w:r>
      <w:r w:rsidR="0017008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التي تلقت تدفق كبير من النازحين داخلياً من حجور عن مضايقة واعتقال موظفيها العاملين في المنطقة،</w:t>
      </w:r>
      <w:r w:rsidR="00170082">
        <w:rPr>
          <w:rStyle w:val="FootnoteReference"/>
          <w:rFonts w:eastAsiaTheme="minorHAnsi" w:cs="Traditional Arabic"/>
          <w:szCs w:val="30"/>
          <w:rtl/>
        </w:rPr>
        <w:footnoteReference w:id="748"/>
      </w:r>
      <w:r w:rsidRPr="00870A70">
        <w:rPr>
          <w:rFonts w:ascii="Traditional Arabic" w:eastAsiaTheme="minorHAnsi" w:hAnsi="Traditional Arabic" w:cs="Traditional Arabic"/>
          <w:sz w:val="30"/>
          <w:szCs w:val="30"/>
          <w:rtl/>
        </w:rPr>
        <w:t xml:space="preserve"> حيث كانت المنظمة غير الحكومية تدير عيادة متنقلة.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تم اعتقال موظفيها لمدة يوم واحد من قبل الحوثيين لدخولهم قرية دون "إذن" واتهموا بالعمل كجواسيس للتحالف.</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وقد وصفت المنظمة غير الحكومية لفريق الخبراء كيف يتم تقييد الوصول بشكل متزايد من قبل الحوثيين</w:t>
      </w:r>
      <w:r w:rsidRPr="00870A70">
        <w:rPr>
          <w:rFonts w:ascii="Traditional Arabic" w:eastAsiaTheme="minorHAnsi" w:hAnsi="Traditional Arabic" w:cs="Traditional Arabic"/>
          <w:sz w:val="30"/>
          <w:szCs w:val="30"/>
          <w:lang w:bidi="ar"/>
        </w:rPr>
        <w:t>.</w:t>
      </w:r>
    </w:p>
    <w:p w14:paraId="37628437" w14:textId="333C713F"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تحدثت مصادر مختلفة مع فريق الخبراء حول صعوبات التعامل مع الهيئة الوطنية لإدارة وتنسيق الشؤون الإنسانية ومواجهة الكوارث التابعة لسلطات الأمر الواقع. وفق تقارير، يتم التحكم في قدرة الوصول ومنحه بواسطة الأمن القومي، مما خلق طبقة إضافية من التعقيدات للمنظمات غير الحكومية التي تتعامل مع</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ال</w:t>
      </w:r>
      <w:r w:rsidR="00505522">
        <w:rPr>
          <w:rFonts w:ascii="Traditional Arabic" w:eastAsiaTheme="minorHAnsi" w:hAnsi="Traditional Arabic" w:cs="Traditional Arabic" w:hint="cs"/>
          <w:sz w:val="30"/>
          <w:szCs w:val="30"/>
          <w:rtl/>
        </w:rPr>
        <w:t xml:space="preserve">هيئة </w:t>
      </w:r>
      <w:r w:rsidRPr="00870A70">
        <w:rPr>
          <w:rFonts w:ascii="Traditional Arabic" w:eastAsiaTheme="minorHAnsi" w:hAnsi="Traditional Arabic" w:cs="Traditional Arabic"/>
          <w:sz w:val="30"/>
          <w:szCs w:val="30"/>
          <w:rtl/>
        </w:rPr>
        <w:t>كنظير لها، لأن</w:t>
      </w:r>
      <w:r w:rsidR="00505522">
        <w:rPr>
          <w:rFonts w:ascii="Traditional Arabic" w:eastAsiaTheme="minorHAnsi" w:hAnsi="Traditional Arabic" w:cs="Traditional Arabic" w:hint="cs"/>
          <w:sz w:val="30"/>
          <w:szCs w:val="30"/>
          <w:rtl/>
        </w:rPr>
        <w:t xml:space="preserve"> </w:t>
      </w:r>
      <w:r w:rsidRPr="00870A70">
        <w:rPr>
          <w:rFonts w:ascii="Traditional Arabic" w:eastAsiaTheme="minorHAnsi" w:hAnsi="Traditional Arabic" w:cs="Traditional Arabic"/>
          <w:sz w:val="30"/>
          <w:szCs w:val="30"/>
          <w:rtl/>
        </w:rPr>
        <w:t xml:space="preserve">التعامل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مباشر</w:t>
      </w:r>
      <w:r w:rsidR="00505522">
        <w:rPr>
          <w:rFonts w:ascii="Traditional Arabic" w:eastAsiaTheme="minorHAnsi" w:hAnsi="Traditional Arabic" w:cs="Traditional Arabic" w:hint="cs"/>
          <w:sz w:val="30"/>
          <w:szCs w:val="30"/>
          <w:rtl/>
        </w:rPr>
        <w:t xml:space="preserve"> لا يشمل</w:t>
      </w:r>
      <w:r w:rsidRPr="00870A70">
        <w:rPr>
          <w:rFonts w:ascii="Traditional Arabic" w:eastAsiaTheme="minorHAnsi" w:hAnsi="Traditional Arabic" w:cs="Traditional Arabic"/>
          <w:sz w:val="30"/>
          <w:szCs w:val="30"/>
          <w:rtl/>
        </w:rPr>
        <w:t xml:space="preserve"> مسؤولي الأمن الوطني.</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49"/>
      </w:r>
      <w:r w:rsidRPr="00870A70">
        <w:rPr>
          <w:rFonts w:ascii="Traditional Arabic" w:eastAsiaTheme="minorHAnsi" w:hAnsi="Traditional Arabic" w:cs="Traditional Arabic"/>
          <w:sz w:val="30"/>
          <w:szCs w:val="30"/>
          <w:rtl/>
        </w:rPr>
        <w:t>جمع فريق الخبراء</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تقارير عن ضغوط سلطات الأمر الواقع على المنظمات لمشاركة بياناتها حول الأشخاص النازحين داخلياً والسكان المحليين، </w:t>
      </w:r>
      <w:r w:rsidRPr="00870A70">
        <w:rPr>
          <w:rFonts w:ascii="Traditional Arabic" w:eastAsiaTheme="minorHAnsi" w:hAnsi="Traditional Arabic" w:cs="Traditional Arabic"/>
          <w:sz w:val="30"/>
          <w:szCs w:val="30"/>
          <w:rtl/>
        </w:rPr>
        <w:lastRenderedPageBreak/>
        <w:t xml:space="preserve">وقد رفض بعضها القيام بذلك، وفق تقارير. في </w:t>
      </w:r>
      <w:r w:rsidR="00505522">
        <w:rPr>
          <w:rFonts w:ascii="Traditional Arabic" w:eastAsiaTheme="minorHAnsi" w:hAnsi="Traditional Arabic" w:cs="Traditional Arabic" w:hint="cs"/>
          <w:sz w:val="30"/>
          <w:szCs w:val="30"/>
          <w:rtl/>
        </w:rPr>
        <w:t xml:space="preserve">حزيران/ </w:t>
      </w:r>
      <w:r w:rsidRPr="00870A70">
        <w:rPr>
          <w:rFonts w:ascii="Traditional Arabic" w:eastAsiaTheme="minorHAnsi" w:hAnsi="Traditional Arabic" w:cs="Traditional Arabic"/>
          <w:sz w:val="30"/>
          <w:szCs w:val="30"/>
          <w:rtl/>
        </w:rPr>
        <w:t xml:space="preserve">يونيو 2019، أعلن برنامج الأغذية العالمي تعليقه الجزئي للعمليات في اليمن بسبب انحراف المساعدات من قبل الحوثيين وعبّر أحد المصادر الذين قابلهم فريق الخبراء عن شعوره بأن هذا الأمر </w:t>
      </w:r>
      <w:r w:rsidR="00505522" w:rsidRPr="00870A70">
        <w:rPr>
          <w:rFonts w:ascii="Traditional Arabic" w:eastAsiaTheme="minorHAnsi" w:hAnsi="Traditional Arabic" w:cs="Traditional Arabic"/>
          <w:sz w:val="30"/>
          <w:szCs w:val="30"/>
          <w:rtl/>
        </w:rPr>
        <w:t xml:space="preserve">قد يكون </w:t>
      </w:r>
      <w:r w:rsidRPr="00870A70">
        <w:rPr>
          <w:rFonts w:ascii="Traditional Arabic" w:eastAsiaTheme="minorHAnsi" w:hAnsi="Traditional Arabic" w:cs="Traditional Arabic"/>
          <w:sz w:val="30"/>
          <w:szCs w:val="30"/>
          <w:rtl/>
        </w:rPr>
        <w:t>مصدر قلق خاص بحجة أيضًا. وأشار المصدر إلى أن جميع المنظمات غير الحكومية ووكالات الأمم المتحدة كانت تتلقى قوائم جاهزة تحتوي على المستفيدين من سلطات الأمر الواقع، مما لا يسمح لها بتقديم الإغاثة الإنسانية على أساس الحاجة</w:t>
      </w:r>
      <w:r w:rsidRPr="00870A70">
        <w:rPr>
          <w:rFonts w:ascii="Traditional Arabic" w:eastAsiaTheme="minorHAnsi" w:hAnsi="Traditional Arabic" w:cs="Traditional Arabic"/>
          <w:sz w:val="30"/>
          <w:szCs w:val="30"/>
          <w:lang w:bidi="ar"/>
        </w:rPr>
        <w:t>.</w:t>
      </w:r>
    </w:p>
    <w:p w14:paraId="48469ADD"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قال الشهود الذين تحدثوا إلى فريق الخبراء أنه في آذار/ مارس 2019، بعد سيطرة الحوثيين على حجور، تم السماح بدخول البضائع التجارية ولكن المنظمات الإنسانية ظلّت غير قادرة على الوصول إلى المنطقة بطريقة مستدامة وآمنة</w:t>
      </w:r>
      <w:r w:rsidRPr="00870A70">
        <w:rPr>
          <w:rFonts w:ascii="Traditional Arabic" w:eastAsiaTheme="minorHAnsi" w:hAnsi="Traditional Arabic" w:cs="Traditional Arabic"/>
          <w:sz w:val="30"/>
          <w:szCs w:val="30"/>
          <w:lang w:bidi="ar"/>
        </w:rPr>
        <w:t>.</w:t>
      </w:r>
    </w:p>
    <w:p w14:paraId="26E5A777" w14:textId="6B950ADE" w:rsidR="00825FCB" w:rsidRDefault="00825FCB" w:rsidP="00825FCB">
      <w:pPr>
        <w:tabs>
          <w:tab w:val="left" w:pos="1701"/>
        </w:tabs>
        <w:suppressAutoHyphens w:val="0"/>
        <w:bidi/>
        <w:spacing w:after="120"/>
        <w:ind w:left="1134" w:right="827"/>
        <w:jc w:val="both"/>
        <w:rPr>
          <w:rFonts w:ascii="Traditional Arabic" w:eastAsiaTheme="minorHAnsi" w:hAnsi="Traditional Arabic" w:cs="Traditional Arabic"/>
          <w:i/>
          <w:iCs/>
          <w:sz w:val="30"/>
          <w:szCs w:val="30"/>
          <w:lang w:val="en-US"/>
        </w:rPr>
      </w:pPr>
    </w:p>
    <w:p w14:paraId="0C02405E" w14:textId="77777777" w:rsidR="00825FCB"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lang w:val="en-US"/>
        </w:rPr>
      </w:pPr>
    </w:p>
    <w:p w14:paraId="1450ACCE" w14:textId="3A261CBC" w:rsidR="00870A70" w:rsidRPr="00870A70" w:rsidRDefault="00825FCB" w:rsidP="00825FCB">
      <w:pPr>
        <w:tabs>
          <w:tab w:val="left" w:pos="1701"/>
        </w:tabs>
        <w:suppressAutoHyphens w:val="0"/>
        <w:bidi/>
        <w:spacing w:after="120"/>
        <w:ind w:right="827"/>
        <w:jc w:val="both"/>
        <w:rPr>
          <w:rFonts w:ascii="Traditional Arabic" w:eastAsiaTheme="minorHAnsi" w:hAnsi="Traditional Arabic" w:cs="Traditional Arabic"/>
          <w:i/>
          <w:iCs/>
          <w:sz w:val="30"/>
          <w:szCs w:val="30"/>
          <w:lang w:val="en-US"/>
        </w:rPr>
      </w:pPr>
      <w:r>
        <w:rPr>
          <w:rFonts w:ascii="Traditional Arabic" w:eastAsiaTheme="minorHAnsi" w:hAnsi="Traditional Arabic" w:cs="Traditional Arabic"/>
          <w:i/>
          <w:iCs/>
          <w:sz w:val="30"/>
          <w:szCs w:val="30"/>
          <w:lang w:val="en-US"/>
        </w:rPr>
        <w:tab/>
      </w:r>
      <w:r w:rsidR="000F3E5E">
        <w:rPr>
          <w:rFonts w:ascii="Traditional Arabic" w:eastAsiaTheme="minorHAnsi" w:hAnsi="Traditional Arabic" w:cs="Traditional Arabic" w:hint="cs"/>
          <w:i/>
          <w:iCs/>
          <w:sz w:val="30"/>
          <w:szCs w:val="30"/>
          <w:rtl/>
          <w:lang w:val="en-US"/>
        </w:rPr>
        <w:t xml:space="preserve">  </w:t>
      </w:r>
      <w:r w:rsidR="00870A70" w:rsidRPr="00870A70">
        <w:rPr>
          <w:rFonts w:ascii="Traditional Arabic" w:eastAsiaTheme="minorHAnsi" w:hAnsi="Traditional Arabic" w:cs="Traditional Arabic"/>
          <w:i/>
          <w:iCs/>
          <w:sz w:val="30"/>
          <w:szCs w:val="30"/>
          <w:rtl/>
          <w:lang w:val="en-US"/>
        </w:rPr>
        <w:t>انتهاكات</w:t>
      </w:r>
    </w:p>
    <w:p w14:paraId="4B869B38" w14:textId="4E9B66D3" w:rsidR="00870A70" w:rsidRPr="00870A70" w:rsidRDefault="00681398"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Pr>
          <w:rFonts w:ascii="Traditional Arabic" w:eastAsiaTheme="minorHAnsi" w:hAnsi="Traditional Arabic" w:cs="Traditional Arabic" w:hint="cs"/>
          <w:sz w:val="30"/>
          <w:szCs w:val="30"/>
          <w:rtl/>
          <w:lang w:val="en-US" w:bidi="ar-JO"/>
        </w:rPr>
        <w:t>التطويق و</w:t>
      </w:r>
      <w:r w:rsidR="00870A70" w:rsidRPr="00870A70">
        <w:rPr>
          <w:rFonts w:ascii="Traditional Arabic" w:eastAsiaTheme="minorHAnsi" w:hAnsi="Traditional Arabic" w:cs="Traditional Arabic"/>
          <w:sz w:val="30"/>
          <w:szCs w:val="30"/>
          <w:rtl/>
        </w:rPr>
        <w:t>الحصار والحصار</w:t>
      </w:r>
      <w:r>
        <w:rPr>
          <w:rFonts w:ascii="Traditional Arabic" w:eastAsiaTheme="minorHAnsi" w:hAnsi="Traditional Arabic" w:cs="Traditional Arabic" w:hint="cs"/>
          <w:sz w:val="30"/>
          <w:szCs w:val="30"/>
          <w:rtl/>
        </w:rPr>
        <w:t xml:space="preserve"> العسكري كأسلوب من أساليب القتال</w:t>
      </w:r>
      <w:r w:rsidR="00870A70" w:rsidRPr="00870A70">
        <w:rPr>
          <w:rFonts w:ascii="Traditional Arabic" w:eastAsiaTheme="minorHAnsi" w:hAnsi="Traditional Arabic" w:cs="Traditional Arabic"/>
          <w:sz w:val="30"/>
          <w:szCs w:val="30"/>
          <w:vertAlign w:val="superscript"/>
        </w:rPr>
        <w:footnoteReference w:id="750"/>
      </w:r>
      <w:r w:rsidR="00870A70" w:rsidRPr="00870A70">
        <w:rPr>
          <w:rFonts w:ascii="Traditional Arabic" w:eastAsiaTheme="minorHAnsi" w:hAnsi="Traditional Arabic" w:cs="Traditional Arabic"/>
          <w:sz w:val="30"/>
          <w:szCs w:val="30"/>
          <w:rtl/>
        </w:rPr>
        <w:t xml:space="preserve"> ليست محظورة بحد ذاتها بموجب القانون الدولي الإنساني، طالما أن الغرض منها هو تحقيق هدف عسكري لا تجويع السكان المدنيين.</w:t>
      </w:r>
      <w:r w:rsidR="00870A70" w:rsidRPr="00870A70">
        <w:rPr>
          <w:rFonts w:ascii="Traditional Arabic" w:eastAsiaTheme="minorHAnsi" w:hAnsi="Traditional Arabic" w:cs="Traditional Arabic"/>
          <w:sz w:val="30"/>
          <w:szCs w:val="30"/>
          <w:lang w:bidi="ar"/>
        </w:rPr>
        <w:t xml:space="preserve"> </w:t>
      </w:r>
      <w:r w:rsidR="00870A70" w:rsidRPr="00870A70">
        <w:rPr>
          <w:rFonts w:ascii="Traditional Arabic" w:eastAsiaTheme="minorHAnsi" w:hAnsi="Traditional Arabic" w:cs="Traditional Arabic"/>
          <w:sz w:val="30"/>
          <w:szCs w:val="30"/>
          <w:vertAlign w:val="superscript"/>
        </w:rPr>
        <w:footnoteReference w:id="751"/>
      </w:r>
      <w:r w:rsidR="00870A70" w:rsidRPr="00870A70">
        <w:rPr>
          <w:rFonts w:ascii="Traditional Arabic" w:eastAsiaTheme="minorHAnsi" w:hAnsi="Traditional Arabic" w:cs="Traditional Arabic"/>
          <w:sz w:val="30"/>
          <w:szCs w:val="30"/>
          <w:rtl/>
        </w:rPr>
        <w:t>على أي حال، يجب على أطراف النزاع أن تسمح وتسهل المرور السريع وبدون عرقلة</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للإغاثة الإنسانية إلى المدنيين الذين يحتاجون إليها، والتي تتسم في طابعها</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بالحيادية وتُباشَر دون أي تمييز معاكِس، رهنًا بحق هذه الأطراف في</w:t>
      </w:r>
      <w:r w:rsidR="00870A70" w:rsidRPr="00870A70">
        <w:rPr>
          <w:rFonts w:ascii="Traditional Arabic" w:eastAsiaTheme="minorHAnsi" w:hAnsi="Traditional Arabic" w:cs="Traditional Arabic"/>
          <w:sz w:val="30"/>
          <w:szCs w:val="30"/>
          <w:rtl/>
          <w:lang w:bidi="ar"/>
        </w:rPr>
        <w:t xml:space="preserve"> </w:t>
      </w:r>
      <w:r w:rsidR="00870A70" w:rsidRPr="00870A70">
        <w:rPr>
          <w:rFonts w:ascii="Traditional Arabic" w:eastAsiaTheme="minorHAnsi" w:hAnsi="Traditional Arabic" w:cs="Traditional Arabic"/>
          <w:sz w:val="30"/>
          <w:szCs w:val="30"/>
          <w:rtl/>
        </w:rPr>
        <w:t>مراقبتها</w:t>
      </w:r>
      <w:r w:rsidR="00870A70" w:rsidRPr="00870A70">
        <w:rPr>
          <w:rFonts w:ascii="Traditional Arabic" w:eastAsiaTheme="minorHAnsi" w:hAnsi="Traditional Arabic" w:cs="Traditional Arabic"/>
          <w:sz w:val="30"/>
          <w:szCs w:val="30"/>
          <w:lang w:bidi="ar"/>
        </w:rPr>
        <w:t>.</w:t>
      </w:r>
      <w:r w:rsidR="00870A70" w:rsidRPr="00870A70">
        <w:rPr>
          <w:rFonts w:ascii="Traditional Arabic" w:eastAsiaTheme="minorHAnsi" w:hAnsi="Traditional Arabic" w:cs="Traditional Arabic"/>
          <w:sz w:val="30"/>
          <w:szCs w:val="30"/>
          <w:vertAlign w:val="superscript"/>
        </w:rPr>
        <w:t xml:space="preserve"> </w:t>
      </w:r>
      <w:r w:rsidR="00870A70" w:rsidRPr="00870A70">
        <w:rPr>
          <w:rFonts w:ascii="Traditional Arabic" w:eastAsiaTheme="minorHAnsi" w:hAnsi="Traditional Arabic" w:cs="Traditional Arabic"/>
          <w:sz w:val="30"/>
          <w:szCs w:val="30"/>
          <w:vertAlign w:val="superscript"/>
        </w:rPr>
        <w:footnoteReference w:id="752"/>
      </w:r>
      <w:r w:rsidR="00870A70" w:rsidRPr="00870A70">
        <w:rPr>
          <w:rFonts w:ascii="Traditional Arabic" w:eastAsiaTheme="minorHAnsi" w:hAnsi="Traditional Arabic" w:cs="Traditional Arabic"/>
          <w:sz w:val="30"/>
          <w:szCs w:val="30"/>
          <w:rtl/>
        </w:rPr>
        <w:t xml:space="preserve"> </w:t>
      </w:r>
    </w:p>
    <w:p w14:paraId="6E09741E" w14:textId="7F2197C6"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rPr>
      </w:pPr>
      <w:r w:rsidRPr="00870A70">
        <w:rPr>
          <w:rFonts w:ascii="Traditional Arabic" w:eastAsiaTheme="minorHAnsi" w:hAnsi="Traditional Arabic" w:cs="Traditional Arabic"/>
          <w:sz w:val="30"/>
          <w:szCs w:val="30"/>
          <w:rtl/>
        </w:rPr>
        <w:t>أدت القيود على الوصول التي فرضتها سلطات الأمر الواقع على النحو الموصوف أعلاه إلى إعاقة العمليات الإنسانية بشكل كبير، حيث قيّدت إلى حد كبير حركة موظفي الإغاثة أو الإمدادات باتجاه أو ضمن حجور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لدى فريق الخبراء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قد انتهكت إلتزامها السماح بتسهيل مرور الإغاثة الإنسانية دون أي عوائق</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 xml:space="preserve">يُنتهك هذا الالتزام أيضًا لأن </w:t>
      </w:r>
      <w:r w:rsidR="00505522">
        <w:rPr>
          <w:rFonts w:ascii="Traditional Arabic" w:eastAsiaTheme="minorHAnsi" w:hAnsi="Traditional Arabic" w:cs="Traditional Arabic"/>
          <w:sz w:val="30"/>
          <w:szCs w:val="30"/>
          <w:rtl/>
        </w:rPr>
        <w:t>سلطات الأمر الواقع</w:t>
      </w:r>
      <w:r w:rsidR="00505522"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sz w:val="30"/>
          <w:szCs w:val="30"/>
          <w:rtl/>
        </w:rPr>
        <w:t xml:space="preserve">منعت وصول المنظمات الإنسانية للمضي قدماً في تقييم الاحتياجات. يوجد أيضًا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لم تحترم حقوق الإنسان في الغذاء والمياه وكذلك الرعاية الصحية. </w:t>
      </w:r>
      <w:r w:rsidRPr="00505522">
        <w:rPr>
          <w:rFonts w:ascii="Traditional Arabic" w:eastAsiaTheme="minorHAnsi" w:hAnsi="Traditional Arabic" w:cs="Traditional Arabic"/>
          <w:sz w:val="30"/>
          <w:szCs w:val="30"/>
          <w:rtl/>
        </w:rPr>
        <w:t xml:space="preserve">(مراجعة الفصل الخاص بالانتهاكات المتعلقة بالأزمة الإنسانية </w:t>
      </w:r>
      <w:r w:rsidR="00003694" w:rsidRPr="00505522">
        <w:rPr>
          <w:rFonts w:ascii="Traditional Arabic" w:eastAsiaTheme="minorHAnsi" w:hAnsi="Traditional Arabic" w:cs="Traditional Arabic" w:hint="cs"/>
          <w:sz w:val="30"/>
          <w:szCs w:val="30"/>
          <w:rtl/>
          <w:lang w:bidi="ar-JO"/>
        </w:rPr>
        <w:t xml:space="preserve">ـ قسم تحديات الوصول </w:t>
      </w:r>
      <w:r w:rsidRPr="00505522">
        <w:rPr>
          <w:rFonts w:ascii="Traditional Arabic" w:eastAsiaTheme="minorHAnsi" w:hAnsi="Traditional Arabic" w:cs="Traditional Arabic"/>
          <w:sz w:val="30"/>
          <w:szCs w:val="30"/>
          <w:rtl/>
        </w:rPr>
        <w:t>لمزيد من التفاصيل)</w:t>
      </w:r>
    </w:p>
    <w:p w14:paraId="75AC2A4F" w14:textId="0E55A5CB" w:rsidR="00870A70" w:rsidRPr="000F3E5E" w:rsidRDefault="00385E46" w:rsidP="000F3E5E">
      <w:pPr>
        <w:tabs>
          <w:tab w:val="left" w:pos="270"/>
        </w:tabs>
        <w:suppressAutoHyphens w:val="0"/>
        <w:bidi/>
        <w:spacing w:after="120"/>
        <w:ind w:left="1134" w:right="521" w:hanging="675"/>
        <w:contextualSpacing/>
        <w:jc w:val="both"/>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b/>
          <w:bCs/>
          <w:sz w:val="30"/>
          <w:szCs w:val="30"/>
          <w:lang w:val="en-US"/>
        </w:rPr>
        <w:tab/>
      </w:r>
      <w:r w:rsidR="00870A70" w:rsidRPr="000F3E5E">
        <w:rPr>
          <w:rFonts w:ascii="Traditional Arabic" w:eastAsiaTheme="minorHAnsi" w:hAnsi="Traditional Arabic" w:cs="Traditional Arabic"/>
          <w:b/>
          <w:bCs/>
          <w:sz w:val="30"/>
          <w:szCs w:val="30"/>
          <w:rtl/>
          <w:lang w:val="en-US"/>
        </w:rPr>
        <w:t xml:space="preserve">ه) الاعتقالات التعسفية، الاحتجازات، الاختفاءات القسرية والتعذيب </w:t>
      </w:r>
    </w:p>
    <w:p w14:paraId="68E016F4" w14:textId="15D16587" w:rsidR="00870A70" w:rsidRPr="00870A70" w:rsidRDefault="00870A70" w:rsidP="00505522">
      <w:pPr>
        <w:tabs>
          <w:tab w:val="left" w:pos="5130"/>
        </w:tabs>
        <w:suppressAutoHyphens w:val="0"/>
        <w:bidi/>
        <w:spacing w:after="160" w:line="276" w:lineRule="auto"/>
        <w:ind w:left="1449" w:right="522"/>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i/>
          <w:iCs/>
          <w:sz w:val="30"/>
          <w:szCs w:val="30"/>
          <w:rtl/>
          <w:lang w:val="en-US"/>
        </w:rPr>
        <w:lastRenderedPageBreak/>
        <w:t>"</w:t>
      </w:r>
      <w:r w:rsidRPr="00870A70">
        <w:rPr>
          <w:rFonts w:ascii="Traditional Arabic" w:eastAsiaTheme="minorHAnsi" w:hAnsi="Traditional Arabic" w:cs="Traditional Arabic"/>
          <w:i/>
          <w:iCs/>
          <w:sz w:val="30"/>
          <w:szCs w:val="30"/>
          <w:rtl/>
        </w:rPr>
        <w:t>اختطف أحد أشقائي، وقتل آخر.</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فقد</w:t>
      </w:r>
      <w:r w:rsidR="00505522">
        <w:rPr>
          <w:rFonts w:ascii="Traditional Arabic" w:eastAsiaTheme="minorHAnsi" w:hAnsi="Traditional Arabic" w:cs="Traditional Arabic" w:hint="cs"/>
          <w:i/>
          <w:iCs/>
          <w:sz w:val="30"/>
          <w:szCs w:val="30"/>
          <w:rtl/>
        </w:rPr>
        <w:t xml:space="preserve">ت </w:t>
      </w:r>
      <w:r w:rsidRPr="00870A70">
        <w:rPr>
          <w:rFonts w:ascii="Traditional Arabic" w:eastAsiaTheme="minorHAnsi" w:hAnsi="Traditional Arabic" w:cs="Traditional Arabic"/>
          <w:i/>
          <w:iCs/>
          <w:sz w:val="30"/>
          <w:szCs w:val="30"/>
          <w:rtl/>
        </w:rPr>
        <w:t>كب</w:t>
      </w:r>
      <w:r w:rsidR="00505522">
        <w:rPr>
          <w:rFonts w:ascii="Traditional Arabic" w:eastAsiaTheme="minorHAnsi" w:hAnsi="Traditional Arabic" w:cs="Traditional Arabic" w:hint="cs"/>
          <w:i/>
          <w:iCs/>
          <w:sz w:val="30"/>
          <w:szCs w:val="30"/>
          <w:rtl/>
        </w:rPr>
        <w:t>ا</w:t>
      </w:r>
      <w:r w:rsidRPr="00870A70">
        <w:rPr>
          <w:rFonts w:ascii="Traditional Arabic" w:eastAsiaTheme="minorHAnsi" w:hAnsi="Traditional Arabic" w:cs="Traditional Arabic"/>
          <w:i/>
          <w:iCs/>
          <w:sz w:val="30"/>
          <w:szCs w:val="30"/>
          <w:rtl/>
        </w:rPr>
        <w:t>ر أبنائي لمدة شهرين.</w:t>
      </w:r>
      <w:r w:rsidRPr="00870A70">
        <w:rPr>
          <w:rFonts w:ascii="Traditional Arabic" w:eastAsiaTheme="minorHAnsi" w:hAnsi="Traditional Arabic" w:cs="Traditional Arabic"/>
          <w:i/>
          <w:iCs/>
          <w:sz w:val="30"/>
          <w:szCs w:val="30"/>
          <w:lang w:bidi="ar"/>
        </w:rPr>
        <w:t xml:space="preserve"> </w:t>
      </w:r>
      <w:r w:rsidRPr="00870A70">
        <w:rPr>
          <w:rFonts w:ascii="Traditional Arabic" w:eastAsiaTheme="minorHAnsi" w:hAnsi="Traditional Arabic" w:cs="Traditional Arabic"/>
          <w:i/>
          <w:iCs/>
          <w:sz w:val="30"/>
          <w:szCs w:val="30"/>
          <w:rtl/>
        </w:rPr>
        <w:t>هربنا في اتجاهات مختلفة، ولم نكن نعرف إلى أين ذهبوا."</w:t>
      </w:r>
    </w:p>
    <w:p w14:paraId="77DD6B06" w14:textId="483A0336" w:rsidR="00870A70" w:rsidRPr="00870A70" w:rsidRDefault="000F3E5E" w:rsidP="00870A70">
      <w:pPr>
        <w:tabs>
          <w:tab w:val="left" w:pos="5130"/>
        </w:tabs>
        <w:suppressAutoHyphens w:val="0"/>
        <w:bidi/>
        <w:spacing w:after="160" w:line="276" w:lineRule="auto"/>
        <w:ind w:right="522"/>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b/>
          <w:bCs/>
          <w:sz w:val="30"/>
          <w:szCs w:val="30"/>
          <w:rtl/>
        </w:rPr>
        <w:tab/>
      </w:r>
      <w:r w:rsidR="00870A70" w:rsidRPr="00870A70">
        <w:rPr>
          <w:rFonts w:ascii="Traditional Arabic" w:eastAsiaTheme="minorHAnsi" w:hAnsi="Traditional Arabic" w:cs="Traditional Arabic"/>
          <w:b/>
          <w:bCs/>
          <w:sz w:val="30"/>
          <w:szCs w:val="30"/>
          <w:rtl/>
        </w:rPr>
        <w:t xml:space="preserve">رجل نازح داخليًا من </w:t>
      </w:r>
      <w:r w:rsidR="00505522">
        <w:rPr>
          <w:rFonts w:ascii="Traditional Arabic" w:eastAsiaTheme="minorHAnsi" w:hAnsi="Traditional Arabic" w:cs="Traditional Arabic" w:hint="cs"/>
          <w:b/>
          <w:bCs/>
          <w:sz w:val="30"/>
          <w:szCs w:val="30"/>
          <w:rtl/>
        </w:rPr>
        <w:t>ال</w:t>
      </w:r>
      <w:r w:rsidR="00870A70" w:rsidRPr="00870A70">
        <w:rPr>
          <w:rFonts w:ascii="Traditional Arabic" w:eastAsiaTheme="minorHAnsi" w:hAnsi="Traditional Arabic" w:cs="Traditional Arabic"/>
          <w:b/>
          <w:bCs/>
          <w:sz w:val="30"/>
          <w:szCs w:val="30"/>
          <w:rtl/>
        </w:rPr>
        <w:t>عبيسة</w:t>
      </w:r>
    </w:p>
    <w:p w14:paraId="68ED74BA" w14:textId="110615A0"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i/>
          <w:iCs/>
          <w:sz w:val="30"/>
          <w:szCs w:val="30"/>
          <w:rtl/>
          <w:lang w:val="en-US"/>
        </w:rPr>
      </w:pPr>
      <w:r w:rsidRPr="00870A70">
        <w:rPr>
          <w:rFonts w:ascii="Traditional Arabic" w:eastAsiaTheme="minorHAnsi" w:hAnsi="Traditional Arabic" w:cs="Traditional Arabic"/>
          <w:sz w:val="30"/>
          <w:szCs w:val="30"/>
          <w:rtl/>
        </w:rPr>
        <w:t>تشير الدلائل التي جمعها فريق الخبراء إلى أنه خلال الأعمال العدائية في حجور وبعدها حصلت اعتقالات واسعة النطاق لرجال من المنطقة،</w:t>
      </w:r>
      <w:r w:rsidRPr="00870A70">
        <w:rPr>
          <w:rFonts w:ascii="Traditional Arabic" w:eastAsiaTheme="minorHAnsi" w:hAnsi="Traditional Arabic" w:cs="Traditional Arabic"/>
          <w:sz w:val="30"/>
          <w:szCs w:val="30"/>
          <w:vertAlign w:val="superscript"/>
          <w:lang w:val="en-US"/>
        </w:rPr>
        <w:footnoteReference w:id="753"/>
      </w:r>
      <w:r w:rsidRPr="00870A70">
        <w:rPr>
          <w:rFonts w:ascii="Traditional Arabic" w:eastAsiaTheme="minorHAnsi" w:hAnsi="Traditional Arabic" w:cs="Traditional Arabic"/>
          <w:sz w:val="30"/>
          <w:szCs w:val="30"/>
          <w:rtl/>
        </w:rPr>
        <w:t xml:space="preserve"> والذين، وفق تقارير، احتجزهم الحوثيون عند نقاط التفتيش ومن المستشفيات</w:t>
      </w:r>
      <w:r w:rsidRPr="00870A70">
        <w:rPr>
          <w:rFonts w:ascii="Traditional Arabic" w:eastAsiaTheme="minorHAnsi" w:hAnsi="Traditional Arabic" w:cs="Traditional Arabic"/>
          <w:sz w:val="30"/>
          <w:szCs w:val="30"/>
          <w:vertAlign w:val="superscript"/>
          <w:lang w:val="en-US"/>
        </w:rPr>
        <w:footnoteReference w:id="754"/>
      </w:r>
      <w:r w:rsidRPr="00870A70">
        <w:rPr>
          <w:rFonts w:ascii="Traditional Arabic" w:eastAsiaTheme="minorHAnsi" w:hAnsi="Traditional Arabic" w:cs="Traditional Arabic"/>
          <w:sz w:val="30"/>
          <w:szCs w:val="30"/>
          <w:rtl/>
        </w:rPr>
        <w:t xml:space="preserve"> وفي حالة واحدة من مستشفى في صنعاء.</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5"/>
      </w:r>
      <w:r w:rsidRPr="00870A70">
        <w:rPr>
          <w:rFonts w:ascii="Traditional Arabic" w:eastAsiaTheme="minorHAnsi" w:hAnsi="Traditional Arabic" w:cs="Traditional Arabic"/>
          <w:sz w:val="30"/>
          <w:szCs w:val="30"/>
          <w:rtl/>
        </w:rPr>
        <w:t>ووفقًا للعائلات والمصادر من المنطقة، فإن الكثير من المعتقلين دون أي مبرر احتُجزوا في حجة، في ما كان يُعتبر مرفق للأمن السياسي والذي حولّه الحوثيون منذ ذلك الحين إلى مكان احتجاز غير رسمي.</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6"/>
      </w:r>
      <w:r w:rsidRPr="00870A70">
        <w:rPr>
          <w:rFonts w:ascii="Traditional Arabic" w:eastAsiaTheme="minorHAnsi" w:hAnsi="Traditional Arabic" w:cs="Traditional Arabic"/>
          <w:sz w:val="30"/>
          <w:szCs w:val="30"/>
          <w:rtl/>
        </w:rPr>
        <w:t>وفق تقارير، احتُجز آخرون في صنعاء أو في عمران.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7"/>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أخبرت بعض العائلات فريق الخبراء أن بعض المختفين شاركوا في المواجهات المسلحة مع الحوثيين، في حين أن آخرين كانوا مدنيين حاولوا إما الفرار أو</w:t>
      </w:r>
      <w:r w:rsidRPr="00870A70">
        <w:rPr>
          <w:rFonts w:ascii="Traditional Arabic" w:eastAsiaTheme="minorHAnsi" w:hAnsi="Traditional Arabic" w:cs="Traditional Arabic"/>
          <w:sz w:val="30"/>
          <w:szCs w:val="30"/>
          <w:rtl/>
          <w:lang w:bidi="ar-YE"/>
        </w:rPr>
        <w:t xml:space="preserve"> اقتيدوا</w:t>
      </w:r>
      <w:r w:rsidRPr="00870A70">
        <w:rPr>
          <w:rFonts w:ascii="Traditional Arabic" w:eastAsiaTheme="minorHAnsi" w:hAnsi="Traditional Arabic" w:cs="Traditional Arabic"/>
          <w:sz w:val="30"/>
          <w:szCs w:val="30"/>
          <w:rtl/>
        </w:rPr>
        <w:t xml:space="preserve"> من منازلهم أو من نقاط تفتيش في طريقهم إلى خارج المنطقة</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أو أُخذوا من </w:t>
      </w:r>
      <w:r w:rsidR="00505522">
        <w:rPr>
          <w:rFonts w:ascii="Traditional Arabic" w:eastAsiaTheme="minorHAnsi" w:hAnsi="Traditional Arabic" w:cs="Traditional Arabic" w:hint="cs"/>
          <w:sz w:val="30"/>
          <w:szCs w:val="30"/>
          <w:rtl/>
        </w:rPr>
        <w:t>ال</w:t>
      </w:r>
      <w:r w:rsidRPr="00870A70">
        <w:rPr>
          <w:rFonts w:ascii="Traditional Arabic" w:eastAsiaTheme="minorHAnsi" w:hAnsi="Traditional Arabic" w:cs="Traditional Arabic"/>
          <w:sz w:val="30"/>
          <w:szCs w:val="30"/>
          <w:rtl/>
        </w:rPr>
        <w:t>مستشفى من قبل حوثيين مسلحين</w:t>
      </w:r>
      <w:r w:rsidRPr="00870A70">
        <w:rPr>
          <w:rFonts w:ascii="Traditional Arabic" w:eastAsiaTheme="minorHAnsi" w:hAnsi="Traditional Arabic" w:cs="Traditional Arabic"/>
          <w:sz w:val="30"/>
          <w:szCs w:val="30"/>
          <w:lang w:bidi="ar"/>
        </w:rPr>
        <w:t>.</w:t>
      </w:r>
    </w:p>
    <w:p w14:paraId="475CB2A9"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أخبر أحد الشهود فريق الخبراء كيف قام الحوثيون بأخد قريبه من المستشفى واختفى بعدما كان مصابًا بينما </w:t>
      </w:r>
      <w:r w:rsidRPr="00870A70">
        <w:rPr>
          <w:rFonts w:ascii="Traditional Arabic" w:eastAsiaTheme="minorHAnsi" w:hAnsi="Traditional Arabic" w:cs="Traditional Arabic"/>
          <w:i/>
          <w:iCs/>
          <w:sz w:val="30"/>
          <w:szCs w:val="30"/>
          <w:rtl/>
        </w:rPr>
        <w:t>"كان يدافع عن منزلهم مثلما فعل بعض الشبان الآخرين."</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58"/>
      </w:r>
      <w:r w:rsidRPr="00870A70">
        <w:rPr>
          <w:rFonts w:ascii="Traditional Arabic" w:eastAsiaTheme="minorHAnsi" w:hAnsi="Traditional Arabic" w:cs="Traditional Arabic"/>
          <w:sz w:val="30"/>
          <w:szCs w:val="30"/>
          <w:rtl/>
        </w:rPr>
        <w:t>شخص آخر مدني تقطعت به السبل في منطقة تسمى</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نهم الغرب، وهي منطقة تلقى فريق الخبراء تقارير عن اختفاء 71 رجلاً فيها،</w:t>
      </w:r>
      <w:r w:rsidRPr="00870A70">
        <w:rPr>
          <w:rFonts w:ascii="Traditional Arabic" w:eastAsiaTheme="minorHAnsi" w:hAnsi="Traditional Arabic" w:cs="Traditional Arabic"/>
          <w:sz w:val="30"/>
          <w:szCs w:val="30"/>
          <w:vertAlign w:val="superscript"/>
          <w:lang w:val="en-US"/>
        </w:rPr>
        <w:footnoteReference w:id="759"/>
      </w:r>
      <w:r w:rsidRPr="00870A70">
        <w:rPr>
          <w:rFonts w:ascii="Traditional Arabic" w:eastAsiaTheme="minorHAnsi" w:hAnsi="Traditional Arabic" w:cs="Traditional Arabic"/>
          <w:sz w:val="30"/>
          <w:szCs w:val="30"/>
          <w:rtl/>
        </w:rPr>
        <w:t xml:space="preserve"> فذهب، وفق تقارير، إلى المحافظ المحلي عندما زادت القيود لطلب المشورة لأنه خشي أن يستهدفه الحوثيون كونه من عبيسة.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وبحسب ما ورد سُلم الرجل إلى الحوثيين وأُرسل إلى معتقل الأمن السياسي في حجة.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وقد اختفى منذ ذلك الحين</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60"/>
      </w:r>
    </w:p>
    <w:p w14:paraId="6A019161"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تلقى فريق الخبراء معلومات</w:t>
      </w:r>
      <w:r w:rsidRPr="00870A70">
        <w:rPr>
          <w:rFonts w:ascii="Traditional Arabic" w:eastAsiaTheme="minorHAnsi" w:hAnsi="Traditional Arabic" w:cs="Traditional Arabic"/>
          <w:sz w:val="30"/>
          <w:szCs w:val="30"/>
          <w:vertAlign w:val="superscript"/>
          <w:lang w:val="en-US"/>
        </w:rPr>
        <w:footnoteReference w:id="761"/>
      </w:r>
      <w:r w:rsidRPr="00870A70">
        <w:rPr>
          <w:rFonts w:ascii="Traditional Arabic" w:eastAsiaTheme="minorHAnsi" w:hAnsi="Traditional Arabic" w:cs="Traditional Arabic"/>
          <w:sz w:val="30"/>
          <w:szCs w:val="30"/>
          <w:rtl/>
        </w:rPr>
        <w:t xml:space="preserve"> من مصادر مختلفة تزعم أن ما يصل إلى 294 فرداً (من الذكور)، بمن فيهم صبيان و240 مدنياً على الأقل، قد اختفوا على أيدي الحوثيين في حجور منذ كانون الثاني/ يناير 2019. وأفادت التقارير أن مصيرهم وأماكن اختفائهم لا تزال مجهولة</w:t>
      </w:r>
      <w:r w:rsidRPr="00870A70">
        <w:rPr>
          <w:rFonts w:ascii="Traditional Arabic" w:eastAsiaTheme="minorHAnsi" w:hAnsi="Traditional Arabic" w:cs="Traditional Arabic"/>
          <w:sz w:val="30"/>
          <w:szCs w:val="30"/>
          <w:lang w:bidi="ar"/>
        </w:rPr>
        <w:t>.</w:t>
      </w:r>
    </w:p>
    <w:p w14:paraId="17D7171D" w14:textId="5710BB4B" w:rsidR="00870A70" w:rsidRPr="00870A70" w:rsidRDefault="00870A70" w:rsidP="00211C6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حقق فريق الخبراء</w:t>
      </w:r>
      <w:r w:rsidRPr="00870A70">
        <w:rPr>
          <w:rFonts w:ascii="Traditional Arabic" w:eastAsiaTheme="minorHAnsi" w:hAnsi="Traditional Arabic" w:cs="Traditional Arabic"/>
          <w:sz w:val="30"/>
          <w:szCs w:val="30"/>
          <w:vertAlign w:val="superscript"/>
          <w:lang w:val="en-US"/>
        </w:rPr>
        <w:footnoteReference w:id="762"/>
      </w:r>
      <w:r w:rsidRPr="00870A70">
        <w:rPr>
          <w:rFonts w:ascii="Traditional Arabic" w:eastAsiaTheme="minorHAnsi" w:hAnsi="Traditional Arabic" w:cs="Traditional Arabic"/>
          <w:sz w:val="30"/>
          <w:szCs w:val="30"/>
          <w:rtl/>
        </w:rPr>
        <w:t xml:space="preserve"> في حالتين من حالات الوفاة أثناء احتجاز لرجال من حجور منذ اندلاع النزاع في كانون الثاني/ يناير 2019. وفق تقارير، أحد الرجال كان مدرسًا قبض عليه رجال حوثيون مسلحون من عند نقطة تفتيش أثناء </w:t>
      </w:r>
      <w:r w:rsidRPr="00870A70">
        <w:rPr>
          <w:rFonts w:ascii="Traditional Arabic" w:eastAsiaTheme="minorHAnsi" w:hAnsi="Traditional Arabic" w:cs="Traditional Arabic"/>
          <w:sz w:val="30"/>
          <w:szCs w:val="30"/>
          <w:rtl/>
        </w:rPr>
        <w:lastRenderedPageBreak/>
        <w:t>سفره للوصول إلى أسرته.</w:t>
      </w:r>
      <w:r w:rsidRPr="00870A70">
        <w:rPr>
          <w:rFonts w:ascii="Traditional Arabic" w:eastAsiaTheme="minorHAnsi" w:hAnsi="Traditional Arabic" w:cs="Traditional Arabic"/>
          <w:sz w:val="30"/>
          <w:szCs w:val="30"/>
          <w:vertAlign w:val="superscript"/>
          <w:lang w:val="en-US"/>
        </w:rPr>
        <w:t xml:space="preserve"> </w:t>
      </w:r>
      <w:r w:rsidRPr="00870A70">
        <w:rPr>
          <w:rFonts w:ascii="Traditional Arabic" w:eastAsiaTheme="minorHAnsi" w:hAnsi="Traditional Arabic" w:cs="Traditional Arabic"/>
          <w:sz w:val="30"/>
          <w:szCs w:val="30"/>
          <w:vertAlign w:val="superscript"/>
          <w:lang w:val="en-US"/>
        </w:rPr>
        <w:footnoteReference w:id="763"/>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 xml:space="preserve">لدى فريق الخبراء أسبابًا </w:t>
      </w:r>
      <w:r w:rsidR="00211C68">
        <w:rPr>
          <w:rFonts w:ascii="Traditional Arabic" w:eastAsiaTheme="minorHAnsi" w:hAnsi="Traditional Arabic" w:cs="Traditional Arabic" w:hint="cs"/>
          <w:sz w:val="30"/>
          <w:szCs w:val="30"/>
          <w:rtl/>
        </w:rPr>
        <w:t xml:space="preserve">معقولة للإعتقاد </w:t>
      </w:r>
      <w:r w:rsidRPr="00870A70">
        <w:rPr>
          <w:rFonts w:ascii="Traditional Arabic" w:eastAsiaTheme="minorHAnsi" w:hAnsi="Traditional Arabic" w:cs="Traditional Arabic"/>
          <w:sz w:val="30"/>
          <w:szCs w:val="30"/>
          <w:rtl/>
        </w:rPr>
        <w:t>أنه توفي في الحجز</w:t>
      </w:r>
      <w:r w:rsidR="00211C68">
        <w:rPr>
          <w:rFonts w:ascii="Traditional Arabic" w:eastAsiaTheme="minorHAnsi" w:hAnsi="Traditional Arabic" w:cs="Traditional Arabic" w:hint="cs"/>
          <w:sz w:val="30"/>
          <w:szCs w:val="30"/>
          <w:rtl/>
        </w:rPr>
        <w:t xml:space="preserve">. </w:t>
      </w:r>
      <w:r w:rsidR="00211C68" w:rsidRPr="00870A70">
        <w:rPr>
          <w:rFonts w:ascii="Traditional Arabic" w:eastAsiaTheme="minorHAnsi" w:hAnsi="Traditional Arabic" w:cs="Traditional Arabic"/>
          <w:sz w:val="30"/>
          <w:szCs w:val="30"/>
          <w:rtl/>
        </w:rPr>
        <w:t xml:space="preserve">لم يستطع الفريق التحقق من مزاعم التعذيب أو التأكد من ملابسات وفاته </w:t>
      </w:r>
      <w:r w:rsidR="00211C68">
        <w:rPr>
          <w:rFonts w:ascii="Traditional Arabic" w:eastAsiaTheme="minorHAnsi" w:hAnsi="Traditional Arabic" w:cs="Traditional Arabic" w:hint="cs"/>
          <w:sz w:val="30"/>
          <w:szCs w:val="30"/>
          <w:rtl/>
        </w:rPr>
        <w:t xml:space="preserve">على الرغم أنه، </w:t>
      </w:r>
      <w:r w:rsidRPr="00870A70">
        <w:rPr>
          <w:rFonts w:ascii="Traditional Arabic" w:eastAsiaTheme="minorHAnsi" w:hAnsi="Traditional Arabic" w:cs="Traditional Arabic"/>
          <w:sz w:val="30"/>
          <w:szCs w:val="30"/>
          <w:rtl/>
        </w:rPr>
        <w:t>وفق تقارير، كان يحمل علامات تعذيب على يديه ورأسه ورقبته</w:t>
      </w:r>
      <w:r w:rsidRPr="00870A70">
        <w:rPr>
          <w:rFonts w:ascii="Traditional Arabic" w:eastAsiaTheme="minorHAnsi" w:hAnsi="Traditional Arabic" w:cs="Traditional Arabic"/>
          <w:sz w:val="30"/>
          <w:szCs w:val="30"/>
          <w:vertAlign w:val="superscript"/>
          <w:lang w:val="en-US"/>
        </w:rPr>
        <w:footnoteReference w:id="764"/>
      </w:r>
      <w:r w:rsidRPr="00870A70">
        <w:rPr>
          <w:rFonts w:ascii="Traditional Arabic" w:eastAsiaTheme="minorHAnsi" w:hAnsi="Traditional Arabic" w:cs="Traditional Arabic"/>
          <w:sz w:val="30"/>
          <w:szCs w:val="30"/>
          <w:rtl/>
        </w:rPr>
        <w:t>. أخذ الحوثيون الرجل الثاني من المستشفى بعد إصابته بشظية، وفق تقارير. بحسب المصادر، هو لم يشارك في المواجهات المسلحة في حجة. ووفق تقارير، وُضع رهن الاحتجاز في صنعاء وفُصل عن زملائه في الزنزانة قبل أسبوع من وفاته. لم يؤكد فريق الخبراء سبب وفاته بحلول وقت الانتهاء من إعداد هذا التقرير. في هاتين الحالتين كما في حالات أخرى وثقها فريق الخبراء في أماكن أخرى، لم تُعاد جثامين الموتى إلى أهلهم بحلول وقت الانتهاء من إعداد هذا التقرير. في بعض الحالات، سواء في حجة أو في أجزاء أخرى من اليمن، زعمت الأسر أن الرجال الذين يعملون في مرافق الاحتجاز التي تديرها سلطات الأمر الواقع قد طلبوا من العائلات دفع المال مقابل الحصول على معلومات عن أقاربهم</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lang w:val="en-US"/>
        </w:rPr>
        <w:footnoteReference w:id="765"/>
      </w:r>
    </w:p>
    <w:p w14:paraId="23DFFB67" w14:textId="77777777" w:rsidR="00870A70" w:rsidRPr="00870A70" w:rsidRDefault="00870A70" w:rsidP="000F3E5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870A70">
        <w:rPr>
          <w:rFonts w:ascii="Traditional Arabic" w:eastAsiaTheme="minorHAnsi" w:hAnsi="Traditional Arabic" w:cs="Traditional Arabic"/>
          <w:sz w:val="30"/>
          <w:szCs w:val="30"/>
          <w:rtl/>
        </w:rPr>
        <w:t>تشير مختلف التقارير والحالات الواردة المتعلقة بحجور عن احتجازات تعسفية واختفاءات قسرية وادعاءات بحدوث تعذيب والتي حقق فيها فريق الخبراء، في حالة تأكيدها، إلى نمط مقلق لاستهداف أفراد قبائل معينة وأسر من منطقة حجور،</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لاعتبارهم معارضين أو عدم دعمهم للحوثيين.</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تلقى الفريق ادعاءات باستهداف أسرة بأكملها حتى النساء فيها. لم يتمكن الفريق من تأكيد هذه الادعاءات بسبب ضيق الوقت وانعدام الوصول.</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تثير الأدلة التي جمعها واستعرضها الفريق إلى مخاوف بشأن وجود أنماط لاعتقال واحتجاز رجال من قبائل حجور أثناء فترة النزاع في المنطقة وبعده.</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وهذه الحالات تتطلب مزيدا من التحقيق</w:t>
      </w:r>
      <w:r w:rsidRPr="00870A70">
        <w:rPr>
          <w:rFonts w:ascii="Traditional Arabic" w:eastAsiaTheme="minorHAnsi" w:hAnsi="Traditional Arabic" w:cs="Traditional Arabic"/>
          <w:sz w:val="30"/>
          <w:szCs w:val="30"/>
          <w:lang w:bidi="ar"/>
        </w:rPr>
        <w:t>.</w:t>
      </w:r>
    </w:p>
    <w:p w14:paraId="71646468" w14:textId="37D81819" w:rsidR="00870A70" w:rsidRPr="00870A70" w:rsidRDefault="000F3E5E" w:rsidP="00870A70">
      <w:pPr>
        <w:tabs>
          <w:tab w:val="left" w:pos="1701"/>
        </w:tabs>
        <w:suppressAutoHyphens w:val="0"/>
        <w:bidi/>
        <w:spacing w:after="120"/>
        <w:ind w:right="827"/>
        <w:jc w:val="both"/>
        <w:rPr>
          <w:rFonts w:ascii="Traditional Arabic" w:eastAsiaTheme="minorHAnsi" w:hAnsi="Traditional Arabic" w:cs="Traditional Arabic"/>
          <w:sz w:val="30"/>
          <w:szCs w:val="30"/>
          <w:rtl/>
        </w:rPr>
      </w:pPr>
      <w:r>
        <w:rPr>
          <w:rFonts w:ascii="Traditional Arabic" w:eastAsiaTheme="minorHAnsi" w:hAnsi="Traditional Arabic" w:cs="Traditional Arabic" w:hint="cs"/>
          <w:sz w:val="30"/>
          <w:szCs w:val="30"/>
          <w:rtl/>
        </w:rPr>
        <w:t xml:space="preserve">                ال</w:t>
      </w:r>
      <w:r w:rsidR="00870A70" w:rsidRPr="00870A70">
        <w:rPr>
          <w:rFonts w:ascii="Traditional Arabic" w:eastAsiaTheme="minorHAnsi" w:hAnsi="Traditional Arabic" w:cs="Traditional Arabic"/>
          <w:sz w:val="30"/>
          <w:szCs w:val="30"/>
          <w:rtl/>
        </w:rPr>
        <w:t>انتهاكات</w:t>
      </w:r>
    </w:p>
    <w:p w14:paraId="73BE0146" w14:textId="6C6A59C0" w:rsidR="00870A70" w:rsidRPr="00870A70" w:rsidRDefault="00870A70" w:rsidP="0050552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val="en-US"/>
        </w:rPr>
      </w:pPr>
      <w:r w:rsidRPr="00870A70">
        <w:rPr>
          <w:rFonts w:ascii="Traditional Arabic" w:eastAsiaTheme="minorHAnsi" w:hAnsi="Traditional Arabic" w:cs="Traditional Arabic"/>
          <w:sz w:val="30"/>
          <w:szCs w:val="30"/>
          <w:rtl/>
        </w:rPr>
        <w:t>يحظر القانون الدولي لحقوق الإنسان والقانون الدولي الإنساني حالات الاختفاء القسري، لا سيما باعتبارها انتهاكًا لحظر الحرمان التعسفي من الحرية وحظر التعذيب.</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6"/>
      </w:r>
      <w:r w:rsidRPr="00870A70">
        <w:rPr>
          <w:rFonts w:ascii="Traditional Arabic" w:eastAsiaTheme="minorHAnsi" w:hAnsi="Traditional Arabic" w:cs="Traditional Arabic"/>
          <w:sz w:val="30"/>
          <w:szCs w:val="30"/>
          <w:vertAlign w:val="superscript"/>
          <w:rtl/>
        </w:rPr>
        <w:t xml:space="preserve"> </w:t>
      </w:r>
      <w:r w:rsidRPr="00870A70">
        <w:rPr>
          <w:rFonts w:ascii="Traditional Arabic" w:eastAsiaTheme="minorHAnsi" w:hAnsi="Traditional Arabic" w:cs="Traditional Arabic"/>
          <w:sz w:val="30"/>
          <w:szCs w:val="30"/>
          <w:rtl/>
        </w:rPr>
        <w:t>كما يحظر القانون الدولي لحقوق الإنسان والقانون الدولي الإنساني الاعتقال التعسفي.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7"/>
      </w:r>
      <w:r w:rsidRPr="00870A70">
        <w:rPr>
          <w:rFonts w:ascii="Traditional Arabic" w:eastAsiaTheme="minorHAnsi" w:hAnsi="Traditional Arabic" w:cs="Traditional Arabic"/>
          <w:sz w:val="30"/>
          <w:szCs w:val="30"/>
          <w:rtl/>
        </w:rPr>
        <w:t>حالات الحرمان من الحرية تُعتبر تعسفية ومخالفة لأحكام القانون الدولي، ومعظمها تلك المتعلقة بالحق في محاكمة عادلة أو غيرها من الضمانات الإجرائية، أو القيود غير القانونية المفروضة على ممارسة الحريات الأساسية</w:t>
      </w:r>
      <w:r w:rsidRPr="00870A70">
        <w:rPr>
          <w:rFonts w:ascii="Traditional Arabic" w:eastAsiaTheme="minorHAnsi" w:hAnsi="Traditional Arabic" w:cs="Traditional Arabic"/>
          <w:sz w:val="30"/>
          <w:szCs w:val="30"/>
          <w:vertAlign w:val="superscript"/>
        </w:rPr>
        <w:footnoteReference w:id="768"/>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 xml:space="preserve">إن حرمان شخص من الحق في محاكمة عادلة قد يعتبر </w:t>
      </w:r>
      <w:r w:rsidRPr="00870A70">
        <w:rPr>
          <w:rFonts w:ascii="Traditional Arabic" w:eastAsiaTheme="minorHAnsi" w:hAnsi="Traditional Arabic" w:cs="Traditional Arabic"/>
          <w:sz w:val="30"/>
          <w:szCs w:val="30"/>
          <w:rtl/>
        </w:rPr>
        <w:lastRenderedPageBreak/>
        <w:t>جريمة حرب في نزاع غير دولي.</w:t>
      </w:r>
      <w:r w:rsidRPr="00870A70">
        <w:rPr>
          <w:rFonts w:ascii="Traditional Arabic" w:eastAsiaTheme="minorHAnsi" w:hAnsi="Traditional Arabic" w:cs="Traditional Arabic"/>
          <w:sz w:val="30"/>
          <w:szCs w:val="30"/>
          <w:vertAlign w:val="superscript"/>
        </w:rPr>
        <w:t xml:space="preserve"> </w:t>
      </w:r>
      <w:r w:rsidRPr="00870A70">
        <w:rPr>
          <w:rFonts w:ascii="Traditional Arabic" w:eastAsiaTheme="minorHAnsi" w:hAnsi="Traditional Arabic" w:cs="Traditional Arabic"/>
          <w:sz w:val="30"/>
          <w:szCs w:val="30"/>
          <w:vertAlign w:val="superscript"/>
        </w:rPr>
        <w:footnoteReference w:id="769"/>
      </w:r>
      <w:r w:rsidRPr="00870A70">
        <w:rPr>
          <w:rFonts w:ascii="Traditional Arabic" w:eastAsiaTheme="minorHAnsi" w:hAnsi="Traditional Arabic" w:cs="Traditional Arabic"/>
          <w:sz w:val="30"/>
          <w:szCs w:val="30"/>
          <w:rtl/>
        </w:rPr>
        <w:t xml:space="preserve"> </w:t>
      </w:r>
      <w:r w:rsidRPr="00870A70">
        <w:rPr>
          <w:rFonts w:ascii="Traditional Arabic" w:eastAsiaTheme="minorHAnsi" w:hAnsi="Traditional Arabic" w:cs="Traditional Arabic"/>
          <w:sz w:val="30"/>
          <w:szCs w:val="30"/>
          <w:rtl/>
          <w:lang w:val="en-US"/>
        </w:rPr>
        <w:t xml:space="preserve"> </w:t>
      </w:r>
      <w:r w:rsidRPr="00870A70">
        <w:rPr>
          <w:rFonts w:ascii="Traditional Arabic" w:eastAsiaTheme="minorHAnsi" w:hAnsi="Traditional Arabic" w:cs="Traditional Arabic"/>
          <w:sz w:val="30"/>
          <w:szCs w:val="30"/>
          <w:rtl/>
        </w:rPr>
        <w:t>التعذيب وغيره من ضروب المعاملة القاسية أو اللاإنسانية أو المهينة ممنوع منعا باتا بموجب القانون الدولي لحقوق الإنسان والقانون الدولي الإنساني، وقد يؤدي إلى مسؤولية جنائية فردية عن جرائم الحرب</w:t>
      </w:r>
      <w:r w:rsidRPr="00870A70">
        <w:rPr>
          <w:rFonts w:ascii="Traditional Arabic" w:eastAsiaTheme="minorHAnsi" w:hAnsi="Traditional Arabic" w:cs="Traditional Arabic"/>
          <w:sz w:val="30"/>
          <w:szCs w:val="30"/>
          <w:lang w:bidi="ar"/>
        </w:rPr>
        <w:t>.</w:t>
      </w:r>
      <w:r w:rsidRPr="00870A70">
        <w:rPr>
          <w:rFonts w:ascii="Traditional Arabic" w:eastAsiaTheme="minorHAnsi" w:hAnsi="Traditional Arabic" w:cs="Traditional Arabic"/>
          <w:sz w:val="30"/>
          <w:szCs w:val="30"/>
          <w:vertAlign w:val="superscript"/>
        </w:rPr>
        <w:footnoteReference w:id="770"/>
      </w:r>
    </w:p>
    <w:p w14:paraId="54FC2C76" w14:textId="7A0FE27A" w:rsidR="00870A70" w:rsidRPr="00870A70" w:rsidRDefault="00870A70" w:rsidP="00D04A0F">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val="en-US"/>
        </w:rPr>
      </w:pPr>
      <w:r w:rsidRPr="00870A70">
        <w:rPr>
          <w:rFonts w:ascii="Traditional Arabic" w:eastAsiaTheme="minorHAnsi" w:hAnsi="Traditional Arabic" w:cs="Traditional Arabic"/>
          <w:sz w:val="30"/>
          <w:szCs w:val="30"/>
          <w:rtl/>
        </w:rPr>
        <w:t xml:space="preserve">لدى فريق الخبراء أسبابًا </w:t>
      </w:r>
      <w:r w:rsidR="000D3F75">
        <w:rPr>
          <w:rFonts w:ascii="Traditional Arabic" w:eastAsiaTheme="minorHAnsi" w:hAnsi="Traditional Arabic" w:cs="Traditional Arabic"/>
          <w:sz w:val="30"/>
          <w:szCs w:val="30"/>
          <w:rtl/>
        </w:rPr>
        <w:t xml:space="preserve">معقولة للإعتقاد </w:t>
      </w:r>
      <w:r w:rsidRPr="00870A70">
        <w:rPr>
          <w:rFonts w:ascii="Traditional Arabic" w:eastAsiaTheme="minorHAnsi" w:hAnsi="Traditional Arabic" w:cs="Traditional Arabic"/>
          <w:sz w:val="30"/>
          <w:szCs w:val="30"/>
          <w:rtl/>
        </w:rPr>
        <w:t xml:space="preserve"> بأن سلطات الأمر الواقع قد انتهكت الحق في الحرية والأمن الشخصي، أي من خلال حالات الاختفاء القسري والاعتقالات التعسفية والاحتجاز بما في ذلك انتهاك حقوق المحاكمة العادلة، في حجة، لا سيما لأفراد على أساس</w:t>
      </w:r>
      <w:r w:rsidRPr="00870A70">
        <w:rPr>
          <w:rFonts w:ascii="Traditional Arabic" w:eastAsiaTheme="minorHAnsi" w:hAnsi="Traditional Arabic" w:cs="Traditional Arabic"/>
          <w:sz w:val="30"/>
          <w:szCs w:val="30"/>
          <w:rtl/>
          <w:lang w:bidi="ar"/>
        </w:rPr>
        <w:t xml:space="preserve"> </w:t>
      </w:r>
      <w:r w:rsidRPr="00870A70">
        <w:rPr>
          <w:rFonts w:ascii="Traditional Arabic" w:eastAsiaTheme="minorHAnsi" w:hAnsi="Traditional Arabic" w:cs="Traditional Arabic"/>
          <w:sz w:val="30"/>
          <w:szCs w:val="30"/>
          <w:rtl/>
        </w:rPr>
        <w:t>انتمائهم القبلي.</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قد يؤدي ذلك إلى مسؤولية جنائية فردية عن جريمة الحرب المتمثلة في الحرمان من المحاكمة العادلة. يوجد  أيضًا مخاوف بشأن حالات التعذيب وسوء المعاملة.</w:t>
      </w:r>
      <w:r w:rsidRPr="00870A70">
        <w:rPr>
          <w:rFonts w:ascii="Traditional Arabic" w:eastAsiaTheme="minorHAnsi" w:hAnsi="Traditional Arabic" w:cs="Traditional Arabic"/>
          <w:sz w:val="30"/>
          <w:szCs w:val="30"/>
          <w:lang w:bidi="ar"/>
        </w:rPr>
        <w:t xml:space="preserve"> </w:t>
      </w:r>
      <w:r w:rsidRPr="00870A70">
        <w:rPr>
          <w:rFonts w:ascii="Traditional Arabic" w:eastAsiaTheme="minorHAnsi" w:hAnsi="Traditional Arabic" w:cs="Traditional Arabic"/>
          <w:sz w:val="30"/>
          <w:szCs w:val="30"/>
          <w:rtl/>
        </w:rPr>
        <w:t>إذا ثبتت هذه الادعاءات، فقد يؤدي ذلك إلى مسؤولية جنائية عن ج</w:t>
      </w:r>
      <w:r w:rsidR="00D04A0F">
        <w:rPr>
          <w:rFonts w:ascii="Traditional Arabic" w:eastAsiaTheme="minorHAnsi" w:hAnsi="Traditional Arabic" w:cs="Traditional Arabic"/>
          <w:sz w:val="30"/>
          <w:szCs w:val="30"/>
          <w:rtl/>
        </w:rPr>
        <w:t xml:space="preserve">رائم الحرب المتمثلة في التعذيب </w:t>
      </w:r>
      <w:r w:rsidRPr="00870A70">
        <w:rPr>
          <w:rFonts w:ascii="Traditional Arabic" w:eastAsiaTheme="minorHAnsi" w:hAnsi="Traditional Arabic" w:cs="Traditional Arabic"/>
          <w:sz w:val="30"/>
          <w:szCs w:val="30"/>
          <w:rtl/>
        </w:rPr>
        <w:t>والمعاملة القاسية أو اللاإنسانية</w:t>
      </w:r>
      <w:r w:rsidRPr="00870A70">
        <w:rPr>
          <w:rFonts w:ascii="Traditional Arabic" w:eastAsiaTheme="minorHAnsi" w:hAnsi="Traditional Arabic" w:cs="Traditional Arabic"/>
          <w:sz w:val="30"/>
          <w:szCs w:val="30"/>
          <w:lang w:bidi="ar"/>
        </w:rPr>
        <w:t>.</w:t>
      </w:r>
    </w:p>
    <w:p w14:paraId="2A8E122E" w14:textId="36EE38F9" w:rsidR="00CF5C69" w:rsidRPr="00CF5C69" w:rsidRDefault="00CF5C69" w:rsidP="00385E46">
      <w:pPr>
        <w:pStyle w:val="Footer"/>
        <w:numPr>
          <w:ilvl w:val="0"/>
          <w:numId w:val="12"/>
        </w:numPr>
        <w:tabs>
          <w:tab w:val="left" w:pos="720"/>
          <w:tab w:val="left" w:pos="900"/>
          <w:tab w:val="left" w:pos="1134"/>
          <w:tab w:val="left" w:pos="1701"/>
        </w:tabs>
        <w:bidi/>
        <w:spacing w:after="240"/>
        <w:ind w:right="1080" w:hanging="765"/>
        <w:jc w:val="both"/>
        <w:rPr>
          <w:rFonts w:ascii="Traditional Arabic" w:hAnsi="Traditional Arabic" w:cs="Traditional Arabic"/>
          <w:b/>
          <w:bCs/>
          <w:sz w:val="30"/>
          <w:szCs w:val="30"/>
          <w:rtl/>
        </w:rPr>
      </w:pPr>
      <w:r w:rsidRPr="00CF5C69">
        <w:rPr>
          <w:rFonts w:ascii="Traditional Arabic" w:hAnsi="Traditional Arabic" w:cs="Traditional Arabic"/>
          <w:b/>
          <w:bCs/>
          <w:sz w:val="30"/>
          <w:szCs w:val="30"/>
          <w:rtl/>
        </w:rPr>
        <w:t>استهداف المنتمين للحزب المؤتمر الشعبي العام 2017-2019</w:t>
      </w:r>
    </w:p>
    <w:p w14:paraId="275C2B41" w14:textId="4FAB344E"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مزاعم انتهاكات حقوق الإنسان التي وقعت في سياق انهيار التحالف بين الحوثيين وصالح بنهاية العام 2017</w:t>
      </w:r>
      <w:r w:rsidRPr="00CF5C69">
        <w:rPr>
          <w:rFonts w:ascii="Traditional Arabic" w:hAnsi="Traditional Arabic" w:cs="Traditional Arabic"/>
          <w:sz w:val="30"/>
          <w:szCs w:val="30"/>
        </w:rPr>
        <w:t xml:space="preserve">. </w:t>
      </w:r>
    </w:p>
    <w:p w14:paraId="5380E155" w14:textId="17258318"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إستهداف الأشخاص المنتسبين لحزب المؤتمر الشعبي العام بعد فكّ تحالفه مع الحوثيين. في إحدى الحالات وفي نفس اليوم الذي تم فيه الإعلان عن الانقسام، قام مقاتلون حوثيون بقتل أحد أعضاء قيادة المؤتمر الشعبي العام وإثنين من أفراد عائلته. وفي حالة أخرى، احتجزت سلطات الأمر الواقع تعسفيًا عشرات النساء المنتميات إلى حزب المؤتمر الشعبي العام واللواتي قمن بتنظيم مظاهرات</w:t>
      </w:r>
      <w:r w:rsidRPr="00CF5C69">
        <w:rPr>
          <w:rFonts w:ascii="Traditional Arabic" w:hAnsi="Traditional Arabic" w:cs="Traditional Arabic"/>
          <w:sz w:val="30"/>
          <w:szCs w:val="30"/>
        </w:rPr>
        <w:t xml:space="preserve">. </w:t>
      </w:r>
    </w:p>
    <w:p w14:paraId="54535388" w14:textId="78B555F4" w:rsidR="00CF5C69" w:rsidRPr="00CF5C69" w:rsidRDefault="00385E46" w:rsidP="00CF5C69">
      <w:pPr>
        <w:pStyle w:val="Footer"/>
        <w:tabs>
          <w:tab w:val="left" w:pos="720"/>
          <w:tab w:val="left" w:pos="900"/>
          <w:tab w:val="left" w:pos="1134"/>
          <w:tab w:val="left" w:pos="1701"/>
        </w:tabs>
        <w:bidi/>
        <w:spacing w:after="240"/>
        <w:ind w:left="1134" w:right="1080" w:hanging="31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أ‌)</w:t>
      </w:r>
      <w:r w:rsidR="00CF5C69" w:rsidRPr="00CF5C69">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الخلفية</w:t>
      </w:r>
      <w:r w:rsidR="00CF5C69" w:rsidRPr="00CF5C69">
        <w:rPr>
          <w:rFonts w:ascii="Traditional Arabic" w:hAnsi="Traditional Arabic" w:cs="Traditional Arabic"/>
          <w:b/>
          <w:bCs/>
          <w:sz w:val="30"/>
          <w:szCs w:val="30"/>
        </w:rPr>
        <w:t xml:space="preserve"> </w:t>
      </w:r>
    </w:p>
    <w:p w14:paraId="1BB87B20" w14:textId="4AD88E7F"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كان تحالف الحوثيين-صالح بطبيعته هشا بسبب وجود تاريخ طويل من الصراع بين الجانبين. تشير تقارير إلى أن النزاعات المتقطعة التي وقعت في الفترة من 2004-2011 في محافظة صعدة بين الحوثيين والحكومة اليمنية بقيادة علي عبد الله صالح أسفرت عن العديد من انتهاكات حقوق الإنسان وظلّت في الذاكرة الجماعية لسكان تلك المحافظة</w:t>
      </w:r>
      <w:r w:rsidRPr="00CF5C69">
        <w:rPr>
          <w:rFonts w:ascii="Traditional Arabic" w:hAnsi="Traditional Arabic" w:cs="Traditional Arabic"/>
          <w:sz w:val="30"/>
          <w:szCs w:val="30"/>
        </w:rPr>
        <w:t>.</w:t>
      </w:r>
    </w:p>
    <w:p w14:paraId="4574870A" w14:textId="410AD44D"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عرّض هذا التحالف لمزيد من التوتر في الأشهر التي سبقت الانفصال في كانون الأول/ ديسمبر 2017. وتجلّى الصراع الداخلي على السلطة من خلال عدّة حوادث رئيسية. فأشارت وسائل الإعلام الموالية للحوثيين مرارًا وتكرارًا إلى أن المؤتمر الشعبي العام لم يدعم المجهود الحربي وأن بعض أعضائه كانوا يتعاونون مع قوات التحالف العربي. وفقًا لمصادر موثوقة، شعر أعضاء حزب المؤتمر الشعبي العام داخل الحكومة بتهميش متزايد من جانب الحوثيين، وفي آب/ أغسطس 2017 حاول الحوثيون عرقلة الاحتفالات بالذكرى الخامسة والثلاثين لتأسيس المؤتمر الشعبي العام. وفي آب/ أغسطس 2017 أيضًا، قُتل نائب رئيس لجنة الشؤون الخارجية بالمؤتمر الشعبي العام خالد الراضي في نزاع حدث عند نقطة تفتيش بين حراس الحوثيين وحراس شخصيين لأحد أبناء صالح.</w:t>
      </w:r>
      <w:r w:rsidR="00F94767">
        <w:rPr>
          <w:rStyle w:val="FootnoteReference"/>
          <w:rFonts w:cs="Traditional Arabic"/>
          <w:szCs w:val="30"/>
          <w:rtl/>
        </w:rPr>
        <w:footnoteReference w:id="771"/>
      </w:r>
      <w:r w:rsidRPr="00CF5C69">
        <w:rPr>
          <w:rFonts w:ascii="Traditional Arabic" w:hAnsi="Traditional Arabic" w:cs="Traditional Arabic"/>
          <w:sz w:val="30"/>
          <w:szCs w:val="30"/>
          <w:rtl/>
        </w:rPr>
        <w:t xml:space="preserve">   في ذلك الشهر نفسه، تعرض عضو بارز في المؤتمر الشعبي العام، كان من أشد منتقدي الحوثيين والذي قد قاموا بتحذيره من قبل، لهجوم على أيدي رجال مسلحين مجهولين ضربوه بقضبان معدنية وأصيب على إثره بجروح خطيرة. في الأيام التالية، غادر عضو المؤتمر الشعبي العام البلاد مع عائلته</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2"/>
      </w:r>
    </w:p>
    <w:p w14:paraId="595B2BA3" w14:textId="7CC2CB79" w:rsidR="00CF5C69" w:rsidRPr="00CF5C69" w:rsidRDefault="00CF5C69" w:rsidP="00F9476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تصاعد التوتر في أواخر تشرين الثاني/ نوفمبر 2017 حيث نجح الحوثيون في الاستيلاء على مسجد الصالح في صنعاء وهو رمز مهم لسلطة ونفوذ صالح. هاجم الحوثيون منزل طارق ابن شقيق صالح ،</w:t>
      </w:r>
      <w:r w:rsidR="00F94767">
        <w:rPr>
          <w:rFonts w:ascii="Traditional Arabic" w:hAnsi="Traditional Arabic" w:cs="Traditional Arabic"/>
          <w:sz w:val="30"/>
          <w:szCs w:val="30"/>
          <w:rtl/>
        </w:rPr>
        <w:t xml:space="preserve"> مما أسفر عن مقتل ثمانية أشخاص </w:t>
      </w:r>
      <w:r w:rsidR="00F94767">
        <w:rPr>
          <w:rFonts w:ascii="Traditional Arabic" w:hAnsi="Traditional Arabic" w:cs="Traditional Arabic" w:hint="cs"/>
          <w:sz w:val="30"/>
          <w:szCs w:val="30"/>
          <w:rtl/>
          <w:lang w:val="en-US" w:bidi="ar-JO"/>
        </w:rPr>
        <w:t>.</w:t>
      </w:r>
      <w:r w:rsidR="00F94767">
        <w:rPr>
          <w:rStyle w:val="FootnoteReference"/>
          <w:rFonts w:cs="Traditional Arabic"/>
          <w:szCs w:val="30"/>
          <w:rtl/>
          <w:lang w:val="en-US" w:bidi="ar-JO"/>
        </w:rPr>
        <w:footnoteReference w:id="773"/>
      </w:r>
      <w:r w:rsidR="00F94767">
        <w:rPr>
          <w:rFonts w:ascii="Traditional Arabic" w:hAnsi="Traditional Arabic" w:cs="Traditional Arabic" w:hint="cs"/>
          <w:sz w:val="30"/>
          <w:szCs w:val="30"/>
          <w:rtl/>
          <w:lang w:val="en-US" w:bidi="ar-JO"/>
        </w:rPr>
        <w:t xml:space="preserve"> </w:t>
      </w:r>
      <w:r w:rsidRPr="00CF5C69">
        <w:rPr>
          <w:rFonts w:ascii="Traditional Arabic" w:hAnsi="Traditional Arabic" w:cs="Traditional Arabic"/>
          <w:sz w:val="30"/>
          <w:szCs w:val="30"/>
          <w:rtl/>
        </w:rPr>
        <w:t>وسط هذا التوتر، في 2 كانون الأول/ ديسمبر 2017 وفي خطاب متلفز، قطع صالح علاقاته مع الحوثيين رسميًا قائلاً إنه منفتح على الحوار مع التحالف العربي. قام الحوثيون على الفور بإيقاف تشغيل الإنترنت والقنوات الفضائية وهاجموا مبنى محطة اليمن اليوم الإعلامية التي يملكها المؤتمر الشعبي العام حيث ألقى الحوثيون القبض على 43 موظف هناك وأغلقوا المحطة</w:t>
      </w:r>
      <w:r w:rsidRPr="00CF5C69">
        <w:rPr>
          <w:rFonts w:ascii="Traditional Arabic" w:hAnsi="Traditional Arabic" w:cs="Traditional Arabic"/>
          <w:sz w:val="30"/>
          <w:szCs w:val="30"/>
        </w:rPr>
        <w:t>.</w:t>
      </w:r>
    </w:p>
    <w:p w14:paraId="0E4C03AE" w14:textId="3DF40729" w:rsidR="00CF5C69" w:rsidRPr="00CF5C69" w:rsidRDefault="00385E46" w:rsidP="00CF5C69">
      <w:pPr>
        <w:pStyle w:val="Footer"/>
        <w:tabs>
          <w:tab w:val="left" w:pos="720"/>
          <w:tab w:val="left" w:pos="900"/>
          <w:tab w:val="left" w:pos="1134"/>
          <w:tab w:val="left" w:pos="1701"/>
        </w:tabs>
        <w:bidi/>
        <w:spacing w:after="240"/>
        <w:ind w:left="1134" w:right="1080" w:hanging="40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ب‌)</w:t>
      </w:r>
      <w:r w:rsidR="00CF5C69" w:rsidRPr="00CF5C69">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مقتل علي عبدالله صالح</w:t>
      </w:r>
      <w:r w:rsidR="00CF5C69" w:rsidRPr="00CF5C69">
        <w:rPr>
          <w:rFonts w:ascii="Traditional Arabic" w:hAnsi="Traditional Arabic" w:cs="Traditional Arabic"/>
          <w:b/>
          <w:bCs/>
          <w:sz w:val="30"/>
          <w:szCs w:val="30"/>
        </w:rPr>
        <w:t xml:space="preserve"> </w:t>
      </w:r>
    </w:p>
    <w:p w14:paraId="1535F00C" w14:textId="5CD72551"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حقق فريق الخبراء في مقتل علي عبد الله صالح، إلا أن البيئة السياسية المشحونة للغاية في هذه القضية لم تمكّن الفريق من التوصل إلى نتيجة فيما يتعلق بالظروف الدقيقة لوفاته. سبب ذلك جزئيًا أن الشهود الذين كانوا حاضرين وقت وفاة صالح رفضوا التحدث مع فريق الخبراء. وذكر أحدهم أنه بحاجة لإذن من حكومة بلد عضو في التحالف العربي ثم رفض في وقت لاحق متابعة التواصل مع فريق الخبراء</w:t>
      </w:r>
      <w:r w:rsidRPr="00CF5C69">
        <w:rPr>
          <w:rFonts w:ascii="Traditional Arabic" w:hAnsi="Traditional Arabic" w:cs="Traditional Arabic"/>
          <w:sz w:val="30"/>
          <w:szCs w:val="30"/>
        </w:rPr>
        <w:t>.</w:t>
      </w:r>
    </w:p>
    <w:p w14:paraId="217DE347" w14:textId="7158327D" w:rsidR="00CF5C69" w:rsidRPr="00CF5C69" w:rsidRDefault="00CF5C69" w:rsidP="00432EF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 xml:space="preserve">وفقًا للمعلومات التي جمعها فريق الخبراء، في الفترة بين 2 كانون الأول/ ديسمبر 2017 في الساعة 0700 وصباح 4 كانون الأول/ ديسمبر 2017، شن الحوثيون هجومًا منسقًا بالدبابات ومدافع الهاون والقناصة على منزل صالح في منطقة حدة بصنعاء. نشب قتال بين الحوثيين وحراس صالح. لم يتمكن فريق الخبراء من التوصل إلى استنتاجات واقعية بشأن ما حدث مباشرة بعد استيلاء الحوثيين على المنزل. تشير بعض المصادر إلى أنه بحلول صباح يوم 4 كانون </w:t>
      </w:r>
      <w:r w:rsidRPr="00CF5C69">
        <w:rPr>
          <w:rFonts w:ascii="Traditional Arabic" w:hAnsi="Traditional Arabic" w:cs="Traditional Arabic"/>
          <w:sz w:val="30"/>
          <w:szCs w:val="30"/>
          <w:rtl/>
        </w:rPr>
        <w:lastRenderedPageBreak/>
        <w:t xml:space="preserve">الأول/ ديسمبر 2017، دخل الحوثيون المنزل وقتلوا صالح واعتقلوا اثنين من أبنائه البالغين والذين تم احتجازهم بعد ذلك لأكثر من عام. تشير مصادر أخرى إلى أن صالح قُتل في موكب أثناء محاولته مغادرة صنعاء. لم يكن الطبيب الشرعي الذي قام بتحليل لقطات فيديو لجثة صالح بناءً على طلب فريق الخبراء حاسماً بشأن سبب الوفاة. ووفق تقارير، أصيب نائب صالح، عارف الزوكا، بجروح خلال الهجوم ونقل إلى المستشفى حيث قتلته </w:t>
      </w:r>
      <w:r w:rsidR="00432EF0">
        <w:rPr>
          <w:rFonts w:ascii="Traditional Arabic" w:hAnsi="Traditional Arabic" w:cs="Traditional Arabic" w:hint="cs"/>
          <w:sz w:val="30"/>
          <w:szCs w:val="30"/>
          <w:rtl/>
        </w:rPr>
        <w:t xml:space="preserve">مقاتلي </w:t>
      </w:r>
      <w:r w:rsidRPr="00CF5C69">
        <w:rPr>
          <w:rFonts w:ascii="Traditional Arabic" w:hAnsi="Traditional Arabic" w:cs="Traditional Arabic"/>
          <w:sz w:val="30"/>
          <w:szCs w:val="30"/>
          <w:rtl/>
        </w:rPr>
        <w:t>الحوثي</w:t>
      </w:r>
      <w:r w:rsidR="00432EF0">
        <w:rPr>
          <w:rFonts w:ascii="Traditional Arabic" w:hAnsi="Traditional Arabic" w:cs="Traditional Arabic"/>
          <w:sz w:val="30"/>
          <w:szCs w:val="30"/>
          <w:rtl/>
        </w:rPr>
        <w:t xml:space="preserve"> فيم</w:t>
      </w:r>
      <w:r w:rsidRPr="00CF5C69">
        <w:rPr>
          <w:rFonts w:ascii="Traditional Arabic" w:hAnsi="Traditional Arabic" w:cs="Traditional Arabic"/>
          <w:sz w:val="30"/>
          <w:szCs w:val="30"/>
          <w:rtl/>
        </w:rPr>
        <w:t>ا بعد</w:t>
      </w:r>
      <w:r w:rsidRPr="00CF5C69">
        <w:rPr>
          <w:rFonts w:ascii="Traditional Arabic" w:hAnsi="Traditional Arabic" w:cs="Traditional Arabic"/>
          <w:sz w:val="30"/>
          <w:szCs w:val="30"/>
        </w:rPr>
        <w:t>.</w:t>
      </w:r>
      <w:r w:rsidR="00F94767">
        <w:rPr>
          <w:rStyle w:val="FootnoteReference"/>
          <w:rFonts w:cs="Traditional Arabic"/>
          <w:szCs w:val="30"/>
        </w:rPr>
        <w:footnoteReference w:id="774"/>
      </w:r>
    </w:p>
    <w:p w14:paraId="2054A916" w14:textId="57B787CC" w:rsidR="00825FCB" w:rsidRDefault="00825FCB" w:rsidP="00825FCB">
      <w:pPr>
        <w:pStyle w:val="Footer"/>
        <w:tabs>
          <w:tab w:val="left" w:pos="720"/>
          <w:tab w:val="left" w:pos="900"/>
          <w:tab w:val="left" w:pos="1134"/>
          <w:tab w:val="left" w:pos="1701"/>
        </w:tabs>
        <w:bidi/>
        <w:spacing w:after="240"/>
        <w:ind w:left="1134" w:right="1080"/>
        <w:jc w:val="both"/>
        <w:rPr>
          <w:rFonts w:ascii="Traditional Arabic" w:hAnsi="Traditional Arabic" w:cs="Traditional Arabic"/>
          <w:b/>
          <w:bCs/>
          <w:sz w:val="30"/>
          <w:szCs w:val="30"/>
        </w:rPr>
      </w:pPr>
    </w:p>
    <w:p w14:paraId="036E38CB" w14:textId="0811DF23" w:rsidR="00CF5C69" w:rsidRPr="00CF5C69" w:rsidRDefault="00825FCB" w:rsidP="00825FCB">
      <w:pPr>
        <w:pStyle w:val="Footer"/>
        <w:tabs>
          <w:tab w:val="left" w:pos="720"/>
          <w:tab w:val="left" w:pos="900"/>
          <w:tab w:val="left" w:pos="1134"/>
          <w:tab w:val="left" w:pos="1701"/>
        </w:tabs>
        <w:bidi/>
        <w:spacing w:after="240"/>
        <w:ind w:left="1134" w:right="1080" w:hanging="58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Pr>
        <w:t xml:space="preserve">  </w:t>
      </w:r>
      <w:r w:rsidR="00CF5C69" w:rsidRPr="00CF5C69">
        <w:rPr>
          <w:rFonts w:ascii="Traditional Arabic" w:hAnsi="Traditional Arabic" w:cs="Traditional Arabic"/>
          <w:b/>
          <w:bCs/>
          <w:sz w:val="30"/>
          <w:szCs w:val="30"/>
          <w:rtl/>
        </w:rPr>
        <w:t>جـ) اغتيال الشيخ ضيف الله المثنى وعائلته</w:t>
      </w:r>
      <w:r w:rsidR="00CF5C69" w:rsidRPr="00CF5C69">
        <w:rPr>
          <w:rFonts w:ascii="Traditional Arabic" w:hAnsi="Traditional Arabic" w:cs="Traditional Arabic"/>
          <w:b/>
          <w:bCs/>
          <w:sz w:val="30"/>
          <w:szCs w:val="30"/>
        </w:rPr>
        <w:t xml:space="preserve"> </w:t>
      </w:r>
    </w:p>
    <w:p w14:paraId="36857905" w14:textId="0833E9C8"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كان الشيخ ضيف الله المثنى قائدًا معروفًا في المؤتمر الشعبي العام وعضوًا في المجلس الدائم للمؤتمر الشعبي العام ومستشارًا منتخبًا في محافظة ذمار ومديرًا عامًا في إدارة المحافظة. كان شخصية بارزة في المؤتمر الشعبي العام في اليمن وهو وسيط قبلي رئيسي وأحد الشيوخ القبليّين في منطقة رصابة، ذمار</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5"/>
      </w:r>
    </w:p>
    <w:p w14:paraId="14C52B02" w14:textId="0C04C1EC" w:rsidR="00CF5C69" w:rsidRPr="00CF5C69" w:rsidRDefault="00CF5C69" w:rsidP="00CF5C6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 xml:space="preserve">في 2 كانون الأول/ ديسمبر 2017 الساعة 0800 كان المثنى عند مفترق طرق رصابة </w:t>
      </w:r>
      <w:r w:rsidR="00F94767">
        <w:rPr>
          <w:rStyle w:val="FootnoteReference"/>
          <w:rFonts w:cs="Traditional Arabic"/>
          <w:szCs w:val="30"/>
          <w:rtl/>
        </w:rPr>
        <w:footnoteReference w:id="776"/>
      </w:r>
      <w:r w:rsidRPr="00CF5C69">
        <w:rPr>
          <w:rFonts w:ascii="Traditional Arabic" w:hAnsi="Traditional Arabic" w:cs="Traditional Arabic"/>
          <w:sz w:val="30"/>
          <w:szCs w:val="30"/>
          <w:rtl/>
        </w:rPr>
        <w:t xml:space="preserve"> حيث يوجد هناك عدد من ممتلكاته. كان يقود السيارة الرئيسية في موكب مؤلف من ثلاث سيارات، يرافقه أفراد الأسرة والزملاء بما في ذلك شقيقه وهو أيضًا عضو في المؤتمر الشعبي العام وابن عمه وأبنائه البالغين وحراسه الشخصيون. كانت المنطقة مشغولة بالعديد من المارة. أوقفت مجموعة كبيرة من المقاتلين الحوثيين المدججين بالسلاح السيارات في ما بدا وكأنه عملية مخطّطة مسبقًا. فتحوا النار على المثنى مما أدى إلى جرحه هو وآخرين ومقتل شقيق المثنى وابن عمه وحارسه الشخصي. ورد الحراس الشخصيون بإطلاق النار فيما هرب المثنى مع آخرين بمساعدة المارة</w:t>
      </w:r>
      <w:r w:rsidRPr="00CF5C69">
        <w:rPr>
          <w:rFonts w:ascii="Traditional Arabic" w:hAnsi="Traditional Arabic" w:cs="Traditional Arabic"/>
          <w:sz w:val="30"/>
          <w:szCs w:val="30"/>
        </w:rPr>
        <w:t xml:space="preserve"> .</w:t>
      </w:r>
      <w:r w:rsidR="00F94767">
        <w:rPr>
          <w:rStyle w:val="FootnoteReference"/>
          <w:rFonts w:cs="Traditional Arabic"/>
          <w:szCs w:val="30"/>
        </w:rPr>
        <w:footnoteReference w:id="777"/>
      </w:r>
    </w:p>
    <w:p w14:paraId="50F6C417" w14:textId="5A123C56" w:rsid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بحث الحوثيون عن المثنى في المنطقة. وقاموا بهدم عدد من ممتلكاته التجارية والسكنية بالمتفجرات وحاولوا تدمير بيوت آخرى.</w:t>
      </w:r>
      <w:r w:rsidR="00B673A7">
        <w:rPr>
          <w:rStyle w:val="FootnoteReference"/>
          <w:rFonts w:cs="Traditional Arabic"/>
          <w:szCs w:val="30"/>
          <w:rtl/>
        </w:rPr>
        <w:footnoteReference w:id="778"/>
      </w:r>
      <w:r w:rsidRPr="00CF5C69">
        <w:rPr>
          <w:rFonts w:ascii="Traditional Arabic" w:hAnsi="Traditional Arabic" w:cs="Traditional Arabic"/>
          <w:sz w:val="30"/>
          <w:szCs w:val="30"/>
          <w:rtl/>
        </w:rPr>
        <w:t xml:space="preserve">  لجأ المثنى وزميل له إلى داخل مسجد النور على بعد 500 متر جنوب مفترق الطرق .</w:t>
      </w:r>
      <w:r w:rsidR="00B673A7">
        <w:rPr>
          <w:rStyle w:val="FootnoteReference"/>
          <w:rFonts w:cs="Traditional Arabic"/>
          <w:szCs w:val="30"/>
          <w:rtl/>
        </w:rPr>
        <w:footnoteReference w:id="779"/>
      </w:r>
      <w:r w:rsidRPr="00CF5C69">
        <w:rPr>
          <w:rFonts w:ascii="Traditional Arabic" w:hAnsi="Traditional Arabic" w:cs="Traditional Arabic"/>
          <w:sz w:val="30"/>
          <w:szCs w:val="30"/>
          <w:rtl/>
        </w:rPr>
        <w:t xml:space="preserve"> في 2 كانون الأول/ ديسمبر 2017 الساعة 2030 عثر </w:t>
      </w:r>
      <w:r w:rsidR="005149B8">
        <w:rPr>
          <w:rFonts w:ascii="Traditional Arabic" w:hAnsi="Traditional Arabic" w:cs="Traditional Arabic" w:hint="cs"/>
          <w:sz w:val="30"/>
          <w:szCs w:val="30"/>
          <w:rtl/>
        </w:rPr>
        <w:t xml:space="preserve">مقاتلي </w:t>
      </w:r>
      <w:r w:rsidR="005149B8" w:rsidRPr="00CF5C69">
        <w:rPr>
          <w:rFonts w:ascii="Traditional Arabic" w:hAnsi="Traditional Arabic" w:cs="Traditional Arabic"/>
          <w:sz w:val="30"/>
          <w:szCs w:val="30"/>
          <w:rtl/>
        </w:rPr>
        <w:t>الحوثي</w:t>
      </w:r>
      <w:r w:rsidR="005149B8">
        <w:rPr>
          <w:rFonts w:ascii="Traditional Arabic" w:hAnsi="Traditional Arabic" w:cs="Traditional Arabic"/>
          <w:sz w:val="30"/>
          <w:szCs w:val="30"/>
          <w:rtl/>
        </w:rPr>
        <w:t xml:space="preserve"> </w:t>
      </w:r>
      <w:r w:rsidRPr="00CF5C69">
        <w:rPr>
          <w:rFonts w:ascii="Traditional Arabic" w:hAnsi="Traditional Arabic" w:cs="Traditional Arabic"/>
          <w:sz w:val="30"/>
          <w:szCs w:val="30"/>
          <w:rtl/>
        </w:rPr>
        <w:t>على المثنى في المسجد وأحاطته من جميع الجهات وفتحت النار على المسجد مما أسفر عن مقتل المثنى وزميله</w:t>
      </w:r>
      <w:r w:rsidRPr="00CF5C69">
        <w:rPr>
          <w:rFonts w:ascii="Traditional Arabic" w:hAnsi="Traditional Arabic" w:cs="Traditional Arabic"/>
          <w:sz w:val="30"/>
          <w:szCs w:val="30"/>
        </w:rPr>
        <w:t>.</w:t>
      </w:r>
      <w:r w:rsidR="00B673A7">
        <w:rPr>
          <w:rStyle w:val="FootnoteReference"/>
          <w:rFonts w:cs="Traditional Arabic"/>
          <w:szCs w:val="30"/>
        </w:rPr>
        <w:footnoteReference w:id="780"/>
      </w:r>
    </w:p>
    <w:p w14:paraId="564BE063" w14:textId="0121E8A2" w:rsidR="00CF5C69" w:rsidRPr="00CF5C69" w:rsidRDefault="00CF5C69" w:rsidP="00CF5C69">
      <w:pPr>
        <w:pStyle w:val="Footer"/>
        <w:tabs>
          <w:tab w:val="left" w:pos="720"/>
          <w:tab w:val="left" w:pos="900"/>
          <w:tab w:val="left" w:pos="1134"/>
          <w:tab w:val="left" w:pos="1701"/>
        </w:tabs>
        <w:bidi/>
        <w:spacing w:after="240"/>
        <w:ind w:right="1080"/>
        <w:jc w:val="both"/>
        <w:rPr>
          <w:rFonts w:ascii="Traditional Arabic" w:hAnsi="Traditional Arabic" w:cs="Traditional Arabic"/>
          <w:b/>
          <w:bCs/>
          <w:sz w:val="30"/>
          <w:szCs w:val="30"/>
          <w:rtl/>
        </w:rPr>
      </w:pPr>
      <w:r>
        <w:rPr>
          <w:rFonts w:ascii="Traditional Arabic" w:hAnsi="Traditional Arabic" w:cs="Traditional Arabic"/>
          <w:b/>
          <w:bCs/>
          <w:sz w:val="30"/>
          <w:szCs w:val="30"/>
        </w:rPr>
        <w:t xml:space="preserve"> </w:t>
      </w:r>
      <w:r w:rsidR="00385E46">
        <w:rPr>
          <w:rFonts w:ascii="Traditional Arabic" w:hAnsi="Traditional Arabic" w:cs="Traditional Arabic"/>
          <w:b/>
          <w:bCs/>
          <w:sz w:val="30"/>
          <w:szCs w:val="30"/>
        </w:rPr>
        <w:tab/>
      </w:r>
      <w:r>
        <w:rPr>
          <w:rFonts w:ascii="Traditional Arabic" w:hAnsi="Traditional Arabic" w:cs="Traditional Arabic"/>
          <w:b/>
          <w:bCs/>
          <w:sz w:val="30"/>
          <w:szCs w:val="30"/>
        </w:rPr>
        <w:t xml:space="preserve">       </w:t>
      </w:r>
      <w:r w:rsidRPr="00CF5C69">
        <w:rPr>
          <w:rFonts w:ascii="Traditional Arabic" w:hAnsi="Traditional Arabic" w:cs="Traditional Arabic"/>
          <w:b/>
          <w:bCs/>
          <w:sz w:val="30"/>
          <w:szCs w:val="30"/>
          <w:rtl/>
        </w:rPr>
        <w:t>د) الاحتجاجات التي قادتها النساء في المؤتمر الشعبي العام</w:t>
      </w:r>
      <w:r w:rsidRPr="00CF5C69">
        <w:rPr>
          <w:rFonts w:ascii="Traditional Arabic" w:hAnsi="Traditional Arabic" w:cs="Traditional Arabic"/>
          <w:b/>
          <w:bCs/>
          <w:sz w:val="30"/>
          <w:szCs w:val="30"/>
        </w:rPr>
        <w:t xml:space="preserve"> </w:t>
      </w:r>
    </w:p>
    <w:p w14:paraId="37EC2C21" w14:textId="3D2CEF78"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 xml:space="preserve">في يومي 6 كانون الأول/ ديسمبر 2017 و21 آذار/ مارس 2018 نظّم عدد من النساء البارزات في حزب المؤتمر الشعبي العام سلسلة من المظاهرات في صنعاء ضمّت أكثر من مئتي امرأة وفتاة من أعضاء ومنتسبي المؤتمر الشعبي العام ضد حكم الحوثيين. وندّدت المتظاهرات باغتيال صالح وطالبن بإعادة جثمانه . </w:t>
      </w:r>
      <w:r w:rsidR="00B673A7">
        <w:rPr>
          <w:rStyle w:val="FootnoteReference"/>
          <w:rFonts w:cs="Traditional Arabic"/>
          <w:szCs w:val="30"/>
          <w:rtl/>
        </w:rPr>
        <w:footnoteReference w:id="781"/>
      </w:r>
      <w:r w:rsidR="00B673A7">
        <w:rPr>
          <w:rFonts w:ascii="Traditional Arabic" w:hAnsi="Traditional Arabic" w:cs="Traditional Arabic" w:hint="cs"/>
          <w:sz w:val="30"/>
          <w:szCs w:val="30"/>
          <w:rtl/>
        </w:rPr>
        <w:t xml:space="preserve">  </w:t>
      </w:r>
      <w:r w:rsidRPr="00CF5C69">
        <w:rPr>
          <w:rFonts w:ascii="Traditional Arabic" w:hAnsi="Traditional Arabic" w:cs="Traditional Arabic"/>
          <w:sz w:val="30"/>
          <w:szCs w:val="30"/>
          <w:rtl/>
        </w:rPr>
        <w:t>وفي المظاهرتين قامت سلطات الأمر الواقع بنشر الأمن المسلح والذي شمل القوات الأمنية التي تُعرف خارج أوساط الحوثيين باسم "الزينبيّات" والتي هاجمت المتظاهرات والنساء من المارة. قامت هذه القوات بضرب المتظاهرات بالهراوات والبنادق والهراوات الكهربائية وهددت بخلع ملابسهن واغتصابهن في الشارع ووصفتهن بالبغايا. تحمل مثل هذه التهديدات دلالات ومخاطر خاصة بالمجتمع اليمني وتزيد من خطر العنف القائم على النوع الجنساني ضدهم وقد اعتبرها المتظاهرات بمثابة العنف الجنسي</w:t>
      </w:r>
      <w:r w:rsidRPr="00CF5C69">
        <w:rPr>
          <w:rFonts w:ascii="Traditional Arabic" w:hAnsi="Traditional Arabic" w:cs="Traditional Arabic"/>
          <w:sz w:val="30"/>
          <w:szCs w:val="30"/>
        </w:rPr>
        <w:t>.</w:t>
      </w:r>
      <w:r w:rsidR="00B673A7">
        <w:rPr>
          <w:rStyle w:val="FootnoteReference"/>
          <w:rFonts w:cs="Traditional Arabic"/>
          <w:szCs w:val="30"/>
        </w:rPr>
        <w:footnoteReference w:id="782"/>
      </w:r>
    </w:p>
    <w:p w14:paraId="2A82664A" w14:textId="49E4065D"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في الأيام التي تلت مظاهرة 6 كانون الأول/ ديسمبر 2017، قامت سلطات الأمر الواقع باحتجاز واخفاء عدد من نساء وفتيات المؤتمر الشعبي العام، بعضهن كنّ قد شاركن في المظاهرة. تم احتجاز ما يصل إلى 130 إمرأة وفتاة لعدة أشهر في مرفق احتجاز غير رسمي في قبو منزل علي محسن الأحمر السابق، كان نصفهن تقريباً أعضاء في حزب المؤتمر الشعبي العام وبينهن فتيات في سن السابعة عشرة.</w:t>
      </w:r>
      <w:r w:rsidR="00B673A7">
        <w:rPr>
          <w:rStyle w:val="FootnoteReference"/>
          <w:rFonts w:cs="Traditional Arabic"/>
          <w:szCs w:val="30"/>
          <w:rtl/>
        </w:rPr>
        <w:footnoteReference w:id="783"/>
      </w:r>
      <w:r w:rsidRPr="00CF5C69">
        <w:rPr>
          <w:rFonts w:ascii="Traditional Arabic" w:hAnsi="Traditional Arabic" w:cs="Traditional Arabic"/>
          <w:sz w:val="30"/>
          <w:szCs w:val="30"/>
          <w:rtl/>
        </w:rPr>
        <w:t xml:space="preserve"> في مرفق الاحتجاز هذا تم فصل المنتسبات للمؤتمر الشعبي العام عن الأخريات وتم التعامل معهن بشكل مختلف. قيل لهن إن الأيديولوجية الخاصة بهن معيبة وتم إلقاء عليهن محاضرات مؤيدة للحوثيين وأخرى دينية. قال لهن الحارسات "الزينبيات" أنهن لسن بشرًا بعد الآن وقصوا شعرهن. تعرضت إمرأة واحدة من النساء على الأقل إلى العري القسري. المرأة نفسها وصفت لفريق الخبراء كيفية تعرضها للاغتصاب المهبلي والشرجي في مناسبات متعددة من قبل رجال حوثيين مختلفين. خلال عمليات الاغتصاب، استخدم الرجال الإساءات اللفظية المهينة وأخبروها بأنها كانت من ممتلكات صالح لكنها أصبحت الآن من غنائم الحرب للحوثيين. ثم وصفت الاستجوابات التي تمت بعد ذلك والتي اتُهمت فيها بالدعارة وباتهامات باطلة أخرى وأُمرت بتقديم اعترافات كاذبة على فيديو. عندما رفضت القيام بذلك، تعرضت للتعذيب بالصدمات الكهربائية والضرب</w:t>
      </w:r>
      <w:r w:rsidRPr="00CF5C69">
        <w:rPr>
          <w:rFonts w:ascii="Traditional Arabic" w:hAnsi="Traditional Arabic" w:cs="Traditional Arabic"/>
          <w:sz w:val="30"/>
          <w:szCs w:val="30"/>
        </w:rPr>
        <w:t xml:space="preserve"> .</w:t>
      </w:r>
      <w:r w:rsidR="00B673A7">
        <w:rPr>
          <w:rStyle w:val="FootnoteReference"/>
          <w:rFonts w:cs="Traditional Arabic"/>
          <w:szCs w:val="30"/>
        </w:rPr>
        <w:footnoteReference w:id="784"/>
      </w:r>
      <w:r w:rsidR="008F4257">
        <w:rPr>
          <w:rFonts w:ascii="Traditional Arabic" w:hAnsi="Traditional Arabic" w:cs="Traditional Arabic" w:hint="cs"/>
          <w:sz w:val="30"/>
          <w:szCs w:val="30"/>
          <w:rtl/>
        </w:rPr>
        <w:t xml:space="preserve">لم يكمل فريق الخبراء تحقيقاته في هذه القضية عند وقت الإنتهاء من كتابة هذا التقرير. </w:t>
      </w:r>
    </w:p>
    <w:p w14:paraId="3CA9F93B" w14:textId="4FA19FB8"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في مظاهرة 21 آذار/ مارس 2018، يوم عيد الأم، سعت المتظاهرات إلى وضع الزهور بالقرب من منزل الرئيس السابق، فقام الحوثيون بمنعهن من القيام بذلك وبالهجوم عليهن .</w:t>
      </w:r>
      <w:r w:rsidR="00B673A7">
        <w:rPr>
          <w:rStyle w:val="FootnoteReference"/>
          <w:rFonts w:cs="Traditional Arabic"/>
          <w:szCs w:val="30"/>
          <w:rtl/>
        </w:rPr>
        <w:footnoteReference w:id="785"/>
      </w:r>
      <w:r w:rsidRPr="00CF5C69">
        <w:rPr>
          <w:rFonts w:ascii="Traditional Arabic" w:hAnsi="Traditional Arabic" w:cs="Traditional Arabic"/>
          <w:sz w:val="30"/>
          <w:szCs w:val="30"/>
          <w:rtl/>
        </w:rPr>
        <w:t xml:space="preserve"> بعد ذلك الهجوم، تم اعتقال 60 إمرأة على الأقل ونقلهن إلى مرافق الاحتجاز في صنعاء بما في ذلك مباني مركز الشرطة.</w:t>
      </w:r>
      <w:r w:rsidR="00B673A7">
        <w:rPr>
          <w:rStyle w:val="FootnoteReference"/>
          <w:rFonts w:cs="Traditional Arabic"/>
          <w:szCs w:val="30"/>
          <w:rtl/>
        </w:rPr>
        <w:footnoteReference w:id="786"/>
      </w:r>
      <w:r w:rsidRPr="00CF5C69">
        <w:rPr>
          <w:rFonts w:ascii="Traditional Arabic" w:hAnsi="Traditional Arabic" w:cs="Traditional Arabic"/>
          <w:sz w:val="30"/>
          <w:szCs w:val="30"/>
          <w:rtl/>
        </w:rPr>
        <w:t xml:space="preserve"> وأثناء وجودهن هناك، قامت الحارسات "الزينبيّات" العاملات في سلطات الأمر الواقع بتعذيبهن وإساءة معاملتهن بما في ذلك القيام الاعتداء الجنسي على ثلاث </w:t>
      </w:r>
      <w:r w:rsidRPr="00CF5C69">
        <w:rPr>
          <w:rFonts w:ascii="Traditional Arabic" w:hAnsi="Traditional Arabic" w:cs="Traditional Arabic"/>
          <w:sz w:val="30"/>
          <w:szCs w:val="30"/>
          <w:rtl/>
        </w:rPr>
        <w:lastRenderedPageBreak/>
        <w:t>نساء عن طريق ضرب فروجهن عن قصد عبر ملابسهن بهراوات كهربائية .</w:t>
      </w:r>
      <w:r w:rsidR="00B673A7">
        <w:rPr>
          <w:rStyle w:val="FootnoteReference"/>
          <w:rFonts w:cs="Traditional Arabic"/>
          <w:szCs w:val="30"/>
          <w:rtl/>
        </w:rPr>
        <w:footnoteReference w:id="787"/>
      </w:r>
      <w:r w:rsidRPr="00CF5C69">
        <w:rPr>
          <w:rFonts w:ascii="Traditional Arabic" w:hAnsi="Traditional Arabic" w:cs="Traditional Arabic"/>
          <w:sz w:val="30"/>
          <w:szCs w:val="30"/>
          <w:rtl/>
        </w:rPr>
        <w:t xml:space="preserve"> لم يطلقوا سراح النساء إلا بعد وساطات وفي عهدة أفراد الأسرة الذكور .</w:t>
      </w:r>
      <w:r w:rsidR="00B673A7">
        <w:rPr>
          <w:rStyle w:val="FootnoteReference"/>
          <w:rFonts w:cs="Traditional Arabic"/>
          <w:szCs w:val="30"/>
          <w:rtl/>
        </w:rPr>
        <w:footnoteReference w:id="788"/>
      </w:r>
      <w:r w:rsidRPr="00CF5C69">
        <w:rPr>
          <w:rFonts w:ascii="Traditional Arabic" w:hAnsi="Traditional Arabic" w:cs="Traditional Arabic"/>
          <w:sz w:val="30"/>
          <w:szCs w:val="30"/>
          <w:rtl/>
        </w:rPr>
        <w:t xml:space="preserve"> سعى الحوثيون لإبقاء بعض النساء لفترة أطول لأسباب غير معروفة. تفيد تقارير بأن 11 امرأة وفتاة محتجزات في ذلك اليوم لم يتم إطلاق سراحهن بعد ويعتبرن في عداد المختفيات. التحقيق في هذه القضايا مستمر من قبل فريق الخبراء.</w:t>
      </w:r>
      <w:r w:rsidR="00B673A7">
        <w:rPr>
          <w:rStyle w:val="FootnoteReference"/>
          <w:rFonts w:cs="Traditional Arabic"/>
          <w:szCs w:val="30"/>
          <w:rtl/>
        </w:rPr>
        <w:footnoteReference w:id="789"/>
      </w:r>
      <w:r w:rsidR="00B673A7">
        <w:rPr>
          <w:rFonts w:ascii="Traditional Arabic" w:hAnsi="Traditional Arabic" w:cs="Traditional Arabic" w:hint="cs"/>
          <w:sz w:val="30"/>
          <w:szCs w:val="30"/>
          <w:rtl/>
        </w:rPr>
        <w:t xml:space="preserve"> </w:t>
      </w:r>
      <w:r w:rsidRPr="00CF5C69">
        <w:rPr>
          <w:rFonts w:ascii="Traditional Arabic" w:hAnsi="Traditional Arabic" w:cs="Traditional Arabic"/>
          <w:sz w:val="30"/>
          <w:szCs w:val="30"/>
          <w:rtl/>
        </w:rPr>
        <w:t>كان للانتهاكات العلنية ضد متظاهرات المؤتمر الشعبي العام دورًا كبيرًا في إثارة الفزع للمشاركة السياسية للمرأة في صنعاء</w:t>
      </w:r>
      <w:r w:rsidRPr="00CF5C69">
        <w:rPr>
          <w:rFonts w:ascii="Traditional Arabic" w:hAnsi="Traditional Arabic" w:cs="Traditional Arabic"/>
          <w:sz w:val="30"/>
          <w:szCs w:val="30"/>
        </w:rPr>
        <w:t>.</w:t>
      </w:r>
      <w:r w:rsidR="00B673A7">
        <w:rPr>
          <w:rStyle w:val="FootnoteReference"/>
          <w:rFonts w:cs="Traditional Arabic"/>
          <w:szCs w:val="30"/>
        </w:rPr>
        <w:footnoteReference w:id="790"/>
      </w:r>
    </w:p>
    <w:p w14:paraId="0CADFDF4" w14:textId="6C74BE6D" w:rsidR="00CF5C69" w:rsidRPr="00CF5C69" w:rsidRDefault="00385E46" w:rsidP="00CF5C69">
      <w:pPr>
        <w:pStyle w:val="Footer"/>
        <w:tabs>
          <w:tab w:val="left" w:pos="720"/>
          <w:tab w:val="left" w:pos="900"/>
          <w:tab w:val="left" w:pos="1134"/>
          <w:tab w:val="left" w:pos="1701"/>
        </w:tabs>
        <w:bidi/>
        <w:spacing w:after="240"/>
        <w:ind w:left="1134" w:right="1080" w:hanging="40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CF5C69">
        <w:rPr>
          <w:rFonts w:ascii="Traditional Arabic" w:hAnsi="Traditional Arabic" w:cs="Traditional Arabic"/>
          <w:b/>
          <w:bCs/>
          <w:sz w:val="30"/>
          <w:szCs w:val="30"/>
          <w:rtl/>
        </w:rPr>
        <w:t>هـ) احتجاز أعضاء المؤتمر الشعبي العام</w:t>
      </w:r>
    </w:p>
    <w:p w14:paraId="09F4379C" w14:textId="6A957A8E"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أفادت تقارير أنه منذ 2 كانون الأول/ ديسمبر 2017 تم احتجاز عددًا من أعضاء المؤتمر الشعبي العام وأقاربهم بشكل تعسفي وقد اختفوا أحيانًا لعدة أشهر متتالية. ويشمل ذلك احتجاز أعضاء من القيادة العليا للمؤتمر الشعبي العام وأقارب الرئيس السابق علي عبد الله صالح وعدة أعضاء من موظفي القناة الإعلامية اليمن اليوم</w:t>
      </w:r>
      <w:r w:rsidRPr="00CF5C69">
        <w:rPr>
          <w:rFonts w:ascii="Traditional Arabic" w:hAnsi="Traditional Arabic" w:cs="Traditional Arabic"/>
          <w:sz w:val="30"/>
          <w:szCs w:val="30"/>
        </w:rPr>
        <w:t>.</w:t>
      </w:r>
      <w:r w:rsidR="00B673A7">
        <w:rPr>
          <w:rStyle w:val="FootnoteReference"/>
          <w:rFonts w:cs="Traditional Arabic"/>
          <w:szCs w:val="30"/>
        </w:rPr>
        <w:footnoteReference w:id="791"/>
      </w:r>
    </w:p>
    <w:p w14:paraId="79BF081E" w14:textId="246725B3"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نظر فريق الخبراء في أربع من حالات الاحتجاز هذه ضد موالين للمؤتمر الشعبي العام بين كانون الأول/ ديسمبر 2017 وكانون الأول/ ديسمبر 2018 حيث امتدت فترات الاحتجاز بين ثلاثة أسابيع وتسعة أشهر</w:t>
      </w:r>
      <w:r w:rsidR="00B673A7">
        <w:rPr>
          <w:rStyle w:val="FootnoteReference"/>
          <w:rFonts w:cs="Traditional Arabic"/>
          <w:szCs w:val="30"/>
          <w:rtl/>
        </w:rPr>
        <w:footnoteReference w:id="792"/>
      </w:r>
      <w:r w:rsidRPr="00CF5C69">
        <w:rPr>
          <w:rFonts w:ascii="Traditional Arabic" w:hAnsi="Traditional Arabic" w:cs="Traditional Arabic"/>
          <w:sz w:val="30"/>
          <w:szCs w:val="30"/>
          <w:rtl/>
        </w:rPr>
        <w:t>. في إحدى الحالات، تم اخفاء أحد المحتجزين قسراً في سجن الأمن السياسي في إب حيث تعرض للتعذيب بما في ذلك الاعتداء الجنسي بضرب خصيتيه</w:t>
      </w:r>
      <w:r w:rsidR="00B673A7">
        <w:rPr>
          <w:rStyle w:val="FootnoteReference"/>
          <w:rFonts w:cs="Traditional Arabic"/>
          <w:szCs w:val="30"/>
          <w:rtl/>
        </w:rPr>
        <w:footnoteReference w:id="793"/>
      </w:r>
      <w:r w:rsidRPr="00CF5C69">
        <w:rPr>
          <w:rFonts w:ascii="Traditional Arabic" w:hAnsi="Traditional Arabic" w:cs="Traditional Arabic"/>
          <w:sz w:val="30"/>
          <w:szCs w:val="30"/>
          <w:rtl/>
        </w:rPr>
        <w:t>. في حالة أخرى، احتُجزت عضو في المؤتمر الشعبي العام لمدة ثلاثة أسابيع مع أقاربها بمن فيهم طفليها الصغيرين في سجن الأمن السياسي في ذمار</w:t>
      </w:r>
      <w:r w:rsidRPr="00CF5C69">
        <w:rPr>
          <w:rFonts w:ascii="Traditional Arabic" w:hAnsi="Traditional Arabic" w:cs="Traditional Arabic"/>
          <w:sz w:val="30"/>
          <w:szCs w:val="30"/>
        </w:rPr>
        <w:t>.</w:t>
      </w:r>
      <w:r w:rsidR="00B673A7">
        <w:rPr>
          <w:rStyle w:val="FootnoteReference"/>
          <w:rFonts w:cs="Traditional Arabic"/>
          <w:szCs w:val="30"/>
        </w:rPr>
        <w:footnoteReference w:id="794"/>
      </w:r>
    </w:p>
    <w:p w14:paraId="218CDDCC" w14:textId="541466C2"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825FCB">
        <w:rPr>
          <w:rFonts w:ascii="Traditional Arabic" w:hAnsi="Traditional Arabic" w:cs="Traditional Arabic"/>
          <w:w w:val="90"/>
          <w:sz w:val="30"/>
          <w:szCs w:val="30"/>
          <w:rtl/>
        </w:rPr>
        <w:t>في حالة أخرى، تم اعتقال عضو في المؤتمر الشعبي العام كان يعمل لصالح سلطات الأمر الواقع مع أفراد من أسرته بعد أن رفض تطبيق سياسات الحوثيين وأوامرهم التي لم يكن موافق عليها.</w:t>
      </w:r>
      <w:r w:rsidR="00CC0E23" w:rsidRPr="00825FCB">
        <w:rPr>
          <w:rStyle w:val="FootnoteReference"/>
          <w:rFonts w:cs="Traditional Arabic"/>
          <w:w w:val="90"/>
          <w:szCs w:val="30"/>
          <w:rtl/>
        </w:rPr>
        <w:footnoteReference w:id="795"/>
      </w:r>
      <w:r w:rsidRPr="00825FCB">
        <w:rPr>
          <w:rFonts w:ascii="Traditional Arabic" w:hAnsi="Traditional Arabic" w:cs="Traditional Arabic"/>
          <w:w w:val="90"/>
          <w:sz w:val="30"/>
          <w:szCs w:val="30"/>
          <w:rtl/>
        </w:rPr>
        <w:t xml:space="preserve"> وفي حالة أخرى، انتقدت إحدى مؤيديات المؤتمر الشعبي العام الحوثيين بشكل علني فاختفت بالإكراه على يد الحوثيين لأكثر من تسعة أشهر. وجّه الحوثيون إليها تُهم كاذبة متعلقة بالدعارة من أجل "إضفاء الشرعية" على احتجازها ومنع أسرتها من متابعة القضية نظرًا إلى وصمة العار الشديدة والنتائج المترتبة على مثل هكذا اتهامات</w:t>
      </w:r>
      <w:r w:rsidRPr="00CF5C69">
        <w:rPr>
          <w:rFonts w:ascii="Traditional Arabic" w:hAnsi="Traditional Arabic" w:cs="Traditional Arabic"/>
          <w:sz w:val="30"/>
          <w:szCs w:val="30"/>
        </w:rPr>
        <w:t>.</w:t>
      </w:r>
      <w:r w:rsidR="00CC0E23">
        <w:rPr>
          <w:rStyle w:val="FootnoteReference"/>
          <w:rFonts w:cs="Traditional Arabic"/>
          <w:szCs w:val="30"/>
        </w:rPr>
        <w:footnoteReference w:id="796"/>
      </w:r>
    </w:p>
    <w:p w14:paraId="22D59FE5" w14:textId="4D5FD33B" w:rsidR="00CF5C69" w:rsidRPr="00F94767" w:rsidRDefault="00CF5C69" w:rsidP="00F94767">
      <w:pPr>
        <w:pStyle w:val="Footer"/>
        <w:tabs>
          <w:tab w:val="left" w:pos="720"/>
          <w:tab w:val="left" w:pos="900"/>
          <w:tab w:val="left" w:pos="1134"/>
          <w:tab w:val="left" w:pos="1701"/>
        </w:tabs>
        <w:bidi/>
        <w:spacing w:after="240"/>
        <w:ind w:left="1134" w:right="1080" w:hanging="675"/>
        <w:jc w:val="both"/>
        <w:rPr>
          <w:rFonts w:ascii="Traditional Arabic" w:hAnsi="Traditional Arabic" w:cs="Traditional Arabic"/>
          <w:b/>
          <w:bCs/>
          <w:sz w:val="30"/>
          <w:szCs w:val="30"/>
          <w:rtl/>
        </w:rPr>
      </w:pPr>
      <w:r w:rsidRPr="00CF5C69">
        <w:rPr>
          <w:rFonts w:ascii="Traditional Arabic" w:hAnsi="Traditional Arabic" w:cs="Traditional Arabic"/>
          <w:sz w:val="30"/>
          <w:szCs w:val="30"/>
        </w:rPr>
        <w:t xml:space="preserve">  </w:t>
      </w:r>
      <w:r w:rsidR="00385E46">
        <w:rPr>
          <w:rFonts w:ascii="Traditional Arabic" w:hAnsi="Traditional Arabic" w:cs="Traditional Arabic"/>
          <w:sz w:val="30"/>
          <w:szCs w:val="30"/>
        </w:rPr>
        <w:tab/>
      </w:r>
      <w:r w:rsidR="00385E46">
        <w:rPr>
          <w:rFonts w:ascii="Traditional Arabic" w:hAnsi="Traditional Arabic" w:cs="Traditional Arabic"/>
          <w:sz w:val="30"/>
          <w:szCs w:val="30"/>
        </w:rPr>
        <w:tab/>
      </w:r>
      <w:r w:rsidRPr="00CF5C69">
        <w:rPr>
          <w:rFonts w:ascii="Traditional Arabic" w:hAnsi="Traditional Arabic" w:cs="Traditional Arabic"/>
          <w:sz w:val="30"/>
          <w:szCs w:val="30"/>
        </w:rPr>
        <w:t xml:space="preserve">  </w:t>
      </w:r>
      <w:r w:rsidRPr="00F94767">
        <w:rPr>
          <w:rFonts w:ascii="Traditional Arabic" w:hAnsi="Traditional Arabic" w:cs="Traditional Arabic"/>
          <w:b/>
          <w:bCs/>
          <w:sz w:val="30"/>
          <w:szCs w:val="30"/>
          <w:rtl/>
        </w:rPr>
        <w:t>و) انتهاكات أخرى</w:t>
      </w:r>
    </w:p>
    <w:p w14:paraId="7863DBAB" w14:textId="33399937"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lastRenderedPageBreak/>
        <w:t>أفاد أعضاء في المؤتمر الشعبي العام أنهم تعرضوا للاعتداء الجسدي وتم مداهمة منازلهم ثم مصادرتها من قبل الحوثيين دون أي أسباب.</w:t>
      </w:r>
      <w:r w:rsidR="00CC0E23">
        <w:rPr>
          <w:rStyle w:val="FootnoteReference"/>
          <w:rFonts w:cs="Traditional Arabic"/>
          <w:szCs w:val="30"/>
          <w:rtl/>
        </w:rPr>
        <w:footnoteReference w:id="797"/>
      </w:r>
      <w:r w:rsidRPr="00CF5C69">
        <w:rPr>
          <w:rFonts w:ascii="Traditional Arabic" w:hAnsi="Traditional Arabic" w:cs="Traditional Arabic"/>
          <w:sz w:val="30"/>
          <w:szCs w:val="30"/>
          <w:rtl/>
        </w:rPr>
        <w:t xml:space="preserve"> خلال عامي 2018 و2019 نشر الحوثيون قائمة بمنتسبي حزب المؤتمر الشعبي العام المطلوبين للعدالة والذين صودرت ممتلكاتهم أو سيتم مصادرتها لاحقا</w:t>
      </w:r>
      <w:r w:rsidRPr="00CF5C69">
        <w:rPr>
          <w:rFonts w:ascii="Traditional Arabic" w:hAnsi="Traditional Arabic" w:cs="Traditional Arabic"/>
          <w:sz w:val="30"/>
          <w:szCs w:val="30"/>
        </w:rPr>
        <w:t xml:space="preserve">. </w:t>
      </w:r>
      <w:r w:rsidR="00CC0E23">
        <w:rPr>
          <w:rStyle w:val="FootnoteReference"/>
          <w:rFonts w:cs="Traditional Arabic"/>
          <w:szCs w:val="30"/>
        </w:rPr>
        <w:footnoteReference w:id="798"/>
      </w:r>
    </w:p>
    <w:p w14:paraId="599B0204" w14:textId="74F532CC"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Pr>
        <w:tab/>
      </w:r>
      <w:r w:rsidRPr="00CF5C69">
        <w:rPr>
          <w:rFonts w:ascii="Traditional Arabic" w:hAnsi="Traditional Arabic" w:cs="Traditional Arabic"/>
          <w:sz w:val="30"/>
          <w:szCs w:val="30"/>
          <w:rtl/>
        </w:rPr>
        <w:t>في 19 كانون الثاني/ يناير 2018 قام المقاتلون الحوثيون باختطاف واغتصاب وقتل عضو في حزب المؤتمر الشعبي العام. ادعى تحقيق مزعوم أجرته سلطات الأمر الواقع أن الضحية لم تكن عضوًا في المؤتمر الشعبي العام. إلا أن المعلومات التي قدّمها شاهد تشير إلى خلاف ذلك. أحبط جهود فريق الخبراء في التحقيق في هذه القضية عوامل مثل المخاوف من الانتقام والاهتمام الإعلامي بهكذا قضايا وعوامل أخرى ويتوجب إجراء المزيد من التحقيقات</w:t>
      </w:r>
      <w:r w:rsidRPr="00CF5C69">
        <w:rPr>
          <w:rFonts w:ascii="Traditional Arabic" w:hAnsi="Traditional Arabic" w:cs="Traditional Arabic"/>
          <w:sz w:val="30"/>
          <w:szCs w:val="30"/>
        </w:rPr>
        <w:t>.</w:t>
      </w:r>
      <w:r w:rsidR="00CC0E23">
        <w:rPr>
          <w:rStyle w:val="FootnoteReference"/>
          <w:rFonts w:cs="Traditional Arabic"/>
          <w:szCs w:val="30"/>
        </w:rPr>
        <w:footnoteReference w:id="799"/>
      </w:r>
    </w:p>
    <w:p w14:paraId="3A0727B7" w14:textId="2D9B6E71" w:rsidR="00CF5C69" w:rsidRPr="00F94767" w:rsidRDefault="00385E46" w:rsidP="00F94767">
      <w:pPr>
        <w:pStyle w:val="Footer"/>
        <w:tabs>
          <w:tab w:val="left" w:pos="720"/>
          <w:tab w:val="left" w:pos="900"/>
          <w:tab w:val="left" w:pos="1134"/>
          <w:tab w:val="left" w:pos="1701"/>
        </w:tabs>
        <w:bidi/>
        <w:spacing w:after="240"/>
        <w:ind w:left="1134" w:right="1080" w:hanging="585"/>
        <w:jc w:val="both"/>
        <w:rPr>
          <w:rFonts w:ascii="Traditional Arabic" w:hAnsi="Traditional Arabic" w:cs="Traditional Arabic"/>
          <w:b/>
          <w:bCs/>
          <w:sz w:val="30"/>
          <w:szCs w:val="30"/>
          <w:rtl/>
        </w:rPr>
      </w:pP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sidR="00CF5C69" w:rsidRPr="00F94767">
        <w:rPr>
          <w:rFonts w:ascii="Traditional Arabic" w:hAnsi="Traditional Arabic" w:cs="Traditional Arabic"/>
          <w:b/>
          <w:bCs/>
          <w:sz w:val="30"/>
          <w:szCs w:val="30"/>
          <w:rtl/>
        </w:rPr>
        <w:t>ز</w:t>
      </w:r>
      <w:r w:rsidR="00F94767">
        <w:rPr>
          <w:rFonts w:ascii="Traditional Arabic" w:hAnsi="Traditional Arabic" w:cs="Traditional Arabic"/>
          <w:b/>
          <w:bCs/>
          <w:sz w:val="30"/>
          <w:szCs w:val="30"/>
          <w:rtl/>
        </w:rPr>
        <w:t>) الانتهاكات</w:t>
      </w:r>
    </w:p>
    <w:p w14:paraId="3F8B7A89" w14:textId="0267C2D5"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لحرمان التعسفي من الحياة ممنوع منعا باتا بموجب القانون الدولي لحقوق الإنسان .</w:t>
      </w:r>
      <w:r w:rsidR="00CC0E23">
        <w:rPr>
          <w:rStyle w:val="FootnoteReference"/>
          <w:rFonts w:cs="Traditional Arabic"/>
          <w:szCs w:val="30"/>
          <w:rtl/>
        </w:rPr>
        <w:footnoteReference w:id="800"/>
      </w:r>
      <w:r w:rsidRPr="00CF5C69">
        <w:rPr>
          <w:rFonts w:ascii="Traditional Arabic" w:hAnsi="Traditional Arabic" w:cs="Traditional Arabic"/>
          <w:sz w:val="30"/>
          <w:szCs w:val="30"/>
          <w:rtl/>
        </w:rPr>
        <w:t xml:space="preserve"> بموجب القانون الدولي الإنساني، عندما – في سياق نزاع مسلح – يقوم أحد أطراف النزاع بقتل مدني عمدًا فإن هذا يرقى إلى القتل العمد أو جريمة قتل في خضم نزاع غير دولي.</w:t>
      </w:r>
      <w:r w:rsidR="00CC0E23">
        <w:rPr>
          <w:rStyle w:val="FootnoteReference"/>
          <w:rFonts w:cs="Traditional Arabic"/>
          <w:szCs w:val="30"/>
          <w:rtl/>
        </w:rPr>
        <w:footnoteReference w:id="801"/>
      </w:r>
      <w:r w:rsidRPr="00CF5C69">
        <w:rPr>
          <w:rFonts w:ascii="Traditional Arabic" w:hAnsi="Traditional Arabic" w:cs="Traditional Arabic"/>
          <w:sz w:val="30"/>
          <w:szCs w:val="30"/>
          <w:rtl/>
        </w:rPr>
        <w:t xml:space="preserve"> القتل هو انتهاك خطير للقانون الدولي الإنساني، وبالتالي جريمة حرب قد تؤدي إلى مسؤولية جنائية فردية</w:t>
      </w:r>
      <w:r w:rsidRPr="00CF5C69">
        <w:rPr>
          <w:rFonts w:ascii="Traditional Arabic" w:hAnsi="Traditional Arabic" w:cs="Traditional Arabic"/>
          <w:sz w:val="30"/>
          <w:szCs w:val="30"/>
        </w:rPr>
        <w:t>.</w:t>
      </w:r>
      <w:r w:rsidR="00CC0E23">
        <w:rPr>
          <w:rStyle w:val="FootnoteReference"/>
          <w:rFonts w:cs="Traditional Arabic"/>
          <w:szCs w:val="30"/>
        </w:rPr>
        <w:footnoteReference w:id="802"/>
      </w:r>
    </w:p>
    <w:p w14:paraId="4EFCF0CF" w14:textId="2E50F493" w:rsidR="00CF5C69" w:rsidRPr="00CF5C69" w:rsidRDefault="00CF5C69"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يُحظر الاختفاء القسري بموجب القانون الدولي لحقوق الإنسان والقانون الدولي الإنساني، لا سيما باعتباره انتهاكًا لحظر الحرمان التعسفي من الحرية وربما حظر التعذيب.</w:t>
      </w:r>
      <w:r w:rsidR="00CC0E23">
        <w:rPr>
          <w:rStyle w:val="FootnoteReference"/>
          <w:rFonts w:cs="Traditional Arabic"/>
          <w:szCs w:val="30"/>
          <w:rtl/>
        </w:rPr>
        <w:footnoteReference w:id="803"/>
      </w:r>
      <w:r w:rsidRPr="00CF5C69">
        <w:rPr>
          <w:rFonts w:ascii="Traditional Arabic" w:hAnsi="Traditional Arabic" w:cs="Traditional Arabic"/>
          <w:sz w:val="30"/>
          <w:szCs w:val="30"/>
          <w:rtl/>
        </w:rPr>
        <w:t xml:space="preserve"> كذلك يحظر القانون الدولي لحقوق الإنسان والقانون الدولي الإنساني الاعتقال التعسفي.</w:t>
      </w:r>
      <w:r w:rsidR="00CC0E23">
        <w:rPr>
          <w:rStyle w:val="FootnoteReference"/>
          <w:rFonts w:cs="Traditional Arabic"/>
          <w:szCs w:val="30"/>
          <w:rtl/>
        </w:rPr>
        <w:footnoteReference w:id="804"/>
      </w:r>
      <w:r w:rsidRPr="00CF5C69">
        <w:rPr>
          <w:rFonts w:ascii="Traditional Arabic" w:hAnsi="Traditional Arabic" w:cs="Traditional Arabic"/>
          <w:sz w:val="30"/>
          <w:szCs w:val="30"/>
          <w:rtl/>
        </w:rPr>
        <w:t xml:space="preserve"> تعتبر حالات الحرمان من الحرية تعسفية مخالفة لأحكام القانون الدولي، معظمها تلك المتعلقة بالحق في محاكمة عادلة أو غيرها من الضمانات الإجرائية، أو القيود غير القانونية المفروضة على ممارسة الحريات الأساسية.</w:t>
      </w:r>
      <w:r w:rsidR="00CC0E23">
        <w:rPr>
          <w:rStyle w:val="FootnoteReference"/>
          <w:rFonts w:cs="Traditional Arabic"/>
          <w:szCs w:val="30"/>
          <w:rtl/>
        </w:rPr>
        <w:footnoteReference w:id="805"/>
      </w:r>
      <w:r w:rsidRPr="00CF5C69">
        <w:rPr>
          <w:rFonts w:ascii="Traditional Arabic" w:hAnsi="Traditional Arabic" w:cs="Traditional Arabic"/>
          <w:sz w:val="30"/>
          <w:szCs w:val="30"/>
          <w:rtl/>
        </w:rPr>
        <w:t xml:space="preserve"> إن حرمان شخص من الحق في محاكمة عادلة قد يعتبر </w:t>
      </w:r>
      <w:r w:rsidRPr="00CF5C69">
        <w:rPr>
          <w:rFonts w:ascii="Traditional Arabic" w:hAnsi="Traditional Arabic" w:cs="Traditional Arabic"/>
          <w:sz w:val="30"/>
          <w:szCs w:val="30"/>
          <w:rtl/>
        </w:rPr>
        <w:lastRenderedPageBreak/>
        <w:t>جريمة حرب في نزاع غير دولي.</w:t>
      </w:r>
      <w:r w:rsidR="00CC0E23">
        <w:rPr>
          <w:rStyle w:val="FootnoteReference"/>
          <w:rFonts w:cs="Traditional Arabic"/>
          <w:szCs w:val="30"/>
          <w:rtl/>
        </w:rPr>
        <w:footnoteReference w:id="806"/>
      </w:r>
      <w:r w:rsidRPr="00CF5C69">
        <w:rPr>
          <w:rFonts w:ascii="Traditional Arabic" w:hAnsi="Traditional Arabic" w:cs="Traditional Arabic"/>
          <w:sz w:val="30"/>
          <w:szCs w:val="30"/>
          <w:rtl/>
        </w:rPr>
        <w:t xml:space="preserve"> التعذيب وغيره من ضروب المعاملة القاسية أو اللاإنسانية أو المهينة ممنوع منعا باتا بموجب القانون الدولي لحقوق الإنسان والقانون الدولي الإنساني، وقد يؤدي إلى مسؤولية جنائية فردية عن جرائم الحرب.</w:t>
      </w:r>
      <w:r w:rsidR="00CC0E23">
        <w:rPr>
          <w:rStyle w:val="FootnoteReference"/>
          <w:rFonts w:cs="Traditional Arabic"/>
          <w:szCs w:val="30"/>
          <w:rtl/>
        </w:rPr>
        <w:footnoteReference w:id="807"/>
      </w:r>
      <w:r w:rsidRPr="00CF5C69">
        <w:rPr>
          <w:rFonts w:ascii="Traditional Arabic" w:hAnsi="Traditional Arabic" w:cs="Traditional Arabic"/>
          <w:sz w:val="30"/>
          <w:szCs w:val="30"/>
          <w:rtl/>
        </w:rPr>
        <w:t xml:space="preserve"> يحظر القانون الدولي لحقوق الإنسان والقانون الدولي الإنساني الاغتصاب وغيره من أشكال العنف الجنسي.</w:t>
      </w:r>
      <w:r w:rsidR="00CC0E23">
        <w:rPr>
          <w:rStyle w:val="FootnoteReference"/>
          <w:rFonts w:cs="Traditional Arabic"/>
          <w:szCs w:val="30"/>
          <w:rtl/>
        </w:rPr>
        <w:footnoteReference w:id="808"/>
      </w:r>
      <w:r w:rsidRPr="00CF5C69">
        <w:rPr>
          <w:rFonts w:ascii="Traditional Arabic" w:hAnsi="Traditional Arabic" w:cs="Traditional Arabic"/>
          <w:sz w:val="30"/>
          <w:szCs w:val="30"/>
          <w:rtl/>
        </w:rPr>
        <w:t xml:space="preserve"> قد يؤدي هذا إلى مسؤولية جنائية فردية عن جريمة الحرب المتمثلة في الاغتصاب وأي شكل آخر من أشكال العنف الجنسي، فضلاً عن التعذيب والاعتداء على الكرامة الشخصية</w:t>
      </w:r>
      <w:r w:rsidRPr="00CF5C69">
        <w:rPr>
          <w:rFonts w:ascii="Traditional Arabic" w:hAnsi="Traditional Arabic" w:cs="Traditional Arabic"/>
          <w:sz w:val="30"/>
          <w:szCs w:val="30"/>
        </w:rPr>
        <w:t>.</w:t>
      </w:r>
      <w:r w:rsidR="00CC0E23">
        <w:rPr>
          <w:rStyle w:val="FootnoteReference"/>
          <w:rFonts w:cs="Traditional Arabic"/>
          <w:szCs w:val="30"/>
        </w:rPr>
        <w:footnoteReference w:id="809"/>
      </w:r>
    </w:p>
    <w:p w14:paraId="4E4B4B07" w14:textId="44B2FD4D" w:rsidR="00CF5C69" w:rsidRPr="00CF5C69" w:rsidRDefault="00CF5C69" w:rsidP="00F94767">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CF5C69">
        <w:rPr>
          <w:rFonts w:ascii="Traditional Arabic" w:hAnsi="Traditional Arabic" w:cs="Traditional Arabic"/>
          <w:sz w:val="30"/>
          <w:szCs w:val="30"/>
          <w:rtl/>
        </w:rPr>
        <w:t>وجد فريق الخبراء أسبابًا مقنعه للاعتقاد بأن سلطات الأمر الواقع مسؤولة عن عمليات القتل التعسفي لأشخاص منتسبين إلى حزب المؤتمر الشعبي العام وهذا يعتبر بمثابة الحرمان التعسفي من الحياة. نظرًا لارتباطها بالنزاع المسلح فإن عمليات القتل العمد هذه ترقى إلى مستوى الانتهاكات الجسيمة للقانون الدولي الإنساني والتي قد تصل إلى المسؤولية الجنائية عن ارتكاب جرائم الحرب التي هي القتل. لدى فريق الخبراء أيضًا اسباب مقنعه للاعتقاد بأن سلطات الأمر الواقع تنتهك الحق في الحرية والأمن الشخصي أي من خلال حالات الاختفاء القسري والاعتقالات التعسفية والاحتجاز، بما في ذلك انتهاك حقوق المحاكمة العادلة فضلاً عن التعذيب وغيره من المعاملة السيئة والعنف الجنسي. قد يؤدي هذا إلى مسؤولية جنائية عن جرائم الحرب المتمثلة في التعذيب والمعاملة القاسية أو اللاإنسانية والاعتداء على الكرامة الشخصية والحرمان من المحاكمة العادلة. كما وجد فريق الخبراء أسبابًا مقنعه للاعتقاد بأن سلطات الأمر الواقع قامت بالتضييق على الحق في حرية التعبير والتجمع دون مبرر وهذا يشكل انتهاكًا لالتزاماتها في مجال حقوق الإنسان</w:t>
      </w:r>
      <w:r w:rsidRPr="00CF5C69">
        <w:rPr>
          <w:rFonts w:ascii="Traditional Arabic" w:hAnsi="Traditional Arabic" w:cs="Traditional Arabic"/>
          <w:sz w:val="30"/>
          <w:szCs w:val="30"/>
        </w:rPr>
        <w:t>.</w:t>
      </w:r>
    </w:p>
    <w:p w14:paraId="288DE75D" w14:textId="7B2FE836" w:rsidR="00595527" w:rsidRPr="009D7B92" w:rsidRDefault="0077685C" w:rsidP="00385E46">
      <w:pPr>
        <w:bidi/>
        <w:spacing w:line="240" w:lineRule="auto"/>
        <w:ind w:right="827" w:firstLine="369"/>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هـ.</w:t>
      </w:r>
      <w:r w:rsidRPr="009D7B92">
        <w:rPr>
          <w:rFonts w:ascii="Traditional Arabic" w:hAnsi="Traditional Arabic" w:cs="Traditional Arabic"/>
          <w:b/>
          <w:bCs/>
          <w:sz w:val="30"/>
          <w:szCs w:val="30"/>
          <w:rtl/>
        </w:rPr>
        <w:tab/>
      </w:r>
      <w:r w:rsidR="00595527" w:rsidRPr="009D7B92">
        <w:rPr>
          <w:rFonts w:ascii="Traditional Arabic" w:hAnsi="Traditional Arabic" w:cs="Traditional Arabic"/>
          <w:b/>
          <w:bCs/>
          <w:sz w:val="30"/>
          <w:szCs w:val="30"/>
          <w:rtl/>
        </w:rPr>
        <w:t xml:space="preserve">معركة الحديدة (2018 – 2019) </w:t>
      </w:r>
    </w:p>
    <w:p w14:paraId="67BE4FB3" w14:textId="77777777" w:rsidR="009D7B92" w:rsidRPr="009D7B92" w:rsidRDefault="009D7B92" w:rsidP="009D7B92">
      <w:pPr>
        <w:pStyle w:val="Footer"/>
        <w:tabs>
          <w:tab w:val="left" w:pos="720"/>
        </w:tabs>
        <w:bidi/>
        <w:ind w:left="1089" w:right="1089" w:hanging="360"/>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1</w:t>
      </w:r>
      <w:r w:rsidRPr="009D7B92">
        <w:rPr>
          <w:rFonts w:ascii="Traditional Arabic" w:hAnsi="Traditional Arabic" w:cs="Traditional Arabic"/>
          <w:b/>
          <w:bCs/>
          <w:sz w:val="30"/>
          <w:szCs w:val="30"/>
        </w:rPr>
        <w:t>.</w:t>
      </w:r>
      <w:r w:rsidRPr="009D7B92">
        <w:rPr>
          <w:rFonts w:ascii="Traditional Arabic" w:hAnsi="Traditional Arabic" w:cs="Traditional Arabic"/>
          <w:b/>
          <w:bCs/>
          <w:sz w:val="30"/>
          <w:szCs w:val="30"/>
        </w:rPr>
        <w:tab/>
      </w:r>
      <w:r w:rsidRPr="009D7B92">
        <w:rPr>
          <w:rFonts w:ascii="Traditional Arabic" w:hAnsi="Traditional Arabic" w:cs="Traditional Arabic"/>
          <w:b/>
          <w:bCs/>
          <w:sz w:val="30"/>
          <w:szCs w:val="30"/>
          <w:rtl/>
        </w:rPr>
        <w:t>السياق</w:t>
      </w:r>
    </w:p>
    <w:p w14:paraId="0B0485A2" w14:textId="763C77B6"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عام 2018، شهدت محافظة الحديدة التي تُعدّ إحدى أكثر المناطق حرمانًا في اليمن، عمليات قتال شديدة تسبّبت بإصابات عديدة في صفوف المدنيين فضلاً عن أضرار جسيمة وتدهور في الوضع الإنساني خلال الهجوم الذي شنّته القوات المسلحة اليمنية الى جانب الجماعات المسلحة التي تدعمها الإمارات العربية المتحدة بهدف استعادة السيطرة على مدينة الحديدة العاصمة</w:t>
      </w:r>
      <w:r w:rsidRPr="009D7B92">
        <w:rPr>
          <w:rFonts w:ascii="Traditional Arabic" w:hAnsi="Traditional Arabic" w:cs="Traditional Arabic"/>
          <w:b/>
          <w:bCs/>
          <w:sz w:val="30"/>
          <w:szCs w:val="30"/>
        </w:rPr>
        <w:t>.</w:t>
      </w:r>
    </w:p>
    <w:p w14:paraId="47875824" w14:textId="589E273F"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ابتداءً من كانون الثاني/ يناير 2018، تقدّمت القوات المسلحة اليمنية والجماعات المسلحة التابعة لها والمدعومة من الإمارات العربية المتحدة عبر </w:t>
      </w:r>
      <w:r w:rsidRPr="009D7B92">
        <w:rPr>
          <w:rFonts w:ascii="Traditional Arabic" w:hAnsi="Traditional Arabic" w:cs="Traditional Arabic"/>
          <w:sz w:val="30"/>
          <w:szCs w:val="30"/>
          <w:rtl/>
        </w:rPr>
        <w:lastRenderedPageBreak/>
        <w:t>محافظة تعز من الجنوب باتجاه مدينة الحديدة، وقطعت خطوط الإمداد الحوثية بين مدينتَي تعز والحديدة. ووصلت إلى ضواحي مدينة الحديدة بحلول حزيران/ يونيو. في 13 حزيران/ يونيو 2018، وبحجّة أن الحوثيين يقومون بتهريب الأسلحة عبر ميناء الحديدة، بدأ التحالف "عملية النصر الذهبي" التي كان الهدف المعلن منها طرد الحوثيين من المدينة الساحلية. واستمرّ القتال في جميع أنحاء المحافظة طوال النصف الثاني من عام 2018</w:t>
      </w:r>
      <w:r w:rsidRPr="009D7B92">
        <w:rPr>
          <w:rFonts w:ascii="Traditional Arabic" w:hAnsi="Traditional Arabic" w:cs="Traditional Arabic"/>
          <w:sz w:val="30"/>
          <w:szCs w:val="30"/>
        </w:rPr>
        <w:t>.</w:t>
      </w:r>
    </w:p>
    <w:p w14:paraId="2E4D3113" w14:textId="42C7EE9D"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13 كانون الأول / ديسمبر 2018، وتحت رعاية المبعوث الخاص للأمين العام للأمم المتحدة  إلى اليمن، توصّل الحوثيون والحكومة اليمنية إلى اتفاق بشأن مدينة الحديدة وموانىء الحديده والصليف ورأس عيسى ("اتفاقية ستوكهولم"). ونصّ الاتفاق على إعادة نشر القوات على كلا الجانبين بعيداً عن المواقع القريبة من الموانئ وعن مدينة الحديدة نفسها. في 16 كانون الثاني/ يناير 2019، اعتمد مجلس الأمن التابع للأمم المتحدة قرارًا بإنشاء بعثة الأمم المتحدة لدعم اتفاق الحديدة</w:t>
      </w:r>
      <w:r w:rsidRPr="009D7B92">
        <w:rPr>
          <w:rFonts w:ascii="Traditional Arabic" w:hAnsi="Traditional Arabic" w:cs="Traditional Arabic"/>
          <w:sz w:val="30"/>
          <w:szCs w:val="30"/>
        </w:rPr>
        <w:t xml:space="preserve"> ("UNMHA") </w:t>
      </w:r>
      <w:r w:rsidR="00BC0EB3">
        <w:rPr>
          <w:rFonts w:ascii="Traditional Arabic" w:hAnsi="Traditional Arabic" w:cs="Traditional Arabic" w:hint="cs"/>
          <w:sz w:val="30"/>
          <w:szCs w:val="30"/>
          <w:rtl/>
        </w:rPr>
        <w:t xml:space="preserve"> </w:t>
      </w:r>
      <w:r w:rsidRPr="009D7B92">
        <w:rPr>
          <w:rFonts w:ascii="Traditional Arabic" w:hAnsi="Traditional Arabic" w:cs="Traditional Arabic"/>
          <w:sz w:val="30"/>
          <w:szCs w:val="30"/>
          <w:rtl/>
        </w:rPr>
        <w:t>من أجل دعم تنفيذ اتفاق استكهولم</w:t>
      </w:r>
      <w:r w:rsidRPr="009D7B92">
        <w:rPr>
          <w:rFonts w:ascii="Traditional Arabic" w:hAnsi="Traditional Arabic" w:cs="Traditional Arabic"/>
          <w:sz w:val="30"/>
          <w:szCs w:val="30"/>
        </w:rPr>
        <w:t>.</w:t>
      </w:r>
    </w:p>
    <w:p w14:paraId="62607121" w14:textId="42EE2CDD" w:rsidR="009D7B92" w:rsidRPr="009D7B92" w:rsidRDefault="009D7B92" w:rsidP="009D7B92">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تتم إعادة نشر القوات على كلا الجانبين في غضون الاطر الزمنية المتفق عليها ضمن اتفاق استكهولم، وبقيت التساؤلات كبيرة حول مدى استعداد الطرفين للالتزام بهذه الاتفاقات حتى وقت كتابة هذا التقرير. غير أن الاتفاق قد ساهم في تراجع العنف بشكل ملحوظ في المحافظة ومنع اجتياح النزاع للعاصمة برمّتها. كان للقتال في الحديدة أن يتسبّب بعواقب وخيمة على المدنيين الذين يعيشون فيها وعلى اليمن بأكمله، لاسيما على ضوء الأهمية التي يكتسبها الميناء بالنسبة للبلد</w:t>
      </w:r>
      <w:r w:rsidRPr="009D7B92">
        <w:rPr>
          <w:rFonts w:ascii="Traditional Arabic" w:hAnsi="Traditional Arabic" w:cs="Traditional Arabic"/>
          <w:sz w:val="30"/>
          <w:szCs w:val="30"/>
        </w:rPr>
        <w:t>.</w:t>
      </w:r>
    </w:p>
    <w:p w14:paraId="28E0E6EA" w14:textId="77777777" w:rsidR="009D7B92" w:rsidRPr="009D7B92" w:rsidRDefault="009D7B92"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9D7B92">
        <w:rPr>
          <w:rFonts w:ascii="Traditional Arabic" w:hAnsi="Traditional Arabic" w:cs="Traditional Arabic"/>
          <w:b/>
          <w:bCs/>
          <w:sz w:val="30"/>
          <w:szCs w:val="30"/>
          <w:rtl/>
        </w:rPr>
        <w:t>2</w:t>
      </w:r>
      <w:r w:rsidRPr="009D7B92">
        <w:rPr>
          <w:rFonts w:ascii="Traditional Arabic" w:hAnsi="Traditional Arabic" w:cs="Traditional Arabic"/>
          <w:sz w:val="30"/>
          <w:szCs w:val="30"/>
        </w:rPr>
        <w:t>.</w:t>
      </w:r>
      <w:r w:rsidRPr="009D7B92">
        <w:rPr>
          <w:rFonts w:ascii="Traditional Arabic" w:hAnsi="Traditional Arabic" w:cs="Traditional Arabic"/>
          <w:b/>
          <w:bCs/>
          <w:sz w:val="30"/>
          <w:szCs w:val="30"/>
        </w:rPr>
        <w:tab/>
        <w:t xml:space="preserve"> </w:t>
      </w:r>
      <w:r w:rsidRPr="009D7B92">
        <w:rPr>
          <w:rFonts w:ascii="Traditional Arabic" w:hAnsi="Traditional Arabic" w:cs="Traditional Arabic"/>
          <w:b/>
          <w:bCs/>
          <w:sz w:val="30"/>
          <w:szCs w:val="30"/>
          <w:rtl/>
        </w:rPr>
        <w:t>الوضع الإنساني</w:t>
      </w:r>
    </w:p>
    <w:p w14:paraId="57077660" w14:textId="148D687C"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أسفر القتال عن نزوح ما يقارب 455 ألف نسمة من محافظة الحديدة وداخلها بين حزيران/ يونيو وتشرين الثاني/ نوفمبر 2018.</w:t>
      </w:r>
      <w:r w:rsidR="004553F5">
        <w:rPr>
          <w:rStyle w:val="FootnoteReference"/>
          <w:rFonts w:cs="Traditional Arabic"/>
          <w:szCs w:val="30"/>
          <w:rtl/>
        </w:rPr>
        <w:footnoteReference w:id="810"/>
      </w:r>
      <w:r w:rsidRPr="009D7B92">
        <w:rPr>
          <w:rFonts w:ascii="Traditional Arabic" w:hAnsi="Traditional Arabic" w:cs="Traditional Arabic"/>
          <w:sz w:val="30"/>
          <w:szCs w:val="30"/>
          <w:rtl/>
        </w:rPr>
        <w:t xml:space="preserve"> وقد انتقل العديد من النازحين داخلياً إلى المراكز الحضرية في المحافظة، مما زاد من احتياجات السكان المضيفين من مياه وصرف صحي وحال دون تلبية احتياجات النازحين الجدُد. وتحوّلت الحديدة أيضًا إلى إحدى أكثر المحافظات التي تعاني من انعدام الأمن الغذائي، حيث غادر أكثر من مليون وستمائة ألف شخص لديهم احتياجات أساسية مقابل خمسمائة وستين ألفاً يعيشون في ظروف ما قبل المجاعة.</w:t>
      </w:r>
      <w:r w:rsidR="004553F5">
        <w:rPr>
          <w:rStyle w:val="FootnoteReference"/>
          <w:rFonts w:cs="Traditional Arabic"/>
          <w:szCs w:val="30"/>
          <w:rtl/>
        </w:rPr>
        <w:footnoteReference w:id="811"/>
      </w:r>
      <w:r w:rsidRPr="009D7B92">
        <w:rPr>
          <w:rFonts w:ascii="Traditional Arabic" w:hAnsi="Traditional Arabic" w:cs="Traditional Arabic"/>
          <w:sz w:val="30"/>
          <w:szCs w:val="30"/>
          <w:rtl/>
        </w:rPr>
        <w:t xml:space="preserve"> وكانت الحديدة تضم معظم الأطفال المعرضين لخطر سوء التغذية الحاد على صعيد البلاد في أعقاب القتال. علاوة على ذلك، أصبح معدل العامل الصحي إلى السكان في الحديدة 7 إلى 10 آلاف، أي أدنى بكثير من المعدّل الذي أوصت به اللجنة الدائمة المشتركة بين الوكالات</w:t>
      </w:r>
      <w:r w:rsidRPr="009D7B92">
        <w:rPr>
          <w:rFonts w:ascii="Traditional Arabic" w:hAnsi="Traditional Arabic" w:cs="Traditional Arabic"/>
          <w:sz w:val="30"/>
          <w:szCs w:val="30"/>
        </w:rPr>
        <w:t xml:space="preserve"> ("IASC") </w:t>
      </w:r>
      <w:r w:rsidRPr="009D7B92">
        <w:rPr>
          <w:rFonts w:ascii="Traditional Arabic" w:hAnsi="Traditional Arabic" w:cs="Traditional Arabic"/>
          <w:sz w:val="30"/>
          <w:szCs w:val="30"/>
          <w:rtl/>
        </w:rPr>
        <w:t>والبالغ 22 عاملاً في مجال الصحة للعشرة آلاف نسمة.</w:t>
      </w:r>
      <w:r w:rsidR="004553F5">
        <w:rPr>
          <w:rStyle w:val="FootnoteReference"/>
          <w:rFonts w:cs="Traditional Arabic"/>
          <w:szCs w:val="30"/>
          <w:rtl/>
        </w:rPr>
        <w:footnoteReference w:id="812"/>
      </w:r>
      <w:r w:rsidRPr="009D7B92">
        <w:rPr>
          <w:rFonts w:ascii="Traditional Arabic" w:hAnsi="Traditional Arabic" w:cs="Traditional Arabic"/>
          <w:sz w:val="30"/>
          <w:szCs w:val="30"/>
          <w:rtl/>
        </w:rPr>
        <w:t xml:space="preserve"> وقد تأثرت 80 مدرسة على الأقل بالقتال في </w:t>
      </w:r>
      <w:r w:rsidRPr="009D7B92">
        <w:rPr>
          <w:rFonts w:ascii="Traditional Arabic" w:hAnsi="Traditional Arabic" w:cs="Traditional Arabic"/>
          <w:sz w:val="30"/>
          <w:szCs w:val="30"/>
          <w:rtl/>
        </w:rPr>
        <w:lastRenderedPageBreak/>
        <w:t>الحديدة، إما بسبب احتلالها من جانب جهات فاعلة مسلحة أو من جانب النازحين داخلياً، أو بسبب تأثرها بعمليات القتال</w:t>
      </w:r>
      <w:r w:rsidRPr="009D7B92">
        <w:rPr>
          <w:rFonts w:ascii="Traditional Arabic" w:hAnsi="Traditional Arabic" w:cs="Traditional Arabic"/>
          <w:sz w:val="30"/>
          <w:szCs w:val="30"/>
        </w:rPr>
        <w:t>.</w:t>
      </w:r>
    </w:p>
    <w:p w14:paraId="545512C5" w14:textId="00B34E50" w:rsidR="009D7B92" w:rsidRPr="004553F5" w:rsidRDefault="009D7B92" w:rsidP="00825FCB">
      <w:pPr>
        <w:pStyle w:val="Footer"/>
        <w:tabs>
          <w:tab w:val="left" w:pos="720"/>
        </w:tabs>
        <w:bidi/>
        <w:spacing w:after="240"/>
        <w:ind w:left="1089" w:right="1089" w:hanging="450"/>
        <w:jc w:val="both"/>
        <w:rPr>
          <w:rFonts w:ascii="Traditional Arabic" w:hAnsi="Traditional Arabic" w:cs="Traditional Arabic"/>
          <w:b/>
          <w:bCs/>
          <w:sz w:val="30"/>
          <w:szCs w:val="30"/>
          <w:rtl/>
        </w:rPr>
      </w:pPr>
      <w:r w:rsidRPr="004553F5">
        <w:rPr>
          <w:rFonts w:ascii="Traditional Arabic" w:hAnsi="Traditional Arabic" w:cs="Traditional Arabic"/>
          <w:b/>
          <w:bCs/>
          <w:sz w:val="30"/>
          <w:szCs w:val="30"/>
        </w:rPr>
        <w:tab/>
      </w:r>
      <w:r w:rsidRPr="004553F5">
        <w:rPr>
          <w:rFonts w:ascii="Traditional Arabic" w:hAnsi="Traditional Arabic" w:cs="Traditional Arabic"/>
          <w:b/>
          <w:bCs/>
          <w:sz w:val="30"/>
          <w:szCs w:val="30"/>
          <w:rtl/>
        </w:rPr>
        <w:t xml:space="preserve">أ) </w:t>
      </w:r>
      <w:r w:rsidR="004553F5">
        <w:rPr>
          <w:rFonts w:ascii="Traditional Arabic" w:hAnsi="Traditional Arabic" w:cs="Traditional Arabic" w:hint="cs"/>
          <w:b/>
          <w:bCs/>
          <w:sz w:val="30"/>
          <w:szCs w:val="30"/>
          <w:rtl/>
        </w:rPr>
        <w:t xml:space="preserve">   </w:t>
      </w:r>
      <w:r w:rsidRPr="004553F5">
        <w:rPr>
          <w:rFonts w:ascii="Traditional Arabic" w:hAnsi="Traditional Arabic" w:cs="Traditional Arabic"/>
          <w:b/>
          <w:bCs/>
          <w:sz w:val="30"/>
          <w:szCs w:val="30"/>
          <w:rtl/>
        </w:rPr>
        <w:t>الوضع في الدريهمي</w:t>
      </w:r>
    </w:p>
    <w:p w14:paraId="5EBDFDDC" w14:textId="6BD312AF"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عانت محافظة الحديدة في أغلبيتها من العوائق التي حالت دون وصول المساعدات الإنسانية، سواء أثناء القتال أو حتى في أعقابه، وذلك بسبب الألغام الأرضية واستمرار الاشتباكات المتقطّعة. وكدليل على هذه الديناميكية، تحقّق فريق الخبراء من الادعاءات التي أفادت بأن أجزاء من مديرية الدريهمي قد تعرّضت للحصار. في الواقع، وفي أوائل آب/ أغسطس 2018، تقدمت القوات المسلحة اليمنية والجماعات المسلحة التابعة لها والمدعومة من الإمارات العربية المتحدة نحو ضواحي وسط المديرية. وبعد فترات من القتال العنيف الذي أدّى الى تدمير العديد من المباني ، أبقى الحوثيون سيطرتهم على غالبية المديرية، بما في ذلك الوسط. واستقرت الخطوط الأمامية عند نقاط الوصول إلى مركز المديرية الخاضع لسيطرة القوات المسلحة اليمنية والجماعات التابعة لها. وما زاد من صعوبة الوصول إلى المنطقة هو وجود الألغام الأرضية</w:t>
      </w:r>
      <w:r w:rsidR="004553F5">
        <w:rPr>
          <w:rStyle w:val="FootnoteReference"/>
          <w:rFonts w:cs="Traditional Arabic"/>
          <w:szCs w:val="30"/>
          <w:rtl/>
        </w:rPr>
        <w:footnoteReference w:id="813"/>
      </w:r>
      <w:r w:rsidRPr="009D7B92">
        <w:rPr>
          <w:rFonts w:ascii="Traditional Arabic" w:hAnsi="Traditional Arabic" w:cs="Traditional Arabic"/>
          <w:sz w:val="30"/>
          <w:szCs w:val="30"/>
        </w:rPr>
        <w:t xml:space="preserve"> .</w:t>
      </w:r>
    </w:p>
    <w:p w14:paraId="39C0C926" w14:textId="3C681DF7"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تعرضت الممتلكات المدنية، بما فيها البنية التحتية الأساسية في الدريهمي، لأضرار جسيمة نتيجةً للنزاع. فعلى سبيل المثال، تمّ تدمير خزان مياه رئيسي في المدينة عندما استُهدفت المنطقة المجاورة خلال هجوم لم يتم تحديد الجهة الم</w:t>
      </w:r>
      <w:r w:rsidR="004553F5">
        <w:rPr>
          <w:rFonts w:ascii="Traditional Arabic" w:hAnsi="Traditional Arabic" w:cs="Traditional Arabic"/>
          <w:sz w:val="30"/>
          <w:szCs w:val="30"/>
          <w:rtl/>
        </w:rPr>
        <w:t>سؤولة عنه وقت كتابة هذا التقرير</w:t>
      </w:r>
      <w:r w:rsidRPr="009D7B92">
        <w:rPr>
          <w:rFonts w:ascii="Traditional Arabic" w:hAnsi="Traditional Arabic" w:cs="Traditional Arabic"/>
          <w:sz w:val="30"/>
          <w:szCs w:val="30"/>
          <w:rtl/>
        </w:rPr>
        <w:t>.</w:t>
      </w:r>
      <w:r w:rsidR="004553F5">
        <w:rPr>
          <w:rStyle w:val="FootnoteReference"/>
          <w:rFonts w:cs="Traditional Arabic"/>
          <w:szCs w:val="30"/>
          <w:rtl/>
        </w:rPr>
        <w:footnoteReference w:id="814"/>
      </w:r>
      <w:r w:rsidRPr="009D7B92">
        <w:rPr>
          <w:rFonts w:ascii="Traditional Arabic" w:hAnsi="Traditional Arabic" w:cs="Traditional Arabic"/>
          <w:sz w:val="30"/>
          <w:szCs w:val="30"/>
          <w:rtl/>
        </w:rPr>
        <w:t xml:space="preserve"> وتنعكس هشاشة البنية التحتية الصحية ضمن المديرية في الحالات التي حقق فيها فريق الخبراء، حيث اضطرّ المدنيون المصابون للسعي وراء الرعاية الصحية خارج المديرية .</w:t>
      </w:r>
      <w:r w:rsidR="002C5F5B">
        <w:rPr>
          <w:rStyle w:val="FootnoteReference"/>
          <w:rFonts w:cs="Traditional Arabic"/>
          <w:szCs w:val="30"/>
          <w:rtl/>
        </w:rPr>
        <w:footnoteReference w:id="815"/>
      </w:r>
      <w:r w:rsidRPr="009D7B92">
        <w:rPr>
          <w:rFonts w:ascii="Traditional Arabic" w:hAnsi="Traditional Arabic" w:cs="Traditional Arabic"/>
          <w:sz w:val="30"/>
          <w:szCs w:val="30"/>
          <w:rtl/>
        </w:rPr>
        <w:t xml:space="preserve"> بالإضافة إلى ذلك، تمّ تدمير المركز الوحيد للتوليد والعناية بالمواليد الجدد بشكل جزئي خلال غارة جوية شنتها قوات التحالف في 11 تشرين الأول/ أكتوبر 2018. وفي اليوم نفسه، تمّ قصف مستشفى ريفي في المنطقة نفسها. نتيجة لذلك، تراجع عدد المرافق والخدمات لمساعدة النساء أثناء الحمل والولادة في مدينة الدريهمي</w:t>
      </w:r>
      <w:r w:rsidRPr="009D7B92">
        <w:rPr>
          <w:rFonts w:ascii="Traditional Arabic" w:hAnsi="Traditional Arabic" w:cs="Traditional Arabic"/>
          <w:sz w:val="30"/>
          <w:szCs w:val="30"/>
        </w:rPr>
        <w:t xml:space="preserve"> </w:t>
      </w:r>
      <w:r w:rsidR="002C5F5B">
        <w:rPr>
          <w:rFonts w:ascii="Traditional Arabic" w:hAnsi="Traditional Arabic" w:cs="Traditional Arabic" w:hint="cs"/>
          <w:sz w:val="30"/>
          <w:szCs w:val="30"/>
          <w:rtl/>
        </w:rPr>
        <w:t>.</w:t>
      </w:r>
      <w:r w:rsidR="002C5F5B">
        <w:rPr>
          <w:rStyle w:val="FootnoteReference"/>
          <w:rFonts w:cs="Traditional Arabic"/>
          <w:szCs w:val="30"/>
          <w:rtl/>
        </w:rPr>
        <w:footnoteReference w:id="816"/>
      </w:r>
    </w:p>
    <w:p w14:paraId="33F183AF" w14:textId="7511A45D" w:rsidR="009D7B92" w:rsidRPr="009D7B92" w:rsidRDefault="005C7B3B"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ب</w:t>
      </w:r>
      <w:r w:rsidR="009D7B92" w:rsidRPr="009D7B92">
        <w:rPr>
          <w:rFonts w:ascii="Traditional Arabic" w:hAnsi="Traditional Arabic" w:cs="Traditional Arabic"/>
          <w:sz w:val="30"/>
          <w:szCs w:val="30"/>
          <w:rtl/>
        </w:rPr>
        <w:t xml:space="preserve">ين آب / أغسطس وكانون الأول / ديسمبر 2018، وبينما كان القتال العنيف مستمراً، لم تتمكن الجهات الإنسانية من الوصول إلى المديرية على الإطلاق. في عام 2019، سُمح للجهات الفاعلة في المجال الإنساني بالوصول إلى الدريهمي لفترة وجيزة من أجل تقديم الطعام في كانون الثاني/ يناير وأواخر نيسان/ أبريل وبداية أيار/ مايو. على الرغم من أن وصول المساعدات كان وجيزاً، لم يتم إجراء أي تقييم إنساني في الدريهمي منذ حزيران/ يونيو 2018. </w:t>
      </w:r>
      <w:r w:rsidR="002C5F5B">
        <w:rPr>
          <w:rStyle w:val="FootnoteReference"/>
          <w:rFonts w:cs="Traditional Arabic"/>
          <w:szCs w:val="30"/>
          <w:rtl/>
        </w:rPr>
        <w:footnoteReference w:id="817"/>
      </w:r>
      <w:r w:rsidR="009D7B92" w:rsidRPr="009D7B92">
        <w:rPr>
          <w:rFonts w:ascii="Traditional Arabic" w:hAnsi="Traditional Arabic" w:cs="Traditional Arabic"/>
          <w:sz w:val="30"/>
          <w:szCs w:val="30"/>
          <w:rtl/>
        </w:rPr>
        <w:t xml:space="preserve"> لذلك، لم يتم تأكيد عدد الأفراد الذين يعيشون اليوم في مديرية الدريهمي أو في مركز المديرية نفسه (واحتياجاتهم)، واستحال التوصّل الى خطة استجابة </w:t>
      </w:r>
      <w:r w:rsidR="009D7B92" w:rsidRPr="009D7B92">
        <w:rPr>
          <w:rFonts w:ascii="Traditional Arabic" w:hAnsi="Traditional Arabic" w:cs="Traditional Arabic"/>
          <w:sz w:val="30"/>
          <w:szCs w:val="30"/>
          <w:rtl/>
        </w:rPr>
        <w:lastRenderedPageBreak/>
        <w:t>مناسبة وتنفيذها. أما القيود المفروضة بشكل مستمر حتى وقت كتابة هذا التقرير، فترجع أساسًا إلى سيطرة القوات المسلحة اليمنية والجماعات المسلحة التابعة لها على نقاط الوصول، فضلاً عن وجود الألغام الأرضية المحيطة بهذه المناطق التي ظلت تحت سيطرة سلطات الأمر الواقع</w:t>
      </w:r>
      <w:r w:rsidR="009D7B92" w:rsidRPr="009D7B92">
        <w:rPr>
          <w:rFonts w:ascii="Traditional Arabic" w:hAnsi="Traditional Arabic" w:cs="Traditional Arabic"/>
          <w:sz w:val="30"/>
          <w:szCs w:val="30"/>
        </w:rPr>
        <w:t>.</w:t>
      </w:r>
      <w:r w:rsidR="002C5F5B">
        <w:rPr>
          <w:rStyle w:val="FootnoteReference"/>
          <w:rFonts w:cs="Traditional Arabic"/>
          <w:szCs w:val="30"/>
        </w:rPr>
        <w:footnoteReference w:id="818"/>
      </w:r>
    </w:p>
    <w:p w14:paraId="535591FC" w14:textId="77777777" w:rsidR="009D7B92" w:rsidRPr="002C5F5B" w:rsidRDefault="009D7B92" w:rsidP="00385E46">
      <w:pPr>
        <w:pStyle w:val="Footer"/>
        <w:tabs>
          <w:tab w:val="left" w:pos="720"/>
        </w:tabs>
        <w:bidi/>
        <w:spacing w:after="240"/>
        <w:ind w:left="1089" w:right="1089" w:hanging="270"/>
        <w:jc w:val="both"/>
        <w:rPr>
          <w:rFonts w:ascii="Traditional Arabic" w:hAnsi="Traditional Arabic" w:cs="Traditional Arabic"/>
          <w:b/>
          <w:bCs/>
          <w:sz w:val="30"/>
          <w:szCs w:val="30"/>
          <w:rtl/>
        </w:rPr>
      </w:pPr>
      <w:r w:rsidRPr="002C5F5B">
        <w:rPr>
          <w:rFonts w:ascii="Traditional Arabic" w:hAnsi="Traditional Arabic" w:cs="Traditional Arabic"/>
          <w:b/>
          <w:bCs/>
          <w:sz w:val="30"/>
          <w:szCs w:val="30"/>
          <w:rtl/>
        </w:rPr>
        <w:t>ب) عدم الوصول إلى مطاحن البحر الأحمر، مدينة الحديدة</w:t>
      </w:r>
    </w:p>
    <w:p w14:paraId="14CE6058" w14:textId="78D1124D" w:rsidR="009D7B92" w:rsidRPr="009D7B92" w:rsidRDefault="009D7B92" w:rsidP="00681398">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تشكّل مطاحن البحر الأحمر التي تقع في مدينة الحديدة موقعاً لتخزين القمح ومعالجته. قبل اندلاع النزاع في الحديدة، كانت الطواحين تحتوي على 51000 طن متري، أو ربع مخزون برنامج الأغذية العالمي في البلاد، أي ما يكفي من القمح لإطعام 3.7 مليون شخص لمدة شهر واحد</w:t>
      </w:r>
      <w:r w:rsidRPr="009D7B92">
        <w:rPr>
          <w:rFonts w:ascii="Traditional Arabic" w:hAnsi="Traditional Arabic" w:cs="Traditional Arabic"/>
          <w:sz w:val="30"/>
          <w:szCs w:val="30"/>
        </w:rPr>
        <w:t>.</w:t>
      </w:r>
      <w:r w:rsidR="00AF0C94">
        <w:rPr>
          <w:rStyle w:val="FootnoteReference"/>
          <w:rFonts w:cs="Traditional Arabic"/>
          <w:szCs w:val="30"/>
        </w:rPr>
        <w:footnoteReference w:id="819"/>
      </w:r>
    </w:p>
    <w:p w14:paraId="4C52C3BE" w14:textId="50011D64"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آب/ أغسطس – أيلول/ سبتمبر 2018، وصلت الخطوط الأمامية للقتال إلى الطواحين. بعد ذلك، كان لا بدّ من موافقة طرفّي النزاع للوصول إليها. إبتداءً من أيلول/ سبتمبر 2018، فقد برنامج الأغذية العالمي إمكانية الوصول إلى الموقع واضطر لاستخدام مخزونات القمح الأخرى، فضلاً عن استيراد قمح إضافي لتغطية احتياجات السكان اليمنيين من الغذاء. وكون القمح معرّضاً للفساد مع مرور الوقت لطالما شكّل الوصول الى الموقع موضوع مناصرة مستمرّة من جانب الأمم المتحدة. إن الرفض المستمر لإتاحة الوصول إلى الموقع في أعقاب وقف إطلاق النار الذي تم التوصل إليه كجزء من اتفاق استكهولم يفتقر إلى تبرير واضح</w:t>
      </w:r>
      <w:r w:rsidRPr="009D7B92">
        <w:rPr>
          <w:rFonts w:ascii="Traditional Arabic" w:hAnsi="Traditional Arabic" w:cs="Traditional Arabic"/>
          <w:sz w:val="30"/>
          <w:szCs w:val="30"/>
        </w:rPr>
        <w:t>.</w:t>
      </w:r>
    </w:p>
    <w:p w14:paraId="1E2C3D92" w14:textId="7331A27C" w:rsidR="009D7B92" w:rsidRPr="009D7B92" w:rsidRDefault="00681398"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ا</w:t>
      </w:r>
      <w:r w:rsidR="009D7B92" w:rsidRPr="009D7B92">
        <w:rPr>
          <w:rFonts w:ascii="Traditional Arabic" w:hAnsi="Traditional Arabic" w:cs="Traditional Arabic"/>
          <w:sz w:val="30"/>
          <w:szCs w:val="30"/>
          <w:rtl/>
        </w:rPr>
        <w:t>لحوثيون هم المسؤولون عن منع الوصول إلى الموقع في الفترة من كانون الثاني/ يناير 2019 إلى أيار/ مايو 2019. للوصول من الحديدة، كان لا بدّ من عبور الخطوط الأمامية من المناطق التي يسيطر عليها الحوثيون في الحديدة إلى المنطقة التي تسيطر عليها الحكومة اليمنية. في الواقع، وافقت الحكومة اليمنية على السماح للأمم المتحدة بالوصول، إلا أن الحوثيين رفضوا ذلك منذ كانون الثاني/ يناير 2019. وذكر الحوثيون أن السبب يعود الى المخاوف الأمنية. كانوا يخشون أن يقع حادث للأمم المتحدة عند الوصول إلى الموقع أو أثناء عبور خط المواجهة، فيقع عليهم اللوم. واشترط الحوثيون الوصول بوجود فريق تحقيق يلتحق بفريق برنامج الأغذية العالمي للتحقيق فورًا في أي حادث أمني قد يطرأ</w:t>
      </w:r>
      <w:r w:rsidR="009D7B92" w:rsidRPr="009D7B92">
        <w:rPr>
          <w:rFonts w:ascii="Traditional Arabic" w:hAnsi="Traditional Arabic" w:cs="Traditional Arabic"/>
          <w:sz w:val="30"/>
          <w:szCs w:val="30"/>
        </w:rPr>
        <w:t xml:space="preserve"> .</w:t>
      </w:r>
      <w:r w:rsidR="00AF0C94">
        <w:rPr>
          <w:rStyle w:val="FootnoteReference"/>
          <w:rFonts w:cs="Traditional Arabic"/>
          <w:szCs w:val="30"/>
        </w:rPr>
        <w:footnoteReference w:id="820"/>
      </w:r>
    </w:p>
    <w:p w14:paraId="2242D2F2" w14:textId="75971CBD"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في 5 أيار/ مايو 2019، استعاد فريق فني بقيادة برنامج الأغذية العالمي إمكانية الوصول إلى مطاحن البحر الأحمر بعد موافقة الحوثيين. كان يُفترض أن يحظى الفريق الذي سافر من عدن بإمكانية الوصول إلى الموقع على المدى الطويل. وفقًا لبرنامج الأغذية العالمي، لدى الانتهاء من صياغة هذا </w:t>
      </w:r>
      <w:r w:rsidRPr="009D7B92">
        <w:rPr>
          <w:rFonts w:ascii="Traditional Arabic" w:hAnsi="Traditional Arabic" w:cs="Traditional Arabic"/>
          <w:sz w:val="30"/>
          <w:szCs w:val="30"/>
          <w:rtl/>
        </w:rPr>
        <w:lastRenderedPageBreak/>
        <w:t>التقرير، كان لا يزال وضع إمدادات مطاحن البحر الأحمر غير واضح، إذ لم تكن قد حددت الكمية الإجمالية للقمح الصالح للاستهلاك البشري</w:t>
      </w:r>
      <w:r w:rsidR="00AF0C94">
        <w:rPr>
          <w:rStyle w:val="FootnoteReference"/>
          <w:rFonts w:cs="Traditional Arabic"/>
          <w:szCs w:val="30"/>
          <w:rtl/>
        </w:rPr>
        <w:footnoteReference w:id="821"/>
      </w:r>
      <w:r w:rsidRPr="009D7B92">
        <w:rPr>
          <w:rFonts w:ascii="Traditional Arabic" w:hAnsi="Traditional Arabic" w:cs="Traditional Arabic"/>
          <w:sz w:val="30"/>
          <w:szCs w:val="30"/>
        </w:rPr>
        <w:t xml:space="preserve"> .</w:t>
      </w:r>
    </w:p>
    <w:p w14:paraId="78A35DA2" w14:textId="2F5BFE1E"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بالإضافة إلى عدم إمكانية الوصول الى مطاحن البحر الأحمر، قيل أيضًا أنه تمّ تلغيمها. واتهم برنامج الأغذية العالمي الحوثيين بدخول المرفق وزرع الألغام الأرضية في داخله</w:t>
      </w:r>
      <w:r w:rsidR="00AF0C94">
        <w:rPr>
          <w:rStyle w:val="FootnoteReference"/>
          <w:rFonts w:cs="Traditional Arabic"/>
          <w:szCs w:val="30"/>
          <w:rtl/>
        </w:rPr>
        <w:footnoteReference w:id="822"/>
      </w:r>
      <w:r w:rsidRPr="009D7B92">
        <w:rPr>
          <w:rFonts w:ascii="Traditional Arabic" w:hAnsi="Traditional Arabic" w:cs="Traditional Arabic"/>
          <w:sz w:val="30"/>
          <w:szCs w:val="30"/>
          <w:rtl/>
        </w:rPr>
        <w:t xml:space="preserve"> . في 5 أيار/ مايو 2019، أعلن المركز اليمني التنفيذي لمكافحة الألغام</w:t>
      </w:r>
      <w:r w:rsidRPr="009D7B92">
        <w:rPr>
          <w:rFonts w:ascii="Traditional Arabic" w:hAnsi="Traditional Arabic" w:cs="Traditional Arabic"/>
          <w:sz w:val="30"/>
          <w:szCs w:val="30"/>
        </w:rPr>
        <w:t xml:space="preserve"> (YEMAC) </w:t>
      </w:r>
      <w:r w:rsidRPr="009D7B92">
        <w:rPr>
          <w:rFonts w:ascii="Traditional Arabic" w:hAnsi="Traditional Arabic" w:cs="Traditional Arabic"/>
          <w:sz w:val="30"/>
          <w:szCs w:val="30"/>
          <w:rtl/>
        </w:rPr>
        <w:t>أن مجمّع مطاحن البحر الأحمر أصبح خالياً من الألغام بشكل كامل</w:t>
      </w:r>
      <w:r w:rsidRPr="009D7B92">
        <w:rPr>
          <w:rFonts w:ascii="Traditional Arabic" w:hAnsi="Traditional Arabic" w:cs="Traditional Arabic"/>
          <w:sz w:val="30"/>
          <w:szCs w:val="30"/>
        </w:rPr>
        <w:t xml:space="preserve"> .</w:t>
      </w:r>
      <w:r w:rsidR="00E94899">
        <w:rPr>
          <w:rStyle w:val="FootnoteReference"/>
          <w:rFonts w:cs="Traditional Arabic"/>
          <w:szCs w:val="30"/>
        </w:rPr>
        <w:footnoteReference w:id="823"/>
      </w:r>
    </w:p>
    <w:p w14:paraId="2E4C1A3F" w14:textId="77777777" w:rsidR="009D7B92" w:rsidRPr="002C5F5B" w:rsidRDefault="009D7B92" w:rsidP="00385E46">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2C5F5B">
        <w:rPr>
          <w:rFonts w:ascii="Traditional Arabic" w:hAnsi="Traditional Arabic" w:cs="Traditional Arabic"/>
          <w:b/>
          <w:bCs/>
          <w:sz w:val="30"/>
          <w:szCs w:val="30"/>
        </w:rPr>
        <w:tab/>
      </w:r>
      <w:r w:rsidRPr="002C5F5B">
        <w:rPr>
          <w:rFonts w:ascii="Traditional Arabic" w:hAnsi="Traditional Arabic" w:cs="Traditional Arabic"/>
          <w:b/>
          <w:bCs/>
          <w:sz w:val="30"/>
          <w:szCs w:val="30"/>
          <w:rtl/>
        </w:rPr>
        <w:t>جـ) الانتهاكات</w:t>
      </w:r>
    </w:p>
    <w:p w14:paraId="3897A93F" w14:textId="2F7F6F46" w:rsidR="009D7B92" w:rsidRPr="009D7B92" w:rsidRDefault="009D7B92" w:rsidP="00E94899">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لا يحظر القانون الدولي الإنساني الحصار</w:t>
      </w:r>
      <w:r w:rsidR="00E94899">
        <w:rPr>
          <w:rStyle w:val="FootnoteReference"/>
          <w:rFonts w:cs="Traditional Arabic"/>
          <w:szCs w:val="30"/>
          <w:rtl/>
        </w:rPr>
        <w:footnoteReference w:id="824"/>
      </w:r>
      <w:r w:rsidRPr="009D7B92">
        <w:rPr>
          <w:rFonts w:ascii="Traditional Arabic" w:hAnsi="Traditional Arabic" w:cs="Traditional Arabic"/>
          <w:sz w:val="30"/>
          <w:szCs w:val="30"/>
          <w:rtl/>
        </w:rPr>
        <w:t xml:space="preserve">  في حد ذاته، طالما أن الغرض منه هو تحقيق هدف عسكري، وطالما أنه لا ينتهك القواعد الأخرى، مثل حظر تجويع السكان المدنيين </w:t>
      </w:r>
      <w:r w:rsidR="00E94899">
        <w:rPr>
          <w:rStyle w:val="FootnoteReference"/>
          <w:rFonts w:cs="Traditional Arabic"/>
          <w:szCs w:val="30"/>
          <w:rtl/>
        </w:rPr>
        <w:footnoteReference w:id="825"/>
      </w:r>
      <w:r w:rsidRPr="009D7B92">
        <w:rPr>
          <w:rFonts w:ascii="Traditional Arabic" w:hAnsi="Traditional Arabic" w:cs="Traditional Arabic"/>
          <w:sz w:val="30"/>
          <w:szCs w:val="30"/>
          <w:rtl/>
        </w:rPr>
        <w:t xml:space="preserve">. وكنتيجة طبيعية لحظر المجاعة، يُحظّر أيضًا مهاجمة أو تدمير أو إزالة أو تحويل أشياء عديمة الفائدة إنما ضرورية لبقاء السكان المدنيين، بغرض حرمان السكان المدنيين من قيمتها الأساسية لبقائهم </w:t>
      </w:r>
      <w:r w:rsidR="00E94899">
        <w:rPr>
          <w:rStyle w:val="FootnoteReference"/>
          <w:rFonts w:cs="Traditional Arabic"/>
          <w:szCs w:val="30"/>
          <w:rtl/>
        </w:rPr>
        <w:footnoteReference w:id="826"/>
      </w:r>
      <w:r w:rsidRPr="009D7B92">
        <w:rPr>
          <w:rFonts w:ascii="Traditional Arabic" w:hAnsi="Traditional Arabic" w:cs="Traditional Arabic"/>
          <w:sz w:val="30"/>
          <w:szCs w:val="30"/>
          <w:rtl/>
        </w:rPr>
        <w:t>. وينص القانون الدولي الإنساني كذلك على أن أطراف النزاع يجب أن يسمحوا ويساهموا في تيسير مرور الإغاثة الإنسانية للمدنيين المحتاجين بشكل سريع وبدون عوائق شريطة أن تكون الإغاثة محايدة بطبيعتها وموفّرة بدون أي تمييز. كما أن عمليات الإغاثة ت</w:t>
      </w:r>
      <w:r w:rsidR="00E94899">
        <w:rPr>
          <w:rFonts w:ascii="Traditional Arabic" w:hAnsi="Traditional Arabic" w:cs="Traditional Arabic"/>
          <w:sz w:val="30"/>
          <w:szCs w:val="30"/>
          <w:rtl/>
        </w:rPr>
        <w:t>ظل خاضعة لحق الأطراف في السيطرة</w:t>
      </w:r>
      <w:r w:rsidRPr="009D7B92">
        <w:rPr>
          <w:rFonts w:ascii="Traditional Arabic" w:hAnsi="Traditional Arabic" w:cs="Traditional Arabic"/>
          <w:sz w:val="30"/>
          <w:szCs w:val="30"/>
          <w:rtl/>
        </w:rPr>
        <w:t>.</w:t>
      </w:r>
      <w:r w:rsidR="00E94899">
        <w:rPr>
          <w:rStyle w:val="FootnoteReference"/>
          <w:rFonts w:cs="Traditional Arabic"/>
          <w:szCs w:val="30"/>
          <w:rtl/>
        </w:rPr>
        <w:footnoteReference w:id="827"/>
      </w:r>
      <w:r w:rsidRPr="009D7B92">
        <w:rPr>
          <w:rFonts w:ascii="Traditional Arabic" w:hAnsi="Traditional Arabic" w:cs="Traditional Arabic"/>
          <w:sz w:val="30"/>
          <w:szCs w:val="30"/>
          <w:rtl/>
        </w:rPr>
        <w:t xml:space="preserve"> ولا يجوز حجب الموافقة لأسباب تعسفية، ولا يجوز تبرير القيود المفروضة على الأنشطة الإنسانية إلا في حالة الضرورة العسكرية الملحّة وبشكل مؤقت</w:t>
      </w:r>
      <w:r w:rsidR="00E94899">
        <w:rPr>
          <w:rFonts w:ascii="Traditional Arabic" w:hAnsi="Traditional Arabic" w:cs="Traditional Arabic"/>
          <w:sz w:val="30"/>
          <w:szCs w:val="30"/>
        </w:rPr>
        <w:t>.</w:t>
      </w:r>
      <w:r w:rsidR="00E94899">
        <w:rPr>
          <w:rStyle w:val="FootnoteReference"/>
          <w:rFonts w:cs="Traditional Arabic"/>
          <w:szCs w:val="30"/>
        </w:rPr>
        <w:footnoteReference w:id="828"/>
      </w:r>
    </w:p>
    <w:p w14:paraId="2D449EDE" w14:textId="23CD75B4"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البنية التحتية الأساسية، مثل مرافق المياه والمرافق الصحية، خاضعة للحماية التي تُوفر للأعيان المدنية والحماية الخاصة التي تُوفر للمنشآت الطبية، إلا إذا خسرت هذه الحماية. كما يُحظر استهداف الأشياء الضرورية لبقاء </w:t>
      </w:r>
      <w:r w:rsidRPr="009D7B92">
        <w:rPr>
          <w:rFonts w:ascii="Traditional Arabic" w:hAnsi="Traditional Arabic" w:cs="Traditional Arabic"/>
          <w:sz w:val="30"/>
          <w:szCs w:val="30"/>
          <w:rtl/>
        </w:rPr>
        <w:lastRenderedPageBreak/>
        <w:t>السكان على قيد الحياة، غير أنّ فريق الخبراء لم يتمكّن من معرفة ما إذا تمّ استهداف هذه المنشآت على هذا النحو. لكن، ووفقاً لمبدأ الاحتياطات في الهجوم، واجب العناية المستمرة لتجنيب السكان المدنيين قد يُعتبر أكثر أهمية في هذا السياق الإنساني الهش</w:t>
      </w:r>
      <w:r w:rsidRPr="009D7B92">
        <w:rPr>
          <w:rFonts w:ascii="Traditional Arabic" w:hAnsi="Traditional Arabic" w:cs="Traditional Arabic"/>
          <w:sz w:val="30"/>
          <w:szCs w:val="30"/>
        </w:rPr>
        <w:t>.</w:t>
      </w:r>
    </w:p>
    <w:p w14:paraId="3C8F8157" w14:textId="3A866D26" w:rsidR="009D7B92" w:rsidRPr="009D7B92" w:rsidRDefault="009D7B92" w:rsidP="002C5F5B">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تعاني أجزاء من منطقة الدريهمي الخاضعة لسيطرة سلطات الأمر الواقع، بما فيها مركز المديرية، من قيود شديدة تحول دون وصول المساعدات الإنسانية. وتنتج هذه القيود بشكل رئيسي عن سيطرة القوات المسلحة اليمنية والجماعات التابعة المدعومة من الإمارات العربية المتحدة على نقاط الوصول، وعن وجود الألغام الأرضية في جميع أنحاء المنطقة. لا يزال العدد الدقيق للأفراد الذين ما زالوا يعيشون في مناطق مديرية الدريهمي الخاضعة لسيطرة الحوثيين غير معروف، ويرجع ذلك أيضًا إلى عدم إمكانية وصول الجهات الإنسانية الفاعلة لإجراء تقييم مستقل للاحتياجات. في الممارسة العملية، من المسلّم به أن منع الوصول من أجل إجراء التقييمات اللازمة لتحديد الاحتياجات الإنسانية قد يكون بالفعل انتهاكًا لواجب السماح بوصول المساعدات الإنسانية وتسهيله، لا سيما في سياق أزمة إنسانية مثل اليمن. وبالتالي، لدى فريق الخبراء أسباب معقولة للاعتقاد بأن الحكومة اليمنية تنتهك التزاماتها بالسماح للأشخاص المحتاجين في أجزاء من مديرية الدريهمي بالوصول إلى الإغاثة الإنسانية وتيسير الوصول</w:t>
      </w:r>
      <w:r w:rsidRPr="009D7B92">
        <w:rPr>
          <w:rFonts w:ascii="Traditional Arabic" w:hAnsi="Traditional Arabic" w:cs="Traditional Arabic"/>
          <w:sz w:val="30"/>
          <w:szCs w:val="30"/>
        </w:rPr>
        <w:t>.</w:t>
      </w:r>
    </w:p>
    <w:p w14:paraId="6861C683" w14:textId="66064E20" w:rsidR="009D7B92" w:rsidRPr="009D7B92" w:rsidRDefault="009D7B92" w:rsidP="00B13E54">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انتهكت الحكومة اليمنية وسلطات الأمر الواقع واجب السماح بالوصول الى المساعدات الإنسانية وتيسيره لمجرّد رفض الوصول إلى مطاحن البحر الأحمر. وضمن ه</w:t>
      </w:r>
      <w:r w:rsidR="00B13E54">
        <w:rPr>
          <w:rFonts w:ascii="Traditional Arabic" w:hAnsi="Traditional Arabic" w:cs="Traditional Arabic" w:hint="cs"/>
          <w:sz w:val="30"/>
          <w:szCs w:val="30"/>
          <w:rtl/>
        </w:rPr>
        <w:t>ك</w:t>
      </w:r>
      <w:r w:rsidRPr="009D7B92">
        <w:rPr>
          <w:rFonts w:ascii="Traditional Arabic" w:hAnsi="Traditional Arabic" w:cs="Traditional Arabic"/>
          <w:sz w:val="30"/>
          <w:szCs w:val="30"/>
          <w:rtl/>
        </w:rPr>
        <w:t xml:space="preserve">ذا سياق من انعدام الأمن الغذائي الحاد والحاجات الجسيمة من التغذية، فإن رفض إتاحة وصول الجهات الفاعلة الإنسانية لأهم </w:t>
      </w:r>
      <w:r w:rsidR="00B13E54">
        <w:rPr>
          <w:rFonts w:ascii="Traditional Arabic" w:hAnsi="Traditional Arabic" w:cs="Traditional Arabic" w:hint="cs"/>
          <w:sz w:val="30"/>
          <w:szCs w:val="30"/>
          <w:rtl/>
          <w:lang w:bidi="ar-JO"/>
        </w:rPr>
        <w:t>مرفق لتخزين ا</w:t>
      </w:r>
      <w:r w:rsidRPr="009D7B92">
        <w:rPr>
          <w:rFonts w:ascii="Traditional Arabic" w:hAnsi="Traditional Arabic" w:cs="Traditional Arabic"/>
          <w:sz w:val="30"/>
          <w:szCs w:val="30"/>
          <w:rtl/>
        </w:rPr>
        <w:t>لقمح في اليمن لا تبرّره سوى الضرورة العسكرية الملحّة. ولم يجد فريق الخبراء أي مبرر من هذا القبيل لرفض الحوثيين السماح لبرنامج الأغذية العالمي بالوصول إلى المطاحن في الفترة ما بين كانون الثاني/ يناير وأيار/مايو 2019. إلا أن فريق الخبراء يرحّب بموقف الحوثيين مؤخرًا حيث أتاحوا لبرنامج الغذاء العالمي الوصول إلى المطاحن، غير أنّ لا معلومات واضحة حتى الآن عن حجم القمح الموجود الصالح للاستخدام</w:t>
      </w:r>
      <w:r w:rsidRPr="009D7B92">
        <w:rPr>
          <w:rFonts w:ascii="Traditional Arabic" w:hAnsi="Traditional Arabic" w:cs="Traditional Arabic"/>
          <w:sz w:val="30"/>
          <w:szCs w:val="30"/>
        </w:rPr>
        <w:t>.</w:t>
      </w:r>
    </w:p>
    <w:p w14:paraId="28FE5187" w14:textId="6CD710CA" w:rsidR="009D7B92" w:rsidRPr="00667B7D" w:rsidRDefault="009D7B92" w:rsidP="00AF0C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667B7D">
        <w:rPr>
          <w:rFonts w:ascii="Traditional Arabic" w:hAnsi="Traditional Arabic" w:cs="Traditional Arabic"/>
          <w:sz w:val="30"/>
          <w:szCs w:val="30"/>
          <w:rtl/>
        </w:rPr>
        <w:t>وفي هذا السياق من انعدام الأمن، يجب أيضاً استعراض جميع انتهاكات الأحكام المتعلقة بوصول السكان إلى الأشياء الأساسية لبقائهم في نطاق حظر ال</w:t>
      </w:r>
      <w:r w:rsidR="00654BD9">
        <w:rPr>
          <w:rFonts w:ascii="Traditional Arabic" w:hAnsi="Traditional Arabic" w:cs="Traditional Arabic" w:hint="cs"/>
          <w:sz w:val="30"/>
          <w:szCs w:val="30"/>
          <w:rtl/>
        </w:rPr>
        <w:t>ت</w:t>
      </w:r>
      <w:r w:rsidRPr="00667B7D">
        <w:rPr>
          <w:rFonts w:ascii="Traditional Arabic" w:hAnsi="Traditional Arabic" w:cs="Traditional Arabic"/>
          <w:sz w:val="30"/>
          <w:szCs w:val="30"/>
          <w:rtl/>
        </w:rPr>
        <w:t>جو</w:t>
      </w:r>
      <w:r w:rsidR="00654BD9">
        <w:rPr>
          <w:rFonts w:ascii="Traditional Arabic" w:hAnsi="Traditional Arabic" w:cs="Traditional Arabic" w:hint="cs"/>
          <w:sz w:val="30"/>
          <w:szCs w:val="30"/>
          <w:rtl/>
        </w:rPr>
        <w:t>ي</w:t>
      </w:r>
      <w:r w:rsidRPr="00667B7D">
        <w:rPr>
          <w:rFonts w:ascii="Traditional Arabic" w:hAnsi="Traditional Arabic" w:cs="Traditional Arabic"/>
          <w:sz w:val="30"/>
          <w:szCs w:val="30"/>
          <w:rtl/>
        </w:rPr>
        <w:t>ع</w:t>
      </w:r>
      <w:r w:rsidR="00654BD9">
        <w:rPr>
          <w:rFonts w:ascii="Traditional Arabic" w:hAnsi="Traditional Arabic" w:cs="Traditional Arabic" w:hint="cs"/>
          <w:sz w:val="30"/>
          <w:szCs w:val="30"/>
          <w:rtl/>
        </w:rPr>
        <w:t xml:space="preserve"> كأسلوب قتال</w:t>
      </w:r>
      <w:r w:rsidRPr="00667B7D">
        <w:rPr>
          <w:rFonts w:ascii="Traditional Arabic" w:hAnsi="Traditional Arabic" w:cs="Traditional Arabic"/>
          <w:sz w:val="30"/>
          <w:szCs w:val="30"/>
        </w:rPr>
        <w:t>.</w:t>
      </w:r>
      <w:r w:rsidR="00667B7D">
        <w:rPr>
          <w:rFonts w:ascii="Traditional Arabic" w:hAnsi="Traditional Arabic" w:cs="Traditional Arabic" w:hint="cs"/>
          <w:sz w:val="30"/>
          <w:szCs w:val="30"/>
          <w:rtl/>
        </w:rPr>
        <w:t xml:space="preserve"> </w:t>
      </w:r>
      <w:r w:rsidR="00667B7D" w:rsidRPr="00667B7D">
        <w:rPr>
          <w:rFonts w:ascii="Traditional Arabic" w:hAnsi="Traditional Arabic" w:cs="Traditional Arabic" w:hint="cs"/>
          <w:sz w:val="30"/>
          <w:szCs w:val="30"/>
          <w:rtl/>
          <w:lang w:bidi="ar-JO"/>
        </w:rPr>
        <w:t>(</w:t>
      </w:r>
      <w:r w:rsidRPr="00667B7D">
        <w:rPr>
          <w:rFonts w:ascii="Traditional Arabic" w:hAnsi="Traditional Arabic" w:cs="Traditional Arabic"/>
          <w:sz w:val="30"/>
          <w:szCs w:val="30"/>
          <w:rtl/>
        </w:rPr>
        <w:t>للاطلاع على تحليل لهذه القضايا كجزء من أنماط أوسع، انظر الفصل الخاص بالأزمة الإنسانية والانتهاكات ذات الصلة</w:t>
      </w:r>
      <w:r w:rsidR="00667B7D" w:rsidRPr="00667B7D">
        <w:rPr>
          <w:rFonts w:ascii="Traditional Arabic" w:hAnsi="Traditional Arabic" w:cs="Traditional Arabic" w:hint="cs"/>
          <w:sz w:val="30"/>
          <w:szCs w:val="30"/>
          <w:rtl/>
        </w:rPr>
        <w:t>)</w:t>
      </w:r>
    </w:p>
    <w:p w14:paraId="3F8A6E40" w14:textId="77777777" w:rsidR="009D7B92" w:rsidRPr="00667B7D" w:rsidRDefault="009D7B92" w:rsidP="00825FCB">
      <w:pPr>
        <w:pStyle w:val="Footer"/>
        <w:tabs>
          <w:tab w:val="left" w:pos="720"/>
        </w:tabs>
        <w:bidi/>
        <w:spacing w:after="240"/>
        <w:ind w:left="1089" w:right="1089" w:hanging="45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t>3</w:t>
      </w:r>
      <w:r w:rsidRPr="00667B7D">
        <w:rPr>
          <w:rFonts w:ascii="Traditional Arabic" w:hAnsi="Traditional Arabic" w:cs="Traditional Arabic"/>
          <w:b/>
          <w:bCs/>
          <w:sz w:val="30"/>
          <w:szCs w:val="30"/>
        </w:rPr>
        <w:t>.</w:t>
      </w:r>
      <w:r w:rsidRPr="00667B7D">
        <w:rPr>
          <w:rFonts w:ascii="Traditional Arabic" w:hAnsi="Traditional Arabic" w:cs="Traditional Arabic"/>
          <w:b/>
          <w:bCs/>
          <w:sz w:val="30"/>
          <w:szCs w:val="30"/>
        </w:rPr>
        <w:tab/>
      </w:r>
      <w:r w:rsidRPr="00667B7D">
        <w:rPr>
          <w:rFonts w:ascii="Traditional Arabic" w:hAnsi="Traditional Arabic" w:cs="Traditional Arabic"/>
          <w:b/>
          <w:bCs/>
          <w:sz w:val="30"/>
          <w:szCs w:val="30"/>
          <w:rtl/>
        </w:rPr>
        <w:t>الانتهاكات المتعلقة بالأعمال العدائية</w:t>
      </w:r>
    </w:p>
    <w:p w14:paraId="3CB46EA8" w14:textId="6E22377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سمع فريق الخبراء العديد من الادعاءات بحصول انتهاكات للقانون الدولي الإنساني وللقانون الدولي لحقوق الانسان خلال القتال في الحديدة. وتشمل هذه الانتهاكات المزعومة الغارات الجوية والقصف، فضلاً عن تجنيد الأطفال، والهجمات ضد الصيادين، واستخدام الألغام الأرضية. وقد اختار فريق الخبراء عيّنة من الحالات الرمزية لأكثر الانتهاكات خطورة للتحقيق فيها. ولا تشكّل الأنماط والانتهاكات الموضحة أدناه وصفاً شاملاً لأثر القتال على المدنيين</w:t>
      </w:r>
      <w:r w:rsidRPr="009D7B92">
        <w:rPr>
          <w:rFonts w:ascii="Traditional Arabic" w:hAnsi="Traditional Arabic" w:cs="Traditional Arabic"/>
          <w:sz w:val="30"/>
          <w:szCs w:val="30"/>
        </w:rPr>
        <w:t>.</w:t>
      </w:r>
    </w:p>
    <w:p w14:paraId="710601F6" w14:textId="24451AD4" w:rsidR="009D7B92" w:rsidRPr="00667B7D" w:rsidRDefault="009D7B92"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lastRenderedPageBreak/>
        <w:t>أ) الضربات الجوية</w:t>
      </w:r>
    </w:p>
    <w:p w14:paraId="4F4DDBAE" w14:textId="28213691" w:rsidR="009D7B92" w:rsidRPr="00667B7D" w:rsidRDefault="009D7B92" w:rsidP="00DA118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667B7D">
        <w:rPr>
          <w:rFonts w:ascii="Traditional Arabic" w:hAnsi="Traditional Arabic" w:cs="Traditional Arabic"/>
          <w:sz w:val="30"/>
          <w:szCs w:val="30"/>
          <w:rtl/>
        </w:rPr>
        <w:t xml:space="preserve">شكّلت الغارات الجوية الخاصة بالتحالف إحدى سمات القتال في الحديدة. </w:t>
      </w:r>
      <w:r w:rsidR="00DA1189">
        <w:rPr>
          <w:rFonts w:ascii="Traditional Arabic" w:hAnsi="Traditional Arabic" w:cs="Traditional Arabic" w:hint="cs"/>
          <w:sz w:val="30"/>
          <w:szCs w:val="30"/>
          <w:rtl/>
        </w:rPr>
        <w:t xml:space="preserve">أفاد </w:t>
      </w:r>
      <w:r w:rsidRPr="00667B7D">
        <w:rPr>
          <w:rFonts w:ascii="Traditional Arabic" w:hAnsi="Traditional Arabic" w:cs="Traditional Arabic"/>
          <w:sz w:val="30"/>
          <w:szCs w:val="30"/>
          <w:rtl/>
        </w:rPr>
        <w:t xml:space="preserve">مشروع اليمن للبيانات </w:t>
      </w:r>
      <w:r w:rsidR="00DA1189">
        <w:rPr>
          <w:rFonts w:ascii="Traditional Arabic" w:hAnsi="Traditional Arabic" w:cs="Traditional Arabic" w:hint="cs"/>
          <w:sz w:val="30"/>
          <w:szCs w:val="30"/>
          <w:rtl/>
        </w:rPr>
        <w:t xml:space="preserve">أن </w:t>
      </w:r>
      <w:r w:rsidRPr="00667B7D">
        <w:rPr>
          <w:rFonts w:ascii="Traditional Arabic" w:hAnsi="Traditional Arabic" w:cs="Traditional Arabic"/>
          <w:sz w:val="30"/>
          <w:szCs w:val="30"/>
          <w:rtl/>
        </w:rPr>
        <w:t xml:space="preserve">التحالف </w:t>
      </w:r>
      <w:r w:rsidR="00DA1189" w:rsidRPr="00667B7D">
        <w:rPr>
          <w:rFonts w:ascii="Traditional Arabic" w:hAnsi="Traditional Arabic" w:cs="Traditional Arabic"/>
          <w:sz w:val="30"/>
          <w:szCs w:val="30"/>
          <w:rtl/>
        </w:rPr>
        <w:t xml:space="preserve">نفّذ </w:t>
      </w:r>
      <w:r w:rsidRPr="00667B7D">
        <w:rPr>
          <w:rFonts w:ascii="Traditional Arabic" w:hAnsi="Traditional Arabic" w:cs="Traditional Arabic"/>
          <w:sz w:val="30"/>
          <w:szCs w:val="30"/>
          <w:rtl/>
        </w:rPr>
        <w:t>536 غارة على الأقل بين أيار/ مايو 2018 وكانون الثاني/ يناير 2019 في محافظة الحديدة، حيث مثل</w:t>
      </w:r>
      <w:r w:rsidR="00DA1189">
        <w:rPr>
          <w:rFonts w:ascii="Traditional Arabic" w:hAnsi="Traditional Arabic" w:cs="Traditional Arabic" w:hint="cs"/>
          <w:sz w:val="30"/>
          <w:szCs w:val="30"/>
          <w:rtl/>
        </w:rPr>
        <w:t xml:space="preserve"> ذلك</w:t>
      </w:r>
      <w:r w:rsidRPr="00667B7D">
        <w:rPr>
          <w:rFonts w:ascii="Traditional Arabic" w:hAnsi="Traditional Arabic" w:cs="Traditional Arabic"/>
          <w:sz w:val="30"/>
          <w:szCs w:val="30"/>
          <w:rtl/>
        </w:rPr>
        <w:t xml:space="preserve"> 34</w:t>
      </w:r>
      <w:r w:rsidR="00DA1189">
        <w:rPr>
          <w:rFonts w:ascii="Traditional Arabic" w:hAnsi="Traditional Arabic" w:cs="Traditional Arabic" w:hint="cs"/>
          <w:sz w:val="30"/>
          <w:szCs w:val="30"/>
          <w:rtl/>
        </w:rPr>
        <w:t xml:space="preserve"> بالمئة</w:t>
      </w:r>
      <w:r w:rsidRPr="00667B7D">
        <w:rPr>
          <w:rFonts w:ascii="Traditional Arabic" w:hAnsi="Traditional Arabic" w:cs="Traditional Arabic"/>
          <w:sz w:val="30"/>
          <w:szCs w:val="30"/>
          <w:rtl/>
        </w:rPr>
        <w:t xml:space="preserve"> من الغارات</w:t>
      </w:r>
      <w:r w:rsidR="00DA1189">
        <w:rPr>
          <w:rFonts w:ascii="Traditional Arabic" w:hAnsi="Traditional Arabic" w:cs="Traditional Arabic" w:hint="cs"/>
          <w:sz w:val="30"/>
          <w:szCs w:val="30"/>
          <w:rtl/>
        </w:rPr>
        <w:t xml:space="preserve"> الجوية</w:t>
      </w:r>
      <w:r w:rsidRPr="00667B7D">
        <w:rPr>
          <w:rFonts w:ascii="Traditional Arabic" w:hAnsi="Traditional Arabic" w:cs="Traditional Arabic"/>
          <w:sz w:val="30"/>
          <w:szCs w:val="30"/>
          <w:rtl/>
        </w:rPr>
        <w:t xml:space="preserve"> في البلاد خلال تلك الفترة. وكانت محافظة الحديدة ثاني أكبر محافظة مستهدفة في اليمن بين أيار/ مايو 2018 وكانون الثاني/ يناير 2019، بعد صعدة (596 غارة جوية على الأقل - 38 </w:t>
      </w:r>
      <w:r w:rsidR="00DA1189">
        <w:rPr>
          <w:rFonts w:ascii="Traditional Arabic" w:hAnsi="Traditional Arabic" w:cs="Traditional Arabic" w:hint="cs"/>
          <w:sz w:val="30"/>
          <w:szCs w:val="30"/>
          <w:rtl/>
        </w:rPr>
        <w:t>بالمئة</w:t>
      </w:r>
      <w:r w:rsidRPr="00667B7D">
        <w:rPr>
          <w:rFonts w:ascii="Traditional Arabic" w:hAnsi="Traditional Arabic" w:cs="Traditional Arabic"/>
          <w:sz w:val="30"/>
          <w:szCs w:val="30"/>
          <w:rtl/>
        </w:rPr>
        <w:t>) التي كانت أكثر المحافظات استهدافًا من جانب الغارات الجوية للتحالف منذ بدء الحملة الجوية في آذار/ مارس 2015</w:t>
      </w:r>
      <w:r w:rsidR="00667B7D" w:rsidRPr="00667B7D">
        <w:rPr>
          <w:rFonts w:ascii="Traditional Arabic" w:hAnsi="Traditional Arabic" w:cs="Traditional Arabic"/>
          <w:sz w:val="30"/>
          <w:szCs w:val="30"/>
        </w:rPr>
        <w:t xml:space="preserve">. </w:t>
      </w:r>
      <w:r w:rsidR="00E94899">
        <w:rPr>
          <w:rStyle w:val="FootnoteReference"/>
          <w:rFonts w:cs="Traditional Arabic"/>
          <w:szCs w:val="30"/>
        </w:rPr>
        <w:footnoteReference w:id="829"/>
      </w:r>
      <w:r w:rsidR="00667B7D">
        <w:rPr>
          <w:rFonts w:ascii="Traditional Arabic" w:hAnsi="Traditional Arabic" w:cs="Traditional Arabic" w:hint="cs"/>
          <w:sz w:val="30"/>
          <w:szCs w:val="30"/>
          <w:rtl/>
        </w:rPr>
        <w:t xml:space="preserve"> </w:t>
      </w:r>
      <w:r w:rsidRPr="00667B7D">
        <w:rPr>
          <w:rFonts w:ascii="Traditional Arabic" w:hAnsi="Traditional Arabic" w:cs="Traditional Arabic"/>
          <w:sz w:val="30"/>
          <w:szCs w:val="30"/>
          <w:rtl/>
        </w:rPr>
        <w:t>تمكن فريق الخبراء من التوصل إلى استنتاجات وقائعية بشأن تأثير الغارات الجوية في ثلاث حالات</w:t>
      </w:r>
      <w:r w:rsidRPr="00667B7D">
        <w:rPr>
          <w:rFonts w:ascii="Traditional Arabic" w:hAnsi="Traditional Arabic" w:cs="Traditional Arabic"/>
          <w:sz w:val="30"/>
          <w:szCs w:val="30"/>
        </w:rPr>
        <w:t>.</w:t>
      </w:r>
    </w:p>
    <w:p w14:paraId="78F1717B" w14:textId="40DD9856" w:rsidR="009D7B92" w:rsidRPr="009D7B92" w:rsidRDefault="00E57177" w:rsidP="00E57177">
      <w:pPr>
        <w:pStyle w:val="Footer"/>
        <w:tabs>
          <w:tab w:val="left" w:pos="720"/>
        </w:tabs>
        <w:bidi/>
        <w:spacing w:after="240"/>
        <w:ind w:left="1089" w:right="1089"/>
        <w:jc w:val="both"/>
        <w:rPr>
          <w:rFonts w:ascii="Traditional Arabic" w:hAnsi="Traditional Arabic" w:cs="Traditional Arabic"/>
          <w:sz w:val="30"/>
          <w:szCs w:val="30"/>
          <w:rtl/>
        </w:rPr>
      </w:pPr>
      <w:r>
        <w:rPr>
          <w:rFonts w:ascii="Traditional Arabic" w:hAnsi="Traditional Arabic" w:cs="Traditional Arabic"/>
          <w:sz w:val="30"/>
          <w:szCs w:val="30"/>
        </w:rPr>
        <w:t xml:space="preserve"> </w:t>
      </w:r>
      <w:r w:rsidR="009D7B92" w:rsidRPr="009D7B92">
        <w:rPr>
          <w:rFonts w:ascii="Traditional Arabic" w:hAnsi="Traditional Arabic" w:cs="Traditional Arabic"/>
          <w:sz w:val="30"/>
          <w:szCs w:val="30"/>
        </w:rPr>
        <w:t xml:space="preserve">26  </w:t>
      </w:r>
      <w:r w:rsidR="009D7B92" w:rsidRPr="009D7B92">
        <w:rPr>
          <w:rFonts w:ascii="Traditional Arabic" w:hAnsi="Traditional Arabic" w:cs="Traditional Arabic"/>
          <w:sz w:val="30"/>
          <w:szCs w:val="30"/>
          <w:rtl/>
        </w:rPr>
        <w:t>حزيران/ يونيو 2018، الطريق بين زبيد والجراحي</w:t>
      </w:r>
    </w:p>
    <w:p w14:paraId="619B82A1" w14:textId="3788DA68" w:rsidR="009D7B92" w:rsidRPr="009D7B92" w:rsidRDefault="009D7B92" w:rsidP="0057734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26 حزيران / يونيه 2018، عند الساعة الحادية عشرة والنصف، على الطريق بين زبيد والجراحي،</w:t>
      </w:r>
      <w:r w:rsidR="004D65F1">
        <w:rPr>
          <w:rStyle w:val="FootnoteReference"/>
          <w:rFonts w:cs="Traditional Arabic"/>
          <w:szCs w:val="30"/>
          <w:rtl/>
        </w:rPr>
        <w:footnoteReference w:id="830"/>
      </w:r>
      <w:r w:rsidRPr="009D7B92">
        <w:rPr>
          <w:rFonts w:ascii="Traditional Arabic" w:hAnsi="Traditional Arabic" w:cs="Traditional Arabic"/>
          <w:sz w:val="30"/>
          <w:szCs w:val="30"/>
          <w:rtl/>
        </w:rPr>
        <w:t xml:space="preserve"> على بعد حوالي 10 كم من السراحي، في محافظة الحديدة، أصيبت حافلة صغيرة مدنية بيضاء كانت متجهة شرقاً بضربة جوية. كانت الحافلة الصغيرة تقل 19 نازحًا، بينهم امرأة وثلاثة أطفال، وهم أفراد من مجموعة الصيادين الهاربين من القتال في الحديدة. وكانت الحافلة الصغيرة تحمل أيضًا محركات القوارب الخارجية. حسب المواد التي تمّ فحصها والشهود الذين تمّ استجوابهم، تجاوزت الحافلة نقطة تفتيش عسكرية قبل فترة وجيزة من الضربة الجوية. كان الطقس صافياً والرؤية جيدة، والتضاريس المحيطة مسطحة. وكان طريق المرور الوحيد واضحًا مع حركة مرور محدودة، ولم يكن من مبانٍ أو أشياء أخرى في الجوار. وقع انفجار واحد على الأرض عند مؤخرة السيارة مباشرةً. لم تصب القنبلة السيارة مباشرة، بل إن انفجارها ألحق أضراراً جسيمة بالمركبة وأشعل فيها النيران، وطارت الشظايا المعدنية في جميع أنحاء السيارة. قُتل تسعة ركّاب، جميعهم ذكور، بينهم السائق وصبيّان، إما مباشرة بسبب الانفجار أو بسبب النيران التي اندلعت .</w:t>
      </w:r>
      <w:r w:rsidR="00F06B5C">
        <w:rPr>
          <w:rStyle w:val="FootnoteReference"/>
          <w:rFonts w:cs="Traditional Arabic"/>
          <w:szCs w:val="30"/>
          <w:rtl/>
        </w:rPr>
        <w:footnoteReference w:id="831"/>
      </w:r>
      <w:r w:rsidRPr="009D7B92">
        <w:rPr>
          <w:rFonts w:ascii="Traditional Arabic" w:hAnsi="Traditional Arabic" w:cs="Traditional Arabic"/>
          <w:sz w:val="30"/>
          <w:szCs w:val="30"/>
          <w:rtl/>
        </w:rPr>
        <w:t xml:space="preserve"> أصيب جميع الركاب العشرة المتبقين، بينهم ثلاثة صبيان وامرأة، بجروح وحروق خطيرة وشظايا، فضلاً عن تعرّضهم لصدمات خطيرة</w:t>
      </w:r>
      <w:r w:rsidRPr="009D7B92">
        <w:rPr>
          <w:rFonts w:ascii="Traditional Arabic" w:hAnsi="Traditional Arabic" w:cs="Traditional Arabic"/>
          <w:sz w:val="30"/>
          <w:szCs w:val="30"/>
        </w:rPr>
        <w:t>.</w:t>
      </w:r>
    </w:p>
    <w:p w14:paraId="25EF3993" w14:textId="1AF3A716"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إستجابةً لبيان صادر عن المقرر الخاص المعني بحالات الإعدام خارج نطاق القضاء، أصدرفريق تقييم الحوادث المشترك تقريراً عن هذا الحادث .</w:t>
      </w:r>
      <w:r w:rsidR="00F06B5C">
        <w:rPr>
          <w:rStyle w:val="FootnoteReference"/>
          <w:rFonts w:cs="Traditional Arabic"/>
          <w:szCs w:val="30"/>
          <w:rtl/>
        </w:rPr>
        <w:footnoteReference w:id="832"/>
      </w:r>
      <w:r w:rsidRPr="009D7B92">
        <w:rPr>
          <w:rFonts w:ascii="Traditional Arabic" w:hAnsi="Traditional Arabic" w:cs="Traditional Arabic"/>
          <w:sz w:val="30"/>
          <w:szCs w:val="30"/>
          <w:rtl/>
        </w:rPr>
        <w:t xml:space="preserve"> ووجد أن طائرة بدون طيار تابعة للتحالف قد حددت موقع مركبة خفيفة مسلحة في شمال مدينة زبيد في الحديدة. وبالتالي، ووفقاً للفريق المشترك، فقدت المركبة حمايتها القانونية. وأضاف فريق تقييم الحوادث المشترك أنّ قوات التحالف الجوية "أخذت جميع الاحتياطات الممكنة في اختيار وسائل وطرق الهجوم بهدف تجنب سقوط مدنيين وإصابتهم وإلحاق الضرر بالممتلكات المدنية، </w:t>
      </w:r>
      <w:r w:rsidRPr="009D7B92">
        <w:rPr>
          <w:rFonts w:ascii="Traditional Arabic" w:hAnsi="Traditional Arabic" w:cs="Traditional Arabic"/>
          <w:sz w:val="30"/>
          <w:szCs w:val="30"/>
          <w:rtl/>
        </w:rPr>
        <w:lastRenderedPageBreak/>
        <w:t>أو على الأقل التخفيف منها"، ويتضح ذلك من الذخيرة دقيقة التوجيه والمتناسبة التي تمّ استخدامها. واعتبر فريق تقييم الحوادث المشترك أنه لم يحدث أي ضرر جانبي سيّما أن الذخيرة دقيقة التوجيه قد حققت ضربة مباشرة ودقيقة</w:t>
      </w:r>
      <w:r w:rsidRPr="009D7B92">
        <w:rPr>
          <w:rFonts w:ascii="Traditional Arabic" w:hAnsi="Traditional Arabic" w:cs="Traditional Arabic"/>
          <w:sz w:val="30"/>
          <w:szCs w:val="30"/>
        </w:rPr>
        <w:t>.</w:t>
      </w:r>
    </w:p>
    <w:p w14:paraId="0E339B2D" w14:textId="0E833A05" w:rsidR="009D7B92"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13</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تشرين الأول/ أكتوبر 2018 - منطقة المصبرية -مديرية جبل راس</w:t>
      </w:r>
      <w:r w:rsidR="00F06B5C">
        <w:rPr>
          <w:rStyle w:val="FootnoteReference"/>
          <w:rFonts w:cs="Traditional Arabic"/>
          <w:i/>
          <w:iCs/>
          <w:szCs w:val="30"/>
          <w:rtl/>
        </w:rPr>
        <w:footnoteReference w:id="833"/>
      </w:r>
      <w:r w:rsidRPr="00667B7D">
        <w:rPr>
          <w:rFonts w:ascii="Traditional Arabic" w:hAnsi="Traditional Arabic" w:cs="Traditional Arabic"/>
          <w:i/>
          <w:iCs/>
          <w:sz w:val="30"/>
          <w:szCs w:val="30"/>
        </w:rPr>
        <w:t xml:space="preserve"> </w:t>
      </w:r>
    </w:p>
    <w:p w14:paraId="6CD4CF6F" w14:textId="224CDE2B"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13 تشرين الأول / أكتوبر 2018، حوالي الساعة الحادية عشرة ظهراً، أصابت غارة جوية حافلتين صغيرتين كانتا متوقفتين عند نقطة تفتيش للحوثيين في منطقة المصبرية في مديرية جبل راس. وتقع نقطة التفتيش مباشرةً قبل الوصول إلى الجبال، وهي النقطة الوحيدة خارج قرية المصبرية. كان يحرسها أربعة رجال من الحوثيين مسلحين ببنادق</w:t>
      </w:r>
      <w:r w:rsidRPr="009D7B92">
        <w:rPr>
          <w:rFonts w:ascii="Traditional Arabic" w:hAnsi="Traditional Arabic" w:cs="Traditional Arabic"/>
          <w:sz w:val="30"/>
          <w:szCs w:val="30"/>
        </w:rPr>
        <w:t xml:space="preserve"> AK47s. </w:t>
      </w:r>
      <w:r w:rsidRPr="009D7B92">
        <w:rPr>
          <w:rFonts w:ascii="Traditional Arabic" w:hAnsi="Traditional Arabic" w:cs="Traditional Arabic"/>
          <w:sz w:val="30"/>
          <w:szCs w:val="30"/>
          <w:rtl/>
        </w:rPr>
        <w:t>قُتل ثلاثة إلى أربعة مدنيين في إحدى الحافلتين جرّاء الغارة الجوية. وفي الحافلة الثانية، أفيد عن مقتل حوالي 13 راكباً، بينهم امرأة وطفل. نجا ثلاثة ركاب فقط. وتشير تقارير موثوق بها بأن مجموع الإصابات بلغ 34 مدنياً، بينهم امرأة وخمسة أطفال (ثلاثة صبيان وبنتان). وأدان فريق الأمم المتحدة القطري الحادث .</w:t>
      </w:r>
      <w:r w:rsidR="00F06B5C">
        <w:rPr>
          <w:rStyle w:val="FootnoteReference"/>
          <w:rFonts w:cs="Traditional Arabic"/>
          <w:szCs w:val="30"/>
          <w:rtl/>
        </w:rPr>
        <w:footnoteReference w:id="834"/>
      </w:r>
      <w:r w:rsidRPr="009D7B92">
        <w:rPr>
          <w:rFonts w:ascii="Traditional Arabic" w:hAnsi="Traditional Arabic" w:cs="Traditional Arabic"/>
          <w:sz w:val="30"/>
          <w:szCs w:val="30"/>
          <w:rtl/>
        </w:rPr>
        <w:t xml:space="preserve"> وفي 15 تشرين الأول/ أكتوبر، صرّح المتحدث الرسمي للتحالف، العقيد تركي المالكي، أن نتائج المراجعة الشاملة للحادث تشير إلى وقوع أضرار جانبية وخسائر مدنية خلال هذا الحادث وأن جميع الوثائق المتعلقة بهذا الحادث تم تسليمها الى فريق تقييم الحوادث المشترك</w:t>
      </w:r>
      <w:r w:rsidR="00F06B5C">
        <w:rPr>
          <w:rFonts w:ascii="Traditional Arabic" w:hAnsi="Traditional Arabic" w:cs="Traditional Arabic"/>
          <w:sz w:val="30"/>
          <w:szCs w:val="30"/>
        </w:rPr>
        <w:t>.</w:t>
      </w:r>
      <w:r w:rsidR="00F06B5C">
        <w:rPr>
          <w:rStyle w:val="FootnoteReference"/>
          <w:rFonts w:cs="Traditional Arabic"/>
          <w:szCs w:val="30"/>
        </w:rPr>
        <w:footnoteReference w:id="835"/>
      </w:r>
      <w:r w:rsidRPr="009D7B92">
        <w:rPr>
          <w:rFonts w:ascii="Traditional Arabic" w:hAnsi="Traditional Arabic" w:cs="Traditional Arabic"/>
          <w:sz w:val="30"/>
          <w:szCs w:val="30"/>
        </w:rPr>
        <w:t xml:space="preserve">  </w:t>
      </w:r>
    </w:p>
    <w:p w14:paraId="150776C6" w14:textId="4C1F9B90" w:rsidR="00667B7D"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24</w:t>
      </w:r>
      <w:r w:rsidR="00667B7D" w:rsidRPr="00667B7D">
        <w:rPr>
          <w:rFonts w:ascii="Traditional Arabic" w:hAnsi="Traditional Arabic" w:cs="Traditional Arabic" w:hint="cs"/>
          <w:i/>
          <w:iCs/>
          <w:sz w:val="30"/>
          <w:szCs w:val="30"/>
          <w:rtl/>
        </w:rPr>
        <w:t xml:space="preserve"> </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تشرين الأول (أكتوبر) 2018 - غارة جوية على مزرعة/ سوق البامية في منطقة محطة المسعودي، مديرية المنصورية</w:t>
      </w:r>
      <w:r w:rsidR="00F06B5C">
        <w:rPr>
          <w:rStyle w:val="FootnoteReference"/>
          <w:rFonts w:cs="Traditional Arabic"/>
          <w:i/>
          <w:iCs/>
          <w:szCs w:val="30"/>
          <w:rtl/>
        </w:rPr>
        <w:footnoteReference w:id="836"/>
      </w:r>
    </w:p>
    <w:p w14:paraId="0206CF23" w14:textId="2C914C2C"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24 تشرين الأول / أكتوبر 2018، في حوالي الساعة الخامسة والنصف مساءً، في منطقة محطة المسعودي، في مديرية المنصورية، في محافظة الحديدة، أصابت غارة جوية تابعة للتحالف إحدى المزارع. وأسفرت الشظايا الناجمة عن انفجار السلاح عن مقتل 21 مدنياً، بينهم طفلان، وإصابة سبعة مدنيين، بينهم أربعة أطفال. ووفقًا لروايات الشهود، الضحايا هم من المزارعين الذين كانوا يقومون بحصد وتنظيف البامية المعدّة للبيع في السوق عندما تعرضوا للقصف مرتين. وقد أفيد بأنّ أحد الصاروخين لم ينفجر. ولم يتلقّ فريق الخبراء تقارير عن وجود أي أهداف عسكرية واضحة بالقرب من المزرعة وقت الهجوم</w:t>
      </w:r>
      <w:r w:rsidRPr="009D7B92">
        <w:rPr>
          <w:rFonts w:ascii="Traditional Arabic" w:hAnsi="Traditional Arabic" w:cs="Traditional Arabic"/>
          <w:sz w:val="30"/>
          <w:szCs w:val="30"/>
        </w:rPr>
        <w:t>.</w:t>
      </w:r>
    </w:p>
    <w:p w14:paraId="5A4516CE" w14:textId="7366B229"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كانت المنطقة التي تعرّضت للقصف تحت سيطرة سلطات الأمر الواقع. وتقع المزرعة بجوار الطريق السريع الذي يربط الحديدة بمحافظة تعز. وتقع المزرعة على بعد 200 متر من تقاطع العليا في حي الدريهمي. أدّى تدمير المزرعة وقتل معيلين الاسر الى القضاء على مصادر دخل الكثيرين في المنطقة. </w:t>
      </w:r>
      <w:r w:rsidRPr="009D7B92">
        <w:rPr>
          <w:rFonts w:ascii="Traditional Arabic" w:hAnsi="Traditional Arabic" w:cs="Traditional Arabic"/>
          <w:sz w:val="30"/>
          <w:szCs w:val="30"/>
          <w:rtl/>
        </w:rPr>
        <w:lastRenderedPageBreak/>
        <w:t xml:space="preserve">وأفاد شهود بأن بعض الناجين يعيشون من التسوّل ومن مساعدة الآخرين كي يقتاتوا. ونقل تقرير صحفي لرويترز عن المتحدث باسم التحالف العقيد تركي المالكي قوله إن التحالف سيحقق في الحادث . </w:t>
      </w:r>
      <w:r w:rsidR="00F06B5C">
        <w:rPr>
          <w:rStyle w:val="FootnoteReference"/>
          <w:rFonts w:cs="Traditional Arabic"/>
          <w:szCs w:val="30"/>
          <w:rtl/>
        </w:rPr>
        <w:footnoteReference w:id="837"/>
      </w:r>
      <w:r w:rsidRPr="009D7B92">
        <w:rPr>
          <w:rFonts w:ascii="Traditional Arabic" w:hAnsi="Traditional Arabic" w:cs="Traditional Arabic"/>
          <w:sz w:val="30"/>
          <w:szCs w:val="30"/>
          <w:rtl/>
        </w:rPr>
        <w:t>على حدّ علم فريق الخبراء، لم يصدر أي تعليق رسمي آخر على هذا الحادث من جانب التحالف</w:t>
      </w:r>
      <w:r w:rsidRPr="009D7B92">
        <w:rPr>
          <w:rFonts w:ascii="Traditional Arabic" w:hAnsi="Traditional Arabic" w:cs="Traditional Arabic"/>
          <w:sz w:val="30"/>
          <w:szCs w:val="30"/>
        </w:rPr>
        <w:t>.</w:t>
      </w:r>
    </w:p>
    <w:p w14:paraId="42539958" w14:textId="77777777" w:rsidR="009D7B92" w:rsidRPr="00667B7D" w:rsidRDefault="009D7B92" w:rsidP="00E57177">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الانتهاكات</w:t>
      </w:r>
    </w:p>
    <w:p w14:paraId="1C2E8EED" w14:textId="6E879DF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وفقاً لمبدأ التمييز، يجب على أطراف النزاع في جميع الأوقات التمييز بين السكان المدنيين والأفراد المشاركين في الأعمال العدائية. لا يجوز توجيه الهجمات إلا ضد هؤلاء. وبالمثل، يمكن توجيه الهجمات فقط ضد الأهداف العسكرية. وتفقد الأشياء المدنية الحماية من الهجوم إذا ومتى استُخدمت لأغراض عسكرية .</w:t>
      </w:r>
      <w:r w:rsidR="00F06B5C">
        <w:rPr>
          <w:rStyle w:val="FootnoteReference"/>
          <w:rFonts w:cs="Traditional Arabic"/>
          <w:szCs w:val="30"/>
          <w:rtl/>
        </w:rPr>
        <w:footnoteReference w:id="838"/>
      </w:r>
      <w:r w:rsidRPr="009D7B92">
        <w:rPr>
          <w:rFonts w:ascii="Traditional Arabic" w:hAnsi="Traditional Arabic" w:cs="Traditional Arabic"/>
          <w:sz w:val="30"/>
          <w:szCs w:val="30"/>
          <w:rtl/>
        </w:rPr>
        <w:t xml:space="preserve"> وإذا استهدف الطرفان هدفًا عسكريًا، يجب عليهما احترام مبدأ التناسب في الهجوم. وفقًا لهذا المبدأ، قد لا يؤثر الهجوم على المدنيين أو الأهداف المدنية بطريقة مفرطة بالنسبة الى الميزة العسكرية المتوقعة .</w:t>
      </w:r>
      <w:r w:rsidR="00F06B5C">
        <w:rPr>
          <w:rStyle w:val="FootnoteReference"/>
          <w:rFonts w:cs="Traditional Arabic"/>
          <w:szCs w:val="30"/>
          <w:rtl/>
        </w:rPr>
        <w:footnoteReference w:id="839"/>
      </w:r>
      <w:r w:rsidRPr="009D7B92">
        <w:rPr>
          <w:rFonts w:ascii="Traditional Arabic" w:hAnsi="Traditional Arabic" w:cs="Traditional Arabic"/>
          <w:sz w:val="30"/>
          <w:szCs w:val="30"/>
          <w:rtl/>
        </w:rPr>
        <w:t xml:space="preserve"> أخيرًا، وتمشيا مع مبدأ الاحتياطات في الهجوم، يجب توخي الحذر الدائم لتجنيب السكان المدنيين والأشياء المدنية في إدارة العمليات العسكرية</w:t>
      </w:r>
      <w:r w:rsidRPr="009D7B92">
        <w:rPr>
          <w:rFonts w:ascii="Traditional Arabic" w:hAnsi="Traditional Arabic" w:cs="Traditional Arabic"/>
          <w:sz w:val="30"/>
          <w:szCs w:val="30"/>
        </w:rPr>
        <w:t xml:space="preserve">.  </w:t>
      </w:r>
      <w:r w:rsidR="00F06B5C">
        <w:rPr>
          <w:rStyle w:val="FootnoteReference"/>
          <w:rFonts w:cs="Traditional Arabic"/>
          <w:szCs w:val="30"/>
        </w:rPr>
        <w:footnoteReference w:id="840"/>
      </w:r>
    </w:p>
    <w:p w14:paraId="412DD84A" w14:textId="7ACC3CBA" w:rsidR="009D7B92" w:rsidRPr="009D7B92" w:rsidRDefault="009D7B92" w:rsidP="0089214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توصل فريق الخبراء إلى استنتاجات وقائعية بشأن الحالات الثلاث المذكورة أعلاه التي شملت غارات جوية في الحديدة. واتّبعت الحالات الثلاث أنماطا مماثلة. وقد وقعت على طول الطرق السريعة الرئيسية في المناطق التي يسيطر عليها الحوثيون، اثنتان منها وقعتا بالقرب من نقاط تفتيش حوثية. وأصابت الغارات الجوية حافلات كانت تقل مدنيين، وكان بعضهم من النازحين داخلياً الذين فروا من المناطق المتضررة من النزاع، مما أسفر عن مقتلهم وجرحهم. وبناءً على الأدلة المتوفرة، لدى فريق الخبراء أسباب معقولة للاعتقاد بأن التحالف نفذ الغارات الجوية الثلاث التي تم التحقيق فيها والتي أسفرت عن مقتل مدنيين. وفي حالتين من الحالات الثلاث، ليس واضحاَ ما هو الهدف المقصود، مما يثير المخاوف حيال اختيار الهدف واحترام مبدأ التمييز. وفي إحدى الحالات، أشار فريق تقييم الحوادث المشترك إلى أن الغارة الجوية أصابت مركبة كانت "مسلحة". وفي الحالتين الأخريين، لم يتم تحديد الأهداف. إذا كان التحالف قد حدد أهدافًا عسكرية فعلاً، وأصيبت هذه الأهداف نتيجةً لاستخدام أسلحة عالية الدقة، فإن موقع الضرب</w:t>
      </w:r>
      <w:r w:rsidR="0089214A">
        <w:rPr>
          <w:rFonts w:ascii="Traditional Arabic" w:hAnsi="Traditional Arabic" w:cs="Traditional Arabic" w:hint="cs"/>
          <w:sz w:val="30"/>
          <w:szCs w:val="30"/>
          <w:rtl/>
        </w:rPr>
        <w:t>ات</w:t>
      </w:r>
      <w:r w:rsidRPr="009D7B92">
        <w:rPr>
          <w:rFonts w:ascii="Traditional Arabic" w:hAnsi="Traditional Arabic" w:cs="Traditional Arabic"/>
          <w:sz w:val="30"/>
          <w:szCs w:val="30"/>
          <w:rtl/>
        </w:rPr>
        <w:t xml:space="preserve"> يثير مخاوف بشأن مبادئ التناسب والاحتياطات في الهجوم، لاسيما أنه كان من الممكن توقّع مقتل عدد من المدنيين في الهجوم</w:t>
      </w:r>
      <w:r w:rsidRPr="009D7B92">
        <w:rPr>
          <w:rFonts w:ascii="Traditional Arabic" w:hAnsi="Traditional Arabic" w:cs="Traditional Arabic"/>
          <w:sz w:val="30"/>
          <w:szCs w:val="30"/>
        </w:rPr>
        <w:t>.</w:t>
      </w:r>
    </w:p>
    <w:p w14:paraId="16CF5F95" w14:textId="16145D65" w:rsidR="009D7B92" w:rsidRPr="009D7B92" w:rsidRDefault="00667B7D"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إ</w:t>
      </w:r>
      <w:r w:rsidR="009D7B92" w:rsidRPr="009D7B92">
        <w:rPr>
          <w:rFonts w:ascii="Traditional Arabic" w:hAnsi="Traditional Arabic" w:cs="Traditional Arabic"/>
          <w:sz w:val="30"/>
          <w:szCs w:val="30"/>
          <w:rtl/>
        </w:rPr>
        <w:t xml:space="preserve">ستهدفت اثنتان من الضربات الثلاث التي تمّ التحقيق فيها حافلات صغيرة تقل مدنيين بعيداً عن مناطق القتال الناشطة. أول ضربة موثقة وقعت في حزيران/ يونيو 2018 والأخيرة في أواخر تشرين الأول/أكتوبر 2018. خلال </w:t>
      </w:r>
      <w:r w:rsidR="009D7B92" w:rsidRPr="009D7B92">
        <w:rPr>
          <w:rFonts w:ascii="Traditional Arabic" w:hAnsi="Traditional Arabic" w:cs="Traditional Arabic"/>
          <w:sz w:val="30"/>
          <w:szCs w:val="30"/>
          <w:rtl/>
        </w:rPr>
        <w:lastRenderedPageBreak/>
        <w:t>هذه الفترة، لم يغيّر التحالف طريقة عمله بالنسبة الى الغارات الجوية في الحديدة على الرغم من التأثير الكبير على المدنيين الذين يحاولون الفرار من النزاع. هذا يثير مخاوف بشأن احترام التحالف لمبادئ التناسب والاحتياطات في الهجوم</w:t>
      </w:r>
      <w:r w:rsidR="009D7B92" w:rsidRPr="009D7B92">
        <w:rPr>
          <w:rFonts w:ascii="Traditional Arabic" w:hAnsi="Traditional Arabic" w:cs="Traditional Arabic"/>
          <w:sz w:val="30"/>
          <w:szCs w:val="30"/>
        </w:rPr>
        <w:t xml:space="preserve">. </w:t>
      </w:r>
    </w:p>
    <w:p w14:paraId="2C92A2A8" w14:textId="560F3AE1"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الحالة الوحيدة التي حقق فيها الفريق والتي نشرفريق تقييم الحوادث المشترك معلومات بشأنها ناتجة عن تحقيقاته (الضربة على الطريق بين زبيد والجراحي)، لا يحدّد هذا الأخير نوع وعدد الأسلحة التي زُعم أن الحافلة الصغيرة تحملها. كان من الضروري لفريق الخبراء أن يقيّم هذه المعلومات، إلى جانب غيرها من المعلومات المتعلقة بعملية الاستهداف، وذلك لتقييم ما إذا كان التحالف قد احترم مبدأ التناسب</w:t>
      </w:r>
      <w:r w:rsidRPr="009D7B92">
        <w:rPr>
          <w:rFonts w:ascii="Traditional Arabic" w:hAnsi="Traditional Arabic" w:cs="Traditional Arabic"/>
          <w:sz w:val="30"/>
          <w:szCs w:val="30"/>
        </w:rPr>
        <w:t>.</w:t>
      </w:r>
    </w:p>
    <w:p w14:paraId="1076E478" w14:textId="0779BF35" w:rsidR="009D7B92" w:rsidRPr="009D7B92" w:rsidRDefault="009D7B92" w:rsidP="00E16B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بناءً على الأدلة المتوفرة، لدى فريق الخبراء أسباب معقولة للاعتقاد بأن التحالف قد نفّذ غارات جوية في الحديدة لم تمتثل على الأرجح لمبادئ التمييز والتناسب والاحتياطات في الهجوم. في الواقع، يرقى انتهاك مبدأي التمييز والتناسب إلى انتهاك جسيم للقانون الدولي الإنساني وقد يؤدي شن هجوم عشوائي أسفر عن مقتل أو إصابة مدنيين أو شن هجوم </w:t>
      </w:r>
      <w:r w:rsidR="00E16B24">
        <w:rPr>
          <w:rFonts w:ascii="Traditional Arabic" w:hAnsi="Traditional Arabic" w:cs="Traditional Arabic" w:hint="cs"/>
          <w:sz w:val="30"/>
          <w:szCs w:val="30"/>
          <w:rtl/>
        </w:rPr>
        <w:t>متوقع</w:t>
      </w:r>
      <w:r w:rsidRPr="009D7B92">
        <w:rPr>
          <w:rFonts w:ascii="Traditional Arabic" w:hAnsi="Traditional Arabic" w:cs="Traditional Arabic"/>
          <w:sz w:val="30"/>
          <w:szCs w:val="30"/>
          <w:rtl/>
        </w:rPr>
        <w:t xml:space="preserve"> أنه سيتسبّب بخسائر أو إصابات أو أضرار مدنية فادحة، قد يؤدي إلى مسؤولية جنائية فردية عن جرائم الحرب .</w:t>
      </w:r>
      <w:r w:rsidR="00E16B24">
        <w:rPr>
          <w:rStyle w:val="FootnoteReference"/>
          <w:rFonts w:cs="Traditional Arabic"/>
          <w:szCs w:val="30"/>
          <w:rtl/>
        </w:rPr>
        <w:footnoteReference w:id="841"/>
      </w:r>
      <w:r w:rsidRPr="009D7B92">
        <w:rPr>
          <w:rFonts w:ascii="Traditional Arabic" w:hAnsi="Traditional Arabic" w:cs="Traditional Arabic"/>
          <w:sz w:val="30"/>
          <w:szCs w:val="30"/>
          <w:rtl/>
        </w:rPr>
        <w:t xml:space="preserve"> وقد ينطوي ذلك على مسؤولية جنائية على جميع مستويات القيادة</w:t>
      </w:r>
      <w:r w:rsidRPr="009D7B92">
        <w:rPr>
          <w:rFonts w:ascii="Traditional Arabic" w:hAnsi="Traditional Arabic" w:cs="Traditional Arabic"/>
          <w:sz w:val="30"/>
          <w:szCs w:val="30"/>
        </w:rPr>
        <w:t xml:space="preserve">. </w:t>
      </w:r>
    </w:p>
    <w:p w14:paraId="55C499B7" w14:textId="38F49218" w:rsidR="009D7B92" w:rsidRPr="00667B7D"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667B7D">
        <w:rPr>
          <w:rFonts w:ascii="Traditional Arabic" w:hAnsi="Traditional Arabic" w:cs="Traditional Arabic"/>
          <w:b/>
          <w:bCs/>
          <w:sz w:val="30"/>
          <w:szCs w:val="30"/>
          <w:rtl/>
        </w:rPr>
        <w:t>ب) القصف الحوثي</w:t>
      </w:r>
    </w:p>
    <w:p w14:paraId="7249E1B0" w14:textId="17178C7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شكّل القصف الذي مارسه جميع أطراف النزاع إحدى سمات النزاع الأساسية في الحديدة، حتى بعد دخول وقف إطلاق النار حيّز النفاذ. وقد حقق فريق الخبراء في 10 حوادث ونظر في معلومات موثوقة ومفصلة عن 10 حوادث أخرى، من أجل تحديد الأنماط. الحالات التالية هي عينة من الحوادث الرمزية التي تم التحقيق فيها</w:t>
      </w:r>
      <w:r w:rsidRPr="009D7B92">
        <w:rPr>
          <w:rFonts w:ascii="Traditional Arabic" w:hAnsi="Traditional Arabic" w:cs="Traditional Arabic"/>
          <w:sz w:val="30"/>
          <w:szCs w:val="30"/>
        </w:rPr>
        <w:t>.</w:t>
      </w:r>
    </w:p>
    <w:p w14:paraId="724C7309" w14:textId="64DAD2B5" w:rsidR="009D7B92" w:rsidRPr="00E16B24"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667B7D">
        <w:rPr>
          <w:rFonts w:ascii="Traditional Arabic" w:hAnsi="Traditional Arabic" w:cs="Traditional Arabic"/>
          <w:i/>
          <w:iCs/>
          <w:sz w:val="30"/>
          <w:szCs w:val="30"/>
          <w:rtl/>
        </w:rPr>
        <w:t>27</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حزيران/ يونيو2018 - حي المرخودة، مدينة الحديدة</w:t>
      </w:r>
      <w:r w:rsidRPr="00667B7D">
        <w:rPr>
          <w:rFonts w:ascii="Traditional Arabic" w:hAnsi="Traditional Arabic" w:cs="Traditional Arabic"/>
          <w:i/>
          <w:iCs/>
          <w:sz w:val="30"/>
          <w:szCs w:val="30"/>
        </w:rPr>
        <w:t xml:space="preserve"> </w:t>
      </w:r>
      <w:r w:rsidR="00E16B24">
        <w:rPr>
          <w:rStyle w:val="FootnoteReference"/>
          <w:rFonts w:cs="Traditional Arabic"/>
          <w:i/>
          <w:iCs/>
          <w:szCs w:val="30"/>
        </w:rPr>
        <w:footnoteReference w:id="842"/>
      </w:r>
    </w:p>
    <w:p w14:paraId="79E6154E" w14:textId="0C6322AB"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27 يونيو/ حزيران 2018، الساعة الرابعة والنصف مساءً، في حي المرخودة، مدينة الحديدة، بالقرب من المطار، سقطت قذيفتان في المنطقة. سقطت القذيفة الأولى بالقرب من أحد المنازل في حي المرخودة، وسقطت الثانية على بعد حوالي 500 متر. وقتلت القذيفة الثانية سبعة أفراد وأصابت ستة آخرين كانوا خارج المنزل يمضغون القات. وأصيب مدنيان آخران كانا داخل المنزل. واتفق معظم الشهود على أن القذيفة جاءت من الغرب. كان للحوثيين قاعدة في مدرسة 17 يوليو نحو الغرب في حدود المكان الذي سقطت فيه القذيفة، مما أتاح للفريق أن يستنتج أن الحوثيين أطلقوا القذيفة. وتمّ نقل المصابين إلى مستشفى الثورة والمستشفى العسكري في المدينة، حيث توفي بعضهم. في المجموع، قُتل تسعة أفراد ذكور، بينهم صبيّان. وأصيب سبعة أشخاص آخرين (رجلان وامرأتان وصبيّان وفتاة). ليس من الواضح ما إذا كان المنزل أو التجمع هو الهدف. أنكر جميع الشهود وجود مقاتلين في المنطقة وقت الهجوم. من المحتمل </w:t>
      </w:r>
      <w:r w:rsidRPr="009D7B92">
        <w:rPr>
          <w:rFonts w:ascii="Traditional Arabic" w:hAnsi="Traditional Arabic" w:cs="Traditional Arabic"/>
          <w:sz w:val="30"/>
          <w:szCs w:val="30"/>
          <w:rtl/>
        </w:rPr>
        <w:lastRenderedPageBreak/>
        <w:t>أن يكون المطار هو الهدف أو أي شيء بالقرب منه، وهي منطقة فيها قتال متقطع بينما تسعى القوات المسلحة اليمنية والجماعات التابعة لها للسيطرة عليها. وتتكوّن المنطقة التي تعرّضت للقصف من صف طويل من المنازل الواقعة بجانب الطريق الرئيسي أمام المطار</w:t>
      </w:r>
      <w:r w:rsidRPr="009D7B92">
        <w:rPr>
          <w:rFonts w:ascii="Traditional Arabic" w:hAnsi="Traditional Arabic" w:cs="Traditional Arabic"/>
          <w:sz w:val="30"/>
          <w:szCs w:val="30"/>
        </w:rPr>
        <w:t>.</w:t>
      </w:r>
    </w:p>
    <w:p w14:paraId="0ACC470D" w14:textId="0BAD0770" w:rsidR="009D7B92" w:rsidRPr="009D7B92" w:rsidRDefault="009D7B92" w:rsidP="007566B2">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بينما كانت المنطقة الم</w:t>
      </w:r>
      <w:r w:rsidR="007566B2">
        <w:rPr>
          <w:rFonts w:ascii="Traditional Arabic" w:hAnsi="Traditional Arabic" w:cs="Traditional Arabic" w:hint="cs"/>
          <w:sz w:val="30"/>
          <w:szCs w:val="30"/>
          <w:rtl/>
        </w:rPr>
        <w:t xml:space="preserve">تأثرة </w:t>
      </w:r>
      <w:r w:rsidRPr="009D7B92">
        <w:rPr>
          <w:rFonts w:ascii="Traditional Arabic" w:hAnsi="Traditional Arabic" w:cs="Traditional Arabic"/>
          <w:sz w:val="30"/>
          <w:szCs w:val="30"/>
          <w:rtl/>
        </w:rPr>
        <w:t>تقع بالقرب من الخطوط الأمامية، لم يكن القتال دائراً خلال الهجوم. ومن المحتمل أن تكون القوات المسلحة اليمنية والجماعات التابعة لها والموجودة بالقرب من المطار هي المستهدفة. إلا أن المنطقة المتضررة هي منطقة سكنية مؤلّفة من العديد من المنازل المدنية. واختيار مثل هذا السلاح غير الدقيق في موقع سكني يُظهر فشلًا في مراعاة أرواح المدنيين وممتلكاتهم في المنطقة، والمقاتلون الحوثيون كانوا على دراية بلا شك بوجودها عند شن الهجوم</w:t>
      </w:r>
      <w:r w:rsidRPr="009D7B92">
        <w:rPr>
          <w:rFonts w:ascii="Traditional Arabic" w:hAnsi="Traditional Arabic" w:cs="Traditional Arabic"/>
          <w:sz w:val="30"/>
          <w:szCs w:val="30"/>
        </w:rPr>
        <w:t>.</w:t>
      </w:r>
    </w:p>
    <w:p w14:paraId="61EA6B67" w14:textId="77777777" w:rsidR="009D7B92" w:rsidRPr="00667B7D"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i/>
          <w:iCs/>
          <w:sz w:val="30"/>
          <w:szCs w:val="30"/>
          <w:rtl/>
        </w:rPr>
        <w:t>19</w:t>
      </w:r>
      <w:r w:rsidRPr="00667B7D">
        <w:rPr>
          <w:rFonts w:ascii="Traditional Arabic" w:hAnsi="Traditional Arabic" w:cs="Traditional Arabic"/>
          <w:i/>
          <w:iCs/>
          <w:sz w:val="30"/>
          <w:szCs w:val="30"/>
        </w:rPr>
        <w:t xml:space="preserve"> </w:t>
      </w:r>
      <w:r w:rsidRPr="00667B7D">
        <w:rPr>
          <w:rFonts w:ascii="Traditional Arabic" w:hAnsi="Traditional Arabic" w:cs="Traditional Arabic"/>
          <w:i/>
          <w:iCs/>
          <w:sz w:val="30"/>
          <w:szCs w:val="30"/>
          <w:rtl/>
        </w:rPr>
        <w:t>تموز/ يوليو 2018 - قرية وادي القوم، قرية المشخانة، مديرية الدريهمي</w:t>
      </w:r>
    </w:p>
    <w:p w14:paraId="792730CC" w14:textId="6DA04AB1"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19 تموز/ يوليو 2018، اندلع قتال عنيف في قرية المشخانة التي كانت خط مواجهة في ذلك الوقت وتغيّرت الأطراف المسيطرة عليها عدّة مرات. كان لكل طرف من أطراف النزاع حوالي كيلومتر واحد تحت سيطرته وقت وقوع الحادثة. في ذلك اليوم، بين الساعة الثامنة والنصف والتاسعة صباحاً، النساء وكبار السن وأفراد الأسر بقوا في المنازل بينما كان الرجال في ضواحي المدينة، يعملون في الحقول. كان الرجال على بعد كيلومترين خارج مركز القرية يحصدون التمور. مع اشتداد القتال، تجمّع من تبقى من الناس في القرية للمغادرة. غادر الكثير من الناس منازلهم بدون أخذ أي شيء. انتشر الأفراد وانتقلوا إلى مواقع مختلفة. وأصيب بعضهم في القصف أثناء الرحيل. في المجموع، قُتل أربعة رجال على الأقل وأصيب تسعة أفراد، بينهم ثلاث نساء. وقع القصف في منطقة تسيطر عليها الحكومة اليمنية. وبناءً على المعلومات المتوفرة، خلص فريق الخبراء إلى أن القذائف التي أصابت المدنيين في هذه الحالة صدرت عن الحوثيين. وكان الضحايا في مكان مفتوح، ومعظمهم من كبار السن ذوي الحركة المحدودة. تمّ ترك القتلى ومساعدة الجرحى على الابتعاد عن المنطقة، مع تدخّل من جانب أفراد الجماعات المسلحة التابعة للقوات المسلحة اليمنية التي كانت في غرب القرية، حيث قصدهم الناجون وطلبوا سيارات لنقل المصابين. تمّ نقل المصابين إلى الخوخة ثم إلى عدن لتلقي العلاج. بقي بعض الناس في المستشفى لعدة أشهر</w:t>
      </w:r>
      <w:r w:rsidRPr="009D7B92">
        <w:rPr>
          <w:rFonts w:ascii="Traditional Arabic" w:hAnsi="Traditional Arabic" w:cs="Traditional Arabic"/>
          <w:sz w:val="30"/>
          <w:szCs w:val="30"/>
        </w:rPr>
        <w:t>.</w:t>
      </w:r>
    </w:p>
    <w:p w14:paraId="6F87EEE7" w14:textId="0AAC7A90"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استناداً إلى الأدلة المتاحة، لدى فريق الخبراء أسباب معقولة للاعتقاد بأن المقاتلين الحوثيين هم الذين أطلقوا القذائف التي أصابت المدنيين في هذه الحادثة. وكانت المنطقة التي سقطت فيها القذائف منطقة مفتوحة، مع غياب المباني أو المنازل في المنطقة المجاورة. ويبدو أن القصف قد وقع في سياق قتال عنيف بين القوتين اللتين كانتا تطلقان النار على بعضهما البعض من الجانبين المقابلين للقرية. وكانت هذه مجرد واحدة من العديد من القذائف التي سقطت على القرية في ذلك اليوم. أظهر اختيار الأسلحة المستخدمة، بالنظر إلى موقع القتال، فشلًا </w:t>
      </w:r>
      <w:r w:rsidRPr="009D7B92">
        <w:rPr>
          <w:rFonts w:ascii="Traditional Arabic" w:hAnsi="Traditional Arabic" w:cs="Traditional Arabic"/>
          <w:sz w:val="30"/>
          <w:szCs w:val="30"/>
          <w:rtl/>
        </w:rPr>
        <w:lastRenderedPageBreak/>
        <w:t>في مراعاة حياة المدنيين الذين كان ينبغي مساعدتهم للهروب من منطقة القتال بأمان بدلاً من تجاهلهم</w:t>
      </w:r>
      <w:r w:rsidRPr="009D7B92">
        <w:rPr>
          <w:rFonts w:ascii="Traditional Arabic" w:hAnsi="Traditional Arabic" w:cs="Traditional Arabic"/>
          <w:sz w:val="30"/>
          <w:szCs w:val="30"/>
        </w:rPr>
        <w:t>.</w:t>
      </w:r>
    </w:p>
    <w:p w14:paraId="09C64C15" w14:textId="57BB1664" w:rsidR="009D7B92" w:rsidRPr="00667B7D" w:rsidRDefault="00667B7D"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667B7D">
        <w:rPr>
          <w:rFonts w:ascii="Traditional Arabic" w:hAnsi="Traditional Arabic" w:cs="Traditional Arabic" w:hint="cs"/>
          <w:i/>
          <w:iCs/>
          <w:sz w:val="30"/>
          <w:szCs w:val="30"/>
          <w:rtl/>
        </w:rPr>
        <w:t>(</w:t>
      </w:r>
      <w:r w:rsidR="009D7B92" w:rsidRPr="00667B7D">
        <w:rPr>
          <w:rFonts w:ascii="Traditional Arabic" w:hAnsi="Traditional Arabic" w:cs="Traditional Arabic"/>
          <w:i/>
          <w:iCs/>
          <w:sz w:val="30"/>
          <w:szCs w:val="30"/>
          <w:rtl/>
        </w:rPr>
        <w:t>تم حجب تفاصيل الموقع والتاريخ لأسباب تتعلق بالحماية</w:t>
      </w:r>
      <w:r w:rsidRPr="00667B7D">
        <w:rPr>
          <w:rFonts w:ascii="Traditional Arabic" w:hAnsi="Traditional Arabic" w:cs="Traditional Arabic" w:hint="cs"/>
          <w:i/>
          <w:iCs/>
          <w:sz w:val="30"/>
          <w:szCs w:val="30"/>
          <w:rtl/>
        </w:rPr>
        <w:t>)</w:t>
      </w:r>
    </w:p>
    <w:p w14:paraId="17618285" w14:textId="003F9C03" w:rsidR="009D7B92" w:rsidRPr="009D7B92"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حوالي الساعة الثانية والنصف فجراً، سقطت ثلاث قذائف هاون في إحدى القرى، وعلى وجه التحديد في منزل خاص. سقطت القذائف الثلاث في الحديقة وفي الفناء الخلفي للمنزل. واخترقت إحدى شظايا قذائف الهاون جدران المنزل، مما أدى إلى إصابة امرأة وابنتها البالغة من العمر عامين. تم نقل الفتاة إلى أقرب مستشفى لكنها توفيت </w:t>
      </w:r>
      <w:r w:rsidR="00173044">
        <w:rPr>
          <w:rFonts w:ascii="Traditional Arabic" w:hAnsi="Traditional Arabic" w:cs="Traditional Arabic" w:hint="cs"/>
          <w:sz w:val="30"/>
          <w:szCs w:val="30"/>
          <w:rtl/>
        </w:rPr>
        <w:t>في وقت لاحق</w:t>
      </w:r>
      <w:r w:rsidRPr="009D7B92">
        <w:rPr>
          <w:rFonts w:ascii="Traditional Arabic" w:hAnsi="Traditional Arabic" w:cs="Traditional Arabic"/>
          <w:sz w:val="30"/>
          <w:szCs w:val="30"/>
          <w:rtl/>
        </w:rPr>
        <w:t>. يقع المنزل في قرية صغيرة حيث توجد منازل أخرى. كانت القرية تحت سيطرة الجماعات التابعة للقوات المسلحة اليمنية التي استولت على مدرسة تبعد حوالي 300 متر عن الحادث. وفقا لأقوال الشهود، تقع مواقع إطلاق النار الخاصة بالحوثيين على الجانب الذي جاء منه القصف. لدى فريق الخبراء أسباب معقولة للاعتقاد بأن الحوثيين شنوا الهجوم</w:t>
      </w:r>
      <w:r w:rsidRPr="009D7B92">
        <w:rPr>
          <w:rFonts w:ascii="Traditional Arabic" w:hAnsi="Traditional Arabic" w:cs="Traditional Arabic"/>
          <w:sz w:val="30"/>
          <w:szCs w:val="30"/>
        </w:rPr>
        <w:t>.</w:t>
      </w:r>
    </w:p>
    <w:p w14:paraId="12D8E756" w14:textId="187B82BD" w:rsidR="009D7B92" w:rsidRPr="009D7B92" w:rsidRDefault="009D7B92" w:rsidP="00667B7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يكن القتال دائراً عندما وقع الهجوم. من المحتمل أن تكون مواقع القوات المسلحة اليمنية والجماعات التابعة لها والواقعة على بعد 300 مترًا من المنزل هي المستهدفة. ومع ذلك، كان لا بدّ للحوثيين أن يفهموا  أن استخدام هذه الأسلحة غير الدقيقة في هكذا منطقة سكنية تضم العديد من المنازل المدنية سيؤدي على الأرجح إلى إلحاق ضرر بالمدنيين. إن قرار استخدام مثل هذا السلاح غير الدقيق في مكان يسكنه مدنيون يعكس فشلًا في مراعاة أرواح المدنيين وممتلكاتهم في المنطقة. ويثير الهجوم أيضًا مخاوف بشأن قرار القوات الموالية للحكومة باحتلال مدرسة تقع بالقرب من المنازل المدنية كقاعدة لعملياتها</w:t>
      </w:r>
      <w:r w:rsidRPr="009D7B92">
        <w:rPr>
          <w:rFonts w:ascii="Traditional Arabic" w:hAnsi="Traditional Arabic" w:cs="Traditional Arabic"/>
          <w:sz w:val="30"/>
          <w:szCs w:val="30"/>
        </w:rPr>
        <w:t>.</w:t>
      </w:r>
    </w:p>
    <w:p w14:paraId="062EB16D" w14:textId="7F977EEF" w:rsidR="009D7B92" w:rsidRPr="009D7B92" w:rsidRDefault="008F5C0F" w:rsidP="00CF21FC">
      <w:pPr>
        <w:pStyle w:val="Footer"/>
        <w:tabs>
          <w:tab w:val="left" w:pos="720"/>
        </w:tabs>
        <w:bidi/>
        <w:spacing w:after="240"/>
        <w:ind w:left="1089" w:right="1089"/>
        <w:jc w:val="both"/>
        <w:rPr>
          <w:rFonts w:ascii="Traditional Arabic" w:hAnsi="Traditional Arabic" w:cs="Traditional Arabic"/>
          <w:sz w:val="30"/>
          <w:szCs w:val="30"/>
          <w:rtl/>
        </w:rPr>
      </w:pPr>
      <w:r>
        <w:rPr>
          <w:rFonts w:ascii="Traditional Arabic" w:hAnsi="Traditional Arabic" w:cs="Traditional Arabic" w:hint="cs"/>
          <w:sz w:val="30"/>
          <w:szCs w:val="30"/>
          <w:rtl/>
        </w:rPr>
        <w:t>(</w:t>
      </w:r>
      <w:r w:rsidR="009D7B92" w:rsidRPr="009D7B92">
        <w:rPr>
          <w:rFonts w:ascii="Traditional Arabic" w:hAnsi="Traditional Arabic" w:cs="Traditional Arabic"/>
          <w:sz w:val="30"/>
          <w:szCs w:val="30"/>
          <w:rtl/>
        </w:rPr>
        <w:t>تم حجب تفاصيل الموقع والتاريخ لأسباب تتعلق بالحماية</w:t>
      </w:r>
      <w:r>
        <w:rPr>
          <w:rFonts w:ascii="Traditional Arabic" w:hAnsi="Traditional Arabic" w:cs="Traditional Arabic" w:hint="cs"/>
          <w:sz w:val="30"/>
          <w:szCs w:val="30"/>
          <w:rtl/>
        </w:rPr>
        <w:t>)</w:t>
      </w:r>
    </w:p>
    <w:p w14:paraId="48595DCA" w14:textId="3731B179"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في حوالي الساعة التاسعة صباحًا، سقطت قذائف الهاون على نقطة لتوزيع المياه. وكانت نقطة توزيع المياه جزءًا من مشروع خيري يوفر المياه للقرية. كان يتألف من خزان مياه سعة 2000 لتر يمكن للقرويين نهل المياه منه. في وقت وقوع الحادث، كان يتواجد طابور من الناس الذين ينهلون المياه عندما سقطت قذيفة هاون بجوار الخزان. دمّرت الجدار المجاور للخزان وأصابت الشظايا من كانوا ينهلون المياه. قُتل صبيّان في الهجوم. المستشفى الأول الذي نُقل إليه أحد الصبيين لم يستطع علاجه بسبب نقص القدرات. كما أصيب رجل بالغ وفتاتان وصبي، أحدهم في حالة خطيرة. كانت القرية تحت سيطرة القوات المسلحة اليمنية والجماعات التابعة لها التي سيطرت على مدرسة تقع على بعد حوالي 150 متراً من الحادث. وذكر معظم الشهود أن الحوثيين كانوا مسؤولين عن هذا الهجوم استنادًا إلى الاتجاه الذي جاء منه</w:t>
      </w:r>
      <w:r w:rsidRPr="009D7B92">
        <w:rPr>
          <w:rFonts w:ascii="Traditional Arabic" w:hAnsi="Traditional Arabic" w:cs="Traditional Arabic"/>
          <w:sz w:val="30"/>
          <w:szCs w:val="30"/>
        </w:rPr>
        <w:t>.</w:t>
      </w:r>
    </w:p>
    <w:p w14:paraId="276FFB41" w14:textId="22B45C4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لم يكن القتال دائراً في وقت الهجوم. من المحتمل أن يكون موقع عسكري تابع للقوات المسلحة اليمنية والجماعات التابعة لها في مدرسة بالقرب من نقطة توزيع المياه هو المستهدف. غير أنّ المنطقة التي تم ضربها هي منطقة سكنية تحيط بها عدّة منازل، وهو أمر كان لا بدّ للحوثيين من أخذه في الاعتبار عند اختيار الوسائل وتوقيت الهجوم. مرة أخرى، يثير الهجوم أيضًا مخاوف بشأن </w:t>
      </w:r>
      <w:r w:rsidRPr="009D7B92">
        <w:rPr>
          <w:rFonts w:ascii="Traditional Arabic" w:hAnsi="Traditional Arabic" w:cs="Traditional Arabic"/>
          <w:sz w:val="30"/>
          <w:szCs w:val="30"/>
          <w:rtl/>
        </w:rPr>
        <w:lastRenderedPageBreak/>
        <w:t>قرار القوات الموالية للحكومة باحتلال مدرسة تقع بالقرب من منازل مدنية ومن نقطة توزيع للمياه كقاعدة لعملياتها</w:t>
      </w:r>
      <w:r w:rsidRPr="009D7B92">
        <w:rPr>
          <w:rFonts w:ascii="Traditional Arabic" w:hAnsi="Traditional Arabic" w:cs="Traditional Arabic"/>
          <w:sz w:val="30"/>
          <w:szCs w:val="30"/>
        </w:rPr>
        <w:t>.</w:t>
      </w:r>
    </w:p>
    <w:p w14:paraId="348806DB" w14:textId="23ADBDE5" w:rsidR="009D7B92" w:rsidRPr="008F5C0F" w:rsidRDefault="009D7B92" w:rsidP="00825FCB">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5</w:t>
      </w:r>
      <w:r w:rsidRPr="008F5C0F">
        <w:rPr>
          <w:rFonts w:ascii="Traditional Arabic" w:hAnsi="Traditional Arabic" w:cs="Traditional Arabic"/>
          <w:i/>
          <w:iCs/>
          <w:sz w:val="30"/>
          <w:szCs w:val="30"/>
        </w:rPr>
        <w:t xml:space="preserve"> </w:t>
      </w:r>
      <w:r w:rsidRPr="008F5C0F">
        <w:rPr>
          <w:rFonts w:ascii="Traditional Arabic" w:hAnsi="Traditional Arabic" w:cs="Traditional Arabic"/>
          <w:i/>
          <w:iCs/>
          <w:sz w:val="30"/>
          <w:szCs w:val="30"/>
          <w:rtl/>
        </w:rPr>
        <w:t>أكتوبر 2018، بني جابر، الخوخة</w:t>
      </w:r>
      <w:r w:rsidR="00E16B24">
        <w:rPr>
          <w:rStyle w:val="FootnoteReference"/>
          <w:rFonts w:cs="Traditional Arabic"/>
          <w:i/>
          <w:iCs/>
          <w:szCs w:val="30"/>
          <w:rtl/>
        </w:rPr>
        <w:footnoteReference w:id="843"/>
      </w:r>
      <w:r w:rsidRPr="008F5C0F">
        <w:rPr>
          <w:rFonts w:ascii="Traditional Arabic" w:hAnsi="Traditional Arabic" w:cs="Traditional Arabic"/>
          <w:i/>
          <w:iCs/>
          <w:sz w:val="30"/>
          <w:szCs w:val="30"/>
        </w:rPr>
        <w:t xml:space="preserve"> </w:t>
      </w:r>
    </w:p>
    <w:p w14:paraId="617BE037" w14:textId="79956D8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5 تشرين الأول/ أكتوبر 2018، في حوالي الساعة الحادية عشرة والنصف ظهراً،  سقطت قذيفة هاون في مخيم للنازحين في بني جابر، في الخوخة. كان المعسكر يعمل منذ حزيران/ يونيو 2018. وكانت المنطقة تحت سيطرة الحكومة وقت وقوع الحادث. وكان المخيم الذي يديره مركز الملك سلمان يستضيف حوالي مائة نازح. أحد المباني الذي شكّل قاعدة للقوات المسلحة اليمنية والجماعات التابعة لها كان على بعد حوالي 70 مترًا إلى جنوب المخيم الذي يبعد حوالي كيلومتر واحد إلى الشرق عن مخيم أبي موسى الأشعري العسكري. </w:t>
      </w:r>
      <w:r w:rsidR="00E16B24">
        <w:rPr>
          <w:rStyle w:val="FootnoteReference"/>
          <w:rFonts w:cs="Traditional Arabic"/>
          <w:szCs w:val="30"/>
          <w:rtl/>
        </w:rPr>
        <w:footnoteReference w:id="844"/>
      </w:r>
      <w:r w:rsidRPr="009D7B92">
        <w:rPr>
          <w:rFonts w:ascii="Traditional Arabic" w:hAnsi="Traditional Arabic" w:cs="Traditional Arabic"/>
          <w:sz w:val="30"/>
          <w:szCs w:val="30"/>
          <w:rtl/>
        </w:rPr>
        <w:t xml:space="preserve">  سقطت قذيفة هاون أخرى في مزرعة بالقرب من مخيم النازحين. وسقطت القذيفة الثانية داخل المخيم، مما أسفر عن مقتل امرأة وإصابة سبعة أشخاص آخرين (رجل وفتاة وخمسة صبيان)، وإلحاق أضرار بخزان المياه. جاء القصف من الشمال الشرقي حيث تمركز الحوثيون</w:t>
      </w:r>
    </w:p>
    <w:p w14:paraId="685583F5" w14:textId="6A3E067E"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إستناداً إلى الأدلة المتاحة، وجد فريق الخبراء أن الحوثيين هم الذين أطلقوا قذائف الهاون في هذه الحادثة. ولم يكن القتال دائراً في وقت الهجوم. من المحتمل أن تكون المواقع العسكرية للقوات المسلحة اليمنية والجماعات التابعة لها هي المستهدفة. غير أنه كان على الحوثيين أن يأخذوا في الاعتبار قرب الهدف العسكري من معسكر النازحين عند اختيار سلاحهم. ويثير هذا الحادث مخاوف بشأن الإشتراك في المواقع بين قاعدة عسكرية ومخيم للنازحين</w:t>
      </w:r>
      <w:r w:rsidRPr="009D7B92">
        <w:rPr>
          <w:rFonts w:ascii="Traditional Arabic" w:hAnsi="Traditional Arabic" w:cs="Traditional Arabic"/>
          <w:sz w:val="30"/>
          <w:szCs w:val="30"/>
        </w:rPr>
        <w:t>.</w:t>
      </w:r>
    </w:p>
    <w:p w14:paraId="22A2AD0C" w14:textId="77777777" w:rsidR="009D7B92" w:rsidRPr="008F5C0F" w:rsidRDefault="009D7B92" w:rsidP="00CF21FC">
      <w:pPr>
        <w:pStyle w:val="Footer"/>
        <w:tabs>
          <w:tab w:val="left" w:pos="720"/>
        </w:tabs>
        <w:bidi/>
        <w:spacing w:after="240"/>
        <w:ind w:left="1656" w:right="1089" w:firstLine="45"/>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الانتهاكات</w:t>
      </w:r>
    </w:p>
    <w:p w14:paraId="55D5638D" w14:textId="50168AF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إنّ مبدأ التمييز يحظّر الهجمات العشوائية، أي الهجمات التي تصيب بطبيعتها الأهداف العسكرية والمدنيين أو المواقع المدنية بشكل عشوائي .</w:t>
      </w:r>
      <w:r w:rsidR="00E16B24">
        <w:rPr>
          <w:rStyle w:val="FootnoteReference"/>
          <w:rFonts w:cs="Traditional Arabic"/>
          <w:szCs w:val="30"/>
          <w:rtl/>
        </w:rPr>
        <w:footnoteReference w:id="845"/>
      </w:r>
      <w:r w:rsidRPr="009D7B92">
        <w:rPr>
          <w:rFonts w:ascii="Traditional Arabic" w:hAnsi="Traditional Arabic" w:cs="Traditional Arabic"/>
          <w:sz w:val="30"/>
          <w:szCs w:val="30"/>
          <w:rtl/>
        </w:rPr>
        <w:t xml:space="preserve"> وتشكّل الهجمات العشوائية على سبيل المثال هجمات تستخدم طريقة أو وسيلة للقتال لا يمكن توجيهها نحو هدف عسكري محدد .</w:t>
      </w:r>
      <w:r w:rsidR="00E16B24">
        <w:rPr>
          <w:rStyle w:val="FootnoteReference"/>
          <w:rFonts w:cs="Traditional Arabic"/>
          <w:szCs w:val="30"/>
          <w:rtl/>
        </w:rPr>
        <w:footnoteReference w:id="846"/>
      </w:r>
      <w:r w:rsidRPr="009D7B92">
        <w:rPr>
          <w:rFonts w:ascii="Traditional Arabic" w:hAnsi="Traditional Arabic" w:cs="Traditional Arabic"/>
          <w:sz w:val="30"/>
          <w:szCs w:val="30"/>
          <w:rtl/>
        </w:rPr>
        <w:t xml:space="preserve"> ومن أجل تفعيل مبدأ التمييز، يجب على أطراف النزاع أيضًا اتخاذ احتياطات ضد أثر الهجمات. وعليه، يتعيّن عليهم بقدر الإمكان تجنب تحديد الأهداف العسكرية داخل المناطق المكتظة بالسكان أو بالقرب منها</w:t>
      </w:r>
      <w:r w:rsidRPr="009D7B92">
        <w:rPr>
          <w:rFonts w:ascii="Traditional Arabic" w:hAnsi="Traditional Arabic" w:cs="Traditional Arabic"/>
          <w:sz w:val="30"/>
          <w:szCs w:val="30"/>
        </w:rPr>
        <w:t xml:space="preserve"> .</w:t>
      </w:r>
      <w:r w:rsidR="00E16B24">
        <w:rPr>
          <w:rStyle w:val="FootnoteReference"/>
          <w:rFonts w:cs="Traditional Arabic"/>
          <w:szCs w:val="30"/>
        </w:rPr>
        <w:footnoteReference w:id="847"/>
      </w:r>
    </w:p>
    <w:p w14:paraId="7658E8EB" w14:textId="5B264606"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حقق فريق الخبراء في ست حالات ذكرت سابقًا استخدم فيها الحوثيون أسلحة نيران غير مباشرة ذات أثر واسع النطاق، وأطلقوا قذائف قتلت وجرحت رجالاً ونساء وأطفالاً من المدنيين. وفي حين أنّ أحد الحوادث قد وقع أثناء قتال </w:t>
      </w:r>
      <w:r w:rsidRPr="009D7B92">
        <w:rPr>
          <w:rFonts w:ascii="Traditional Arabic" w:hAnsi="Traditional Arabic" w:cs="Traditional Arabic"/>
          <w:sz w:val="30"/>
          <w:szCs w:val="30"/>
          <w:rtl/>
        </w:rPr>
        <w:lastRenderedPageBreak/>
        <w:t>عنيف ومباشر، وقعت جميع الحوادث الأخرى التي تم التحقيق فيها عندما لم يكن القتال نشطاً. وأثارت هذه الهجمات مخاوف بشأن توقيت الضربات واختيار الأسلحة، وإذا جرى تنفيذها بطريقة تحدّ من إلحاق الأذى بالمدنيين وفقًا لمبدأ الاحتياطات في الهجوم. بالإضافة إلى ذلك، وفي خمس من الحالات الست، أدّى القصف الحوثي الى إصابة مناطق مدنية مأهولة بالسكان، وبعضها مكتظ بالسكان. وفي أربعة حوادث، حدد فريق الخبراء هدفًا عسكريًا محتملًا كان على الأرجح هدفًا لهجوم على مقربة من مكان سقوط القذائف. لكن في هذه الحوادث تعرّض مخيم للنازحين ونقطة لتوزيع المياه ومنازل مدنية للقصف. إن الطبيعة غير الدقيقة للسلاح الذي تم اختياره والمناطق المدنية التي أطلقت فيها جعلت الهجمات عشوائية، في انتهاك لمبدأ التمييز. وفي الحادثة الوحيدة التي وقعت أثناء سير القتال، وجد الفريق أن الحوثيين فشلوا أيضًا في اتخاذ الاحتياطات اللازمة لحماية المدنيين خلال حالة قتال نشطة، حيث أطلقوا قذيفة باتجاه مجموعة من كبار السن الذين كانوا يحاولون الفرار من المنطقة. بالإضافة إلى ذلك، قد يثير قصف نقطة لنهل المياه مخاوف بشأن حظر الهجمات على الأشياء الضرورية لبقاء المدنيين على قيد الحياة</w:t>
      </w:r>
      <w:r w:rsidRPr="009D7B92">
        <w:rPr>
          <w:rFonts w:ascii="Traditional Arabic" w:hAnsi="Traditional Arabic" w:cs="Traditional Arabic"/>
          <w:sz w:val="30"/>
          <w:szCs w:val="30"/>
        </w:rPr>
        <w:t>.</w:t>
      </w:r>
    </w:p>
    <w:p w14:paraId="4BEC7143" w14:textId="76E5327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علاوة على ذلك، موقع القواعد العسكرية الخاصة بالقوات المسلحة اليمنية والجماعات التابعة لها في المناطق السكنية المأهولة بالسكان المدنيين، في المدرسة، أو بالقرب من مخيمات النازحين يثير مخاوف خطيرة حيث مواقع الاهداف العسكرية في المناطق المدنية، مما لا يسمح بالتمييز بين الأهداف المدنية والعسكرية، ويعزّز من خطر إلحاق الأذى بالمدنيين والأشياء المدنية، ويشكّل انتهاكاً لواجب اتخاذ جميع الاحتياطات الممكنة من آثار الهجمات</w:t>
      </w:r>
      <w:r w:rsidRPr="009D7B92">
        <w:rPr>
          <w:rFonts w:ascii="Traditional Arabic" w:hAnsi="Traditional Arabic" w:cs="Traditional Arabic"/>
          <w:sz w:val="30"/>
          <w:szCs w:val="30"/>
        </w:rPr>
        <w:t>.</w:t>
      </w:r>
    </w:p>
    <w:p w14:paraId="48C1F4C6" w14:textId="2A3F1BA5"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النسبة الى القضايا التي تم التحقيق فيها في الحديدة، لدى فريق الخبراء أسباب معقولة للاعتقاد بأن الحوثيين كانوا مسؤولين عن الهجمات التي تستخدم أسلحة نارية غير مباشرة واسعة النطاق وعشوائية والتي أدت إلى هجمات عشوائية تنتهك مبدأ التمييز. وقد يؤدي شن هجوم عشوائي أدى إلى مقتل أو إصابة مدنيين إلى مسؤولية جنائية عن جريمة الحرب </w:t>
      </w:r>
      <w:r w:rsidR="008622F4">
        <w:rPr>
          <w:rStyle w:val="FootnoteReference"/>
          <w:rFonts w:cs="Traditional Arabic"/>
          <w:szCs w:val="30"/>
          <w:rtl/>
        </w:rPr>
        <w:footnoteReference w:id="848"/>
      </w:r>
      <w:r w:rsidRPr="009D7B92">
        <w:rPr>
          <w:rFonts w:ascii="Traditional Arabic" w:hAnsi="Traditional Arabic" w:cs="Traditional Arabic"/>
          <w:sz w:val="30"/>
          <w:szCs w:val="30"/>
          <w:rtl/>
        </w:rPr>
        <w:t>. مع هذا النوع من الهجمات يكون الحوثيون قد انتهكوا واجب اتخاذ جميع الاحتياطات الممكنة لحماية المدنيين. كما أن الحكومة اليمنية والجماعات التابعة لها، لدى وضع أهداف عسكرية داخل المناطق المأهولة بالسكان أو بالقرب منها، انتهكت القانون الدولي الإنساني أيضاَ عبر فشلها في اتخاذ جميع الاحتياطات الممكنة لحماية المدنيين من آثار الهجمات</w:t>
      </w:r>
      <w:r w:rsidRPr="009D7B92">
        <w:rPr>
          <w:rFonts w:ascii="Traditional Arabic" w:hAnsi="Traditional Arabic" w:cs="Traditional Arabic"/>
          <w:sz w:val="30"/>
          <w:szCs w:val="30"/>
        </w:rPr>
        <w:t>.</w:t>
      </w:r>
    </w:p>
    <w:p w14:paraId="53D83D2D" w14:textId="77777777" w:rsidR="009D7B92" w:rsidRPr="008F5C0F" w:rsidRDefault="009D7B92" w:rsidP="00825FCB">
      <w:pPr>
        <w:pStyle w:val="Footer"/>
        <w:tabs>
          <w:tab w:val="left" w:pos="720"/>
        </w:tabs>
        <w:bidi/>
        <w:spacing w:after="240"/>
        <w:ind w:left="1089" w:right="1089" w:hanging="810"/>
        <w:jc w:val="both"/>
        <w:rPr>
          <w:rFonts w:ascii="Traditional Arabic" w:hAnsi="Traditional Arabic" w:cs="Traditional Arabic"/>
          <w:b/>
          <w:bCs/>
          <w:sz w:val="30"/>
          <w:szCs w:val="30"/>
          <w:rtl/>
        </w:rPr>
      </w:pPr>
      <w:r w:rsidRPr="008F5C0F">
        <w:rPr>
          <w:rFonts w:ascii="Traditional Arabic" w:hAnsi="Traditional Arabic" w:cs="Traditional Arabic"/>
          <w:b/>
          <w:bCs/>
          <w:sz w:val="30"/>
          <w:szCs w:val="30"/>
        </w:rPr>
        <w:t xml:space="preserve">  </w:t>
      </w:r>
      <w:r w:rsidRPr="008F5C0F">
        <w:rPr>
          <w:rFonts w:ascii="Traditional Arabic" w:hAnsi="Traditional Arabic" w:cs="Traditional Arabic"/>
          <w:b/>
          <w:bCs/>
          <w:sz w:val="30"/>
          <w:szCs w:val="30"/>
          <w:rtl/>
        </w:rPr>
        <w:t>جـ) القصف من جانب القوات المسلحة اليمنية والجماعات المسلحة المدعومة من الإمارات العربية المتحدة</w:t>
      </w:r>
    </w:p>
    <w:p w14:paraId="29AFBABF" w14:textId="77777777" w:rsidR="009D7B92" w:rsidRPr="008F5C0F"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tl/>
        </w:rPr>
        <w:t>29</w:t>
      </w:r>
      <w:r w:rsidRPr="008F5C0F">
        <w:rPr>
          <w:rFonts w:ascii="Traditional Arabic" w:hAnsi="Traditional Arabic" w:cs="Traditional Arabic"/>
          <w:i/>
          <w:iCs/>
          <w:sz w:val="30"/>
          <w:szCs w:val="30"/>
        </w:rPr>
        <w:t xml:space="preserve">  </w:t>
      </w:r>
      <w:r w:rsidRPr="008F5C0F">
        <w:rPr>
          <w:rFonts w:ascii="Traditional Arabic" w:hAnsi="Traditional Arabic" w:cs="Traditional Arabic"/>
          <w:i/>
          <w:iCs/>
          <w:sz w:val="30"/>
          <w:szCs w:val="30"/>
          <w:rtl/>
        </w:rPr>
        <w:t>تموز/ يوليو 2018 - قرية محوى الخليف، مديرية التحيتا</w:t>
      </w:r>
    </w:p>
    <w:p w14:paraId="559BEB3B" w14:textId="665CE5A0"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29 يوليو / تموز، في حوالي الساعة العاشرة والنصف صباحًا، سقطت قذيفة هاون بالقرب من منزل في قرية محوى الخليف الصغيرة، في مديرية </w:t>
      </w:r>
      <w:r w:rsidRPr="009D7B92">
        <w:rPr>
          <w:rFonts w:ascii="Traditional Arabic" w:hAnsi="Traditional Arabic" w:cs="Traditional Arabic"/>
          <w:sz w:val="30"/>
          <w:szCs w:val="30"/>
          <w:rtl/>
        </w:rPr>
        <w:lastRenderedPageBreak/>
        <w:t xml:space="preserve">التحيتا </w:t>
      </w:r>
      <w:r w:rsidR="008622F4">
        <w:rPr>
          <w:rStyle w:val="FootnoteReference"/>
          <w:rFonts w:cs="Traditional Arabic"/>
          <w:szCs w:val="30"/>
          <w:rtl/>
        </w:rPr>
        <w:footnoteReference w:id="849"/>
      </w:r>
      <w:r w:rsidRPr="009D7B92">
        <w:rPr>
          <w:rFonts w:ascii="Traditional Arabic" w:hAnsi="Traditional Arabic" w:cs="Traditional Arabic"/>
          <w:sz w:val="30"/>
          <w:szCs w:val="30"/>
          <w:rtl/>
        </w:rPr>
        <w:t>. وأدّت الشظايا الى مقتل رجل وإصابة خمس فتيات كنّ يلعبن خارج المنزل. وذكر شهود عيان أن قذيفة هاون أتت من الغرب، من ناحية محافظة التحيتا التي تسيطر عليها الحكومة. بينما لم يكن من هدف واضح لهذا الهجوم، ذكر الشهود أن القرية كانت تحت سيطرة الحوثيين وأنهم كانوا يقودون الدراجات النارية في جميع أنحاء القرية</w:t>
      </w:r>
      <w:r w:rsidRPr="009D7B92">
        <w:rPr>
          <w:rFonts w:ascii="Traditional Arabic" w:hAnsi="Traditional Arabic" w:cs="Traditional Arabic"/>
          <w:sz w:val="30"/>
          <w:szCs w:val="30"/>
        </w:rPr>
        <w:t>.</w:t>
      </w:r>
    </w:p>
    <w:p w14:paraId="599C18F7" w14:textId="7C8CEB5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لم يكن القتال دائراً وقت الهجوم، ولم يستطع فريق الخبراء تحديد هدف واضح مقصود لهذا الهجوم. وحتى لو كان من هدف عسكري في المنطقة، من البديهي أن إطلاق أسلحة نارية غير مباشرة واسعة النطاق على منطقة مأهولة بالسكان المدنيين من شأنه أن يضرّ المدنيين. ويظهر من قرار استخدام مثل هذا السلاح غير الدقيق في مكان يسكنه مدنيون فشل في مراعاة أرواح المدنيين وممتلكاتهم في المنطقة</w:t>
      </w:r>
      <w:r w:rsidRPr="009D7B92">
        <w:rPr>
          <w:rFonts w:ascii="Traditional Arabic" w:hAnsi="Traditional Arabic" w:cs="Traditional Arabic"/>
          <w:sz w:val="30"/>
          <w:szCs w:val="30"/>
        </w:rPr>
        <w:t>.</w:t>
      </w:r>
    </w:p>
    <w:p w14:paraId="6382FD26" w14:textId="77777777"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الدريهمي</w:t>
      </w:r>
      <w:r w:rsidRPr="009D7B92">
        <w:rPr>
          <w:rFonts w:ascii="Traditional Arabic" w:hAnsi="Traditional Arabic" w:cs="Traditional Arabic"/>
          <w:sz w:val="30"/>
          <w:szCs w:val="30"/>
        </w:rPr>
        <w:t xml:space="preserve"> </w:t>
      </w:r>
    </w:p>
    <w:p w14:paraId="3336947D" w14:textId="148F7E22"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مديرية الدريهمي، تكثف الهجوم الذي شنته القوات المسلحة اليمنية والجماعات المسلحة التابعة لها والمدعومة من الإمارات العربية المتحدة على المنطقة باتجاه مواقع الحوثيين في الشرق. وذكر شهود أن قدراً كبيراً من القصف أتى من الغرب، حيث تواجدت القوات المسلحة اليمنية والجماعات المسلحة التابعة لها المدعومة من دولة الإمارات العربية المتحدة، في منطقة تسمى النخيلة</w:t>
      </w:r>
      <w:r w:rsidR="008622F4">
        <w:rPr>
          <w:rStyle w:val="FootnoteReference"/>
          <w:rFonts w:cs="Traditional Arabic"/>
          <w:szCs w:val="30"/>
          <w:rtl/>
        </w:rPr>
        <w:footnoteReference w:id="850"/>
      </w:r>
      <w:r w:rsidRPr="009D7B92">
        <w:rPr>
          <w:rFonts w:ascii="Traditional Arabic" w:hAnsi="Traditional Arabic" w:cs="Traditional Arabic"/>
          <w:sz w:val="30"/>
          <w:szCs w:val="30"/>
          <w:rtl/>
        </w:rPr>
        <w:t xml:space="preserve"> ، بينما قصفت الغارات الجوية الشوارع والسيارات. في حوالي الساعة الثانية عشرة والنصف ظهراً، أصابت قذيفة قادمة من الغرب منزلاً في الجانب الشرقي من القرية. كانت عائلة مختبئة في نفس الغرفة لساعات. دخل المقذوف من أحد الجدران وخرج من آخر، تاركًا ثقوبًا في الجدران والركام خلفه وتسبّب في انهيار جزء من السقف. أسفر الهجوم عن إصابة صاحب المنزل ووالدته وزوجته وأبنائه الثلاثة، بما في ذلك طفل عمره عشرة أيام وطفل عمره تسعة أشهر. لم تتمكن الأسرة من الفرار في يوم الهجوم بسبب استمرار القتال. لا يزال جميع أفراد الأسرة النازحين حالياً يعانون من إصاباتهم، بينهم طفل يعاني من مشاكل في التنفس، ولا يزال جميع البالغين يعانون من مشاكل صحية بسبب عدم القدرة على دفع تكاليف الرعاية الطبية المطلوبة</w:t>
      </w:r>
      <w:r w:rsidRPr="009D7B92">
        <w:rPr>
          <w:rFonts w:ascii="Traditional Arabic" w:hAnsi="Traditional Arabic" w:cs="Traditional Arabic"/>
          <w:sz w:val="30"/>
          <w:szCs w:val="30"/>
        </w:rPr>
        <w:t>.</w:t>
      </w:r>
    </w:p>
    <w:p w14:paraId="4FEB58A6" w14:textId="5D176C84"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بناءً على الأدلة المتوفرة، لدى فريق الخبراء أسباب معقولة للاعتقاد بأن القذائف التي أطلقت في هذا الحادث أطلقتها القوات المسلحة اليمنية والجماعات المسلحة التابعة لها والمدعومة من الإمارات العربية المتحدة. كان المنزل في منطقة مأهولة بالسكان المدنيين. ويبدو أن القصف نُفذ خلال قتال عنيف بين القوتين اللتين كانتا تطلقان النار على بعضهما البعض من الجانبين المقابلين للقرية. حسب المعلومات المتوفرة، يبدو أن القذيفة التي أصابت المنزل هي واحدة بين قذائف كثيرة سقطت على القرية في ذلك اليوم. وبالنظر إلى الاتجاه الذي جاءت منه القذيفة وموقع اطراف النزاع، وجد فريق الخبراء أسبابًا معقولة للاعتقاد بأن القذيفة التي ضربت المنزل وتسبّبت في وقوع إصابات أطلقها أفراد </w:t>
      </w:r>
      <w:r w:rsidRPr="009D7B92">
        <w:rPr>
          <w:rFonts w:ascii="Traditional Arabic" w:hAnsi="Traditional Arabic" w:cs="Traditional Arabic"/>
          <w:sz w:val="30"/>
          <w:szCs w:val="30"/>
          <w:rtl/>
        </w:rPr>
        <w:lastRenderedPageBreak/>
        <w:t>يقاتلون لصالح القوات المسلحة اليمنية والجماعات المسلحة المدعومة من الإمارات العربية المتحدة. أظهر استخدام هذه الأسلحة خلال معركة في منطقة مأهولة بالسكان المدنيين فشلًا في مراعاة حياة المدنيين وسلامتهم</w:t>
      </w:r>
      <w:r w:rsidRPr="009D7B92">
        <w:rPr>
          <w:rFonts w:ascii="Traditional Arabic" w:hAnsi="Traditional Arabic" w:cs="Traditional Arabic"/>
          <w:sz w:val="30"/>
          <w:szCs w:val="30"/>
        </w:rPr>
        <w:t>.</w:t>
      </w:r>
    </w:p>
    <w:p w14:paraId="3B0E9100" w14:textId="3599AEC2"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الدريهمي، مديرية الدريهمي</w:t>
      </w:r>
      <w:r w:rsidR="008622F4">
        <w:rPr>
          <w:rStyle w:val="FootnoteReference"/>
          <w:rFonts w:cs="Traditional Arabic"/>
          <w:szCs w:val="30"/>
          <w:rtl/>
        </w:rPr>
        <w:footnoteReference w:id="851"/>
      </w:r>
      <w:r w:rsidRPr="009D7B92">
        <w:rPr>
          <w:rFonts w:ascii="Traditional Arabic" w:hAnsi="Traditional Arabic" w:cs="Traditional Arabic"/>
          <w:sz w:val="30"/>
          <w:szCs w:val="30"/>
        </w:rPr>
        <w:t xml:space="preserve"> </w:t>
      </w:r>
    </w:p>
    <w:p w14:paraId="38DD783B" w14:textId="712EC566"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أحد أيام شهر آب/ أغسطس 2018، حوالي الساعة الثانية عشرة ظهراً، في مديرية الدريهمي، أصابت قذائف الهاون منزلين مدنيين، مما أسفر عن مقتل ستة مدنيين، بينهم ثلاثة ذكور بالغين وثلاثة أطفال (صبيّان وفتاة واحدة) وإصابة ثلاثة مدنيين، رجل وفتاتان. ينتمي جميع الضحايا إلى العائلة نفسها. في وقت وقوع الحادث، كانت القوات الموالية للحكومة تنفذ هجومًا على المدينة من الجانب الغربي. كانت المنازل المتضررة الواقعة في الجانب الجنوبي الغربي من المدينة في وسط تبادل إطلاق النار. ولاحظ شهود وجود قنّاصة حوثيين بالقرب من المنزل. وذكر بعض الشهود أن القذائف جاءت من الغرب حيث تمركزت القوات المسلحة اليمنية والجماعات المسلحة التابعة لها والمدعومة من الإمارات. نزحت العائلات بعد الهجوم، وتم نقل الفتاتين المصابتين إلى مستشفيات خارج المدينة</w:t>
      </w:r>
      <w:r w:rsidRPr="009D7B92">
        <w:rPr>
          <w:rFonts w:ascii="Traditional Arabic" w:hAnsi="Traditional Arabic" w:cs="Traditional Arabic"/>
          <w:sz w:val="30"/>
          <w:szCs w:val="30"/>
        </w:rPr>
        <w:t>.</w:t>
      </w:r>
    </w:p>
    <w:p w14:paraId="235A30FF" w14:textId="254D55EF"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كانت المنازل التي تعرّضت للقصف في منطقة مأهولة بالسكان المدنيين. ويبدو أن القصف قد حدث في سياق القتال بين القوتين اللتين كانتا تطلقان النار على بعضهما البعض من جانبي القرية. أما القذيفة التي أصابت المنزل المدني فهي واحدة بين قذائف كثيرة سقطت على القرية في ذلك اليوم. بالنظر إلى الاتجاه الذي جاءت منه القذيفة وموقع اطراف النزاع، لدى فريق الخبراء أسباب معقولة للاعتقاد بأن القذائف التي أصابت المنازل المدنية وتسببت في وقوع إصابات أطلقها أفراد يقاتلون لصالح القوات المسلحة اليمنية والجماعات المسلّحة الموالية لها والمدعومة من الإمارات العربية المتحدة. يظهر من استخدام هذه الأسلحة خلال معركة في منطقة مأهولة بالسكان فشلا في مراعاة حياة المدنيين وسلامتهم</w:t>
      </w:r>
      <w:r w:rsidRPr="009D7B92">
        <w:rPr>
          <w:rFonts w:ascii="Traditional Arabic" w:hAnsi="Traditional Arabic" w:cs="Traditional Arabic"/>
          <w:sz w:val="30"/>
          <w:szCs w:val="30"/>
        </w:rPr>
        <w:t>.</w:t>
      </w:r>
    </w:p>
    <w:p w14:paraId="37ECBE43" w14:textId="77777777"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(تم حجب تفاصيل الموقع والتاريخ لأسباب تتعلق بالحماية)، مدينة الحديدة</w:t>
      </w:r>
    </w:p>
    <w:p w14:paraId="104BD846" w14:textId="45CD98E3"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العام 2018، سقطت قذيفة بجانب مدرسة ومسجد في مدينة الحديدة. كانت ثلاث فتيات يمشين في المنطقة، وجميعهن قُتلن على الفور وجُرح رجلين بالغين. لم يكن القتال دائراً في وقت وقوع الحادث، والمنطقة التي وقعت فيها منطقة مدنية مكتظة بالسكان. أصيب اثنان من الذكور البالغين. جاءت القذيفة من الجنوب حيث تمركزت القوات المسلحة اليمنية والجماعات المسلحة التابعة لها والمدعومة من الإمارات. لم يتمكن فريق الخبراء من تحديد أي هدف عسكري واضح في المنطقة. إلا أنّ القذيفة سقطت في منطقة سكنية تضمّ العديد من المنازل والمباني المدنية. إن موقع الهجوم وتوقيته يثيران مخاوف خطيرة بشأن الاحتياطات المتخذة لحماية المدنيين، حيث من البديهي وجود مدنيين في الشوارع وقت وقوع الحادث</w:t>
      </w:r>
      <w:r w:rsidRPr="009D7B92">
        <w:rPr>
          <w:rFonts w:ascii="Traditional Arabic" w:hAnsi="Traditional Arabic" w:cs="Traditional Arabic"/>
          <w:sz w:val="30"/>
          <w:szCs w:val="30"/>
        </w:rPr>
        <w:t>.</w:t>
      </w:r>
    </w:p>
    <w:p w14:paraId="57E8851F" w14:textId="77777777" w:rsidR="009D7B92" w:rsidRPr="008F5C0F"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F5C0F">
        <w:rPr>
          <w:rFonts w:ascii="Traditional Arabic" w:hAnsi="Traditional Arabic" w:cs="Traditional Arabic"/>
          <w:i/>
          <w:iCs/>
          <w:sz w:val="30"/>
          <w:szCs w:val="30"/>
        </w:rPr>
        <w:lastRenderedPageBreak/>
        <w:t xml:space="preserve">               </w:t>
      </w:r>
      <w:r w:rsidRPr="008F5C0F">
        <w:rPr>
          <w:rFonts w:ascii="Traditional Arabic" w:hAnsi="Traditional Arabic" w:cs="Traditional Arabic"/>
          <w:i/>
          <w:iCs/>
          <w:sz w:val="30"/>
          <w:szCs w:val="30"/>
          <w:rtl/>
        </w:rPr>
        <w:t>الانتهاكات</w:t>
      </w:r>
    </w:p>
    <w:p w14:paraId="0E47DE0A" w14:textId="45BF4B1E"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إنّ مبدأ التمييز يحظّر الهجمات العشوائية، أي الهجمات التي تضرب بطبيعتها الأهداف العسكرية والمدنيين أو المواقع المدنية بدون تمييز </w:t>
      </w:r>
      <w:r w:rsidR="008622F4">
        <w:rPr>
          <w:rStyle w:val="FootnoteReference"/>
          <w:rFonts w:cs="Traditional Arabic"/>
          <w:szCs w:val="30"/>
          <w:rtl/>
        </w:rPr>
        <w:footnoteReference w:id="852"/>
      </w:r>
      <w:r w:rsidRPr="009D7B92">
        <w:rPr>
          <w:rFonts w:ascii="Traditional Arabic" w:hAnsi="Traditional Arabic" w:cs="Traditional Arabic"/>
          <w:sz w:val="30"/>
          <w:szCs w:val="30"/>
          <w:rtl/>
        </w:rPr>
        <w:t xml:space="preserve">. الهجمات العشوائية، على سبيل المثال، هي هجمات تستخدم طريقة أو وسيلة قتالية لا يمكن توجيهها نحو هدف عسكري محدد </w:t>
      </w:r>
      <w:r w:rsidR="008622F4">
        <w:rPr>
          <w:rStyle w:val="FootnoteReference"/>
          <w:rFonts w:cs="Traditional Arabic"/>
          <w:szCs w:val="30"/>
          <w:rtl/>
        </w:rPr>
        <w:footnoteReference w:id="853"/>
      </w:r>
      <w:r w:rsidRPr="009D7B92">
        <w:rPr>
          <w:rFonts w:ascii="Traditional Arabic" w:hAnsi="Traditional Arabic" w:cs="Traditional Arabic"/>
          <w:sz w:val="30"/>
          <w:szCs w:val="30"/>
          <w:rtl/>
        </w:rPr>
        <w:t>. من أجل تفعيل مبدأ التمييز، يجب على أطراف النزاع أيضًا اتخاذ احتياطات من أثر الهجمات. وعليه، يجب أن تتجنّب قدر الإمكان وضع الأهداف العسكرية داخل المناطق المكتظة بالسكان أو بالقرب منها</w:t>
      </w:r>
      <w:r w:rsidR="008622F4">
        <w:rPr>
          <w:rFonts w:ascii="Traditional Arabic" w:hAnsi="Traditional Arabic" w:cs="Traditional Arabic" w:hint="cs"/>
          <w:sz w:val="30"/>
          <w:szCs w:val="30"/>
          <w:rtl/>
        </w:rPr>
        <w:t>.</w:t>
      </w:r>
      <w:r w:rsidR="008622F4">
        <w:rPr>
          <w:rStyle w:val="FootnoteReference"/>
          <w:rFonts w:cs="Traditional Arabic"/>
          <w:szCs w:val="30"/>
          <w:rtl/>
        </w:rPr>
        <w:footnoteReference w:id="854"/>
      </w:r>
      <w:r w:rsidRPr="009D7B92">
        <w:rPr>
          <w:rFonts w:ascii="Traditional Arabic" w:hAnsi="Traditional Arabic" w:cs="Traditional Arabic"/>
          <w:sz w:val="30"/>
          <w:szCs w:val="30"/>
        </w:rPr>
        <w:t xml:space="preserve"> .</w:t>
      </w:r>
    </w:p>
    <w:p w14:paraId="761DEF0F" w14:textId="16D3DE77"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حقق فريق الخبراء في ثلاث حالات مذكورة سابقًا وجد فيها أسبابًا معقولة للاعتقاد بأن القوات المسلحة اليمنية والجماعات المسلحة التابعة لها والمدعومة من الإمارات العربية المتحدة قد أطلقت قذائف قتلت وجرحت رجالاً ونساء وأطفالاً مدنيين وألحقت أضراراً بالممتلكات المدنية. وقع حادثا قصف في سياق قتال عنيف ومباشر حيث كانت القوات تنفّذ هجوماً للتقدّم. يثير هذان الحادثان مخاوف نتيجة قيام القوات المسلحة اليمنية والجماعات المسلحة التابعة لها والمدعومة من الإمارات العربية المتحدة باستخدام الأسلحة بطريقة عشوائية في المناطق المكتظة بالسكان للتمكّن من التقدّم فيما تؤمّن الغطاء للقوات. وقع الحادث الثالث عندما لم يكن القتال دائراً. في هذه الحالة، أصاب القذائف منطقة مدنية مكتظة بالسكان كانت هادئة نسبياً وقت الهجوم. بالإضافة إلى استخدام الأسلحة العشوائية في المناطق المدنية، في انتهاك لمبدأ التمييز، تزداد المخاوف بشأن توقيت الهجوم مع التساؤل إذا اتخذت جميع الاحتياطات الممكنة لحماية السكان المدنيين من أثر الهجمات</w:t>
      </w:r>
      <w:r w:rsidRPr="009D7B92">
        <w:rPr>
          <w:rFonts w:ascii="Traditional Arabic" w:hAnsi="Traditional Arabic" w:cs="Traditional Arabic"/>
          <w:sz w:val="30"/>
          <w:szCs w:val="30"/>
        </w:rPr>
        <w:t>.</w:t>
      </w:r>
    </w:p>
    <w:p w14:paraId="756912F3" w14:textId="270890E1"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الحالات المفصّلة أعلاه، وجد فريق الخبراء أسبابًا معقولة للاعتقاد بأن القوات المسلحة اليمنية والجماعات المسلحة التابعة لها والمدعومة من الإمارات العربية المتحدة كانت مسؤولة عن القصف العشوائي، منتهكة بذلك مبدأ التمييز، وفشلت في اتخاذ جميع الاحتياطات الضرورية والممكنة لحماية المدنيين. وقد تؤدي هذه الأعمال إلى مسؤولية جنائية فردية عن جريمة الحرب المتمثلة في شن هجوم عشوائي أسفر عن مقتل أو إصابة مدنيين</w:t>
      </w:r>
      <w:r w:rsidRPr="009D7B92">
        <w:rPr>
          <w:rFonts w:ascii="Traditional Arabic" w:hAnsi="Traditional Arabic" w:cs="Traditional Arabic"/>
          <w:sz w:val="30"/>
          <w:szCs w:val="30"/>
        </w:rPr>
        <w:t xml:space="preserve"> .</w:t>
      </w:r>
      <w:r w:rsidR="008622F4">
        <w:rPr>
          <w:rStyle w:val="FootnoteReference"/>
          <w:rFonts w:cs="Traditional Arabic"/>
          <w:szCs w:val="30"/>
        </w:rPr>
        <w:footnoteReference w:id="855"/>
      </w:r>
    </w:p>
    <w:p w14:paraId="708BA04D" w14:textId="77777777" w:rsidR="00825FCB" w:rsidRDefault="00825FCB" w:rsidP="008F5C0F">
      <w:pPr>
        <w:pStyle w:val="Footer"/>
        <w:tabs>
          <w:tab w:val="left" w:pos="720"/>
        </w:tabs>
        <w:bidi/>
        <w:ind w:left="1089" w:right="1089" w:hanging="360"/>
        <w:jc w:val="both"/>
        <w:rPr>
          <w:rFonts w:ascii="Traditional Arabic" w:hAnsi="Traditional Arabic" w:cs="Traditional Arabic"/>
          <w:b/>
          <w:bCs/>
          <w:sz w:val="30"/>
          <w:szCs w:val="30"/>
        </w:rPr>
      </w:pPr>
    </w:p>
    <w:p w14:paraId="7ECF0480" w14:textId="774015A7" w:rsidR="009D7B92" w:rsidRPr="008F5C0F" w:rsidRDefault="009D7B92" w:rsidP="00825FCB">
      <w:pPr>
        <w:pStyle w:val="Footer"/>
        <w:tabs>
          <w:tab w:val="left" w:pos="720"/>
        </w:tabs>
        <w:bidi/>
        <w:spacing w:after="240"/>
        <w:ind w:left="1089" w:right="1089" w:hanging="360"/>
        <w:jc w:val="both"/>
        <w:rPr>
          <w:rFonts w:ascii="Traditional Arabic" w:hAnsi="Traditional Arabic" w:cs="Traditional Arabic"/>
          <w:b/>
          <w:bCs/>
          <w:sz w:val="30"/>
          <w:szCs w:val="30"/>
          <w:rtl/>
        </w:rPr>
      </w:pPr>
      <w:r w:rsidRPr="008F5C0F">
        <w:rPr>
          <w:rFonts w:ascii="Traditional Arabic" w:hAnsi="Traditional Arabic" w:cs="Traditional Arabic"/>
          <w:b/>
          <w:bCs/>
          <w:sz w:val="30"/>
          <w:szCs w:val="30"/>
          <w:rtl/>
        </w:rPr>
        <w:t>د) القصف من جانب جناة غير محددين، 2 آب/ أغسطس 2018، مديرية الحوك، الحديدة</w:t>
      </w:r>
      <w:r w:rsidRPr="008F5C0F">
        <w:rPr>
          <w:rFonts w:ascii="Traditional Arabic" w:hAnsi="Traditional Arabic" w:cs="Traditional Arabic"/>
          <w:b/>
          <w:bCs/>
          <w:sz w:val="30"/>
          <w:szCs w:val="30"/>
        </w:rPr>
        <w:t>.</w:t>
      </w:r>
    </w:p>
    <w:p w14:paraId="66EC9B6F" w14:textId="53651327"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في حوالي الساعة الرابعة مساءً، سقطت ثلاث قذائف هاون على سوق السمك الرئيسي في الحوك، محافظة الحديدة. بعد ذلك بوقت قصير، انفجرت </w:t>
      </w:r>
      <w:r w:rsidRPr="009D7B92">
        <w:rPr>
          <w:rFonts w:ascii="Traditional Arabic" w:hAnsi="Traditional Arabic" w:cs="Traditional Arabic"/>
          <w:sz w:val="30"/>
          <w:szCs w:val="30"/>
          <w:rtl/>
        </w:rPr>
        <w:lastRenderedPageBreak/>
        <w:t>قذيفتان عند مدخل مستشفى الثورة، وثالثة أصابت سطح غرفة سجلات المستشفى. وأصيبت سيارتا إسعاف في الجولة الثانية من قذائف الهاون. في المجموع، أسفر الهجوم عن مقتل 41 مدنياً على الأقل، بينهم ستة أطفال وأربع نساء، وجرح 111 آخرين، بينهم 19 طفلاً وثلاث نساء</w:t>
      </w:r>
      <w:r w:rsidRPr="009D7B92">
        <w:rPr>
          <w:rFonts w:ascii="Traditional Arabic" w:hAnsi="Traditional Arabic" w:cs="Traditional Arabic"/>
          <w:sz w:val="30"/>
          <w:szCs w:val="30"/>
        </w:rPr>
        <w:t>.</w:t>
      </w:r>
    </w:p>
    <w:p w14:paraId="1E13D1C2" w14:textId="06A955ED" w:rsidR="009D7B92" w:rsidRPr="009D7B92"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لم يستطع فريق الخبراء أن يحدد بشكل قاطع الهدف المقصود للهجوم. إلا أنه تلقى معلومات غير مؤكدة مفادها أن الحوثيين قد أنشأوا موقعًا عسكريًا بالقرب من سوق صيد </w:t>
      </w:r>
      <w:r w:rsidR="00173044">
        <w:rPr>
          <w:rFonts w:ascii="Traditional Arabic" w:hAnsi="Traditional Arabic" w:cs="Traditional Arabic" w:hint="cs"/>
          <w:sz w:val="30"/>
          <w:szCs w:val="30"/>
          <w:rtl/>
        </w:rPr>
        <w:t xml:space="preserve">السمك </w:t>
      </w:r>
      <w:r w:rsidRPr="009D7B92">
        <w:rPr>
          <w:rFonts w:ascii="Traditional Arabic" w:hAnsi="Traditional Arabic" w:cs="Traditional Arabic"/>
          <w:sz w:val="30"/>
          <w:szCs w:val="30"/>
          <w:rtl/>
        </w:rPr>
        <w:t>يحتوي على قطع مدفعية "هاوتزر" موجهة نحو الساحل</w:t>
      </w:r>
      <w:r w:rsidRPr="009D7B92">
        <w:rPr>
          <w:rFonts w:ascii="Traditional Arabic" w:hAnsi="Traditional Arabic" w:cs="Traditional Arabic"/>
          <w:sz w:val="30"/>
          <w:szCs w:val="30"/>
        </w:rPr>
        <w:t>.</w:t>
      </w:r>
    </w:p>
    <w:p w14:paraId="7962D08C" w14:textId="693CFEEF" w:rsidR="009D7B92" w:rsidRPr="009D7B92" w:rsidRDefault="009D7B92" w:rsidP="008F5C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بيّن تحليل الحفر التي خلّفها القصف في الشارع بالقرب من المستشفى أن الأسلحة أطلقت من الجنوب. وبما أن قذائف الهاون التي سقطت في المنطقة القريبة من المستشفى جاءت من الجنوب، ونظرًا لوجود موقع عسكري للحوثيين في المنطقة التي سقطت فيها القذائف، يرى فريق الخبراء أن قذائف الهاون قد جاءت على الأرجح من المطار حيث تمركزت القوات المسلحة اليمنية والجماعات التابعة لها والمدعومة من الإمارات العربية المتحدة</w:t>
      </w:r>
      <w:r w:rsidRPr="009D7B92">
        <w:rPr>
          <w:rFonts w:ascii="Traditional Arabic" w:hAnsi="Traditional Arabic" w:cs="Traditional Arabic"/>
          <w:sz w:val="30"/>
          <w:szCs w:val="30"/>
        </w:rPr>
        <w:t>.</w:t>
      </w:r>
    </w:p>
    <w:p w14:paraId="71229556" w14:textId="3192A817" w:rsidR="009D7B92" w:rsidRPr="00090061" w:rsidRDefault="009D7B92" w:rsidP="001730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090061">
        <w:rPr>
          <w:rFonts w:ascii="Traditional Arabic" w:hAnsi="Traditional Arabic" w:cs="Traditional Arabic"/>
          <w:sz w:val="30"/>
          <w:szCs w:val="30"/>
        </w:rPr>
        <w:tab/>
      </w:r>
      <w:r w:rsidRPr="00090061">
        <w:rPr>
          <w:rFonts w:ascii="Traditional Arabic" w:hAnsi="Traditional Arabic" w:cs="Traditional Arabic"/>
          <w:sz w:val="30"/>
          <w:szCs w:val="30"/>
          <w:rtl/>
        </w:rPr>
        <w:t>يبدو أن السلاح المستخدم هو من نوع الهاون 120 ملم. تمتلك كل من القوات المسلحة اليمنية والجماعات التابعة لها المدعومة من الإمارات العربية المتحدة ومقاتلي الحوثي قذائف من نوع الهاون 120 ملم في ترساناته</w:t>
      </w:r>
      <w:r w:rsidR="00173044">
        <w:rPr>
          <w:rFonts w:ascii="Traditional Arabic" w:hAnsi="Traditional Arabic" w:cs="Traditional Arabic" w:hint="cs"/>
          <w:sz w:val="30"/>
          <w:szCs w:val="30"/>
          <w:rtl/>
        </w:rPr>
        <w:t>ا</w:t>
      </w:r>
      <w:r w:rsidRPr="00090061">
        <w:rPr>
          <w:rFonts w:ascii="Traditional Arabic" w:hAnsi="Traditional Arabic" w:cs="Traditional Arabic"/>
          <w:sz w:val="30"/>
          <w:szCs w:val="30"/>
          <w:rtl/>
        </w:rPr>
        <w:t>. لكن القذائف التي تظهر في الصور المتاحة هي من نوع ذخيرة</w:t>
      </w:r>
      <w:r w:rsidRPr="00090061">
        <w:rPr>
          <w:rFonts w:ascii="Traditional Arabic" w:hAnsi="Traditional Arabic" w:cs="Traditional Arabic"/>
          <w:sz w:val="30"/>
          <w:szCs w:val="30"/>
        </w:rPr>
        <w:t xml:space="preserve"> Rheinmetall Denel Munition  </w:t>
      </w:r>
      <w:r w:rsidR="00802EF5">
        <w:rPr>
          <w:rFonts w:ascii="Traditional Arabic" w:hAnsi="Traditional Arabic" w:cs="Traditional Arabic" w:hint="cs"/>
          <w:sz w:val="30"/>
          <w:szCs w:val="30"/>
          <w:rtl/>
        </w:rPr>
        <w:t xml:space="preserve"> </w:t>
      </w:r>
      <w:r w:rsidRPr="00090061">
        <w:rPr>
          <w:rFonts w:ascii="Traditional Arabic" w:hAnsi="Traditional Arabic" w:cs="Traditional Arabic"/>
          <w:sz w:val="30"/>
          <w:szCs w:val="30"/>
          <w:rtl/>
        </w:rPr>
        <w:t>التي تتوفر بشكل أساسي لدى التحالف. لكن على الأرجح استولى عليها الحوثيون من قوات التحالف أو ابتاعوها من السوق السوداء في اليمن. لم تتم رؤية قذيفة الهاون التي سقطت داخل المستشفى. وتشير تقارير ثانوية إلى أن الحوثيين قد سحبوا المقذوفات من المكان</w:t>
      </w:r>
      <w:r w:rsidRPr="00090061">
        <w:rPr>
          <w:rFonts w:ascii="Traditional Arabic" w:hAnsi="Traditional Arabic" w:cs="Traditional Arabic"/>
          <w:sz w:val="30"/>
          <w:szCs w:val="30"/>
        </w:rPr>
        <w:t>.</w:t>
      </w:r>
      <w:r w:rsidR="00090061">
        <w:rPr>
          <w:rFonts w:ascii="Traditional Arabic" w:hAnsi="Traditional Arabic" w:cs="Traditional Arabic" w:hint="cs"/>
          <w:sz w:val="30"/>
          <w:szCs w:val="30"/>
          <w:rtl/>
        </w:rPr>
        <w:t xml:space="preserve"> </w:t>
      </w:r>
      <w:r w:rsidRPr="00090061">
        <w:rPr>
          <w:rFonts w:ascii="Traditional Arabic" w:hAnsi="Traditional Arabic" w:cs="Traditional Arabic"/>
          <w:sz w:val="30"/>
          <w:szCs w:val="30"/>
          <w:rtl/>
        </w:rPr>
        <w:t>ألقى الحوثيون اللوم على التحالف في هذا الهجوم، معلنين في البداية أنها كانت غارة جوية. والتحالف ألقى اللوم على الحوثيين</w:t>
      </w:r>
      <w:r w:rsidRPr="00090061">
        <w:rPr>
          <w:rFonts w:ascii="Traditional Arabic" w:hAnsi="Traditional Arabic" w:cs="Traditional Arabic"/>
          <w:sz w:val="30"/>
          <w:szCs w:val="30"/>
        </w:rPr>
        <w:t>.</w:t>
      </w:r>
    </w:p>
    <w:p w14:paraId="0D278C87" w14:textId="77777777" w:rsidR="00090061"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استناداً إلى الأدلّة المتاحة، لدى فريق الخبراء أسباب معقولة للاعتقاد بأن استخدام هذه الأسلحة في منطقة مكتظة بالسكان يُعدّ بمثابة هجوم عشوائي ينتهك مبدأ التمييز المنصوص عليه في القانون الإنساني الدولي، بصرف النظر عما إذا كان من هدف عسكري في المنطقة أم لا. ومن المرجح أن يكون كلّ من المستشفى وسوق السمك، بالإضافة إلى العدد الكبير من المدنيين المعروف بوجودهم في تلك المنطقة، قد أصيبوا في الهجوم على المنطقة واستخدام أسلحة من هذا النوع. كما يُفترض بالطرف المسلّح الذي نفّذ هذا الهجوم أن يعرف تماماً قطر التأثير المتوقع من هذا السلاح في شوارع مزدحمة أو في سوق للسمك، وأن العديد من المدنيين سيتعرّضون للقتل أو للإصابة. بالإضافة إلى ذلك، تتمتع المستشفيات بحماية خاصة بموجب القانون الدولي الإنساني ويجب احترامها وحمايتها في جميع الظروف</w:t>
      </w:r>
      <w:r w:rsidRPr="009D7B92">
        <w:rPr>
          <w:rFonts w:ascii="Traditional Arabic" w:hAnsi="Traditional Arabic" w:cs="Traditional Arabic"/>
          <w:sz w:val="30"/>
          <w:szCs w:val="30"/>
        </w:rPr>
        <w:t>.</w:t>
      </w:r>
    </w:p>
    <w:p w14:paraId="08145D25" w14:textId="1364BB93" w:rsidR="009D7B92" w:rsidRPr="00090061" w:rsidRDefault="009D7B92" w:rsidP="00090061">
      <w:pPr>
        <w:pStyle w:val="Footer"/>
        <w:tabs>
          <w:tab w:val="left" w:pos="720"/>
          <w:tab w:val="left" w:pos="900"/>
          <w:tab w:val="right" w:pos="1089"/>
          <w:tab w:val="left" w:pos="1134"/>
          <w:tab w:val="left" w:pos="1701"/>
        </w:tabs>
        <w:bidi/>
        <w:spacing w:after="240"/>
        <w:ind w:left="1089" w:right="1089" w:hanging="360"/>
        <w:jc w:val="both"/>
        <w:rPr>
          <w:rFonts w:ascii="Traditional Arabic" w:hAnsi="Traditional Arabic" w:cs="Traditional Arabic"/>
          <w:sz w:val="30"/>
          <w:szCs w:val="30"/>
          <w:rtl/>
        </w:rPr>
      </w:pPr>
      <w:r w:rsidRPr="00090061">
        <w:rPr>
          <w:rFonts w:ascii="Traditional Arabic" w:hAnsi="Traditional Arabic" w:cs="Traditional Arabic"/>
          <w:b/>
          <w:bCs/>
          <w:sz w:val="30"/>
          <w:szCs w:val="30"/>
          <w:rtl/>
        </w:rPr>
        <w:t>هـ) احتلال المستشفيات والاعتداء عليها</w:t>
      </w:r>
    </w:p>
    <w:p w14:paraId="10461675" w14:textId="293B6A4B"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lastRenderedPageBreak/>
        <w:t>سيطرة الحوثيين على مستشفى 22 مايو وتضرّره</w:t>
      </w:r>
      <w:r w:rsidR="00E96037">
        <w:rPr>
          <w:rStyle w:val="FootnoteReference"/>
          <w:rFonts w:cs="Traditional Arabic"/>
          <w:i/>
          <w:iCs/>
          <w:szCs w:val="30"/>
          <w:rtl/>
        </w:rPr>
        <w:footnoteReference w:id="856"/>
      </w:r>
      <w:r w:rsidRPr="00090061">
        <w:rPr>
          <w:rFonts w:ascii="Traditional Arabic" w:hAnsi="Traditional Arabic" w:cs="Traditional Arabic"/>
          <w:i/>
          <w:iCs/>
          <w:sz w:val="30"/>
          <w:szCs w:val="30"/>
        </w:rPr>
        <w:t xml:space="preserve"> </w:t>
      </w:r>
    </w:p>
    <w:p w14:paraId="6BD83AF4" w14:textId="47A28BBF" w:rsidR="009D7B92" w:rsidRPr="009D7B92" w:rsidRDefault="009D7B92" w:rsidP="00084F5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تم افتتاح مستشفى 22 </w:t>
      </w:r>
      <w:r w:rsidR="00173044">
        <w:rPr>
          <w:rFonts w:ascii="Traditional Arabic" w:hAnsi="Traditional Arabic" w:cs="Traditional Arabic" w:hint="cs"/>
          <w:sz w:val="30"/>
          <w:szCs w:val="30"/>
          <w:rtl/>
        </w:rPr>
        <w:t xml:space="preserve">أيار/ </w:t>
      </w:r>
      <w:r w:rsidRPr="009D7B92">
        <w:rPr>
          <w:rFonts w:ascii="Traditional Arabic" w:hAnsi="Traditional Arabic" w:cs="Traditional Arabic"/>
          <w:sz w:val="30"/>
          <w:szCs w:val="30"/>
          <w:rtl/>
        </w:rPr>
        <w:t>مايو</w:t>
      </w:r>
      <w:r w:rsidR="00E96037">
        <w:rPr>
          <w:rStyle w:val="FootnoteReference"/>
          <w:rFonts w:cs="Traditional Arabic"/>
          <w:szCs w:val="30"/>
          <w:rtl/>
        </w:rPr>
        <w:footnoteReference w:id="857"/>
      </w:r>
      <w:r w:rsidRPr="009D7B92">
        <w:rPr>
          <w:rFonts w:ascii="Traditional Arabic" w:hAnsi="Traditional Arabic" w:cs="Traditional Arabic"/>
          <w:sz w:val="30"/>
          <w:szCs w:val="30"/>
          <w:rtl/>
        </w:rPr>
        <w:t xml:space="preserve"> في الأول من أيلول/ سبتمبر 2010 في مدينة الحديدة. كان يقدّم الخدمات للمحافظات الأخرى، بما فيها حجّة، ريمه، تعز، عدن والمحويت. كان مستشفى خاصاً يضم 110 سريراً وثلاث غرف عمليات، وتسع وحدات للعناية المركّزة، وخمس وحدات للعناية التاجية، وأجهزة التصوير بالرنين المغناطيسي، ودوبلر، وجهاز الموجات فوق الصوتية. وحتى حزيران/ يونيو 2018، كان المستشفى يعمل بشكل طبيعي. خلال سيطرة</w:t>
      </w:r>
      <w:r w:rsidR="00084F50">
        <w:rPr>
          <w:rFonts w:ascii="Traditional Arabic" w:hAnsi="Traditional Arabic" w:cs="Traditional Arabic" w:hint="cs"/>
          <w:sz w:val="30"/>
          <w:szCs w:val="30"/>
          <w:rtl/>
        </w:rPr>
        <w:t xml:space="preserve"> مقاتلي</w:t>
      </w:r>
      <w:r w:rsidRPr="009D7B92">
        <w:rPr>
          <w:rFonts w:ascii="Traditional Arabic" w:hAnsi="Traditional Arabic" w:cs="Traditional Arabic"/>
          <w:sz w:val="30"/>
          <w:szCs w:val="30"/>
          <w:rtl/>
        </w:rPr>
        <w:t xml:space="preserve"> الحوثي- صالح على الحديدة، واصل أعماله</w:t>
      </w:r>
      <w:r w:rsidRPr="009D7B92">
        <w:rPr>
          <w:rFonts w:ascii="Traditional Arabic" w:hAnsi="Traditional Arabic" w:cs="Traditional Arabic"/>
          <w:sz w:val="30"/>
          <w:szCs w:val="30"/>
        </w:rPr>
        <w:t>.</w:t>
      </w:r>
    </w:p>
    <w:p w14:paraId="615A822C" w14:textId="2CBE00BF"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4 تشرين الثاني/ نوفمبر 2018، قام الحوثيون بوضع رجل مسلح في الجزء العلوي من المستشفى. في 5 تشرين الثاني/ نوفمبر، استولى عدد كبير من الحوثيين على المستشفى. وبدأ الحوثيون استخدام المنشأة وإطلاق النار من سطحها. بعد سيطرة الحوثيين، أصبح المستشفى هدفًا للقوات المسلحة اليمنية وللجماعات المسلحة التابعة لها والمدعومة من الإمارات. في 6 تشرين الثاني/ نوفمبر، في حوالي الساعة العاشرة والنصف ليلاً، طلب الحوثيون من الموظفين إخلاء المستشفى. فتمّ نقل عشرة مرضى في العناية المركزة إلى صنعاء. أما المرضى المتبقون، ذهبوا إلى المنزل إذ كان وضعهم أقل خطورة</w:t>
      </w:r>
      <w:r w:rsidRPr="009D7B92">
        <w:rPr>
          <w:rFonts w:ascii="Traditional Arabic" w:hAnsi="Traditional Arabic" w:cs="Traditional Arabic"/>
          <w:sz w:val="30"/>
          <w:szCs w:val="30"/>
        </w:rPr>
        <w:t>.</w:t>
      </w:r>
    </w:p>
    <w:p w14:paraId="6840C299" w14:textId="21CE63BA"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7 تشرين الثاني /نوفمبر 2018، بينما كانت القوات الموالية للحكومة على وشك السيطرة على المنطقة التي يقع فيها المستشفى، أشعل الحوثيون النار في ثلاث غرف عمليات في المستشفى. ثم دخلوا المختبر ودمروا جميع الآلات عبر إطلاق النار عليها. في وقت لاحق، دمّروا الطابق السادس بأكمله ودُمّرت جميع السجلات أيضاً. حرق الغرف وإطلاق النار مسجّل على كاميرات</w:t>
      </w:r>
      <w:r w:rsidRPr="009D7B92">
        <w:rPr>
          <w:rFonts w:ascii="Traditional Arabic" w:hAnsi="Traditional Arabic" w:cs="Traditional Arabic"/>
          <w:sz w:val="30"/>
          <w:szCs w:val="30"/>
        </w:rPr>
        <w:t xml:space="preserve"> CCTV </w:t>
      </w:r>
      <w:r w:rsidRPr="009D7B92">
        <w:rPr>
          <w:rFonts w:ascii="Traditional Arabic" w:hAnsi="Traditional Arabic" w:cs="Traditional Arabic"/>
          <w:sz w:val="30"/>
          <w:szCs w:val="30"/>
          <w:rtl/>
        </w:rPr>
        <w:t xml:space="preserve">أو الدوائر التلفزيونية المغلقة </w:t>
      </w:r>
      <w:r w:rsidR="00E96037">
        <w:rPr>
          <w:rStyle w:val="FootnoteReference"/>
          <w:rFonts w:cs="Traditional Arabic"/>
          <w:szCs w:val="30"/>
          <w:rtl/>
        </w:rPr>
        <w:footnoteReference w:id="858"/>
      </w:r>
      <w:r w:rsidRPr="009D7B92">
        <w:rPr>
          <w:rFonts w:ascii="Traditional Arabic" w:hAnsi="Traditional Arabic" w:cs="Traditional Arabic"/>
          <w:sz w:val="30"/>
          <w:szCs w:val="30"/>
          <w:rtl/>
        </w:rPr>
        <w:t>. وفقًا لمصادر محلية، سيطرت القوات المسلحة اليمنية والجماعات التابعة لها على المستشفى مساء يوم 8 تشرين الثاني/ نوفمبر 2018</w:t>
      </w:r>
      <w:r w:rsidRPr="009D7B92">
        <w:rPr>
          <w:rFonts w:ascii="Traditional Arabic" w:hAnsi="Traditional Arabic" w:cs="Traditional Arabic"/>
          <w:sz w:val="30"/>
          <w:szCs w:val="30"/>
        </w:rPr>
        <w:t>.</w:t>
      </w:r>
    </w:p>
    <w:p w14:paraId="3480FB4E" w14:textId="74514162"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090061">
        <w:rPr>
          <w:rFonts w:ascii="Traditional Arabic" w:hAnsi="Traditional Arabic" w:cs="Traditional Arabic"/>
          <w:i/>
          <w:iCs/>
          <w:sz w:val="30"/>
          <w:szCs w:val="30"/>
          <w:rtl/>
        </w:rPr>
        <w:t>الانتهاكات</w:t>
      </w:r>
    </w:p>
    <w:p w14:paraId="5335AC5D" w14:textId="336A2F82" w:rsid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tl/>
        </w:rPr>
        <w:t xml:space="preserve">وفقًا للقانون الدولي الإنساني، يجب احترام الوحدات الطبية وحمايتها في جميع الأوقات وفي جميع الظروف، ولا ينبغي أن تكون موضع هجوم. تفقد الوحدات الطبية الحماية إذا تم استخدامها لارتكاب أعمال عدائية </w:t>
      </w:r>
      <w:r w:rsidR="00E96037">
        <w:rPr>
          <w:rStyle w:val="FootnoteReference"/>
          <w:rFonts w:cs="Traditional Arabic"/>
          <w:szCs w:val="30"/>
          <w:rtl/>
        </w:rPr>
        <w:footnoteReference w:id="859"/>
      </w:r>
      <w:r w:rsidRPr="009D7B92">
        <w:rPr>
          <w:rFonts w:ascii="Traditional Arabic" w:hAnsi="Traditional Arabic" w:cs="Traditional Arabic"/>
          <w:sz w:val="30"/>
          <w:szCs w:val="30"/>
          <w:rtl/>
        </w:rPr>
        <w:t>. بناءً على الأدلة التي تم جمعها ومراجعتها، وجد فريق الخبراء أسبابًا معقولة للاعتقاد بأن الحوثيين احتلوا مستشفى 22 مايو وألحقوا به أضرارًا بالغة، وأن المستشفى كان لا يزال تحت حماية القانون الدولي الإنساني لدى احتلال الحوثيين له. وهذا يرقى إلى انتهاك واضح للقانون الدولي الإنساني</w:t>
      </w:r>
      <w:r w:rsidRPr="009D7B92">
        <w:rPr>
          <w:rFonts w:ascii="Traditional Arabic" w:hAnsi="Traditional Arabic" w:cs="Traditional Arabic"/>
          <w:sz w:val="30"/>
          <w:szCs w:val="30"/>
        </w:rPr>
        <w:t xml:space="preserve">. </w:t>
      </w:r>
    </w:p>
    <w:p w14:paraId="35436EE7" w14:textId="6A6902FB" w:rsidR="009D7B92" w:rsidRPr="00090061"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090061">
        <w:rPr>
          <w:rFonts w:ascii="Traditional Arabic" w:hAnsi="Traditional Arabic" w:cs="Traditional Arabic"/>
          <w:b/>
          <w:bCs/>
          <w:sz w:val="30"/>
          <w:szCs w:val="30"/>
          <w:rtl/>
        </w:rPr>
        <w:t>و) الاعتداء على الممتلكات الثقافية والتراث</w:t>
      </w:r>
    </w:p>
    <w:p w14:paraId="77026ECE" w14:textId="5DB5D69C" w:rsidR="009D7B92" w:rsidRPr="009D7B92" w:rsidRDefault="00625610"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lastRenderedPageBreak/>
        <w:t>ا</w:t>
      </w:r>
      <w:r w:rsidR="009D7B92" w:rsidRPr="009D7B92">
        <w:rPr>
          <w:rFonts w:ascii="Traditional Arabic" w:hAnsi="Traditional Arabic" w:cs="Traditional Arabic"/>
          <w:sz w:val="30"/>
          <w:szCs w:val="30"/>
          <w:rtl/>
        </w:rPr>
        <w:t>لحديدة موطن لأماكن وأشياء مهمة لها قيمة ثقافية لليمن وللعالم. على وجه الخصوص، مدينة زبيد القديمة، عاصمة اليمن بين القرن الثالث عشر والقرن الخامس عشر، التي لعبت دورًا مهمًا في العالم العربي والإسلامي لعدة قرون بسبب جامعتها الإسلامية. أُدرجت زبيد، أحد مواقع التراث العالمي لليونسكو، على قائمة اليونسكو للتراث العالمي المعرّض للخطر في عام 2000 .</w:t>
      </w:r>
      <w:r w:rsidR="00E96037">
        <w:rPr>
          <w:rStyle w:val="FootnoteReference"/>
          <w:rFonts w:cs="Traditional Arabic"/>
          <w:szCs w:val="30"/>
          <w:rtl/>
        </w:rPr>
        <w:footnoteReference w:id="860"/>
      </w:r>
      <w:r w:rsidR="009D7B92" w:rsidRPr="009D7B92">
        <w:rPr>
          <w:rFonts w:ascii="Traditional Arabic" w:hAnsi="Traditional Arabic" w:cs="Traditional Arabic"/>
          <w:sz w:val="30"/>
          <w:szCs w:val="30"/>
          <w:rtl/>
        </w:rPr>
        <w:t xml:space="preserve"> وفقًا لليونسكو، إحدى المشاكل الأساسية الناشئة هي أن ارتفاع الأسعار ونقص مواد البناء التقليدية قد أدى إلى استخدام مواد بناء غير مناسبة في زبيد. وتحتاج غالبية المباني التقليدية في المدينة القديمة في زبيد إلى تدخلات عاجلة للصيانة والترميم وإعادة التأهيل</w:t>
      </w:r>
      <w:r w:rsidR="00E96037">
        <w:rPr>
          <w:rStyle w:val="FootnoteReference"/>
          <w:rFonts w:cs="Traditional Arabic"/>
          <w:szCs w:val="30"/>
          <w:rtl/>
        </w:rPr>
        <w:footnoteReference w:id="861"/>
      </w:r>
      <w:r w:rsidR="009D7B92" w:rsidRPr="009D7B92">
        <w:rPr>
          <w:rFonts w:ascii="Traditional Arabic" w:hAnsi="Traditional Arabic" w:cs="Traditional Arabic"/>
          <w:sz w:val="30"/>
          <w:szCs w:val="30"/>
          <w:rtl/>
        </w:rPr>
        <w:t xml:space="preserve"> ، وقد تفاقم الوضع بسبب النزاع. راقب فريق الخبراء وضع زبيد أثناء النزاع. على الرغم من بعض المعلومات الأولية حول الأضرار التي لحقت بالمباني داخل المدينة القديمة في زبيد، لم يظهر دليل قاطع على أن الهجمات على تلك المباني أتت كنتيجة مباشرة للقتال</w:t>
      </w:r>
      <w:r w:rsidR="009D7B92" w:rsidRPr="009D7B92">
        <w:rPr>
          <w:rFonts w:ascii="Traditional Arabic" w:hAnsi="Traditional Arabic" w:cs="Traditional Arabic"/>
          <w:sz w:val="30"/>
          <w:szCs w:val="30"/>
        </w:rPr>
        <w:t>.</w:t>
      </w:r>
    </w:p>
    <w:p w14:paraId="3361BB57" w14:textId="215E7CC5"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ولّد النزاع ظروفاً لسوء إدارة الممتلكات الثقافية في زبيد. تلقى فريق الخبراء تقارير تفيد بأن مجموعة تزيد عن ألف مخطوطة اختفت من متحف زبيد. لدى صياغة التقرير، لم تكن المخطوطات محفوظة داخل المتحف، مما يثير المخاوف بشأن حمايتها وصيانتها</w:t>
      </w:r>
      <w:r w:rsidRPr="009D7B92">
        <w:rPr>
          <w:rFonts w:ascii="Traditional Arabic" w:hAnsi="Traditional Arabic" w:cs="Traditional Arabic"/>
          <w:sz w:val="30"/>
          <w:szCs w:val="30"/>
        </w:rPr>
        <w:t xml:space="preserve">.  </w:t>
      </w:r>
      <w:r w:rsidR="00A27F7F">
        <w:rPr>
          <w:rStyle w:val="FootnoteReference"/>
          <w:rFonts w:cs="Traditional Arabic"/>
          <w:szCs w:val="30"/>
        </w:rPr>
        <w:footnoteReference w:id="862"/>
      </w:r>
    </w:p>
    <w:p w14:paraId="4C0B533A" w14:textId="132941FA" w:rsidR="009D7B92" w:rsidRPr="009D7B92" w:rsidRDefault="009D7B92" w:rsidP="00CF21FC">
      <w:pPr>
        <w:pStyle w:val="Footer"/>
        <w:tabs>
          <w:tab w:val="left" w:pos="720"/>
        </w:tabs>
        <w:bidi/>
        <w:spacing w:after="240"/>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Pr>
        <w:t xml:space="preserve"> </w:t>
      </w:r>
      <w:r w:rsidRPr="009D7B92">
        <w:rPr>
          <w:rFonts w:ascii="Traditional Arabic" w:hAnsi="Traditional Arabic" w:cs="Traditional Arabic"/>
          <w:sz w:val="30"/>
          <w:szCs w:val="30"/>
          <w:rtl/>
        </w:rPr>
        <w:t>تدمير مسجد الفازة</w:t>
      </w:r>
      <w:r w:rsidRPr="009D7B92">
        <w:rPr>
          <w:rFonts w:ascii="Traditional Arabic" w:hAnsi="Traditional Arabic" w:cs="Traditional Arabic"/>
          <w:sz w:val="30"/>
          <w:szCs w:val="30"/>
        </w:rPr>
        <w:t xml:space="preserve"> </w:t>
      </w:r>
      <w:r w:rsidR="00E96037">
        <w:rPr>
          <w:rStyle w:val="FootnoteReference"/>
          <w:rFonts w:cs="Traditional Arabic"/>
          <w:szCs w:val="30"/>
        </w:rPr>
        <w:footnoteReference w:id="863"/>
      </w:r>
    </w:p>
    <w:p w14:paraId="6984BF3F" w14:textId="14C3B2E5"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وفقًا لليونسكو </w:t>
      </w:r>
      <w:r w:rsidR="00E96037">
        <w:rPr>
          <w:rStyle w:val="FootnoteReference"/>
          <w:rFonts w:cs="Traditional Arabic"/>
          <w:szCs w:val="30"/>
          <w:rtl/>
        </w:rPr>
        <w:footnoteReference w:id="864"/>
      </w:r>
      <w:r w:rsidRPr="009D7B92">
        <w:rPr>
          <w:rFonts w:ascii="Traditional Arabic" w:hAnsi="Traditional Arabic" w:cs="Traditional Arabic"/>
          <w:sz w:val="30"/>
          <w:szCs w:val="30"/>
          <w:rtl/>
        </w:rPr>
        <w:t>، يعود المبنى الأصلي لمسجد الفازة إلى القرن السابع واستمرت باستخدامه المجتمعات المحلية، من خلال الإصلاحات المتعاقبة، حتى يومنا هذا. كان مكرسًا للباحث أحمد الفاز وكان لا يزال موقعًا للحج الصوفي</w:t>
      </w:r>
      <w:r w:rsidRPr="009D7B92">
        <w:rPr>
          <w:rFonts w:ascii="Traditional Arabic" w:hAnsi="Traditional Arabic" w:cs="Traditional Arabic"/>
          <w:sz w:val="30"/>
          <w:szCs w:val="30"/>
        </w:rPr>
        <w:t xml:space="preserve">. </w:t>
      </w:r>
    </w:p>
    <w:p w14:paraId="24A9B24C" w14:textId="21EFDE9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تظهر صور الأقمار الصناعية التي تم التقاطها في 6 أيار/ مايو 2018 بعض الأضرار في الركن الجنوبي الشرقي من المبنى. وتوضّح الصورة التي تم التقاطها في 4 تشرين الثاني/ نوفمبر 2018 أنه بحلول ذلك الوقت كان قد تمّ تدمير المسجد فعلاً بالكامل</w:t>
      </w:r>
      <w:r w:rsidRPr="009D7B92">
        <w:rPr>
          <w:rFonts w:ascii="Traditional Arabic" w:hAnsi="Traditional Arabic" w:cs="Traditional Arabic"/>
          <w:sz w:val="30"/>
          <w:szCs w:val="30"/>
        </w:rPr>
        <w:t>.</w:t>
      </w:r>
    </w:p>
    <w:p w14:paraId="1D29E25B" w14:textId="4E50F339"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منذ الأسبوع الثاني من أيار/ مايو 2018، تحوّلت المنطقة التي يقع فيها المسجد الى ساحة معارك نشطة، مع تحرّك لواء العمالقة والمقاومة التهامية باتجاهه لإزاحة الحوثيين. تلقت هذه القوات الدعم من الإماراتيين </w:t>
      </w:r>
      <w:r w:rsidR="00E96037">
        <w:rPr>
          <w:rStyle w:val="FootnoteReference"/>
          <w:rFonts w:cs="Traditional Arabic"/>
          <w:szCs w:val="30"/>
          <w:rtl/>
        </w:rPr>
        <w:footnoteReference w:id="865"/>
      </w:r>
      <w:r w:rsidRPr="009D7B92">
        <w:rPr>
          <w:rFonts w:ascii="Traditional Arabic" w:hAnsi="Traditional Arabic" w:cs="Traditional Arabic"/>
          <w:sz w:val="30"/>
          <w:szCs w:val="30"/>
          <w:rtl/>
        </w:rPr>
        <w:t xml:space="preserve">. بحلول أواخر أيار/ مايو 2018، كانت القوات المدعومة من الإمارات العربية المتحدة قد سيطرت على المنطقة </w:t>
      </w:r>
      <w:r w:rsidR="00E96037">
        <w:rPr>
          <w:rStyle w:val="FootnoteReference"/>
          <w:rFonts w:cs="Traditional Arabic"/>
          <w:szCs w:val="30"/>
          <w:rtl/>
        </w:rPr>
        <w:footnoteReference w:id="866"/>
      </w:r>
      <w:r w:rsidRPr="009D7B92">
        <w:rPr>
          <w:rFonts w:ascii="Traditional Arabic" w:hAnsi="Traditional Arabic" w:cs="Traditional Arabic"/>
          <w:sz w:val="30"/>
          <w:szCs w:val="30"/>
          <w:rtl/>
        </w:rPr>
        <w:t xml:space="preserve">. بعد بدء الهجوم على مدينة الحديدة (منتصف حزيران/ يونيو)، حاول الحوثيون شن هجوم مضاد في الفازة واستؤنفت معارك كبيرة في </w:t>
      </w:r>
      <w:r w:rsidRPr="009D7B92">
        <w:rPr>
          <w:rFonts w:ascii="Traditional Arabic" w:hAnsi="Traditional Arabic" w:cs="Traditional Arabic"/>
          <w:sz w:val="30"/>
          <w:szCs w:val="30"/>
          <w:rtl/>
        </w:rPr>
        <w:lastRenderedPageBreak/>
        <w:t>المنطقة. على الرغم من حدوث بعض التغيير في الخطوط الأمامية، بقيت المناطق الساحلية تحت سيطرة القوات الموالية للحكومة</w:t>
      </w:r>
      <w:r w:rsidR="003548F7">
        <w:rPr>
          <w:rStyle w:val="FootnoteReference"/>
          <w:rFonts w:cs="Traditional Arabic"/>
          <w:szCs w:val="30"/>
          <w:rtl/>
        </w:rPr>
        <w:footnoteReference w:id="867"/>
      </w:r>
      <w:r w:rsidRPr="009D7B92">
        <w:rPr>
          <w:rFonts w:ascii="Traditional Arabic" w:hAnsi="Traditional Arabic" w:cs="Traditional Arabic"/>
          <w:sz w:val="30"/>
          <w:szCs w:val="30"/>
        </w:rPr>
        <w:t xml:space="preserve"> .</w:t>
      </w:r>
    </w:p>
    <w:p w14:paraId="6ADD813E" w14:textId="7A611959"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وفقًا لمدير الهيئة العامة للآثار والمتاحف، قامت "جماعات سلفية" بتدمير المسجد في 22 تشرين الأول/ أكتوبر 2018.</w:t>
      </w:r>
      <w:r w:rsidR="003548F7">
        <w:rPr>
          <w:rStyle w:val="FootnoteReference"/>
          <w:rFonts w:cs="Traditional Arabic"/>
          <w:szCs w:val="30"/>
          <w:rtl/>
        </w:rPr>
        <w:footnoteReference w:id="868"/>
      </w:r>
      <w:r w:rsidRPr="009D7B92">
        <w:rPr>
          <w:rFonts w:ascii="Traditional Arabic" w:hAnsi="Traditional Arabic" w:cs="Traditional Arabic"/>
          <w:sz w:val="30"/>
          <w:szCs w:val="30"/>
          <w:rtl/>
        </w:rPr>
        <w:t xml:space="preserve">  وأكد فريق الخبراء أن المنطقة كانت تحت سيطرة ألوية العمالقة وقت تدمير المسجد</w:t>
      </w:r>
      <w:r w:rsidR="003548F7">
        <w:rPr>
          <w:rStyle w:val="FootnoteReference"/>
          <w:rFonts w:cs="Traditional Arabic"/>
          <w:szCs w:val="30"/>
          <w:rtl/>
        </w:rPr>
        <w:footnoteReference w:id="869"/>
      </w:r>
      <w:r w:rsidRPr="009D7B92">
        <w:rPr>
          <w:rFonts w:ascii="Traditional Arabic" w:hAnsi="Traditional Arabic" w:cs="Traditional Arabic"/>
          <w:sz w:val="30"/>
          <w:szCs w:val="30"/>
        </w:rPr>
        <w:t xml:space="preserve"> .</w:t>
      </w:r>
    </w:p>
    <w:p w14:paraId="4EB40C9A" w14:textId="72450C78" w:rsidR="009D7B92" w:rsidRPr="009D7B92" w:rsidRDefault="009D7B92" w:rsidP="0077013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على الرغم من أنه لم يتم التحقّق حتى الآن من الظروف الدقيقة لتدمير المسجد والضريح، وجد فريق الخبراء أسبابًا معقولة للاعتقاد بأن لواء العمالقة دمّر الموقع عندما كان يسيطر بالكامل على المنطقة التي يقع فيها المسجد. وتوصلت </w:t>
      </w:r>
      <w:r w:rsidR="00770135">
        <w:rPr>
          <w:rFonts w:ascii="Traditional Arabic" w:hAnsi="Traditional Arabic" w:cs="Traditional Arabic" w:hint="cs"/>
          <w:sz w:val="30"/>
          <w:szCs w:val="30"/>
          <w:rtl/>
        </w:rPr>
        <w:t>ال</w:t>
      </w:r>
      <w:r w:rsidRPr="009D7B92">
        <w:rPr>
          <w:rFonts w:ascii="Traditional Arabic" w:hAnsi="Traditional Arabic" w:cs="Traditional Arabic"/>
          <w:sz w:val="30"/>
          <w:szCs w:val="30"/>
          <w:rtl/>
        </w:rPr>
        <w:t xml:space="preserve">لجنة </w:t>
      </w:r>
      <w:r w:rsidR="00770135" w:rsidRPr="009D7B92">
        <w:rPr>
          <w:rFonts w:ascii="Traditional Arabic" w:hAnsi="Traditional Arabic" w:cs="Traditional Arabic"/>
          <w:sz w:val="30"/>
          <w:szCs w:val="30"/>
          <w:rtl/>
        </w:rPr>
        <w:t xml:space="preserve">الوطنية </w:t>
      </w:r>
      <w:r w:rsidR="00770135">
        <w:rPr>
          <w:rFonts w:ascii="Traditional Arabic" w:hAnsi="Traditional Arabic" w:cs="Traditional Arabic" w:hint="cs"/>
          <w:sz w:val="30"/>
          <w:szCs w:val="30"/>
          <w:rtl/>
        </w:rPr>
        <w:t>ل</w:t>
      </w:r>
      <w:r w:rsidRPr="009D7B92">
        <w:rPr>
          <w:rFonts w:ascii="Traditional Arabic" w:hAnsi="Traditional Arabic" w:cs="Traditional Arabic"/>
          <w:sz w:val="30"/>
          <w:szCs w:val="30"/>
          <w:rtl/>
        </w:rPr>
        <w:t>لتحقيق التي زارت المنطقة وقابلت الشهود إلى النتيجة نفسها. وذكرت عدة مصادر أن "عناصر سلفية في لواء العمالقة" هي التي دمرت المسجد، معتبرةً أن بعض العناصر المتطرفة ترى في المسجد الصوفي والضريح الموجود فيه موقعاً مؤيداً للوثنية. أعرب جميع المصادر من سكان المنطقة الذين تحدثوا إلى فريق الخبراء عن خيبة أملهم والرعب الذي شعروا به جراء تدمير معلم محلي هام كهذا</w:t>
      </w:r>
      <w:r w:rsidRPr="009D7B92">
        <w:rPr>
          <w:rFonts w:ascii="Traditional Arabic" w:hAnsi="Traditional Arabic" w:cs="Traditional Arabic"/>
          <w:sz w:val="30"/>
          <w:szCs w:val="30"/>
        </w:rPr>
        <w:t>.</w:t>
      </w:r>
    </w:p>
    <w:p w14:paraId="6C544B21" w14:textId="1AF3BAB4" w:rsidR="009D7B92" w:rsidRPr="009D7B92" w:rsidRDefault="00090061" w:rsidP="009D7B92">
      <w:pPr>
        <w:pStyle w:val="Footer"/>
        <w:tabs>
          <w:tab w:val="left" w:pos="720"/>
        </w:tabs>
        <w:bidi/>
        <w:ind w:left="1089" w:right="1089"/>
        <w:jc w:val="both"/>
        <w:rPr>
          <w:rFonts w:ascii="Traditional Arabic" w:hAnsi="Traditional Arabic" w:cs="Traditional Arabic"/>
          <w:sz w:val="30"/>
          <w:szCs w:val="30"/>
          <w:rtl/>
        </w:rPr>
      </w:pPr>
      <w:r>
        <w:rPr>
          <w:rFonts w:ascii="Traditional Arabic" w:hAnsi="Traditional Arabic" w:cs="Traditional Arabic"/>
          <w:noProof/>
          <w:sz w:val="30"/>
          <w:szCs w:val="30"/>
          <w:lang w:eastAsia="en-GB"/>
        </w:rPr>
        <w:drawing>
          <wp:inline distT="0" distB="0" distL="0" distR="0" wp14:anchorId="42255062" wp14:editId="795DB4F3">
            <wp:extent cx="4676140" cy="34994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6140" cy="3499485"/>
                    </a:xfrm>
                    <a:prstGeom prst="rect">
                      <a:avLst/>
                    </a:prstGeom>
                    <a:noFill/>
                  </pic:spPr>
                </pic:pic>
              </a:graphicData>
            </a:graphic>
          </wp:inline>
        </w:drawing>
      </w:r>
    </w:p>
    <w:p w14:paraId="596652B9"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45805840"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090061">
        <w:rPr>
          <w:rFonts w:ascii="Traditional Arabic" w:hAnsi="Traditional Arabic" w:cs="Traditional Arabic"/>
          <w:i/>
          <w:iCs/>
          <w:sz w:val="30"/>
          <w:szCs w:val="30"/>
          <w:rtl/>
        </w:rPr>
        <w:t>الانتهاكات</w:t>
      </w:r>
    </w:p>
    <w:p w14:paraId="67C66F4E" w14:textId="04D1D7FE" w:rsidR="009D7B92" w:rsidRDefault="009D7B92" w:rsidP="00173044">
      <w:pPr>
        <w:pStyle w:val="Footer"/>
        <w:numPr>
          <w:ilvl w:val="0"/>
          <w:numId w:val="3"/>
        </w:numPr>
        <w:tabs>
          <w:tab w:val="left" w:pos="720"/>
          <w:tab w:val="left" w:pos="900"/>
          <w:tab w:val="left" w:pos="1134"/>
        </w:tabs>
        <w:bidi/>
        <w:spacing w:after="240"/>
        <w:ind w:left="144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tl/>
        </w:rPr>
        <w:t xml:space="preserve">وجد فريق الخبراء أسبابا معقولة للاعتقاد بأن عناصر من ألوية العمالقة التي كانت تسيطر على المنطقة في الفترة التي تم فيها تدمير المسجد قد دمّروا مسجد الفازة. وفقًا للقانون الدولي الإنساني ، يجب على أطراف </w:t>
      </w:r>
      <w:r w:rsidRPr="009D7B92">
        <w:rPr>
          <w:rFonts w:ascii="Traditional Arabic" w:hAnsi="Traditional Arabic" w:cs="Traditional Arabic"/>
          <w:sz w:val="30"/>
          <w:szCs w:val="30"/>
          <w:rtl/>
        </w:rPr>
        <w:lastRenderedPageBreak/>
        <w:t xml:space="preserve">النزاع احترام الممتلكات الثقافية. وتنص هذه القاعدة أيضًا على أن الممتلكات ذات الأهمية الكبرى للتراث الثقافي لا يمكن أن تكون هدفًا للهجوم ما لم تستلزم الضرورة العسكرية ذلك </w:t>
      </w:r>
      <w:r w:rsidR="003548F7">
        <w:rPr>
          <w:rStyle w:val="FootnoteReference"/>
          <w:rFonts w:cs="Traditional Arabic"/>
          <w:szCs w:val="30"/>
          <w:rtl/>
        </w:rPr>
        <w:footnoteReference w:id="870"/>
      </w:r>
      <w:r w:rsidRPr="009D7B92">
        <w:rPr>
          <w:rFonts w:ascii="Traditional Arabic" w:hAnsi="Traditional Arabic" w:cs="Traditional Arabic"/>
          <w:sz w:val="30"/>
          <w:szCs w:val="30"/>
          <w:rtl/>
        </w:rPr>
        <w:t>. في هذه الحالة، بدلاً من حماية المسجد، قامت ألوية العمالقة بتدميره بغياب أي ضرورة عسكرية واضحة. يرقى هذا الفعل الى انتهاك للقانون الإنساني الدولي. كما أنه ينتهك اتفاقية لاهاي لعام 1954 بشأن الملكية الثقافية، واليمن طرف فيها، والتي تحمي بشكل خاص الملكية المنقولة أو غير المنقولة ذات الأهمية الكبرى للتراث الثقافي للشعوب، في حال نشوب نزاعات مسلحة، بما فيها النزاعات غير الدولية</w:t>
      </w:r>
      <w:r w:rsidRPr="009D7B92">
        <w:rPr>
          <w:rFonts w:ascii="Traditional Arabic" w:hAnsi="Traditional Arabic" w:cs="Traditional Arabic"/>
          <w:sz w:val="30"/>
          <w:szCs w:val="30"/>
        </w:rPr>
        <w:t>.</w:t>
      </w:r>
      <w:r w:rsidR="003548F7">
        <w:rPr>
          <w:rStyle w:val="FootnoteReference"/>
          <w:rFonts w:cs="Traditional Arabic"/>
          <w:szCs w:val="30"/>
        </w:rPr>
        <w:footnoteReference w:id="871"/>
      </w:r>
      <w:r w:rsidR="00A27F7F" w:rsidRPr="00A27F7F">
        <w:rPr>
          <w:rFonts w:ascii="Traditional Arabic" w:hAnsi="Traditional Arabic" w:cs="Traditional Arabic"/>
          <w:sz w:val="30"/>
          <w:szCs w:val="30"/>
          <w:rtl/>
        </w:rPr>
        <w:t>قد يؤدي توجيه الهجمات المتعمدة ضد المباني المخصصة للدين أو التعليم أو الفن أو العلم أو الأغراض الخيرية أو المعالم التاريخية إلى المسؤولية الجنائية الفردية عن جرائم الحرب</w:t>
      </w:r>
      <w:r w:rsidR="00A27F7F">
        <w:rPr>
          <w:rFonts w:ascii="Traditional Arabic" w:hAnsi="Traditional Arabic" w:cs="Traditional Arabic"/>
          <w:sz w:val="30"/>
          <w:szCs w:val="30"/>
        </w:rPr>
        <w:t>.</w:t>
      </w:r>
      <w:r w:rsidR="00A27F7F">
        <w:rPr>
          <w:rStyle w:val="FootnoteReference"/>
          <w:rFonts w:cs="Traditional Arabic"/>
          <w:szCs w:val="30"/>
        </w:rPr>
        <w:footnoteReference w:id="872"/>
      </w:r>
    </w:p>
    <w:p w14:paraId="0157CD38" w14:textId="4660274E" w:rsidR="000D3F75" w:rsidRDefault="000D3F75" w:rsidP="000D3F75">
      <w:pPr>
        <w:pStyle w:val="Footer"/>
        <w:tabs>
          <w:tab w:val="left" w:pos="720"/>
          <w:tab w:val="left" w:pos="900"/>
          <w:tab w:val="left" w:pos="1134"/>
        </w:tabs>
        <w:bidi/>
        <w:spacing w:after="240"/>
        <w:ind w:left="1449" w:right="1089"/>
        <w:jc w:val="both"/>
        <w:rPr>
          <w:rFonts w:ascii="Traditional Arabic" w:hAnsi="Traditional Arabic" w:cs="Traditional Arabic"/>
          <w:sz w:val="30"/>
          <w:szCs w:val="30"/>
          <w:rtl/>
        </w:rPr>
      </w:pPr>
    </w:p>
    <w:p w14:paraId="71D0C5A8" w14:textId="77777777" w:rsidR="000D3F75" w:rsidRDefault="000D3F75" w:rsidP="000D3F75">
      <w:pPr>
        <w:pStyle w:val="Footer"/>
        <w:tabs>
          <w:tab w:val="left" w:pos="720"/>
          <w:tab w:val="left" w:pos="900"/>
          <w:tab w:val="left" w:pos="1134"/>
        </w:tabs>
        <w:bidi/>
        <w:spacing w:after="240"/>
        <w:ind w:left="1449" w:right="1089"/>
        <w:jc w:val="both"/>
        <w:rPr>
          <w:rFonts w:ascii="Traditional Arabic" w:hAnsi="Traditional Arabic" w:cs="Traditional Arabic"/>
          <w:sz w:val="30"/>
          <w:szCs w:val="30"/>
        </w:rPr>
      </w:pPr>
    </w:p>
    <w:p w14:paraId="68305FDB" w14:textId="4826BDD6" w:rsidR="009D7B92" w:rsidRPr="00090061" w:rsidRDefault="009D7B92" w:rsidP="003548F7">
      <w:pPr>
        <w:pStyle w:val="Footer"/>
        <w:tabs>
          <w:tab w:val="left" w:pos="720"/>
        </w:tabs>
        <w:bidi/>
        <w:ind w:left="1089" w:right="1089" w:hanging="630"/>
        <w:jc w:val="both"/>
        <w:rPr>
          <w:rFonts w:ascii="Traditional Arabic" w:hAnsi="Traditional Arabic" w:cs="Traditional Arabic"/>
          <w:b/>
          <w:bCs/>
          <w:sz w:val="30"/>
          <w:szCs w:val="30"/>
          <w:rtl/>
        </w:rPr>
      </w:pPr>
      <w:r w:rsidRPr="00090061">
        <w:rPr>
          <w:rFonts w:ascii="Traditional Arabic" w:hAnsi="Traditional Arabic" w:cs="Traditional Arabic"/>
          <w:b/>
          <w:bCs/>
          <w:sz w:val="30"/>
          <w:szCs w:val="30"/>
          <w:rtl/>
        </w:rPr>
        <w:t>ز) الألغام الأرضية</w:t>
      </w:r>
    </w:p>
    <w:p w14:paraId="22DA41E2" w14:textId="0636AFFA" w:rsidR="009D7B92" w:rsidRPr="00625610" w:rsidRDefault="009D7B92" w:rsidP="00625610">
      <w:pPr>
        <w:pStyle w:val="Footer"/>
        <w:tabs>
          <w:tab w:val="left" w:pos="720"/>
        </w:tabs>
        <w:bidi/>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w:t>
      </w:r>
      <w:r w:rsidRPr="00625610">
        <w:rPr>
          <w:rFonts w:ascii="Traditional Arabic" w:hAnsi="Traditional Arabic" w:cs="Traditional Arabic"/>
          <w:i/>
          <w:iCs/>
          <w:sz w:val="30"/>
          <w:szCs w:val="30"/>
          <w:rtl/>
        </w:rPr>
        <w:t>زرع الحوثيون الألغام في كل مكان وبشكل عشوائي وليس ما يشير إلى مكانها ونناشد الأمم المتحدة أن توقف هذا النزاع وأن تزيل هذه الألغام حتى نتمكن من العيش بأمان والحؤول دون معاناة عائلات أخرى مثلما عانت عائلتنا نتيجة فقدان ابننا</w:t>
      </w:r>
      <w:r w:rsidRPr="00625610">
        <w:rPr>
          <w:rFonts w:ascii="Traditional Arabic" w:hAnsi="Traditional Arabic" w:cs="Traditional Arabic"/>
          <w:i/>
          <w:iCs/>
          <w:sz w:val="30"/>
          <w:szCs w:val="30"/>
        </w:rPr>
        <w:t>.</w:t>
      </w:r>
      <w:r w:rsidR="00625610">
        <w:rPr>
          <w:rFonts w:ascii="Traditional Arabic" w:hAnsi="Traditional Arabic" w:cs="Traditional Arabic" w:hint="cs"/>
          <w:i/>
          <w:iCs/>
          <w:sz w:val="30"/>
          <w:szCs w:val="30"/>
          <w:rtl/>
        </w:rPr>
        <w:t>"</w:t>
      </w:r>
    </w:p>
    <w:p w14:paraId="2A1E2F1A"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والد أحد ضحايا الألغام الأرضية، الحديدة</w:t>
      </w:r>
    </w:p>
    <w:p w14:paraId="6301D488" w14:textId="774B2BC8" w:rsidR="009D7B92" w:rsidRPr="009D7B92" w:rsidRDefault="00090061" w:rsidP="009D7B92">
      <w:pPr>
        <w:pStyle w:val="Footer"/>
        <w:tabs>
          <w:tab w:val="left" w:pos="720"/>
        </w:tabs>
        <w:bidi/>
        <w:ind w:left="1089" w:right="1089"/>
        <w:jc w:val="both"/>
        <w:rPr>
          <w:rFonts w:ascii="Traditional Arabic" w:hAnsi="Traditional Arabic" w:cs="Traditional Arabic"/>
          <w:sz w:val="30"/>
          <w:szCs w:val="30"/>
        </w:rPr>
      </w:pPr>
      <w:r>
        <w:rPr>
          <w:rFonts w:ascii="Traditional Arabic" w:hAnsi="Traditional Arabic" w:cs="Traditional Arabic"/>
          <w:noProof/>
          <w:sz w:val="30"/>
          <w:szCs w:val="30"/>
          <w:lang w:eastAsia="en-GB"/>
        </w:rPr>
        <w:lastRenderedPageBreak/>
        <w:drawing>
          <wp:inline distT="0" distB="0" distL="0" distR="0" wp14:anchorId="1D6EAFEB" wp14:editId="7C5F83AB">
            <wp:extent cx="4669790" cy="66268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69790" cy="6626860"/>
                    </a:xfrm>
                    <a:prstGeom prst="rect">
                      <a:avLst/>
                    </a:prstGeom>
                    <a:noFill/>
                  </pic:spPr>
                </pic:pic>
              </a:graphicData>
            </a:graphic>
          </wp:inline>
        </w:drawing>
      </w:r>
    </w:p>
    <w:p w14:paraId="5843484F"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2839F5E9" w14:textId="49E6EC2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أدى استخدام الحوثيين للألغام الأرضية على طول الساحل الغربي لليمن منذ منتصف عام 2017 إلى مقتل وجرح المئات من المدنيين ومنع مجموعات الإغاثة من الوصول إلى المجتمعات الضعيفة. فقد زرع الحوثيون الألغام الأرضية في معظم مديريات الحديدة. وسجّلت مديريتا الدريهمي والتحيتا أكبر عدد من الوفيات المبلغ عنها نتيجة الألغام الأرضية في عام 2018. ونظر فريق الخبراء في 23 حادثًا تسبّب في مقتل سبعة رجال مدنيين وسبعة أطفال وإصابة </w:t>
      </w:r>
      <w:r w:rsidRPr="009D7B92">
        <w:rPr>
          <w:rFonts w:ascii="Traditional Arabic" w:hAnsi="Traditional Arabic" w:cs="Traditional Arabic"/>
          <w:sz w:val="30"/>
          <w:szCs w:val="30"/>
          <w:rtl/>
        </w:rPr>
        <w:lastRenderedPageBreak/>
        <w:t>15 بالغًا من الذكور، وثلاث إناث بالغات و18 طفلاً . في ما يلي الحوادث التي حقق فيها فريق الخبراء</w:t>
      </w:r>
      <w:r w:rsidRPr="009D7B92">
        <w:rPr>
          <w:rFonts w:ascii="Traditional Arabic" w:hAnsi="Traditional Arabic" w:cs="Traditional Arabic"/>
          <w:sz w:val="30"/>
          <w:szCs w:val="30"/>
        </w:rPr>
        <w:t>:</w:t>
      </w:r>
      <w:r w:rsidR="003548F7">
        <w:rPr>
          <w:rStyle w:val="FootnoteReference"/>
          <w:rFonts w:cs="Traditional Arabic"/>
          <w:szCs w:val="30"/>
        </w:rPr>
        <w:footnoteReference w:id="873"/>
      </w:r>
    </w:p>
    <w:p w14:paraId="3CE5985E"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الأول من آب/ أغسطس 2018، منطقة السويق، مديرية التحيتا</w:t>
      </w:r>
    </w:p>
    <w:p w14:paraId="4F1315C7" w14:textId="69CF18BB"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في الأول من آب/ أغسطس 2018، في منطقة السويق، في مديرية التحيتا بمحافظة الحديدة، أسفر انفجار لغم أرضي مضاد للمركبات عن مقتل صبي يبلغ من العمر 14 عامًا وإصابة صبي يبلغ من العمر 17 عامًا كانوا يسافرون في حافلة. كانوا قد فرّوا مع أسرهم من التحيتا إلى المنصورية للاحتماء من القتال. انفجر اللغم الأرضي بعد وقت قصير من مرور الحافلة عبر نقطة تفتيش للحوثيين عندما كانت الحافلة لا تزال على الطريق الرئيسي </w:t>
      </w:r>
      <w:r w:rsidR="000E4A65">
        <w:rPr>
          <w:rStyle w:val="FootnoteReference"/>
          <w:rFonts w:cs="Traditional Arabic"/>
          <w:szCs w:val="30"/>
          <w:rtl/>
        </w:rPr>
        <w:footnoteReference w:id="874"/>
      </w:r>
      <w:r w:rsidRPr="009D7B92">
        <w:rPr>
          <w:rFonts w:ascii="Traditional Arabic" w:hAnsi="Traditional Arabic" w:cs="Traditional Arabic"/>
          <w:sz w:val="30"/>
          <w:szCs w:val="30"/>
          <w:rtl/>
        </w:rPr>
        <w:t>. بعد انفجار اللغم الأرضي، مرّ أحد الحوثيين بدون مساعدة الضحايا. تم بتر ساق الفتى المصاب</w:t>
      </w:r>
      <w:r w:rsidRPr="009D7B92">
        <w:rPr>
          <w:rFonts w:ascii="Traditional Arabic" w:hAnsi="Traditional Arabic" w:cs="Traditional Arabic"/>
          <w:sz w:val="30"/>
          <w:szCs w:val="30"/>
        </w:rPr>
        <w:t>.</w:t>
      </w:r>
    </w:p>
    <w:p w14:paraId="2A513817" w14:textId="47C94CF4"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مديرية الحالي، (تم حجب تفاصيل الموقع والتاريخ لأسباب تتعلق بالحماية)</w:t>
      </w:r>
      <w:r w:rsidRPr="00090061">
        <w:rPr>
          <w:rFonts w:ascii="Traditional Arabic" w:hAnsi="Traditional Arabic" w:cs="Traditional Arabic"/>
          <w:i/>
          <w:iCs/>
          <w:sz w:val="30"/>
          <w:szCs w:val="30"/>
        </w:rPr>
        <w:t xml:space="preserve"> </w:t>
      </w:r>
      <w:r w:rsidR="000E4A65">
        <w:rPr>
          <w:rStyle w:val="FootnoteReference"/>
          <w:rFonts w:cs="Traditional Arabic"/>
          <w:i/>
          <w:iCs/>
          <w:szCs w:val="30"/>
        </w:rPr>
        <w:footnoteReference w:id="875"/>
      </w:r>
      <w:r w:rsidRPr="00090061">
        <w:rPr>
          <w:rFonts w:ascii="Traditional Arabic" w:hAnsi="Traditional Arabic" w:cs="Traditional Arabic"/>
          <w:i/>
          <w:iCs/>
          <w:sz w:val="30"/>
          <w:szCs w:val="30"/>
        </w:rPr>
        <w:t xml:space="preserve"> </w:t>
      </w:r>
    </w:p>
    <w:p w14:paraId="08E18A46" w14:textId="7BCD6072"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أدى انفجار لغم أرضي مضاد للأفراد إلى مقتل شاب يبلغ من العمر 23 عامًا أثناء قيامه بتفتيش منزله ومزرعته الذين أصيبا في وقت سابق بغارة جوية استهدفت أسلحة الحوثيين المخزّنة في المزرعة بعد أن غادرت العائلة المنزل قبل بضعة أشهر بسبب القتال. في يوم الحادث، ذهب الضحية إلى منزله لأخذ بعض الأمتعة له ولزوجته. عند وصوله إلى المنزل، داس على لغم أرضي بالقرب من الباب الأمامي. في حادثة منفصلة، في 4 شباط/ فبراير 2019 ، في مديرية الحالي أيضًا، قُتل ثلاثة أطفال بسبب انفجار لغم أرضي. كان الأطفال الثلاثة يركبون دراجة نارية في طريق عودتهم من البحر إلى منازلهم عندما اصطدموا بلغم أرضي انفجر فيهم</w:t>
      </w:r>
      <w:r w:rsidRPr="009D7B92">
        <w:rPr>
          <w:rFonts w:ascii="Traditional Arabic" w:hAnsi="Traditional Arabic" w:cs="Traditional Arabic"/>
          <w:sz w:val="30"/>
          <w:szCs w:val="30"/>
        </w:rPr>
        <w:t>.</w:t>
      </w:r>
    </w:p>
    <w:p w14:paraId="555A43F6" w14:textId="77777777" w:rsidR="009D7B92" w:rsidRPr="00090061"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090061">
        <w:rPr>
          <w:rFonts w:ascii="Traditional Arabic" w:hAnsi="Traditional Arabic" w:cs="Traditional Arabic"/>
          <w:i/>
          <w:iCs/>
          <w:sz w:val="30"/>
          <w:szCs w:val="30"/>
          <w:rtl/>
        </w:rPr>
        <w:t>الدريهمي، (تم حجب تفاصيل الموقع والتاريخ لأسباب تتعلق بالحماية)</w:t>
      </w:r>
    </w:p>
    <w:p w14:paraId="02EE1A6C" w14:textId="6ADFEBBA" w:rsidR="009D7B92" w:rsidRPr="009D7B92" w:rsidRDefault="009D7B92" w:rsidP="0009006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قُتل طفلان عندما داس أحدهما على لغم أرضي مضاد للأفراد. كان الطفلان عائدين إلى المنزل بعد العمل في الحقل. وفقاً للمصادر المحلية، لا تزال المنطقة ملوّثة بالألغام، وأكثر من أربعة آلاف أسرة   تعيش حالياً تحت تهديد انفجار الألغام الأرضية.</w:t>
      </w:r>
      <w:r w:rsidR="000E4A65">
        <w:rPr>
          <w:rStyle w:val="FootnoteReference"/>
          <w:rFonts w:cs="Traditional Arabic"/>
          <w:szCs w:val="30"/>
          <w:rtl/>
        </w:rPr>
        <w:footnoteReference w:id="876"/>
      </w:r>
      <w:r w:rsidRPr="009D7B92">
        <w:rPr>
          <w:rFonts w:ascii="Traditional Arabic" w:hAnsi="Traditional Arabic" w:cs="Traditional Arabic"/>
          <w:sz w:val="30"/>
          <w:szCs w:val="30"/>
          <w:rtl/>
        </w:rPr>
        <w:t xml:space="preserve"> في حادثة منفصلة، ، (تم حجب تفاصيل الموقع والتاريخ لأسباب تتعلق بالحماية)، أيضاً في الدريهمي، أصيب مدني يبلغ من العمر 19 عامًا بعد أن داست حافلة صغيرة كان يستقلها مع والدته على لغم أرضي</w:t>
      </w:r>
      <w:r w:rsidRPr="009D7B92">
        <w:rPr>
          <w:rFonts w:ascii="Traditional Arabic" w:hAnsi="Traditional Arabic" w:cs="Traditional Arabic"/>
          <w:sz w:val="30"/>
          <w:szCs w:val="30"/>
        </w:rPr>
        <w:t xml:space="preserve">. </w:t>
      </w:r>
      <w:r w:rsidR="000E4A65">
        <w:rPr>
          <w:rStyle w:val="FootnoteReference"/>
          <w:rFonts w:cs="Traditional Arabic"/>
          <w:szCs w:val="30"/>
        </w:rPr>
        <w:footnoteReference w:id="877"/>
      </w:r>
    </w:p>
    <w:p w14:paraId="037863DA" w14:textId="77777777" w:rsidR="009D7B92" w:rsidRPr="009D7B92" w:rsidRDefault="009D7B92" w:rsidP="009D7B92">
      <w:pPr>
        <w:pStyle w:val="Footer"/>
        <w:tabs>
          <w:tab w:val="left" w:pos="720"/>
        </w:tabs>
        <w:bidi/>
        <w:ind w:left="1089" w:right="1089"/>
        <w:jc w:val="both"/>
        <w:rPr>
          <w:rFonts w:ascii="Traditional Arabic" w:hAnsi="Traditional Arabic" w:cs="Traditional Arabic"/>
          <w:sz w:val="30"/>
          <w:szCs w:val="30"/>
          <w:rtl/>
        </w:rPr>
      </w:pPr>
    </w:p>
    <w:p w14:paraId="3C9B41AB" w14:textId="77777777" w:rsidR="009D7B92" w:rsidRPr="008E06D5"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8E06D5">
        <w:rPr>
          <w:rFonts w:ascii="Traditional Arabic" w:hAnsi="Traditional Arabic" w:cs="Traditional Arabic"/>
          <w:i/>
          <w:iCs/>
          <w:sz w:val="30"/>
          <w:szCs w:val="30"/>
          <w:rtl/>
        </w:rPr>
        <w:t>الانتهاكات</w:t>
      </w:r>
    </w:p>
    <w:p w14:paraId="2B3312AE" w14:textId="6C7B85F0"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lastRenderedPageBreak/>
        <w:t>لا يحظر القانون الإنساني الدولي العرفي استخدام الألغام الأرضية، إنما يفرض قيودًا على استخدامها. وعليه، يجب أن يتوخّى أطراف النزاع الحذر الشديد لتقليل الآثار العشوائية للألغام الأرضية</w:t>
      </w:r>
      <w:r w:rsidRPr="009D7B92">
        <w:rPr>
          <w:rFonts w:ascii="Traditional Arabic" w:hAnsi="Traditional Arabic" w:cs="Traditional Arabic"/>
          <w:sz w:val="30"/>
          <w:szCs w:val="30"/>
        </w:rPr>
        <w:t xml:space="preserve"> .</w:t>
      </w:r>
      <w:r w:rsidR="000E4A65">
        <w:rPr>
          <w:rStyle w:val="FootnoteReference"/>
          <w:rFonts w:cs="Traditional Arabic"/>
          <w:szCs w:val="30"/>
        </w:rPr>
        <w:footnoteReference w:id="878"/>
      </w:r>
    </w:p>
    <w:p w14:paraId="61607866" w14:textId="1F936246"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أيار / مايو 2019، أكدت سلطات الأمر الواقع لفريق الخبراء أن الحوثيين استخدموا الألغام المضادة للمركبات، لكنهم أنكروا استخدام الألغام المضادة للأفراد، مشيرين إلى واجباتهم بموجب القانون الإنساني الدولي، بما في ذلك اتفاقية حظر الألغام المضادة للأفراد التي صادق عليها اليمن</w:t>
      </w:r>
      <w:r w:rsidRPr="009D7B92">
        <w:rPr>
          <w:rFonts w:ascii="Traditional Arabic" w:hAnsi="Traditional Arabic" w:cs="Traditional Arabic"/>
          <w:sz w:val="30"/>
          <w:szCs w:val="30"/>
        </w:rPr>
        <w:t>.</w:t>
      </w:r>
    </w:p>
    <w:p w14:paraId="4CF7BD11" w14:textId="6871E864" w:rsidR="009D7B92" w:rsidRPr="009D7B92" w:rsidRDefault="009D7B92" w:rsidP="00C16B9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لدى فريق الخبراء أسباب معقولة للاعتقاد بأن الحوثيين استخدموا الألغام الأرضية المضادة للأفراد والمركبات في الحديدة في انتهاك للقانون الدولي الإنساني. على ضوء الطريقة التي تم بها زرع الألغام في مواقع غير محددة يرتادها المدنيون، مع غياب ا</w:t>
      </w:r>
      <w:r w:rsidR="00C16B9A">
        <w:rPr>
          <w:rFonts w:ascii="Traditional Arabic" w:hAnsi="Traditional Arabic" w:cs="Traditional Arabic"/>
          <w:sz w:val="30"/>
          <w:szCs w:val="30"/>
          <w:rtl/>
        </w:rPr>
        <w:t>لتحذيرات</w:t>
      </w:r>
      <w:r w:rsidRPr="009D7B92">
        <w:rPr>
          <w:rFonts w:ascii="Traditional Arabic" w:hAnsi="Traditional Arabic" w:cs="Traditional Arabic"/>
          <w:sz w:val="30"/>
          <w:szCs w:val="30"/>
          <w:rtl/>
        </w:rPr>
        <w:t>، انتهك الحوثيون واجب الحدّ من الآثار العشوائية للألغام الأرضية بموجب القانون الإنساني الدولي. وعلاوة على ذلك، تحظّر اتفاقية حظر الألغام المضادة للأفراد، واليمن طرفًا فيها، استخدام الألغام المضادة للأفراد، علماً أن سلطات الأمر الواقع اعترفت بتطبيق الاتفاقية</w:t>
      </w:r>
      <w:r w:rsidRPr="009D7B92">
        <w:rPr>
          <w:rFonts w:ascii="Traditional Arabic" w:hAnsi="Traditional Arabic" w:cs="Traditional Arabic"/>
          <w:sz w:val="30"/>
          <w:szCs w:val="30"/>
        </w:rPr>
        <w:t>.</w:t>
      </w:r>
    </w:p>
    <w:p w14:paraId="11265A82" w14:textId="37B90BEB" w:rsidR="009D7B92" w:rsidRPr="008E06D5" w:rsidRDefault="008E06D5" w:rsidP="00825FCB">
      <w:pPr>
        <w:pStyle w:val="Footer"/>
        <w:tabs>
          <w:tab w:val="left" w:pos="720"/>
        </w:tabs>
        <w:bidi/>
        <w:spacing w:after="240"/>
        <w:ind w:left="1089" w:right="1089" w:hanging="630"/>
        <w:jc w:val="both"/>
        <w:rPr>
          <w:rFonts w:ascii="Traditional Arabic" w:hAnsi="Traditional Arabic" w:cs="Traditional Arabic"/>
          <w:b/>
          <w:bCs/>
          <w:sz w:val="30"/>
          <w:szCs w:val="30"/>
          <w:rtl/>
        </w:rPr>
      </w:pPr>
      <w:r>
        <w:rPr>
          <w:rFonts w:ascii="Traditional Arabic" w:hAnsi="Traditional Arabic" w:cs="Traditional Arabic" w:hint="cs"/>
          <w:b/>
          <w:bCs/>
          <w:sz w:val="30"/>
          <w:szCs w:val="30"/>
          <w:rtl/>
        </w:rPr>
        <w:t>4.</w:t>
      </w:r>
      <w:r>
        <w:rPr>
          <w:rFonts w:ascii="Traditional Arabic" w:hAnsi="Traditional Arabic" w:cs="Traditional Arabic"/>
          <w:b/>
          <w:bCs/>
          <w:sz w:val="30"/>
          <w:szCs w:val="30"/>
          <w:rtl/>
        </w:rPr>
        <w:tab/>
      </w:r>
      <w:r>
        <w:rPr>
          <w:rFonts w:ascii="Traditional Arabic" w:hAnsi="Traditional Arabic" w:cs="Traditional Arabic"/>
          <w:b/>
          <w:bCs/>
          <w:sz w:val="30"/>
          <w:szCs w:val="30"/>
          <w:rtl/>
        </w:rPr>
        <w:tab/>
      </w:r>
      <w:r w:rsidR="009D7B92" w:rsidRPr="008E06D5">
        <w:rPr>
          <w:rFonts w:ascii="Traditional Arabic" w:hAnsi="Traditional Arabic" w:cs="Traditional Arabic"/>
          <w:b/>
          <w:bCs/>
          <w:sz w:val="30"/>
          <w:szCs w:val="30"/>
          <w:rtl/>
        </w:rPr>
        <w:t>حرية التعبير</w:t>
      </w:r>
    </w:p>
    <w:p w14:paraId="076ADFF5" w14:textId="5CB32ACE" w:rsidR="009D7B92" w:rsidRPr="008E06D5" w:rsidRDefault="009D7B92" w:rsidP="00825FCB">
      <w:pPr>
        <w:pStyle w:val="Footer"/>
        <w:tabs>
          <w:tab w:val="left" w:pos="720"/>
        </w:tabs>
        <w:bidi/>
        <w:spacing w:after="240"/>
        <w:ind w:left="639" w:right="1089" w:hanging="18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أ) </w:t>
      </w:r>
      <w:r w:rsidR="008E06D5">
        <w:rPr>
          <w:rFonts w:ascii="Traditional Arabic" w:hAnsi="Traditional Arabic" w:cs="Traditional Arabic"/>
          <w:b/>
          <w:bCs/>
          <w:sz w:val="30"/>
          <w:szCs w:val="30"/>
          <w:rtl/>
        </w:rPr>
        <w:tab/>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الحوثيون</w:t>
      </w:r>
    </w:p>
    <w:p w14:paraId="2A1E6C5B" w14:textId="04458C52" w:rsidR="009D7B92" w:rsidRDefault="00C16B9A"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Pr>
          <w:rFonts w:ascii="Traditional Arabic" w:hAnsi="Traditional Arabic" w:cs="Traditional Arabic" w:hint="cs"/>
          <w:sz w:val="30"/>
          <w:szCs w:val="30"/>
          <w:rtl/>
        </w:rPr>
        <w:t>ا</w:t>
      </w:r>
      <w:r w:rsidR="009D7B92" w:rsidRPr="009D7B92">
        <w:rPr>
          <w:rFonts w:ascii="Traditional Arabic" w:hAnsi="Traditional Arabic" w:cs="Traditional Arabic"/>
          <w:sz w:val="30"/>
          <w:szCs w:val="30"/>
          <w:rtl/>
        </w:rPr>
        <w:t xml:space="preserve">ستخدم الحوثيون ممارسات تشبه "الدولة البوليسية" في الحديدة وذلك لمعاقبة أدنى معارضة لهم. عبّر الشهود المحليون والمصادر الموجودة في المناطق التي يسيطر عليها الحوثيون والتي لديها معلومات عن انتهاكات الحوثيين، بالإجماع تقريبًا، عن الخوف من الانتقام عندما اتصل بهم فريق الخبراء. يبدو أنه تمّ احتجاز أفراد لمجرد تعبيرهم عن تحفظات بشأن سياسات الحوثيين  أو بسبب نشر مواد على وسائل التواصل الاجتماعي تنتقد الحوثيين </w:t>
      </w:r>
      <w:r w:rsidR="000E4A65">
        <w:rPr>
          <w:rStyle w:val="FootnoteReference"/>
          <w:rFonts w:cs="Traditional Arabic"/>
          <w:szCs w:val="30"/>
          <w:rtl/>
        </w:rPr>
        <w:footnoteReference w:id="879"/>
      </w:r>
      <w:r w:rsidR="009D7B92" w:rsidRPr="009D7B92">
        <w:rPr>
          <w:rFonts w:ascii="Traditional Arabic" w:hAnsi="Traditional Arabic" w:cs="Traditional Arabic"/>
          <w:sz w:val="30"/>
          <w:szCs w:val="30"/>
          <w:rtl/>
        </w:rPr>
        <w:t>. بالإضافة إلى ذلك، استمرت المؤسسات الإعلامية في مواجهة القيود والمضايقات من جانب الحوثيين عند تغطية النزاع.</w:t>
      </w:r>
      <w:r w:rsidR="000E4A65">
        <w:rPr>
          <w:rStyle w:val="FootnoteReference"/>
          <w:rFonts w:cs="Traditional Arabic"/>
          <w:szCs w:val="30"/>
          <w:rtl/>
        </w:rPr>
        <w:footnoteReference w:id="880"/>
      </w:r>
      <w:r w:rsidR="009D7B92" w:rsidRPr="009D7B92">
        <w:rPr>
          <w:rFonts w:ascii="Traditional Arabic" w:hAnsi="Traditional Arabic" w:cs="Traditional Arabic"/>
          <w:sz w:val="30"/>
          <w:szCs w:val="30"/>
          <w:rtl/>
        </w:rPr>
        <w:t xml:space="preserve"> علاوة على ذلك، تعرّض المدافعون عن حقوق الإنسان، بما في ذلك المنظمات غير الحكومية البارزة وممثلو الأمم المتحدة لعراقيل كثيرة، بل وتم توقيفهم بسبب قيامهم بعملهم. لأسباب تتعلق بالحماية، لن يقدم فريق الخبراء تفاصيل عن الحالات التي حقق فيها</w:t>
      </w:r>
      <w:r w:rsidR="009D7B92" w:rsidRPr="009D7B92">
        <w:rPr>
          <w:rFonts w:ascii="Traditional Arabic" w:hAnsi="Traditional Arabic" w:cs="Traditional Arabic"/>
          <w:sz w:val="30"/>
          <w:szCs w:val="30"/>
        </w:rPr>
        <w:t>.</w:t>
      </w:r>
    </w:p>
    <w:p w14:paraId="7516EEF9" w14:textId="77777777" w:rsidR="00802EF5" w:rsidRPr="009D7B92" w:rsidRDefault="00802EF5" w:rsidP="00802EF5">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tl/>
        </w:rPr>
      </w:pPr>
    </w:p>
    <w:p w14:paraId="7E311D16" w14:textId="2C44EEE2" w:rsidR="009D7B92" w:rsidRPr="008E06D5" w:rsidRDefault="009D7B92" w:rsidP="00825FCB">
      <w:pPr>
        <w:pStyle w:val="Footer"/>
        <w:tabs>
          <w:tab w:val="left" w:pos="720"/>
        </w:tabs>
        <w:bidi/>
        <w:spacing w:after="240"/>
        <w:ind w:left="639" w:right="1089" w:hanging="18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ب)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القوات المسلحة اليمنية والجماعات المسلحة التابعة لها والمدعومة من الإمارات</w:t>
      </w:r>
    </w:p>
    <w:p w14:paraId="3D35C41D" w14:textId="3FBA4557"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خلال عام 2018 وحتى عام 2019، اتخذت القوات المسلحة اليمنية والجماعات المسلحة التابعة لها والمدعومة من الإمارات العربية المتحدة تدابير </w:t>
      </w:r>
      <w:r w:rsidRPr="009D7B92">
        <w:rPr>
          <w:rFonts w:ascii="Traditional Arabic" w:hAnsi="Traditional Arabic" w:cs="Traditional Arabic"/>
          <w:sz w:val="30"/>
          <w:szCs w:val="30"/>
          <w:rtl/>
        </w:rPr>
        <w:lastRenderedPageBreak/>
        <w:t xml:space="preserve">لضمان الحد الأدنى من التغطية الصحفية للنزاع من خلال مضايقة ممثلي وسائل الإعلام وعرقلة وصولهم إلى المنطقة </w:t>
      </w:r>
      <w:r w:rsidR="00792BB8">
        <w:rPr>
          <w:rStyle w:val="FootnoteReference"/>
          <w:rFonts w:cs="Traditional Arabic"/>
          <w:szCs w:val="30"/>
          <w:rtl/>
        </w:rPr>
        <w:footnoteReference w:id="881"/>
      </w:r>
      <w:r w:rsidRPr="009D7B92">
        <w:rPr>
          <w:rFonts w:ascii="Traditional Arabic" w:hAnsi="Traditional Arabic" w:cs="Traditional Arabic"/>
          <w:sz w:val="30"/>
          <w:szCs w:val="30"/>
          <w:rtl/>
        </w:rPr>
        <w:t>. على سبيل المثال، أفادت شبكة تلفزيون مقرها عدن بوجود قيود شديدة في أي منطقة خاضعة لسيطرة القوات المدعومة من الإمارات العربية المتحدة في الساحل الغربي. كما تم منع المحطة التلفزيونية من تغطية معركة الحديدة من جانب الحزام الأمني عندما حاولت نشر موظفين مقرّهم عدن على الساحل الغربي. وأُعطي موظفوها أمر المغادرة وإلا واجهوا الاعتقال والاحتجاز</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2"/>
      </w:r>
    </w:p>
    <w:p w14:paraId="77196BEE" w14:textId="08042F0C" w:rsidR="009D7B92" w:rsidRPr="008E06D5" w:rsidRDefault="009D7B92" w:rsidP="00CF21FC">
      <w:pPr>
        <w:pStyle w:val="Footer"/>
        <w:tabs>
          <w:tab w:val="left" w:pos="720"/>
        </w:tabs>
        <w:bidi/>
        <w:spacing w:after="240"/>
        <w:ind w:left="1089" w:right="1089" w:hanging="63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جـ)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الانتهاكات</w:t>
      </w:r>
    </w:p>
    <w:p w14:paraId="254E713D" w14:textId="50C7D2AA"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بناءً على الأدلة التي تم جمعها ومراجعتها، وجد فريق الخبراء أسبابًا معقولة للاعتقاد بأن سلطات الأمر الواقع والحكومة اليمنية مسؤولة عن القيود الشديدة المفروضة على حرية التعبير في الحديدة، منتهكة بذلك واجباتها في مجال حقوق الإنسان والقابلة للتطبيق على الأراضي الخاضعة لسيطرتها. يجوز تقييد حرية التعبير، لكن فقط وفقًا لما ينص عليه القانون وحسب الضرورة لحماية حقوق وحريات الآخرين، ولحماية الأمن القومي أو السلامة العامة أو النظام العام أو الصحة أو الأخلاق .</w:t>
      </w:r>
      <w:r w:rsidR="00792BB8">
        <w:rPr>
          <w:rStyle w:val="FootnoteReference"/>
          <w:rFonts w:cs="Traditional Arabic"/>
          <w:szCs w:val="30"/>
          <w:rtl/>
        </w:rPr>
        <w:footnoteReference w:id="883"/>
      </w:r>
      <w:r w:rsidRPr="009D7B92">
        <w:rPr>
          <w:rFonts w:ascii="Traditional Arabic" w:hAnsi="Traditional Arabic" w:cs="Traditional Arabic"/>
          <w:sz w:val="30"/>
          <w:szCs w:val="30"/>
          <w:rtl/>
        </w:rPr>
        <w:t xml:space="preserve"> يبدو أن هذه الشروط لم تكن مستوفاة في الحالات التي نظر فيها فريق الخبراء</w:t>
      </w:r>
      <w:r w:rsidRPr="009D7B92">
        <w:rPr>
          <w:rFonts w:ascii="Traditional Arabic" w:hAnsi="Traditional Arabic" w:cs="Traditional Arabic"/>
          <w:sz w:val="30"/>
          <w:szCs w:val="30"/>
        </w:rPr>
        <w:t>.</w:t>
      </w:r>
    </w:p>
    <w:p w14:paraId="364F2CDE" w14:textId="496D0EF6" w:rsidR="009D7B92" w:rsidRPr="008E06D5" w:rsidRDefault="008E06D5" w:rsidP="00825FCB">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E06D5">
        <w:rPr>
          <w:rFonts w:ascii="Traditional Arabic" w:hAnsi="Traditional Arabic" w:cs="Traditional Arabic" w:hint="cs"/>
          <w:b/>
          <w:bCs/>
          <w:sz w:val="30"/>
          <w:szCs w:val="30"/>
          <w:rtl/>
        </w:rPr>
        <w:t>5.</w:t>
      </w:r>
      <w:r w:rsidRPr="008E06D5">
        <w:rPr>
          <w:rFonts w:ascii="Traditional Arabic" w:hAnsi="Traditional Arabic" w:cs="Traditional Arabic"/>
          <w:b/>
          <w:bCs/>
          <w:sz w:val="30"/>
          <w:szCs w:val="30"/>
          <w:rtl/>
        </w:rPr>
        <w:tab/>
      </w:r>
      <w:r w:rsidR="009D7B92" w:rsidRPr="008E06D5">
        <w:rPr>
          <w:rFonts w:ascii="Traditional Arabic" w:hAnsi="Traditional Arabic" w:cs="Traditional Arabic"/>
          <w:b/>
          <w:bCs/>
          <w:sz w:val="30"/>
          <w:szCs w:val="30"/>
        </w:rPr>
        <w:t xml:space="preserve"> </w:t>
      </w:r>
      <w:r w:rsidR="009D7B92" w:rsidRPr="008E06D5">
        <w:rPr>
          <w:rFonts w:ascii="Traditional Arabic" w:hAnsi="Traditional Arabic" w:cs="Traditional Arabic"/>
          <w:b/>
          <w:bCs/>
          <w:sz w:val="30"/>
          <w:szCs w:val="30"/>
          <w:rtl/>
        </w:rPr>
        <w:t>الاعتقال التعسفي والاختفاء القسري والتعذيب وسوء المعاملة</w:t>
      </w:r>
    </w:p>
    <w:p w14:paraId="167903B6" w14:textId="5306DD76" w:rsidR="009D7B92" w:rsidRPr="008E06D5" w:rsidRDefault="009D7B92"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E06D5">
        <w:rPr>
          <w:rFonts w:ascii="Traditional Arabic" w:hAnsi="Traditional Arabic" w:cs="Traditional Arabic"/>
          <w:b/>
          <w:bCs/>
          <w:sz w:val="30"/>
          <w:szCs w:val="30"/>
          <w:rtl/>
        </w:rPr>
        <w:t xml:space="preserve">أ) </w:t>
      </w:r>
      <w:r w:rsidR="008E06D5">
        <w:rPr>
          <w:rFonts w:ascii="Traditional Arabic" w:hAnsi="Traditional Arabic" w:cs="Traditional Arabic"/>
          <w:b/>
          <w:bCs/>
          <w:sz w:val="30"/>
          <w:szCs w:val="30"/>
          <w:rtl/>
        </w:rPr>
        <w:tab/>
      </w:r>
      <w:r w:rsidRPr="008E06D5">
        <w:rPr>
          <w:rFonts w:ascii="Traditional Arabic" w:hAnsi="Traditional Arabic" w:cs="Traditional Arabic"/>
          <w:b/>
          <w:bCs/>
          <w:sz w:val="30"/>
          <w:szCs w:val="30"/>
          <w:rtl/>
        </w:rPr>
        <w:t>سلطات الأمر الواقع</w:t>
      </w:r>
    </w:p>
    <w:p w14:paraId="3B902666" w14:textId="0F65CAC9"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حقق فريق الخبراء في 17 حالة  احتجاز</w:t>
      </w:r>
      <w:r w:rsidR="00792BB8">
        <w:rPr>
          <w:rStyle w:val="FootnoteReference"/>
          <w:rFonts w:cs="Traditional Arabic"/>
          <w:szCs w:val="30"/>
          <w:rtl/>
        </w:rPr>
        <w:footnoteReference w:id="884"/>
      </w:r>
      <w:r w:rsidRPr="009D7B92">
        <w:rPr>
          <w:rFonts w:ascii="Traditional Arabic" w:hAnsi="Traditional Arabic" w:cs="Traditional Arabic"/>
          <w:sz w:val="30"/>
          <w:szCs w:val="30"/>
          <w:rtl/>
        </w:rPr>
        <w:t xml:space="preserve"> من جانب سلطات الأمر الواقع في سياق القتال الدائر في محافظة الحديدة. بالإضافة إلى ذلك، تابع الفريق المعلومات التي تم تلقيها مسبقًا عن حالات الاختفاء والتعذيب التي قامت بها سلطات الأمر الواقع في المحافظة</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5"/>
      </w:r>
      <w:r w:rsidRPr="009D7B92">
        <w:rPr>
          <w:rFonts w:ascii="Traditional Arabic" w:hAnsi="Traditional Arabic" w:cs="Traditional Arabic"/>
          <w:sz w:val="30"/>
          <w:szCs w:val="30"/>
        </w:rPr>
        <w:t>.</w:t>
      </w:r>
    </w:p>
    <w:p w14:paraId="241DE342" w14:textId="51C5E20F"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أخذت عمليات الاعتقال في المحافظة خلال القتال أنماطًا عامة موثقة مسبقًا في مرافق الاحتجاز التابعة لسلطة الأمر الواقع في الحديدة وفي أجزاء أخرى من البلاد. وقد تفاقم الوضع بسبب الفوضى المرتبطة بنقل المعتقلين من وإلى الحديدة أثناء القتال وتزايد الأسباب التعسفية للاحتجاز، والتي يبدو أنها نابعة من الجهود التي بذلها الحوثيون لتشديد قبضتهم على السكان المدنيين خلال النزاع</w:t>
      </w:r>
      <w:r w:rsidRPr="009D7B92">
        <w:rPr>
          <w:rFonts w:ascii="Traditional Arabic" w:hAnsi="Traditional Arabic" w:cs="Traditional Arabic"/>
          <w:sz w:val="30"/>
          <w:szCs w:val="30"/>
        </w:rPr>
        <w:t>.</w:t>
      </w:r>
    </w:p>
    <w:p w14:paraId="29A42A67" w14:textId="56FC7A06"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lastRenderedPageBreak/>
        <w:t>إنّ سمة الاحتجاز السائدة التي اعتمدتها سلطات الأمر الواقع تتعلّق برفض الحوثيين الاعتراف بالحرمان من الحرية أو إخفاء مصير المحتجزين أو أماكن وجودهم، مما يجعلهم خارج نطاق حماية القانون ويجعلهم عرضةً لمزيد من انتهاكات حقوق الإنسان. ومن بين الحالات السبعة عشر التي تم التحقيق فيها، عانى 13 محتجزاً  من الاختفاء القسري</w:t>
      </w:r>
      <w:r w:rsidR="00792BB8">
        <w:rPr>
          <w:rStyle w:val="FootnoteReference"/>
          <w:rFonts w:cs="Traditional Arabic"/>
          <w:szCs w:val="30"/>
          <w:rtl/>
        </w:rPr>
        <w:footnoteReference w:id="886"/>
      </w:r>
      <w:r w:rsidRPr="009D7B92">
        <w:rPr>
          <w:rFonts w:ascii="Traditional Arabic" w:hAnsi="Traditional Arabic" w:cs="Traditional Arabic"/>
          <w:sz w:val="30"/>
          <w:szCs w:val="30"/>
          <w:rtl/>
        </w:rPr>
        <w:t>. حيث رفض الحوثيون الاعتراف باحتجاز أفراد اضطر أقاربهم لدفع رشوة للمسؤولين الحوثيين للحصول على معلومات عن أفراد الأسرة المحتجزين ،</w:t>
      </w:r>
      <w:r w:rsidR="00792BB8">
        <w:rPr>
          <w:rStyle w:val="FootnoteReference"/>
          <w:rFonts w:cs="Traditional Arabic"/>
          <w:szCs w:val="30"/>
          <w:rtl/>
        </w:rPr>
        <w:footnoteReference w:id="887"/>
      </w:r>
      <w:r w:rsidRPr="009D7B92">
        <w:rPr>
          <w:rFonts w:ascii="Traditional Arabic" w:hAnsi="Traditional Arabic" w:cs="Traditional Arabic"/>
          <w:sz w:val="30"/>
          <w:szCs w:val="30"/>
          <w:rtl/>
        </w:rPr>
        <w:t xml:space="preserve"> وهو خيار غير متاح لأولئك الذين لا يملكون سوى موارد قليلة </w:t>
      </w:r>
      <w:r w:rsidR="00792BB8">
        <w:rPr>
          <w:rStyle w:val="FootnoteReference"/>
          <w:rFonts w:cs="Traditional Arabic"/>
          <w:szCs w:val="30"/>
          <w:rtl/>
        </w:rPr>
        <w:footnoteReference w:id="888"/>
      </w:r>
      <w:r w:rsidRPr="009D7B92">
        <w:rPr>
          <w:rFonts w:ascii="Traditional Arabic" w:hAnsi="Traditional Arabic" w:cs="Traditional Arabic"/>
          <w:sz w:val="30"/>
          <w:szCs w:val="30"/>
          <w:rtl/>
        </w:rPr>
        <w:t>. وتتفاقم محنة الأقارب عندما يواجهون عقبات في طريقهم للاستفسار عن أفراد أسرهم المحتجزين. في إحدى الحالات، تم إلقاء القبض على أفراد الأسرة لمدة يوم من جانب الحوثيين الذين هددوهم بالاحتجاز إذا عادوا للاستفسار عن أحد الأفراد المحتجزين</w:t>
      </w:r>
      <w:r w:rsidRPr="009D7B92">
        <w:rPr>
          <w:rFonts w:ascii="Traditional Arabic" w:hAnsi="Traditional Arabic" w:cs="Traditional Arabic"/>
          <w:sz w:val="30"/>
          <w:szCs w:val="30"/>
        </w:rPr>
        <w:t xml:space="preserve"> .</w:t>
      </w:r>
      <w:r w:rsidR="00792BB8">
        <w:rPr>
          <w:rStyle w:val="FootnoteReference"/>
          <w:rFonts w:cs="Traditional Arabic"/>
          <w:szCs w:val="30"/>
        </w:rPr>
        <w:footnoteReference w:id="889"/>
      </w:r>
    </w:p>
    <w:p w14:paraId="19FB7994" w14:textId="3F1D9088" w:rsidR="009D7B92" w:rsidRPr="009D7B92" w:rsidRDefault="009D7B92" w:rsidP="00792BB8">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يتمثّل أحد الجوانب الرئيسية لعمليات الاختفاء في وجود شبكة من مرافق الاحتجاز السرية في محافظة الحديدة. وقد تلقى فريق الخبراء تقارير أولية</w:t>
      </w:r>
      <w:r w:rsidR="00F80330">
        <w:rPr>
          <w:rStyle w:val="FootnoteReference"/>
          <w:rFonts w:cs="Traditional Arabic"/>
          <w:szCs w:val="30"/>
          <w:rtl/>
        </w:rPr>
        <w:footnoteReference w:id="890"/>
      </w:r>
      <w:r w:rsidRPr="009D7B92">
        <w:rPr>
          <w:rFonts w:ascii="Traditional Arabic" w:hAnsi="Traditional Arabic" w:cs="Traditional Arabic"/>
          <w:sz w:val="30"/>
          <w:szCs w:val="30"/>
          <w:rtl/>
        </w:rPr>
        <w:t xml:space="preserve">  حديثة وتقارير موثوقة أخرى </w:t>
      </w:r>
      <w:r w:rsidR="00792BB8">
        <w:rPr>
          <w:rStyle w:val="FootnoteReference"/>
          <w:rFonts w:cs="Traditional Arabic"/>
          <w:szCs w:val="30"/>
          <w:rtl/>
        </w:rPr>
        <w:footnoteReference w:id="891"/>
      </w:r>
      <w:r w:rsidRPr="009D7B92">
        <w:rPr>
          <w:rFonts w:ascii="Traditional Arabic" w:hAnsi="Traditional Arabic" w:cs="Traditional Arabic"/>
          <w:sz w:val="30"/>
          <w:szCs w:val="30"/>
          <w:rtl/>
        </w:rPr>
        <w:t xml:space="preserve"> عن وجود مرافق احتجاز سرية، تؤكد إلى جانب التقارير التي سبق التحقق منها </w:t>
      </w:r>
      <w:r w:rsidR="00792BB8">
        <w:rPr>
          <w:rStyle w:val="FootnoteReference"/>
          <w:rFonts w:cs="Traditional Arabic"/>
          <w:szCs w:val="30"/>
          <w:rtl/>
        </w:rPr>
        <w:footnoteReference w:id="892"/>
      </w:r>
      <w:r w:rsidRPr="009D7B92">
        <w:rPr>
          <w:rFonts w:ascii="Traditional Arabic" w:hAnsi="Traditional Arabic" w:cs="Traditional Arabic"/>
          <w:sz w:val="30"/>
          <w:szCs w:val="30"/>
          <w:rtl/>
        </w:rPr>
        <w:t xml:space="preserve">، استمرار هذا الاتجاه. بالنسبة الى فترة حالات الاختفاء، اختفى أربعة من هؤلاء المحتجزين لمدة أقصاها أربعة أشهر </w:t>
      </w:r>
      <w:r w:rsidR="00792BB8">
        <w:rPr>
          <w:rStyle w:val="FootnoteReference"/>
          <w:rFonts w:cs="Traditional Arabic"/>
          <w:szCs w:val="30"/>
          <w:rtl/>
        </w:rPr>
        <w:footnoteReference w:id="893"/>
      </w:r>
      <w:r w:rsidRPr="009D7B92">
        <w:rPr>
          <w:rFonts w:ascii="Traditional Arabic" w:hAnsi="Traditional Arabic" w:cs="Traditional Arabic"/>
          <w:sz w:val="30"/>
          <w:szCs w:val="30"/>
          <w:rtl/>
        </w:rPr>
        <w:t>. في سبع حالات حديثة، كان أفراد الأسرة يجهلون مكان وجود أقاربهم المحتجزين وقت كتابة هذا التقرير</w:t>
      </w:r>
      <w:r w:rsidR="00792BB8">
        <w:rPr>
          <w:rFonts w:ascii="Traditional Arabic" w:hAnsi="Traditional Arabic" w:cs="Traditional Arabic" w:hint="cs"/>
          <w:sz w:val="30"/>
          <w:szCs w:val="30"/>
          <w:rtl/>
        </w:rPr>
        <w:t>.</w:t>
      </w:r>
      <w:r w:rsidR="00792BB8">
        <w:rPr>
          <w:rStyle w:val="FootnoteReference"/>
          <w:rFonts w:cs="Traditional Arabic"/>
          <w:szCs w:val="30"/>
          <w:rtl/>
        </w:rPr>
        <w:footnoteReference w:id="894"/>
      </w:r>
    </w:p>
    <w:p w14:paraId="5F73D32B" w14:textId="57D69A83"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ما زال المحتجزون يعانون من سوء المعاملة والتعذيب أثناء الاحتجاز. في خمس حالات حقق فيها فريق الخبراء، تعرّض المحتجزون للتعذيب أو سوء المعاملة أو شهدوا على عواقب التعذيب على زملائهم المحتجزين</w:t>
      </w:r>
      <w:r w:rsidR="00451544">
        <w:rPr>
          <w:rStyle w:val="FootnoteReference"/>
          <w:rFonts w:cs="Traditional Arabic"/>
          <w:szCs w:val="30"/>
          <w:rtl/>
        </w:rPr>
        <w:footnoteReference w:id="895"/>
      </w:r>
      <w:r w:rsidRPr="009D7B92">
        <w:rPr>
          <w:rFonts w:ascii="Traditional Arabic" w:hAnsi="Traditional Arabic" w:cs="Traditional Arabic"/>
          <w:sz w:val="30"/>
          <w:szCs w:val="30"/>
          <w:rtl/>
        </w:rPr>
        <w:t xml:space="preserve"> . وشمل ذلك اللكم والركل والضرب بقضبان معدنية والضرب بالعصي والضرب بالبنادق والجلد بالكابلات الكهربائية والتعليق في الهواء لساعات واقتلاع الأظافر. في إحدى الحالات </w:t>
      </w:r>
      <w:r w:rsidR="00451544">
        <w:rPr>
          <w:rStyle w:val="FootnoteReference"/>
          <w:rFonts w:cs="Traditional Arabic"/>
          <w:szCs w:val="30"/>
          <w:rtl/>
        </w:rPr>
        <w:footnoteReference w:id="896"/>
      </w:r>
      <w:r w:rsidRPr="009D7B92">
        <w:rPr>
          <w:rFonts w:ascii="Traditional Arabic" w:hAnsi="Traditional Arabic" w:cs="Traditional Arabic"/>
          <w:sz w:val="30"/>
          <w:szCs w:val="30"/>
          <w:rtl/>
        </w:rPr>
        <w:t xml:space="preserve">، تلقى الأقارب جثة أحد المحتجزين الذي كان رهن الاحتجاز وعلى جسده علامات تعذيب واضحة. في ثلاث حالات إضافية، تعرض الأفراد الذين أُفرج عنهم قبل معركة الحديدة للتعذيب بطرق مماثلة </w:t>
      </w:r>
      <w:r w:rsidR="00451544">
        <w:rPr>
          <w:rStyle w:val="FootnoteReference"/>
          <w:rFonts w:cs="Traditional Arabic"/>
          <w:szCs w:val="30"/>
          <w:rtl/>
        </w:rPr>
        <w:footnoteReference w:id="897"/>
      </w:r>
      <w:r w:rsidRPr="009D7B92">
        <w:rPr>
          <w:rFonts w:ascii="Traditional Arabic" w:hAnsi="Traditional Arabic" w:cs="Traditional Arabic"/>
          <w:sz w:val="30"/>
          <w:szCs w:val="30"/>
          <w:rtl/>
        </w:rPr>
        <w:t>، كما بدا أن وفاة أحدهم مرتبطة بالتعذيب الذي تعرّض له</w:t>
      </w:r>
      <w:r w:rsidR="00451544">
        <w:rPr>
          <w:rStyle w:val="FootnoteReference"/>
          <w:rFonts w:cs="Traditional Arabic"/>
          <w:szCs w:val="30"/>
          <w:rtl/>
        </w:rPr>
        <w:footnoteReference w:id="898"/>
      </w:r>
      <w:r w:rsidRPr="009D7B92">
        <w:rPr>
          <w:rFonts w:ascii="Traditional Arabic" w:hAnsi="Traditional Arabic" w:cs="Traditional Arabic"/>
          <w:sz w:val="30"/>
          <w:szCs w:val="30"/>
          <w:rtl/>
        </w:rPr>
        <w:t xml:space="preserve"> . وتشمل المواقع التي أفيد عن حصول تعذيب فيها قلعة في مدينة الحديدة، وجونش (مرفق احتجاز منفصل داخل سجن الحديدة المركزي)، ومركز احتجاز </w:t>
      </w:r>
      <w:r w:rsidRPr="009D7B92">
        <w:rPr>
          <w:rFonts w:ascii="Traditional Arabic" w:hAnsi="Traditional Arabic" w:cs="Traditional Arabic"/>
          <w:sz w:val="30"/>
          <w:szCs w:val="30"/>
          <w:rtl/>
        </w:rPr>
        <w:lastRenderedPageBreak/>
        <w:t>خاص بالأمن السياسي في مدينة الحديدة، ومركز احتجاز في مديرية الضاحي، ودائرة التحقيقات المركزية في مدينة الحديدة ومرفق احتجاز في الزيدية</w:t>
      </w:r>
      <w:r w:rsidRPr="009D7B92">
        <w:rPr>
          <w:rFonts w:ascii="Traditional Arabic" w:hAnsi="Traditional Arabic" w:cs="Traditional Arabic"/>
          <w:sz w:val="30"/>
          <w:szCs w:val="30"/>
        </w:rPr>
        <w:t>.</w:t>
      </w:r>
    </w:p>
    <w:p w14:paraId="7978FF7F" w14:textId="1784F43A" w:rsidR="009D7B92" w:rsidRPr="009D7B92" w:rsidRDefault="009D7B92" w:rsidP="004515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في معظم الحالات، احتُجز أفراد لأنه يُعتقد أنهم يعارضون السلطات الحوثية في الحديدة. في بعض الأحيان، "المعارضة" بسيطة جداً، كأن يتم التعبير عن التحفظات بشأن سياسات الحوثيين</w:t>
      </w:r>
      <w:r w:rsidR="00451544">
        <w:rPr>
          <w:rStyle w:val="FootnoteReference"/>
          <w:rFonts w:cs="Traditional Arabic"/>
          <w:szCs w:val="30"/>
          <w:rtl/>
        </w:rPr>
        <w:footnoteReference w:id="899"/>
      </w:r>
      <w:r w:rsidRPr="009D7B92">
        <w:rPr>
          <w:rFonts w:ascii="Traditional Arabic" w:hAnsi="Traditional Arabic" w:cs="Traditional Arabic"/>
          <w:sz w:val="30"/>
          <w:szCs w:val="30"/>
          <w:rtl/>
        </w:rPr>
        <w:t xml:space="preserve">  ونشر مواد تنتقد الحوثيين على وسائل التواصل الاجتماعي</w:t>
      </w:r>
      <w:r w:rsidR="00451544">
        <w:rPr>
          <w:rStyle w:val="FootnoteReference"/>
          <w:rFonts w:cs="Traditional Arabic"/>
          <w:szCs w:val="30"/>
          <w:rtl/>
        </w:rPr>
        <w:footnoteReference w:id="900"/>
      </w:r>
      <w:r w:rsidRPr="009D7B92">
        <w:rPr>
          <w:rFonts w:ascii="Traditional Arabic" w:hAnsi="Traditional Arabic" w:cs="Traditional Arabic"/>
          <w:sz w:val="30"/>
          <w:szCs w:val="30"/>
          <w:rtl/>
        </w:rPr>
        <w:t>، والإبلاغ عن انتهاك حقوق الإنسان</w:t>
      </w:r>
      <w:r w:rsidR="00451544">
        <w:rPr>
          <w:rStyle w:val="FootnoteReference"/>
          <w:rFonts w:cs="Traditional Arabic"/>
          <w:szCs w:val="30"/>
          <w:rtl/>
        </w:rPr>
        <w:footnoteReference w:id="901"/>
      </w:r>
      <w:r w:rsidRPr="009D7B92">
        <w:rPr>
          <w:rFonts w:ascii="Traditional Arabic" w:hAnsi="Traditional Arabic" w:cs="Traditional Arabic"/>
          <w:sz w:val="30"/>
          <w:szCs w:val="30"/>
          <w:rtl/>
        </w:rPr>
        <w:t xml:space="preserve"> . كما احتجز الحوثيون أقارب أولئك الذين تجرأوا على انتقادهم علانية</w:t>
      </w:r>
      <w:r w:rsidRPr="009D7B92">
        <w:rPr>
          <w:rFonts w:ascii="Traditional Arabic" w:hAnsi="Traditional Arabic" w:cs="Traditional Arabic"/>
          <w:sz w:val="30"/>
          <w:szCs w:val="30"/>
        </w:rPr>
        <w:t xml:space="preserve"> </w:t>
      </w:r>
      <w:r w:rsidR="00451544">
        <w:rPr>
          <w:rStyle w:val="FootnoteReference"/>
          <w:rFonts w:cs="Traditional Arabic"/>
          <w:szCs w:val="30"/>
        </w:rPr>
        <w:footnoteReference w:id="902"/>
      </w:r>
      <w:r w:rsidRPr="009D7B92">
        <w:rPr>
          <w:rFonts w:ascii="Traditional Arabic" w:hAnsi="Traditional Arabic" w:cs="Traditional Arabic"/>
          <w:sz w:val="30"/>
          <w:szCs w:val="30"/>
        </w:rPr>
        <w:t>.</w:t>
      </w:r>
    </w:p>
    <w:p w14:paraId="31EE940A" w14:textId="62C4F950" w:rsidR="009D7B92" w:rsidRPr="009D7B92" w:rsidRDefault="009D7B92" w:rsidP="008E06D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يزداد الوضع المأساوي أعلاه سوءاً بسبب الغياب شبه التام لأي إجراءات قضائية للمحتجزين. باستثناء حالتين </w:t>
      </w:r>
      <w:r w:rsidR="004E7D40">
        <w:rPr>
          <w:rStyle w:val="FootnoteReference"/>
          <w:rFonts w:cs="Traditional Arabic"/>
          <w:szCs w:val="30"/>
          <w:rtl/>
        </w:rPr>
        <w:footnoteReference w:id="903"/>
      </w:r>
      <w:r w:rsidRPr="009D7B92">
        <w:rPr>
          <w:rFonts w:ascii="Traditional Arabic" w:hAnsi="Traditional Arabic" w:cs="Traditional Arabic"/>
          <w:sz w:val="30"/>
          <w:szCs w:val="30"/>
          <w:rtl/>
        </w:rPr>
        <w:t>، لم يتلق فريق الخبراء معلومات تشير إلى وجود عملية قضائية مرتبطة بالاحتجازات</w:t>
      </w:r>
      <w:r w:rsidRPr="009D7B92">
        <w:rPr>
          <w:rFonts w:ascii="Traditional Arabic" w:hAnsi="Traditional Arabic" w:cs="Traditional Arabic"/>
          <w:sz w:val="30"/>
          <w:szCs w:val="30"/>
        </w:rPr>
        <w:t>.</w:t>
      </w:r>
    </w:p>
    <w:p w14:paraId="28B20280" w14:textId="06DFB5B8" w:rsidR="009D7B92" w:rsidRPr="009D7B92" w:rsidRDefault="009D7B92" w:rsidP="00802EF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وجد فريق الخبراء أنه على الأقل بالنسبة لبعض عناصر سلطات الأمر الواقع، أصبح الاحتجاز فرصة لتوليد الدخل. كما هو موضح أعلاه، حصل أفراد على المال عن طريق تقديم معلومات عن مكان وجود المحتجزين إلى أقاربهم اليائسين</w:t>
      </w:r>
      <w:r w:rsidR="004E7D40">
        <w:rPr>
          <w:rStyle w:val="FootnoteReference"/>
          <w:rFonts w:cs="Traditional Arabic"/>
          <w:szCs w:val="30"/>
          <w:rtl/>
        </w:rPr>
        <w:footnoteReference w:id="904"/>
      </w:r>
      <w:r w:rsidRPr="009D7B92">
        <w:rPr>
          <w:rFonts w:ascii="Traditional Arabic" w:hAnsi="Traditional Arabic" w:cs="Traditional Arabic"/>
          <w:sz w:val="30"/>
          <w:szCs w:val="30"/>
          <w:rtl/>
        </w:rPr>
        <w:t xml:space="preserve">. وفي حالة أخرى، طلب أحد المحتجزين من أسرته توفير المال للمشرف على مرفق احتجازه </w:t>
      </w:r>
      <w:r w:rsidR="004E7D40">
        <w:rPr>
          <w:rStyle w:val="FootnoteReference"/>
          <w:rFonts w:cs="Traditional Arabic"/>
          <w:szCs w:val="30"/>
          <w:rtl/>
        </w:rPr>
        <w:footnoteReference w:id="905"/>
      </w:r>
      <w:r w:rsidRPr="009D7B92">
        <w:rPr>
          <w:rFonts w:ascii="Traditional Arabic" w:hAnsi="Traditional Arabic" w:cs="Traditional Arabic"/>
          <w:sz w:val="30"/>
          <w:szCs w:val="30"/>
          <w:rtl/>
        </w:rPr>
        <w:t xml:space="preserve">. وتلقى فريق الخبراء أيضًا تقارير من محتجزين ذكروا أن محتجزين آخرين أخبروهم أنه يتعين عليهم التخلي عن ممتلكات لهم لضمان الإفراج عنهم </w:t>
      </w:r>
      <w:r w:rsidR="004E7D40">
        <w:rPr>
          <w:rStyle w:val="FootnoteReference"/>
          <w:rFonts w:cs="Traditional Arabic"/>
          <w:szCs w:val="30"/>
          <w:rtl/>
        </w:rPr>
        <w:footnoteReference w:id="906"/>
      </w:r>
      <w:r w:rsidRPr="009D7B92">
        <w:rPr>
          <w:rFonts w:ascii="Traditional Arabic" w:hAnsi="Traditional Arabic" w:cs="Traditional Arabic"/>
          <w:sz w:val="30"/>
          <w:szCs w:val="30"/>
          <w:rtl/>
        </w:rPr>
        <w:t>. وأحد الأمثلة على هذه المشكلة هو اختطاف امرأة في نقطة تفتيش في المحافظة، كما هو موضح أدناه</w:t>
      </w:r>
      <w:r w:rsidRPr="009D7B92">
        <w:rPr>
          <w:rFonts w:ascii="Traditional Arabic" w:hAnsi="Traditional Arabic" w:cs="Traditional Arabic"/>
          <w:sz w:val="30"/>
          <w:szCs w:val="30"/>
        </w:rPr>
        <w:t>.</w:t>
      </w:r>
    </w:p>
    <w:p w14:paraId="5016AB2F" w14:textId="3CF33C5C" w:rsidR="009D7B92" w:rsidRPr="009D7B92" w:rsidRDefault="009D7B92" w:rsidP="00802EF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كما انتهكت سلطات الأمر الواقع حقوق النساء المحتجزات. فقد تعرضت امرأة للتعذيب أثناء الاحتجاز على أيدي حراس ذكور </w:t>
      </w:r>
      <w:r w:rsidR="004E7D40">
        <w:rPr>
          <w:rStyle w:val="FootnoteReference"/>
          <w:rFonts w:cs="Traditional Arabic"/>
          <w:szCs w:val="30"/>
          <w:rtl/>
        </w:rPr>
        <w:footnoteReference w:id="907"/>
      </w:r>
      <w:r w:rsidRPr="009D7B92">
        <w:rPr>
          <w:rFonts w:ascii="Traditional Arabic" w:hAnsi="Traditional Arabic" w:cs="Traditional Arabic"/>
          <w:sz w:val="30"/>
          <w:szCs w:val="30"/>
          <w:rtl/>
        </w:rPr>
        <w:t>. وقُبض على امرأة أخرى مع ثلاث فتيات قريبات منها عند نقطة تفتيش أمنية وطُلب منهن دفع فدية لضمان إطلاق سراحها. بعد أن دفع الأقارب المبلغ المطلوب، تم إطلاق سراح الطفلات فقط</w:t>
      </w:r>
      <w:r w:rsidR="004E7D40">
        <w:rPr>
          <w:rStyle w:val="FootnoteReference"/>
          <w:rFonts w:cs="Traditional Arabic"/>
          <w:szCs w:val="30"/>
          <w:rtl/>
        </w:rPr>
        <w:footnoteReference w:id="908"/>
      </w:r>
      <w:r w:rsidRPr="009D7B92">
        <w:rPr>
          <w:rFonts w:ascii="Traditional Arabic" w:hAnsi="Traditional Arabic" w:cs="Traditional Arabic"/>
          <w:sz w:val="30"/>
          <w:szCs w:val="30"/>
          <w:rtl/>
        </w:rPr>
        <w:t>. بالنسبة الى تأثير المحتجزين الذكور على قريباتهم، أدّى احتجاز الأقارب الذكور الى وضع العائلات أمام خيارات محدودة للحصول على الدخل</w:t>
      </w:r>
      <w:r w:rsidRPr="009D7B92">
        <w:rPr>
          <w:rFonts w:ascii="Traditional Arabic" w:hAnsi="Traditional Arabic" w:cs="Traditional Arabic"/>
          <w:sz w:val="30"/>
          <w:szCs w:val="30"/>
        </w:rPr>
        <w:t xml:space="preserve">. </w:t>
      </w:r>
    </w:p>
    <w:p w14:paraId="1C188DF8" w14:textId="35E29835"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9D7B92">
        <w:rPr>
          <w:rFonts w:ascii="Traditional Arabic" w:hAnsi="Traditional Arabic" w:cs="Traditional Arabic"/>
          <w:sz w:val="30"/>
          <w:szCs w:val="30"/>
        </w:rPr>
        <w:t xml:space="preserve"> </w:t>
      </w:r>
      <w:r w:rsidRPr="00847370">
        <w:rPr>
          <w:rFonts w:ascii="Traditional Arabic" w:hAnsi="Traditional Arabic" w:cs="Traditional Arabic"/>
          <w:i/>
          <w:iCs/>
          <w:sz w:val="30"/>
          <w:szCs w:val="30"/>
          <w:rtl/>
        </w:rPr>
        <w:t>الانتهاكات</w:t>
      </w:r>
    </w:p>
    <w:p w14:paraId="750B30A4" w14:textId="505FDA14"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يحظّر القانون الدولي لحقوق الإنسان والقانون الدولي الإنساني الاختفاء القسري باعتباره انتهاكًا لمبدأ حظر الحرمان التعسفي من الحرية وربما حظر </w:t>
      </w:r>
      <w:r w:rsidRPr="009D7B92">
        <w:rPr>
          <w:rFonts w:ascii="Traditional Arabic" w:hAnsi="Traditional Arabic" w:cs="Traditional Arabic"/>
          <w:sz w:val="30"/>
          <w:szCs w:val="30"/>
          <w:rtl/>
        </w:rPr>
        <w:lastRenderedPageBreak/>
        <w:t xml:space="preserve">التعذيب </w:t>
      </w:r>
      <w:r w:rsidR="004E7D40">
        <w:rPr>
          <w:rStyle w:val="FootnoteReference"/>
          <w:rFonts w:cs="Traditional Arabic"/>
          <w:szCs w:val="30"/>
          <w:rtl/>
        </w:rPr>
        <w:footnoteReference w:id="909"/>
      </w:r>
      <w:r w:rsidRPr="009D7B92">
        <w:rPr>
          <w:rFonts w:ascii="Traditional Arabic" w:hAnsi="Traditional Arabic" w:cs="Traditional Arabic"/>
          <w:sz w:val="30"/>
          <w:szCs w:val="30"/>
          <w:rtl/>
        </w:rPr>
        <w:t xml:space="preserve">. فالتعذيب وغيره من ضروب المعاملة القاسية أو اللاإنسانية أو المهينة ممنوع منعاً باتاً بموجب كلا القانونين ويرقى إلى جرائم الحرب </w:t>
      </w:r>
      <w:r w:rsidR="004E7D40">
        <w:rPr>
          <w:rStyle w:val="FootnoteReference"/>
          <w:rFonts w:cs="Traditional Arabic"/>
          <w:szCs w:val="30"/>
          <w:rtl/>
        </w:rPr>
        <w:footnoteReference w:id="910"/>
      </w:r>
      <w:r w:rsidRPr="009D7B92">
        <w:rPr>
          <w:rFonts w:ascii="Traditional Arabic" w:hAnsi="Traditional Arabic" w:cs="Traditional Arabic"/>
          <w:sz w:val="30"/>
          <w:szCs w:val="30"/>
          <w:rtl/>
        </w:rPr>
        <w:t>. كما يحظّر القانون الدولي لحقوق الإنسان والقانون الدولي الإنساني الاحتجاز التعسفي</w:t>
      </w:r>
      <w:r w:rsidR="004E7D40">
        <w:rPr>
          <w:rStyle w:val="FootnoteReference"/>
          <w:rFonts w:cs="Traditional Arabic"/>
          <w:szCs w:val="30"/>
          <w:rtl/>
        </w:rPr>
        <w:footnoteReference w:id="911"/>
      </w:r>
      <w:r w:rsidRPr="009D7B92">
        <w:rPr>
          <w:rFonts w:ascii="Traditional Arabic" w:hAnsi="Traditional Arabic" w:cs="Traditional Arabic"/>
          <w:sz w:val="30"/>
          <w:szCs w:val="30"/>
          <w:rtl/>
        </w:rPr>
        <w:t xml:space="preserve"> . وتُعتبر حالات الحرمان من الحرية تعسفية ومخالفة لأحكام القانون الدولي، تحديداً تلك المتعلقة بالحق في محاكمة عادلة أو غيرها من الضمانات الإجرائية، أو بالحريات الأساسية </w:t>
      </w:r>
      <w:r w:rsidR="004E7D40">
        <w:rPr>
          <w:rStyle w:val="FootnoteReference"/>
          <w:rFonts w:cs="Traditional Arabic"/>
          <w:szCs w:val="30"/>
          <w:rtl/>
        </w:rPr>
        <w:footnoteReference w:id="912"/>
      </w:r>
      <w:r w:rsidRPr="009D7B92">
        <w:rPr>
          <w:rFonts w:ascii="Traditional Arabic" w:hAnsi="Traditional Arabic" w:cs="Traditional Arabic"/>
          <w:sz w:val="30"/>
          <w:szCs w:val="30"/>
          <w:rtl/>
        </w:rPr>
        <w:t>. فحرمان شخص من الحق في محاكمة عادلة قد يعتبر جريمة حرب في نزاع غير دولي</w:t>
      </w:r>
      <w:r w:rsidRPr="009D7B92">
        <w:rPr>
          <w:rFonts w:ascii="Traditional Arabic" w:hAnsi="Traditional Arabic" w:cs="Traditional Arabic"/>
          <w:sz w:val="30"/>
          <w:szCs w:val="30"/>
        </w:rPr>
        <w:t xml:space="preserve"> .</w:t>
      </w:r>
      <w:r w:rsidR="004E7D40">
        <w:rPr>
          <w:rStyle w:val="FootnoteReference"/>
          <w:rFonts w:cs="Traditional Arabic"/>
          <w:szCs w:val="30"/>
        </w:rPr>
        <w:footnoteReference w:id="913"/>
      </w:r>
    </w:p>
    <w:p w14:paraId="495603B5" w14:textId="584959A0" w:rsidR="009D7B92" w:rsidRPr="009D7B92" w:rsidRDefault="009D7B92" w:rsidP="005843F3">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من بين 17 حالة احتجاز حقق فيها فريق الخبراء في الحديدة، كان 13 محتجزاً   ضحية </w:t>
      </w:r>
      <w:r w:rsidR="005843F3">
        <w:rPr>
          <w:rFonts w:ascii="Traditional Arabic" w:hAnsi="Traditional Arabic" w:cs="Traditional Arabic" w:hint="cs"/>
          <w:sz w:val="30"/>
          <w:szCs w:val="30"/>
          <w:rtl/>
        </w:rPr>
        <w:t>ا</w:t>
      </w:r>
      <w:r w:rsidRPr="009D7B92">
        <w:rPr>
          <w:rFonts w:ascii="Traditional Arabic" w:hAnsi="Traditional Arabic" w:cs="Traditional Arabic"/>
          <w:sz w:val="30"/>
          <w:szCs w:val="30"/>
          <w:rtl/>
        </w:rPr>
        <w:t>لاختفاء</w:t>
      </w:r>
      <w:r w:rsidR="005843F3">
        <w:rPr>
          <w:rFonts w:ascii="Traditional Arabic" w:hAnsi="Traditional Arabic" w:cs="Traditional Arabic" w:hint="cs"/>
          <w:sz w:val="30"/>
          <w:szCs w:val="30"/>
          <w:rtl/>
        </w:rPr>
        <w:t>ات</w:t>
      </w:r>
      <w:r w:rsidRPr="009D7B92">
        <w:rPr>
          <w:rFonts w:ascii="Traditional Arabic" w:hAnsi="Traditional Arabic" w:cs="Traditional Arabic"/>
          <w:sz w:val="30"/>
          <w:szCs w:val="30"/>
          <w:rtl/>
        </w:rPr>
        <w:t xml:space="preserve"> القسري</w:t>
      </w:r>
      <w:r w:rsidR="005843F3">
        <w:rPr>
          <w:rFonts w:ascii="Traditional Arabic" w:hAnsi="Traditional Arabic" w:cs="Traditional Arabic" w:hint="cs"/>
          <w:sz w:val="30"/>
          <w:szCs w:val="30"/>
          <w:rtl/>
        </w:rPr>
        <w:t>ة</w:t>
      </w:r>
      <w:r w:rsidRPr="009D7B92">
        <w:rPr>
          <w:rFonts w:ascii="Traditional Arabic" w:hAnsi="Traditional Arabic" w:cs="Traditional Arabic"/>
          <w:sz w:val="30"/>
          <w:szCs w:val="30"/>
          <w:rtl/>
        </w:rPr>
        <w:t>،</w:t>
      </w:r>
      <w:r w:rsidR="004E7D40">
        <w:rPr>
          <w:rStyle w:val="FootnoteReference"/>
          <w:rFonts w:cs="Traditional Arabic"/>
          <w:szCs w:val="30"/>
          <w:rtl/>
        </w:rPr>
        <w:footnoteReference w:id="914"/>
      </w:r>
      <w:r w:rsidRPr="009D7B92">
        <w:rPr>
          <w:rFonts w:ascii="Traditional Arabic" w:hAnsi="Traditional Arabic" w:cs="Traditional Arabic"/>
          <w:sz w:val="30"/>
          <w:szCs w:val="30"/>
          <w:rtl/>
        </w:rPr>
        <w:t xml:space="preserve"> حيث رفض الحوثيون الاعتراف بعملية الاحتجاز، أو الكشف للأقارب عن مصير المحتجزين أو مكان وجودهم، أو اشترطوا منح هذه المعلومات مقابل الأموال. وتوجد شبكة من مراكز الاحتجاز السرية التي تدعم عمليات الاختفاء القسري على أيدي الحوثيين. وبالتالي، أصبح المحتجزون خارج حماية القانون وأصبحوا عُرضة لمزيد من انتهاكات حقوق الإنسان، مثل التعذيب وسوء المعاملة. بالإضافة إلى ذلك، وفي معظم الحالات التي تم التحقيق فيها، لم يحظ المحتجزون بإجراءات قضائية، في انتهاك صارخ للحق في المحاكمة العادلة. في معظم الحالات، يبدو أنه تمّ توقيف المحتجزين كونهم مارسوا حرياتهم الأساسية، وعلى الأخص حرية التعبير. وبالتالي، في جميع هذه الحالات، الحرمان من الحرية تعسّفي</w:t>
      </w:r>
      <w:r w:rsidRPr="009D7B92">
        <w:rPr>
          <w:rFonts w:ascii="Traditional Arabic" w:hAnsi="Traditional Arabic" w:cs="Traditional Arabic"/>
          <w:sz w:val="30"/>
          <w:szCs w:val="30"/>
        </w:rPr>
        <w:t>.</w:t>
      </w:r>
    </w:p>
    <w:p w14:paraId="03D9019C" w14:textId="037C76DF"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واستناداً إلى الأدلة التي تم جمعها واستعراضها، وجد فريق الخبراء أسبابا معقولة للاعتقاد بأن الحوثيين مسؤولون عن حالات الاختفاء القسري والاحتجاز التعسفي والتعذيب وسوء المعاملة في الحديدة. كذلك، وجد فريق الخبراء أيضًا أسبابًا معقولة للاعتقاد بأن أفراداً من سلطات الأمر الواقع ارتكبوا أفعالًا قد ترقى الى جرائم حرب، بما في ذلك المعاملة القاسية والتعذيب والاعتداء على الكرامة الشخصية</w:t>
      </w:r>
      <w:r w:rsidRPr="009D7B92">
        <w:rPr>
          <w:rFonts w:ascii="Traditional Arabic" w:hAnsi="Traditional Arabic" w:cs="Traditional Arabic"/>
          <w:sz w:val="30"/>
          <w:szCs w:val="30"/>
        </w:rPr>
        <w:t>.</w:t>
      </w:r>
    </w:p>
    <w:p w14:paraId="380AA604" w14:textId="49B7AD77" w:rsidR="009D7B92" w:rsidRPr="00847370" w:rsidRDefault="009D7B92" w:rsidP="00CF21FC">
      <w:pPr>
        <w:pStyle w:val="Footer"/>
        <w:tabs>
          <w:tab w:val="left" w:pos="720"/>
        </w:tabs>
        <w:bidi/>
        <w:spacing w:after="240"/>
        <w:ind w:left="1089" w:right="1089" w:hanging="810"/>
        <w:jc w:val="both"/>
        <w:rPr>
          <w:rFonts w:ascii="Traditional Arabic" w:hAnsi="Traditional Arabic" w:cs="Traditional Arabic"/>
          <w:b/>
          <w:bCs/>
          <w:sz w:val="30"/>
          <w:szCs w:val="30"/>
          <w:rtl/>
        </w:rPr>
      </w:pPr>
      <w:r w:rsidRPr="00847370">
        <w:rPr>
          <w:rFonts w:ascii="Traditional Arabic" w:hAnsi="Traditional Arabic" w:cs="Traditional Arabic"/>
          <w:b/>
          <w:bCs/>
          <w:sz w:val="30"/>
          <w:szCs w:val="30"/>
          <w:rtl/>
        </w:rPr>
        <w:t xml:space="preserve">ب) </w:t>
      </w:r>
      <w:r w:rsidR="00847370">
        <w:rPr>
          <w:rFonts w:ascii="Traditional Arabic" w:hAnsi="Traditional Arabic" w:cs="Traditional Arabic"/>
          <w:b/>
          <w:bCs/>
          <w:sz w:val="30"/>
          <w:szCs w:val="30"/>
          <w:rtl/>
        </w:rPr>
        <w:tab/>
      </w:r>
      <w:r w:rsidR="00847370">
        <w:rPr>
          <w:rFonts w:ascii="Traditional Arabic" w:hAnsi="Traditional Arabic" w:cs="Traditional Arabic"/>
          <w:b/>
          <w:bCs/>
          <w:sz w:val="30"/>
          <w:szCs w:val="30"/>
          <w:rtl/>
        </w:rPr>
        <w:tab/>
      </w:r>
      <w:r w:rsidRPr="00847370">
        <w:rPr>
          <w:rFonts w:ascii="Traditional Arabic" w:hAnsi="Traditional Arabic" w:cs="Traditional Arabic"/>
          <w:b/>
          <w:bCs/>
          <w:sz w:val="30"/>
          <w:szCs w:val="30"/>
          <w:rtl/>
        </w:rPr>
        <w:t>القوات المسلحة اليمنية والجماعات المسلحة التابعة لها</w:t>
      </w:r>
    </w:p>
    <w:p w14:paraId="0B8FC0FF" w14:textId="76ED6A6D" w:rsidR="009D7B92" w:rsidRPr="009D7B92" w:rsidRDefault="009D7B92" w:rsidP="00EF0578">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 xml:space="preserve">تلقّى فريق الخبراء البارزين تقارير عن عمليات احتجاز من جانب القوات الموالية للحكومة أثناء تقدمها عبر الحديدة </w:t>
      </w:r>
      <w:r w:rsidR="00D00B12">
        <w:rPr>
          <w:rStyle w:val="FootnoteReference"/>
          <w:rFonts w:cs="Traditional Arabic"/>
          <w:szCs w:val="30"/>
          <w:rtl/>
        </w:rPr>
        <w:footnoteReference w:id="915"/>
      </w:r>
      <w:r w:rsidRPr="009D7B92">
        <w:rPr>
          <w:rFonts w:ascii="Traditional Arabic" w:hAnsi="Traditional Arabic" w:cs="Traditional Arabic"/>
          <w:sz w:val="30"/>
          <w:szCs w:val="30"/>
          <w:rtl/>
        </w:rPr>
        <w:t xml:space="preserve">. وأُفيد عن احتجاز أشخاص في </w:t>
      </w:r>
      <w:r w:rsidRPr="009D7B92">
        <w:rPr>
          <w:rFonts w:ascii="Traditional Arabic" w:hAnsi="Traditional Arabic" w:cs="Traditional Arabic"/>
          <w:sz w:val="30"/>
          <w:szCs w:val="30"/>
          <w:rtl/>
        </w:rPr>
        <w:lastRenderedPageBreak/>
        <w:t xml:space="preserve">مخيم أبو موسى الأشعري </w:t>
      </w:r>
      <w:r w:rsidR="00D00B12">
        <w:rPr>
          <w:rStyle w:val="FootnoteReference"/>
          <w:rFonts w:cs="Traditional Arabic"/>
          <w:szCs w:val="30"/>
          <w:rtl/>
        </w:rPr>
        <w:footnoteReference w:id="916"/>
      </w:r>
      <w:r w:rsidRPr="009D7B92">
        <w:rPr>
          <w:rFonts w:ascii="Traditional Arabic" w:hAnsi="Traditional Arabic" w:cs="Traditional Arabic"/>
          <w:sz w:val="30"/>
          <w:szCs w:val="30"/>
          <w:rtl/>
        </w:rPr>
        <w:t>، في مديرية الخوخه. لم يكن الفريق قد أكمل تحقيقاته في هذه المزاعم وقت الانتهاء من هذا التقرير</w:t>
      </w:r>
      <w:r w:rsidRPr="009D7B92">
        <w:rPr>
          <w:rFonts w:ascii="Traditional Arabic" w:hAnsi="Traditional Arabic" w:cs="Traditional Arabic"/>
          <w:sz w:val="30"/>
          <w:szCs w:val="30"/>
        </w:rPr>
        <w:t>.</w:t>
      </w:r>
    </w:p>
    <w:p w14:paraId="00430834" w14:textId="09577EB4" w:rsidR="009D7B92" w:rsidRPr="00847370" w:rsidRDefault="00847370" w:rsidP="00CF21FC">
      <w:pPr>
        <w:pStyle w:val="Footer"/>
        <w:numPr>
          <w:ilvl w:val="0"/>
          <w:numId w:val="6"/>
        </w:numPr>
        <w:tabs>
          <w:tab w:val="left" w:pos="720"/>
        </w:tabs>
        <w:bidi/>
        <w:spacing w:after="240"/>
        <w:ind w:left="819" w:right="1089" w:hanging="270"/>
        <w:jc w:val="both"/>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    </w:t>
      </w:r>
      <w:r w:rsidR="009D7B92" w:rsidRPr="00847370">
        <w:rPr>
          <w:rFonts w:ascii="Traditional Arabic" w:hAnsi="Traditional Arabic" w:cs="Traditional Arabic"/>
          <w:b/>
          <w:bCs/>
          <w:sz w:val="30"/>
          <w:szCs w:val="30"/>
          <w:rtl/>
        </w:rPr>
        <w:t>تجنيد واستخدام الأطفال على يد ألوية العمالقة وقوات الحزام الأمني</w:t>
      </w:r>
    </w:p>
    <w:p w14:paraId="269E5941" w14:textId="77777777" w:rsidR="009D7B92" w:rsidRPr="00847370" w:rsidRDefault="009D7B92" w:rsidP="00CF21FC">
      <w:pPr>
        <w:pStyle w:val="Footer"/>
        <w:tabs>
          <w:tab w:val="left" w:pos="720"/>
        </w:tabs>
        <w:bidi/>
        <w:ind w:left="1089" w:right="1089" w:firstLine="360"/>
        <w:jc w:val="both"/>
        <w:rPr>
          <w:rFonts w:ascii="Traditional Arabic" w:hAnsi="Traditional Arabic" w:cs="Traditional Arabic"/>
          <w:i/>
          <w:iCs/>
          <w:sz w:val="30"/>
          <w:szCs w:val="30"/>
          <w:rtl/>
        </w:rPr>
      </w:pPr>
      <w:r w:rsidRPr="009D7B92">
        <w:rPr>
          <w:rFonts w:ascii="Traditional Arabic" w:hAnsi="Traditional Arabic" w:cs="Traditional Arabic"/>
          <w:sz w:val="30"/>
          <w:szCs w:val="30"/>
          <w:rtl/>
        </w:rPr>
        <w:t xml:space="preserve">لم </w:t>
      </w:r>
      <w:r w:rsidRPr="00847370">
        <w:rPr>
          <w:rFonts w:ascii="Traditional Arabic" w:hAnsi="Traditional Arabic" w:cs="Traditional Arabic"/>
          <w:i/>
          <w:iCs/>
          <w:sz w:val="30"/>
          <w:szCs w:val="30"/>
          <w:rtl/>
        </w:rPr>
        <w:t>أتخيل أبداً أنني سوف انضم إلى القوات المسلحة أو الجيش. كان حلمي أن أصبح معلماُ</w:t>
      </w:r>
      <w:r w:rsidRPr="00847370">
        <w:rPr>
          <w:rFonts w:ascii="Traditional Arabic" w:hAnsi="Traditional Arabic" w:cs="Traditional Arabic"/>
          <w:i/>
          <w:iCs/>
          <w:sz w:val="30"/>
          <w:szCs w:val="30"/>
        </w:rPr>
        <w:t xml:space="preserve"> "</w:t>
      </w:r>
    </w:p>
    <w:p w14:paraId="23D2EC75" w14:textId="1E4FFE23" w:rsidR="009D7B92" w:rsidRPr="00847370" w:rsidRDefault="009D7B92" w:rsidP="00CF21FC">
      <w:pPr>
        <w:pStyle w:val="Footer"/>
        <w:tabs>
          <w:tab w:val="left" w:pos="720"/>
        </w:tabs>
        <w:bidi/>
        <w:spacing w:after="240"/>
        <w:ind w:left="3402" w:right="1089"/>
        <w:jc w:val="both"/>
        <w:rPr>
          <w:rFonts w:ascii="Traditional Arabic" w:hAnsi="Traditional Arabic" w:cs="Traditional Arabic"/>
          <w:b/>
          <w:bCs/>
          <w:sz w:val="30"/>
          <w:szCs w:val="30"/>
          <w:rtl/>
        </w:rPr>
      </w:pPr>
      <w:r w:rsidRPr="00847370">
        <w:rPr>
          <w:rFonts w:ascii="Traditional Arabic" w:hAnsi="Traditional Arabic" w:cs="Traditional Arabic"/>
          <w:b/>
          <w:bCs/>
          <w:sz w:val="30"/>
          <w:szCs w:val="30"/>
          <w:rtl/>
        </w:rPr>
        <w:t>صبي يبلغ من العمر 18 عامًا، تم تجنيده عن عمر 15 عامًا وتم استخدامه في الأعمال العدائية في الحديدة من جانب الحزام الأمني</w:t>
      </w:r>
    </w:p>
    <w:p w14:paraId="6DC5FE32" w14:textId="14FDDFC2"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أجرى فريق الخبراء مقابلات مع ثلاثة جنود تم تجنيدهم من على يد الحزام الأمني المدعوم من الإمارات العربية المتحدة وألوية العمالقة في سياق تصاعد الأعمال القتالية على الساحل الغربي. ذكر اثنان منهم أنهما كانا في السابعة عشرة من العمر، بينما ذكر الثالث أنه كان في الثامنة عشرة من العمر وقت إجراء المقابلة. وذكروا أنه تم تجنيدهم في سن 14 و 15 و 17 على التوالي. قامت المجموعة بتوثيق 10 حالات أخرى من الأطفال الذين شاركوا في الهجوم في الدريهمي ، الحديدة ، حيث قتل أحدهم وأصيب اثنان أثناء مشاركتهما في الأعمال العدائية كأعضاء في ألوية العمالقة والحزام الأمني. للحصول على معلومات إضافية، راجع الفصل المعنون "تأثير النزاع على الأطفال</w:t>
      </w:r>
      <w:r w:rsidRPr="009D7B92">
        <w:rPr>
          <w:rFonts w:ascii="Traditional Arabic" w:hAnsi="Traditional Arabic" w:cs="Traditional Arabic"/>
          <w:sz w:val="30"/>
          <w:szCs w:val="30"/>
        </w:rPr>
        <w:t>."</w:t>
      </w:r>
    </w:p>
    <w:p w14:paraId="5A71E4F2" w14:textId="7DFC0935" w:rsidR="009D7B92" w:rsidRPr="00847370" w:rsidRDefault="00847370" w:rsidP="00CF21FC">
      <w:pPr>
        <w:pStyle w:val="Footer"/>
        <w:tabs>
          <w:tab w:val="left" w:pos="720"/>
        </w:tabs>
        <w:bidi/>
        <w:spacing w:after="240"/>
        <w:ind w:left="1089" w:right="1089" w:hanging="540"/>
        <w:jc w:val="both"/>
        <w:rPr>
          <w:rFonts w:ascii="Traditional Arabic" w:hAnsi="Traditional Arabic" w:cs="Traditional Arabic"/>
          <w:b/>
          <w:bCs/>
          <w:sz w:val="30"/>
          <w:szCs w:val="30"/>
          <w:rtl/>
        </w:rPr>
      </w:pPr>
      <w:r w:rsidRPr="00847370">
        <w:rPr>
          <w:rFonts w:ascii="Traditional Arabic" w:hAnsi="Traditional Arabic" w:cs="Traditional Arabic" w:hint="cs"/>
          <w:b/>
          <w:bCs/>
          <w:sz w:val="30"/>
          <w:szCs w:val="30"/>
          <w:rtl/>
        </w:rPr>
        <w:t>7.</w:t>
      </w:r>
      <w:r w:rsidRPr="00847370">
        <w:rPr>
          <w:rFonts w:ascii="Traditional Arabic" w:hAnsi="Traditional Arabic" w:cs="Traditional Arabic"/>
          <w:b/>
          <w:bCs/>
          <w:sz w:val="30"/>
          <w:szCs w:val="30"/>
          <w:rtl/>
        </w:rPr>
        <w:tab/>
      </w:r>
      <w:r w:rsidR="009D7B92" w:rsidRPr="00847370">
        <w:rPr>
          <w:rFonts w:ascii="Traditional Arabic" w:hAnsi="Traditional Arabic" w:cs="Traditional Arabic"/>
          <w:b/>
          <w:bCs/>
          <w:sz w:val="30"/>
          <w:szCs w:val="30"/>
        </w:rPr>
        <w:t xml:space="preserve"> </w:t>
      </w:r>
      <w:r w:rsidR="009D7B92" w:rsidRPr="00847370">
        <w:rPr>
          <w:rFonts w:ascii="Traditional Arabic" w:hAnsi="Traditional Arabic" w:cs="Traditional Arabic"/>
          <w:b/>
          <w:bCs/>
          <w:sz w:val="30"/>
          <w:szCs w:val="30"/>
          <w:rtl/>
        </w:rPr>
        <w:t>وضع جماعة الصيادين</w:t>
      </w:r>
    </w:p>
    <w:p w14:paraId="5E690C34" w14:textId="25312F9C"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استعرض فريق الخبراء وضع صيادي الأسماك على الساحل الغربي أثناء القتال في الحديدة وحولها. وظلّت الجماعة تتأثر بالنزاع بطرق مختلفة. وقد تعرّض الصيادون للغارات الجوية التي شنتها قوات التحالف وللقصف من جانب القوات المسلحة اليمنية والجماعات المدعومة من الإمارات العربية المتحدة. بالإضافة إلى ذلك، ظلّ بعضهم مختفين ومحتجزين سرياً في المملكة العربية السعودية. وقد أدى ذلك إلى تضرّر سبل عيشهم والى تأثير سلبي على وضع أفراد أسرهم الذين يبقون في حالة من الإهمال عندما يُقتل أو يصاب أو يختفي أرباب الأسر من الصيادين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17"/>
      </w:r>
      <w:r w:rsidRPr="009D7B92">
        <w:rPr>
          <w:rFonts w:ascii="Traditional Arabic" w:hAnsi="Traditional Arabic" w:cs="Traditional Arabic"/>
          <w:sz w:val="30"/>
          <w:szCs w:val="30"/>
        </w:rPr>
        <w:t>.</w:t>
      </w:r>
    </w:p>
    <w:p w14:paraId="7F05FD21" w14:textId="2BF37AC7"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نظر فريق الخبراء في المعلومات المتعلقة بالحوادث الجديدة منذ صدور تقريره عام 2018 والتي أسفرت عن مقتل صيادين بالسفن الحربية التابعة للتحالف في البحر الأحمر. وأسفرت الحوادث التي وقعت في أيار/ مايو وتموز/ يولي</w:t>
      </w:r>
      <w:r w:rsidR="00D00B12">
        <w:rPr>
          <w:rStyle w:val="FootnoteReference"/>
          <w:rFonts w:cs="Traditional Arabic"/>
          <w:szCs w:val="30"/>
          <w:rtl/>
        </w:rPr>
        <w:footnoteReference w:id="918"/>
      </w:r>
      <w:r w:rsidRPr="009D7B92">
        <w:rPr>
          <w:rFonts w:ascii="Traditional Arabic" w:hAnsi="Traditional Arabic" w:cs="Traditional Arabic"/>
          <w:sz w:val="30"/>
          <w:szCs w:val="30"/>
          <w:rtl/>
        </w:rPr>
        <w:t>و   وآب/ أغسطس</w:t>
      </w:r>
      <w:r w:rsidR="00D00B12">
        <w:rPr>
          <w:rStyle w:val="FootnoteReference"/>
          <w:rFonts w:cs="Traditional Arabic"/>
          <w:szCs w:val="30"/>
          <w:rtl/>
        </w:rPr>
        <w:footnoteReference w:id="919"/>
      </w:r>
      <w:r w:rsidRPr="009D7B92">
        <w:rPr>
          <w:rFonts w:ascii="Traditional Arabic" w:hAnsi="Traditional Arabic" w:cs="Traditional Arabic"/>
          <w:sz w:val="30"/>
          <w:szCs w:val="30"/>
          <w:rtl/>
        </w:rPr>
        <w:t xml:space="preserve">  وأيلول/ سبتمبر</w:t>
      </w:r>
      <w:r w:rsidR="00D00B12">
        <w:rPr>
          <w:rStyle w:val="FootnoteReference"/>
          <w:rFonts w:cs="Traditional Arabic"/>
          <w:szCs w:val="30"/>
          <w:rtl/>
        </w:rPr>
        <w:footnoteReference w:id="920"/>
      </w:r>
      <w:r w:rsidRPr="009D7B92">
        <w:rPr>
          <w:rFonts w:ascii="Traditional Arabic" w:hAnsi="Traditional Arabic" w:cs="Traditional Arabic"/>
          <w:sz w:val="30"/>
          <w:szCs w:val="30"/>
          <w:rtl/>
        </w:rPr>
        <w:t xml:space="preserve"> 2018   عن مقتل 32 صيادًا على الأقل وإصابة 19 آخرين، وأُفيد عن اختفاء صيادَين آخرَين. في هذه الحوادث، ورد أن القوارب قد دُمّرت بالكامل. وتصف معظم الحالات التي تم استعراضها الجهود التي بذلها الصيادون للتواصل مع السفينة الحربية أو </w:t>
      </w:r>
      <w:r w:rsidRPr="009D7B92">
        <w:rPr>
          <w:rFonts w:ascii="Traditional Arabic" w:hAnsi="Traditional Arabic" w:cs="Traditional Arabic"/>
          <w:sz w:val="30"/>
          <w:szCs w:val="30"/>
          <w:rtl/>
        </w:rPr>
        <w:lastRenderedPageBreak/>
        <w:t>المروحية المهاجمة، إما عن طريق التلويح بالأيدي، أو الأعلام البيضاء، أو عرض الأسماك، أو بشكل أساسي عن طريق الحصول على تصريح وتفويض من سلطات الميناء التي يجب أن تقرّ في البداية عن وجودهم القانوني في البحر</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1"/>
      </w:r>
    </w:p>
    <w:p w14:paraId="23CCDDD1" w14:textId="134D75A2"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بالإضافة إلى قضية القصف التي وقعت في 2 أب/ أغسطس 2018 في سوق صيد الأسماك في مدينة الحديدة (انظر القسم أعلاه حول القصف من جانب جُناة غير محددين)، حقق فريق الخبراء في قضية 15 أيلول/ سبتمبر 2018 بالقرب من مديرية الخوخة</w:t>
      </w:r>
      <w:r w:rsidRPr="009D7B92">
        <w:rPr>
          <w:rFonts w:ascii="Traditional Arabic" w:hAnsi="Traditional Arabic" w:cs="Traditional Arabic"/>
          <w:sz w:val="30"/>
          <w:szCs w:val="30"/>
        </w:rPr>
        <w:t>.</w:t>
      </w:r>
    </w:p>
    <w:p w14:paraId="59CA966F"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15</w:t>
      </w:r>
      <w:r w:rsidRPr="00847370">
        <w:rPr>
          <w:rFonts w:ascii="Traditional Arabic" w:hAnsi="Traditional Arabic" w:cs="Traditional Arabic"/>
          <w:i/>
          <w:iCs/>
          <w:sz w:val="30"/>
          <w:szCs w:val="30"/>
        </w:rPr>
        <w:t xml:space="preserve"> </w:t>
      </w:r>
      <w:r w:rsidRPr="00847370">
        <w:rPr>
          <w:rFonts w:ascii="Traditional Arabic" w:hAnsi="Traditional Arabic" w:cs="Traditional Arabic"/>
          <w:i/>
          <w:iCs/>
          <w:sz w:val="30"/>
          <w:szCs w:val="30"/>
          <w:rtl/>
        </w:rPr>
        <w:t>أيلول/ سبتمبر 2018 - الساحل الغربي، بالقرب من مديرية الخوخة</w:t>
      </w:r>
    </w:p>
    <w:p w14:paraId="4BFA0B06" w14:textId="5AE50C60"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في 15 أيلول/ سبتمبر 2018، أطلقت سفينة حربية تابعة للتحالف قذائف على قارب صيد يحمل 19 صيادًا من منطقة القدحة في مديرية الخوخة بمحافظة الحديدة. تمّ استهداف الصيادين بينما كانوا في رحلة صيد في منطقة قريبة من الحدود البحرية بين إريتريا واليمن. قُتل 18 صياداً. وتم إنقاذ الناجي الوحيد بواسطة قارب صيد آخر بعد يومين قبل وصوله إلى ساحل الخوخة حيث تلقى العلاج الطبي</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2"/>
      </w:r>
      <w:r w:rsidRPr="009D7B92">
        <w:rPr>
          <w:rFonts w:ascii="Traditional Arabic" w:hAnsi="Traditional Arabic" w:cs="Traditional Arabic"/>
          <w:sz w:val="30"/>
          <w:szCs w:val="30"/>
        </w:rPr>
        <w:t xml:space="preserve"> </w:t>
      </w:r>
    </w:p>
    <w:p w14:paraId="5285B1D5" w14:textId="16E0D76E"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tl/>
        </w:rPr>
        <w:t>تبقى الظروف الدقيقة لمقتل الصيادين غامضة، إذ اختفى الناجي الوحيد من الحادث. تلقى فريق الخبراء معلومات تفيد بأن المسؤولين الإماراتيين حاولوا التأكد من أن الشاهد الوحيد ومصادر وأقارب الصيادين الذين لقوا حتفهم سيلوذون بالصمت بشأن الحادث. كما تمّ دفع الأموال</w:t>
      </w:r>
      <w:r w:rsidRPr="009D7B92">
        <w:rPr>
          <w:rFonts w:ascii="Traditional Arabic" w:hAnsi="Traditional Arabic" w:cs="Traditional Arabic"/>
          <w:sz w:val="30"/>
          <w:szCs w:val="30"/>
        </w:rPr>
        <w:t>.</w:t>
      </w:r>
    </w:p>
    <w:p w14:paraId="6E040B3F" w14:textId="71B24D3B"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ألقى التحالف في البداية اللوم على الحوثيين في الحادث ونفى أي مشاركة في الهجوم ، وفقًا لتقرير صحافي من رويترز </w:t>
      </w:r>
      <w:r w:rsidR="00D00B12">
        <w:rPr>
          <w:rStyle w:val="FootnoteReference"/>
          <w:rFonts w:cs="Traditional Arabic"/>
          <w:szCs w:val="30"/>
          <w:rtl/>
        </w:rPr>
        <w:footnoteReference w:id="923"/>
      </w:r>
      <w:r w:rsidRPr="009D7B92">
        <w:rPr>
          <w:rFonts w:ascii="Traditional Arabic" w:hAnsi="Traditional Arabic" w:cs="Traditional Arabic"/>
          <w:sz w:val="30"/>
          <w:szCs w:val="30"/>
          <w:rtl/>
        </w:rPr>
        <w:t>. لكن أصدر فريق تقييم الحوادث المشترك  تقريراً عن الحادث بعد أشهر، أقرّ فيه بأن التحالف هو الذي نفّذ الهجوم. وأفاد أن الهجوم وقع عندما قامت سفينة حماية ترافق قافلة من السفن التجارية السعودية بزعم اكتشاف زورق كان يقترب من القافلة. ذكر فريق تقييم الحوادث المشترك أن التحالف حذّر قارب الصيد عبر مكبّرات الصوت وطلقات تحذيرية قبل أن تطلق سفينة التحالف النار على القارب. وأضاف فريق تقييم الحوادث المشترك أنه بعد الانتهاء من مهمة الحراسة، عادت السفينة الحربية التابعة للتحالف إلى موقع الحادث ونفذت عملية بحث وإنقاذ. ولم يتم العثور على ناجين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4"/>
      </w:r>
      <w:r w:rsidRPr="009D7B92">
        <w:rPr>
          <w:rFonts w:ascii="Traditional Arabic" w:hAnsi="Traditional Arabic" w:cs="Traditional Arabic"/>
          <w:sz w:val="30"/>
          <w:szCs w:val="30"/>
        </w:rPr>
        <w:t>.</w:t>
      </w:r>
    </w:p>
    <w:p w14:paraId="58ADBB16"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توقيف صيادين واحتجازهم واختفاؤهم</w:t>
      </w:r>
    </w:p>
    <w:p w14:paraId="1BEF13B6" w14:textId="3772BA38" w:rsid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 xml:space="preserve">تابع فريق الخبراء التقارير المتعلقة بالقبض على صيادين واحتجازهم في سياق العمليات البحرية حول محافظة الحديدة، على النحو الوارد </w:t>
      </w:r>
      <w:r w:rsidRPr="009D7B92">
        <w:rPr>
          <w:rFonts w:ascii="Traditional Arabic" w:hAnsi="Traditional Arabic" w:cs="Traditional Arabic"/>
          <w:sz w:val="30"/>
          <w:szCs w:val="30"/>
          <w:rtl/>
        </w:rPr>
        <w:lastRenderedPageBreak/>
        <w:t>في تقرير العام الماضي. في حين أن فريق الخبراء لم يتلق تقارير عن عمليات اعتقال واحتجاز جديدة، إلا أن لديه أسباباً معقولة للاعتقاد بأن صيادين يمنيين ما زالوا محتجزين سرياً في مرافق احتجاز في المملكة العربية السعودية. وما زال ثمانية منهم على الأقل محتجزين منذ أكثر من عامين</w:t>
      </w:r>
      <w:r w:rsidRPr="009D7B92">
        <w:rPr>
          <w:rFonts w:ascii="Traditional Arabic" w:hAnsi="Traditional Arabic" w:cs="Traditional Arabic"/>
          <w:sz w:val="30"/>
          <w:szCs w:val="30"/>
        </w:rPr>
        <w:t xml:space="preserve"> </w:t>
      </w:r>
      <w:r w:rsidR="00D00B12">
        <w:rPr>
          <w:rStyle w:val="FootnoteReference"/>
          <w:rFonts w:cs="Traditional Arabic"/>
          <w:szCs w:val="30"/>
        </w:rPr>
        <w:footnoteReference w:id="925"/>
      </w:r>
      <w:r w:rsidRPr="009D7B92">
        <w:rPr>
          <w:rFonts w:ascii="Traditional Arabic" w:hAnsi="Traditional Arabic" w:cs="Traditional Arabic"/>
          <w:sz w:val="30"/>
          <w:szCs w:val="30"/>
        </w:rPr>
        <w:t>.</w:t>
      </w:r>
    </w:p>
    <w:p w14:paraId="04B7F4C2" w14:textId="77777777" w:rsidR="009D7B92" w:rsidRPr="00847370" w:rsidRDefault="009D7B92" w:rsidP="00CF21FC">
      <w:pPr>
        <w:pStyle w:val="Footer"/>
        <w:tabs>
          <w:tab w:val="left" w:pos="720"/>
        </w:tabs>
        <w:bidi/>
        <w:spacing w:after="240"/>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Pr>
        <w:tab/>
      </w:r>
      <w:r w:rsidRPr="00847370">
        <w:rPr>
          <w:rFonts w:ascii="Traditional Arabic" w:hAnsi="Traditional Arabic" w:cs="Traditional Arabic"/>
          <w:i/>
          <w:iCs/>
          <w:sz w:val="30"/>
          <w:szCs w:val="30"/>
          <w:rtl/>
        </w:rPr>
        <w:t>تأثير طريقة التعامل مع جماعة الصيادين على النساء والأطفال</w:t>
      </w:r>
    </w:p>
    <w:p w14:paraId="203558B9" w14:textId="4C813DC9" w:rsidR="009D7B92" w:rsidRPr="009D7B92" w:rsidRDefault="009D7B92" w:rsidP="0084737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D7B92">
        <w:rPr>
          <w:rFonts w:ascii="Traditional Arabic" w:hAnsi="Traditional Arabic" w:cs="Traditional Arabic"/>
          <w:sz w:val="30"/>
          <w:szCs w:val="30"/>
        </w:rPr>
        <w:tab/>
      </w:r>
      <w:r w:rsidRPr="009D7B92">
        <w:rPr>
          <w:rFonts w:ascii="Traditional Arabic" w:hAnsi="Traditional Arabic" w:cs="Traditional Arabic"/>
          <w:sz w:val="30"/>
          <w:szCs w:val="30"/>
          <w:rtl/>
        </w:rPr>
        <w:t>كان لموت الصيادين واختفائهم تأثير شديد على أسرهم. وقد شرحت أرملة صياد لفريق الخبراء وضع أسرتها في الوقت الحالي، مما يوضّح التحديات التي تواجهها حالياً الزوجات والأطفال من جماعة الصيادين. قالت</w:t>
      </w:r>
      <w:r w:rsidRPr="009D7B92">
        <w:rPr>
          <w:rFonts w:ascii="Traditional Arabic" w:hAnsi="Traditional Arabic" w:cs="Traditional Arabic"/>
          <w:sz w:val="30"/>
          <w:szCs w:val="30"/>
        </w:rPr>
        <w:t>:</w:t>
      </w:r>
    </w:p>
    <w:p w14:paraId="0971681B" w14:textId="5FE9A93A" w:rsidR="0077685C" w:rsidRDefault="009D7B92" w:rsidP="009D7B92">
      <w:pPr>
        <w:pStyle w:val="Footer"/>
        <w:tabs>
          <w:tab w:val="left" w:pos="720"/>
        </w:tabs>
        <w:bidi/>
        <w:ind w:left="1089" w:right="1089"/>
        <w:jc w:val="both"/>
        <w:rPr>
          <w:rFonts w:ascii="Traditional Arabic" w:hAnsi="Traditional Arabic" w:cs="Traditional Arabic"/>
          <w:i/>
          <w:iCs/>
          <w:sz w:val="30"/>
          <w:szCs w:val="30"/>
          <w:rtl/>
        </w:rPr>
      </w:pPr>
      <w:r w:rsidRPr="00847370">
        <w:rPr>
          <w:rFonts w:ascii="Traditional Arabic" w:hAnsi="Traditional Arabic" w:cs="Traditional Arabic"/>
          <w:i/>
          <w:iCs/>
          <w:sz w:val="30"/>
          <w:szCs w:val="30"/>
          <w:rtl/>
        </w:rPr>
        <w:t>"اختفى زوجي الذي كان صيادًا. قيل لي إنه قُتل على يد مروحية أباتشي عندما كان في البحر. لدي ولدان وأربع فتيات. أعيش الآن في مدينة الحديدة. معي اثنتان من بناتي وصبي واحد. يعاني طفلي الصغير من إصابات في الدماغ ويحتاج إلى متابعة وعلاج مستمر. أخذته إلى الطبيب مرة واحدة، وقال الطبيب إنه بحاجة إلى العديد من الأدوية التي لا أستطيع تحمّل كلفتها. الفتاتان الأخريان خارج المدرسة لأننا لا نملك أي دخل ندفعه مقابل تعليمهما. هم بحاجة إلى الإنفاق اليومي والملابس، ولا أستطيع تحمّل المصاريف. أرسلت ابنتَي الأخريين البالغتين من العمر 19 و16 عامًا، إلى صديقة في صنعاء. هي ترسلهما إلى المدرسة وتصرف عليهما. أسأل عنهما من حين لآخر عبر الهاتف لأنني لا أستطيع الذهاب لزيارتها بسبب قلة الموارد. لدي ابن آخر لا أعرف عنه شيئًا. يعرف الحي عن وضعي ويحاول الجميع المساعدة بطريقتهم الخاصة. في معظم الأحيان نشعر بالجوع، نتوسل للناس لإطعامنا. خلال الغارات الجوية والاشتباكات نجلس معًا ونبكي مع أطفالي الثلاثة الباقين. أقضي يومي أحاول توفير بعض الطعام لأطفالي بأي وسيلة ممكنة".</w:t>
      </w:r>
      <w:r w:rsidR="00D00B12">
        <w:rPr>
          <w:rStyle w:val="FootnoteReference"/>
          <w:rFonts w:cs="Traditional Arabic"/>
          <w:i/>
          <w:iCs/>
          <w:szCs w:val="30"/>
          <w:rtl/>
        </w:rPr>
        <w:footnoteReference w:id="926"/>
      </w:r>
      <w:r w:rsidR="0077685C" w:rsidRPr="00847370">
        <w:rPr>
          <w:rFonts w:ascii="Traditional Arabic" w:hAnsi="Traditional Arabic" w:cs="Traditional Arabic"/>
          <w:i/>
          <w:iCs/>
          <w:sz w:val="30"/>
          <w:szCs w:val="30"/>
          <w:rtl/>
        </w:rPr>
        <w:tab/>
      </w:r>
    </w:p>
    <w:p w14:paraId="499920F6" w14:textId="220F4FF8" w:rsidR="00595527" w:rsidRPr="002D113B" w:rsidRDefault="0077685C" w:rsidP="00825FCB">
      <w:pPr>
        <w:pStyle w:val="Heading3"/>
        <w:tabs>
          <w:tab w:val="left" w:pos="720"/>
        </w:tabs>
        <w:bidi/>
        <w:spacing w:after="240"/>
        <w:rPr>
          <w:rFonts w:ascii="Traditional Arabic" w:hAnsi="Traditional Arabic" w:cs="Traditional Arabic"/>
          <w:b/>
          <w:bCs/>
          <w:sz w:val="30"/>
          <w:szCs w:val="30"/>
          <w:rtl/>
        </w:rPr>
      </w:pPr>
      <w:bookmarkStart w:id="30" w:name="_Toc18918110"/>
      <w:r w:rsidRPr="002D113B">
        <w:rPr>
          <w:rFonts w:ascii="Traditional Arabic" w:hAnsi="Traditional Arabic" w:cs="Traditional Arabic"/>
          <w:b/>
          <w:bCs/>
          <w:sz w:val="30"/>
          <w:szCs w:val="30"/>
          <w:rtl/>
        </w:rPr>
        <w:t>و.</w:t>
      </w:r>
      <w:r w:rsidRPr="002D113B">
        <w:rPr>
          <w:rFonts w:ascii="Traditional Arabic" w:hAnsi="Traditional Arabic" w:cs="Traditional Arabic"/>
          <w:b/>
          <w:bCs/>
          <w:sz w:val="30"/>
          <w:szCs w:val="30"/>
          <w:rtl/>
        </w:rPr>
        <w:tab/>
      </w:r>
      <w:r w:rsidR="00595527" w:rsidRPr="002D113B">
        <w:rPr>
          <w:rFonts w:ascii="Traditional Arabic" w:hAnsi="Traditional Arabic" w:cs="Traditional Arabic"/>
          <w:b/>
          <w:bCs/>
          <w:sz w:val="30"/>
          <w:szCs w:val="30"/>
          <w:rtl/>
        </w:rPr>
        <w:t>المهرة ( 2017- 2019)</w:t>
      </w:r>
      <w:bookmarkEnd w:id="30"/>
      <w:r w:rsidR="00595527" w:rsidRPr="002D113B">
        <w:rPr>
          <w:rFonts w:ascii="Traditional Arabic" w:hAnsi="Traditional Arabic" w:cs="Traditional Arabic"/>
          <w:b/>
          <w:bCs/>
          <w:sz w:val="30"/>
          <w:szCs w:val="30"/>
          <w:rtl/>
        </w:rPr>
        <w:t xml:space="preserve"> </w:t>
      </w:r>
    </w:p>
    <w:p w14:paraId="3775AAD9" w14:textId="77777777" w:rsidR="00554D52" w:rsidRPr="00554D52" w:rsidRDefault="00554D52" w:rsidP="00554D52">
      <w:pPr>
        <w:suppressAutoHyphens w:val="0"/>
        <w:bidi/>
        <w:spacing w:after="160" w:line="259" w:lineRule="auto"/>
        <w:ind w:left="284" w:right="827"/>
        <w:rPr>
          <w:rFonts w:ascii="Traditional Arabic" w:hAnsi="Traditional Arabic" w:cs="Traditional Arabic"/>
          <w:b/>
          <w:bCs/>
          <w:sz w:val="30"/>
          <w:szCs w:val="30"/>
          <w:rtl/>
        </w:rPr>
      </w:pPr>
      <w:r w:rsidRPr="00554D52">
        <w:rPr>
          <w:rFonts w:ascii="Traditional Arabic" w:hAnsi="Traditional Arabic" w:cs="Traditional Arabic"/>
          <w:sz w:val="30"/>
          <w:szCs w:val="30"/>
          <w:rtl/>
        </w:rPr>
        <w:t>1</w:t>
      </w:r>
      <w:r w:rsidRPr="00554D52">
        <w:rPr>
          <w:rFonts w:ascii="Traditional Arabic" w:hAnsi="Traditional Arabic" w:cs="Traditional Arabic"/>
          <w:b/>
          <w:bCs/>
          <w:sz w:val="30"/>
          <w:szCs w:val="30"/>
          <w:rtl/>
        </w:rPr>
        <w:t xml:space="preserve">. </w:t>
      </w:r>
      <w:r w:rsidRPr="00554D52">
        <w:rPr>
          <w:rFonts w:ascii="Traditional Arabic" w:hAnsi="Traditional Arabic" w:cs="Traditional Arabic" w:hint="eastAsia"/>
          <w:b/>
          <w:bCs/>
          <w:sz w:val="30"/>
          <w:szCs w:val="30"/>
          <w:rtl/>
        </w:rPr>
        <w:t>السياق</w:t>
      </w:r>
    </w:p>
    <w:p w14:paraId="38281F66" w14:textId="4B6E1055" w:rsidR="00554D52" w:rsidRPr="00554D52" w:rsidRDefault="00554D52" w:rsidP="002D11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تقع محافظة المهرة على الحدود اليمنية الشرقية مع ع</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مان. لقد تم تجن</w:t>
      </w:r>
      <w:r w:rsidRPr="00554D52">
        <w:rPr>
          <w:rFonts w:ascii="Traditional Arabic" w:hAnsi="Traditional Arabic" w:cs="Traditional Arabic" w:hint="eastAsia"/>
          <w:sz w:val="30"/>
          <w:szCs w:val="30"/>
          <w:rtl/>
        </w:rPr>
        <w:t>ي</w:t>
      </w:r>
      <w:r w:rsidRPr="00554D52">
        <w:rPr>
          <w:rFonts w:ascii="Traditional Arabic" w:hAnsi="Traditional Arabic" w:cs="Traditional Arabic"/>
          <w:sz w:val="30"/>
          <w:szCs w:val="30"/>
          <w:rtl/>
        </w:rPr>
        <w:t>ب</w:t>
      </w:r>
      <w:r w:rsidRPr="00554D52">
        <w:rPr>
          <w:rFonts w:ascii="Traditional Arabic" w:hAnsi="Traditional Arabic" w:cs="Traditional Arabic" w:hint="eastAsia"/>
          <w:sz w:val="30"/>
          <w:szCs w:val="30"/>
          <w:rtl/>
        </w:rPr>
        <w:t>ها</w:t>
      </w:r>
      <w:r w:rsidRPr="00554D52">
        <w:rPr>
          <w:rFonts w:ascii="Traditional Arabic" w:hAnsi="Traditional Arabic" w:cs="Traditional Arabic"/>
          <w:sz w:val="30"/>
          <w:szCs w:val="30"/>
          <w:rtl/>
        </w:rPr>
        <w:t xml:space="preserve"> تأثير النزاع </w:t>
      </w:r>
      <w:r w:rsidRPr="00554D52">
        <w:rPr>
          <w:rFonts w:ascii="Traditional Arabic" w:hAnsi="Traditional Arabic" w:cs="Traditional Arabic" w:hint="cs"/>
          <w:sz w:val="30"/>
          <w:szCs w:val="30"/>
          <w:rtl/>
        </w:rPr>
        <w:t xml:space="preserve">بشكل كبير </w:t>
      </w:r>
      <w:r w:rsidRPr="00554D52">
        <w:rPr>
          <w:rFonts w:ascii="Traditional Arabic" w:hAnsi="Traditional Arabic" w:cs="Traditional Arabic"/>
          <w:sz w:val="30"/>
          <w:szCs w:val="30"/>
          <w:rtl/>
        </w:rPr>
        <w:t>بسبب عزلته</w:t>
      </w:r>
      <w:r w:rsidRPr="00554D52">
        <w:rPr>
          <w:rFonts w:ascii="Traditional Arabic" w:hAnsi="Traditional Arabic" w:cs="Traditional Arabic" w:hint="eastAsia"/>
          <w:sz w:val="30"/>
          <w:szCs w:val="30"/>
          <w:rtl/>
        </w:rPr>
        <w:t>ا</w:t>
      </w:r>
      <w:r w:rsidRPr="00554D52">
        <w:rPr>
          <w:rFonts w:ascii="Traditional Arabic" w:hAnsi="Traditional Arabic" w:cs="Traditional Arabic"/>
          <w:sz w:val="30"/>
          <w:szCs w:val="30"/>
          <w:rtl/>
        </w:rPr>
        <w:t xml:space="preserve"> الجغرافية والسياسية. أبقت الصحارى والجبال والنظام القبلي السائد المهرة بعيدة عن الاضطرابات الاجتماعية والسياسية الماضية والمستمرة</w:t>
      </w:r>
      <w:r w:rsidRPr="00554D52">
        <w:rPr>
          <w:rFonts w:ascii="Traditional Arabic" w:hAnsi="Traditional Arabic" w:cs="Traditional Arabic"/>
          <w:sz w:val="30"/>
          <w:szCs w:val="30"/>
        </w:rPr>
        <w:t>.</w:t>
      </w:r>
    </w:p>
    <w:p w14:paraId="76495A5A" w14:textId="615E28E4"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 xml:space="preserve">في النزاع الحالي، انحازت السلطات المحلية إلى الحكومة ودعمت تدخل التحالف. في الوقت نفسه، تمكن </w:t>
      </w:r>
      <w:r w:rsidRPr="00554D52">
        <w:rPr>
          <w:rFonts w:ascii="Traditional Arabic" w:hAnsi="Traditional Arabic" w:cs="Traditional Arabic" w:hint="cs"/>
          <w:sz w:val="30"/>
          <w:szCs w:val="30"/>
          <w:rtl/>
        </w:rPr>
        <w:t>المهريون</w:t>
      </w:r>
      <w:r w:rsidRPr="00554D52">
        <w:rPr>
          <w:rFonts w:ascii="Traditional Arabic" w:hAnsi="Traditional Arabic" w:cs="Traditional Arabic"/>
          <w:sz w:val="30"/>
          <w:szCs w:val="30"/>
          <w:rtl/>
        </w:rPr>
        <w:t xml:space="preserve"> مؤخرًا من الحفاظ على النسيج الاجتماعي و</w:t>
      </w:r>
      <w:r w:rsidR="0020276A">
        <w:rPr>
          <w:rFonts w:ascii="Traditional Arabic" w:hAnsi="Traditional Arabic" w:cs="Traditional Arabic"/>
          <w:sz w:val="30"/>
          <w:szCs w:val="30"/>
          <w:rtl/>
        </w:rPr>
        <w:t>السياسي الموجود مسبقًا. ومع ذلك</w:t>
      </w:r>
      <w:r w:rsidRPr="00554D52">
        <w:rPr>
          <w:rFonts w:ascii="Traditional Arabic" w:hAnsi="Traditional Arabic" w:cs="Traditional Arabic"/>
          <w:sz w:val="30"/>
          <w:szCs w:val="30"/>
          <w:rtl/>
        </w:rPr>
        <w:t xml:space="preserve">، فقد تم اختبار القدرة على التحمل الاقتصادي والسياسي للمهرة من خلال تدخل أعضاء التحالف في أوقات منفصلة خلال السنوات الخمس الماضية. أولاً، حاولت دولة الإمارات العربية المتحدة، ثم المجلس الانتقالي الجنوبي المدعوم من الإمارات، كسب موطئ قدم عسكري أو سياسي في المحافظة </w:t>
      </w:r>
      <w:r w:rsidRPr="00554D52">
        <w:rPr>
          <w:rFonts w:ascii="Traditional Arabic" w:hAnsi="Traditional Arabic" w:cs="Traditional Arabic" w:hint="cs"/>
          <w:sz w:val="30"/>
          <w:szCs w:val="30"/>
          <w:rtl/>
        </w:rPr>
        <w:t>ولم يحالفهم</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w:t>
      </w:r>
      <w:r w:rsidRPr="00554D52">
        <w:rPr>
          <w:rFonts w:ascii="Traditional Arabic" w:hAnsi="Traditional Arabic" w:cs="Traditional Arabic"/>
          <w:sz w:val="30"/>
          <w:szCs w:val="30"/>
          <w:rtl/>
        </w:rPr>
        <w:t>نجاح. و</w:t>
      </w:r>
      <w:r w:rsidRPr="00554D52">
        <w:rPr>
          <w:rFonts w:ascii="Traditional Arabic" w:hAnsi="Traditional Arabic" w:cs="Traditional Arabic" w:hint="cs"/>
          <w:sz w:val="30"/>
          <w:szCs w:val="30"/>
          <w:rtl/>
        </w:rPr>
        <w:t xml:space="preserve">تبع </w:t>
      </w:r>
      <w:r w:rsidRPr="00554D52">
        <w:rPr>
          <w:rFonts w:ascii="Traditional Arabic" w:hAnsi="Traditional Arabic" w:cs="Traditional Arabic"/>
          <w:sz w:val="30"/>
          <w:szCs w:val="30"/>
          <w:rtl/>
        </w:rPr>
        <w:t xml:space="preserve">هذه المحاولات </w:t>
      </w:r>
      <w:r w:rsidRPr="00554D52">
        <w:rPr>
          <w:rFonts w:ascii="Traditional Arabic" w:hAnsi="Traditional Arabic" w:cs="Traditional Arabic" w:hint="cs"/>
          <w:sz w:val="30"/>
          <w:szCs w:val="30"/>
          <w:rtl/>
        </w:rPr>
        <w:t>قيام</w:t>
      </w:r>
      <w:r w:rsidRPr="00554D52">
        <w:rPr>
          <w:rFonts w:ascii="Traditional Arabic" w:hAnsi="Traditional Arabic" w:cs="Traditional Arabic"/>
          <w:sz w:val="30"/>
          <w:szCs w:val="30"/>
          <w:rtl/>
        </w:rPr>
        <w:t xml:space="preserve"> المملكة </w:t>
      </w:r>
      <w:r w:rsidRPr="00554D52">
        <w:rPr>
          <w:rFonts w:ascii="Traditional Arabic" w:hAnsi="Traditional Arabic" w:cs="Traditional Arabic"/>
          <w:sz w:val="30"/>
          <w:szCs w:val="30"/>
          <w:rtl/>
        </w:rPr>
        <w:lastRenderedPageBreak/>
        <w:t xml:space="preserve">العربية السعودية </w:t>
      </w:r>
      <w:r w:rsidRPr="00554D52">
        <w:rPr>
          <w:rFonts w:ascii="Traditional Arabic" w:hAnsi="Traditional Arabic" w:cs="Traditional Arabic" w:hint="cs"/>
          <w:sz w:val="30"/>
          <w:szCs w:val="30"/>
          <w:rtl/>
        </w:rPr>
        <w:t>ببذل جهود كبيره للسيطره على</w:t>
      </w:r>
      <w:r w:rsidRPr="00554D52">
        <w:rPr>
          <w:rFonts w:ascii="Traditional Arabic" w:hAnsi="Traditional Arabic" w:cs="Traditional Arabic"/>
          <w:sz w:val="30"/>
          <w:szCs w:val="30"/>
          <w:rtl/>
        </w:rPr>
        <w:t xml:space="preserve"> المهرة </w:t>
      </w:r>
      <w:r w:rsidRPr="00554D52">
        <w:rPr>
          <w:rFonts w:ascii="Traditional Arabic" w:hAnsi="Traditional Arabic" w:cs="Traditional Arabic" w:hint="cs"/>
          <w:sz w:val="30"/>
          <w:szCs w:val="30"/>
          <w:rtl/>
        </w:rPr>
        <w:t xml:space="preserve">ولا زالت هذه الجهود </w:t>
      </w:r>
      <w:r w:rsidRPr="00554D52">
        <w:rPr>
          <w:rFonts w:ascii="Traditional Arabic" w:hAnsi="Traditional Arabic" w:cs="Traditional Arabic"/>
          <w:sz w:val="30"/>
          <w:szCs w:val="30"/>
          <w:rtl/>
        </w:rPr>
        <w:t xml:space="preserve">مستمرة وقت كتابة هذا التقرير، </w:t>
      </w:r>
      <w:r w:rsidRPr="00554D52">
        <w:rPr>
          <w:rFonts w:ascii="Traditional Arabic" w:hAnsi="Traditional Arabic" w:cs="Traditional Arabic" w:hint="cs"/>
          <w:sz w:val="30"/>
          <w:szCs w:val="30"/>
          <w:rtl/>
        </w:rPr>
        <w:t>ويبدو ان التبرير</w:t>
      </w:r>
      <w:r w:rsidRPr="00554D52">
        <w:rPr>
          <w:rFonts w:ascii="Traditional Arabic" w:hAnsi="Traditional Arabic" w:cs="Traditional Arabic"/>
          <w:sz w:val="30"/>
          <w:szCs w:val="30"/>
          <w:rtl/>
        </w:rPr>
        <w:t xml:space="preserve"> الرسمي</w:t>
      </w:r>
      <w:r w:rsidRPr="00554D52">
        <w:rPr>
          <w:rFonts w:ascii="Traditional Arabic" w:hAnsi="Traditional Arabic" w:cs="Traditional Arabic" w:hint="cs"/>
          <w:sz w:val="30"/>
          <w:szCs w:val="30"/>
          <w:rtl/>
        </w:rPr>
        <w:t xml:space="preserve"> المعلن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هو ل</w:t>
      </w:r>
      <w:r w:rsidRPr="00554D52">
        <w:rPr>
          <w:rFonts w:ascii="Traditional Arabic" w:hAnsi="Traditional Arabic" w:cs="Traditional Arabic"/>
          <w:sz w:val="30"/>
          <w:szCs w:val="30"/>
          <w:rtl/>
        </w:rPr>
        <w:t>مواجهة التهريب المزعوم للأسلحة عبر المهرة</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27"/>
      </w:r>
    </w:p>
    <w:p w14:paraId="771C27C7" w14:textId="75093B75"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لقد أحدثت مساعي المملكة العربية السعودية لممارسة النفوذ في المحافظة تغييرات مهمة. ووفقًا لمصادر محلية، حصلت القوات السعودية على دعم من بعض القبائل داخل المحافظة، والتي تلقت في المقابل أسلحة وتدريبًا لدعم جهود مكافحة التهريب والأمن</w:t>
      </w:r>
      <w:r w:rsidR="002D462A">
        <w:rPr>
          <w:rStyle w:val="FootnoteReference"/>
          <w:rFonts w:cs="Traditional Arabic"/>
          <w:szCs w:val="30"/>
          <w:rtl/>
        </w:rPr>
        <w:footnoteReference w:id="928"/>
      </w:r>
      <w:r w:rsidRPr="00554D52">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 xml:space="preserve">بالإضافة إلى ذلك، أنشأت القوات السعودية قوات بالوكالة، والتي لم يكن لها أي صلة رسمية بالسلطات المحلية، </w:t>
      </w:r>
      <w:r w:rsidRPr="00554D52">
        <w:rPr>
          <w:rFonts w:ascii="Traditional Arabic" w:hAnsi="Traditional Arabic" w:cs="Traditional Arabic" w:hint="cs"/>
          <w:sz w:val="30"/>
          <w:szCs w:val="30"/>
          <w:rtl/>
        </w:rPr>
        <w:t>قوام هذه القوات</w:t>
      </w:r>
      <w:r w:rsidRPr="00554D52">
        <w:rPr>
          <w:rFonts w:ascii="Traditional Arabic" w:hAnsi="Traditional Arabic" w:cs="Traditional Arabic"/>
          <w:sz w:val="30"/>
          <w:szCs w:val="30"/>
          <w:rtl/>
        </w:rPr>
        <w:t xml:space="preserve"> من المحافظات الجنوبية المجاورة</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29"/>
      </w:r>
      <w:r w:rsidRPr="00554D52">
        <w:rPr>
          <w:rFonts w:ascii="Traditional Arabic" w:hAnsi="Traditional Arabic" w:cs="Traditional Arabic"/>
          <w:sz w:val="30"/>
          <w:szCs w:val="30"/>
          <w:rtl/>
        </w:rPr>
        <w:t xml:space="preserve">  قام السعوديون</w:t>
      </w:r>
      <w:r w:rsidRPr="00554D52">
        <w:rPr>
          <w:rFonts w:ascii="Traditional Arabic" w:hAnsi="Traditional Arabic" w:cs="Traditional Arabic" w:hint="cs"/>
          <w:sz w:val="30"/>
          <w:szCs w:val="30"/>
          <w:rtl/>
        </w:rPr>
        <w:t xml:space="preserve"> أيضا</w:t>
      </w:r>
      <w:r w:rsidRPr="00554D52">
        <w:rPr>
          <w:rFonts w:ascii="Traditional Arabic" w:hAnsi="Traditional Arabic" w:cs="Traditional Arabic"/>
          <w:sz w:val="30"/>
          <w:szCs w:val="30"/>
          <w:rtl/>
        </w:rPr>
        <w:t xml:space="preserve"> بتحويل مطار </w:t>
      </w:r>
      <w:r w:rsidRPr="00554D52">
        <w:rPr>
          <w:rFonts w:ascii="Traditional Arabic" w:hAnsi="Traditional Arabic" w:cs="Traditional Arabic" w:hint="cs"/>
          <w:sz w:val="30"/>
          <w:szCs w:val="30"/>
          <w:rtl/>
        </w:rPr>
        <w:t>الغيضه</w:t>
      </w:r>
      <w:r w:rsidRPr="00554D52">
        <w:rPr>
          <w:rFonts w:ascii="Traditional Arabic" w:hAnsi="Traditional Arabic" w:cs="Traditional Arabic"/>
          <w:sz w:val="30"/>
          <w:szCs w:val="30"/>
          <w:rtl/>
        </w:rPr>
        <w:t xml:space="preserve"> إلى قاعدة عسكرية، على نحو يخالف التعهدات المقدمة إلى السلطات المحلية. رافق وصول السعوديين تعيين الرئيس هادي ل</w:t>
      </w:r>
      <w:r w:rsidRPr="00554D52">
        <w:rPr>
          <w:rFonts w:ascii="Traditional Arabic" w:hAnsi="Traditional Arabic" w:cs="Traditional Arabic" w:hint="eastAsia"/>
          <w:sz w:val="30"/>
          <w:szCs w:val="30"/>
          <w:rtl/>
        </w:rPr>
        <w:t>محافظ</w:t>
      </w:r>
      <w:r w:rsidRPr="00554D52">
        <w:rPr>
          <w:rFonts w:ascii="Traditional Arabic" w:hAnsi="Traditional Arabic" w:cs="Traditional Arabic"/>
          <w:sz w:val="30"/>
          <w:szCs w:val="30"/>
          <w:rtl/>
        </w:rPr>
        <w:t xml:space="preserve"> جديد، راجح ب</w:t>
      </w:r>
      <w:r w:rsidRPr="00554D52">
        <w:rPr>
          <w:rFonts w:ascii="Traditional Arabic" w:hAnsi="Traditional Arabic" w:cs="Traditional Arabic" w:hint="cs"/>
          <w:sz w:val="30"/>
          <w:szCs w:val="30"/>
          <w:rtl/>
        </w:rPr>
        <w:t>ا</w:t>
      </w:r>
      <w:r w:rsidRPr="00554D52">
        <w:rPr>
          <w:rFonts w:ascii="Traditional Arabic" w:hAnsi="Traditional Arabic" w:cs="Traditional Arabic"/>
          <w:sz w:val="30"/>
          <w:szCs w:val="30"/>
          <w:rtl/>
        </w:rPr>
        <w:t>كريت، الذي يُعتقد أنه أكثر انسجامًا مع الخطط السعودية للمنطقة. و</w:t>
      </w:r>
      <w:r w:rsidRPr="00554D52">
        <w:rPr>
          <w:rFonts w:ascii="Traditional Arabic" w:hAnsi="Traditional Arabic" w:cs="Traditional Arabic" w:hint="eastAsia"/>
          <w:sz w:val="30"/>
          <w:szCs w:val="30"/>
          <w:rtl/>
        </w:rPr>
        <w:t>و</w:t>
      </w:r>
      <w:r w:rsidRPr="00554D52">
        <w:rPr>
          <w:rFonts w:ascii="Traditional Arabic" w:hAnsi="Traditional Arabic" w:cs="Traditional Arabic"/>
          <w:sz w:val="30"/>
          <w:szCs w:val="30"/>
          <w:rtl/>
        </w:rPr>
        <w:t xml:space="preserve">صل إلى المهرة في 1 </w:t>
      </w:r>
      <w:r w:rsidRPr="00554D52">
        <w:rPr>
          <w:rFonts w:ascii="Traditional Arabic" w:hAnsi="Traditional Arabic" w:cs="Traditional Arabic" w:hint="eastAsia"/>
          <w:sz w:val="30"/>
          <w:szCs w:val="30"/>
          <w:rtl/>
        </w:rPr>
        <w:t>كانون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الاول</w:t>
      </w:r>
      <w:r w:rsidRPr="00554D52">
        <w:rPr>
          <w:rFonts w:ascii="Traditional Arabic" w:hAnsi="Traditional Arabic" w:cs="Traditional Arabic"/>
          <w:sz w:val="30"/>
          <w:szCs w:val="30"/>
          <w:rtl/>
        </w:rPr>
        <w:t xml:space="preserve"> /يناير 2018</w:t>
      </w:r>
      <w:r w:rsidRPr="00554D52">
        <w:rPr>
          <w:rFonts w:ascii="Traditional Arabic" w:hAnsi="Traditional Arabic" w:cs="Traditional Arabic"/>
          <w:sz w:val="30"/>
          <w:szCs w:val="30"/>
        </w:rPr>
        <w:t>.</w:t>
      </w:r>
    </w:p>
    <w:p w14:paraId="0E2EEB84" w14:textId="3BEFFBD7"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ق</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وبل تأثير القوات السعودية على المهرة بمعارضة مختلف شرائح السكان ، مما تسبب في أزمة سياسية محتدمة، كما يتضح من المظاهرات المختلفة في جميع أنحاء المحافظة. رداً على المعارضة، ارتكبت القوات السعودية ونظيراتها اليمنية انتهاكات لحقوق الإنسان. يساور فريق الخبراء القلق من أن الجهود المستمرة التي تبذلها المملكة العربية السعودية لتوسيع قبضتها في الم</w:t>
      </w:r>
      <w:r w:rsidRPr="00554D52">
        <w:rPr>
          <w:rFonts w:ascii="Traditional Arabic" w:hAnsi="Traditional Arabic" w:cs="Traditional Arabic" w:hint="eastAsia"/>
          <w:sz w:val="30"/>
          <w:szCs w:val="30"/>
          <w:rtl/>
        </w:rPr>
        <w:t>حافظة</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يمكن أن تؤدي الى زيادة</w:t>
      </w:r>
      <w:r w:rsidRPr="00554D52">
        <w:rPr>
          <w:rFonts w:ascii="Traditional Arabic" w:hAnsi="Traditional Arabic" w:cs="Traditional Arabic"/>
          <w:sz w:val="30"/>
          <w:szCs w:val="30"/>
          <w:rtl/>
        </w:rPr>
        <w:t xml:space="preserve"> تدهور وضع حقوق الإنسان</w:t>
      </w:r>
      <w:r w:rsidRPr="00554D52">
        <w:rPr>
          <w:rFonts w:ascii="Traditional Arabic" w:hAnsi="Traditional Arabic" w:cs="Traditional Arabic"/>
          <w:sz w:val="30"/>
          <w:szCs w:val="30"/>
        </w:rPr>
        <w:t>.</w:t>
      </w:r>
    </w:p>
    <w:p w14:paraId="390DE1EC" w14:textId="3B8BE31B" w:rsidR="00554D52" w:rsidRPr="002D462A" w:rsidRDefault="00554D52" w:rsidP="002D462A">
      <w:pPr>
        <w:suppressAutoHyphens w:val="0"/>
        <w:bidi/>
        <w:spacing w:before="240" w:after="160" w:line="240" w:lineRule="auto"/>
        <w:ind w:left="332" w:right="827" w:hanging="143"/>
        <w:contextualSpacing/>
        <w:jc w:val="both"/>
        <w:rPr>
          <w:rFonts w:ascii="Traditional Arabic" w:hAnsi="Traditional Arabic" w:cs="Traditional Arabic"/>
          <w:b/>
          <w:bCs/>
          <w:sz w:val="30"/>
          <w:szCs w:val="30"/>
        </w:rPr>
      </w:pPr>
      <w:r w:rsidRPr="002D462A">
        <w:rPr>
          <w:rFonts w:ascii="Traditional Arabic" w:hAnsi="Traditional Arabic" w:cs="Traditional Arabic"/>
          <w:b/>
          <w:bCs/>
          <w:sz w:val="30"/>
          <w:szCs w:val="30"/>
          <w:rtl/>
        </w:rPr>
        <w:t xml:space="preserve">2. </w:t>
      </w:r>
      <w:r w:rsidR="002D462A">
        <w:rPr>
          <w:rFonts w:ascii="Traditional Arabic" w:hAnsi="Traditional Arabic" w:cs="Traditional Arabic"/>
          <w:b/>
          <w:bCs/>
          <w:sz w:val="30"/>
          <w:szCs w:val="30"/>
        </w:rPr>
        <w:tab/>
        <w:t xml:space="preserve">   </w:t>
      </w:r>
      <w:r w:rsidRPr="002D462A">
        <w:rPr>
          <w:rFonts w:ascii="Traditional Arabic" w:hAnsi="Traditional Arabic" w:cs="Traditional Arabic"/>
          <w:b/>
          <w:bCs/>
          <w:sz w:val="30"/>
          <w:szCs w:val="30"/>
          <w:rtl/>
        </w:rPr>
        <w:t xml:space="preserve">قتل المتظاهرين 13 </w:t>
      </w:r>
      <w:r w:rsidRPr="002D462A">
        <w:rPr>
          <w:rFonts w:ascii="Traditional Arabic" w:hAnsi="Traditional Arabic" w:cs="Traditional Arabic" w:hint="eastAsia"/>
          <w:b/>
          <w:bCs/>
          <w:sz w:val="30"/>
          <w:szCs w:val="30"/>
          <w:rtl/>
        </w:rPr>
        <w:t>تشرين</w:t>
      </w:r>
      <w:r w:rsidRPr="002D462A">
        <w:rPr>
          <w:rFonts w:ascii="Traditional Arabic" w:hAnsi="Traditional Arabic" w:cs="Traditional Arabic"/>
          <w:b/>
          <w:bCs/>
          <w:sz w:val="30"/>
          <w:szCs w:val="30"/>
          <w:rtl/>
        </w:rPr>
        <w:t xml:space="preserve"> </w:t>
      </w:r>
      <w:r w:rsidRPr="002D462A">
        <w:rPr>
          <w:rFonts w:ascii="Traditional Arabic" w:hAnsi="Traditional Arabic" w:cs="Traditional Arabic" w:hint="eastAsia"/>
          <w:b/>
          <w:bCs/>
          <w:sz w:val="30"/>
          <w:szCs w:val="30"/>
          <w:rtl/>
        </w:rPr>
        <w:t>الثاني</w:t>
      </w:r>
      <w:r w:rsidRPr="002D462A">
        <w:rPr>
          <w:rFonts w:ascii="Traditional Arabic" w:hAnsi="Traditional Arabic" w:cs="Traditional Arabic"/>
          <w:b/>
          <w:bCs/>
          <w:sz w:val="30"/>
          <w:szCs w:val="30"/>
          <w:rtl/>
        </w:rPr>
        <w:t>/نوفمبر 2018</w:t>
      </w:r>
    </w:p>
    <w:p w14:paraId="64A0F2B3" w14:textId="5F05A2C8" w:rsidR="00554D52" w:rsidRPr="00554D52" w:rsidRDefault="00554D52" w:rsidP="002D462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نظم رجال القبائل في محافظة المهرة عددًا من الاحتجاجات العامة ضد الوجود السعودي منذ نوفمبر 2017</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30"/>
      </w:r>
      <w:r w:rsidRPr="00554D52">
        <w:rPr>
          <w:rFonts w:ascii="Traditional Arabic" w:hAnsi="Traditional Arabic" w:cs="Traditional Arabic"/>
          <w:sz w:val="30"/>
          <w:szCs w:val="30"/>
          <w:rtl/>
        </w:rPr>
        <w:t xml:space="preserve"> كما وقع عدد من المصادمات المسلحة نتيجة لذلك، كان آخرها في 3 </w:t>
      </w:r>
      <w:r w:rsidRPr="00554D52">
        <w:rPr>
          <w:rFonts w:ascii="Traditional Arabic" w:hAnsi="Traditional Arabic" w:cs="Traditional Arabic" w:hint="eastAsia"/>
          <w:sz w:val="30"/>
          <w:szCs w:val="30"/>
          <w:rtl/>
        </w:rPr>
        <w:t>حزيران</w:t>
      </w:r>
      <w:r w:rsidRPr="00554D52">
        <w:rPr>
          <w:rFonts w:ascii="Traditional Arabic" w:hAnsi="Traditional Arabic" w:cs="Traditional Arabic"/>
          <w:sz w:val="30"/>
          <w:szCs w:val="30"/>
          <w:rtl/>
        </w:rPr>
        <w:t xml:space="preserve">/يونيو 2019، بين الميليشيات اليمنية، بدعم من </w:t>
      </w:r>
      <w:r w:rsidRPr="00554D52">
        <w:rPr>
          <w:rFonts w:ascii="Traditional Arabic" w:hAnsi="Traditional Arabic" w:cs="Traditional Arabic" w:hint="eastAsia"/>
          <w:sz w:val="30"/>
          <w:szCs w:val="30"/>
          <w:rtl/>
        </w:rPr>
        <w:t>طائرات</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الهليكوبتر</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w:t>
      </w:r>
      <w:r w:rsidRPr="00554D52">
        <w:rPr>
          <w:rFonts w:ascii="Traditional Arabic" w:hAnsi="Traditional Arabic" w:cs="Traditional Arabic"/>
          <w:sz w:val="30"/>
          <w:szCs w:val="30"/>
          <w:rtl/>
        </w:rPr>
        <w:t>أباتشي السعودية</w:t>
      </w:r>
      <w:r w:rsidRPr="00554D52">
        <w:rPr>
          <w:rFonts w:ascii="Traditional Arabic" w:hAnsi="Traditional Arabic" w:cs="Traditional Arabic" w:hint="eastAsia"/>
          <w:sz w:val="30"/>
          <w:szCs w:val="30"/>
          <w:rtl/>
        </w:rPr>
        <w:t>،</w:t>
      </w:r>
      <w:r w:rsidRPr="00554D52">
        <w:rPr>
          <w:rFonts w:ascii="Traditional Arabic" w:hAnsi="Traditional Arabic" w:cs="Traditional Arabic"/>
          <w:sz w:val="30"/>
          <w:szCs w:val="30"/>
          <w:rtl/>
        </w:rPr>
        <w:t xml:space="preserve"> وأفراد مسلحون ينتمون إلى قبائل محلية</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002D462A">
        <w:rPr>
          <w:rStyle w:val="FootnoteReference"/>
          <w:rFonts w:cs="Traditional Arabic"/>
          <w:szCs w:val="30"/>
        </w:rPr>
        <w:footnoteReference w:id="931"/>
      </w:r>
    </w:p>
    <w:p w14:paraId="0D8BA050" w14:textId="4754749F" w:rsidR="00554D52" w:rsidRPr="00554D52" w:rsidRDefault="00554D52" w:rsidP="0020276A">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Pr>
        <w:t xml:space="preserve"> </w:t>
      </w:r>
      <w:r w:rsidRPr="00554D52">
        <w:rPr>
          <w:rFonts w:ascii="Traditional Arabic" w:hAnsi="Traditional Arabic" w:cs="Traditional Arabic"/>
          <w:sz w:val="30"/>
          <w:szCs w:val="30"/>
          <w:rtl/>
        </w:rPr>
        <w:t xml:space="preserve">وقعت أخطر حادثة حتى الآن في 13 </w:t>
      </w:r>
      <w:r w:rsidR="0020276A">
        <w:rPr>
          <w:rFonts w:ascii="Traditional Arabic" w:hAnsi="Traditional Arabic" w:cs="Traditional Arabic" w:hint="cs"/>
          <w:sz w:val="30"/>
          <w:szCs w:val="30"/>
          <w:rtl/>
        </w:rPr>
        <w:t xml:space="preserve">تشرين الثاني/ </w:t>
      </w:r>
      <w:r w:rsidRPr="00554D52">
        <w:rPr>
          <w:rFonts w:ascii="Traditional Arabic" w:hAnsi="Traditional Arabic" w:cs="Traditional Arabic"/>
          <w:sz w:val="30"/>
          <w:szCs w:val="30"/>
          <w:rtl/>
        </w:rPr>
        <w:t>نوفمبر 2018، عندما تجمع المتظاهرون المسالمون في منطقة الحصوين، على الطريق الرئيسي في المكلا، إلى طريق الغيضة، غرب</w:t>
      </w:r>
      <w:r w:rsidRPr="00554D52">
        <w:rPr>
          <w:rFonts w:ascii="Traditional Arabic" w:hAnsi="Traditional Arabic" w:cs="Traditional Arabic"/>
          <w:sz w:val="30"/>
          <w:szCs w:val="30"/>
        </w:rPr>
        <w:t xml:space="preserve"> </w:t>
      </w:r>
      <w:r w:rsidRPr="00554D52">
        <w:rPr>
          <w:rFonts w:ascii="Traditional Arabic" w:hAnsi="Traditional Arabic" w:cs="Traditional Arabic" w:hint="cs"/>
          <w:sz w:val="30"/>
          <w:szCs w:val="30"/>
          <w:rtl/>
        </w:rPr>
        <w:t xml:space="preserve"> طريق</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w:t>
      </w:r>
      <w:r w:rsidRPr="00554D52">
        <w:rPr>
          <w:rFonts w:ascii="Traditional Arabic" w:hAnsi="Traditional Arabic" w:cs="Traditional Arabic"/>
          <w:sz w:val="30"/>
          <w:szCs w:val="30"/>
          <w:rtl/>
        </w:rPr>
        <w:t>أنفاق. كان</w:t>
      </w:r>
      <w:r w:rsidR="00411BA4">
        <w:rPr>
          <w:rFonts w:ascii="Traditional Arabic" w:hAnsi="Traditional Arabic" w:cs="Traditional Arabic" w:hint="cs"/>
          <w:sz w:val="30"/>
          <w:szCs w:val="30"/>
          <w:rtl/>
        </w:rPr>
        <w:t xml:space="preserve"> يوجد</w:t>
      </w:r>
      <w:r w:rsidRPr="00554D52">
        <w:rPr>
          <w:rFonts w:ascii="Traditional Arabic" w:hAnsi="Traditional Arabic" w:cs="Traditional Arabic"/>
          <w:sz w:val="30"/>
          <w:szCs w:val="30"/>
          <w:rtl/>
        </w:rPr>
        <w:t xml:space="preserve"> حوالي 100 متظاهر غير مسلح على جانب الطريق الرئيسي. كان الاحتجاج ضد البناء المقترح </w:t>
      </w:r>
      <w:r w:rsidRPr="00554D52">
        <w:rPr>
          <w:rFonts w:ascii="Traditional Arabic" w:hAnsi="Traditional Arabic" w:cs="Traditional Arabic" w:hint="cs"/>
          <w:sz w:val="30"/>
          <w:szCs w:val="30"/>
          <w:rtl/>
        </w:rPr>
        <w:t>لمعسكر</w:t>
      </w:r>
      <w:r w:rsidR="00411BA4">
        <w:rPr>
          <w:rFonts w:ascii="Traditional Arabic" w:hAnsi="Traditional Arabic" w:cs="Traditional Arabic"/>
          <w:sz w:val="30"/>
          <w:szCs w:val="30"/>
          <w:rtl/>
        </w:rPr>
        <w:t xml:space="preserve"> عسكري جديد</w:t>
      </w:r>
      <w:r w:rsidRPr="00554D52">
        <w:rPr>
          <w:rFonts w:ascii="Traditional Arabic" w:hAnsi="Traditional Arabic" w:cs="Traditional Arabic"/>
          <w:sz w:val="30"/>
          <w:szCs w:val="30"/>
          <w:rtl/>
        </w:rPr>
        <w:t xml:space="preserve">، والذي اعتبر المحتجون أنه غير ضروري بالنظر إلى </w:t>
      </w:r>
      <w:r w:rsidRPr="00554D52">
        <w:rPr>
          <w:rFonts w:ascii="Traditional Arabic" w:hAnsi="Traditional Arabic" w:cs="Traditional Arabic" w:hint="cs"/>
          <w:sz w:val="30"/>
          <w:szCs w:val="30"/>
          <w:rtl/>
        </w:rPr>
        <w:t xml:space="preserve">بعد </w:t>
      </w:r>
      <w:r w:rsidRPr="00554D52">
        <w:rPr>
          <w:rFonts w:ascii="Traditional Arabic" w:hAnsi="Traditional Arabic" w:cs="Traditional Arabic"/>
          <w:sz w:val="30"/>
          <w:szCs w:val="30"/>
          <w:rtl/>
        </w:rPr>
        <w:t xml:space="preserve">المسافة من أي </w:t>
      </w:r>
      <w:r w:rsidRPr="00554D52">
        <w:rPr>
          <w:rFonts w:ascii="Traditional Arabic" w:hAnsi="Traditional Arabic" w:cs="Traditional Arabic" w:hint="eastAsia"/>
          <w:sz w:val="30"/>
          <w:szCs w:val="30"/>
          <w:rtl/>
        </w:rPr>
        <w:t>نزاع</w:t>
      </w:r>
      <w:r w:rsidRPr="00554D52">
        <w:rPr>
          <w:rFonts w:ascii="Traditional Arabic" w:hAnsi="Traditional Arabic" w:cs="Traditional Arabic"/>
          <w:sz w:val="30"/>
          <w:szCs w:val="30"/>
          <w:rtl/>
        </w:rPr>
        <w:t xml:space="preserve"> أو تهديد أمني</w:t>
      </w:r>
      <w:r w:rsidRPr="00554D52">
        <w:rPr>
          <w:rFonts w:ascii="Traditional Arabic" w:hAnsi="Traditional Arabic" w:cs="Traditional Arabic" w:hint="cs"/>
          <w:sz w:val="30"/>
          <w:szCs w:val="30"/>
          <w:rtl/>
        </w:rPr>
        <w:t>.</w:t>
      </w:r>
      <w:r w:rsidR="002D462A">
        <w:rPr>
          <w:rStyle w:val="FootnoteReference"/>
          <w:rFonts w:cs="Traditional Arabic"/>
          <w:szCs w:val="30"/>
          <w:rtl/>
        </w:rPr>
        <w:footnoteReference w:id="932"/>
      </w:r>
    </w:p>
    <w:p w14:paraId="0D09F071" w14:textId="195FCDD4" w:rsidR="00554D52" w:rsidRDefault="00554D52" w:rsidP="000E1A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lastRenderedPageBreak/>
        <w:t>كانت القوات المسلحة اليمنية المدعومة من السعودية في موقع المظاهرة، وهي مزودة بمركب</w:t>
      </w:r>
      <w:r w:rsidR="0020276A">
        <w:rPr>
          <w:rFonts w:ascii="Traditional Arabic" w:hAnsi="Traditional Arabic" w:cs="Traditional Arabic" w:hint="cs"/>
          <w:sz w:val="30"/>
          <w:szCs w:val="30"/>
          <w:rtl/>
        </w:rPr>
        <w:t>ة</w:t>
      </w:r>
      <w:r w:rsidRPr="00554D52">
        <w:rPr>
          <w:rFonts w:ascii="Traditional Arabic" w:hAnsi="Traditional Arabic" w:cs="Traditional Arabic" w:hint="cs"/>
          <w:sz w:val="30"/>
          <w:szCs w:val="30"/>
          <w:rtl/>
        </w:rPr>
        <w:t xml:space="preserve"> مدرع</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ضد  الألغام</w:t>
      </w:r>
      <w:r w:rsidRPr="00554D52">
        <w:rPr>
          <w:rFonts w:ascii="Traditional Arabic" w:hAnsi="Traditional Arabic" w:cs="Traditional Arabic"/>
          <w:sz w:val="30"/>
          <w:szCs w:val="30"/>
        </w:rPr>
        <w:t xml:space="preserve"> </w:t>
      </w:r>
      <w:r w:rsidRPr="00554D52">
        <w:rPr>
          <w:rFonts w:ascii="Traditional Arabic" w:hAnsi="Traditional Arabic" w:cs="Traditional Arabic" w:hint="eastAsia"/>
          <w:sz w:val="30"/>
          <w:szCs w:val="30"/>
          <w:rtl/>
        </w:rPr>
        <w:t>وال</w:t>
      </w:r>
      <w:r w:rsidRPr="00554D52">
        <w:rPr>
          <w:rFonts w:ascii="Traditional Arabic" w:hAnsi="Traditional Arabic" w:cs="Traditional Arabic"/>
          <w:sz w:val="30"/>
          <w:szCs w:val="30"/>
          <w:rtl/>
        </w:rPr>
        <w:t xml:space="preserve">كمائن </w:t>
      </w:r>
      <w:r w:rsidRPr="00554D52">
        <w:rPr>
          <w:rFonts w:ascii="Traditional Arabic" w:hAnsi="Traditional Arabic" w:cs="Traditional Arabic"/>
          <w:sz w:val="30"/>
          <w:szCs w:val="30"/>
        </w:rPr>
        <w:t xml:space="preserve">(MAPV) </w:t>
      </w:r>
      <w:r w:rsidRPr="00554D52">
        <w:rPr>
          <w:rFonts w:ascii="Traditional Arabic" w:hAnsi="Traditional Arabic" w:cs="Traditional Arabic" w:hint="cs"/>
          <w:sz w:val="30"/>
          <w:szCs w:val="30"/>
          <w:rtl/>
        </w:rPr>
        <w:t xml:space="preserve"> بالاضافه </w:t>
      </w:r>
      <w:r w:rsidRPr="00554D52">
        <w:rPr>
          <w:rFonts w:ascii="Traditional Arabic" w:hAnsi="Traditional Arabic" w:cs="Traditional Arabic"/>
          <w:sz w:val="30"/>
          <w:szCs w:val="30"/>
          <w:rtl/>
        </w:rPr>
        <w:t xml:space="preserve">إلى 11 مركبة عسكرية </w:t>
      </w:r>
      <w:r w:rsidRPr="00554D52">
        <w:rPr>
          <w:rFonts w:ascii="Traditional Arabic" w:hAnsi="Traditional Arabic" w:cs="Traditional Arabic" w:hint="cs"/>
          <w:sz w:val="30"/>
          <w:szCs w:val="30"/>
          <w:rtl/>
        </w:rPr>
        <w:t>مسلحة</w:t>
      </w:r>
      <w:r w:rsidR="0020276A" w:rsidRPr="0020276A">
        <w:rPr>
          <w:rFonts w:ascii="Traditional Arabic" w:hAnsi="Traditional Arabic" w:cs="Traditional Arabic"/>
          <w:sz w:val="30"/>
          <w:szCs w:val="30"/>
          <w:rtl/>
        </w:rPr>
        <w:t xml:space="preserve"> </w:t>
      </w:r>
      <w:r w:rsidR="0020276A" w:rsidRPr="00554D52">
        <w:rPr>
          <w:rFonts w:ascii="Traditional Arabic" w:hAnsi="Traditional Arabic" w:cs="Traditional Arabic"/>
          <w:sz w:val="30"/>
          <w:szCs w:val="30"/>
          <w:rtl/>
        </w:rPr>
        <w:t>أخرى</w:t>
      </w:r>
      <w:r w:rsidRPr="00554D52">
        <w:rPr>
          <w:rFonts w:ascii="Traditional Arabic" w:hAnsi="Traditional Arabic" w:cs="Traditional Arabic"/>
          <w:sz w:val="30"/>
          <w:szCs w:val="30"/>
          <w:rtl/>
        </w:rPr>
        <w:t xml:space="preserve">. من الساعة 17:00 إلى الساعة 23:30، بقي الأفراد العسكريون المدعومون من السعودية </w:t>
      </w:r>
      <w:r w:rsidR="00411BA4">
        <w:rPr>
          <w:rFonts w:ascii="Traditional Arabic" w:hAnsi="Traditional Arabic" w:cs="Traditional Arabic" w:hint="cs"/>
          <w:sz w:val="30"/>
          <w:szCs w:val="30"/>
          <w:rtl/>
        </w:rPr>
        <w:t xml:space="preserve">على بعد </w:t>
      </w:r>
      <w:r w:rsidRPr="00554D52">
        <w:rPr>
          <w:rFonts w:ascii="Traditional Arabic" w:hAnsi="Traditional Arabic" w:cs="Traditional Arabic"/>
          <w:sz w:val="30"/>
          <w:szCs w:val="30"/>
          <w:rtl/>
        </w:rPr>
        <w:t>حوالي 100</w:t>
      </w:r>
      <w:r w:rsidR="0020276A">
        <w:rPr>
          <w:rFonts w:ascii="Traditional Arabic" w:hAnsi="Traditional Arabic" w:cs="Traditional Arabic" w:hint="cs"/>
          <w:sz w:val="30"/>
          <w:szCs w:val="30"/>
          <w:rtl/>
        </w:rPr>
        <w:t xml:space="preserve"> إلى </w:t>
      </w:r>
      <w:r w:rsidRPr="00554D52">
        <w:rPr>
          <w:rFonts w:ascii="Traditional Arabic" w:hAnsi="Traditional Arabic" w:cs="Traditional Arabic"/>
          <w:sz w:val="30"/>
          <w:szCs w:val="30"/>
          <w:rtl/>
        </w:rPr>
        <w:t xml:space="preserve">150 متر </w:t>
      </w:r>
      <w:r w:rsidRPr="00554D52">
        <w:rPr>
          <w:rFonts w:ascii="Traditional Arabic" w:hAnsi="Traditional Arabic" w:cs="Traditional Arabic" w:hint="cs"/>
          <w:sz w:val="30"/>
          <w:szCs w:val="30"/>
          <w:rtl/>
        </w:rPr>
        <w:t>من</w:t>
      </w:r>
      <w:r w:rsidR="0020276A">
        <w:rPr>
          <w:rFonts w:ascii="Traditional Arabic" w:hAnsi="Traditional Arabic" w:cs="Traditional Arabic"/>
          <w:sz w:val="30"/>
          <w:szCs w:val="30"/>
          <w:rtl/>
        </w:rPr>
        <w:t xml:space="preserve"> المتظاهرين. في الساعة 23:30</w:t>
      </w:r>
      <w:r w:rsidRPr="00554D52">
        <w:rPr>
          <w:rFonts w:ascii="Traditional Arabic" w:hAnsi="Traditional Arabic" w:cs="Traditional Arabic"/>
          <w:sz w:val="30"/>
          <w:szCs w:val="30"/>
          <w:rtl/>
        </w:rPr>
        <w:t xml:space="preserve">، تحركت </w:t>
      </w:r>
      <w:r w:rsidRPr="00554D52">
        <w:rPr>
          <w:rFonts w:ascii="Traditional Arabic" w:hAnsi="Traditional Arabic" w:cs="Traditional Arabic" w:hint="cs"/>
          <w:sz w:val="30"/>
          <w:szCs w:val="30"/>
          <w:rtl/>
        </w:rPr>
        <w:t>المركبه المدرعه</w:t>
      </w:r>
      <w:r w:rsidRPr="00554D52">
        <w:rPr>
          <w:rFonts w:ascii="Traditional Arabic" w:hAnsi="Traditional Arabic" w:cs="Traditional Arabic"/>
          <w:sz w:val="30"/>
          <w:szCs w:val="30"/>
          <w:rtl/>
        </w:rPr>
        <w:t xml:space="preserve"> ب</w:t>
      </w:r>
      <w:r w:rsidR="00C4410A">
        <w:rPr>
          <w:rFonts w:ascii="Traditional Arabic" w:hAnsi="Traditional Arabic" w:cs="Traditional Arabic" w:hint="cs"/>
          <w:sz w:val="30"/>
          <w:szCs w:val="30"/>
          <w:rtl/>
        </w:rPr>
        <w:t xml:space="preserve">بطء </w:t>
      </w:r>
      <w:r w:rsidRPr="00554D52">
        <w:rPr>
          <w:rFonts w:ascii="Traditional Arabic" w:hAnsi="Traditional Arabic" w:cs="Traditional Arabic"/>
          <w:sz w:val="30"/>
          <w:szCs w:val="30"/>
          <w:rtl/>
        </w:rPr>
        <w:t xml:space="preserve">بين المتظاهرين، ثم بدأ سلاحها المثبت في إطلاق النار عليهم عشوائيًا </w:t>
      </w:r>
      <w:r w:rsidR="00EC4D59" w:rsidRPr="00EC4D59">
        <w:rPr>
          <w:rFonts w:ascii="Traditional Arabic" w:hAnsi="Traditional Arabic" w:cs="Traditional Arabic" w:hint="cs"/>
          <w:sz w:val="30"/>
          <w:szCs w:val="30"/>
          <w:rtl/>
        </w:rPr>
        <w:t xml:space="preserve">في </w:t>
      </w:r>
      <w:r w:rsidR="0040706B">
        <w:rPr>
          <w:rFonts w:ascii="Traditional Arabic" w:hAnsi="Traditional Arabic" w:cs="Traditional Arabic" w:hint="cs"/>
          <w:sz w:val="30"/>
          <w:szCs w:val="30"/>
          <w:rtl/>
        </w:rPr>
        <w:t>ما بدا ك</w:t>
      </w:r>
      <w:r w:rsidRPr="00554D52">
        <w:rPr>
          <w:rFonts w:ascii="Traditional Arabic" w:hAnsi="Traditional Arabic" w:cs="Traditional Arabic"/>
          <w:sz w:val="30"/>
          <w:szCs w:val="30"/>
          <w:rtl/>
        </w:rPr>
        <w:t xml:space="preserve">رشقات نارية من مسافة قريبة، مما أدى إلى مقتل اثنين من المتظاهرين في مكان الحدث. أصيب متظاهر ثالث بجروح خطيرة لكنه تمكن من الفرار إلى بر الأمان. </w:t>
      </w:r>
      <w:r w:rsidR="0040706B">
        <w:rPr>
          <w:rFonts w:ascii="Traditional Arabic" w:hAnsi="Traditional Arabic" w:cs="Traditional Arabic" w:hint="cs"/>
          <w:sz w:val="30"/>
          <w:szCs w:val="30"/>
          <w:rtl/>
        </w:rPr>
        <w:t xml:space="preserve">سارت </w:t>
      </w:r>
      <w:r w:rsidRPr="00554D52">
        <w:rPr>
          <w:rFonts w:ascii="Traditional Arabic" w:hAnsi="Traditional Arabic" w:cs="Traditional Arabic" w:hint="eastAsia"/>
          <w:sz w:val="30"/>
          <w:szCs w:val="30"/>
          <w:rtl/>
        </w:rPr>
        <w:t>المركب</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المدرع</w:t>
      </w:r>
      <w:r w:rsidR="0020276A">
        <w:rPr>
          <w:rFonts w:ascii="Traditional Arabic" w:hAnsi="Traditional Arabic" w:cs="Traditional Arabic" w:hint="cs"/>
          <w:sz w:val="30"/>
          <w:szCs w:val="30"/>
          <w:rtl/>
        </w:rPr>
        <w:t>ة</w:t>
      </w:r>
      <w:r w:rsidRPr="00554D52">
        <w:rPr>
          <w:rFonts w:ascii="Traditional Arabic" w:hAnsi="Traditional Arabic" w:cs="Traditional Arabic"/>
          <w:sz w:val="30"/>
          <w:szCs w:val="30"/>
          <w:rtl/>
        </w:rPr>
        <w:t xml:space="preserve"> </w:t>
      </w:r>
      <w:r w:rsidR="0040706B">
        <w:rPr>
          <w:rFonts w:ascii="Traditional Arabic" w:hAnsi="Traditional Arabic" w:cs="Traditional Arabic" w:hint="cs"/>
          <w:sz w:val="30"/>
          <w:szCs w:val="30"/>
          <w:rtl/>
        </w:rPr>
        <w:t xml:space="preserve">في مختلف أنحاء </w:t>
      </w:r>
      <w:r w:rsidRPr="00554D52">
        <w:rPr>
          <w:rFonts w:ascii="Traditional Arabic" w:hAnsi="Traditional Arabic" w:cs="Traditional Arabic"/>
          <w:sz w:val="30"/>
          <w:szCs w:val="30"/>
          <w:rtl/>
        </w:rPr>
        <w:t xml:space="preserve">الموقع وهي تطلق النار على المتظاهرين </w:t>
      </w:r>
      <w:r w:rsidR="0040706B">
        <w:rPr>
          <w:rFonts w:ascii="Traditional Arabic" w:hAnsi="Traditional Arabic" w:cs="Traditional Arabic" w:hint="cs"/>
          <w:sz w:val="30"/>
          <w:szCs w:val="30"/>
          <w:rtl/>
        </w:rPr>
        <w:t xml:space="preserve">وكان ذلك </w:t>
      </w:r>
      <w:r w:rsidRPr="00554D52">
        <w:rPr>
          <w:rFonts w:ascii="Traditional Arabic" w:hAnsi="Traditional Arabic" w:cs="Traditional Arabic"/>
          <w:sz w:val="30"/>
          <w:szCs w:val="30"/>
          <w:rtl/>
        </w:rPr>
        <w:t>لمدة خمس دقائق</w:t>
      </w:r>
      <w:r w:rsidR="0040706B">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حتى فر</w:t>
      </w:r>
      <w:r w:rsidR="0040706B">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المتظاهرون جميعًا</w:t>
      </w:r>
      <w:r w:rsidR="0020276A">
        <w:rPr>
          <w:rFonts w:ascii="Traditional Arabic" w:hAnsi="Traditional Arabic" w:cs="Traditional Arabic"/>
          <w:sz w:val="30"/>
          <w:szCs w:val="30"/>
          <w:rtl/>
        </w:rPr>
        <w:t xml:space="preserve"> إلى الجبال القريبة </w:t>
      </w:r>
      <w:r w:rsidR="0040706B">
        <w:rPr>
          <w:rFonts w:ascii="Traditional Arabic" w:hAnsi="Traditional Arabic" w:cs="Traditional Arabic" w:hint="cs"/>
          <w:sz w:val="30"/>
          <w:szCs w:val="30"/>
          <w:rtl/>
        </w:rPr>
        <w:t>و</w:t>
      </w:r>
      <w:r w:rsidR="0040706B">
        <w:rPr>
          <w:rFonts w:ascii="Traditional Arabic" w:hAnsi="Traditional Arabic" w:cs="Traditional Arabic"/>
          <w:sz w:val="30"/>
          <w:szCs w:val="30"/>
          <w:rtl/>
        </w:rPr>
        <w:t>اختبأ</w:t>
      </w:r>
      <w:r w:rsidR="0040706B">
        <w:rPr>
          <w:rFonts w:ascii="Traditional Arabic" w:hAnsi="Traditional Arabic" w:cs="Traditional Arabic" w:hint="cs"/>
          <w:sz w:val="30"/>
          <w:szCs w:val="30"/>
          <w:rtl/>
        </w:rPr>
        <w:t xml:space="preserve">وا، فقامت </w:t>
      </w:r>
      <w:r w:rsidRPr="00554D52">
        <w:rPr>
          <w:rFonts w:ascii="Traditional Arabic" w:hAnsi="Traditional Arabic" w:cs="Traditional Arabic"/>
          <w:sz w:val="30"/>
          <w:szCs w:val="30"/>
          <w:rtl/>
        </w:rPr>
        <w:t xml:space="preserve"> </w:t>
      </w:r>
      <w:r w:rsidR="0040706B">
        <w:rPr>
          <w:rFonts w:ascii="Traditional Arabic" w:hAnsi="Traditional Arabic" w:cs="Traditional Arabic" w:hint="cs"/>
          <w:sz w:val="30"/>
          <w:szCs w:val="30"/>
          <w:rtl/>
        </w:rPr>
        <w:t xml:space="preserve">المركبة </w:t>
      </w:r>
      <w:r w:rsidRPr="00554D52">
        <w:rPr>
          <w:rFonts w:ascii="Traditional Arabic" w:hAnsi="Traditional Arabic" w:cs="Traditional Arabic"/>
          <w:sz w:val="30"/>
          <w:szCs w:val="30"/>
          <w:rtl/>
        </w:rPr>
        <w:t>مدعومة من القوات المسلحة</w:t>
      </w:r>
      <w:r w:rsidR="0040706B">
        <w:rPr>
          <w:rFonts w:ascii="Traditional Arabic" w:hAnsi="Traditional Arabic" w:cs="Traditional Arabic" w:hint="cs"/>
          <w:sz w:val="30"/>
          <w:szCs w:val="30"/>
          <w:rtl/>
        </w:rPr>
        <w:t xml:space="preserve"> الأخرى بإطلاق</w:t>
      </w:r>
      <w:r w:rsidRPr="00554D52">
        <w:rPr>
          <w:rFonts w:ascii="Traditional Arabic" w:hAnsi="Traditional Arabic" w:cs="Traditional Arabic"/>
          <w:sz w:val="30"/>
          <w:szCs w:val="30"/>
          <w:rtl/>
        </w:rPr>
        <w:t xml:space="preserve"> النيران بشكل متقطع على </w:t>
      </w:r>
      <w:r w:rsidR="0040706B">
        <w:rPr>
          <w:rFonts w:ascii="Traditional Arabic" w:hAnsi="Traditional Arabic" w:cs="Traditional Arabic" w:hint="cs"/>
          <w:sz w:val="30"/>
          <w:szCs w:val="30"/>
          <w:rtl/>
        </w:rPr>
        <w:t>أماكن إختبائهم</w:t>
      </w:r>
      <w:r w:rsidRPr="00554D52">
        <w:rPr>
          <w:rFonts w:ascii="Traditional Arabic" w:hAnsi="Traditional Arabic" w:cs="Traditional Arabic"/>
          <w:sz w:val="30"/>
          <w:szCs w:val="30"/>
          <w:rtl/>
        </w:rPr>
        <w:t>. وصل مارة آخرون من المنطقة المحلية بعد ساعات</w:t>
      </w:r>
      <w:r w:rsidR="0040706B">
        <w:rPr>
          <w:rFonts w:ascii="Traditional Arabic" w:hAnsi="Traditional Arabic" w:cs="Traditional Arabic" w:hint="cs"/>
          <w:sz w:val="30"/>
          <w:szCs w:val="30"/>
          <w:rtl/>
        </w:rPr>
        <w:t xml:space="preserve"> لاحقة</w:t>
      </w:r>
      <w:r w:rsidRPr="00554D52">
        <w:rPr>
          <w:rFonts w:ascii="Traditional Arabic" w:hAnsi="Traditional Arabic" w:cs="Traditional Arabic"/>
          <w:sz w:val="30"/>
          <w:szCs w:val="30"/>
          <w:rtl/>
        </w:rPr>
        <w:t xml:space="preserve"> في الصباح الباكر من يوم 14 </w:t>
      </w:r>
      <w:r w:rsidR="0040706B">
        <w:rPr>
          <w:rFonts w:ascii="Traditional Arabic" w:hAnsi="Traditional Arabic" w:cs="Traditional Arabic" w:hint="cs"/>
          <w:sz w:val="30"/>
          <w:szCs w:val="30"/>
          <w:rtl/>
        </w:rPr>
        <w:t xml:space="preserve">تشرين الثاني/ </w:t>
      </w:r>
      <w:r w:rsidRPr="00554D52">
        <w:rPr>
          <w:rFonts w:ascii="Traditional Arabic" w:hAnsi="Traditional Arabic" w:cs="Traditional Arabic"/>
          <w:sz w:val="30"/>
          <w:szCs w:val="30"/>
          <w:rtl/>
        </w:rPr>
        <w:t>نوفمبر 2018، مسلحين برشاشات</w:t>
      </w:r>
      <w:r w:rsidR="0040706B">
        <w:rPr>
          <w:rFonts w:ascii="Traditional Arabic" w:hAnsi="Traditional Arabic" w:cs="Traditional Arabic" w:hint="cs"/>
          <w:sz w:val="30"/>
          <w:szCs w:val="30"/>
          <w:rtl/>
        </w:rPr>
        <w:t xml:space="preserve"> كلاشينكوف</w:t>
      </w:r>
      <w:r w:rsidRPr="00554D52">
        <w:rPr>
          <w:rFonts w:ascii="Traditional Arabic" w:hAnsi="Traditional Arabic" w:cs="Traditional Arabic"/>
          <w:sz w:val="30"/>
          <w:szCs w:val="30"/>
          <w:rtl/>
        </w:rPr>
        <w:t xml:space="preserve"> و</w:t>
      </w:r>
      <w:r w:rsidR="0040706B">
        <w:rPr>
          <w:rFonts w:ascii="Traditional Arabic" w:hAnsi="Traditional Arabic" w:cs="Traditional Arabic" w:hint="cs"/>
          <w:sz w:val="30"/>
          <w:szCs w:val="30"/>
          <w:rtl/>
        </w:rPr>
        <w:t>قاموا ب</w:t>
      </w:r>
      <w:r w:rsidRPr="00554D52">
        <w:rPr>
          <w:rFonts w:ascii="Traditional Arabic" w:hAnsi="Traditional Arabic" w:cs="Traditional Arabic"/>
          <w:sz w:val="30"/>
          <w:szCs w:val="30"/>
          <w:rtl/>
        </w:rPr>
        <w:t>تبادل إطلاق النار</w:t>
      </w:r>
      <w:r w:rsidRPr="00554D52">
        <w:rPr>
          <w:rFonts w:ascii="Traditional Arabic" w:hAnsi="Traditional Arabic" w:cs="Traditional Arabic" w:hint="cs"/>
          <w:sz w:val="30"/>
          <w:szCs w:val="30"/>
          <w:rtl/>
        </w:rPr>
        <w:t>.</w:t>
      </w:r>
      <w:r w:rsidR="006249AD">
        <w:rPr>
          <w:rStyle w:val="FootnoteReference"/>
          <w:rFonts w:cs="Traditional Arabic"/>
          <w:szCs w:val="30"/>
          <w:rtl/>
        </w:rPr>
        <w:footnoteReference w:id="933"/>
      </w:r>
      <w:r w:rsidRPr="00554D52">
        <w:rPr>
          <w:rFonts w:ascii="Traditional Arabic" w:hAnsi="Traditional Arabic" w:cs="Traditional Arabic"/>
          <w:sz w:val="30"/>
          <w:szCs w:val="30"/>
          <w:rtl/>
        </w:rPr>
        <w:t xml:space="preserve"> </w:t>
      </w:r>
      <w:r w:rsidR="000E1A00" w:rsidRPr="00554D52">
        <w:rPr>
          <w:rFonts w:ascii="Traditional Arabic" w:hAnsi="Traditional Arabic" w:cs="Traditional Arabic"/>
          <w:sz w:val="30"/>
          <w:szCs w:val="30"/>
          <w:rtl/>
        </w:rPr>
        <w:t>في البداية</w:t>
      </w:r>
      <w:r w:rsidR="000E1A00">
        <w:rPr>
          <w:rFonts w:ascii="Traditional Arabic" w:hAnsi="Traditional Arabic" w:cs="Traditional Arabic" w:hint="cs"/>
          <w:sz w:val="30"/>
          <w:szCs w:val="30"/>
          <w:rtl/>
        </w:rPr>
        <w:t>،</w:t>
      </w:r>
      <w:r w:rsidR="000E1A00" w:rsidRPr="00554D52">
        <w:rPr>
          <w:rFonts w:ascii="Traditional Arabic" w:hAnsi="Traditional Arabic" w:cs="Traditional Arabic"/>
          <w:sz w:val="30"/>
          <w:szCs w:val="30"/>
          <w:rtl/>
        </w:rPr>
        <w:t xml:space="preserve"> </w:t>
      </w:r>
      <w:r w:rsidR="000E1A00">
        <w:rPr>
          <w:rFonts w:ascii="Traditional Arabic" w:hAnsi="Traditional Arabic" w:cs="Traditional Arabic" w:hint="cs"/>
          <w:sz w:val="30"/>
          <w:szCs w:val="30"/>
          <w:rtl/>
        </w:rPr>
        <w:t xml:space="preserve">أدان </w:t>
      </w:r>
      <w:r w:rsidRPr="00554D52">
        <w:rPr>
          <w:rFonts w:ascii="Traditional Arabic" w:hAnsi="Traditional Arabic" w:cs="Traditional Arabic" w:hint="eastAsia"/>
          <w:sz w:val="30"/>
          <w:szCs w:val="30"/>
          <w:rtl/>
        </w:rPr>
        <w:t>محافظ</w:t>
      </w:r>
      <w:r w:rsidRPr="00554D52">
        <w:rPr>
          <w:rFonts w:ascii="Traditional Arabic" w:hAnsi="Traditional Arabic" w:cs="Traditional Arabic"/>
          <w:sz w:val="30"/>
          <w:szCs w:val="30"/>
          <w:rtl/>
        </w:rPr>
        <w:t xml:space="preserve"> المهرة المدعوم من السعودية المتظاهرين </w:t>
      </w:r>
      <w:r w:rsidR="000E1A00">
        <w:rPr>
          <w:rFonts w:ascii="Traditional Arabic" w:hAnsi="Traditional Arabic" w:cs="Traditional Arabic" w:hint="cs"/>
          <w:sz w:val="30"/>
          <w:szCs w:val="30"/>
          <w:rtl/>
        </w:rPr>
        <w:t xml:space="preserve">على </w:t>
      </w:r>
      <w:r w:rsidRPr="00554D52">
        <w:rPr>
          <w:rFonts w:ascii="Traditional Arabic" w:hAnsi="Traditional Arabic" w:cs="Traditional Arabic"/>
          <w:sz w:val="30"/>
          <w:szCs w:val="30"/>
          <w:rtl/>
        </w:rPr>
        <w:t xml:space="preserve">أنهم "خارجون </w:t>
      </w:r>
      <w:r w:rsidRPr="00554D52">
        <w:rPr>
          <w:rFonts w:ascii="Traditional Arabic" w:hAnsi="Traditional Arabic" w:cs="Traditional Arabic" w:hint="eastAsia"/>
          <w:sz w:val="30"/>
          <w:szCs w:val="30"/>
          <w:rtl/>
        </w:rPr>
        <w:t>عن</w:t>
      </w:r>
      <w:r w:rsidRPr="00554D52">
        <w:rPr>
          <w:rFonts w:ascii="Traditional Arabic" w:hAnsi="Traditional Arabic" w:cs="Traditional Arabic"/>
          <w:sz w:val="30"/>
          <w:szCs w:val="30"/>
          <w:rtl/>
        </w:rPr>
        <w:t xml:space="preserve"> القانون" لكنه </w:t>
      </w:r>
      <w:r w:rsidR="000E1A00">
        <w:rPr>
          <w:rFonts w:ascii="Traditional Arabic" w:hAnsi="Traditional Arabic" w:cs="Traditional Arabic" w:hint="cs"/>
          <w:sz w:val="30"/>
          <w:szCs w:val="30"/>
          <w:rtl/>
        </w:rPr>
        <w:t xml:space="preserve">لاحقًا </w:t>
      </w:r>
      <w:r w:rsidRPr="00554D52">
        <w:rPr>
          <w:rFonts w:ascii="Traditional Arabic" w:hAnsi="Traditional Arabic" w:cs="Traditional Arabic"/>
          <w:sz w:val="30"/>
          <w:szCs w:val="30"/>
          <w:rtl/>
        </w:rPr>
        <w:t xml:space="preserve">وافق </w:t>
      </w:r>
      <w:r w:rsidR="000E1A00">
        <w:rPr>
          <w:rFonts w:ascii="Traditional Arabic" w:hAnsi="Traditional Arabic" w:cs="Traditional Arabic" w:hint="cs"/>
          <w:sz w:val="30"/>
          <w:szCs w:val="30"/>
          <w:rtl/>
        </w:rPr>
        <w:t xml:space="preserve">على </w:t>
      </w:r>
      <w:r w:rsidRPr="00554D52">
        <w:rPr>
          <w:rFonts w:ascii="Traditional Arabic" w:hAnsi="Traditional Arabic" w:cs="Traditional Arabic"/>
          <w:sz w:val="30"/>
          <w:szCs w:val="30"/>
          <w:rtl/>
        </w:rPr>
        <w:t>إجراء تحقيق مستقل</w:t>
      </w:r>
      <w:r w:rsidRPr="00554D52">
        <w:rPr>
          <w:rFonts w:ascii="Traditional Arabic" w:hAnsi="Traditional Arabic" w:cs="Traditional Arabic" w:hint="cs"/>
          <w:sz w:val="30"/>
          <w:szCs w:val="30"/>
          <w:rtl/>
        </w:rPr>
        <w:t>.</w:t>
      </w:r>
      <w:r w:rsidR="006249AD">
        <w:rPr>
          <w:rStyle w:val="FootnoteReference"/>
          <w:rFonts w:cs="Traditional Arabic"/>
          <w:szCs w:val="30"/>
          <w:rtl/>
        </w:rPr>
        <w:footnoteReference w:id="934"/>
      </w:r>
      <w:r w:rsidRPr="00554D52">
        <w:rPr>
          <w:rFonts w:ascii="Traditional Arabic" w:hAnsi="Traditional Arabic" w:cs="Traditional Arabic" w:hint="cs"/>
          <w:sz w:val="30"/>
          <w:szCs w:val="30"/>
          <w:rtl/>
        </w:rPr>
        <w:t xml:space="preserve"> ل</w:t>
      </w:r>
      <w:r w:rsidR="000E1A00">
        <w:rPr>
          <w:rFonts w:ascii="Traditional Arabic" w:hAnsi="Traditional Arabic" w:cs="Traditional Arabic" w:hint="cs"/>
          <w:sz w:val="30"/>
          <w:szCs w:val="30"/>
          <w:rtl/>
        </w:rPr>
        <w:t xml:space="preserve">يس </w:t>
      </w:r>
      <w:r w:rsidRPr="00554D52">
        <w:rPr>
          <w:rFonts w:ascii="Traditional Arabic" w:hAnsi="Traditional Arabic" w:cs="Traditional Arabic" w:hint="cs"/>
          <w:sz w:val="30"/>
          <w:szCs w:val="30"/>
          <w:rtl/>
        </w:rPr>
        <w:t>ل</w:t>
      </w:r>
      <w:r w:rsidRPr="00554D52">
        <w:rPr>
          <w:rFonts w:ascii="Traditional Arabic" w:hAnsi="Traditional Arabic" w:cs="Traditional Arabic"/>
          <w:sz w:val="30"/>
          <w:szCs w:val="30"/>
          <w:rtl/>
        </w:rPr>
        <w:t xml:space="preserve">فريق الخبراء علم بأي خطوات </w:t>
      </w:r>
      <w:r w:rsidRPr="00554D52">
        <w:rPr>
          <w:rFonts w:ascii="Traditional Arabic" w:hAnsi="Traditional Arabic" w:cs="Traditional Arabic" w:hint="cs"/>
          <w:sz w:val="30"/>
          <w:szCs w:val="30"/>
          <w:rtl/>
        </w:rPr>
        <w:t xml:space="preserve">متخذة بخصوص الشروع في </w:t>
      </w:r>
      <w:r w:rsidRPr="00554D52">
        <w:rPr>
          <w:rFonts w:ascii="Traditional Arabic" w:hAnsi="Traditional Arabic" w:cs="Traditional Arabic"/>
          <w:sz w:val="30"/>
          <w:szCs w:val="30"/>
          <w:rtl/>
        </w:rPr>
        <w:t>هذا التحقيق</w:t>
      </w:r>
      <w:r w:rsidRPr="00554D52">
        <w:rPr>
          <w:rFonts w:ascii="Traditional Arabic" w:hAnsi="Traditional Arabic" w:cs="Traditional Arabic"/>
          <w:sz w:val="30"/>
          <w:szCs w:val="30"/>
        </w:rPr>
        <w:t>.</w:t>
      </w:r>
    </w:p>
    <w:p w14:paraId="143F8FA1" w14:textId="25D403D0" w:rsidR="0020276A" w:rsidRDefault="0020276A" w:rsidP="0020276A">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tl/>
        </w:rPr>
      </w:pPr>
    </w:p>
    <w:p w14:paraId="51A312E3" w14:textId="77777777" w:rsidR="00A43AD9" w:rsidRPr="00A43AD9" w:rsidRDefault="00A43AD9" w:rsidP="00A43AD9">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5159DD04" w14:textId="680C921F" w:rsidR="00554D52" w:rsidRPr="006249AD" w:rsidRDefault="00554D52" w:rsidP="00554D52">
      <w:pPr>
        <w:suppressAutoHyphens w:val="0"/>
        <w:bidi/>
        <w:spacing w:after="240" w:line="276" w:lineRule="auto"/>
        <w:ind w:left="332" w:right="827"/>
        <w:contextualSpacing/>
        <w:jc w:val="both"/>
        <w:rPr>
          <w:rFonts w:ascii="Traditional Arabic" w:hAnsi="Traditional Arabic" w:cs="Traditional Arabic"/>
          <w:b/>
          <w:bCs/>
          <w:sz w:val="30"/>
          <w:szCs w:val="30"/>
        </w:rPr>
      </w:pPr>
      <w:r w:rsidRPr="006249AD">
        <w:rPr>
          <w:rFonts w:ascii="Traditional Arabic" w:hAnsi="Traditional Arabic" w:cs="Traditional Arabic"/>
          <w:b/>
          <w:bCs/>
          <w:sz w:val="30"/>
          <w:szCs w:val="30"/>
          <w:rtl/>
        </w:rPr>
        <w:t>3</w:t>
      </w:r>
      <w:r w:rsidRPr="006249AD">
        <w:rPr>
          <w:rFonts w:ascii="Traditional Arabic" w:hAnsi="Traditional Arabic" w:cs="Traditional Arabic" w:hint="cs"/>
          <w:b/>
          <w:bCs/>
          <w:sz w:val="30"/>
          <w:szCs w:val="30"/>
          <w:rtl/>
        </w:rPr>
        <w:t>.</w:t>
      </w:r>
      <w:r w:rsidRPr="006249AD">
        <w:rPr>
          <w:rFonts w:ascii="Traditional Arabic" w:hAnsi="Traditional Arabic" w:cs="Traditional Arabic"/>
          <w:b/>
          <w:bCs/>
          <w:sz w:val="30"/>
          <w:szCs w:val="30"/>
          <w:rtl/>
        </w:rPr>
        <w:t xml:space="preserve"> </w:t>
      </w:r>
      <w:r w:rsidR="006249AD">
        <w:rPr>
          <w:rFonts w:ascii="Traditional Arabic" w:hAnsi="Traditional Arabic" w:cs="Traditional Arabic"/>
          <w:b/>
          <w:bCs/>
          <w:sz w:val="30"/>
          <w:szCs w:val="30"/>
        </w:rPr>
        <w:t xml:space="preserve">  </w:t>
      </w:r>
      <w:r w:rsidRPr="006249AD">
        <w:rPr>
          <w:rFonts w:ascii="Traditional Arabic" w:hAnsi="Traditional Arabic" w:cs="Traditional Arabic" w:hint="eastAsia"/>
          <w:b/>
          <w:bCs/>
          <w:sz w:val="30"/>
          <w:szCs w:val="30"/>
          <w:rtl/>
        </w:rPr>
        <w:t>ال</w:t>
      </w:r>
      <w:r w:rsidRPr="006249AD">
        <w:rPr>
          <w:rFonts w:ascii="Traditional Arabic" w:hAnsi="Traditional Arabic" w:cs="Traditional Arabic"/>
          <w:b/>
          <w:bCs/>
          <w:sz w:val="30"/>
          <w:szCs w:val="30"/>
          <w:rtl/>
        </w:rPr>
        <w:t>اعتقال من قبل القوات المسلحة السعودية واليمنية 2018-2019</w:t>
      </w:r>
    </w:p>
    <w:p w14:paraId="7F80C49B" w14:textId="724FDFC8" w:rsidR="00554D52" w:rsidRPr="00554D52" w:rsidRDefault="00554D52" w:rsidP="00E5724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تلقى فريق الخبراء تقارير موثوقة عن ا</w:t>
      </w:r>
      <w:r w:rsidRPr="00554D52">
        <w:rPr>
          <w:rFonts w:ascii="Traditional Arabic" w:hAnsi="Traditional Arabic" w:cs="Traditional Arabic" w:hint="eastAsia"/>
          <w:sz w:val="30"/>
          <w:szCs w:val="30"/>
          <w:rtl/>
        </w:rPr>
        <w:t>عتقال</w:t>
      </w:r>
      <w:r w:rsidR="00E57244">
        <w:rPr>
          <w:rFonts w:ascii="Traditional Arabic" w:hAnsi="Traditional Arabic" w:cs="Traditional Arabic" w:hint="cs"/>
          <w:sz w:val="30"/>
          <w:szCs w:val="30"/>
          <w:rtl/>
        </w:rPr>
        <w:t xml:space="preserve">ات </w:t>
      </w:r>
      <w:r w:rsidRPr="00554D52">
        <w:rPr>
          <w:rFonts w:ascii="Traditional Arabic" w:hAnsi="Traditional Arabic" w:cs="Traditional Arabic"/>
          <w:sz w:val="30"/>
          <w:szCs w:val="30"/>
          <w:rtl/>
        </w:rPr>
        <w:t>واخ</w:t>
      </w:r>
      <w:r w:rsidRPr="00554D52">
        <w:rPr>
          <w:rFonts w:ascii="Traditional Arabic" w:hAnsi="Traditional Arabic" w:cs="Traditional Arabic" w:hint="cs"/>
          <w:sz w:val="30"/>
          <w:szCs w:val="30"/>
          <w:rtl/>
        </w:rPr>
        <w:t>ت</w:t>
      </w:r>
      <w:r w:rsidRPr="00554D52">
        <w:rPr>
          <w:rFonts w:ascii="Traditional Arabic" w:hAnsi="Traditional Arabic" w:cs="Traditional Arabic"/>
          <w:sz w:val="30"/>
          <w:szCs w:val="30"/>
          <w:rtl/>
        </w:rPr>
        <w:t>فاء</w:t>
      </w:r>
      <w:r w:rsidR="00E57244">
        <w:rPr>
          <w:rFonts w:ascii="Traditional Arabic" w:hAnsi="Traditional Arabic" w:cs="Traditional Arabic" w:hint="cs"/>
          <w:sz w:val="30"/>
          <w:szCs w:val="30"/>
          <w:rtl/>
        </w:rPr>
        <w:t>ات</w:t>
      </w:r>
      <w:r w:rsidRPr="00554D52">
        <w:rPr>
          <w:rFonts w:ascii="Traditional Arabic" w:hAnsi="Traditional Arabic" w:cs="Traditional Arabic"/>
          <w:sz w:val="30"/>
          <w:szCs w:val="30"/>
          <w:rtl/>
        </w:rPr>
        <w:t xml:space="preserve"> قسري</w:t>
      </w:r>
      <w:r w:rsidR="00E57244">
        <w:rPr>
          <w:rFonts w:ascii="Traditional Arabic" w:hAnsi="Traditional Arabic" w:cs="Traditional Arabic" w:hint="cs"/>
          <w:sz w:val="30"/>
          <w:szCs w:val="30"/>
          <w:rtl/>
        </w:rPr>
        <w:t xml:space="preserve">ة </w:t>
      </w:r>
      <w:r w:rsidR="00E57244" w:rsidRPr="00554D52">
        <w:rPr>
          <w:rFonts w:ascii="Traditional Arabic" w:hAnsi="Traditional Arabic" w:cs="Traditional Arabic"/>
          <w:sz w:val="30"/>
          <w:szCs w:val="30"/>
          <w:rtl/>
        </w:rPr>
        <w:t>لأسباب</w:t>
      </w:r>
      <w:r w:rsidR="00E57244">
        <w:rPr>
          <w:rFonts w:ascii="Traditional Arabic" w:hAnsi="Traditional Arabic" w:cs="Traditional Arabic" w:hint="cs"/>
          <w:sz w:val="30"/>
          <w:szCs w:val="30"/>
          <w:rtl/>
        </w:rPr>
        <w:t>ٍ</w:t>
      </w:r>
      <w:r w:rsidR="00E57244" w:rsidRPr="00554D52">
        <w:rPr>
          <w:rFonts w:ascii="Traditional Arabic" w:hAnsi="Traditional Arabic" w:cs="Traditional Arabic"/>
          <w:sz w:val="30"/>
          <w:szCs w:val="30"/>
          <w:rtl/>
        </w:rPr>
        <w:t xml:space="preserve"> سياسية </w:t>
      </w:r>
      <w:r w:rsidR="00E57244">
        <w:rPr>
          <w:rFonts w:ascii="Traditional Arabic" w:hAnsi="Traditional Arabic" w:cs="Traditional Arabic" w:hint="cs"/>
          <w:sz w:val="30"/>
          <w:szCs w:val="30"/>
          <w:rtl/>
        </w:rPr>
        <w:t>طالت</w:t>
      </w:r>
      <w:r w:rsidRPr="00554D52">
        <w:rPr>
          <w:rFonts w:ascii="Traditional Arabic" w:hAnsi="Traditional Arabic" w:cs="Traditional Arabic"/>
          <w:sz w:val="30"/>
          <w:szCs w:val="30"/>
          <w:rtl/>
        </w:rPr>
        <w:t xml:space="preserve"> </w:t>
      </w:r>
      <w:r w:rsidR="00E57244" w:rsidRPr="00554D52">
        <w:rPr>
          <w:rFonts w:ascii="Traditional Arabic" w:hAnsi="Traditional Arabic" w:cs="Traditional Arabic"/>
          <w:sz w:val="30"/>
          <w:szCs w:val="30"/>
          <w:rtl/>
        </w:rPr>
        <w:t xml:space="preserve">20 </w:t>
      </w:r>
      <w:r w:rsidR="00E57244">
        <w:rPr>
          <w:rFonts w:ascii="Traditional Arabic" w:hAnsi="Traditional Arabic" w:cs="Traditional Arabic" w:hint="cs"/>
          <w:sz w:val="30"/>
          <w:szCs w:val="30"/>
          <w:rtl/>
        </w:rPr>
        <w:t xml:space="preserve">شخصًا </w:t>
      </w:r>
      <w:r w:rsidR="00E57244" w:rsidRPr="00554D52">
        <w:rPr>
          <w:rFonts w:ascii="Traditional Arabic" w:hAnsi="Traditional Arabic" w:cs="Traditional Arabic"/>
          <w:sz w:val="30"/>
          <w:szCs w:val="30"/>
          <w:rtl/>
        </w:rPr>
        <w:t>في محافظة المهرة من قبل القوات المسلحة السعودية واليمنية بين نوفمبر / تشرين الثاني 2017 ويوليو / تموز 2019</w:t>
      </w:r>
      <w:r w:rsidR="00E57244">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حقق فريق الخبراء في عينة من الحالات</w:t>
      </w:r>
      <w:r w:rsidR="00E57244">
        <w:rPr>
          <w:rFonts w:ascii="Traditional Arabic" w:hAnsi="Traditional Arabic" w:cs="Traditional Arabic" w:hint="cs"/>
          <w:sz w:val="30"/>
          <w:szCs w:val="30"/>
          <w:rtl/>
        </w:rPr>
        <w:t xml:space="preserve"> فقط نظرًا ل</w:t>
      </w:r>
      <w:r w:rsidRPr="00554D52">
        <w:rPr>
          <w:rFonts w:ascii="Traditional Arabic" w:hAnsi="Traditional Arabic" w:cs="Traditional Arabic"/>
          <w:sz w:val="30"/>
          <w:szCs w:val="30"/>
          <w:rtl/>
        </w:rPr>
        <w:t>ضيق الوقت و</w:t>
      </w:r>
      <w:r w:rsidRPr="00554D52">
        <w:rPr>
          <w:rFonts w:ascii="Traditional Arabic" w:hAnsi="Traditional Arabic" w:cs="Traditional Arabic" w:hint="eastAsia"/>
          <w:sz w:val="30"/>
          <w:szCs w:val="30"/>
          <w:rtl/>
        </w:rPr>
        <w:t>ت</w:t>
      </w:r>
      <w:r w:rsidRPr="00554D52">
        <w:rPr>
          <w:rFonts w:ascii="Traditional Arabic" w:hAnsi="Traditional Arabic" w:cs="Traditional Arabic"/>
          <w:sz w:val="30"/>
          <w:szCs w:val="30"/>
          <w:rtl/>
        </w:rPr>
        <w:t xml:space="preserve">ردد المصادر في التحدث </w:t>
      </w:r>
      <w:r w:rsidR="00E57244">
        <w:rPr>
          <w:rFonts w:ascii="Traditional Arabic" w:hAnsi="Traditional Arabic" w:cs="Traditional Arabic" w:hint="cs"/>
          <w:sz w:val="30"/>
          <w:szCs w:val="30"/>
          <w:rtl/>
        </w:rPr>
        <w:t xml:space="preserve">مع </w:t>
      </w:r>
      <w:r w:rsidRPr="00554D52">
        <w:rPr>
          <w:rFonts w:ascii="Traditional Arabic" w:hAnsi="Traditional Arabic" w:cs="Traditional Arabic"/>
          <w:sz w:val="30"/>
          <w:szCs w:val="30"/>
          <w:rtl/>
        </w:rPr>
        <w:t>ال</w:t>
      </w:r>
      <w:r w:rsidRPr="00554D52">
        <w:rPr>
          <w:rFonts w:ascii="Traditional Arabic" w:hAnsi="Traditional Arabic" w:cs="Traditional Arabic" w:hint="eastAsia"/>
          <w:sz w:val="30"/>
          <w:szCs w:val="30"/>
          <w:rtl/>
        </w:rPr>
        <w:t>فريق</w:t>
      </w:r>
      <w:r w:rsidRPr="00554D52">
        <w:rPr>
          <w:rFonts w:ascii="Traditional Arabic" w:hAnsi="Traditional Arabic" w:cs="Traditional Arabic"/>
          <w:sz w:val="30"/>
          <w:szCs w:val="30"/>
          <w:rtl/>
        </w:rPr>
        <w:t xml:space="preserve"> خوفًا من الانتقام. لذلك، لدى </w:t>
      </w:r>
      <w:r w:rsidRPr="00554D52">
        <w:rPr>
          <w:rFonts w:ascii="Traditional Arabic" w:hAnsi="Traditional Arabic" w:cs="Traditional Arabic" w:hint="eastAsia"/>
          <w:sz w:val="30"/>
          <w:szCs w:val="30"/>
          <w:rtl/>
        </w:rPr>
        <w:t>الفريق</w:t>
      </w:r>
      <w:r w:rsidRPr="00554D52">
        <w:rPr>
          <w:rFonts w:ascii="Traditional Arabic" w:hAnsi="Traditional Arabic" w:cs="Traditional Arabic"/>
          <w:sz w:val="30"/>
          <w:szCs w:val="30"/>
          <w:rtl/>
        </w:rPr>
        <w:t xml:space="preserve"> مخاوف من أن </w:t>
      </w:r>
      <w:r w:rsidR="00E57244">
        <w:rPr>
          <w:rFonts w:ascii="Traditional Arabic" w:hAnsi="Traditional Arabic" w:cs="Traditional Arabic" w:hint="cs"/>
          <w:sz w:val="30"/>
          <w:szCs w:val="30"/>
          <w:rtl/>
        </w:rPr>
        <w:t xml:space="preserve">يكون </w:t>
      </w:r>
      <w:r w:rsidRPr="00554D52">
        <w:rPr>
          <w:rFonts w:ascii="Traditional Arabic" w:hAnsi="Traditional Arabic" w:cs="Traditional Arabic"/>
          <w:sz w:val="30"/>
          <w:szCs w:val="30"/>
          <w:rtl/>
        </w:rPr>
        <w:t>مدى ال</w:t>
      </w:r>
      <w:r w:rsidR="00E57244">
        <w:rPr>
          <w:rFonts w:ascii="Traditional Arabic" w:hAnsi="Traditional Arabic" w:cs="Traditional Arabic" w:hint="cs"/>
          <w:sz w:val="30"/>
          <w:szCs w:val="30"/>
          <w:rtl/>
        </w:rPr>
        <w:t>إ</w:t>
      </w:r>
      <w:r w:rsidRPr="00554D52">
        <w:rPr>
          <w:rFonts w:ascii="Traditional Arabic" w:hAnsi="Traditional Arabic" w:cs="Traditional Arabic"/>
          <w:sz w:val="30"/>
          <w:szCs w:val="30"/>
          <w:rtl/>
        </w:rPr>
        <w:t xml:space="preserve">نتهاكات أكثر خطورة مما </w:t>
      </w:r>
      <w:r w:rsidRPr="00554D52">
        <w:rPr>
          <w:rFonts w:ascii="Traditional Arabic" w:hAnsi="Traditional Arabic" w:cs="Traditional Arabic" w:hint="cs"/>
          <w:sz w:val="30"/>
          <w:szCs w:val="30"/>
          <w:rtl/>
        </w:rPr>
        <w:t>ت</w:t>
      </w:r>
      <w:r w:rsidR="00E57244">
        <w:rPr>
          <w:rFonts w:ascii="Traditional Arabic" w:hAnsi="Traditional Arabic" w:cs="Traditional Arabic" w:hint="cs"/>
          <w:sz w:val="30"/>
          <w:szCs w:val="30"/>
          <w:rtl/>
        </w:rPr>
        <w:t xml:space="preserve">عكسه </w:t>
      </w:r>
      <w:r w:rsidRPr="00554D52">
        <w:rPr>
          <w:rFonts w:ascii="Traditional Arabic" w:hAnsi="Traditional Arabic" w:cs="Traditional Arabic"/>
          <w:sz w:val="30"/>
          <w:szCs w:val="30"/>
          <w:rtl/>
        </w:rPr>
        <w:t>النتائج التي توصل إليها</w:t>
      </w:r>
      <w:r w:rsidRPr="00554D52">
        <w:rPr>
          <w:rFonts w:ascii="Traditional Arabic" w:hAnsi="Traditional Arabic" w:cs="Traditional Arabic"/>
          <w:sz w:val="30"/>
          <w:szCs w:val="30"/>
        </w:rPr>
        <w:t>.</w:t>
      </w:r>
    </w:p>
    <w:p w14:paraId="0A036C91" w14:textId="0F6CC5F1" w:rsidR="00554D52" w:rsidRPr="00554D52" w:rsidRDefault="00554D52" w:rsidP="006249A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 xml:space="preserve">في المهرة، احتُجز المعتقلون في منشأة غير رسمية داخل قاعدة عسكرية سعودية في مطار </w:t>
      </w:r>
      <w:r w:rsidRPr="00554D52">
        <w:rPr>
          <w:rFonts w:ascii="Traditional Arabic" w:hAnsi="Traditional Arabic" w:cs="Traditional Arabic" w:hint="cs"/>
          <w:sz w:val="30"/>
          <w:szCs w:val="30"/>
          <w:rtl/>
        </w:rPr>
        <w:t>الغيضه</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ومعسكر</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cs"/>
          <w:sz w:val="30"/>
          <w:szCs w:val="30"/>
          <w:rtl/>
        </w:rPr>
        <w:t>الشرطة العسكرية اليمنية التابع لمحور نشطون</w:t>
      </w:r>
      <w:r w:rsidRPr="00554D52">
        <w:rPr>
          <w:rFonts w:ascii="Traditional Arabic" w:hAnsi="Traditional Arabic" w:cs="Traditional Arabic"/>
          <w:sz w:val="30"/>
          <w:szCs w:val="30"/>
          <w:rtl/>
        </w:rPr>
        <w:t>. تمكن فريق الخبراء من التأكد من أن بعض الم</w:t>
      </w:r>
      <w:r w:rsidRPr="00554D52">
        <w:rPr>
          <w:rFonts w:ascii="Traditional Arabic" w:hAnsi="Traditional Arabic" w:cs="Traditional Arabic" w:hint="eastAsia"/>
          <w:sz w:val="30"/>
          <w:szCs w:val="30"/>
          <w:rtl/>
        </w:rPr>
        <w:t>عتقلين</w:t>
      </w:r>
      <w:r w:rsidRPr="00554D52">
        <w:rPr>
          <w:rFonts w:ascii="Traditional Arabic" w:hAnsi="Traditional Arabic" w:cs="Traditional Arabic"/>
          <w:sz w:val="30"/>
          <w:szCs w:val="30"/>
          <w:rtl/>
        </w:rPr>
        <w:t xml:space="preserve"> قد نُقلوا بعد ذلك إلى مرافق الا</w:t>
      </w:r>
      <w:r w:rsidRPr="00554D52">
        <w:rPr>
          <w:rFonts w:ascii="Traditional Arabic" w:hAnsi="Traditional Arabic" w:cs="Traditional Arabic" w:hint="eastAsia"/>
          <w:sz w:val="30"/>
          <w:szCs w:val="30"/>
          <w:rtl/>
        </w:rPr>
        <w:t>عتقال</w:t>
      </w:r>
      <w:r w:rsidRPr="00554D52">
        <w:rPr>
          <w:rFonts w:ascii="Traditional Arabic" w:hAnsi="Traditional Arabic" w:cs="Traditional Arabic"/>
          <w:sz w:val="30"/>
          <w:szCs w:val="30"/>
          <w:rtl/>
        </w:rPr>
        <w:t xml:space="preserve"> في المملكة العربية السعودية</w:t>
      </w:r>
      <w:r w:rsidRPr="00554D52">
        <w:rPr>
          <w:rFonts w:ascii="Traditional Arabic" w:hAnsi="Traditional Arabic" w:cs="Traditional Arabic"/>
          <w:sz w:val="30"/>
          <w:szCs w:val="30"/>
        </w:rPr>
        <w:t xml:space="preserve">. </w:t>
      </w:r>
      <w:r w:rsidR="006249AD">
        <w:rPr>
          <w:rStyle w:val="FootnoteReference"/>
          <w:rFonts w:cs="Traditional Arabic"/>
          <w:szCs w:val="30"/>
        </w:rPr>
        <w:footnoteReference w:id="935"/>
      </w:r>
    </w:p>
    <w:p w14:paraId="48E60C4F" w14:textId="2072C4F1" w:rsidR="006249AD" w:rsidRPr="009F76E2" w:rsidRDefault="00554D52" w:rsidP="00C0376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9F76E2">
        <w:rPr>
          <w:rFonts w:ascii="Traditional Arabic" w:hAnsi="Traditional Arabic" w:cs="Traditional Arabic"/>
          <w:sz w:val="30"/>
          <w:szCs w:val="30"/>
          <w:rtl/>
        </w:rPr>
        <w:t xml:space="preserve">وثق فريق الخبراء </w:t>
      </w:r>
      <w:r w:rsidRPr="009F76E2">
        <w:rPr>
          <w:rFonts w:ascii="Traditional Arabic" w:hAnsi="Traditional Arabic" w:cs="Traditional Arabic" w:hint="eastAsia"/>
          <w:sz w:val="30"/>
          <w:szCs w:val="30"/>
          <w:rtl/>
        </w:rPr>
        <w:t>اعتقال</w:t>
      </w:r>
      <w:r w:rsidRPr="009F76E2">
        <w:rPr>
          <w:rFonts w:ascii="Traditional Arabic" w:hAnsi="Traditional Arabic" w:cs="Traditional Arabic"/>
          <w:sz w:val="30"/>
          <w:szCs w:val="30"/>
          <w:rtl/>
        </w:rPr>
        <w:t xml:space="preserve"> واختفاء</w:t>
      </w:r>
      <w:r w:rsidR="009F76E2" w:rsidRPr="009F76E2">
        <w:rPr>
          <w:rFonts w:ascii="Traditional Arabic" w:hAnsi="Traditional Arabic" w:cs="Traditional Arabic" w:hint="cs"/>
          <w:sz w:val="30"/>
          <w:szCs w:val="30"/>
          <w:rtl/>
        </w:rPr>
        <w:t xml:space="preserve"> قسري ل</w:t>
      </w:r>
      <w:r w:rsidRPr="009F76E2">
        <w:rPr>
          <w:rFonts w:ascii="Traditional Arabic" w:hAnsi="Traditional Arabic" w:cs="Traditional Arabic"/>
          <w:sz w:val="30"/>
          <w:szCs w:val="30"/>
          <w:rtl/>
        </w:rPr>
        <w:t xml:space="preserve">ستة من هؤلاء الأشخاص في الفترة بين </w:t>
      </w:r>
      <w:r w:rsidR="00EC4D59" w:rsidRPr="009F76E2">
        <w:rPr>
          <w:rFonts w:ascii="Traditional Arabic" w:hAnsi="Traditional Arabic" w:cs="Traditional Arabic" w:hint="cs"/>
          <w:sz w:val="30"/>
          <w:szCs w:val="30"/>
          <w:rtl/>
        </w:rPr>
        <w:t xml:space="preserve">آذار/ </w:t>
      </w:r>
      <w:r w:rsidRPr="009F76E2">
        <w:rPr>
          <w:rFonts w:ascii="Traditional Arabic" w:hAnsi="Traditional Arabic" w:cs="Traditional Arabic"/>
          <w:sz w:val="30"/>
          <w:szCs w:val="30"/>
          <w:rtl/>
        </w:rPr>
        <w:t>مارس 2018 و</w:t>
      </w:r>
      <w:r w:rsidR="00EC4D59" w:rsidRPr="009F76E2">
        <w:rPr>
          <w:rFonts w:ascii="Traditional Arabic" w:hAnsi="Traditional Arabic" w:cs="Traditional Arabic" w:hint="cs"/>
          <w:sz w:val="30"/>
          <w:szCs w:val="30"/>
          <w:rtl/>
        </w:rPr>
        <w:t xml:space="preserve">تموز/ </w:t>
      </w:r>
      <w:r w:rsidRPr="009F76E2">
        <w:rPr>
          <w:rFonts w:ascii="Traditional Arabic" w:hAnsi="Traditional Arabic" w:cs="Traditional Arabic"/>
          <w:sz w:val="30"/>
          <w:szCs w:val="30"/>
          <w:rtl/>
        </w:rPr>
        <w:t>يوليو 2019 ، لفترات تتراوح بين يوم واحد وسنة واحدة.</w:t>
      </w:r>
      <w:r w:rsidR="006249AD">
        <w:rPr>
          <w:rStyle w:val="FootnoteReference"/>
          <w:rFonts w:cs="Traditional Arabic"/>
          <w:szCs w:val="30"/>
          <w:rtl/>
        </w:rPr>
        <w:footnoteReference w:id="936"/>
      </w:r>
      <w:r w:rsidRPr="009F76E2">
        <w:rPr>
          <w:rFonts w:ascii="Traditional Arabic" w:hAnsi="Traditional Arabic" w:cs="Traditional Arabic"/>
          <w:sz w:val="30"/>
          <w:szCs w:val="30"/>
        </w:rPr>
        <w:t xml:space="preserve"> </w:t>
      </w:r>
      <w:r w:rsidRPr="009F76E2">
        <w:rPr>
          <w:rFonts w:ascii="Traditional Arabic" w:hAnsi="Traditional Arabic" w:cs="Traditional Arabic"/>
          <w:sz w:val="30"/>
          <w:szCs w:val="30"/>
          <w:rtl/>
        </w:rPr>
        <w:t xml:space="preserve"> بقي خمسة من الستة </w:t>
      </w:r>
      <w:r w:rsidRPr="009F76E2">
        <w:rPr>
          <w:rFonts w:ascii="Traditional Arabic" w:hAnsi="Traditional Arabic" w:cs="Traditional Arabic" w:hint="eastAsia"/>
          <w:sz w:val="30"/>
          <w:szCs w:val="30"/>
          <w:rtl/>
        </w:rPr>
        <w:t>مختفين</w:t>
      </w:r>
      <w:r w:rsidRPr="009F76E2">
        <w:rPr>
          <w:rFonts w:ascii="Traditional Arabic" w:hAnsi="Traditional Arabic" w:cs="Traditional Arabic"/>
          <w:sz w:val="30"/>
          <w:szCs w:val="30"/>
          <w:rtl/>
        </w:rPr>
        <w:t xml:space="preserve"> وقت كتابة هذا التقرير</w:t>
      </w:r>
      <w:r w:rsidR="006249AD" w:rsidRPr="009F76E2">
        <w:rPr>
          <w:rFonts w:ascii="Traditional Arabic" w:hAnsi="Traditional Arabic" w:cs="Traditional Arabic"/>
          <w:sz w:val="30"/>
          <w:szCs w:val="30"/>
        </w:rPr>
        <w:t>.</w:t>
      </w:r>
      <w:r w:rsidRPr="009F76E2">
        <w:rPr>
          <w:rFonts w:ascii="Traditional Arabic" w:hAnsi="Traditional Arabic" w:cs="Traditional Arabic"/>
          <w:sz w:val="30"/>
          <w:szCs w:val="30"/>
          <w:rtl/>
        </w:rPr>
        <w:t xml:space="preserve"> </w:t>
      </w:r>
      <w:r w:rsidR="006249AD">
        <w:rPr>
          <w:rStyle w:val="FootnoteReference"/>
          <w:rFonts w:cs="Traditional Arabic"/>
          <w:szCs w:val="30"/>
          <w:rtl/>
        </w:rPr>
        <w:footnoteReference w:id="937"/>
      </w:r>
      <w:r w:rsidRPr="009F76E2">
        <w:rPr>
          <w:rFonts w:ascii="Traditional Arabic" w:hAnsi="Traditional Arabic" w:cs="Traditional Arabic"/>
          <w:sz w:val="30"/>
          <w:szCs w:val="30"/>
          <w:rtl/>
        </w:rPr>
        <w:t xml:space="preserve">تم </w:t>
      </w:r>
      <w:r w:rsidRPr="009F76E2">
        <w:rPr>
          <w:rFonts w:ascii="Traditional Arabic" w:hAnsi="Traditional Arabic" w:cs="Traditional Arabic"/>
          <w:sz w:val="30"/>
          <w:szCs w:val="30"/>
          <w:rtl/>
        </w:rPr>
        <w:lastRenderedPageBreak/>
        <w:t xml:space="preserve">القبض على هؤلاء الأفراد من قبل الشرطة العسكرية اليمنية ، في بعض الحالات تحت إشراف أو بناء على أوامر من القوات السعودية. في إحدى الحالات ، تعرض معتقل </w:t>
      </w:r>
      <w:r w:rsidRPr="009F76E2">
        <w:rPr>
          <w:rFonts w:ascii="Traditional Arabic" w:hAnsi="Traditional Arabic" w:cs="Traditional Arabic" w:hint="eastAsia"/>
          <w:sz w:val="30"/>
          <w:szCs w:val="30"/>
          <w:rtl/>
        </w:rPr>
        <w:t>ما</w:t>
      </w:r>
      <w:r w:rsidRPr="009F76E2">
        <w:rPr>
          <w:rFonts w:ascii="Traditional Arabic" w:hAnsi="Traditional Arabic" w:cs="Traditional Arabic"/>
          <w:sz w:val="30"/>
          <w:szCs w:val="30"/>
          <w:rtl/>
        </w:rPr>
        <w:t xml:space="preserve"> للتعذيب، بما في ذلك عن طريق الصعق بالكهرباء والضرب</w:t>
      </w:r>
      <w:r w:rsidRPr="009F76E2">
        <w:rPr>
          <w:rFonts w:ascii="Traditional Arabic" w:hAnsi="Traditional Arabic" w:cs="Traditional Arabic"/>
          <w:sz w:val="30"/>
          <w:szCs w:val="30"/>
        </w:rPr>
        <w:t>.</w:t>
      </w:r>
      <w:r w:rsidR="006249AD">
        <w:rPr>
          <w:rStyle w:val="FootnoteReference"/>
          <w:rFonts w:cs="Traditional Arabic"/>
          <w:szCs w:val="30"/>
        </w:rPr>
        <w:footnoteReference w:id="938"/>
      </w:r>
    </w:p>
    <w:p w14:paraId="0AB62772" w14:textId="0BB86E65" w:rsidR="00554D52" w:rsidRPr="006249AD" w:rsidRDefault="00554D52" w:rsidP="006249AD">
      <w:pPr>
        <w:pStyle w:val="Footer"/>
        <w:tabs>
          <w:tab w:val="left" w:pos="720"/>
          <w:tab w:val="left" w:pos="900"/>
          <w:tab w:val="left" w:pos="1134"/>
          <w:tab w:val="left" w:pos="1701"/>
        </w:tabs>
        <w:bidi/>
        <w:spacing w:after="240"/>
        <w:ind w:left="1089" w:right="1089" w:hanging="810"/>
        <w:jc w:val="both"/>
        <w:rPr>
          <w:rFonts w:ascii="Traditional Arabic" w:hAnsi="Traditional Arabic" w:cs="Traditional Arabic"/>
          <w:b/>
          <w:bCs/>
          <w:sz w:val="30"/>
          <w:szCs w:val="30"/>
          <w:rtl/>
        </w:rPr>
      </w:pPr>
      <w:r w:rsidRPr="006249AD">
        <w:rPr>
          <w:rFonts w:ascii="Traditional Arabic" w:hAnsi="Traditional Arabic" w:cs="Traditional Arabic" w:hint="cs"/>
          <w:b/>
          <w:bCs/>
          <w:sz w:val="30"/>
          <w:szCs w:val="30"/>
          <w:rtl/>
        </w:rPr>
        <w:t>4.</w:t>
      </w:r>
      <w:r w:rsidR="006249AD">
        <w:rPr>
          <w:rFonts w:ascii="Traditional Arabic" w:hAnsi="Traditional Arabic" w:cs="Traditional Arabic"/>
          <w:b/>
          <w:bCs/>
          <w:sz w:val="30"/>
          <w:szCs w:val="30"/>
        </w:rPr>
        <w:tab/>
      </w:r>
      <w:r w:rsidRPr="006249AD">
        <w:rPr>
          <w:rFonts w:ascii="Traditional Arabic" w:hAnsi="Traditional Arabic" w:cs="Traditional Arabic" w:hint="eastAsia"/>
          <w:b/>
          <w:bCs/>
          <w:sz w:val="30"/>
          <w:szCs w:val="30"/>
          <w:rtl/>
        </w:rPr>
        <w:t>الانتهاكات</w:t>
      </w:r>
      <w:r w:rsidRPr="006249AD">
        <w:rPr>
          <w:rFonts w:ascii="Traditional Arabic" w:hAnsi="Traditional Arabic" w:cs="Traditional Arabic"/>
          <w:b/>
          <w:bCs/>
          <w:sz w:val="30"/>
          <w:szCs w:val="30"/>
          <w:rtl/>
        </w:rPr>
        <w:t xml:space="preserve"> </w:t>
      </w:r>
    </w:p>
    <w:p w14:paraId="091400C8" w14:textId="0ABCB917" w:rsidR="00554D52" w:rsidRPr="00554D52" w:rsidRDefault="00554D52" w:rsidP="00C0376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hint="eastAsia"/>
          <w:sz w:val="30"/>
          <w:szCs w:val="30"/>
          <w:rtl/>
        </w:rPr>
        <w:t>يعتبر</w:t>
      </w:r>
      <w:r w:rsidRPr="00554D52">
        <w:rPr>
          <w:rFonts w:ascii="Traditional Arabic" w:hAnsi="Traditional Arabic" w:cs="Traditional Arabic"/>
          <w:sz w:val="30"/>
          <w:szCs w:val="30"/>
          <w:rtl/>
        </w:rPr>
        <w:t xml:space="preserve"> الحرمان التعسفي من الحياة ممنوع منعا باتا بموجب القانون الدولي لحقوق الإنسان</w:t>
      </w:r>
      <w:r w:rsidRPr="002D113B">
        <w:rPr>
          <w:rFonts w:ascii="Traditional Arabic" w:hAnsi="Traditional Arabic" w:cs="Traditional Arabic" w:hint="cs"/>
          <w:sz w:val="30"/>
          <w:szCs w:val="30"/>
          <w:rtl/>
        </w:rPr>
        <w:t>.</w:t>
      </w:r>
      <w:r w:rsidR="006249AD">
        <w:rPr>
          <w:rStyle w:val="FootnoteReference"/>
          <w:rFonts w:cs="Traditional Arabic"/>
          <w:szCs w:val="30"/>
          <w:rtl/>
        </w:rPr>
        <w:footnoteReference w:id="939"/>
      </w:r>
      <w:r w:rsidRPr="002D113B">
        <w:rPr>
          <w:rFonts w:ascii="Traditional Arabic" w:hAnsi="Traditional Arabic" w:cs="Traditional Arabic" w:hint="cs"/>
          <w:sz w:val="30"/>
          <w:szCs w:val="30"/>
          <w:rtl/>
        </w:rPr>
        <w:t xml:space="preserve"> </w:t>
      </w:r>
      <w:r w:rsidRPr="00554D52">
        <w:rPr>
          <w:rFonts w:ascii="Traditional Arabic" w:hAnsi="Traditional Arabic" w:cs="Traditional Arabic"/>
          <w:sz w:val="30"/>
          <w:szCs w:val="30"/>
          <w:rtl/>
        </w:rPr>
        <w:t xml:space="preserve">في عمليات إنفاذ القانون ، يجب أن </w:t>
      </w:r>
      <w:r w:rsidRPr="00554D52">
        <w:rPr>
          <w:rFonts w:ascii="Traditional Arabic" w:hAnsi="Traditional Arabic" w:cs="Traditional Arabic" w:hint="cs"/>
          <w:sz w:val="30"/>
          <w:szCs w:val="30"/>
          <w:rtl/>
        </w:rPr>
        <w:t>ي</w:t>
      </w:r>
      <w:r w:rsidRPr="00554D52">
        <w:rPr>
          <w:rFonts w:ascii="Traditional Arabic" w:hAnsi="Traditional Arabic" w:cs="Traditional Arabic"/>
          <w:sz w:val="30"/>
          <w:szCs w:val="30"/>
          <w:rtl/>
        </w:rPr>
        <w:t xml:space="preserve">قتصر استخدام القوة المميتة على الحالات التي تكون فيها الضرورة القصوى ووفقًا لمبدأ التناسب. يجب أن </w:t>
      </w:r>
      <w:r w:rsidRPr="00554D52">
        <w:rPr>
          <w:rFonts w:ascii="Traditional Arabic" w:hAnsi="Traditional Arabic" w:cs="Traditional Arabic" w:hint="eastAsia"/>
          <w:sz w:val="30"/>
          <w:szCs w:val="30"/>
          <w:rtl/>
        </w:rPr>
        <w:t>ت</w:t>
      </w:r>
      <w:r w:rsidRPr="00554D52">
        <w:rPr>
          <w:rFonts w:ascii="Traditional Arabic" w:hAnsi="Traditional Arabic" w:cs="Traditional Arabic"/>
          <w:sz w:val="30"/>
          <w:szCs w:val="30"/>
          <w:rtl/>
        </w:rPr>
        <w:t>قتصر على حالات الملاذ الأخير، كرد فعل على تهديد وشيك بالموت أو إصابة خطيرة.</w:t>
      </w:r>
      <w:r w:rsidR="006249AD">
        <w:rPr>
          <w:rStyle w:val="FootnoteReference"/>
          <w:rFonts w:cs="Traditional Arabic"/>
          <w:szCs w:val="30"/>
          <w:rtl/>
        </w:rPr>
        <w:footnoteReference w:id="940"/>
      </w:r>
      <w:r w:rsidRPr="00554D52">
        <w:rPr>
          <w:rFonts w:ascii="Traditional Arabic" w:hAnsi="Traditional Arabic" w:cs="Traditional Arabic"/>
          <w:sz w:val="30"/>
          <w:szCs w:val="30"/>
          <w:rtl/>
        </w:rPr>
        <w:t xml:space="preserve"> إن استخدام القوة الذي لا يتوافق مع هذه المبادئ وينتج عنه الموت يرقى إلى الحرمان التعسفي من الحياة بموجب القانون الإنساني الدولي </w:t>
      </w:r>
      <w:r w:rsidR="006249AD">
        <w:rPr>
          <w:rStyle w:val="FootnoteReference"/>
          <w:rFonts w:cs="Traditional Arabic"/>
          <w:szCs w:val="30"/>
          <w:rtl/>
        </w:rPr>
        <w:footnoteReference w:id="941"/>
      </w:r>
      <w:r w:rsidRPr="00554D52">
        <w:rPr>
          <w:rFonts w:ascii="Traditional Arabic" w:hAnsi="Traditional Arabic" w:cs="Traditional Arabic"/>
          <w:sz w:val="30"/>
          <w:szCs w:val="30"/>
          <w:rtl/>
        </w:rPr>
        <w:t>، عندما - في سياق نزاع مسلح - يقوم أحد أطراف النزاع بقتل مدني عن قصد، فإن هذا يرقى إلى القتل العمد أو القتل في نزاع غير دولي.</w:t>
      </w:r>
      <w:r w:rsidR="006249AD">
        <w:rPr>
          <w:rStyle w:val="FootnoteReference"/>
          <w:rFonts w:cs="Traditional Arabic"/>
          <w:szCs w:val="30"/>
          <w:rtl/>
        </w:rPr>
        <w:footnoteReference w:id="942"/>
      </w:r>
      <w:r w:rsidRPr="00554D52">
        <w:rPr>
          <w:rFonts w:ascii="Traditional Arabic" w:hAnsi="Traditional Arabic" w:cs="Traditional Arabic"/>
          <w:sz w:val="30"/>
          <w:szCs w:val="30"/>
          <w:rtl/>
        </w:rPr>
        <w:t xml:space="preserve"> يعتبر القتل جريمة حرب</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006249AD">
        <w:rPr>
          <w:rStyle w:val="FootnoteReference"/>
          <w:rFonts w:cs="Traditional Arabic"/>
          <w:szCs w:val="30"/>
        </w:rPr>
        <w:footnoteReference w:id="943"/>
      </w:r>
    </w:p>
    <w:p w14:paraId="6BEEF9ED" w14:textId="55D44F7E" w:rsidR="00554D52" w:rsidRP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554D52">
        <w:rPr>
          <w:rFonts w:ascii="Traditional Arabic" w:hAnsi="Traditional Arabic" w:cs="Traditional Arabic"/>
          <w:sz w:val="30"/>
          <w:szCs w:val="30"/>
          <w:rtl/>
        </w:rPr>
        <w:t xml:space="preserve">لدى فريق الخبراء أسباب معقولة للاعتقاد بأن القوات المسلحة اليمنية، في 13 </w:t>
      </w:r>
      <w:r w:rsidRPr="00554D52">
        <w:rPr>
          <w:rFonts w:ascii="Traditional Arabic" w:hAnsi="Traditional Arabic" w:cs="Traditional Arabic" w:hint="eastAsia"/>
          <w:sz w:val="30"/>
          <w:szCs w:val="30"/>
          <w:rtl/>
        </w:rPr>
        <w:t>تشرين</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الثاني</w:t>
      </w:r>
      <w:r w:rsidRPr="00554D52">
        <w:rPr>
          <w:rFonts w:ascii="Traditional Arabic" w:hAnsi="Traditional Arabic" w:cs="Traditional Arabic"/>
          <w:sz w:val="30"/>
          <w:szCs w:val="30"/>
          <w:rtl/>
        </w:rPr>
        <w:t xml:space="preserve">/نوفمبر 2018 ، استخدمت القوة المفرطة في إطلاق النار بالذخيرة الحية على المتظاهرين المسالمين الذين لا يمثلون أي تهديد لحياتهم أو إصابات خطيرة. قد يكون الأفراد مسؤولين جنائيا عن جرائم الحرب </w:t>
      </w:r>
      <w:r w:rsidRPr="00554D52">
        <w:rPr>
          <w:rFonts w:ascii="Traditional Arabic" w:hAnsi="Traditional Arabic" w:cs="Traditional Arabic" w:hint="eastAsia"/>
          <w:sz w:val="30"/>
          <w:szCs w:val="30"/>
          <w:rtl/>
        </w:rPr>
        <w:t>ل</w:t>
      </w:r>
      <w:r w:rsidRPr="00554D52">
        <w:rPr>
          <w:rFonts w:ascii="Traditional Arabic" w:hAnsi="Traditional Arabic" w:cs="Traditional Arabic"/>
          <w:sz w:val="30"/>
          <w:szCs w:val="30"/>
          <w:rtl/>
        </w:rPr>
        <w:t>هذه الأفعال.</w:t>
      </w:r>
    </w:p>
    <w:p w14:paraId="49F6E119" w14:textId="780CEEFC" w:rsidR="00554D52" w:rsidRP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الاختفاء القسري محظور بموجب القانون الدولي لحقوق الإنسان والقانون الدولي الإنساني ، ولا سيما باعتباره انتهاكًا لح</w:t>
      </w:r>
      <w:r w:rsidRPr="00554D52">
        <w:rPr>
          <w:rFonts w:ascii="Traditional Arabic" w:hAnsi="Traditional Arabic" w:cs="Traditional Arabic" w:hint="eastAsia"/>
          <w:sz w:val="30"/>
          <w:szCs w:val="30"/>
          <w:rtl/>
        </w:rPr>
        <w:t>ظر</w:t>
      </w:r>
      <w:r w:rsidRPr="00554D52">
        <w:rPr>
          <w:rFonts w:ascii="Traditional Arabic" w:hAnsi="Traditional Arabic" w:cs="Traditional Arabic"/>
          <w:sz w:val="30"/>
          <w:szCs w:val="30"/>
          <w:rtl/>
        </w:rPr>
        <w:t xml:space="preserve"> الحرمان من الحرية تعسفًا ولحظر التعذيب</w:t>
      </w:r>
      <w:r w:rsidRPr="006A7AD0">
        <w:rPr>
          <w:rStyle w:val="FootnoteReference"/>
          <w:sz w:val="24"/>
          <w:szCs w:val="24"/>
        </w:rPr>
        <w:footnoteReference w:id="944"/>
      </w:r>
      <w:r w:rsidRPr="006A7AD0">
        <w:rPr>
          <w:rStyle w:val="FootnoteReference"/>
          <w:sz w:val="24"/>
          <w:szCs w:val="24"/>
          <w:rtl/>
        </w:rPr>
        <w:t>.</w:t>
      </w:r>
      <w:r w:rsidRPr="00554D52">
        <w:rPr>
          <w:rFonts w:ascii="Traditional Arabic" w:hAnsi="Traditional Arabic" w:cs="Traditional Arabic"/>
          <w:sz w:val="30"/>
          <w:szCs w:val="30"/>
          <w:rtl/>
        </w:rPr>
        <w:t xml:space="preserve"> </w:t>
      </w:r>
      <w:r w:rsidRPr="00554D52">
        <w:rPr>
          <w:rFonts w:ascii="Traditional Arabic" w:hAnsi="Traditional Arabic" w:cs="Traditional Arabic" w:hint="eastAsia"/>
          <w:sz w:val="30"/>
          <w:szCs w:val="30"/>
          <w:rtl/>
        </w:rPr>
        <w:t>يمنع</w:t>
      </w:r>
      <w:r w:rsidRPr="00554D52">
        <w:rPr>
          <w:rFonts w:ascii="Traditional Arabic" w:hAnsi="Traditional Arabic" w:cs="Traditional Arabic"/>
          <w:sz w:val="30"/>
          <w:szCs w:val="30"/>
          <w:rtl/>
        </w:rPr>
        <w:t xml:space="preserve"> القانون الدولي لحقوق الإنسان والقانون الدولي الإنساني الاعتقال التعسفي</w:t>
      </w:r>
      <w:r w:rsidRPr="006A7AD0">
        <w:rPr>
          <w:rStyle w:val="FootnoteReference"/>
          <w:sz w:val="24"/>
          <w:szCs w:val="24"/>
        </w:rPr>
        <w:footnoteReference w:id="945"/>
      </w:r>
      <w:r w:rsidRPr="00554D52">
        <w:rPr>
          <w:rFonts w:ascii="Traditional Arabic" w:hAnsi="Traditional Arabic" w:cs="Traditional Arabic"/>
          <w:sz w:val="30"/>
          <w:szCs w:val="30"/>
          <w:rtl/>
        </w:rPr>
        <w:t>. تعتبر حالات الحرمان من الحرية تعسفية مخالفة لأحكام القانون الدولي ، ومعظمها تلك المتعلقة بالحق في محاكمة عادلة أو غيرها من الضمانات الإجرائية ، وكذلك الاعتقالات القائمة على ممارسة الحريات الأساسية. إن حرمان شخص من الحق في محاكمة عادلة قد يعتبر جريمة حرب في نزاع غير دولي</w:t>
      </w:r>
      <w:r w:rsidRPr="006A7AD0">
        <w:rPr>
          <w:rStyle w:val="FootnoteReference"/>
          <w:sz w:val="24"/>
          <w:szCs w:val="24"/>
        </w:rPr>
        <w:footnoteReference w:id="946"/>
      </w:r>
      <w:r w:rsidRPr="00554D52">
        <w:rPr>
          <w:rFonts w:ascii="Traditional Arabic" w:hAnsi="Traditional Arabic" w:cs="Traditional Arabic"/>
          <w:sz w:val="30"/>
          <w:szCs w:val="30"/>
          <w:rtl/>
        </w:rPr>
        <w:t xml:space="preserve">. التعذيب وغيره من ضروب المعاملة القاسية أو اللاإنسانية أو المهينة ممنوع منعا باتا بموجب القانون الدولي لحقوق الإنسان </w:t>
      </w:r>
      <w:r w:rsidRPr="00554D52">
        <w:rPr>
          <w:rFonts w:ascii="Traditional Arabic" w:hAnsi="Traditional Arabic" w:cs="Traditional Arabic"/>
          <w:sz w:val="30"/>
          <w:szCs w:val="30"/>
          <w:rtl/>
        </w:rPr>
        <w:lastRenderedPageBreak/>
        <w:t>والقانون الدولي الإنساني ، وقد يؤدي إلى مسؤولية جنائية فردية عن جرائم الحرب</w:t>
      </w:r>
      <w:r w:rsidRPr="00554D52">
        <w:rPr>
          <w:rFonts w:ascii="Traditional Arabic" w:hAnsi="Traditional Arabic" w:cs="Traditional Arabic"/>
          <w:sz w:val="30"/>
          <w:szCs w:val="30"/>
        </w:rPr>
        <w:t>.</w:t>
      </w:r>
      <w:r w:rsidRPr="002D113B">
        <w:rPr>
          <w:rFonts w:ascii="Traditional Arabic" w:hAnsi="Traditional Arabic" w:cs="Traditional Arabic"/>
          <w:sz w:val="30"/>
          <w:szCs w:val="30"/>
        </w:rPr>
        <w:t xml:space="preserve"> </w:t>
      </w:r>
      <w:r w:rsidRPr="006A7AD0">
        <w:rPr>
          <w:rStyle w:val="FootnoteReference"/>
          <w:sz w:val="24"/>
          <w:szCs w:val="24"/>
        </w:rPr>
        <w:footnoteReference w:id="947"/>
      </w:r>
    </w:p>
    <w:p w14:paraId="1F265A6B" w14:textId="4CDD5A95" w:rsidR="00554D52" w:rsidRDefault="00554D52" w:rsidP="006A7AD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Pr>
      </w:pPr>
      <w:r w:rsidRPr="00554D52">
        <w:rPr>
          <w:rFonts w:ascii="Traditional Arabic" w:hAnsi="Traditional Arabic" w:cs="Traditional Arabic"/>
          <w:sz w:val="30"/>
          <w:szCs w:val="30"/>
          <w:rtl/>
        </w:rPr>
        <w:t>لدى فريق الخبراء أسباب معقولة للاعتقاد بأن المملكة العربية السعودية والحكومة اليمنية مسؤولتان عن الاختفاء القسري والا</w:t>
      </w:r>
      <w:r w:rsidRPr="00554D52">
        <w:rPr>
          <w:rFonts w:ascii="Traditional Arabic" w:hAnsi="Traditional Arabic" w:cs="Traditional Arabic" w:hint="eastAsia"/>
          <w:sz w:val="30"/>
          <w:szCs w:val="30"/>
          <w:rtl/>
        </w:rPr>
        <w:t>عتقال</w:t>
      </w:r>
      <w:r w:rsidRPr="00554D52">
        <w:rPr>
          <w:rFonts w:ascii="Traditional Arabic" w:hAnsi="Traditional Arabic" w:cs="Traditional Arabic"/>
          <w:sz w:val="30"/>
          <w:szCs w:val="30"/>
          <w:rtl/>
        </w:rPr>
        <w:t xml:space="preserve"> التعسفي </w:t>
      </w:r>
      <w:r w:rsidRPr="00554D52">
        <w:rPr>
          <w:rFonts w:ascii="Traditional Arabic" w:hAnsi="Traditional Arabic" w:cs="Traditional Arabic" w:hint="cs"/>
          <w:sz w:val="30"/>
          <w:szCs w:val="30"/>
          <w:rtl/>
        </w:rPr>
        <w:t>لل</w:t>
      </w:r>
      <w:r w:rsidRPr="00554D52">
        <w:rPr>
          <w:rFonts w:ascii="Traditional Arabic" w:hAnsi="Traditional Arabic" w:cs="Traditional Arabic"/>
          <w:sz w:val="30"/>
          <w:szCs w:val="30"/>
          <w:rtl/>
        </w:rPr>
        <w:t xml:space="preserve">أفراد الذين يُعتقد أنهم معارضون </w:t>
      </w:r>
      <w:r w:rsidRPr="00554D52">
        <w:rPr>
          <w:rFonts w:ascii="Traditional Arabic" w:hAnsi="Traditional Arabic" w:cs="Traditional Arabic" w:hint="eastAsia"/>
          <w:sz w:val="30"/>
          <w:szCs w:val="30"/>
          <w:rtl/>
        </w:rPr>
        <w:t>سياسيون</w:t>
      </w:r>
      <w:r w:rsidRPr="00554D52">
        <w:rPr>
          <w:rFonts w:ascii="Traditional Arabic" w:hAnsi="Traditional Arabic" w:cs="Traditional Arabic" w:hint="cs"/>
          <w:sz w:val="30"/>
          <w:szCs w:val="30"/>
          <w:rtl/>
        </w:rPr>
        <w:t>.</w:t>
      </w:r>
      <w:r w:rsidRPr="00554D52">
        <w:rPr>
          <w:rFonts w:ascii="Traditional Arabic" w:hAnsi="Traditional Arabic" w:cs="Traditional Arabic"/>
          <w:sz w:val="30"/>
          <w:szCs w:val="30"/>
          <w:rtl/>
        </w:rPr>
        <w:t xml:space="preserve"> في إحدى الحالات، لدى </w:t>
      </w:r>
      <w:r w:rsidRPr="00554D52">
        <w:rPr>
          <w:rFonts w:ascii="Traditional Arabic" w:hAnsi="Traditional Arabic" w:cs="Traditional Arabic" w:hint="cs"/>
          <w:sz w:val="30"/>
          <w:szCs w:val="30"/>
          <w:rtl/>
        </w:rPr>
        <w:t>الفريق</w:t>
      </w:r>
      <w:r w:rsidRPr="00554D52">
        <w:rPr>
          <w:rFonts w:ascii="Traditional Arabic" w:hAnsi="Traditional Arabic" w:cs="Traditional Arabic"/>
          <w:sz w:val="30"/>
          <w:szCs w:val="30"/>
          <w:rtl/>
        </w:rPr>
        <w:t xml:space="preserve"> أسباب معقولة للاعتقاد بأن المملكة العربية السعودية وحكومة اليمن مسؤول</w:t>
      </w:r>
      <w:r w:rsidRPr="00554D52">
        <w:rPr>
          <w:rFonts w:ascii="Traditional Arabic" w:hAnsi="Traditional Arabic" w:cs="Traditional Arabic" w:hint="eastAsia"/>
          <w:sz w:val="30"/>
          <w:szCs w:val="30"/>
          <w:rtl/>
        </w:rPr>
        <w:t>تان</w:t>
      </w:r>
      <w:r w:rsidRPr="00554D52">
        <w:rPr>
          <w:rFonts w:ascii="Traditional Arabic" w:hAnsi="Traditional Arabic" w:cs="Traditional Arabic"/>
          <w:sz w:val="30"/>
          <w:szCs w:val="30"/>
          <w:rtl/>
        </w:rPr>
        <w:t xml:space="preserve"> عن التعذيب وسوء المعاملة ، مما قد يؤدي إلى مسؤولية جنائية عن جرائم الحرب المتمثلة في التعذيب والمعاملة القاسية أو اللاإنسانية</w:t>
      </w:r>
      <w:r w:rsidRPr="00554D52">
        <w:rPr>
          <w:rFonts w:ascii="Traditional Arabic" w:hAnsi="Traditional Arabic" w:cs="Traditional Arabic"/>
          <w:sz w:val="30"/>
          <w:szCs w:val="30"/>
        </w:rPr>
        <w:t>.</w:t>
      </w:r>
    </w:p>
    <w:p w14:paraId="62E8D926" w14:textId="54A191B6" w:rsidR="00825FCB"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555FC35D" w14:textId="4FA47F2D" w:rsidR="00825FCB"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74AFAEBF" w14:textId="77777777" w:rsidR="00825FCB" w:rsidRPr="00554D52" w:rsidRDefault="00825FCB" w:rsidP="00825FCB">
      <w:pPr>
        <w:pStyle w:val="Footer"/>
        <w:tabs>
          <w:tab w:val="left" w:pos="720"/>
          <w:tab w:val="left" w:pos="900"/>
          <w:tab w:val="left" w:pos="1134"/>
          <w:tab w:val="left" w:pos="1701"/>
        </w:tabs>
        <w:bidi/>
        <w:spacing w:after="240"/>
        <w:ind w:left="1089" w:right="1089"/>
        <w:jc w:val="both"/>
        <w:rPr>
          <w:rFonts w:ascii="Traditional Arabic" w:hAnsi="Traditional Arabic" w:cs="Traditional Arabic"/>
          <w:sz w:val="30"/>
          <w:szCs w:val="30"/>
        </w:rPr>
      </w:pPr>
    </w:p>
    <w:p w14:paraId="287BB3FD" w14:textId="401FC8C5" w:rsidR="00595527" w:rsidRPr="00FE2CD1" w:rsidRDefault="0077685C" w:rsidP="00930277">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rtl/>
          <w:lang w:val="en-US"/>
        </w:rPr>
      </w:pPr>
      <w:r w:rsidRPr="00FE2CD1">
        <w:rPr>
          <w:rStyle w:val="Heading2Char"/>
          <w:rFonts w:ascii="Traditional Arabic" w:hAnsi="Traditional Arabic" w:cs="Traditional Arabic"/>
          <w:b/>
          <w:bCs/>
          <w:sz w:val="28"/>
          <w:szCs w:val="38"/>
          <w:rtl/>
          <w:lang w:val="en-US"/>
        </w:rPr>
        <w:tab/>
      </w:r>
      <w:bookmarkStart w:id="31" w:name="_Toc18918111"/>
      <w:r w:rsidR="00930277" w:rsidRPr="00FE2CD1">
        <w:rPr>
          <w:rStyle w:val="Heading2Char"/>
          <w:rFonts w:ascii="Traditional Arabic" w:hAnsi="Traditional Arabic" w:cs="Traditional Arabic"/>
          <w:b/>
          <w:bCs/>
          <w:sz w:val="28"/>
          <w:szCs w:val="38"/>
          <w:rtl/>
          <w:lang w:val="en-US"/>
        </w:rPr>
        <w:t>التحليل الجنساني والعنف القائم على نوع الجنس</w:t>
      </w:r>
      <w:bookmarkEnd w:id="31"/>
    </w:p>
    <w:p w14:paraId="7A1B48F0" w14:textId="4B8995E9" w:rsidR="00930277" w:rsidRPr="00930277" w:rsidRDefault="00930277" w:rsidP="00CF21FC">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b/>
          <w:bCs/>
          <w:sz w:val="30"/>
          <w:szCs w:val="30"/>
          <w:rtl/>
        </w:rPr>
        <w:t>المقدمة</w:t>
      </w:r>
    </w:p>
    <w:p w14:paraId="03CA23F7" w14:textId="0E2F5115"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أثّر النزاع المسلح على النساء والفتيات والرجال والفتيان بأشكال مختلفة بسبب عدم المساواة الكامنة في المجتمعات المحلية في اليمن. ولطالما كان المجتمع اليمني أبوياً، حيث يعيش الكثير من النساء والفتيات، وبخاصة اللواتي ينتمين الى الأقليات أو المجتمعات الريفية، في أوضاع غير متكافئة وخطيرة للغاية. وقد أدت تصرفات أطراف النزاع إلى تفاقم هذا الوضع عبر استغلال تلك الأطراف للمعايير الجنسانية بغية تعزيز أهدافها. وقد أثر ذلك أيضاً على المكاسب التي تحققت في تمكين النساء والفتيات قبل النزاع، مما أدى إلى تعثّر الإنجازات السابقة، أو حتى الى عكسها في بعض الحالات. وقد ظهرت مواطن ضعف جديدة أمام العنف القائم على النوع الجنساني بسبب النزوح، والفقر والعنف العشوائي. وقد انهار الدعم المحدود أصلاً الذي يوفره نظام العدالة الجنائية لمواجهة العنف في عام 2019. وتشكل بعض الجهات الفاعلة المكلفة بإنفاذ القانون والقوات المسلحة والجماعات المسلحة تهديداً مباشراً لأمن المرأة، علماً أن الأطراف قد عرقلت وأعاقت شبكات الحماية في مناطق رئيسية</w:t>
      </w:r>
      <w:r w:rsidRPr="00930277">
        <w:rPr>
          <w:rFonts w:ascii="Traditional Arabic" w:hAnsi="Traditional Arabic" w:cs="Traditional Arabic"/>
          <w:sz w:val="30"/>
          <w:szCs w:val="30"/>
        </w:rPr>
        <w:t>.</w:t>
      </w:r>
    </w:p>
    <w:p w14:paraId="7CD2691C" w14:textId="0050467B" w:rsidR="00930277" w:rsidRPr="00930277" w:rsidRDefault="00930277" w:rsidP="00CF5B1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كان لهذا الوضع عواقب وخيمة قصيرة المدى على الحقوق الأساسية للنساء والفتيات والفتيان والرجال، لا سيما على أولئك الذين يعانون من أشكال متعددة من التمييز ومواطن الضعف. وتشمل هذه الحقوق الحق في الحياة، والبقاء، والتنمية؛ والحماية من العنف، والإصابة والإيذاء، بما في ذلك العنف الجنسي؛ والحرية والأمن الشخصي؛ والحق في الصحة والغذاء والتعليم. هذه الحقوق مكفولة بموجب القانون الدولي لحقوق الإنسان بما في ذلك اتفاقية القضاء </w:t>
      </w:r>
      <w:r w:rsidRPr="00930277">
        <w:rPr>
          <w:rFonts w:ascii="Traditional Arabic" w:hAnsi="Traditional Arabic" w:cs="Traditional Arabic"/>
          <w:sz w:val="30"/>
          <w:szCs w:val="30"/>
          <w:rtl/>
        </w:rPr>
        <w:lastRenderedPageBreak/>
        <w:t>على جميع أشكال التمييز ضد المرأة التي انضمّ اليها اليمن وجميع أعضاء التحالف باستثناء السودان. علاوة على ذلك، من المرجح أن تخلّف انتهاكات الحقوق هذه إرثاً طويل الأجل من ترسيخ لعدم المساواة والتمييز والعنف القائم على النوع الجنساني</w:t>
      </w:r>
      <w:r w:rsidRPr="00930277">
        <w:rPr>
          <w:rFonts w:ascii="Traditional Arabic" w:hAnsi="Traditional Arabic" w:cs="Traditional Arabic"/>
          <w:sz w:val="30"/>
          <w:szCs w:val="30"/>
        </w:rPr>
        <w:t>.</w:t>
      </w:r>
      <w:r w:rsidR="00CF5B16">
        <w:rPr>
          <w:rFonts w:ascii="Traditional Arabic" w:hAnsi="Traditional Arabic" w:cs="Traditional Arabic" w:hint="cs"/>
          <w:sz w:val="30"/>
          <w:szCs w:val="30"/>
          <w:rtl/>
        </w:rPr>
        <w:t xml:space="preserve"> كما يمكن إيجاد الحمايات ضمن القانون الدولي الإنساني بما في ذلك القانون الدولي الإنساني</w:t>
      </w:r>
      <w:r w:rsidR="00CF5B16" w:rsidRPr="00CF5B16">
        <w:rPr>
          <w:rFonts w:ascii="Traditional Arabic" w:hAnsi="Traditional Arabic" w:cs="Traditional Arabic" w:hint="cs"/>
          <w:sz w:val="30"/>
          <w:szCs w:val="30"/>
          <w:rtl/>
        </w:rPr>
        <w:t xml:space="preserve"> </w:t>
      </w:r>
      <w:r w:rsidR="00CF5B16">
        <w:rPr>
          <w:rFonts w:ascii="Traditional Arabic" w:hAnsi="Traditional Arabic" w:cs="Traditional Arabic" w:hint="cs"/>
          <w:sz w:val="30"/>
          <w:szCs w:val="30"/>
          <w:rtl/>
        </w:rPr>
        <w:t>العرفي.</w:t>
      </w:r>
      <w:r w:rsidR="004F43EC">
        <w:rPr>
          <w:rFonts w:ascii="Traditional Arabic" w:hAnsi="Traditional Arabic" w:cs="Traditional Arabic" w:hint="cs"/>
          <w:sz w:val="30"/>
          <w:szCs w:val="30"/>
          <w:rtl/>
        </w:rPr>
        <w:t xml:space="preserve"> </w:t>
      </w:r>
    </w:p>
    <w:p w14:paraId="2A411513" w14:textId="11E97C45" w:rsidR="00930277" w:rsidRPr="00930277" w:rsidRDefault="00930277" w:rsidP="00CF21FC">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b/>
          <w:bCs/>
          <w:sz w:val="30"/>
          <w:szCs w:val="30"/>
          <w:rtl/>
        </w:rPr>
        <w:t>وضع النساء والفتيات في اليمن</w:t>
      </w:r>
    </w:p>
    <w:p w14:paraId="1DD23C97" w14:textId="66073A83" w:rsidR="00930277" w:rsidRPr="00930277" w:rsidRDefault="00930277" w:rsidP="004F43E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قبل النزاع، كانت النساء والفتيات يعشن بالفعل في مجتمع فقير وغير متكافئ. إذ يحتل اليمن المرتبة الأسوأ في العالم بين جميع البلدان في مؤشر عدم المساواة بين الجنسين التابع لبرنامج الأمم المتحدة الإنمائي ومؤشر الفجوة بين الجنسين في المنتدى الاقتصادي العالمي، والتدابير المركبة لحقوق النساء والفتيات في الصحة والتعليم، والمشاركة الاقتصادية والسياسية، والحماية من العنف القائم على الجنس</w:t>
      </w:r>
      <w:r w:rsidR="001F19B7">
        <w:rPr>
          <w:rStyle w:val="FootnoteReference"/>
          <w:rFonts w:cs="Traditional Arabic"/>
          <w:szCs w:val="30"/>
          <w:rtl/>
        </w:rPr>
        <w:footnoteReference w:id="948"/>
      </w:r>
      <w:r w:rsidRPr="00930277">
        <w:rPr>
          <w:rFonts w:ascii="Traditional Arabic" w:hAnsi="Traditional Arabic" w:cs="Traditional Arabic"/>
          <w:sz w:val="30"/>
          <w:szCs w:val="30"/>
          <w:rtl/>
        </w:rPr>
        <w:t>. ويُظهر دليل التنمية البشرية</w:t>
      </w:r>
      <w:r w:rsidRPr="00930277">
        <w:rPr>
          <w:rFonts w:ascii="Traditional Arabic" w:hAnsi="Traditional Arabic" w:cs="Traditional Arabic"/>
          <w:sz w:val="30"/>
          <w:szCs w:val="30"/>
        </w:rPr>
        <w:t xml:space="preserve"> (HDI) </w:t>
      </w:r>
      <w:r w:rsidRPr="00930277">
        <w:rPr>
          <w:rFonts w:ascii="Traditional Arabic" w:hAnsi="Traditional Arabic" w:cs="Traditional Arabic"/>
          <w:sz w:val="30"/>
          <w:szCs w:val="30"/>
          <w:rtl/>
        </w:rPr>
        <w:t xml:space="preserve">لبرنامج الأمم المتحدة الإنمائي أن اليمن هو أحد أكثر البلدان فقراً في العالم. ومن خلال التصنيف حسب الجنس، يظهر أن الاختلافات بين الرجال والنساء فيها أعلى درجة من عدم المساواة بين البلدان، وأنّ تأثير الحرب على متوسط العمر المتوقع، والتعليم، ومستوى المعيشة للمرأة هو ضعف ما هو عليه بالنسبة للرجال </w:t>
      </w:r>
      <w:r w:rsidR="00FA3D66">
        <w:rPr>
          <w:rStyle w:val="FootnoteReference"/>
          <w:rFonts w:cs="Traditional Arabic"/>
          <w:szCs w:val="30"/>
          <w:rtl/>
        </w:rPr>
        <w:footnoteReference w:id="949"/>
      </w:r>
      <w:r w:rsidRPr="00930277">
        <w:rPr>
          <w:rFonts w:ascii="Traditional Arabic" w:hAnsi="Traditional Arabic" w:cs="Traditional Arabic"/>
          <w:sz w:val="30"/>
          <w:szCs w:val="30"/>
          <w:rtl/>
        </w:rPr>
        <w:t>. وتُظهر استطلاعات منظمة العمل الدولية لعام 2014 أن القوى العاملة تضم 6</w:t>
      </w:r>
      <w:r w:rsidR="004F43EC">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فقط من النساء مقابل 65</w:t>
      </w:r>
      <w:r w:rsidR="004F43EC" w:rsidRPr="004F43EC">
        <w:rPr>
          <w:rFonts w:ascii="Traditional Arabic" w:hAnsi="Traditional Arabic" w:cs="Traditional Arabic" w:hint="cs"/>
          <w:sz w:val="30"/>
          <w:szCs w:val="30"/>
          <w:rtl/>
        </w:rPr>
        <w:t xml:space="preserve"> </w:t>
      </w:r>
      <w:r w:rsidR="004F43EC">
        <w:rPr>
          <w:rFonts w:ascii="Traditional Arabic" w:hAnsi="Traditional Arabic" w:cs="Traditional Arabic" w:hint="cs"/>
          <w:sz w:val="30"/>
          <w:szCs w:val="30"/>
          <w:rtl/>
        </w:rPr>
        <w:t>بالمئة</w:t>
      </w:r>
      <w:r w:rsidRPr="00930277">
        <w:rPr>
          <w:rFonts w:ascii="Traditional Arabic" w:hAnsi="Traditional Arabic" w:cs="Traditional Arabic"/>
          <w:sz w:val="30"/>
          <w:szCs w:val="30"/>
          <w:rtl/>
        </w:rPr>
        <w:t xml:space="preserve"> من الرجال، ولا سيما في الزراعة، حيث تتقاضى النساء أجوراً أقل بكثير، مع مشاركة العديد من النساء الأخريات في المناطق الريفية في زراعة الكفاف وإعداد الطعام فضلاً عن لعب دور رئيسي في التغذية</w:t>
      </w:r>
      <w:r w:rsidR="00FA3D66">
        <w:rPr>
          <w:rStyle w:val="FootnoteReference"/>
          <w:rFonts w:cs="Traditional Arabic"/>
          <w:szCs w:val="30"/>
          <w:rtl/>
        </w:rPr>
        <w:footnoteReference w:id="950"/>
      </w:r>
      <w:r w:rsidRPr="00930277">
        <w:rPr>
          <w:rFonts w:ascii="Traditional Arabic" w:hAnsi="Traditional Arabic" w:cs="Traditional Arabic"/>
          <w:sz w:val="30"/>
          <w:szCs w:val="30"/>
        </w:rPr>
        <w:t>.</w:t>
      </w:r>
    </w:p>
    <w:p w14:paraId="256B39A9" w14:textId="02B6E96B" w:rsidR="00930277" w:rsidRPr="00930277" w:rsidRDefault="00930277" w:rsidP="004F43E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عزّز القانون التشريعي اليمني الدور التبعي للنساء والفتيات في المجتمع. وينص قانون الأحوال الشخصية لعام 1992 على أن الأقارب الذكور يتمتعون بحقوق الوصاية ("الولاية") على المرأة طوال حياتها. كما ينص على أن الزوج هو رب الأسرة المعيشية القانوني وله الحق في أن تطيعه زوجته؛ كما يجب أن يكون لديه "الوصول" إليها دائماً وتسمح له بممارسة الجنس معها متى شاء؛ وأن تمتنع عن عصيان أوامره، وأن دورها الأساسي في المجتمع هو العمل المنزلي. تسافر النساء خارج المنزل فقط "لأسباب مشروعة" مثل المسؤوليات المنزلية وتوفير الرعاية، ومع "محرم"</w:t>
      </w:r>
      <w:r w:rsidR="004F43EC">
        <w:rPr>
          <w:rFonts w:ascii="Traditional Arabic" w:hAnsi="Traditional Arabic" w:cs="Traditional Arabic" w:hint="cs"/>
          <w:sz w:val="30"/>
          <w:szCs w:val="30"/>
          <w:rtl/>
        </w:rPr>
        <w:t xml:space="preserve"> يرافقها</w:t>
      </w:r>
      <w:r w:rsidR="00FA3D66">
        <w:rPr>
          <w:rStyle w:val="FootnoteReference"/>
          <w:rFonts w:cs="Traditional Arabic"/>
          <w:szCs w:val="30"/>
          <w:rtl/>
        </w:rPr>
        <w:footnoteReference w:id="951"/>
      </w:r>
      <w:r w:rsidRPr="00930277">
        <w:rPr>
          <w:rFonts w:ascii="Traditional Arabic" w:hAnsi="Traditional Arabic" w:cs="Traditional Arabic"/>
          <w:sz w:val="30"/>
          <w:szCs w:val="30"/>
          <w:rtl/>
        </w:rPr>
        <w:t xml:space="preserve">. يعتبر تعدد الزوجات للرجال حتى أربع زوجات قانونياً، ولا يوجد حد أدنى لسن الزواج، والآباء هم الوصيون </w:t>
      </w:r>
      <w:r w:rsidRPr="00930277">
        <w:rPr>
          <w:rFonts w:ascii="Traditional Arabic" w:hAnsi="Traditional Arabic" w:cs="Traditional Arabic"/>
          <w:sz w:val="30"/>
          <w:szCs w:val="30"/>
          <w:rtl/>
        </w:rPr>
        <w:lastRenderedPageBreak/>
        <w:t xml:space="preserve">القانونيون الوحيدون على الأطفال، وحقوق الطلاق للنساء محدودة </w:t>
      </w:r>
      <w:r w:rsidR="00FA3D66">
        <w:rPr>
          <w:rStyle w:val="FootnoteReference"/>
          <w:rFonts w:cs="Traditional Arabic"/>
          <w:szCs w:val="30"/>
          <w:rtl/>
        </w:rPr>
        <w:footnoteReference w:id="952"/>
      </w:r>
      <w:r w:rsidRPr="00930277">
        <w:rPr>
          <w:rFonts w:ascii="Traditional Arabic" w:hAnsi="Traditional Arabic" w:cs="Traditional Arabic"/>
          <w:sz w:val="30"/>
          <w:szCs w:val="30"/>
          <w:rtl/>
        </w:rPr>
        <w:t xml:space="preserve">. وينص قانون العقوبات على أن شهادة المرأة تساوي نصف شهادة الرجل؛ يتلقى الرجال عقوبات مخففة لقتل قريبات منهم إذا كان الدافع استعادة "الشرف"؛ يجرّم "الفجور"، مثل التنقل بدون وجود وصي ذكر أو الارتباط مع رجل من غير الأقارب من الذكور؛ الإجهاض مجرّم؛ </w:t>
      </w:r>
      <w:r w:rsidR="00F64B18">
        <w:rPr>
          <w:rFonts w:ascii="Traditional Arabic" w:hAnsi="Traditional Arabic" w:cs="Traditional Arabic" w:hint="cs"/>
          <w:sz w:val="30"/>
          <w:szCs w:val="30"/>
          <w:rtl/>
        </w:rPr>
        <w:t xml:space="preserve">إلا أن </w:t>
      </w:r>
      <w:r w:rsidRPr="00930277">
        <w:rPr>
          <w:rFonts w:ascii="Traditional Arabic" w:hAnsi="Traditional Arabic" w:cs="Traditional Arabic"/>
          <w:sz w:val="30"/>
          <w:szCs w:val="30"/>
          <w:rtl/>
        </w:rPr>
        <w:t>تشويه الأعضاء التناسلية للإناث لا يتم تجريمه</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3"/>
      </w:r>
    </w:p>
    <w:p w14:paraId="1D8FC2D7" w14:textId="64851CDB"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تستند هذه الأحكام إلى العادات والتقاليد الأبوية. ويستند القانون العرفي إلى نظام شبيه بالطبقات يمنح الرجال امتيازات وحقوق الوصاية الموسعة على النساء وغير اليمنيين وعلى مجموعات الأقليات، وغيرهم من الأشخاص "المستضعفين" </w:t>
      </w:r>
      <w:r w:rsidR="00FA3D66">
        <w:rPr>
          <w:rStyle w:val="FootnoteReference"/>
          <w:rFonts w:cs="Traditional Arabic"/>
          <w:szCs w:val="30"/>
          <w:rtl/>
        </w:rPr>
        <w:footnoteReference w:id="954"/>
      </w:r>
      <w:r w:rsidRPr="00930277">
        <w:rPr>
          <w:rFonts w:ascii="Traditional Arabic" w:hAnsi="Traditional Arabic" w:cs="Traditional Arabic"/>
          <w:sz w:val="30"/>
          <w:szCs w:val="30"/>
          <w:rtl/>
        </w:rPr>
        <w:t xml:space="preserve">. تأتي الأدوار التقليدية للرجال داخل هذا النظام مع توقع التصرف بعنف والقتال من أجل أداء دورهم كأوصياء، وخاصة رجال الطبقة العليا من خلفية قبلية. الأدوار التقليدية للمرأة هي إلى حد كبير منزلية وإنجابية وتستند إلى الأسرة. يتضمن هذا النظام عدم المساواة والتمييز على أساس الجنس، والأوضاع القبلية، والدينية، والطبقية، والعنصرية، مما يجعل النساء والفتيات من أصل أفريقي، و "المهّمشات" ، وأولئك اللواتي يعشن في المناطق الريفية الأكثر تهميشًا وحرمانًا وضعفاً أمام العنف القائم على النوع الجنساني </w:t>
      </w:r>
      <w:r w:rsidR="00FA3D66">
        <w:rPr>
          <w:rStyle w:val="FootnoteReference"/>
          <w:rFonts w:cs="Traditional Arabic"/>
          <w:szCs w:val="30"/>
          <w:rtl/>
        </w:rPr>
        <w:footnoteReference w:id="955"/>
      </w:r>
      <w:r w:rsidRPr="00930277">
        <w:rPr>
          <w:rFonts w:ascii="Traditional Arabic" w:hAnsi="Traditional Arabic" w:cs="Traditional Arabic"/>
          <w:sz w:val="30"/>
          <w:szCs w:val="30"/>
          <w:rtl/>
        </w:rPr>
        <w:t>. هذا موجود على نطاقات مختلفة في جميع أنحاء اليمن، ولكنه الأكثر وضوحا في المناطق الريفية والشمالية التي تقع الآن وإلى حد كبير تحت سيطرة سلطات الأمر الواقع والتي هي تقليديا أكثر محافظة من المناطق الجنوبية</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6"/>
      </w:r>
    </w:p>
    <w:p w14:paraId="2F327FA8" w14:textId="19B957E2"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يتم تبادل حقوق الوصاية على النساء والفتيات بين الذكور من خلال الزواج. ويدفع العريس المهر لوالد العروس، وبعد ذلك تنتقل الوصاية على العروس من الوالد إلى الزوج. كما أنّ زواج الأطفال مستشرٍ في اليمن، والزواج قانوني في أي عمر، ويُمنع الاتصال الجنسي قانوناً قبل سن البلوغ </w:t>
      </w:r>
      <w:r w:rsidR="00FA3D66">
        <w:rPr>
          <w:rStyle w:val="FootnoteReference"/>
          <w:rFonts w:cs="Traditional Arabic"/>
          <w:szCs w:val="30"/>
          <w:rtl/>
        </w:rPr>
        <w:footnoteReference w:id="957"/>
      </w:r>
      <w:r w:rsidRPr="00930277">
        <w:rPr>
          <w:rFonts w:ascii="Traditional Arabic" w:hAnsi="Traditional Arabic" w:cs="Traditional Arabic"/>
          <w:sz w:val="30"/>
          <w:szCs w:val="30"/>
          <w:rtl/>
        </w:rPr>
        <w:t xml:space="preserve">. ويوفّر زواج الفتيات في سن مبكرة مصدراً للدخل لعائلة العروس، وتعتبره بعض العائلات شكلاً من أشكال الحماية، حيث ترفع عنها عبء توفير حاجات بناتها، خاصة في الأسر الفقيرة أو حيث تعجز الفتيات عن الوصول إلى التعليم. ويزيد </w:t>
      </w:r>
      <w:r w:rsidRPr="00930277">
        <w:rPr>
          <w:rFonts w:ascii="Traditional Arabic" w:hAnsi="Traditional Arabic" w:cs="Traditional Arabic"/>
          <w:sz w:val="30"/>
          <w:szCs w:val="30"/>
          <w:rtl/>
        </w:rPr>
        <w:lastRenderedPageBreak/>
        <w:t>الاختلال النسبي في العمر والسلطة بين الزوج والزوجة من خطر العنف العائلي، ترافقه شرعية الجماع مع الفتيات اللواتي "بلغن سن البلوغ" بالكاد، ويشمل الاعتداء الجنسي على الأطفال كممارسة</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58"/>
      </w:r>
    </w:p>
    <w:p w14:paraId="3F5829CC" w14:textId="5F3940E8" w:rsidR="00930277" w:rsidRPr="00930277" w:rsidRDefault="00930277" w:rsidP="00930277">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يرتبط العنف القائم على نوع الجنس الذي يرتكبه من هم خارج الأسرة ضد النساء والطفلات بنظام الوصاية. فعندما  يًرتكب هذا العنف من جانب رجال من خارج الأسرة، يتعرض شرف "الأوصياء" الذكور واحترامهم للذات وأمنهم العاطفي للخطر. وهذا يجلب وصمة العار، والمخاطر المترتبة على وضعهم تعني أن هؤلاء الرجال ينظمون بشدة الحياة الجنسية الخاصة بالنساء والفتيات</w:t>
      </w:r>
      <w:r w:rsidR="00FA3D66">
        <w:rPr>
          <w:rStyle w:val="FootnoteReference"/>
          <w:rFonts w:cs="Traditional Arabic"/>
          <w:szCs w:val="30"/>
          <w:rtl/>
        </w:rPr>
        <w:footnoteReference w:id="959"/>
      </w:r>
      <w:r w:rsidRPr="00930277">
        <w:rPr>
          <w:rFonts w:ascii="Traditional Arabic" w:hAnsi="Traditional Arabic" w:cs="Traditional Arabic"/>
          <w:sz w:val="30"/>
          <w:szCs w:val="30"/>
          <w:rtl/>
        </w:rPr>
        <w:t xml:space="preserve"> . في سياق عدم المساواة وعدم التمكين المستشريان، تصبح المرأة أو الفتاة معتمدة اعتماداً نفسياً على الرجل، والعديد من النساء يكتمن هذه الوصمة والخوف من العار، مما يجعلهن أكثر عرضة للخطر، إما من جانب "الأوصياء" الذكور الذين يمارسون السلطة عليهن، أو عندما يفقدن دعمهم لهنّ. تؤدّي هذه العوامل إلى إدامة دورات الوصم بالعار، والمعايير الجنسانية السلبية، والضعف والعنف القائم على النوع الجنساني. علاوة على ذلك، هذه العوامل تمكّن الرجال اليمنيين في مواقع السلطة من استخدام الجنس والنوع الجنساني للسيطرة على النساء والفتيات، وتجعل النساء والفتيات، والذكورة والحياة الجنسية للذكور، أهدافًا بالوكالة يستهدفها أطراف النزاع</w:t>
      </w:r>
      <w:r w:rsidRPr="00930277">
        <w:rPr>
          <w:rFonts w:ascii="Traditional Arabic" w:hAnsi="Traditional Arabic" w:cs="Traditional Arabic"/>
          <w:sz w:val="30"/>
          <w:szCs w:val="30"/>
        </w:rPr>
        <w:t>.</w:t>
      </w:r>
    </w:p>
    <w:p w14:paraId="344841D0" w14:textId="061726DC"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اليمن بلد فيه تنوّع، وقد تمّ بناء العادات والتقاليد والقوانين الخاصة به مع مرور الوقت وتطبيقها بطرق مختلفة في مختلف المجتمعات والمناطق والعائلات. تاريخيا، وجدت بعض النساء طرقا لتمكين أنفسهن بالرغم من هذه المعايير. فاليمن معروف بقياداته النسائية على جميع مستويات المجتمع، بما في ذلك ضمن لجان الوساطة القبلية والمنظمات غير الحكومية. في كانون الثاني / يناير 2014، وضع مؤتمر الحوار الوطني بقيادة نساء ورجال في اليمن، توصيات لإلغاء العديد من هذه العادات والقوانين التمييزية. وقد جلب ذلك أملاً جديداً للمرأة في اليمن، ولكن بسبب النزاع الذي نشب بعد ذلك بوقت قصير، لم يتم سن هذه التدابير</w:t>
      </w:r>
      <w:r w:rsidRPr="00930277">
        <w:rPr>
          <w:rFonts w:ascii="Traditional Arabic" w:hAnsi="Traditional Arabic" w:cs="Traditional Arabic"/>
          <w:sz w:val="30"/>
          <w:szCs w:val="30"/>
        </w:rPr>
        <w:t xml:space="preserve">. </w:t>
      </w:r>
      <w:r w:rsidR="00FA3D66">
        <w:rPr>
          <w:rStyle w:val="FootnoteReference"/>
          <w:rFonts w:cs="Traditional Arabic"/>
          <w:szCs w:val="30"/>
        </w:rPr>
        <w:footnoteReference w:id="960"/>
      </w:r>
    </w:p>
    <w:p w14:paraId="671CF4C0" w14:textId="691BE01A" w:rsidR="00930277" w:rsidRPr="00A76324"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A76324">
        <w:rPr>
          <w:rFonts w:ascii="Traditional Arabic" w:hAnsi="Traditional Arabic" w:cs="Traditional Arabic"/>
          <w:b/>
          <w:bCs/>
          <w:sz w:val="30"/>
          <w:szCs w:val="30"/>
          <w:rtl/>
        </w:rPr>
        <w:t>تأثير الصراع على معايير النوع الجنساني</w:t>
      </w:r>
    </w:p>
    <w:p w14:paraId="5CE65F63" w14:textId="77777777" w:rsidR="00930277" w:rsidRPr="00930277" w:rsidRDefault="00930277" w:rsidP="00A76324">
      <w:pPr>
        <w:pStyle w:val="Footer"/>
        <w:tabs>
          <w:tab w:val="left" w:pos="720"/>
        </w:tabs>
        <w:bidi/>
        <w:ind w:left="1134" w:right="1089"/>
        <w:rPr>
          <w:rFonts w:ascii="Traditional Arabic" w:hAnsi="Traditional Arabic" w:cs="Traditional Arabic"/>
          <w:sz w:val="30"/>
          <w:szCs w:val="30"/>
          <w:rtl/>
        </w:rPr>
      </w:pPr>
      <w:r w:rsidRPr="00930277">
        <w:rPr>
          <w:rFonts w:ascii="Traditional Arabic" w:hAnsi="Traditional Arabic" w:cs="Traditional Arabic"/>
          <w:sz w:val="30"/>
          <w:szCs w:val="30"/>
        </w:rPr>
        <w:t>"</w:t>
      </w:r>
      <w:r w:rsidRPr="00930277">
        <w:rPr>
          <w:rFonts w:ascii="Traditional Arabic" w:hAnsi="Traditional Arabic" w:cs="Traditional Arabic"/>
          <w:sz w:val="30"/>
          <w:szCs w:val="30"/>
          <w:rtl/>
        </w:rPr>
        <w:t>تزوجنا في نفس الشهر الذي احتُجز فيه. كان المعيل الوحيد لأمه وأخواته ولي. اختفاؤه ترك أثراً كبيراً من الناحية العاطفية والمالية. يجب أن أبقى على قيد الحياة وأن أتأكد من بقاء أسرته، لذلك تعلّمت كيفية صنع المجوهرات محلية الصنع بمواد منزلية وبدأت ببيعها في الشوارع</w:t>
      </w:r>
      <w:r w:rsidRPr="00930277">
        <w:rPr>
          <w:rFonts w:ascii="Traditional Arabic" w:hAnsi="Traditional Arabic" w:cs="Traditional Arabic"/>
          <w:sz w:val="30"/>
          <w:szCs w:val="30"/>
        </w:rPr>
        <w:t xml:space="preserve"> ".</w:t>
      </w:r>
    </w:p>
    <w:p w14:paraId="0CE6398D" w14:textId="0A37B747" w:rsidR="00930277" w:rsidRPr="00A76324" w:rsidRDefault="00A76324"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زوجة أحد ضحايا الاختفاء القسري، اختفى لأكثر من سنة</w:t>
      </w:r>
      <w:r w:rsidR="00883E91">
        <w:rPr>
          <w:rStyle w:val="FootnoteReference"/>
          <w:rFonts w:cs="Traditional Arabic"/>
          <w:b/>
          <w:bCs/>
          <w:szCs w:val="30"/>
          <w:rtl/>
        </w:rPr>
        <w:footnoteReference w:id="961"/>
      </w:r>
      <w:r w:rsidR="00930277" w:rsidRPr="00A76324">
        <w:rPr>
          <w:rFonts w:ascii="Traditional Arabic" w:hAnsi="Traditional Arabic" w:cs="Traditional Arabic"/>
          <w:b/>
          <w:bCs/>
          <w:sz w:val="30"/>
          <w:szCs w:val="30"/>
        </w:rPr>
        <w:t xml:space="preserve"> </w:t>
      </w:r>
    </w:p>
    <w:p w14:paraId="773A8EDE" w14:textId="2FC346D8" w:rsidR="00930277" w:rsidRPr="00930277" w:rsidRDefault="00930277" w:rsidP="009205F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lastRenderedPageBreak/>
        <w:t xml:space="preserve">من </w:t>
      </w:r>
      <w:r w:rsidR="00C11920">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 xml:space="preserve">عام 2014 إلى </w:t>
      </w:r>
      <w:r w:rsidR="00C11920">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 xml:space="preserve">عام 2019، بينما كان 82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من المصابين بشكل مباشر بسبب القتال من الرجال والأولاد، أثرت الأزمة الإنسانية والانتهاكات ذات الصلة التي ضربت المرافق الصحية، والتغذية والإسكان الآمن، بشكل غير متناسب على النساء والفتيات. فمن بين الـ 24.1 مليون يمني الذين يحتاجون إلى الحماية أو المساعدة الإنسانية، 18.2 مليون هم من النساء والأطفال.</w:t>
      </w:r>
      <w:r w:rsidR="00883E91">
        <w:rPr>
          <w:rStyle w:val="FootnoteReference"/>
          <w:rFonts w:cs="Traditional Arabic"/>
          <w:szCs w:val="30"/>
          <w:rtl/>
        </w:rPr>
        <w:footnoteReference w:id="962"/>
      </w:r>
      <w:r w:rsidRPr="00930277">
        <w:rPr>
          <w:rFonts w:ascii="Traditional Arabic" w:hAnsi="Traditional Arabic" w:cs="Traditional Arabic"/>
          <w:sz w:val="30"/>
          <w:szCs w:val="30"/>
          <w:rtl/>
        </w:rPr>
        <w:t xml:space="preserve">   ومن بين 3.3 مليون نازح حاليا، 83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 xml:space="preserve">هم من النساء والأطفال، مع حوالي 53 </w:t>
      </w:r>
      <w:r w:rsidR="00C11920">
        <w:rPr>
          <w:rFonts w:ascii="Traditional Arabic" w:hAnsi="Traditional Arabic" w:cs="Traditional Arabic" w:hint="cs"/>
          <w:sz w:val="30"/>
          <w:szCs w:val="30"/>
          <w:rtl/>
        </w:rPr>
        <w:t xml:space="preserve">بالمئة </w:t>
      </w:r>
      <w:r w:rsidRPr="00930277">
        <w:rPr>
          <w:rFonts w:ascii="Traditional Arabic" w:hAnsi="Traditional Arabic" w:cs="Traditional Arabic"/>
          <w:sz w:val="30"/>
          <w:szCs w:val="30"/>
          <w:rtl/>
        </w:rPr>
        <w:t xml:space="preserve">من النساء والفتيات. </w:t>
      </w:r>
      <w:r w:rsidR="00883E91">
        <w:rPr>
          <w:rStyle w:val="FootnoteReference"/>
          <w:rFonts w:cs="Traditional Arabic"/>
          <w:szCs w:val="30"/>
          <w:rtl/>
        </w:rPr>
        <w:footnoteReference w:id="963"/>
      </w:r>
      <w:r w:rsidRPr="00930277">
        <w:rPr>
          <w:rFonts w:ascii="Traditional Arabic" w:hAnsi="Traditional Arabic" w:cs="Traditional Arabic"/>
          <w:sz w:val="30"/>
          <w:szCs w:val="30"/>
          <w:rtl/>
        </w:rPr>
        <w:t xml:space="preserve"> نتيجة لذلك، في عام 2019، أفاد صندوق الأمم المتحدة للسكان أن معظم الأسر الآن تقودها إناث، حيث أن 21٪ من الأسر تقودها فتيات دون سن 18، وهن أكثر عزلة وعرضة للفقر بسبب عدم المساواة وعدم التمكين الاقتصادي المستشريين.</w:t>
      </w:r>
      <w:r w:rsidR="00883E91">
        <w:rPr>
          <w:rStyle w:val="FootnoteReference"/>
          <w:rFonts w:cs="Traditional Arabic"/>
          <w:szCs w:val="30"/>
          <w:rtl/>
        </w:rPr>
        <w:footnoteReference w:id="964"/>
      </w:r>
      <w:r w:rsidRPr="00930277">
        <w:rPr>
          <w:rFonts w:ascii="Traditional Arabic" w:hAnsi="Traditional Arabic" w:cs="Traditional Arabic"/>
          <w:sz w:val="30"/>
          <w:szCs w:val="30"/>
          <w:rtl/>
        </w:rPr>
        <w:t xml:space="preserve">   هذه الحالة من الضعف تشمل جميع أفراد الأسرة. علاوة على ذلك، تعدد الزوجات يعني أن إصابة رجل واحد يمكن أن يكون له آثار عبر العديد من الأسر. وقد وثق فريق الخبراء حالتَي اغتيال حيث ترك الرجلان المتوفيان وراءهما سبع زوجات يقمن برعاية الأطفال وقد وجدن أنفسهنّ فجأة ضعفاء اقتصادياً.</w:t>
      </w:r>
      <w:r w:rsidR="00883E91">
        <w:rPr>
          <w:rStyle w:val="FootnoteReference"/>
          <w:rFonts w:cs="Traditional Arabic"/>
          <w:szCs w:val="30"/>
          <w:rtl/>
        </w:rPr>
        <w:footnoteReference w:id="965"/>
      </w:r>
      <w:r w:rsidRPr="00930277">
        <w:rPr>
          <w:rFonts w:ascii="Traditional Arabic" w:hAnsi="Traditional Arabic" w:cs="Traditional Arabic"/>
          <w:sz w:val="30"/>
          <w:szCs w:val="30"/>
          <w:rtl/>
        </w:rPr>
        <w:t xml:space="preserve">   بالإضافة إلى ذلك، تم الإبلاغ عن رفض الأقارب الذكور العمل في مهن ذات دخل منخفض يعتبرونها غير مناسبة للرجال والفتيان. إن الضغط الاجتماعي المعياري للمحافظة على تبعية المرأة على أولياء الأمور الذكور يزيد بالفعل من خطر بقاء النساء والفتيات في علاقات مسيئة واستغلالية، ومن المرجح أن يزيد من هذا الأمر تعرضهن المتزايد للضعف بسبب الحرب. هذه العوامل، وبخاصة النزوح وما يرتبط به من نقاط ضعف، وضعت أعباء اجتماعية اقتصادية كبيرة على النساء والفتيات</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66"/>
      </w:r>
    </w:p>
    <w:p w14:paraId="1C87C0C7" w14:textId="6FAE0C59" w:rsidR="00930277" w:rsidRPr="00930277" w:rsidRDefault="00930277" w:rsidP="00FE2CD1">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أخبرت نساء من خلفيات أقل ضعفا فريق الخبراء بأنهن خُوّلن للاضطلاع بهذه المسؤوليات الجديدة، حيث حرصن على تأمين العمل لأنفسهن من خلال العمل الحر، مثل بيع الأشياء في الشوارع أو العمل في الزراعة</w:t>
      </w:r>
      <w:r w:rsidR="00883E91" w:rsidRPr="00FE2CD1">
        <w:rPr>
          <w:rStyle w:val="FootnoteReference"/>
          <w:rFonts w:cs="Traditional Arabic"/>
          <w:szCs w:val="18"/>
          <w:rtl/>
        </w:rPr>
        <w:footnoteReference w:id="967"/>
      </w:r>
      <w:r w:rsidRPr="00930277">
        <w:rPr>
          <w:rFonts w:ascii="Traditional Arabic" w:hAnsi="Traditional Arabic" w:cs="Traditional Arabic"/>
          <w:sz w:val="30"/>
          <w:szCs w:val="30"/>
          <w:rtl/>
        </w:rPr>
        <w:t>. أكّدت عدة نساء من النساء الأكثر عرضة للخطر لفريق الخبراء، وهذا يتماشى مع نتائج عدد من الدراسات الاستقصائية الثانوية ومجموعات التركيز الموثوقة، أن هناك اعتماد متزايد على استراتيجيات التعامل السلبية، بما في ذلك الاستغلال الجنسي وعمالة الأطفال وزواج الأطفال</w:t>
      </w:r>
      <w:r w:rsidRPr="00930277">
        <w:rPr>
          <w:rFonts w:ascii="Traditional Arabic" w:hAnsi="Traditional Arabic" w:cs="Traditional Arabic"/>
          <w:sz w:val="30"/>
          <w:szCs w:val="30"/>
        </w:rPr>
        <w:t>.</w:t>
      </w:r>
      <w:r w:rsidR="00883E91">
        <w:rPr>
          <w:rStyle w:val="FootnoteReference"/>
          <w:rFonts w:cs="Traditional Arabic"/>
          <w:szCs w:val="30"/>
        </w:rPr>
        <w:footnoteReference w:id="968"/>
      </w:r>
      <w:r w:rsidRPr="00930277">
        <w:rPr>
          <w:rFonts w:ascii="Traditional Arabic" w:hAnsi="Traditional Arabic" w:cs="Traditional Arabic"/>
          <w:sz w:val="30"/>
          <w:szCs w:val="30"/>
        </w:rPr>
        <w:t xml:space="preserve"> </w:t>
      </w:r>
    </w:p>
    <w:p w14:paraId="2C0341F6" w14:textId="77777777" w:rsidR="00930277" w:rsidRPr="00930277" w:rsidRDefault="00930277" w:rsidP="00A76324">
      <w:pPr>
        <w:pStyle w:val="Footer"/>
        <w:tabs>
          <w:tab w:val="left" w:pos="720"/>
        </w:tabs>
        <w:bidi/>
        <w:ind w:left="1539" w:right="1089" w:firstLine="90"/>
        <w:rPr>
          <w:rFonts w:ascii="Traditional Arabic" w:hAnsi="Traditional Arabic" w:cs="Traditional Arabic"/>
          <w:sz w:val="30"/>
          <w:szCs w:val="30"/>
          <w:rtl/>
        </w:rPr>
      </w:pPr>
      <w:r w:rsidRPr="00930277">
        <w:rPr>
          <w:rFonts w:ascii="Traditional Arabic" w:hAnsi="Traditional Arabic" w:cs="Traditional Arabic"/>
          <w:sz w:val="30"/>
          <w:szCs w:val="30"/>
        </w:rPr>
        <w:lastRenderedPageBreak/>
        <w:t>"</w:t>
      </w:r>
      <w:r w:rsidRPr="00930277">
        <w:rPr>
          <w:rFonts w:ascii="Traditional Arabic" w:hAnsi="Traditional Arabic" w:cs="Traditional Arabic"/>
          <w:sz w:val="30"/>
          <w:szCs w:val="30"/>
          <w:rtl/>
        </w:rPr>
        <w:t>يجب أن أطعم طفلي ورعايته بطريقة ما، ولم يعد لدي أي عمل. بدأت أذهب مع أي رجل يدفع لي ثمن الحليب والحفاضات للطفل. لقد فكرت في الانتحار. انا بحاجة الى مساعدة</w:t>
      </w:r>
      <w:r w:rsidRPr="00930277">
        <w:rPr>
          <w:rFonts w:ascii="Traditional Arabic" w:hAnsi="Traditional Arabic" w:cs="Traditional Arabic"/>
          <w:sz w:val="30"/>
          <w:szCs w:val="30"/>
        </w:rPr>
        <w:t xml:space="preserve">." </w:t>
      </w:r>
    </w:p>
    <w:p w14:paraId="14063530" w14:textId="6DF928B3" w:rsidR="00930277" w:rsidRPr="00A76324" w:rsidRDefault="00A76324"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ناجية من العنف الجنسي والاستغلال</w:t>
      </w:r>
      <w:r w:rsidR="00883E91">
        <w:rPr>
          <w:rStyle w:val="FootnoteReference"/>
          <w:rFonts w:cs="Traditional Arabic"/>
          <w:b/>
          <w:bCs/>
          <w:szCs w:val="30"/>
          <w:rtl/>
        </w:rPr>
        <w:footnoteReference w:id="969"/>
      </w:r>
      <w:r w:rsidR="00930277" w:rsidRPr="00A76324">
        <w:rPr>
          <w:rFonts w:ascii="Traditional Arabic" w:hAnsi="Traditional Arabic" w:cs="Traditional Arabic"/>
          <w:b/>
          <w:bCs/>
          <w:sz w:val="30"/>
          <w:szCs w:val="30"/>
        </w:rPr>
        <w:t xml:space="preserve"> </w:t>
      </w:r>
    </w:p>
    <w:p w14:paraId="41A38CC1" w14:textId="29C5DAB2" w:rsidR="00930277" w:rsidRPr="00930277" w:rsidRDefault="00930277" w:rsidP="009205F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ذكر شهود أن أنظمة القانون العرفي الأبوية والعادات التمييزية المرتبطة بها قد عاودت الظهور خلال الفترة 2019-2016 في المناطق التي أصبحت تحت تأثير سلطات الأمر الواقع والحكومة والقوات المدعومة من الإمارات العربية المتحدة. هذا الأمر اصبح شائعاً في عدن والمناطق الجنوبية، وداخل صنعاء، علماً بانه سبق وأن تم التخلص منه. الرجال المسلحون من المناطق الريفية، وكثير منهم من القبائل ويتمتعون بمزايا </w:t>
      </w:r>
      <w:r w:rsidR="009205FB">
        <w:rPr>
          <w:rFonts w:ascii="Traditional Arabic" w:hAnsi="Traditional Arabic" w:cs="Traditional Arabic" w:hint="cs"/>
          <w:sz w:val="30"/>
          <w:szCs w:val="30"/>
          <w:rtl/>
        </w:rPr>
        <w:t>الأعراف الراسخة</w:t>
      </w:r>
      <w:r w:rsidRPr="00930277">
        <w:rPr>
          <w:rFonts w:ascii="Traditional Arabic" w:hAnsi="Traditional Arabic" w:cs="Traditional Arabic"/>
          <w:sz w:val="30"/>
          <w:szCs w:val="30"/>
          <w:rtl/>
        </w:rPr>
        <w:t>، تمّ تمكينهم من جانب أطراف النزاع. عندما وصلوا إلى المناطق وتولّوا السيطرة، أحضروا معهم قواعد أبوية. وأدى تقويض الأطراف لهيمنة الدولة إلى استبدال الدولة باللجان القبلية. عادت وبرزت عادات وقوانين خاصة بالنساء والفتيات تفرض عليهن السفر مع ولي أمر، فضلاً عن فرض قيود على الملابس وعقوبات لعدم ارتداء النقاب، وإعادة ظهور جرائم "الفجور" التي كان قد تم التخلص منها في عدن والمراكز الحضرية</w:t>
      </w:r>
      <w:r w:rsidR="00883E91">
        <w:rPr>
          <w:rStyle w:val="FootnoteReference"/>
          <w:rFonts w:cs="Traditional Arabic"/>
          <w:szCs w:val="30"/>
          <w:rtl/>
        </w:rPr>
        <w:footnoteReference w:id="970"/>
      </w:r>
      <w:r w:rsidRPr="00930277">
        <w:rPr>
          <w:rFonts w:ascii="Traditional Arabic" w:hAnsi="Traditional Arabic" w:cs="Traditional Arabic"/>
          <w:sz w:val="30"/>
          <w:szCs w:val="30"/>
        </w:rPr>
        <w:t xml:space="preserve"> .</w:t>
      </w:r>
    </w:p>
    <w:p w14:paraId="66641633" w14:textId="72BA3723"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منذ عام 2016، فرضت سلطات الأمر الواقع بشكل متزايد القواعد والقوانين الأبوية، مع تفسير صارم، من خلال استخدام مؤسسات الدولة ومن خلال الخطاب العام، كوسيلة للسيطرة على النساء والفتيات والحدّ من مشاركتهن السياسية. في عام 2018، بدأت النساء بتنظيم مظاهرات عامة ضد سلطات الأمر الواقع في صنعاء بسبب مخاوف من تعرّض الرجال للقتل أو الاحتجاز بشكل أكبر. منذ عام 2018، فرضت سلطات الأمر الواقع في الوقت نفسه قوانين تلزم المرأة بالتنقّل برفقة محرم كوصي، فضلاً عن فصل الرجال والنساء غير المتزوجين. كما هددوا أو أغلقوا الشركات التي لم تطبق هذه المتطلبات، مما قلّل من مساحات الحوار الإيجابي والتفاهم بين الرجال والنساء</w:t>
      </w:r>
      <w:r w:rsidR="00883E91">
        <w:rPr>
          <w:rStyle w:val="FootnoteReference"/>
          <w:rFonts w:cs="Traditional Arabic"/>
          <w:szCs w:val="30"/>
          <w:rtl/>
        </w:rPr>
        <w:footnoteReference w:id="971"/>
      </w:r>
      <w:r w:rsidRPr="00930277">
        <w:rPr>
          <w:rFonts w:ascii="Traditional Arabic" w:hAnsi="Traditional Arabic" w:cs="Traditional Arabic"/>
          <w:sz w:val="30"/>
          <w:szCs w:val="30"/>
        </w:rPr>
        <w:t xml:space="preserve"> .</w:t>
      </w:r>
    </w:p>
    <w:p w14:paraId="34D6917A" w14:textId="6A6677B0"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في العامين الأخيرين، اتهمت أطراف النزاع النساء بالدعارة والاختلاط والفجور باستخدام مصطلحات مهينة كجزء من تهديداتهم العامة ومضايقتهم ضد المعارضين. في صنعاء، استخدمت سلطات الأمر الواقع مثل هذه التهديدات والمضايقات عند قمع المظاهرات العامة التي تضمّ نساء ووجهت مثل هذه الاتهامات ضد النساء كوسيلة لـ "إضفاء الشرعية" على الاحتجاز التعسفي للنساء والفتيات. في اليمن، مثلُ هذه الاتهامات والاعتقالات العامة لها عواقب وخيمة على النساء والفتيات، وتعمّق وصمة العار المفروضة أصلاً على النساء العاملات خارج المنزل. هذا يؤدي الى تطبيع استخدام هذه الإساءة المزرية، بما في ذلك نشر تصوّر عن النساء والفتيات على أنهن عاهرات محتملات، وتعزيز الفكرة الأبوية المتمثلة في أن سلوكهن وحياتهن الجنسية تتطلب سيطرة الأوصياء </w:t>
      </w:r>
      <w:r w:rsidRPr="00930277">
        <w:rPr>
          <w:rFonts w:ascii="Traditional Arabic" w:hAnsi="Traditional Arabic" w:cs="Traditional Arabic"/>
          <w:sz w:val="30"/>
          <w:szCs w:val="30"/>
          <w:rtl/>
        </w:rPr>
        <w:lastRenderedPageBreak/>
        <w:t>الذكور. كل هذا يزيد من مخاطر العنف المنزلي، ويثني النساء والفتيات عن الحركة خارج المنزل، ويمنع مشاركتهن في المجالين الاقتصادي والسياسي</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72"/>
      </w:r>
    </w:p>
    <w:p w14:paraId="2843D175" w14:textId="7443C98E" w:rsidR="00930277" w:rsidRPr="00930277" w:rsidRDefault="00930277" w:rsidP="00AB178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أفاد شهود أنه من المتوقع الآن من الرجال والفتيان التصرّف بعنف، بوصفهم مقاتلين وأوصياء، بطريقة لم يكونوا عليها قبل النزاع. ويعود ذلك أولاً إلى عودة</w:t>
      </w:r>
      <w:r w:rsidR="00AB1786">
        <w:rPr>
          <w:rFonts w:ascii="Traditional Arabic" w:hAnsi="Traditional Arabic" w:cs="Traditional Arabic" w:hint="cs"/>
          <w:sz w:val="30"/>
          <w:szCs w:val="30"/>
          <w:rtl/>
        </w:rPr>
        <w:t xml:space="preserve"> الأعراف والقوانين القديمة</w:t>
      </w:r>
      <w:r w:rsidRPr="00930277">
        <w:rPr>
          <w:rFonts w:ascii="Traditional Arabic" w:hAnsi="Traditional Arabic" w:cs="Traditional Arabic"/>
          <w:sz w:val="30"/>
          <w:szCs w:val="30"/>
          <w:rtl/>
        </w:rPr>
        <w:t>، مما يفرض هذه التوقعات على الرجال، ويرتبط بضغط الأقران للمشاركة في "المجهود الحربي". في الوقت نفسه، تسببت الأزمة الإنسانية في إضعاف الرجال والفتيان اقتصادياً مع محدودية فرص العمل</w:t>
      </w:r>
      <w:r w:rsidR="00883E91">
        <w:rPr>
          <w:rStyle w:val="FootnoteReference"/>
          <w:rFonts w:cs="Traditional Arabic"/>
          <w:szCs w:val="30"/>
          <w:rtl/>
        </w:rPr>
        <w:footnoteReference w:id="973"/>
      </w:r>
      <w:r w:rsidRPr="00930277">
        <w:rPr>
          <w:rFonts w:ascii="Traditional Arabic" w:hAnsi="Traditional Arabic" w:cs="Traditional Arabic"/>
          <w:sz w:val="30"/>
          <w:szCs w:val="30"/>
          <w:rtl/>
        </w:rPr>
        <w:t xml:space="preserve"> . في الفترة 2015-2019، تمكنت أطراف النزاع من ايجاد منفذ لهم من خلال التجنيد، فيما تمّت عسكرتهم من خلال الخطابات الدينية والبطريركية</w:t>
      </w:r>
      <w:r w:rsidRPr="00930277">
        <w:rPr>
          <w:rFonts w:ascii="Traditional Arabic" w:hAnsi="Traditional Arabic" w:cs="Traditional Arabic"/>
          <w:sz w:val="30"/>
          <w:szCs w:val="30"/>
        </w:rPr>
        <w:t xml:space="preserve"> .</w:t>
      </w:r>
      <w:r w:rsidR="00883E91">
        <w:rPr>
          <w:rStyle w:val="FootnoteReference"/>
          <w:rFonts w:cs="Traditional Arabic"/>
          <w:szCs w:val="30"/>
        </w:rPr>
        <w:footnoteReference w:id="974"/>
      </w:r>
    </w:p>
    <w:p w14:paraId="12983309" w14:textId="472C2176" w:rsidR="00930277" w:rsidRPr="001B56E0" w:rsidRDefault="00A76324" w:rsidP="00A76324">
      <w:pPr>
        <w:pStyle w:val="Footer"/>
        <w:tabs>
          <w:tab w:val="left" w:pos="720"/>
        </w:tabs>
        <w:bidi/>
        <w:ind w:left="1539" w:right="1089"/>
        <w:rPr>
          <w:rFonts w:ascii="Traditional Arabic" w:hAnsi="Traditional Arabic" w:cs="Traditional Arabic"/>
          <w:i/>
          <w:iCs/>
          <w:sz w:val="30"/>
          <w:szCs w:val="30"/>
          <w:rtl/>
        </w:rPr>
      </w:pPr>
      <w:r>
        <w:rPr>
          <w:rFonts w:ascii="Traditional Arabic" w:hAnsi="Traditional Arabic" w:cs="Traditional Arabic"/>
          <w:sz w:val="30"/>
          <w:szCs w:val="30"/>
        </w:rPr>
        <w:t xml:space="preserve"> </w:t>
      </w:r>
      <w:r w:rsidR="00930277" w:rsidRPr="00930277">
        <w:rPr>
          <w:rFonts w:ascii="Traditional Arabic" w:hAnsi="Traditional Arabic" w:cs="Traditional Arabic"/>
          <w:sz w:val="30"/>
          <w:szCs w:val="30"/>
        </w:rPr>
        <w:t>"</w:t>
      </w:r>
      <w:r w:rsidR="00930277" w:rsidRPr="001B56E0">
        <w:rPr>
          <w:rFonts w:ascii="Traditional Arabic" w:hAnsi="Traditional Arabic" w:cs="Traditional Arabic"/>
          <w:i/>
          <w:iCs/>
          <w:sz w:val="30"/>
          <w:szCs w:val="30"/>
          <w:rtl/>
        </w:rPr>
        <w:t>أصبح الرجال وقوداً للحرب، فهم لا يريدون القتال بالضرورة، لكن ليس لديهم خيار، إما لأنهم مجبرون على القتال، أو يشعرون بالضغط للقيام بذلك ليكونوا رجالاً صالحين للعائلة، أو لأنهم يفضلون القتال بدلاً من أن يموت أطفالهم من الجوع</w:t>
      </w:r>
      <w:r w:rsidR="00930277" w:rsidRPr="001B56E0">
        <w:rPr>
          <w:rFonts w:ascii="Traditional Arabic" w:hAnsi="Traditional Arabic" w:cs="Traditional Arabic"/>
          <w:i/>
          <w:iCs/>
          <w:sz w:val="30"/>
          <w:szCs w:val="30"/>
        </w:rPr>
        <w:t>".</w:t>
      </w:r>
    </w:p>
    <w:p w14:paraId="73EA9CA9" w14:textId="4A27CD70" w:rsidR="00930277" w:rsidRPr="00A76324" w:rsidRDefault="00A76324"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A76324">
        <w:rPr>
          <w:rFonts w:ascii="Traditional Arabic" w:hAnsi="Traditional Arabic" w:cs="Traditional Arabic"/>
          <w:b/>
          <w:bCs/>
          <w:sz w:val="30"/>
          <w:szCs w:val="30"/>
          <w:rtl/>
        </w:rPr>
        <w:t>امرأة ناشطة في مجال مكافحة العنف على أساس الجنس تعمل مع الرجال والأولاد</w:t>
      </w:r>
      <w:r w:rsidR="00883E91">
        <w:rPr>
          <w:rStyle w:val="FootnoteReference"/>
          <w:rFonts w:cs="Traditional Arabic"/>
          <w:b/>
          <w:bCs/>
          <w:szCs w:val="30"/>
          <w:rtl/>
        </w:rPr>
        <w:footnoteReference w:id="975"/>
      </w:r>
      <w:r w:rsidR="00930277" w:rsidRPr="00A76324">
        <w:rPr>
          <w:rFonts w:ascii="Traditional Arabic" w:hAnsi="Traditional Arabic" w:cs="Traditional Arabic"/>
          <w:b/>
          <w:bCs/>
          <w:sz w:val="30"/>
          <w:szCs w:val="30"/>
        </w:rPr>
        <w:t xml:space="preserve"> </w:t>
      </w:r>
    </w:p>
    <w:p w14:paraId="4152C9E7" w14:textId="4BFDF01A"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منذ بداية النزاع، شكّلت الأطراف ودعمت مجموعات مسلحة من الرجال والفتيان غير المدربين، ثم وضعتهم في مناصب قوة نسبية للقيام بمهام مدنية في مناطق منزوعة السلاح سابقًا. وتشمل هذه المجموعات الحزام الأمني وقوات النخبه الشبوانيه والنخبة الحضرمية، والميليشيات التابعة للحكومة، واللجان الشعبية التابعة للحوثيين، الذين حلوا محل قطاع الأمن المدني. الى جانب زيادة حالات الضعف هذه، فقد زاد خطر الاختطاف والعنف الجنسي بحق النساء والفتيات </w:t>
      </w:r>
      <w:r w:rsidR="00883E91">
        <w:rPr>
          <w:rStyle w:val="FootnoteReference"/>
          <w:rFonts w:cs="Traditional Arabic"/>
          <w:szCs w:val="30"/>
          <w:rtl/>
        </w:rPr>
        <w:footnoteReference w:id="976"/>
      </w:r>
      <w:r w:rsidRPr="00930277">
        <w:rPr>
          <w:rFonts w:ascii="Traditional Arabic" w:hAnsi="Traditional Arabic" w:cs="Traditional Arabic"/>
          <w:sz w:val="30"/>
          <w:szCs w:val="30"/>
          <w:rtl/>
        </w:rPr>
        <w:t>. وأدى انتشار الأمن إلى تقليص الحريات الأساسية للنساء والفتيات، بما في ذلك حرية الحركة، والى ثنيهن عن التحرك في الأماكن العامة، مع تشجيع النساء اللواتي كان لديهن خيار رفض ارتداء الحجاب على ارتدائه، سواء بمحض إرادتهن أو كسبب منطقي يستخدمه أقاربهن الذكور لمنعهن من الاستقلال عنهم</w:t>
      </w:r>
      <w:r w:rsidR="00883E91">
        <w:rPr>
          <w:rStyle w:val="FootnoteReference"/>
          <w:rFonts w:cs="Traditional Arabic"/>
          <w:szCs w:val="30"/>
          <w:rtl/>
        </w:rPr>
        <w:footnoteReference w:id="977"/>
      </w:r>
      <w:r w:rsidRPr="00930277">
        <w:rPr>
          <w:rFonts w:ascii="Traditional Arabic" w:hAnsi="Traditional Arabic" w:cs="Traditional Arabic"/>
          <w:sz w:val="30"/>
          <w:szCs w:val="30"/>
        </w:rPr>
        <w:t xml:space="preserve"> .</w:t>
      </w:r>
    </w:p>
    <w:p w14:paraId="20187E55" w14:textId="4A610946"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لقد أثر الاضطراب في التعليم، والفقر، والبطالة الجماعية، وزيادة حالات الصحة العقلية، بما في ذلك الاكتئاب، على الرجال والأولاد أيضا.</w:t>
      </w:r>
      <w:r w:rsidR="005159C2">
        <w:rPr>
          <w:rStyle w:val="FootnoteReference"/>
          <w:rFonts w:cs="Traditional Arabic"/>
          <w:szCs w:val="30"/>
          <w:rtl/>
        </w:rPr>
        <w:footnoteReference w:id="978"/>
      </w:r>
      <w:r w:rsidRPr="00930277">
        <w:rPr>
          <w:rFonts w:ascii="Traditional Arabic" w:hAnsi="Traditional Arabic" w:cs="Traditional Arabic"/>
          <w:sz w:val="30"/>
          <w:szCs w:val="30"/>
          <w:rtl/>
        </w:rPr>
        <w:t xml:space="preserve">  فإلى جانب إعادة إرساء العادات التمييزية، وتفاقم الذكورة السامة والإفلات من العقاب، وعرقلة برامج التوعية وتغيير السلوك لدى الرجال والفتيان، تزايد خطر استخدام </w:t>
      </w:r>
      <w:r w:rsidRPr="00930277">
        <w:rPr>
          <w:rFonts w:ascii="Traditional Arabic" w:hAnsi="Traditional Arabic" w:cs="Traditional Arabic"/>
          <w:sz w:val="30"/>
          <w:szCs w:val="30"/>
          <w:rtl/>
        </w:rPr>
        <w:lastRenderedPageBreak/>
        <w:t xml:space="preserve">الرجال للعنف العائلي للحفاظ على سيطرتهم داخل الأسر وللتعويض عن فقدان سيطرتهم الاقتصادية وتغيير أدوار الجنسين </w:t>
      </w:r>
      <w:r w:rsidR="005159C2">
        <w:rPr>
          <w:rStyle w:val="FootnoteReference"/>
          <w:rFonts w:cs="Traditional Arabic"/>
          <w:szCs w:val="30"/>
          <w:rtl/>
        </w:rPr>
        <w:footnoteReference w:id="979"/>
      </w:r>
      <w:r w:rsidRPr="00930277">
        <w:rPr>
          <w:rFonts w:ascii="Traditional Arabic" w:hAnsi="Traditional Arabic" w:cs="Traditional Arabic"/>
          <w:sz w:val="30"/>
          <w:szCs w:val="30"/>
          <w:rtl/>
        </w:rPr>
        <w:t>. وتزيد هذه العوامل مجتمعة من الخطر الطويل الأجل لجيل المستقبل من الرجال والفتيان المستعدين لإدامة العنف القائم على الجنس والتمييز الأوسع ضد النساء والفتيات</w:t>
      </w:r>
      <w:r w:rsidRPr="00930277">
        <w:rPr>
          <w:rFonts w:ascii="Traditional Arabic" w:hAnsi="Traditional Arabic" w:cs="Traditional Arabic"/>
          <w:sz w:val="30"/>
          <w:szCs w:val="30"/>
        </w:rPr>
        <w:t>.</w:t>
      </w:r>
    </w:p>
    <w:p w14:paraId="66B34D6E" w14:textId="229C0006" w:rsidR="00930277" w:rsidRPr="00930277" w:rsidRDefault="00930277" w:rsidP="005549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عملت المرأة اليمنية في قطاع الأمن قبل الصراع وما زالت تعمل لدى كلا الجانبين. في 2017-2019، شكلت سلطات الأمر الواقع في صنعاء قوة أمنية جديدة للنساء تعمل بهدف واضح مفاده قمع المشاركة السياسية للمرأة وارتكاب انتهاكات بحقها. وتتألف قوة الأمن النسائية هذه، والتي يشار إليها في الخارج باسم "الزينبيات"، من العديد من النساء اللواتي انضممن بموافقة منهن إلى هذه القوات لتحقيق مكاسب مالية أو لأسباب شخصية.</w:t>
      </w:r>
      <w:r w:rsidR="005159C2">
        <w:rPr>
          <w:rStyle w:val="FootnoteReference"/>
          <w:rFonts w:cs="Traditional Arabic"/>
          <w:szCs w:val="30"/>
          <w:rtl/>
        </w:rPr>
        <w:footnoteReference w:id="980"/>
      </w:r>
      <w:r w:rsidRPr="00930277">
        <w:rPr>
          <w:rFonts w:ascii="Traditional Arabic" w:hAnsi="Traditional Arabic" w:cs="Traditional Arabic"/>
          <w:sz w:val="30"/>
          <w:szCs w:val="30"/>
          <w:rtl/>
        </w:rPr>
        <w:t xml:space="preserve"> مطلوب مزيد من التحقيق لمعرفة ما إذا تم إكراه أو استغلال </w:t>
      </w:r>
      <w:r w:rsidR="00D67BDB">
        <w:rPr>
          <w:rFonts w:ascii="Traditional Arabic" w:hAnsi="Traditional Arabic" w:cs="Traditional Arabic" w:hint="cs"/>
          <w:sz w:val="30"/>
          <w:szCs w:val="30"/>
          <w:rtl/>
        </w:rPr>
        <w:t>هؤلاء</w:t>
      </w:r>
      <w:r w:rsidRPr="00930277">
        <w:rPr>
          <w:rFonts w:ascii="Traditional Arabic" w:hAnsi="Traditional Arabic" w:cs="Traditional Arabic"/>
          <w:sz w:val="30"/>
          <w:szCs w:val="30"/>
          <w:rtl/>
        </w:rPr>
        <w:t xml:space="preserve"> </w:t>
      </w:r>
      <w:r w:rsidR="005159C2">
        <w:rPr>
          <w:rFonts w:ascii="Traditional Arabic" w:hAnsi="Traditional Arabic" w:cs="Traditional Arabic" w:hint="cs"/>
          <w:sz w:val="30"/>
          <w:szCs w:val="30"/>
          <w:rtl/>
        </w:rPr>
        <w:t>النساء</w:t>
      </w:r>
      <w:r w:rsidRPr="00930277">
        <w:rPr>
          <w:rFonts w:ascii="Traditional Arabic" w:hAnsi="Traditional Arabic" w:cs="Traditional Arabic"/>
          <w:sz w:val="30"/>
          <w:szCs w:val="30"/>
        </w:rPr>
        <w:t xml:space="preserve"> .</w:t>
      </w:r>
      <w:r w:rsidR="005159C2">
        <w:rPr>
          <w:rStyle w:val="FootnoteReference"/>
          <w:rFonts w:cs="Traditional Arabic"/>
          <w:szCs w:val="30"/>
        </w:rPr>
        <w:footnoteReference w:id="981"/>
      </w:r>
    </w:p>
    <w:p w14:paraId="07AE6AE7" w14:textId="3617B979"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إنّ عودة المعايير التي تتحكم بالحياة الجنسية، والتأثير الاستقطابي للنزاع، واستهداف من يُنظر إليهم على أنهم لا يتفقون مع المعايير المجتمعية المحافظة، ساهمت كلها في خلق بيئة صعبة أصلاً بالنسبة للأشخاص الذين ليسوا متباينين جنسياً. فالتمييز ضد مجتمع الميم في اليمن يسبق النزاع. بموجب قانون العقوبات اليمني، المثلية الجنسية يعاقب عليها بالإعدام. منذ ظهور النزاع في عام 2014، ذُكر أن المثليين جنسياً تعرضوا لمزيد من عمليات القتل والتهديد والعنف الجنسي من قبل أفراد المجتمع </w:t>
      </w:r>
      <w:r w:rsidR="005159C2">
        <w:rPr>
          <w:rStyle w:val="FootnoteReference"/>
          <w:rFonts w:cs="Traditional Arabic"/>
          <w:szCs w:val="30"/>
          <w:rtl/>
        </w:rPr>
        <w:footnoteReference w:id="982"/>
      </w:r>
      <w:r w:rsidRPr="00930277">
        <w:rPr>
          <w:rFonts w:ascii="Traditional Arabic" w:hAnsi="Traditional Arabic" w:cs="Traditional Arabic"/>
          <w:sz w:val="30"/>
          <w:szCs w:val="30"/>
          <w:rtl/>
        </w:rPr>
        <w:t>. وليس معروفاً إذا كانت الأطراف المتصارعة قد ارتكبت مباشرة أعمال عنف أو مضايقة ضد مجتمع الميم؛ وهذا يتطلب مزيدا من التحقيق</w:t>
      </w:r>
      <w:r w:rsidRPr="00930277">
        <w:rPr>
          <w:rFonts w:ascii="Traditional Arabic" w:hAnsi="Traditional Arabic" w:cs="Traditional Arabic"/>
          <w:sz w:val="30"/>
          <w:szCs w:val="30"/>
        </w:rPr>
        <w:t>.</w:t>
      </w:r>
    </w:p>
    <w:p w14:paraId="62F5E1D4" w14:textId="04FE9D0B" w:rsidR="00930277" w:rsidRPr="00A76324"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A76324">
        <w:rPr>
          <w:rFonts w:ascii="Traditional Arabic" w:hAnsi="Traditional Arabic" w:cs="Traditional Arabic"/>
          <w:b/>
          <w:bCs/>
          <w:sz w:val="30"/>
          <w:szCs w:val="30"/>
          <w:rtl/>
        </w:rPr>
        <w:t>تأثير النزاع على الحماية والعدالة الجنائية</w:t>
      </w:r>
    </w:p>
    <w:p w14:paraId="0DE569A5" w14:textId="40A20B00"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قبل النزاع ، كانت النساء والفتيات يحصلن على بعض الحماية من العنف القائم على نوع الجنس وعلى دعم العدالة الجنائية لهن بفضل النشاط المستمر من جانب الشبكات المجتمعية المحلية التي تقودها نساء. منذ عام 2017، تعترض سلطات الأمر الواقع في صنعاء بانتظام أنشطة الحماية أو زيادة الوعي بالعنف القائم على نوع الجنس تقوم بها هذه المنظمات المحلية أو الدولية. ترفض مؤسسات سلطة الأمر الواقع السماح ببرامج الحماية والتوعية على العنف القائم على النوع الجنساني، حيث تتم مضايقة وتهديد الموظفين، واتهامهم بالدعارة، والإغارة على أماكن عملهم، واحتجاز موظفيهم. وقد أدى ذلك إلى تفكيك شبكات الحماية والوقاية، وتعريض النساء والفتيات لمزيد من الخطر والضرر، مع إثنائهن عن متابعة المساءلة، ومنع التدابير طويلة الأجل لمكافحة العنف القائم على النوع الجنساني </w:t>
      </w:r>
      <w:r w:rsidR="005159C2">
        <w:rPr>
          <w:rStyle w:val="FootnoteReference"/>
          <w:rFonts w:cs="Traditional Arabic"/>
          <w:szCs w:val="30"/>
          <w:rtl/>
        </w:rPr>
        <w:footnoteReference w:id="983"/>
      </w:r>
      <w:r w:rsidRPr="00930277">
        <w:rPr>
          <w:rFonts w:ascii="Traditional Arabic" w:hAnsi="Traditional Arabic" w:cs="Traditional Arabic"/>
          <w:sz w:val="30"/>
          <w:szCs w:val="30"/>
          <w:rtl/>
        </w:rPr>
        <w:t xml:space="preserve">. كما تلقى فريق الخبراء تقارير عن قيام أفراد الجماعات </w:t>
      </w:r>
      <w:r w:rsidRPr="00930277">
        <w:rPr>
          <w:rFonts w:ascii="Traditional Arabic" w:hAnsi="Traditional Arabic" w:cs="Traditional Arabic"/>
          <w:sz w:val="30"/>
          <w:szCs w:val="30"/>
          <w:rtl/>
        </w:rPr>
        <w:lastRenderedPageBreak/>
        <w:t>المسلحة في المحافظات الجنوبية الخاضعة لسيطرة الحكومة والإمارات العربية المتحدة بمضايقة العاملين في مجال الحماية</w:t>
      </w:r>
      <w:r w:rsidR="005159C2">
        <w:rPr>
          <w:rStyle w:val="FootnoteReference"/>
          <w:rFonts w:cs="Traditional Arabic"/>
          <w:szCs w:val="30"/>
          <w:rtl/>
        </w:rPr>
        <w:footnoteReference w:id="984"/>
      </w:r>
      <w:r w:rsidRPr="00930277">
        <w:rPr>
          <w:rFonts w:ascii="Traditional Arabic" w:hAnsi="Traditional Arabic" w:cs="Traditional Arabic"/>
          <w:sz w:val="30"/>
          <w:szCs w:val="30"/>
        </w:rPr>
        <w:t xml:space="preserve">.  </w:t>
      </w:r>
    </w:p>
    <w:p w14:paraId="35129A6F" w14:textId="380FAB2F" w:rsidR="00930277" w:rsidRPr="00930277" w:rsidRDefault="00930277" w:rsidP="00A7632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وصلت فريق الخبراء تقارير عن انهيار دعم نظام العدالة الجنائية لمناهضة العنف القائم على نوع الجنس منذ اندلاع النزاع، وأن أجهزة إنفاذ القانون داخل الحكومة والسلطات القائمة بحكم الأمر الواقع قد رفضت في فترة 2018-2019 التحقيق في قضايا العنف القائم على نوع الجنس ومحاكمة مرتكبيها. وفي بعض الحالات التي تم التحقيق فيها، أعيد تحويل الضحايا الى ضحايا من جديد، وحيث يتم الإعلان عن الحالات، تم استخدام ذلك أحياناً كأداة سياسية </w:t>
      </w:r>
      <w:r w:rsidR="005159C2">
        <w:rPr>
          <w:rStyle w:val="FootnoteReference"/>
          <w:rFonts w:cs="Traditional Arabic"/>
          <w:szCs w:val="30"/>
          <w:rtl/>
        </w:rPr>
        <w:footnoteReference w:id="985"/>
      </w:r>
      <w:r w:rsidRPr="00930277">
        <w:rPr>
          <w:rFonts w:ascii="Traditional Arabic" w:hAnsi="Traditional Arabic" w:cs="Traditional Arabic"/>
          <w:sz w:val="30"/>
          <w:szCs w:val="30"/>
          <w:rtl/>
        </w:rPr>
        <w:t>. في حالات العنف الجنسي التي وثقها فريق الخبراء، وقد ارتكبها المقاتلون، أو حراس المعتقلات أو قوات إنفاذ القانون، لم يُقدّم أي من الجناة إلى العدالة. علاوة على ذلك، لم يتلق فريق الخبراء أي معلومات تشير إلى أن انتهاكات العنف القائم على نوع الجنس المحددة في تقريره لعام 2018 قد تم التحقيق فيها ومعالجتها من قبل الأطراف التي تُعتبر مسؤولة عنها</w:t>
      </w:r>
      <w:r w:rsidRPr="00930277">
        <w:rPr>
          <w:rFonts w:ascii="Traditional Arabic" w:hAnsi="Traditional Arabic" w:cs="Traditional Arabic"/>
          <w:sz w:val="30"/>
          <w:szCs w:val="30"/>
        </w:rPr>
        <w:t>.</w:t>
      </w:r>
    </w:p>
    <w:p w14:paraId="25BB76B5" w14:textId="3AD138A2" w:rsidR="00930277" w:rsidRPr="00930277" w:rsidRDefault="00930277" w:rsidP="00D67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في حالتين في عدن، أفادت التقارير أن موظفي إنفاذ القانون اللذين كانا من الجناة قد تزوجا من الناجيتين من العنف القائم على نوع الجنس</w:t>
      </w:r>
      <w:r w:rsidR="005159C2">
        <w:rPr>
          <w:rStyle w:val="FootnoteReference"/>
          <w:rFonts w:cs="Traditional Arabic"/>
          <w:szCs w:val="30"/>
          <w:rtl/>
        </w:rPr>
        <w:footnoteReference w:id="986"/>
      </w:r>
      <w:r w:rsidRPr="00930277">
        <w:rPr>
          <w:rFonts w:ascii="Traditional Arabic" w:hAnsi="Traditional Arabic" w:cs="Traditional Arabic"/>
          <w:sz w:val="30"/>
          <w:szCs w:val="30"/>
          <w:rtl/>
        </w:rPr>
        <w:t xml:space="preserve"> . وفي حالة أخرى في عدن، تم اغتصاب ابنة إحدى الامهات التي، ولدى إبلاغ الشرطة بذلك، قوبلت بتهديدات واغتُصبت هي نفسها. </w:t>
      </w:r>
      <w:r w:rsidR="005159C2">
        <w:rPr>
          <w:rStyle w:val="FootnoteReference"/>
          <w:rFonts w:cs="Traditional Arabic"/>
          <w:szCs w:val="30"/>
          <w:rtl/>
        </w:rPr>
        <w:footnoteReference w:id="987"/>
      </w:r>
      <w:r w:rsidRPr="00930277">
        <w:rPr>
          <w:rFonts w:ascii="Traditional Arabic" w:hAnsi="Traditional Arabic" w:cs="Traditional Arabic"/>
          <w:sz w:val="30"/>
          <w:szCs w:val="30"/>
          <w:rtl/>
        </w:rPr>
        <w:t xml:space="preserve">  في حالات اختطاف للفتيات في صنعاء، منعت سلطات الأمر الواقع التحقيقات، وحمت الجناة، وحوّلت الناجين مجدداً الى ضحايا.</w:t>
      </w:r>
      <w:r w:rsidR="005159C2">
        <w:rPr>
          <w:rStyle w:val="FootnoteReference"/>
          <w:rFonts w:cs="Traditional Arabic"/>
          <w:szCs w:val="30"/>
          <w:rtl/>
        </w:rPr>
        <w:footnoteReference w:id="988"/>
      </w:r>
      <w:r w:rsidR="00946403">
        <w:rPr>
          <w:rFonts w:ascii="Traditional Arabic" w:hAnsi="Traditional Arabic" w:cs="Traditional Arabic"/>
          <w:sz w:val="30"/>
          <w:szCs w:val="30"/>
          <w:rtl/>
        </w:rPr>
        <w:t xml:space="preserve"> </w:t>
      </w:r>
      <w:r w:rsidRPr="00930277">
        <w:rPr>
          <w:rFonts w:ascii="Traditional Arabic" w:hAnsi="Traditional Arabic" w:cs="Traditional Arabic"/>
          <w:sz w:val="30"/>
          <w:szCs w:val="30"/>
          <w:rtl/>
        </w:rPr>
        <w:t xml:space="preserve">مع عودة </w:t>
      </w:r>
      <w:r w:rsidR="00D67BDB">
        <w:rPr>
          <w:rFonts w:ascii="Traditional Arabic" w:hAnsi="Traditional Arabic" w:cs="Traditional Arabic" w:hint="cs"/>
          <w:sz w:val="30"/>
          <w:szCs w:val="30"/>
          <w:rtl/>
        </w:rPr>
        <w:t>الأعراف و</w:t>
      </w:r>
      <w:r w:rsidRPr="00930277">
        <w:rPr>
          <w:rFonts w:ascii="Traditional Arabic" w:hAnsi="Traditional Arabic" w:cs="Traditional Arabic"/>
          <w:sz w:val="30"/>
          <w:szCs w:val="30"/>
          <w:rtl/>
        </w:rPr>
        <w:t>الق</w:t>
      </w:r>
      <w:r w:rsidR="00D67BDB">
        <w:rPr>
          <w:rFonts w:ascii="Traditional Arabic" w:hAnsi="Traditional Arabic" w:cs="Traditional Arabic" w:hint="cs"/>
          <w:sz w:val="30"/>
          <w:szCs w:val="30"/>
          <w:rtl/>
        </w:rPr>
        <w:t>و</w:t>
      </w:r>
      <w:r w:rsidRPr="00930277">
        <w:rPr>
          <w:rFonts w:ascii="Traditional Arabic" w:hAnsi="Traditional Arabic" w:cs="Traditional Arabic"/>
          <w:sz w:val="30"/>
          <w:szCs w:val="30"/>
          <w:rtl/>
        </w:rPr>
        <w:t>ان</w:t>
      </w:r>
      <w:r w:rsidR="00D67BDB">
        <w:rPr>
          <w:rFonts w:ascii="Traditional Arabic" w:hAnsi="Traditional Arabic" w:cs="Traditional Arabic" w:hint="cs"/>
          <w:sz w:val="30"/>
          <w:szCs w:val="30"/>
          <w:rtl/>
        </w:rPr>
        <w:t>ين القديمة</w:t>
      </w:r>
      <w:r w:rsidRPr="00930277">
        <w:rPr>
          <w:rFonts w:ascii="Traditional Arabic" w:hAnsi="Traditional Arabic" w:cs="Traditional Arabic"/>
          <w:sz w:val="30"/>
          <w:szCs w:val="30"/>
          <w:rtl/>
        </w:rPr>
        <w:t xml:space="preserve">، قد تحصل زيادة الاعتماد على الأشكال التقليدية للوساطة وعلاج للعنف القائم على النوع الجنساني، مثل التعويض المادي للأقارب الذكور </w:t>
      </w:r>
      <w:r w:rsidR="005159C2">
        <w:rPr>
          <w:rStyle w:val="FootnoteReference"/>
          <w:rFonts w:cs="Traditional Arabic"/>
          <w:szCs w:val="30"/>
          <w:rtl/>
        </w:rPr>
        <w:footnoteReference w:id="989"/>
      </w:r>
      <w:r w:rsidRPr="00930277">
        <w:rPr>
          <w:rFonts w:ascii="Traditional Arabic" w:hAnsi="Traditional Arabic" w:cs="Traditional Arabic"/>
          <w:sz w:val="30"/>
          <w:szCs w:val="30"/>
          <w:rtl/>
        </w:rPr>
        <w:t>. هذه الوساطة تديم عدم المساواة، وتقوض الثقة في آليات الحماية والمساءلة، وتضمن بقاء الانتهاكات غير موثقة. وقد أدت هذه العوامل مجتمعة إلى ندرة الخيارات أمام الناجين والأسر لطلب الانتصاف والحماية والمساءلة</w:t>
      </w:r>
      <w:r w:rsidRPr="00930277">
        <w:rPr>
          <w:rFonts w:ascii="Traditional Arabic" w:hAnsi="Traditional Arabic" w:cs="Traditional Arabic"/>
          <w:sz w:val="30"/>
          <w:szCs w:val="30"/>
        </w:rPr>
        <w:t>.</w:t>
      </w:r>
    </w:p>
    <w:p w14:paraId="3D80E989" w14:textId="350BEE34" w:rsidR="00930277" w:rsidRPr="007E60FD" w:rsidRDefault="00930277" w:rsidP="00B53D6E">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Pr="007E60FD">
        <w:rPr>
          <w:rFonts w:ascii="Traditional Arabic" w:hAnsi="Traditional Arabic" w:cs="Traditional Arabic"/>
          <w:b/>
          <w:bCs/>
          <w:sz w:val="30"/>
          <w:szCs w:val="30"/>
          <w:rtl/>
        </w:rPr>
        <w:t>العنف على اساس النوع الجنساني</w:t>
      </w:r>
    </w:p>
    <w:p w14:paraId="158C0D35" w14:textId="6785232A" w:rsidR="00930277" w:rsidRPr="00930277" w:rsidRDefault="00930277" w:rsidP="0055490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تتعرض النساء والفتيات كما الرجال والفتيان، نتيجة للنزاع والسياق المعياري، لخطر جميع أشكال العنف على اساس النوع الجنساني. كان العنف القائم على النوع الجنساني مستشريًا وواسع الانتشار قبل النزاع، وخاصة العنف المنزلي وزواج الأطفال.</w:t>
      </w:r>
      <w:r w:rsidR="00D22DC6">
        <w:rPr>
          <w:rStyle w:val="FootnoteReference"/>
          <w:rFonts w:cs="Traditional Arabic"/>
          <w:szCs w:val="30"/>
          <w:rtl/>
        </w:rPr>
        <w:footnoteReference w:id="990"/>
      </w:r>
      <w:r w:rsidRPr="00930277">
        <w:rPr>
          <w:rFonts w:ascii="Traditional Arabic" w:hAnsi="Traditional Arabic" w:cs="Traditional Arabic"/>
          <w:sz w:val="30"/>
          <w:szCs w:val="30"/>
          <w:rtl/>
        </w:rPr>
        <w:t xml:space="preserve">  أفادت عدد من الدراسات الاستقصائية الثانوية الموثوقة والمقابلات ومجموعات التركيز، التي تمثل النساء في عدد من المحافظات ، أن أعلى خطر للعنف القائم على اساس النوع الجنساني بين النساء والفتيات في اليمن كان بين عامي 2016 و2019 هو العنف العائلي الذي يرتكبه </w:t>
      </w:r>
      <w:r w:rsidRPr="00930277">
        <w:rPr>
          <w:rFonts w:ascii="Traditional Arabic" w:hAnsi="Traditional Arabic" w:cs="Traditional Arabic"/>
          <w:sz w:val="30"/>
          <w:szCs w:val="30"/>
          <w:rtl/>
        </w:rPr>
        <w:lastRenderedPageBreak/>
        <w:t>أفراد الأسرة، وأن هذا كان في زيادة انتشار خلال النزاع.</w:t>
      </w:r>
      <w:r w:rsidR="00D22DC6">
        <w:rPr>
          <w:rStyle w:val="FootnoteReference"/>
          <w:rFonts w:cs="Traditional Arabic"/>
          <w:szCs w:val="30"/>
          <w:rtl/>
        </w:rPr>
        <w:footnoteReference w:id="991"/>
      </w:r>
      <w:r w:rsidRPr="00930277">
        <w:rPr>
          <w:rFonts w:ascii="Traditional Arabic" w:hAnsi="Traditional Arabic" w:cs="Traditional Arabic"/>
          <w:sz w:val="30"/>
          <w:szCs w:val="30"/>
          <w:rtl/>
        </w:rPr>
        <w:t xml:space="preserve">  منذ ظهور الحرب، وثّق صندوق الأمم المتحدة للسكان ارتفاعًا مستمرًا في الناجيات اللواتي يصلن إلى خدمات العنف القائم على النوع الجنساني، على الرغم من العوائق المتعددة التي تحول دون الإبلاغ والتحديات المتزايدة التي تواجه هذه الخدمات، مع ارتفاع يصل إلى 70</w:t>
      </w:r>
      <w:r w:rsidR="00214F1F">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في بعض المحافظات</w:t>
      </w:r>
      <w:r w:rsidR="00D22DC6">
        <w:rPr>
          <w:rStyle w:val="FootnoteReference"/>
          <w:rFonts w:cs="Traditional Arabic"/>
          <w:szCs w:val="30"/>
          <w:rtl/>
        </w:rPr>
        <w:footnoteReference w:id="992"/>
      </w:r>
      <w:r w:rsidRPr="00930277">
        <w:rPr>
          <w:rFonts w:ascii="Traditional Arabic" w:hAnsi="Traditional Arabic" w:cs="Traditional Arabic"/>
          <w:sz w:val="30"/>
          <w:szCs w:val="30"/>
          <w:rtl/>
        </w:rPr>
        <w:t>. في الفترة 2018-2019 ، قدّر صندوق الأمم المتحدة للسكان أن 3 ملايين امرأة وفتاة معرضات لخطر العنف القائم على النوع الجنساني، وأن 120،000 امرأة وفتاة معرضات لخطر القتل نتيجة لأشكال مختلفة من العنف</w:t>
      </w:r>
      <w:r w:rsidR="00D22DC6">
        <w:rPr>
          <w:rStyle w:val="FootnoteReference"/>
          <w:rFonts w:cs="Traditional Arabic"/>
          <w:szCs w:val="30"/>
          <w:rtl/>
        </w:rPr>
        <w:footnoteReference w:id="993"/>
      </w:r>
      <w:r w:rsidRPr="00930277">
        <w:rPr>
          <w:rFonts w:ascii="Traditional Arabic" w:hAnsi="Traditional Arabic" w:cs="Traditional Arabic"/>
          <w:sz w:val="30"/>
          <w:szCs w:val="30"/>
        </w:rPr>
        <w:t xml:space="preserve">. </w:t>
      </w:r>
    </w:p>
    <w:p w14:paraId="043F4FBE" w14:textId="2A8558D2" w:rsidR="00930277" w:rsidRPr="007E60FD" w:rsidRDefault="00930277" w:rsidP="00B53D6E">
      <w:pPr>
        <w:pStyle w:val="Footer"/>
        <w:numPr>
          <w:ilvl w:val="0"/>
          <w:numId w:val="22"/>
        </w:numPr>
        <w:tabs>
          <w:tab w:val="left" w:pos="720"/>
        </w:tabs>
        <w:bidi/>
        <w:spacing w:after="240"/>
        <w:ind w:right="1089"/>
        <w:rPr>
          <w:rFonts w:ascii="Traditional Arabic" w:hAnsi="Traditional Arabic" w:cs="Traditional Arabic"/>
          <w:b/>
          <w:bCs/>
          <w:sz w:val="30"/>
          <w:szCs w:val="30"/>
          <w:rtl/>
        </w:rPr>
      </w:pPr>
      <w:r w:rsidRPr="007E60FD">
        <w:rPr>
          <w:rFonts w:ascii="Traditional Arabic" w:hAnsi="Traditional Arabic" w:cs="Traditional Arabic"/>
          <w:b/>
          <w:bCs/>
          <w:sz w:val="30"/>
          <w:szCs w:val="30"/>
          <w:rtl/>
        </w:rPr>
        <w:t>النزوح</w:t>
      </w:r>
    </w:p>
    <w:p w14:paraId="17188088" w14:textId="2A45BB0C"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يمثل النزوح غير المتناسب للنساء والأطفال عامل خطر رئيسي لجميع أنواع العنف القائم على النوع الجنساني ، سواء في بيئات مضيفة أكثر أمناً أو في تجمعات سكانية غير آمنة وغير رسمية. في اليمن، لجأ ثلث النازحين على الأقل إلى المباني العامة والمهجورة مع وجود عوامل حماية محدودة، ولا يوجد نظام رسمي للمخيمات. بالإضافة إلى ذلك ، عادت العديد من النساء والفتيات النازحات البالغ عددهن مليون شخص إلى منازلهن ليجدن أماكن غير آمنة</w:t>
      </w:r>
      <w:r w:rsidR="00D22DC6">
        <w:rPr>
          <w:rStyle w:val="FootnoteReference"/>
          <w:rFonts w:cs="Traditional Arabic"/>
          <w:szCs w:val="30"/>
          <w:rtl/>
        </w:rPr>
        <w:footnoteReference w:id="994"/>
      </w:r>
      <w:r w:rsidRPr="00930277">
        <w:rPr>
          <w:rFonts w:ascii="Traditional Arabic" w:hAnsi="Traditional Arabic" w:cs="Traditional Arabic"/>
          <w:sz w:val="30"/>
          <w:szCs w:val="30"/>
          <w:rtl/>
        </w:rPr>
        <w:t xml:space="preserve"> . خلال الفترة 2018-2019 ، تلقى الفريق تقارير لم يتم التحقق منها عن عنف جنسي ، بما في ذلك الاستغلال الجنسي المرتكب ضد النازحين داخليا من قبل مرتكبين مرتبطين بعدة أطراف في النزاع، وكذلك إدارة المخيمات، والمجتمعات المضيفة، وغيرهم من النازحين</w:t>
      </w:r>
      <w:r w:rsidRPr="00930277">
        <w:rPr>
          <w:rFonts w:ascii="Traditional Arabic" w:hAnsi="Traditional Arabic" w:cs="Traditional Arabic"/>
          <w:sz w:val="30"/>
          <w:szCs w:val="30"/>
        </w:rPr>
        <w:t>.</w:t>
      </w:r>
      <w:r w:rsidR="00D22DC6">
        <w:rPr>
          <w:rStyle w:val="FootnoteReference"/>
          <w:rFonts w:cs="Traditional Arabic"/>
          <w:szCs w:val="30"/>
        </w:rPr>
        <w:footnoteReference w:id="995"/>
      </w:r>
      <w:r w:rsidRPr="00930277">
        <w:rPr>
          <w:rFonts w:ascii="Traditional Arabic" w:hAnsi="Traditional Arabic" w:cs="Traditional Arabic"/>
          <w:sz w:val="30"/>
          <w:szCs w:val="30"/>
        </w:rPr>
        <w:t xml:space="preserve">  </w:t>
      </w:r>
    </w:p>
    <w:p w14:paraId="1A0C7B13" w14:textId="78D477BF" w:rsidR="00930277" w:rsidRPr="007E60FD" w:rsidRDefault="00930277" w:rsidP="00B53D6E">
      <w:pPr>
        <w:pStyle w:val="Footer"/>
        <w:numPr>
          <w:ilvl w:val="0"/>
          <w:numId w:val="22"/>
        </w:numPr>
        <w:tabs>
          <w:tab w:val="left" w:pos="720"/>
        </w:tabs>
        <w:bidi/>
        <w:spacing w:after="240"/>
        <w:ind w:right="1089"/>
        <w:rPr>
          <w:rFonts w:ascii="Traditional Arabic" w:hAnsi="Traditional Arabic" w:cs="Traditional Arabic"/>
          <w:b/>
          <w:bCs/>
          <w:sz w:val="30"/>
          <w:szCs w:val="30"/>
          <w:rtl/>
        </w:rPr>
      </w:pPr>
      <w:r w:rsidRPr="007E60FD">
        <w:rPr>
          <w:rFonts w:ascii="Traditional Arabic" w:hAnsi="Traditional Arabic" w:cs="Traditional Arabic"/>
          <w:b/>
          <w:bCs/>
          <w:sz w:val="30"/>
          <w:szCs w:val="30"/>
          <w:rtl/>
        </w:rPr>
        <w:t xml:space="preserve"> العنف الجنسي ضد الأشخاص المهمشين</w:t>
      </w:r>
    </w:p>
    <w:p w14:paraId="30D98ABE" w14:textId="698A0687"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في المجموع ، تحقق الفريق من 37 حالة من حالات العنف الجنسي المرتبط بالنزاع في الفترة من 2016 إلى 2019 ضد أفراد المجتمعات الضعيفة والمهمشة على أيدي الجماعات المسلحة في جنوب اليمن.</w:t>
      </w:r>
      <w:r w:rsidR="00D22DC6">
        <w:rPr>
          <w:rStyle w:val="FootnoteReference"/>
          <w:rFonts w:cs="Traditional Arabic"/>
          <w:szCs w:val="30"/>
          <w:rtl/>
        </w:rPr>
        <w:footnoteReference w:id="996"/>
      </w:r>
      <w:r w:rsidRPr="00930277">
        <w:rPr>
          <w:rFonts w:ascii="Traditional Arabic" w:hAnsi="Traditional Arabic" w:cs="Traditional Arabic"/>
          <w:sz w:val="30"/>
          <w:szCs w:val="30"/>
          <w:rtl/>
        </w:rPr>
        <w:t xml:space="preserve">  وكان هذا يتألف من اغتصاب 19 امرأة مختلفة، وستة أولاد، وفتاة واحدة، ومحاولة اغتصاب فتاتين وامرأة، والاعتداء الجنسي على رجل وصبي، وخطف ست نساء كرهائن. وتضمن ذلك الاغتصاب المهبلي والشرجي والشفوي، بما في ذلك الاغتصاب بالعضو الذكري والاغتصاب بالأشياء، والاغتصاب الجماعي، واستخدام الأسلحة. وقد وقع عدد من هذه الأحداث في مرأى من الآخرين، بما في ذلك أفراد الأسرة</w:t>
      </w:r>
      <w:r w:rsidRPr="00930277">
        <w:rPr>
          <w:rFonts w:ascii="Traditional Arabic" w:hAnsi="Traditional Arabic" w:cs="Traditional Arabic"/>
          <w:sz w:val="30"/>
          <w:szCs w:val="30"/>
        </w:rPr>
        <w:t>.</w:t>
      </w:r>
    </w:p>
    <w:p w14:paraId="07A18D3C" w14:textId="1B9A5B80" w:rsidR="00930277" w:rsidRPr="00930277" w:rsidRDefault="00930277" w:rsidP="00211C3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lastRenderedPageBreak/>
        <w:t xml:space="preserve"> </w:t>
      </w:r>
      <w:r w:rsidRPr="00930277">
        <w:rPr>
          <w:rFonts w:ascii="Traditional Arabic" w:hAnsi="Traditional Arabic" w:cs="Traditional Arabic"/>
          <w:sz w:val="30"/>
          <w:szCs w:val="30"/>
          <w:rtl/>
        </w:rPr>
        <w:t>كانت 24 من هذه القضايا ضد اللاجئين والمهاجرين من أصل صومالي أو إثيوبي ، وست منها ضد أفراد من مجتمعات "المهمشين" ، وثلاثة ضد أولئك الذين ينتمون إلى أصول إثنية أو طائفية غير محددة من اليمن ولكن لديهم نقاط ضعف محددة أخرى. الجناه مرتكبي هذا العنف الجنسي ، هم أعضاء في الحزام الأمني المدعوم من الإمارات العربية المتحدة وافراد من اللواء المدرع الخامس والثلاثين، والذي</w:t>
      </w:r>
      <w:r w:rsidR="00E930DF">
        <w:rPr>
          <w:rFonts w:ascii="Traditional Arabic" w:hAnsi="Traditional Arabic" w:cs="Traditional Arabic" w:hint="cs"/>
          <w:sz w:val="30"/>
          <w:szCs w:val="30"/>
          <w:rtl/>
        </w:rPr>
        <w:t>ن</w:t>
      </w:r>
      <w:r w:rsidRPr="00930277">
        <w:rPr>
          <w:rFonts w:ascii="Traditional Arabic" w:hAnsi="Traditional Arabic" w:cs="Traditional Arabic"/>
          <w:sz w:val="30"/>
          <w:szCs w:val="30"/>
          <w:rtl/>
        </w:rPr>
        <w:t xml:space="preserve"> كان</w:t>
      </w:r>
      <w:r w:rsidR="00E930DF">
        <w:rPr>
          <w:rFonts w:ascii="Traditional Arabic" w:hAnsi="Traditional Arabic" w:cs="Traditional Arabic" w:hint="cs"/>
          <w:sz w:val="30"/>
          <w:szCs w:val="30"/>
          <w:rtl/>
        </w:rPr>
        <w:t xml:space="preserve">وا سابقًا </w:t>
      </w:r>
      <w:r w:rsidRPr="00930277">
        <w:rPr>
          <w:rFonts w:ascii="Traditional Arabic" w:hAnsi="Traditional Arabic" w:cs="Traditional Arabic"/>
          <w:sz w:val="30"/>
          <w:szCs w:val="30"/>
          <w:rtl/>
        </w:rPr>
        <w:t>ضمن ميليشيات المقاومة وتم ضمه</w:t>
      </w:r>
      <w:r w:rsidR="00E930DF">
        <w:rPr>
          <w:rFonts w:ascii="Traditional Arabic" w:hAnsi="Traditional Arabic" w:cs="Traditional Arabic" w:hint="cs"/>
          <w:sz w:val="30"/>
          <w:szCs w:val="30"/>
          <w:rtl/>
        </w:rPr>
        <w:t>م</w:t>
      </w:r>
      <w:r w:rsidRPr="00930277">
        <w:rPr>
          <w:rFonts w:ascii="Traditional Arabic" w:hAnsi="Traditional Arabic" w:cs="Traditional Arabic"/>
          <w:sz w:val="30"/>
          <w:szCs w:val="30"/>
          <w:rtl/>
        </w:rPr>
        <w:t xml:space="preserve"> من قبل الحكومة </w:t>
      </w:r>
      <w:r w:rsidR="00211C3E">
        <w:rPr>
          <w:rFonts w:ascii="Traditional Arabic" w:hAnsi="Traditional Arabic" w:cs="Traditional Arabic" w:hint="cs"/>
          <w:sz w:val="30"/>
          <w:szCs w:val="30"/>
          <w:rtl/>
        </w:rPr>
        <w:t xml:space="preserve">إلى </w:t>
      </w:r>
      <w:r w:rsidRPr="00930277">
        <w:rPr>
          <w:rFonts w:ascii="Traditional Arabic" w:hAnsi="Traditional Arabic" w:cs="Traditional Arabic"/>
          <w:sz w:val="30"/>
          <w:szCs w:val="30"/>
          <w:rtl/>
        </w:rPr>
        <w:t>قوات</w:t>
      </w:r>
      <w:r w:rsidR="00211C3E">
        <w:rPr>
          <w:rFonts w:ascii="Traditional Arabic" w:hAnsi="Traditional Arabic" w:cs="Traditional Arabic" w:hint="cs"/>
          <w:sz w:val="30"/>
          <w:szCs w:val="30"/>
          <w:rtl/>
        </w:rPr>
        <w:t>ها</w:t>
      </w:r>
      <w:r w:rsidRPr="00930277">
        <w:rPr>
          <w:rFonts w:ascii="Traditional Arabic" w:hAnsi="Traditional Arabic" w:cs="Traditional Arabic"/>
          <w:sz w:val="30"/>
          <w:szCs w:val="30"/>
          <w:rtl/>
        </w:rPr>
        <w:t xml:space="preserve"> في الفترة</w:t>
      </w:r>
      <w:r w:rsidR="00211C3E">
        <w:rPr>
          <w:rFonts w:ascii="Traditional Arabic" w:hAnsi="Traditional Arabic" w:cs="Traditional Arabic" w:hint="cs"/>
          <w:sz w:val="30"/>
          <w:szCs w:val="30"/>
          <w:rtl/>
        </w:rPr>
        <w:t xml:space="preserve"> بين</w:t>
      </w:r>
      <w:r w:rsidRPr="00930277">
        <w:rPr>
          <w:rFonts w:ascii="Traditional Arabic" w:hAnsi="Traditional Arabic" w:cs="Traditional Arabic"/>
          <w:sz w:val="30"/>
          <w:szCs w:val="30"/>
          <w:rtl/>
        </w:rPr>
        <w:t xml:space="preserve"> 2016-2019 دون أي تدريب أو تدقيق أو إشراف داخلي وقامت الحكومة اليمنيه والإمارات العربية المتحدة بوضع هؤلاء الاشخاص في مناصب السلطة والقوة ضد السكان الأكثر ضعفا وبشكل متزايد الضعفاء الذين يحتاجون إلى الحماية</w:t>
      </w:r>
      <w:r w:rsidRPr="00930277">
        <w:rPr>
          <w:rFonts w:ascii="Traditional Arabic" w:hAnsi="Traditional Arabic" w:cs="Traditional Arabic"/>
          <w:sz w:val="30"/>
          <w:szCs w:val="30"/>
        </w:rPr>
        <w:t>.</w:t>
      </w:r>
    </w:p>
    <w:p w14:paraId="0EF06151" w14:textId="2E907CA2" w:rsidR="00930277" w:rsidRPr="00930277" w:rsidRDefault="00930277" w:rsidP="00AA3025">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تحدثت اللاجئات والمهاجرات إلى الفريق عن الفقر، وعدم الحصول على سكن آمن، والسلوك العدواني المستمر لقوات الحزام الأمني ضد مجتمعهن، والعبء العقلي لسنوات من التمييز ، وفي بعض الحالات ، النجاة من الاغتصاب المتكرر. وكانت بعض الأمهات العازبات نتيجة لعمليات الاغتصاب هذه ، تحدثن عن وصمة العار التي فرضها عليها المجتمع المضيف اليمني </w:t>
      </w:r>
      <w:r w:rsidR="00D22DC6">
        <w:rPr>
          <w:rStyle w:val="FootnoteReference"/>
          <w:rFonts w:cs="Traditional Arabic"/>
          <w:szCs w:val="30"/>
          <w:rtl/>
        </w:rPr>
        <w:footnoteReference w:id="997"/>
      </w:r>
      <w:r w:rsidRPr="00930277">
        <w:rPr>
          <w:rFonts w:ascii="Traditional Arabic" w:hAnsi="Traditional Arabic" w:cs="Traditional Arabic"/>
          <w:sz w:val="30"/>
          <w:szCs w:val="30"/>
          <w:rtl/>
        </w:rPr>
        <w:t xml:space="preserve">. وتحدث أشخاص من مجتمع "المهمشين" عن تصور المجتمعات غير "المهمشة" لهم بأنهم بمثابة عبيد مما يعني أن الإساءة إليهم كانت أكثر قبولاً </w:t>
      </w:r>
      <w:r w:rsidR="00D22DC6">
        <w:rPr>
          <w:rStyle w:val="FootnoteReference"/>
          <w:rFonts w:cs="Traditional Arabic"/>
          <w:szCs w:val="30"/>
          <w:rtl/>
        </w:rPr>
        <w:footnoteReference w:id="998"/>
      </w:r>
      <w:r w:rsidRPr="00930277">
        <w:rPr>
          <w:rFonts w:ascii="Traditional Arabic" w:hAnsi="Traditional Arabic" w:cs="Traditional Arabic"/>
          <w:sz w:val="30"/>
          <w:szCs w:val="30"/>
          <w:rtl/>
        </w:rPr>
        <w:t xml:space="preserve">. في إحدى الحالات ، تضمن ذلك لغة تعسفية ومهينة استخدمها الجناة خلال العنف الجنسي، تشير إلى أن المرأة "مختلة جنسيا" ووصفها بمصطلح "الأخدام"  </w:t>
      </w:r>
      <w:r w:rsidR="00D22DC6">
        <w:rPr>
          <w:rStyle w:val="FootnoteReference"/>
          <w:rFonts w:cs="Traditional Arabic"/>
          <w:szCs w:val="30"/>
          <w:rtl/>
        </w:rPr>
        <w:footnoteReference w:id="999"/>
      </w:r>
      <w:r w:rsidRPr="00930277">
        <w:rPr>
          <w:rFonts w:ascii="Traditional Arabic" w:hAnsi="Traditional Arabic" w:cs="Traditional Arabic"/>
          <w:sz w:val="30"/>
          <w:szCs w:val="30"/>
          <w:rtl/>
        </w:rPr>
        <w:t>المحتقر</w:t>
      </w:r>
      <w:r w:rsidR="00D22DC6">
        <w:rPr>
          <w:rFonts w:ascii="Traditional Arabic" w:hAnsi="Traditional Arabic" w:cs="Traditional Arabic"/>
          <w:sz w:val="30"/>
          <w:szCs w:val="30"/>
        </w:rPr>
        <w:t>.</w:t>
      </w:r>
      <w:r w:rsidRPr="00930277">
        <w:rPr>
          <w:rFonts w:ascii="Traditional Arabic" w:hAnsi="Traditional Arabic" w:cs="Traditional Arabic"/>
          <w:sz w:val="30"/>
          <w:szCs w:val="30"/>
          <w:rtl/>
        </w:rPr>
        <w:t xml:space="preserve"> و</w:t>
      </w:r>
      <w:r w:rsidR="00A920A6">
        <w:rPr>
          <w:rFonts w:ascii="Traditional Arabic" w:hAnsi="Traditional Arabic" w:cs="Traditional Arabic" w:hint="cs"/>
          <w:sz w:val="30"/>
          <w:szCs w:val="30"/>
          <w:rtl/>
        </w:rPr>
        <w:t xml:space="preserve">الأعراف والقوانين </w:t>
      </w:r>
      <w:r w:rsidRPr="00930277">
        <w:rPr>
          <w:rFonts w:ascii="Traditional Arabic" w:hAnsi="Traditional Arabic" w:cs="Traditional Arabic"/>
          <w:sz w:val="30"/>
          <w:szCs w:val="30"/>
          <w:rtl/>
        </w:rPr>
        <w:t>الموصوف</w:t>
      </w:r>
      <w:r w:rsidR="00A920A6">
        <w:rPr>
          <w:rFonts w:ascii="Traditional Arabic" w:hAnsi="Traditional Arabic" w:cs="Traditional Arabic" w:hint="cs"/>
          <w:sz w:val="30"/>
          <w:szCs w:val="30"/>
          <w:rtl/>
        </w:rPr>
        <w:t>ة</w:t>
      </w:r>
      <w:r w:rsidRPr="00930277">
        <w:rPr>
          <w:rFonts w:ascii="Traditional Arabic" w:hAnsi="Traditional Arabic" w:cs="Traditional Arabic"/>
          <w:sz w:val="30"/>
          <w:szCs w:val="30"/>
          <w:rtl/>
        </w:rPr>
        <w:t xml:space="preserve"> أعلاه </w:t>
      </w:r>
      <w:r w:rsidR="005D2AE4">
        <w:rPr>
          <w:rFonts w:ascii="Traditional Arabic" w:hAnsi="Traditional Arabic" w:cs="Traditional Arabic" w:hint="cs"/>
          <w:sz w:val="30"/>
          <w:szCs w:val="30"/>
          <w:rtl/>
        </w:rPr>
        <w:t>ت</w:t>
      </w:r>
      <w:r w:rsidRPr="00930277">
        <w:rPr>
          <w:rFonts w:ascii="Traditional Arabic" w:hAnsi="Traditional Arabic" w:cs="Traditional Arabic"/>
          <w:sz w:val="30"/>
          <w:szCs w:val="30"/>
          <w:rtl/>
        </w:rPr>
        <w:t>تضمن مفهوم أن النساء والأطفال من أفريقيا وأصول "المهمشين" هم "أقل قيمة" من تلك التي من القبائل اليمنية، ويعني أن هذه المجموعات لا تحصل على نفس الحماية عن طريق ال</w:t>
      </w:r>
      <w:r w:rsidR="005D2AE4">
        <w:rPr>
          <w:rFonts w:ascii="Traditional Arabic" w:hAnsi="Traditional Arabic" w:cs="Traditional Arabic" w:hint="cs"/>
          <w:sz w:val="30"/>
          <w:szCs w:val="30"/>
          <w:rtl/>
        </w:rPr>
        <w:t xml:space="preserve">توسط </w:t>
      </w:r>
      <w:r w:rsidRPr="00930277">
        <w:rPr>
          <w:rFonts w:ascii="Traditional Arabic" w:hAnsi="Traditional Arabic" w:cs="Traditional Arabic"/>
          <w:sz w:val="30"/>
          <w:szCs w:val="30"/>
          <w:rtl/>
        </w:rPr>
        <w:t>القبلي، وتمكين الجناة والمساهمة في الإفلات من العقاب</w:t>
      </w:r>
      <w:r w:rsidRPr="00930277">
        <w:rPr>
          <w:rFonts w:ascii="Traditional Arabic" w:hAnsi="Traditional Arabic" w:cs="Traditional Arabic"/>
          <w:sz w:val="30"/>
          <w:szCs w:val="30"/>
        </w:rPr>
        <w:t>.</w:t>
      </w:r>
    </w:p>
    <w:p w14:paraId="26D5168A" w14:textId="241F77CF"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وبالنظر إلى الأدلة التي تم الحصول عليها، والمكانة المهمشة لهؤلاء الناجين في اليمن، والدور الجنساني السائد "للوصاية" للرجال عليهن وعلى النساء بشكل عام ، في سياق الإفلات من العقاب على نطاق واسع بالفعل ، لدى الفريق أسباب معقولة للاعتقاد بأن قوات الحزام الأمني وافراد من  اللواء 35 المدرع تستهدف الضحايا على أساس طائفتهم أو طبقتهم أو أوضاعهم المهمشة الأخرى. علاوة على ذلك ، في عام 2019، كانت نسبة متزايدة من النساء والأطفال عرضة للخطر وعرضة للعنف القائم على نوع الجنس، وقامت قوات الحزام الأمني باحتجاز واسع النطاق للمهاجرين بمن فيهم النساء والأطفال، وتلقى فريق الخبراء تقارير عن العنف الجنسي من قبل الجماعات المسلحة المرتبطة في المناطق المجاورة وضد النازحين. كما تواصل الأطراف نشر جماعات مسلحة مماثلة في جنوب وغرب اليمن</w:t>
      </w:r>
      <w:r w:rsidRPr="00930277">
        <w:rPr>
          <w:rFonts w:ascii="Traditional Arabic" w:hAnsi="Traditional Arabic" w:cs="Traditional Arabic"/>
          <w:sz w:val="30"/>
          <w:szCs w:val="30"/>
        </w:rPr>
        <w:t>.</w:t>
      </w:r>
      <w:r w:rsidR="00D22DC6">
        <w:rPr>
          <w:rStyle w:val="FootnoteReference"/>
          <w:rFonts w:cs="Traditional Arabic"/>
          <w:szCs w:val="30"/>
        </w:rPr>
        <w:footnoteReference w:id="1000"/>
      </w:r>
      <w:r w:rsidRPr="00930277">
        <w:rPr>
          <w:rFonts w:ascii="Traditional Arabic" w:hAnsi="Traditional Arabic" w:cs="Traditional Arabic"/>
          <w:sz w:val="30"/>
          <w:szCs w:val="30"/>
        </w:rPr>
        <w:t xml:space="preserve">  </w:t>
      </w:r>
    </w:p>
    <w:p w14:paraId="249B254F" w14:textId="6A9B4F6F"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lastRenderedPageBreak/>
        <w:t>يلزم إجراء مزيد من التحقيقات بشأن حجم وطبيعة هذا العنف الجنسي المستهدف الذي ترتكبه هذه الجماعات وغيرها من الجماعات المسلحة في المجتمعات المهمشة، بما في ذلك النازحون، الخاضعين لسيطرة الحكومة، ودولة الإمارات العربية المتحدة، وسلطات الامر الواقع</w:t>
      </w:r>
      <w:r w:rsidRPr="00930277">
        <w:rPr>
          <w:rFonts w:ascii="Traditional Arabic" w:hAnsi="Traditional Arabic" w:cs="Traditional Arabic"/>
          <w:sz w:val="30"/>
          <w:szCs w:val="30"/>
        </w:rPr>
        <w:t>.</w:t>
      </w:r>
    </w:p>
    <w:p w14:paraId="7E71D2C9" w14:textId="3B5B58F0" w:rsidR="00930277" w:rsidRPr="007E60FD" w:rsidRDefault="00B53D6E" w:rsidP="00B53D6E">
      <w:pPr>
        <w:pStyle w:val="Footer"/>
        <w:tabs>
          <w:tab w:val="left" w:pos="720"/>
        </w:tabs>
        <w:bidi/>
        <w:spacing w:after="240"/>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lang w:bidi="ar-JO"/>
        </w:rPr>
        <w:t>جـ.</w:t>
      </w:r>
      <w:r>
        <w:rPr>
          <w:rFonts w:ascii="Traditional Arabic" w:hAnsi="Traditional Arabic" w:cs="Traditional Arabic" w:hint="cs"/>
          <w:b/>
          <w:bCs/>
          <w:sz w:val="30"/>
          <w:szCs w:val="30"/>
          <w:rtl/>
          <w:lang w:bidi="ar-JO"/>
        </w:rPr>
        <w:tab/>
      </w:r>
      <w:r w:rsidR="00930277" w:rsidRPr="007E60FD">
        <w:rPr>
          <w:rFonts w:ascii="Traditional Arabic" w:hAnsi="Traditional Arabic" w:cs="Traditional Arabic"/>
          <w:b/>
          <w:bCs/>
          <w:sz w:val="30"/>
          <w:szCs w:val="30"/>
          <w:rtl/>
        </w:rPr>
        <w:t>العنف الجنسي في الاعتقال</w:t>
      </w:r>
    </w:p>
    <w:p w14:paraId="5F3170E6" w14:textId="77777777" w:rsidR="00930277" w:rsidRPr="00B2450C" w:rsidRDefault="00930277" w:rsidP="007E60FD">
      <w:pPr>
        <w:pStyle w:val="Footer"/>
        <w:tabs>
          <w:tab w:val="left" w:pos="720"/>
        </w:tabs>
        <w:bidi/>
        <w:ind w:left="1359" w:right="1089"/>
        <w:rPr>
          <w:rFonts w:ascii="Traditional Arabic" w:hAnsi="Traditional Arabic" w:cs="Traditional Arabic"/>
          <w:i/>
          <w:iCs/>
          <w:sz w:val="30"/>
          <w:szCs w:val="30"/>
          <w:rtl/>
        </w:rPr>
      </w:pPr>
      <w:r w:rsidRPr="00B2450C">
        <w:rPr>
          <w:rFonts w:ascii="Traditional Arabic" w:hAnsi="Traditional Arabic" w:cs="Traditional Arabic"/>
          <w:i/>
          <w:iCs/>
          <w:sz w:val="30"/>
          <w:szCs w:val="30"/>
        </w:rPr>
        <w:t>"</w:t>
      </w:r>
      <w:r w:rsidRPr="00B2450C">
        <w:rPr>
          <w:rFonts w:ascii="Traditional Arabic" w:hAnsi="Traditional Arabic" w:cs="Traditional Arabic"/>
          <w:i/>
          <w:iCs/>
          <w:sz w:val="30"/>
          <w:szCs w:val="30"/>
          <w:rtl/>
        </w:rPr>
        <w:t>في كل مرة لم أعترف أو لم أقل شيئًا بالطريقة التي يريدونها بالضبط قام بإدخال عضوه الذكري في فمي. لم يكن لدي أي دعم نفسي ولم أرى أي طبيب. ما زلت متضرراً للغاية</w:t>
      </w:r>
      <w:r w:rsidRPr="00B2450C">
        <w:rPr>
          <w:rFonts w:ascii="Traditional Arabic" w:hAnsi="Traditional Arabic" w:cs="Traditional Arabic"/>
          <w:i/>
          <w:iCs/>
          <w:sz w:val="30"/>
          <w:szCs w:val="30"/>
        </w:rPr>
        <w:t xml:space="preserve"> ".</w:t>
      </w:r>
    </w:p>
    <w:p w14:paraId="06C51195" w14:textId="06E26B51" w:rsidR="00930277" w:rsidRPr="007E60FD" w:rsidRDefault="007E60FD" w:rsidP="00B53D6E">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7E60FD">
        <w:rPr>
          <w:rFonts w:ascii="Traditional Arabic" w:hAnsi="Traditional Arabic" w:cs="Traditional Arabic"/>
          <w:b/>
          <w:bCs/>
          <w:sz w:val="30"/>
          <w:szCs w:val="30"/>
          <w:rtl/>
        </w:rPr>
        <w:t>معتقل سابق في قاعدة البوريقه التابعة للتحالف</w:t>
      </w:r>
      <w:r w:rsidR="00930277" w:rsidRPr="007E60FD">
        <w:rPr>
          <w:rFonts w:ascii="Traditional Arabic" w:hAnsi="Traditional Arabic" w:cs="Traditional Arabic"/>
          <w:b/>
          <w:bCs/>
          <w:sz w:val="30"/>
          <w:szCs w:val="30"/>
        </w:rPr>
        <w:t xml:space="preserve"> </w:t>
      </w:r>
      <w:r w:rsidR="00D22DC6">
        <w:rPr>
          <w:rStyle w:val="FootnoteReference"/>
          <w:rFonts w:cs="Traditional Arabic"/>
          <w:b/>
          <w:bCs/>
          <w:szCs w:val="30"/>
        </w:rPr>
        <w:footnoteReference w:id="1001"/>
      </w:r>
    </w:p>
    <w:p w14:paraId="274E8E8F" w14:textId="0CA6E67A"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وخلال الفترة</w:t>
      </w:r>
      <w:r w:rsidR="00A06BDB">
        <w:rPr>
          <w:rFonts w:ascii="Traditional Arabic" w:hAnsi="Traditional Arabic" w:cs="Traditional Arabic" w:hint="cs"/>
          <w:sz w:val="30"/>
          <w:szCs w:val="30"/>
          <w:rtl/>
        </w:rPr>
        <w:t xml:space="preserve"> من 2016 حتى 2019 </w:t>
      </w:r>
      <w:r w:rsidRPr="00930277">
        <w:rPr>
          <w:rFonts w:ascii="Traditional Arabic" w:hAnsi="Traditional Arabic" w:cs="Traditional Arabic"/>
          <w:sz w:val="30"/>
          <w:szCs w:val="30"/>
          <w:rtl/>
        </w:rPr>
        <w:t>استخدمت أطراف النزاع العنف الجنسي في الاعتقال للتعذيب والإيذاء الجسدي والصدمات والإهانة ولإخضاع المعتلقين. تحقق الفريق من 23 حالة عنف جنسي رهن الاعتقال لدى عدة أطراف</w:t>
      </w:r>
      <w:r w:rsidRPr="00930277">
        <w:rPr>
          <w:rFonts w:ascii="Traditional Arabic" w:hAnsi="Traditional Arabic" w:cs="Traditional Arabic"/>
          <w:sz w:val="30"/>
          <w:szCs w:val="30"/>
        </w:rPr>
        <w:t>.</w:t>
      </w:r>
    </w:p>
    <w:p w14:paraId="7CB2DF4C" w14:textId="47818CCF"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ويشمل ذلك 12 حالة عنف جنسي في مرافق الاعتقال التابعة لسلطات الأمر الواقع بما فيها العنف الجنسي ضد خمس نساء وستة رجال وفتى واحد. في الحالات المتعلقة بالرجال والأولاد، تم ضرب </w:t>
      </w:r>
      <w:r w:rsidR="00A06BDB">
        <w:rPr>
          <w:rFonts w:ascii="Traditional Arabic" w:hAnsi="Traditional Arabic" w:cs="Traditional Arabic" w:hint="cs"/>
          <w:sz w:val="30"/>
          <w:szCs w:val="30"/>
          <w:rtl/>
        </w:rPr>
        <w:t>ال</w:t>
      </w:r>
      <w:r w:rsidRPr="00930277">
        <w:rPr>
          <w:rFonts w:ascii="Traditional Arabic" w:hAnsi="Traditional Arabic" w:cs="Traditional Arabic"/>
          <w:sz w:val="30"/>
          <w:szCs w:val="30"/>
          <w:rtl/>
        </w:rPr>
        <w:t>خصي</w:t>
      </w:r>
      <w:r w:rsidR="00A06BDB">
        <w:rPr>
          <w:rFonts w:ascii="Traditional Arabic" w:hAnsi="Traditional Arabic" w:cs="Traditional Arabic" w:hint="cs"/>
          <w:sz w:val="30"/>
          <w:szCs w:val="30"/>
          <w:rtl/>
        </w:rPr>
        <w:t>ة</w:t>
      </w:r>
      <w:r w:rsidRPr="00930277">
        <w:rPr>
          <w:rFonts w:ascii="Traditional Arabic" w:hAnsi="Traditional Arabic" w:cs="Traditional Arabic"/>
          <w:sz w:val="30"/>
          <w:szCs w:val="30"/>
          <w:rtl/>
        </w:rPr>
        <w:t xml:space="preserve"> أو ربطها أو تعليق أشياء ثقيلة عليها، وتم استخدام العُري القسري. في حالة واحدة من النساء، تم الاعتداء عليها على الفرج من خلال ملابسها. كما كانت هناك تهديدات بالاغتصاب، وتهديدات لاغتصاب زوجات المعتقلين، فضلا عن تقارير لم يتم التحقق منها حول اغتصاب فتيان</w:t>
      </w:r>
      <w:r w:rsidRPr="00930277">
        <w:rPr>
          <w:rFonts w:ascii="Traditional Arabic" w:hAnsi="Traditional Arabic" w:cs="Traditional Arabic"/>
          <w:sz w:val="30"/>
          <w:szCs w:val="30"/>
        </w:rPr>
        <w:t>.</w:t>
      </w:r>
      <w:r w:rsidR="00D22DC6">
        <w:rPr>
          <w:rStyle w:val="FootnoteReference"/>
          <w:rFonts w:cs="Traditional Arabic"/>
          <w:szCs w:val="30"/>
        </w:rPr>
        <w:footnoteReference w:id="1002"/>
      </w:r>
      <w:r w:rsidRPr="00930277">
        <w:rPr>
          <w:rFonts w:ascii="Traditional Arabic" w:hAnsi="Traditional Arabic" w:cs="Traditional Arabic"/>
          <w:sz w:val="30"/>
          <w:szCs w:val="30"/>
        </w:rPr>
        <w:t xml:space="preserve"> </w:t>
      </w:r>
    </w:p>
    <w:p w14:paraId="68415D27" w14:textId="7EB3F095"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ويشمل ذلك أيضا ما لا يقل عن 12 حالة اغتصاب لستة رجال وفتى واحد في مرافق الاعتقال التابعة لدولة الإمارات العربية المتحدة ، فضلاً عن اعتداءات جنسية أخرى ، وعُري قسري. تعرض المعتقلون للاغتصاب شفهياً وشرجيا، بما في ذلك الاغتصاب بالعضو الذكري والاغتصاب بالأشياء والاغتصاب الجماعي. وشملت الاعتداءات الجنسية ضرب خصيات المحتجزين</w:t>
      </w:r>
      <w:r w:rsidR="00D22DC6">
        <w:rPr>
          <w:rStyle w:val="FootnoteReference"/>
          <w:rFonts w:cs="Traditional Arabic"/>
          <w:szCs w:val="30"/>
          <w:rtl/>
        </w:rPr>
        <w:footnoteReference w:id="1003"/>
      </w:r>
      <w:r w:rsidRPr="00930277">
        <w:rPr>
          <w:rFonts w:ascii="Traditional Arabic" w:hAnsi="Traditional Arabic" w:cs="Traditional Arabic"/>
          <w:sz w:val="30"/>
          <w:szCs w:val="30"/>
          <w:rtl/>
        </w:rPr>
        <w:t>.  بالإضافة إلى ذلك، في عام 2018، تحقق الفريق من أنه في آذار/ مارس 2018 ، تم تجريد ما يقرب من 200 معتقل من ملابسهم في مجموعة بينما قام موظفو دولة الإمارات العربية المتحدة بفحص شرجهم عنوة. خلال هذا البحث، تم اغتصاب العديد من المحتجزين بالاصابع وبأدوات وعصي</w:t>
      </w:r>
      <w:r w:rsidRPr="00930277">
        <w:rPr>
          <w:rFonts w:ascii="Traditional Arabic" w:hAnsi="Traditional Arabic" w:cs="Traditional Arabic"/>
          <w:sz w:val="30"/>
          <w:szCs w:val="30"/>
        </w:rPr>
        <w:t>.</w:t>
      </w:r>
    </w:p>
    <w:p w14:paraId="2FA18FAF" w14:textId="1D68D022"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lastRenderedPageBreak/>
        <w:t xml:space="preserve"> </w:t>
      </w:r>
      <w:r w:rsidRPr="00930277">
        <w:rPr>
          <w:rFonts w:ascii="Traditional Arabic" w:hAnsi="Traditional Arabic" w:cs="Traditional Arabic"/>
          <w:sz w:val="30"/>
          <w:szCs w:val="30"/>
          <w:rtl/>
        </w:rPr>
        <w:t>ذكر المحتجزون أن العنف والتهديدات المستخدمة كانت تتصاعد وأن التهديد النهائي كان الاغتصاب. عندما لم تنجح سلطات الأمر الواقع أو المحققون الإماراتيون بوسائل أخرى ، فإنهم كانوا يسيئون معاملة المحتجزين جنسياً بشدة. في جميع الحالات المذكورة أعلاه ، استخدم العنف الجنسي لإكراه المعتقلين على الإدلاء باعترافات أو للامتثال للمطالب. الاغتصاب وغيره من أشكال العنف الجنسي على مرتكبيها هي في المقام الأول وسيلة لكسب السلطة والسيطرة. استخدم المحققون والحراس هذه الأساليب ضد الرجال والأولاد من أجل "خصيهم" وإذلالهم لتحقيق أهدافهم</w:t>
      </w:r>
      <w:r w:rsidRPr="00930277">
        <w:rPr>
          <w:rFonts w:ascii="Traditional Arabic" w:hAnsi="Traditional Arabic" w:cs="Traditional Arabic"/>
          <w:sz w:val="30"/>
          <w:szCs w:val="30"/>
        </w:rPr>
        <w:t>.</w:t>
      </w:r>
    </w:p>
    <w:p w14:paraId="2D2C4E78" w14:textId="77777777" w:rsidR="00E25F5D" w:rsidRDefault="00E25F5D" w:rsidP="00A06BDB">
      <w:pPr>
        <w:pStyle w:val="Footer"/>
        <w:tabs>
          <w:tab w:val="left" w:pos="720"/>
        </w:tabs>
        <w:bidi/>
        <w:spacing w:after="240"/>
        <w:ind w:left="360" w:right="1089"/>
        <w:rPr>
          <w:rFonts w:ascii="Traditional Arabic" w:hAnsi="Traditional Arabic" w:cs="Traditional Arabic"/>
          <w:b/>
          <w:bCs/>
          <w:sz w:val="30"/>
          <w:szCs w:val="30"/>
        </w:rPr>
      </w:pPr>
    </w:p>
    <w:p w14:paraId="7E6B9823" w14:textId="498923B9" w:rsidR="00930277" w:rsidRPr="007E60FD" w:rsidRDefault="00A06BDB" w:rsidP="00E25F5D">
      <w:pPr>
        <w:pStyle w:val="Footer"/>
        <w:tabs>
          <w:tab w:val="left" w:pos="720"/>
        </w:tabs>
        <w:bidi/>
        <w:spacing w:after="240"/>
        <w:ind w:left="360" w:right="1089" w:firstLine="36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د. </w:t>
      </w:r>
      <w:r>
        <w:rPr>
          <w:rFonts w:ascii="Traditional Arabic" w:hAnsi="Traditional Arabic" w:cs="Traditional Arabic"/>
          <w:b/>
          <w:bCs/>
          <w:sz w:val="30"/>
          <w:szCs w:val="30"/>
          <w:rtl/>
        </w:rPr>
        <w:tab/>
      </w:r>
      <w:r w:rsidR="00930277" w:rsidRPr="007E60FD">
        <w:rPr>
          <w:rFonts w:ascii="Traditional Arabic" w:hAnsi="Traditional Arabic" w:cs="Traditional Arabic"/>
          <w:b/>
          <w:bCs/>
          <w:sz w:val="30"/>
          <w:szCs w:val="30"/>
          <w:rtl/>
        </w:rPr>
        <w:t xml:space="preserve"> أخذ النساء كرهائن</w:t>
      </w:r>
      <w:r w:rsidR="00930277" w:rsidRPr="007E60FD">
        <w:rPr>
          <w:rFonts w:ascii="Traditional Arabic" w:hAnsi="Traditional Arabic" w:cs="Traditional Arabic"/>
          <w:b/>
          <w:bCs/>
          <w:sz w:val="30"/>
          <w:szCs w:val="30"/>
        </w:rPr>
        <w:t xml:space="preserve">  </w:t>
      </w:r>
    </w:p>
    <w:p w14:paraId="4035616E" w14:textId="56EDF13A"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وفي الفترة 2018-2019، وثّق فريق</w:t>
      </w:r>
      <w:r w:rsidR="00AA3025">
        <w:rPr>
          <w:rFonts w:ascii="Traditional Arabic" w:hAnsi="Traditional Arabic" w:cs="Traditional Arabic" w:hint="cs"/>
          <w:sz w:val="30"/>
          <w:szCs w:val="30"/>
          <w:rtl/>
        </w:rPr>
        <w:t xml:space="preserve"> الخبراء</w:t>
      </w:r>
      <w:r w:rsidRPr="00930277">
        <w:rPr>
          <w:rFonts w:ascii="Traditional Arabic" w:hAnsi="Traditional Arabic" w:cs="Traditional Arabic"/>
          <w:sz w:val="30"/>
          <w:szCs w:val="30"/>
          <w:rtl/>
        </w:rPr>
        <w:t xml:space="preserve"> اتجاهاً ناشئاً يتمثل في أخذ النساء والفتيات كرهائن على نحو مستهدف، وهناك حالات تم التحقق منها ارتكبها عدد من الأطراف. قام</w:t>
      </w:r>
      <w:r w:rsidR="000867CF">
        <w:rPr>
          <w:rFonts w:ascii="Traditional Arabic" w:hAnsi="Traditional Arabic" w:cs="Traditional Arabic" w:hint="cs"/>
          <w:sz w:val="30"/>
          <w:szCs w:val="30"/>
          <w:rtl/>
        </w:rPr>
        <w:t xml:space="preserve"> أفراد</w:t>
      </w:r>
      <w:r w:rsidRPr="00930277">
        <w:rPr>
          <w:rFonts w:ascii="Traditional Arabic" w:hAnsi="Traditional Arabic" w:cs="Traditional Arabic"/>
          <w:sz w:val="30"/>
          <w:szCs w:val="30"/>
          <w:rtl/>
        </w:rPr>
        <w:t xml:space="preserve"> </w:t>
      </w:r>
      <w:r w:rsidR="000867CF">
        <w:rPr>
          <w:rFonts w:ascii="Traditional Arabic" w:hAnsi="Traditional Arabic" w:cs="Traditional Arabic" w:hint="cs"/>
          <w:sz w:val="30"/>
          <w:szCs w:val="30"/>
          <w:rtl/>
        </w:rPr>
        <w:t xml:space="preserve">في قوات الأمن </w:t>
      </w:r>
      <w:r w:rsidR="00154C7B" w:rsidRPr="00930277">
        <w:rPr>
          <w:rFonts w:ascii="Traditional Arabic" w:hAnsi="Traditional Arabic" w:cs="Traditional Arabic"/>
          <w:sz w:val="30"/>
          <w:szCs w:val="30"/>
          <w:rtl/>
        </w:rPr>
        <w:t>و</w:t>
      </w:r>
      <w:r w:rsidR="00154C7B">
        <w:rPr>
          <w:rFonts w:ascii="Traditional Arabic" w:hAnsi="Traditional Arabic" w:cs="Traditional Arabic" w:hint="cs"/>
          <w:sz w:val="30"/>
          <w:szCs w:val="30"/>
          <w:rtl/>
        </w:rPr>
        <w:t xml:space="preserve">مقاتلي </w:t>
      </w:r>
      <w:r w:rsidR="00154C7B" w:rsidRPr="00930277">
        <w:rPr>
          <w:rFonts w:ascii="Traditional Arabic" w:hAnsi="Traditional Arabic" w:cs="Traditional Arabic"/>
          <w:sz w:val="30"/>
          <w:szCs w:val="30"/>
          <w:rtl/>
        </w:rPr>
        <w:t xml:space="preserve">الحوثي </w:t>
      </w:r>
      <w:r w:rsidR="000867CF">
        <w:rPr>
          <w:rFonts w:ascii="Traditional Arabic" w:hAnsi="Traditional Arabic" w:cs="Traditional Arabic" w:hint="cs"/>
          <w:sz w:val="30"/>
          <w:szCs w:val="30"/>
          <w:rtl/>
        </w:rPr>
        <w:t xml:space="preserve">التابعة </w:t>
      </w:r>
      <w:r w:rsidR="00154C7B">
        <w:rPr>
          <w:rFonts w:ascii="Traditional Arabic" w:hAnsi="Traditional Arabic" w:cs="Traditional Arabic" w:hint="cs"/>
          <w:sz w:val="30"/>
          <w:szCs w:val="30"/>
          <w:rtl/>
        </w:rPr>
        <w:t>ل</w:t>
      </w:r>
      <w:r w:rsidRPr="00930277">
        <w:rPr>
          <w:rFonts w:ascii="Traditional Arabic" w:hAnsi="Traditional Arabic" w:cs="Traditional Arabic"/>
          <w:sz w:val="30"/>
          <w:szCs w:val="30"/>
          <w:rtl/>
        </w:rPr>
        <w:t xml:space="preserve">سلطات الأمر الواقع في صنعاء والحديدة باختطاف واحتجاز سبع نساء وفتيات مختلفات لفترات تصل إلى ثمانية أشهر لإجبار الأقارب على قبول مطالبهم. في إحدى الحالات، فعلوا ذلك لإجبار منشق حوثي على الاستسلام. وفي حالات أخرى ، احتجزوا النساء والفتيات بتهمة السفر دون وصي </w:t>
      </w:r>
      <w:r w:rsidRPr="00154C7B">
        <w:rPr>
          <w:rFonts w:ascii="Traditional Arabic" w:hAnsi="Traditional Arabic" w:cs="Traditional Arabic"/>
          <w:i/>
          <w:iCs/>
          <w:sz w:val="30"/>
          <w:szCs w:val="30"/>
          <w:rtl/>
        </w:rPr>
        <w:t>محرم</w:t>
      </w:r>
      <w:r w:rsidRPr="00930277">
        <w:rPr>
          <w:rFonts w:ascii="Traditional Arabic" w:hAnsi="Traditional Arabic" w:cs="Traditional Arabic"/>
          <w:sz w:val="30"/>
          <w:szCs w:val="30"/>
          <w:rtl/>
        </w:rPr>
        <w:t xml:space="preserve"> واحتجزوهن كفدية </w:t>
      </w:r>
      <w:r w:rsidR="00187C40">
        <w:rPr>
          <w:rStyle w:val="FootnoteReference"/>
          <w:rFonts w:cs="Traditional Arabic"/>
          <w:szCs w:val="30"/>
          <w:rtl/>
        </w:rPr>
        <w:footnoteReference w:id="1004"/>
      </w:r>
      <w:r w:rsidRPr="00930277">
        <w:rPr>
          <w:rFonts w:ascii="Traditional Arabic" w:hAnsi="Traditional Arabic" w:cs="Traditional Arabic"/>
          <w:sz w:val="30"/>
          <w:szCs w:val="30"/>
          <w:rtl/>
        </w:rPr>
        <w:t xml:space="preserve">. في حالة أخرى، اختطف جيش الحكومة اليمنية امرأة وابنها الرضيع لإجبار إرهابي مشتبه به على تسليم نفسه للسلطات، ثم تم إجبار المرأه على طلاق الشخص المشتبه به، مع ما يترتب عليها من آثار عميقة عليها </w:t>
      </w:r>
      <w:r w:rsidR="00187C40">
        <w:rPr>
          <w:rStyle w:val="FootnoteReference"/>
          <w:rFonts w:cs="Traditional Arabic"/>
          <w:szCs w:val="30"/>
          <w:rtl/>
        </w:rPr>
        <w:footnoteReference w:id="1005"/>
      </w:r>
      <w:r w:rsidRPr="00930277">
        <w:rPr>
          <w:rFonts w:ascii="Traditional Arabic" w:hAnsi="Traditional Arabic" w:cs="Traditional Arabic"/>
          <w:sz w:val="30"/>
          <w:szCs w:val="30"/>
          <w:rtl/>
        </w:rPr>
        <w:t xml:space="preserve">. إن اختطاف النساء والفتيات يعرضهن لخطر العنف الجنسي ويجلب </w:t>
      </w:r>
      <w:r w:rsidR="00A06BDB">
        <w:rPr>
          <w:rFonts w:ascii="Traditional Arabic" w:hAnsi="Traditional Arabic" w:cs="Traditional Arabic"/>
          <w:sz w:val="30"/>
          <w:szCs w:val="30"/>
          <w:rtl/>
        </w:rPr>
        <w:t>دلالات ووصمة عار معينة في اليمن</w:t>
      </w:r>
      <w:r w:rsidRPr="00930277">
        <w:rPr>
          <w:rFonts w:ascii="Traditional Arabic" w:hAnsi="Traditional Arabic" w:cs="Traditional Arabic"/>
          <w:sz w:val="30"/>
          <w:szCs w:val="30"/>
          <w:rtl/>
        </w:rPr>
        <w:t>، مما يعرضهن لمزيد من خطر العنف القائم على النوع الجنساني</w:t>
      </w:r>
      <w:r w:rsidRPr="00930277">
        <w:rPr>
          <w:rFonts w:ascii="Traditional Arabic" w:hAnsi="Traditional Arabic" w:cs="Traditional Arabic"/>
          <w:sz w:val="30"/>
          <w:szCs w:val="30"/>
        </w:rPr>
        <w:t>.</w:t>
      </w:r>
    </w:p>
    <w:p w14:paraId="7DC46477" w14:textId="17AC41E3" w:rsidR="00930277" w:rsidRPr="00930277" w:rsidRDefault="00930277" w:rsidP="007E60F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وهناك أيضا تقارير لم يتم التحقق منها عن انتهاكات أوسع نطاقا تتعلق بالاعتقال ضد النساء في مرافق الإعتقال الخاضعة لسيطرة جميع أطراف النزاع، بما في ذلك العنف الجنسي في الاعتقال. هذه التقارير تتطلب المزيد من التحقيق</w:t>
      </w:r>
      <w:r w:rsidR="00187C40">
        <w:rPr>
          <w:rStyle w:val="FootnoteReference"/>
          <w:rFonts w:cs="Traditional Arabic"/>
          <w:szCs w:val="30"/>
          <w:rtl/>
        </w:rPr>
        <w:footnoteReference w:id="1006"/>
      </w:r>
      <w:r w:rsidRPr="00930277">
        <w:rPr>
          <w:rFonts w:ascii="Traditional Arabic" w:hAnsi="Traditional Arabic" w:cs="Traditional Arabic"/>
          <w:sz w:val="30"/>
          <w:szCs w:val="30"/>
        </w:rPr>
        <w:t xml:space="preserve"> . </w:t>
      </w:r>
    </w:p>
    <w:p w14:paraId="1322ADDF" w14:textId="58CC259C" w:rsidR="00930277" w:rsidRPr="00237A3B" w:rsidRDefault="00A06BDB" w:rsidP="00A06BDB">
      <w:pPr>
        <w:pStyle w:val="Footer"/>
        <w:tabs>
          <w:tab w:val="left" w:pos="720"/>
        </w:tabs>
        <w:bidi/>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ه.  </w:t>
      </w:r>
      <w:r w:rsidR="00930277" w:rsidRPr="00237A3B">
        <w:rPr>
          <w:rFonts w:ascii="Traditional Arabic" w:hAnsi="Traditional Arabic" w:cs="Traditional Arabic"/>
          <w:b/>
          <w:bCs/>
          <w:sz w:val="30"/>
          <w:szCs w:val="30"/>
          <w:rtl/>
        </w:rPr>
        <w:t>النساء المدافعات عن حقوق الإنسان</w:t>
      </w:r>
    </w:p>
    <w:p w14:paraId="04CEB907" w14:textId="77777777" w:rsidR="00930277" w:rsidRPr="00A06BDB" w:rsidRDefault="00930277" w:rsidP="00237A3B">
      <w:pPr>
        <w:pStyle w:val="Footer"/>
        <w:tabs>
          <w:tab w:val="left" w:pos="720"/>
        </w:tabs>
        <w:bidi/>
        <w:ind w:left="1449" w:right="1089" w:hanging="90"/>
        <w:rPr>
          <w:rFonts w:ascii="Traditional Arabic" w:hAnsi="Traditional Arabic" w:cs="Traditional Arabic"/>
          <w:i/>
          <w:iCs/>
          <w:sz w:val="30"/>
          <w:szCs w:val="30"/>
          <w:rtl/>
        </w:rPr>
      </w:pPr>
      <w:r w:rsidRPr="00930277">
        <w:rPr>
          <w:rFonts w:ascii="Traditional Arabic" w:hAnsi="Traditional Arabic" w:cs="Traditional Arabic"/>
          <w:sz w:val="30"/>
          <w:szCs w:val="30"/>
        </w:rPr>
        <w:t>"</w:t>
      </w:r>
      <w:r w:rsidRPr="00A06BDB">
        <w:rPr>
          <w:rFonts w:ascii="Traditional Arabic" w:hAnsi="Traditional Arabic" w:cs="Traditional Arabic"/>
          <w:i/>
          <w:iCs/>
          <w:sz w:val="30"/>
          <w:szCs w:val="30"/>
          <w:rtl/>
        </w:rPr>
        <w:t>الشيء الذي أزعجهم حقًا هو عملي في مجال حقوق المرأة. قالوا لي أن أتوقف ، ضايقوني ثم اعتقلوني. كانت هناك أيام من الاستجوابات المستمرة والابتزاز والاتهامات بالدعاره والتهديدات ضد عائلتي. كان مؤلما عاطفيا ومرهقا. في إحدى الليالي جاء الحارس المسلح. دعاني بـ "الفتاة السيئة" بينما جردني من ملابسي واعتدى علي جنسياً بينما كنت أبكي. كانت أطول وأسوأ ليلة في حياتي</w:t>
      </w:r>
      <w:r w:rsidRPr="00A06BDB">
        <w:rPr>
          <w:rFonts w:ascii="Traditional Arabic" w:hAnsi="Traditional Arabic" w:cs="Traditional Arabic"/>
          <w:i/>
          <w:iCs/>
          <w:sz w:val="30"/>
          <w:szCs w:val="30"/>
        </w:rPr>
        <w:t xml:space="preserve"> ".</w:t>
      </w:r>
    </w:p>
    <w:p w14:paraId="099CF758" w14:textId="3D60C823" w:rsidR="00930277" w:rsidRPr="00237A3B" w:rsidRDefault="00237A3B"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b/>
          <w:bCs/>
          <w:sz w:val="30"/>
          <w:szCs w:val="30"/>
        </w:rPr>
        <w:lastRenderedPageBreak/>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Pr>
          <w:rFonts w:ascii="Traditional Arabic" w:hAnsi="Traditional Arabic" w:cs="Traditional Arabic"/>
          <w:b/>
          <w:bCs/>
          <w:sz w:val="30"/>
          <w:szCs w:val="30"/>
        </w:rPr>
        <w:tab/>
      </w:r>
      <w:r w:rsidR="00930277" w:rsidRPr="00237A3B">
        <w:rPr>
          <w:rFonts w:ascii="Traditional Arabic" w:hAnsi="Traditional Arabic" w:cs="Traditional Arabic"/>
          <w:b/>
          <w:bCs/>
          <w:sz w:val="30"/>
          <w:szCs w:val="30"/>
          <w:rtl/>
        </w:rPr>
        <w:t>مدافعة عن حقوق المرأة</w:t>
      </w:r>
      <w:r w:rsidR="00930277" w:rsidRPr="00237A3B">
        <w:rPr>
          <w:rFonts w:ascii="Traditional Arabic" w:hAnsi="Traditional Arabic" w:cs="Traditional Arabic"/>
          <w:b/>
          <w:bCs/>
          <w:sz w:val="30"/>
          <w:szCs w:val="30"/>
        </w:rPr>
        <w:t xml:space="preserve"> </w:t>
      </w:r>
      <w:r w:rsidR="00187C40">
        <w:rPr>
          <w:rStyle w:val="FootnoteReference"/>
          <w:rFonts w:cs="Traditional Arabic"/>
          <w:b/>
          <w:bCs/>
          <w:szCs w:val="30"/>
        </w:rPr>
        <w:footnoteReference w:id="1007"/>
      </w:r>
    </w:p>
    <w:p w14:paraId="0537716A" w14:textId="77777777" w:rsidR="00930277" w:rsidRPr="00930277" w:rsidRDefault="00930277" w:rsidP="00930277">
      <w:pPr>
        <w:pStyle w:val="Footer"/>
        <w:tabs>
          <w:tab w:val="left" w:pos="720"/>
        </w:tabs>
        <w:bidi/>
        <w:ind w:right="1089"/>
        <w:rPr>
          <w:rFonts w:ascii="Traditional Arabic" w:hAnsi="Traditional Arabic" w:cs="Traditional Arabic"/>
          <w:sz w:val="30"/>
          <w:szCs w:val="30"/>
          <w:rtl/>
        </w:rPr>
      </w:pPr>
    </w:p>
    <w:p w14:paraId="3B06A2FC" w14:textId="7DBFC246"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قبل أيلول/سبتمبر 2014 ، قادت النساء في اليمن المظاهرات في الشارع بالاضافة الى مطالب بالتغيير التدريجي. بحلول بداية عام 2019، توقف كل هذا تحت سيطرة وإكراه أطراف النزاع.</w:t>
      </w:r>
      <w:r w:rsidR="00187C40">
        <w:rPr>
          <w:rStyle w:val="FootnoteReference"/>
          <w:rFonts w:cs="Traditional Arabic"/>
          <w:szCs w:val="30"/>
          <w:rtl/>
        </w:rPr>
        <w:footnoteReference w:id="1008"/>
      </w:r>
      <w:r w:rsidRPr="00930277">
        <w:rPr>
          <w:rFonts w:ascii="Traditional Arabic" w:hAnsi="Traditional Arabic" w:cs="Traditional Arabic"/>
          <w:sz w:val="30"/>
          <w:szCs w:val="30"/>
          <w:rtl/>
        </w:rPr>
        <w:t xml:space="preserve">  تحقق الفريق من العديد من انتهاكات العنف القائم على النوع الجنساني بناءً على أدلة تم الحصول عليها من ما لا يقل عن 40 من الناشطات والمدافعات عن حقوق الإنسان والصحفيين ، إما استهدافهن أو زملائهن فكان على أساس النوع الجنساني أو بسبب العمل في مجال حقوق المرأة، أو تفاقمه على أساس جنساني. وشمل ذلك المضايقة الجنسية والتهديدات بالاغتصاب واتهامات الدعارة والاحتجاز والاعتداء على مكان سكن المرأه وطردها من العمل والعنف الجنسي. وقعت هذه الانتهاكات خلال الفترة 2015-2019، واستمر وقوع العديد منها على مدار عدة سنوات واستمرت منذ التقرير السابق للفريق. من بين ما ذكر، كانت 20 امرأة على قيد الحياة من هذا الاعتداء في الفترة من تموز/يوليو 2018 إلى حزيران/يونيو 2019. الانتهاكات ارتكبت من قبل جميع أطراف النزاع، ويلاحظ عادة في حالات متعدده توحد اطراف النزاع المتباينة عندما يتعلق الأمر بقمع النساء الناشطات</w:t>
      </w:r>
      <w:r w:rsidRPr="00930277">
        <w:rPr>
          <w:rFonts w:ascii="Traditional Arabic" w:hAnsi="Traditional Arabic" w:cs="Traditional Arabic"/>
          <w:sz w:val="30"/>
          <w:szCs w:val="30"/>
        </w:rPr>
        <w:t>.</w:t>
      </w:r>
      <w:r w:rsidR="00187C40">
        <w:rPr>
          <w:rStyle w:val="FootnoteReference"/>
          <w:rFonts w:cs="Traditional Arabic"/>
          <w:szCs w:val="30"/>
        </w:rPr>
        <w:footnoteReference w:id="1009"/>
      </w:r>
      <w:r w:rsidRPr="00930277">
        <w:rPr>
          <w:rFonts w:ascii="Traditional Arabic" w:hAnsi="Traditional Arabic" w:cs="Traditional Arabic"/>
          <w:sz w:val="30"/>
          <w:szCs w:val="30"/>
        </w:rPr>
        <w:t xml:space="preserve">  </w:t>
      </w:r>
    </w:p>
    <w:p w14:paraId="52574A85" w14:textId="77777777" w:rsidR="00930277" w:rsidRPr="00930277" w:rsidRDefault="00930277" w:rsidP="00237A3B">
      <w:pPr>
        <w:pStyle w:val="Footer"/>
        <w:tabs>
          <w:tab w:val="left" w:pos="720"/>
        </w:tabs>
        <w:bidi/>
        <w:ind w:left="1809" w:right="1089"/>
        <w:jc w:val="both"/>
        <w:rPr>
          <w:rFonts w:ascii="Traditional Arabic" w:hAnsi="Traditional Arabic" w:cs="Traditional Arabic"/>
          <w:sz w:val="30"/>
          <w:szCs w:val="30"/>
          <w:rtl/>
        </w:rPr>
      </w:pPr>
      <w:r w:rsidRPr="00930277">
        <w:rPr>
          <w:rFonts w:ascii="Traditional Arabic" w:hAnsi="Traditional Arabic" w:cs="Traditional Arabic"/>
          <w:sz w:val="30"/>
          <w:szCs w:val="30"/>
        </w:rPr>
        <w:t>"</w:t>
      </w:r>
      <w:r w:rsidRPr="00930277">
        <w:rPr>
          <w:rFonts w:ascii="Traditional Arabic" w:hAnsi="Traditional Arabic" w:cs="Traditional Arabic"/>
          <w:sz w:val="30"/>
          <w:szCs w:val="30"/>
          <w:rtl/>
        </w:rPr>
        <w:t>نتيجة للوقوف مع مطالبتنا بمستقبلنا، وإنهاء المجاعة ومنع الأطفال من الموت ، أصبحت أنا وعائلتي الآن عرضة لخطر الاعتقال أو القتل ، وأنا غير قادرة على التحدث إليهم. اضطررت إلى الفرار من البلاد ولا أستطيع العودة إليهم. لقد تم إيقاف تعليمي والآن اعيش كلاجئة ، أكافح من أجل إيجاد طريقة لمواصلة حياتي وتعليمي والحصول على مستقبل</w:t>
      </w:r>
      <w:r w:rsidRPr="00930277">
        <w:rPr>
          <w:rFonts w:ascii="Traditional Arabic" w:hAnsi="Traditional Arabic" w:cs="Traditional Arabic"/>
          <w:sz w:val="30"/>
          <w:szCs w:val="30"/>
        </w:rPr>
        <w:t xml:space="preserve"> ".</w:t>
      </w:r>
    </w:p>
    <w:p w14:paraId="79D2C26E" w14:textId="1B0AEEE9" w:rsidR="00930277" w:rsidRPr="00237A3B" w:rsidRDefault="00187C40" w:rsidP="00A06BDB">
      <w:pPr>
        <w:pStyle w:val="Footer"/>
        <w:tabs>
          <w:tab w:val="left" w:pos="720"/>
        </w:tabs>
        <w:bidi/>
        <w:spacing w:after="240"/>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sidR="00A06BDB">
        <w:rPr>
          <w:rFonts w:ascii="Traditional Arabic" w:hAnsi="Traditional Arabic" w:cs="Traditional Arabic" w:hint="cs"/>
          <w:sz w:val="30"/>
          <w:szCs w:val="30"/>
          <w:rtl/>
        </w:rPr>
        <w:t>إ</w:t>
      </w:r>
      <w:r w:rsidR="00930277" w:rsidRPr="00237A3B">
        <w:rPr>
          <w:rFonts w:ascii="Traditional Arabic" w:hAnsi="Traditional Arabic" w:cs="Traditional Arabic"/>
          <w:b/>
          <w:bCs/>
          <w:sz w:val="30"/>
          <w:szCs w:val="30"/>
          <w:rtl/>
        </w:rPr>
        <w:t>مرأة تبلغ من العمر 18 عامًا، شاركت في مظاهرات</w:t>
      </w:r>
      <w:r w:rsidR="00A06BDB">
        <w:rPr>
          <w:rFonts w:ascii="Traditional Arabic" w:hAnsi="Traditional Arabic" w:cs="Traditional Arabic" w:hint="cs"/>
          <w:b/>
          <w:bCs/>
          <w:sz w:val="30"/>
          <w:szCs w:val="30"/>
          <w:rtl/>
        </w:rPr>
        <w:t xml:space="preserve"> </w:t>
      </w:r>
      <w:r w:rsidR="00930277" w:rsidRPr="00237A3B">
        <w:rPr>
          <w:rFonts w:ascii="Traditional Arabic" w:hAnsi="Traditional Arabic" w:cs="Traditional Arabic"/>
          <w:b/>
          <w:bCs/>
          <w:sz w:val="30"/>
          <w:szCs w:val="30"/>
          <w:rtl/>
        </w:rPr>
        <w:t>6 تشرين الاول/أكتوبر 2018</w:t>
      </w:r>
      <w:r w:rsidR="00930277" w:rsidRPr="00237A3B">
        <w:rPr>
          <w:rFonts w:ascii="Traditional Arabic" w:hAnsi="Traditional Arabic" w:cs="Traditional Arabic"/>
          <w:b/>
          <w:bCs/>
          <w:sz w:val="30"/>
          <w:szCs w:val="30"/>
        </w:rPr>
        <w:t xml:space="preserve"> </w:t>
      </w:r>
      <w:r>
        <w:rPr>
          <w:rStyle w:val="FootnoteReference"/>
          <w:rFonts w:cs="Traditional Arabic"/>
          <w:b/>
          <w:bCs/>
          <w:szCs w:val="30"/>
        </w:rPr>
        <w:footnoteReference w:id="1010"/>
      </w:r>
      <w:r w:rsidR="00930277" w:rsidRPr="00237A3B">
        <w:rPr>
          <w:rFonts w:ascii="Traditional Arabic" w:hAnsi="Traditional Arabic" w:cs="Traditional Arabic"/>
          <w:b/>
          <w:bCs/>
          <w:sz w:val="30"/>
          <w:szCs w:val="30"/>
        </w:rPr>
        <w:t xml:space="preserve"> </w:t>
      </w:r>
    </w:p>
    <w:p w14:paraId="17CD0FD2" w14:textId="4EC37AF3"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وفي العديد من الحالات ، قدمت النساء أدلة على حدوث انتهاكات في سلسلة من المظاهرات التي تقودها النساء ضد سلطات الأمر الواقع في صنعاء. حدث ذلك خلال ما لا يقل عن خمسة مظاهرات في عام 2017 واثنان على الأقل في عام 2018 ، حيث تعرضت ما يزيد عن 300 امرأة وفتاة للعنف والترهيب، بما في ذلك كشف النقاب من قبل سلطات الأمر الواقع، وتفاقمت بسبب تهديدات الاغتصاب والاعتداء الجنسي واتهامات بالدعاره</w:t>
      </w:r>
      <w:r w:rsidRPr="00930277">
        <w:rPr>
          <w:rFonts w:ascii="Traditional Arabic" w:hAnsi="Traditional Arabic" w:cs="Traditional Arabic"/>
          <w:sz w:val="30"/>
          <w:szCs w:val="30"/>
        </w:rPr>
        <w:t xml:space="preserve"> . </w:t>
      </w:r>
      <w:r w:rsidR="00187C40">
        <w:rPr>
          <w:rStyle w:val="FootnoteReference"/>
          <w:rFonts w:cs="Traditional Arabic"/>
          <w:szCs w:val="30"/>
        </w:rPr>
        <w:footnoteReference w:id="1011"/>
      </w:r>
    </w:p>
    <w:p w14:paraId="30E4B8B1" w14:textId="134ABD71"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lastRenderedPageBreak/>
        <w:t>تم تنظيم مظاهرتين في عدن من قبل أقارب المحتجزات للإفراج عن أفراد عائلاتهم، المظاهره الاولى في عام 2017 والثانيه في عام 2019 ، قوبلت المظاهرتين بالعنف من قبل قوات الحزام الأمني</w:t>
      </w:r>
      <w:r w:rsidRPr="00930277">
        <w:rPr>
          <w:rFonts w:ascii="Traditional Arabic" w:hAnsi="Traditional Arabic" w:cs="Traditional Arabic"/>
          <w:sz w:val="30"/>
          <w:szCs w:val="30"/>
        </w:rPr>
        <w:t xml:space="preserve">.  </w:t>
      </w:r>
      <w:r w:rsidR="00187C40">
        <w:rPr>
          <w:rStyle w:val="FootnoteReference"/>
          <w:rFonts w:cs="Traditional Arabic"/>
          <w:szCs w:val="30"/>
        </w:rPr>
        <w:footnoteReference w:id="1012"/>
      </w:r>
    </w:p>
    <w:p w14:paraId="518E2A21" w14:textId="45BEE81E" w:rsidR="00930277" w:rsidRPr="00930277" w:rsidRDefault="00930277" w:rsidP="00C9719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تلق الفريق أيضًا تقارير عن وجود اتجاه ناشئ للسلطات القائمة بحكم الأمر الواقع، حيث احتجزت عددًا كبيرًا من النساء على أساس انتمائهن السياسي أو معارضة ملموسه، وتم استخدام التهم الرسمية المتمثلة في الدعارة "لإضفاء الشرعية" على هذا الأمر ومنع النساء الاخريات من  المشاركة السياسية. تمكنت المجموعة من التحقق من حالة واحدة لامرأة ظلت مختفية لأكثر من ثمانية أشهر بهذه الطريقة، وكانت لهذه التهم عواقب وخيمة على أسرتها.</w:t>
      </w:r>
      <w:r w:rsidR="00187C40">
        <w:rPr>
          <w:rStyle w:val="FootnoteReference"/>
          <w:rFonts w:cs="Traditional Arabic"/>
          <w:szCs w:val="30"/>
          <w:rtl/>
        </w:rPr>
        <w:footnoteReference w:id="1013"/>
      </w:r>
      <w:r w:rsidRPr="00930277">
        <w:rPr>
          <w:rFonts w:ascii="Traditional Arabic" w:hAnsi="Traditional Arabic" w:cs="Traditional Arabic"/>
          <w:sz w:val="30"/>
          <w:szCs w:val="30"/>
          <w:rtl/>
        </w:rPr>
        <w:t xml:space="preserve">  وحقق الفريق في قضية أخرى من هذا القبيل وصفت فيها امرأة تعرضها للاغتصاب في مناسبات متعددة على مدى أشهر بعد محاضرات مؤيدة للحوثيين ومحاضرات عن الدين. ووصفت أن الشيء نفسه حدث مع ناشطات أخريات، وذكرت أن هذه </w:t>
      </w:r>
      <w:r w:rsidR="00C9719F">
        <w:rPr>
          <w:rFonts w:ascii="Traditional Arabic" w:hAnsi="Traditional Arabic" w:cs="Traditional Arabic" w:hint="cs"/>
          <w:sz w:val="30"/>
          <w:szCs w:val="30"/>
          <w:rtl/>
        </w:rPr>
        <w:t xml:space="preserve">الاعتداءات </w:t>
      </w:r>
      <w:r w:rsidRPr="00930277">
        <w:rPr>
          <w:rFonts w:ascii="Traditional Arabic" w:hAnsi="Traditional Arabic" w:cs="Traditional Arabic"/>
          <w:sz w:val="30"/>
          <w:szCs w:val="30"/>
          <w:rtl/>
        </w:rPr>
        <w:t>تحدث داخل شبكة أوسع من المنشآت السرية التي تحدث فيها هذه الممارسات</w:t>
      </w:r>
      <w:r w:rsidRPr="00930277">
        <w:rPr>
          <w:rFonts w:ascii="Traditional Arabic" w:hAnsi="Traditional Arabic" w:cs="Traditional Arabic"/>
          <w:sz w:val="30"/>
          <w:szCs w:val="30"/>
        </w:rPr>
        <w:t>.</w:t>
      </w:r>
      <w:r w:rsidR="00187C40">
        <w:rPr>
          <w:rStyle w:val="FootnoteReference"/>
          <w:rFonts w:cs="Traditional Arabic"/>
          <w:szCs w:val="30"/>
        </w:rPr>
        <w:footnoteReference w:id="1014"/>
      </w:r>
    </w:p>
    <w:p w14:paraId="675DDB95" w14:textId="35382656" w:rsidR="00930277" w:rsidRPr="00930277" w:rsidRDefault="00930277" w:rsidP="00304B0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كان للانتهاكات التي ارتكبتها أطراف النزاع رداً على أعمال</w:t>
      </w:r>
      <w:r w:rsidR="00C9719F">
        <w:rPr>
          <w:rFonts w:ascii="Traditional Arabic" w:hAnsi="Traditional Arabic" w:cs="Traditional Arabic" w:hint="cs"/>
          <w:sz w:val="30"/>
          <w:szCs w:val="30"/>
          <w:rtl/>
        </w:rPr>
        <w:t xml:space="preserve"> النساء</w:t>
      </w:r>
      <w:r w:rsidRPr="00930277">
        <w:rPr>
          <w:rFonts w:ascii="Traditional Arabic" w:hAnsi="Traditional Arabic" w:cs="Traditional Arabic"/>
          <w:sz w:val="30"/>
          <w:szCs w:val="30"/>
          <w:rtl/>
        </w:rPr>
        <w:t xml:space="preserve"> المتعلقه بممارسة الحق في حرية التعبير وحرية التجمع، عواقب وخيمة على حقوق المرأة، وأدت إلى إحداث تأثير مخيف</w:t>
      </w:r>
      <w:r w:rsidR="00304B0E">
        <w:rPr>
          <w:rFonts w:ascii="Traditional Arabic" w:hAnsi="Traditional Arabic" w:cs="Traditional Arabic" w:hint="cs"/>
          <w:sz w:val="30"/>
          <w:szCs w:val="30"/>
          <w:rtl/>
        </w:rPr>
        <w:t xml:space="preserve"> وإلى</w:t>
      </w:r>
      <w:r w:rsidRPr="00930277">
        <w:rPr>
          <w:rFonts w:ascii="Traditional Arabic" w:hAnsi="Traditional Arabic" w:cs="Traditional Arabic"/>
          <w:sz w:val="30"/>
          <w:szCs w:val="30"/>
          <w:rtl/>
        </w:rPr>
        <w:t xml:space="preserve"> وقف المظاهرات الناشئة التي تقودها النساء في صنعاء وعدن</w:t>
      </w:r>
      <w:r w:rsidRPr="00930277">
        <w:rPr>
          <w:rFonts w:ascii="Traditional Arabic" w:hAnsi="Traditional Arabic" w:cs="Traditional Arabic"/>
          <w:sz w:val="30"/>
          <w:szCs w:val="30"/>
        </w:rPr>
        <w:t>.</w:t>
      </w:r>
    </w:p>
    <w:p w14:paraId="0D094E17" w14:textId="5344D228" w:rsidR="00930277" w:rsidRPr="00237A3B" w:rsidRDefault="00A06BDB" w:rsidP="00A06BDB">
      <w:pPr>
        <w:pStyle w:val="Footer"/>
        <w:tabs>
          <w:tab w:val="left" w:pos="720"/>
        </w:tabs>
        <w:bidi/>
        <w:ind w:left="720" w:right="1089"/>
        <w:rPr>
          <w:rFonts w:ascii="Traditional Arabic" w:hAnsi="Traditional Arabic" w:cs="Traditional Arabic"/>
          <w:b/>
          <w:bCs/>
          <w:sz w:val="30"/>
          <w:szCs w:val="30"/>
          <w:rtl/>
        </w:rPr>
      </w:pPr>
      <w:r>
        <w:rPr>
          <w:rFonts w:ascii="Traditional Arabic" w:hAnsi="Traditional Arabic" w:cs="Traditional Arabic" w:hint="cs"/>
          <w:b/>
          <w:bCs/>
          <w:sz w:val="30"/>
          <w:szCs w:val="30"/>
          <w:rtl/>
        </w:rPr>
        <w:t xml:space="preserve">و.  </w:t>
      </w:r>
      <w:r w:rsidR="00930277" w:rsidRPr="00237A3B">
        <w:rPr>
          <w:rFonts w:ascii="Traditional Arabic" w:hAnsi="Traditional Arabic" w:cs="Traditional Arabic"/>
          <w:b/>
          <w:bCs/>
          <w:sz w:val="30"/>
          <w:szCs w:val="30"/>
          <w:rtl/>
        </w:rPr>
        <w:t>التأثير على الضحية</w:t>
      </w:r>
    </w:p>
    <w:p w14:paraId="22DF66E1" w14:textId="77777777" w:rsidR="00930277" w:rsidRPr="00237A3B" w:rsidRDefault="00930277" w:rsidP="00237A3B">
      <w:pPr>
        <w:pStyle w:val="Footer"/>
        <w:tabs>
          <w:tab w:val="left" w:pos="720"/>
        </w:tabs>
        <w:bidi/>
        <w:ind w:left="1539" w:right="1089"/>
        <w:rPr>
          <w:rFonts w:ascii="Traditional Arabic" w:hAnsi="Traditional Arabic" w:cs="Traditional Arabic"/>
          <w:i/>
          <w:iCs/>
          <w:sz w:val="30"/>
          <w:szCs w:val="30"/>
          <w:rtl/>
        </w:rPr>
      </w:pPr>
      <w:r w:rsidRPr="00930277">
        <w:rPr>
          <w:rFonts w:ascii="Traditional Arabic" w:hAnsi="Traditional Arabic" w:cs="Traditional Arabic"/>
          <w:sz w:val="30"/>
          <w:szCs w:val="30"/>
        </w:rPr>
        <w:t>"</w:t>
      </w:r>
      <w:r w:rsidRPr="00237A3B">
        <w:rPr>
          <w:rFonts w:ascii="Traditional Arabic" w:hAnsi="Traditional Arabic" w:cs="Traditional Arabic"/>
          <w:i/>
          <w:iCs/>
          <w:sz w:val="30"/>
          <w:szCs w:val="30"/>
          <w:rtl/>
        </w:rPr>
        <w:t>لدي ندوب نفسية. ما زلت أعاني من توتر ما بعد الصدمة وتفكك ذهني وعقلي. بعد مرور أكثر من عام ، ما زلت أشعر بألم في ضلعي عند الذهاب إلى المرحاض، ولا يبدو أن أعضائي تعمل بشكل طبيعي. أنا أيضا مصاب بصدمة نفسية. لم أتمكن مطلقًا من الذهاب إلى الطبيب دون علم أسرتي</w:t>
      </w:r>
      <w:r w:rsidRPr="00237A3B">
        <w:rPr>
          <w:rFonts w:ascii="Traditional Arabic" w:hAnsi="Traditional Arabic" w:cs="Traditional Arabic"/>
          <w:i/>
          <w:iCs/>
          <w:sz w:val="30"/>
          <w:szCs w:val="30"/>
        </w:rPr>
        <w:t>. "</w:t>
      </w:r>
    </w:p>
    <w:p w14:paraId="6F7A93BC" w14:textId="5D2A358E" w:rsidR="00930277" w:rsidRPr="00237A3B" w:rsidRDefault="00237A3B" w:rsidP="00930277">
      <w:pPr>
        <w:pStyle w:val="Footer"/>
        <w:tabs>
          <w:tab w:val="left" w:pos="720"/>
        </w:tabs>
        <w:bidi/>
        <w:ind w:right="1089"/>
        <w:rPr>
          <w:rFonts w:ascii="Traditional Arabic" w:hAnsi="Traditional Arabic" w:cs="Traditional Arabic"/>
          <w:b/>
          <w:bCs/>
          <w:sz w:val="30"/>
          <w:szCs w:val="30"/>
          <w:rtl/>
        </w:rPr>
      </w:pP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Pr>
          <w:rFonts w:ascii="Traditional Arabic" w:hAnsi="Traditional Arabic" w:cs="Traditional Arabic"/>
          <w:sz w:val="30"/>
          <w:szCs w:val="30"/>
        </w:rPr>
        <w:tab/>
      </w:r>
      <w:r w:rsidR="00930277" w:rsidRPr="00237A3B">
        <w:rPr>
          <w:rFonts w:ascii="Traditional Arabic" w:hAnsi="Traditional Arabic" w:cs="Traditional Arabic"/>
          <w:b/>
          <w:bCs/>
          <w:sz w:val="30"/>
          <w:szCs w:val="30"/>
          <w:rtl/>
        </w:rPr>
        <w:t>معتقل سابق</w:t>
      </w:r>
      <w:r w:rsidR="00187C40">
        <w:rPr>
          <w:rStyle w:val="FootnoteReference"/>
          <w:rFonts w:cs="Traditional Arabic"/>
          <w:b/>
          <w:bCs/>
          <w:szCs w:val="30"/>
          <w:rtl/>
        </w:rPr>
        <w:footnoteReference w:id="1015"/>
      </w:r>
      <w:r w:rsidR="00930277" w:rsidRPr="00237A3B">
        <w:rPr>
          <w:rFonts w:ascii="Traditional Arabic" w:hAnsi="Traditional Arabic" w:cs="Traditional Arabic"/>
          <w:b/>
          <w:bCs/>
          <w:sz w:val="30"/>
          <w:szCs w:val="30"/>
        </w:rPr>
        <w:t xml:space="preserve"> </w:t>
      </w:r>
    </w:p>
    <w:p w14:paraId="3E207974" w14:textId="5EDDFC04"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تعرض الناجون من العنف الجنسي لصدمة شديدة وتدهور في الصحة العقلية والاكتئاب والتفكير بالانتحار وإصابات طويلة الأجل للأعضاء التناسلية والأعضاء الداخلية وغيرها من الأذى الجسدي الخطير. في إحدى الحالات تم تعذيب أحد الناجين من الاغتصاب حتى الموت</w:t>
      </w:r>
      <w:r w:rsidRPr="00930277">
        <w:rPr>
          <w:rFonts w:ascii="Traditional Arabic" w:hAnsi="Traditional Arabic" w:cs="Traditional Arabic"/>
          <w:sz w:val="30"/>
          <w:szCs w:val="30"/>
        </w:rPr>
        <w:t>.</w:t>
      </w:r>
    </w:p>
    <w:p w14:paraId="118A454C" w14:textId="6007DC32"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وفي اليمن، كانت وصمة العار بالنسبة للناجين وافرد عائلاتهم تشكل مصدر قلق بالغ. إن الكشف عن مثل هذا العنف يهدد بأن يتم نبذهم من قبل العائلات ، وأن يتعرض أفراد الأسرة للضحية مرة أخرى. في كثير من الحالات ، لم يتمكن الناجون من الكشف عن العنف لأي شخص بسبب وصمة العار والخوف من الانتقام، وقد وفر الفريق الفرصة الأولى لهم للقيام بذلك</w:t>
      </w:r>
      <w:r w:rsidRPr="00930277">
        <w:rPr>
          <w:rFonts w:ascii="Traditional Arabic" w:hAnsi="Traditional Arabic" w:cs="Traditional Arabic"/>
          <w:sz w:val="30"/>
          <w:szCs w:val="30"/>
        </w:rPr>
        <w:t xml:space="preserve">.  </w:t>
      </w:r>
      <w:r w:rsidR="00187C40">
        <w:rPr>
          <w:rStyle w:val="FootnoteReference"/>
          <w:rFonts w:cs="Traditional Arabic"/>
          <w:szCs w:val="30"/>
        </w:rPr>
        <w:footnoteReference w:id="1016"/>
      </w:r>
    </w:p>
    <w:p w14:paraId="36B856B8" w14:textId="0ACFD722"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lastRenderedPageBreak/>
        <w:t xml:space="preserve"> </w:t>
      </w:r>
      <w:r w:rsidRPr="00930277">
        <w:rPr>
          <w:rFonts w:ascii="Traditional Arabic" w:hAnsi="Traditional Arabic" w:cs="Traditional Arabic"/>
          <w:sz w:val="30"/>
          <w:szCs w:val="30"/>
          <w:rtl/>
        </w:rPr>
        <w:t xml:space="preserve">قوبل الذين سعوا إلى المقاضاة باللامبالاة والانتقام وعدم الانصاف </w:t>
      </w:r>
      <w:r w:rsidR="00187C40">
        <w:rPr>
          <w:rStyle w:val="FootnoteReference"/>
          <w:rFonts w:cs="Traditional Arabic"/>
          <w:szCs w:val="30"/>
          <w:rtl/>
        </w:rPr>
        <w:footnoteReference w:id="1017"/>
      </w:r>
      <w:r w:rsidRPr="00930277">
        <w:rPr>
          <w:rFonts w:ascii="Traditional Arabic" w:hAnsi="Traditional Arabic" w:cs="Traditional Arabic"/>
          <w:sz w:val="30"/>
          <w:szCs w:val="30"/>
          <w:rtl/>
        </w:rPr>
        <w:t xml:space="preserve"> . في حالة الناجين من المجتمعات المهمشة ، قد يكون وضعهم عاملاً في رفض الأطراف للتحقيق في القضايا وملاحقتها. لم يُحاسب اي من مرتكبي جرائم أعمال العنف الجنسي التي تم توثيقها في تقارير فريق الخبراء</w:t>
      </w:r>
      <w:r w:rsidRPr="00930277">
        <w:rPr>
          <w:rFonts w:ascii="Traditional Arabic" w:hAnsi="Traditional Arabic" w:cs="Traditional Arabic"/>
          <w:sz w:val="30"/>
          <w:szCs w:val="30"/>
        </w:rPr>
        <w:t>.</w:t>
      </w:r>
    </w:p>
    <w:p w14:paraId="2882BC4F" w14:textId="35CDF3D9"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كما أخبر الناجون الفريق بانهم لم يتمكنوا من الوصول إلى الدعم النفسي الاجتماعي </w:t>
      </w:r>
      <w:r w:rsidR="00187C40">
        <w:rPr>
          <w:rStyle w:val="FootnoteReference"/>
          <w:rFonts w:cs="Traditional Arabic"/>
          <w:szCs w:val="30"/>
          <w:rtl/>
        </w:rPr>
        <w:footnoteReference w:id="1018"/>
      </w:r>
      <w:r w:rsidRPr="00930277">
        <w:rPr>
          <w:rFonts w:ascii="Traditional Arabic" w:hAnsi="Traditional Arabic" w:cs="Traditional Arabic"/>
          <w:sz w:val="30"/>
          <w:szCs w:val="30"/>
          <w:rtl/>
        </w:rPr>
        <w:t>. وذكر أحد الناجين أنه لم يستطع القيام بذلك بسبب عدم وجود خدمات   للعنف الجنسي خاصة بالرجال</w:t>
      </w:r>
      <w:r w:rsidR="00187C40">
        <w:rPr>
          <w:rStyle w:val="FootnoteReference"/>
          <w:rFonts w:cs="Traditional Arabic"/>
          <w:szCs w:val="30"/>
          <w:rtl/>
        </w:rPr>
        <w:footnoteReference w:id="1019"/>
      </w:r>
      <w:r w:rsidRPr="00930277">
        <w:rPr>
          <w:rFonts w:ascii="Traditional Arabic" w:hAnsi="Traditional Arabic" w:cs="Traditional Arabic"/>
          <w:sz w:val="30"/>
          <w:szCs w:val="30"/>
          <w:rtl/>
        </w:rPr>
        <w:t>. بموافقة الناجين، تمكن الفريق من إحالة 11 شخصا من الناجين للحصول على الدعم النفسي والاجتماعي. ودعا بعض الناجين إلى الحصول على تعويضات مالية ، مشيرين إلى أنه على الرغم من أنه لا يمكن أن يعوضهم بالكامل، إلا أنه سيساعد على إعادة بناء حياتهم وحياة أسرهم</w:t>
      </w:r>
      <w:r w:rsidRPr="00930277">
        <w:rPr>
          <w:rFonts w:ascii="Traditional Arabic" w:hAnsi="Traditional Arabic" w:cs="Traditional Arabic"/>
          <w:sz w:val="30"/>
          <w:szCs w:val="30"/>
        </w:rPr>
        <w:t>.</w:t>
      </w:r>
      <w:r w:rsidR="00267A0A">
        <w:rPr>
          <w:rStyle w:val="FootnoteReference"/>
          <w:rFonts w:cs="Traditional Arabic"/>
          <w:szCs w:val="30"/>
        </w:rPr>
        <w:footnoteReference w:id="1020"/>
      </w:r>
      <w:r w:rsidRPr="00930277">
        <w:rPr>
          <w:rFonts w:ascii="Traditional Arabic" w:hAnsi="Traditional Arabic" w:cs="Traditional Arabic"/>
          <w:sz w:val="30"/>
          <w:szCs w:val="30"/>
        </w:rPr>
        <w:t xml:space="preserve">  </w:t>
      </w:r>
    </w:p>
    <w:p w14:paraId="30585D99" w14:textId="45B95F09" w:rsidR="00930277" w:rsidRPr="00237A3B" w:rsidRDefault="00930277" w:rsidP="00E25F5D">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237A3B">
        <w:rPr>
          <w:rFonts w:ascii="Traditional Arabic" w:hAnsi="Traditional Arabic" w:cs="Traditional Arabic"/>
          <w:b/>
          <w:bCs/>
          <w:sz w:val="30"/>
          <w:szCs w:val="30"/>
          <w:rtl/>
        </w:rPr>
        <w:t>التأثير على المشاركة السياسية</w:t>
      </w:r>
    </w:p>
    <w:p w14:paraId="490B7752" w14:textId="03247C47"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tl/>
        </w:rPr>
        <w:t xml:space="preserve">هناك تقاليد قوية باليمن فيما يتعلق بالناشطات والقائدات على جميع مستويات المجتمع. إن إدراك مشاركتهن الكاملة كعاملات للعدالة والتغيير أمر أساسي لتحقيق العدالة للجميع ومنع النزاعات في المستقبل </w:t>
      </w:r>
      <w:r w:rsidR="00267A0A">
        <w:rPr>
          <w:rStyle w:val="FootnoteReference"/>
          <w:rFonts w:cs="Traditional Arabic"/>
          <w:szCs w:val="30"/>
          <w:rtl/>
        </w:rPr>
        <w:footnoteReference w:id="1021"/>
      </w:r>
      <w:r w:rsidRPr="00930277">
        <w:rPr>
          <w:rFonts w:ascii="Traditional Arabic" w:hAnsi="Traditional Arabic" w:cs="Traditional Arabic"/>
          <w:sz w:val="30"/>
          <w:szCs w:val="30"/>
          <w:rtl/>
        </w:rPr>
        <w:t>. تلقى فريق الخبراء تقارير من الناشطات والقيادات تدرك أن إنشاء المجموعة الاستشارية النسائية</w:t>
      </w:r>
      <w:r w:rsidRPr="00930277">
        <w:rPr>
          <w:rFonts w:ascii="Traditional Arabic" w:hAnsi="Traditional Arabic" w:cs="Traditional Arabic"/>
          <w:sz w:val="30"/>
          <w:szCs w:val="30"/>
        </w:rPr>
        <w:t xml:space="preserve"> (WAG) </w:t>
      </w:r>
      <w:r w:rsidRPr="00930277">
        <w:rPr>
          <w:rFonts w:ascii="Traditional Arabic" w:hAnsi="Traditional Arabic" w:cs="Traditional Arabic"/>
          <w:sz w:val="30"/>
          <w:szCs w:val="30"/>
          <w:rtl/>
        </w:rPr>
        <w:t>لعملية السلام التي تقودها الأمم المتحدة كان خطوة مهمة في عملية لا يزال يسيطر عليها الرجال ، رغم ان هذه المجموعه تلعب دورًا استشاريًا فقط</w:t>
      </w:r>
      <w:r w:rsidRPr="00930277">
        <w:rPr>
          <w:rFonts w:ascii="Traditional Arabic" w:hAnsi="Traditional Arabic" w:cs="Traditional Arabic"/>
          <w:sz w:val="30"/>
          <w:szCs w:val="30"/>
        </w:rPr>
        <w:t>.</w:t>
      </w:r>
      <w:r w:rsidR="00267A0A">
        <w:rPr>
          <w:rStyle w:val="FootnoteReference"/>
          <w:rFonts w:cs="Traditional Arabic"/>
          <w:szCs w:val="30"/>
        </w:rPr>
        <w:footnoteReference w:id="1022"/>
      </w:r>
      <w:r w:rsidRPr="00930277">
        <w:rPr>
          <w:rFonts w:ascii="Traditional Arabic" w:hAnsi="Traditional Arabic" w:cs="Traditional Arabic"/>
          <w:sz w:val="30"/>
          <w:szCs w:val="30"/>
        </w:rPr>
        <w:t xml:space="preserve">  </w:t>
      </w:r>
    </w:p>
    <w:p w14:paraId="47F81C4C" w14:textId="3473086B" w:rsidR="00930277" w:rsidRPr="00930277" w:rsidRDefault="00930277" w:rsidP="00237A3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في مواجهة الاتجاه العام لقمع المدافعات عن حقوق المرأة وتقليص مساحة المشاركة السياسية، بغض النظر عن الاطراف المتنازعه، تمكنت بعض النساء من اغتنام مساحات محدودة ولكن حاسمة للمشاركة السياسية. اتخذت النساء زمام المبادرة في التوسط للإفراج عن مئات المعتقلين على المستوى المحلي والاستراتيجي حيث فشلت الأطراف المتنازعه في ذلك </w:t>
      </w:r>
      <w:r w:rsidR="00267A0A">
        <w:rPr>
          <w:rStyle w:val="FootnoteReference"/>
          <w:rFonts w:cs="Traditional Arabic"/>
          <w:szCs w:val="30"/>
          <w:rtl/>
        </w:rPr>
        <w:footnoteReference w:id="1023"/>
      </w:r>
      <w:r w:rsidRPr="00930277">
        <w:rPr>
          <w:rFonts w:ascii="Traditional Arabic" w:hAnsi="Traditional Arabic" w:cs="Traditional Arabic"/>
          <w:sz w:val="30"/>
          <w:szCs w:val="30"/>
          <w:rtl/>
        </w:rPr>
        <w:t>. تلعب مجموعات التضامن التي تقودها النساء والشبكات المجتمعية والمنظمات غير الحكومية المحلية على المستوى الشعبي دورًا رئيسيًا في الوساطة في النزاعات والحماية والأدوار الإنسانية</w:t>
      </w:r>
      <w:r w:rsidRPr="00930277">
        <w:rPr>
          <w:rFonts w:ascii="Traditional Arabic" w:hAnsi="Traditional Arabic" w:cs="Traditional Arabic"/>
          <w:sz w:val="30"/>
          <w:szCs w:val="30"/>
        </w:rPr>
        <w:t>.</w:t>
      </w:r>
      <w:r w:rsidR="00267A0A">
        <w:rPr>
          <w:rStyle w:val="FootnoteReference"/>
          <w:rFonts w:cs="Traditional Arabic"/>
          <w:szCs w:val="30"/>
        </w:rPr>
        <w:footnoteReference w:id="1024"/>
      </w:r>
      <w:r w:rsidRPr="00930277">
        <w:rPr>
          <w:rFonts w:ascii="Traditional Arabic" w:hAnsi="Traditional Arabic" w:cs="Traditional Arabic"/>
          <w:sz w:val="30"/>
          <w:szCs w:val="30"/>
        </w:rPr>
        <w:t xml:space="preserve">  </w:t>
      </w:r>
    </w:p>
    <w:p w14:paraId="52B66B55" w14:textId="3A482662" w:rsidR="00930277" w:rsidRPr="00930277" w:rsidRDefault="00930277" w:rsidP="005A36A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وقبل الصراع ، في الفترة 2011-2014 ، قادت النساء والفتيات مطالب التغيير المجتمعي التدريجي لجميع اليمنيين. شاركت النساء في مؤتمر الحوار </w:t>
      </w:r>
      <w:r w:rsidRPr="00930277">
        <w:rPr>
          <w:rFonts w:ascii="Traditional Arabic" w:hAnsi="Traditional Arabic" w:cs="Traditional Arabic"/>
          <w:sz w:val="30"/>
          <w:szCs w:val="30"/>
          <w:rtl/>
        </w:rPr>
        <w:lastRenderedPageBreak/>
        <w:t>الوطني</w:t>
      </w:r>
      <w:r w:rsidRPr="00930277">
        <w:rPr>
          <w:rFonts w:ascii="Traditional Arabic" w:hAnsi="Traditional Arabic" w:cs="Traditional Arabic"/>
          <w:sz w:val="30"/>
          <w:szCs w:val="30"/>
        </w:rPr>
        <w:t xml:space="preserve"> (NDC) </w:t>
      </w:r>
      <w:r w:rsidRPr="00930277">
        <w:rPr>
          <w:rFonts w:ascii="Traditional Arabic" w:hAnsi="Traditional Arabic" w:cs="Traditional Arabic"/>
          <w:sz w:val="30"/>
          <w:szCs w:val="30"/>
          <w:rtl/>
        </w:rPr>
        <w:t>وفي مفاوضات مباشرة مع أولئك الذين سعوا للحفاظ على العادات التمييزية. لقد لعبت المرأه دورا بارزاً في اعداد مسودة دستور عام 2015 وساهمت في الغاء أجزاء من قانون الأحوال الشخصية، وقوننت حقوق المساواه، وفرضت حداً أدنى لسن الزواج و وأقرت كوته نسائيه 30</w:t>
      </w:r>
      <w:r w:rsidR="00F07C8C">
        <w:rPr>
          <w:rFonts w:ascii="Traditional Arabic" w:hAnsi="Traditional Arabic" w:cs="Traditional Arabic" w:hint="cs"/>
          <w:sz w:val="30"/>
          <w:szCs w:val="30"/>
          <w:rtl/>
        </w:rPr>
        <w:t xml:space="preserve"> بالمئة</w:t>
      </w:r>
      <w:r w:rsidRPr="00930277">
        <w:rPr>
          <w:rFonts w:ascii="Traditional Arabic" w:hAnsi="Traditional Arabic" w:cs="Traditional Arabic"/>
          <w:sz w:val="30"/>
          <w:szCs w:val="30"/>
          <w:rtl/>
        </w:rPr>
        <w:t xml:space="preserve"> في الحكومة. تظل هذه الأحكام غير منفذة من قبل أطراف النزاع. </w:t>
      </w:r>
      <w:r w:rsidR="00267A0A">
        <w:rPr>
          <w:rStyle w:val="FootnoteReference"/>
          <w:rFonts w:cs="Traditional Arabic"/>
          <w:szCs w:val="30"/>
          <w:rtl/>
        </w:rPr>
        <w:footnoteReference w:id="1025"/>
      </w:r>
      <w:r w:rsidRPr="00930277">
        <w:rPr>
          <w:rFonts w:ascii="Traditional Arabic" w:hAnsi="Traditional Arabic" w:cs="Traditional Arabic"/>
          <w:sz w:val="30"/>
          <w:szCs w:val="30"/>
          <w:rtl/>
        </w:rPr>
        <w:t xml:space="preserve"> في عام 2019، قام أحد الشهود الذين قاموا أيضًا بالمشاركة بمؤتمر الحوار الوطني بإبلاغ الفريق بما يلي</w:t>
      </w:r>
      <w:r w:rsidRPr="00930277">
        <w:rPr>
          <w:rFonts w:ascii="Traditional Arabic" w:hAnsi="Traditional Arabic" w:cs="Traditional Arabic"/>
          <w:sz w:val="30"/>
          <w:szCs w:val="30"/>
        </w:rPr>
        <w:t>.</w:t>
      </w:r>
    </w:p>
    <w:p w14:paraId="08270214" w14:textId="77777777" w:rsidR="00930277" w:rsidRPr="00237A3B" w:rsidRDefault="00930277" w:rsidP="00237A3B">
      <w:pPr>
        <w:pStyle w:val="Footer"/>
        <w:tabs>
          <w:tab w:val="left" w:pos="720"/>
          <w:tab w:val="right" w:pos="1899"/>
        </w:tabs>
        <w:bidi/>
        <w:ind w:left="1539" w:right="1089" w:hanging="90"/>
        <w:rPr>
          <w:rFonts w:ascii="Traditional Arabic" w:hAnsi="Traditional Arabic" w:cs="Traditional Arabic"/>
          <w:i/>
          <w:iCs/>
          <w:sz w:val="30"/>
          <w:szCs w:val="30"/>
          <w:rtl/>
        </w:rPr>
      </w:pPr>
      <w:r w:rsidRPr="00237A3B">
        <w:rPr>
          <w:rFonts w:ascii="Traditional Arabic" w:hAnsi="Traditional Arabic" w:cs="Traditional Arabic"/>
          <w:i/>
          <w:iCs/>
          <w:sz w:val="30"/>
          <w:szCs w:val="30"/>
          <w:rtl/>
        </w:rPr>
        <w:t>والآن أرى أنه كان من المحتم أن يتدخل الحوثيون أو شخص آخر في مرحلة ما. ما كان يجب أن يحدث في ذلك الوقت ان يتم ايجاد حل للنزاع يأخذ بالاعتبار النوع الجنساني. ولكي يكون أي سلام مستقبلي مستدامًا ، نحتاج إلى قلب "اختلال التوازن بين الجنسين في القوة" من أجل إحلال سلام دائم</w:t>
      </w:r>
      <w:r w:rsidRPr="00237A3B">
        <w:rPr>
          <w:rFonts w:ascii="Traditional Arabic" w:hAnsi="Traditional Arabic" w:cs="Traditional Arabic"/>
          <w:i/>
          <w:iCs/>
          <w:sz w:val="30"/>
          <w:szCs w:val="30"/>
        </w:rPr>
        <w:t xml:space="preserve"> ".</w:t>
      </w:r>
    </w:p>
    <w:p w14:paraId="5B876625" w14:textId="65D5B312" w:rsidR="00930277" w:rsidRPr="00237A3B" w:rsidRDefault="00930277" w:rsidP="00930277">
      <w:pPr>
        <w:pStyle w:val="Footer"/>
        <w:tabs>
          <w:tab w:val="left" w:pos="720"/>
        </w:tabs>
        <w:bidi/>
        <w:ind w:right="1089"/>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00237A3B">
        <w:rPr>
          <w:rFonts w:ascii="Traditional Arabic" w:hAnsi="Traditional Arabic" w:cs="Traditional Arabic"/>
          <w:sz w:val="30"/>
          <w:szCs w:val="30"/>
        </w:rPr>
        <w:tab/>
      </w:r>
      <w:r w:rsidRPr="00237A3B">
        <w:rPr>
          <w:rFonts w:ascii="Traditional Arabic" w:hAnsi="Traditional Arabic" w:cs="Traditional Arabic"/>
          <w:b/>
          <w:bCs/>
          <w:sz w:val="30"/>
          <w:szCs w:val="30"/>
          <w:rtl/>
        </w:rPr>
        <w:t>مشاركة في مؤتمر الحوار الوطني</w:t>
      </w:r>
      <w:r w:rsidRPr="00237A3B">
        <w:rPr>
          <w:rFonts w:ascii="Traditional Arabic" w:hAnsi="Traditional Arabic" w:cs="Traditional Arabic"/>
          <w:b/>
          <w:bCs/>
          <w:sz w:val="30"/>
          <w:szCs w:val="30"/>
        </w:rPr>
        <w:t xml:space="preserve"> </w:t>
      </w:r>
      <w:r w:rsidR="00267A0A">
        <w:rPr>
          <w:rStyle w:val="FootnoteReference"/>
          <w:rFonts w:cs="Traditional Arabic"/>
          <w:b/>
          <w:bCs/>
          <w:szCs w:val="30"/>
        </w:rPr>
        <w:footnoteReference w:id="1026"/>
      </w:r>
      <w:r w:rsidRPr="00237A3B">
        <w:rPr>
          <w:rFonts w:ascii="Traditional Arabic" w:hAnsi="Traditional Arabic" w:cs="Traditional Arabic"/>
          <w:b/>
          <w:bCs/>
          <w:sz w:val="30"/>
          <w:szCs w:val="30"/>
        </w:rPr>
        <w:t xml:space="preserve"> </w:t>
      </w:r>
    </w:p>
    <w:p w14:paraId="1DFECDAD" w14:textId="4925056F" w:rsidR="00930277" w:rsidRPr="00237A3B" w:rsidRDefault="00930277" w:rsidP="00E25F5D">
      <w:pPr>
        <w:pStyle w:val="Footer"/>
        <w:numPr>
          <w:ilvl w:val="3"/>
          <w:numId w:val="12"/>
        </w:numPr>
        <w:tabs>
          <w:tab w:val="left" w:pos="720"/>
        </w:tabs>
        <w:bidi/>
        <w:spacing w:after="240"/>
        <w:ind w:right="1089" w:hanging="3375"/>
        <w:rPr>
          <w:rFonts w:ascii="Traditional Arabic" w:hAnsi="Traditional Arabic" w:cs="Traditional Arabic"/>
          <w:b/>
          <w:bCs/>
          <w:sz w:val="30"/>
          <w:szCs w:val="30"/>
          <w:rtl/>
        </w:rPr>
      </w:pPr>
      <w:r w:rsidRPr="00930277">
        <w:rPr>
          <w:rFonts w:ascii="Traditional Arabic" w:hAnsi="Traditional Arabic" w:cs="Traditional Arabic"/>
          <w:sz w:val="30"/>
          <w:szCs w:val="30"/>
        </w:rPr>
        <w:t xml:space="preserve"> </w:t>
      </w:r>
      <w:r w:rsidRPr="00237A3B">
        <w:rPr>
          <w:rFonts w:ascii="Traditional Arabic" w:hAnsi="Traditional Arabic" w:cs="Traditional Arabic"/>
          <w:b/>
          <w:bCs/>
          <w:sz w:val="30"/>
          <w:szCs w:val="30"/>
          <w:rtl/>
        </w:rPr>
        <w:t>استنتاجات</w:t>
      </w:r>
    </w:p>
    <w:p w14:paraId="561D5F37" w14:textId="7A99F369"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 xml:space="preserve">بالإضافة إلى النتائج التي توصل إليها الفريق في حالات محددة من العنف على اساس النوع الجنساني في هذا التقرير، يجد الفريق أن الحكومة اليمنية وأعضاء التحالف وسلطات الأمر الواقع مسؤولون عن انتهاكات القانون الدولي لحقوق الإنسان. يوجد أسباب معقولة للاعتقاد بأن أطراف النزاع انتهكت وفشلت في احترام وحماية حقوق النساء والفتيات بما يتعارض مع المواد 1-3 و 5 و 8 و 13-16 من اتفاقية القضاء على جميع أشكال التمييز ضد المرأة. ويشمل ذلك الفشل في حماية النساء والفتيات من العنف على اساس النوع الجنساني، والفشل في مقاضاة العنف القائم على النوع الجنساني وعدم حماية المدافعين عن حقوق المرأة. كما انتهكت أطراف النزاع المادة 26 من العهد الدولي الخاص بالحقوق المدنية والسياسية التي تحظر التمييز، بما في ذلك على أساس الجنس، في الحماية المتساوية للقانون. بالإضافة إلى انتهاكات القانون الدولي لحقوق الإنسان المبينة في هذا الفصل، يوجد انتهاك للحق في الحرية والأمن الشخصي، من خلال الاعتقال التعسفي واحتجاز الرهائن  </w:t>
      </w:r>
      <w:r w:rsidR="00123C5F">
        <w:rPr>
          <w:rStyle w:val="FootnoteReference"/>
          <w:rFonts w:cs="Traditional Arabic"/>
          <w:szCs w:val="30"/>
          <w:rtl/>
        </w:rPr>
        <w:footnoteReference w:id="1027"/>
      </w:r>
      <w:r w:rsidRPr="00930277">
        <w:rPr>
          <w:rFonts w:ascii="Traditional Arabic" w:hAnsi="Traditional Arabic" w:cs="Traditional Arabic"/>
          <w:sz w:val="30"/>
          <w:szCs w:val="30"/>
          <w:rtl/>
        </w:rPr>
        <w:t xml:space="preserve">؛ انتهاك حظر التعذيب وغيره من ضروب سوء المعاملة </w:t>
      </w:r>
      <w:r w:rsidR="00123C5F">
        <w:rPr>
          <w:rStyle w:val="FootnoteReference"/>
          <w:rFonts w:cs="Traditional Arabic"/>
          <w:szCs w:val="30"/>
          <w:rtl/>
        </w:rPr>
        <w:footnoteReference w:id="1028"/>
      </w:r>
      <w:r w:rsidRPr="00930277">
        <w:rPr>
          <w:rFonts w:ascii="Traditional Arabic" w:hAnsi="Traditional Arabic" w:cs="Traditional Arabic"/>
          <w:sz w:val="30"/>
          <w:szCs w:val="30"/>
          <w:rtl/>
        </w:rPr>
        <w:t xml:space="preserve">؛ </w:t>
      </w:r>
      <w:r w:rsidR="0013040B">
        <w:rPr>
          <w:rFonts w:ascii="Traditional Arabic" w:hAnsi="Traditional Arabic" w:cs="Traditional Arabic" w:hint="cs"/>
          <w:sz w:val="30"/>
          <w:szCs w:val="30"/>
          <w:rtl/>
        </w:rPr>
        <w:t>و</w:t>
      </w:r>
      <w:r w:rsidRPr="00930277">
        <w:rPr>
          <w:rFonts w:ascii="Traditional Arabic" w:hAnsi="Traditional Arabic" w:cs="Traditional Arabic"/>
          <w:sz w:val="30"/>
          <w:szCs w:val="30"/>
          <w:rtl/>
        </w:rPr>
        <w:t xml:space="preserve">انتهاك الحريات الأساسية، ولا سيما الحق في حرية التعبير والتجمع </w:t>
      </w:r>
      <w:r w:rsidR="00123C5F">
        <w:rPr>
          <w:rStyle w:val="FootnoteReference"/>
          <w:rFonts w:cs="Traditional Arabic"/>
          <w:szCs w:val="30"/>
          <w:rtl/>
        </w:rPr>
        <w:footnoteReference w:id="1029"/>
      </w:r>
      <w:r w:rsidRPr="00930277">
        <w:rPr>
          <w:rFonts w:ascii="Traditional Arabic" w:hAnsi="Traditional Arabic" w:cs="Traditional Arabic"/>
          <w:sz w:val="30"/>
          <w:szCs w:val="30"/>
          <w:rtl/>
        </w:rPr>
        <w:t>. ترقى هذه الأفعال أيضًا إلى انتهاكات القانون الإنساني الدولي</w:t>
      </w:r>
      <w:r w:rsidR="00123C5F">
        <w:rPr>
          <w:rStyle w:val="FootnoteReference"/>
          <w:rFonts w:cs="Traditional Arabic"/>
          <w:szCs w:val="30"/>
          <w:rtl/>
        </w:rPr>
        <w:footnoteReference w:id="1030"/>
      </w:r>
      <w:r w:rsidRPr="00930277">
        <w:rPr>
          <w:rFonts w:ascii="Traditional Arabic" w:hAnsi="Traditional Arabic" w:cs="Traditional Arabic"/>
          <w:sz w:val="30"/>
          <w:szCs w:val="30"/>
          <w:rtl/>
        </w:rPr>
        <w:t xml:space="preserve">  وقد تؤدي إلى مسؤولية جنائية عن جرائم الحرب المتمثلة </w:t>
      </w:r>
      <w:r w:rsidRPr="00930277">
        <w:rPr>
          <w:rFonts w:ascii="Traditional Arabic" w:hAnsi="Traditional Arabic" w:cs="Traditional Arabic"/>
          <w:sz w:val="30"/>
          <w:szCs w:val="30"/>
          <w:rtl/>
        </w:rPr>
        <w:lastRenderedPageBreak/>
        <w:t>في الاغتصاب وغيره من أشكال العنف الجنسي والتعذيب والمعاملة القاسية أو اللاإنسانية أو الاعتداء على الكرامة الشخصية واحتجاز الرهائن</w:t>
      </w:r>
      <w:r w:rsidRPr="00930277">
        <w:rPr>
          <w:rFonts w:ascii="Traditional Arabic" w:hAnsi="Traditional Arabic" w:cs="Traditional Arabic"/>
          <w:sz w:val="30"/>
          <w:szCs w:val="30"/>
        </w:rPr>
        <w:t>.</w:t>
      </w:r>
      <w:r w:rsidR="00123C5F">
        <w:rPr>
          <w:rStyle w:val="FootnoteReference"/>
          <w:rFonts w:cs="Traditional Arabic"/>
          <w:szCs w:val="30"/>
        </w:rPr>
        <w:footnoteReference w:id="1031"/>
      </w:r>
      <w:r w:rsidRPr="00930277">
        <w:rPr>
          <w:rFonts w:ascii="Traditional Arabic" w:hAnsi="Traditional Arabic" w:cs="Traditional Arabic"/>
          <w:sz w:val="30"/>
          <w:szCs w:val="30"/>
        </w:rPr>
        <w:t xml:space="preserve">  </w:t>
      </w:r>
    </w:p>
    <w:p w14:paraId="2CD82121" w14:textId="7CA0A194" w:rsidR="00930277" w:rsidRPr="00930277" w:rsidRDefault="00930277"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sidRPr="00930277">
        <w:rPr>
          <w:rFonts w:ascii="Traditional Arabic" w:hAnsi="Traditional Arabic" w:cs="Traditional Arabic"/>
          <w:sz w:val="30"/>
          <w:szCs w:val="30"/>
        </w:rPr>
        <w:t xml:space="preserve"> </w:t>
      </w:r>
      <w:r w:rsidRPr="00930277">
        <w:rPr>
          <w:rFonts w:ascii="Traditional Arabic" w:hAnsi="Traditional Arabic" w:cs="Traditional Arabic"/>
          <w:sz w:val="30"/>
          <w:szCs w:val="30"/>
          <w:rtl/>
        </w:rPr>
        <w:t>في آب / أغسطس 2018 ، كان رد التحالف على الفريق فيما يتعلق بادعاءات العنف الجنسي هو أن التحالف ملتزم بجميع الإجراءات القانونية ذات الصلة، وأنه لم يتلق قط ادعاءات تتهم موظفيه بالعنف الجنسي والجنساني، وأن الموظفين كانوا مدربين ومؤهلين وفقا للقواعد العسكرية الدولية. أرسل الفريق أسئلة متابعة إلى التحالف يطلب تفاصيل عن هذه الإجراءات والتدريب. لم يستجب التحالف في وقت كتابة هذا التقرير. علاوة على ذلك، إذا تم الافتراض أن التحالف لم يتلق ادعاءات بمثل هذا العنف قبل آب/أغسطس 2018، فقد قدم الفريق للتحالف وقائع واضحة في تقريره الصادر في آب/ أغسطس 2018 إلى مجلس حقوق الإنسان. يدعو فريق الخبراء التحالف وجميع أطراف النزاع إلى إجراء تحقيقات شاملة ونزيهة وشفافة في النتائج التي ذكرها في تقاريره</w:t>
      </w:r>
      <w:r w:rsidRPr="00930277">
        <w:rPr>
          <w:rFonts w:ascii="Traditional Arabic" w:hAnsi="Traditional Arabic" w:cs="Traditional Arabic"/>
          <w:sz w:val="30"/>
          <w:szCs w:val="30"/>
        </w:rPr>
        <w:t>.</w:t>
      </w:r>
    </w:p>
    <w:p w14:paraId="77FFB3C4" w14:textId="3D2B35AA" w:rsidR="00930277" w:rsidRPr="00930277" w:rsidRDefault="00D33D97" w:rsidP="008828C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sz w:val="30"/>
          <w:szCs w:val="30"/>
          <w:rtl/>
        </w:rPr>
      </w:pPr>
      <w:r>
        <w:rPr>
          <w:rFonts w:ascii="Traditional Arabic" w:hAnsi="Traditional Arabic" w:cs="Traditional Arabic" w:hint="cs"/>
          <w:sz w:val="30"/>
          <w:szCs w:val="30"/>
          <w:rtl/>
        </w:rPr>
        <w:t>يشير الفريق بأن هذه ال</w:t>
      </w:r>
      <w:r w:rsidR="00930277" w:rsidRPr="00930277">
        <w:rPr>
          <w:rFonts w:ascii="Traditional Arabic" w:hAnsi="Traditional Arabic" w:cs="Traditional Arabic"/>
          <w:sz w:val="30"/>
          <w:szCs w:val="30"/>
          <w:rtl/>
        </w:rPr>
        <w:t xml:space="preserve">ادعاءات بالعنف القائم على اساس النوع الجنساني، </w:t>
      </w:r>
      <w:r>
        <w:rPr>
          <w:rFonts w:ascii="Traditional Arabic" w:hAnsi="Traditional Arabic" w:cs="Traditional Arabic" w:hint="cs"/>
          <w:sz w:val="30"/>
          <w:szCs w:val="30"/>
          <w:rtl/>
        </w:rPr>
        <w:t>و</w:t>
      </w:r>
      <w:r w:rsidR="00930277" w:rsidRPr="00930277">
        <w:rPr>
          <w:rFonts w:ascii="Traditional Arabic" w:hAnsi="Traditional Arabic" w:cs="Traditional Arabic"/>
          <w:sz w:val="30"/>
          <w:szCs w:val="30"/>
          <w:rtl/>
        </w:rPr>
        <w:t>التي تم التحقق منها في هذا التقرير تمثل مؤشرات على وقوع أعمال عنف إضافية من جانب جميع أطراف النزاع</w:t>
      </w:r>
      <w:r w:rsidR="00D23042">
        <w:rPr>
          <w:rFonts w:ascii="Traditional Arabic" w:hAnsi="Traditional Arabic" w:cs="Traditional Arabic" w:hint="cs"/>
          <w:sz w:val="30"/>
          <w:szCs w:val="30"/>
          <w:rtl/>
        </w:rPr>
        <w:t xml:space="preserve"> والتي تتطلب تحقيقات</w:t>
      </w:r>
      <w:r w:rsidR="00C310C2">
        <w:rPr>
          <w:rFonts w:ascii="Traditional Arabic" w:hAnsi="Traditional Arabic" w:cs="Traditional Arabic" w:hint="cs"/>
          <w:sz w:val="30"/>
          <w:szCs w:val="30"/>
          <w:rtl/>
        </w:rPr>
        <w:t xml:space="preserve"> إضافية.</w:t>
      </w:r>
      <w:r w:rsidR="008828CE">
        <w:rPr>
          <w:rFonts w:ascii="Traditional Arabic" w:hAnsi="Traditional Arabic" w:cs="Traditional Arabic" w:hint="cs"/>
          <w:sz w:val="30"/>
          <w:szCs w:val="30"/>
          <w:rtl/>
        </w:rPr>
        <w:t xml:space="preserve"> </w:t>
      </w:r>
    </w:p>
    <w:p w14:paraId="2AB6E8C2" w14:textId="6B68A4B6" w:rsidR="00595527" w:rsidRPr="00A06BDB" w:rsidRDefault="00595527" w:rsidP="005D608B">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rtl/>
          <w:lang w:val="en-US"/>
        </w:rPr>
      </w:pPr>
      <w:bookmarkStart w:id="32" w:name="_Toc18918112"/>
      <w:r w:rsidRPr="00A06BDB">
        <w:rPr>
          <w:rStyle w:val="Heading2Char"/>
          <w:rFonts w:ascii="Traditional Arabic" w:hAnsi="Traditional Arabic" w:cs="Traditional Arabic"/>
          <w:b/>
          <w:bCs/>
          <w:sz w:val="28"/>
          <w:szCs w:val="38"/>
          <w:rtl/>
          <w:lang w:val="en-US"/>
        </w:rPr>
        <w:t>تأثير النزاع المسلح على الأطفال</w:t>
      </w:r>
      <w:bookmarkEnd w:id="32"/>
    </w:p>
    <w:p w14:paraId="51DD501B" w14:textId="77777777" w:rsidR="009826D6" w:rsidRPr="00655CA9" w:rsidRDefault="009826D6" w:rsidP="0025057B">
      <w:pPr>
        <w:pStyle w:val="ListParagraph"/>
        <w:numPr>
          <w:ilvl w:val="0"/>
          <w:numId w:val="23"/>
        </w:numPr>
        <w:bidi/>
        <w:ind w:right="900"/>
        <w:rPr>
          <w:rFonts w:ascii="Traditional Arabic" w:eastAsia="Times New Roman" w:hAnsi="Traditional Arabic" w:cs="Traditional Arabic"/>
          <w:b/>
          <w:bCs/>
          <w:sz w:val="30"/>
          <w:szCs w:val="30"/>
          <w:rtl/>
          <w:lang w:val="en-GB"/>
        </w:rPr>
      </w:pPr>
      <w:r w:rsidRPr="00655CA9">
        <w:rPr>
          <w:rFonts w:ascii="Traditional Arabic" w:eastAsia="Times New Roman" w:hAnsi="Traditional Arabic" w:cs="Traditional Arabic" w:hint="eastAsia"/>
          <w:b/>
          <w:bCs/>
          <w:sz w:val="30"/>
          <w:szCs w:val="30"/>
          <w:rtl/>
          <w:lang w:val="en-GB"/>
        </w:rPr>
        <w:t>مقدمة</w:t>
      </w:r>
    </w:p>
    <w:p w14:paraId="3256ED1B" w14:textId="77777777" w:rsidR="009826D6" w:rsidRPr="00655CA9" w:rsidRDefault="009826D6" w:rsidP="009826D6">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يؤثر النزاع المسلح في اليمن تأثير مدمرا على تحقيق الأطفال لحقوقهم الأساسية. وتشمل هذه الحقوق على الحق ل</w:t>
      </w:r>
      <w:r>
        <w:rPr>
          <w:rFonts w:ascii="Traditional Arabic" w:hAnsi="Traditional Arabic" w:cs="Traditional Arabic" w:hint="cs"/>
          <w:color w:val="000000"/>
          <w:sz w:val="30"/>
          <w:szCs w:val="30"/>
          <w:rtl/>
        </w:rPr>
        <w:t>ـ</w:t>
      </w:r>
      <w:r w:rsidRPr="00655CA9">
        <w:rPr>
          <w:rFonts w:ascii="Traditional Arabic" w:hAnsi="Traditional Arabic" w:cs="Traditional Arabic"/>
          <w:color w:val="000000"/>
          <w:sz w:val="30"/>
          <w:szCs w:val="30"/>
          <w:rtl/>
        </w:rPr>
        <w:t>: الحياة ،البقاء والنمو؛ الحماية من العنف،</w:t>
      </w: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الإصابة والإيذاء، بما في ذلك العنف الجنسي، وكذلك الزواج المبكر والزواج القسري؛ الحرية والأمن الشخصي؛ عدم التجنيد في القوات المسلحة أو الجماعات المسلحة؛ وكذلك الحق في الصحة والغذاء والتعليم. هذه الحقوق والحماية مكفولة بموجب القانون الدولي لحقوق الإنسان، بما في ذلك اتفاقية حقوق الطفل (التي سيتم الاشاره اليها لاحقاً بـ "اتفاقية حقوق الطفل")، واليمن طرف فيها</w:t>
      </w:r>
      <w:r w:rsidRPr="00655CA9">
        <w:rPr>
          <w:rStyle w:val="FootnoteReference"/>
          <w:rFonts w:eastAsia="SimSun" w:cstheme="majorBidi"/>
          <w:rtl/>
          <w:lang w:eastAsia="zh-CN"/>
        </w:rPr>
        <w:footnoteReference w:id="1032"/>
      </w:r>
      <w:r w:rsidRPr="00655CA9">
        <w:rPr>
          <w:rFonts w:ascii="Traditional Arabic" w:hAnsi="Traditional Arabic" w:cs="Traditional Arabic"/>
          <w:color w:val="000000"/>
          <w:sz w:val="30"/>
          <w:szCs w:val="30"/>
          <w:rtl/>
        </w:rPr>
        <w:t>. في حالة النزاع المسلح مثل النزاع في اليمن، يحق للأطفال على قدم المساواة الحصول على الحماية بموجب القانون الدولي</w:t>
      </w:r>
      <w:r w:rsidRPr="001C3D43">
        <w:rPr>
          <w:rFonts w:ascii="Traditional Arabic" w:hAnsi="Traditional Arabic" w:cs="Traditional Arabic"/>
          <w:color w:val="000000"/>
          <w:sz w:val="30"/>
          <w:szCs w:val="30"/>
          <w:rtl/>
        </w:rPr>
        <w:t xml:space="preserve"> </w:t>
      </w:r>
      <w:r w:rsidRPr="00D249E0">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xml:space="preserve">، بما في ذلك القانون الدولي </w:t>
      </w:r>
      <w:r w:rsidRPr="00FC0C39">
        <w:rPr>
          <w:rFonts w:ascii="Traditional Arabic" w:hAnsi="Traditional Arabic" w:cs="Traditional Arabic"/>
          <w:color w:val="000000"/>
          <w:sz w:val="30"/>
          <w:szCs w:val="30"/>
          <w:rtl/>
        </w:rPr>
        <w:t xml:space="preserve">الإنساني </w:t>
      </w:r>
      <w:r w:rsidRPr="00655CA9">
        <w:rPr>
          <w:rFonts w:ascii="Traditional Arabic" w:hAnsi="Traditional Arabic" w:cs="Traditional Arabic"/>
          <w:color w:val="000000"/>
          <w:sz w:val="30"/>
          <w:szCs w:val="30"/>
          <w:rtl/>
        </w:rPr>
        <w:t>العرفي</w:t>
      </w:r>
      <w:r w:rsidRPr="00655CA9">
        <w:rPr>
          <w:rFonts w:ascii="Traditional Arabic" w:hAnsi="Traditional Arabic" w:cs="Traditional Arabic"/>
          <w:color w:val="000000"/>
          <w:sz w:val="30"/>
          <w:szCs w:val="30"/>
        </w:rPr>
        <w:t>.</w:t>
      </w:r>
    </w:p>
    <w:p w14:paraId="4BD301B8" w14:textId="05E2BE79" w:rsidR="009826D6" w:rsidRPr="00655CA9" w:rsidRDefault="009826D6" w:rsidP="0025057B">
      <w:pPr>
        <w:pStyle w:val="ListParagraph"/>
        <w:numPr>
          <w:ilvl w:val="0"/>
          <w:numId w:val="23"/>
        </w:numPr>
        <w:bidi/>
        <w:ind w:right="900"/>
        <w:rPr>
          <w:rFonts w:ascii="Traditional Arabic" w:eastAsia="Times New Roman" w:hAnsi="Traditional Arabic" w:cs="Traditional Arabic"/>
          <w:b/>
          <w:bCs/>
          <w:sz w:val="30"/>
          <w:szCs w:val="30"/>
        </w:rPr>
      </w:pPr>
      <w:r w:rsidRPr="00655CA9">
        <w:rPr>
          <w:rFonts w:ascii="Traditional Arabic" w:eastAsia="Times New Roman" w:hAnsi="Traditional Arabic" w:cs="Traditional Arabic"/>
          <w:b/>
          <w:bCs/>
          <w:sz w:val="30"/>
          <w:szCs w:val="30"/>
          <w:rtl/>
        </w:rPr>
        <w:t>انتهاكات الحق في الحياة</w:t>
      </w:r>
    </w:p>
    <w:p w14:paraId="78F5D2AC" w14:textId="50F09F99" w:rsidR="009826D6" w:rsidRPr="00655CA9" w:rsidRDefault="009826D6" w:rsidP="009B086D">
      <w:pPr>
        <w:bidi/>
        <w:spacing w:line="240" w:lineRule="auto"/>
        <w:ind w:left="1539" w:right="900"/>
        <w:rPr>
          <w:rFonts w:ascii="Traditional Arabic" w:hAnsi="Traditional Arabic" w:cs="Traditional Arabic"/>
          <w:i/>
          <w:iCs/>
          <w:color w:val="000000"/>
          <w:sz w:val="30"/>
          <w:szCs w:val="30"/>
          <w:rtl/>
        </w:rPr>
      </w:pPr>
      <w:r w:rsidRPr="00655CA9">
        <w:rPr>
          <w:rFonts w:ascii="Traditional Arabic" w:hAnsi="Traditional Arabic" w:cs="Traditional Arabic"/>
          <w:i/>
          <w:iCs/>
          <w:color w:val="000000"/>
          <w:sz w:val="30"/>
          <w:szCs w:val="30"/>
          <w:rtl/>
        </w:rPr>
        <w:t xml:space="preserve">"لم أجد جثة ابني ، لقد استلمت قدمه فقط، أو ما يمكن أن يكون </w:t>
      </w:r>
      <w:r>
        <w:rPr>
          <w:rFonts w:ascii="Traditional Arabic" w:hAnsi="Traditional Arabic" w:cs="Traditional Arabic" w:hint="cs"/>
          <w:i/>
          <w:iCs/>
          <w:color w:val="000000"/>
          <w:sz w:val="30"/>
          <w:szCs w:val="30"/>
          <w:rtl/>
        </w:rPr>
        <w:t xml:space="preserve">أشلاء </w:t>
      </w:r>
      <w:r w:rsidRPr="00655CA9">
        <w:rPr>
          <w:rFonts w:ascii="Traditional Arabic" w:hAnsi="Traditional Arabic" w:cs="Traditional Arabic"/>
          <w:i/>
          <w:iCs/>
          <w:color w:val="000000"/>
          <w:sz w:val="30"/>
          <w:szCs w:val="30"/>
          <w:rtl/>
        </w:rPr>
        <w:t>قدمه لدفن شيء رمزي".</w:t>
      </w:r>
    </w:p>
    <w:p w14:paraId="09A000BB" w14:textId="77777777" w:rsidR="009826D6" w:rsidRPr="00655CA9" w:rsidRDefault="009826D6" w:rsidP="009826D6">
      <w:pPr>
        <w:bidi/>
        <w:spacing w:line="240" w:lineRule="auto"/>
        <w:ind w:left="1701" w:right="900" w:firstLine="162"/>
        <w:rPr>
          <w:rFonts w:ascii="Traditional Arabic" w:hAnsi="Traditional Arabic" w:cs="Traditional Arabic"/>
          <w:b/>
          <w:bCs/>
          <w:sz w:val="30"/>
          <w:szCs w:val="30"/>
          <w:rtl/>
        </w:rPr>
      </w:pPr>
      <w:r w:rsidRPr="00655CA9">
        <w:rPr>
          <w:rFonts w:ascii="Traditional Arabic" w:hAnsi="Traditional Arabic" w:cs="Traditional Arabic"/>
          <w:b/>
          <w:bCs/>
          <w:sz w:val="30"/>
          <w:szCs w:val="30"/>
          <w:rtl/>
        </w:rPr>
        <w:t>[والد طفل يبلغ من العمر 11 عامًا قُتل خلال غارة جوية شنتها قوات التحالف في 09 أغسطس 2018 في صعدة]</w:t>
      </w:r>
    </w:p>
    <w:p w14:paraId="5A48BD4E" w14:textId="77777777" w:rsidR="009826D6" w:rsidRPr="00927301" w:rsidRDefault="009826D6" w:rsidP="009826D6">
      <w:pPr>
        <w:spacing w:line="240" w:lineRule="auto"/>
        <w:ind w:left="1134" w:right="900" w:hanging="11"/>
        <w:jc w:val="right"/>
        <w:rPr>
          <w:rFonts w:asciiTheme="majorBidi" w:eastAsia="SimSun" w:hAnsiTheme="majorBidi" w:cstheme="majorBidi"/>
          <w:b/>
          <w:sz w:val="24"/>
          <w:szCs w:val="24"/>
          <w:lang w:eastAsia="zh-CN"/>
        </w:rPr>
      </w:pPr>
    </w:p>
    <w:p w14:paraId="33933C18" w14:textId="12B04C99" w:rsidR="009826D6" w:rsidRDefault="009826D6" w:rsidP="00A06BDB">
      <w:pPr>
        <w:pStyle w:val="Footer"/>
        <w:numPr>
          <w:ilvl w:val="0"/>
          <w:numId w:val="3"/>
        </w:numPr>
        <w:tabs>
          <w:tab w:val="left" w:pos="720"/>
          <w:tab w:val="left" w:pos="900"/>
          <w:tab w:val="left" w:pos="1134"/>
          <w:tab w:val="left" w:pos="1701"/>
        </w:tabs>
        <w:bidi/>
        <w:spacing w:after="240"/>
        <w:ind w:left="1089" w:right="1089" w:firstLine="0"/>
        <w:jc w:val="both"/>
        <w:rPr>
          <w:rFonts w:asciiTheme="majorBidi" w:eastAsia="SimSun" w:hAnsiTheme="majorBidi" w:cstheme="majorBidi"/>
          <w:sz w:val="24"/>
          <w:szCs w:val="24"/>
          <w:rtl/>
          <w:lang w:eastAsia="zh-CN"/>
        </w:rPr>
      </w:pPr>
      <w:r w:rsidRPr="00655CA9">
        <w:rPr>
          <w:rFonts w:ascii="Traditional Arabic" w:hAnsi="Traditional Arabic" w:cs="Traditional Arabic"/>
          <w:color w:val="000000"/>
          <w:sz w:val="30"/>
          <w:szCs w:val="30"/>
          <w:rtl/>
        </w:rPr>
        <w:t>وفي جميع حالات الهجمات التي استهدفت المدنيين تقريبا والتي وثقها فريق الخبراء، كان الأطفال من بين الضحايا. لقد قُتلوا وشُوِّهوا بشكل أساسي نتيجة الغارات الجوية ، وأيضًا نتيجة حوادث القصف والقنص. أفاد الأمين العام أنه في الفترة من 1 أبريل 2013 إلى 31 ديسمبر 2018 ، قُتل 776 2 طفلاً (1940 فتى و 787 فتاة و 49 طفلاً غير محدد جنسه) وأصيب 732 4 طفلاً (3490 فتى و 1،242 فتاة) نتيجة النزاع المسلح في اليمن</w:t>
      </w:r>
      <w:r w:rsidRPr="00956C77">
        <w:rPr>
          <w:rStyle w:val="FootnoteReference"/>
          <w:rFonts w:eastAsia="SimSun" w:cstheme="majorBidi"/>
          <w:rtl/>
          <w:lang w:eastAsia="zh-CN"/>
        </w:rPr>
        <w:footnoteReference w:id="1033"/>
      </w:r>
      <w:r w:rsidRPr="00655CA9">
        <w:rPr>
          <w:rFonts w:ascii="Traditional Arabic" w:hAnsi="Traditional Arabic" w:cs="Traditional Arabic"/>
          <w:color w:val="000000"/>
          <w:sz w:val="30"/>
          <w:szCs w:val="30"/>
          <w:rtl/>
        </w:rPr>
        <w:t xml:space="preserve"> . علماً أن غالبية ضحايا الأطفال سقطوا بسبب غارات التحالف الجوية ، تليها أعمال الحوثيين</w:t>
      </w:r>
      <w:r w:rsidRPr="00655CA9">
        <w:rPr>
          <w:rFonts w:ascii="Traditional Arabic" w:hAnsi="Traditional Arabic" w:cs="Traditional Arabic"/>
          <w:color w:val="000000"/>
          <w:sz w:val="30"/>
          <w:szCs w:val="30"/>
        </w:rPr>
        <w:t>.</w:t>
      </w:r>
    </w:p>
    <w:p w14:paraId="327527A2" w14:textId="18DCF868" w:rsidR="009826D6" w:rsidRPr="00655CA9" w:rsidRDefault="009826D6" w:rsidP="00A06BDB">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 xml:space="preserve">في عام 2016، </w:t>
      </w:r>
      <w:r w:rsidR="00A06BDB">
        <w:rPr>
          <w:rFonts w:ascii="Traditional Arabic" w:hAnsi="Traditional Arabic" w:cs="Traditional Arabic" w:hint="cs"/>
          <w:color w:val="000000"/>
          <w:sz w:val="30"/>
          <w:szCs w:val="30"/>
          <w:rtl/>
        </w:rPr>
        <w:t>حذف</w:t>
      </w:r>
      <w:r w:rsidRPr="00655CA9">
        <w:rPr>
          <w:rFonts w:ascii="Traditional Arabic" w:hAnsi="Traditional Arabic" w:cs="Traditional Arabic"/>
          <w:color w:val="000000"/>
          <w:sz w:val="30"/>
          <w:szCs w:val="30"/>
          <w:rtl/>
        </w:rPr>
        <w:t xml:space="preserve"> الأمين العام</w:t>
      </w:r>
      <w:r w:rsidR="00A06BDB">
        <w:rPr>
          <w:rFonts w:ascii="Traditional Arabic" w:hAnsi="Traditional Arabic" w:cs="Traditional Arabic" w:hint="cs"/>
          <w:color w:val="000000"/>
          <w:sz w:val="30"/>
          <w:szCs w:val="30"/>
          <w:rtl/>
        </w:rPr>
        <w:t xml:space="preserve"> للأمم المتحدة</w:t>
      </w:r>
      <w:r w:rsidRPr="00655CA9">
        <w:rPr>
          <w:rFonts w:ascii="Traditional Arabic" w:hAnsi="Traditional Arabic" w:cs="Traditional Arabic"/>
          <w:color w:val="000000"/>
          <w:sz w:val="30"/>
          <w:szCs w:val="30"/>
          <w:rtl/>
        </w:rPr>
        <w:t xml:space="preserve"> قوات التحالف كواحد من أطراف النزاع الذي يقوم بقتل وتشويه الأطفال</w:t>
      </w:r>
      <w:r w:rsidR="00123C5F">
        <w:rPr>
          <w:rFonts w:ascii="Traditional Arabic" w:hAnsi="Traditional Arabic" w:cs="Traditional Arabic"/>
          <w:color w:val="000000"/>
          <w:sz w:val="30"/>
          <w:szCs w:val="30"/>
        </w:rPr>
        <w:t xml:space="preserve"> </w:t>
      </w:r>
      <w:r w:rsidR="00123C5F">
        <w:rPr>
          <w:rStyle w:val="FootnoteReference"/>
          <w:rFonts w:cs="Traditional Arabic"/>
          <w:color w:val="000000"/>
          <w:szCs w:val="30"/>
        </w:rPr>
        <w:footnoteReference w:id="1034"/>
      </w:r>
      <w:r w:rsidRPr="00655CA9">
        <w:rPr>
          <w:rFonts w:ascii="Traditional Arabic" w:hAnsi="Traditional Arabic" w:cs="Traditional Arabic"/>
          <w:color w:val="000000"/>
          <w:sz w:val="30"/>
          <w:szCs w:val="30"/>
          <w:rtl/>
        </w:rPr>
        <w:t>نتيجة</w:t>
      </w:r>
      <w:r w:rsidR="0005161E">
        <w:rPr>
          <w:rFonts w:ascii="Traditional Arabic" w:hAnsi="Traditional Arabic" w:cs="Traditional Arabic" w:hint="cs"/>
          <w:color w:val="000000"/>
          <w:sz w:val="30"/>
          <w:szCs w:val="30"/>
          <w:rtl/>
        </w:rPr>
        <w:t>ً</w:t>
      </w:r>
      <w:r w:rsidRPr="00655CA9">
        <w:rPr>
          <w:rFonts w:ascii="Traditional Arabic" w:hAnsi="Traditional Arabic" w:cs="Traditional Arabic"/>
          <w:color w:val="000000"/>
          <w:sz w:val="30"/>
          <w:szCs w:val="30"/>
          <w:rtl/>
        </w:rPr>
        <w:t xml:space="preserve"> لبعض التدابير المتخذة في عامي 2016 و2017 للحد من تأثير النزاع على الأطفال. وورد أن ذلك تضمن تغييرات في قواعد </w:t>
      </w:r>
      <w:r w:rsidRPr="00655CA9">
        <w:rPr>
          <w:rFonts w:ascii="Traditional Arabic" w:hAnsi="Traditional Arabic" w:cs="Traditional Arabic" w:hint="eastAsia"/>
          <w:color w:val="000000"/>
          <w:sz w:val="30"/>
          <w:szCs w:val="30"/>
          <w:rtl/>
        </w:rPr>
        <w:t>الاشتباك</w:t>
      </w:r>
      <w:r w:rsidRPr="00655CA9">
        <w:rPr>
          <w:rFonts w:ascii="Traditional Arabic" w:hAnsi="Traditional Arabic" w:cs="Traditional Arabic"/>
          <w:color w:val="000000"/>
          <w:sz w:val="30"/>
          <w:szCs w:val="30"/>
          <w:rtl/>
        </w:rPr>
        <w:t xml:space="preserve"> وإنشاء فريق مشترك لتقييم الحوادث مكلف بمراجعة جميع الحوادث التي تنطوي على إصابات بين المدنيين وتحديد الإجراءات التصحيحية</w:t>
      </w:r>
      <w:r w:rsidRPr="00655CA9">
        <w:rPr>
          <w:rFonts w:ascii="Traditional Arabic" w:hAnsi="Traditional Arabic" w:cs="Traditional Arabic"/>
          <w:color w:val="000000"/>
          <w:sz w:val="30"/>
          <w:szCs w:val="30"/>
        </w:rPr>
        <w:t>.</w:t>
      </w:r>
    </w:p>
    <w:p w14:paraId="2A98AB9C" w14:textId="4340DA6D" w:rsidR="009826D6" w:rsidRPr="00655CA9" w:rsidRDefault="009826D6" w:rsidP="00DF30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tl/>
        </w:rPr>
      </w:pP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يعرب فريق الخبراء عن أسفه لأنه على الرغم من التدابير المذكورة أعلاه ، فقد أشار الأمين العام الى وجود زيادة في عدد ضحايا الأطفال في اليمن في عام 2018 مقارنة بعام 2017</w:t>
      </w:r>
      <w:r w:rsidRPr="00887AAC">
        <w:rPr>
          <w:rFonts w:asciiTheme="majorBidi" w:eastAsia="SimSun" w:hAnsiTheme="majorBidi"/>
          <w:sz w:val="24"/>
          <w:szCs w:val="24"/>
          <w:rtl/>
          <w:lang w:eastAsia="zh-CN"/>
        </w:rPr>
        <w:t>.</w:t>
      </w:r>
      <w:r>
        <w:rPr>
          <w:rStyle w:val="FootnoteReference"/>
          <w:rFonts w:eastAsia="SimSun" w:cstheme="majorBidi"/>
          <w:rtl/>
          <w:lang w:eastAsia="zh-CN"/>
        </w:rPr>
        <w:footnoteReference w:id="1035"/>
      </w:r>
      <w:r>
        <w:rPr>
          <w:rFonts w:asciiTheme="majorBidi" w:eastAsia="SimSun" w:hAnsiTheme="majorBidi" w:cstheme="majorBidi" w:hint="cs"/>
          <w:sz w:val="20"/>
          <w:rtl/>
          <w:lang w:eastAsia="zh-CN"/>
        </w:rPr>
        <w:t xml:space="preserve"> </w:t>
      </w:r>
      <w:r w:rsidRPr="00655CA9">
        <w:rPr>
          <w:rFonts w:ascii="Traditional Arabic" w:eastAsia="SimSun" w:hAnsi="Traditional Arabic" w:cs="Traditional Arabic"/>
          <w:sz w:val="30"/>
          <w:szCs w:val="30"/>
          <w:rtl/>
          <w:lang w:eastAsia="zh-CN"/>
        </w:rPr>
        <w:t>فعلى</w:t>
      </w:r>
      <w:r w:rsidRPr="00655CA9">
        <w:rPr>
          <w:rFonts w:asciiTheme="majorBidi" w:eastAsia="SimSun" w:hAnsiTheme="majorBidi"/>
          <w:sz w:val="30"/>
          <w:szCs w:val="30"/>
          <w:rtl/>
          <w:lang w:eastAsia="zh-CN"/>
        </w:rPr>
        <w:t xml:space="preserve"> </w:t>
      </w:r>
      <w:r w:rsidRPr="00655CA9">
        <w:rPr>
          <w:rFonts w:ascii="Traditional Arabic" w:hAnsi="Traditional Arabic" w:cs="Traditional Arabic"/>
          <w:color w:val="000000"/>
          <w:sz w:val="30"/>
          <w:szCs w:val="30"/>
          <w:rtl/>
        </w:rPr>
        <w:t xml:space="preserve">سبيل المثال ، في 9 </w:t>
      </w:r>
      <w:r>
        <w:rPr>
          <w:rFonts w:ascii="Traditional Arabic" w:hAnsi="Traditional Arabic" w:cs="Traditional Arabic" w:hint="cs"/>
          <w:color w:val="000000"/>
          <w:sz w:val="30"/>
          <w:szCs w:val="30"/>
          <w:rtl/>
        </w:rPr>
        <w:t>آب</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 xml:space="preserve">أغسطس 2018، في سوق منطقة ضحيان، حي مجز، محافظة صعدة، أصاب التحالف حافلة تقل 50 طفلاً على الأقل ، وجميعهم دون سن 14 عامًا ، كانت الحافلة متوقفة على الطريق السريع في السوق. </w:t>
      </w:r>
      <w:r w:rsidR="009B086D">
        <w:rPr>
          <w:rFonts w:ascii="Traditional Arabic" w:hAnsi="Traditional Arabic" w:cs="Traditional Arabic" w:hint="cs"/>
          <w:color w:val="000000"/>
          <w:sz w:val="30"/>
          <w:szCs w:val="30"/>
          <w:rtl/>
        </w:rPr>
        <w:t xml:space="preserve">تحقق الفريق من أن الهجوم </w:t>
      </w:r>
      <w:r w:rsidRPr="00655CA9">
        <w:rPr>
          <w:rFonts w:ascii="Traditional Arabic" w:hAnsi="Traditional Arabic" w:cs="Traditional Arabic"/>
          <w:color w:val="000000"/>
          <w:sz w:val="30"/>
          <w:szCs w:val="30"/>
          <w:rtl/>
        </w:rPr>
        <w:t xml:space="preserve">أسفر عن مقتل 11 صبيا تتراوح أعمارهم بين 10 و 15 سنة كانوا في الحافلة وفي السوق و رجلين على الأقل. </w:t>
      </w:r>
      <w:r w:rsidR="00504F8B">
        <w:rPr>
          <w:rFonts w:ascii="Traditional Arabic" w:hAnsi="Traditional Arabic" w:cs="Traditional Arabic" w:hint="cs"/>
          <w:color w:val="000000"/>
          <w:sz w:val="30"/>
          <w:szCs w:val="30"/>
          <w:rtl/>
        </w:rPr>
        <w:t>كذلك تحقق أنه</w:t>
      </w:r>
      <w:r w:rsidRPr="00655CA9">
        <w:rPr>
          <w:rFonts w:ascii="Traditional Arabic" w:hAnsi="Traditional Arabic" w:cs="Traditional Arabic"/>
          <w:color w:val="000000"/>
          <w:sz w:val="30"/>
          <w:szCs w:val="30"/>
          <w:rtl/>
        </w:rPr>
        <w:t xml:space="preserve"> أصيب ما لا يقل عن 12 صبيا. علماً بأن  التقارير التي تلقاها الفريق تشير إلى أن عدد الضحايا أكبر من العدد الذي تم التحقق منه، من بينه</w:t>
      </w:r>
      <w:r w:rsidR="00504F8B">
        <w:rPr>
          <w:rFonts w:ascii="Traditional Arabic" w:hAnsi="Traditional Arabic" w:cs="Traditional Arabic" w:hint="cs"/>
          <w:color w:val="000000"/>
          <w:sz w:val="30"/>
          <w:szCs w:val="30"/>
          <w:rtl/>
        </w:rPr>
        <w:t xml:space="preserve">ا تقارير الأمم المتحدة </w:t>
      </w:r>
      <w:r w:rsidR="007F032E">
        <w:rPr>
          <w:rFonts w:ascii="Traditional Arabic" w:hAnsi="Traditional Arabic" w:cs="Traditional Arabic" w:hint="cs"/>
          <w:color w:val="000000"/>
          <w:sz w:val="30"/>
          <w:szCs w:val="30"/>
          <w:rtl/>
        </w:rPr>
        <w:t>التي تشير إلى</w:t>
      </w:r>
      <w:r w:rsidR="00DF3094">
        <w:rPr>
          <w:rFonts w:ascii="Traditional Arabic" w:hAnsi="Traditional Arabic" w:cs="Traditional Arabic" w:hint="cs"/>
          <w:color w:val="000000"/>
          <w:sz w:val="30"/>
          <w:szCs w:val="30"/>
          <w:rtl/>
        </w:rPr>
        <w:t xml:space="preserve"> مقتل</w:t>
      </w:r>
      <w:r w:rsidR="007F032E">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39 صبيا و</w:t>
      </w:r>
      <w:r w:rsidR="00DF3094">
        <w:rPr>
          <w:rFonts w:ascii="Traditional Arabic" w:hAnsi="Traditional Arabic" w:cs="Traditional Arabic" w:hint="cs"/>
          <w:color w:val="000000"/>
          <w:sz w:val="30"/>
          <w:szCs w:val="30"/>
          <w:rtl/>
        </w:rPr>
        <w:t xml:space="preserve">جرح </w:t>
      </w:r>
      <w:r w:rsidRPr="00655CA9">
        <w:rPr>
          <w:rFonts w:ascii="Traditional Arabic" w:hAnsi="Traditional Arabic" w:cs="Traditional Arabic"/>
          <w:color w:val="000000"/>
          <w:sz w:val="30"/>
          <w:szCs w:val="30"/>
          <w:rtl/>
        </w:rPr>
        <w:t>47</w:t>
      </w:r>
      <w:r w:rsidRPr="00655CA9">
        <w:rPr>
          <w:rFonts w:ascii="Traditional Arabic" w:hAnsi="Traditional Arabic" w:cs="Traditional Arabic"/>
          <w:color w:val="000000"/>
          <w:sz w:val="30"/>
          <w:szCs w:val="30"/>
        </w:rPr>
        <w:t>.</w:t>
      </w:r>
    </w:p>
    <w:p w14:paraId="57C544F2" w14:textId="7BF2695F" w:rsidR="002B6C94" w:rsidRDefault="009826D6" w:rsidP="0005161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tl/>
        </w:rPr>
      </w:pPr>
      <w:r w:rsidRPr="00655CA9">
        <w:rPr>
          <w:rFonts w:ascii="Traditional Arabic" w:hAnsi="Traditional Arabic" w:cs="Traditional Arabic"/>
          <w:color w:val="000000"/>
          <w:sz w:val="30"/>
          <w:szCs w:val="30"/>
          <w:rtl/>
        </w:rPr>
        <w:t xml:space="preserve">ومما يثير القلق بوجه خاص </w:t>
      </w:r>
      <w:r w:rsidR="0005161E">
        <w:rPr>
          <w:rFonts w:ascii="Traditional Arabic" w:hAnsi="Traditional Arabic" w:cs="Traditional Arabic" w:hint="cs"/>
          <w:color w:val="000000"/>
          <w:sz w:val="30"/>
          <w:szCs w:val="30"/>
          <w:rtl/>
        </w:rPr>
        <w:t>ال</w:t>
      </w:r>
      <w:r w:rsidRPr="00655CA9">
        <w:rPr>
          <w:rFonts w:ascii="Traditional Arabic" w:hAnsi="Traditional Arabic" w:cs="Traditional Arabic" w:hint="eastAsia"/>
          <w:color w:val="000000"/>
          <w:sz w:val="30"/>
          <w:szCs w:val="30"/>
          <w:rtl/>
        </w:rPr>
        <w:t>نيران</w:t>
      </w:r>
      <w:r w:rsidRPr="00655CA9">
        <w:rPr>
          <w:rFonts w:ascii="Traditional Arabic" w:hAnsi="Traditional Arabic" w:cs="Traditional Arabic"/>
          <w:color w:val="000000"/>
          <w:sz w:val="30"/>
          <w:szCs w:val="30"/>
          <w:rtl/>
        </w:rPr>
        <w:t xml:space="preserve"> </w:t>
      </w:r>
      <w:r w:rsidRPr="00FE6920">
        <w:rPr>
          <w:rFonts w:ascii="Traditional Arabic" w:hAnsi="Traditional Arabic" w:cs="Traditional Arabic"/>
          <w:color w:val="000000"/>
          <w:sz w:val="30"/>
          <w:szCs w:val="30"/>
          <w:rtl/>
        </w:rPr>
        <w:t xml:space="preserve">غير المباشرة </w:t>
      </w:r>
      <w:r>
        <w:rPr>
          <w:rFonts w:ascii="Traditional Arabic" w:hAnsi="Traditional Arabic" w:cs="Traditional Arabic" w:hint="cs"/>
          <w:color w:val="000000"/>
          <w:sz w:val="30"/>
          <w:szCs w:val="30"/>
          <w:rtl/>
        </w:rPr>
        <w:t>ل</w:t>
      </w:r>
      <w:r w:rsidRPr="00655CA9">
        <w:rPr>
          <w:rFonts w:ascii="Traditional Arabic" w:hAnsi="Traditional Arabic" w:cs="Traditional Arabic"/>
          <w:color w:val="000000"/>
          <w:sz w:val="30"/>
          <w:szCs w:val="30"/>
          <w:rtl/>
        </w:rPr>
        <w:t xml:space="preserve">أسلحة </w:t>
      </w:r>
      <w:r>
        <w:rPr>
          <w:rFonts w:ascii="Traditional Arabic" w:hAnsi="Traditional Arabic" w:cs="Traditional Arabic" w:hint="cs"/>
          <w:color w:val="000000"/>
          <w:sz w:val="30"/>
          <w:szCs w:val="30"/>
          <w:rtl/>
        </w:rPr>
        <w:t xml:space="preserve">تُحدث أثرًا واسعًا </w:t>
      </w:r>
      <w:r w:rsidRPr="00655CA9">
        <w:rPr>
          <w:rFonts w:ascii="Traditional Arabic" w:hAnsi="Traditional Arabic" w:cs="Traditional Arabic"/>
          <w:color w:val="000000"/>
          <w:sz w:val="30"/>
          <w:szCs w:val="30"/>
          <w:rtl/>
        </w:rPr>
        <w:t>والاستخدام العشوائي للألغام الأرضية، بما في ذلك الألغام الأرضية المضادة للأفراد، وتأثيرها المقلق على الأطفال</w:t>
      </w:r>
      <w:r w:rsidRPr="00887AAC">
        <w:rPr>
          <w:rtl/>
          <w:lang w:eastAsia="zh-CN"/>
        </w:rPr>
        <w:t>.</w:t>
      </w:r>
      <w:r w:rsidRPr="00927301">
        <w:rPr>
          <w:rFonts w:eastAsiaTheme="minorHAnsi"/>
          <w:sz w:val="20"/>
        </w:rPr>
        <w:t xml:space="preserve"> </w:t>
      </w:r>
      <w:r>
        <w:rPr>
          <w:rStyle w:val="FootnoteReference"/>
          <w:rtl/>
          <w:lang w:eastAsia="zh-CN"/>
        </w:rPr>
        <w:footnoteReference w:id="1036"/>
      </w:r>
      <w:r>
        <w:rPr>
          <w:rFonts w:hint="cs"/>
          <w:rtl/>
          <w:lang w:eastAsia="zh-CN"/>
        </w:rPr>
        <w:t xml:space="preserve"> </w:t>
      </w:r>
      <w:r w:rsidRPr="00655CA9">
        <w:rPr>
          <w:rFonts w:ascii="Traditional Arabic" w:hAnsi="Traditional Arabic" w:cs="Traditional Arabic"/>
          <w:color w:val="000000"/>
          <w:sz w:val="30"/>
          <w:szCs w:val="30"/>
          <w:rtl/>
        </w:rPr>
        <w:t xml:space="preserve">إن ضعف الأطفال </w:t>
      </w:r>
      <w:r w:rsidRPr="00655CA9">
        <w:rPr>
          <w:rFonts w:ascii="Traditional Arabic" w:hAnsi="Traditional Arabic" w:cs="Traditional Arabic" w:hint="eastAsia"/>
          <w:color w:val="000000"/>
          <w:sz w:val="30"/>
          <w:szCs w:val="30"/>
          <w:rtl/>
        </w:rPr>
        <w:t>وتركيبتهم</w:t>
      </w:r>
      <w:r w:rsidRPr="00655CA9">
        <w:rPr>
          <w:rFonts w:ascii="Traditional Arabic" w:hAnsi="Traditional Arabic" w:cs="Traditional Arabic"/>
          <w:color w:val="000000"/>
          <w:sz w:val="30"/>
          <w:szCs w:val="30"/>
          <w:rtl/>
        </w:rPr>
        <w:t xml:space="preserve"> تجعلهم أكثر عرضة للوفاة بعد الانفجارات مقارنة بالكبار </w:t>
      </w:r>
      <w:r w:rsidRPr="00655CA9">
        <w:rPr>
          <w:rFonts w:ascii="Traditional Arabic" w:hAnsi="Traditional Arabic" w:cs="Traditional Arabic" w:hint="eastAsia"/>
          <w:color w:val="000000"/>
          <w:sz w:val="30"/>
          <w:szCs w:val="30"/>
          <w:rtl/>
        </w:rPr>
        <w:t>مما</w:t>
      </w:r>
      <w:r w:rsidRPr="00655CA9">
        <w:rPr>
          <w:rFonts w:ascii="Traditional Arabic" w:hAnsi="Traditional Arabic" w:cs="Traditional Arabic"/>
          <w:color w:val="000000"/>
          <w:sz w:val="30"/>
          <w:szCs w:val="30"/>
          <w:rtl/>
        </w:rPr>
        <w:t xml:space="preserve"> يجعل إعادة تأهيلهم أكثر صعوبة</w:t>
      </w:r>
      <w:r>
        <w:rPr>
          <w:rStyle w:val="FootnoteReference"/>
          <w:rtl/>
        </w:rPr>
        <w:footnoteReference w:id="1037"/>
      </w:r>
      <w:r>
        <w:rPr>
          <w:rFonts w:hint="cs"/>
          <w:sz w:val="20"/>
          <w:rtl/>
        </w:rPr>
        <w:t>.</w:t>
      </w:r>
      <w:r w:rsidRPr="00887AAC">
        <w:rPr>
          <w:rtl/>
          <w:lang w:eastAsia="zh-CN"/>
        </w:rPr>
        <w:t xml:space="preserve"> </w:t>
      </w:r>
      <w:r w:rsidRPr="00655CA9">
        <w:rPr>
          <w:rFonts w:ascii="Traditional Arabic" w:hAnsi="Traditional Arabic" w:cs="Traditional Arabic"/>
          <w:color w:val="000000"/>
          <w:sz w:val="30"/>
          <w:szCs w:val="30"/>
          <w:rtl/>
        </w:rPr>
        <w:t xml:space="preserve">تشير التقارير إلى أن </w:t>
      </w:r>
      <w:r w:rsidRPr="00655CA9">
        <w:rPr>
          <w:rFonts w:ascii="Traditional Arabic" w:hAnsi="Traditional Arabic" w:cs="Traditional Arabic" w:hint="eastAsia"/>
          <w:color w:val="000000"/>
          <w:sz w:val="30"/>
          <w:szCs w:val="30"/>
          <w:rtl/>
        </w:rPr>
        <w:t>عدد</w:t>
      </w:r>
      <w:r w:rsidRPr="00655CA9">
        <w:rPr>
          <w:rFonts w:ascii="Traditional Arabic" w:hAnsi="Traditional Arabic" w:cs="Traditional Arabic"/>
          <w:color w:val="000000"/>
          <w:sz w:val="30"/>
          <w:szCs w:val="30"/>
          <w:rtl/>
        </w:rPr>
        <w:t xml:space="preserve"> ضحايا الألغام الأرضية </w:t>
      </w:r>
      <w:r w:rsidRPr="00655CA9">
        <w:rPr>
          <w:rFonts w:ascii="Traditional Arabic" w:hAnsi="Traditional Arabic" w:cs="Traditional Arabic" w:hint="eastAsia"/>
          <w:color w:val="000000"/>
          <w:sz w:val="30"/>
          <w:szCs w:val="30"/>
          <w:rtl/>
        </w:rPr>
        <w:t>من</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الاطفال</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lastRenderedPageBreak/>
        <w:t>و</w:t>
      </w:r>
      <w:r w:rsidRPr="00655CA9">
        <w:rPr>
          <w:rFonts w:ascii="Traditional Arabic" w:hAnsi="Traditional Arabic" w:cs="Traditional Arabic"/>
          <w:color w:val="000000"/>
          <w:sz w:val="30"/>
          <w:szCs w:val="30"/>
          <w:rtl/>
        </w:rPr>
        <w:t>الموثقة في تقرير الأمين العام قد بلغت 728 ضحية - 149 قتيلاً (123 فتى و 26 فتاة) و 579 جريحاً (478 فتى و 101 فتاة) من 2013 إلى 2018</w:t>
      </w:r>
      <w:r>
        <w:rPr>
          <w:rStyle w:val="FootnoteReference"/>
          <w:rtl/>
          <w:lang w:eastAsia="zh-CN"/>
        </w:rPr>
        <w:footnoteReference w:id="1038"/>
      </w:r>
      <w:r w:rsidRPr="00887AAC">
        <w:rPr>
          <w:rtl/>
          <w:lang w:eastAsia="zh-CN"/>
        </w:rPr>
        <w:t xml:space="preserve"> </w:t>
      </w:r>
      <w:r>
        <w:rPr>
          <w:rFonts w:hint="cs"/>
          <w:rtl/>
          <w:lang w:eastAsia="zh-CN"/>
        </w:rPr>
        <w:t xml:space="preserve">. </w:t>
      </w:r>
      <w:r w:rsidRPr="00655CA9">
        <w:rPr>
          <w:rFonts w:ascii="Traditional Arabic" w:hAnsi="Traditional Arabic" w:cs="Traditional Arabic"/>
          <w:color w:val="000000"/>
          <w:sz w:val="30"/>
          <w:szCs w:val="30"/>
          <w:rtl/>
        </w:rPr>
        <w:t xml:space="preserve">على سبيل المثال </w:t>
      </w:r>
      <w:r w:rsidRPr="00655CA9">
        <w:rPr>
          <w:rFonts w:ascii="Traditional Arabic" w:hAnsi="Traditional Arabic" w:cs="Traditional Arabic" w:hint="eastAsia"/>
          <w:color w:val="000000"/>
          <w:sz w:val="30"/>
          <w:szCs w:val="30"/>
          <w:rtl/>
        </w:rPr>
        <w:t>ف</w:t>
      </w:r>
      <w:r w:rsidRPr="00655CA9">
        <w:rPr>
          <w:rFonts w:ascii="Traditional Arabic" w:hAnsi="Traditional Arabic" w:cs="Traditional Arabic"/>
          <w:color w:val="000000"/>
          <w:sz w:val="30"/>
          <w:szCs w:val="30"/>
          <w:rtl/>
        </w:rPr>
        <w:t xml:space="preserve">بينما كان مقاتلوا الحوثييون - صالح </w:t>
      </w:r>
      <w:r w:rsidRPr="00655CA9">
        <w:rPr>
          <w:rFonts w:ascii="Traditional Arabic" w:hAnsi="Traditional Arabic" w:cs="Traditional Arabic" w:hint="eastAsia"/>
          <w:color w:val="000000"/>
          <w:sz w:val="30"/>
          <w:szCs w:val="30"/>
          <w:rtl/>
        </w:rPr>
        <w:t>ينسحبوا</w:t>
      </w:r>
      <w:r w:rsidRPr="00655CA9">
        <w:rPr>
          <w:rFonts w:ascii="Traditional Arabic" w:hAnsi="Traditional Arabic" w:cs="Traditional Arabic"/>
          <w:color w:val="000000"/>
          <w:sz w:val="30"/>
          <w:szCs w:val="30"/>
          <w:rtl/>
        </w:rPr>
        <w:t xml:space="preserve"> من عدن ولحج في عام 2015 ، قاموا بزرع ألغام أرضية في المناطق </w:t>
      </w:r>
      <w:r w:rsidRPr="00655CA9">
        <w:rPr>
          <w:rFonts w:ascii="Traditional Arabic" w:hAnsi="Traditional Arabic" w:cs="Traditional Arabic" w:hint="eastAsia"/>
          <w:color w:val="000000"/>
          <w:sz w:val="30"/>
          <w:szCs w:val="30"/>
          <w:rtl/>
        </w:rPr>
        <w:t>التي</w:t>
      </w:r>
      <w:r w:rsidRPr="00655CA9">
        <w:rPr>
          <w:rFonts w:ascii="Traditional Arabic" w:hAnsi="Traditional Arabic" w:cs="Traditional Arabic"/>
          <w:color w:val="000000"/>
          <w:sz w:val="30"/>
          <w:szCs w:val="30"/>
          <w:rtl/>
        </w:rPr>
        <w:t xml:space="preserve"> كانت خاضعة لسيطرتهم في السابق. </w:t>
      </w:r>
      <w:r w:rsidRPr="00655CA9">
        <w:rPr>
          <w:rFonts w:ascii="Traditional Arabic" w:hAnsi="Traditional Arabic" w:cs="Traditional Arabic" w:hint="eastAsia"/>
          <w:color w:val="000000"/>
          <w:sz w:val="30"/>
          <w:szCs w:val="30"/>
          <w:rtl/>
        </w:rPr>
        <w:t>ف</w:t>
      </w:r>
      <w:r w:rsidRPr="00655CA9">
        <w:rPr>
          <w:rFonts w:ascii="Traditional Arabic" w:hAnsi="Traditional Arabic" w:cs="Traditional Arabic"/>
          <w:color w:val="000000"/>
          <w:sz w:val="30"/>
          <w:szCs w:val="30"/>
          <w:rtl/>
        </w:rPr>
        <w:t xml:space="preserve">في 24 سبتمبر 2015، في منطقة قبيطة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لحج، </w:t>
      </w:r>
      <w:r w:rsidRPr="00655CA9">
        <w:rPr>
          <w:rFonts w:ascii="Traditional Arabic" w:hAnsi="Traditional Arabic" w:cs="Traditional Arabic" w:hint="eastAsia"/>
          <w:color w:val="000000"/>
          <w:sz w:val="30"/>
          <w:szCs w:val="30"/>
          <w:rtl/>
        </w:rPr>
        <w:t>داس</w:t>
      </w:r>
      <w:r w:rsidRPr="00655CA9">
        <w:rPr>
          <w:rFonts w:ascii="Traditional Arabic" w:hAnsi="Traditional Arabic" w:cs="Traditional Arabic"/>
          <w:color w:val="000000"/>
          <w:sz w:val="30"/>
          <w:szCs w:val="30"/>
          <w:rtl/>
        </w:rPr>
        <w:t xml:space="preserve"> طفل يبلغ من العمر 13 عامًا على لغم أرضي مضاد للأفراد </w:t>
      </w:r>
      <w:r w:rsidRPr="00655CA9">
        <w:rPr>
          <w:rFonts w:ascii="Traditional Arabic" w:hAnsi="Traditional Arabic" w:cs="Traditional Arabic" w:hint="eastAsia"/>
          <w:color w:val="000000"/>
          <w:sz w:val="30"/>
          <w:szCs w:val="30"/>
          <w:rtl/>
        </w:rPr>
        <w:t>وانفجر</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مباشره</w:t>
      </w:r>
      <w:r w:rsidRPr="00655CA9">
        <w:rPr>
          <w:rFonts w:ascii="Traditional Arabic" w:hAnsi="Traditional Arabic" w:cs="Traditional Arabic"/>
          <w:color w:val="000000"/>
          <w:sz w:val="30"/>
          <w:szCs w:val="30"/>
          <w:rtl/>
        </w:rPr>
        <w:t>، مما أدى إلى بتر ساقه اليمنى</w:t>
      </w:r>
      <w:r>
        <w:rPr>
          <w:rStyle w:val="FootnoteReference"/>
          <w:rtl/>
          <w:lang w:eastAsia="zh-CN"/>
        </w:rPr>
        <w:footnoteReference w:id="1039"/>
      </w:r>
      <w:r>
        <w:rPr>
          <w:rFonts w:hint="cs"/>
          <w:sz w:val="20"/>
          <w:rtl/>
          <w:lang w:eastAsia="zh-CN"/>
        </w:rPr>
        <w:t>.</w:t>
      </w:r>
      <w:r w:rsidRPr="00887AAC">
        <w:rPr>
          <w:rtl/>
          <w:lang w:eastAsia="zh-CN"/>
        </w:rPr>
        <w:t xml:space="preserve"> </w:t>
      </w:r>
      <w:r w:rsidRPr="00655CA9">
        <w:rPr>
          <w:rFonts w:ascii="Traditional Arabic" w:hAnsi="Traditional Arabic" w:cs="Traditional Arabic"/>
          <w:color w:val="000000"/>
          <w:sz w:val="30"/>
          <w:szCs w:val="30"/>
          <w:rtl/>
        </w:rPr>
        <w:t xml:space="preserve">كما هو الحال في هذه الحالة، </w:t>
      </w:r>
      <w:r w:rsidRPr="00655CA9">
        <w:rPr>
          <w:rFonts w:ascii="Traditional Arabic" w:hAnsi="Traditional Arabic" w:cs="Traditional Arabic" w:hint="eastAsia"/>
          <w:color w:val="000000"/>
          <w:sz w:val="30"/>
          <w:szCs w:val="30"/>
          <w:rtl/>
        </w:rPr>
        <w:t>فقد</w:t>
      </w:r>
      <w:r w:rsidRPr="00655CA9">
        <w:rPr>
          <w:rFonts w:ascii="Traditional Arabic" w:hAnsi="Traditional Arabic" w:cs="Traditional Arabic"/>
          <w:color w:val="000000"/>
          <w:sz w:val="30"/>
          <w:szCs w:val="30"/>
          <w:rtl/>
        </w:rPr>
        <w:t xml:space="preserve"> خلص فريق</w:t>
      </w:r>
      <w:r>
        <w:rPr>
          <w:rFonts w:ascii="Traditional Arabic" w:hAnsi="Traditional Arabic" w:cs="Traditional Arabic" w:hint="cs"/>
          <w:color w:val="000000"/>
          <w:sz w:val="30"/>
          <w:szCs w:val="30"/>
          <w:rtl/>
        </w:rPr>
        <w:t xml:space="preserve"> الخبراء</w:t>
      </w:r>
      <w:r w:rsidRPr="00655CA9">
        <w:rPr>
          <w:rFonts w:ascii="Traditional Arabic" w:hAnsi="Traditional Arabic" w:cs="Traditional Arabic"/>
          <w:color w:val="000000"/>
          <w:sz w:val="30"/>
          <w:szCs w:val="30"/>
          <w:rtl/>
        </w:rPr>
        <w:t xml:space="preserve"> إلى أنه في معظم الحالات التي أصيب فيها الأطفال، </w:t>
      </w:r>
      <w:r>
        <w:rPr>
          <w:rFonts w:ascii="Traditional Arabic" w:hAnsi="Traditional Arabic" w:cs="Traditional Arabic" w:hint="cs"/>
          <w:color w:val="000000"/>
          <w:sz w:val="30"/>
          <w:szCs w:val="30"/>
          <w:rtl/>
        </w:rPr>
        <w:t xml:space="preserve">غيّرت </w:t>
      </w:r>
      <w:r w:rsidR="0005161E">
        <w:rPr>
          <w:rFonts w:ascii="Traditional Arabic" w:hAnsi="Traditional Arabic" w:cs="Traditional Arabic" w:hint="cs"/>
          <w:color w:val="000000"/>
          <w:sz w:val="30"/>
          <w:szCs w:val="30"/>
          <w:rtl/>
        </w:rPr>
        <w:t>ال</w:t>
      </w:r>
      <w:r>
        <w:rPr>
          <w:rFonts w:ascii="Traditional Arabic" w:hAnsi="Traditional Arabic" w:cs="Traditional Arabic" w:hint="cs"/>
          <w:color w:val="000000"/>
          <w:sz w:val="30"/>
          <w:szCs w:val="30"/>
          <w:rtl/>
        </w:rPr>
        <w:t>إصابات حياتهم و</w:t>
      </w:r>
      <w:r w:rsidRPr="00655CA9">
        <w:rPr>
          <w:rFonts w:ascii="Traditional Arabic" w:hAnsi="Traditional Arabic" w:cs="Traditional Arabic"/>
          <w:color w:val="000000"/>
          <w:sz w:val="30"/>
          <w:szCs w:val="30"/>
          <w:rtl/>
        </w:rPr>
        <w:t xml:space="preserve">خضعوا </w:t>
      </w:r>
      <w:r>
        <w:rPr>
          <w:rFonts w:ascii="Traditional Arabic" w:hAnsi="Traditional Arabic" w:cs="Traditional Arabic" w:hint="cs"/>
          <w:color w:val="000000"/>
          <w:sz w:val="30"/>
          <w:szCs w:val="30"/>
          <w:rtl/>
        </w:rPr>
        <w:t xml:space="preserve">في كثير من الحالات </w:t>
      </w:r>
      <w:r w:rsidRPr="00655CA9">
        <w:rPr>
          <w:rFonts w:ascii="Traditional Arabic" w:hAnsi="Traditional Arabic" w:cs="Traditional Arabic"/>
          <w:color w:val="000000"/>
          <w:sz w:val="30"/>
          <w:szCs w:val="30"/>
          <w:rtl/>
        </w:rPr>
        <w:t>لعملي</w:t>
      </w:r>
      <w:r>
        <w:rPr>
          <w:rFonts w:ascii="Traditional Arabic" w:hAnsi="Traditional Arabic" w:cs="Traditional Arabic" w:hint="cs"/>
          <w:color w:val="000000"/>
          <w:sz w:val="30"/>
          <w:szCs w:val="30"/>
          <w:rtl/>
        </w:rPr>
        <w:t>ات</w:t>
      </w:r>
      <w:r w:rsidRPr="00655CA9">
        <w:rPr>
          <w:rFonts w:ascii="Traditional Arabic" w:hAnsi="Traditional Arabic" w:cs="Traditional Arabic"/>
          <w:color w:val="000000"/>
          <w:sz w:val="30"/>
          <w:szCs w:val="30"/>
          <w:rtl/>
        </w:rPr>
        <w:t xml:space="preserve"> جراحية. </w:t>
      </w:r>
      <w:r w:rsidR="00362863" w:rsidRPr="00362863">
        <w:rPr>
          <w:rFonts w:ascii="Traditional Arabic" w:hAnsi="Traditional Arabic" w:cs="Traditional Arabic"/>
          <w:color w:val="000000"/>
          <w:sz w:val="30"/>
          <w:szCs w:val="30"/>
          <w:rtl/>
        </w:rPr>
        <w:t>(للاطلاع على مزيد من المعلومات عن حوادث القصف والألغام الأرضية، انظر فصول عن معركة عدن وتعز والحديدة).</w:t>
      </w:r>
    </w:p>
    <w:p w14:paraId="77CDEA04" w14:textId="36D6D04B" w:rsidR="009826D6" w:rsidRPr="006519F3" w:rsidRDefault="009826D6" w:rsidP="002B6C9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hAnsi="Traditional Arabic" w:cs="Traditional Arabic"/>
          <w:color w:val="000000"/>
          <w:sz w:val="30"/>
          <w:szCs w:val="30"/>
        </w:rPr>
      </w:pPr>
      <w:r>
        <w:rPr>
          <w:rFonts w:asciiTheme="majorBidi" w:eastAsia="SimSun" w:hAnsiTheme="majorBidi" w:hint="cs"/>
          <w:sz w:val="24"/>
          <w:szCs w:val="24"/>
          <w:rtl/>
          <w:lang w:eastAsia="zh-CN"/>
        </w:rPr>
        <w:t>بالإضا</w:t>
      </w:r>
      <w:r>
        <w:rPr>
          <w:rFonts w:ascii="Traditional Arabic" w:hAnsi="Traditional Arabic" w:cs="Traditional Arabic" w:hint="cs"/>
          <w:color w:val="000000"/>
          <w:sz w:val="30"/>
          <w:szCs w:val="30"/>
          <w:rtl/>
        </w:rPr>
        <w:t xml:space="preserve">فة </w:t>
      </w:r>
      <w:r w:rsidRPr="00655CA9">
        <w:rPr>
          <w:rFonts w:ascii="Traditional Arabic" w:hAnsi="Traditional Arabic" w:cs="Traditional Arabic"/>
          <w:color w:val="000000"/>
          <w:sz w:val="30"/>
          <w:szCs w:val="30"/>
          <w:rtl/>
        </w:rPr>
        <w:t>إلى ذلك، تحقق فريق الخبراء من مقتل أطفال صغار على يد قناصة الحوثيين-صالح في عدن في عام 2015 وعلى يد القناصة الحوثيين في تعز في عام 2019. كما تلق</w:t>
      </w:r>
      <w:r>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 xml:space="preserve">فريق الخبراء مزاعم أخرى عن قناصة تسببوا في إصابات أطفال في تعز والتي لا تنسب إلى أي طرف معين في النزاع. على سبيل المثال، في 30 </w:t>
      </w:r>
      <w:r>
        <w:rPr>
          <w:rFonts w:ascii="Traditional Arabic" w:hAnsi="Traditional Arabic" w:cs="Traditional Arabic" w:hint="cs"/>
          <w:color w:val="000000"/>
          <w:sz w:val="30"/>
          <w:szCs w:val="30"/>
          <w:rtl/>
        </w:rPr>
        <w:t>حزيران</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يونيو 2017، قُتل صبي يبلغ من العمر 8 سنوات برصاص قناص خارج منزله في شمال غرب مدينة  تعز عندما كان هو وأمه قد عادوا هناك لجمع بعض مقتنيات بعد ترحيلهم إلى وسط تعز بعد القتال في منطقتهم</w:t>
      </w:r>
      <w:r w:rsidRPr="004B36BA">
        <w:rPr>
          <w:rFonts w:asciiTheme="majorBidi" w:eastAsia="SimSun" w:hAnsiTheme="majorBidi" w:cstheme="majorBidi" w:hint="cs"/>
          <w:sz w:val="24"/>
          <w:szCs w:val="24"/>
          <w:rtl/>
          <w:lang w:eastAsia="zh-CN"/>
        </w:rPr>
        <w:t>.</w:t>
      </w:r>
      <w:r w:rsidRPr="004B36BA">
        <w:rPr>
          <w:rFonts w:asciiTheme="majorBidi" w:eastAsia="SimSun" w:hAnsiTheme="majorBidi" w:cstheme="majorBidi"/>
          <w:sz w:val="20"/>
          <w:vertAlign w:val="superscript"/>
          <w:lang w:eastAsia="zh-CN"/>
        </w:rPr>
        <w:t xml:space="preserve"> </w:t>
      </w:r>
      <w:r w:rsidRPr="006519F3">
        <w:rPr>
          <w:rStyle w:val="FootnoteReference"/>
          <w:rFonts w:eastAsia="SimSun" w:cstheme="majorBidi"/>
          <w:rtl/>
          <w:lang w:eastAsia="zh-CN"/>
        </w:rPr>
        <w:footnoteReference w:id="1040"/>
      </w:r>
      <w:r w:rsidR="006519F3">
        <w:rPr>
          <w:rFonts w:asciiTheme="majorBidi" w:eastAsia="SimSun" w:hAnsiTheme="majorBidi" w:cstheme="majorBidi"/>
          <w:sz w:val="20"/>
          <w:vertAlign w:val="superscript"/>
          <w:lang w:eastAsia="zh-CN"/>
        </w:rPr>
        <w:t xml:space="preserve">  </w:t>
      </w:r>
      <w:r w:rsidR="006519F3" w:rsidRPr="006519F3">
        <w:rPr>
          <w:rFonts w:ascii="Traditional Arabic" w:hAnsi="Traditional Arabic" w:cs="Traditional Arabic"/>
          <w:color w:val="000000"/>
          <w:sz w:val="30"/>
          <w:szCs w:val="30"/>
          <w:rtl/>
        </w:rPr>
        <w:t xml:space="preserve">(للحصول على معلومات إضافية عن حوادث القنص، انظر </w:t>
      </w:r>
      <w:r w:rsidR="002B6C94">
        <w:rPr>
          <w:rFonts w:ascii="Traditional Arabic" w:hAnsi="Traditional Arabic" w:cs="Traditional Arabic" w:hint="cs"/>
          <w:color w:val="000000"/>
          <w:sz w:val="30"/>
          <w:szCs w:val="30"/>
          <w:rtl/>
        </w:rPr>
        <w:t>ال</w:t>
      </w:r>
      <w:r w:rsidR="006519F3" w:rsidRPr="006519F3">
        <w:rPr>
          <w:rFonts w:ascii="Traditional Arabic" w:hAnsi="Traditional Arabic" w:cs="Traditional Arabic"/>
          <w:color w:val="000000"/>
          <w:sz w:val="30"/>
          <w:szCs w:val="30"/>
          <w:rtl/>
        </w:rPr>
        <w:t xml:space="preserve">فصول عن </w:t>
      </w:r>
      <w:r w:rsidR="006519F3">
        <w:rPr>
          <w:rFonts w:ascii="Traditional Arabic" w:hAnsi="Traditional Arabic" w:cs="Traditional Arabic" w:hint="cs"/>
          <w:color w:val="000000"/>
          <w:sz w:val="30"/>
          <w:szCs w:val="30"/>
          <w:rtl/>
          <w:lang w:bidi="ar-JO"/>
        </w:rPr>
        <w:t>تعز</w:t>
      </w:r>
      <w:r w:rsidR="006519F3" w:rsidRPr="006519F3">
        <w:rPr>
          <w:rFonts w:ascii="Traditional Arabic" w:hAnsi="Traditional Arabic" w:cs="Traditional Arabic"/>
          <w:color w:val="000000"/>
          <w:sz w:val="30"/>
          <w:szCs w:val="30"/>
          <w:rtl/>
        </w:rPr>
        <w:t xml:space="preserve"> ومعركة عدن).</w:t>
      </w:r>
    </w:p>
    <w:p w14:paraId="3197A4F3" w14:textId="7B348478" w:rsidR="009826D6" w:rsidRPr="00B45A82"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lang w:eastAsia="zh-CN"/>
        </w:rPr>
      </w:pPr>
      <w:r w:rsidRPr="00655CA9">
        <w:rPr>
          <w:rFonts w:ascii="Traditional Arabic" w:hAnsi="Traditional Arabic" w:cs="Traditional Arabic"/>
          <w:color w:val="000000"/>
          <w:sz w:val="30"/>
          <w:szCs w:val="30"/>
          <w:rtl/>
        </w:rPr>
        <w:t>تأثرت حقوق الأطفال الأساسية في الحياة والحماية من العنف والإصابة والإيذاء ب</w:t>
      </w:r>
      <w:r>
        <w:rPr>
          <w:rFonts w:ascii="Traditional Arabic" w:hAnsi="Traditional Arabic" w:cs="Traditional Arabic" w:hint="cs"/>
          <w:color w:val="000000"/>
          <w:sz w:val="30"/>
          <w:szCs w:val="30"/>
          <w:rtl/>
        </w:rPr>
        <w:t>شكل كبير</w:t>
      </w:r>
      <w:r w:rsidRPr="00655CA9">
        <w:rPr>
          <w:rFonts w:ascii="Traditional Arabic" w:hAnsi="Traditional Arabic" w:cs="Traditional Arabic"/>
          <w:color w:val="000000"/>
          <w:sz w:val="30"/>
          <w:szCs w:val="30"/>
          <w:rtl/>
        </w:rPr>
        <w:t>، وفي بعض الحالات انته</w:t>
      </w:r>
      <w:r>
        <w:rPr>
          <w:rFonts w:ascii="Traditional Arabic" w:hAnsi="Traditional Arabic" w:cs="Traditional Arabic" w:hint="cs"/>
          <w:color w:val="000000"/>
          <w:sz w:val="30"/>
          <w:szCs w:val="30"/>
          <w:rtl/>
        </w:rPr>
        <w:t>ا</w:t>
      </w:r>
      <w:r w:rsidRPr="00655CA9">
        <w:rPr>
          <w:rFonts w:ascii="Traditional Arabic" w:hAnsi="Traditional Arabic" w:cs="Traditional Arabic"/>
          <w:color w:val="000000"/>
          <w:sz w:val="30"/>
          <w:szCs w:val="30"/>
          <w:rtl/>
        </w:rPr>
        <w:t xml:space="preserve">ك من قبل أطراف النزاع. بالإضافة إلى الإصابات الجسدية، من المرجح أن يؤدي تعرضها لأحداث تهدد الحياة ، في كثير من الحالات ، ممكن ان تؤدي إلى اضطرابات الصحة العقلية طويلة الأجل. بالنظر إلى الطبيعة المطولة للنزاع في اليمن ، يجب على أطراف النزاع فوراً اتخاذ جميع الإجراءات اللازمة لحماية الأطفال ، بما في ذلك ضمان وجود تدابير وقائية وتخفيفية أثناء العمليات العسكرية. لضمان حماية الأطفال ، ويجب أن تحترم هذه العمليات أيضًا القانون الدولي </w:t>
      </w:r>
      <w:r w:rsidRPr="009E4EA0">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وخاصة مبادئ التمييز والتناسب والحذر اثناء الهجوم</w:t>
      </w:r>
      <w:r w:rsidRPr="00655CA9">
        <w:rPr>
          <w:rFonts w:ascii="Traditional Arabic" w:hAnsi="Traditional Arabic" w:cs="Traditional Arabic"/>
          <w:color w:val="000000"/>
          <w:sz w:val="30"/>
          <w:szCs w:val="30"/>
        </w:rPr>
        <w:t>.</w:t>
      </w:r>
      <w:r>
        <w:rPr>
          <w:rStyle w:val="FootnoteReference"/>
          <w:lang w:eastAsia="zh-CN"/>
        </w:rPr>
        <w:footnoteReference w:id="1041"/>
      </w:r>
    </w:p>
    <w:p w14:paraId="28CAEB3A" w14:textId="4FB77DD3" w:rsidR="00B45A82" w:rsidRDefault="00B45A82" w:rsidP="00B45A82">
      <w:pPr>
        <w:pStyle w:val="Footer"/>
        <w:tabs>
          <w:tab w:val="left" w:pos="720"/>
          <w:tab w:val="left" w:pos="900"/>
          <w:tab w:val="left" w:pos="1134"/>
          <w:tab w:val="left" w:pos="1701"/>
        </w:tabs>
        <w:bidi/>
        <w:spacing w:after="240"/>
        <w:ind w:left="1089" w:right="1089"/>
        <w:jc w:val="both"/>
        <w:rPr>
          <w:rFonts w:ascii="Traditional Arabic" w:hAnsi="Traditional Arabic" w:cs="Traditional Arabic"/>
          <w:color w:val="000000"/>
          <w:sz w:val="30"/>
          <w:szCs w:val="30"/>
          <w:rtl/>
        </w:rPr>
      </w:pPr>
    </w:p>
    <w:p w14:paraId="4D62F6D8" w14:textId="77777777" w:rsidR="00B45A82" w:rsidRPr="00F14BA2" w:rsidRDefault="00B45A82" w:rsidP="00B45A82">
      <w:pPr>
        <w:pStyle w:val="Footer"/>
        <w:tabs>
          <w:tab w:val="left" w:pos="720"/>
          <w:tab w:val="left" w:pos="900"/>
          <w:tab w:val="left" w:pos="1134"/>
          <w:tab w:val="left" w:pos="1701"/>
        </w:tabs>
        <w:bidi/>
        <w:spacing w:after="240"/>
        <w:ind w:left="1089" w:right="1089"/>
        <w:jc w:val="both"/>
        <w:rPr>
          <w:lang w:eastAsia="zh-CN"/>
        </w:rPr>
      </w:pPr>
    </w:p>
    <w:p w14:paraId="219FBDBE" w14:textId="446376B0" w:rsidR="009826D6" w:rsidRPr="00887AAC" w:rsidRDefault="009826D6" w:rsidP="0025057B">
      <w:pPr>
        <w:pStyle w:val="ListParagraph"/>
        <w:numPr>
          <w:ilvl w:val="0"/>
          <w:numId w:val="23"/>
        </w:numPr>
        <w:bidi/>
        <w:ind w:right="900"/>
        <w:rPr>
          <w:rFonts w:asciiTheme="majorBidi" w:hAnsiTheme="majorBidi" w:cstheme="majorBidi"/>
          <w:bCs/>
          <w:i/>
          <w:sz w:val="24"/>
          <w:szCs w:val="24"/>
          <w:lang w:val="en-GB"/>
        </w:rPr>
      </w:pPr>
      <w:r w:rsidRPr="00655CA9">
        <w:rPr>
          <w:rFonts w:ascii="Traditional Arabic" w:eastAsia="Times New Roman" w:hAnsi="Traditional Arabic" w:cs="Traditional Arabic"/>
          <w:b/>
          <w:bCs/>
          <w:color w:val="000000"/>
          <w:sz w:val="30"/>
          <w:szCs w:val="30"/>
          <w:lang w:val="en-GB"/>
        </w:rPr>
        <w:lastRenderedPageBreak/>
        <w:t xml:space="preserve"> </w:t>
      </w:r>
      <w:r w:rsidRPr="00655CA9">
        <w:rPr>
          <w:rFonts w:ascii="Traditional Arabic" w:eastAsia="Times New Roman" w:hAnsi="Traditional Arabic" w:cs="Traditional Arabic"/>
          <w:b/>
          <w:bCs/>
          <w:color w:val="000000"/>
          <w:sz w:val="30"/>
          <w:szCs w:val="30"/>
          <w:rtl/>
          <w:lang w:val="en-GB"/>
        </w:rPr>
        <w:t>تجنيد الأطفال في القوات المسلحة أو الجماعات المسلحة واستخدام</w:t>
      </w:r>
      <w:r w:rsidRPr="00655CA9">
        <w:rPr>
          <w:rFonts w:ascii="Traditional Arabic" w:eastAsia="Times New Roman" w:hAnsi="Traditional Arabic" w:cs="Traditional Arabic" w:hint="eastAsia"/>
          <w:b/>
          <w:bCs/>
          <w:color w:val="000000"/>
          <w:sz w:val="30"/>
          <w:szCs w:val="30"/>
          <w:rtl/>
          <w:lang w:val="en-GB"/>
        </w:rPr>
        <w:t>هم</w:t>
      </w:r>
      <w:r w:rsidRPr="00655CA9">
        <w:rPr>
          <w:rFonts w:ascii="Traditional Arabic" w:eastAsia="Times New Roman" w:hAnsi="Traditional Arabic" w:cs="Traditional Arabic"/>
          <w:b/>
          <w:bCs/>
          <w:color w:val="000000"/>
          <w:sz w:val="30"/>
          <w:szCs w:val="30"/>
          <w:rtl/>
          <w:lang w:val="en-GB"/>
        </w:rPr>
        <w:t xml:space="preserve"> في القتال من قبل أطراف النزاع</w:t>
      </w:r>
    </w:p>
    <w:p w14:paraId="083EF619"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rFonts w:asciiTheme="majorBidi" w:hAnsiTheme="majorBidi" w:cstheme="majorBidi"/>
          <w:sz w:val="24"/>
          <w:szCs w:val="24"/>
        </w:rPr>
      </w:pPr>
      <w:r w:rsidRPr="00655CA9">
        <w:rPr>
          <w:rFonts w:ascii="Traditional Arabic" w:hAnsi="Traditional Arabic" w:cs="Traditional Arabic"/>
          <w:color w:val="000000"/>
          <w:sz w:val="30"/>
          <w:szCs w:val="30"/>
          <w:rtl/>
        </w:rPr>
        <w:t xml:space="preserve">قام فريق الخبراء بتوثيق تجنيد واستخدام أطفال دون سن 18 عامًا من قِبل جميع أطراف النزاع منذ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سبتمبر 2014</w:t>
      </w:r>
      <w:r>
        <w:rPr>
          <w:rFonts w:ascii="Traditional Arabic" w:hAnsi="Traditional Arabic" w:cs="Traditional Arabic" w:hint="cs"/>
          <w:color w:val="000000"/>
          <w:sz w:val="30"/>
          <w:szCs w:val="30"/>
          <w:rtl/>
        </w:rPr>
        <w:t xml:space="preserve"> بما فيهم </w:t>
      </w:r>
      <w:r w:rsidRPr="00FE6920">
        <w:rPr>
          <w:rFonts w:ascii="Traditional Arabic" w:hAnsi="Traditional Arabic" w:cs="Traditional Arabic"/>
          <w:color w:val="000000"/>
          <w:sz w:val="30"/>
          <w:szCs w:val="30"/>
          <w:rtl/>
        </w:rPr>
        <w:t xml:space="preserve">الأطفال </w:t>
      </w:r>
      <w:r>
        <w:rPr>
          <w:rFonts w:ascii="Traditional Arabic" w:hAnsi="Traditional Arabic" w:cs="Traditional Arabic" w:hint="cs"/>
          <w:color w:val="000000"/>
          <w:sz w:val="30"/>
          <w:szCs w:val="30"/>
          <w:rtl/>
        </w:rPr>
        <w:t>تحت سن الـ</w:t>
      </w:r>
      <w:r w:rsidRPr="00FE6920">
        <w:rPr>
          <w:rFonts w:ascii="Traditional Arabic" w:hAnsi="Traditional Arabic" w:cs="Traditional Arabic"/>
          <w:color w:val="000000"/>
          <w:sz w:val="30"/>
          <w:szCs w:val="30"/>
          <w:rtl/>
        </w:rPr>
        <w:t>15 عامًا</w:t>
      </w:r>
      <w:r w:rsidRPr="00655CA9">
        <w:rPr>
          <w:rFonts w:ascii="Traditional Arabic" w:hAnsi="Traditional Arabic" w:cs="Traditional Arabic"/>
          <w:color w:val="000000"/>
          <w:sz w:val="30"/>
          <w:szCs w:val="30"/>
          <w:rtl/>
        </w:rPr>
        <w:t xml:space="preserve">. وشمل ذلك 33 تقريرًا مباشرًا عن أطفال </w:t>
      </w:r>
      <w:r>
        <w:rPr>
          <w:rFonts w:ascii="Traditional Arabic" w:hAnsi="Traditional Arabic" w:cs="Traditional Arabic" w:hint="cs"/>
          <w:color w:val="000000"/>
          <w:sz w:val="30"/>
          <w:szCs w:val="30"/>
          <w:rtl/>
        </w:rPr>
        <w:t xml:space="preserve">الذين </w:t>
      </w:r>
      <w:r w:rsidRPr="00655CA9">
        <w:rPr>
          <w:rFonts w:ascii="Traditional Arabic" w:hAnsi="Traditional Arabic" w:cs="Traditional Arabic"/>
          <w:color w:val="000000"/>
          <w:sz w:val="30"/>
          <w:szCs w:val="30"/>
          <w:rtl/>
        </w:rPr>
        <w:t xml:space="preserve">تم تجنيدهم، وفي بعض الحالات استخدموا في الأعمال العدائية من قبل القوات والجماعات المسلحة في اليمن منذ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سبتمبر 2014</w:t>
      </w:r>
      <w:r w:rsidRPr="00887AAC">
        <w:rPr>
          <w:rFonts w:asciiTheme="majorBidi" w:hAnsiTheme="majorBidi" w:cstheme="majorBidi"/>
          <w:sz w:val="24"/>
          <w:szCs w:val="24"/>
        </w:rPr>
        <w:t xml:space="preserve"> </w:t>
      </w:r>
      <w:r>
        <w:rPr>
          <w:rStyle w:val="FootnoteReference"/>
          <w:rFonts w:cstheme="majorBidi"/>
          <w:szCs w:val="24"/>
        </w:rPr>
        <w:footnoteReference w:id="1042"/>
      </w:r>
      <w:r w:rsidRPr="00887AAC">
        <w:rPr>
          <w:rFonts w:asciiTheme="majorBidi" w:hAnsiTheme="majorBidi" w:cstheme="majorBidi"/>
          <w:sz w:val="24"/>
          <w:szCs w:val="24"/>
        </w:rPr>
        <w:t>.</w:t>
      </w:r>
    </w:p>
    <w:p w14:paraId="7273C8EA" w14:textId="77777777" w:rsidR="009826D6" w:rsidRPr="00F14BA2" w:rsidRDefault="009826D6" w:rsidP="00A01451">
      <w:pPr>
        <w:pStyle w:val="Footer"/>
        <w:numPr>
          <w:ilvl w:val="0"/>
          <w:numId w:val="3"/>
        </w:numPr>
        <w:tabs>
          <w:tab w:val="left" w:pos="720"/>
          <w:tab w:val="left" w:pos="900"/>
          <w:tab w:val="left" w:pos="1134"/>
          <w:tab w:val="left" w:pos="1701"/>
        </w:tabs>
        <w:bidi/>
        <w:spacing w:after="240"/>
        <w:ind w:left="1089" w:right="1089"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 xml:space="preserve">يحتوي كل من القانون الدولي </w:t>
      </w:r>
      <w:r w:rsidRPr="00FE6920">
        <w:rPr>
          <w:rFonts w:ascii="Traditional Arabic" w:hAnsi="Traditional Arabic" w:cs="Traditional Arabic"/>
          <w:color w:val="000000"/>
          <w:sz w:val="30"/>
          <w:szCs w:val="30"/>
          <w:rtl/>
        </w:rPr>
        <w:t xml:space="preserve">الإنساني </w:t>
      </w:r>
      <w:r w:rsidRPr="00655CA9">
        <w:rPr>
          <w:rFonts w:ascii="Traditional Arabic" w:hAnsi="Traditional Arabic" w:cs="Traditional Arabic"/>
          <w:color w:val="000000"/>
          <w:sz w:val="30"/>
          <w:szCs w:val="30"/>
          <w:rtl/>
        </w:rPr>
        <w:t>والقانون الدولي لحقوق الإنسان على أحكام تتعلق بالتجنيد في القوات أو الجماعات المسلحة واستخدام الأطفال في الأعمال العدائية</w:t>
      </w:r>
      <w:r w:rsidRPr="00887AAC">
        <w:rPr>
          <w:rFonts w:asciiTheme="majorBidi" w:hAnsiTheme="majorBidi"/>
          <w:sz w:val="24"/>
          <w:szCs w:val="24"/>
          <w:rtl/>
        </w:rPr>
        <w:t>.</w:t>
      </w:r>
      <w:r>
        <w:rPr>
          <w:rStyle w:val="FootnoteReference"/>
          <w:szCs w:val="24"/>
          <w:rtl/>
        </w:rPr>
        <w:footnoteReference w:id="1043"/>
      </w:r>
      <w:r w:rsidRPr="00887AAC">
        <w:rPr>
          <w:rFonts w:asciiTheme="majorBidi" w:hAnsiTheme="majorBidi"/>
          <w:sz w:val="24"/>
          <w:szCs w:val="24"/>
          <w:rtl/>
        </w:rPr>
        <w:t xml:space="preserve">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حين </w:t>
      </w:r>
      <w:r w:rsidRPr="00655CA9">
        <w:rPr>
          <w:rFonts w:ascii="Traditional Arabic" w:hAnsi="Traditional Arabic" w:cs="Traditional Arabic" w:hint="eastAsia"/>
          <w:color w:val="000000"/>
          <w:sz w:val="30"/>
          <w:szCs w:val="30"/>
          <w:rtl/>
        </w:rPr>
        <w:t>تنص</w:t>
      </w:r>
      <w:r w:rsidRPr="00655CA9">
        <w:rPr>
          <w:rFonts w:ascii="Traditional Arabic" w:hAnsi="Traditional Arabic" w:cs="Traditional Arabic"/>
          <w:color w:val="000000"/>
          <w:sz w:val="30"/>
          <w:szCs w:val="30"/>
          <w:rtl/>
        </w:rPr>
        <w:t xml:space="preserve"> المادة 1 من اتفاقية حقوق الطفل على أن الطفل هو كل إنسان دون سن 18 عامًا ، فإن تجنيد واستخدام الأطفال الذين لم يبلغوا 15 عامًا فقط ممنوع بموجب القانون الدولي</w:t>
      </w:r>
      <w:r w:rsidRPr="001C3D43">
        <w:rPr>
          <w:rFonts w:ascii="Traditional Arabic" w:hAnsi="Traditional Arabic" w:cs="Traditional Arabic"/>
          <w:color w:val="000000"/>
          <w:sz w:val="30"/>
          <w:szCs w:val="30"/>
          <w:rtl/>
        </w:rPr>
        <w:t xml:space="preserve"> </w:t>
      </w:r>
      <w:r w:rsidRPr="00310292">
        <w:rPr>
          <w:rFonts w:ascii="Traditional Arabic" w:hAnsi="Traditional Arabic" w:cs="Traditional Arabic"/>
          <w:color w:val="000000"/>
          <w:sz w:val="30"/>
          <w:szCs w:val="30"/>
          <w:rtl/>
        </w:rPr>
        <w:t>الإنساني</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sidDel="003E0FE9">
        <w:rPr>
          <w:rStyle w:val="FootnoteReference"/>
          <w:rFonts w:asciiTheme="majorBidi" w:hAnsiTheme="majorBidi" w:cstheme="majorBidi"/>
          <w:sz w:val="24"/>
          <w:szCs w:val="24"/>
        </w:rPr>
        <w:footnoteReference w:id="1044"/>
      </w:r>
    </w:p>
    <w:p w14:paraId="5EEF9CD0" w14:textId="3BFD9E24" w:rsidR="009826D6" w:rsidRPr="00F14BA2" w:rsidRDefault="009826D6" w:rsidP="00904C24">
      <w:pPr>
        <w:pStyle w:val="Footer"/>
        <w:numPr>
          <w:ilvl w:val="0"/>
          <w:numId w:val="3"/>
        </w:numPr>
        <w:tabs>
          <w:tab w:val="left" w:pos="720"/>
          <w:tab w:val="left" w:pos="900"/>
          <w:tab w:val="left" w:pos="1134"/>
          <w:tab w:val="left" w:pos="1701"/>
        </w:tabs>
        <w:bidi/>
        <w:spacing w:after="240"/>
        <w:ind w:left="1089" w:right="1089"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فيما يتعلق بتجنيد الأطفال واستخدامهم في أعمال القتال بموجب القانون الدولي لحقوق الإنسان، اليمن</w:t>
      </w:r>
      <w:r w:rsidR="00904C24">
        <w:rPr>
          <w:rFonts w:ascii="Traditional Arabic" w:hAnsi="Traditional Arabic" w:cs="Traditional Arabic" w:hint="cs"/>
          <w:color w:val="000000"/>
          <w:sz w:val="30"/>
          <w:szCs w:val="30"/>
          <w:rtl/>
        </w:rPr>
        <w:t xml:space="preserve"> عضو في</w:t>
      </w:r>
      <w:r w:rsidRPr="00655CA9">
        <w:rPr>
          <w:rFonts w:ascii="Traditional Arabic" w:hAnsi="Traditional Arabic" w:cs="Traditional Arabic"/>
          <w:color w:val="000000"/>
          <w:sz w:val="30"/>
          <w:szCs w:val="30"/>
          <w:rtl/>
        </w:rPr>
        <w:t xml:space="preserve"> البروتوكول الاختياري لاتفاقية حقوق الطفل بشأن اشتراك الأطفال في النزاعات المسلحة ، (يشار إليه </w:t>
      </w:r>
      <w:r w:rsidRPr="00655CA9">
        <w:rPr>
          <w:rFonts w:ascii="Traditional Arabic" w:hAnsi="Traditional Arabic" w:cs="Traditional Arabic" w:hint="eastAsia"/>
          <w:color w:val="000000"/>
          <w:sz w:val="30"/>
          <w:szCs w:val="30"/>
          <w:rtl/>
        </w:rPr>
        <w:t>لاحقاً</w:t>
      </w:r>
      <w:r w:rsidRPr="00655CA9">
        <w:rPr>
          <w:rFonts w:ascii="Traditional Arabic" w:hAnsi="Traditional Arabic" w:cs="Traditional Arabic"/>
          <w:color w:val="000000"/>
          <w:sz w:val="30"/>
          <w:szCs w:val="30"/>
          <w:rtl/>
        </w:rPr>
        <w:t xml:space="preserve"> "البروتوكول الاختياري لاتفاقية حقوق الطفل") ، الذي يفرض حظراً على التجنيد الإجباري واستخدام الأطفال في الأعمال العدائية لجميع الأطفال دون سن 18 عامًا. اليمن أيضًا طرف في اتفاقية العمل الدولية المتعلقة بحظر أسوأ أشكال عمل الأطفال والإجراءات الفورية للقضاء عليها (رقم 182)</w:t>
      </w:r>
      <w:r w:rsidRPr="00F14BA2">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45"/>
      </w:r>
      <w:r w:rsidRPr="00887AAC">
        <w:rPr>
          <w:rFonts w:asciiTheme="majorBidi" w:hAnsiTheme="majorBidi"/>
          <w:sz w:val="24"/>
          <w:szCs w:val="24"/>
          <w:rtl/>
        </w:rPr>
        <w:t xml:space="preserve">. </w:t>
      </w:r>
      <w:r w:rsidRPr="00655CA9">
        <w:rPr>
          <w:rFonts w:ascii="Traditional Arabic" w:hAnsi="Traditional Arabic" w:cs="Traditional Arabic"/>
          <w:color w:val="000000"/>
          <w:sz w:val="30"/>
          <w:szCs w:val="30"/>
          <w:rtl/>
        </w:rPr>
        <w:t>أقرت اليمن قانونًا وطنيًا مشابهًا يتضمن حظرًا على تجنيد واستخدام الأطفال دون سن 18 عامًا كجنود</w:t>
      </w:r>
      <w:r w:rsidRPr="00927301">
        <w:rPr>
          <w:rStyle w:val="FootnoteReference"/>
          <w:rFonts w:asciiTheme="majorBidi" w:hAnsiTheme="majorBidi" w:cstheme="majorBidi"/>
          <w:sz w:val="24"/>
          <w:szCs w:val="24"/>
        </w:rPr>
        <w:footnoteReference w:id="1046"/>
      </w:r>
      <w:r w:rsidRPr="00887AAC">
        <w:rPr>
          <w:rFonts w:asciiTheme="majorBidi" w:hAnsiTheme="majorBidi"/>
          <w:sz w:val="24"/>
          <w:szCs w:val="24"/>
          <w:rtl/>
        </w:rPr>
        <w:t xml:space="preserve">. </w:t>
      </w:r>
      <w:r w:rsidRPr="00655CA9">
        <w:rPr>
          <w:rFonts w:ascii="Traditional Arabic" w:hAnsi="Traditional Arabic" w:cs="Traditional Arabic"/>
          <w:color w:val="000000"/>
          <w:sz w:val="30"/>
          <w:szCs w:val="30"/>
          <w:rtl/>
        </w:rPr>
        <w:t>ومع ذلك ، لا يجرّم القانون اليمني تجنيد الأطفال دون سن 18</w:t>
      </w:r>
      <w:r w:rsidRPr="00887AAC">
        <w:rPr>
          <w:rFonts w:asciiTheme="majorBidi" w:hAnsiTheme="majorBidi"/>
          <w:sz w:val="24"/>
          <w:szCs w:val="24"/>
          <w:rtl/>
        </w:rPr>
        <w:t xml:space="preserve"> </w:t>
      </w:r>
      <w:r w:rsidRPr="00927301">
        <w:rPr>
          <w:rStyle w:val="FootnoteReference"/>
          <w:rFonts w:asciiTheme="majorBidi" w:hAnsiTheme="majorBidi" w:cstheme="majorBidi"/>
          <w:sz w:val="24"/>
          <w:szCs w:val="24"/>
        </w:rPr>
        <w:lastRenderedPageBreak/>
        <w:footnoteReference w:id="1047"/>
      </w:r>
      <w:r w:rsidRPr="00655CA9">
        <w:rPr>
          <w:rFonts w:ascii="Traditional Arabic" w:hAnsi="Traditional Arabic" w:cs="Traditional Arabic"/>
          <w:color w:val="000000"/>
          <w:sz w:val="30"/>
          <w:szCs w:val="30"/>
          <w:rtl/>
        </w:rPr>
        <w:t>عامًا واستخدامهم في أعمال عدائية ، ويسمح القانون الجنائي الدولي بمحاكمة من ينتهكون هذه المحظورات بتجنيدهم واستخدامهم للأطفال الذين تقل أعمارهم عن 15 عامًا</w:t>
      </w:r>
      <w:r w:rsidRPr="00887AAC">
        <w:rPr>
          <w:rFonts w:asciiTheme="majorBidi" w:hAnsiTheme="majorBidi" w:cstheme="majorBidi"/>
          <w:sz w:val="24"/>
          <w:szCs w:val="24"/>
        </w:rPr>
        <w:t>.</w:t>
      </w:r>
      <w:r w:rsidRPr="00F14BA2">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48"/>
      </w:r>
    </w:p>
    <w:p w14:paraId="47154CCE" w14:textId="3333A101" w:rsidR="009826D6" w:rsidRPr="00A01451" w:rsidRDefault="009826D6" w:rsidP="00CE40BE">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A01451">
        <w:rPr>
          <w:rFonts w:ascii="Traditional Arabic" w:hAnsi="Traditional Arabic" w:cs="Traditional Arabic"/>
          <w:color w:val="000000"/>
          <w:sz w:val="30"/>
          <w:szCs w:val="30"/>
          <w:rtl/>
        </w:rPr>
        <w:t>في 23 يناير 2019 ، خضع اليمن للمراجعة الدورية الشاملة الثالثة (</w:t>
      </w:r>
      <w:r w:rsidRPr="00A01451">
        <w:rPr>
          <w:rFonts w:ascii="Traditional Arabic" w:hAnsi="Traditional Arabic" w:cs="Traditional Arabic" w:hint="eastAsia"/>
          <w:color w:val="000000"/>
          <w:sz w:val="30"/>
          <w:szCs w:val="30"/>
          <w:rtl/>
        </w:rPr>
        <w:t>يشار</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اليها</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لاحقاً</w:t>
      </w:r>
      <w:r w:rsidRPr="00A01451">
        <w:rPr>
          <w:rFonts w:ascii="Traditional Arabic" w:hAnsi="Traditional Arabic" w:cs="Traditional Arabic"/>
          <w:color w:val="000000"/>
          <w:sz w:val="30"/>
          <w:szCs w:val="30"/>
          <w:rtl/>
        </w:rPr>
        <w:t xml:space="preserve"> باسم "المراجعة الدورية الشاملة") أمام مجلس حقوق الإنسان</w:t>
      </w:r>
      <w:r w:rsidRPr="00FE157A">
        <w:rPr>
          <w:rStyle w:val="FootnoteReference"/>
          <w:rFonts w:asciiTheme="majorBidi" w:hAnsiTheme="majorBidi" w:cstheme="majorBidi"/>
          <w:sz w:val="24"/>
          <w:szCs w:val="24"/>
        </w:rPr>
        <w:footnoteReference w:id="1049"/>
      </w:r>
      <w:r w:rsidRPr="00FE157A">
        <w:rPr>
          <w:rStyle w:val="FootnoteReference"/>
          <w:rFonts w:asciiTheme="majorBidi" w:hAnsiTheme="majorBidi" w:cstheme="majorBidi"/>
          <w:sz w:val="24"/>
          <w:szCs w:val="24"/>
          <w:rtl/>
        </w:rPr>
        <w:t>.</w:t>
      </w:r>
      <w:r w:rsidRPr="00A01451">
        <w:rPr>
          <w:rFonts w:ascii="Traditional Arabic" w:hAnsi="Traditional Arabic" w:cs="Traditional Arabic"/>
          <w:color w:val="000000"/>
          <w:sz w:val="30"/>
          <w:szCs w:val="30"/>
          <w:rtl/>
        </w:rPr>
        <w:t xml:space="preserve"> أشارت الحكومة اليمنية إلى أنها أيدت التزامات باريس لحماية الأطفال من التجنيد غير القانوني أو الاستخدام من قبل القوات المسلحة أو الجماعات المسلحة. وأفادت الحكومة أيضاً أن الدولة قبلت الالتزامات المتعلقة بحقوق الطفل وحمايتها بموجب استراتيجية مكافحة تجنيد الأطفال وتعزيز تسريحهم وإعادة تأهيلهم. </w:t>
      </w:r>
      <w:r w:rsidRPr="00A01451">
        <w:rPr>
          <w:rFonts w:ascii="Traditional Arabic" w:hAnsi="Traditional Arabic" w:cs="Traditional Arabic" w:hint="eastAsia"/>
          <w:color w:val="000000"/>
          <w:sz w:val="30"/>
          <w:szCs w:val="30"/>
          <w:rtl/>
        </w:rPr>
        <w:t>أبلغ</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اليمن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مجلس</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حقوق</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الإنسان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خلال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الاستعراض</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الدوري</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الشامل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أن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أحد</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هذه</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التدابير</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هو</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التوقيع</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في</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كانون</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لأول</w:t>
      </w:r>
      <w:r w:rsidRPr="00A01451">
        <w:rPr>
          <w:rFonts w:ascii="Traditional Arabic" w:hAnsi="Traditional Arabic" w:cs="Traditional Arabic"/>
          <w:color w:val="000000"/>
          <w:sz w:val="30"/>
          <w:szCs w:val="30"/>
        </w:rPr>
        <w:t>/</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ديسمبر</w:t>
      </w:r>
      <w:r w:rsidRPr="00A01451">
        <w:rPr>
          <w:rFonts w:ascii="Traditional Arabic" w:hAnsi="Traditional Arabic" w:cs="Traditional Arabic"/>
          <w:color w:val="000000"/>
          <w:sz w:val="30"/>
          <w:szCs w:val="30"/>
          <w:rtl/>
        </w:rPr>
        <w:t xml:space="preserve"> 2018 </w:t>
      </w:r>
      <w:r w:rsidRPr="00A01451">
        <w:rPr>
          <w:rFonts w:ascii="Traditional Arabic" w:hAnsi="Traditional Arabic" w:cs="Traditional Arabic" w:hint="eastAsia"/>
          <w:color w:val="000000"/>
          <w:sz w:val="30"/>
          <w:szCs w:val="30"/>
          <w:rtl/>
        </w:rPr>
        <w:t>على</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خارطة</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الطريق</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لخطة</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العمل</w:t>
      </w:r>
      <w:r w:rsidRPr="00A01451">
        <w:rPr>
          <w:rFonts w:ascii="Traditional Arabic" w:hAnsi="Traditional Arabic" w:cs="Traditional Arabic"/>
          <w:color w:val="000000"/>
          <w:sz w:val="30"/>
          <w:szCs w:val="30"/>
          <w:rtl/>
        </w:rPr>
        <w:t xml:space="preserve"> </w:t>
      </w:r>
      <w:r w:rsidRPr="00A01451">
        <w:rPr>
          <w:rFonts w:ascii="Traditional Arabic" w:hAnsi="Traditional Arabic" w:cs="Traditional Arabic" w:hint="eastAsia"/>
          <w:color w:val="000000"/>
          <w:sz w:val="30"/>
          <w:szCs w:val="30"/>
          <w:rtl/>
        </w:rPr>
        <w:t>للعام</w:t>
      </w:r>
      <w:r w:rsidRPr="00A01451">
        <w:rPr>
          <w:rFonts w:ascii="Traditional Arabic" w:hAnsi="Traditional Arabic" w:cs="Traditional Arabic"/>
          <w:color w:val="000000"/>
          <w:sz w:val="30"/>
          <w:szCs w:val="30"/>
          <w:rtl/>
        </w:rPr>
        <w:t xml:space="preserve"> 2014، </w:t>
      </w:r>
      <w:r w:rsidRPr="00A01451">
        <w:rPr>
          <w:rFonts w:ascii="Traditional Arabic" w:hAnsi="Traditional Arabic" w:cs="Traditional Arabic" w:hint="eastAsia"/>
          <w:color w:val="000000"/>
          <w:sz w:val="30"/>
          <w:szCs w:val="30"/>
          <w:rtl/>
        </w:rPr>
        <w:t>و</w:t>
      </w:r>
      <w:r w:rsidRPr="00A01451">
        <w:rPr>
          <w:rFonts w:ascii="Traditional Arabic" w:hAnsi="Traditional Arabic" w:cs="Traditional Arabic"/>
          <w:color w:val="000000"/>
          <w:sz w:val="30"/>
          <w:szCs w:val="30"/>
          <w:rtl/>
        </w:rPr>
        <w:t>التي روجت لها الأمم المتحدة لحماية الأطفال في النزاعات المسلحة</w:t>
      </w:r>
      <w:r w:rsidRPr="00A01451">
        <w:rPr>
          <w:rFonts w:asciiTheme="majorBidi" w:hAnsiTheme="majorBidi" w:cstheme="majorBidi"/>
          <w:sz w:val="30"/>
          <w:szCs w:val="30"/>
        </w:rPr>
        <w:t>.</w:t>
      </w:r>
      <w:r w:rsidRPr="00A01451">
        <w:rPr>
          <w:rStyle w:val="FootnoteReference"/>
          <w:rFonts w:asciiTheme="majorBidi" w:hAnsiTheme="majorBidi" w:cstheme="majorBidi"/>
          <w:sz w:val="30"/>
          <w:szCs w:val="30"/>
        </w:rPr>
        <w:t xml:space="preserve"> </w:t>
      </w:r>
      <w:r w:rsidRPr="00927301">
        <w:rPr>
          <w:rStyle w:val="FootnoteReference"/>
          <w:rFonts w:asciiTheme="majorBidi" w:hAnsiTheme="majorBidi" w:cstheme="majorBidi"/>
          <w:sz w:val="24"/>
          <w:szCs w:val="24"/>
        </w:rPr>
        <w:footnoteReference w:id="1050"/>
      </w:r>
    </w:p>
    <w:p w14:paraId="369D0675" w14:textId="77777777" w:rsidR="009826D6" w:rsidRPr="00A01451" w:rsidRDefault="009826D6" w:rsidP="009826D6">
      <w:pPr>
        <w:tabs>
          <w:tab w:val="left" w:pos="5130"/>
        </w:tabs>
        <w:bidi/>
        <w:spacing w:before="100" w:beforeAutospacing="1" w:after="100" w:afterAutospacing="1" w:line="240" w:lineRule="auto"/>
        <w:ind w:left="1134" w:right="900"/>
        <w:jc w:val="both"/>
        <w:rPr>
          <w:rFonts w:ascii="Traditional Arabic" w:hAnsi="Traditional Arabic" w:cs="Traditional Arabic"/>
          <w:i/>
          <w:iCs/>
          <w:color w:val="000000"/>
          <w:sz w:val="30"/>
          <w:szCs w:val="30"/>
        </w:rPr>
      </w:pPr>
      <w:r w:rsidRPr="00A01451">
        <w:rPr>
          <w:rFonts w:ascii="Traditional Arabic" w:hAnsi="Traditional Arabic" w:cs="Traditional Arabic"/>
          <w:i/>
          <w:iCs/>
          <w:color w:val="000000"/>
          <w:sz w:val="30"/>
          <w:szCs w:val="30"/>
          <w:rtl/>
        </w:rPr>
        <w:t>تجنيد واستخدام الأطفال من قبل القوات المسلحة اليمنية والجماعات المسلحة التابعة لها</w:t>
      </w:r>
    </w:p>
    <w:p w14:paraId="410D83FB"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iCs/>
          <w:sz w:val="24"/>
          <w:szCs w:val="24"/>
        </w:rPr>
      </w:pPr>
      <w:r w:rsidRPr="00655CA9">
        <w:rPr>
          <w:rFonts w:ascii="Traditional Arabic" w:hAnsi="Traditional Arabic" w:cs="Traditional Arabic"/>
          <w:color w:val="000000"/>
          <w:sz w:val="30"/>
          <w:szCs w:val="30"/>
          <w:rtl/>
        </w:rPr>
        <w:t>في عامي 2015 و 2016 ، جندت المقاومة الجنوبية عشرات الأطفال في عدن. قال</w:t>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جندي طفل سابق لفريق الخبراء إن المجموعات جندته في سن الثانية عشرة</w:t>
      </w:r>
      <w:r w:rsidRPr="00887AAC">
        <w:rPr>
          <w:rFonts w:asciiTheme="majorBidi" w:eastAsia="SimSun" w:hAnsiTheme="majorBidi"/>
          <w:sz w:val="24"/>
          <w:szCs w:val="24"/>
          <w:rtl/>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51"/>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وقال الطفل إن والده سمح له فقط العمل بنقطة تفتيش ، وعدم الانضمام إلى المعركة. قال الطفل بأن "نقطة التفتيش كانت موجودة خلف الخط الأمامي ... الخط الأمامي لا يبعد أكثر من 200 متر عن طريق العقبة حيث قام 10 من أصدقائي بدوريات. على الخط الأمامي نفسه ، على بعد 200 متر ، تم نشر 10 أطفال آخرين ".</w:t>
      </w:r>
      <w:r w:rsidRPr="00887AAC">
        <w:rPr>
          <w:rFonts w:asciiTheme="majorBidi" w:eastAsia="SimSun" w:hAnsiTheme="majorBidi"/>
          <w:sz w:val="24"/>
          <w:szCs w:val="24"/>
          <w:rtl/>
          <w:lang w:eastAsia="zh-CN"/>
        </w:rPr>
        <w:t xml:space="preserve"> </w:t>
      </w:r>
      <w:r>
        <w:rPr>
          <w:rStyle w:val="FootnoteReference"/>
          <w:rFonts w:eastAsia="SimSun"/>
          <w:szCs w:val="24"/>
          <w:rtl/>
          <w:lang w:eastAsia="zh-CN"/>
        </w:rPr>
        <w:footnoteReference w:id="1052"/>
      </w:r>
      <w:r w:rsidRPr="00655CA9">
        <w:rPr>
          <w:rFonts w:ascii="Traditional Arabic" w:hAnsi="Traditional Arabic" w:cs="Traditional Arabic"/>
          <w:color w:val="000000"/>
          <w:sz w:val="30"/>
          <w:szCs w:val="30"/>
          <w:rtl/>
        </w:rPr>
        <w:t>فيما يتعلق بدوره ، أضاف الطفل</w:t>
      </w:r>
      <w:r w:rsidRPr="00887AAC">
        <w:rPr>
          <w:rFonts w:asciiTheme="majorBidi" w:eastAsia="SimSun" w:hAnsiTheme="majorBidi"/>
          <w:sz w:val="24"/>
          <w:szCs w:val="24"/>
          <w:rtl/>
          <w:lang w:eastAsia="zh-CN"/>
        </w:rPr>
        <w:t xml:space="preserve"> </w:t>
      </w:r>
      <w:r>
        <w:rPr>
          <w:rFonts w:asciiTheme="majorBidi" w:eastAsia="SimSun" w:hAnsiTheme="majorBidi" w:hint="cs"/>
          <w:sz w:val="24"/>
          <w:szCs w:val="24"/>
          <w:rtl/>
          <w:lang w:eastAsia="zh-CN"/>
        </w:rPr>
        <w:t>:</w:t>
      </w:r>
    </w:p>
    <w:p w14:paraId="3E8D06FB" w14:textId="77777777" w:rsidR="009826D6" w:rsidRPr="00887AAC" w:rsidRDefault="009826D6" w:rsidP="009826D6">
      <w:pPr>
        <w:tabs>
          <w:tab w:val="left" w:pos="5130"/>
          <w:tab w:val="left" w:pos="7513"/>
        </w:tabs>
        <w:bidi/>
        <w:spacing w:before="100" w:beforeAutospacing="1" w:after="100" w:afterAutospacing="1" w:line="240" w:lineRule="auto"/>
        <w:ind w:left="1560" w:right="900" w:hanging="11"/>
        <w:jc w:val="both"/>
        <w:rPr>
          <w:rFonts w:asciiTheme="majorBidi" w:hAnsiTheme="majorBidi" w:cstheme="majorBidi"/>
          <w:i/>
          <w:iCs/>
          <w:sz w:val="24"/>
          <w:szCs w:val="24"/>
        </w:rPr>
      </w:pPr>
      <w:r w:rsidRPr="00655CA9">
        <w:rPr>
          <w:rFonts w:ascii="Traditional Arabic" w:hAnsi="Traditional Arabic" w:cs="Traditional Arabic"/>
          <w:i/>
          <w:iCs/>
          <w:color w:val="000000"/>
          <w:sz w:val="30"/>
          <w:szCs w:val="30"/>
        </w:rPr>
        <w:t>"</w:t>
      </w:r>
      <w:r w:rsidRPr="00655CA9">
        <w:rPr>
          <w:rFonts w:ascii="Traditional Arabic" w:hAnsi="Traditional Arabic" w:cs="Traditional Arabic"/>
          <w:i/>
          <w:iCs/>
          <w:color w:val="000000"/>
          <w:sz w:val="30"/>
          <w:szCs w:val="30"/>
          <w:rtl/>
        </w:rPr>
        <w:t xml:space="preserve">كان دوري هو تفتيش ملابس وحقائب الناس ، وخاصة النساء. كل يوم كنت أسمع إطلاق النار وشعرت بالانفجارات ولكن نقطة تفتيشنا لم تكن مستهدفة </w:t>
      </w:r>
      <w:r w:rsidRPr="00655CA9">
        <w:rPr>
          <w:rFonts w:ascii="Traditional Arabic" w:hAnsi="Traditional Arabic" w:cs="Traditional Arabic"/>
          <w:i/>
          <w:iCs/>
          <w:color w:val="000000"/>
          <w:sz w:val="30"/>
          <w:szCs w:val="30"/>
          <w:rtl/>
        </w:rPr>
        <w:lastRenderedPageBreak/>
        <w:t>مباشرة. كانت مسؤوليتي العثور على المتعاونين والحوثيين. في إحدى المرات ، فتشت امرأة وعثرت على أموال وقنابل</w:t>
      </w:r>
      <w:r w:rsidRPr="00887AAC">
        <w:rPr>
          <w:rFonts w:asciiTheme="majorBidi" w:hAnsiTheme="majorBidi" w:cstheme="majorBidi"/>
          <w:i/>
          <w:iCs/>
          <w:sz w:val="24"/>
          <w:szCs w:val="24"/>
        </w:rPr>
        <w:t xml:space="preserve"> ".</w:t>
      </w:r>
      <w:r w:rsidRPr="00927301">
        <w:rPr>
          <w:rStyle w:val="FootnoteReference"/>
          <w:rFonts w:asciiTheme="majorBidi" w:hAnsiTheme="majorBidi" w:cstheme="majorBidi"/>
          <w:i/>
          <w:iCs/>
          <w:sz w:val="24"/>
          <w:szCs w:val="24"/>
        </w:rPr>
        <w:footnoteReference w:id="1053"/>
      </w:r>
    </w:p>
    <w:p w14:paraId="43519A02" w14:textId="6327233D" w:rsidR="009826D6" w:rsidRPr="00927301" w:rsidRDefault="009826D6" w:rsidP="00434A80">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color w:val="000000"/>
          <w:sz w:val="30"/>
          <w:szCs w:val="30"/>
          <w:rtl/>
        </w:rPr>
        <w:t xml:space="preserve">تلقى فريق الخبراء أدلة دامغة حول التجنيد "القسري" و "الطوعي" لما لا يقل عن 27 طفلاً لا تتجاوز أعمارهم 13 عامًا من قبل القوات المسلحة اليمنية وكذلك من قبل الحزام الأمني المدعوم من الإمارات العربية المتحدة ، </w:t>
      </w:r>
      <w:r w:rsidRPr="00655CA9">
        <w:rPr>
          <w:rFonts w:ascii="Traditional Arabic" w:hAnsi="Traditional Arabic" w:cs="Traditional Arabic" w:hint="eastAsia"/>
          <w:color w:val="000000"/>
          <w:sz w:val="30"/>
          <w:szCs w:val="30"/>
          <w:rtl/>
        </w:rPr>
        <w:t>الوية</w:t>
      </w:r>
      <w:r w:rsidRPr="00655CA9">
        <w:rPr>
          <w:rFonts w:ascii="Traditional Arabic" w:hAnsi="Traditional Arabic" w:cs="Traditional Arabic"/>
          <w:color w:val="000000"/>
          <w:sz w:val="30"/>
          <w:szCs w:val="30"/>
          <w:rtl/>
        </w:rPr>
        <w:t xml:space="preserve"> العمالقة ، وقوات </w:t>
      </w:r>
      <w:r w:rsidRPr="00655CA9">
        <w:rPr>
          <w:rFonts w:ascii="Traditional Arabic" w:hAnsi="Traditional Arabic" w:cs="Traditional Arabic" w:hint="eastAsia"/>
          <w:color w:val="000000"/>
          <w:sz w:val="30"/>
          <w:szCs w:val="30"/>
          <w:rtl/>
        </w:rPr>
        <w:t>النخبه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الشبوانيه</w:t>
      </w:r>
      <w:r w:rsidRPr="00655CA9">
        <w:rPr>
          <w:rFonts w:ascii="Traditional Arabic" w:hAnsi="Traditional Arabic" w:cs="Traditional Arabic"/>
          <w:color w:val="000000"/>
          <w:sz w:val="30"/>
          <w:szCs w:val="30"/>
          <w:rtl/>
        </w:rPr>
        <w:t xml:space="preserve"> ، </w:t>
      </w:r>
      <w:r w:rsidRPr="00655CA9">
        <w:rPr>
          <w:rFonts w:ascii="Traditional Arabic" w:hAnsi="Traditional Arabic" w:cs="Traditional Arabic" w:hint="eastAsia"/>
          <w:color w:val="000000"/>
          <w:sz w:val="30"/>
          <w:szCs w:val="30"/>
          <w:rtl/>
        </w:rPr>
        <w:t>وذلك</w:t>
      </w:r>
      <w:r w:rsidRPr="00655CA9">
        <w:rPr>
          <w:rFonts w:ascii="Traditional Arabic" w:hAnsi="Traditional Arabic" w:cs="Traditional Arabic"/>
          <w:color w:val="000000"/>
          <w:sz w:val="30"/>
          <w:szCs w:val="30"/>
          <w:rtl/>
        </w:rPr>
        <w:t xml:space="preserve"> منذ عام</w:t>
      </w:r>
      <w:r w:rsidRPr="00887AAC">
        <w:rPr>
          <w:rFonts w:asciiTheme="majorBidi" w:hAnsiTheme="majorBidi"/>
          <w:sz w:val="24"/>
          <w:szCs w:val="24"/>
          <w:rtl/>
        </w:rPr>
        <w:t xml:space="preserve"> </w:t>
      </w:r>
      <w:r w:rsidRPr="00927301">
        <w:rPr>
          <w:rStyle w:val="FootnoteReference"/>
          <w:rFonts w:asciiTheme="majorBidi" w:hAnsiTheme="majorBidi" w:cstheme="majorBidi"/>
          <w:sz w:val="24"/>
          <w:szCs w:val="24"/>
        </w:rPr>
        <w:footnoteReference w:id="1054"/>
      </w:r>
      <w:r w:rsidRPr="00927301">
        <w:rPr>
          <w:rFonts w:asciiTheme="majorBidi" w:hAnsiTheme="majorBidi" w:cstheme="majorBidi"/>
          <w:sz w:val="24"/>
          <w:szCs w:val="24"/>
        </w:rPr>
        <w:t xml:space="preserve"> </w:t>
      </w:r>
      <w:r w:rsidRPr="00887AAC">
        <w:rPr>
          <w:rFonts w:asciiTheme="majorBidi" w:hAnsiTheme="majorBidi"/>
          <w:sz w:val="24"/>
          <w:szCs w:val="24"/>
          <w:rtl/>
        </w:rPr>
        <w:t>2017</w:t>
      </w:r>
      <w:r w:rsidRPr="00655CA9">
        <w:rPr>
          <w:rFonts w:ascii="Traditional Arabic" w:hAnsi="Traditional Arabic" w:cs="Traditional Arabic"/>
          <w:color w:val="000000"/>
          <w:sz w:val="30"/>
          <w:szCs w:val="30"/>
          <w:rtl/>
        </w:rPr>
        <w:t xml:space="preserve">. من </w:t>
      </w:r>
      <w:r w:rsidRPr="00655CA9">
        <w:rPr>
          <w:rFonts w:ascii="Traditional Arabic" w:hAnsi="Traditional Arabic" w:cs="Traditional Arabic" w:hint="eastAsia"/>
          <w:color w:val="000000"/>
          <w:sz w:val="30"/>
          <w:szCs w:val="30"/>
          <w:rtl/>
        </w:rPr>
        <w:t>بين</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هؤلاء</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الاطفال</w:t>
      </w:r>
      <w:r w:rsidRPr="00655CA9">
        <w:rPr>
          <w:rFonts w:ascii="Traditional Arabic" w:hAnsi="Traditional Arabic" w:cs="Traditional Arabic"/>
          <w:color w:val="000000"/>
          <w:sz w:val="30"/>
          <w:szCs w:val="30"/>
          <w:rtl/>
        </w:rPr>
        <w:t xml:space="preserve"> ، ما لا يقل عن 22 طفلاً - بعضهم لا يتجاوز عمره 13 عامًا - تم تجنيدهم بواسطة الحزام الأمني </w:t>
      </w:r>
      <w:r w:rsidRPr="00655CA9">
        <w:rPr>
          <w:rFonts w:ascii="Traditional Arabic" w:hAnsi="Traditional Arabic" w:cs="Traditional Arabic" w:hint="eastAsia"/>
          <w:color w:val="000000"/>
          <w:sz w:val="30"/>
          <w:szCs w:val="30"/>
          <w:rtl/>
        </w:rPr>
        <w:t>والوية</w:t>
      </w:r>
      <w:r w:rsidRPr="00655CA9">
        <w:rPr>
          <w:rFonts w:ascii="Traditional Arabic" w:hAnsi="Traditional Arabic" w:cs="Traditional Arabic"/>
          <w:color w:val="000000"/>
          <w:sz w:val="30"/>
          <w:szCs w:val="30"/>
          <w:rtl/>
        </w:rPr>
        <w:t xml:space="preserve"> العمالقة – </w:t>
      </w:r>
      <w:r w:rsidRPr="00655CA9">
        <w:rPr>
          <w:rFonts w:ascii="Traditional Arabic" w:hAnsi="Traditional Arabic" w:cs="Traditional Arabic" w:hint="eastAsia"/>
          <w:color w:val="000000"/>
          <w:sz w:val="30"/>
          <w:szCs w:val="30"/>
          <w:rtl/>
        </w:rPr>
        <w:t>وتم</w:t>
      </w:r>
      <w:r w:rsidRPr="00655CA9">
        <w:rPr>
          <w:rFonts w:ascii="Traditional Arabic" w:hAnsi="Traditional Arabic" w:cs="Traditional Arabic"/>
          <w:color w:val="000000"/>
          <w:sz w:val="30"/>
          <w:szCs w:val="30"/>
          <w:rtl/>
        </w:rPr>
        <w:t xml:space="preserve"> استخدامهم في الأدوار القتالية طوال الحملة العسكرية في الحديدة عام 2018. وفقًا إلى المعلومات التي جمعها فريق الخبراء ، توفي خمسة </w:t>
      </w:r>
      <w:r w:rsidRPr="00655CA9">
        <w:rPr>
          <w:rFonts w:ascii="Traditional Arabic" w:hAnsi="Traditional Arabic" w:cs="Traditional Arabic" w:hint="eastAsia"/>
          <w:color w:val="000000"/>
          <w:sz w:val="30"/>
          <w:szCs w:val="30"/>
          <w:rtl/>
        </w:rPr>
        <w:t>اطفال</w:t>
      </w:r>
      <w:r w:rsidRPr="00655CA9">
        <w:rPr>
          <w:rFonts w:ascii="Traditional Arabic" w:hAnsi="Traditional Arabic" w:cs="Traditional Arabic"/>
          <w:color w:val="000000"/>
          <w:sz w:val="30"/>
          <w:szCs w:val="30"/>
          <w:rtl/>
        </w:rPr>
        <w:t xml:space="preserve"> وأصيب خمسة آخرون. ومن بين الأطفال الخمسة الذين قُتلوا ، أحدهم تم تجنيده في سن 16 عامًا ، كان على وشك العودة إلى المنزل بحلول نهاية </w:t>
      </w:r>
      <w:r w:rsidR="00434A80">
        <w:rPr>
          <w:rFonts w:ascii="Traditional Arabic" w:hAnsi="Traditional Arabic" w:cs="Traditional Arabic" w:hint="cs"/>
          <w:color w:val="000000"/>
          <w:sz w:val="30"/>
          <w:szCs w:val="30"/>
          <w:rtl/>
        </w:rPr>
        <w:t xml:space="preserve">كانون الأول/ </w:t>
      </w:r>
      <w:r w:rsidRPr="00655CA9">
        <w:rPr>
          <w:rFonts w:ascii="Traditional Arabic" w:hAnsi="Traditional Arabic" w:cs="Traditional Arabic"/>
          <w:color w:val="000000"/>
          <w:sz w:val="30"/>
          <w:szCs w:val="30"/>
          <w:rtl/>
        </w:rPr>
        <w:t xml:space="preserve">ديسمبر 2018 حيث تلقى راتبه ووافقت الأطراف على وقف إطلاق النار. </w:t>
      </w:r>
      <w:r w:rsidRPr="00655CA9">
        <w:rPr>
          <w:rFonts w:ascii="Traditional Arabic" w:hAnsi="Traditional Arabic" w:cs="Traditional Arabic" w:hint="eastAsia"/>
          <w:color w:val="000000"/>
          <w:sz w:val="30"/>
          <w:szCs w:val="30"/>
          <w:rtl/>
        </w:rPr>
        <w:t>استلم</w:t>
      </w:r>
      <w:r w:rsidRPr="00655CA9">
        <w:rPr>
          <w:rFonts w:ascii="Traditional Arabic" w:hAnsi="Traditional Arabic" w:cs="Traditional Arabic"/>
          <w:color w:val="000000"/>
          <w:sz w:val="30"/>
          <w:szCs w:val="30"/>
          <w:rtl/>
        </w:rPr>
        <w:t xml:space="preserve"> والد الطفل جثة ابنه في 24 </w:t>
      </w:r>
      <w:r w:rsidR="00434A80">
        <w:rPr>
          <w:rFonts w:ascii="Traditional Arabic" w:hAnsi="Traditional Arabic" w:cs="Traditional Arabic" w:hint="cs"/>
          <w:color w:val="000000"/>
          <w:sz w:val="30"/>
          <w:szCs w:val="30"/>
          <w:rtl/>
        </w:rPr>
        <w:t xml:space="preserve">كانون الأول/ </w:t>
      </w:r>
      <w:r w:rsidRPr="00655CA9">
        <w:rPr>
          <w:rFonts w:ascii="Traditional Arabic" w:hAnsi="Traditional Arabic" w:cs="Traditional Arabic"/>
          <w:color w:val="000000"/>
          <w:sz w:val="30"/>
          <w:szCs w:val="30"/>
          <w:rtl/>
        </w:rPr>
        <w:t>ديسمبر و</w:t>
      </w:r>
      <w:r w:rsidRPr="00655CA9">
        <w:rPr>
          <w:rFonts w:ascii="Traditional Arabic" w:hAnsi="Traditional Arabic" w:cs="Traditional Arabic" w:hint="eastAsia"/>
          <w:color w:val="000000"/>
          <w:sz w:val="30"/>
          <w:szCs w:val="30"/>
          <w:rtl/>
        </w:rPr>
        <w:t>الذي</w:t>
      </w:r>
      <w:r w:rsidRPr="00655CA9">
        <w:rPr>
          <w:rFonts w:ascii="Traditional Arabic" w:hAnsi="Traditional Arabic" w:cs="Traditional Arabic"/>
          <w:color w:val="000000"/>
          <w:sz w:val="30"/>
          <w:szCs w:val="30"/>
          <w:rtl/>
        </w:rPr>
        <w:t xml:space="preserve"> أصيب بعيار ناري عيار 23 ملم </w:t>
      </w:r>
      <w:r w:rsidRPr="00655CA9">
        <w:rPr>
          <w:rFonts w:ascii="Traditional Arabic" w:hAnsi="Traditional Arabic" w:cs="Traditional Arabic" w:hint="eastAsia"/>
          <w:color w:val="000000"/>
          <w:sz w:val="30"/>
          <w:szCs w:val="30"/>
          <w:rtl/>
        </w:rPr>
        <w:t>في</w:t>
      </w:r>
      <w:r w:rsidRPr="00655CA9">
        <w:rPr>
          <w:rFonts w:ascii="Traditional Arabic" w:hAnsi="Traditional Arabic" w:cs="Traditional Arabic"/>
          <w:color w:val="000000"/>
          <w:sz w:val="30"/>
          <w:szCs w:val="30"/>
          <w:rtl/>
        </w:rPr>
        <w:t xml:space="preserve"> بطنه. أخبر الأب فريق الخبراء بهذه التجربة</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55"/>
      </w:r>
    </w:p>
    <w:p w14:paraId="2C8E1BDD" w14:textId="77777777" w:rsidR="009826D6" w:rsidRPr="00655CA9" w:rsidRDefault="009826D6" w:rsidP="009826D6">
      <w:pPr>
        <w:tabs>
          <w:tab w:val="right" w:pos="7893"/>
        </w:tabs>
        <w:bidi/>
        <w:spacing w:before="100" w:beforeAutospacing="1" w:after="100" w:afterAutospacing="1" w:line="240" w:lineRule="auto"/>
        <w:ind w:left="1560" w:right="900" w:hanging="11"/>
        <w:jc w:val="both"/>
        <w:rPr>
          <w:rFonts w:ascii="Traditional Arabic" w:hAnsi="Traditional Arabic" w:cs="Traditional Arabic"/>
          <w:i/>
          <w:iCs/>
          <w:color w:val="000000"/>
          <w:sz w:val="30"/>
          <w:szCs w:val="30"/>
        </w:rPr>
      </w:pPr>
      <w:r w:rsidRPr="00655CA9">
        <w:rPr>
          <w:rFonts w:ascii="Traditional Arabic" w:hAnsi="Traditional Arabic" w:cs="Traditional Arabic"/>
          <w:i/>
          <w:iCs/>
          <w:color w:val="000000"/>
          <w:sz w:val="30"/>
          <w:szCs w:val="30"/>
        </w:rPr>
        <w:t>"</w:t>
      </w:r>
      <w:r w:rsidRPr="00655CA9">
        <w:rPr>
          <w:rFonts w:ascii="Traditional Arabic" w:hAnsi="Traditional Arabic" w:cs="Traditional Arabic"/>
          <w:i/>
          <w:iCs/>
          <w:color w:val="000000"/>
          <w:sz w:val="30"/>
          <w:szCs w:val="30"/>
          <w:rtl/>
        </w:rPr>
        <w:t>[ابني] كان جثة هامده ... اللواء العاشر أحضره إلى المستشفى</w:t>
      </w:r>
      <w:r w:rsidRPr="00655CA9">
        <w:rPr>
          <w:rFonts w:ascii="Traditional Arabic" w:hAnsi="Traditional Arabic" w:cs="Traditional Arabic" w:hint="eastAsia"/>
          <w:i/>
          <w:iCs/>
          <w:color w:val="000000"/>
          <w:sz w:val="30"/>
          <w:szCs w:val="30"/>
          <w:rtl/>
        </w:rPr>
        <w:t>،</w:t>
      </w:r>
      <w:r w:rsidRPr="00655CA9">
        <w:rPr>
          <w:rFonts w:ascii="Traditional Arabic" w:hAnsi="Traditional Arabic" w:cs="Traditional Arabic"/>
          <w:i/>
          <w:iCs/>
          <w:color w:val="000000"/>
          <w:sz w:val="30"/>
          <w:szCs w:val="30"/>
          <w:rtl/>
        </w:rPr>
        <w:t xml:space="preserve">   لقد انهر</w:t>
      </w:r>
      <w:r w:rsidRPr="00655CA9">
        <w:rPr>
          <w:rFonts w:ascii="Traditional Arabic" w:hAnsi="Traditional Arabic" w:cs="Traditional Arabic" w:hint="eastAsia"/>
          <w:i/>
          <w:iCs/>
          <w:color w:val="000000"/>
          <w:sz w:val="30"/>
          <w:szCs w:val="30"/>
          <w:rtl/>
        </w:rPr>
        <w:t>ت</w:t>
      </w:r>
      <w:r w:rsidRPr="00655CA9">
        <w:rPr>
          <w:rFonts w:ascii="Traditional Arabic" w:hAnsi="Traditional Arabic" w:cs="Traditional Arabic"/>
          <w:i/>
          <w:iCs/>
          <w:color w:val="000000"/>
          <w:sz w:val="30"/>
          <w:szCs w:val="30"/>
          <w:rtl/>
        </w:rPr>
        <w:t xml:space="preserve"> عندما قال لي الضابط" </w:t>
      </w:r>
      <w:r w:rsidRPr="00655CA9">
        <w:rPr>
          <w:rFonts w:ascii="Traditional Arabic" w:hAnsi="Traditional Arabic" w:cs="Traditional Arabic" w:hint="eastAsia"/>
          <w:i/>
          <w:iCs/>
          <w:color w:val="000000"/>
          <w:sz w:val="30"/>
          <w:szCs w:val="30"/>
          <w:rtl/>
        </w:rPr>
        <w:t>انا</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لله</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وانا</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اليه</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راجعون</w:t>
      </w:r>
      <w:r w:rsidRPr="00655CA9">
        <w:rPr>
          <w:rFonts w:ascii="Traditional Arabic" w:hAnsi="Traditional Arabic" w:cs="Traditional Arabic"/>
          <w:i/>
          <w:iCs/>
          <w:color w:val="000000"/>
          <w:sz w:val="30"/>
          <w:szCs w:val="30"/>
          <w:rtl/>
        </w:rPr>
        <w:t xml:space="preserve"> ... "</w:t>
      </w:r>
      <w:r w:rsidRPr="00655CA9">
        <w:rPr>
          <w:rFonts w:ascii="Traditional Arabic" w:hAnsi="Traditional Arabic" w:cs="Traditional Arabic" w:hint="eastAsia"/>
          <w:i/>
          <w:iCs/>
          <w:color w:val="000000"/>
          <w:sz w:val="30"/>
          <w:szCs w:val="30"/>
          <w:rtl/>
        </w:rPr>
        <w:t>تفحصت</w:t>
      </w:r>
      <w:r w:rsidRPr="00655CA9">
        <w:rPr>
          <w:rFonts w:ascii="Traditional Arabic" w:hAnsi="Traditional Arabic" w:cs="Traditional Arabic"/>
          <w:i/>
          <w:iCs/>
          <w:color w:val="000000"/>
          <w:sz w:val="30"/>
          <w:szCs w:val="30"/>
          <w:rtl/>
        </w:rPr>
        <w:t xml:space="preserve"> الجثة. لقد أصيب </w:t>
      </w:r>
      <w:r w:rsidRPr="00655CA9">
        <w:rPr>
          <w:rFonts w:ascii="Traditional Arabic" w:hAnsi="Traditional Arabic" w:cs="Traditional Arabic" w:hint="eastAsia"/>
          <w:i/>
          <w:iCs/>
          <w:color w:val="000000"/>
          <w:sz w:val="30"/>
          <w:szCs w:val="30"/>
          <w:rtl/>
        </w:rPr>
        <w:t>بطلق</w:t>
      </w:r>
      <w:r w:rsidRPr="00655CA9">
        <w:rPr>
          <w:rFonts w:ascii="Traditional Arabic" w:hAnsi="Traditional Arabic" w:cs="Traditional Arabic"/>
          <w:i/>
          <w:iCs/>
          <w:color w:val="000000"/>
          <w:sz w:val="30"/>
          <w:szCs w:val="30"/>
          <w:rtl/>
        </w:rPr>
        <w:t xml:space="preserve"> ناري  عيار 23 ملم في بطنه و</w:t>
      </w:r>
      <w:r w:rsidRPr="00655CA9">
        <w:rPr>
          <w:rFonts w:ascii="Traditional Arabic" w:hAnsi="Traditional Arabic" w:cs="Traditional Arabic" w:hint="eastAsia"/>
          <w:i/>
          <w:iCs/>
          <w:color w:val="000000"/>
          <w:sz w:val="30"/>
          <w:szCs w:val="30"/>
          <w:rtl/>
        </w:rPr>
        <w:t>خرجت</w:t>
      </w:r>
      <w:r w:rsidRPr="00655CA9">
        <w:rPr>
          <w:rFonts w:ascii="Traditional Arabic" w:hAnsi="Traditional Arabic" w:cs="Traditional Arabic"/>
          <w:i/>
          <w:iCs/>
          <w:color w:val="000000"/>
          <w:sz w:val="30"/>
          <w:szCs w:val="30"/>
          <w:rtl/>
        </w:rPr>
        <w:t xml:space="preserve"> كل </w:t>
      </w:r>
      <w:r w:rsidRPr="00655CA9">
        <w:rPr>
          <w:rFonts w:ascii="Traditional Arabic" w:hAnsi="Traditional Arabic" w:cs="Traditional Arabic" w:hint="eastAsia"/>
          <w:i/>
          <w:iCs/>
          <w:color w:val="000000"/>
          <w:sz w:val="30"/>
          <w:szCs w:val="30"/>
          <w:rtl/>
        </w:rPr>
        <w:t>احشاءه</w:t>
      </w:r>
      <w:r w:rsidRPr="00655CA9">
        <w:rPr>
          <w:rFonts w:ascii="Traditional Arabic" w:hAnsi="Traditional Arabic" w:cs="Traditional Arabic"/>
          <w:i/>
          <w:iCs/>
          <w:color w:val="000000"/>
          <w:sz w:val="30"/>
          <w:szCs w:val="30"/>
          <w:rtl/>
        </w:rPr>
        <w:t xml:space="preserve"> (خارج بطنه) ،</w:t>
      </w:r>
      <w:r w:rsidRPr="00655CA9">
        <w:rPr>
          <w:rFonts w:ascii="Traditional Arabic" w:hAnsi="Traditional Arabic" w:cs="Traditional Arabic" w:hint="eastAsia"/>
          <w:i/>
          <w:iCs/>
          <w:color w:val="000000"/>
          <w:sz w:val="30"/>
          <w:szCs w:val="30"/>
          <w:rtl/>
        </w:rPr>
        <w:t>لقد</w:t>
      </w:r>
      <w:r w:rsidRPr="00655CA9">
        <w:rPr>
          <w:rFonts w:ascii="Traditional Arabic" w:hAnsi="Traditional Arabic" w:cs="Traditional Arabic"/>
          <w:i/>
          <w:iCs/>
          <w:color w:val="000000"/>
          <w:sz w:val="30"/>
          <w:szCs w:val="30"/>
          <w:rtl/>
        </w:rPr>
        <w:t xml:space="preserve">  كان </w:t>
      </w:r>
      <w:r w:rsidRPr="00655CA9">
        <w:rPr>
          <w:rFonts w:ascii="Traditional Arabic" w:hAnsi="Traditional Arabic" w:cs="Traditional Arabic" w:hint="eastAsia"/>
          <w:i/>
          <w:iCs/>
          <w:color w:val="000000"/>
          <w:sz w:val="30"/>
          <w:szCs w:val="30"/>
          <w:rtl/>
        </w:rPr>
        <w:t>التاريخ</w:t>
      </w:r>
      <w:r w:rsidRPr="00655CA9">
        <w:rPr>
          <w:rFonts w:ascii="Traditional Arabic" w:hAnsi="Traditional Arabic" w:cs="Traditional Arabic"/>
          <w:i/>
          <w:iCs/>
          <w:color w:val="000000"/>
          <w:sz w:val="30"/>
          <w:szCs w:val="30"/>
          <w:rtl/>
        </w:rPr>
        <w:t xml:space="preserve">  24 ديسمبر 2018 ... لم يتمكنوا من استعادة الجثث إلا في اليوم الثالث ، في 23 ديسمبر وفقط بعد تكثيف التحالف للغارات الجوية. أخبرني أن ابني توفي بسبب النزيف وعدم الاهتمام. كان خطأ ابني أنه ولد في بلد متخلف ، بلد لا يعرف قيمة الأطفال ولا يحترم مشاعرهم. وُلد في بلد به ميليشيات وحكومة فاسدة</w:t>
      </w:r>
      <w:r w:rsidRPr="00655CA9">
        <w:rPr>
          <w:rFonts w:ascii="Traditional Arabic" w:hAnsi="Traditional Arabic" w:cs="Traditional Arabic"/>
          <w:i/>
          <w:iCs/>
          <w:color w:val="000000"/>
          <w:sz w:val="30"/>
          <w:szCs w:val="30"/>
        </w:rPr>
        <w:t xml:space="preserve"> ".</w:t>
      </w:r>
    </w:p>
    <w:p w14:paraId="62CFBEA8" w14:textId="69AE68E5" w:rsidR="009826D6" w:rsidRPr="00655CA9" w:rsidRDefault="009826D6" w:rsidP="00434A80">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color w:val="000000"/>
          <w:sz w:val="30"/>
          <w:szCs w:val="30"/>
          <w:rtl/>
        </w:rPr>
      </w:pPr>
      <w:r w:rsidRPr="00655CA9">
        <w:rPr>
          <w:rFonts w:ascii="Traditional Arabic" w:hAnsi="Traditional Arabic" w:cs="Traditional Arabic" w:hint="eastAsia"/>
          <w:color w:val="000000"/>
          <w:sz w:val="30"/>
          <w:szCs w:val="30"/>
          <w:rtl/>
        </w:rPr>
        <w:t>تمت</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مقابلة</w:t>
      </w:r>
      <w:r w:rsidRPr="00655CA9">
        <w:rPr>
          <w:rFonts w:ascii="Traditional Arabic" w:hAnsi="Traditional Arabic" w:cs="Traditional Arabic"/>
          <w:color w:val="000000"/>
          <w:sz w:val="30"/>
          <w:szCs w:val="30"/>
          <w:rtl/>
        </w:rPr>
        <w:t xml:space="preserve"> ثلاثة جنود اطفال ممن تم تجنيدهم في عمر 14 و 15 و 17 عامًا بواسطة الحزام الأمني </w:t>
      </w:r>
      <w:r w:rsidRPr="00655CA9">
        <w:rPr>
          <w:rFonts w:ascii="Traditional Arabic" w:hAnsi="Traditional Arabic" w:cs="Traditional Arabic" w:hint="eastAsia"/>
          <w:color w:val="000000"/>
          <w:sz w:val="30"/>
          <w:szCs w:val="30"/>
          <w:rtl/>
        </w:rPr>
        <w:t>و</w:t>
      </w:r>
      <w:r w:rsidR="00434A80">
        <w:rPr>
          <w:rFonts w:ascii="Traditional Arabic" w:hAnsi="Traditional Arabic" w:cs="Traditional Arabic" w:hint="cs"/>
          <w:color w:val="000000"/>
          <w:sz w:val="30"/>
          <w:szCs w:val="30"/>
          <w:rtl/>
        </w:rPr>
        <w:t>أ</w:t>
      </w:r>
      <w:r w:rsidRPr="00655CA9">
        <w:rPr>
          <w:rFonts w:ascii="Traditional Arabic" w:hAnsi="Traditional Arabic" w:cs="Traditional Arabic" w:hint="eastAsia"/>
          <w:color w:val="000000"/>
          <w:sz w:val="30"/>
          <w:szCs w:val="30"/>
          <w:rtl/>
        </w:rPr>
        <w:t>لوية</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العمالقة</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حيث</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افادوا</w:t>
      </w:r>
      <w:r w:rsidRPr="00655CA9">
        <w:rPr>
          <w:rFonts w:ascii="Traditional Arabic" w:hAnsi="Traditional Arabic" w:cs="Traditional Arabic"/>
          <w:color w:val="000000"/>
          <w:sz w:val="30"/>
          <w:szCs w:val="30"/>
          <w:rtl/>
        </w:rPr>
        <w:t xml:space="preserve"> أنهم شاركوا في الهجوم في المخا، ثم في </w:t>
      </w:r>
      <w:r w:rsidRPr="00655CA9">
        <w:rPr>
          <w:rFonts w:ascii="Traditional Arabic" w:hAnsi="Traditional Arabic" w:cs="Traditional Arabic" w:hint="eastAsia"/>
          <w:color w:val="000000"/>
          <w:sz w:val="30"/>
          <w:szCs w:val="30"/>
          <w:rtl/>
        </w:rPr>
        <w:t>هجوم</w:t>
      </w:r>
      <w:r w:rsidRPr="00655CA9">
        <w:rPr>
          <w:rFonts w:ascii="Traditional Arabic" w:hAnsi="Traditional Arabic" w:cs="Traditional Arabic"/>
          <w:color w:val="000000"/>
          <w:sz w:val="30"/>
          <w:szCs w:val="30"/>
          <w:rtl/>
        </w:rPr>
        <w:t xml:space="preserve"> الحديدة</w:t>
      </w:r>
      <w:r w:rsidRPr="00927301">
        <w:rPr>
          <w:rStyle w:val="FootnoteReference"/>
          <w:rFonts w:asciiTheme="majorBidi" w:hAnsiTheme="majorBidi" w:cstheme="majorBidi"/>
          <w:sz w:val="24"/>
          <w:szCs w:val="24"/>
        </w:rPr>
        <w:footnoteReference w:id="1056"/>
      </w:r>
      <w:r w:rsidRPr="00887AAC">
        <w:rPr>
          <w:rtl/>
        </w:rPr>
        <w:t xml:space="preserve">. </w:t>
      </w:r>
      <w:r w:rsidRPr="00655CA9">
        <w:rPr>
          <w:rFonts w:ascii="Traditional Arabic" w:hAnsi="Traditional Arabic" w:cs="Traditional Arabic"/>
          <w:color w:val="000000"/>
          <w:sz w:val="30"/>
          <w:szCs w:val="30"/>
          <w:rtl/>
        </w:rPr>
        <w:t>ذكر أحد من أجريت معهم المقابلات التالي:</w:t>
      </w:r>
    </w:p>
    <w:p w14:paraId="56D216E9" w14:textId="7D0B04DD" w:rsidR="009826D6" w:rsidRPr="00927301" w:rsidRDefault="009826D6" w:rsidP="009469DA">
      <w:pPr>
        <w:bidi/>
        <w:spacing w:before="100" w:beforeAutospacing="1" w:after="100" w:afterAutospacing="1" w:line="240" w:lineRule="auto"/>
        <w:ind w:left="1560" w:right="900" w:hanging="11"/>
        <w:jc w:val="both"/>
        <w:rPr>
          <w:rFonts w:asciiTheme="majorBidi" w:hAnsiTheme="majorBidi" w:cstheme="majorBidi"/>
          <w:sz w:val="24"/>
          <w:szCs w:val="24"/>
        </w:rPr>
      </w:pPr>
      <w:r w:rsidRPr="00655CA9">
        <w:rPr>
          <w:rFonts w:ascii="Traditional Arabic" w:hAnsi="Traditional Arabic" w:cs="Traditional Arabic"/>
          <w:i/>
          <w:iCs/>
          <w:color w:val="000000"/>
          <w:sz w:val="30"/>
          <w:szCs w:val="30"/>
          <w:rtl/>
        </w:rPr>
        <w:t>"لم أتخيل أبداً أنني سوف أنضم إلى القوات المسلحة أو الجيش. كان حلمي أن أصبح معلم ... عندما سقط الحوثيون، قررت البحث عن وظيفة بأي طريقة لمساعدة أسرتي في نفقات المنزل. ارتفعت الأسعار ولم يكن راتب والدي كافياً. في بداية عام 2016 ... قررت الالتحاق ، وساعدني أقاربي لأن معظمهم في الجيش</w:t>
      </w:r>
      <w:r w:rsidR="009469DA">
        <w:rPr>
          <w:rFonts w:ascii="Traditional Arabic" w:hAnsi="Traditional Arabic" w:cs="Traditional Arabic" w:hint="cs"/>
          <w:i/>
          <w:iCs/>
          <w:color w:val="000000"/>
          <w:sz w:val="30"/>
          <w:szCs w:val="30"/>
          <w:rtl/>
        </w:rPr>
        <w:t xml:space="preserve">، </w:t>
      </w:r>
      <w:r w:rsidRPr="00655CA9">
        <w:rPr>
          <w:rFonts w:ascii="Traditional Arabic" w:hAnsi="Traditional Arabic" w:cs="Traditional Arabic" w:hint="eastAsia"/>
          <w:i/>
          <w:iCs/>
          <w:color w:val="000000"/>
          <w:sz w:val="30"/>
          <w:szCs w:val="30"/>
          <w:rtl/>
        </w:rPr>
        <w:t>كان</w:t>
      </w:r>
      <w:r w:rsidRPr="00655CA9">
        <w:rPr>
          <w:rFonts w:ascii="Traditional Arabic" w:hAnsi="Traditional Arabic" w:cs="Traditional Arabic"/>
          <w:i/>
          <w:iCs/>
          <w:color w:val="000000"/>
          <w:sz w:val="30"/>
          <w:szCs w:val="30"/>
          <w:rtl/>
        </w:rPr>
        <w:t xml:space="preserve"> </w:t>
      </w:r>
      <w:r w:rsidRPr="00655CA9">
        <w:rPr>
          <w:rFonts w:ascii="Traditional Arabic" w:hAnsi="Traditional Arabic" w:cs="Traditional Arabic" w:hint="eastAsia"/>
          <w:i/>
          <w:iCs/>
          <w:color w:val="000000"/>
          <w:sz w:val="30"/>
          <w:szCs w:val="30"/>
          <w:rtl/>
        </w:rPr>
        <w:t>عمري</w:t>
      </w:r>
      <w:r w:rsidRPr="00655CA9">
        <w:rPr>
          <w:rFonts w:ascii="Traditional Arabic" w:hAnsi="Traditional Arabic" w:cs="Traditional Arabic"/>
          <w:i/>
          <w:iCs/>
          <w:color w:val="000000"/>
          <w:sz w:val="30"/>
          <w:szCs w:val="30"/>
          <w:rtl/>
        </w:rPr>
        <w:t xml:space="preserve"> ما يق</w:t>
      </w:r>
      <w:r w:rsidRPr="00655CA9">
        <w:rPr>
          <w:rFonts w:ascii="Traditional Arabic" w:hAnsi="Traditional Arabic" w:cs="Traditional Arabic" w:hint="eastAsia"/>
          <w:i/>
          <w:iCs/>
          <w:color w:val="000000"/>
          <w:sz w:val="30"/>
          <w:szCs w:val="30"/>
          <w:rtl/>
        </w:rPr>
        <w:t>ا</w:t>
      </w:r>
      <w:r w:rsidRPr="00655CA9">
        <w:rPr>
          <w:rFonts w:ascii="Traditional Arabic" w:hAnsi="Traditional Arabic" w:cs="Traditional Arabic"/>
          <w:i/>
          <w:iCs/>
          <w:color w:val="000000"/>
          <w:sz w:val="30"/>
          <w:szCs w:val="30"/>
          <w:rtl/>
        </w:rPr>
        <w:t>رب 15 سنة. التحقت بالجيش وذهبت إلى التدريب في محافظة عدن لمدة 4 أشهر</w:t>
      </w:r>
      <w:r w:rsidRPr="00887AAC">
        <w:rPr>
          <w:rFonts w:asciiTheme="majorBidi" w:eastAsia="Calibri" w:hAnsiTheme="majorBidi" w:cstheme="majorBidi"/>
          <w:i/>
          <w:iCs/>
          <w:sz w:val="24"/>
          <w:szCs w:val="24"/>
          <w:lang w:val="de-AT"/>
        </w:rPr>
        <w:t xml:space="preserve"> </w:t>
      </w:r>
      <w:r w:rsidRPr="00927301">
        <w:rPr>
          <w:rFonts w:asciiTheme="majorBidi" w:eastAsia="Calibri" w:hAnsiTheme="majorBidi" w:cstheme="majorBidi"/>
          <w:sz w:val="24"/>
          <w:szCs w:val="24"/>
          <w:lang w:val="de-AT"/>
        </w:rPr>
        <w:t>".</w:t>
      </w:r>
      <w:r>
        <w:rPr>
          <w:rStyle w:val="FootnoteReference"/>
          <w:rFonts w:eastAsia="Calibri" w:cstheme="majorBidi"/>
          <w:szCs w:val="24"/>
        </w:rPr>
        <w:footnoteReference w:id="1057"/>
      </w:r>
    </w:p>
    <w:p w14:paraId="54C5C75A" w14:textId="57052793" w:rsidR="009826D6" w:rsidRPr="00496E98" w:rsidRDefault="009826D6" w:rsidP="00D12444">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color w:val="000000"/>
          <w:sz w:val="30"/>
          <w:szCs w:val="30"/>
          <w:rtl/>
        </w:rPr>
        <w:lastRenderedPageBreak/>
        <w:t>أوضح أحد الضحايا ، الذي تم تجنيده في أبين ، وهو في سن 15 عامًا ، أن التجنيد كان يتم بمعظمه من قِبل شخص في القرية مسؤول عن تلك الأمور (لم يتم ذكر اسم</w:t>
      </w:r>
      <w:r w:rsidR="006D1AF1">
        <w:rPr>
          <w:rFonts w:ascii="Traditional Arabic" w:hAnsi="Traditional Arabic" w:cs="Traditional Arabic" w:hint="cs"/>
          <w:color w:val="000000"/>
          <w:sz w:val="30"/>
          <w:szCs w:val="30"/>
          <w:rtl/>
        </w:rPr>
        <w:t>ه</w:t>
      </w:r>
      <w:r w:rsidRPr="00655CA9">
        <w:rPr>
          <w:rFonts w:ascii="Traditional Arabic" w:hAnsi="Traditional Arabic" w:cs="Traditional Arabic"/>
          <w:color w:val="000000"/>
          <w:sz w:val="30"/>
          <w:szCs w:val="30"/>
          <w:rtl/>
        </w:rPr>
        <w:t xml:space="preserve">) ، لكنه أيضًا "تم حثه للانضمام إلى القوات "من قبل الأصدقاء والأقارب. تم نقل الطفل مباشرة إلى </w:t>
      </w:r>
      <w:r w:rsidR="00D12444">
        <w:rPr>
          <w:rFonts w:ascii="Traditional Arabic" w:hAnsi="Traditional Arabic" w:cs="Traditional Arabic" w:hint="cs"/>
          <w:color w:val="000000"/>
          <w:sz w:val="30"/>
          <w:szCs w:val="30"/>
          <w:rtl/>
        </w:rPr>
        <w:t>الجبهة الأمامية</w:t>
      </w:r>
      <w:r w:rsidRPr="00655CA9">
        <w:rPr>
          <w:rFonts w:ascii="Traditional Arabic" w:hAnsi="Traditional Arabic" w:cs="Traditional Arabic"/>
          <w:color w:val="000000"/>
          <w:sz w:val="30"/>
          <w:szCs w:val="30"/>
          <w:rtl/>
        </w:rPr>
        <w:t>. يتذكر ذلك لأنها"معركته الأولى" وكان يرى العديد من الوفيات</w:t>
      </w:r>
      <w:r w:rsidRPr="00887AAC">
        <w:rPr>
          <w:rFonts w:asciiTheme="majorBidi" w:eastAsia="SimSun" w:hAnsiTheme="majorBidi" w:cstheme="majorBidi"/>
          <w:sz w:val="24"/>
          <w:szCs w:val="24"/>
          <w:lang w:eastAsia="zh-CN"/>
        </w:rPr>
        <w:t>.</w:t>
      </w:r>
      <w:r w:rsidRPr="00927301">
        <w:rPr>
          <w:rFonts w:asciiTheme="majorBidi" w:eastAsia="SimSun" w:hAnsiTheme="majorBidi" w:cstheme="majorBidi"/>
          <w:sz w:val="24"/>
          <w:szCs w:val="24"/>
          <w:vertAlign w:val="superscript"/>
          <w:lang w:eastAsia="zh-CN"/>
        </w:rPr>
        <w:t xml:space="preserve"> </w:t>
      </w:r>
      <w:r w:rsidRPr="00927301">
        <w:rPr>
          <w:rFonts w:asciiTheme="majorBidi" w:eastAsia="SimSun" w:hAnsiTheme="majorBidi" w:cstheme="majorBidi"/>
          <w:sz w:val="24"/>
          <w:szCs w:val="24"/>
          <w:vertAlign w:val="superscript"/>
          <w:lang w:eastAsia="zh-CN"/>
        </w:rPr>
        <w:footnoteReference w:id="1058"/>
      </w:r>
    </w:p>
    <w:p w14:paraId="427DB850"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vertAlign w:val="superscript"/>
          <w:lang w:eastAsia="zh-CN"/>
        </w:rPr>
      </w:pPr>
      <w:r w:rsidRPr="00655CA9">
        <w:rPr>
          <w:rFonts w:ascii="Traditional Arabic" w:hAnsi="Traditional Arabic" w:cs="Traditional Arabic"/>
          <w:color w:val="000000"/>
          <w:sz w:val="30"/>
          <w:szCs w:val="30"/>
          <w:rtl/>
        </w:rPr>
        <w:t>أجرى فريق الخبراء مقابلات مع ثلاثة شهود أخبروا عن تجنيد صبي يبلغ من العمر 14 عامًا على يد قوات النخبة الشبوانية في شبوة في سبتمبر 2018 كجزء من حملة تجنيد إجباري. قُتل الطفل في يناير 2019 أثناء مداهمة قرية في الحجر بمحافظة شبوة. أفادت المصادر أنه تم تجنيد أربعة أطفال على الأقل دون سن 16 عامًا من قبل قوات النخبة الشبوانية في يناير 2019.</w:t>
      </w:r>
      <w:r w:rsidRPr="00655CA9">
        <w:rPr>
          <w:rFonts w:asciiTheme="majorBidi" w:eastAsia="SimSun" w:hAnsiTheme="majorBidi" w:cstheme="majorBidi"/>
          <w:sz w:val="24"/>
          <w:szCs w:val="24"/>
          <w:vertAlign w:val="superscript"/>
          <w:lang w:eastAsia="zh-CN"/>
        </w:rPr>
        <w:t xml:space="preserve"> </w:t>
      </w:r>
      <w:r w:rsidRPr="00655CA9">
        <w:rPr>
          <w:rFonts w:asciiTheme="majorBidi" w:eastAsia="SimSun" w:hAnsiTheme="majorBidi" w:cstheme="majorBidi"/>
          <w:sz w:val="24"/>
          <w:szCs w:val="24"/>
          <w:vertAlign w:val="superscript"/>
          <w:lang w:eastAsia="zh-CN"/>
        </w:rPr>
        <w:footnoteReference w:id="1059"/>
      </w:r>
    </w:p>
    <w:p w14:paraId="6C14AF20" w14:textId="37502C00" w:rsidR="009826D6" w:rsidRPr="00496E98"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color w:val="000000"/>
          <w:sz w:val="30"/>
          <w:szCs w:val="30"/>
          <w:rtl/>
        </w:rPr>
        <w:t xml:space="preserve">في فبراير 2019 ، </w:t>
      </w:r>
      <w:r w:rsidR="0001082A">
        <w:rPr>
          <w:rFonts w:ascii="Traditional Arabic" w:hAnsi="Traditional Arabic" w:cs="Traditional Arabic"/>
          <w:color w:val="000000"/>
          <w:sz w:val="30"/>
          <w:szCs w:val="30"/>
          <w:rtl/>
        </w:rPr>
        <w:t>قُتل صبي يبلغ من العمر 17 عامًا</w:t>
      </w:r>
      <w:r w:rsidRPr="00655CA9">
        <w:rPr>
          <w:rFonts w:ascii="Traditional Arabic" w:hAnsi="Traditional Arabic" w:cs="Traditional Arabic"/>
          <w:color w:val="000000"/>
          <w:sz w:val="30"/>
          <w:szCs w:val="30"/>
          <w:rtl/>
        </w:rPr>
        <w:t>، تم تجنيده في وقت مبكر من عام 2018 في تعز ، جراء لغم أرضي بالقرب من الحدود الشمالية بين اليمن والسعودية. أخبرت أسرته فريق الخبراء أنه تم تجنيده من خلال قوات المقاومة / القوات المسلحة اليمنيه، التي انضم إليها من الحوبان</w:t>
      </w:r>
      <w:r w:rsidRPr="00655CA9">
        <w:rPr>
          <w:rFonts w:asciiTheme="majorBidi" w:eastAsia="SimSun" w:hAnsiTheme="majorBidi" w:cstheme="majorBidi"/>
          <w:sz w:val="24"/>
          <w:szCs w:val="24"/>
          <w:vertAlign w:val="superscript"/>
          <w:lang w:eastAsia="zh-CN"/>
        </w:rPr>
        <w:footnoteReference w:id="1060"/>
      </w:r>
      <w:r w:rsidRPr="00655CA9">
        <w:rPr>
          <w:rFonts w:asciiTheme="majorBidi" w:eastAsia="SimSun" w:hAnsiTheme="majorBidi" w:cstheme="majorBidi"/>
          <w:sz w:val="24"/>
          <w:szCs w:val="24"/>
          <w:vertAlign w:val="superscript"/>
          <w:rtl/>
          <w:lang w:eastAsia="zh-CN"/>
        </w:rPr>
        <w:t>.</w:t>
      </w:r>
      <w:r w:rsidRPr="00887AAC">
        <w:rPr>
          <w:rFonts w:asciiTheme="majorBidi" w:eastAsia="SimSun" w:hAnsiTheme="majorBidi"/>
          <w:sz w:val="24"/>
          <w:szCs w:val="24"/>
          <w:rtl/>
          <w:lang w:eastAsia="zh-CN"/>
        </w:rPr>
        <w:t xml:space="preserve"> </w:t>
      </w:r>
      <w:r w:rsidRPr="00A01451">
        <w:rPr>
          <w:rFonts w:ascii="Traditional Arabic" w:hAnsi="Traditional Arabic" w:cs="Traditional Arabic"/>
          <w:color w:val="000000"/>
          <w:sz w:val="30"/>
          <w:szCs w:val="30"/>
          <w:rtl/>
        </w:rPr>
        <w:t>أبلغت العائلة فريق</w:t>
      </w:r>
      <w:r w:rsidRPr="00A01451">
        <w:rPr>
          <w:rFonts w:ascii="Traditional Arabic" w:hAnsi="Traditional Arabic" w:cs="Traditional Arabic"/>
          <w:color w:val="000000"/>
          <w:sz w:val="30"/>
          <w:szCs w:val="30"/>
        </w:rPr>
        <w:t xml:space="preserve"> </w:t>
      </w:r>
      <w:r w:rsidRPr="00A01451">
        <w:rPr>
          <w:rFonts w:ascii="Traditional Arabic" w:hAnsi="Traditional Arabic" w:cs="Traditional Arabic"/>
          <w:color w:val="000000"/>
          <w:sz w:val="30"/>
          <w:szCs w:val="30"/>
          <w:rtl/>
        </w:rPr>
        <w:t>الخبراء</w:t>
      </w:r>
      <w:r w:rsidRPr="00A01451">
        <w:rPr>
          <w:rFonts w:ascii="Traditional Arabic" w:hAnsi="Traditional Arabic" w:cs="Traditional Arabic"/>
          <w:color w:val="000000"/>
          <w:sz w:val="30"/>
          <w:szCs w:val="30"/>
        </w:rPr>
        <w:t xml:space="preserve"> </w:t>
      </w:r>
      <w:r w:rsidRPr="00A01451">
        <w:rPr>
          <w:rFonts w:ascii="Traditional Arabic" w:hAnsi="Traditional Arabic" w:cs="Traditional Arabic"/>
          <w:color w:val="000000"/>
          <w:sz w:val="30"/>
          <w:szCs w:val="30"/>
          <w:rtl/>
        </w:rPr>
        <w:t>أن بطاقة هوية الصبي أظهرت بوضوح عمره. وأبلغت مصادر أخرى فريق الخبراء أن القوات المسلحة اليمنية تتحقق من بطاقات الهوية وشهادات الميلاد</w:t>
      </w:r>
      <w:r w:rsidRPr="00A01451">
        <w:rPr>
          <w:rFonts w:ascii="Traditional Arabic" w:hAnsi="Traditional Arabic" w:cs="Traditional Arabic"/>
          <w:color w:val="000000"/>
          <w:sz w:val="30"/>
          <w:szCs w:val="30"/>
        </w:rPr>
        <w:t>.</w:t>
      </w:r>
      <w:r w:rsidRPr="00655CA9">
        <w:rPr>
          <w:rFonts w:asciiTheme="majorBidi" w:eastAsia="SimSun" w:hAnsiTheme="majorBidi" w:cstheme="majorBidi"/>
          <w:sz w:val="30"/>
          <w:szCs w:val="30"/>
          <w:vertAlign w:val="superscript"/>
          <w:lang w:eastAsia="zh-CN"/>
        </w:rPr>
        <w:t xml:space="preserve"> </w:t>
      </w:r>
      <w:r w:rsidRPr="00655CA9">
        <w:rPr>
          <w:sz w:val="30"/>
          <w:szCs w:val="30"/>
          <w:vertAlign w:val="superscript"/>
          <w:lang w:eastAsia="zh-CN"/>
        </w:rPr>
        <w:footnoteReference w:id="1061"/>
      </w:r>
    </w:p>
    <w:p w14:paraId="708F4533" w14:textId="6F560422" w:rsidR="009826D6" w:rsidRPr="00655CA9" w:rsidRDefault="009826D6" w:rsidP="006D1AF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color w:val="000000"/>
          <w:sz w:val="30"/>
          <w:szCs w:val="30"/>
        </w:rPr>
      </w:pPr>
      <w:r w:rsidRPr="00655CA9">
        <w:rPr>
          <w:rFonts w:ascii="Traditional Arabic" w:hAnsi="Traditional Arabic" w:cs="Traditional Arabic"/>
          <w:color w:val="000000"/>
          <w:sz w:val="30"/>
          <w:szCs w:val="30"/>
          <w:rtl/>
        </w:rPr>
        <w:t>لدى فريق الخبراء أسباب معقولة للاعتقاد بأن أفراد في القوات المسلحة اليمنية ، والجماعات المسلحة التابعة لها، بما في ذلك جماعات المقاومة والحزام الأمني المدعوم من الإمارات العربية المتحدة، و</w:t>
      </w:r>
      <w:r w:rsidR="0001082A">
        <w:rPr>
          <w:rFonts w:ascii="Traditional Arabic" w:hAnsi="Traditional Arabic" w:cs="Traditional Arabic" w:hint="cs"/>
          <w:color w:val="000000"/>
          <w:sz w:val="30"/>
          <w:szCs w:val="30"/>
          <w:rtl/>
        </w:rPr>
        <w:t>ألوية</w:t>
      </w:r>
      <w:r w:rsidRPr="00655CA9">
        <w:rPr>
          <w:rFonts w:ascii="Traditional Arabic" w:hAnsi="Traditional Arabic" w:cs="Traditional Arabic"/>
          <w:color w:val="000000"/>
          <w:sz w:val="30"/>
          <w:szCs w:val="30"/>
          <w:rtl/>
        </w:rPr>
        <w:t xml:space="preserve"> العمالقة، وقوات </w:t>
      </w:r>
      <w:r w:rsidRPr="00655CA9">
        <w:rPr>
          <w:rFonts w:ascii="Traditional Arabic" w:hAnsi="Traditional Arabic" w:cs="Traditional Arabic" w:hint="eastAsia"/>
          <w:color w:val="000000"/>
          <w:sz w:val="30"/>
          <w:szCs w:val="30"/>
          <w:rtl/>
        </w:rPr>
        <w:t>النخبه</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الشبواني</w:t>
      </w:r>
      <w:r w:rsidR="008460A7">
        <w:rPr>
          <w:rFonts w:ascii="Traditional Arabic" w:hAnsi="Traditional Arabic" w:cs="Traditional Arabic" w:hint="cs"/>
          <w:color w:val="000000"/>
          <w:sz w:val="30"/>
          <w:szCs w:val="30"/>
          <w:rtl/>
        </w:rPr>
        <w:t>ة</w:t>
      </w:r>
      <w:r w:rsidRPr="00655CA9">
        <w:rPr>
          <w:rFonts w:ascii="Traditional Arabic" w:hAnsi="Traditional Arabic" w:cs="Traditional Arabic" w:hint="eastAsia"/>
          <w:color w:val="000000"/>
          <w:sz w:val="30"/>
          <w:szCs w:val="30"/>
          <w:rtl/>
        </w:rPr>
        <w:t>،</w:t>
      </w:r>
      <w:r w:rsidRPr="00655CA9">
        <w:rPr>
          <w:rFonts w:ascii="Traditional Arabic" w:hAnsi="Traditional Arabic" w:cs="Traditional Arabic"/>
          <w:color w:val="000000"/>
          <w:sz w:val="30"/>
          <w:szCs w:val="30"/>
          <w:rtl/>
        </w:rPr>
        <w:t xml:space="preserve"> قاموا بتجنيد الأطفال دون سن الخامسة عشرة وفي بعض الحالات، </w:t>
      </w:r>
      <w:r w:rsidRPr="00655CA9">
        <w:rPr>
          <w:rFonts w:ascii="Traditional Arabic" w:hAnsi="Traditional Arabic" w:cs="Traditional Arabic" w:hint="eastAsia"/>
          <w:color w:val="000000"/>
          <w:sz w:val="30"/>
          <w:szCs w:val="30"/>
          <w:rtl/>
        </w:rPr>
        <w:t>تم</w:t>
      </w:r>
      <w:r w:rsidRPr="00655CA9">
        <w:rPr>
          <w:rFonts w:ascii="Traditional Arabic" w:hAnsi="Traditional Arabic" w:cs="Traditional Arabic"/>
          <w:color w:val="000000"/>
          <w:sz w:val="30"/>
          <w:szCs w:val="30"/>
          <w:rtl/>
        </w:rPr>
        <w:t xml:space="preserve"> </w:t>
      </w:r>
      <w:r w:rsidRPr="00655CA9">
        <w:rPr>
          <w:rFonts w:ascii="Traditional Arabic" w:hAnsi="Traditional Arabic" w:cs="Traditional Arabic" w:hint="eastAsia"/>
          <w:color w:val="000000"/>
          <w:sz w:val="30"/>
          <w:szCs w:val="30"/>
          <w:rtl/>
        </w:rPr>
        <w:t>استخدامهم</w:t>
      </w:r>
      <w:r w:rsidRPr="00655CA9">
        <w:rPr>
          <w:rFonts w:ascii="Traditional Arabic" w:hAnsi="Traditional Arabic" w:cs="Traditional Arabic"/>
          <w:color w:val="000000"/>
          <w:sz w:val="30"/>
          <w:szCs w:val="30"/>
          <w:rtl/>
        </w:rPr>
        <w:t xml:space="preserve"> للمشاركة في الأعمال العدائية. تعتبر هذه الأعمال انتهاكات خطيرة للقانون الدولي</w:t>
      </w:r>
      <w:r w:rsidR="006D1AF1" w:rsidRPr="006D1AF1">
        <w:rPr>
          <w:rFonts w:ascii="Traditional Arabic" w:hAnsi="Traditional Arabic" w:cs="Traditional Arabic"/>
          <w:color w:val="000000"/>
          <w:sz w:val="30"/>
          <w:szCs w:val="30"/>
          <w:rtl/>
        </w:rPr>
        <w:t xml:space="preserve"> </w:t>
      </w:r>
      <w:r w:rsidR="006D1AF1" w:rsidRPr="00655CA9">
        <w:rPr>
          <w:rFonts w:ascii="Traditional Arabic" w:hAnsi="Traditional Arabic" w:cs="Traditional Arabic"/>
          <w:color w:val="000000"/>
          <w:sz w:val="30"/>
          <w:szCs w:val="30"/>
          <w:rtl/>
        </w:rPr>
        <w:t>الإنساني</w:t>
      </w:r>
      <w:r w:rsidRPr="00655CA9">
        <w:rPr>
          <w:rFonts w:ascii="Traditional Arabic" w:hAnsi="Traditional Arabic" w:cs="Traditional Arabic"/>
          <w:color w:val="000000"/>
          <w:sz w:val="30"/>
          <w:szCs w:val="30"/>
          <w:rtl/>
        </w:rPr>
        <w:t>، وقد تؤدي إلى مسؤولية جنائية فردية عن جرائم الحرب. لقد فشلت الأطراف المذكورة أعلاه أيضًا في الامتثال للقانون الوطني والدولي فيما يتعلق بالتجنيد القسري واستخدام الأطفال دون سن 18 عامًا للمشاركة في الأعمال العدائية. فيما يتعلق بالتجنيد الطوعي للأطفال الذين تزيد أعمارهم عن 15 عامًا ، يلاحظ الفريق أن</w:t>
      </w:r>
      <w:r>
        <w:rPr>
          <w:rFonts w:ascii="Traditional Arabic" w:hAnsi="Traditional Arabic" w:cs="Traditional Arabic" w:hint="cs"/>
          <w:color w:val="000000"/>
          <w:sz w:val="30"/>
          <w:szCs w:val="30"/>
          <w:rtl/>
        </w:rPr>
        <w:t>ه يبدو وأن</w:t>
      </w:r>
      <w:r w:rsidRPr="00655CA9">
        <w:rPr>
          <w:rFonts w:ascii="Traditional Arabic" w:hAnsi="Traditional Arabic" w:cs="Traditional Arabic"/>
          <w:color w:val="000000"/>
          <w:sz w:val="30"/>
          <w:szCs w:val="30"/>
          <w:rtl/>
        </w:rPr>
        <w:t xml:space="preserve"> الأطراف لم تمتثل للضمانات المنصوص عليها في البروتوكول الاختياري لاتفاقية حقوق الطفل</w:t>
      </w:r>
      <w:r w:rsidRPr="00655CA9">
        <w:rPr>
          <w:rFonts w:ascii="Traditional Arabic" w:hAnsi="Traditional Arabic" w:cs="Traditional Arabic"/>
          <w:color w:val="000000"/>
          <w:sz w:val="30"/>
          <w:szCs w:val="30"/>
        </w:rPr>
        <w:t>.</w:t>
      </w:r>
      <w:r w:rsidRPr="000127CA">
        <w:rPr>
          <w:rStyle w:val="FootnoteReference"/>
          <w:rFonts w:cstheme="majorBidi"/>
        </w:rPr>
        <w:t xml:space="preserve"> </w:t>
      </w:r>
      <w:r>
        <w:rPr>
          <w:rStyle w:val="FootnoteReference"/>
          <w:rFonts w:cstheme="majorBidi"/>
        </w:rPr>
        <w:footnoteReference w:id="1062"/>
      </w:r>
    </w:p>
    <w:p w14:paraId="2185EEAB" w14:textId="0629AAF7" w:rsidR="009826D6" w:rsidRPr="00A01451" w:rsidRDefault="00A01451" w:rsidP="009826D6">
      <w:pPr>
        <w:pStyle w:val="ListParagraph"/>
        <w:tabs>
          <w:tab w:val="left" w:pos="5130"/>
        </w:tabs>
        <w:bidi/>
        <w:spacing w:before="100" w:beforeAutospacing="1" w:after="100" w:afterAutospacing="1" w:line="240" w:lineRule="auto"/>
        <w:ind w:right="900"/>
        <w:rPr>
          <w:rFonts w:asciiTheme="majorBidi" w:hAnsiTheme="majorBidi" w:cstheme="majorBidi"/>
          <w:i/>
          <w:iCs/>
          <w:sz w:val="24"/>
          <w:szCs w:val="24"/>
          <w:lang w:val="en-GB"/>
        </w:rPr>
      </w:pPr>
      <w:r>
        <w:rPr>
          <w:rFonts w:ascii="Traditional Arabic" w:eastAsia="Times New Roman" w:hAnsi="Traditional Arabic" w:cs="Traditional Arabic"/>
          <w:i/>
          <w:iCs/>
          <w:color w:val="000000"/>
          <w:sz w:val="30"/>
          <w:szCs w:val="30"/>
          <w:lang w:val="en-GB"/>
        </w:rPr>
        <w:t xml:space="preserve">      </w:t>
      </w:r>
      <w:r w:rsidR="009826D6" w:rsidRPr="00A01451">
        <w:rPr>
          <w:rFonts w:ascii="Traditional Arabic" w:eastAsia="Times New Roman" w:hAnsi="Traditional Arabic" w:cs="Traditional Arabic"/>
          <w:i/>
          <w:iCs/>
          <w:color w:val="000000"/>
          <w:sz w:val="30"/>
          <w:szCs w:val="30"/>
          <w:rtl/>
          <w:lang w:val="en-GB"/>
        </w:rPr>
        <w:t>تجنيد واستخدام الأطفال من قبل جماعة الحوثي المسلحة</w:t>
      </w:r>
    </w:p>
    <w:p w14:paraId="2A21DA28" w14:textId="10E567E9"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color w:val="000000"/>
          <w:sz w:val="30"/>
          <w:szCs w:val="30"/>
          <w:rtl/>
        </w:rPr>
        <w:t>يلاحظ فريق الخبراء أن الممارسة المتبعة المتمثلة في تجنيد الأطفال من قبل جماعة الحوثي</w:t>
      </w:r>
      <w:r w:rsidR="006D1AF1">
        <w:rPr>
          <w:rFonts w:ascii="Traditional Arabic" w:hAnsi="Traditional Arabic" w:cs="Traditional Arabic" w:hint="cs"/>
          <w:color w:val="000000"/>
          <w:sz w:val="30"/>
          <w:szCs w:val="30"/>
          <w:rtl/>
        </w:rPr>
        <w:t xml:space="preserve"> </w:t>
      </w:r>
      <w:r w:rsidRPr="00655CA9">
        <w:rPr>
          <w:rFonts w:ascii="Traditional Arabic" w:hAnsi="Traditional Arabic" w:cs="Traditional Arabic"/>
          <w:color w:val="000000"/>
          <w:sz w:val="30"/>
          <w:szCs w:val="30"/>
          <w:rtl/>
        </w:rPr>
        <w:t>المسلحة مستمرة</w:t>
      </w:r>
      <w:r w:rsidRPr="00887AAC">
        <w:rPr>
          <w:rFonts w:asciiTheme="majorBidi" w:eastAsia="SimSun" w:hAnsiTheme="majorBidi"/>
          <w:sz w:val="24"/>
          <w:szCs w:val="24"/>
          <w:rtl/>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3"/>
      </w:r>
      <w:r w:rsidRPr="00655CA9">
        <w:rPr>
          <w:rFonts w:ascii="Traditional Arabic" w:hAnsi="Traditional Arabic" w:cs="Traditional Arabic"/>
          <w:color w:val="000000"/>
          <w:sz w:val="30"/>
          <w:szCs w:val="30"/>
          <w:rtl/>
        </w:rPr>
        <w:t xml:space="preserve">خلال الفترة المشمولة بالتقرير، من </w:t>
      </w:r>
      <w:r>
        <w:rPr>
          <w:rFonts w:ascii="Traditional Arabic" w:hAnsi="Traditional Arabic" w:cs="Traditional Arabic" w:hint="cs"/>
          <w:color w:val="000000"/>
          <w:sz w:val="30"/>
          <w:szCs w:val="30"/>
          <w:rtl/>
        </w:rPr>
        <w:t>أيلول</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 xml:space="preserve">سبتمبر 2014 إلى </w:t>
      </w:r>
      <w:r>
        <w:rPr>
          <w:rFonts w:ascii="Traditional Arabic" w:hAnsi="Traditional Arabic" w:cs="Traditional Arabic" w:hint="cs"/>
          <w:color w:val="000000"/>
          <w:sz w:val="30"/>
          <w:szCs w:val="30"/>
          <w:rtl/>
        </w:rPr>
        <w:t>حزيران</w:t>
      </w:r>
      <w:r>
        <w:rPr>
          <w:rFonts w:ascii="Traditional Arabic" w:hAnsi="Traditional Arabic" w:cs="Traditional Arabic"/>
          <w:color w:val="000000"/>
          <w:sz w:val="30"/>
          <w:szCs w:val="30"/>
          <w:lang w:val="en-US"/>
        </w:rPr>
        <w:t>/</w:t>
      </w:r>
      <w:r>
        <w:rPr>
          <w:rFonts w:ascii="Traditional Arabic" w:hAnsi="Traditional Arabic" w:cs="Traditional Arabic" w:hint="cs"/>
          <w:color w:val="000000"/>
          <w:sz w:val="30"/>
          <w:szCs w:val="30"/>
          <w:rtl/>
          <w:lang w:val="en-US" w:bidi="ar-YE"/>
        </w:rPr>
        <w:t xml:space="preserve"> </w:t>
      </w:r>
      <w:r w:rsidRPr="00655CA9">
        <w:rPr>
          <w:rFonts w:ascii="Traditional Arabic" w:hAnsi="Traditional Arabic" w:cs="Traditional Arabic"/>
          <w:color w:val="000000"/>
          <w:sz w:val="30"/>
          <w:szCs w:val="30"/>
          <w:rtl/>
        </w:rPr>
        <w:t xml:space="preserve">يونيو 2019، قام الفريق بتوثيق 12 حالة تجنيد </w:t>
      </w:r>
      <w:r w:rsidRPr="00655CA9">
        <w:rPr>
          <w:rFonts w:ascii="Traditional Arabic" w:hAnsi="Traditional Arabic" w:cs="Traditional Arabic"/>
          <w:color w:val="000000"/>
          <w:sz w:val="30"/>
          <w:szCs w:val="30"/>
          <w:rtl/>
        </w:rPr>
        <w:lastRenderedPageBreak/>
        <w:t>أطفال جديدة واستخدامهم، لا تتجاوز أعمارهم 12 عامًا. لقد استخدم</w:t>
      </w:r>
      <w:r>
        <w:rPr>
          <w:rFonts w:ascii="Traditional Arabic" w:hAnsi="Traditional Arabic" w:cs="Traditional Arabic" w:hint="cs"/>
          <w:color w:val="000000"/>
          <w:sz w:val="30"/>
          <w:szCs w:val="30"/>
          <w:rtl/>
        </w:rPr>
        <w:t xml:space="preserve"> الحوثيون الأولاد</w:t>
      </w:r>
      <w:r w:rsidRPr="00655CA9">
        <w:rPr>
          <w:rFonts w:ascii="Traditional Arabic" w:hAnsi="Traditional Arabic" w:cs="Traditional Arabic"/>
          <w:color w:val="000000"/>
          <w:sz w:val="30"/>
          <w:szCs w:val="30"/>
          <w:rtl/>
        </w:rPr>
        <w:t xml:space="preserve"> في القتال وفي نقاط التفتيش ولزرع الأجهزة المتفجرة</w:t>
      </w:r>
      <w:r w:rsidRPr="00927301">
        <w:rPr>
          <w:rStyle w:val="FootnoteReference"/>
          <w:rFonts w:asciiTheme="majorBidi" w:hAnsiTheme="majorBidi" w:cstheme="majorBidi"/>
          <w:sz w:val="24"/>
          <w:szCs w:val="24"/>
        </w:rPr>
        <w:footnoteReference w:id="1064"/>
      </w:r>
      <w:r w:rsidRPr="00887AAC">
        <w:rPr>
          <w:rFonts w:asciiTheme="majorBidi" w:eastAsia="SimSun" w:hAnsiTheme="majorBidi"/>
          <w:sz w:val="24"/>
          <w:szCs w:val="24"/>
          <w:rtl/>
          <w:lang w:eastAsia="zh-CN"/>
        </w:rPr>
        <w:t xml:space="preserve">. </w:t>
      </w:r>
      <w:r w:rsidRPr="00655CA9">
        <w:rPr>
          <w:rFonts w:ascii="Traditional Arabic" w:hAnsi="Traditional Arabic" w:cs="Traditional Arabic"/>
          <w:color w:val="000000"/>
          <w:sz w:val="30"/>
          <w:szCs w:val="30"/>
          <w:rtl/>
        </w:rPr>
        <w:t>تم تجنيد هؤلاء الأطفال في محافظات عدن وعمران وصعدة وصنعاء وتعز في الفترة 2015-2018. ووفقًا للمعلومات الواردة، شارك أربعة على الأقل من هؤلاء الأطفال (من عمر 14 إلى 16 عامًا) في القتال، واستخدم طفل واحد عمره 12 عامًا كحمال</w:t>
      </w:r>
      <w:r w:rsidRPr="00887AAC">
        <w:rPr>
          <w:rFonts w:asciiTheme="majorBidi" w:eastAsia="SimSun" w:hAnsiTheme="majorBidi" w:cstheme="majorBidi"/>
          <w:sz w:val="24"/>
          <w:szCs w:val="24"/>
          <w:lang w:eastAsia="zh-CN"/>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5"/>
      </w:r>
    </w:p>
    <w:p w14:paraId="6FBB07AC"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ومع ذلك ، يبدو أن تجنيد الحوثيين هو </w:t>
      </w:r>
      <w:r w:rsidRPr="00655CA9">
        <w:rPr>
          <w:rFonts w:ascii="Traditional Arabic" w:hAnsi="Traditional Arabic" w:cs="Traditional Arabic" w:hint="eastAsia"/>
          <w:sz w:val="30"/>
          <w:szCs w:val="30"/>
          <w:rtl/>
        </w:rPr>
        <w:t>أكثر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بكثير</w:t>
      </w:r>
      <w:r w:rsidRPr="00655CA9">
        <w:rPr>
          <w:rFonts w:ascii="Traditional Arabic" w:hAnsi="Traditional Arabic" w:cs="Traditional Arabic"/>
          <w:sz w:val="30"/>
          <w:szCs w:val="30"/>
          <w:rtl/>
        </w:rPr>
        <w:t xml:space="preserve"> مما تمكن </w:t>
      </w:r>
      <w:r w:rsidRPr="00655CA9">
        <w:rPr>
          <w:rFonts w:ascii="Traditional Arabic" w:hAnsi="Traditional Arabic" w:cs="Traditional Arabic" w:hint="eastAsia"/>
          <w:sz w:val="30"/>
          <w:szCs w:val="30"/>
          <w:rtl/>
        </w:rPr>
        <w:t>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الخبراء</w:t>
      </w:r>
      <w:r w:rsidRPr="00655CA9">
        <w:rPr>
          <w:rFonts w:ascii="Traditional Arabic" w:hAnsi="Traditional Arabic" w:cs="Traditional Arabic"/>
          <w:sz w:val="30"/>
          <w:szCs w:val="30"/>
          <w:rtl/>
        </w:rPr>
        <w:t xml:space="preserve"> من التحقق منه. وفقًا لما ذكره الأمين العام ، من بين 3034 طفلاً تم تجنيدهم خلال الحرب في اليمن ، تم تجنيد 1940 (64 بالمائة) من قبل الحوثيين</w:t>
      </w:r>
      <w:r w:rsidRPr="00887AAC">
        <w:rPr>
          <w:rStyle w:val="fontstyle01"/>
          <w:rFonts w:asciiTheme="majorBidi" w:hAnsiTheme="majorBidi"/>
          <w:sz w:val="24"/>
          <w:szCs w:val="24"/>
          <w:rtl/>
        </w:rPr>
        <w:t>.</w:t>
      </w:r>
      <w:r>
        <w:rPr>
          <w:rStyle w:val="FootnoteReference"/>
          <w:color w:val="000000"/>
          <w:szCs w:val="24"/>
          <w:rtl/>
        </w:rPr>
        <w:footnoteReference w:id="1066"/>
      </w:r>
      <w:r w:rsidRPr="00887AAC">
        <w:rPr>
          <w:rStyle w:val="fontstyle01"/>
          <w:rFonts w:asciiTheme="majorBidi" w:hAnsiTheme="majorBidi"/>
          <w:sz w:val="24"/>
          <w:szCs w:val="24"/>
          <w:rtl/>
        </w:rPr>
        <w:t xml:space="preserve"> </w:t>
      </w:r>
      <w:r w:rsidRPr="00655CA9">
        <w:rPr>
          <w:rFonts w:ascii="Traditional Arabic" w:hAnsi="Traditional Arabic" w:cs="Traditional Arabic"/>
          <w:sz w:val="30"/>
          <w:szCs w:val="30"/>
          <w:rtl/>
        </w:rPr>
        <w:t>في مايو 2019 ، أبلغت سلطات الأمر الواقع فريق الخبراء أن الحد الأدنى للسن الذي حدده القانون للتجنيد العسكري في اليمن هو 18 عامًا. كما ذكرت سلطات الأمر الواقع أنها أعطت تعليمات بعدم تجنيد أطفال تقل أعمارهم عن 18 عامًا</w:t>
      </w:r>
      <w:r w:rsidRPr="00655CA9">
        <w:rPr>
          <w:rFonts w:ascii="Traditional Arabic" w:hAnsi="Traditional Arabic" w:cs="Traditional Arabic"/>
          <w:sz w:val="30"/>
          <w:szCs w:val="30"/>
        </w:rPr>
        <w:t>.</w:t>
      </w:r>
    </w:p>
    <w:p w14:paraId="752234D6"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sz w:val="24"/>
          <w:szCs w:val="24"/>
        </w:rPr>
      </w:pPr>
      <w:r w:rsidRPr="00655CA9">
        <w:rPr>
          <w:rFonts w:ascii="Traditional Arabic" w:hAnsi="Traditional Arabic" w:cs="Traditional Arabic"/>
          <w:sz w:val="30"/>
          <w:szCs w:val="30"/>
          <w:rtl/>
        </w:rPr>
        <w:t xml:space="preserve">خلال معركة عدن في عام 2015 ، أفاد شهود عيان أنهم رأوا أطفالًا جنودًا مع الحوثيين في عدن وحولها. على سبيل المثال ، قال أحد الشهود إن الأطفال كانوا يحرسون نقاط التفتيش في منطقتي </w:t>
      </w:r>
      <w:r w:rsidRPr="00655CA9">
        <w:rPr>
          <w:rFonts w:ascii="Traditional Arabic" w:hAnsi="Traditional Arabic" w:cs="Traditional Arabic" w:hint="eastAsia"/>
          <w:sz w:val="30"/>
          <w:szCs w:val="30"/>
          <w:rtl/>
        </w:rPr>
        <w:t>الحوطه</w:t>
      </w:r>
      <w:r w:rsidRPr="00655CA9">
        <w:rPr>
          <w:rFonts w:ascii="Traditional Arabic" w:hAnsi="Traditional Arabic" w:cs="Traditional Arabic"/>
          <w:sz w:val="30"/>
          <w:szCs w:val="30"/>
          <w:rtl/>
        </w:rPr>
        <w:t xml:space="preserve"> وزنجبار.</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7"/>
      </w:r>
      <w:r w:rsidRPr="00B011AA">
        <w:rPr>
          <w:rFonts w:asciiTheme="majorBidi" w:hAnsiTheme="majorBidi"/>
          <w:i/>
          <w:sz w:val="24"/>
          <w:szCs w:val="24"/>
          <w:rtl/>
        </w:rPr>
        <w:t xml:space="preserve"> </w:t>
      </w:r>
      <w:r w:rsidRPr="00655CA9">
        <w:rPr>
          <w:rFonts w:ascii="Traditional Arabic" w:hAnsi="Traditional Arabic" w:cs="Traditional Arabic"/>
          <w:sz w:val="30"/>
          <w:szCs w:val="30"/>
          <w:rtl/>
        </w:rPr>
        <w:t>وفقا للمصادر، تم تجنيد بعض هؤلاء الأطفال من نفس المناطق</w:t>
      </w:r>
      <w:r w:rsidRPr="00887AAC">
        <w:rPr>
          <w:rFonts w:asciiTheme="majorBidi" w:hAnsiTheme="majorBidi"/>
          <w:i/>
          <w:sz w:val="24"/>
          <w:szCs w:val="24"/>
          <w:rtl/>
        </w:rPr>
        <w:t>.</w:t>
      </w:r>
      <w:r>
        <w:rPr>
          <w:rStyle w:val="FootnoteReference"/>
          <w:i/>
          <w:szCs w:val="24"/>
          <w:rtl/>
        </w:rPr>
        <w:footnoteReference w:id="1068"/>
      </w:r>
      <w:r w:rsidRPr="00887AAC">
        <w:rPr>
          <w:rFonts w:asciiTheme="majorBidi" w:hAnsiTheme="majorBidi"/>
          <w:i/>
          <w:sz w:val="24"/>
          <w:szCs w:val="24"/>
          <w:rtl/>
        </w:rPr>
        <w:t xml:space="preserve"> </w:t>
      </w:r>
      <w:r w:rsidRPr="00655CA9">
        <w:rPr>
          <w:rFonts w:ascii="Traditional Arabic" w:hAnsi="Traditional Arabic" w:cs="Traditional Arabic"/>
          <w:sz w:val="30"/>
          <w:szCs w:val="30"/>
          <w:rtl/>
        </w:rPr>
        <w:t>في عام 2016 ، في تعز ، يقال إن مقاتلي الحوثيين كانوا يقومون بتجنيد الأطفال واستخدامهم في ساحة المعركة. على سبيل المثال ، طفل يبلغ من العمر 13 عامًا تم تجنيده في عمران تم اعتقال</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قبل القوات الموالية للحكومة في تعز</w:t>
      </w:r>
      <w:r w:rsidRPr="00887AAC">
        <w:rPr>
          <w:rFonts w:asciiTheme="majorBidi" w:hAnsiTheme="majorBidi" w:cstheme="majorBidi"/>
          <w:i/>
          <w:sz w:val="24"/>
          <w:szCs w:val="24"/>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69"/>
      </w:r>
    </w:p>
    <w:p w14:paraId="3C51F08D"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في ديسمبر / كانون الأول 2017 </w:t>
      </w:r>
      <w:r w:rsidRPr="00655CA9">
        <w:rPr>
          <w:rFonts w:ascii="Traditional Arabic" w:hAnsi="Traditional Arabic" w:cs="Traditional Arabic" w:hint="eastAsia"/>
          <w:sz w:val="30"/>
          <w:szCs w:val="30"/>
          <w:rtl/>
        </w:rPr>
        <w:t>وخلال</w:t>
      </w:r>
      <w:r w:rsidRPr="00655CA9">
        <w:rPr>
          <w:rFonts w:ascii="Traditional Arabic" w:hAnsi="Traditional Arabic" w:cs="Traditional Arabic"/>
          <w:sz w:val="30"/>
          <w:szCs w:val="30"/>
          <w:rtl/>
        </w:rPr>
        <w:t xml:space="preserve"> عام 2018، استخدم الحوثيون الأطفال خلال المعارك في منطقة </w:t>
      </w:r>
      <w:r w:rsidRPr="00655CA9">
        <w:rPr>
          <w:rFonts w:ascii="Traditional Arabic" w:hAnsi="Traditional Arabic" w:cs="Traditional Arabic" w:hint="eastAsia"/>
          <w:sz w:val="30"/>
          <w:szCs w:val="30"/>
          <w:rtl/>
        </w:rPr>
        <w:t>بيحان</w:t>
      </w:r>
      <w:r>
        <w:rPr>
          <w:rFonts w:ascii="Traditional Arabic" w:hAnsi="Traditional Arabic" w:cs="Traditional Arabic" w:hint="cs"/>
          <w:sz w:val="30"/>
          <w:szCs w:val="30"/>
          <w:rtl/>
        </w:rPr>
        <w:t xml:space="preserve"> (</w:t>
      </w:r>
      <w:r w:rsidRPr="00655CA9">
        <w:rPr>
          <w:rFonts w:ascii="Traditional Arabic" w:hAnsi="Traditional Arabic" w:cs="Traditional Arabic"/>
          <w:sz w:val="30"/>
          <w:szCs w:val="30"/>
          <w:rtl/>
        </w:rPr>
        <w:t>البيضاء</w:t>
      </w:r>
      <w:r>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وفي شبوة </w:t>
      </w:r>
      <w:r w:rsidRPr="00FE157A">
        <w:rPr>
          <w:rStyle w:val="FootnoteReference"/>
          <w:rFonts w:asciiTheme="majorBidi" w:hAnsiTheme="majorBidi" w:cstheme="majorBidi"/>
          <w:sz w:val="24"/>
          <w:szCs w:val="24"/>
        </w:rPr>
        <w:footnoteReference w:id="1070"/>
      </w:r>
      <w:r w:rsidRPr="00FE157A">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 xml:space="preserve">وفي الضالع. في </w:t>
      </w:r>
      <w:r>
        <w:rPr>
          <w:rFonts w:ascii="Traditional Arabic" w:hAnsi="Traditional Arabic" w:cs="Traditional Arabic" w:hint="cs"/>
          <w:sz w:val="30"/>
          <w:szCs w:val="30"/>
          <w:rtl/>
        </w:rPr>
        <w:t xml:space="preserve">كانون الأول/ </w:t>
      </w:r>
      <w:r w:rsidRPr="00655CA9">
        <w:rPr>
          <w:rFonts w:ascii="Traditional Arabic" w:hAnsi="Traditional Arabic" w:cs="Traditional Arabic"/>
          <w:sz w:val="30"/>
          <w:szCs w:val="30"/>
          <w:rtl/>
        </w:rPr>
        <w:t xml:space="preserve">ديسمبر 2017 ، انسحب الحوثيون من منطقة </w:t>
      </w:r>
      <w:r w:rsidRPr="00655CA9">
        <w:rPr>
          <w:rFonts w:ascii="Traditional Arabic" w:hAnsi="Traditional Arabic" w:cs="Traditional Arabic" w:hint="eastAsia"/>
          <w:sz w:val="30"/>
          <w:szCs w:val="30"/>
          <w:rtl/>
        </w:rPr>
        <w:t>بيحان</w:t>
      </w:r>
      <w:r w:rsidRPr="00655CA9">
        <w:rPr>
          <w:rFonts w:ascii="Traditional Arabic" w:hAnsi="Traditional Arabic" w:cs="Traditional Arabic"/>
          <w:sz w:val="30"/>
          <w:szCs w:val="30"/>
          <w:rtl/>
        </w:rPr>
        <w:t>. كان الأطفال من بين الضحايا.</w:t>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 كما تم اعتقال العشرات من الأطفال</w:t>
      </w:r>
      <w:r w:rsidRPr="00927301">
        <w:rPr>
          <w:rStyle w:val="FootnoteReference"/>
          <w:rFonts w:asciiTheme="majorBidi" w:hAnsiTheme="majorBidi" w:cstheme="majorBidi"/>
          <w:color w:val="000000"/>
          <w:sz w:val="24"/>
          <w:szCs w:val="24"/>
        </w:rPr>
        <w:footnoteReference w:id="1071"/>
      </w:r>
      <w:r w:rsidRPr="00887AAC">
        <w:rPr>
          <w:rFonts w:asciiTheme="majorBidi" w:hAnsiTheme="majorBidi"/>
          <w:color w:val="000000"/>
          <w:sz w:val="24"/>
          <w:szCs w:val="24"/>
          <w:rtl/>
        </w:rPr>
        <w:t xml:space="preserve">. </w:t>
      </w:r>
      <w:r w:rsidRPr="00655CA9">
        <w:rPr>
          <w:rFonts w:ascii="Traditional Arabic" w:hAnsi="Traditional Arabic" w:cs="Traditional Arabic"/>
          <w:sz w:val="30"/>
          <w:szCs w:val="30"/>
          <w:rtl/>
        </w:rPr>
        <w:t xml:space="preserve">وفي حالة أخرى </w:t>
      </w:r>
      <w:r w:rsidRPr="00655CA9">
        <w:rPr>
          <w:rFonts w:ascii="Traditional Arabic" w:hAnsi="Traditional Arabic" w:cs="Traditional Arabic" w:hint="eastAsia"/>
          <w:sz w:val="30"/>
          <w:szCs w:val="30"/>
          <w:rtl/>
        </w:rPr>
        <w:t>وثقها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 ألقت القوات المسلحة اليمنية القبض</w:t>
      </w:r>
      <w:r w:rsidRPr="00887AAC">
        <w:rPr>
          <w:rFonts w:asciiTheme="majorBidi" w:hAnsiTheme="majorBidi"/>
          <w:color w:val="000000"/>
          <w:sz w:val="24"/>
          <w:szCs w:val="24"/>
          <w:rtl/>
        </w:rPr>
        <w:t xml:space="preserve"> </w:t>
      </w:r>
      <w:r w:rsidRPr="00927301">
        <w:rPr>
          <w:rStyle w:val="FootnoteReference"/>
          <w:rFonts w:asciiTheme="majorBidi" w:hAnsiTheme="majorBidi" w:cstheme="majorBidi"/>
          <w:color w:val="000000"/>
          <w:sz w:val="24"/>
          <w:szCs w:val="24"/>
        </w:rPr>
        <w:footnoteReference w:id="1072"/>
      </w:r>
      <w:r w:rsidRPr="00B011AA">
        <w:rPr>
          <w:rFonts w:asciiTheme="majorBidi" w:hAnsiTheme="majorBidi" w:cstheme="majorBidi"/>
          <w:color w:val="000000"/>
          <w:sz w:val="24"/>
          <w:szCs w:val="24"/>
        </w:rPr>
        <w:t xml:space="preserve"> </w:t>
      </w:r>
      <w:r w:rsidRPr="00655CA9">
        <w:rPr>
          <w:rFonts w:ascii="Traditional Arabic" w:hAnsi="Traditional Arabic" w:cs="Traditional Arabic"/>
          <w:sz w:val="30"/>
          <w:szCs w:val="30"/>
          <w:rtl/>
        </w:rPr>
        <w:t xml:space="preserve">على أحد الأطفال </w:t>
      </w:r>
      <w:r w:rsidRPr="00655CA9">
        <w:rPr>
          <w:rFonts w:ascii="Traditional Arabic" w:hAnsi="Traditional Arabic" w:cs="Traditional Arabic" w:hint="eastAsia"/>
          <w:sz w:val="30"/>
          <w:szCs w:val="30"/>
          <w:rtl/>
        </w:rPr>
        <w:t>الحمالين</w:t>
      </w:r>
      <w:r w:rsidRPr="00655CA9">
        <w:rPr>
          <w:rFonts w:ascii="Traditional Arabic" w:hAnsi="Traditional Arabic" w:cs="Traditional Arabic"/>
          <w:sz w:val="30"/>
          <w:szCs w:val="30"/>
          <w:rtl/>
        </w:rPr>
        <w:t xml:space="preserve"> الذين تقل أعمارهم عن 15 عامًا </w:t>
      </w:r>
      <w:r>
        <w:rPr>
          <w:rFonts w:ascii="Traditional Arabic" w:hAnsi="Traditional Arabic" w:cs="Traditional Arabic" w:hint="cs"/>
          <w:sz w:val="30"/>
          <w:szCs w:val="30"/>
          <w:rtl/>
          <w:lang w:bidi="ar-YE"/>
        </w:rPr>
        <w:t xml:space="preserve">كان </w:t>
      </w:r>
      <w:r w:rsidRPr="00655CA9">
        <w:rPr>
          <w:rFonts w:ascii="Traditional Arabic" w:hAnsi="Traditional Arabic" w:cs="Traditional Arabic"/>
          <w:sz w:val="30"/>
          <w:szCs w:val="30"/>
          <w:rtl/>
        </w:rPr>
        <w:t>يدعم الحوثيين ونُقل إلى مأرب. في وقت كتابة هذا التقرير ، كانت السلطات الحكومية تحاول الوصول إلى والدي الطفل</w:t>
      </w:r>
      <w:r w:rsidRPr="00887AAC">
        <w:rPr>
          <w:rFonts w:asciiTheme="majorBidi" w:hAnsiTheme="majorBidi" w:cstheme="majorBidi"/>
          <w:color w:val="000000"/>
          <w:sz w:val="24"/>
          <w:szCs w:val="24"/>
        </w:rPr>
        <w:t>.</w:t>
      </w:r>
      <w:r w:rsidRPr="00B011AA">
        <w:rPr>
          <w:rStyle w:val="FootnoteReference"/>
          <w:rFonts w:asciiTheme="majorBidi" w:hAnsiTheme="majorBidi" w:cstheme="majorBidi"/>
          <w:iCs/>
          <w:sz w:val="24"/>
          <w:szCs w:val="24"/>
        </w:rPr>
        <w:t xml:space="preserve"> </w:t>
      </w:r>
      <w:r w:rsidRPr="00927301">
        <w:rPr>
          <w:rStyle w:val="FootnoteReference"/>
          <w:rFonts w:asciiTheme="majorBidi" w:hAnsiTheme="majorBidi" w:cstheme="majorBidi"/>
          <w:iCs/>
          <w:sz w:val="24"/>
          <w:szCs w:val="24"/>
        </w:rPr>
        <w:footnoteReference w:id="1073"/>
      </w:r>
    </w:p>
    <w:p w14:paraId="2E861FF9" w14:textId="25493EB4" w:rsidR="009826D6" w:rsidRPr="00B011AA" w:rsidRDefault="009826D6" w:rsidP="008460A7">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Pr>
        <w:lastRenderedPageBreak/>
        <w:t xml:space="preserve"> </w:t>
      </w:r>
      <w:r w:rsidRPr="00655CA9">
        <w:rPr>
          <w:rFonts w:ascii="Traditional Arabic" w:hAnsi="Traditional Arabic" w:cs="Traditional Arabic"/>
          <w:sz w:val="30"/>
          <w:szCs w:val="30"/>
          <w:rtl/>
        </w:rPr>
        <w:t>قدم الشهود معلومات إضافية عن أساليب تجنيد الحوثيين وكذلك عن أساليب تلقينهم في المدارس</w:t>
      </w:r>
      <w:r w:rsidRPr="00927301">
        <w:rPr>
          <w:rStyle w:val="FootnoteReference"/>
          <w:rFonts w:asciiTheme="majorBidi" w:hAnsiTheme="majorBidi" w:cstheme="majorBidi"/>
          <w:sz w:val="24"/>
          <w:szCs w:val="24"/>
        </w:rPr>
        <w:footnoteReference w:id="1074"/>
      </w:r>
      <w:r w:rsidRPr="00887AAC">
        <w:rPr>
          <w:rFonts w:asciiTheme="majorBidi" w:hAnsiTheme="majorBidi"/>
          <w:sz w:val="24"/>
          <w:szCs w:val="24"/>
          <w:rtl/>
        </w:rPr>
        <w:t xml:space="preserve">. </w:t>
      </w:r>
      <w:r w:rsidRPr="00655CA9">
        <w:rPr>
          <w:rFonts w:ascii="Traditional Arabic" w:hAnsi="Traditional Arabic" w:cs="Traditional Arabic"/>
          <w:sz w:val="30"/>
          <w:szCs w:val="30"/>
          <w:rtl/>
        </w:rPr>
        <w:t xml:space="preserve">بينما في حالات معينة، تم اختطاف الأطفال وإجبارهم على الانضمام إلى </w:t>
      </w:r>
      <w:r w:rsidR="008460A7">
        <w:rPr>
          <w:rFonts w:ascii="Traditional Arabic" w:hAnsi="Traditional Arabic" w:cs="Traditional Arabic" w:hint="cs"/>
          <w:sz w:val="30"/>
          <w:szCs w:val="30"/>
          <w:rtl/>
        </w:rPr>
        <w:t xml:space="preserve">مقاتلي </w:t>
      </w:r>
      <w:r w:rsidRPr="00655CA9">
        <w:rPr>
          <w:rFonts w:ascii="Traditional Arabic" w:hAnsi="Traditional Arabic" w:cs="Traditional Arabic"/>
          <w:sz w:val="30"/>
          <w:szCs w:val="30"/>
          <w:rtl/>
        </w:rPr>
        <w:t>الحوثي</w:t>
      </w:r>
      <w:r w:rsidRPr="00927301">
        <w:rPr>
          <w:rStyle w:val="FootnoteReference"/>
          <w:rFonts w:asciiTheme="majorBidi" w:hAnsiTheme="majorBidi" w:cstheme="majorBidi"/>
          <w:sz w:val="24"/>
          <w:szCs w:val="24"/>
        </w:rPr>
        <w:footnoteReference w:id="1075"/>
      </w:r>
      <w:r w:rsidRPr="00887AAC">
        <w:rPr>
          <w:rFonts w:asciiTheme="majorBidi" w:hAnsiTheme="majorBidi"/>
          <w:sz w:val="24"/>
          <w:szCs w:val="24"/>
          <w:rtl/>
        </w:rPr>
        <w:t xml:space="preserve"> ، </w:t>
      </w:r>
      <w:r w:rsidRPr="00655CA9">
        <w:rPr>
          <w:rFonts w:ascii="Traditional Arabic" w:hAnsi="Traditional Arabic" w:cs="Traditional Arabic"/>
          <w:sz w:val="30"/>
          <w:szCs w:val="30"/>
          <w:rtl/>
        </w:rPr>
        <w:t xml:space="preserve">وفي حالات أخرى لاحظ فريق الخبراء أن الأطفال إما </w:t>
      </w:r>
      <w:r w:rsidRPr="00655CA9">
        <w:rPr>
          <w:rFonts w:ascii="Traditional Arabic" w:hAnsi="Traditional Arabic" w:cs="Traditional Arabic" w:hint="eastAsia"/>
          <w:sz w:val="30"/>
          <w:szCs w:val="30"/>
          <w:rtl/>
        </w:rPr>
        <w:t>تبعوا</w:t>
      </w:r>
      <w:r w:rsidRPr="00655CA9">
        <w:rPr>
          <w:rFonts w:ascii="Traditional Arabic" w:hAnsi="Traditional Arabic" w:cs="Traditional Arabic"/>
          <w:sz w:val="30"/>
          <w:szCs w:val="30"/>
          <w:rtl/>
        </w:rPr>
        <w:t xml:space="preserve"> أفراد أسرهم </w:t>
      </w:r>
      <w:r w:rsidRPr="00655CA9">
        <w:rPr>
          <w:rFonts w:ascii="Traditional Arabic" w:hAnsi="Traditional Arabic" w:cs="Traditional Arabic" w:hint="eastAsia"/>
          <w:sz w:val="30"/>
          <w:szCs w:val="30"/>
          <w:rtl/>
        </w:rPr>
        <w:t>المقاتلين</w:t>
      </w:r>
      <w:r w:rsidRPr="00655CA9">
        <w:rPr>
          <w:rFonts w:ascii="Traditional Arabic" w:hAnsi="Traditional Arabic" w:cs="Traditional Arabic"/>
          <w:sz w:val="30"/>
          <w:szCs w:val="30"/>
          <w:rtl/>
        </w:rPr>
        <w:t xml:space="preserve"> أو أفراد مرتبطين بالقوات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بعد برامج التدريب الإيديولوجية. في مناسبات أخرى، انضم الأطفال إلى الحوثيين لدعم أسرهم ماليا</w:t>
      </w:r>
      <w:r w:rsidRPr="00927301">
        <w:rPr>
          <w:rStyle w:val="FootnoteReference"/>
          <w:rFonts w:asciiTheme="majorBidi" w:hAnsiTheme="majorBidi" w:cstheme="majorBidi"/>
          <w:sz w:val="24"/>
          <w:szCs w:val="24"/>
        </w:rPr>
        <w:footnoteReference w:id="1076"/>
      </w:r>
      <w:r w:rsidRPr="00B011AA">
        <w:rPr>
          <w:rFonts w:asciiTheme="majorBidi" w:hAnsiTheme="majorBidi" w:cstheme="majorBidi"/>
          <w:sz w:val="24"/>
          <w:szCs w:val="24"/>
        </w:rPr>
        <w:t> </w:t>
      </w:r>
      <w:r w:rsidRPr="00887AAC">
        <w:rPr>
          <w:rFonts w:asciiTheme="majorBidi" w:hAnsiTheme="majorBidi"/>
          <w:sz w:val="24"/>
          <w:szCs w:val="24"/>
          <w:rtl/>
        </w:rPr>
        <w:t xml:space="preserve">. </w:t>
      </w:r>
      <w:r w:rsidRPr="00655CA9">
        <w:rPr>
          <w:rFonts w:ascii="Traditional Arabic" w:hAnsi="Traditional Arabic" w:cs="Traditional Arabic"/>
          <w:sz w:val="30"/>
          <w:szCs w:val="30"/>
          <w:rtl/>
        </w:rPr>
        <w:t>وذكر الشهود أيضًا أنه في كل حي، هناك أشخاص يجذبون الأطفال و</w:t>
      </w:r>
      <w:r w:rsidRPr="00655CA9">
        <w:rPr>
          <w:rFonts w:ascii="Traditional Arabic" w:hAnsi="Traditional Arabic" w:cs="Traditional Arabic" w:hint="eastAsia"/>
          <w:sz w:val="30"/>
          <w:szCs w:val="30"/>
          <w:rtl/>
        </w:rPr>
        <w:t>ويستدرجوهم</w:t>
      </w:r>
      <w:r w:rsidRPr="00655CA9">
        <w:rPr>
          <w:rFonts w:ascii="Traditional Arabic" w:hAnsi="Traditional Arabic" w:cs="Traditional Arabic"/>
          <w:sz w:val="30"/>
          <w:szCs w:val="30"/>
          <w:rtl/>
        </w:rPr>
        <w:t xml:space="preserve"> للانضمام إلى الجماعة المسلحة. في صنعاء، هؤلاء </w:t>
      </w:r>
      <w:r w:rsidRPr="00655CA9">
        <w:rPr>
          <w:rFonts w:ascii="Traditional Arabic" w:hAnsi="Traditional Arabic" w:cs="Traditional Arabic" w:hint="eastAsia"/>
          <w:sz w:val="30"/>
          <w:szCs w:val="30"/>
          <w:rtl/>
        </w:rPr>
        <w:t>الاشخاص</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الذين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يجندوا</w:t>
      </w:r>
      <w:r w:rsidRPr="00655CA9">
        <w:rPr>
          <w:rFonts w:ascii="Traditional Arabic" w:hAnsi="Traditional Arabic" w:cs="Traditional Arabic"/>
          <w:sz w:val="30"/>
          <w:szCs w:val="30"/>
          <w:rtl/>
        </w:rPr>
        <w:t xml:space="preserve"> هم أعضاء في اللجان الشعبية أو يزعمون أنهم أعضاء في اللجان الشعبية ، والتي أبلغت سلطات الأمر الواقع أنها جزءًا رسميًا من الجماعة الحوثية المسلحة</w:t>
      </w:r>
      <w:r w:rsidRPr="00B011AA">
        <w:rPr>
          <w:rFonts w:asciiTheme="majorBidi" w:hAnsiTheme="majorBidi" w:cstheme="majorBidi" w:hint="cs"/>
          <w:sz w:val="24"/>
          <w:szCs w:val="24"/>
          <w:rtl/>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77"/>
      </w:r>
    </w:p>
    <w:p w14:paraId="6A85699F" w14:textId="77777777" w:rsidR="009826D6" w:rsidRPr="00B011A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هناك طريقة أخرى تستخدم لتجنيد الأطفال هي "تلقين العقائد". </w:t>
      </w:r>
      <w:r w:rsidRPr="00655CA9">
        <w:rPr>
          <w:rFonts w:ascii="Traditional Arabic" w:hAnsi="Traditional Arabic" w:cs="Traditional Arabic" w:hint="eastAsia"/>
          <w:sz w:val="30"/>
          <w:szCs w:val="30"/>
          <w:rtl/>
        </w:rPr>
        <w:t>ف</w:t>
      </w:r>
      <w:r w:rsidRPr="00655CA9">
        <w:rPr>
          <w:rFonts w:ascii="Traditional Arabic" w:hAnsi="Traditional Arabic" w:cs="Traditional Arabic"/>
          <w:sz w:val="30"/>
          <w:szCs w:val="30"/>
          <w:rtl/>
        </w:rPr>
        <w:t>في المدارس العامة والخاصة، يقوم الضباط بإلقاء محاضرات منتظمة للأطفال حول "المل</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زم"</w:t>
      </w:r>
      <w:r w:rsidRPr="00655CA9">
        <w:rPr>
          <w:rStyle w:val="FootnoteReference"/>
          <w:rFonts w:asciiTheme="majorBidi" w:hAnsiTheme="majorBidi" w:cstheme="majorBidi"/>
          <w:sz w:val="24"/>
          <w:szCs w:val="24"/>
        </w:rPr>
        <w:footnoteReference w:id="1078"/>
      </w:r>
      <w:r w:rsidRPr="00655CA9">
        <w:rPr>
          <w:rStyle w:val="FootnoteReference"/>
          <w:rFonts w:asciiTheme="majorBidi" w:hAnsiTheme="majorBidi" w:cstheme="majorBidi"/>
          <w:sz w:val="24"/>
          <w:rtl/>
        </w:rPr>
        <w:t>.</w:t>
      </w:r>
      <w:r w:rsidRPr="00655CA9">
        <w:rPr>
          <w:rFonts w:ascii="Traditional Arabic" w:hAnsi="Traditional Arabic" w:cs="Traditional Arabic"/>
          <w:sz w:val="30"/>
          <w:szCs w:val="30"/>
          <w:rtl/>
        </w:rPr>
        <w:t xml:space="preserve"> أخبرت </w:t>
      </w:r>
      <w:r w:rsidRPr="00655CA9">
        <w:rPr>
          <w:rFonts w:ascii="Traditional Arabic" w:hAnsi="Traditional Arabic" w:cs="Traditional Arabic" w:hint="eastAsia"/>
          <w:sz w:val="30"/>
          <w:szCs w:val="30"/>
          <w:rtl/>
        </w:rPr>
        <w:t>إحدى</w:t>
      </w:r>
      <w:r w:rsidRPr="00655CA9">
        <w:rPr>
          <w:rFonts w:ascii="Traditional Arabic" w:hAnsi="Traditional Arabic" w:cs="Traditional Arabic"/>
          <w:sz w:val="30"/>
          <w:szCs w:val="30"/>
          <w:rtl/>
        </w:rPr>
        <w:t xml:space="preserve"> الامهات </w:t>
      </w:r>
      <w:r w:rsidRPr="00655CA9">
        <w:rPr>
          <w:rFonts w:ascii="Traditional Arabic" w:hAnsi="Traditional Arabic" w:cs="Traditional Arabic" w:hint="eastAsia"/>
          <w:sz w:val="30"/>
          <w:szCs w:val="30"/>
          <w:rtl/>
        </w:rPr>
        <w:t>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الخبراء</w:t>
      </w:r>
      <w:r w:rsidRPr="00655CA9">
        <w:rPr>
          <w:rFonts w:ascii="Traditional Arabic" w:hAnsi="Traditional Arabic" w:cs="Traditional Arabic"/>
          <w:sz w:val="30"/>
          <w:szCs w:val="30"/>
          <w:rtl/>
        </w:rPr>
        <w:t xml:space="preserve"> بأن لديها كوابيس حول مستقبل ابنها. </w:t>
      </w:r>
      <w:r w:rsidRPr="00655CA9">
        <w:rPr>
          <w:rFonts w:ascii="Traditional Arabic" w:hAnsi="Traditional Arabic" w:cs="Traditional Arabic" w:hint="eastAsia"/>
          <w:sz w:val="30"/>
          <w:szCs w:val="30"/>
          <w:rtl/>
        </w:rPr>
        <w:t>لقد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إطلع</w:t>
      </w:r>
      <w:r w:rsidRPr="00655CA9">
        <w:rPr>
          <w:rFonts w:ascii="Traditional Arabic" w:hAnsi="Traditional Arabic" w:cs="Traditional Arabic"/>
          <w:sz w:val="30"/>
          <w:szCs w:val="30"/>
          <w:rtl/>
        </w:rPr>
        <w:t xml:space="preserve"> مع أطفال آخرين في </w:t>
      </w:r>
      <w:r w:rsidRPr="00655CA9">
        <w:rPr>
          <w:rFonts w:ascii="Traditional Arabic" w:hAnsi="Traditional Arabic" w:cs="Traditional Arabic" w:hint="eastAsia"/>
          <w:sz w:val="30"/>
          <w:szCs w:val="30"/>
          <w:rtl/>
        </w:rPr>
        <w:t>صفه</w:t>
      </w:r>
      <w:r w:rsidRPr="00655CA9">
        <w:rPr>
          <w:rFonts w:ascii="Traditional Arabic" w:hAnsi="Traditional Arabic" w:cs="Traditional Arabic"/>
          <w:sz w:val="30"/>
          <w:szCs w:val="30"/>
          <w:rtl/>
        </w:rPr>
        <w:t xml:space="preserve"> بصنعاء على صور أطفال ميتين، تم تقطيعهم، اعتادوا تشجيعهم على القتال. تلقى فريق الخبراء رواية مباشرة لمعلم سابق تم إلقاء القبض عليه لأنه رفض تعبئة الشباب والتعاون في حملة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تجنيد الأطفال في عمران. وفقًا للشاهد ، لدى الجماعة الحوثية المسلحة سياسة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تجنيد الأطفال، والتي يتم تنفيذها بطريقة منظمة ومنتظمة</w:t>
      </w:r>
      <w:r w:rsidRPr="00887AAC">
        <w:rPr>
          <w:rFonts w:asciiTheme="majorBidi" w:hAnsiTheme="majorBidi" w:cstheme="majorBidi"/>
          <w:sz w:val="24"/>
          <w:szCs w:val="24"/>
        </w:rPr>
        <w:t>.</w:t>
      </w:r>
      <w:r w:rsidRPr="00B011AA">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79"/>
      </w:r>
    </w:p>
    <w:p w14:paraId="1B31F49F"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لدى فريق الخبراء أسباب معقولة للاعتقاد بأن الجماعة الحوثية المسلحة قامت بتجنيد الأطفال دون سن الخامسة عشرة ، وفي بعض الحالات ، استخدموه</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للمشاركة في الأعمال العدائية. تعتبر هذه الأعمال انتهاكات خطيرة للقانون </w:t>
      </w:r>
      <w:r w:rsidRPr="00BD629A">
        <w:rPr>
          <w:rFonts w:ascii="Traditional Arabic" w:hAnsi="Traditional Arabic" w:cs="Traditional Arabic"/>
          <w:sz w:val="30"/>
          <w:szCs w:val="30"/>
          <w:rtl/>
        </w:rPr>
        <w:t>الدولي</w:t>
      </w:r>
      <w:r w:rsidRPr="00DB7917">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الإنساني، وقد تؤدي إلى مسؤولية جنائية فردية عن جرائم الحرب. بالإضافة إلى ذلك، انتهك الحوثيون القانون</w:t>
      </w:r>
      <w:r>
        <w:rPr>
          <w:rFonts w:ascii="Traditional Arabic" w:hAnsi="Traditional Arabic" w:cs="Traditional Arabic" w:hint="cs"/>
          <w:sz w:val="30"/>
          <w:szCs w:val="30"/>
          <w:rtl/>
        </w:rPr>
        <w:t xml:space="preserve"> الوطني</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والقانون </w:t>
      </w:r>
      <w:r w:rsidRPr="00655CA9">
        <w:rPr>
          <w:rFonts w:ascii="Traditional Arabic" w:hAnsi="Traditional Arabic" w:cs="Traditional Arabic"/>
          <w:sz w:val="30"/>
          <w:szCs w:val="30"/>
          <w:rtl/>
        </w:rPr>
        <w:t>الدولي لحقوق الإنسان الذي يحظر تجنيد الأطفال دون سن 18 عامًا</w:t>
      </w:r>
      <w:r w:rsidRPr="00655CA9">
        <w:rPr>
          <w:rFonts w:ascii="Traditional Arabic" w:hAnsi="Traditional Arabic" w:cs="Traditional Arabic"/>
          <w:sz w:val="30"/>
          <w:szCs w:val="30"/>
        </w:rPr>
        <w:t>.</w:t>
      </w:r>
    </w:p>
    <w:p w14:paraId="668234E7" w14:textId="03FCF0A5" w:rsidR="009826D6" w:rsidRPr="00A01451" w:rsidRDefault="00A01451"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Pr>
          <w:rFonts w:ascii="Traditional Arabic" w:eastAsia="Times New Roman" w:hAnsi="Traditional Arabic" w:cs="Traditional Arabic"/>
          <w:i/>
          <w:iCs/>
          <w:sz w:val="30"/>
          <w:szCs w:val="30"/>
          <w:lang w:val="en-GB"/>
        </w:rPr>
        <w:t xml:space="preserve">     </w:t>
      </w:r>
      <w:r w:rsidR="009826D6" w:rsidRPr="00A01451">
        <w:rPr>
          <w:rFonts w:ascii="Traditional Arabic" w:eastAsia="Times New Roman" w:hAnsi="Traditional Arabic" w:cs="Traditional Arabic"/>
          <w:i/>
          <w:iCs/>
          <w:sz w:val="30"/>
          <w:szCs w:val="30"/>
          <w:rtl/>
          <w:lang w:val="en-GB"/>
        </w:rPr>
        <w:t>التزامات الأطراف بموجب المادة 6 (3) من البروتوكول الاختياري لاتفاقية حقوق الطفل</w:t>
      </w:r>
    </w:p>
    <w:p w14:paraId="70F2E4A9" w14:textId="77777777" w:rsidR="009826D6" w:rsidRPr="00AA4220"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b/>
          <w:bCs/>
          <w:sz w:val="24"/>
          <w:szCs w:val="24"/>
        </w:rPr>
      </w:pPr>
      <w:r w:rsidRPr="00655CA9">
        <w:rPr>
          <w:rFonts w:ascii="Traditional Arabic" w:hAnsi="Traditional Arabic" w:cs="Traditional Arabic" w:hint="eastAsia"/>
          <w:sz w:val="30"/>
          <w:szCs w:val="30"/>
          <w:rtl/>
        </w:rPr>
        <w:t>لغاية</w:t>
      </w:r>
      <w:r w:rsidRPr="00655CA9">
        <w:rPr>
          <w:rFonts w:ascii="Traditional Arabic" w:hAnsi="Traditional Arabic" w:cs="Traditional Arabic"/>
          <w:sz w:val="30"/>
          <w:szCs w:val="30"/>
          <w:rtl/>
        </w:rPr>
        <w:t xml:space="preserve"> الآن ، لم يتلق فريق الخبراء سوى القليل من المعلومات عن أي إجراء اتخذته مباشرة الحكومة اليمنية والقوات التابعة </w:t>
      </w:r>
      <w:r w:rsidRPr="00655CA9">
        <w:rPr>
          <w:rFonts w:ascii="Traditional Arabic" w:hAnsi="Traditional Arabic" w:cs="Traditional Arabic" w:hint="eastAsia"/>
          <w:sz w:val="30"/>
          <w:szCs w:val="30"/>
          <w:rtl/>
        </w:rPr>
        <w:t>لها</w:t>
      </w:r>
      <w:r w:rsidRPr="00655CA9">
        <w:rPr>
          <w:rFonts w:ascii="Traditional Arabic" w:hAnsi="Traditional Arabic" w:cs="Traditional Arabic"/>
          <w:sz w:val="30"/>
          <w:szCs w:val="30"/>
          <w:rtl/>
        </w:rPr>
        <w:t xml:space="preserve"> والجماعات المسلحة لضمان تسريح الأطفا</w:t>
      </w:r>
      <w:r w:rsidRPr="00655CA9">
        <w:rPr>
          <w:rFonts w:ascii="Traditional Arabic" w:hAnsi="Traditional Arabic" w:cs="Traditional Arabic" w:hint="eastAsia"/>
          <w:sz w:val="30"/>
          <w:szCs w:val="30"/>
          <w:rtl/>
        </w:rPr>
        <w:t>ل</w:t>
      </w:r>
      <w:r w:rsidRPr="00655CA9">
        <w:rPr>
          <w:rStyle w:val="FootnoteReference"/>
          <w:rFonts w:asciiTheme="majorBidi" w:hAnsiTheme="majorBidi" w:cstheme="majorBidi"/>
          <w:sz w:val="24"/>
          <w:szCs w:val="24"/>
        </w:rPr>
        <w:footnoteReference w:id="1080"/>
      </w:r>
      <w:r w:rsidRPr="00655CA9">
        <w:rPr>
          <w:rStyle w:val="FootnoteReference"/>
          <w:rFonts w:asciiTheme="majorBidi" w:hAnsiTheme="majorBidi" w:cstheme="majorBidi"/>
          <w:sz w:val="24"/>
          <w:rtl/>
        </w:rPr>
        <w:t xml:space="preserve"> </w:t>
      </w:r>
      <w:r w:rsidRPr="00655CA9">
        <w:rPr>
          <w:rFonts w:ascii="Traditional Arabic" w:hAnsi="Traditional Arabic" w:cs="Traditional Arabic"/>
          <w:sz w:val="30"/>
          <w:szCs w:val="30"/>
          <w:rtl/>
        </w:rPr>
        <w:t>ونزع سلاحهم وإعادة تأهيلهم وإعادة إدماجهم في المجتمع</w:t>
      </w:r>
      <w:r w:rsidRPr="00887AAC">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81"/>
      </w:r>
      <w:r w:rsidRPr="00887AAC">
        <w:rPr>
          <w:rFonts w:asciiTheme="majorBidi" w:hAnsiTheme="majorBidi"/>
          <w:sz w:val="24"/>
          <w:szCs w:val="24"/>
          <w:rtl/>
        </w:rPr>
        <w:t xml:space="preserve"> </w:t>
      </w:r>
      <w:r w:rsidRPr="00655CA9">
        <w:rPr>
          <w:rFonts w:ascii="Traditional Arabic" w:hAnsi="Traditional Arabic" w:cs="Traditional Arabic" w:hint="eastAsia"/>
          <w:sz w:val="30"/>
          <w:szCs w:val="30"/>
          <w:rtl/>
        </w:rPr>
        <w:lastRenderedPageBreak/>
        <w:t>الفريق</w:t>
      </w:r>
      <w:r w:rsidRPr="00655CA9">
        <w:rPr>
          <w:rFonts w:ascii="Traditional Arabic" w:hAnsi="Traditional Arabic" w:cs="Traditional Arabic"/>
          <w:sz w:val="30"/>
          <w:szCs w:val="30"/>
          <w:rtl/>
        </w:rPr>
        <w:t xml:space="preserve"> ليس على علم بأي إجراءات اتخذتها أطراف النزاع للإفراج عن الأطفال. التدبير الوحيد الذي </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دركه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هو أنه في بعض الحالات ، </w:t>
      </w:r>
      <w:r w:rsidRPr="00655CA9">
        <w:rPr>
          <w:rFonts w:ascii="Traditional Arabic" w:hAnsi="Traditional Arabic" w:cs="Traditional Arabic" w:hint="eastAsia"/>
          <w:sz w:val="30"/>
          <w:szCs w:val="30"/>
          <w:rtl/>
        </w:rPr>
        <w:t>وبعد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أسر </w:t>
      </w:r>
      <w:r w:rsidRPr="00655CA9">
        <w:rPr>
          <w:rFonts w:ascii="Traditional Arabic" w:hAnsi="Traditional Arabic" w:cs="Traditional Arabic" w:hint="eastAsia"/>
          <w:sz w:val="30"/>
          <w:szCs w:val="30"/>
          <w:rtl/>
        </w:rPr>
        <w:t>اطفال</w:t>
      </w:r>
      <w:r w:rsidRPr="00655CA9">
        <w:rPr>
          <w:rFonts w:ascii="Traditional Arabic" w:hAnsi="Traditional Arabic" w:cs="Traditional Arabic"/>
          <w:sz w:val="30"/>
          <w:szCs w:val="30"/>
          <w:rtl/>
        </w:rPr>
        <w:t xml:space="preserve"> شارك</w:t>
      </w:r>
      <w:r w:rsidRPr="00655CA9">
        <w:rPr>
          <w:rFonts w:ascii="Traditional Arabic" w:hAnsi="Traditional Arabic" w:cs="Traditional Arabic" w:hint="eastAsia"/>
          <w:sz w:val="30"/>
          <w:szCs w:val="30"/>
          <w:rtl/>
        </w:rPr>
        <w:t>وا</w:t>
      </w:r>
      <w:r w:rsidRPr="00655CA9">
        <w:rPr>
          <w:rFonts w:ascii="Traditional Arabic" w:hAnsi="Traditional Arabic" w:cs="Traditional Arabic"/>
          <w:sz w:val="30"/>
          <w:szCs w:val="30"/>
          <w:rtl/>
        </w:rPr>
        <w:t xml:space="preserve"> في أعمال عدائية ، </w:t>
      </w:r>
      <w:r w:rsidRPr="00655CA9">
        <w:rPr>
          <w:rFonts w:ascii="Traditional Arabic" w:hAnsi="Traditional Arabic" w:cs="Traditional Arabic" w:hint="eastAsia"/>
          <w:sz w:val="30"/>
          <w:szCs w:val="30"/>
          <w:rtl/>
        </w:rPr>
        <w:t>يقال</w:t>
      </w:r>
      <w:r w:rsidRPr="00655CA9">
        <w:rPr>
          <w:rFonts w:ascii="Traditional Arabic" w:hAnsi="Traditional Arabic" w:cs="Traditional Arabic"/>
          <w:sz w:val="30"/>
          <w:szCs w:val="30"/>
          <w:rtl/>
        </w:rPr>
        <w:t xml:space="preserve"> انه بموافقه  مسبق</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والديه</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 </w:t>
      </w:r>
      <w:r w:rsidRPr="00655CA9">
        <w:rPr>
          <w:rFonts w:ascii="Traditional Arabic" w:hAnsi="Traditional Arabic" w:cs="Traditional Arabic" w:hint="eastAsia"/>
          <w:sz w:val="30"/>
          <w:szCs w:val="30"/>
          <w:rtl/>
        </w:rPr>
        <w:t>قامت</w:t>
      </w:r>
      <w:r w:rsidRPr="00655CA9">
        <w:rPr>
          <w:rFonts w:ascii="Traditional Arabic" w:hAnsi="Traditional Arabic" w:cs="Traditional Arabic"/>
          <w:sz w:val="30"/>
          <w:szCs w:val="30"/>
          <w:rtl/>
        </w:rPr>
        <w:t xml:space="preserve"> القوات المسلحة اليمنية </w:t>
      </w:r>
      <w:r w:rsidRPr="00655CA9">
        <w:rPr>
          <w:rFonts w:ascii="Traditional Arabic" w:hAnsi="Traditional Arabic" w:cs="Traditional Arabic" w:hint="eastAsia"/>
          <w:sz w:val="30"/>
          <w:szCs w:val="30"/>
          <w:rtl/>
        </w:rPr>
        <w:t>بارسال</w:t>
      </w:r>
      <w:r w:rsidRPr="00655CA9">
        <w:rPr>
          <w:rFonts w:ascii="Traditional Arabic" w:hAnsi="Traditional Arabic" w:cs="Traditional Arabic"/>
          <w:sz w:val="30"/>
          <w:szCs w:val="30"/>
          <w:rtl/>
        </w:rPr>
        <w:t xml:space="preserve"> هؤلاء الأطفال إلى مركز </w:t>
      </w:r>
      <w:r w:rsidRPr="00655CA9">
        <w:rPr>
          <w:rFonts w:ascii="Traditional Arabic" w:hAnsi="Traditional Arabic" w:cs="Traditional Arabic" w:hint="eastAsia"/>
          <w:sz w:val="30"/>
          <w:szCs w:val="30"/>
          <w:rtl/>
        </w:rPr>
        <w:t>انشئ</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منظمة غير حكومية من أجل "إعادة تأهيل" الجنود الأطفال في مدينة مأرب</w:t>
      </w:r>
      <w:r w:rsidRPr="00887AAC">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82"/>
      </w:r>
    </w:p>
    <w:p w14:paraId="313B25F3" w14:textId="77777777" w:rsidR="009826D6" w:rsidRPr="00AA4220"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
          <w:bCs/>
          <w:color w:val="000000"/>
          <w:sz w:val="24"/>
          <w:szCs w:val="24"/>
        </w:rPr>
      </w:pPr>
      <w:r w:rsidRPr="00655CA9">
        <w:rPr>
          <w:rFonts w:asciiTheme="majorBidi" w:hAnsiTheme="majorBidi" w:cstheme="majorBidi"/>
          <w:color w:val="000000"/>
          <w:sz w:val="30"/>
          <w:szCs w:val="30"/>
        </w:rPr>
        <w:t xml:space="preserve"> </w:t>
      </w:r>
      <w:r w:rsidRPr="00655CA9">
        <w:rPr>
          <w:rFonts w:ascii="Traditional Arabic" w:hAnsi="Traditional Arabic" w:cs="Traditional Arabic"/>
          <w:sz w:val="30"/>
          <w:szCs w:val="30"/>
          <w:rtl/>
        </w:rPr>
        <w:t>تم إنشاء هذا المركز في عام 2017 في مدينة مأرب ، ويتم تمويله من مركز الملك سلمان للإغاثة، وهو مؤسسة خيرية في المملكة العربية السعودية</w:t>
      </w:r>
      <w:r w:rsidRPr="00655CA9">
        <w:rPr>
          <w:rFonts w:asciiTheme="majorBidi" w:hAnsiTheme="majorBidi"/>
          <w:color w:val="000000"/>
          <w:sz w:val="30"/>
          <w:szCs w:val="30"/>
          <w:rtl/>
        </w:rPr>
        <w:t>.</w:t>
      </w:r>
      <w:r w:rsidRPr="00655CA9">
        <w:rPr>
          <w:rStyle w:val="FootnoteReference"/>
          <w:rFonts w:asciiTheme="majorBidi" w:hAnsiTheme="majorBidi" w:cstheme="majorBidi"/>
          <w:color w:val="000000"/>
          <w:sz w:val="30"/>
          <w:szCs w:val="30"/>
        </w:rPr>
        <w:t xml:space="preserve"> </w:t>
      </w:r>
      <w:r w:rsidRPr="00655CA9">
        <w:rPr>
          <w:rStyle w:val="FootnoteReference"/>
          <w:rFonts w:asciiTheme="majorBidi" w:hAnsiTheme="majorBidi" w:cstheme="majorBidi"/>
          <w:color w:val="000000"/>
          <w:sz w:val="30"/>
          <w:szCs w:val="30"/>
        </w:rPr>
        <w:footnoteReference w:id="1083"/>
      </w:r>
      <w:r w:rsidRPr="00655CA9">
        <w:rPr>
          <w:rFonts w:asciiTheme="majorBidi" w:hAnsiTheme="majorBidi" w:cstheme="majorBidi"/>
          <w:color w:val="000000"/>
          <w:sz w:val="30"/>
          <w:szCs w:val="30"/>
        </w:rPr>
        <w:t xml:space="preserve"> </w:t>
      </w:r>
      <w:r w:rsidRPr="00655CA9">
        <w:rPr>
          <w:rFonts w:asciiTheme="majorBidi" w:hAnsiTheme="majorBidi"/>
          <w:color w:val="000000"/>
          <w:sz w:val="30"/>
          <w:szCs w:val="30"/>
          <w:rtl/>
        </w:rPr>
        <w:t xml:space="preserve"> </w:t>
      </w:r>
      <w:r w:rsidRPr="00655CA9">
        <w:rPr>
          <w:rFonts w:ascii="Traditional Arabic" w:hAnsi="Traditional Arabic" w:cs="Traditional Arabic"/>
          <w:sz w:val="30"/>
          <w:szCs w:val="30"/>
          <w:rtl/>
        </w:rPr>
        <w:t>ووفقاً للمعلومات التي تلقاها الفريق</w:t>
      </w:r>
      <w:r w:rsidRPr="00655CA9">
        <w:rPr>
          <w:rStyle w:val="FootnoteReference"/>
          <w:rFonts w:asciiTheme="majorBidi" w:hAnsiTheme="majorBidi" w:cstheme="majorBidi"/>
          <w:sz w:val="30"/>
          <w:szCs w:val="30"/>
        </w:rPr>
        <w:footnoteReference w:id="1084"/>
      </w:r>
      <w:r w:rsidRPr="00655CA9">
        <w:rPr>
          <w:rFonts w:asciiTheme="majorBidi" w:hAnsiTheme="majorBidi"/>
          <w:color w:val="000000"/>
          <w:sz w:val="30"/>
          <w:szCs w:val="30"/>
          <w:rtl/>
        </w:rPr>
        <w:t xml:space="preserve">، </w:t>
      </w:r>
      <w:r w:rsidRPr="00A01451">
        <w:rPr>
          <w:rFonts w:ascii="Traditional Arabic" w:hAnsi="Traditional Arabic" w:cs="Traditional Arabic"/>
          <w:sz w:val="30"/>
          <w:szCs w:val="30"/>
          <w:rtl/>
        </w:rPr>
        <w:t xml:space="preserve">يتم اختيار الأطفال بواسطة عمال ميدانيين في مناطق مختلفة، معظمهم من مخيمات النازحين داخلياً </w:t>
      </w:r>
      <w:r w:rsidRPr="00655CA9">
        <w:rPr>
          <w:rFonts w:ascii="Traditional Arabic" w:hAnsi="Traditional Arabic" w:cs="Traditional Arabic"/>
          <w:sz w:val="30"/>
          <w:szCs w:val="30"/>
          <w:rtl/>
        </w:rPr>
        <w:t xml:space="preserve">في </w:t>
      </w:r>
      <w:r w:rsidRPr="00655CA9">
        <w:rPr>
          <w:rFonts w:ascii="Traditional Arabic" w:hAnsi="Traditional Arabic" w:cs="Traditional Arabic" w:hint="eastAsia"/>
          <w:sz w:val="30"/>
          <w:szCs w:val="30"/>
          <w:rtl/>
        </w:rPr>
        <w:t>مآرب</w:t>
      </w:r>
      <w:r w:rsidRPr="00655CA9">
        <w:rPr>
          <w:rFonts w:ascii="Traditional Arabic" w:hAnsi="Traditional Arabic" w:cs="Traditional Arabic"/>
          <w:sz w:val="30"/>
          <w:szCs w:val="30"/>
          <w:rtl/>
        </w:rPr>
        <w:t xml:space="preserve"> و"مراكز الاحتجاز" التي تديرها القوات الحكومية. يقبل المركز الأطفال فقط طالما أن والديهم قد وافقوا على ذلك. صرح الأشخاص الذين تمت مقابلتهم بأن </w:t>
      </w:r>
      <w:r w:rsidRPr="00655CA9">
        <w:rPr>
          <w:rFonts w:ascii="Traditional Arabic" w:hAnsi="Traditional Arabic" w:cs="Traditional Arabic" w:hint="eastAsia"/>
          <w:sz w:val="30"/>
          <w:szCs w:val="30"/>
          <w:rtl/>
        </w:rPr>
        <w:t>معظم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الاطفال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الجنود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الذين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معالجتهم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المركز</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حوثيين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w:t>
      </w:r>
      <w:r>
        <w:rPr>
          <w:rFonts w:ascii="Traditional Arabic" w:hAnsi="Traditional Arabic" w:cs="Traditional Arabic" w:hint="cs"/>
          <w:sz w:val="30"/>
          <w:szCs w:val="30"/>
          <w:rtl/>
        </w:rPr>
        <w:t xml:space="preserve">لكن كان عددًا من </w:t>
      </w:r>
      <w:r w:rsidRPr="00655CA9">
        <w:rPr>
          <w:rFonts w:ascii="Traditional Arabic" w:hAnsi="Traditional Arabic" w:cs="Traditional Arabic"/>
          <w:sz w:val="30"/>
          <w:szCs w:val="30"/>
          <w:rtl/>
        </w:rPr>
        <w:t>الأطفال مرتبطين سابقًا بالقوات المسلحة اليمنية والجماعات التابع</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لها</w:t>
      </w:r>
      <w:r w:rsidRPr="00655CA9">
        <w:rPr>
          <w:rFonts w:ascii="Traditional Arabic" w:hAnsi="Traditional Arabic" w:cs="Traditional Arabic"/>
          <w:sz w:val="30"/>
          <w:szCs w:val="30"/>
        </w:rPr>
        <w:t>.</w:t>
      </w:r>
      <w:r w:rsidRPr="00927301">
        <w:rPr>
          <w:rStyle w:val="FootnoteReference"/>
          <w:rFonts w:asciiTheme="majorBidi" w:hAnsiTheme="majorBidi" w:cstheme="majorBidi"/>
          <w:sz w:val="24"/>
          <w:szCs w:val="24"/>
        </w:rPr>
        <w:footnoteReference w:id="1085"/>
      </w:r>
    </w:p>
    <w:p w14:paraId="452BAD2D" w14:textId="77777777" w:rsidR="009826D6" w:rsidRPr="00887AAC"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
          <w:bCs/>
          <w:color w:val="000000"/>
          <w:sz w:val="24"/>
          <w:szCs w:val="24"/>
        </w:rPr>
      </w:pPr>
      <w:r w:rsidRPr="00655CA9">
        <w:rPr>
          <w:rFonts w:ascii="Traditional Arabic" w:hAnsi="Traditional Arabic" w:cs="Traditional Arabic" w:hint="eastAsia"/>
          <w:sz w:val="30"/>
          <w:szCs w:val="30"/>
          <w:rtl/>
        </w:rPr>
        <w:t>ف</w:t>
      </w:r>
      <w:r w:rsidRPr="00655CA9">
        <w:rPr>
          <w:rFonts w:ascii="Traditional Arabic" w:hAnsi="Traditional Arabic" w:cs="Traditional Arabic"/>
          <w:sz w:val="30"/>
          <w:szCs w:val="30"/>
          <w:rtl/>
        </w:rPr>
        <w:t>ي حين وصف أحد الشهود هذا المركز بأنه المكان الوحيد "المعتمد" من قبل الحكومة اليمنية لتقديم مثل هذه الخدمات، م</w:t>
      </w:r>
      <w:r>
        <w:rPr>
          <w:rFonts w:ascii="Traditional Arabic" w:hAnsi="Traditional Arabic" w:cs="Traditional Arabic" w:hint="cs"/>
          <w:sz w:val="30"/>
          <w:szCs w:val="30"/>
          <w:rtl/>
        </w:rPr>
        <w:t xml:space="preserve">ن </w:t>
      </w:r>
      <w:r w:rsidRPr="00655CA9">
        <w:rPr>
          <w:rFonts w:ascii="Traditional Arabic" w:hAnsi="Traditional Arabic" w:cs="Traditional Arabic"/>
          <w:sz w:val="30"/>
          <w:szCs w:val="30"/>
          <w:rtl/>
        </w:rPr>
        <w:t xml:space="preserve">غير </w:t>
      </w:r>
      <w:r>
        <w:rPr>
          <w:rFonts w:ascii="Traditional Arabic" w:hAnsi="Traditional Arabic" w:cs="Traditional Arabic" w:hint="cs"/>
          <w:sz w:val="30"/>
          <w:szCs w:val="30"/>
          <w:rtl/>
        </w:rPr>
        <w:t>ال</w:t>
      </w:r>
      <w:r w:rsidRPr="00655CA9">
        <w:rPr>
          <w:rFonts w:ascii="Traditional Arabic" w:hAnsi="Traditional Arabic" w:cs="Traditional Arabic"/>
          <w:sz w:val="30"/>
          <w:szCs w:val="30"/>
          <w:rtl/>
        </w:rPr>
        <w:t>واضح مستوى الرقابة الحكومية على أنشطة المركز و</w:t>
      </w:r>
      <w:r>
        <w:rPr>
          <w:rFonts w:ascii="Traditional Arabic" w:hAnsi="Traditional Arabic" w:cs="Traditional Arabic" w:hint="cs"/>
          <w:sz w:val="30"/>
          <w:szCs w:val="30"/>
          <w:rtl/>
        </w:rPr>
        <w:t xml:space="preserve">أي </w:t>
      </w:r>
      <w:r w:rsidRPr="00655CA9">
        <w:rPr>
          <w:rFonts w:ascii="Traditional Arabic" w:hAnsi="Traditional Arabic" w:cs="Traditional Arabic"/>
          <w:sz w:val="30"/>
          <w:szCs w:val="30"/>
          <w:rtl/>
        </w:rPr>
        <w:t xml:space="preserve">تنسيق إضافي مع وكالات حماية الطفل، بما في ذلك وكالات حماية الطفل </w:t>
      </w:r>
      <w:r w:rsidRPr="00655CA9">
        <w:rPr>
          <w:rFonts w:ascii="Traditional Arabic" w:hAnsi="Traditional Arabic" w:cs="Traditional Arabic" w:hint="eastAsia"/>
          <w:sz w:val="30"/>
          <w:szCs w:val="30"/>
          <w:rtl/>
        </w:rPr>
        <w:t>التابعة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لأم</w:t>
      </w:r>
      <w:r w:rsidRPr="00655CA9">
        <w:rPr>
          <w:rFonts w:ascii="Traditional Arabic" w:hAnsi="Traditional Arabic" w:cs="Traditional Arabic" w:hint="eastAsia"/>
          <w:sz w:val="30"/>
          <w:szCs w:val="30"/>
          <w:rtl/>
        </w:rPr>
        <w:t>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المتحدة</w:t>
      </w:r>
      <w:r w:rsidRPr="00887AAC">
        <w:rPr>
          <w:rFonts w:asciiTheme="majorBidi" w:hAnsiTheme="majorBidi"/>
          <w:color w:val="000000"/>
          <w:sz w:val="24"/>
          <w:szCs w:val="24"/>
          <w:rtl/>
        </w:rPr>
        <w:t>.</w:t>
      </w:r>
      <w:r w:rsidRPr="00927301">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086"/>
      </w:r>
      <w:r w:rsidRPr="00887AAC">
        <w:rPr>
          <w:rFonts w:asciiTheme="majorBidi" w:hAnsiTheme="majorBidi"/>
          <w:color w:val="000000"/>
          <w:sz w:val="24"/>
          <w:szCs w:val="24"/>
          <w:rtl/>
        </w:rPr>
        <w:t xml:space="preserve"> </w:t>
      </w:r>
      <w:r w:rsidRPr="00655CA9">
        <w:rPr>
          <w:rFonts w:ascii="Traditional Arabic" w:hAnsi="Traditional Arabic" w:cs="Traditional Arabic"/>
          <w:sz w:val="30"/>
          <w:szCs w:val="30"/>
          <w:rtl/>
        </w:rPr>
        <w:t xml:space="preserve">الدعم المقدم لأولئك القادرين على الوصول إلى المركز هو جزء أساسي من إعادة تأهيلهم. ومع ذلك ، يلاحظ الفريق أن تحديد هؤلاء الأطفال كجنود سابقين قد </w:t>
      </w:r>
      <w:r w:rsidRPr="00655CA9">
        <w:rPr>
          <w:rFonts w:ascii="Traditional Arabic" w:hAnsi="Traditional Arabic" w:cs="Traditional Arabic" w:hint="eastAsia"/>
          <w:sz w:val="30"/>
          <w:szCs w:val="30"/>
          <w:rtl/>
        </w:rPr>
        <w:t>يسبب</w:t>
      </w:r>
      <w:r w:rsidRPr="00655CA9">
        <w:rPr>
          <w:rFonts w:ascii="Traditional Arabic" w:hAnsi="Traditional Arabic" w:cs="Traditional Arabic"/>
          <w:sz w:val="30"/>
          <w:szCs w:val="30"/>
          <w:rtl/>
        </w:rPr>
        <w:t xml:space="preserve"> لهم وصمة عار  ، مما يؤدي إلى نتائج عكسية لإعادة </w:t>
      </w:r>
      <w:r w:rsidRPr="00655CA9">
        <w:rPr>
          <w:rFonts w:ascii="Traditional Arabic" w:hAnsi="Traditional Arabic" w:cs="Traditional Arabic" w:hint="eastAsia"/>
          <w:sz w:val="30"/>
          <w:szCs w:val="30"/>
          <w:rtl/>
        </w:rPr>
        <w:t>ادماجهم</w:t>
      </w:r>
      <w:r w:rsidRPr="00655CA9">
        <w:rPr>
          <w:rFonts w:ascii="Traditional Arabic" w:hAnsi="Traditional Arabic" w:cs="Traditional Arabic"/>
          <w:sz w:val="30"/>
          <w:szCs w:val="30"/>
          <w:rtl/>
        </w:rPr>
        <w:t xml:space="preserve">. وفي هذا الصدد ، الفريق </w:t>
      </w:r>
      <w:r w:rsidRPr="00655CA9">
        <w:rPr>
          <w:rFonts w:ascii="Traditional Arabic" w:hAnsi="Traditional Arabic" w:cs="Traditional Arabic" w:hint="eastAsia"/>
          <w:sz w:val="30"/>
          <w:szCs w:val="30"/>
          <w:rtl/>
        </w:rPr>
        <w:t>يؤكد</w:t>
      </w:r>
      <w:r w:rsidRPr="00655CA9">
        <w:rPr>
          <w:rFonts w:ascii="Traditional Arabic" w:hAnsi="Traditional Arabic" w:cs="Traditional Arabic"/>
          <w:sz w:val="30"/>
          <w:szCs w:val="30"/>
          <w:rtl/>
        </w:rPr>
        <w:t xml:space="preserve"> على دعوة الأمين العام إلى جميع الأطراف لتعزيز مشاركتها مع الأمم المتحدة لوضع واعتماد إجراءات تشغيل موحدة للإفراج عن الأطفال المرتبطين بأطراف النزاع وإعادة إدماجهم ومنحهم إمكانية الوصول الفوري إلى الجهات الفاعلة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حماية الأطفال المدنيين لتسهيل إطلاق سراح هؤلاء الأطفال وإعادة إدماجهم في مجتمعاته</w:t>
      </w:r>
      <w:r w:rsidRPr="00655CA9">
        <w:rPr>
          <w:rFonts w:ascii="Traditional Arabic" w:hAnsi="Traditional Arabic" w:cs="Traditional Arabic"/>
          <w:sz w:val="30"/>
          <w:szCs w:val="30"/>
        </w:rPr>
        <w:t>.</w:t>
      </w:r>
      <w:r w:rsidRPr="00927301">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087"/>
      </w:r>
    </w:p>
    <w:p w14:paraId="379F5F48" w14:textId="16A5694D" w:rsidR="009826D6" w:rsidRPr="00655CA9" w:rsidRDefault="009826D6" w:rsidP="0025057B">
      <w:pPr>
        <w:pStyle w:val="ListParagraph"/>
        <w:numPr>
          <w:ilvl w:val="0"/>
          <w:numId w:val="23"/>
        </w:numPr>
        <w:bidi/>
        <w:ind w:right="900"/>
        <w:rPr>
          <w:rFonts w:ascii="Traditional Arabic" w:hAnsi="Traditional Arabic" w:cs="Traditional Arabic"/>
          <w:b/>
          <w:bCs/>
          <w:sz w:val="30"/>
          <w:szCs w:val="30"/>
        </w:rPr>
      </w:pPr>
      <w:r w:rsidRPr="00655CA9">
        <w:rPr>
          <w:rFonts w:ascii="Traditional Arabic" w:hAnsi="Traditional Arabic" w:cs="Traditional Arabic"/>
          <w:b/>
          <w:bCs/>
          <w:sz w:val="30"/>
          <w:szCs w:val="30"/>
          <w:rtl/>
        </w:rPr>
        <w:t>انتهاكات الحق في الحرية والأمن الشخصي والحماية من العنف</w:t>
      </w:r>
    </w:p>
    <w:p w14:paraId="78170F04" w14:textId="77777777" w:rsidR="009826D6" w:rsidRPr="00887AAC" w:rsidRDefault="009826D6" w:rsidP="00A01451">
      <w:pPr>
        <w:pStyle w:val="ListParagraph"/>
        <w:tabs>
          <w:tab w:val="left" w:pos="5130"/>
        </w:tabs>
        <w:bidi/>
        <w:spacing w:after="100" w:afterAutospacing="1" w:line="240" w:lineRule="auto"/>
        <w:ind w:left="1449" w:right="900"/>
        <w:jc w:val="both"/>
        <w:rPr>
          <w:rFonts w:asciiTheme="majorBidi" w:hAnsiTheme="majorBidi"/>
          <w:i/>
          <w:sz w:val="24"/>
          <w:szCs w:val="24"/>
          <w:rtl/>
          <w:lang w:val="en-GB"/>
        </w:rPr>
      </w:pPr>
      <w:r w:rsidRPr="00655CA9">
        <w:rPr>
          <w:rFonts w:ascii="Traditional Arabic" w:eastAsia="Times New Roman" w:hAnsi="Traditional Arabic" w:cs="Traditional Arabic"/>
          <w:i/>
          <w:iCs/>
          <w:sz w:val="30"/>
          <w:szCs w:val="30"/>
          <w:lang w:val="en-GB"/>
        </w:rPr>
        <w:t>"</w:t>
      </w:r>
      <w:r w:rsidRPr="00655CA9">
        <w:rPr>
          <w:rFonts w:ascii="Traditional Arabic" w:eastAsia="Times New Roman" w:hAnsi="Traditional Arabic" w:cs="Traditional Arabic"/>
          <w:i/>
          <w:iCs/>
          <w:sz w:val="30"/>
          <w:szCs w:val="30"/>
          <w:rtl/>
          <w:lang w:val="en-GB"/>
        </w:rPr>
        <w:t>لقد تم إلقاء القبض علي مباشرة قبل امتحان</w:t>
      </w:r>
      <w:r w:rsidRPr="00655CA9">
        <w:rPr>
          <w:rFonts w:ascii="Traditional Arabic" w:eastAsia="Times New Roman" w:hAnsi="Traditional Arabic" w:cs="Traditional Arabic" w:hint="eastAsia"/>
          <w:i/>
          <w:iCs/>
          <w:sz w:val="30"/>
          <w:szCs w:val="30"/>
          <w:rtl/>
          <w:lang w:val="en-GB"/>
        </w:rPr>
        <w:t>ات</w:t>
      </w:r>
      <w:r w:rsidRPr="00655CA9">
        <w:rPr>
          <w:rFonts w:ascii="Traditional Arabic" w:eastAsia="Times New Roman" w:hAnsi="Traditional Arabic" w:cs="Traditional Arabic"/>
          <w:i/>
          <w:iCs/>
          <w:sz w:val="30"/>
          <w:szCs w:val="30"/>
          <w:rtl/>
          <w:lang w:val="en-GB"/>
        </w:rPr>
        <w:t>ي النهائي</w:t>
      </w:r>
      <w:r w:rsidRPr="00655CA9">
        <w:rPr>
          <w:rFonts w:ascii="Traditional Arabic" w:eastAsia="Times New Roman" w:hAnsi="Traditional Arabic" w:cs="Traditional Arabic" w:hint="eastAsia"/>
          <w:i/>
          <w:iCs/>
          <w:sz w:val="30"/>
          <w:szCs w:val="30"/>
          <w:rtl/>
          <w:lang w:val="en-GB"/>
        </w:rPr>
        <w:t>ه</w:t>
      </w:r>
      <w:r w:rsidRPr="00655CA9">
        <w:rPr>
          <w:rFonts w:ascii="Traditional Arabic" w:eastAsia="Times New Roman" w:hAnsi="Traditional Arabic" w:cs="Traditional Arabic"/>
          <w:i/>
          <w:iCs/>
          <w:sz w:val="30"/>
          <w:szCs w:val="30"/>
          <w:rtl/>
          <w:lang w:val="en-GB"/>
        </w:rPr>
        <w:t xml:space="preserve"> ، </w:t>
      </w:r>
      <w:r w:rsidRPr="00655CA9">
        <w:rPr>
          <w:rFonts w:ascii="Traditional Arabic" w:eastAsia="Times New Roman" w:hAnsi="Traditional Arabic" w:cs="Traditional Arabic" w:hint="eastAsia"/>
          <w:i/>
          <w:iCs/>
          <w:sz w:val="30"/>
          <w:szCs w:val="30"/>
          <w:rtl/>
          <w:lang w:val="en-GB"/>
        </w:rPr>
        <w:t>لذلك</w:t>
      </w:r>
      <w:r w:rsidRPr="00655CA9">
        <w:rPr>
          <w:rFonts w:ascii="Traditional Arabic" w:eastAsia="Times New Roman" w:hAnsi="Traditional Arabic" w:cs="Traditional Arabic"/>
          <w:i/>
          <w:iCs/>
          <w:sz w:val="30"/>
          <w:szCs w:val="30"/>
          <w:rtl/>
          <w:lang w:val="en-GB"/>
        </w:rPr>
        <w:t xml:space="preserve"> ليس لدي أمل في إنهاء تعليمي. كنت طالبا جيدا. </w:t>
      </w:r>
      <w:r w:rsidRPr="00655CA9">
        <w:rPr>
          <w:rFonts w:ascii="Traditional Arabic" w:eastAsia="Times New Roman" w:hAnsi="Traditional Arabic" w:cs="Traditional Arabic" w:hint="eastAsia"/>
          <w:i/>
          <w:iCs/>
          <w:sz w:val="30"/>
          <w:szCs w:val="30"/>
          <w:rtl/>
          <w:lang w:val="en-GB"/>
        </w:rPr>
        <w:t>لقد</w:t>
      </w:r>
      <w:r w:rsidRPr="00655CA9">
        <w:rPr>
          <w:rFonts w:ascii="Traditional Arabic" w:eastAsia="Times New Roman" w:hAnsi="Traditional Arabic" w:cs="Traditional Arabic"/>
          <w:i/>
          <w:iCs/>
          <w:sz w:val="30"/>
          <w:szCs w:val="30"/>
          <w:rtl/>
          <w:lang w:val="en-GB"/>
        </w:rPr>
        <w:t xml:space="preserve"> باعت أسرتي منزله</w:t>
      </w:r>
      <w:r w:rsidRPr="00655CA9">
        <w:rPr>
          <w:rFonts w:ascii="Traditional Arabic" w:eastAsia="Times New Roman" w:hAnsi="Traditional Arabic" w:cs="Traditional Arabic" w:hint="eastAsia"/>
          <w:i/>
          <w:iCs/>
          <w:sz w:val="30"/>
          <w:szCs w:val="30"/>
          <w:rtl/>
          <w:lang w:val="en-GB"/>
        </w:rPr>
        <w:t>ا</w:t>
      </w:r>
      <w:r w:rsidRPr="00655CA9">
        <w:rPr>
          <w:rFonts w:ascii="Traditional Arabic" w:eastAsia="Times New Roman" w:hAnsi="Traditional Arabic" w:cs="Traditional Arabic"/>
          <w:i/>
          <w:iCs/>
          <w:sz w:val="30"/>
          <w:szCs w:val="30"/>
          <w:rtl/>
          <w:lang w:val="en-GB"/>
        </w:rPr>
        <w:t xml:space="preserve"> لإنقاذ حياتي ... </w:t>
      </w:r>
      <w:r w:rsidRPr="00655CA9">
        <w:rPr>
          <w:rFonts w:ascii="Traditional Arabic" w:eastAsia="Times New Roman" w:hAnsi="Traditional Arabic" w:cs="Traditional Arabic"/>
          <w:i/>
          <w:iCs/>
          <w:sz w:val="30"/>
          <w:szCs w:val="30"/>
          <w:rtl/>
          <w:lang w:val="en-GB"/>
        </w:rPr>
        <w:lastRenderedPageBreak/>
        <w:t>الأشخاص الذين ألق</w:t>
      </w:r>
      <w:r w:rsidRPr="00655CA9">
        <w:rPr>
          <w:rFonts w:ascii="Traditional Arabic" w:eastAsia="Times New Roman" w:hAnsi="Traditional Arabic" w:cs="Traditional Arabic" w:hint="eastAsia"/>
          <w:i/>
          <w:iCs/>
          <w:sz w:val="30"/>
          <w:szCs w:val="30"/>
          <w:rtl/>
          <w:lang w:val="en-GB"/>
        </w:rPr>
        <w:t>وا</w:t>
      </w:r>
      <w:r w:rsidRPr="00655CA9">
        <w:rPr>
          <w:rFonts w:ascii="Traditional Arabic" w:eastAsia="Times New Roman" w:hAnsi="Traditional Arabic" w:cs="Traditional Arabic"/>
          <w:i/>
          <w:iCs/>
          <w:sz w:val="30"/>
          <w:szCs w:val="30"/>
          <w:rtl/>
          <w:lang w:val="en-GB"/>
        </w:rPr>
        <w:t xml:space="preserve"> القبض علي جرحو</w:t>
      </w:r>
      <w:r w:rsidRPr="00655CA9">
        <w:rPr>
          <w:rFonts w:ascii="Traditional Arabic" w:eastAsia="Times New Roman" w:hAnsi="Traditional Arabic" w:cs="Traditional Arabic" w:hint="eastAsia"/>
          <w:i/>
          <w:iCs/>
          <w:sz w:val="30"/>
          <w:szCs w:val="30"/>
          <w:rtl/>
          <w:lang w:val="en-GB"/>
        </w:rPr>
        <w:t>ني</w:t>
      </w:r>
      <w:r w:rsidRPr="00655CA9">
        <w:rPr>
          <w:rFonts w:ascii="Traditional Arabic" w:eastAsia="Times New Roman" w:hAnsi="Traditional Arabic" w:cs="Traditional Arabic"/>
          <w:i/>
          <w:iCs/>
          <w:sz w:val="30"/>
          <w:szCs w:val="30"/>
          <w:rtl/>
          <w:lang w:val="en-GB"/>
        </w:rPr>
        <w:t xml:space="preserve"> </w:t>
      </w:r>
      <w:r w:rsidRPr="00655CA9">
        <w:rPr>
          <w:rFonts w:ascii="Traditional Arabic" w:eastAsia="Times New Roman" w:hAnsi="Traditional Arabic" w:cs="Traditional Arabic" w:hint="eastAsia"/>
          <w:i/>
          <w:iCs/>
          <w:sz w:val="30"/>
          <w:szCs w:val="30"/>
          <w:rtl/>
          <w:lang w:val="en-GB"/>
        </w:rPr>
        <w:t>وأخافوني</w:t>
      </w:r>
      <w:r w:rsidRPr="00655CA9">
        <w:rPr>
          <w:rFonts w:ascii="Traditional Arabic" w:eastAsia="Times New Roman" w:hAnsi="Traditional Arabic" w:cs="Traditional Arabic"/>
          <w:i/>
          <w:iCs/>
          <w:sz w:val="30"/>
          <w:szCs w:val="30"/>
          <w:rtl/>
          <w:lang w:val="en-GB"/>
        </w:rPr>
        <w:t xml:space="preserve"> ، </w:t>
      </w:r>
      <w:r w:rsidRPr="00655CA9">
        <w:rPr>
          <w:rFonts w:ascii="Traditional Arabic" w:eastAsia="Times New Roman" w:hAnsi="Traditional Arabic" w:cs="Traditional Arabic" w:hint="eastAsia"/>
          <w:i/>
          <w:iCs/>
          <w:sz w:val="30"/>
          <w:szCs w:val="30"/>
          <w:rtl/>
          <w:lang w:val="en-GB"/>
        </w:rPr>
        <w:t>و</w:t>
      </w:r>
      <w:r w:rsidRPr="00655CA9">
        <w:rPr>
          <w:rFonts w:ascii="Traditional Arabic" w:eastAsia="Times New Roman" w:hAnsi="Traditional Arabic" w:cs="Traditional Arabic"/>
          <w:i/>
          <w:iCs/>
          <w:sz w:val="30"/>
          <w:szCs w:val="30"/>
          <w:rtl/>
          <w:lang w:val="en-GB"/>
        </w:rPr>
        <w:t xml:space="preserve">أخذوا تعليمي وحياتي </w:t>
      </w:r>
      <w:r w:rsidRPr="00655CA9">
        <w:rPr>
          <w:rFonts w:ascii="Traditional Arabic" w:eastAsia="Times New Roman" w:hAnsi="Traditional Arabic" w:cs="Traditional Arabic" w:hint="eastAsia"/>
          <w:i/>
          <w:iCs/>
          <w:sz w:val="30"/>
          <w:szCs w:val="30"/>
          <w:rtl/>
          <w:lang w:val="en-GB"/>
        </w:rPr>
        <w:t>مني</w:t>
      </w:r>
      <w:r w:rsidRPr="00655CA9">
        <w:rPr>
          <w:rFonts w:ascii="Traditional Arabic" w:eastAsia="Times New Roman" w:hAnsi="Traditional Arabic" w:cs="Traditional Arabic"/>
          <w:i/>
          <w:iCs/>
          <w:sz w:val="30"/>
          <w:szCs w:val="30"/>
          <w:rtl/>
          <w:lang w:val="en-GB"/>
        </w:rPr>
        <w:t>"</w:t>
      </w:r>
      <w:r w:rsidRPr="00887AAC">
        <w:rPr>
          <w:rFonts w:asciiTheme="majorBidi" w:hAnsiTheme="majorBidi"/>
          <w:i/>
          <w:sz w:val="24"/>
          <w:szCs w:val="24"/>
          <w:rtl/>
          <w:lang w:val="en-GB"/>
        </w:rPr>
        <w:t xml:space="preserve"> </w:t>
      </w:r>
      <w:r w:rsidRPr="00927301">
        <w:rPr>
          <w:rStyle w:val="FootnoteReference"/>
          <w:rFonts w:asciiTheme="majorBidi" w:hAnsiTheme="majorBidi" w:cstheme="majorBidi"/>
          <w:i/>
          <w:sz w:val="24"/>
          <w:szCs w:val="24"/>
        </w:rPr>
        <w:footnoteReference w:id="1088"/>
      </w:r>
    </w:p>
    <w:p w14:paraId="27A7FFB2" w14:textId="71F67460" w:rsidR="009826D6" w:rsidRPr="00655CA9" w:rsidRDefault="009826D6" w:rsidP="00EC47EE">
      <w:pPr>
        <w:pStyle w:val="ListParagraph"/>
        <w:tabs>
          <w:tab w:val="left" w:pos="5130"/>
        </w:tabs>
        <w:bidi/>
        <w:spacing w:after="100" w:afterAutospacing="1" w:line="240" w:lineRule="auto"/>
        <w:ind w:left="2889" w:right="900"/>
        <w:jc w:val="both"/>
        <w:rPr>
          <w:rFonts w:ascii="Traditional Arabic" w:eastAsia="Times New Roman" w:hAnsi="Traditional Arabic" w:cs="Traditional Arabic"/>
          <w:b/>
          <w:bCs/>
          <w:sz w:val="30"/>
          <w:szCs w:val="30"/>
          <w:lang w:val="en-GB"/>
        </w:rPr>
      </w:pPr>
      <w:r w:rsidRPr="00655CA9">
        <w:rPr>
          <w:rFonts w:ascii="Traditional Arabic" w:eastAsia="Times New Roman" w:hAnsi="Traditional Arabic" w:cs="Traditional Arabic"/>
          <w:b/>
          <w:bCs/>
          <w:sz w:val="30"/>
          <w:szCs w:val="30"/>
          <w:rtl/>
          <w:lang w:val="en-GB"/>
        </w:rPr>
        <w:t>الناجي من التعذيب بما في ذلك الاعتداء الجنسي</w:t>
      </w:r>
      <w:r w:rsidR="00EC47EE">
        <w:rPr>
          <w:rFonts w:ascii="Traditional Arabic" w:eastAsia="Times New Roman" w:hAnsi="Traditional Arabic" w:cs="Traditional Arabic" w:hint="cs"/>
          <w:b/>
          <w:bCs/>
          <w:sz w:val="30"/>
          <w:szCs w:val="30"/>
          <w:rtl/>
          <w:lang w:val="en-GB"/>
        </w:rPr>
        <w:t xml:space="preserve"> البالغ من العمر 16</w:t>
      </w:r>
      <w:r w:rsidRPr="00655CA9">
        <w:rPr>
          <w:rFonts w:ascii="Traditional Arabic" w:eastAsia="Times New Roman" w:hAnsi="Traditional Arabic" w:cs="Traditional Arabic"/>
          <w:b/>
          <w:bCs/>
          <w:sz w:val="30"/>
          <w:szCs w:val="30"/>
          <w:rtl/>
          <w:lang w:val="en-GB"/>
        </w:rPr>
        <w:t xml:space="preserve"> </w:t>
      </w:r>
      <w:r w:rsidR="00EC47EE">
        <w:rPr>
          <w:rFonts w:ascii="Traditional Arabic" w:eastAsia="Times New Roman" w:hAnsi="Traditional Arabic" w:cs="Traditional Arabic" w:hint="cs"/>
          <w:b/>
          <w:bCs/>
          <w:sz w:val="30"/>
          <w:szCs w:val="30"/>
          <w:rtl/>
          <w:lang w:val="en-GB"/>
        </w:rPr>
        <w:t xml:space="preserve">عامًا </w:t>
      </w:r>
      <w:r w:rsidRPr="00655CA9">
        <w:rPr>
          <w:rFonts w:ascii="Traditional Arabic" w:eastAsia="Times New Roman" w:hAnsi="Traditional Arabic" w:cs="Traditional Arabic"/>
          <w:b/>
          <w:bCs/>
          <w:sz w:val="30"/>
          <w:szCs w:val="30"/>
          <w:rtl/>
          <w:lang w:val="en-GB"/>
        </w:rPr>
        <w:t xml:space="preserve">من قبل سلطات الأمر الواقع </w:t>
      </w:r>
    </w:p>
    <w:p w14:paraId="73091139" w14:textId="77777777" w:rsidR="009826D6" w:rsidRPr="00927301" w:rsidRDefault="009826D6" w:rsidP="009826D6">
      <w:pPr>
        <w:pStyle w:val="ListParagraph"/>
        <w:tabs>
          <w:tab w:val="left" w:pos="5130"/>
        </w:tabs>
        <w:spacing w:after="100" w:afterAutospacing="1" w:line="240" w:lineRule="auto"/>
        <w:ind w:right="900"/>
        <w:jc w:val="both"/>
        <w:rPr>
          <w:rFonts w:asciiTheme="majorBidi" w:hAnsiTheme="majorBidi" w:cstheme="majorBidi"/>
          <w:i/>
          <w:sz w:val="24"/>
          <w:szCs w:val="24"/>
          <w:rtl/>
          <w:lang w:val="en-GB"/>
        </w:rPr>
      </w:pPr>
    </w:p>
    <w:p w14:paraId="72ECE65E" w14:textId="77777777" w:rsidR="00E25F5D" w:rsidRDefault="00A01451" w:rsidP="009826D6">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r>
        <w:rPr>
          <w:rFonts w:asciiTheme="majorBidi" w:hAnsiTheme="majorBidi" w:cstheme="majorBidi"/>
          <w:iCs/>
          <w:sz w:val="24"/>
          <w:szCs w:val="24"/>
          <w:lang w:val="en-GB" w:bidi="ar-LB"/>
        </w:rPr>
        <w:t xml:space="preserve">   </w:t>
      </w:r>
    </w:p>
    <w:p w14:paraId="13AB20F3"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385F7D4E"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07850F11" w14:textId="77777777" w:rsidR="00E25F5D" w:rsidRDefault="00E25F5D"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lang w:val="en-GB" w:bidi="ar-LB"/>
        </w:rPr>
      </w:pPr>
    </w:p>
    <w:p w14:paraId="3DE6B570" w14:textId="03BD12C0" w:rsidR="009826D6" w:rsidRPr="003265AD" w:rsidRDefault="00A01451" w:rsidP="00E25F5D">
      <w:pPr>
        <w:pStyle w:val="ListParagraph"/>
        <w:tabs>
          <w:tab w:val="left" w:pos="5130"/>
        </w:tabs>
        <w:bidi/>
        <w:spacing w:after="100" w:afterAutospacing="1" w:line="240" w:lineRule="auto"/>
        <w:ind w:right="900"/>
        <w:jc w:val="both"/>
        <w:rPr>
          <w:rFonts w:asciiTheme="majorBidi" w:hAnsiTheme="majorBidi" w:cstheme="majorBidi"/>
          <w:iCs/>
          <w:sz w:val="24"/>
          <w:szCs w:val="24"/>
          <w:rtl/>
          <w:lang w:val="en-GB" w:bidi="ar-LB"/>
        </w:rPr>
      </w:pPr>
      <w:r>
        <w:rPr>
          <w:rFonts w:asciiTheme="majorBidi" w:hAnsiTheme="majorBidi" w:cstheme="majorBidi"/>
          <w:iCs/>
          <w:sz w:val="24"/>
          <w:szCs w:val="24"/>
          <w:lang w:val="en-GB" w:bidi="ar-LB"/>
        </w:rPr>
        <w:t xml:space="preserve">    </w:t>
      </w:r>
      <w:r w:rsidR="009826D6" w:rsidRPr="003265AD">
        <w:rPr>
          <w:rFonts w:asciiTheme="majorBidi" w:hAnsiTheme="majorBidi" w:cstheme="majorBidi" w:hint="cs"/>
          <w:iCs/>
          <w:sz w:val="24"/>
          <w:szCs w:val="24"/>
          <w:rtl/>
          <w:lang w:val="en-GB" w:bidi="ar-LB"/>
        </w:rPr>
        <w:t>الاعتقال</w:t>
      </w:r>
    </w:p>
    <w:p w14:paraId="56CB5BBC" w14:textId="1BBDBA62" w:rsidR="009826D6" w:rsidRPr="006D1AF1" w:rsidRDefault="009826D6" w:rsidP="006D1AF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raditional Arabic" w:hAnsi="Traditional Arabic" w:cs="Traditional Arabic"/>
          <w:sz w:val="30"/>
          <w:szCs w:val="30"/>
        </w:rPr>
      </w:pPr>
      <w:r w:rsidRPr="006D1AF1">
        <w:rPr>
          <w:rFonts w:ascii="Traditional Arabic" w:hAnsi="Traditional Arabic" w:cs="Traditional Arabic"/>
          <w:sz w:val="30"/>
          <w:szCs w:val="30"/>
          <w:rtl/>
        </w:rPr>
        <w:t>وجد فريق الخبراء حالات أطفال محرومين من حريتهم بسبب ارتباطهم المزعوم بأطراف معارضة.</w:t>
      </w:r>
      <w:r w:rsidRPr="006D1AF1">
        <w:rPr>
          <w:rStyle w:val="FootnoteReference"/>
          <w:rFonts w:ascii="Traditional Arabic" w:hAnsi="Traditional Arabic" w:cs="Traditional Arabic"/>
          <w:sz w:val="30"/>
          <w:szCs w:val="30"/>
        </w:rPr>
        <w:footnoteReference w:id="1089"/>
      </w:r>
      <w:r w:rsidRPr="006D1AF1">
        <w:rPr>
          <w:rFonts w:ascii="Traditional Arabic" w:hAnsi="Traditional Arabic" w:cs="Traditional Arabic"/>
          <w:sz w:val="30"/>
          <w:szCs w:val="30"/>
          <w:rtl/>
        </w:rPr>
        <w:t xml:space="preserve"> يوفر القانون الدولي الإنساني حماية خاصة للأطفال المحتجزين الذين تقل أعمارهم عن 15 عامًا.</w:t>
      </w:r>
      <w:r w:rsidRPr="006D1AF1">
        <w:rPr>
          <w:rStyle w:val="FootnoteReference"/>
          <w:rFonts w:ascii="Traditional Arabic" w:hAnsi="Traditional Arabic" w:cs="Traditional Arabic"/>
          <w:sz w:val="30"/>
          <w:szCs w:val="30"/>
        </w:rPr>
        <w:t xml:space="preserve"> </w:t>
      </w:r>
      <w:r w:rsidRPr="006D1AF1">
        <w:rPr>
          <w:rStyle w:val="FootnoteReference"/>
          <w:rFonts w:ascii="Traditional Arabic" w:hAnsi="Traditional Arabic" w:cs="Traditional Arabic"/>
          <w:sz w:val="30"/>
          <w:szCs w:val="30"/>
        </w:rPr>
        <w:footnoteReference w:id="1090"/>
      </w:r>
      <w:r w:rsidRPr="006D1AF1">
        <w:rPr>
          <w:rFonts w:ascii="Traditional Arabic" w:hAnsi="Traditional Arabic" w:cs="Traditional Arabic"/>
          <w:sz w:val="30"/>
          <w:szCs w:val="30"/>
        </w:rPr>
        <w:t xml:space="preserve"> </w:t>
      </w:r>
      <w:r w:rsidRPr="006D1AF1">
        <w:rPr>
          <w:rFonts w:ascii="Traditional Arabic" w:hAnsi="Traditional Arabic" w:cs="Traditional Arabic"/>
          <w:sz w:val="30"/>
          <w:szCs w:val="30"/>
          <w:rtl/>
        </w:rPr>
        <w:t xml:space="preserve"> ويوفر القانون الدولي لحقوق الإنسان حماية إضافية للأطفال المحتجزين تحت سن الـ18 </w:t>
      </w:r>
      <w:r w:rsidRPr="006D1AF1">
        <w:rPr>
          <w:rStyle w:val="FootnoteReference"/>
          <w:rFonts w:ascii="Traditional Arabic" w:hAnsi="Traditional Arabic" w:cs="Traditional Arabic"/>
          <w:sz w:val="30"/>
          <w:szCs w:val="30"/>
        </w:rPr>
        <w:footnoteReference w:id="1091"/>
      </w:r>
      <w:r w:rsidRPr="006D1AF1">
        <w:rPr>
          <w:rFonts w:ascii="Traditional Arabic" w:hAnsi="Traditional Arabic" w:cs="Traditional Arabic"/>
          <w:sz w:val="30"/>
          <w:szCs w:val="30"/>
          <w:rtl/>
        </w:rPr>
        <w:t>. أولاً، لا يجوز احتجاز الأطفال إلا كتدبير أخير ولأقصر فترة زمنية مناسبة، ويجب اخذ مصلحة الطفل بعين الاعتبار كاولويه اولى</w:t>
      </w:r>
      <w:r w:rsidRPr="006D1AF1">
        <w:rPr>
          <w:rStyle w:val="FootnoteReference"/>
          <w:rFonts w:ascii="Traditional Arabic" w:hAnsi="Traditional Arabic" w:cs="Traditional Arabic"/>
          <w:sz w:val="30"/>
          <w:szCs w:val="30"/>
        </w:rPr>
        <w:footnoteReference w:id="1092"/>
      </w:r>
      <w:r w:rsidRPr="006D1AF1">
        <w:rPr>
          <w:rFonts w:ascii="Traditional Arabic" w:hAnsi="Traditional Arabic" w:cs="Traditional Arabic"/>
          <w:sz w:val="30"/>
          <w:szCs w:val="30"/>
          <w:rtl/>
        </w:rPr>
        <w:t>. يجب احتجاز الأطفال في مرافق منفصلة عن المحتجزين البالغين</w:t>
      </w:r>
      <w:r w:rsidR="006D1AF1">
        <w:rPr>
          <w:rFonts w:ascii="Traditional Arabic" w:hAnsi="Traditional Arabic" w:cs="Traditional Arabic" w:hint="cs"/>
          <w:sz w:val="30"/>
          <w:szCs w:val="30"/>
          <w:rtl/>
        </w:rPr>
        <w:t>.</w:t>
      </w:r>
      <w:r w:rsidRPr="006D1AF1">
        <w:rPr>
          <w:rStyle w:val="FootnoteReference"/>
          <w:rFonts w:ascii="Traditional Arabic" w:hAnsi="Traditional Arabic" w:cs="Traditional Arabic"/>
          <w:sz w:val="30"/>
          <w:szCs w:val="30"/>
        </w:rPr>
        <w:footnoteReference w:id="1093"/>
      </w:r>
    </w:p>
    <w:p w14:paraId="528B112A" w14:textId="5CB1A2B0" w:rsidR="009826D6" w:rsidRPr="003265AD" w:rsidRDefault="009826D6" w:rsidP="00034820">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في </w:t>
      </w:r>
      <w:r w:rsidRPr="00BD629A">
        <w:rPr>
          <w:rFonts w:ascii="Traditional Arabic" w:hAnsi="Traditional Arabic" w:cs="Traditional Arabic"/>
          <w:sz w:val="30"/>
          <w:szCs w:val="30"/>
          <w:rtl/>
        </w:rPr>
        <w:t>كانون الأول</w:t>
      </w:r>
      <w:r w:rsidRPr="00655CA9">
        <w:rPr>
          <w:rFonts w:ascii="Traditional Arabic" w:hAnsi="Traditional Arabic" w:cs="Traditional Arabic"/>
          <w:sz w:val="30"/>
          <w:szCs w:val="30"/>
          <w:rtl/>
        </w:rPr>
        <w:t>/</w:t>
      </w:r>
      <w:r w:rsidRPr="00F5625A">
        <w:rPr>
          <w:rFonts w:ascii="Traditional Arabic" w:hAnsi="Traditional Arabic" w:cs="Traditional Arabic"/>
          <w:sz w:val="30"/>
          <w:szCs w:val="30"/>
          <w:rtl/>
        </w:rPr>
        <w:t xml:space="preserve"> </w:t>
      </w:r>
      <w:r w:rsidRPr="00BD629A">
        <w:rPr>
          <w:rFonts w:ascii="Traditional Arabic" w:hAnsi="Traditional Arabic" w:cs="Traditional Arabic"/>
          <w:sz w:val="30"/>
          <w:szCs w:val="30"/>
          <w:rtl/>
        </w:rPr>
        <w:t>ديسمبر</w:t>
      </w:r>
      <w:r w:rsidRPr="00655CA9">
        <w:rPr>
          <w:rFonts w:ascii="Traditional Arabic" w:hAnsi="Traditional Arabic" w:cs="Traditional Arabic"/>
          <w:sz w:val="30"/>
          <w:szCs w:val="30"/>
          <w:rtl/>
        </w:rPr>
        <w:t xml:space="preserve"> 2017، اعتقلت القوات المسلحة اليمنية والجماعات التابعة لها الأطفال الذين يقاتلون إلى جانب المقاتلين الحوثيين في منطقة </w:t>
      </w:r>
      <w:r w:rsidRPr="00655CA9">
        <w:rPr>
          <w:rFonts w:ascii="Traditional Arabic" w:hAnsi="Traditional Arabic" w:cs="Traditional Arabic" w:hint="eastAsia"/>
          <w:sz w:val="30"/>
          <w:szCs w:val="30"/>
          <w:rtl/>
        </w:rPr>
        <w:t>بيحان</w:t>
      </w:r>
      <w:r w:rsidRPr="00655CA9">
        <w:rPr>
          <w:rFonts w:ascii="Traditional Arabic" w:hAnsi="Traditional Arabic" w:cs="Traditional Arabic"/>
          <w:sz w:val="30"/>
          <w:szCs w:val="30"/>
          <w:rtl/>
        </w:rPr>
        <w:t xml:space="preserve"> بمحافظة شبوة، وتم نقلهم إلى </w:t>
      </w:r>
      <w:r w:rsidRPr="00655CA9">
        <w:rPr>
          <w:rFonts w:ascii="Traditional Arabic" w:hAnsi="Traditional Arabic" w:cs="Traditional Arabic" w:hint="eastAsia"/>
          <w:sz w:val="30"/>
          <w:szCs w:val="30"/>
          <w:rtl/>
        </w:rPr>
        <w:t>احد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السجون</w:t>
      </w:r>
      <w:r w:rsidRPr="00655CA9">
        <w:rPr>
          <w:rFonts w:ascii="Traditional Arabic" w:hAnsi="Traditional Arabic" w:cs="Traditional Arabic"/>
          <w:sz w:val="30"/>
          <w:szCs w:val="30"/>
          <w:rtl/>
        </w:rPr>
        <w:t xml:space="preserve"> في مأرب دون توجيه تهم إليهم.</w:t>
      </w:r>
      <w:r w:rsidRPr="003265AD">
        <w:rPr>
          <w:rStyle w:val="FootnoteReference"/>
          <w:rFonts w:asciiTheme="majorBidi" w:hAnsiTheme="majorBidi" w:cstheme="majorBidi"/>
          <w:bCs/>
          <w:sz w:val="24"/>
          <w:szCs w:val="24"/>
        </w:rPr>
        <w:t xml:space="preserve"> </w:t>
      </w:r>
      <w:r w:rsidRPr="00655CA9">
        <w:rPr>
          <w:rFonts w:ascii="Traditional Arabic" w:hAnsi="Traditional Arabic" w:cs="Traditional Arabic"/>
          <w:sz w:val="30"/>
          <w:szCs w:val="30"/>
        </w:rPr>
        <w:footnoteReference w:id="1094"/>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في حين قام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بتوثيق التعذيب وغيره من ضروب سوء المعاملة التي ارتكبتها قوات الحزام الأمني المدعومة من دولة الإمارات العربية المتحدة، وجد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أن صبيًا يبلغ من العمر 15 عامًا اعتقلته قوات الحزام الأمني في عدن في </w:t>
      </w:r>
      <w:r>
        <w:rPr>
          <w:rFonts w:ascii="Traditional Arabic" w:hAnsi="Traditional Arabic" w:cs="Traditional Arabic" w:hint="cs"/>
          <w:sz w:val="30"/>
          <w:szCs w:val="30"/>
          <w:rtl/>
        </w:rPr>
        <w:t>أيار</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مايو 2019 توفي في الاحتجاز نتيجة التعذيب</w:t>
      </w:r>
      <w:r w:rsidRPr="00927301">
        <w:rPr>
          <w:rStyle w:val="FootnoteReference"/>
          <w:rFonts w:asciiTheme="majorBidi" w:hAnsiTheme="majorBidi" w:cstheme="majorBidi"/>
          <w:sz w:val="24"/>
          <w:szCs w:val="24"/>
        </w:rPr>
        <w:footnoteReference w:id="1095"/>
      </w:r>
      <w:r w:rsidRPr="003265AD">
        <w:rPr>
          <w:rFonts w:asciiTheme="majorBidi" w:hAnsiTheme="majorBidi"/>
          <w:sz w:val="24"/>
          <w:szCs w:val="24"/>
          <w:rtl/>
        </w:rPr>
        <w:t xml:space="preserve">. </w:t>
      </w:r>
      <w:r w:rsidRPr="00655CA9">
        <w:rPr>
          <w:rFonts w:ascii="Traditional Arabic" w:hAnsi="Traditional Arabic" w:cs="Traditional Arabic"/>
          <w:sz w:val="30"/>
          <w:szCs w:val="30"/>
          <w:rtl/>
        </w:rPr>
        <w:t xml:space="preserve">ومما يثير القلق الشديد عدد الأطفال المحتجزين في عدن في سجن بير أحمد الثاني الخاضع لسيطرة قوات الحزام الأمني التي تدعمها الإمارات. في هذا المرفق، لا يزال هناك 11 طفلاً على الأقل مرتبطين سابقًا بالحوثيين محتجزين بمعزل عن العالم الخارجي، دون أي تهم رسمية، بعضهم منذ </w:t>
      </w:r>
      <w:r w:rsidR="00034820">
        <w:rPr>
          <w:rFonts w:ascii="Traditional Arabic" w:hAnsi="Traditional Arabic" w:cs="Traditional Arabic" w:hint="cs"/>
          <w:sz w:val="30"/>
          <w:szCs w:val="30"/>
          <w:rtl/>
        </w:rPr>
        <w:t>ال</w:t>
      </w:r>
      <w:r w:rsidRPr="00655CA9">
        <w:rPr>
          <w:rFonts w:ascii="Traditional Arabic" w:hAnsi="Traditional Arabic" w:cs="Traditional Arabic"/>
          <w:sz w:val="30"/>
          <w:szCs w:val="30"/>
          <w:rtl/>
        </w:rPr>
        <w:t>عام 2015</w:t>
      </w:r>
      <w:r w:rsidRPr="00655CA9">
        <w:rPr>
          <w:rFonts w:ascii="Traditional Arabic" w:hAnsi="Traditional Arabic" w:cs="Traditional Arabic"/>
          <w:sz w:val="30"/>
          <w:szCs w:val="30"/>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6"/>
      </w:r>
    </w:p>
    <w:p w14:paraId="3C1E583E" w14:textId="47817C7E" w:rsidR="009826D6" w:rsidRPr="003265AD" w:rsidRDefault="009826D6" w:rsidP="00825E1D">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lastRenderedPageBreak/>
        <w:t>حسب المعلومات المباشرة، قام</w:t>
      </w:r>
      <w:r w:rsidR="005134EF">
        <w:rPr>
          <w:rFonts w:ascii="Traditional Arabic" w:hAnsi="Traditional Arabic" w:cs="Traditional Arabic" w:hint="cs"/>
          <w:sz w:val="30"/>
          <w:szCs w:val="30"/>
          <w:rtl/>
        </w:rPr>
        <w:t xml:space="preserve"> مقاتلو</w:t>
      </w:r>
      <w:r w:rsidRPr="00655CA9">
        <w:rPr>
          <w:rFonts w:ascii="Traditional Arabic" w:hAnsi="Traditional Arabic" w:cs="Traditional Arabic"/>
          <w:sz w:val="30"/>
          <w:szCs w:val="30"/>
          <w:rtl/>
        </w:rPr>
        <w:t xml:space="preserve"> الحوثي بتعذيب الأطفال في صنعاء، بما في ذلك الاعتداء الجنسي. في مايو 2015 تم القبض على صبي يبلغ من العمر 16 عامًا من قبل الحوثيين واحتُجز لمدة عامين في سجن الأمن السياسي في صنعاء. لم يتم توجيه أي تهم</w:t>
      </w:r>
      <w:r w:rsidR="00825E1D">
        <w:rPr>
          <w:rFonts w:ascii="Traditional Arabic" w:hAnsi="Traditional Arabic" w:cs="Traditional Arabic"/>
          <w:sz w:val="30"/>
          <w:szCs w:val="30"/>
          <w:rtl/>
        </w:rPr>
        <w:t xml:space="preserve"> ضد الطفل، وتم استجوابه مرارًا</w:t>
      </w:r>
      <w:r w:rsidRPr="00655CA9">
        <w:rPr>
          <w:rFonts w:ascii="Traditional Arabic" w:hAnsi="Traditional Arabic" w:cs="Traditional Arabic"/>
          <w:sz w:val="30"/>
          <w:szCs w:val="30"/>
          <w:rtl/>
        </w:rPr>
        <w:t>، و</w:t>
      </w:r>
      <w:r w:rsidR="00825E1D">
        <w:rPr>
          <w:rFonts w:ascii="Traditional Arabic" w:hAnsi="Traditional Arabic" w:cs="Traditional Arabic"/>
          <w:sz w:val="30"/>
          <w:szCs w:val="30"/>
          <w:rtl/>
        </w:rPr>
        <w:t>ضربه على خصيتيه وبكابلات معدنية</w:t>
      </w:r>
      <w:r w:rsidRPr="00655CA9">
        <w:rPr>
          <w:rFonts w:ascii="Traditional Arabic" w:hAnsi="Traditional Arabic" w:cs="Traditional Arabic"/>
          <w:sz w:val="30"/>
          <w:szCs w:val="30"/>
          <w:rtl/>
        </w:rPr>
        <w:t xml:space="preserve">، وتعرض للكهرباء. </w:t>
      </w:r>
      <w:r w:rsidRPr="00655CA9">
        <w:rPr>
          <w:rFonts w:ascii="Traditional Arabic" w:hAnsi="Traditional Arabic" w:cs="Traditional Arabic" w:hint="eastAsia"/>
          <w:sz w:val="30"/>
          <w:szCs w:val="30"/>
          <w:rtl/>
        </w:rPr>
        <w:t>لقد</w:t>
      </w:r>
      <w:r w:rsidRPr="00655CA9">
        <w:rPr>
          <w:rFonts w:ascii="Traditional Arabic" w:hAnsi="Traditional Arabic" w:cs="Traditional Arabic"/>
          <w:sz w:val="30"/>
          <w:szCs w:val="30"/>
          <w:rtl/>
        </w:rPr>
        <w:t xml:space="preserve"> تم الضغط عليه للاعتراف </w:t>
      </w:r>
      <w:r w:rsidRPr="00655CA9">
        <w:rPr>
          <w:rFonts w:ascii="Traditional Arabic" w:hAnsi="Traditional Arabic" w:cs="Traditional Arabic" w:hint="eastAsia"/>
          <w:sz w:val="30"/>
          <w:szCs w:val="30"/>
          <w:rtl/>
        </w:rPr>
        <w:t>بان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علاقه</w:t>
      </w:r>
      <w:r w:rsidRPr="00655CA9">
        <w:rPr>
          <w:rFonts w:ascii="Traditional Arabic" w:hAnsi="Traditional Arabic" w:cs="Traditional Arabic"/>
          <w:sz w:val="30"/>
          <w:szCs w:val="30"/>
          <w:rtl/>
        </w:rPr>
        <w:t xml:space="preserve"> مع حزب الإصلاح.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نتيجة التعذيب ، بما في ذلك العنف الجنسي خلال الفترة 2015-2017 ، أصيب الطفل بالشلل وبعد عدة أشهر من إطلاق سراحه ، تعافى جزئيًا فقط</w:t>
      </w:r>
      <w:r w:rsidRPr="003265AD">
        <w:rPr>
          <w:rFonts w:asciiTheme="majorBidi" w:hAnsiTheme="majorBidi" w:cstheme="majorBidi"/>
          <w:sz w:val="24"/>
          <w:szCs w:val="24"/>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7"/>
      </w:r>
    </w:p>
    <w:p w14:paraId="732C1025" w14:textId="77777777" w:rsidR="009826D6" w:rsidRPr="003265AD"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24"/>
          <w:szCs w:val="24"/>
        </w:rPr>
      </w:pPr>
      <w:r w:rsidRPr="00655CA9">
        <w:rPr>
          <w:rFonts w:ascii="Traditional Arabic" w:hAnsi="Traditional Arabic" w:cs="Traditional Arabic"/>
          <w:sz w:val="30"/>
          <w:szCs w:val="30"/>
          <w:rtl/>
        </w:rPr>
        <w:t xml:space="preserve">لدى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أسباب معقولة للاعتقاد بأن قوات الحزام الأمني المدعومة من الإمارات العربية المتحدة والجماعة الحوثية المسلحة وسلطات الأمر الواقع قد انتهكت الحق في الحرية والأمن الشخصي ، أي من خلال الاعتقالات التعسفية واحتجاز الأطفال ، بما في ذلك انتهاك حقوق الطفل</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بالاضافة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الى</w:t>
      </w:r>
      <w:r w:rsidRPr="00655CA9">
        <w:rPr>
          <w:rFonts w:ascii="Traditional Arabic" w:hAnsi="Traditional Arabic" w:cs="Traditional Arabic"/>
          <w:sz w:val="30"/>
          <w:szCs w:val="30"/>
          <w:rtl/>
        </w:rPr>
        <w:t xml:space="preserve"> حقوق المحاكمة العادلة ، وكذلك التعذيب وغيره من </w:t>
      </w:r>
      <w:r w:rsidRPr="00655CA9">
        <w:rPr>
          <w:rFonts w:ascii="Traditional Arabic" w:hAnsi="Traditional Arabic" w:cs="Traditional Arabic" w:hint="eastAsia"/>
          <w:sz w:val="30"/>
          <w:szCs w:val="30"/>
          <w:rtl/>
        </w:rPr>
        <w:t>اصناف</w:t>
      </w:r>
      <w:r w:rsidRPr="00655CA9">
        <w:rPr>
          <w:rFonts w:ascii="Traditional Arabic" w:hAnsi="Traditional Arabic" w:cs="Traditional Arabic"/>
          <w:sz w:val="30"/>
          <w:szCs w:val="30"/>
          <w:rtl/>
        </w:rPr>
        <w:t xml:space="preserve"> سوء المعاملة. من خلال هذه الأفعال، انتهكوا أيضًا الحماية المحددة الممنوحة للأطفال بموجب اتفاقية حقوق الطفل، والتي تقيد احتجاز الأطفال كتدبير أخير ولأقصر فترة زمنية مناسبة</w:t>
      </w:r>
      <w:r w:rsidRPr="003265AD">
        <w:rPr>
          <w:rFonts w:asciiTheme="majorBidi" w:hAnsiTheme="majorBidi" w:cstheme="majorBidi"/>
          <w:sz w:val="24"/>
          <w:szCs w:val="24"/>
        </w:rPr>
        <w:t>.</w:t>
      </w:r>
      <w:r w:rsidRPr="003265AD">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098"/>
      </w:r>
    </w:p>
    <w:p w14:paraId="7C746289" w14:textId="77777777" w:rsidR="009826D6" w:rsidRPr="003265AD"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كما يتضح من الأجزاء الأخرى من هذا التقرير ، فإن الانتهاكات الخطيرة لحقوق الطفل تنشأ عندما يتعرضون للاحتجاز التعسفي ويتعرضون لمختلف أشكال التعذيب وغيره من </w:t>
      </w:r>
      <w:r w:rsidRPr="00655CA9">
        <w:rPr>
          <w:rFonts w:ascii="Traditional Arabic" w:hAnsi="Traditional Arabic" w:cs="Traditional Arabic" w:hint="eastAsia"/>
          <w:sz w:val="30"/>
          <w:szCs w:val="30"/>
          <w:rtl/>
        </w:rPr>
        <w:t>اصناف</w:t>
      </w:r>
      <w:r w:rsidRPr="00655CA9">
        <w:rPr>
          <w:rFonts w:ascii="Traditional Arabic" w:hAnsi="Traditional Arabic" w:cs="Traditional Arabic"/>
          <w:sz w:val="30"/>
          <w:szCs w:val="30"/>
          <w:rtl/>
        </w:rPr>
        <w:t xml:space="preserve"> سوء المعاملة ، بما في ذلك العنف الجنسي. عندما تنتهك حقوقهم في سياقات مثل هذه ، تكون الندوب عميقة وتستغرق سنوات للشفاء</w:t>
      </w:r>
      <w:r w:rsidRPr="003265AD">
        <w:rPr>
          <w:rFonts w:asciiTheme="majorBidi" w:hAnsiTheme="majorBidi" w:cstheme="majorBidi"/>
          <w:sz w:val="24"/>
          <w:szCs w:val="24"/>
        </w:rPr>
        <w:t>.</w:t>
      </w:r>
    </w:p>
    <w:p w14:paraId="2F454050" w14:textId="1A402EFD" w:rsidR="009826D6" w:rsidRPr="00655CA9" w:rsidRDefault="00A01451"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Pr>
          <w:rFonts w:ascii="Traditional Arabic" w:eastAsia="Times New Roman" w:hAnsi="Traditional Arabic" w:cs="Traditional Arabic"/>
          <w:i/>
          <w:iCs/>
          <w:sz w:val="30"/>
          <w:szCs w:val="30"/>
          <w:lang w:val="en-GB"/>
        </w:rPr>
        <w:t xml:space="preserve">      </w:t>
      </w:r>
      <w:r w:rsidR="009826D6" w:rsidRPr="00655CA9">
        <w:rPr>
          <w:rFonts w:ascii="Traditional Arabic" w:eastAsia="Times New Roman" w:hAnsi="Traditional Arabic" w:cs="Traditional Arabic"/>
          <w:i/>
          <w:iCs/>
          <w:sz w:val="30"/>
          <w:szCs w:val="30"/>
          <w:rtl/>
          <w:lang w:val="en-GB"/>
        </w:rPr>
        <w:t>العنف الجنسي</w:t>
      </w:r>
    </w:p>
    <w:p w14:paraId="1EB2A373" w14:textId="04A4928E" w:rsidR="009826D6" w:rsidRDefault="009826D6" w:rsidP="000C722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قام فريق الخبراء بتوثيق حوادث العنف الجنسي ضد الأولاد المحتجزين </w:t>
      </w:r>
      <w:r>
        <w:rPr>
          <w:rFonts w:ascii="Traditional Arabic" w:hAnsi="Traditional Arabic" w:cs="Traditional Arabic" w:hint="cs"/>
          <w:sz w:val="30"/>
          <w:szCs w:val="30"/>
          <w:rtl/>
        </w:rPr>
        <w:t xml:space="preserve">من قبل الإمارات العربية المتحدة وسلطات الأمر الواقع </w:t>
      </w:r>
      <w:r w:rsidRPr="00825E1D">
        <w:rPr>
          <w:rFonts w:ascii="Traditional Arabic" w:hAnsi="Traditional Arabic" w:cs="Traditional Arabic"/>
          <w:sz w:val="30"/>
          <w:szCs w:val="30"/>
          <w:rtl/>
        </w:rPr>
        <w:t>(انظر الى الفصل الخاص ب</w:t>
      </w:r>
      <w:r w:rsidR="00825E1D" w:rsidRPr="00825E1D">
        <w:rPr>
          <w:rFonts w:ascii="Traditional Arabic" w:hAnsi="Traditional Arabic" w:cs="Traditional Arabic" w:hint="cs"/>
          <w:sz w:val="30"/>
          <w:szCs w:val="30"/>
          <w:rtl/>
        </w:rPr>
        <w:t>تحليل النوع الجنساني و</w:t>
      </w:r>
      <w:r w:rsidRPr="00825E1D">
        <w:rPr>
          <w:rFonts w:ascii="Traditional Arabic" w:hAnsi="Traditional Arabic" w:cs="Traditional Arabic"/>
          <w:sz w:val="30"/>
          <w:szCs w:val="30"/>
          <w:rtl/>
        </w:rPr>
        <w:t>العنف القائم على نوع الجنس</w:t>
      </w:r>
      <w:r w:rsidR="00825E1D" w:rsidRPr="00825E1D">
        <w:rPr>
          <w:rFonts w:ascii="Traditional Arabic" w:hAnsi="Traditional Arabic" w:cs="Traditional Arabic" w:hint="cs"/>
          <w:sz w:val="30"/>
          <w:szCs w:val="30"/>
          <w:rtl/>
        </w:rPr>
        <w:t xml:space="preserve"> في </w:t>
      </w:r>
      <w:r w:rsidR="000C722B">
        <w:rPr>
          <w:rFonts w:ascii="Traditional Arabic" w:hAnsi="Traditional Arabic" w:cs="Traditional Arabic" w:hint="cs"/>
          <w:sz w:val="30"/>
          <w:szCs w:val="30"/>
          <w:rtl/>
        </w:rPr>
        <w:t>ال</w:t>
      </w:r>
      <w:r w:rsidR="00825E1D" w:rsidRPr="00825E1D">
        <w:rPr>
          <w:rFonts w:ascii="Traditional Arabic" w:hAnsi="Traditional Arabic" w:cs="Traditional Arabic" w:hint="cs"/>
          <w:sz w:val="30"/>
          <w:szCs w:val="30"/>
          <w:rtl/>
        </w:rPr>
        <w:t xml:space="preserve">فصل </w:t>
      </w:r>
      <w:r w:rsidR="000C722B">
        <w:rPr>
          <w:rFonts w:ascii="Traditional Arabic" w:hAnsi="Traditional Arabic" w:cs="Traditional Arabic" w:hint="cs"/>
          <w:sz w:val="30"/>
          <w:szCs w:val="30"/>
          <w:rtl/>
        </w:rPr>
        <w:t>الخاص ب</w:t>
      </w:r>
      <w:r w:rsidR="000C722B">
        <w:rPr>
          <w:rFonts w:ascii="Traditional Arabic" w:hAnsi="Traditional Arabic" w:cs="Traditional Arabic" w:hint="cs"/>
          <w:sz w:val="30"/>
          <w:szCs w:val="30"/>
          <w:rtl/>
          <w:lang w:bidi="ar-JO"/>
        </w:rPr>
        <w:t>ذ</w:t>
      </w:r>
      <w:r w:rsidR="000C722B">
        <w:rPr>
          <w:rFonts w:ascii="Traditional Arabic" w:hAnsi="Traditional Arabic" w:cs="Traditional Arabic" w:hint="cs"/>
          <w:sz w:val="30"/>
          <w:szCs w:val="30"/>
          <w:rtl/>
        </w:rPr>
        <w:t>لك</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في كلا السياقين، </w:t>
      </w:r>
      <w:r w:rsidRPr="00655CA9">
        <w:rPr>
          <w:rFonts w:ascii="Traditional Arabic" w:hAnsi="Traditional Arabic" w:cs="Traditional Arabic"/>
          <w:sz w:val="30"/>
          <w:szCs w:val="30"/>
          <w:rtl/>
        </w:rPr>
        <w:t>بين عامي 2016 و 2019، وثق الفريق اغتصاب أربعة أولاد وفتاة واحدة على أيدي قوات الحزام الأمني. وثق الفريق كذلك اغتصاب صبيين وفتاة، ومحاولة اغتصاب فتاة، والاعتداء الجنسي على صبي من قبل افراد من اللواء 35.</w:t>
      </w:r>
      <w:r>
        <w:rPr>
          <w:rFonts w:ascii="Traditional Arabic" w:hAnsi="Traditional Arabic" w:cs="Traditional Arabic" w:hint="cs"/>
          <w:sz w:val="30"/>
          <w:szCs w:val="30"/>
          <w:rtl/>
        </w:rPr>
        <w:t xml:space="preserve"> (أنظر إلى الفصل حول عدن والجنوب).</w:t>
      </w:r>
    </w:p>
    <w:p w14:paraId="46352BB9" w14:textId="77777777" w:rsidR="009826D6" w:rsidRPr="00655CA9"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تلقى فريق الخبراء أيضًا </w:t>
      </w:r>
      <w:r>
        <w:rPr>
          <w:rFonts w:ascii="Traditional Arabic" w:hAnsi="Traditional Arabic" w:cs="Traditional Arabic" w:hint="cs"/>
          <w:sz w:val="30"/>
          <w:szCs w:val="30"/>
          <w:rtl/>
        </w:rPr>
        <w:t xml:space="preserve">بشكل منفصل </w:t>
      </w:r>
      <w:r w:rsidRPr="00655CA9">
        <w:rPr>
          <w:rFonts w:ascii="Traditional Arabic" w:hAnsi="Traditional Arabic" w:cs="Traditional Arabic"/>
          <w:sz w:val="30"/>
          <w:szCs w:val="30"/>
          <w:rtl/>
        </w:rPr>
        <w:t>تقارير عن أعمال عنف جنسي ضد الأطفال، وخاصة الصبيان، في محافظة تعز. يشمل الجناة أشخاصًا يُزعم أنهم أعضاء في مجموعات تابعة للقوات المسلحة اليمنية. في وقت كتابة هذا التقرير ، لم يكن الفريق قد أنجز التحقيقات في انتماء الجناة ، أو في الجهود التي بذلتها السلطات لمحاكمة الجناة المزعومين</w:t>
      </w:r>
      <w:r w:rsidRPr="00655CA9">
        <w:rPr>
          <w:rFonts w:ascii="Traditional Arabic" w:hAnsi="Traditional Arabic" w:cs="Traditional Arabic"/>
          <w:sz w:val="30"/>
          <w:szCs w:val="30"/>
        </w:rPr>
        <w:t>.</w:t>
      </w:r>
    </w:p>
    <w:p w14:paraId="00DB33D9" w14:textId="77777777" w:rsidR="009826D6" w:rsidRPr="00D90DDA" w:rsidRDefault="009826D6" w:rsidP="00A01451">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rtl/>
          <w:lang w:eastAsia="zh-CN"/>
        </w:rPr>
      </w:pPr>
      <w:r w:rsidRPr="00655CA9">
        <w:rPr>
          <w:rFonts w:ascii="Traditional Arabic" w:hAnsi="Traditional Arabic" w:cs="Traditional Arabic"/>
          <w:sz w:val="30"/>
          <w:szCs w:val="30"/>
          <w:rtl/>
        </w:rPr>
        <w:t xml:space="preserve">هذه الأفعال التي يرتكبها </w:t>
      </w:r>
      <w:r>
        <w:rPr>
          <w:rFonts w:ascii="Traditional Arabic" w:hAnsi="Traditional Arabic" w:cs="Traditional Arabic" w:hint="cs"/>
          <w:sz w:val="30"/>
          <w:szCs w:val="30"/>
          <w:rtl/>
        </w:rPr>
        <w:t xml:space="preserve">أفراد في </w:t>
      </w:r>
      <w:r w:rsidRPr="00655CA9">
        <w:rPr>
          <w:rFonts w:ascii="Traditional Arabic" w:hAnsi="Traditional Arabic" w:cs="Traditional Arabic"/>
          <w:sz w:val="30"/>
          <w:szCs w:val="30"/>
          <w:rtl/>
        </w:rPr>
        <w:t>سلطات الأمر الواقع وقوات الحزام الأمني المدعومة من الإمارات العربية المتحدة و</w:t>
      </w:r>
      <w:r w:rsidRPr="00655CA9">
        <w:rPr>
          <w:rFonts w:ascii="Traditional Arabic" w:hAnsi="Traditional Arabic" w:cs="Traditional Arabic" w:hint="eastAsia"/>
          <w:sz w:val="30"/>
          <w:szCs w:val="30"/>
          <w:rtl/>
        </w:rPr>
        <w:t>افراد</w:t>
      </w:r>
      <w:r w:rsidRPr="00655CA9">
        <w:rPr>
          <w:rFonts w:ascii="Traditional Arabic" w:hAnsi="Traditional Arabic" w:cs="Traditional Arabic"/>
          <w:sz w:val="30"/>
          <w:szCs w:val="30"/>
          <w:rtl/>
        </w:rPr>
        <w:t xml:space="preserve"> من اللواء 35 تشكل انتهاكات للقانون الإنساني الدولي بموجب المادة 3 المشتركة بين اتفاقيات جنيف </w:t>
      </w:r>
      <w:r w:rsidRPr="00655CA9">
        <w:rPr>
          <w:rFonts w:ascii="Traditional Arabic" w:hAnsi="Traditional Arabic" w:cs="Traditional Arabic"/>
          <w:sz w:val="30"/>
          <w:szCs w:val="30"/>
          <w:rtl/>
        </w:rPr>
        <w:lastRenderedPageBreak/>
        <w:t>التي تحظر المعاملة اللاإنسانية والبروتوكول الإضافي الثاني الذي يحظر العنف في الحياة</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والصحة والرفاه البدني أو العقلي للأشخاص</w:t>
      </w:r>
      <w:r w:rsidRPr="00D90DDA">
        <w:rPr>
          <w:rFonts w:asciiTheme="majorBidi" w:hAnsiTheme="majorBidi"/>
          <w:b/>
          <w:i/>
          <w:sz w:val="24"/>
          <w:szCs w:val="24"/>
          <w:rtl/>
        </w:rPr>
        <w:t>.</w:t>
      </w:r>
      <w:r w:rsidRPr="00D90DDA">
        <w:rPr>
          <w:rFonts w:asciiTheme="majorBidi" w:eastAsia="SimSun" w:hAnsiTheme="majorBidi" w:cstheme="majorBidi"/>
          <w:sz w:val="24"/>
          <w:szCs w:val="24"/>
          <w:lang w:eastAsia="zh-CN"/>
        </w:rPr>
        <w:t xml:space="preserve"> </w:t>
      </w:r>
      <w:r w:rsidRPr="00655CA9">
        <w:rPr>
          <w:rStyle w:val="FootnoteReference"/>
          <w:color w:val="222222"/>
        </w:rPr>
        <w:footnoteReference w:id="1099"/>
      </w:r>
      <w:r w:rsidRPr="00D90DDA">
        <w:rPr>
          <w:rFonts w:asciiTheme="majorBidi" w:eastAsia="SimSun" w:hAnsiTheme="majorBidi" w:cstheme="majorBidi"/>
          <w:sz w:val="24"/>
          <w:szCs w:val="24"/>
          <w:lang w:eastAsia="zh-CN"/>
        </w:rPr>
        <w:t xml:space="preserve"> </w:t>
      </w:r>
      <w:r w:rsidRPr="00D90DDA">
        <w:rPr>
          <w:rFonts w:asciiTheme="majorBidi" w:hAnsiTheme="majorBidi"/>
          <w:b/>
          <w:i/>
          <w:sz w:val="24"/>
          <w:szCs w:val="24"/>
          <w:rtl/>
        </w:rPr>
        <w:t xml:space="preserve"> </w:t>
      </w:r>
      <w:r w:rsidRPr="00655CA9">
        <w:rPr>
          <w:rFonts w:ascii="Traditional Arabic" w:hAnsi="Traditional Arabic" w:cs="Traditional Arabic" w:hint="eastAsia"/>
          <w:sz w:val="30"/>
          <w:szCs w:val="30"/>
          <w:rtl/>
        </w:rPr>
        <w:t>هذه</w:t>
      </w:r>
      <w:r w:rsidRPr="00655CA9">
        <w:rPr>
          <w:rFonts w:ascii="Traditional Arabic" w:hAnsi="Traditional Arabic" w:cs="Traditional Arabic"/>
          <w:sz w:val="30"/>
          <w:szCs w:val="30"/>
          <w:rtl/>
        </w:rPr>
        <w:t xml:space="preserve"> الافعال قد تؤدي إلى مسؤولية جنائية عن جرائم الحرب المتمثلة في ارتكاب الاغتصاب أو أي شكل آخر من أشكال العنف الجنسي ، والاعتداء على الكرامة الشخصية.</w:t>
      </w:r>
      <w:r w:rsidRPr="00655CA9">
        <w:rPr>
          <w:rStyle w:val="FootnoteReference"/>
          <w:color w:val="222222"/>
        </w:rPr>
        <w:footnoteReference w:id="1100"/>
      </w:r>
      <w:r w:rsidRPr="00655CA9">
        <w:rPr>
          <w:rFonts w:ascii="Traditional Arabic" w:hAnsi="Traditional Arabic" w:cs="Traditional Arabic"/>
          <w:sz w:val="30"/>
          <w:szCs w:val="30"/>
        </w:rPr>
        <w:t xml:space="preserve"> </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ويلاحظ</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أيضًا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هذه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الأفعال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ترقى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انتهاكات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لقانون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الإنسان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بموجب</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اتفاقية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الطفل</w:t>
      </w:r>
      <w:r>
        <w:rPr>
          <w:rStyle w:val="FootnoteReference"/>
          <w:color w:val="222222"/>
          <w:rtl/>
        </w:rPr>
        <w:footnoteReference w:id="1101"/>
      </w:r>
      <w:r w:rsidRPr="00D90DDA">
        <w:rPr>
          <w:rFonts w:asciiTheme="majorBidi" w:hAnsiTheme="majorBidi"/>
          <w:b/>
          <w:i/>
          <w:sz w:val="24"/>
          <w:szCs w:val="24"/>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خلال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أطر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التمتع</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بأعلى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مستوى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ممكن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البدنية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والعقلية</w:t>
      </w:r>
      <w:r w:rsidRPr="00D90DDA">
        <w:rPr>
          <w:rFonts w:asciiTheme="majorBidi" w:hAnsiTheme="majorBidi" w:cstheme="majorBidi"/>
          <w:b/>
          <w:i/>
          <w:sz w:val="24"/>
          <w:szCs w:val="24"/>
        </w:rPr>
        <w:t>.</w:t>
      </w:r>
      <w:r w:rsidRPr="00D90DDA">
        <w:rPr>
          <w:rStyle w:val="FootnoteReference"/>
          <w:rFonts w:asciiTheme="majorBidi" w:hAnsiTheme="majorBidi" w:cstheme="majorBidi"/>
          <w:color w:val="000000"/>
          <w:sz w:val="24"/>
          <w:szCs w:val="24"/>
        </w:rPr>
        <w:t xml:space="preserve"> </w:t>
      </w:r>
      <w:r w:rsidRPr="00927301">
        <w:rPr>
          <w:rStyle w:val="FootnoteReference"/>
          <w:rFonts w:asciiTheme="majorBidi" w:hAnsiTheme="majorBidi" w:cstheme="majorBidi"/>
          <w:color w:val="000000"/>
          <w:sz w:val="24"/>
          <w:szCs w:val="24"/>
        </w:rPr>
        <w:footnoteReference w:id="1102"/>
      </w:r>
    </w:p>
    <w:p w14:paraId="3F6FA1AC" w14:textId="77777777" w:rsidR="009826D6" w:rsidRPr="00655CA9" w:rsidRDefault="009826D6" w:rsidP="009826D6">
      <w:pPr>
        <w:pStyle w:val="ListParagraph"/>
        <w:tabs>
          <w:tab w:val="left" w:pos="5130"/>
        </w:tabs>
        <w:bidi/>
        <w:spacing w:before="100" w:beforeAutospacing="1" w:after="100" w:afterAutospacing="1" w:line="240" w:lineRule="auto"/>
        <w:ind w:right="900"/>
        <w:jc w:val="both"/>
        <w:rPr>
          <w:rFonts w:ascii="Traditional Arabic" w:eastAsia="Times New Roman" w:hAnsi="Traditional Arabic" w:cs="Traditional Arabic"/>
          <w:i/>
          <w:iCs/>
          <w:sz w:val="30"/>
          <w:szCs w:val="30"/>
          <w:lang w:val="en-GB"/>
        </w:rPr>
      </w:pPr>
      <w:r w:rsidRPr="00655CA9">
        <w:rPr>
          <w:rFonts w:ascii="Traditional Arabic" w:eastAsia="Times New Roman" w:hAnsi="Traditional Arabic" w:cs="Traditional Arabic"/>
          <w:i/>
          <w:iCs/>
          <w:sz w:val="30"/>
          <w:szCs w:val="30"/>
          <w:rtl/>
          <w:lang w:val="en-GB"/>
        </w:rPr>
        <w:t>الطفل والزواج المبكر والقسري</w:t>
      </w:r>
    </w:p>
    <w:p w14:paraId="0CBCBB4F" w14:textId="77777777" w:rsidR="009826D6" w:rsidRPr="00D90DDA"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hAnsiTheme="majorBidi" w:cstheme="majorBidi"/>
          <w:kern w:val="36"/>
          <w:sz w:val="24"/>
          <w:szCs w:val="24"/>
          <w:lang w:eastAsia="en-GB"/>
        </w:rPr>
      </w:pPr>
      <w:r w:rsidRPr="00655CA9">
        <w:rPr>
          <w:rFonts w:ascii="Traditional Arabic" w:hAnsi="Traditional Arabic" w:cs="Traditional Arabic"/>
          <w:sz w:val="30"/>
          <w:szCs w:val="30"/>
          <w:rtl/>
        </w:rPr>
        <w:t>في حين تحظر اتفاقية القضاء على جميع أشكال التمييز ضد المرأة زواج الأطفال</w:t>
      </w:r>
      <w:r w:rsidRPr="00927301">
        <w:rPr>
          <w:rFonts w:asciiTheme="majorBidi" w:hAnsiTheme="majorBidi"/>
          <w:kern w:val="36"/>
          <w:sz w:val="24"/>
          <w:szCs w:val="24"/>
          <w:rtl/>
          <w:lang w:eastAsia="en-GB"/>
        </w:rPr>
        <w:t xml:space="preserve"> </w:t>
      </w:r>
      <w:r w:rsidRPr="00927301">
        <w:rPr>
          <w:rStyle w:val="FootnoteReference"/>
          <w:rFonts w:asciiTheme="majorBidi" w:hAnsiTheme="majorBidi" w:cstheme="majorBidi"/>
          <w:kern w:val="36"/>
          <w:sz w:val="24"/>
          <w:szCs w:val="24"/>
          <w:lang w:eastAsia="en-GB"/>
        </w:rPr>
        <w:footnoteReference w:id="1103"/>
      </w:r>
      <w:r w:rsidRPr="00927301">
        <w:rPr>
          <w:rFonts w:asciiTheme="majorBidi" w:hAnsiTheme="majorBidi" w:cstheme="majorBidi"/>
          <w:kern w:val="36"/>
          <w:sz w:val="24"/>
          <w:szCs w:val="24"/>
          <w:lang w:eastAsia="en-GB"/>
        </w:rPr>
        <w:t xml:space="preserve"> </w:t>
      </w:r>
      <w:r w:rsidRPr="00927301">
        <w:rPr>
          <w:rFonts w:asciiTheme="majorBidi" w:hAnsiTheme="majorBidi"/>
          <w:kern w:val="36"/>
          <w:sz w:val="24"/>
          <w:szCs w:val="24"/>
          <w:rtl/>
          <w:lang w:eastAsia="en-GB"/>
        </w:rPr>
        <w:t xml:space="preserve">، </w:t>
      </w:r>
      <w:r w:rsidRPr="00655CA9">
        <w:rPr>
          <w:rFonts w:ascii="Traditional Arabic" w:hAnsi="Traditional Arabic" w:cs="Traditional Arabic"/>
          <w:sz w:val="30"/>
          <w:szCs w:val="30"/>
          <w:rtl/>
        </w:rPr>
        <w:t xml:space="preserve">فإن قانون حقوق الطفل اليمني 45 لا يعالج مسألة زواج الأطفال ولا يحدد الحد الأدنى لسن الزواج. أظهرت التقارير التي استعرضها فريق الخبراء أن الزواج من الأطفال والزواج المبكر والزواج القسري قد زاد خلال فترة الصراع. في عام 2013 ، على سبيل المثال ، </w:t>
      </w:r>
      <w:r w:rsidRPr="00655CA9">
        <w:rPr>
          <w:rFonts w:ascii="Traditional Arabic" w:hAnsi="Traditional Arabic" w:cs="Traditional Arabic" w:hint="eastAsia"/>
          <w:sz w:val="30"/>
          <w:szCs w:val="30"/>
          <w:rtl/>
        </w:rPr>
        <w:t>اي</w:t>
      </w:r>
      <w:r w:rsidRPr="00655CA9">
        <w:rPr>
          <w:rFonts w:ascii="Traditional Arabic" w:hAnsi="Traditional Arabic" w:cs="Traditional Arabic"/>
          <w:sz w:val="30"/>
          <w:szCs w:val="30"/>
          <w:rtl/>
        </w:rPr>
        <w:t xml:space="preserve"> قبل النزاع ، أظهرت الدراسة الاستقصائية الوطنية للصحة والديمغرافية في اليمن أن 31.9 في المائة من النساء الل</w:t>
      </w:r>
      <w:r w:rsidRPr="00655CA9">
        <w:rPr>
          <w:rFonts w:ascii="Traditional Arabic" w:hAnsi="Traditional Arabic" w:cs="Traditional Arabic" w:hint="eastAsia"/>
          <w:sz w:val="30"/>
          <w:szCs w:val="30"/>
          <w:rtl/>
        </w:rPr>
        <w:t>وات</w:t>
      </w:r>
      <w:r w:rsidRPr="00655CA9">
        <w:rPr>
          <w:rFonts w:ascii="Traditional Arabic" w:hAnsi="Traditional Arabic" w:cs="Traditional Arabic"/>
          <w:sz w:val="30"/>
          <w:szCs w:val="30"/>
          <w:rtl/>
        </w:rPr>
        <w:t xml:space="preserve">ي تتراوح أعمارهن بين 20 و 24 سنة </w:t>
      </w:r>
      <w:r w:rsidRPr="00655CA9">
        <w:rPr>
          <w:rFonts w:ascii="Traditional Arabic" w:hAnsi="Traditional Arabic" w:cs="Traditional Arabic" w:hint="eastAsia"/>
          <w:sz w:val="30"/>
          <w:szCs w:val="30"/>
          <w:rtl/>
        </w:rPr>
        <w:t>تزوجن</w:t>
      </w:r>
      <w:r w:rsidRPr="00655CA9">
        <w:rPr>
          <w:rFonts w:ascii="Traditional Arabic" w:hAnsi="Traditional Arabic" w:cs="Traditional Arabic"/>
          <w:sz w:val="30"/>
          <w:szCs w:val="30"/>
          <w:rtl/>
        </w:rPr>
        <w:t xml:space="preserve"> قبل </w:t>
      </w:r>
      <w:r w:rsidRPr="00655CA9">
        <w:rPr>
          <w:rFonts w:ascii="Traditional Arabic" w:hAnsi="Traditional Arabic" w:cs="Traditional Arabic" w:hint="eastAsia"/>
          <w:sz w:val="30"/>
          <w:szCs w:val="30"/>
          <w:rtl/>
        </w:rPr>
        <w:t>سن</w:t>
      </w:r>
      <w:r w:rsidRPr="00655CA9">
        <w:rPr>
          <w:rFonts w:ascii="Traditional Arabic" w:hAnsi="Traditional Arabic" w:cs="Traditional Arabic"/>
          <w:sz w:val="30"/>
          <w:szCs w:val="30"/>
          <w:rtl/>
        </w:rPr>
        <w:t xml:space="preserve"> 18 عامًا وأن 9.4 في المائة </w:t>
      </w:r>
      <w:r w:rsidRPr="00655CA9">
        <w:rPr>
          <w:rFonts w:ascii="Traditional Arabic" w:hAnsi="Traditional Arabic" w:cs="Traditional Arabic" w:hint="eastAsia"/>
          <w:sz w:val="30"/>
          <w:szCs w:val="30"/>
          <w:rtl/>
        </w:rPr>
        <w:t>تزوجن</w:t>
      </w:r>
      <w:r w:rsidRPr="00655CA9">
        <w:rPr>
          <w:rFonts w:ascii="Traditional Arabic" w:hAnsi="Traditional Arabic" w:cs="Traditional Arabic"/>
          <w:sz w:val="30"/>
          <w:szCs w:val="30"/>
          <w:rtl/>
        </w:rPr>
        <w:t xml:space="preserve"> قبل بلوغ سن 15 عامًا</w:t>
      </w:r>
      <w:r w:rsidRPr="00927301">
        <w:rPr>
          <w:rStyle w:val="FootnoteReference"/>
          <w:rFonts w:asciiTheme="majorBidi" w:hAnsiTheme="majorBidi" w:cstheme="majorBidi"/>
          <w:sz w:val="24"/>
          <w:szCs w:val="24"/>
        </w:rPr>
        <w:footnoteReference w:id="1104"/>
      </w:r>
      <w:r w:rsidRPr="00927301">
        <w:rPr>
          <w:rFonts w:asciiTheme="majorBidi" w:hAnsiTheme="majorBidi"/>
          <w:kern w:val="36"/>
          <w:sz w:val="24"/>
          <w:szCs w:val="24"/>
          <w:rtl/>
          <w:lang w:eastAsia="en-GB"/>
        </w:rPr>
        <w:t xml:space="preserve">.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2017، وجدت دراسة استقصائية عن زواج الأطفال أجرتها اليونيسف في ست محافظات في اليمن أنه نتيجة للصراع أصبح زواج الأطفال آلية </w:t>
      </w:r>
      <w:r w:rsidRPr="00655CA9">
        <w:rPr>
          <w:rFonts w:ascii="Traditional Arabic" w:hAnsi="Traditional Arabic" w:cs="Traditional Arabic" w:hint="eastAsia"/>
          <w:sz w:val="30"/>
          <w:szCs w:val="30"/>
          <w:rtl/>
        </w:rPr>
        <w:t>اعتياديه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تكيفت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معها</w:t>
      </w:r>
      <w:r w:rsidRPr="00655CA9">
        <w:rPr>
          <w:rFonts w:ascii="Traditional Arabic" w:hAnsi="Traditional Arabic" w:cs="Traditional Arabic"/>
          <w:sz w:val="30"/>
          <w:szCs w:val="30"/>
          <w:rtl/>
        </w:rPr>
        <w:t xml:space="preserve"> الأسر. رغم أن الدراسة محدودة ، فقد وجد أن 72.5 في المائة من المجيبين أشاروا إلى أنهم تزوجوا قبل بلوغهم سن 18 عامًا</w:t>
      </w:r>
      <w:r w:rsidRPr="00927301">
        <w:rPr>
          <w:rFonts w:asciiTheme="majorBidi" w:hAnsiTheme="majorBidi" w:cstheme="majorBidi"/>
          <w:kern w:val="36"/>
          <w:sz w:val="24"/>
          <w:szCs w:val="24"/>
          <w:lang w:eastAsia="en-GB"/>
        </w:rPr>
        <w:t>.</w:t>
      </w:r>
      <w:r w:rsidRPr="00927301">
        <w:rPr>
          <w:rStyle w:val="FootnoteReference"/>
          <w:rFonts w:asciiTheme="majorBidi" w:hAnsiTheme="majorBidi" w:cstheme="majorBidi"/>
          <w:kern w:val="36"/>
          <w:sz w:val="24"/>
          <w:szCs w:val="24"/>
          <w:lang w:eastAsia="en-GB"/>
        </w:rPr>
        <w:t xml:space="preserve"> </w:t>
      </w:r>
      <w:r w:rsidRPr="00927301">
        <w:rPr>
          <w:rStyle w:val="FootnoteReference"/>
          <w:rFonts w:asciiTheme="majorBidi" w:hAnsiTheme="majorBidi" w:cstheme="majorBidi"/>
          <w:kern w:val="36"/>
          <w:sz w:val="24"/>
          <w:szCs w:val="24"/>
          <w:lang w:eastAsia="en-GB"/>
        </w:rPr>
        <w:footnoteReference w:id="1105"/>
      </w:r>
    </w:p>
    <w:p w14:paraId="3F6A7CEC"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أوضح من أجريت معهم مقابلات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الفريق أن "زواج الأطفال" ممارسة شائعة في اليمن ، ويعزى ذلك إلى حد كبير إلى الفقر وتفاقمه </w:t>
      </w:r>
      <w:r w:rsidRPr="00655CA9">
        <w:rPr>
          <w:rFonts w:ascii="Traditional Arabic" w:hAnsi="Traditional Arabic" w:cs="Traditional Arabic" w:hint="eastAsia"/>
          <w:sz w:val="30"/>
          <w:szCs w:val="30"/>
          <w:rtl/>
        </w:rPr>
        <w:t>وبسبب</w:t>
      </w:r>
      <w:r w:rsidRPr="00655CA9">
        <w:rPr>
          <w:rFonts w:ascii="Traditional Arabic" w:hAnsi="Traditional Arabic" w:cs="Traditional Arabic"/>
          <w:sz w:val="30"/>
          <w:szCs w:val="30"/>
          <w:rtl/>
        </w:rPr>
        <w:t xml:space="preserve"> النزاع المسلح. قام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بتوثيق الحالات التي شعر فيها الآباء - وخاصة بين الأسر الفقيرة والمشردة ، وبالتالي في حالة الضعف المالي والجسدي - بأنهم مضطرون إلى </w:t>
      </w:r>
      <w:r w:rsidRPr="00655CA9">
        <w:rPr>
          <w:rFonts w:ascii="Traditional Arabic" w:hAnsi="Traditional Arabic" w:cs="Traditional Arabic" w:hint="eastAsia"/>
          <w:sz w:val="30"/>
          <w:szCs w:val="30"/>
          <w:rtl/>
        </w:rPr>
        <w:t>تزويج</w:t>
      </w:r>
      <w:r w:rsidRPr="00655CA9">
        <w:rPr>
          <w:rFonts w:ascii="Traditional Arabic" w:hAnsi="Traditional Arabic" w:cs="Traditional Arabic"/>
          <w:sz w:val="30"/>
          <w:szCs w:val="30"/>
          <w:rtl/>
        </w:rPr>
        <w:t xml:space="preserve"> بناتهم في سن 11 عامًا لتزويدهم بالمأوى و</w:t>
      </w:r>
      <w:r w:rsidRPr="00655CA9">
        <w:rPr>
          <w:rFonts w:ascii="Traditional Arabic" w:hAnsi="Traditional Arabic" w:cs="Traditional Arabic" w:hint="eastAsia"/>
          <w:sz w:val="30"/>
          <w:szCs w:val="30"/>
          <w:rtl/>
        </w:rPr>
        <w:t>الامن</w:t>
      </w:r>
      <w:r w:rsidRPr="00655CA9">
        <w:rPr>
          <w:rFonts w:ascii="Traditional Arabic" w:hAnsi="Traditional Arabic" w:cs="Traditional Arabic"/>
          <w:sz w:val="30"/>
          <w:szCs w:val="30"/>
          <w:rtl/>
        </w:rPr>
        <w:t xml:space="preserve"> الاقتصاد</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لانهم</w:t>
      </w:r>
      <w:r w:rsidRPr="00655CA9">
        <w:rPr>
          <w:rFonts w:ascii="Traditional Arabic" w:hAnsi="Traditional Arabic" w:cs="Traditional Arabic"/>
          <w:sz w:val="30"/>
          <w:szCs w:val="30"/>
          <w:rtl/>
        </w:rPr>
        <w:t xml:space="preserve"> لا يمكنهم توفيره بأنفسهم، </w:t>
      </w:r>
      <w:r w:rsidRPr="00655CA9">
        <w:rPr>
          <w:rFonts w:ascii="Traditional Arabic" w:hAnsi="Traditional Arabic" w:cs="Traditional Arabic" w:hint="eastAsia"/>
          <w:sz w:val="30"/>
          <w:szCs w:val="30"/>
          <w:rtl/>
        </w:rPr>
        <w:t>وهذا</w:t>
      </w:r>
      <w:r w:rsidRPr="00655CA9">
        <w:rPr>
          <w:rFonts w:ascii="Traditional Arabic" w:hAnsi="Traditional Arabic" w:cs="Traditional Arabic"/>
          <w:sz w:val="30"/>
          <w:szCs w:val="30"/>
          <w:rtl/>
        </w:rPr>
        <w:t xml:space="preserve"> يخفف </w:t>
      </w:r>
      <w:r w:rsidRPr="00655CA9">
        <w:rPr>
          <w:rFonts w:ascii="Traditional Arabic" w:hAnsi="Traditional Arabic" w:cs="Traditional Arabic" w:hint="eastAsia"/>
          <w:sz w:val="30"/>
          <w:szCs w:val="30"/>
          <w:rtl/>
        </w:rPr>
        <w:t>عنهم</w:t>
      </w:r>
      <w:r w:rsidRPr="00655CA9">
        <w:rPr>
          <w:rFonts w:ascii="Traditional Arabic" w:hAnsi="Traditional Arabic" w:cs="Traditional Arabic"/>
          <w:sz w:val="30"/>
          <w:szCs w:val="30"/>
          <w:rtl/>
        </w:rPr>
        <w:t xml:space="preserve"> في الوقت نفسه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 xml:space="preserve">ضغط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اجل إطعام وحماية شخص آخر في العائلة.</w:t>
      </w:r>
    </w:p>
    <w:p w14:paraId="73473E8D" w14:textId="77777777" w:rsidR="009826D6" w:rsidRPr="00D90DDA"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kern w:val="36"/>
          <w:sz w:val="24"/>
          <w:szCs w:val="24"/>
          <w:lang w:eastAsia="en-GB"/>
        </w:rPr>
      </w:pPr>
      <w:r w:rsidRPr="00655CA9">
        <w:rPr>
          <w:rFonts w:ascii="Traditional Arabic" w:hAnsi="Traditional Arabic" w:cs="Traditional Arabic"/>
          <w:sz w:val="30"/>
          <w:szCs w:val="30"/>
          <w:rtl/>
        </w:rPr>
        <w:lastRenderedPageBreak/>
        <w:t xml:space="preserve">تلق الفريق </w:t>
      </w:r>
      <w:r w:rsidRPr="00655CA9">
        <w:rPr>
          <w:rFonts w:ascii="Traditional Arabic" w:hAnsi="Traditional Arabic" w:cs="Traditional Arabic" w:hint="eastAsia"/>
          <w:sz w:val="30"/>
          <w:szCs w:val="30"/>
          <w:rtl/>
        </w:rPr>
        <w:t>روايات</w:t>
      </w:r>
      <w:r w:rsidRPr="00655CA9">
        <w:rPr>
          <w:rFonts w:ascii="Traditional Arabic" w:hAnsi="Traditional Arabic" w:cs="Traditional Arabic"/>
          <w:sz w:val="30"/>
          <w:szCs w:val="30"/>
          <w:rtl/>
        </w:rPr>
        <w:t xml:space="preserve"> مباشرة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خمس فتيات متزوجات في سن 11 و 14 و 15 و 17 سنة.</w:t>
      </w:r>
      <w:r w:rsidRPr="00655CA9">
        <w:rPr>
          <w:rFonts w:ascii="Traditional Arabic" w:hAnsi="Traditional Arabic" w:cs="Traditional Arabic"/>
          <w:sz w:val="30"/>
          <w:szCs w:val="30"/>
          <w:rtl/>
        </w:rPr>
        <w:footnoteReference w:id="1106"/>
      </w:r>
      <w:r w:rsidRPr="00655CA9">
        <w:rPr>
          <w:rFonts w:ascii="Traditional Arabic" w:hAnsi="Traditional Arabic" w:cs="Traditional Arabic"/>
          <w:sz w:val="30"/>
          <w:szCs w:val="30"/>
          <w:rtl/>
        </w:rPr>
        <w:t xml:space="preserve"> في إحدى الحالات ، أجبر والد فتاة تبلغ من العمر 11 عامًا على الزواج من رجل يبلغ من العمر 30 عامًا، </w:t>
      </w:r>
      <w:r w:rsidRPr="00655CA9">
        <w:rPr>
          <w:rFonts w:ascii="Traditional Arabic" w:hAnsi="Traditional Arabic" w:cs="Traditional Arabic" w:hint="eastAsia"/>
          <w:sz w:val="30"/>
          <w:szCs w:val="30"/>
          <w:rtl/>
        </w:rPr>
        <w:t>علماً</w:t>
      </w:r>
      <w:r w:rsidRPr="00655CA9">
        <w:rPr>
          <w:rFonts w:ascii="Traditional Arabic" w:hAnsi="Traditional Arabic" w:cs="Traditional Arabic"/>
          <w:sz w:val="30"/>
          <w:szCs w:val="30"/>
          <w:rtl/>
        </w:rPr>
        <w:t xml:space="preserve"> بانه متزوج من  زوجة </w:t>
      </w:r>
      <w:r w:rsidRPr="00655CA9">
        <w:rPr>
          <w:rFonts w:ascii="Traditional Arabic" w:hAnsi="Traditional Arabic" w:cs="Traditional Arabic" w:hint="eastAsia"/>
          <w:sz w:val="30"/>
          <w:szCs w:val="30"/>
          <w:rtl/>
        </w:rPr>
        <w:t>اخرى</w:t>
      </w:r>
      <w:r w:rsidRPr="00655CA9">
        <w:rPr>
          <w:rFonts w:ascii="Traditional Arabic" w:hAnsi="Traditional Arabic" w:cs="Traditional Arabic"/>
          <w:sz w:val="30"/>
          <w:szCs w:val="30"/>
          <w:rtl/>
        </w:rPr>
        <w:t xml:space="preserve"> ولديه أطفال آخرون. نتيجة الجماع الجنسي ، تم إدخال الفتاة إلى المستشفى بسبب نزيف حاد وإصابات</w:t>
      </w:r>
      <w:r w:rsidRPr="00927301">
        <w:rPr>
          <w:rFonts w:cstheme="majorBidi"/>
          <w:vertAlign w:val="superscript"/>
        </w:rPr>
        <w:footnoteReference w:id="1107"/>
      </w:r>
      <w:r w:rsidRPr="00D90DDA">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حالة أخرى، </w:t>
      </w:r>
      <w:r w:rsidRPr="00655CA9">
        <w:rPr>
          <w:rFonts w:ascii="Traditional Arabic" w:hAnsi="Traditional Arabic" w:cs="Traditional Arabic" w:hint="eastAsia"/>
          <w:sz w:val="30"/>
          <w:szCs w:val="30"/>
          <w:rtl/>
        </w:rPr>
        <w:t>أجبرت</w:t>
      </w:r>
      <w:r w:rsidRPr="00655CA9">
        <w:rPr>
          <w:rFonts w:ascii="Traditional Arabic" w:hAnsi="Traditional Arabic" w:cs="Traditional Arabic"/>
          <w:sz w:val="30"/>
          <w:szCs w:val="30"/>
          <w:rtl/>
        </w:rPr>
        <w:t xml:space="preserve"> طفلة تبلغ من العمر 14 عامًا على الزواج من ابن عمها الذي كان أكبر من عمرها 11 عامًا، </w:t>
      </w:r>
      <w:r w:rsidRPr="00655CA9">
        <w:rPr>
          <w:rFonts w:ascii="Traditional Arabic" w:hAnsi="Traditional Arabic" w:cs="Traditional Arabic" w:hint="eastAsia"/>
          <w:sz w:val="30"/>
          <w:szCs w:val="30"/>
          <w:rtl/>
        </w:rPr>
        <w:t>وتعرضت</w:t>
      </w:r>
      <w:r w:rsidRPr="00655CA9">
        <w:rPr>
          <w:rFonts w:ascii="Traditional Arabic" w:hAnsi="Traditional Arabic" w:cs="Traditional Arabic"/>
          <w:sz w:val="30"/>
          <w:szCs w:val="30"/>
          <w:rtl/>
        </w:rPr>
        <w:t xml:space="preserve"> للعنف المنزلي الوحشي</w:t>
      </w:r>
      <w:r w:rsidRPr="00D90DDA">
        <w:rPr>
          <w:rFonts w:asciiTheme="majorBidi" w:hAnsiTheme="majorBidi" w:cstheme="majorBidi"/>
          <w:sz w:val="24"/>
          <w:szCs w:val="24"/>
        </w:rPr>
        <w:t>.</w:t>
      </w:r>
      <w:r w:rsidRPr="00D90DDA">
        <w:rPr>
          <w:rFonts w:asciiTheme="majorBidi" w:hAnsiTheme="majorBidi" w:cstheme="majorBidi"/>
          <w:sz w:val="24"/>
          <w:szCs w:val="24"/>
          <w:vertAlign w:val="superscript"/>
        </w:rPr>
        <w:t xml:space="preserve"> </w:t>
      </w:r>
      <w:r w:rsidRPr="00927301">
        <w:rPr>
          <w:rFonts w:cstheme="majorBidi"/>
          <w:vertAlign w:val="superscript"/>
        </w:rPr>
        <w:footnoteReference w:id="1108"/>
      </w:r>
    </w:p>
    <w:p w14:paraId="0F3798BE"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ويساور الفريق القلق لأن</w:t>
      </w:r>
      <w:r>
        <w:rPr>
          <w:rFonts w:ascii="Traditional Arabic" w:hAnsi="Traditional Arabic" w:cs="Traditional Arabic" w:hint="cs"/>
          <w:sz w:val="30"/>
          <w:szCs w:val="30"/>
          <w:rtl/>
        </w:rPr>
        <w:t>ه، خلال النزاع،</w:t>
      </w:r>
      <w:r w:rsidRPr="00655CA9">
        <w:rPr>
          <w:rFonts w:ascii="Traditional Arabic" w:hAnsi="Traditional Arabic" w:cs="Traditional Arabic"/>
          <w:sz w:val="30"/>
          <w:szCs w:val="30"/>
          <w:rtl/>
        </w:rPr>
        <w:t xml:space="preserve"> </w:t>
      </w:r>
      <w:r w:rsidRPr="00BD629A">
        <w:rPr>
          <w:rFonts w:ascii="Traditional Arabic" w:hAnsi="Traditional Arabic" w:cs="Traditional Arabic"/>
          <w:sz w:val="30"/>
          <w:szCs w:val="30"/>
          <w:rtl/>
        </w:rPr>
        <w:t xml:space="preserve">لم تتم </w:t>
      </w:r>
      <w:r>
        <w:rPr>
          <w:rFonts w:ascii="Traditional Arabic" w:hAnsi="Traditional Arabic" w:cs="Traditional Arabic" w:hint="cs"/>
          <w:sz w:val="30"/>
          <w:szCs w:val="30"/>
          <w:rtl/>
        </w:rPr>
        <w:t xml:space="preserve">حماية </w:t>
      </w:r>
      <w:r w:rsidRPr="00655CA9">
        <w:rPr>
          <w:rFonts w:ascii="Traditional Arabic" w:hAnsi="Traditional Arabic" w:cs="Traditional Arabic"/>
          <w:sz w:val="30"/>
          <w:szCs w:val="30"/>
          <w:rtl/>
        </w:rPr>
        <w:t>الحقوق الأساسية للفتيات لأنهن تعرضن لمزيد من العنف وخطر الاستغلال، بما في ذلك العنف المنزلي والجنسي. انظر الفصل الخاص بالعنف القائم على النوع الاجتماعي لمزيد من التفاصيل</w:t>
      </w:r>
      <w:r w:rsidRPr="00655CA9">
        <w:rPr>
          <w:rFonts w:ascii="Traditional Arabic" w:hAnsi="Traditional Arabic" w:cs="Traditional Arabic"/>
          <w:sz w:val="30"/>
          <w:szCs w:val="30"/>
        </w:rPr>
        <w:t>.</w:t>
      </w:r>
    </w:p>
    <w:p w14:paraId="62EB6BB1" w14:textId="3225A6D2" w:rsidR="009826D6" w:rsidRPr="00410348" w:rsidRDefault="009826D6" w:rsidP="0025057B">
      <w:pPr>
        <w:pStyle w:val="ListParagraph"/>
        <w:numPr>
          <w:ilvl w:val="0"/>
          <w:numId w:val="23"/>
        </w:numPr>
        <w:bidi/>
        <w:ind w:right="900"/>
        <w:rPr>
          <w:rFonts w:ascii="Traditional Arabic" w:hAnsi="Traditional Arabic" w:cs="Traditional Arabic"/>
          <w:b/>
          <w:bCs/>
          <w:sz w:val="30"/>
          <w:szCs w:val="30"/>
        </w:rPr>
      </w:pPr>
      <w:r w:rsidRPr="00410348">
        <w:rPr>
          <w:rFonts w:ascii="Traditional Arabic" w:hAnsi="Traditional Arabic" w:cs="Traditional Arabic"/>
          <w:b/>
          <w:bCs/>
          <w:sz w:val="30"/>
          <w:szCs w:val="30"/>
        </w:rPr>
        <w:t xml:space="preserve"> </w:t>
      </w:r>
      <w:r w:rsidRPr="00410348">
        <w:rPr>
          <w:rFonts w:ascii="Traditional Arabic" w:hAnsi="Traditional Arabic" w:cs="Traditional Arabic"/>
          <w:b/>
          <w:bCs/>
          <w:sz w:val="30"/>
          <w:szCs w:val="30"/>
          <w:rtl/>
        </w:rPr>
        <w:t>انتهاكات الحق في الصحة والبقاء وال</w:t>
      </w:r>
      <w:r w:rsidRPr="00410348">
        <w:rPr>
          <w:rFonts w:ascii="Traditional Arabic" w:hAnsi="Traditional Arabic" w:cs="Traditional Arabic" w:hint="eastAsia"/>
          <w:b/>
          <w:bCs/>
          <w:sz w:val="30"/>
          <w:szCs w:val="30"/>
          <w:rtl/>
        </w:rPr>
        <w:t>تنمية</w:t>
      </w:r>
    </w:p>
    <w:p w14:paraId="7C8F47C1" w14:textId="77777777" w:rsidR="009826D6"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vertAlign w:val="superscript"/>
          <w:rtl/>
        </w:rPr>
      </w:pPr>
      <w:r w:rsidRPr="00655CA9">
        <w:rPr>
          <w:rFonts w:ascii="Traditional Arabic" w:hAnsi="Traditional Arabic" w:cs="Traditional Arabic"/>
          <w:sz w:val="30"/>
          <w:szCs w:val="30"/>
          <w:rtl/>
        </w:rPr>
        <w:t>خلال النزاع في اليمن ، ان</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تهكت الحقوق الأساسية للأطفال ، </w:t>
      </w:r>
      <w:r w:rsidRPr="00655CA9">
        <w:rPr>
          <w:rFonts w:ascii="Traditional Arabic" w:hAnsi="Traditional Arabic" w:cs="Traditional Arabic" w:hint="eastAsia"/>
          <w:sz w:val="30"/>
          <w:szCs w:val="30"/>
          <w:rtl/>
        </w:rPr>
        <w:t>فمن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الحقوق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التي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إنتهاكها</w:t>
      </w:r>
      <w:r w:rsidRPr="00655CA9">
        <w:rPr>
          <w:rFonts w:ascii="Traditional Arabic" w:hAnsi="Traditional Arabic" w:cs="Traditional Arabic"/>
          <w:sz w:val="30"/>
          <w:szCs w:val="30"/>
          <w:rtl/>
        </w:rPr>
        <w:t xml:space="preserve"> من قبل أطراف النزاع ، الحق في الحياة، والصحة ، </w:t>
      </w:r>
      <w:r w:rsidRPr="00655CA9">
        <w:rPr>
          <w:rFonts w:ascii="Traditional Arabic" w:hAnsi="Traditional Arabic" w:cs="Traditional Arabic" w:hint="eastAsia"/>
          <w:sz w:val="30"/>
          <w:szCs w:val="30"/>
          <w:rtl/>
        </w:rPr>
        <w:t>العيش</w:t>
      </w:r>
      <w:r w:rsidRPr="00655CA9">
        <w:rPr>
          <w:rFonts w:ascii="Traditional Arabic" w:hAnsi="Traditional Arabic" w:cs="Traditional Arabic"/>
          <w:sz w:val="30"/>
          <w:szCs w:val="30"/>
          <w:rtl/>
        </w:rPr>
        <w:t xml:space="preserve"> مع الأسرة والمجتمع ، وتنمية شخصية الطفل ، ورعايته وحمايته .</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09"/>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بالإضافة إلى أحكام القانون الدولي </w:t>
      </w:r>
      <w:r w:rsidRPr="00D90B98">
        <w:rPr>
          <w:rFonts w:ascii="Traditional Arabic" w:hAnsi="Traditional Arabic" w:cs="Traditional Arabic"/>
          <w:sz w:val="30"/>
          <w:szCs w:val="30"/>
          <w:rtl/>
        </w:rPr>
        <w:t xml:space="preserve">الإنساني </w:t>
      </w:r>
      <w:r w:rsidRPr="00655CA9">
        <w:rPr>
          <w:rFonts w:ascii="Traditional Arabic" w:hAnsi="Traditional Arabic" w:cs="Traditional Arabic"/>
          <w:sz w:val="30"/>
          <w:szCs w:val="30"/>
          <w:rtl/>
        </w:rPr>
        <w:t>التي تحمي خدمات الرعاية الصحية ، تفرض المادة 24 من اتفاقية حقوق الطفل التزامًا قويًا من جانب الدول الأطراف لضمان إتاحة الخدمات الصحية وغيرها من الخدمات ذات الصلة وإتاحتها لجميع الأطفال ، مع إيلاء اهتمام خاص للمناطق التي تعاني من نقص الخدمات والسكان</w:t>
      </w:r>
      <w:r w:rsidRPr="00927301">
        <w:rPr>
          <w:rFonts w:asciiTheme="majorBidi" w:hAnsiTheme="majorBidi" w:cstheme="majorBidi"/>
          <w:sz w:val="24"/>
          <w:szCs w:val="24"/>
        </w:rPr>
        <w:t>.</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10"/>
      </w:r>
    </w:p>
    <w:p w14:paraId="1FC0AAE1"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 شهدت اليمن تدمير أو إغلاق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لمنشآت الصحية نتيجة لـ:  </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 xml:space="preserve">لهجمات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الاستخدام العسكري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العنف وانعدام الأمن</w:t>
      </w:r>
      <w:r w:rsidRPr="00655CA9">
        <w:rPr>
          <w:rFonts w:ascii="Traditional Arabic" w:hAnsi="Traditional Arabic" w:cs="Traditional Arabic" w:hint="eastAsia"/>
          <w:sz w:val="30"/>
          <w:szCs w:val="30"/>
          <w:rtl/>
        </w:rPr>
        <w:t>،</w:t>
      </w:r>
      <w:r w:rsidRPr="00655CA9">
        <w:rPr>
          <w:rFonts w:ascii="Traditional Arabic" w:hAnsi="Traditional Arabic" w:cs="Traditional Arabic"/>
          <w:sz w:val="30"/>
          <w:szCs w:val="30"/>
          <w:rtl/>
        </w:rPr>
        <w:t xml:space="preserve"> الافتقار إلى </w:t>
      </w:r>
      <w:r w:rsidRPr="00655CA9">
        <w:rPr>
          <w:rFonts w:ascii="Traditional Arabic" w:hAnsi="Traditional Arabic" w:cs="Traditional Arabic" w:hint="eastAsia"/>
          <w:sz w:val="30"/>
          <w:szCs w:val="30"/>
          <w:rtl/>
        </w:rPr>
        <w:t>المخصصات</w:t>
      </w:r>
      <w:r w:rsidRPr="00655CA9">
        <w:rPr>
          <w:rFonts w:ascii="Traditional Arabic" w:hAnsi="Traditional Arabic" w:cs="Traditional Arabic"/>
          <w:sz w:val="30"/>
          <w:szCs w:val="30"/>
          <w:rtl/>
        </w:rPr>
        <w:t xml:space="preserve"> المالية لتشغيل المرافق ؛ ندرة الإمدادات وتعطيل سلاسل الإمداد ؛ نقص الموظفين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خاصة الموظفين المتخصصين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بسبب عدم دفع رواتب العاملين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القطاع</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الصحي</w:t>
      </w:r>
      <w:r w:rsidRPr="00655CA9">
        <w:rPr>
          <w:rFonts w:ascii="Traditional Arabic" w:hAnsi="Traditional Arabic" w:cs="Traditional Arabic"/>
          <w:sz w:val="30"/>
          <w:szCs w:val="30"/>
          <w:rtl/>
        </w:rPr>
        <w:t xml:space="preserve"> وهجرة </w:t>
      </w:r>
      <w:r w:rsidRPr="00655CA9">
        <w:rPr>
          <w:rFonts w:ascii="Traditional Arabic" w:hAnsi="Traditional Arabic" w:cs="Traditional Arabic" w:hint="eastAsia"/>
          <w:sz w:val="30"/>
          <w:szCs w:val="30"/>
          <w:rtl/>
        </w:rPr>
        <w:t>الكادر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الطبي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المدرب</w:t>
      </w:r>
      <w:r>
        <w:rPr>
          <w:rFonts w:ascii="Traditional Arabic" w:hAnsi="Traditional Arabic" w:cs="Traditional Arabic" w:hint="cs"/>
          <w:sz w:val="30"/>
          <w:szCs w:val="30"/>
          <w:rtl/>
        </w:rPr>
        <w:t>.</w:t>
      </w:r>
    </w:p>
    <w:p w14:paraId="01EEE5ED" w14:textId="77777777" w:rsidR="00E25F5D" w:rsidRDefault="00E25F5D" w:rsidP="009826D6">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p>
    <w:p w14:paraId="3D6845A4" w14:textId="6A7ABE99" w:rsidR="009826D6" w:rsidRPr="00655CA9" w:rsidRDefault="009826D6" w:rsidP="00E25F5D">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الاستخدام العسكري للمرافق الطبية</w:t>
      </w:r>
    </w:p>
    <w:p w14:paraId="64447E7D" w14:textId="77777777"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لا </w:t>
      </w:r>
      <w:r w:rsidRPr="00655CA9">
        <w:rPr>
          <w:rFonts w:ascii="Traditional Arabic" w:hAnsi="Traditional Arabic" w:cs="Traditional Arabic" w:hint="eastAsia"/>
          <w:sz w:val="30"/>
          <w:szCs w:val="30"/>
          <w:rtl/>
        </w:rPr>
        <w:t>يجوز</w:t>
      </w:r>
      <w:r w:rsidRPr="00655CA9">
        <w:rPr>
          <w:rFonts w:ascii="Traditional Arabic" w:hAnsi="Traditional Arabic" w:cs="Traditional Arabic"/>
          <w:sz w:val="30"/>
          <w:szCs w:val="30"/>
          <w:rtl/>
        </w:rPr>
        <w:t xml:space="preserve">استخدام المنشآت الطبية </w:t>
      </w:r>
      <w:r w:rsidRPr="00655CA9">
        <w:rPr>
          <w:rFonts w:ascii="Traditional Arabic" w:hAnsi="Traditional Arabic" w:cs="Traditional Arabic" w:hint="eastAsia"/>
          <w:sz w:val="30"/>
          <w:szCs w:val="30"/>
          <w:rtl/>
        </w:rPr>
        <w:t>شاملاً</w:t>
      </w:r>
      <w:r w:rsidRPr="00655CA9">
        <w:rPr>
          <w:rFonts w:ascii="Traditional Arabic" w:hAnsi="Traditional Arabic" w:cs="Traditional Arabic"/>
          <w:sz w:val="30"/>
          <w:szCs w:val="30"/>
          <w:rtl/>
        </w:rPr>
        <w:t xml:space="preserve"> الوحدات الطبية ووسائل النقل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اجل حماية الأهداف العسكرية من الهجمات أو استخدامها خارج وظيفتها </w:t>
      </w:r>
      <w:r w:rsidRPr="00655CA9">
        <w:rPr>
          <w:rFonts w:ascii="Traditional Arabic" w:hAnsi="Traditional Arabic" w:cs="Traditional Arabic"/>
          <w:sz w:val="30"/>
          <w:szCs w:val="30"/>
          <w:rtl/>
        </w:rPr>
        <w:lastRenderedPageBreak/>
        <w:t>الإنسانية</w:t>
      </w:r>
      <w:r w:rsidRPr="00927301">
        <w:rPr>
          <w:rFonts w:asciiTheme="majorBidi" w:hAnsiTheme="majorBidi"/>
          <w:sz w:val="24"/>
          <w:szCs w:val="24"/>
          <w:shd w:val="clear" w:color="auto" w:fill="FFFFFF"/>
          <w:rtl/>
        </w:rPr>
        <w:t>.</w:t>
      </w:r>
      <w:r>
        <w:rPr>
          <w:rStyle w:val="FootnoteReference"/>
          <w:szCs w:val="24"/>
          <w:shd w:val="clear" w:color="auto" w:fill="FFFFFF"/>
          <w:rtl/>
        </w:rPr>
        <w:footnoteReference w:id="1111"/>
      </w:r>
      <w:r w:rsidRPr="00927301">
        <w:rPr>
          <w:rFonts w:asciiTheme="majorBidi" w:hAnsiTheme="majorBidi"/>
          <w:sz w:val="24"/>
          <w:szCs w:val="24"/>
          <w:shd w:val="clear" w:color="auto" w:fill="FFFFFF"/>
          <w:rtl/>
        </w:rPr>
        <w:t xml:space="preserve"> </w:t>
      </w:r>
      <w:r w:rsidRPr="00655CA9">
        <w:rPr>
          <w:rFonts w:ascii="Traditional Arabic" w:hAnsi="Traditional Arabic" w:cs="Traditional Arabic"/>
          <w:sz w:val="30"/>
          <w:szCs w:val="30"/>
          <w:rtl/>
        </w:rPr>
        <w:t xml:space="preserve">لقد وثّق فريق الخبراء الاستخدام العسكري المباشر للمرافق الطبية منذ بداية النزاع ، </w:t>
      </w:r>
      <w:r w:rsidRPr="00655CA9">
        <w:rPr>
          <w:rFonts w:ascii="Traditional Arabic" w:hAnsi="Traditional Arabic" w:cs="Traditional Arabic" w:hint="eastAsia"/>
          <w:sz w:val="30"/>
          <w:szCs w:val="30"/>
          <w:rtl/>
        </w:rPr>
        <w:t>والتي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تسببت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w:t>
      </w:r>
      <w:r w:rsidRPr="00655CA9">
        <w:rPr>
          <w:rFonts w:ascii="Traditional Arabic" w:hAnsi="Traditional Arabic" w:cs="Traditional Arabic"/>
          <w:sz w:val="30"/>
          <w:szCs w:val="30"/>
          <w:rtl/>
        </w:rPr>
        <w:t xml:space="preserve">تقويض </w:t>
      </w:r>
      <w:r w:rsidRPr="00655CA9">
        <w:rPr>
          <w:rFonts w:ascii="Traditional Arabic" w:hAnsi="Traditional Arabic" w:cs="Traditional Arabic" w:hint="eastAsia"/>
          <w:sz w:val="30"/>
          <w:szCs w:val="30"/>
          <w:rtl/>
        </w:rPr>
        <w:t>توفير</w:t>
      </w:r>
      <w:r w:rsidRPr="00655CA9">
        <w:rPr>
          <w:rFonts w:ascii="Traditional Arabic" w:hAnsi="Traditional Arabic" w:cs="Traditional Arabic"/>
          <w:sz w:val="30"/>
          <w:szCs w:val="30"/>
          <w:rtl/>
        </w:rPr>
        <w:t xml:space="preserve"> خدمات الرعاية الصحية. وقد أدى ذلك في كثير من الأحيان إلى هجمات من جانب الأطراف المعارضة. للحصول على أمثلة ، راجع فصول</w:t>
      </w:r>
      <w:r>
        <w:rPr>
          <w:rFonts w:ascii="Traditional Arabic" w:hAnsi="Traditional Arabic" w:cs="Traditional Arabic" w:hint="cs"/>
          <w:sz w:val="30"/>
          <w:szCs w:val="30"/>
          <w:rtl/>
        </w:rPr>
        <w:t xml:space="preserve"> معارك عدن والحديدة </w:t>
      </w:r>
      <w:r w:rsidRPr="00655CA9">
        <w:rPr>
          <w:rFonts w:ascii="Traditional Arabic" w:hAnsi="Traditional Arabic" w:cs="Traditional Arabic"/>
          <w:sz w:val="30"/>
          <w:szCs w:val="30"/>
          <w:rtl/>
        </w:rPr>
        <w:t>في هذا التقرير</w:t>
      </w:r>
      <w:r w:rsidRPr="00655CA9">
        <w:rPr>
          <w:rFonts w:ascii="Traditional Arabic" w:hAnsi="Traditional Arabic" w:cs="Traditional Arabic"/>
          <w:sz w:val="30"/>
          <w:szCs w:val="30"/>
        </w:rPr>
        <w:t>.</w:t>
      </w:r>
    </w:p>
    <w:p w14:paraId="32B5806A" w14:textId="77777777" w:rsidR="009826D6" w:rsidRPr="00655CA9" w:rsidRDefault="009826D6" w:rsidP="009826D6">
      <w:pPr>
        <w:bidi/>
        <w:spacing w:before="100" w:beforeAutospacing="1" w:after="100" w:afterAutospacing="1" w:line="240" w:lineRule="auto"/>
        <w:ind w:left="1134" w:right="900" w:hanging="11"/>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 xml:space="preserve">هجمات </w:t>
      </w:r>
      <w:r>
        <w:rPr>
          <w:rFonts w:ascii="Traditional Arabic" w:hAnsi="Traditional Arabic" w:cs="Traditional Arabic" w:hint="cs"/>
          <w:i/>
          <w:iCs/>
          <w:sz w:val="30"/>
          <w:szCs w:val="30"/>
          <w:rtl/>
        </w:rPr>
        <w:t xml:space="preserve">أثرت </w:t>
      </w:r>
      <w:r w:rsidRPr="00655CA9">
        <w:rPr>
          <w:rFonts w:ascii="Traditional Arabic" w:hAnsi="Traditional Arabic" w:cs="Traditional Arabic"/>
          <w:i/>
          <w:iCs/>
          <w:sz w:val="30"/>
          <w:szCs w:val="30"/>
          <w:rtl/>
        </w:rPr>
        <w:t>على المرافق الطبية</w:t>
      </w:r>
    </w:p>
    <w:p w14:paraId="780C37C6" w14:textId="392C70D2" w:rsidR="009826D6" w:rsidRPr="00655CA9" w:rsidRDefault="009826D6" w:rsidP="006B7AE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tl/>
        </w:rPr>
      </w:pPr>
      <w:r w:rsidRPr="00655CA9">
        <w:rPr>
          <w:rFonts w:ascii="Traditional Arabic" w:hAnsi="Traditional Arabic" w:cs="Traditional Arabic"/>
          <w:sz w:val="30"/>
          <w:szCs w:val="30"/>
          <w:rtl/>
        </w:rPr>
        <w:t xml:space="preserve">بموجب قواعد القانون الدولي </w:t>
      </w:r>
      <w:r w:rsidRPr="00BD629A">
        <w:rPr>
          <w:rFonts w:ascii="Traditional Arabic" w:hAnsi="Traditional Arabic" w:cs="Traditional Arabic"/>
          <w:sz w:val="30"/>
          <w:szCs w:val="30"/>
          <w:rtl/>
        </w:rPr>
        <w:t>الإنساني</w:t>
      </w:r>
      <w:r w:rsidRPr="00655CA9">
        <w:rPr>
          <w:rFonts w:ascii="Traditional Arabic" w:hAnsi="Traditional Arabic" w:cs="Traditional Arabic"/>
          <w:sz w:val="30"/>
          <w:szCs w:val="30"/>
          <w:rtl/>
        </w:rPr>
        <w:t>، يتمتع العاملون في المجال الطبي والمرافق و</w:t>
      </w:r>
      <w:r w:rsidRPr="00655CA9">
        <w:rPr>
          <w:rFonts w:ascii="Traditional Arabic" w:hAnsi="Traditional Arabic" w:cs="Traditional Arabic" w:hint="eastAsia"/>
          <w:sz w:val="30"/>
          <w:szCs w:val="30"/>
          <w:rtl/>
        </w:rPr>
        <w:t>البنيه</w:t>
      </w:r>
      <w:r w:rsidRPr="00655CA9">
        <w:rPr>
          <w:rFonts w:ascii="Traditional Arabic" w:hAnsi="Traditional Arabic" w:cs="Traditional Arabic"/>
          <w:sz w:val="30"/>
          <w:szCs w:val="30"/>
          <w:rtl/>
        </w:rPr>
        <w:t xml:space="preserve"> التحتيه الأساسية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الذين تم تكليفهم بالقيام بأنشطة ذات طبيعة طبية حصرية بحماية خاصة. هذا يعني أنه حتى في الحالات التي قد تشكل فيها هدفًا عسكريًا في وقت معين (على سبيل المثال بسبب الاستخدام العسكري من قِبل طرف في النزاع) ، فإن الهجوم ضدهم لن يكون قانونيًا إلا بعد توجيه تحذير مسبق له</w:t>
      </w:r>
      <w:r w:rsidRPr="00655CA9">
        <w:rPr>
          <w:rFonts w:ascii="Traditional Arabic" w:hAnsi="Traditional Arabic" w:cs="Traditional Arabic" w:hint="eastAsia"/>
          <w:sz w:val="30"/>
          <w:szCs w:val="30"/>
          <w:rtl/>
        </w:rPr>
        <w:t>م</w:t>
      </w:r>
      <w:r w:rsidR="006B7AE1">
        <w:rPr>
          <w:rFonts w:ascii="Traditional Arabic" w:hAnsi="Traditional Arabic" w:cs="Traditional Arabic"/>
          <w:sz w:val="30"/>
          <w:szCs w:val="30"/>
          <w:rtl/>
        </w:rPr>
        <w:t>،</w:t>
      </w:r>
      <w:r w:rsidR="00596D9B">
        <w:rPr>
          <w:rFonts w:ascii="Traditional Arabic" w:hAnsi="Traditional Arabic" w:cs="Traditional Arabic" w:hint="cs"/>
          <w:sz w:val="30"/>
          <w:szCs w:val="30"/>
          <w:rtl/>
        </w:rPr>
        <w:t xml:space="preserve"> </w:t>
      </w:r>
      <w:r w:rsidR="006B7AE1">
        <w:rPr>
          <w:rFonts w:ascii="Traditional Arabic" w:hAnsi="Traditional Arabic" w:cs="Traditional Arabic" w:hint="cs"/>
          <w:sz w:val="30"/>
          <w:szCs w:val="30"/>
          <w:rtl/>
        </w:rPr>
        <w:t>مع ترك</w:t>
      </w:r>
      <w:r w:rsidR="006B7AE1"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 xml:space="preserve">فترة زمنية </w:t>
      </w:r>
      <w:r w:rsidRPr="00655CA9">
        <w:rPr>
          <w:rFonts w:ascii="Traditional Arabic" w:hAnsi="Traditional Arabic" w:cs="Traditional Arabic" w:hint="eastAsia"/>
          <w:sz w:val="30"/>
          <w:szCs w:val="30"/>
          <w:rtl/>
        </w:rPr>
        <w:t>لتصحيح</w:t>
      </w:r>
      <w:r w:rsidRPr="00655CA9">
        <w:rPr>
          <w:rFonts w:ascii="Traditional Arabic" w:hAnsi="Traditional Arabic" w:cs="Traditional Arabic"/>
          <w:sz w:val="30"/>
          <w:szCs w:val="30"/>
          <w:rtl/>
        </w:rPr>
        <w:t xml:space="preserve"> الوضع </w:t>
      </w:r>
      <w:r w:rsidR="006B7AE1" w:rsidRPr="00655CA9">
        <w:rPr>
          <w:rFonts w:ascii="Traditional Arabic" w:hAnsi="Traditional Arabic" w:cs="Traditional Arabic"/>
          <w:sz w:val="30"/>
          <w:szCs w:val="30"/>
          <w:rtl/>
        </w:rPr>
        <w:t xml:space="preserve">من حيث المبدأ </w:t>
      </w:r>
      <w:r w:rsidRPr="00655CA9">
        <w:rPr>
          <w:rFonts w:ascii="Traditional Arabic" w:hAnsi="Traditional Arabic" w:cs="Traditional Arabic"/>
          <w:sz w:val="30"/>
          <w:szCs w:val="30"/>
          <w:rtl/>
        </w:rPr>
        <w:t xml:space="preserve">وبعد </w:t>
      </w:r>
      <w:r w:rsidRPr="00655CA9">
        <w:rPr>
          <w:rFonts w:ascii="Traditional Arabic" w:hAnsi="Traditional Arabic" w:cs="Traditional Arabic" w:hint="eastAsia"/>
          <w:sz w:val="30"/>
          <w:szCs w:val="30"/>
          <w:rtl/>
        </w:rPr>
        <w:t>بقاء</w:t>
      </w:r>
      <w:r w:rsidRPr="00655CA9">
        <w:rPr>
          <w:rFonts w:ascii="Traditional Arabic" w:hAnsi="Traditional Arabic" w:cs="Traditional Arabic"/>
          <w:sz w:val="30"/>
          <w:szCs w:val="30"/>
          <w:rtl/>
        </w:rPr>
        <w:t xml:space="preserve"> التحذير المذكور دون إدراك</w:t>
      </w:r>
      <w:r w:rsidRPr="00655CA9">
        <w:rPr>
          <w:rFonts w:ascii="Traditional Arabic" w:hAnsi="Traditional Arabic" w:cs="Traditional Arabic"/>
          <w:sz w:val="30"/>
          <w:szCs w:val="30"/>
        </w:rPr>
        <w:t>.</w:t>
      </w:r>
    </w:p>
    <w:p w14:paraId="07C49BE6" w14:textId="577F0173" w:rsidR="009826D6" w:rsidRPr="00F41B30" w:rsidRDefault="009826D6" w:rsidP="008A5165">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bCs/>
          <w:kern w:val="36"/>
          <w:sz w:val="24"/>
          <w:szCs w:val="24"/>
          <w:lang w:eastAsia="en-GB"/>
        </w:rPr>
      </w:pPr>
      <w:r w:rsidRPr="00F41B30">
        <w:rPr>
          <w:rFonts w:ascii="Traditional Arabic" w:hAnsi="Traditional Arabic" w:cs="Traditional Arabic" w:hint="eastAsia"/>
          <w:sz w:val="30"/>
          <w:szCs w:val="30"/>
          <w:rtl/>
        </w:rPr>
        <w:t>وجد</w:t>
      </w:r>
      <w:r w:rsidRPr="00F41B30">
        <w:rPr>
          <w:rFonts w:ascii="Traditional Arabic" w:hAnsi="Traditional Arabic" w:cs="Traditional Arabic"/>
          <w:sz w:val="30"/>
          <w:szCs w:val="30"/>
          <w:rtl/>
        </w:rPr>
        <w:t xml:space="preserve"> فريق الخبراء أن الحصول على الرعاية الصحية في اليمن لا يزال </w:t>
      </w:r>
      <w:r w:rsidRPr="00F41B30">
        <w:rPr>
          <w:rFonts w:ascii="Traditional Arabic" w:hAnsi="Traditional Arabic" w:cs="Traditional Arabic" w:hint="eastAsia"/>
          <w:sz w:val="30"/>
          <w:szCs w:val="30"/>
          <w:rtl/>
        </w:rPr>
        <w:t>قليل</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بسبب</w:t>
      </w:r>
      <w:r w:rsidRPr="00F41B30">
        <w:rPr>
          <w:rFonts w:ascii="Traditional Arabic" w:hAnsi="Traditional Arabic" w:cs="Traditional Arabic"/>
          <w:sz w:val="30"/>
          <w:szCs w:val="30"/>
          <w:rtl/>
        </w:rPr>
        <w:t xml:space="preserve"> الاضرار التي سببتها الأطراف وتدمير</w:t>
      </w:r>
      <w:r w:rsidRPr="00F41B30">
        <w:rPr>
          <w:rFonts w:ascii="Traditional Arabic" w:hAnsi="Traditional Arabic" w:cs="Traditional Arabic" w:hint="eastAsia"/>
          <w:sz w:val="30"/>
          <w:szCs w:val="30"/>
          <w:rtl/>
        </w:rPr>
        <w:t>ها</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لهذه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المرافق</w:t>
      </w:r>
      <w:r w:rsidRPr="00F41B30">
        <w:rPr>
          <w:rFonts w:ascii="Traditional Arabic" w:hAnsi="Traditional Arabic" w:cs="Traditional Arabic" w:hint="cs"/>
          <w:sz w:val="30"/>
          <w:szCs w:val="30"/>
          <w:rtl/>
        </w:rPr>
        <w:t xml:space="preserve"> الصحية</w:t>
      </w:r>
      <w:r w:rsidRPr="00F41B30">
        <w:rPr>
          <w:rFonts w:ascii="Traditional Arabic" w:hAnsi="Traditional Arabic" w:cs="Traditional Arabic"/>
          <w:sz w:val="30"/>
          <w:szCs w:val="30"/>
          <w:rtl/>
        </w:rPr>
        <w:t xml:space="preserve">. وفقًا للأمين العام للأمم المتحدة، تم تنفيذ 119 هجومًا على المنشآت الطبية والعاملين </w:t>
      </w:r>
      <w:r w:rsidRPr="00F41B30">
        <w:rPr>
          <w:rFonts w:ascii="Traditional Arabic" w:hAnsi="Traditional Arabic" w:cs="Traditional Arabic" w:hint="eastAsia"/>
          <w:sz w:val="30"/>
          <w:szCs w:val="30"/>
          <w:rtl/>
        </w:rPr>
        <w:t>خلال</w:t>
      </w:r>
      <w:r w:rsidRPr="00F41B30">
        <w:rPr>
          <w:rFonts w:ascii="Traditional Arabic" w:hAnsi="Traditional Arabic" w:cs="Traditional Arabic"/>
          <w:sz w:val="30"/>
          <w:szCs w:val="30"/>
          <w:rtl/>
        </w:rPr>
        <w:t xml:space="preserve"> الفترة ما بين 2015-2018.</w:t>
      </w:r>
      <w:r w:rsidRPr="00F41B30">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12"/>
      </w:r>
      <w:r w:rsidRPr="00F41B30">
        <w:rPr>
          <w:rFonts w:asciiTheme="majorBidi" w:hAnsiTheme="majorBidi"/>
          <w:sz w:val="24"/>
          <w:szCs w:val="24"/>
          <w:rtl/>
        </w:rPr>
        <w:t xml:space="preserve"> </w:t>
      </w:r>
      <w:r w:rsidRPr="00F41B30">
        <w:rPr>
          <w:rFonts w:ascii="Traditional Arabic" w:hAnsi="Traditional Arabic" w:cs="Traditional Arabic" w:hint="eastAsia"/>
          <w:sz w:val="30"/>
          <w:szCs w:val="30"/>
          <w:rtl/>
        </w:rPr>
        <w:t>كذلك</w:t>
      </w:r>
      <w:r w:rsidRPr="00F41B30">
        <w:rPr>
          <w:rFonts w:ascii="Traditional Arabic" w:hAnsi="Traditional Arabic" w:cs="Traditional Arabic"/>
          <w:sz w:val="30"/>
          <w:szCs w:val="30"/>
          <w:rtl/>
        </w:rPr>
        <w:t xml:space="preserve"> وثق فريق الخبراء </w:t>
      </w:r>
      <w:r w:rsidRPr="00F41B30">
        <w:rPr>
          <w:rFonts w:ascii="Traditional Arabic" w:hAnsi="Traditional Arabic" w:cs="Traditional Arabic" w:hint="eastAsia"/>
          <w:sz w:val="30"/>
          <w:szCs w:val="30"/>
          <w:rtl/>
        </w:rPr>
        <w:t>حالات</w:t>
      </w:r>
      <w:r w:rsidRPr="00F41B30">
        <w:rPr>
          <w:rFonts w:ascii="Traditional Arabic" w:hAnsi="Traditional Arabic" w:cs="Traditional Arabic"/>
          <w:sz w:val="30"/>
          <w:szCs w:val="30"/>
          <w:rtl/>
        </w:rPr>
        <w:t xml:space="preserve"> الاستخدام العسكري للمرافق الطبية،</w:t>
      </w:r>
      <w:r w:rsidRPr="00F41B30">
        <w:rPr>
          <w:rFonts w:ascii="Traditional Arabic" w:hAnsi="Traditional Arabic" w:cs="Traditional Arabic" w:hint="cs"/>
          <w:sz w:val="30"/>
          <w:szCs w:val="30"/>
          <w:rtl/>
        </w:rPr>
        <w:t xml:space="preserve"> </w:t>
      </w:r>
      <w:r w:rsidRPr="00F41B30">
        <w:rPr>
          <w:rFonts w:ascii="Traditional Arabic" w:hAnsi="Traditional Arabic" w:cs="Traditional Arabic" w:hint="eastAsia"/>
          <w:sz w:val="30"/>
          <w:szCs w:val="30"/>
          <w:rtl/>
        </w:rPr>
        <w:t>والتي</w:t>
      </w:r>
      <w:r w:rsidRPr="00F41B30">
        <w:rPr>
          <w:rFonts w:ascii="Traditional Arabic" w:hAnsi="Traditional Arabic" w:cs="Traditional Arabic"/>
          <w:sz w:val="30"/>
          <w:szCs w:val="30"/>
          <w:rtl/>
        </w:rPr>
        <w:t xml:space="preserve"> غالباً ما </w:t>
      </w:r>
      <w:r w:rsidRPr="00F41B30">
        <w:rPr>
          <w:rFonts w:ascii="Traditional Arabic" w:hAnsi="Traditional Arabic" w:cs="Traditional Arabic" w:hint="cs"/>
          <w:sz w:val="30"/>
          <w:szCs w:val="30"/>
          <w:rtl/>
        </w:rPr>
        <w:t xml:space="preserve">أدت </w:t>
      </w:r>
      <w:r w:rsidRPr="00F41B30">
        <w:rPr>
          <w:rFonts w:ascii="Traditional Arabic" w:hAnsi="Traditional Arabic" w:cs="Traditional Arabic"/>
          <w:sz w:val="30"/>
          <w:szCs w:val="30"/>
          <w:rtl/>
        </w:rPr>
        <w:t xml:space="preserve">إلى هجمات من قبل </w:t>
      </w:r>
      <w:r w:rsidRPr="00F41B30">
        <w:rPr>
          <w:rFonts w:ascii="Traditional Arabic" w:hAnsi="Traditional Arabic" w:cs="Traditional Arabic" w:hint="eastAsia"/>
          <w:sz w:val="30"/>
          <w:szCs w:val="30"/>
          <w:rtl/>
        </w:rPr>
        <w:t>ال</w:t>
      </w:r>
      <w:r w:rsidRPr="00F41B30">
        <w:rPr>
          <w:rFonts w:ascii="Traditional Arabic" w:hAnsi="Traditional Arabic" w:cs="Traditional Arabic"/>
          <w:sz w:val="30"/>
          <w:szCs w:val="30"/>
          <w:rtl/>
        </w:rPr>
        <w:t xml:space="preserve">أطراف </w:t>
      </w:r>
      <w:r w:rsidRPr="00F41B30">
        <w:rPr>
          <w:rFonts w:ascii="Traditional Arabic" w:hAnsi="Traditional Arabic" w:cs="Traditional Arabic" w:hint="eastAsia"/>
          <w:sz w:val="30"/>
          <w:szCs w:val="30"/>
          <w:rtl/>
        </w:rPr>
        <w:t>ال</w:t>
      </w:r>
      <w:r w:rsidRPr="00F41B30">
        <w:rPr>
          <w:rFonts w:ascii="Traditional Arabic" w:hAnsi="Traditional Arabic" w:cs="Traditional Arabic"/>
          <w:sz w:val="30"/>
          <w:szCs w:val="30"/>
          <w:rtl/>
        </w:rPr>
        <w:t xml:space="preserve">أخرى. </w:t>
      </w:r>
      <w:r w:rsidRPr="00F41B30">
        <w:rPr>
          <w:rFonts w:ascii="Traditional Arabic" w:hAnsi="Traditional Arabic" w:cs="Traditional Arabic" w:hint="eastAsia"/>
          <w:sz w:val="30"/>
          <w:szCs w:val="30"/>
          <w:rtl/>
        </w:rPr>
        <w:t>في</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تقرير</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سابق</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لفريق</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الخبراء</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تمت</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الاشاره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الى</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عده</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هجمات</w:t>
      </w:r>
      <w:r w:rsidRPr="00F41B30">
        <w:rPr>
          <w:rFonts w:ascii="Traditional Arabic" w:hAnsi="Traditional Arabic" w:cs="Traditional Arabic"/>
          <w:sz w:val="30"/>
          <w:szCs w:val="30"/>
          <w:rtl/>
        </w:rPr>
        <w:t xml:space="preserve"> ذات صلة، بما في ذلك </w:t>
      </w:r>
      <w:r w:rsidRPr="00F41B30">
        <w:rPr>
          <w:rFonts w:ascii="Traditional Arabic" w:hAnsi="Traditional Arabic" w:cs="Traditional Arabic" w:hint="eastAsia"/>
          <w:sz w:val="30"/>
          <w:szCs w:val="30"/>
          <w:rtl/>
        </w:rPr>
        <w:t>الهجمات</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الجوية</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ل</w:t>
      </w:r>
      <w:r w:rsidRPr="00F41B30">
        <w:rPr>
          <w:rFonts w:ascii="Traditional Arabic" w:hAnsi="Traditional Arabic" w:cs="Traditional Arabic"/>
          <w:sz w:val="30"/>
          <w:szCs w:val="30"/>
          <w:rtl/>
        </w:rPr>
        <w:t xml:space="preserve">لتحالف التي نُفذت في عامي 2015 و 2016 ضد </w:t>
      </w:r>
      <w:r w:rsidR="00E10EE7" w:rsidRPr="00F41B30">
        <w:rPr>
          <w:rFonts w:ascii="Traditional Arabic" w:hAnsi="Traditional Arabic" w:cs="Traditional Arabic" w:hint="cs"/>
          <w:sz w:val="30"/>
          <w:szCs w:val="30"/>
          <w:rtl/>
        </w:rPr>
        <w:t xml:space="preserve">منشآت </w:t>
      </w:r>
      <w:r w:rsidRPr="00F41B30">
        <w:rPr>
          <w:rFonts w:ascii="Traditional Arabic" w:hAnsi="Traditional Arabic" w:cs="Traditional Arabic"/>
          <w:sz w:val="30"/>
          <w:szCs w:val="30"/>
          <w:rtl/>
        </w:rPr>
        <w:t>أطباء بلا حدود في محافظتي صعدة وحجة</w:t>
      </w:r>
      <w:r w:rsidRPr="00F41B30">
        <w:rPr>
          <w:rFonts w:asciiTheme="majorBidi" w:hAnsiTheme="majorBidi"/>
          <w:sz w:val="24"/>
          <w:szCs w:val="24"/>
          <w:rtl/>
        </w:rPr>
        <w:t xml:space="preserve">. </w:t>
      </w:r>
      <w:r>
        <w:rPr>
          <w:rStyle w:val="FootnoteReference"/>
          <w:szCs w:val="24"/>
          <w:rtl/>
        </w:rPr>
        <w:footnoteReference w:id="1113"/>
      </w:r>
      <w:r w:rsidRPr="00F41B30">
        <w:rPr>
          <w:rFonts w:ascii="Traditional Arabic" w:hAnsi="Traditional Arabic" w:cs="Traditional Arabic" w:hint="eastAsia"/>
          <w:sz w:val="30"/>
          <w:szCs w:val="30"/>
          <w:rtl/>
        </w:rPr>
        <w:t>و</w:t>
      </w:r>
      <w:r w:rsidRPr="00F41B30">
        <w:rPr>
          <w:rFonts w:ascii="Traditional Arabic" w:hAnsi="Traditional Arabic" w:cs="Traditional Arabic"/>
          <w:sz w:val="30"/>
          <w:szCs w:val="30"/>
          <w:rtl/>
        </w:rPr>
        <w:t xml:space="preserve">في الآونة الأخيرة، حقق </w:t>
      </w:r>
      <w:r w:rsidRPr="00F41B30">
        <w:rPr>
          <w:rFonts w:ascii="Traditional Arabic" w:hAnsi="Traditional Arabic" w:cs="Traditional Arabic" w:hint="eastAsia"/>
          <w:sz w:val="30"/>
          <w:szCs w:val="30"/>
          <w:rtl/>
        </w:rPr>
        <w:t>الفريق</w:t>
      </w:r>
      <w:r w:rsidRPr="00F41B30">
        <w:rPr>
          <w:rFonts w:ascii="Traditional Arabic" w:hAnsi="Traditional Arabic" w:cs="Traditional Arabic"/>
          <w:sz w:val="30"/>
          <w:szCs w:val="30"/>
          <w:rtl/>
        </w:rPr>
        <w:t xml:space="preserve"> في غارة جوية شنتها قوات التحالف في 11 </w:t>
      </w:r>
      <w:r w:rsidRPr="00F41B30">
        <w:rPr>
          <w:rFonts w:ascii="Traditional Arabic" w:hAnsi="Traditional Arabic" w:cs="Traditional Arabic" w:hint="cs"/>
          <w:sz w:val="30"/>
          <w:szCs w:val="30"/>
          <w:rtl/>
        </w:rPr>
        <w:t>حزيران</w:t>
      </w:r>
      <w:r w:rsidRPr="00F41B30">
        <w:rPr>
          <w:rFonts w:ascii="Traditional Arabic" w:hAnsi="Traditional Arabic" w:cs="Traditional Arabic"/>
          <w:sz w:val="30"/>
          <w:szCs w:val="30"/>
          <w:lang w:val="en-US"/>
        </w:rPr>
        <w:t>/</w:t>
      </w:r>
      <w:r w:rsidRPr="00F41B30">
        <w:rPr>
          <w:rFonts w:ascii="Traditional Arabic" w:hAnsi="Traditional Arabic" w:cs="Traditional Arabic" w:hint="cs"/>
          <w:sz w:val="30"/>
          <w:szCs w:val="30"/>
          <w:rtl/>
          <w:lang w:val="en-US" w:bidi="ar-YE"/>
        </w:rPr>
        <w:t xml:space="preserve"> </w:t>
      </w:r>
      <w:r w:rsidRPr="00F41B30">
        <w:rPr>
          <w:rFonts w:ascii="Traditional Arabic" w:hAnsi="Traditional Arabic" w:cs="Traditional Arabic"/>
          <w:sz w:val="30"/>
          <w:szCs w:val="30"/>
          <w:rtl/>
        </w:rPr>
        <w:t xml:space="preserve">يونيو 2018 على مركز علاج الكوليرا التابع لمنظمة أطباء بلا حدود في </w:t>
      </w:r>
      <w:r w:rsidRPr="00F41B30">
        <w:rPr>
          <w:rFonts w:ascii="Traditional Arabic" w:hAnsi="Traditional Arabic" w:cs="Traditional Arabic" w:hint="eastAsia"/>
          <w:sz w:val="30"/>
          <w:szCs w:val="30"/>
          <w:rtl/>
        </w:rPr>
        <w:t>مديرية</w:t>
      </w:r>
      <w:r w:rsidRPr="00F41B30">
        <w:rPr>
          <w:rFonts w:ascii="Traditional Arabic" w:hAnsi="Traditional Arabic" w:cs="Traditional Arabic"/>
          <w:sz w:val="30"/>
          <w:szCs w:val="30"/>
          <w:rtl/>
        </w:rPr>
        <w:t xml:space="preserve"> عبس بمحافظة حجة. </w:t>
      </w:r>
      <w:r w:rsidRPr="00F41B30">
        <w:rPr>
          <w:rFonts w:ascii="Traditional Arabic" w:hAnsi="Traditional Arabic" w:cs="Traditional Arabic" w:hint="eastAsia"/>
          <w:sz w:val="30"/>
          <w:szCs w:val="30"/>
          <w:rtl/>
        </w:rPr>
        <w:t>علماً</w:t>
      </w:r>
      <w:r w:rsidRPr="00F41B30">
        <w:rPr>
          <w:rFonts w:ascii="Traditional Arabic" w:hAnsi="Traditional Arabic" w:cs="Traditional Arabic"/>
          <w:sz w:val="30"/>
          <w:szCs w:val="30"/>
          <w:rtl/>
        </w:rPr>
        <w:t xml:space="preserve"> بان المركز لم </w:t>
      </w:r>
      <w:r w:rsidRPr="00F41B30">
        <w:rPr>
          <w:rFonts w:ascii="Traditional Arabic" w:hAnsi="Traditional Arabic" w:cs="Traditional Arabic" w:hint="eastAsia"/>
          <w:sz w:val="30"/>
          <w:szCs w:val="30"/>
          <w:rtl/>
        </w:rPr>
        <w:t>يكن</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قد</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تم</w:t>
      </w:r>
      <w:r w:rsidRPr="00F41B30">
        <w:rPr>
          <w:rFonts w:ascii="Traditional Arabic" w:hAnsi="Traditional Arabic" w:cs="Traditional Arabic"/>
          <w:sz w:val="30"/>
          <w:szCs w:val="30"/>
          <w:rtl/>
        </w:rPr>
        <w:t xml:space="preserve"> </w:t>
      </w:r>
      <w:r w:rsidRPr="00F41B30">
        <w:rPr>
          <w:rFonts w:ascii="Traditional Arabic" w:hAnsi="Traditional Arabic" w:cs="Traditional Arabic" w:hint="eastAsia"/>
          <w:sz w:val="30"/>
          <w:szCs w:val="30"/>
          <w:rtl/>
        </w:rPr>
        <w:t>افتتاحه</w:t>
      </w:r>
      <w:r w:rsidRPr="00F41B30">
        <w:rPr>
          <w:rFonts w:ascii="Traditional Arabic" w:hAnsi="Traditional Arabic" w:cs="Traditional Arabic"/>
          <w:sz w:val="30"/>
          <w:szCs w:val="30"/>
          <w:rtl/>
        </w:rPr>
        <w:t xml:space="preserve"> بعد حيث تم إنشاء</w:t>
      </w:r>
      <w:r w:rsidRPr="00F41B30">
        <w:rPr>
          <w:rFonts w:ascii="Traditional Arabic" w:hAnsi="Traditional Arabic" w:cs="Traditional Arabic" w:hint="eastAsia"/>
          <w:sz w:val="30"/>
          <w:szCs w:val="30"/>
          <w:rtl/>
        </w:rPr>
        <w:t>ه</w:t>
      </w:r>
      <w:r w:rsidRPr="00F41B30">
        <w:rPr>
          <w:rFonts w:ascii="Traditional Arabic" w:hAnsi="Traditional Arabic" w:cs="Traditional Arabic"/>
          <w:sz w:val="30"/>
          <w:szCs w:val="30"/>
        </w:rPr>
        <w:t xml:space="preserve"> </w:t>
      </w:r>
      <w:r w:rsidRPr="00F41B30">
        <w:rPr>
          <w:rFonts w:ascii="Traditional Arabic" w:hAnsi="Traditional Arabic" w:cs="Traditional Arabic"/>
          <w:sz w:val="30"/>
          <w:szCs w:val="30"/>
          <w:rtl/>
        </w:rPr>
        <w:t xml:space="preserve">حديثًا </w:t>
      </w:r>
      <w:r w:rsidRPr="00F41B30">
        <w:rPr>
          <w:rFonts w:ascii="Traditional Arabic" w:hAnsi="Traditional Arabic" w:cs="Traditional Arabic" w:hint="eastAsia"/>
          <w:sz w:val="30"/>
          <w:szCs w:val="30"/>
          <w:rtl/>
        </w:rPr>
        <w:t>ليتم</w:t>
      </w:r>
      <w:r w:rsidRPr="00F41B30">
        <w:rPr>
          <w:rFonts w:ascii="Traditional Arabic" w:hAnsi="Traditional Arabic" w:cs="Traditional Arabic"/>
          <w:sz w:val="30"/>
          <w:szCs w:val="30"/>
          <w:rtl/>
        </w:rPr>
        <w:t xml:space="preserve"> افتتاحه بمجرد بدء "موسم الكوليرا". كان المرفق يستوعب ما يق</w:t>
      </w:r>
      <w:r w:rsidRPr="00F41B30">
        <w:rPr>
          <w:rFonts w:ascii="Traditional Arabic" w:hAnsi="Traditional Arabic" w:cs="Traditional Arabic" w:hint="eastAsia"/>
          <w:sz w:val="30"/>
          <w:szCs w:val="30"/>
          <w:rtl/>
        </w:rPr>
        <w:t>ا</w:t>
      </w:r>
      <w:r w:rsidRPr="00F41B30">
        <w:rPr>
          <w:rFonts w:ascii="Traditional Arabic" w:hAnsi="Traditional Arabic" w:cs="Traditional Arabic"/>
          <w:sz w:val="30"/>
          <w:szCs w:val="30"/>
          <w:rtl/>
        </w:rPr>
        <w:t>رب 50-60 سريرا</w:t>
      </w:r>
      <w:r w:rsidRPr="00F41B30">
        <w:rPr>
          <w:rFonts w:asciiTheme="majorBidi" w:hAnsiTheme="majorBidi" w:cstheme="majorBidi"/>
          <w:sz w:val="24"/>
          <w:szCs w:val="24"/>
        </w:rPr>
        <w:t>.</w:t>
      </w:r>
      <w:r w:rsidRPr="00F41B30">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14"/>
      </w:r>
    </w:p>
    <w:p w14:paraId="1C9D6880" w14:textId="77777777" w:rsidR="009826D6"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bCs/>
          <w:kern w:val="36"/>
          <w:sz w:val="24"/>
          <w:szCs w:val="24"/>
          <w:rtl/>
          <w:lang w:eastAsia="en-GB"/>
        </w:rPr>
      </w:pPr>
      <w:r w:rsidRPr="00655CA9">
        <w:rPr>
          <w:rFonts w:ascii="Traditional Arabic" w:hAnsi="Traditional Arabic" w:cs="Traditional Arabic"/>
          <w:sz w:val="30"/>
          <w:szCs w:val="30"/>
          <w:rtl/>
        </w:rPr>
        <w:t xml:space="preserve">في مدينة </w:t>
      </w:r>
      <w:r w:rsidRPr="00655CA9">
        <w:rPr>
          <w:rFonts w:ascii="Traditional Arabic" w:hAnsi="Traditional Arabic" w:cs="Traditional Arabic" w:hint="eastAsia"/>
          <w:sz w:val="30"/>
          <w:szCs w:val="30"/>
          <w:rtl/>
        </w:rPr>
        <w:t>الدريهمي</w:t>
      </w:r>
      <w:r w:rsidRPr="00655CA9">
        <w:rPr>
          <w:rFonts w:ascii="Traditional Arabic" w:hAnsi="Traditional Arabic" w:cs="Traditional Arabic"/>
          <w:sz w:val="30"/>
          <w:szCs w:val="30"/>
          <w:rtl/>
        </w:rPr>
        <w:t xml:space="preserve">، بمحافظة الحديدة، تم تدمير </w:t>
      </w:r>
      <w:r w:rsidRPr="00655CA9">
        <w:rPr>
          <w:rFonts w:ascii="Traditional Arabic" w:hAnsi="Traditional Arabic" w:cs="Traditional Arabic" w:hint="eastAsia"/>
          <w:sz w:val="30"/>
          <w:szCs w:val="30"/>
          <w:rtl/>
        </w:rPr>
        <w:t>وحدة</w:t>
      </w:r>
      <w:r w:rsidRPr="00655CA9">
        <w:rPr>
          <w:rFonts w:ascii="Traditional Arabic" w:hAnsi="Traditional Arabic" w:cs="Traditional Arabic"/>
          <w:sz w:val="30"/>
          <w:szCs w:val="30"/>
          <w:rtl/>
        </w:rPr>
        <w:t xml:space="preserve"> ال</w:t>
      </w:r>
      <w:r>
        <w:rPr>
          <w:rFonts w:ascii="Traditional Arabic" w:hAnsi="Traditional Arabic" w:cs="Traditional Arabic" w:hint="cs"/>
          <w:sz w:val="30"/>
          <w:szCs w:val="30"/>
          <w:rtl/>
        </w:rPr>
        <w:t>أ</w:t>
      </w:r>
      <w:r w:rsidRPr="00655CA9">
        <w:rPr>
          <w:rFonts w:ascii="Traditional Arabic" w:hAnsi="Traditional Arabic" w:cs="Traditional Arabic"/>
          <w:sz w:val="30"/>
          <w:szCs w:val="30"/>
          <w:rtl/>
        </w:rPr>
        <w:t>مومه والطفول</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الوحيده الموجوده في المدينه تدميراً جزئيًا خلال غارة جوية شنتها قوات التحالف في 11 أكتوبر 2018</w:t>
      </w:r>
      <w:r w:rsidRPr="00927301">
        <w:rPr>
          <w:rFonts w:asciiTheme="majorBidi" w:hAnsiTheme="majorBidi"/>
          <w:b/>
          <w:kern w:val="36"/>
          <w:sz w:val="24"/>
          <w:szCs w:val="24"/>
          <w:rtl/>
          <w:lang w:eastAsia="en-GB"/>
        </w:rPr>
        <w:t>.</w:t>
      </w:r>
      <w:r w:rsidRPr="00927301">
        <w:rPr>
          <w:rStyle w:val="FootnoteReference"/>
          <w:rFonts w:asciiTheme="majorBidi" w:hAnsiTheme="majorBidi" w:cstheme="majorBidi"/>
          <w:bCs/>
          <w:kern w:val="36"/>
          <w:sz w:val="24"/>
          <w:szCs w:val="24"/>
          <w:lang w:eastAsia="en-GB"/>
        </w:rPr>
        <w:t xml:space="preserve"> </w:t>
      </w:r>
      <w:r w:rsidRPr="00927301">
        <w:rPr>
          <w:rStyle w:val="FootnoteReference"/>
          <w:rFonts w:asciiTheme="majorBidi" w:hAnsiTheme="majorBidi" w:cstheme="majorBidi"/>
          <w:bCs/>
          <w:kern w:val="36"/>
          <w:sz w:val="24"/>
          <w:szCs w:val="24"/>
          <w:lang w:eastAsia="en-GB"/>
        </w:rPr>
        <w:footnoteReference w:id="1115"/>
      </w:r>
      <w:r w:rsidRPr="00927301">
        <w:rPr>
          <w:rFonts w:asciiTheme="majorBidi" w:hAnsiTheme="majorBidi" w:cstheme="majorBidi"/>
          <w:bCs/>
          <w:kern w:val="36"/>
          <w:sz w:val="24"/>
          <w:szCs w:val="24"/>
          <w:lang w:eastAsia="en-GB"/>
        </w:rPr>
        <w:t xml:space="preserve"> </w:t>
      </w:r>
      <w:r w:rsidRPr="00927301">
        <w:rPr>
          <w:rFonts w:asciiTheme="majorBidi" w:hAnsiTheme="majorBidi"/>
          <w:b/>
          <w:kern w:val="36"/>
          <w:sz w:val="24"/>
          <w:szCs w:val="24"/>
          <w:rtl/>
          <w:lang w:eastAsia="en-GB"/>
        </w:rPr>
        <w:t xml:space="preserve"> </w:t>
      </w:r>
      <w:r w:rsidRPr="00655CA9">
        <w:rPr>
          <w:rFonts w:ascii="Traditional Arabic" w:hAnsi="Traditional Arabic" w:cs="Traditional Arabic" w:hint="eastAsia"/>
          <w:sz w:val="30"/>
          <w:szCs w:val="30"/>
          <w:rtl/>
        </w:rPr>
        <w:t>علم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خلال</w:t>
      </w:r>
      <w:r w:rsidRPr="00655CA9">
        <w:rPr>
          <w:rFonts w:ascii="Traditional Arabic" w:hAnsi="Traditional Arabic" w:cs="Traditional Arabic"/>
          <w:sz w:val="30"/>
          <w:szCs w:val="30"/>
          <w:rtl/>
        </w:rPr>
        <w:t xml:space="preserve"> مقابلاته أنه في نفس اليوم تم قصف مستشفى ريفي</w:t>
      </w:r>
      <w:r>
        <w:rPr>
          <w:rFonts w:ascii="Traditional Arabic" w:hAnsi="Traditional Arabic" w:cs="Traditional Arabic" w:hint="cs"/>
          <w:sz w:val="30"/>
          <w:szCs w:val="30"/>
          <w:rtl/>
        </w:rPr>
        <w:t xml:space="preserve"> من قبل أطراف مجهولة</w:t>
      </w:r>
      <w:r w:rsidRPr="00655CA9">
        <w:rPr>
          <w:rFonts w:ascii="Traditional Arabic" w:hAnsi="Traditional Arabic" w:cs="Traditional Arabic"/>
          <w:sz w:val="30"/>
          <w:szCs w:val="30"/>
          <w:rtl/>
        </w:rPr>
        <w:t xml:space="preserve">. ونتيجة لذلك، تُركت مدينة </w:t>
      </w:r>
      <w:r w:rsidRPr="00655CA9">
        <w:rPr>
          <w:rFonts w:ascii="Traditional Arabic" w:hAnsi="Traditional Arabic" w:cs="Traditional Arabic" w:hint="eastAsia"/>
          <w:sz w:val="30"/>
          <w:szCs w:val="30"/>
          <w:rtl/>
        </w:rPr>
        <w:t>الدريهمي</w:t>
      </w:r>
      <w:r w:rsidRPr="00655CA9">
        <w:rPr>
          <w:rFonts w:ascii="Traditional Arabic" w:hAnsi="Traditional Arabic" w:cs="Traditional Arabic"/>
          <w:sz w:val="30"/>
          <w:szCs w:val="30"/>
          <w:rtl/>
        </w:rPr>
        <w:t xml:space="preserve"> دون مرافق وخدمات لمساعدة النساء أثناء الحمل والولادة. تعرض مركز التغذية </w:t>
      </w:r>
      <w:r w:rsidRPr="00655CA9">
        <w:rPr>
          <w:rFonts w:ascii="Traditional Arabic" w:hAnsi="Traditional Arabic" w:cs="Traditional Arabic"/>
          <w:sz w:val="30"/>
          <w:szCs w:val="30"/>
          <w:rtl/>
        </w:rPr>
        <w:lastRenderedPageBreak/>
        <w:t xml:space="preserve">العلاجية في مستشفى الكتاف الريفي في صعدة لأضرار بسبب غارة جوية شنتها قوات التحالف في 26 مارس 2019 </w:t>
      </w:r>
      <w:r>
        <w:rPr>
          <w:rFonts w:ascii="Traditional Arabic" w:hAnsi="Traditional Arabic" w:cs="Traditional Arabic" w:hint="cs"/>
          <w:sz w:val="30"/>
          <w:szCs w:val="30"/>
          <w:rtl/>
        </w:rPr>
        <w:t xml:space="preserve">في </w:t>
      </w:r>
      <w:r w:rsidRPr="00655CA9">
        <w:rPr>
          <w:rFonts w:ascii="Traditional Arabic" w:hAnsi="Traditional Arabic" w:cs="Traditional Arabic"/>
          <w:sz w:val="30"/>
          <w:szCs w:val="30"/>
          <w:rtl/>
        </w:rPr>
        <w:t>المنطقة المجاورة للمستشفى</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bCs/>
          <w:kern w:val="36"/>
          <w:sz w:val="24"/>
          <w:szCs w:val="24"/>
          <w:lang w:eastAsia="en-GB"/>
        </w:rPr>
        <w:footnoteReference w:id="1116"/>
      </w:r>
    </w:p>
    <w:p w14:paraId="5DBEB4D7" w14:textId="415C8305" w:rsidR="009826D6" w:rsidRPr="00655CA9" w:rsidRDefault="009826D6" w:rsidP="0041034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إن ال</w:t>
      </w:r>
      <w:r>
        <w:rPr>
          <w:rFonts w:ascii="Traditional Arabic" w:hAnsi="Traditional Arabic" w:cs="Traditional Arabic" w:hint="cs"/>
          <w:sz w:val="30"/>
          <w:szCs w:val="30"/>
          <w:rtl/>
        </w:rPr>
        <w:t xml:space="preserve">غارات </w:t>
      </w:r>
      <w:r w:rsidRPr="00655CA9">
        <w:rPr>
          <w:rFonts w:ascii="Traditional Arabic" w:hAnsi="Traditional Arabic" w:cs="Traditional Arabic"/>
          <w:sz w:val="30"/>
          <w:szCs w:val="30"/>
          <w:rtl/>
        </w:rPr>
        <w:t>المذكورة</w:t>
      </w:r>
      <w:r w:rsidR="006F06C7">
        <w:rPr>
          <w:rFonts w:ascii="Traditional Arabic" w:hAnsi="Traditional Arabic" w:cs="Traditional Arabic" w:hint="cs"/>
          <w:sz w:val="30"/>
          <w:szCs w:val="30"/>
          <w:rtl/>
        </w:rPr>
        <w:t xml:space="preserve"> أعلاه</w:t>
      </w:r>
      <w:r w:rsidRPr="00655CA9">
        <w:rPr>
          <w:rFonts w:ascii="Traditional Arabic" w:hAnsi="Traditional Arabic" w:cs="Traditional Arabic"/>
          <w:sz w:val="30"/>
          <w:szCs w:val="30"/>
          <w:rtl/>
        </w:rPr>
        <w:t xml:space="preserve">، إذا ثبت أنها هجمات متعمدة ضد مرافق الرعاية الصحية ، قد تؤدي إلى مسؤولية جنائية فردية عن جريمة الحرب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المتمثلة في مهاجمة الأشياء المحمية عمداً</w:t>
      </w:r>
      <w:r w:rsidRPr="00655CA9">
        <w:rPr>
          <w:rFonts w:ascii="Traditional Arabic" w:hAnsi="Traditional Arabic" w:cs="Traditional Arabic"/>
          <w:sz w:val="30"/>
          <w:szCs w:val="30"/>
        </w:rPr>
        <w:t>.</w:t>
      </w:r>
    </w:p>
    <w:p w14:paraId="782C7ABD" w14:textId="77777777" w:rsidR="009826D6" w:rsidRPr="00655CA9" w:rsidRDefault="009826D6" w:rsidP="009826D6">
      <w:pPr>
        <w:pStyle w:val="ListParagraph"/>
        <w:tabs>
          <w:tab w:val="right" w:pos="1683"/>
        </w:tabs>
        <w:bidi/>
        <w:spacing w:line="240" w:lineRule="auto"/>
        <w:ind w:left="1143" w:right="900"/>
        <w:jc w:val="both"/>
        <w:rPr>
          <w:rFonts w:ascii="Traditional Arabic" w:eastAsia="Times New Roman" w:hAnsi="Traditional Arabic" w:cs="Traditional Arabic"/>
          <w:i/>
          <w:iCs/>
          <w:sz w:val="30"/>
          <w:szCs w:val="30"/>
        </w:rPr>
      </w:pPr>
      <w:r w:rsidRPr="00655CA9">
        <w:rPr>
          <w:rFonts w:ascii="Traditional Arabic" w:eastAsia="Times New Roman" w:hAnsi="Traditional Arabic" w:cs="Traditional Arabic"/>
          <w:i/>
          <w:iCs/>
          <w:sz w:val="30"/>
          <w:szCs w:val="30"/>
          <w:rtl/>
          <w:lang w:val="en-GB"/>
        </w:rPr>
        <w:t>الحصول على الصحة</w:t>
      </w:r>
    </w:p>
    <w:p w14:paraId="5D6D8E4F" w14:textId="466C2683" w:rsidR="009826D6" w:rsidRDefault="009826D6" w:rsidP="00AA228D">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tl/>
        </w:rPr>
      </w:pPr>
      <w:r w:rsidRPr="00655CA9">
        <w:rPr>
          <w:rFonts w:ascii="Traditional Arabic" w:hAnsi="Traditional Arabic" w:cs="Traditional Arabic"/>
          <w:sz w:val="30"/>
          <w:szCs w:val="30"/>
          <w:rtl/>
        </w:rPr>
        <w:t>قلل النزاع من عدد المرافق الطبية العاملة، لا سيما تلك التي تقدم الرعاية للأطفال. وفقًا لمكتب تنسيق الشؤون الإنسانية، فإن 20</w:t>
      </w:r>
      <w:r w:rsidR="00AA228D">
        <w:rPr>
          <w:rFonts w:ascii="Traditional Arabic" w:hAnsi="Traditional Arabic" w:cs="Traditional Arabic" w:hint="cs"/>
          <w:sz w:val="30"/>
          <w:szCs w:val="30"/>
          <w:rtl/>
        </w:rPr>
        <w:t xml:space="preserve"> بالمئة</w:t>
      </w:r>
      <w:r w:rsidRPr="00655CA9">
        <w:rPr>
          <w:rFonts w:ascii="Traditional Arabic" w:hAnsi="Traditional Arabic" w:cs="Traditional Arabic"/>
          <w:sz w:val="30"/>
          <w:szCs w:val="30"/>
          <w:rtl/>
        </w:rPr>
        <w:t xml:space="preserve"> فقط من المرافق الصحية تقدم رعاية صحية متكاملة للأم والطفل</w:t>
      </w:r>
      <w:r w:rsidRPr="00927301">
        <w:rPr>
          <w:rFonts w:asciiTheme="majorBidi" w:hAnsiTheme="majorBidi" w:cstheme="majorBidi"/>
          <w:sz w:val="24"/>
          <w:szCs w:val="24"/>
          <w:vertAlign w:val="superscript"/>
        </w:rPr>
        <w:footnoteReference w:id="1117"/>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يتمثل أحد العوامل الإضافية التي تحد من الوصول إلى المرافق الصحية العاملة </w:t>
      </w:r>
      <w:r w:rsidRPr="00655CA9">
        <w:rPr>
          <w:rFonts w:ascii="Traditional Arabic" w:hAnsi="Traditional Arabic" w:cs="Traditional Arabic" w:hint="eastAsia"/>
          <w:sz w:val="30"/>
          <w:szCs w:val="30"/>
          <w:rtl/>
        </w:rPr>
        <w:t>هو</w:t>
      </w:r>
      <w:r w:rsidRPr="00655CA9">
        <w:rPr>
          <w:rFonts w:ascii="Traditional Arabic" w:hAnsi="Traditional Arabic" w:cs="Traditional Arabic"/>
          <w:sz w:val="30"/>
          <w:szCs w:val="30"/>
          <w:rtl/>
        </w:rPr>
        <w:t xml:space="preserve"> نقص الموظفين - وخاصة الموظفين المتخصصين،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بسبب عدم دفع رواتب العاملين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المجال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الصحي</w:t>
      </w:r>
      <w:r w:rsidRPr="00655CA9">
        <w:rPr>
          <w:rFonts w:ascii="Traditional Arabic" w:hAnsi="Traditional Arabic" w:cs="Traditional Arabic"/>
          <w:sz w:val="30"/>
          <w:szCs w:val="30"/>
          <w:rtl/>
        </w:rPr>
        <w:t xml:space="preserve"> وهجرة </w:t>
      </w:r>
      <w:r w:rsidRPr="00655CA9">
        <w:rPr>
          <w:rFonts w:ascii="Traditional Arabic" w:hAnsi="Traditional Arabic" w:cs="Traditional Arabic" w:hint="eastAsia"/>
          <w:sz w:val="30"/>
          <w:szCs w:val="30"/>
          <w:rtl/>
        </w:rPr>
        <w:t>الكوادر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الطبي</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المدرب</w:t>
      </w:r>
      <w:r>
        <w:rPr>
          <w:rFonts w:ascii="Traditional Arabic" w:hAnsi="Traditional Arabic" w:cs="Traditional Arabic" w:hint="cs"/>
          <w:sz w:val="30"/>
          <w:szCs w:val="30"/>
          <w:rtl/>
        </w:rPr>
        <w:t>ة</w:t>
      </w:r>
      <w:r w:rsidRPr="00655CA9">
        <w:rPr>
          <w:rFonts w:ascii="Traditional Arabic" w:hAnsi="Traditional Arabic" w:cs="Traditional Arabic"/>
          <w:sz w:val="30"/>
          <w:szCs w:val="30"/>
          <w:vertAlign w:val="superscript"/>
        </w:rPr>
        <w:footnoteReference w:id="1118"/>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انظر إلى الفصل حول الانتهاكات المتعلقة بالوضع الإنساني لمزيد من التفاصيل. يوجد </w:t>
      </w:r>
      <w:r w:rsidRPr="00655CA9">
        <w:rPr>
          <w:rFonts w:ascii="Traditional Arabic" w:hAnsi="Traditional Arabic" w:cs="Traditional Arabic"/>
          <w:sz w:val="30"/>
          <w:szCs w:val="30"/>
          <w:rtl/>
        </w:rPr>
        <w:t xml:space="preserve">10 عاملين صحيين لكل </w:t>
      </w:r>
      <w:r>
        <w:rPr>
          <w:rFonts w:ascii="Traditional Arabic" w:hAnsi="Traditional Arabic" w:cs="Traditional Arabic" w:hint="cs"/>
          <w:sz w:val="30"/>
          <w:szCs w:val="30"/>
          <w:rtl/>
        </w:rPr>
        <w:t xml:space="preserve">10 آلاف </w:t>
      </w:r>
      <w:r w:rsidRPr="00655CA9">
        <w:rPr>
          <w:rFonts w:ascii="Traditional Arabic" w:hAnsi="Traditional Arabic" w:cs="Traditional Arabic"/>
          <w:sz w:val="30"/>
          <w:szCs w:val="30"/>
          <w:rtl/>
        </w:rPr>
        <w:t>شخص في اليمن - أي أقل من نصف معيار منظمة الصحة العالمية الأدنى</w:t>
      </w:r>
      <w:r w:rsidRPr="00927301">
        <w:rPr>
          <w:rFonts w:asciiTheme="majorBidi" w:hAnsiTheme="majorBidi" w:cstheme="majorBidi"/>
          <w:sz w:val="24"/>
          <w:szCs w:val="24"/>
          <w:vertAlign w:val="superscript"/>
        </w:rPr>
        <w:footnoteReference w:id="1119"/>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يعني استنزاف القوى العاملة الصحية والمرافق الصحية أن جودة الرعاية الصحية وتوافرها قد تم تقويضهما بشكل عام وقد </w:t>
      </w:r>
      <w:r w:rsidRPr="00655CA9">
        <w:rPr>
          <w:rFonts w:ascii="Traditional Arabic" w:hAnsi="Traditional Arabic" w:cs="Traditional Arabic" w:hint="eastAsia"/>
          <w:sz w:val="30"/>
          <w:szCs w:val="30"/>
          <w:rtl/>
        </w:rPr>
        <w:t>يستمر</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تحت الخطر </w:t>
      </w:r>
      <w:r w:rsidRPr="00655CA9">
        <w:rPr>
          <w:rFonts w:ascii="Traditional Arabic" w:hAnsi="Traditional Arabic" w:cs="Traditional Arabic"/>
          <w:sz w:val="30"/>
          <w:szCs w:val="30"/>
          <w:rtl/>
        </w:rPr>
        <w:t xml:space="preserve">لعقود بعد </w:t>
      </w:r>
      <w:r w:rsidRPr="00655CA9">
        <w:rPr>
          <w:rFonts w:ascii="Traditional Arabic" w:hAnsi="Traditional Arabic" w:cs="Traditional Arabic" w:hint="eastAsia"/>
          <w:sz w:val="30"/>
          <w:szCs w:val="30"/>
          <w:rtl/>
        </w:rPr>
        <w:t>النزاع</w:t>
      </w:r>
      <w:r w:rsidRPr="00655CA9">
        <w:rPr>
          <w:rFonts w:ascii="Traditional Arabic" w:hAnsi="Traditional Arabic" w:cs="Traditional Arabic"/>
          <w:sz w:val="30"/>
          <w:szCs w:val="30"/>
        </w:rPr>
        <w:t>.</w:t>
      </w:r>
    </w:p>
    <w:p w14:paraId="4EF94B09" w14:textId="29DB09DC" w:rsidR="009826D6" w:rsidRPr="00655CA9" w:rsidRDefault="009826D6" w:rsidP="006F7978">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قام الخبراء بتوثيق الحالات التي منعت فيها أطراف النزاع الغذاء من الوصول إلى المدنيين، مما أدى إلى تفاقم انعدام الأمن الغذائي في البلاد</w:t>
      </w:r>
      <w:r w:rsidRPr="00655CA9">
        <w:rPr>
          <w:rFonts w:ascii="Traditional Arabic" w:hAnsi="Traditional Arabic" w:cs="Traditional Arabic"/>
          <w:sz w:val="30"/>
          <w:szCs w:val="30"/>
        </w:rPr>
        <w:t xml:space="preserve"> </w:t>
      </w:r>
      <w:r>
        <w:rPr>
          <w:rFonts w:ascii="Traditional Arabic" w:hAnsi="Traditional Arabic" w:cs="Traditional Arabic" w:hint="cs"/>
          <w:sz w:val="30"/>
          <w:szCs w:val="30"/>
          <w:rtl/>
        </w:rPr>
        <w:t xml:space="preserve">(أنظر </w:t>
      </w:r>
      <w:r w:rsidR="005C758D">
        <w:rPr>
          <w:rFonts w:ascii="Traditional Arabic" w:hAnsi="Traditional Arabic" w:cs="Traditional Arabic" w:hint="cs"/>
          <w:sz w:val="30"/>
          <w:szCs w:val="30"/>
          <w:rtl/>
        </w:rPr>
        <w:t xml:space="preserve">فصل </w:t>
      </w:r>
      <w:r w:rsidR="00EF4F98">
        <w:rPr>
          <w:rFonts w:ascii="Traditional Arabic" w:hAnsi="Traditional Arabic" w:cs="Traditional Arabic"/>
          <w:sz w:val="30"/>
          <w:szCs w:val="30"/>
          <w:rtl/>
        </w:rPr>
        <w:t>"ال</w:t>
      </w:r>
      <w:r w:rsidR="00EF4F98">
        <w:rPr>
          <w:rFonts w:ascii="Traditional Arabic" w:hAnsi="Traditional Arabic" w:cs="Traditional Arabic" w:hint="cs"/>
          <w:sz w:val="30"/>
          <w:szCs w:val="30"/>
          <w:rtl/>
        </w:rPr>
        <w:t>تجوي</w:t>
      </w:r>
      <w:r w:rsidRPr="00655CA9">
        <w:rPr>
          <w:rFonts w:ascii="Traditional Arabic" w:hAnsi="Traditional Arabic" w:cs="Traditional Arabic"/>
          <w:sz w:val="30"/>
          <w:szCs w:val="30"/>
          <w:rtl/>
        </w:rPr>
        <w:t>ع كأسلوب</w:t>
      </w:r>
      <w:r w:rsidR="00D75A08">
        <w:rPr>
          <w:rFonts w:ascii="Traditional Arabic" w:hAnsi="Traditional Arabic" w:cs="Traditional Arabic" w:hint="cs"/>
          <w:sz w:val="30"/>
          <w:szCs w:val="30"/>
          <w:rtl/>
        </w:rPr>
        <w:t xml:space="preserve"> من أساليب القتال</w:t>
      </w:r>
      <w:r w:rsidRPr="00655CA9">
        <w:rPr>
          <w:rFonts w:ascii="Traditional Arabic" w:hAnsi="Traditional Arabic" w:cs="Traditional Arabic"/>
          <w:sz w:val="30"/>
          <w:szCs w:val="30"/>
          <w:rtl/>
        </w:rPr>
        <w:t>"</w:t>
      </w:r>
      <w:r w:rsidR="005C758D">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وفقًا لمقدمي الخدمات الإنسانية،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 xml:space="preserve">اعتبارًا من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ديسمبر 2018، كان </w:t>
      </w:r>
      <w:r>
        <w:rPr>
          <w:rFonts w:ascii="Traditional Arabic" w:hAnsi="Traditional Arabic" w:cs="Traditional Arabic" w:hint="cs"/>
          <w:sz w:val="30"/>
          <w:szCs w:val="30"/>
          <w:rtl/>
        </w:rPr>
        <w:t>يوجد</w:t>
      </w:r>
      <w:r w:rsidRPr="00655CA9">
        <w:rPr>
          <w:rFonts w:ascii="Traditional Arabic" w:hAnsi="Traditional Arabic" w:cs="Traditional Arabic"/>
          <w:sz w:val="30"/>
          <w:szCs w:val="30"/>
          <w:rtl/>
        </w:rPr>
        <w:t xml:space="preserve"> 3.2 مليون شخص يحتاجون إلى علاج </w:t>
      </w:r>
      <w:r w:rsidRPr="00655CA9">
        <w:rPr>
          <w:rFonts w:ascii="Traditional Arabic" w:hAnsi="Traditional Arabic" w:cs="Traditional Arabic" w:hint="eastAsia"/>
          <w:sz w:val="30"/>
          <w:szCs w:val="30"/>
          <w:rtl/>
        </w:rPr>
        <w:t>بسبب</w:t>
      </w:r>
      <w:r w:rsidRPr="00655CA9">
        <w:rPr>
          <w:rFonts w:ascii="Traditional Arabic" w:hAnsi="Traditional Arabic" w:cs="Traditional Arabic"/>
          <w:sz w:val="30"/>
          <w:szCs w:val="30"/>
          <w:rtl/>
        </w:rPr>
        <w:t xml:space="preserve"> سوء التغذية الحاد،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ضمنهم  مليوني طفل دون سن الخامسة و 1.14 مليون امرأة حامل ومرضعة.</w:t>
      </w:r>
      <w:r w:rsidRPr="00655CA9">
        <w:rPr>
          <w:rFonts w:ascii="Traditional Arabic" w:hAnsi="Traditional Arabic" w:cs="Traditional Arabic"/>
          <w:sz w:val="30"/>
          <w:szCs w:val="30"/>
        </w:rPr>
        <w:t xml:space="preserve"> </w:t>
      </w:r>
      <w:r w:rsidR="00EF4F98">
        <w:rPr>
          <w:rFonts w:ascii="Traditional Arabic" w:hAnsi="Traditional Arabic" w:cs="Traditional Arabic" w:hint="cs"/>
          <w:sz w:val="30"/>
          <w:szCs w:val="30"/>
          <w:rtl/>
        </w:rPr>
        <w:t xml:space="preserve">في </w:t>
      </w:r>
      <w:r w:rsidRPr="00655CA9">
        <w:rPr>
          <w:rFonts w:ascii="Traditional Arabic" w:hAnsi="Traditional Arabic" w:cs="Traditional Arabic"/>
          <w:sz w:val="30"/>
          <w:szCs w:val="30"/>
          <w:rtl/>
        </w:rPr>
        <w:t>بداية الأزمة، كان</w:t>
      </w:r>
      <w:r>
        <w:rPr>
          <w:rFonts w:ascii="Traditional Arabic" w:hAnsi="Traditional Arabic" w:cs="Traditional Arabic" w:hint="cs"/>
          <w:sz w:val="30"/>
          <w:szCs w:val="30"/>
          <w:rtl/>
        </w:rPr>
        <w:t xml:space="preserve"> 850 ألف </w:t>
      </w:r>
      <w:r w:rsidRPr="00655CA9">
        <w:rPr>
          <w:rFonts w:ascii="Traditional Arabic" w:hAnsi="Traditional Arabic" w:cs="Traditional Arabic"/>
          <w:sz w:val="30"/>
          <w:szCs w:val="30"/>
          <w:rtl/>
        </w:rPr>
        <w:t>طفل يعانون من سوء التغذية الحاد و</w:t>
      </w:r>
      <w:r>
        <w:rPr>
          <w:rFonts w:ascii="Traditional Arabic" w:hAnsi="Traditional Arabic" w:cs="Traditional Arabic" w:hint="cs"/>
          <w:sz w:val="30"/>
          <w:szCs w:val="30"/>
          <w:rtl/>
        </w:rPr>
        <w:t xml:space="preserve">160 ألف </w:t>
      </w:r>
      <w:r w:rsidRPr="00655CA9">
        <w:rPr>
          <w:rFonts w:ascii="Traditional Arabic" w:hAnsi="Traditional Arabic" w:cs="Traditional Arabic"/>
          <w:sz w:val="30"/>
          <w:szCs w:val="30"/>
          <w:rtl/>
        </w:rPr>
        <w:t xml:space="preserve">طفل يعانون من سوء التغذية الحاد </w:t>
      </w:r>
      <w:r w:rsidRPr="00655CA9">
        <w:rPr>
          <w:rFonts w:ascii="Traditional Arabic" w:hAnsi="Traditional Arabic" w:cs="Traditional Arabic" w:hint="eastAsia"/>
          <w:sz w:val="30"/>
          <w:szCs w:val="30"/>
          <w:rtl/>
        </w:rPr>
        <w:t>جداً</w:t>
      </w:r>
      <w:r w:rsidRPr="007F48E4">
        <w:rPr>
          <w:rFonts w:asciiTheme="majorBidi" w:hAnsiTheme="majorBidi"/>
          <w:sz w:val="24"/>
          <w:szCs w:val="24"/>
          <w:rtl/>
        </w:rPr>
        <w:t>.</w:t>
      </w:r>
      <w:r>
        <w:rPr>
          <w:rStyle w:val="FootnoteReference"/>
          <w:szCs w:val="24"/>
          <w:rtl/>
        </w:rPr>
        <w:footnoteReference w:id="1120"/>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في حين أن انعدام الأمن الغذائي هو أحد الأسباب التي تفسر العدد الكبير من الأطفال الذين يعانون من سوء التغذية في اليمن، فإن عدم كفاية فرص الحصول على الخدمات الصحية يظل أحد الأسباب الكامنة وراء سوء التغذ</w:t>
      </w:r>
      <w:r w:rsidRPr="00655CA9">
        <w:rPr>
          <w:rFonts w:ascii="Traditional Arabic" w:hAnsi="Traditional Arabic" w:cs="Traditional Arabic" w:hint="eastAsia"/>
          <w:sz w:val="30"/>
          <w:szCs w:val="30"/>
          <w:rtl/>
        </w:rPr>
        <w:t>ية</w:t>
      </w:r>
      <w:r w:rsidRPr="00655CA9">
        <w:rPr>
          <w:rFonts w:ascii="Traditional Arabic" w:hAnsi="Traditional Arabic" w:cs="Traditional Arabic"/>
          <w:sz w:val="30"/>
          <w:szCs w:val="30"/>
          <w:rtl/>
        </w:rPr>
        <w:t xml:space="preserve">. (راجع </w:t>
      </w:r>
      <w:r w:rsidR="004C4281">
        <w:rPr>
          <w:rFonts w:ascii="Traditional Arabic" w:hAnsi="Traditional Arabic" w:cs="Traditional Arabic" w:hint="cs"/>
          <w:sz w:val="30"/>
          <w:szCs w:val="30"/>
          <w:rtl/>
        </w:rPr>
        <w:t>الفصل المتعلق بـ</w:t>
      </w:r>
      <w:r w:rsidRPr="00655CA9">
        <w:rPr>
          <w:rFonts w:ascii="Traditional Arabic" w:hAnsi="Traditional Arabic" w:cs="Traditional Arabic"/>
          <w:sz w:val="30"/>
          <w:szCs w:val="30"/>
          <w:rtl/>
        </w:rPr>
        <w:t>"ال</w:t>
      </w:r>
      <w:r w:rsidR="006F7978">
        <w:rPr>
          <w:rFonts w:ascii="Traditional Arabic" w:hAnsi="Traditional Arabic" w:cs="Traditional Arabic" w:hint="cs"/>
          <w:sz w:val="30"/>
          <w:szCs w:val="30"/>
          <w:rtl/>
        </w:rPr>
        <w:t>وضع</w:t>
      </w:r>
      <w:r w:rsidRPr="00655CA9">
        <w:rPr>
          <w:rFonts w:ascii="Traditional Arabic" w:hAnsi="Traditional Arabic" w:cs="Traditional Arabic"/>
          <w:sz w:val="30"/>
          <w:szCs w:val="30"/>
          <w:rtl/>
        </w:rPr>
        <w:t xml:space="preserve"> الإنساني" </w:t>
      </w:r>
      <w:r w:rsidR="006F7978">
        <w:rPr>
          <w:rFonts w:ascii="Traditional Arabic" w:hAnsi="Traditional Arabic" w:cs="Traditional Arabic" w:hint="cs"/>
          <w:sz w:val="30"/>
          <w:szCs w:val="30"/>
          <w:rtl/>
        </w:rPr>
        <w:t xml:space="preserve">لمزيد من التفاصيل في </w:t>
      </w:r>
      <w:r w:rsidRPr="00655CA9">
        <w:rPr>
          <w:rFonts w:ascii="Traditional Arabic" w:hAnsi="Traditional Arabic" w:cs="Traditional Arabic"/>
          <w:sz w:val="30"/>
          <w:szCs w:val="30"/>
          <w:rtl/>
        </w:rPr>
        <w:t>ما يتعلق بالتحالف الذي يفاقم الأزمة)</w:t>
      </w:r>
      <w:r w:rsidR="00E1636A">
        <w:rPr>
          <w:rFonts w:ascii="Traditional Arabic" w:hAnsi="Traditional Arabic" w:cs="Traditional Arabic" w:hint="cs"/>
          <w:sz w:val="30"/>
          <w:szCs w:val="30"/>
          <w:rtl/>
        </w:rPr>
        <w:t>.</w:t>
      </w:r>
    </w:p>
    <w:p w14:paraId="4CC0660B"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 xml:space="preserve">بالإضافة إلى الافتقار إلى الرعاية الصحية الجيدة، فقد تأثر الأطفال في اليمن بالأمراض المعدية </w:t>
      </w:r>
      <w:r w:rsidRPr="00655CA9">
        <w:rPr>
          <w:rFonts w:ascii="Traditional Arabic" w:hAnsi="Traditional Arabic" w:cs="Traditional Arabic" w:hint="eastAsia"/>
          <w:sz w:val="30"/>
          <w:szCs w:val="30"/>
          <w:rtl/>
        </w:rPr>
        <w:t>واصبح</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 xml:space="preserve">يوجد </w:t>
      </w:r>
      <w:r w:rsidRPr="00655CA9">
        <w:rPr>
          <w:rFonts w:ascii="Traditional Arabic" w:hAnsi="Traditional Arabic" w:cs="Traditional Arabic" w:hint="eastAsia"/>
          <w:sz w:val="30"/>
          <w:szCs w:val="30"/>
          <w:rtl/>
        </w:rPr>
        <w:t>تحديد</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او</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عدم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امكانية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الحصول</w:t>
      </w:r>
      <w:r w:rsidRPr="00655CA9">
        <w:rPr>
          <w:rFonts w:ascii="Traditional Arabic" w:hAnsi="Traditional Arabic" w:cs="Traditional Arabic"/>
          <w:sz w:val="30"/>
          <w:szCs w:val="30"/>
          <w:rtl/>
        </w:rPr>
        <w:t xml:space="preserve"> على لقاحات منقذة للحياة، مما يجعلهم عرضة لخطر متزايد للاعتلال والوفيات المتعلقة بالأمراض </w:t>
      </w:r>
      <w:r w:rsidRPr="00655CA9">
        <w:rPr>
          <w:rFonts w:ascii="Traditional Arabic" w:hAnsi="Traditional Arabic" w:cs="Traditional Arabic"/>
          <w:sz w:val="30"/>
          <w:szCs w:val="30"/>
          <w:rtl/>
        </w:rPr>
        <w:lastRenderedPageBreak/>
        <w:t>التي يمكن الوقاية منها باللقاحات.</w:t>
      </w:r>
      <w:r>
        <w:rPr>
          <w:rStyle w:val="FootnoteReference"/>
          <w:szCs w:val="24"/>
          <w:rtl/>
        </w:rPr>
        <w:footnoteReference w:id="1121"/>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وفقا للمعلومات التي تلق</w:t>
      </w:r>
      <w:r w:rsidRPr="00655CA9">
        <w:rPr>
          <w:rFonts w:ascii="Traditional Arabic" w:hAnsi="Traditional Arabic" w:cs="Traditional Arabic" w:hint="eastAsia"/>
          <w:sz w:val="30"/>
          <w:szCs w:val="30"/>
          <w:rtl/>
        </w:rPr>
        <w:t>اها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فأن</w:t>
      </w:r>
      <w:r w:rsidRPr="00655CA9">
        <w:rPr>
          <w:rFonts w:ascii="Traditional Arabic" w:hAnsi="Traditional Arabic" w:cs="Traditional Arabic"/>
          <w:sz w:val="30"/>
          <w:szCs w:val="30"/>
          <w:rtl/>
        </w:rPr>
        <w:t xml:space="preserve"> أطراف النزاع منعوا تنفيذ برامج مكافحة الأمراض. على سبيل المثال، في شهر </w:t>
      </w:r>
      <w:r>
        <w:rPr>
          <w:rFonts w:ascii="Traditional Arabic" w:hAnsi="Traditional Arabic" w:cs="Traditional Arabic" w:hint="cs"/>
          <w:sz w:val="30"/>
          <w:szCs w:val="30"/>
          <w:rtl/>
        </w:rPr>
        <w:t>تموز</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يوليو 2017، كان </w:t>
      </w:r>
      <w:r>
        <w:rPr>
          <w:rFonts w:ascii="Traditional Arabic" w:hAnsi="Traditional Arabic" w:cs="Traditional Arabic" w:hint="cs"/>
          <w:sz w:val="30"/>
          <w:szCs w:val="30"/>
          <w:rtl/>
        </w:rPr>
        <w:t xml:space="preserve">يوجد </w:t>
      </w:r>
      <w:r w:rsidRPr="00655CA9">
        <w:rPr>
          <w:rFonts w:ascii="Traditional Arabic" w:hAnsi="Traditional Arabic" w:cs="Traditional Arabic"/>
          <w:sz w:val="30"/>
          <w:szCs w:val="30"/>
          <w:rtl/>
        </w:rPr>
        <w:t>نصف مليون جرعة من لقاح الكوليرا جاهزة لإحضارها إلى اليمن. سمح</w:t>
      </w:r>
      <w:r>
        <w:rPr>
          <w:rFonts w:ascii="Traditional Arabic" w:hAnsi="Traditional Arabic" w:cs="Traditional Arabic" w:hint="cs"/>
          <w:sz w:val="30"/>
          <w:szCs w:val="30"/>
          <w:rtl/>
        </w:rPr>
        <w:t>ت الحكومة اليمنية و</w:t>
      </w:r>
      <w:r w:rsidRPr="00655CA9">
        <w:rPr>
          <w:rFonts w:ascii="Traditional Arabic" w:hAnsi="Traditional Arabic" w:cs="Traditional Arabic"/>
          <w:sz w:val="30"/>
          <w:szCs w:val="30"/>
          <w:rtl/>
        </w:rPr>
        <w:t xml:space="preserve">الحوثيون فقط للقاحات بالدخول إلى اليمن في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ديسمبر 2017 </w:t>
      </w:r>
      <w:r w:rsidRPr="00655CA9">
        <w:rPr>
          <w:rFonts w:ascii="Traditional Arabic" w:hAnsi="Traditional Arabic" w:cs="Traditional Arabic" w:hint="eastAsia"/>
          <w:sz w:val="30"/>
          <w:szCs w:val="30"/>
          <w:rtl/>
        </w:rPr>
        <w:t>وبدأت</w:t>
      </w:r>
      <w:r w:rsidRPr="00655CA9">
        <w:rPr>
          <w:rFonts w:ascii="Traditional Arabic" w:hAnsi="Traditional Arabic" w:cs="Traditional Arabic"/>
          <w:sz w:val="30"/>
          <w:szCs w:val="30"/>
          <w:rtl/>
        </w:rPr>
        <w:t xml:space="preserve"> حملة التطعيم فقط في </w:t>
      </w:r>
      <w:r>
        <w:rPr>
          <w:rFonts w:ascii="Traditional Arabic" w:hAnsi="Traditional Arabic" w:cs="Traditional Arabic" w:hint="cs"/>
          <w:sz w:val="30"/>
          <w:szCs w:val="30"/>
          <w:rtl/>
        </w:rPr>
        <w:t>أيار</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مايو 2018 في الجنوب، وفي </w:t>
      </w:r>
      <w:r>
        <w:rPr>
          <w:rFonts w:ascii="Traditional Arabic" w:hAnsi="Traditional Arabic" w:cs="Traditional Arabic" w:hint="cs"/>
          <w:sz w:val="30"/>
          <w:szCs w:val="30"/>
          <w:rtl/>
        </w:rPr>
        <w:t>آب</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أغسطس 2018 في شمال البلاد.</w:t>
      </w:r>
      <w:r>
        <w:rPr>
          <w:rStyle w:val="FootnoteReference"/>
          <w:szCs w:val="24"/>
          <w:rtl/>
        </w:rPr>
        <w:footnoteReference w:id="112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بحلول الوقت الذي وصلت اللقاحات إلى البلاد، كان الوباء قد أثر على الملايين. في 31 </w:t>
      </w:r>
      <w:r>
        <w:rPr>
          <w:rFonts w:ascii="Traditional Arabic" w:hAnsi="Traditional Arabic" w:cs="Traditional Arabic" w:hint="cs"/>
          <w:sz w:val="30"/>
          <w:szCs w:val="30"/>
          <w:rtl/>
        </w:rPr>
        <w:t>آب</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أغسطس 2018، كان قد ما</w:t>
      </w:r>
      <w:r w:rsidRPr="00655CA9">
        <w:rPr>
          <w:rFonts w:ascii="Traditional Arabic" w:hAnsi="Traditional Arabic" w:cs="Traditional Arabic" w:hint="eastAsia"/>
          <w:sz w:val="30"/>
          <w:szCs w:val="30"/>
          <w:rtl/>
        </w:rPr>
        <w:t>ت</w:t>
      </w:r>
      <w:r w:rsidRPr="00655CA9">
        <w:rPr>
          <w:rFonts w:ascii="Traditional Arabic" w:hAnsi="Traditional Arabic" w:cs="Traditional Arabic"/>
          <w:sz w:val="30"/>
          <w:szCs w:val="30"/>
          <w:rtl/>
        </w:rPr>
        <w:t xml:space="preserve"> بالفعل 2407 شخصًا (حوالي 53 في المائة من الأطفال دون سن 14 عامًا) وكان </w:t>
      </w:r>
      <w:r>
        <w:rPr>
          <w:rFonts w:ascii="Traditional Arabic" w:hAnsi="Traditional Arabic" w:cs="Traditional Arabic" w:hint="cs"/>
          <w:sz w:val="30"/>
          <w:szCs w:val="30"/>
          <w:rtl/>
        </w:rPr>
        <w:t xml:space="preserve">يوجد </w:t>
      </w:r>
      <w:r w:rsidRPr="00655CA9">
        <w:rPr>
          <w:rFonts w:ascii="Traditional Arabic" w:hAnsi="Traditional Arabic" w:cs="Traditional Arabic"/>
          <w:sz w:val="30"/>
          <w:szCs w:val="30"/>
          <w:rtl/>
        </w:rPr>
        <w:t>1،162،558 حالة مشتبه فيها</w:t>
      </w:r>
      <w:r w:rsidRPr="00655CA9">
        <w:rPr>
          <w:rFonts w:ascii="Traditional Arabic" w:hAnsi="Traditional Arabic" w:cs="Traditional Arabic"/>
          <w:sz w:val="30"/>
          <w:szCs w:val="30"/>
        </w:rPr>
        <w:t>.</w:t>
      </w:r>
    </w:p>
    <w:p w14:paraId="0C17A2AB" w14:textId="109B2C49" w:rsidR="009826D6" w:rsidRPr="00655CA9" w:rsidRDefault="009826D6" w:rsidP="0025057B">
      <w:pPr>
        <w:pStyle w:val="ListParagraph"/>
        <w:numPr>
          <w:ilvl w:val="0"/>
          <w:numId w:val="23"/>
        </w:numPr>
        <w:bidi/>
        <w:ind w:right="900"/>
        <w:rPr>
          <w:rFonts w:ascii="Traditional Arabic" w:hAnsi="Traditional Arabic" w:cs="Traditional Arabic"/>
          <w:b/>
          <w:bCs/>
          <w:sz w:val="30"/>
          <w:szCs w:val="30"/>
          <w:rtl/>
        </w:rPr>
      </w:pPr>
      <w:r w:rsidRPr="00655CA9">
        <w:rPr>
          <w:rFonts w:ascii="Traditional Arabic" w:hAnsi="Traditional Arabic" w:cs="Traditional Arabic"/>
          <w:b/>
          <w:bCs/>
          <w:sz w:val="30"/>
          <w:szCs w:val="30"/>
          <w:rtl/>
        </w:rPr>
        <w:t>انتهاكات الحق في التعليم</w:t>
      </w:r>
    </w:p>
    <w:p w14:paraId="01C83877"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يجب تزويد الأطفال المتأثرين بالنزاع المسلح بالرعاية والمساعدات التي يحتاجون إليها، ولا سيما التعليم</w:t>
      </w:r>
      <w:r w:rsidRPr="00927301">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2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يُفهم الحق في التعليم بمعناه الواسع</w:t>
      </w:r>
      <w:r w:rsidRPr="00927301">
        <w:rPr>
          <w:rStyle w:val="FootnoteReference"/>
          <w:rFonts w:asciiTheme="majorBidi" w:hAnsiTheme="majorBidi" w:cstheme="majorBidi"/>
          <w:sz w:val="24"/>
          <w:szCs w:val="24"/>
        </w:rPr>
        <w:footnoteReference w:id="1124"/>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على النحو المنصوص عليه في الإعلان العالمي لحقوق الإنسان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الاشاره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لاحقاً</w:t>
      </w:r>
      <w:r w:rsidRPr="00655CA9">
        <w:rPr>
          <w:rFonts w:ascii="Traditional Arabic" w:hAnsi="Traditional Arabic" w:cs="Traditional Arabic"/>
          <w:sz w:val="30"/>
          <w:szCs w:val="30"/>
          <w:rtl/>
        </w:rPr>
        <w:t xml:space="preserve"> باسم "الإعلان العالمي لحقوق الإنسان")، والعهد الدولي الخاص بالحقوق الاقتصادية والاجتماعية والثقافية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الاشاره اليه لاحقاً باسم "العهد الدولي الخاص بالحقوق الاقتصادية والاجتماعية والثقافية")، الحقوق المدنية والسياسية (</w:t>
      </w:r>
      <w:r w:rsidRPr="00655CA9">
        <w:rPr>
          <w:rFonts w:ascii="Traditional Arabic" w:hAnsi="Traditional Arabic" w:cs="Traditional Arabic" w:hint="eastAsia"/>
          <w:sz w:val="30"/>
          <w:szCs w:val="30"/>
          <w:rtl/>
        </w:rPr>
        <w:t>سيتم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الاشاره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اليه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لاحقاً</w:t>
      </w:r>
      <w:r w:rsidRPr="00655CA9">
        <w:rPr>
          <w:rFonts w:ascii="Traditional Arabic" w:hAnsi="Traditional Arabic" w:cs="Traditional Arabic"/>
          <w:sz w:val="30"/>
          <w:szCs w:val="30"/>
          <w:rtl/>
        </w:rPr>
        <w:t xml:space="preserve"> بـ "العهد الدولي الخاص بالحقوق المدنية والسياسية") واتفاقية حقوق الطفل</w:t>
      </w:r>
      <w:r w:rsidRPr="00655CA9">
        <w:rPr>
          <w:rFonts w:ascii="Traditional Arabic" w:hAnsi="Traditional Arabic" w:cs="Traditional Arabic"/>
          <w:sz w:val="30"/>
          <w:szCs w:val="30"/>
        </w:rPr>
        <w:footnoteReference w:id="1125"/>
      </w:r>
      <w:r w:rsidRPr="00655CA9">
        <w:rPr>
          <w:rFonts w:ascii="Traditional Arabic" w:hAnsi="Traditional Arabic" w:cs="Traditional Arabic"/>
          <w:sz w:val="30"/>
          <w:szCs w:val="30"/>
          <w:rtl/>
        </w:rPr>
        <w:t xml:space="preserve">. أخفقت أطراف النزاع في الوفاء بالتزاماتها فيما يتعلق بالحق في التعليم ، في منع المدارس من أن تكون متاحة ومتاحة للأطفال، بما في </w:t>
      </w:r>
      <w:r w:rsidRPr="00655CA9">
        <w:rPr>
          <w:rFonts w:ascii="Traditional Arabic" w:hAnsi="Traditional Arabic" w:cs="Traditional Arabic"/>
          <w:sz w:val="30"/>
          <w:szCs w:val="30"/>
          <w:rtl/>
        </w:rPr>
        <w:lastRenderedPageBreak/>
        <w:t>ذلك من خلال الهجمات على المدارس، والتي غالباً ما ينجم عن استخدامها لأغراض عسكرية</w:t>
      </w:r>
      <w:r w:rsidRPr="00655CA9">
        <w:rPr>
          <w:rFonts w:ascii="Traditional Arabic" w:hAnsi="Traditional Arabic" w:cs="Traditional Arabic"/>
          <w:sz w:val="30"/>
          <w:szCs w:val="30"/>
        </w:rPr>
        <w:t>.</w:t>
      </w:r>
    </w:p>
    <w:p w14:paraId="792AE580" w14:textId="77777777" w:rsidR="009826D6" w:rsidRPr="00655CA9" w:rsidRDefault="009826D6" w:rsidP="009826D6">
      <w:pPr>
        <w:tabs>
          <w:tab w:val="left" w:pos="7513"/>
          <w:tab w:val="left" w:pos="7938"/>
        </w:tabs>
        <w:autoSpaceDE w:val="0"/>
        <w:autoSpaceDN w:val="0"/>
        <w:bidi/>
        <w:adjustRightInd w:val="0"/>
        <w:spacing w:before="100" w:beforeAutospacing="1" w:after="100" w:afterAutospacing="1" w:line="240" w:lineRule="auto"/>
        <w:ind w:left="1134" w:right="900"/>
        <w:jc w:val="both"/>
        <w:rPr>
          <w:rFonts w:asciiTheme="majorBidi" w:hAnsiTheme="majorBidi" w:cstheme="majorBidi"/>
          <w:i/>
          <w:iCs/>
          <w:sz w:val="24"/>
          <w:szCs w:val="24"/>
        </w:rPr>
      </w:pPr>
      <w:r w:rsidRPr="00655CA9">
        <w:rPr>
          <w:rFonts w:ascii="Traditional Arabic" w:hAnsi="Traditional Arabic" w:cs="Traditional Arabic"/>
          <w:i/>
          <w:iCs/>
          <w:sz w:val="30"/>
          <w:szCs w:val="30"/>
          <w:rtl/>
        </w:rPr>
        <w:t>الهجمات على المدارس</w:t>
      </w:r>
    </w:p>
    <w:p w14:paraId="7DB34926" w14:textId="3037F1DD" w:rsidR="009826D6" w:rsidRDefault="009826D6" w:rsidP="00E1636A">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tl/>
        </w:rPr>
      </w:pPr>
      <w:r w:rsidRPr="00655CA9">
        <w:rPr>
          <w:rFonts w:ascii="Traditional Arabic" w:hAnsi="Traditional Arabic" w:cs="Traditional Arabic"/>
          <w:sz w:val="30"/>
          <w:szCs w:val="30"/>
          <w:rtl/>
        </w:rPr>
        <w:t xml:space="preserve">لقد شعرت المدارس والطلاب بشكل مباشر </w:t>
      </w:r>
      <w:r w:rsidRPr="00655CA9">
        <w:rPr>
          <w:rFonts w:ascii="Traditional Arabic" w:hAnsi="Traditional Arabic" w:cs="Traditional Arabic" w:hint="eastAsia"/>
          <w:sz w:val="30"/>
          <w:szCs w:val="30"/>
          <w:rtl/>
        </w:rPr>
        <w:t>بتأثير</w:t>
      </w:r>
      <w:r w:rsidRPr="00655CA9">
        <w:rPr>
          <w:rFonts w:ascii="Traditional Arabic" w:hAnsi="Traditional Arabic" w:cs="Traditional Arabic"/>
          <w:sz w:val="30"/>
          <w:szCs w:val="30"/>
          <w:rtl/>
        </w:rPr>
        <w:t xml:space="preserve"> الاتجاه المتزايد للنزاع المسلح الذي اندلع في المناطق المأهولة بالسكان. قام فريق الخبراء بتوثيق الحوادث التي قتل فيها أطفال وأصيبوا أثناء تواجدهم في المدرسة أو أثناء مغادرتهم مدرس</w:t>
      </w:r>
      <w:r>
        <w:rPr>
          <w:rFonts w:ascii="Traditional Arabic" w:hAnsi="Traditional Arabic" w:cs="Traditional Arabic" w:hint="cs"/>
          <w:sz w:val="30"/>
          <w:szCs w:val="30"/>
          <w:rtl/>
        </w:rPr>
        <w:t>تهم</w:t>
      </w:r>
      <w:r w:rsidRPr="00655CA9">
        <w:rPr>
          <w:rFonts w:ascii="Traditional Arabic" w:hAnsi="Traditional Arabic" w:cs="Traditional Arabic"/>
          <w:sz w:val="30"/>
          <w:szCs w:val="30"/>
          <w:rtl/>
        </w:rPr>
        <w:t xml:space="preserve">. على سبيل المثال، في حادثة واحدة في صوان، صنعاء </w:t>
      </w:r>
      <w:r w:rsidRPr="00655CA9">
        <w:rPr>
          <w:rFonts w:ascii="Traditional Arabic" w:hAnsi="Traditional Arabic" w:cs="Traditional Arabic" w:hint="eastAsia"/>
          <w:sz w:val="30"/>
          <w:szCs w:val="30"/>
          <w:rtl/>
        </w:rPr>
        <w:t>حيث</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انه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بتاريخ</w:t>
      </w:r>
      <w:r w:rsidRPr="00655CA9">
        <w:rPr>
          <w:rFonts w:ascii="Traditional Arabic" w:hAnsi="Traditional Arabic" w:cs="Traditional Arabic"/>
          <w:sz w:val="30"/>
          <w:szCs w:val="30"/>
          <w:rtl/>
        </w:rPr>
        <w:t xml:space="preserve"> 7 </w:t>
      </w:r>
      <w:r w:rsidR="00E1636A">
        <w:rPr>
          <w:rFonts w:ascii="Traditional Arabic" w:hAnsi="Traditional Arabic" w:cs="Traditional Arabic" w:hint="cs"/>
          <w:sz w:val="30"/>
          <w:szCs w:val="30"/>
          <w:rtl/>
        </w:rPr>
        <w:t xml:space="preserve">نيسان/ </w:t>
      </w:r>
      <w:r w:rsidRPr="00655CA9">
        <w:rPr>
          <w:rFonts w:ascii="Traditional Arabic" w:hAnsi="Traditional Arabic" w:cs="Traditional Arabic" w:hint="eastAsia"/>
          <w:sz w:val="30"/>
          <w:szCs w:val="30"/>
          <w:rtl/>
        </w:rPr>
        <w:t>ابريل</w:t>
      </w:r>
      <w:r w:rsidRPr="00655CA9">
        <w:rPr>
          <w:rFonts w:ascii="Traditional Arabic" w:hAnsi="Traditional Arabic" w:cs="Traditional Arabic"/>
          <w:sz w:val="30"/>
          <w:szCs w:val="30"/>
          <w:rtl/>
        </w:rPr>
        <w:t xml:space="preserve"> 2019 انفجرت منشأة عسكرية حوثيه </w:t>
      </w:r>
      <w:r w:rsidRPr="00655CA9">
        <w:rPr>
          <w:rFonts w:ascii="Traditional Arabic" w:hAnsi="Traditional Arabic" w:cs="Traditional Arabic" w:hint="eastAsia"/>
          <w:sz w:val="30"/>
          <w:szCs w:val="30"/>
          <w:rtl/>
        </w:rPr>
        <w:t>تقع</w:t>
      </w:r>
      <w:r w:rsidRPr="00655CA9">
        <w:rPr>
          <w:rFonts w:ascii="Traditional Arabic" w:hAnsi="Traditional Arabic" w:cs="Traditional Arabic"/>
          <w:sz w:val="30"/>
          <w:szCs w:val="30"/>
          <w:rtl/>
        </w:rPr>
        <w:t xml:space="preserve"> بالقرب من مدرسة، وفشل </w:t>
      </w:r>
      <w:r w:rsidRPr="00655CA9">
        <w:rPr>
          <w:rFonts w:ascii="Traditional Arabic" w:hAnsi="Traditional Arabic" w:cs="Traditional Arabic" w:hint="eastAsia"/>
          <w:sz w:val="30"/>
          <w:szCs w:val="30"/>
          <w:rtl/>
        </w:rPr>
        <w:t>مقاتلي</w:t>
      </w:r>
      <w:r w:rsidRPr="00655CA9">
        <w:rPr>
          <w:rFonts w:ascii="Traditional Arabic" w:hAnsi="Traditional Arabic" w:cs="Traditional Arabic"/>
          <w:sz w:val="30"/>
          <w:szCs w:val="30"/>
          <w:rtl/>
        </w:rPr>
        <w:t xml:space="preserve"> الحوثي </w:t>
      </w:r>
      <w:r w:rsidRPr="00655CA9">
        <w:rPr>
          <w:rFonts w:ascii="Traditional Arabic" w:hAnsi="Traditional Arabic" w:cs="Traditional Arabic" w:hint="eastAsia"/>
          <w:sz w:val="30"/>
          <w:szCs w:val="30"/>
          <w:rtl/>
        </w:rPr>
        <w:t>من</w:t>
      </w:r>
      <w:r w:rsidR="00E1636A">
        <w:rPr>
          <w:rFonts w:ascii="Traditional Arabic" w:hAnsi="Traditional Arabic" w:cs="Traditional Arabic"/>
          <w:sz w:val="30"/>
          <w:szCs w:val="30"/>
          <w:rtl/>
        </w:rPr>
        <w:t xml:space="preserve">  اتخاذ الاحتياطات الممكنة</w:t>
      </w:r>
      <w:r w:rsidRPr="00655CA9">
        <w:rPr>
          <w:rFonts w:ascii="Traditional Arabic" w:hAnsi="Traditional Arabic" w:cs="Traditional Arabic"/>
          <w:sz w:val="30"/>
          <w:szCs w:val="30"/>
          <w:rtl/>
        </w:rPr>
        <w:t xml:space="preserve">، مما أسفر عن مقتل 10 طلاب على الأقل (ثماني فتيات وصبيان)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إصابة العشرات</w:t>
      </w:r>
      <w:r w:rsidRPr="00927301">
        <w:rPr>
          <w:rFonts w:asciiTheme="majorBidi" w:hAnsiTheme="majorBidi" w:cstheme="majorBidi"/>
          <w:sz w:val="24"/>
          <w:szCs w:val="24"/>
          <w:vertAlign w:val="superscript"/>
        </w:rPr>
        <w:footnoteReference w:id="1126"/>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في حالة أخرى ، في 26 أبريل 2019 ، في تعز ، نتيجة قصف الحوثي للمناطق المأهولة بالسكان، قُتلت طالبة وأصيبت اثن</w:t>
      </w:r>
      <w:r w:rsidRPr="00655CA9">
        <w:rPr>
          <w:rFonts w:ascii="Traditional Arabic" w:hAnsi="Traditional Arabic" w:cs="Traditional Arabic" w:hint="eastAsia"/>
          <w:sz w:val="30"/>
          <w:szCs w:val="30"/>
          <w:rtl/>
        </w:rPr>
        <w:t>ت</w:t>
      </w:r>
      <w:r w:rsidRPr="00655CA9">
        <w:rPr>
          <w:rFonts w:ascii="Traditional Arabic" w:hAnsi="Traditional Arabic" w:cs="Traditional Arabic"/>
          <w:sz w:val="30"/>
          <w:szCs w:val="30"/>
          <w:rtl/>
        </w:rPr>
        <w:t>ان أثناء مغادرتهم</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مدرس</w:t>
      </w:r>
      <w:r w:rsidRPr="00655CA9">
        <w:rPr>
          <w:rFonts w:ascii="Traditional Arabic" w:hAnsi="Traditional Arabic" w:cs="Traditional Arabic" w:hint="eastAsia"/>
          <w:sz w:val="30"/>
          <w:szCs w:val="30"/>
          <w:rtl/>
        </w:rPr>
        <w:t>ة</w:t>
      </w:r>
      <w:r w:rsidRPr="00927301">
        <w:rPr>
          <w:rFonts w:asciiTheme="majorBidi" w:hAnsiTheme="majorBidi" w:cstheme="majorBidi"/>
          <w:sz w:val="24"/>
          <w:szCs w:val="24"/>
        </w:rPr>
        <w:t>.</w:t>
      </w:r>
    </w:p>
    <w:p w14:paraId="620A2C11" w14:textId="1DD46D08" w:rsidR="009826D6" w:rsidRPr="007F48E4" w:rsidRDefault="009826D6" w:rsidP="00075D72">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تأثرت المدارس بالغارات الجوية. في 4 </w:t>
      </w:r>
      <w:r>
        <w:rPr>
          <w:rFonts w:ascii="Traditional Arabic" w:hAnsi="Traditional Arabic" w:cs="Traditional Arabic" w:hint="cs"/>
          <w:sz w:val="30"/>
          <w:szCs w:val="30"/>
          <w:rtl/>
        </w:rPr>
        <w:t>كانون الأول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سبت</w:t>
      </w:r>
      <w:r w:rsidR="00075D72">
        <w:rPr>
          <w:rFonts w:ascii="Traditional Arabic" w:hAnsi="Traditional Arabic" w:cs="Traditional Arabic"/>
          <w:sz w:val="30"/>
          <w:szCs w:val="30"/>
          <w:rtl/>
        </w:rPr>
        <w:t xml:space="preserve">مبر 2015، قصفت مدرسة حسين فايد </w:t>
      </w:r>
      <w:r w:rsidRPr="00655CA9">
        <w:rPr>
          <w:rFonts w:ascii="Traditional Arabic" w:hAnsi="Traditional Arabic" w:cs="Traditional Arabic"/>
          <w:sz w:val="30"/>
          <w:szCs w:val="30"/>
          <w:rtl/>
        </w:rPr>
        <w:t>مجالي في محافظة صعدة ليلا. أفادت المصادر أن تدميرها أثر على 1،057 طالبًا على الأقل</w:t>
      </w:r>
      <w:r w:rsidRPr="00927301">
        <w:rPr>
          <w:rFonts w:cstheme="majorBidi"/>
        </w:rPr>
        <w:footnoteReference w:id="1127"/>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الآونة الأخيرة، في 13 </w:t>
      </w:r>
      <w:r>
        <w:rPr>
          <w:rFonts w:ascii="Traditional Arabic" w:hAnsi="Traditional Arabic" w:cs="Traditional Arabic" w:hint="cs"/>
          <w:sz w:val="30"/>
          <w:szCs w:val="30"/>
          <w:rtl/>
        </w:rPr>
        <w:t>حزيران</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يونيو 2019، في الصباح ، تعرضت مدرسة </w:t>
      </w:r>
      <w:r w:rsidRPr="00655CA9">
        <w:rPr>
          <w:rFonts w:ascii="Traditional Arabic" w:hAnsi="Traditional Arabic" w:cs="Traditional Arabic" w:hint="eastAsia"/>
          <w:sz w:val="30"/>
          <w:szCs w:val="30"/>
          <w:rtl/>
        </w:rPr>
        <w:t>القطينات</w:t>
      </w:r>
      <w:r w:rsidRPr="00655CA9">
        <w:rPr>
          <w:rFonts w:ascii="Traditional Arabic" w:hAnsi="Traditional Arabic" w:cs="Traditional Arabic"/>
          <w:sz w:val="30"/>
          <w:szCs w:val="30"/>
          <w:rtl/>
        </w:rPr>
        <w:t xml:space="preserve"> الابتدائية الواقعة في منطقة باقم، محافظة صعدة، لضربة جوية للتحالف "</w:t>
      </w:r>
      <w:r w:rsidR="00CD1BF7">
        <w:rPr>
          <w:rFonts w:ascii="Traditional Arabic" w:hAnsi="Traditional Arabic" w:cs="Traditional Arabic" w:hint="eastAsia"/>
          <w:sz w:val="30"/>
          <w:szCs w:val="30"/>
          <w:rtl/>
        </w:rPr>
        <w:t>ضرب</w:t>
      </w:r>
      <w:r w:rsidR="00CD1BF7">
        <w:rPr>
          <w:rFonts w:ascii="Traditional Arabic" w:hAnsi="Traditional Arabic" w:cs="Traditional Arabic" w:hint="cs"/>
          <w:sz w:val="30"/>
          <w:szCs w:val="30"/>
          <w:rtl/>
        </w:rPr>
        <w:t>ة</w:t>
      </w:r>
      <w:r w:rsidRPr="00655CA9">
        <w:rPr>
          <w:rFonts w:ascii="Traditional Arabic" w:hAnsi="Traditional Arabic" w:cs="Traditional Arabic"/>
          <w:sz w:val="30"/>
          <w:szCs w:val="30"/>
          <w:rtl/>
        </w:rPr>
        <w:t xml:space="preserve"> </w:t>
      </w:r>
      <w:r w:rsidR="00CD1BF7">
        <w:rPr>
          <w:rFonts w:ascii="Traditional Arabic" w:hAnsi="Traditional Arabic" w:cs="Traditional Arabic" w:hint="eastAsia"/>
          <w:sz w:val="30"/>
          <w:szCs w:val="30"/>
          <w:rtl/>
        </w:rPr>
        <w:t>مزدوج</w:t>
      </w:r>
      <w:r w:rsidR="00CD1BF7">
        <w:rPr>
          <w:rFonts w:ascii="Traditional Arabic" w:hAnsi="Traditional Arabic" w:cs="Traditional Arabic" w:hint="cs"/>
          <w:sz w:val="30"/>
          <w:szCs w:val="30"/>
          <w:rtl/>
        </w:rPr>
        <w:t>ة</w:t>
      </w:r>
      <w:r w:rsidR="008F41B1">
        <w:rPr>
          <w:rFonts w:ascii="Traditional Arabic" w:hAnsi="Traditional Arabic" w:cs="Traditional Arabic" w:hint="cs"/>
          <w:sz w:val="30"/>
          <w:szCs w:val="30"/>
          <w:rtl/>
        </w:rPr>
        <w:t>"</w:t>
      </w:r>
      <w:r w:rsidRPr="00655CA9">
        <w:rPr>
          <w:rFonts w:ascii="Traditional Arabic" w:hAnsi="Traditional Arabic" w:cs="Traditional Arabic"/>
          <w:sz w:val="30"/>
          <w:szCs w:val="30"/>
          <w:rtl/>
        </w:rPr>
        <w:t xml:space="preserve">. بينما أصيبت المدرسة بأضرار جسيمة، لم يتم الإبلاغ عن وقوع إصابات </w:t>
      </w:r>
      <w:r w:rsidRPr="00655CA9">
        <w:rPr>
          <w:rFonts w:ascii="Traditional Arabic" w:hAnsi="Traditional Arabic" w:cs="Traditional Arabic" w:hint="eastAsia"/>
          <w:sz w:val="30"/>
          <w:szCs w:val="30"/>
          <w:rtl/>
        </w:rPr>
        <w:t>كون</w:t>
      </w:r>
      <w:r w:rsidRPr="00655CA9">
        <w:rPr>
          <w:rFonts w:ascii="Traditional Arabic" w:hAnsi="Traditional Arabic" w:cs="Traditional Arabic"/>
          <w:sz w:val="30"/>
          <w:szCs w:val="30"/>
          <w:rtl/>
        </w:rPr>
        <w:t xml:space="preserve"> الأطفال </w:t>
      </w:r>
      <w:r>
        <w:rPr>
          <w:rFonts w:ascii="Traditional Arabic" w:hAnsi="Traditional Arabic" w:cs="Traditional Arabic" w:hint="cs"/>
          <w:sz w:val="30"/>
          <w:szCs w:val="30"/>
          <w:rtl/>
        </w:rPr>
        <w:t xml:space="preserve">كانوا </w:t>
      </w:r>
      <w:r w:rsidRPr="00655CA9">
        <w:rPr>
          <w:rFonts w:ascii="Traditional Arabic" w:hAnsi="Traditional Arabic" w:cs="Traditional Arabic"/>
          <w:sz w:val="30"/>
          <w:szCs w:val="30"/>
          <w:rtl/>
        </w:rPr>
        <w:t>في عطل</w:t>
      </w:r>
      <w:r>
        <w:rPr>
          <w:rFonts w:ascii="Traditional Arabic" w:hAnsi="Traditional Arabic" w:cs="Traditional Arabic" w:hint="cs"/>
          <w:sz w:val="30"/>
          <w:szCs w:val="30"/>
          <w:rtl/>
        </w:rPr>
        <w:t>ة</w:t>
      </w:r>
      <w:r w:rsidRPr="00655CA9">
        <w:rPr>
          <w:rFonts w:ascii="Traditional Arabic" w:hAnsi="Traditional Arabic" w:cs="Traditional Arabic"/>
          <w:sz w:val="30"/>
          <w:szCs w:val="30"/>
          <w:rtl/>
        </w:rPr>
        <w:t>.</w:t>
      </w:r>
      <w:r w:rsidRPr="007F48E4">
        <w:rPr>
          <w:rFonts w:asciiTheme="majorBidi" w:hAnsiTheme="majorBidi"/>
          <w:sz w:val="24"/>
          <w:szCs w:val="24"/>
          <w:rtl/>
        </w:rPr>
        <w:t xml:space="preserve"> </w:t>
      </w:r>
      <w:r w:rsidRPr="00927301">
        <w:rPr>
          <w:rFonts w:cstheme="majorBidi"/>
          <w:vertAlign w:val="superscript"/>
        </w:rPr>
        <w:footnoteReference w:id="1128"/>
      </w:r>
      <w:r w:rsidRPr="007F48E4">
        <w:rPr>
          <w:rFonts w:asciiTheme="majorBidi" w:hAnsiTheme="majorBidi" w:cstheme="majorBidi"/>
          <w:sz w:val="24"/>
          <w:szCs w:val="24"/>
        </w:rPr>
        <w:t xml:space="preserve"> </w:t>
      </w:r>
      <w:r w:rsidRPr="00655CA9">
        <w:rPr>
          <w:rFonts w:ascii="Traditional Arabic" w:hAnsi="Traditional Arabic" w:cs="Traditional Arabic"/>
          <w:sz w:val="30"/>
          <w:szCs w:val="30"/>
          <w:rtl/>
        </w:rPr>
        <w:t>لم يتم</w:t>
      </w:r>
      <w:r>
        <w:rPr>
          <w:rFonts w:ascii="Traditional Arabic" w:hAnsi="Traditional Arabic" w:cs="Traditional Arabic" w:hint="cs"/>
          <w:sz w:val="30"/>
          <w:szCs w:val="30"/>
          <w:rtl/>
        </w:rPr>
        <w:t xml:space="preserve">كن فريق الخبراء من التأكد من </w:t>
      </w:r>
      <w:r w:rsidRPr="00655CA9">
        <w:rPr>
          <w:rFonts w:ascii="Traditional Arabic" w:hAnsi="Traditional Arabic" w:cs="Traditional Arabic"/>
          <w:sz w:val="30"/>
          <w:szCs w:val="30"/>
          <w:rtl/>
        </w:rPr>
        <w:t xml:space="preserve">أن المدرسة كانت </w:t>
      </w:r>
      <w:r w:rsidRPr="00655CA9">
        <w:rPr>
          <w:rFonts w:ascii="Traditional Arabic" w:hAnsi="Traditional Arabic" w:cs="Traditional Arabic" w:hint="eastAsia"/>
          <w:sz w:val="30"/>
          <w:szCs w:val="30"/>
          <w:rtl/>
        </w:rPr>
        <w:t>مستخدمة</w:t>
      </w:r>
      <w:r w:rsidRPr="00655CA9">
        <w:rPr>
          <w:rFonts w:ascii="Traditional Arabic" w:hAnsi="Traditional Arabic" w:cs="Traditional Arabic"/>
          <w:sz w:val="30"/>
          <w:szCs w:val="30"/>
          <w:rtl/>
        </w:rPr>
        <w:t xml:space="preserve"> بطريقة ما في الوقت الذي </w:t>
      </w:r>
      <w:r w:rsidRPr="00655CA9">
        <w:rPr>
          <w:rFonts w:ascii="Traditional Arabic" w:hAnsi="Traditional Arabic" w:cs="Traditional Arabic" w:hint="eastAsia"/>
          <w:sz w:val="30"/>
          <w:szCs w:val="30"/>
          <w:rtl/>
        </w:rPr>
        <w:t>جعلت</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فيه</w:t>
      </w:r>
      <w:r w:rsidRPr="00655CA9">
        <w:rPr>
          <w:rFonts w:ascii="Traditional Arabic" w:hAnsi="Traditional Arabic" w:cs="Traditional Arabic"/>
          <w:sz w:val="30"/>
          <w:szCs w:val="30"/>
          <w:rtl/>
        </w:rPr>
        <w:t xml:space="preserve"> هدفًا عسكريًا</w:t>
      </w:r>
      <w:r w:rsidRPr="00655CA9">
        <w:rPr>
          <w:rFonts w:ascii="Traditional Arabic" w:hAnsi="Traditional Arabic" w:cs="Traditional Arabic"/>
          <w:sz w:val="30"/>
          <w:szCs w:val="30"/>
        </w:rPr>
        <w:t>.</w:t>
      </w:r>
    </w:p>
    <w:p w14:paraId="3B496C5B"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كما تعرضت المدارس التي تستضيف </w:t>
      </w:r>
      <w:r w:rsidRPr="00655CA9">
        <w:rPr>
          <w:rFonts w:ascii="Traditional Arabic" w:hAnsi="Traditional Arabic" w:cs="Traditional Arabic" w:hint="eastAsia"/>
          <w:sz w:val="30"/>
          <w:szCs w:val="30"/>
          <w:rtl/>
        </w:rPr>
        <w:t>النازحين</w:t>
      </w:r>
      <w:r w:rsidRPr="00655CA9">
        <w:rPr>
          <w:rFonts w:ascii="Traditional Arabic" w:hAnsi="Traditional Arabic" w:cs="Traditional Arabic"/>
          <w:sz w:val="30"/>
          <w:szCs w:val="30"/>
          <w:rtl/>
        </w:rPr>
        <w:t xml:space="preserve"> داخلياً </w:t>
      </w:r>
      <w:r w:rsidRPr="00655CA9">
        <w:rPr>
          <w:rFonts w:ascii="Traditional Arabic" w:hAnsi="Traditional Arabic" w:cs="Traditional Arabic" w:hint="eastAsia"/>
          <w:sz w:val="30"/>
          <w:szCs w:val="30"/>
          <w:rtl/>
        </w:rPr>
        <w:t>لهجوم</w:t>
      </w:r>
      <w:r w:rsidRPr="00655CA9">
        <w:rPr>
          <w:rFonts w:ascii="Traditional Arabic" w:hAnsi="Traditional Arabic" w:cs="Traditional Arabic"/>
          <w:sz w:val="30"/>
          <w:szCs w:val="30"/>
          <w:rtl/>
        </w:rPr>
        <w:t xml:space="preserve"> جوي. في 9 يوليو / تموز 2015 في فترة ما بعد الظهر، أصابت غارة جوية نفذتها قوات التحالف مدرسة مصعب بن عمر في منطقة  طهرور بمحافظة لحج، مما أدى إلى مقتل 11 نازحًا وإصابة 19 آخرين</w:t>
      </w:r>
      <w:r w:rsidRPr="00927301">
        <w:rPr>
          <w:rFonts w:asciiTheme="majorBidi" w:hAnsiTheme="majorBidi" w:cstheme="majorBidi"/>
          <w:sz w:val="24"/>
          <w:szCs w:val="24"/>
          <w:vertAlign w:val="superscript"/>
        </w:rPr>
        <w:footnoteReference w:id="1129"/>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وقت الغارة الجوية، كانت المدرسة توفر المأوى لـ 12 عائلة نازحة فرت من القتال في الحوطة المجاورة</w:t>
      </w:r>
      <w:r w:rsidRPr="00927301">
        <w:rPr>
          <w:rFonts w:asciiTheme="majorBidi" w:hAnsiTheme="majorBidi"/>
          <w:sz w:val="24"/>
          <w:szCs w:val="24"/>
          <w:rtl/>
        </w:rPr>
        <w:t>.</w:t>
      </w:r>
      <w:r w:rsidRPr="00927301">
        <w:rPr>
          <w:rFonts w:asciiTheme="majorBidi" w:hAnsiTheme="majorBidi" w:cstheme="majorBidi"/>
          <w:sz w:val="24"/>
          <w:szCs w:val="24"/>
          <w:vertAlign w:val="superscript"/>
        </w:rPr>
        <w:t xml:space="preserve"> </w:t>
      </w:r>
      <w:r w:rsidRPr="00927301">
        <w:rPr>
          <w:rFonts w:asciiTheme="majorBidi" w:hAnsiTheme="majorBidi" w:cstheme="majorBidi"/>
          <w:sz w:val="24"/>
          <w:szCs w:val="24"/>
          <w:vertAlign w:val="superscript"/>
        </w:rPr>
        <w:footnoteReference w:id="1130"/>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لا يزال مبنى المدرسة في حالة </w:t>
      </w:r>
      <w:r w:rsidRPr="00655CA9">
        <w:rPr>
          <w:rFonts w:ascii="Traditional Arabic" w:hAnsi="Traditional Arabic" w:cs="Traditional Arabic" w:hint="eastAsia"/>
          <w:sz w:val="30"/>
          <w:szCs w:val="30"/>
          <w:rtl/>
        </w:rPr>
        <w:t>دمار</w:t>
      </w:r>
      <w:r w:rsidRPr="00655CA9">
        <w:rPr>
          <w:rFonts w:ascii="Traditional Arabic" w:hAnsi="Traditional Arabic" w:cs="Traditional Arabic"/>
          <w:sz w:val="30"/>
          <w:szCs w:val="30"/>
          <w:rtl/>
        </w:rPr>
        <w:t xml:space="preserve"> ويتم تنظيم الفصول الدراسية حاليًا في خيام</w:t>
      </w:r>
      <w:r w:rsidRPr="00655CA9">
        <w:rPr>
          <w:rFonts w:ascii="Traditional Arabic" w:hAnsi="Traditional Arabic" w:cs="Traditional Arabic"/>
          <w:sz w:val="30"/>
          <w:szCs w:val="30"/>
        </w:rPr>
        <w:t xml:space="preserve">. </w:t>
      </w:r>
      <w:r w:rsidRPr="00927301">
        <w:rPr>
          <w:rFonts w:asciiTheme="majorBidi" w:hAnsiTheme="majorBidi" w:cstheme="majorBidi"/>
          <w:sz w:val="24"/>
          <w:szCs w:val="24"/>
          <w:vertAlign w:val="superscript"/>
        </w:rPr>
        <w:footnoteReference w:id="1131"/>
      </w:r>
    </w:p>
    <w:p w14:paraId="0ACEB348"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hint="eastAsia"/>
          <w:sz w:val="30"/>
          <w:szCs w:val="30"/>
          <w:rtl/>
        </w:rPr>
        <w:t>كذلك</w:t>
      </w:r>
      <w:r w:rsidRPr="00655CA9">
        <w:rPr>
          <w:rFonts w:ascii="Traditional Arabic" w:hAnsi="Traditional Arabic" w:cs="Traditional Arabic"/>
          <w:sz w:val="30"/>
          <w:szCs w:val="30"/>
          <w:rtl/>
        </w:rPr>
        <w:t xml:space="preserve"> تعرضت المرافق التعليمية للأطفال ذوي الإعاقة للخطر </w:t>
      </w:r>
      <w:r w:rsidRPr="00655CA9">
        <w:rPr>
          <w:rFonts w:ascii="Traditional Arabic" w:hAnsi="Traditional Arabic" w:cs="Traditional Arabic" w:hint="eastAsia"/>
          <w:sz w:val="30"/>
          <w:szCs w:val="30"/>
          <w:rtl/>
        </w:rPr>
        <w:t>وذلك</w:t>
      </w:r>
      <w:r w:rsidRPr="00655CA9">
        <w:rPr>
          <w:rFonts w:ascii="Traditional Arabic" w:hAnsi="Traditional Arabic" w:cs="Traditional Arabic"/>
          <w:sz w:val="30"/>
          <w:szCs w:val="30"/>
          <w:rtl/>
        </w:rPr>
        <w:t xml:space="preserve"> في جميع </w:t>
      </w:r>
      <w:r w:rsidRPr="00655CA9">
        <w:rPr>
          <w:rFonts w:ascii="Traditional Arabic" w:hAnsi="Traditional Arabic" w:cs="Traditional Arabic" w:hint="eastAsia"/>
          <w:sz w:val="30"/>
          <w:szCs w:val="30"/>
          <w:rtl/>
        </w:rPr>
        <w:t>مناطق</w:t>
      </w:r>
      <w:r w:rsidRPr="00655CA9">
        <w:rPr>
          <w:rFonts w:ascii="Traditional Arabic" w:hAnsi="Traditional Arabic" w:cs="Traditional Arabic"/>
          <w:sz w:val="30"/>
          <w:szCs w:val="30"/>
          <w:rtl/>
        </w:rPr>
        <w:t xml:space="preserve"> النزاع. في 20 أبريل / نيسان 2016 في صنعاء، قُصفت مدرسة داخلية للبنات المكفوفات من قبل </w:t>
      </w:r>
      <w:r w:rsidRPr="00655CA9">
        <w:rPr>
          <w:rFonts w:ascii="Traditional Arabic" w:hAnsi="Traditional Arabic" w:cs="Traditional Arabic" w:hint="eastAsia"/>
          <w:sz w:val="30"/>
          <w:szCs w:val="30"/>
          <w:rtl/>
        </w:rPr>
        <w:t>طرف</w:t>
      </w:r>
      <w:r w:rsidRPr="00655CA9">
        <w:rPr>
          <w:rFonts w:ascii="Traditional Arabic" w:hAnsi="Traditional Arabic" w:cs="Traditional Arabic"/>
          <w:sz w:val="30"/>
          <w:szCs w:val="30"/>
          <w:rtl/>
        </w:rPr>
        <w:t xml:space="preserve"> مجهول، مما أدى إلى إغلاق المدرسة. في وقت الهجوم ، كانت المدرسة الداخلية تستضيف 60 فتاة، تتراوح أعمارهن بين 6 و 18 عامًا، تم إرساله</w:t>
      </w:r>
      <w:r w:rsidRPr="00655CA9">
        <w:rPr>
          <w:rFonts w:ascii="Traditional Arabic" w:hAnsi="Traditional Arabic" w:cs="Traditional Arabic" w:hint="eastAsia"/>
          <w:sz w:val="30"/>
          <w:szCs w:val="30"/>
          <w:rtl/>
        </w:rPr>
        <w:t>ن</w:t>
      </w:r>
      <w:r w:rsidRPr="00655CA9">
        <w:rPr>
          <w:rFonts w:ascii="Traditional Arabic" w:hAnsi="Traditional Arabic" w:cs="Traditional Arabic"/>
          <w:sz w:val="30"/>
          <w:szCs w:val="30"/>
          <w:rtl/>
        </w:rPr>
        <w:t xml:space="preserve"> إلى المن</w:t>
      </w:r>
      <w:r w:rsidRPr="00655CA9">
        <w:rPr>
          <w:rFonts w:ascii="Traditional Arabic" w:hAnsi="Traditional Arabic" w:cs="Traditional Arabic" w:hint="eastAsia"/>
          <w:sz w:val="30"/>
          <w:szCs w:val="30"/>
          <w:rtl/>
        </w:rPr>
        <w:t>ا</w:t>
      </w:r>
      <w:r w:rsidRPr="00655CA9">
        <w:rPr>
          <w:rFonts w:ascii="Traditional Arabic" w:hAnsi="Traditional Arabic" w:cs="Traditional Arabic"/>
          <w:sz w:val="30"/>
          <w:szCs w:val="30"/>
          <w:rtl/>
        </w:rPr>
        <w:t>زل أو إعادة تعيينه</w:t>
      </w:r>
      <w:r w:rsidRPr="00655CA9">
        <w:rPr>
          <w:rFonts w:ascii="Traditional Arabic" w:hAnsi="Traditional Arabic" w:cs="Traditional Arabic" w:hint="eastAsia"/>
          <w:sz w:val="30"/>
          <w:szCs w:val="30"/>
          <w:rtl/>
        </w:rPr>
        <w:t>ن</w:t>
      </w:r>
      <w:r w:rsidRPr="00655CA9">
        <w:rPr>
          <w:rFonts w:ascii="Traditional Arabic" w:hAnsi="Traditional Arabic" w:cs="Traditional Arabic"/>
          <w:sz w:val="30"/>
          <w:szCs w:val="30"/>
          <w:rtl/>
        </w:rPr>
        <w:t xml:space="preserve"> في مدارس أخرى كلما كان ذلك ممكناً</w:t>
      </w:r>
      <w:r w:rsidRPr="00927301">
        <w:rPr>
          <w:rStyle w:val="FootnoteReference"/>
          <w:rFonts w:asciiTheme="majorBidi" w:hAnsiTheme="majorBidi" w:cstheme="majorBidi"/>
          <w:sz w:val="24"/>
          <w:szCs w:val="24"/>
        </w:rPr>
        <w:footnoteReference w:id="1132"/>
      </w:r>
      <w:r w:rsidRPr="00927301">
        <w:rPr>
          <w:rFonts w:asciiTheme="majorBidi" w:hAnsiTheme="majorBidi" w:cstheme="majorBidi"/>
          <w:sz w:val="24"/>
          <w:szCs w:val="24"/>
        </w:rPr>
        <w:t>.</w:t>
      </w:r>
    </w:p>
    <w:p w14:paraId="36C08AED" w14:textId="77777777" w:rsidR="009826D6" w:rsidRPr="00655CA9" w:rsidRDefault="009826D6" w:rsidP="009826D6">
      <w:pPr>
        <w:tabs>
          <w:tab w:val="left" w:pos="5130"/>
        </w:tabs>
        <w:bidi/>
        <w:spacing w:before="100" w:beforeAutospacing="1" w:after="100" w:afterAutospacing="1" w:line="240" w:lineRule="auto"/>
        <w:ind w:left="1134" w:right="900"/>
        <w:jc w:val="both"/>
        <w:rPr>
          <w:rFonts w:asciiTheme="majorBidi" w:hAnsiTheme="majorBidi" w:cstheme="majorBidi"/>
          <w:i/>
          <w:iCs/>
          <w:sz w:val="24"/>
          <w:szCs w:val="24"/>
        </w:rPr>
      </w:pPr>
      <w:r w:rsidRPr="00655CA9">
        <w:rPr>
          <w:rFonts w:ascii="Traditional Arabic" w:hAnsi="Traditional Arabic" w:cs="Traditional Arabic"/>
          <w:i/>
          <w:iCs/>
          <w:sz w:val="30"/>
          <w:szCs w:val="30"/>
          <w:rtl/>
        </w:rPr>
        <w:lastRenderedPageBreak/>
        <w:t>الاستخدام العسكري للمدارس</w:t>
      </w:r>
    </w:p>
    <w:p w14:paraId="139E81AA" w14:textId="2F8A19D3" w:rsidR="009826D6" w:rsidRPr="00655CA9" w:rsidRDefault="009826D6" w:rsidP="00084F50">
      <w:pPr>
        <w:pStyle w:val="Footer"/>
        <w:numPr>
          <w:ilvl w:val="0"/>
          <w:numId w:val="3"/>
        </w:numPr>
        <w:tabs>
          <w:tab w:val="left" w:pos="720"/>
          <w:tab w:val="left" w:pos="900"/>
          <w:tab w:val="left" w:pos="1134"/>
          <w:tab w:val="left" w:pos="1701"/>
        </w:tabs>
        <w:bidi/>
        <w:spacing w:after="240"/>
        <w:ind w:left="1143" w:right="900" w:firstLine="0"/>
        <w:jc w:val="both"/>
        <w:rPr>
          <w:rStyle w:val="FootnoteReference"/>
          <w:rFonts w:asciiTheme="majorBidi" w:eastAsiaTheme="minorHAnsi" w:hAnsiTheme="majorBidi" w:cstheme="majorBidi"/>
          <w:sz w:val="30"/>
          <w:szCs w:val="30"/>
          <w:rtl/>
        </w:rPr>
      </w:pPr>
      <w:r w:rsidRPr="0098217B">
        <w:rPr>
          <w:rFonts w:ascii="Traditional Arabic" w:hAnsi="Traditional Arabic" w:cs="Traditional Arabic"/>
          <w:sz w:val="30"/>
          <w:szCs w:val="30"/>
          <w:rtl/>
        </w:rPr>
        <w:t>من بين العديد من ال</w:t>
      </w:r>
      <w:r w:rsidRPr="0098217B">
        <w:rPr>
          <w:rFonts w:ascii="Traditional Arabic" w:hAnsi="Traditional Arabic" w:cs="Traditional Arabic" w:hint="cs"/>
          <w:sz w:val="30"/>
          <w:szCs w:val="30"/>
          <w:rtl/>
        </w:rPr>
        <w:t xml:space="preserve">غارات </w:t>
      </w:r>
      <w:r w:rsidRPr="0098217B">
        <w:rPr>
          <w:rFonts w:ascii="Traditional Arabic" w:hAnsi="Traditional Arabic" w:cs="Traditional Arabic"/>
          <w:sz w:val="30"/>
          <w:szCs w:val="30"/>
          <w:rtl/>
        </w:rPr>
        <w:t>الموثقة</w:t>
      </w:r>
      <w:r w:rsidRPr="0098217B" w:rsidDel="002A2B36">
        <w:rPr>
          <w:rFonts w:ascii="Traditional Arabic" w:hAnsi="Traditional Arabic" w:cs="Traditional Arabic"/>
          <w:sz w:val="30"/>
          <w:szCs w:val="30"/>
          <w:rtl/>
        </w:rPr>
        <w:t xml:space="preserve"> </w:t>
      </w:r>
      <w:r w:rsidRPr="0098217B">
        <w:rPr>
          <w:rFonts w:ascii="Traditional Arabic" w:hAnsi="Traditional Arabic" w:cs="Traditional Arabic"/>
          <w:sz w:val="30"/>
          <w:szCs w:val="30"/>
          <w:rtl/>
        </w:rPr>
        <w:t xml:space="preserve">على المدارس منذ </w:t>
      </w:r>
      <w:r w:rsidRPr="0098217B">
        <w:rPr>
          <w:rFonts w:ascii="Traditional Arabic" w:hAnsi="Traditional Arabic" w:cs="Traditional Arabic" w:hint="cs"/>
          <w:sz w:val="30"/>
          <w:szCs w:val="30"/>
          <w:rtl/>
        </w:rPr>
        <w:t>ال</w:t>
      </w:r>
      <w:r w:rsidRPr="0098217B">
        <w:rPr>
          <w:rFonts w:ascii="Traditional Arabic" w:hAnsi="Traditional Arabic" w:cs="Traditional Arabic"/>
          <w:sz w:val="30"/>
          <w:szCs w:val="30"/>
          <w:rtl/>
        </w:rPr>
        <w:t>عام 2015، وجد الفريق أن بعض تلك</w:t>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المدارس </w:t>
      </w:r>
      <w:r>
        <w:rPr>
          <w:rFonts w:ascii="Traditional Arabic" w:hAnsi="Traditional Arabic" w:cs="Traditional Arabic" w:hint="cs"/>
          <w:sz w:val="30"/>
          <w:szCs w:val="30"/>
          <w:rtl/>
        </w:rPr>
        <w:t xml:space="preserve">أصبحت </w:t>
      </w:r>
      <w:r w:rsidRPr="00655CA9">
        <w:rPr>
          <w:rFonts w:ascii="Traditional Arabic" w:hAnsi="Traditional Arabic" w:cs="Traditional Arabic"/>
          <w:sz w:val="30"/>
          <w:szCs w:val="30"/>
          <w:rtl/>
        </w:rPr>
        <w:t xml:space="preserve">أهدافًا عسكرية نتيجة لاستخدامها </w:t>
      </w:r>
      <w:r>
        <w:rPr>
          <w:rFonts w:ascii="Traditional Arabic" w:hAnsi="Traditional Arabic" w:cs="Traditional Arabic" w:hint="cs"/>
          <w:sz w:val="30"/>
          <w:szCs w:val="30"/>
          <w:rtl/>
        </w:rPr>
        <w:t xml:space="preserve">غير الشرعي </w:t>
      </w:r>
      <w:r w:rsidRPr="00655CA9">
        <w:rPr>
          <w:rFonts w:ascii="Traditional Arabic" w:hAnsi="Traditional Arabic" w:cs="Traditional Arabic"/>
          <w:sz w:val="30"/>
          <w:szCs w:val="30"/>
          <w:rtl/>
        </w:rPr>
        <w:t xml:space="preserve">من قبل أطراف النزاع ، وبالتالي قد تكون هذه الهجمات قانونية. على سبيل المثال، في 14 </w:t>
      </w:r>
      <w:r>
        <w:rPr>
          <w:rFonts w:ascii="Traditional Arabic" w:hAnsi="Traditional Arabic" w:cs="Traditional Arabic" w:hint="cs"/>
          <w:sz w:val="30"/>
          <w:szCs w:val="30"/>
          <w:rtl/>
        </w:rPr>
        <w:t>تموز</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يوليو 2015، ألحقت غارة جوية شنتها قوات التحالف أضرارا بالغة بمدرسة ابتدائية في عدن التي يستخدمها الحوثيون منذ </w:t>
      </w:r>
      <w:r>
        <w:rPr>
          <w:rFonts w:ascii="Traditional Arabic" w:hAnsi="Traditional Arabic" w:cs="Traditional Arabic" w:hint="cs"/>
          <w:sz w:val="30"/>
          <w:szCs w:val="30"/>
          <w:rtl/>
        </w:rPr>
        <w:t>نيسان</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أبريل 2015 لأغراض عسكرية، بما في ذلك كمرفق اعتقال لأفراد أسر المقاومة الجنوبية</w:t>
      </w:r>
      <w:r w:rsidRPr="00655CA9">
        <w:rPr>
          <w:rStyle w:val="FootnoteReference"/>
          <w:rFonts w:asciiTheme="majorBidi" w:eastAsia="SimSun" w:hAnsiTheme="majorBidi" w:cstheme="majorBidi"/>
          <w:sz w:val="30"/>
          <w:szCs w:val="30"/>
        </w:rPr>
        <w:footnoteReference w:id="1133"/>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كما أصبحت المرافق التعليمية للأطفال ذوي الإعاقة هدفًا لاستخدامهم العسكري. في 5 </w:t>
      </w:r>
      <w:r>
        <w:rPr>
          <w:rFonts w:ascii="Traditional Arabic" w:hAnsi="Traditional Arabic" w:cs="Traditional Arabic" w:hint="cs"/>
          <w:sz w:val="30"/>
          <w:szCs w:val="30"/>
          <w:rtl/>
        </w:rPr>
        <w:t>كانون الثاني</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يناير 2016، تعرض مركز نور لرعاية وتأهيل المكفوفين، في صنعاء، حيث </w:t>
      </w:r>
      <w:r w:rsidRPr="00655CA9">
        <w:rPr>
          <w:rFonts w:ascii="Traditional Arabic" w:hAnsi="Traditional Arabic" w:cs="Traditional Arabic" w:hint="eastAsia"/>
          <w:sz w:val="30"/>
          <w:szCs w:val="30"/>
          <w:rtl/>
        </w:rPr>
        <w:t>تم</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استخدامه</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قبل</w:t>
      </w:r>
      <w:r w:rsidRPr="00655CA9">
        <w:rPr>
          <w:rFonts w:ascii="Traditional Arabic" w:hAnsi="Traditional Arabic" w:cs="Traditional Arabic"/>
          <w:sz w:val="30"/>
          <w:szCs w:val="30"/>
          <w:rtl/>
        </w:rPr>
        <w:t xml:space="preserve">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00084F50"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tl/>
        </w:rPr>
        <w:t>- صالح ، للضرب والتدمير جراء غارة جوية شنتها قوات التحالف</w:t>
      </w:r>
      <w:r w:rsidRPr="00655CA9">
        <w:rPr>
          <w:rStyle w:val="FootnoteReference"/>
          <w:rFonts w:asciiTheme="majorBidi" w:hAnsiTheme="majorBidi" w:cstheme="majorBidi"/>
          <w:sz w:val="30"/>
          <w:szCs w:val="30"/>
        </w:rPr>
        <w:footnoteReference w:id="1134"/>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في 17 </w:t>
      </w:r>
      <w:r>
        <w:rPr>
          <w:rFonts w:ascii="Traditional Arabic" w:hAnsi="Traditional Arabic" w:cs="Traditional Arabic" w:hint="cs"/>
          <w:sz w:val="30"/>
          <w:szCs w:val="30"/>
          <w:rtl/>
        </w:rPr>
        <w:t>أيلول</w:t>
      </w:r>
      <w:r>
        <w:rPr>
          <w:rFonts w:ascii="Traditional Arabic" w:hAnsi="Traditional Arabic" w:cs="Traditional Arabic"/>
          <w:sz w:val="30"/>
          <w:szCs w:val="30"/>
          <w:lang w:val="en-US"/>
        </w:rPr>
        <w:t>/</w:t>
      </w:r>
      <w:r>
        <w:rPr>
          <w:rFonts w:ascii="Traditional Arabic" w:hAnsi="Traditional Arabic" w:cs="Traditional Arabic" w:hint="cs"/>
          <w:sz w:val="30"/>
          <w:szCs w:val="30"/>
          <w:rtl/>
          <w:lang w:val="en-US" w:bidi="ar-YE"/>
        </w:rPr>
        <w:t xml:space="preserve"> </w:t>
      </w:r>
      <w:r w:rsidRPr="00655CA9">
        <w:rPr>
          <w:rFonts w:ascii="Traditional Arabic" w:hAnsi="Traditional Arabic" w:cs="Traditional Arabic"/>
          <w:sz w:val="30"/>
          <w:szCs w:val="30"/>
          <w:rtl/>
        </w:rPr>
        <w:t xml:space="preserve">سبتمبر 2017، الساعة </w:t>
      </w:r>
      <w:r>
        <w:rPr>
          <w:rFonts w:ascii="Traditional Arabic" w:hAnsi="Traditional Arabic" w:cs="Traditional Arabic" w:hint="cs"/>
          <w:sz w:val="30"/>
          <w:szCs w:val="30"/>
          <w:rtl/>
        </w:rPr>
        <w:t xml:space="preserve">الثالثة </w:t>
      </w:r>
      <w:r w:rsidRPr="00655CA9">
        <w:rPr>
          <w:rFonts w:ascii="Traditional Arabic" w:hAnsi="Traditional Arabic" w:cs="Traditional Arabic"/>
          <w:sz w:val="30"/>
          <w:szCs w:val="30"/>
          <w:rtl/>
        </w:rPr>
        <w:t xml:space="preserve">عصرًا، تعرضت مدرسة في قضاء باقيم في صعدة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 xml:space="preserve">لتدمير </w:t>
      </w:r>
      <w:r w:rsidRPr="00655CA9">
        <w:rPr>
          <w:rFonts w:ascii="Traditional Arabic" w:hAnsi="Traditional Arabic" w:cs="Traditional Arabic" w:hint="eastAsia"/>
          <w:sz w:val="30"/>
          <w:szCs w:val="30"/>
          <w:rtl/>
        </w:rPr>
        <w:t>جراء</w:t>
      </w:r>
      <w:r w:rsidRPr="00655CA9">
        <w:rPr>
          <w:rFonts w:ascii="Traditional Arabic" w:hAnsi="Traditional Arabic" w:cs="Traditional Arabic"/>
          <w:sz w:val="30"/>
          <w:szCs w:val="30"/>
          <w:rtl/>
        </w:rPr>
        <w:t xml:space="preserve"> غارة جوية شنتها قوات التحالف. كانت المدرسة تستخدم كسجن من قبل الحوثيين</w:t>
      </w:r>
      <w:r w:rsidRPr="00655CA9">
        <w:rPr>
          <w:rFonts w:asciiTheme="majorBidi" w:hAnsiTheme="majorBidi" w:cstheme="majorBidi"/>
          <w:sz w:val="30"/>
          <w:szCs w:val="30"/>
        </w:rPr>
        <w:t>.</w:t>
      </w:r>
      <w:r w:rsidRPr="00655CA9">
        <w:rPr>
          <w:rStyle w:val="FootnoteReference"/>
          <w:rFonts w:asciiTheme="majorBidi" w:hAnsiTheme="majorBidi" w:cstheme="majorBidi"/>
          <w:sz w:val="30"/>
          <w:szCs w:val="30"/>
        </w:rPr>
        <w:footnoteReference w:id="1135"/>
      </w:r>
    </w:p>
    <w:p w14:paraId="42E108E3" w14:textId="7A5FCA92" w:rsidR="009826D6" w:rsidRPr="00655CA9" w:rsidRDefault="009826D6" w:rsidP="00F3429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وقت كتابة هذا التقرير، وجد الفريق أن ما لا يقل عن 20 مدرسة في الحديدة وتعز وصعدة تستخدمها القوات المسلحة اليمنية وقوات الحزام الأمني المدعوم</w:t>
      </w:r>
      <w:r w:rsidRPr="00655CA9">
        <w:rPr>
          <w:rFonts w:ascii="Traditional Arabic" w:hAnsi="Traditional Arabic" w:cs="Traditional Arabic" w:hint="eastAsia"/>
          <w:sz w:val="30"/>
          <w:szCs w:val="30"/>
          <w:rtl/>
        </w:rPr>
        <w:t>ه</w:t>
      </w:r>
      <w:r w:rsidRPr="00655CA9">
        <w:rPr>
          <w:rFonts w:ascii="Traditional Arabic" w:hAnsi="Traditional Arabic" w:cs="Traditional Arabic"/>
          <w:sz w:val="30"/>
          <w:szCs w:val="30"/>
          <w:rtl/>
        </w:rPr>
        <w:t xml:space="preserve"> من الإمارات العربية المتحدة والقوات السودانية والحوثيون.</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sz w:val="24"/>
          <w:szCs w:val="24"/>
        </w:rPr>
        <w:footnoteReference w:id="1136"/>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تستخدم "قوات التحالف" حاليًا لأغراض عسكرية مدرستي الوحدة عريش والوحدة حسن بن علي في المخا وتعز. قوات </w:t>
      </w:r>
      <w:r w:rsidR="002E7254">
        <w:rPr>
          <w:rFonts w:ascii="Traditional Arabic" w:hAnsi="Traditional Arabic" w:cs="Traditional Arabic" w:hint="cs"/>
          <w:sz w:val="30"/>
          <w:szCs w:val="30"/>
          <w:rtl/>
        </w:rPr>
        <w:t xml:space="preserve">التحالف </w:t>
      </w:r>
      <w:r w:rsidRPr="00655CA9">
        <w:rPr>
          <w:rFonts w:ascii="Traditional Arabic" w:hAnsi="Traditional Arabic" w:cs="Traditional Arabic"/>
          <w:sz w:val="30"/>
          <w:szCs w:val="30"/>
          <w:rtl/>
        </w:rPr>
        <w:t>السودانية تستخدم</w:t>
      </w:r>
      <w:r w:rsidR="002E7254">
        <w:rPr>
          <w:rFonts w:ascii="Traditional Arabic" w:hAnsi="Traditional Arabic" w:cs="Traditional Arabic" w:hint="cs"/>
          <w:sz w:val="30"/>
          <w:szCs w:val="30"/>
          <w:rtl/>
        </w:rPr>
        <w:t>ها</w:t>
      </w:r>
      <w:r w:rsidRPr="00655CA9">
        <w:rPr>
          <w:rFonts w:ascii="Traditional Arabic" w:hAnsi="Traditional Arabic" w:cs="Traditional Arabic"/>
          <w:sz w:val="30"/>
          <w:szCs w:val="30"/>
          <w:rtl/>
        </w:rPr>
        <w:t xml:space="preserve"> </w:t>
      </w:r>
      <w:r w:rsidR="002E7254" w:rsidRPr="00655CA9">
        <w:rPr>
          <w:rFonts w:ascii="Traditional Arabic" w:hAnsi="Traditional Arabic" w:cs="Traditional Arabic"/>
          <w:sz w:val="30"/>
          <w:szCs w:val="30"/>
          <w:rtl/>
        </w:rPr>
        <w:t xml:space="preserve">حاليًا </w:t>
      </w:r>
      <w:r w:rsidRPr="00655CA9">
        <w:rPr>
          <w:rFonts w:ascii="Traditional Arabic" w:hAnsi="Traditional Arabic" w:cs="Traditional Arabic"/>
          <w:sz w:val="30"/>
          <w:szCs w:val="30"/>
          <w:rtl/>
        </w:rPr>
        <w:t xml:space="preserve">ثكنات </w:t>
      </w:r>
      <w:r w:rsidR="00AA749B">
        <w:rPr>
          <w:rFonts w:ascii="Traditional Arabic" w:hAnsi="Traditional Arabic" w:cs="Traditional Arabic" w:hint="cs"/>
          <w:sz w:val="30"/>
          <w:szCs w:val="30"/>
          <w:rtl/>
        </w:rPr>
        <w:t xml:space="preserve">مثل </w:t>
      </w:r>
      <w:r w:rsidRPr="00655CA9">
        <w:rPr>
          <w:rFonts w:ascii="Traditional Arabic" w:hAnsi="Traditional Arabic" w:cs="Traditional Arabic"/>
          <w:sz w:val="30"/>
          <w:szCs w:val="30"/>
          <w:rtl/>
        </w:rPr>
        <w:t>"7 يوليو" و "الشهيد عبد الله الصلغي" في المخا. في موز</w:t>
      </w:r>
      <w:r w:rsidRPr="00655CA9">
        <w:rPr>
          <w:rFonts w:ascii="Traditional Arabic" w:hAnsi="Traditional Arabic" w:cs="Traditional Arabic" w:hint="eastAsia"/>
          <w:sz w:val="30"/>
          <w:szCs w:val="30"/>
          <w:rtl/>
        </w:rPr>
        <w:t>ع</w:t>
      </w:r>
      <w:r w:rsidRPr="00655CA9">
        <w:rPr>
          <w:rFonts w:ascii="Traditional Arabic" w:hAnsi="Traditional Arabic" w:cs="Traditional Arabic"/>
          <w:sz w:val="30"/>
          <w:szCs w:val="30"/>
          <w:rtl/>
        </w:rPr>
        <w:t>، تعز، توجد "قوات التحالف" في مدرسة الشهداء الابتدائية (حوالي 700 طفل اعتادوا على هذه المدرسة) ، ومدرسة عبد الرحمن رفيقي ومدرسة الجيل الجديد. بعض هذه المدارس كانت تستخدم من قبل الحوثيين. على سبيل المثال ، تم استخدام مدرسة الجيل الجديد كسجن من قبل الحوثيين حتى عام 2017</w:t>
      </w:r>
      <w:r w:rsidRPr="00655CA9">
        <w:rPr>
          <w:rFonts w:ascii="Traditional Arabic" w:hAnsi="Traditional Arabic" w:cs="Traditional Arabic"/>
          <w:sz w:val="30"/>
          <w:szCs w:val="30"/>
        </w:rPr>
        <w:t>.</w:t>
      </w:r>
    </w:p>
    <w:p w14:paraId="4E1EB3CC" w14:textId="437D284D" w:rsidR="009826D6" w:rsidRPr="00655CA9" w:rsidRDefault="009826D6" w:rsidP="00075D72">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98217B">
        <w:rPr>
          <w:rFonts w:ascii="Traditional Arabic" w:hAnsi="Traditional Arabic" w:cs="Traditional Arabic"/>
          <w:sz w:val="30"/>
          <w:szCs w:val="30"/>
          <w:rtl/>
        </w:rPr>
        <w:t>في مدينة تعز، أفادت المصادر أن القوات المسلحة اليمنية بدأت الانسحاب من بعض المدارس وفقًا</w:t>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للالتزامات التي تم التعهد بها بموجب إعلان المدارس الآمنة.</w:t>
      </w:r>
      <w:r w:rsidRPr="00655CA9">
        <w:rPr>
          <w:rFonts w:ascii="Traditional Arabic" w:hAnsi="Traditional Arabic" w:cs="Traditional Arabic"/>
          <w:sz w:val="30"/>
          <w:szCs w:val="30"/>
        </w:rPr>
        <w:t xml:space="preserve"> </w:t>
      </w:r>
      <w:r w:rsidRPr="00075D72">
        <w:rPr>
          <w:rFonts w:ascii="Traditional Arabic" w:hAnsi="Traditional Arabic" w:cs="Traditional Arabic"/>
          <w:sz w:val="20"/>
          <w:vertAlign w:val="superscript"/>
        </w:rPr>
        <w:footnoteReference w:id="1137"/>
      </w:r>
      <w:r w:rsidRPr="00075D72">
        <w:rPr>
          <w:rFonts w:ascii="Traditional Arabic" w:hAnsi="Traditional Arabic" w:cs="Traditional Arabic"/>
          <w:sz w:val="20"/>
          <w:vertAlign w:val="superscript"/>
          <w:rtl/>
        </w:rPr>
        <w:t xml:space="preserve"> </w:t>
      </w:r>
      <w:r w:rsidRPr="00655CA9">
        <w:rPr>
          <w:rFonts w:ascii="Traditional Arabic" w:hAnsi="Traditional Arabic" w:cs="Traditional Arabic"/>
          <w:sz w:val="30"/>
          <w:szCs w:val="30"/>
          <w:rtl/>
        </w:rPr>
        <w:t xml:space="preserve">على سبيل المثال، انسحب اللواء 35 مؤخرًا من مدرسة سبأ للبنين في </w:t>
      </w:r>
      <w:r w:rsidRPr="00655CA9">
        <w:rPr>
          <w:rFonts w:ascii="Traditional Arabic" w:hAnsi="Traditional Arabic" w:cs="Traditional Arabic" w:hint="eastAsia"/>
          <w:sz w:val="30"/>
          <w:szCs w:val="30"/>
          <w:rtl/>
        </w:rPr>
        <w:t>مديرية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مظفر - لكنهم ما زالوا موجودين في مدرسة هايل</w:t>
      </w:r>
      <w:r w:rsidRPr="00655CA9">
        <w:rPr>
          <w:rFonts w:asciiTheme="majorBidi" w:hAnsiTheme="majorBidi" w:cstheme="majorBidi"/>
          <w:sz w:val="30"/>
          <w:szCs w:val="30"/>
          <w:vertAlign w:val="superscript"/>
        </w:rPr>
        <w:footnoteReference w:id="1138"/>
      </w:r>
      <w:r w:rsidRPr="00655CA9">
        <w:rPr>
          <w:rFonts w:asciiTheme="majorBidi" w:hAnsiTheme="majorBidi"/>
          <w:sz w:val="30"/>
          <w:szCs w:val="30"/>
          <w:rtl/>
        </w:rPr>
        <w:t xml:space="preserve">. </w:t>
      </w:r>
      <w:r w:rsidRPr="00655CA9">
        <w:rPr>
          <w:rFonts w:ascii="Traditional Arabic" w:hAnsi="Traditional Arabic" w:cs="Traditional Arabic"/>
          <w:sz w:val="30"/>
          <w:szCs w:val="30"/>
          <w:rtl/>
        </w:rPr>
        <w:t xml:space="preserve">ذكرت المصادر أنه على الرغم من الاستخدام العسكري لهذه المدارس، فقد حاولت الحكومة اليمنية عدم </w:t>
      </w:r>
      <w:r>
        <w:rPr>
          <w:rFonts w:ascii="Traditional Arabic" w:hAnsi="Traditional Arabic" w:cs="Traditional Arabic" w:hint="cs"/>
          <w:sz w:val="30"/>
          <w:szCs w:val="30"/>
          <w:rtl/>
        </w:rPr>
        <w:t xml:space="preserve">متابعة </w:t>
      </w:r>
      <w:r w:rsidRPr="00655CA9">
        <w:rPr>
          <w:rFonts w:ascii="Traditional Arabic" w:hAnsi="Traditional Arabic" w:cs="Traditional Arabic"/>
          <w:sz w:val="30"/>
          <w:szCs w:val="30"/>
          <w:rtl/>
        </w:rPr>
        <w:t>تعليم الأطفال وأعادت تخصيص هؤلاء الطلاب للمدارس المجاورة</w:t>
      </w:r>
      <w:r w:rsidRPr="00655CA9">
        <w:rPr>
          <w:rFonts w:ascii="Traditional Arabic" w:hAnsi="Traditional Arabic" w:cs="Traditional Arabic"/>
          <w:sz w:val="30"/>
          <w:szCs w:val="30"/>
        </w:rPr>
        <w:t>.</w:t>
      </w:r>
    </w:p>
    <w:p w14:paraId="0AE46FF4"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lastRenderedPageBreak/>
        <w:t xml:space="preserve">يوفر التعليم أثناء النزاع المسلح الحماية الاجتماعية والبدنية للأطفال ويقلل أيضًا من الآثار النفسية والاجتماعية للحرب على الأطفال. يساور فريق الخبراء مخاوف من أن أطراف النزاع قد فشلت في اتخاذ جميع الاحتياطات الممكنة لتجنب </w:t>
      </w:r>
      <w:r w:rsidRPr="00655CA9">
        <w:rPr>
          <w:rFonts w:ascii="Traditional Arabic" w:hAnsi="Traditional Arabic" w:cs="Traditional Arabic" w:hint="eastAsia"/>
          <w:sz w:val="30"/>
          <w:szCs w:val="30"/>
          <w:rtl/>
        </w:rPr>
        <w:t>انشاء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مواقع</w:t>
      </w:r>
      <w:r w:rsidRPr="00655CA9">
        <w:rPr>
          <w:rFonts w:ascii="Traditional Arabic" w:hAnsi="Traditional Arabic" w:cs="Traditional Arabic"/>
          <w:sz w:val="30"/>
          <w:szCs w:val="30"/>
          <w:rtl/>
        </w:rPr>
        <w:t xml:space="preserve"> عسكرية بالقرب من المدنيين </w:t>
      </w:r>
      <w:r w:rsidRPr="00655CA9">
        <w:rPr>
          <w:rFonts w:ascii="Traditional Arabic" w:hAnsi="Traditional Arabic" w:cs="Traditional Arabic" w:hint="eastAsia"/>
          <w:sz w:val="30"/>
          <w:szCs w:val="30"/>
          <w:rtl/>
        </w:rPr>
        <w:t>ولم</w:t>
      </w:r>
      <w:r w:rsidRPr="00655CA9">
        <w:rPr>
          <w:rFonts w:ascii="Traditional Arabic" w:hAnsi="Traditional Arabic" w:cs="Traditional Arabic"/>
          <w:sz w:val="30"/>
          <w:szCs w:val="30"/>
          <w:rtl/>
        </w:rPr>
        <w:t xml:space="preserve"> تراعي التمييز بين </w:t>
      </w:r>
      <w:r w:rsidRPr="00655CA9">
        <w:rPr>
          <w:rFonts w:ascii="Traditional Arabic" w:hAnsi="Traditional Arabic" w:cs="Traditional Arabic" w:hint="eastAsia"/>
          <w:sz w:val="30"/>
          <w:szCs w:val="30"/>
          <w:rtl/>
        </w:rPr>
        <w:t>المواقع</w:t>
      </w:r>
      <w:r w:rsidRPr="00655CA9">
        <w:rPr>
          <w:rFonts w:ascii="Traditional Arabic" w:hAnsi="Traditional Arabic" w:cs="Traditional Arabic"/>
          <w:sz w:val="30"/>
          <w:szCs w:val="30"/>
          <w:rtl/>
        </w:rPr>
        <w:t xml:space="preserve"> المدنية والعسكرية </w:t>
      </w:r>
      <w:r w:rsidRPr="00655CA9">
        <w:rPr>
          <w:rFonts w:ascii="Traditional Arabic" w:hAnsi="Traditional Arabic" w:cs="Traditional Arabic" w:hint="eastAsia"/>
          <w:sz w:val="30"/>
          <w:szCs w:val="30"/>
          <w:rtl/>
        </w:rPr>
        <w:t>عند</w:t>
      </w:r>
      <w:r w:rsidRPr="00655CA9">
        <w:rPr>
          <w:rFonts w:ascii="Traditional Arabic" w:hAnsi="Traditional Arabic" w:cs="Traditional Arabic"/>
          <w:sz w:val="30"/>
          <w:szCs w:val="30"/>
          <w:rtl/>
        </w:rPr>
        <w:t xml:space="preserve"> استخدام المدارس </w:t>
      </w:r>
      <w:r w:rsidRPr="00655CA9">
        <w:rPr>
          <w:rFonts w:ascii="Traditional Arabic" w:hAnsi="Traditional Arabic" w:cs="Traditional Arabic" w:hint="eastAsia"/>
          <w:sz w:val="30"/>
          <w:szCs w:val="30"/>
          <w:rtl/>
        </w:rPr>
        <w:t>اثناء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w:t>
      </w:r>
      <w:r w:rsidRPr="00655CA9">
        <w:rPr>
          <w:rFonts w:ascii="Traditional Arabic" w:hAnsi="Traditional Arabic" w:cs="Traditional Arabic"/>
          <w:sz w:val="30"/>
          <w:szCs w:val="30"/>
          <w:rtl/>
        </w:rPr>
        <w:t xml:space="preserve">عمليات العسكرية ، </w:t>
      </w:r>
      <w:r w:rsidRPr="00655CA9">
        <w:rPr>
          <w:rFonts w:ascii="Traditional Arabic" w:hAnsi="Traditional Arabic" w:cs="Traditional Arabic" w:hint="eastAsia"/>
          <w:sz w:val="30"/>
          <w:szCs w:val="30"/>
          <w:rtl/>
        </w:rPr>
        <w:t>والأمران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هما</w:t>
      </w:r>
      <w:r w:rsidRPr="00655CA9">
        <w:rPr>
          <w:rFonts w:ascii="Traditional Arabic" w:hAnsi="Traditional Arabic" w:cs="Traditional Arabic"/>
          <w:sz w:val="30"/>
          <w:szCs w:val="30"/>
          <w:rtl/>
        </w:rPr>
        <w:t xml:space="preserve"> انتهاك لمبدأ التمييز. منعت أطراف النزاع الأطفال من  ادراك حقهم الأساسي في التعليم، على النحو الذي يكفله كل من القانون الدولي </w:t>
      </w:r>
      <w:r w:rsidRPr="00D34D3C">
        <w:rPr>
          <w:rFonts w:ascii="Traditional Arabic" w:hAnsi="Traditional Arabic" w:cs="Traditional Arabic"/>
          <w:sz w:val="30"/>
          <w:szCs w:val="30"/>
          <w:rtl/>
        </w:rPr>
        <w:t xml:space="preserve">الإنساني </w:t>
      </w:r>
      <w:r w:rsidRPr="00655CA9">
        <w:rPr>
          <w:rFonts w:ascii="Traditional Arabic" w:hAnsi="Traditional Arabic" w:cs="Traditional Arabic"/>
          <w:sz w:val="30"/>
          <w:szCs w:val="30"/>
          <w:rtl/>
        </w:rPr>
        <w:t>وقانون حقوق الإنسان</w:t>
      </w:r>
      <w:r w:rsidRPr="00927301">
        <w:rPr>
          <w:rFonts w:asciiTheme="majorBidi" w:hAnsiTheme="majorBidi" w:cstheme="majorBidi"/>
          <w:sz w:val="24"/>
          <w:szCs w:val="24"/>
          <w:vertAlign w:val="superscript"/>
        </w:rPr>
        <w:footnoteReference w:id="1139"/>
      </w:r>
      <w:r w:rsidRPr="00927301">
        <w:rPr>
          <w:rFonts w:asciiTheme="majorBidi" w:hAnsiTheme="majorBidi" w:cstheme="majorBidi"/>
          <w:sz w:val="24"/>
          <w:szCs w:val="24"/>
        </w:rPr>
        <w:t>.</w:t>
      </w:r>
    </w:p>
    <w:p w14:paraId="78A7AB1E" w14:textId="77777777" w:rsidR="009826D6" w:rsidRPr="00655CA9" w:rsidRDefault="009826D6" w:rsidP="009826D6">
      <w:pPr>
        <w:bidi/>
        <w:spacing w:before="100" w:beforeAutospacing="1" w:after="100" w:afterAutospacing="1" w:line="240" w:lineRule="auto"/>
        <w:ind w:left="1134" w:right="900"/>
        <w:jc w:val="both"/>
        <w:rPr>
          <w:rFonts w:ascii="Traditional Arabic" w:hAnsi="Traditional Arabic" w:cs="Traditional Arabic"/>
          <w:i/>
          <w:iCs/>
          <w:sz w:val="30"/>
          <w:szCs w:val="30"/>
        </w:rPr>
      </w:pPr>
      <w:r w:rsidRPr="00655CA9">
        <w:rPr>
          <w:rFonts w:ascii="Traditional Arabic" w:hAnsi="Traditional Arabic" w:cs="Traditional Arabic"/>
          <w:i/>
          <w:iCs/>
          <w:sz w:val="30"/>
          <w:szCs w:val="30"/>
          <w:rtl/>
        </w:rPr>
        <w:t>الحصول على التعليم</w:t>
      </w:r>
    </w:p>
    <w:p w14:paraId="535CA90A" w14:textId="570B8665" w:rsidR="009826D6" w:rsidRDefault="009826D6" w:rsidP="009B2EA9">
      <w:pPr>
        <w:pStyle w:val="Footer"/>
        <w:numPr>
          <w:ilvl w:val="0"/>
          <w:numId w:val="3"/>
        </w:numPr>
        <w:tabs>
          <w:tab w:val="left" w:pos="720"/>
          <w:tab w:val="left" w:pos="900"/>
          <w:tab w:val="left" w:pos="1134"/>
          <w:tab w:val="left" w:pos="1701"/>
        </w:tabs>
        <w:bidi/>
        <w:spacing w:after="240"/>
        <w:ind w:right="900"/>
        <w:jc w:val="both"/>
        <w:rPr>
          <w:rStyle w:val="FootnoteReference"/>
          <w:rFonts w:asciiTheme="majorBidi" w:eastAsiaTheme="minorHAnsi" w:hAnsiTheme="majorBidi" w:cstheme="majorBidi"/>
          <w:sz w:val="24"/>
          <w:szCs w:val="24"/>
          <w:rtl/>
        </w:rPr>
      </w:pPr>
      <w:r w:rsidRPr="00655CA9">
        <w:rPr>
          <w:rFonts w:ascii="Traditional Arabic" w:hAnsi="Traditional Arabic" w:cs="Traditional Arabic" w:hint="eastAsia"/>
          <w:sz w:val="30"/>
          <w:szCs w:val="30"/>
          <w:rtl/>
        </w:rPr>
        <w:t>أدت</w:t>
      </w:r>
      <w:r w:rsidRPr="00655CA9">
        <w:rPr>
          <w:rFonts w:ascii="Traditional Arabic" w:hAnsi="Traditional Arabic" w:cs="Traditional Arabic"/>
          <w:sz w:val="30"/>
          <w:szCs w:val="30"/>
          <w:rtl/>
        </w:rPr>
        <w:t xml:space="preserve"> الانتهاكات الموضحة أعلاه </w:t>
      </w:r>
      <w:r w:rsidRPr="00655CA9">
        <w:rPr>
          <w:rFonts w:ascii="Traditional Arabic" w:hAnsi="Traditional Arabic" w:cs="Traditional Arabic" w:hint="eastAsia"/>
          <w:sz w:val="30"/>
          <w:szCs w:val="30"/>
          <w:rtl/>
        </w:rPr>
        <w:t>الى</w:t>
      </w:r>
      <w:r w:rsidRPr="00655CA9">
        <w:rPr>
          <w:rFonts w:ascii="Traditional Arabic" w:hAnsi="Traditional Arabic" w:cs="Traditional Arabic"/>
          <w:sz w:val="30"/>
          <w:szCs w:val="30"/>
          <w:rtl/>
        </w:rPr>
        <w:t xml:space="preserve"> تزايد الخوف بين الأطفال من الالتحاق بالمدارس</w:t>
      </w:r>
      <w:r w:rsidRPr="00927301">
        <w:rPr>
          <w:rStyle w:val="FootnoteReference"/>
          <w:rFonts w:asciiTheme="majorBidi" w:eastAsiaTheme="minorEastAsia" w:hAnsiTheme="majorBidi" w:cstheme="majorBidi"/>
          <w:color w:val="1A1718"/>
          <w:sz w:val="24"/>
          <w:szCs w:val="24"/>
          <w:lang w:eastAsia="ja-JP"/>
        </w:rPr>
        <w:footnoteReference w:id="1140"/>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وبين المعلمين لحضور الفصول الدراسية، وبين الآباء لإرسال أطفالهم إلى المدرسة - وخاصة الفتيات</w:t>
      </w:r>
      <w:r w:rsidRPr="00927301">
        <w:rPr>
          <w:rFonts w:asciiTheme="majorBidi" w:hAnsiTheme="majorBidi"/>
          <w:sz w:val="24"/>
          <w:szCs w:val="24"/>
          <w:rtl/>
        </w:rPr>
        <w:t>،</w:t>
      </w:r>
      <w:r w:rsidRPr="00927301">
        <w:rPr>
          <w:rStyle w:val="FootnoteReference"/>
          <w:rFonts w:asciiTheme="majorBidi" w:eastAsiaTheme="minorEastAsia" w:hAnsiTheme="majorBidi" w:cstheme="majorBidi"/>
          <w:color w:val="1A1718"/>
          <w:sz w:val="24"/>
          <w:szCs w:val="24"/>
          <w:lang w:eastAsia="ja-JP"/>
        </w:rPr>
        <w:footnoteReference w:id="1141"/>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مما أضعف نظام التعليم في اليمن ككل</w:t>
      </w:r>
      <w:r w:rsidRPr="00927301">
        <w:rPr>
          <w:rStyle w:val="FootnoteReference"/>
          <w:rFonts w:asciiTheme="majorBidi" w:hAnsiTheme="majorBidi" w:cstheme="majorBidi"/>
          <w:sz w:val="24"/>
          <w:szCs w:val="24"/>
        </w:rPr>
        <w:footnoteReference w:id="114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وقد تفاقم هذا الوضع بسبب عدم دفع رواتب المعلمين، مما أدى إلى عدم كفاية عدد المعلمين المؤهلين في المدارس</w:t>
      </w:r>
      <w:r w:rsidRPr="00927301">
        <w:rPr>
          <w:rFonts w:asciiTheme="majorBidi" w:hAnsiTheme="majorBidi"/>
          <w:sz w:val="24"/>
          <w:szCs w:val="24"/>
          <w:rtl/>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4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حتى عندما لا يتم منع الأطفال من الذهاب إلى المدرسة، </w:t>
      </w:r>
      <w:r w:rsidRPr="00655CA9">
        <w:rPr>
          <w:rFonts w:ascii="Traditional Arabic" w:hAnsi="Traditional Arabic" w:cs="Traditional Arabic" w:hint="eastAsia"/>
          <w:sz w:val="30"/>
          <w:szCs w:val="30"/>
          <w:rtl/>
        </w:rPr>
        <w:t>الا</w:t>
      </w:r>
      <w:r w:rsidRPr="00655CA9">
        <w:rPr>
          <w:rFonts w:ascii="Traditional Arabic" w:hAnsi="Traditional Arabic" w:cs="Traditional Arabic"/>
          <w:sz w:val="30"/>
          <w:szCs w:val="30"/>
          <w:rtl/>
        </w:rPr>
        <w:t xml:space="preserve"> ان جودة التعليم في اليمن تأثرت </w:t>
      </w:r>
      <w:r w:rsidRPr="00927301">
        <w:rPr>
          <w:rStyle w:val="FootnoteReference"/>
          <w:rFonts w:asciiTheme="majorBidi" w:hAnsiTheme="majorBidi" w:cstheme="majorBidi"/>
          <w:sz w:val="24"/>
          <w:szCs w:val="24"/>
        </w:rPr>
        <w:footnoteReference w:id="1144"/>
      </w:r>
      <w:r w:rsidRPr="00927301">
        <w:rPr>
          <w:rFonts w:asciiTheme="majorBidi" w:hAnsiTheme="majorBidi"/>
          <w:sz w:val="24"/>
          <w:szCs w:val="24"/>
          <w:rtl/>
        </w:rPr>
        <w:t>.</w:t>
      </w:r>
      <w:r w:rsidRPr="00655CA9">
        <w:rPr>
          <w:rFonts w:ascii="Traditional Arabic" w:hAnsi="Traditional Arabic" w:cs="Traditional Arabic"/>
          <w:sz w:val="30"/>
          <w:szCs w:val="30"/>
          <w:rtl/>
        </w:rPr>
        <w:t xml:space="preserve"> أخبر المعلمون غير مدفوع</w:t>
      </w:r>
      <w:r w:rsidRPr="00655CA9">
        <w:rPr>
          <w:rFonts w:ascii="Traditional Arabic" w:hAnsi="Traditional Arabic" w:cs="Traditional Arabic" w:hint="eastAsia"/>
          <w:sz w:val="30"/>
          <w:szCs w:val="30"/>
          <w:rtl/>
        </w:rPr>
        <w:t>ي</w:t>
      </w:r>
      <w:r w:rsidRPr="00655CA9">
        <w:rPr>
          <w:rFonts w:ascii="Traditional Arabic" w:hAnsi="Traditional Arabic" w:cs="Traditional Arabic"/>
          <w:sz w:val="30"/>
          <w:szCs w:val="30"/>
          <w:rtl/>
        </w:rPr>
        <w:t xml:space="preserve"> الأجر فريق الخبراء بأن عليهم البحث عن عمل آخر </w:t>
      </w:r>
      <w:r>
        <w:rPr>
          <w:rFonts w:ascii="Traditional Arabic" w:hAnsi="Traditional Arabic" w:cs="Traditional Arabic" w:hint="cs"/>
          <w:sz w:val="30"/>
          <w:szCs w:val="30"/>
          <w:rtl/>
        </w:rPr>
        <w:t xml:space="preserve">من أجل </w:t>
      </w:r>
      <w:r w:rsidRPr="00655CA9">
        <w:rPr>
          <w:rFonts w:ascii="Traditional Arabic" w:hAnsi="Traditional Arabic" w:cs="Traditional Arabic"/>
          <w:sz w:val="30"/>
          <w:szCs w:val="30"/>
          <w:rtl/>
        </w:rPr>
        <w:t>دعم أسرهم</w:t>
      </w:r>
      <w:r w:rsidRPr="00655CA9">
        <w:rPr>
          <w:rFonts w:ascii="Traditional Arabic" w:hAnsi="Traditional Arabic" w:cs="Traditional Arabic"/>
          <w:sz w:val="30"/>
          <w:szCs w:val="30"/>
        </w:rPr>
        <w:t xml:space="preserve">. </w:t>
      </w:r>
      <w:r w:rsidRPr="00927301">
        <w:rPr>
          <w:rStyle w:val="FootnoteReference"/>
          <w:rFonts w:asciiTheme="majorBidi" w:hAnsiTheme="majorBidi" w:cstheme="majorBidi"/>
          <w:sz w:val="24"/>
          <w:szCs w:val="24"/>
        </w:rPr>
        <w:footnoteReference w:id="1145"/>
      </w:r>
      <w:r w:rsidR="00126C46" w:rsidRPr="00126C46">
        <w:rPr>
          <w:rtl/>
        </w:rPr>
        <w:t xml:space="preserve"> </w:t>
      </w:r>
      <w:r w:rsidR="00126C46" w:rsidRPr="00126C46">
        <w:rPr>
          <w:rFonts w:ascii="Traditional Arabic" w:hAnsi="Traditional Arabic" w:cs="Traditional Arabic"/>
          <w:sz w:val="30"/>
          <w:szCs w:val="30"/>
          <w:rtl/>
        </w:rPr>
        <w:t>وفي محاولة لمعالجة هذه المشكلة، ذكرت اليونيسيف في 10 آذار/مارس 2019 أنها بدأت في دفع حوافز شهرية تعادل 50 دولاراً من دولارات الولايات المتحدة لهؤلاء المدرسين والموظفين في المدارس.</w:t>
      </w:r>
      <w:r w:rsidR="00126C46">
        <w:rPr>
          <w:rStyle w:val="FootnoteReference"/>
          <w:rFonts w:cs="Traditional Arabic"/>
          <w:szCs w:val="30"/>
          <w:rtl/>
        </w:rPr>
        <w:footnoteReference w:id="1146"/>
      </w:r>
    </w:p>
    <w:p w14:paraId="24CDCA50"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Pr>
          <w:rStyle w:val="FootnoteReference"/>
          <w:rFonts w:asciiTheme="majorBidi" w:hAnsiTheme="majorBidi" w:cstheme="majorBidi" w:hint="cs"/>
          <w:sz w:val="24"/>
          <w:szCs w:val="24"/>
          <w:rtl/>
        </w:rPr>
        <w:t xml:space="preserve"> </w:t>
      </w:r>
      <w:r w:rsidRPr="00655CA9">
        <w:rPr>
          <w:rFonts w:ascii="Traditional Arabic" w:hAnsi="Traditional Arabic" w:cs="Traditional Arabic"/>
          <w:sz w:val="30"/>
          <w:szCs w:val="30"/>
          <w:rtl/>
        </w:rPr>
        <w:t xml:space="preserve">أبلغ المعلمون في المناطق الخاضعة لسيطرة سلطات الأمر الواقع فريق الخبراء بالتحديات الإضافية. ذكر ما لا يقل عن ثلاثة مدرسين قابلهم الخبراء أنهم </w:t>
      </w:r>
      <w:r w:rsidRPr="00655CA9">
        <w:rPr>
          <w:rFonts w:ascii="Traditional Arabic" w:hAnsi="Traditional Arabic" w:cs="Traditional Arabic"/>
          <w:sz w:val="30"/>
          <w:szCs w:val="30"/>
          <w:rtl/>
        </w:rPr>
        <w:lastRenderedPageBreak/>
        <w:t>قُبض عليهم أو اضطروا إلى الفرار من هذه المناطق لأنهم رفضوا تدريس المناهج الحوثية ومواصلة التعاون في حملة الحوثي المستمرة لتجنيد الأطفال. أخبر أحد المعلمين المجموعة أنه طُلب منه تعبئة الشباب، بما في ذلك زيارة المنازل ومحاضرات خاصة حول التعاليم المتعلقة بالحوثيين. قال معلم آخر: "أنا مدرس ولن أحرض على العنف أو أشعله</w:t>
      </w:r>
      <w:r w:rsidRPr="007F48E4">
        <w:rPr>
          <w:rFonts w:asciiTheme="majorBidi" w:hAnsiTheme="majorBidi"/>
          <w:i/>
          <w:iCs/>
          <w:sz w:val="24"/>
          <w:szCs w:val="24"/>
          <w:rtl/>
        </w:rPr>
        <w:t>"</w:t>
      </w:r>
      <w:r w:rsidRPr="007F48E4">
        <w:rPr>
          <w:rFonts w:asciiTheme="majorBidi" w:hAnsiTheme="majorBidi"/>
          <w:sz w:val="24"/>
          <w:szCs w:val="24"/>
          <w:rtl/>
        </w:rPr>
        <w:t>.</w:t>
      </w:r>
      <w:r w:rsidRPr="00927301">
        <w:rPr>
          <w:rStyle w:val="FootnoteReference"/>
          <w:rFonts w:asciiTheme="majorBidi" w:hAnsiTheme="majorBidi" w:cstheme="majorBidi"/>
          <w:sz w:val="24"/>
          <w:szCs w:val="24"/>
        </w:rPr>
        <w:footnoteReference w:id="1147"/>
      </w:r>
      <w:r w:rsidRPr="007F48E4">
        <w:rPr>
          <w:rFonts w:asciiTheme="majorBidi" w:hAnsiTheme="majorBidi"/>
          <w:sz w:val="24"/>
          <w:szCs w:val="24"/>
          <w:rtl/>
        </w:rPr>
        <w:t xml:space="preserve"> </w:t>
      </w:r>
      <w:r w:rsidRPr="00655CA9">
        <w:rPr>
          <w:rFonts w:ascii="Traditional Arabic" w:hAnsi="Traditional Arabic" w:cs="Traditional Arabic"/>
          <w:sz w:val="30"/>
          <w:szCs w:val="30"/>
          <w:rtl/>
        </w:rPr>
        <w:t xml:space="preserve">من الواضح أن سلطات الأمر الواقع قد استخدمت نظام التعليم لتلقين الطلاب، وتجنيدهم في الجماعة المسلحة، من خلال فرض مناهج دراسية إضافية تسهم في القوالب النمطية للأطراف الأخرى في النزاع، وكذلك الدول </w:t>
      </w:r>
      <w:r w:rsidRPr="00655CA9">
        <w:rPr>
          <w:rFonts w:ascii="Traditional Arabic" w:hAnsi="Traditional Arabic" w:cs="Traditional Arabic" w:hint="eastAsia"/>
          <w:sz w:val="30"/>
          <w:szCs w:val="30"/>
          <w:rtl/>
        </w:rPr>
        <w:t>كطرف</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ثالث</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w:t>
      </w:r>
      <w:r w:rsidRPr="00655CA9">
        <w:rPr>
          <w:rFonts w:ascii="Traditional Arabic" w:hAnsi="Traditional Arabic" w:cs="Traditional Arabic"/>
          <w:sz w:val="30"/>
          <w:szCs w:val="30"/>
          <w:rtl/>
        </w:rPr>
        <w:t>التي لا تشارك بشكل مباشر في الصراع الداخلي</w:t>
      </w:r>
      <w:r w:rsidRPr="00655CA9">
        <w:rPr>
          <w:rFonts w:ascii="Traditional Arabic" w:hAnsi="Traditional Arabic" w:cs="Traditional Arabic"/>
          <w:sz w:val="30"/>
          <w:szCs w:val="30"/>
        </w:rPr>
        <w:t>.</w:t>
      </w:r>
    </w:p>
    <w:p w14:paraId="05D72533"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يلاحظ الفريق بقلق بالغ أن النزاع زاد من استبعاد فئات معينة من الأطفال من المدارس</w:t>
      </w:r>
      <w:r w:rsidRPr="00927301">
        <w:rPr>
          <w:rStyle w:val="FootnoteReference"/>
          <w:rFonts w:asciiTheme="majorBidi" w:hAnsiTheme="majorBidi" w:cstheme="majorBidi"/>
          <w:sz w:val="24"/>
          <w:szCs w:val="24"/>
        </w:rPr>
        <w:footnoteReference w:id="1148"/>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يختلف وصول الفتيات إلى التعليم حسب العمر والمنطقة. مع انقطاع المساعدة المالية للأشخاص ذوي الإعاقة ، من بين أمور أخرى ، تم إهمال الاحتياجات المحددة للأطفال ذوي الإعاقة وإمكانية حصولهم على التعليم.  تم اعلام الفريق أنه في تعز ، على سبيل المثال ، يواجه أطفال "المه</w:t>
      </w:r>
      <w:r w:rsidRPr="00655CA9">
        <w:rPr>
          <w:rFonts w:ascii="Traditional Arabic" w:hAnsi="Traditional Arabic" w:cs="Traditional Arabic" w:hint="eastAsia"/>
          <w:sz w:val="30"/>
          <w:szCs w:val="30"/>
          <w:rtl/>
        </w:rPr>
        <w:t>مشين</w:t>
      </w:r>
      <w:r w:rsidRPr="00655CA9">
        <w:rPr>
          <w:rFonts w:ascii="Traditional Arabic" w:hAnsi="Traditional Arabic" w:cs="Traditional Arabic"/>
          <w:sz w:val="30"/>
          <w:szCs w:val="30"/>
          <w:rtl/>
        </w:rPr>
        <w:t>"</w:t>
      </w:r>
      <w:r w:rsidRPr="00927301">
        <w:rPr>
          <w:rFonts w:asciiTheme="majorBidi" w:hAnsiTheme="majorBidi"/>
          <w:sz w:val="24"/>
          <w:szCs w:val="24"/>
          <w:rtl/>
        </w:rPr>
        <w:t xml:space="preserve"> </w:t>
      </w:r>
      <w:r w:rsidRPr="00927301">
        <w:rPr>
          <w:rStyle w:val="FootnoteReference"/>
          <w:rFonts w:asciiTheme="majorBidi" w:hAnsiTheme="majorBidi" w:cstheme="majorBidi"/>
          <w:i/>
          <w:sz w:val="24"/>
          <w:szCs w:val="24"/>
        </w:rPr>
        <w:footnoteReference w:id="1149"/>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عندما يتمكنون من الذهاب إلى المدرسة ، التمييز وكثير منهم لا يستطيعون تحمل </w:t>
      </w:r>
      <w:r w:rsidRPr="00655CA9">
        <w:rPr>
          <w:rFonts w:ascii="Traditional Arabic" w:hAnsi="Traditional Arabic" w:cs="Traditional Arabic" w:hint="eastAsia"/>
          <w:sz w:val="30"/>
          <w:szCs w:val="30"/>
          <w:rtl/>
        </w:rPr>
        <w:t>كلفة</w:t>
      </w:r>
      <w:r w:rsidRPr="00655CA9">
        <w:rPr>
          <w:rFonts w:ascii="Traditional Arabic" w:hAnsi="Traditional Arabic" w:cs="Traditional Arabic"/>
          <w:sz w:val="30"/>
          <w:szCs w:val="30"/>
          <w:rtl/>
        </w:rPr>
        <w:t xml:space="preserve"> الزي الرسمي</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0"/>
      </w:r>
      <w:r w:rsidRPr="00927301">
        <w:rPr>
          <w:rFonts w:asciiTheme="majorBidi" w:hAnsiTheme="majorBidi" w:cstheme="majorBidi"/>
          <w:sz w:val="24"/>
          <w:szCs w:val="24"/>
        </w:rPr>
        <w:t xml:space="preserve"> </w:t>
      </w:r>
      <w:r w:rsidRPr="00927301">
        <w:rPr>
          <w:rFonts w:asciiTheme="majorBidi" w:hAnsiTheme="majorBidi" w:hint="cs"/>
          <w:sz w:val="24"/>
          <w:szCs w:val="24"/>
          <w:rtl/>
        </w:rPr>
        <w:t xml:space="preserve">. </w:t>
      </w:r>
      <w:r w:rsidRPr="00655CA9">
        <w:rPr>
          <w:rFonts w:ascii="Traditional Arabic" w:hAnsi="Traditional Arabic" w:cs="Traditional Arabic" w:hint="eastAsia"/>
          <w:sz w:val="30"/>
          <w:szCs w:val="30"/>
          <w:rtl/>
        </w:rPr>
        <w:t>سيواصل</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مراقبة وضع أطفال "المه</w:t>
      </w:r>
      <w:r w:rsidRPr="00655CA9">
        <w:rPr>
          <w:rFonts w:ascii="Traditional Arabic" w:hAnsi="Traditional Arabic" w:cs="Traditional Arabic" w:hint="eastAsia"/>
          <w:sz w:val="30"/>
          <w:szCs w:val="30"/>
          <w:rtl/>
        </w:rPr>
        <w:t>مشين</w:t>
      </w:r>
      <w:r w:rsidRPr="00655CA9">
        <w:rPr>
          <w:rFonts w:ascii="Traditional Arabic" w:hAnsi="Traditional Arabic" w:cs="Traditional Arabic"/>
          <w:sz w:val="30"/>
          <w:szCs w:val="30"/>
          <w:rtl/>
        </w:rPr>
        <w:t xml:space="preserve">" في اليمن </w:t>
      </w:r>
      <w:r w:rsidRPr="00655CA9">
        <w:rPr>
          <w:rFonts w:ascii="Traditional Arabic" w:hAnsi="Traditional Arabic" w:cs="Traditional Arabic" w:hint="eastAsia"/>
          <w:sz w:val="30"/>
          <w:szCs w:val="30"/>
          <w:rtl/>
        </w:rPr>
        <w:t>وحصولهم</w:t>
      </w:r>
      <w:r w:rsidRPr="00655CA9">
        <w:rPr>
          <w:rFonts w:ascii="Traditional Arabic" w:hAnsi="Traditional Arabic" w:cs="Traditional Arabic"/>
          <w:sz w:val="30"/>
          <w:szCs w:val="30"/>
          <w:rtl/>
        </w:rPr>
        <w:t xml:space="preserve"> على  حقوقهم الأساسية (</w:t>
      </w:r>
      <w:r w:rsidRPr="00E23EB7">
        <w:rPr>
          <w:rFonts w:ascii="Traditional Arabic" w:hAnsi="Traditional Arabic" w:cs="Traditional Arabic"/>
          <w:sz w:val="30"/>
          <w:szCs w:val="30"/>
          <w:rtl/>
        </w:rPr>
        <w:t>ل</w:t>
      </w:r>
      <w:r w:rsidRPr="00E23EB7">
        <w:rPr>
          <w:rFonts w:ascii="Traditional Arabic" w:hAnsi="Traditional Arabic" w:cs="Traditional Arabic" w:hint="eastAsia"/>
          <w:sz w:val="30"/>
          <w:szCs w:val="30"/>
          <w:rtl/>
        </w:rPr>
        <w:t>مزيد</w:t>
      </w:r>
      <w:r w:rsidRPr="00E23EB7">
        <w:rPr>
          <w:rFonts w:ascii="Traditional Arabic" w:hAnsi="Traditional Arabic" w:cs="Traditional Arabic"/>
          <w:sz w:val="30"/>
          <w:szCs w:val="30"/>
          <w:rtl/>
        </w:rPr>
        <w:t xml:space="preserve"> من </w:t>
      </w:r>
      <w:r w:rsidRPr="00E23EB7">
        <w:rPr>
          <w:rFonts w:ascii="Traditional Arabic" w:hAnsi="Traditional Arabic" w:cs="Traditional Arabic" w:hint="eastAsia"/>
          <w:sz w:val="30"/>
          <w:szCs w:val="30"/>
          <w:rtl/>
        </w:rPr>
        <w:t>ال</w:t>
      </w:r>
      <w:r w:rsidRPr="00E23EB7">
        <w:rPr>
          <w:rFonts w:ascii="Traditional Arabic" w:hAnsi="Traditional Arabic" w:cs="Traditional Arabic"/>
          <w:sz w:val="30"/>
          <w:szCs w:val="30"/>
          <w:rtl/>
        </w:rPr>
        <w:t xml:space="preserve">معلومات، انظر </w:t>
      </w:r>
      <w:r w:rsidRPr="00E23EB7">
        <w:rPr>
          <w:rFonts w:ascii="Traditional Arabic" w:hAnsi="Traditional Arabic" w:cs="Traditional Arabic" w:hint="cs"/>
          <w:sz w:val="30"/>
          <w:szCs w:val="30"/>
          <w:rtl/>
        </w:rPr>
        <w:t>ال</w:t>
      </w:r>
      <w:r w:rsidRPr="00E23EB7">
        <w:rPr>
          <w:rFonts w:ascii="Traditional Arabic" w:hAnsi="Traditional Arabic" w:cs="Traditional Arabic" w:hint="eastAsia"/>
          <w:sz w:val="30"/>
          <w:szCs w:val="30"/>
          <w:rtl/>
        </w:rPr>
        <w:t>فصل</w:t>
      </w:r>
      <w:r w:rsidRPr="00E23EB7">
        <w:rPr>
          <w:rFonts w:ascii="Traditional Arabic" w:hAnsi="Traditional Arabic" w:cs="Traditional Arabic"/>
          <w:sz w:val="30"/>
          <w:szCs w:val="30"/>
          <w:rtl/>
        </w:rPr>
        <w:t xml:space="preserve"> </w:t>
      </w:r>
      <w:r w:rsidRPr="00E23EB7">
        <w:rPr>
          <w:rFonts w:ascii="Traditional Arabic" w:hAnsi="Traditional Arabic" w:cs="Traditional Arabic" w:hint="cs"/>
          <w:sz w:val="30"/>
          <w:szCs w:val="30"/>
          <w:rtl/>
        </w:rPr>
        <w:t xml:space="preserve">عن </w:t>
      </w:r>
      <w:r w:rsidRPr="00E23EB7">
        <w:rPr>
          <w:rFonts w:ascii="Traditional Arabic" w:hAnsi="Traditional Arabic" w:cs="Traditional Arabic"/>
          <w:sz w:val="30"/>
          <w:szCs w:val="30"/>
          <w:rtl/>
        </w:rPr>
        <w:t>وضع ال</w:t>
      </w:r>
      <w:r w:rsidRPr="00E23EB7">
        <w:rPr>
          <w:rFonts w:ascii="Traditional Arabic" w:hAnsi="Traditional Arabic" w:cs="Traditional Arabic" w:hint="eastAsia"/>
          <w:sz w:val="30"/>
          <w:szCs w:val="30"/>
          <w:rtl/>
        </w:rPr>
        <w:t>فئات</w:t>
      </w:r>
      <w:r w:rsidRPr="00E23EB7">
        <w:rPr>
          <w:rFonts w:ascii="Traditional Arabic" w:hAnsi="Traditional Arabic" w:cs="Traditional Arabic"/>
          <w:sz w:val="30"/>
          <w:szCs w:val="30"/>
          <w:rtl/>
        </w:rPr>
        <w:t xml:space="preserve"> </w:t>
      </w:r>
      <w:r w:rsidRPr="00E23EB7">
        <w:rPr>
          <w:rFonts w:ascii="Traditional Arabic" w:hAnsi="Traditional Arabic" w:cs="Traditional Arabic" w:hint="eastAsia"/>
          <w:sz w:val="30"/>
          <w:szCs w:val="30"/>
          <w:rtl/>
        </w:rPr>
        <w:t>الضعيفة</w:t>
      </w:r>
      <w:r>
        <w:rPr>
          <w:rFonts w:ascii="Traditional Arabic" w:hAnsi="Traditional Arabic" w:cs="Traditional Arabic" w:hint="cs"/>
          <w:sz w:val="30"/>
          <w:szCs w:val="30"/>
          <w:rtl/>
        </w:rPr>
        <w:t>)</w:t>
      </w:r>
      <w:r w:rsidRPr="00927301">
        <w:rPr>
          <w:rStyle w:val="FootnoteReference"/>
          <w:rFonts w:asciiTheme="majorBidi" w:eastAsia="SimSun" w:hAnsiTheme="majorBidi" w:cstheme="majorBidi"/>
          <w:sz w:val="24"/>
          <w:szCs w:val="24"/>
          <w:lang w:eastAsia="zh-CN"/>
        </w:rPr>
        <w:footnoteReference w:id="1151"/>
      </w:r>
    </w:p>
    <w:p w14:paraId="7DD4FBFF"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hAnsiTheme="majorBidi" w:cstheme="majorBidi"/>
          <w:sz w:val="24"/>
          <w:szCs w:val="24"/>
        </w:rPr>
      </w:pPr>
      <w:r w:rsidRPr="00655CA9">
        <w:rPr>
          <w:rFonts w:ascii="Traditional Arabic" w:hAnsi="Traditional Arabic" w:cs="Traditional Arabic"/>
          <w:sz w:val="30"/>
          <w:szCs w:val="30"/>
          <w:rtl/>
        </w:rPr>
        <w:t xml:space="preserve"> أفاد من أجريت معهم المقابلات أن العائلات بشكل عام من المحتمل أن تبقي بناتها في المنزل بسبب انعدام الأمن و / أو نقص الموارد</w:t>
      </w:r>
      <w:r w:rsidRPr="00927301">
        <w:rPr>
          <w:rStyle w:val="FootnoteReference"/>
          <w:rFonts w:asciiTheme="majorBidi" w:hAnsiTheme="majorBidi" w:cstheme="majorBidi"/>
          <w:sz w:val="24"/>
          <w:szCs w:val="24"/>
        </w:rPr>
        <w:footnoteReference w:id="1152"/>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في الواقع ، عند مراجعة البيانات التي جمعتها اليونسكو، </w:t>
      </w:r>
      <w:r w:rsidRPr="00655CA9">
        <w:rPr>
          <w:rFonts w:ascii="Traditional Arabic" w:hAnsi="Traditional Arabic" w:cs="Traditional Arabic" w:hint="eastAsia"/>
          <w:sz w:val="30"/>
          <w:szCs w:val="30"/>
          <w:rtl/>
        </w:rPr>
        <w:t>لاحظ</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أنه ،  في يونيو 2019 ،  </w:t>
      </w:r>
      <w:r w:rsidRPr="00655CA9">
        <w:rPr>
          <w:rFonts w:ascii="Traditional Arabic" w:hAnsi="Traditional Arabic" w:cs="Traditional Arabic" w:hint="eastAsia"/>
          <w:sz w:val="30"/>
          <w:szCs w:val="30"/>
          <w:rtl/>
        </w:rPr>
        <w:t>هناك</w:t>
      </w:r>
      <w:r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Pr>
        <w:t xml:space="preserve">2,307,414 </w:t>
      </w:r>
      <w:r w:rsidRPr="00655CA9">
        <w:rPr>
          <w:rFonts w:ascii="Traditional Arabic" w:hAnsi="Traditional Arabic" w:cs="Traditional Arabic"/>
          <w:sz w:val="30"/>
          <w:szCs w:val="30"/>
          <w:rtl/>
        </w:rPr>
        <w:t xml:space="preserve"> طفلاً </w:t>
      </w:r>
      <w:r w:rsidRPr="00655CA9">
        <w:rPr>
          <w:rFonts w:ascii="Traditional Arabic" w:hAnsi="Traditional Arabic" w:cs="Traditional Arabic" w:hint="eastAsia"/>
          <w:sz w:val="30"/>
          <w:szCs w:val="30"/>
          <w:rtl/>
        </w:rPr>
        <w:t>في</w:t>
      </w:r>
      <w:r w:rsidRPr="00655CA9">
        <w:rPr>
          <w:rFonts w:ascii="Traditional Arabic" w:hAnsi="Traditional Arabic" w:cs="Traditional Arabic"/>
          <w:sz w:val="30"/>
          <w:szCs w:val="30"/>
          <w:rtl/>
        </w:rPr>
        <w:t xml:space="preserve"> مرحلة المراهقة والشباب </w:t>
      </w:r>
      <w:r w:rsidRPr="00655CA9">
        <w:rPr>
          <w:rFonts w:ascii="Traditional Arabic" w:hAnsi="Traditional Arabic" w:cs="Traditional Arabic" w:hint="eastAsia"/>
          <w:sz w:val="30"/>
          <w:szCs w:val="30"/>
          <w:rtl/>
        </w:rPr>
        <w:t>خارج</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المدارس</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منهم</w:t>
      </w:r>
      <w:r w:rsidRPr="00655CA9">
        <w:rPr>
          <w:rFonts w:ascii="Traditional Arabic" w:hAnsi="Traditional Arabic" w:cs="Traditional Arabic"/>
          <w:sz w:val="30"/>
          <w:szCs w:val="30"/>
          <w:rtl/>
        </w:rPr>
        <w:t xml:space="preserve"> </w:t>
      </w:r>
      <w:r w:rsidRPr="00655CA9">
        <w:rPr>
          <w:rFonts w:ascii="Traditional Arabic" w:hAnsi="Traditional Arabic" w:cs="Traditional Arabic"/>
          <w:sz w:val="30"/>
          <w:szCs w:val="30"/>
        </w:rPr>
        <w:t xml:space="preserve">1,397,418 </w:t>
      </w:r>
      <w:r w:rsidRPr="00655CA9">
        <w:rPr>
          <w:rFonts w:ascii="Traditional Arabic" w:hAnsi="Traditional Arabic" w:cs="Traditional Arabic"/>
          <w:sz w:val="30"/>
          <w:szCs w:val="30"/>
          <w:rtl/>
        </w:rPr>
        <w:t xml:space="preserve"> من الإناث (60٪) و</w:t>
      </w:r>
      <w:r w:rsidRPr="00655CA9">
        <w:rPr>
          <w:rFonts w:ascii="Traditional Arabic" w:hAnsi="Traditional Arabic" w:cs="Traditional Arabic" w:hint="eastAsia"/>
          <w:sz w:val="30"/>
          <w:szCs w:val="30"/>
          <w:rtl/>
        </w:rPr>
        <w:t>الباقي</w:t>
      </w:r>
      <w:r w:rsidRPr="00655CA9">
        <w:rPr>
          <w:rFonts w:ascii="Traditional Arabic" w:hAnsi="Traditional Arabic" w:cs="Traditional Arabic"/>
          <w:sz w:val="30"/>
          <w:szCs w:val="30"/>
          <w:rtl/>
        </w:rPr>
        <w:t xml:space="preserve">  909،996 من الذكور</w:t>
      </w:r>
      <w:r w:rsidRPr="00927301">
        <w:rPr>
          <w:rStyle w:val="FootnoteReference"/>
          <w:rFonts w:asciiTheme="majorBidi" w:hAnsiTheme="majorBidi" w:cstheme="majorBidi"/>
          <w:sz w:val="24"/>
          <w:szCs w:val="24"/>
        </w:rPr>
        <w:footnoteReference w:id="1153"/>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عدد الفتيات غير الملتحقات بالمدارس أكبر في مناطق النزاع المستمر والمناطق الريفية</w:t>
      </w:r>
      <w:r w:rsidRPr="00927301">
        <w:rPr>
          <w:rStyle w:val="FootnoteReference"/>
          <w:rFonts w:asciiTheme="majorBidi" w:hAnsiTheme="majorBidi" w:cstheme="majorBidi"/>
          <w:sz w:val="24"/>
          <w:szCs w:val="24"/>
        </w:rPr>
        <w:footnoteReference w:id="1154"/>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على سبيل المثال ، حصل </w:t>
      </w:r>
      <w:r w:rsidRPr="00655CA9">
        <w:rPr>
          <w:rFonts w:ascii="Traditional Arabic" w:hAnsi="Traditional Arabic" w:cs="Traditional Arabic" w:hint="eastAsia"/>
          <w:sz w:val="30"/>
          <w:szCs w:val="30"/>
          <w:rtl/>
        </w:rPr>
        <w:t>الفريق</w:t>
      </w:r>
      <w:r w:rsidRPr="00655CA9">
        <w:rPr>
          <w:rFonts w:ascii="Traditional Arabic" w:hAnsi="Traditional Arabic" w:cs="Traditional Arabic"/>
          <w:sz w:val="30"/>
          <w:szCs w:val="30"/>
          <w:rtl/>
        </w:rPr>
        <w:t xml:space="preserve"> على معلومات عن عدد الطلاب المسجلين في تعز للفترة 2018-2019 وصعدة لعام 2016-2017.</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5"/>
      </w:r>
      <w:r w:rsidRPr="00927301">
        <w:rPr>
          <w:rFonts w:asciiTheme="majorBidi" w:hAnsiTheme="majorBidi" w:cstheme="majorBidi"/>
          <w:sz w:val="24"/>
          <w:szCs w:val="24"/>
        </w:rPr>
        <w:t xml:space="preserve"> </w:t>
      </w:r>
      <w:r w:rsidRPr="00927301">
        <w:rPr>
          <w:rFonts w:asciiTheme="majorBidi" w:hAnsiTheme="majorBidi"/>
          <w:sz w:val="24"/>
          <w:szCs w:val="24"/>
          <w:rtl/>
        </w:rPr>
        <w:t xml:space="preserve"> </w:t>
      </w:r>
      <w:r w:rsidRPr="00655CA9">
        <w:rPr>
          <w:rFonts w:ascii="Traditional Arabic" w:hAnsi="Traditional Arabic" w:cs="Traditional Arabic"/>
          <w:sz w:val="30"/>
          <w:szCs w:val="30"/>
          <w:rtl/>
        </w:rPr>
        <w:t xml:space="preserve">في محافظة صعدة ، كان 40 في المائة من الطلاب المسجلين في المدارس الابتدائية من الإناث ، </w:t>
      </w:r>
      <w:r w:rsidRPr="00655CA9">
        <w:rPr>
          <w:rFonts w:ascii="Traditional Arabic" w:hAnsi="Traditional Arabic" w:cs="Traditional Arabic"/>
          <w:sz w:val="30"/>
          <w:szCs w:val="30"/>
          <w:rtl/>
        </w:rPr>
        <w:lastRenderedPageBreak/>
        <w:t xml:space="preserve">مقارنة بـ 34 في المائة من الطلاب من الإناث في المدارس الثانوية. بلغ معدل الطالبات في المدارس الابتدائية في  مديريات الحشوة </w:t>
      </w:r>
      <w:r w:rsidRPr="00655CA9">
        <w:rPr>
          <w:rFonts w:ascii="Traditional Arabic" w:hAnsi="Traditional Arabic" w:cs="Traditional Arabic" w:hint="eastAsia"/>
          <w:sz w:val="30"/>
          <w:szCs w:val="30"/>
          <w:rtl/>
        </w:rPr>
        <w:t>والصفراء</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وقطابر</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وكتاف</w:t>
      </w:r>
      <w:r w:rsidRPr="00655CA9">
        <w:rPr>
          <w:rFonts w:ascii="Traditional Arabic" w:hAnsi="Traditional Arabic" w:cs="Traditional Arabic"/>
          <w:sz w:val="30"/>
          <w:szCs w:val="30"/>
          <w:rtl/>
        </w:rPr>
        <w:t xml:space="preserve"> 34 في المائة، مقارنة بـ 14 في المائة في المدارس الثانوية</w:t>
      </w:r>
      <w:r w:rsidRPr="00927301">
        <w:rPr>
          <w:rFonts w:asciiTheme="majorBidi" w:hAnsiTheme="majorBidi" w:cstheme="majorBidi"/>
          <w:sz w:val="24"/>
          <w:szCs w:val="24"/>
        </w:rPr>
        <w:t>.</w:t>
      </w:r>
      <w:r w:rsidRPr="00927301">
        <w:rPr>
          <w:rStyle w:val="FootnoteReference"/>
          <w:rFonts w:asciiTheme="majorBidi" w:hAnsiTheme="majorBidi" w:cstheme="majorBidi"/>
          <w:sz w:val="24"/>
          <w:szCs w:val="24"/>
        </w:rPr>
        <w:t xml:space="preserve"> </w:t>
      </w:r>
      <w:r w:rsidRPr="00927301">
        <w:rPr>
          <w:rStyle w:val="FootnoteReference"/>
          <w:rFonts w:asciiTheme="majorBidi" w:hAnsiTheme="majorBidi" w:cstheme="majorBidi"/>
          <w:sz w:val="24"/>
          <w:szCs w:val="24"/>
        </w:rPr>
        <w:footnoteReference w:id="1156"/>
      </w:r>
    </w:p>
    <w:p w14:paraId="6ED46AC8" w14:textId="77777777" w:rsidR="009826D6" w:rsidRPr="00927301"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heme="majorBidi" w:eastAsia="SimSun" w:hAnsiTheme="majorBidi" w:cstheme="majorBidi"/>
          <w:sz w:val="24"/>
          <w:szCs w:val="24"/>
          <w:lang w:eastAsia="zh-CN"/>
        </w:rPr>
      </w:pPr>
      <w:r w:rsidRPr="00655CA9">
        <w:rPr>
          <w:rFonts w:ascii="Traditional Arabic" w:hAnsi="Traditional Arabic" w:cs="Traditional Arabic"/>
          <w:sz w:val="30"/>
          <w:szCs w:val="30"/>
          <w:rtl/>
        </w:rPr>
        <w:t>في حين قبل النزاع ، كان هناك عدد من الاستراتيجيات الأخرى لزيادة المشاركة التعليمية للفئات المهمشة</w:t>
      </w:r>
      <w:r w:rsidRPr="00927301">
        <w:rPr>
          <w:rStyle w:val="FootnoteReference"/>
          <w:rFonts w:asciiTheme="majorBidi" w:hAnsiTheme="majorBidi" w:cstheme="majorBidi"/>
          <w:sz w:val="24"/>
          <w:szCs w:val="24"/>
        </w:rPr>
        <w:footnoteReference w:id="1157"/>
      </w:r>
      <w:r w:rsidRPr="00927301">
        <w:rPr>
          <w:rFonts w:asciiTheme="majorBidi" w:hAnsiTheme="majorBidi" w:cstheme="majorBidi"/>
          <w:sz w:val="24"/>
          <w:szCs w:val="24"/>
        </w:rPr>
        <w:t xml:space="preserve"> </w:t>
      </w:r>
      <w:r w:rsidRPr="00927301">
        <w:rPr>
          <w:rFonts w:asciiTheme="majorBidi" w:eastAsia="SimSun" w:hAnsiTheme="majorBidi"/>
          <w:sz w:val="24"/>
          <w:szCs w:val="24"/>
          <w:rtl/>
          <w:lang w:eastAsia="zh-CN"/>
        </w:rPr>
        <w:t>،</w:t>
      </w:r>
      <w:r w:rsidRPr="00655CA9">
        <w:rPr>
          <w:rFonts w:ascii="Traditional Arabic" w:hAnsi="Traditional Arabic" w:cs="Traditional Arabic"/>
          <w:sz w:val="30"/>
          <w:szCs w:val="30"/>
          <w:rtl/>
        </w:rPr>
        <w:t xml:space="preserve"> بما في ذلك التصديق على اتفاقية حقوق الأشخاص ذوي الإعاقة وبروتوكولها الاختياري</w:t>
      </w:r>
      <w:r w:rsidRPr="00927301">
        <w:rPr>
          <w:rStyle w:val="FootnoteReference"/>
          <w:rFonts w:asciiTheme="majorBidi" w:hAnsiTheme="majorBidi" w:cstheme="majorBidi"/>
          <w:sz w:val="24"/>
          <w:szCs w:val="24"/>
        </w:rPr>
        <w:footnoteReference w:id="1158"/>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في عام 2014، 45 في المائة من أطفال المدارس الابتدائية المصابين بإعاقة كانوا خارج المدرسة</w:t>
      </w:r>
      <w:r w:rsidRPr="00927301">
        <w:rPr>
          <w:rStyle w:val="FootnoteReference"/>
          <w:rFonts w:asciiTheme="majorBidi" w:eastAsia="SimSun" w:hAnsiTheme="majorBidi" w:cstheme="majorBidi"/>
          <w:sz w:val="24"/>
          <w:szCs w:val="24"/>
          <w:lang w:eastAsia="zh-CN"/>
        </w:rPr>
        <w:footnoteReference w:id="1159"/>
      </w:r>
      <w:r w:rsidRPr="00927301">
        <w:rPr>
          <w:rFonts w:asciiTheme="majorBidi" w:eastAsia="SimSun" w:hAnsiTheme="majorBidi" w:hint="cs"/>
          <w:sz w:val="24"/>
          <w:szCs w:val="24"/>
          <w:rtl/>
          <w:lang w:eastAsia="zh-CN"/>
        </w:rPr>
        <w:t xml:space="preserve">. </w:t>
      </w:r>
      <w:r w:rsidRPr="00655CA9">
        <w:rPr>
          <w:rFonts w:ascii="Traditional Arabic" w:hAnsi="Traditional Arabic" w:cs="Traditional Arabic"/>
          <w:sz w:val="30"/>
          <w:szCs w:val="30"/>
          <w:rtl/>
        </w:rPr>
        <w:t>أثر  النزاع الحالي بشكل أكبر على حصول الأطفال ذوي الإعاقة على التعليم</w:t>
      </w:r>
      <w:r w:rsidRPr="00927301">
        <w:rPr>
          <w:rStyle w:val="FootnoteReference"/>
          <w:rFonts w:asciiTheme="majorBidi" w:eastAsia="SimSun" w:hAnsiTheme="majorBidi" w:cstheme="majorBidi"/>
          <w:sz w:val="24"/>
          <w:szCs w:val="24"/>
          <w:lang w:eastAsia="zh-CN"/>
        </w:rPr>
        <w:footnoteReference w:id="1160"/>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على الرغم من عدم وجود بيانات واضحة عن عدد الأطفال ذوي الإعاقات المختلفة داخل وخارج المدارس في اليمن، فقد أُبلغ فريق الخبراء أنه نتيجة انقطاع منافع الرعاية الاجتماعية</w:t>
      </w:r>
      <w:r w:rsidRPr="00927301">
        <w:rPr>
          <w:rFonts w:asciiTheme="majorBidi" w:eastAsia="SimSun" w:hAnsiTheme="majorBidi"/>
          <w:sz w:val="24"/>
          <w:szCs w:val="24"/>
          <w:rtl/>
          <w:lang w:eastAsia="zh-CN"/>
        </w:rPr>
        <w:t xml:space="preserve"> </w:t>
      </w:r>
      <w:r w:rsidRPr="00927301">
        <w:rPr>
          <w:rStyle w:val="FootnoteReference"/>
          <w:rFonts w:asciiTheme="majorBidi" w:eastAsia="SimSun" w:hAnsiTheme="majorBidi" w:cstheme="majorBidi"/>
          <w:sz w:val="24"/>
          <w:szCs w:val="24"/>
          <w:lang w:eastAsia="zh-CN"/>
        </w:rPr>
        <w:footnoteReference w:id="1161"/>
      </w:r>
      <w:r w:rsidRPr="00927301">
        <w:rPr>
          <w:rFonts w:asciiTheme="majorBidi" w:eastAsia="SimSun" w:hAnsiTheme="majorBidi"/>
          <w:sz w:val="24"/>
          <w:szCs w:val="24"/>
          <w:rtl/>
          <w:lang w:eastAsia="zh-CN"/>
        </w:rPr>
        <w:t xml:space="preserve">، </w:t>
      </w:r>
      <w:r w:rsidRPr="00655CA9">
        <w:rPr>
          <w:rFonts w:ascii="Traditional Arabic" w:hAnsi="Traditional Arabic" w:cs="Traditional Arabic"/>
          <w:sz w:val="30"/>
          <w:szCs w:val="30"/>
          <w:rtl/>
        </w:rPr>
        <w:t>فإن التحديات التي يواجهها الأطفال ذوو الإعاقة من أجل التمتع بحقهم في التعليم قد تفاقمت</w:t>
      </w:r>
      <w:r w:rsidRPr="00655CA9">
        <w:rPr>
          <w:rFonts w:ascii="Traditional Arabic" w:hAnsi="Traditional Arabic" w:cs="Traditional Arabic"/>
          <w:sz w:val="30"/>
          <w:szCs w:val="30"/>
        </w:rPr>
        <w:t xml:space="preserve">. </w:t>
      </w:r>
      <w:r w:rsidRPr="00927301">
        <w:rPr>
          <w:rStyle w:val="FootnoteReference"/>
          <w:rFonts w:asciiTheme="majorBidi" w:eastAsia="SimSun" w:hAnsiTheme="majorBidi" w:cstheme="majorBidi"/>
          <w:sz w:val="24"/>
          <w:szCs w:val="24"/>
          <w:lang w:eastAsia="zh-CN"/>
        </w:rPr>
        <w:footnoteReference w:id="1162"/>
      </w:r>
    </w:p>
    <w:p w14:paraId="66117251" w14:textId="7C47FF10" w:rsidR="009826D6" w:rsidRPr="0098217B" w:rsidRDefault="009826D6" w:rsidP="0025057B">
      <w:pPr>
        <w:pStyle w:val="ListParagraph"/>
        <w:numPr>
          <w:ilvl w:val="0"/>
          <w:numId w:val="23"/>
        </w:numPr>
        <w:bidi/>
        <w:ind w:right="900"/>
        <w:rPr>
          <w:rFonts w:asciiTheme="majorBidi" w:hAnsiTheme="majorBidi" w:cstheme="majorBidi"/>
          <w:b/>
          <w:bCs/>
          <w:sz w:val="24"/>
          <w:szCs w:val="24"/>
          <w:lang w:val="en-GB"/>
        </w:rPr>
      </w:pPr>
      <w:r w:rsidRPr="0098217B">
        <w:rPr>
          <w:rFonts w:ascii="Traditional Arabic" w:eastAsia="Times New Roman" w:hAnsi="Traditional Arabic" w:cs="Traditional Arabic"/>
          <w:b/>
          <w:bCs/>
          <w:sz w:val="30"/>
          <w:szCs w:val="30"/>
          <w:rtl/>
          <w:lang w:val="en-GB"/>
        </w:rPr>
        <w:t>الملاحظات الختامية حول تأثير النزاع على الأطفال</w:t>
      </w:r>
    </w:p>
    <w:p w14:paraId="465B6A69" w14:textId="058E3013" w:rsidR="009826D6" w:rsidRPr="00655CA9" w:rsidRDefault="009826D6" w:rsidP="00706B50">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tl/>
        </w:rPr>
      </w:pPr>
      <w:r w:rsidRPr="00655CA9">
        <w:rPr>
          <w:rFonts w:ascii="Traditional Arabic" w:hAnsi="Traditional Arabic" w:cs="Traditional Arabic"/>
          <w:sz w:val="30"/>
          <w:szCs w:val="30"/>
          <w:rtl/>
        </w:rPr>
        <w:t xml:space="preserve">تمكن فريق الخبراء من الاطلاع على شهادات الأطفال الناجين التي </w:t>
      </w:r>
      <w:r w:rsidR="003A17EB">
        <w:rPr>
          <w:rFonts w:ascii="Traditional Arabic" w:hAnsi="Traditional Arabic" w:cs="Traditional Arabic" w:hint="cs"/>
          <w:sz w:val="30"/>
          <w:szCs w:val="30"/>
          <w:rtl/>
        </w:rPr>
        <w:t>تضمنت دلائل</w:t>
      </w:r>
      <w:r w:rsidRPr="00655CA9">
        <w:rPr>
          <w:rFonts w:ascii="Traditional Arabic" w:hAnsi="Traditional Arabic" w:cs="Traditional Arabic"/>
          <w:sz w:val="30"/>
          <w:szCs w:val="30"/>
          <w:rtl/>
        </w:rPr>
        <w:t xml:space="preserve"> واضحة</w:t>
      </w:r>
      <w:r w:rsidR="003A17EB">
        <w:rPr>
          <w:rFonts w:ascii="Traditional Arabic" w:hAnsi="Traditional Arabic" w:cs="Traditional Arabic" w:hint="cs"/>
          <w:sz w:val="30"/>
          <w:szCs w:val="30"/>
          <w:rtl/>
        </w:rPr>
        <w:t xml:space="preserve"> على وجود</w:t>
      </w:r>
      <w:r w:rsidRPr="00655CA9">
        <w:rPr>
          <w:rFonts w:ascii="Traditional Arabic" w:hAnsi="Traditional Arabic" w:cs="Traditional Arabic"/>
          <w:sz w:val="30"/>
          <w:szCs w:val="30"/>
          <w:rtl/>
        </w:rPr>
        <w:t xml:space="preserve"> </w:t>
      </w:r>
      <w:r w:rsidR="003A17EB">
        <w:rPr>
          <w:rFonts w:ascii="Traditional Arabic" w:hAnsi="Traditional Arabic" w:cs="Traditional Arabic" w:hint="cs"/>
          <w:sz w:val="30"/>
          <w:szCs w:val="30"/>
          <w:rtl/>
        </w:rPr>
        <w:t>ا</w:t>
      </w:r>
      <w:r w:rsidRPr="00655CA9">
        <w:rPr>
          <w:rFonts w:ascii="Traditional Arabic" w:hAnsi="Traditional Arabic" w:cs="Traditional Arabic"/>
          <w:sz w:val="30"/>
          <w:szCs w:val="30"/>
          <w:rtl/>
        </w:rPr>
        <w:t xml:space="preserve">لاضطراب النفسي. لقد أصيب هؤلاء الأطفال بجروح أو كان لديهم أقارب </w:t>
      </w:r>
      <w:r w:rsidRPr="00655CA9">
        <w:rPr>
          <w:rFonts w:ascii="Traditional Arabic" w:hAnsi="Traditional Arabic" w:cs="Traditional Arabic" w:hint="eastAsia"/>
          <w:sz w:val="30"/>
          <w:szCs w:val="30"/>
          <w:rtl/>
        </w:rPr>
        <w:t>من</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الدرجة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الاولى</w:t>
      </w:r>
      <w:r w:rsidRPr="00655CA9">
        <w:rPr>
          <w:rFonts w:ascii="Traditional Arabic" w:hAnsi="Traditional Arabic" w:cs="Traditional Arabic"/>
          <w:sz w:val="30"/>
          <w:szCs w:val="30"/>
          <w:rtl/>
        </w:rPr>
        <w:t xml:space="preserve"> ممن قُتلوا وجُرحوا؛ تم تجنيدهم في القوات المسلحة أو الجماعات المسلحة نفسها؛ تم فصلهم عن عائلاتهم و/ أو أجبروا على رعاية إخوتهم لأن أفراد أسرهم قد انفصلوا أو ماتوا</w:t>
      </w:r>
      <w:r w:rsidRPr="00655CA9">
        <w:rPr>
          <w:rFonts w:ascii="Traditional Arabic" w:hAnsi="Traditional Arabic" w:cs="Traditional Arabic"/>
          <w:sz w:val="30"/>
          <w:szCs w:val="30"/>
        </w:rPr>
        <w:t>.</w:t>
      </w:r>
    </w:p>
    <w:p w14:paraId="3C0E27F2"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وبالإضافة إلى ذلك ، فقد الأطفال المتأثرون بالنزاع مصادر هامة للدعم الاجتماعي لرفاههم، وخاصة المدارس. أُجبر الأطفال في اليمن ، في سن مبكرة، على المساهمة في دخل الأسر، بما في ذلك الجنود الأطفال ، مما أدى إلى تغييرات كبيرة في دور الأطفال داخل الأسرة والمجتمع. يجب معالجة هذه القضايا لمنع الأطفال من الانخراط في دورات العنف المستمرة</w:t>
      </w:r>
      <w:r w:rsidRPr="00655CA9">
        <w:rPr>
          <w:rFonts w:ascii="Traditional Arabic" w:hAnsi="Traditional Arabic" w:cs="Traditional Arabic"/>
          <w:sz w:val="30"/>
          <w:szCs w:val="30"/>
        </w:rPr>
        <w:t>.</w:t>
      </w:r>
    </w:p>
    <w:p w14:paraId="061F34AD" w14:textId="77777777" w:rsidR="009826D6" w:rsidRPr="00655CA9" w:rsidRDefault="009826D6" w:rsidP="0098217B">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hAnsi="Traditional Arabic" w:cs="Traditional Arabic"/>
          <w:sz w:val="30"/>
          <w:szCs w:val="30"/>
        </w:rPr>
      </w:pPr>
      <w:r w:rsidRPr="00655CA9">
        <w:rPr>
          <w:rFonts w:ascii="Traditional Arabic" w:hAnsi="Traditional Arabic" w:cs="Traditional Arabic"/>
          <w:sz w:val="30"/>
          <w:szCs w:val="30"/>
          <w:rtl/>
        </w:rPr>
        <w:t>انتهكت أطراف النزاع على نطاق واسع الحماية التي يتمتع بها الأطفال بموجب القانون الدولي لحقوق الإنسان والقانون الدولي</w:t>
      </w:r>
      <w:r w:rsidRPr="001C3D43">
        <w:rPr>
          <w:rFonts w:ascii="Traditional Arabic" w:hAnsi="Traditional Arabic" w:cs="Traditional Arabic"/>
          <w:sz w:val="30"/>
          <w:szCs w:val="30"/>
          <w:rtl/>
        </w:rPr>
        <w:t xml:space="preserve"> </w:t>
      </w:r>
      <w:r w:rsidRPr="00ED5927">
        <w:rPr>
          <w:rFonts w:ascii="Traditional Arabic" w:hAnsi="Traditional Arabic" w:cs="Traditional Arabic"/>
          <w:sz w:val="30"/>
          <w:szCs w:val="30"/>
          <w:rtl/>
        </w:rPr>
        <w:t>الإنساني</w:t>
      </w:r>
      <w:r w:rsidRPr="00655CA9">
        <w:rPr>
          <w:rFonts w:ascii="Traditional Arabic" w:hAnsi="Traditional Arabic" w:cs="Traditional Arabic"/>
          <w:sz w:val="30"/>
          <w:szCs w:val="30"/>
          <w:rtl/>
        </w:rPr>
        <w:t xml:space="preserve">.  لا بد من اعادة التأكيد وبشكل جدي </w:t>
      </w:r>
      <w:r w:rsidRPr="00655CA9">
        <w:rPr>
          <w:rFonts w:ascii="Traditional Arabic" w:hAnsi="Traditional Arabic" w:cs="Traditional Arabic" w:hint="eastAsia"/>
          <w:sz w:val="30"/>
          <w:szCs w:val="30"/>
          <w:rtl/>
        </w:rPr>
        <w:t>على</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ضرورة</w:t>
      </w:r>
      <w:r w:rsidRPr="00655CA9">
        <w:rPr>
          <w:rFonts w:ascii="Traditional Arabic" w:hAnsi="Traditional Arabic" w:cs="Traditional Arabic"/>
          <w:sz w:val="30"/>
          <w:szCs w:val="30"/>
          <w:rtl/>
        </w:rPr>
        <w:t xml:space="preserve"> </w:t>
      </w:r>
      <w:r w:rsidRPr="00655CA9">
        <w:rPr>
          <w:rFonts w:ascii="Traditional Arabic" w:hAnsi="Traditional Arabic" w:cs="Traditional Arabic" w:hint="eastAsia"/>
          <w:sz w:val="30"/>
          <w:szCs w:val="30"/>
          <w:rtl/>
        </w:rPr>
        <w:t>الالتزام</w:t>
      </w:r>
      <w:r w:rsidRPr="00655CA9">
        <w:rPr>
          <w:rFonts w:ascii="Traditional Arabic" w:hAnsi="Traditional Arabic" w:cs="Traditional Arabic"/>
          <w:sz w:val="30"/>
          <w:szCs w:val="30"/>
          <w:rtl/>
        </w:rPr>
        <w:t xml:space="preserve"> </w:t>
      </w:r>
      <w:r>
        <w:rPr>
          <w:rFonts w:ascii="Traditional Arabic" w:hAnsi="Traditional Arabic" w:cs="Traditional Arabic" w:hint="cs"/>
          <w:sz w:val="30"/>
          <w:szCs w:val="30"/>
          <w:rtl/>
        </w:rPr>
        <w:t>ب</w:t>
      </w:r>
      <w:r w:rsidRPr="00655CA9">
        <w:rPr>
          <w:rFonts w:ascii="Traditional Arabic" w:hAnsi="Traditional Arabic" w:cs="Traditional Arabic" w:hint="eastAsia"/>
          <w:sz w:val="30"/>
          <w:szCs w:val="30"/>
          <w:rtl/>
        </w:rPr>
        <w:t>إحترام</w:t>
      </w:r>
      <w:r w:rsidRPr="00655CA9">
        <w:rPr>
          <w:rFonts w:ascii="Traditional Arabic" w:hAnsi="Traditional Arabic" w:cs="Traditional Arabic"/>
          <w:sz w:val="30"/>
          <w:szCs w:val="30"/>
          <w:rtl/>
        </w:rPr>
        <w:t xml:space="preserve"> القانون الدولي </w:t>
      </w:r>
      <w:r w:rsidRPr="00655CA9">
        <w:rPr>
          <w:rFonts w:ascii="Traditional Arabic" w:hAnsi="Traditional Arabic" w:cs="Traditional Arabic" w:hint="eastAsia"/>
          <w:sz w:val="30"/>
          <w:szCs w:val="30"/>
          <w:rtl/>
        </w:rPr>
        <w:t>ويتبع</w:t>
      </w:r>
      <w:r w:rsidRPr="00655CA9">
        <w:rPr>
          <w:rFonts w:ascii="Traditional Arabic" w:hAnsi="Traditional Arabic" w:cs="Traditional Arabic"/>
          <w:sz w:val="30"/>
          <w:szCs w:val="30"/>
          <w:rtl/>
        </w:rPr>
        <w:t xml:space="preserve"> ذلك  </w:t>
      </w:r>
      <w:r w:rsidRPr="00655CA9">
        <w:rPr>
          <w:rFonts w:ascii="Traditional Arabic" w:hAnsi="Traditional Arabic" w:cs="Traditional Arabic"/>
          <w:sz w:val="30"/>
          <w:szCs w:val="30"/>
          <w:rtl/>
        </w:rPr>
        <w:lastRenderedPageBreak/>
        <w:t xml:space="preserve">إجراءات ملموسة </w:t>
      </w:r>
      <w:r w:rsidRPr="00655CA9">
        <w:rPr>
          <w:rFonts w:ascii="Traditional Arabic" w:hAnsi="Traditional Arabic" w:cs="Traditional Arabic" w:hint="eastAsia"/>
          <w:sz w:val="30"/>
          <w:szCs w:val="30"/>
          <w:rtl/>
        </w:rPr>
        <w:t>ل</w:t>
      </w:r>
      <w:r w:rsidRPr="00655CA9">
        <w:rPr>
          <w:rFonts w:ascii="Traditional Arabic" w:hAnsi="Traditional Arabic" w:cs="Traditional Arabic"/>
          <w:sz w:val="30"/>
          <w:szCs w:val="30"/>
          <w:rtl/>
        </w:rPr>
        <w:t>استعادة المناخ الذي يمكن من خلاله أن ينمو الأطفال في اليمن دون أن يتفاقم مصيرهم بسبب النزاع المسلح المستمر</w:t>
      </w:r>
      <w:r w:rsidRPr="00655CA9">
        <w:rPr>
          <w:rFonts w:ascii="Traditional Arabic" w:hAnsi="Traditional Arabic" w:cs="Traditional Arabic"/>
          <w:sz w:val="30"/>
          <w:szCs w:val="30"/>
        </w:rPr>
        <w:t>.</w:t>
      </w:r>
    </w:p>
    <w:p w14:paraId="64E5DC95" w14:textId="3B9AE025" w:rsidR="00C90197" w:rsidRDefault="00C90197">
      <w:pPr>
        <w:suppressAutoHyphens w:val="0"/>
        <w:spacing w:line="240" w:lineRule="auto"/>
        <w:rPr>
          <w:rFonts w:ascii="Traditional Arabic" w:hAnsi="Traditional Arabic" w:cs="Traditional Arabic"/>
          <w:sz w:val="30"/>
          <w:szCs w:val="30"/>
          <w:rtl/>
        </w:rPr>
      </w:pPr>
      <w:r>
        <w:rPr>
          <w:rFonts w:ascii="Traditional Arabic" w:hAnsi="Traditional Arabic" w:cs="Traditional Arabic"/>
          <w:sz w:val="30"/>
          <w:szCs w:val="30"/>
          <w:rtl/>
        </w:rPr>
        <w:br w:type="page"/>
      </w:r>
    </w:p>
    <w:p w14:paraId="3F95AFB4" w14:textId="77777777" w:rsidR="00E25F5D" w:rsidRPr="00895CED" w:rsidRDefault="00E25F5D" w:rsidP="00E25F5D">
      <w:pPr>
        <w:pStyle w:val="Footer"/>
        <w:tabs>
          <w:tab w:val="left" w:pos="720"/>
        </w:tabs>
        <w:bidi/>
        <w:ind w:right="1089"/>
        <w:rPr>
          <w:rFonts w:ascii="Traditional Arabic" w:hAnsi="Traditional Arabic" w:cs="Traditional Arabic"/>
          <w:sz w:val="30"/>
          <w:szCs w:val="30"/>
        </w:rPr>
      </w:pPr>
    </w:p>
    <w:p w14:paraId="59408723" w14:textId="13743515" w:rsidR="00595527" w:rsidRDefault="00595527" w:rsidP="0098217B">
      <w:pPr>
        <w:pStyle w:val="Footer"/>
        <w:numPr>
          <w:ilvl w:val="0"/>
          <w:numId w:val="4"/>
        </w:numPr>
        <w:tabs>
          <w:tab w:val="left" w:pos="720"/>
        </w:tabs>
        <w:bidi/>
        <w:spacing w:after="240"/>
        <w:ind w:right="1089"/>
        <w:rPr>
          <w:rStyle w:val="Heading2Char"/>
          <w:sz w:val="28"/>
          <w:szCs w:val="38"/>
          <w:lang w:val="en-US"/>
        </w:rPr>
      </w:pPr>
      <w:bookmarkStart w:id="33" w:name="_Toc18918113"/>
      <w:r w:rsidRPr="008F4594">
        <w:rPr>
          <w:rStyle w:val="Heading2Char"/>
          <w:sz w:val="28"/>
          <w:szCs w:val="38"/>
          <w:rtl/>
          <w:lang w:val="en-US"/>
        </w:rPr>
        <w:t>قضايا مواضيعية</w:t>
      </w:r>
      <w:bookmarkEnd w:id="33"/>
    </w:p>
    <w:p w14:paraId="3294D50E" w14:textId="3DBCAE14" w:rsidR="00BB1565" w:rsidRPr="00D93F16" w:rsidRDefault="00D93F16" w:rsidP="00E25F5D">
      <w:pPr>
        <w:pStyle w:val="Footer"/>
        <w:tabs>
          <w:tab w:val="left" w:pos="720"/>
        </w:tabs>
        <w:bidi/>
        <w:spacing w:after="240"/>
        <w:ind w:left="720" w:right="1089" w:hanging="351"/>
        <w:jc w:val="both"/>
        <w:rPr>
          <w:rStyle w:val="Heading2Char"/>
          <w:rFonts w:ascii="Traditional Arabic" w:hAnsi="Traditional Arabic" w:cs="Traditional Arabic"/>
          <w:b/>
          <w:bCs/>
          <w:sz w:val="30"/>
          <w:szCs w:val="30"/>
          <w:lang w:val="en-US"/>
        </w:rPr>
      </w:pPr>
      <w:bookmarkStart w:id="34" w:name="_Toc18918114"/>
      <w:r w:rsidRPr="00D93F16">
        <w:rPr>
          <w:rStyle w:val="Heading2Char"/>
          <w:rFonts w:ascii="Traditional Arabic" w:hAnsi="Traditional Arabic" w:cs="Traditional Arabic" w:hint="cs"/>
          <w:b/>
          <w:bCs/>
          <w:sz w:val="30"/>
          <w:szCs w:val="30"/>
          <w:rtl/>
          <w:lang w:val="en-US" w:bidi="ar-JO"/>
        </w:rPr>
        <w:t>أ.</w:t>
      </w:r>
      <w:r w:rsidRPr="00D93F16">
        <w:rPr>
          <w:rStyle w:val="Heading2Char"/>
          <w:rFonts w:ascii="Traditional Arabic" w:hAnsi="Traditional Arabic" w:cs="Traditional Arabic" w:hint="cs"/>
          <w:b/>
          <w:bCs/>
          <w:sz w:val="30"/>
          <w:szCs w:val="30"/>
          <w:rtl/>
          <w:lang w:val="en-US" w:bidi="ar-JO"/>
        </w:rPr>
        <w:tab/>
      </w:r>
      <w:r w:rsidR="00BB1565" w:rsidRPr="00D93F16">
        <w:rPr>
          <w:rStyle w:val="Heading2Char"/>
          <w:rFonts w:ascii="Traditional Arabic" w:hAnsi="Traditional Arabic" w:cs="Traditional Arabic"/>
          <w:b/>
          <w:bCs/>
          <w:sz w:val="30"/>
          <w:szCs w:val="30"/>
          <w:rtl/>
          <w:lang w:val="en-US"/>
        </w:rPr>
        <w:t>الانتهاكات المتعلقة بالحالة الإنسانية</w:t>
      </w:r>
      <w:bookmarkEnd w:id="34"/>
    </w:p>
    <w:p w14:paraId="12BE56ED" w14:textId="551E30B4" w:rsidR="00BB1565" w:rsidRPr="002C209F" w:rsidRDefault="00BB1565" w:rsidP="00E25F5D">
      <w:pPr>
        <w:pStyle w:val="ListParagraph"/>
        <w:numPr>
          <w:ilvl w:val="0"/>
          <w:numId w:val="43"/>
        </w:numPr>
        <w:bidi/>
        <w:ind w:right="900" w:hanging="171"/>
        <w:rPr>
          <w:rFonts w:ascii="Traditional Arabic" w:eastAsia="Times New Roman" w:hAnsi="Traditional Arabic" w:cs="Traditional Arabic"/>
          <w:b/>
          <w:bCs/>
          <w:sz w:val="30"/>
          <w:szCs w:val="30"/>
          <w:lang w:val="en-GB"/>
        </w:rPr>
      </w:pPr>
      <w:r w:rsidRPr="002C209F">
        <w:rPr>
          <w:rFonts w:ascii="Traditional Arabic" w:eastAsia="Times New Roman" w:hAnsi="Traditional Arabic" w:cs="Traditional Arabic"/>
          <w:b/>
          <w:bCs/>
          <w:sz w:val="30"/>
          <w:szCs w:val="30"/>
          <w:rtl/>
          <w:lang w:val="en-GB"/>
        </w:rPr>
        <w:t>مقدمة عن الأزمة الإنسانية الحالية</w:t>
      </w:r>
    </w:p>
    <w:p w14:paraId="12E9A1FA" w14:textId="4F3E675B" w:rsidR="00DF12D4" w:rsidRDefault="00683D76" w:rsidP="00DF12D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DF12D4">
        <w:rPr>
          <w:rFonts w:ascii="Traditional Arabic" w:hAnsi="Traditional Arabic" w:cs="Traditional Arabic"/>
          <w:sz w:val="30"/>
          <w:szCs w:val="30"/>
          <w:rtl/>
          <w:lang w:val="en-US"/>
        </w:rPr>
        <w:t xml:space="preserve">في آذار/مارس 2019، أعلن برنامج الغذاء العالمي أن اليمن تواجه "أكبر أزمة غذائية في العالم" </w:t>
      </w:r>
      <w:r w:rsidRPr="00DF12D4">
        <w:rPr>
          <w:vertAlign w:val="superscript"/>
          <w:rtl/>
        </w:rPr>
        <w:footnoteReference w:id="1163"/>
      </w:r>
      <w:r w:rsidRPr="00DF12D4">
        <w:rPr>
          <w:rFonts w:ascii="Traditional Arabic" w:hAnsi="Traditional Arabic" w:cs="Traditional Arabic"/>
          <w:sz w:val="30"/>
          <w:szCs w:val="30"/>
          <w:rtl/>
          <w:lang w:val="en-US"/>
        </w:rPr>
        <w:t xml:space="preserve">. ووفقًا لمكتب تنسيق الشؤون الإنسانية </w:t>
      </w:r>
      <w:r w:rsidRPr="00DF12D4">
        <w:rPr>
          <w:rFonts w:ascii="Traditional Arabic" w:hAnsi="Traditional Arabic" w:cs="Traditional Arabic"/>
          <w:sz w:val="30"/>
          <w:szCs w:val="30"/>
          <w:lang w:val="en-US"/>
        </w:rPr>
        <w:t>OCHA</w:t>
      </w:r>
      <w:r w:rsidRPr="00DF12D4">
        <w:rPr>
          <w:rFonts w:ascii="Traditional Arabic" w:hAnsi="Traditional Arabic" w:cs="Traditional Arabic"/>
          <w:sz w:val="30"/>
          <w:szCs w:val="30"/>
          <w:rtl/>
          <w:lang w:val="en-US"/>
        </w:rPr>
        <w:t>) ، فان هناك ما يقارب ربع السكان يعانون من سوء التغذية في بداية عام 2019، ومنهم من يعاني من سوء التغذية الحاد، وهناك 230 مديرية (من أصل 333) تواجه خطر المجاعة .</w:t>
      </w:r>
      <w:r w:rsidRPr="00DF12D4">
        <w:rPr>
          <w:vertAlign w:val="superscript"/>
          <w:rtl/>
        </w:rPr>
        <w:footnoteReference w:id="1164"/>
      </w:r>
      <w:r w:rsidRPr="00DF12D4">
        <w:rPr>
          <w:rFonts w:ascii="Traditional Arabic" w:hAnsi="Traditional Arabic" w:cs="Traditional Arabic"/>
          <w:sz w:val="30"/>
          <w:szCs w:val="30"/>
          <w:rtl/>
          <w:lang w:val="en-US"/>
        </w:rPr>
        <w:t xml:space="preserve"> في حزيران/ يونيو 2019، تم تأكيد وجود الحالات الشبيهة بالمجاعة في عشرات الأماكن في جميع أنحاء اليمن من قبل منسق الإغاثة في حالات الطوارئ </w:t>
      </w:r>
      <w:r w:rsidRPr="00DF12D4">
        <w:rPr>
          <w:vertAlign w:val="superscript"/>
          <w:rtl/>
        </w:rPr>
        <w:footnoteReference w:id="1165"/>
      </w:r>
      <w:r w:rsidRPr="00DF12D4">
        <w:rPr>
          <w:rFonts w:ascii="Traditional Arabic" w:hAnsi="Traditional Arabic" w:cs="Traditional Arabic"/>
          <w:sz w:val="30"/>
          <w:szCs w:val="30"/>
          <w:rtl/>
          <w:lang w:val="en-US"/>
        </w:rPr>
        <w:t xml:space="preserve">. هناك ما يقدر بنحو 24.1 مليون شخص في حاجة إلى المساعدة للبقاء على قيد الحياة في بداية عام 2019 </w:t>
      </w:r>
      <w:r w:rsidRPr="00DF12D4">
        <w:rPr>
          <w:vertAlign w:val="superscript"/>
          <w:rtl/>
        </w:rPr>
        <w:footnoteReference w:id="1166"/>
      </w:r>
      <w:r w:rsidRPr="00DF12D4">
        <w:rPr>
          <w:rFonts w:ascii="Traditional Arabic" w:hAnsi="Traditional Arabic" w:cs="Traditional Arabic"/>
          <w:sz w:val="30"/>
          <w:szCs w:val="30"/>
          <w:rtl/>
          <w:lang w:val="en-US"/>
        </w:rPr>
        <w:t xml:space="preserve"> ، أي ما يقرب من 80 في المائة من السكان. ومن بين الـ 24.1 مليون شخص الذين يحتاجون إلى الحماية أو المساعدة الإنسانية ، كان هناك 18.2 مليون امرأة وطفل </w:t>
      </w:r>
      <w:r w:rsidRPr="00DF12D4">
        <w:rPr>
          <w:vertAlign w:val="superscript"/>
          <w:rtl/>
        </w:rPr>
        <w:footnoteReference w:id="1167"/>
      </w:r>
      <w:r w:rsidRPr="00DF12D4">
        <w:rPr>
          <w:rFonts w:ascii="Traditional Arabic" w:hAnsi="Traditional Arabic" w:cs="Traditional Arabic"/>
          <w:sz w:val="30"/>
          <w:szCs w:val="30"/>
          <w:rtl/>
          <w:lang w:val="en-US"/>
        </w:rPr>
        <w:t xml:space="preserve">. وفقًا لمقدمي الخدمات الإنسانية، اعتبارًا من كانون الاول/ ديسمبر 2018، كان هناك 3.2 مليون شخص يحتاجون إلى علاج بسبب سؤ التغذية الحاد، بما في ذلك أكثر من مليوني طفل دون سن الخامسة و 1.14 مليون من النساء والفتيات والحوامل والمرضعات المصابات بسوء التغذية، مع احتمال إصابة 144,000 امرأة بمضاعفات الولادة. </w:t>
      </w:r>
      <w:r w:rsidRPr="00DF12D4">
        <w:rPr>
          <w:vertAlign w:val="superscript"/>
          <w:rtl/>
        </w:rPr>
        <w:footnoteReference w:id="1168"/>
      </w:r>
    </w:p>
    <w:p w14:paraId="280FF862" w14:textId="23100E53" w:rsidR="00A02604" w:rsidRDefault="00BB1565" w:rsidP="00A0260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02604">
        <w:rPr>
          <w:rFonts w:ascii="Traditional Arabic" w:hAnsi="Traditional Arabic" w:cs="Traditional Arabic"/>
          <w:sz w:val="30"/>
          <w:szCs w:val="30"/>
          <w:rtl/>
          <w:lang w:val="en-US"/>
        </w:rPr>
        <w:t>تحدث فريق الخبراء إلى اثنين من الآباء الذين فقدوا حديثًا أطفالهم الصغار وذلك بعد عدة أسابيع من العلاج من سوء التغذية الحاد في صعدة .</w:t>
      </w:r>
      <w:r w:rsidR="00BB62AD" w:rsidRPr="00A02604">
        <w:rPr>
          <w:rFonts w:ascii="Traditional Arabic" w:hAnsi="Traditional Arabic" w:cs="Traditional Arabic"/>
          <w:sz w:val="30"/>
          <w:szCs w:val="30"/>
          <w:vertAlign w:val="superscript"/>
          <w:rtl/>
          <w:lang w:val="en-US"/>
        </w:rPr>
        <w:footnoteReference w:id="1169"/>
      </w:r>
      <w:r w:rsidRPr="00A02604">
        <w:rPr>
          <w:rFonts w:ascii="Traditional Arabic" w:hAnsi="Traditional Arabic" w:cs="Traditional Arabic"/>
          <w:sz w:val="30"/>
          <w:szCs w:val="30"/>
          <w:rtl/>
          <w:lang w:val="en-US"/>
        </w:rPr>
        <w:t xml:space="preserve"> قال أحدهم: "كان يوسف نحيفًا وضعيفًا للغاية. لم تستطع الأم إرضاعه - لم يكن لديها حليب لإعطائه. لم يكن يزن حتى ثلاثة كيلوغرامات وهو في عمر عشرة أشهر. لقد توفي العام الماضي، ووفقًا للطبيب، كان ذلك بسبب سوء التغذية. ليس لدينا مستوصف في قريتنا، لذا نقلته عائلتي إلى تشدان، على الحدود مع المملكة العربية السعودية. مكث هناك لمدة أربعة أيام ثم مات. ذهب إلى هناك عدة مرات لكنه توفي في المرة </w:t>
      </w:r>
      <w:r w:rsidRPr="00A02604">
        <w:rPr>
          <w:rFonts w:ascii="Traditional Arabic" w:hAnsi="Traditional Arabic" w:cs="Traditional Arabic"/>
          <w:sz w:val="30"/>
          <w:szCs w:val="30"/>
          <w:rtl/>
          <w:lang w:val="en-US"/>
        </w:rPr>
        <w:lastRenderedPageBreak/>
        <w:t xml:space="preserve">الأخيرة. نحن نعيش في غمر، وهي منطقة فقيرة. لم أتلق قط مساعدة من سلات الطعام. لقد طلبنا ولكن السلطات هنا لا تجيب ". </w:t>
      </w:r>
      <w:r w:rsidR="00BB62AD" w:rsidRPr="00A02604">
        <w:rPr>
          <w:rFonts w:ascii="Traditional Arabic" w:hAnsi="Traditional Arabic" w:cs="Traditional Arabic"/>
          <w:sz w:val="30"/>
          <w:szCs w:val="30"/>
          <w:vertAlign w:val="superscript"/>
          <w:rtl/>
          <w:lang w:val="en-US"/>
        </w:rPr>
        <w:footnoteReference w:id="1170"/>
      </w:r>
    </w:p>
    <w:p w14:paraId="5275B439" w14:textId="2568F9CE" w:rsidR="00A02604" w:rsidRDefault="00BB1565" w:rsidP="00A02604">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02604">
        <w:rPr>
          <w:rFonts w:ascii="Traditional Arabic" w:hAnsi="Traditional Arabic" w:cs="Traditional Arabic"/>
          <w:sz w:val="30"/>
          <w:szCs w:val="30"/>
          <w:rtl/>
          <w:lang w:val="en-US"/>
        </w:rPr>
        <w:t>في حين أن انعدام الأمن الغذائي هو أحد أسباب معاناة عدد كبير من الأطفال من سوء التغذية في اليمن، إلا أن عدم كفاية فرص الحصول على الخدمات الصحية لا يزال سببًا أساسيًا آخر لسوء التغذية. أثر الافتقار إلى المرافق الصحية في بعض المناطق، والعوائق التي تحول دون حرية تنقل سكان بعض المناطق بسبب الأعمال العدائية المستمرة، والأضرار التي لحقت بمرافق الرعاية الصحية بسبب القتال بين اطراف النزاع، على المرافق الأساسية الصحية غير الكافية بالفعل (انظر الى قسم تدمير البنية التحتية المدنية أدناه).</w:t>
      </w:r>
    </w:p>
    <w:p w14:paraId="41A233BC" w14:textId="1C833B3E" w:rsidR="00A02604"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أكدت السلطات الصحية في اليمن تفشي الكوليرا في تشرين الأول/أكتوبر 2016  </w:t>
      </w:r>
      <w:r w:rsidRPr="0067555D">
        <w:rPr>
          <w:rFonts w:ascii="Traditional Arabic" w:hAnsi="Traditional Arabic" w:cs="Traditional Arabic"/>
          <w:sz w:val="30"/>
          <w:szCs w:val="30"/>
          <w:vertAlign w:val="superscript"/>
          <w:rtl/>
          <w:lang w:val="en-US"/>
        </w:rPr>
        <w:footnoteReference w:id="1171"/>
      </w:r>
      <w:r w:rsidRPr="0067555D">
        <w:rPr>
          <w:rFonts w:ascii="Traditional Arabic" w:hAnsi="Traditional Arabic" w:cs="Traditional Arabic"/>
          <w:sz w:val="30"/>
          <w:szCs w:val="30"/>
          <w:rtl/>
          <w:lang w:val="en-US"/>
        </w:rPr>
        <w:t xml:space="preserve">، وقد انتشرت منذ ذلك الحين، وبحسب تقارير، هذا الوضع يتفاقم بسبب عدم توفر المياه النظيفة للشرب والري، فضلاً عن سوء صيانة نظم إدارة النفايات </w:t>
      </w:r>
      <w:r w:rsidRPr="0067555D">
        <w:rPr>
          <w:rFonts w:ascii="Traditional Arabic" w:hAnsi="Traditional Arabic" w:cs="Traditional Arabic"/>
          <w:sz w:val="30"/>
          <w:szCs w:val="30"/>
          <w:vertAlign w:val="superscript"/>
          <w:rtl/>
          <w:lang w:val="en-US"/>
        </w:rPr>
        <w:footnoteReference w:id="1172"/>
      </w:r>
      <w:r w:rsidRPr="0067555D">
        <w:rPr>
          <w:rFonts w:ascii="Traditional Arabic" w:hAnsi="Traditional Arabic" w:cs="Traditional Arabic"/>
          <w:sz w:val="30"/>
          <w:szCs w:val="30"/>
          <w:rtl/>
          <w:lang w:val="en-US"/>
        </w:rPr>
        <w:t xml:space="preserve">. حتى عام 2019، تم بالفعل الإبلاغ عن العديد من حالات الكوليرا لعام 2019 كما في عام 2018 (380,000 حالة مشتبه بها). في 8 تموز/ يوليو 2019، أبلغ مكتب تنسيق الشؤون الإنسانية أن 460,000 حالة يشتبه في أنها مصابة بالكوليرا قد تم تسجيلها بالفعل في عام 2019، بما في ذلك حوالي 200,000 طفل </w:t>
      </w:r>
      <w:r w:rsidRPr="0067555D">
        <w:rPr>
          <w:rFonts w:ascii="Traditional Arabic" w:hAnsi="Traditional Arabic" w:cs="Traditional Arabic"/>
          <w:sz w:val="30"/>
          <w:szCs w:val="30"/>
          <w:vertAlign w:val="superscript"/>
          <w:rtl/>
          <w:lang w:val="en-US"/>
        </w:rPr>
        <w:footnoteReference w:id="1173"/>
      </w:r>
      <w:r w:rsidRPr="0067555D">
        <w:rPr>
          <w:rFonts w:ascii="Traditional Arabic" w:hAnsi="Traditional Arabic" w:cs="Traditional Arabic"/>
          <w:sz w:val="30"/>
          <w:szCs w:val="30"/>
          <w:rtl/>
          <w:lang w:val="en-US"/>
        </w:rPr>
        <w:t xml:space="preserve">. وبحسب ما يقال توفي 193 طفلاً على الأقل بسبب أمراض مرتبطة بالكوليرا في عام 2019 </w:t>
      </w:r>
      <w:r w:rsidRPr="0067555D">
        <w:rPr>
          <w:rFonts w:ascii="Traditional Arabic" w:hAnsi="Traditional Arabic" w:cs="Traditional Arabic"/>
          <w:sz w:val="30"/>
          <w:szCs w:val="30"/>
          <w:vertAlign w:val="superscript"/>
          <w:rtl/>
          <w:lang w:val="en-US"/>
        </w:rPr>
        <w:footnoteReference w:id="1174"/>
      </w:r>
      <w:r w:rsidRPr="0067555D">
        <w:rPr>
          <w:rFonts w:ascii="Traditional Arabic" w:hAnsi="Traditional Arabic" w:cs="Traditional Arabic"/>
          <w:sz w:val="30"/>
          <w:szCs w:val="30"/>
          <w:rtl/>
          <w:lang w:val="en-US"/>
        </w:rPr>
        <w:t>. وفقا لمنظمة أطباء بلا حدود(</w:t>
      </w:r>
      <w:r w:rsidRPr="0067555D">
        <w:rPr>
          <w:rFonts w:ascii="Traditional Arabic" w:hAnsi="Traditional Arabic" w:cs="Traditional Arabic"/>
          <w:sz w:val="30"/>
          <w:szCs w:val="30"/>
          <w:lang w:val="en-US"/>
        </w:rPr>
        <w:t>MSF</w:t>
      </w:r>
      <w:r w:rsidRPr="0067555D">
        <w:rPr>
          <w:rFonts w:ascii="Traditional Arabic" w:hAnsi="Traditional Arabic" w:cs="Traditional Arabic"/>
          <w:sz w:val="30"/>
          <w:szCs w:val="30"/>
          <w:rtl/>
          <w:lang w:val="en-US"/>
        </w:rPr>
        <w:t xml:space="preserve">) ، "بالفتره ما بين كانون الثاني/ يناير وآذار/ مارس 2019، ازدادت حالات الكوليرا المشتبه فيها زيادة حادة في اليمن، حتى قبل بدء موسم الأمطار، مما يثير مخاوف من تفشيها على نطاق  واسع " </w:t>
      </w:r>
      <w:r w:rsidRPr="0067555D">
        <w:rPr>
          <w:rFonts w:ascii="Traditional Arabic" w:hAnsi="Traditional Arabic" w:cs="Traditional Arabic"/>
          <w:sz w:val="30"/>
          <w:szCs w:val="30"/>
          <w:vertAlign w:val="superscript"/>
          <w:rtl/>
          <w:lang w:val="en-US"/>
        </w:rPr>
        <w:footnoteReference w:id="1175"/>
      </w:r>
      <w:r w:rsidRPr="0067555D">
        <w:rPr>
          <w:rFonts w:ascii="Traditional Arabic" w:hAnsi="Traditional Arabic" w:cs="Traditional Arabic"/>
          <w:sz w:val="30"/>
          <w:szCs w:val="30"/>
          <w:rtl/>
          <w:lang w:val="en-US"/>
        </w:rPr>
        <w:t>. أشارت منظمة أطباء بلا حدود كذلك إلى زيادة عدد مرضى الكوليرا الذين عولجوا من 140 إلى 2,000 مريض أسبوعيًا بين كانون الثاني/ يناير وآذار/ مارس.</w:t>
      </w:r>
    </w:p>
    <w:p w14:paraId="79EB6D4E" w14:textId="154C2DA5" w:rsidR="0067555D"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بحلول عام 2019، كانت الاحتياجات الإنسانية في اليمن أعلى بنسبة 60 في المائة مما كانت عليه قبل اندلاع الحرب. في عام 2014، تم بالفعل إعلان اليمن أزمة إنسانية واسعة النطاق، حيث يحتاج أكثر من نصف السكان إلى شكل من أشكال المساعدة الإنسانية </w:t>
      </w:r>
      <w:r w:rsidRPr="0067555D">
        <w:rPr>
          <w:rFonts w:ascii="Traditional Arabic" w:hAnsi="Traditional Arabic" w:cs="Traditional Arabic"/>
          <w:sz w:val="30"/>
          <w:szCs w:val="30"/>
          <w:vertAlign w:val="superscript"/>
          <w:rtl/>
          <w:lang w:val="en-US"/>
        </w:rPr>
        <w:footnoteReference w:id="1176"/>
      </w:r>
      <w:r w:rsidRPr="0067555D">
        <w:rPr>
          <w:rFonts w:ascii="Traditional Arabic" w:hAnsi="Traditional Arabic" w:cs="Traditional Arabic"/>
          <w:sz w:val="30"/>
          <w:szCs w:val="30"/>
          <w:rtl/>
          <w:lang w:val="en-US"/>
        </w:rPr>
        <w:t>. أدى النزاع إلى تفاقم نقاط الضعف الموجودة مسبقًا والتي شملت الاعتماد الكبير على الغذاء والإمدادات الطبية وواردات الوقود، وكذلك على التحويلات المالية من القوى العاملة في الخارج.</w:t>
      </w:r>
      <w:r w:rsidRPr="0067555D">
        <w:rPr>
          <w:rFonts w:ascii="Traditional Arabic" w:hAnsi="Traditional Arabic" w:cs="Traditional Arabic"/>
          <w:sz w:val="30"/>
          <w:szCs w:val="30"/>
          <w:vertAlign w:val="superscript"/>
          <w:rtl/>
          <w:lang w:val="en-US"/>
        </w:rPr>
        <w:footnoteReference w:id="1177"/>
      </w:r>
      <w:r w:rsidRPr="0067555D">
        <w:rPr>
          <w:rFonts w:ascii="Traditional Arabic" w:hAnsi="Traditional Arabic" w:cs="Traditional Arabic"/>
          <w:sz w:val="30"/>
          <w:szCs w:val="30"/>
          <w:rtl/>
          <w:lang w:val="en-US"/>
        </w:rPr>
        <w:t xml:space="preserve"> حدد فريق الخبراء </w:t>
      </w:r>
      <w:r w:rsidRPr="0067555D">
        <w:rPr>
          <w:rFonts w:ascii="Traditional Arabic" w:hAnsi="Traditional Arabic" w:cs="Traditional Arabic"/>
          <w:sz w:val="30"/>
          <w:szCs w:val="30"/>
          <w:rtl/>
          <w:lang w:val="en-US"/>
        </w:rPr>
        <w:lastRenderedPageBreak/>
        <w:t>التدابير التي اتخذتها أطراف النزاع، بالإضافة إلى عدم وجود التدابير المناسبة، التي ساهمت في تدهور الوضع الإنساني في اليمن، في انتهاك للقانون الدولي الإنساني والقانون الدولي لحقوق الإنسان.</w:t>
      </w:r>
    </w:p>
    <w:p w14:paraId="458D8FFB" w14:textId="77777777" w:rsidR="0067555D" w:rsidRPr="0067555D" w:rsidRDefault="0067555D" w:rsidP="00E25F5D">
      <w:pPr>
        <w:pStyle w:val="ListParagraph"/>
        <w:numPr>
          <w:ilvl w:val="0"/>
          <w:numId w:val="43"/>
        </w:numPr>
        <w:bidi/>
        <w:ind w:right="900" w:hanging="81"/>
        <w:rPr>
          <w:rFonts w:ascii="Traditional Arabic" w:eastAsia="Times New Roman" w:hAnsi="Traditional Arabic" w:cs="Traditional Arabic"/>
          <w:b/>
          <w:bCs/>
          <w:sz w:val="30"/>
          <w:szCs w:val="30"/>
          <w:lang w:val="en-GB"/>
        </w:rPr>
      </w:pPr>
      <w:r w:rsidRPr="0067555D">
        <w:rPr>
          <w:rFonts w:ascii="Traditional Arabic" w:eastAsia="Times New Roman" w:hAnsi="Traditional Arabic" w:cs="Traditional Arabic"/>
          <w:b/>
          <w:bCs/>
          <w:sz w:val="30"/>
          <w:szCs w:val="30"/>
          <w:rtl/>
          <w:lang w:val="en-GB"/>
        </w:rPr>
        <w:t>التجويع كأسلوب من أساليب القتال</w:t>
      </w:r>
    </w:p>
    <w:p w14:paraId="2F8DEC68" w14:textId="321C192B" w:rsidR="0067555D" w:rsidRDefault="0067555D" w:rsidP="0067555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في أيار / مايو 2018، أدان قرار مجلس الأمن 2417 استخدام التجويع  كاسلوب من اساليب القتال، وكذلك  المنع غير القانوني من ايصال المساعدات الإنسانية وحرمان المدنيين من المواد التي لا غنى عنها لبقائهم على قيد الحياه. </w:t>
      </w:r>
      <w:r w:rsidRPr="0067555D">
        <w:rPr>
          <w:rFonts w:ascii="Traditional Arabic" w:hAnsi="Traditional Arabic" w:cs="Traditional Arabic"/>
          <w:sz w:val="30"/>
          <w:szCs w:val="30"/>
          <w:vertAlign w:val="superscript"/>
          <w:rtl/>
          <w:lang w:val="en-US"/>
        </w:rPr>
        <w:footnoteReference w:id="1178"/>
      </w:r>
      <w:r w:rsidRPr="0067555D">
        <w:rPr>
          <w:rFonts w:ascii="Traditional Arabic" w:hAnsi="Traditional Arabic" w:cs="Traditional Arabic"/>
          <w:sz w:val="30"/>
          <w:szCs w:val="30"/>
          <w:rtl/>
          <w:lang w:val="en-US"/>
        </w:rPr>
        <w:t xml:space="preserve">   اعتمد بالإجماع، واعتبر هذا القرار علامة فارقة لأنه أقر بالصلة بين النزاع وانعدام الأمن الغذائي</w:t>
      </w:r>
      <w:r w:rsidRPr="0067555D">
        <w:rPr>
          <w:rFonts w:ascii="Traditional Arabic" w:hAnsi="Traditional Arabic" w:cs="Traditional Arabic"/>
          <w:sz w:val="30"/>
          <w:szCs w:val="30"/>
          <w:vertAlign w:val="superscript"/>
          <w:rtl/>
          <w:lang w:val="en-US"/>
        </w:rPr>
        <w:footnoteReference w:id="1179"/>
      </w:r>
      <w:r w:rsidRPr="0067555D">
        <w:rPr>
          <w:rFonts w:ascii="Traditional Arabic" w:hAnsi="Traditional Arabic" w:cs="Traditional Arabic"/>
          <w:sz w:val="30"/>
          <w:szCs w:val="30"/>
          <w:rtl/>
          <w:lang w:val="en-US"/>
        </w:rPr>
        <w:t xml:space="preserve"> . في إدانة لا لبس فيها "استخدام تجويع المدنيين  كأسلوب من اساليب القتال في عدد من حالات النزاع </w:t>
      </w:r>
      <w:r w:rsidRPr="0067555D">
        <w:rPr>
          <w:rFonts w:ascii="Traditional Arabic" w:hAnsi="Traditional Arabic" w:cs="Traditional Arabic"/>
          <w:sz w:val="30"/>
          <w:szCs w:val="30"/>
          <w:vertAlign w:val="superscript"/>
          <w:rtl/>
          <w:lang w:val="en-US"/>
        </w:rPr>
        <w:footnoteReference w:id="1180"/>
      </w:r>
      <w:r w:rsidRPr="0067555D">
        <w:rPr>
          <w:rFonts w:ascii="Traditional Arabic" w:hAnsi="Traditional Arabic" w:cs="Traditional Arabic"/>
          <w:sz w:val="30"/>
          <w:szCs w:val="30"/>
          <w:rtl/>
          <w:lang w:val="en-US"/>
        </w:rPr>
        <w:t>. وأشار إلى حظر حرمان المدنيين من المواد التي لا غنى عنها لبقائهم على قيد الحياه والالتزام بالسماح بالتسهيلات الإنسانية وتيسيرها.</w:t>
      </w:r>
    </w:p>
    <w:p w14:paraId="6B5AF40D" w14:textId="30E335BE" w:rsidR="005C1F08" w:rsidRDefault="008B5F12" w:rsidP="008B5F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B5F12">
        <w:rPr>
          <w:rFonts w:ascii="Traditional Arabic" w:hAnsi="Traditional Arabic" w:cs="Traditional Arabic"/>
          <w:sz w:val="30"/>
          <w:szCs w:val="30"/>
          <w:rtl/>
          <w:lang w:val="en-US"/>
        </w:rPr>
        <w:t>يحظر القانون الدولي الإنساني بشكل صارم تجويع السكان المدنيين كأسلوب من أساليب القتال، في النزاعات المسلحة الدولية وغير الدولية، على النحو المنصوص عليه في قانون المعاهدات والمعترف بها بموجب القانون الدولي الإنساني العرفي</w:t>
      </w:r>
      <w:r w:rsidRPr="008B5F12">
        <w:rPr>
          <w:rFonts w:ascii="Traditional Arabic" w:hAnsi="Traditional Arabic" w:cs="Traditional Arabic"/>
          <w:sz w:val="30"/>
          <w:szCs w:val="30"/>
          <w:vertAlign w:val="superscript"/>
          <w:rtl/>
          <w:lang w:val="en-US"/>
        </w:rPr>
        <w:footnoteReference w:id="1181"/>
      </w:r>
      <w:r w:rsidRPr="008B5F12">
        <w:rPr>
          <w:rFonts w:ascii="Traditional Arabic" w:hAnsi="Traditional Arabic" w:cs="Traditional Arabic"/>
          <w:sz w:val="30"/>
          <w:szCs w:val="30"/>
          <w:rtl/>
          <w:lang w:val="en-US"/>
        </w:rPr>
        <w:t xml:space="preserve"> . القاعدة ملزمة لكل من الدول والجماعات المسلحة من غير الدول ولا تنص على أي استثناء في حالة الضرورة العسكرية الملحة. إذا كان السكان يعانون من مشقة لا مبرر لها بسبب نقص الإمدادات الضرورية لبقائهم (على سبيل المثال بعد الحصار)، يجب السماح بتوفير إمدادات الإغاثة وتيسيرها.</w:t>
      </w:r>
    </w:p>
    <w:p w14:paraId="7AFE4AA7" w14:textId="57CCEADD" w:rsidR="0067555D" w:rsidRDefault="0067555D" w:rsidP="005C1F0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7555D">
        <w:rPr>
          <w:rFonts w:ascii="Traditional Arabic" w:hAnsi="Traditional Arabic" w:cs="Traditional Arabic"/>
          <w:sz w:val="30"/>
          <w:szCs w:val="30"/>
          <w:rtl/>
          <w:lang w:val="en-US"/>
        </w:rPr>
        <w:t xml:space="preserve">يُفهم التجويع عمومًا على أنه عمل على إخضاع الناس للمجاعة ، والذي يُعرف بدوره بأنه الندرة الشديدة والعامة للغذاء، أو النقص الشديد في الغذاء </w:t>
      </w:r>
      <w:r w:rsidRPr="0067555D">
        <w:rPr>
          <w:rFonts w:ascii="Traditional Arabic" w:hAnsi="Traditional Arabic" w:cs="Traditional Arabic"/>
          <w:sz w:val="30"/>
          <w:szCs w:val="30"/>
          <w:vertAlign w:val="superscript"/>
          <w:rtl/>
          <w:lang w:val="en-US"/>
        </w:rPr>
        <w:footnoteReference w:id="1182"/>
      </w:r>
      <w:r w:rsidRPr="0067555D">
        <w:rPr>
          <w:rFonts w:ascii="Traditional Arabic" w:hAnsi="Traditional Arabic" w:cs="Traditional Arabic"/>
          <w:sz w:val="30"/>
          <w:szCs w:val="30"/>
          <w:rtl/>
          <w:lang w:val="en-US"/>
        </w:rPr>
        <w:t xml:space="preserve">. إن المؤشرات المستخدمة لوصف حالة ما على أنها مجاعة تختلف وفقًا لأصحاب المصلحة. أيضا، لقد ثبت أن المجاعة ليست مجرد مسألة توافر الغذاء، ولكن الوصول إلى الغذاء. وبالتالي ، يمكن أن تحدث المجاعة حتى عندما يكون الطعام متاحًا، وعندما يكون الوصول إلى الغذاء وقدرة السكان على الحصول على الغذاء معرضة للخطر، سواء كان ذلك بناءً على المعايير الاجتماعية أو الوسائل المالية </w:t>
      </w:r>
      <w:r w:rsidRPr="0067555D">
        <w:rPr>
          <w:rFonts w:ascii="Traditional Arabic" w:hAnsi="Traditional Arabic" w:cs="Traditional Arabic"/>
          <w:sz w:val="30"/>
          <w:szCs w:val="30"/>
          <w:vertAlign w:val="superscript"/>
          <w:rtl/>
          <w:lang w:val="en-US"/>
        </w:rPr>
        <w:footnoteReference w:id="1183"/>
      </w:r>
      <w:r w:rsidRPr="0067555D">
        <w:rPr>
          <w:rFonts w:ascii="Traditional Arabic" w:hAnsi="Traditional Arabic" w:cs="Traditional Arabic"/>
          <w:sz w:val="30"/>
          <w:szCs w:val="30"/>
          <w:rtl/>
          <w:lang w:val="en-US"/>
        </w:rPr>
        <w:t xml:space="preserve">. يُعرف مصطلح "المجاعة" على أنه المعاناة الشديدة أو الموت الناجم عن نقص الغذاء </w:t>
      </w:r>
      <w:r w:rsidRPr="0067555D">
        <w:rPr>
          <w:rFonts w:ascii="Traditional Arabic" w:hAnsi="Traditional Arabic" w:cs="Traditional Arabic"/>
          <w:sz w:val="30"/>
          <w:szCs w:val="30"/>
          <w:vertAlign w:val="superscript"/>
          <w:rtl/>
          <w:lang w:val="en-US"/>
        </w:rPr>
        <w:footnoteReference w:id="1184"/>
      </w:r>
      <w:r w:rsidRPr="0067555D">
        <w:rPr>
          <w:rFonts w:ascii="Traditional Arabic" w:hAnsi="Traditional Arabic" w:cs="Traditional Arabic"/>
          <w:sz w:val="30"/>
          <w:szCs w:val="30"/>
          <w:rtl/>
          <w:lang w:val="en-US"/>
        </w:rPr>
        <w:t xml:space="preserve">  ، وأما مصطلح التجويع لا يعني بالضرورة الموت.</w:t>
      </w:r>
    </w:p>
    <w:p w14:paraId="685837E2" w14:textId="17722A24" w:rsidR="0067555D" w:rsidRDefault="00965775" w:rsidP="00075D7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65775">
        <w:rPr>
          <w:rFonts w:ascii="Traditional Arabic" w:hAnsi="Traditional Arabic" w:cs="Traditional Arabic"/>
          <w:sz w:val="30"/>
          <w:szCs w:val="30"/>
          <w:rtl/>
          <w:lang w:val="en-US"/>
        </w:rPr>
        <w:t xml:space="preserve">وكان هذا الفهم المشترك لمفهوم التجويع بمثابة أساس لمفاوضات عناصر الجرائم للمحكمة الجنائية الدولية. </w:t>
      </w:r>
      <w:r w:rsidR="0047454C">
        <w:rPr>
          <w:rFonts w:ascii="Traditional Arabic" w:hAnsi="Traditional Arabic" w:cs="Traditional Arabic" w:hint="cs"/>
          <w:sz w:val="30"/>
          <w:szCs w:val="30"/>
          <w:rtl/>
          <w:lang w:val="en-US"/>
        </w:rPr>
        <w:t xml:space="preserve">هنا </w:t>
      </w:r>
      <w:r w:rsidRPr="00965775">
        <w:rPr>
          <w:rFonts w:ascii="Traditional Arabic" w:hAnsi="Traditional Arabic" w:cs="Traditional Arabic"/>
          <w:sz w:val="30"/>
          <w:szCs w:val="30"/>
          <w:rtl/>
          <w:lang w:val="en-US"/>
        </w:rPr>
        <w:t xml:space="preserve">تم الاعتراف بأن جريمة التجويع سوف تتجاوز الحرمان من الماء والغذاء، في تغطية الحرمان أو عدم كفاية الإمداد بالمواد الضرورية للبقاء، والتي تشمل المواد غير الغذائية التي لا غنى عنها مثل الأدوية </w:t>
      </w:r>
      <w:r w:rsidRPr="00965775">
        <w:rPr>
          <w:rFonts w:ascii="Traditional Arabic" w:hAnsi="Traditional Arabic" w:cs="Traditional Arabic"/>
          <w:sz w:val="30"/>
          <w:szCs w:val="30"/>
          <w:rtl/>
          <w:lang w:val="en-US"/>
        </w:rPr>
        <w:lastRenderedPageBreak/>
        <w:t xml:space="preserve">والبطانيات </w:t>
      </w:r>
      <w:r w:rsidRPr="00965775">
        <w:rPr>
          <w:rFonts w:ascii="Traditional Arabic" w:hAnsi="Traditional Arabic" w:cs="Traditional Arabic"/>
          <w:sz w:val="30"/>
          <w:szCs w:val="30"/>
          <w:vertAlign w:val="superscript"/>
          <w:rtl/>
          <w:lang w:val="en-US"/>
        </w:rPr>
        <w:footnoteReference w:id="1185"/>
      </w:r>
      <w:r w:rsidRPr="00965775">
        <w:rPr>
          <w:rFonts w:ascii="Traditional Arabic" w:hAnsi="Traditional Arabic" w:cs="Traditional Arabic"/>
          <w:sz w:val="30"/>
          <w:szCs w:val="30"/>
          <w:rtl/>
          <w:lang w:val="en-US"/>
        </w:rPr>
        <w:t xml:space="preserve">. وفي هذا الصدد، يعتبر البروتوكول الإضافي الثاني الإمدادات الغذائية والطبية بمثابة مواد لا غنى عنها لبقاء السكان المدنيين على قيد الحياه، بينما يذكر البروتوكول الإضافي الأول أيضًا الملابس والفراش ووسائل الإيواء. </w:t>
      </w:r>
      <w:r w:rsidRPr="00965775">
        <w:rPr>
          <w:rFonts w:ascii="Traditional Arabic" w:hAnsi="Traditional Arabic" w:cs="Traditional Arabic"/>
          <w:sz w:val="30"/>
          <w:szCs w:val="30"/>
          <w:vertAlign w:val="superscript"/>
          <w:rtl/>
          <w:lang w:val="en-US"/>
        </w:rPr>
        <w:footnoteReference w:id="1186"/>
      </w:r>
    </w:p>
    <w:p w14:paraId="1EBFD845" w14:textId="0BC8A33D" w:rsidR="0067555D" w:rsidRDefault="00682806" w:rsidP="006828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تُفهم أساليب القتال عمومًا على أنها التكتيكات أو الاستراتيجية المستخدمة في الأعمال العدائية ضد العدو في أوقات النزاع. وهذا يعني أنه من أجل اعتبار التجويع - التي تُعرَّف بأنها الحرمان من المواد الأساسية لبقاء المدنيين على قيد الحياه - انتهاكًا للقانون الدولي الإنساني ، يجب استخدامها كاستراتيجية لهزيمة الطرف الآخر في النزاع. في نطاق العمليات العسكرية، قد يتم انتهاك حظر التجويع من خلال الحصار كاسلوب من اساليب القتال ، والمنع التعسفي من ايصال المساعدات الإنسانية إلى المدنيين المحتاجين، وكذلك مهاجمة مواد لا غنى عنها لبقاء السكان على قيد الحياه.</w:t>
      </w:r>
    </w:p>
    <w:p w14:paraId="3B2CCE98" w14:textId="7EF3CDF8" w:rsidR="00682806" w:rsidRDefault="00682806" w:rsidP="006828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 xml:space="preserve">ويتضح من الصلة بين حظر التجويع وحظر الهجمات على المواد التي لا غنى عنها للبقاء على قيد الحياه أن كلا الحظرين يظهران في نفس الأحكام ذات الصلة في البروتوكولين الإضافيين. </w:t>
      </w:r>
      <w:r w:rsidRPr="00682806">
        <w:rPr>
          <w:rFonts w:ascii="Traditional Arabic" w:hAnsi="Traditional Arabic" w:cs="Traditional Arabic"/>
          <w:sz w:val="30"/>
          <w:szCs w:val="30"/>
          <w:vertAlign w:val="superscript"/>
          <w:rtl/>
          <w:lang w:val="en-US"/>
        </w:rPr>
        <w:footnoteReference w:id="1187"/>
      </w:r>
      <w:r w:rsidRPr="00682806">
        <w:rPr>
          <w:rFonts w:ascii="Traditional Arabic" w:hAnsi="Traditional Arabic" w:cs="Traditional Arabic"/>
          <w:sz w:val="30"/>
          <w:szCs w:val="30"/>
          <w:rtl/>
          <w:lang w:val="en-US"/>
        </w:rPr>
        <w:t xml:space="preserve">  ترتبط أيضًا بالأحكام المتعلقة بايصال المساعدات الإنسانية لأنه،</w:t>
      </w:r>
      <w:r w:rsidRPr="00682806">
        <w:rPr>
          <w:rFonts w:ascii="Traditional Arabic" w:hAnsi="Traditional Arabic" w:cs="Traditional Arabic"/>
          <w:sz w:val="30"/>
          <w:szCs w:val="30"/>
          <w:lang w:val="en-US"/>
        </w:rPr>
        <w:t xml:space="preserve"> </w:t>
      </w:r>
      <w:r w:rsidRPr="00682806">
        <w:rPr>
          <w:rFonts w:ascii="Traditional Arabic" w:hAnsi="Traditional Arabic" w:cs="Traditional Arabic"/>
          <w:sz w:val="30"/>
          <w:szCs w:val="30"/>
          <w:rtl/>
          <w:lang w:val="en-US"/>
        </w:rPr>
        <w:t xml:space="preserve">عندما يكون هناك نقص في المواد التي لا غنى عنها ، يجب على الأطراف التصريح وتيسير إجراءات الإغاثة الدولية ، </w:t>
      </w:r>
      <w:r w:rsidRPr="00682806">
        <w:rPr>
          <w:rFonts w:ascii="Traditional Arabic" w:hAnsi="Traditional Arabic" w:cs="Traditional Arabic"/>
          <w:sz w:val="30"/>
          <w:szCs w:val="30"/>
          <w:vertAlign w:val="superscript"/>
          <w:rtl/>
          <w:lang w:val="en-US"/>
        </w:rPr>
        <w:footnoteReference w:id="1188"/>
      </w:r>
      <w:r w:rsidRPr="00682806">
        <w:rPr>
          <w:rFonts w:ascii="Traditional Arabic" w:hAnsi="Traditional Arabic" w:cs="Traditional Arabic"/>
          <w:sz w:val="30"/>
          <w:szCs w:val="30"/>
          <w:rtl/>
          <w:lang w:val="en-US"/>
        </w:rPr>
        <w:t>طالما أنها تمتثل للمتطلبات المنصوص عليها في القانون، من أجل الوفاء بالتزاماتها المنصوص عليها في المادة 14 من البروتوكول الإضافي الثاني. لا يمكن التذرع بالضرورة العسكرية لتبرير تجويع السكان المدنيين. ويمكن أن تشكل انتهاكات القانون الدولي الإنساني الأخرى انتهاكات لحظر التجويع، لا سيما الهجمات ضد الأشياء التي لا غنى عنها لبقاء السكان على قيد الحياه، وكذلك منع ايصال المساعدات الإنسانية.</w:t>
      </w:r>
    </w:p>
    <w:p w14:paraId="0D8359BF" w14:textId="42AD8980" w:rsidR="00682806" w:rsidRDefault="00682806" w:rsidP="00682806">
      <w:pPr>
        <w:pStyle w:val="ListParagraph"/>
        <w:numPr>
          <w:ilvl w:val="0"/>
          <w:numId w:val="3"/>
        </w:numPr>
        <w:bidi/>
        <w:spacing w:after="240" w:line="240" w:lineRule="auto"/>
        <w:ind w:left="1134" w:right="851" w:firstLine="0"/>
        <w:contextualSpacing w:val="0"/>
        <w:jc w:val="both"/>
        <w:rPr>
          <w:rStyle w:val="Heading2Char"/>
          <w:rFonts w:ascii="Traditional Arabic" w:hAnsi="Traditional Arabic" w:cs="Traditional Arabic"/>
          <w:sz w:val="30"/>
          <w:szCs w:val="30"/>
          <w:lang w:val="en-US"/>
        </w:rPr>
      </w:pPr>
      <w:r w:rsidRPr="00682806">
        <w:rPr>
          <w:rFonts w:ascii="Traditional Arabic" w:hAnsi="Traditional Arabic" w:cs="Traditional Arabic"/>
          <w:sz w:val="30"/>
          <w:szCs w:val="30"/>
          <w:rtl/>
          <w:lang w:val="en-US"/>
        </w:rPr>
        <w:t>كان نطاق الشرط المتمثل في نية تجويع السكان المدنيين موضع تفسيرات مختلفة. يقول البعض إن التجويع يجب أن يكون الهدف الأساسي لعملية ما من أجل انتهاك القانون الدولي الإنساني، بينما يزعم البعض الآخر أنه حتى لو كان التجويع الناتج فقط بشكل عرضي، فإنه لا يزال ينتهك روح القانون الدولي الإنساني.</w:t>
      </w:r>
      <w:r w:rsidRPr="00682806">
        <w:rPr>
          <w:rFonts w:ascii="Traditional Arabic" w:hAnsi="Traditional Arabic" w:cs="Traditional Arabic"/>
          <w:sz w:val="30"/>
          <w:szCs w:val="30"/>
          <w:vertAlign w:val="superscript"/>
          <w:rtl/>
          <w:lang w:val="en-US"/>
        </w:rPr>
        <w:footnoteReference w:id="1189"/>
      </w:r>
    </w:p>
    <w:p w14:paraId="09AF5099" w14:textId="7755523D" w:rsidR="00682806" w:rsidRPr="00682806" w:rsidRDefault="00682806"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682806">
        <w:rPr>
          <w:rStyle w:val="Heading2Char"/>
          <w:rFonts w:ascii="Traditional Arabic" w:hAnsi="Traditional Arabic" w:cs="Traditional Arabic"/>
          <w:sz w:val="30"/>
          <w:szCs w:val="30"/>
          <w:lang w:val="en-US"/>
        </w:rPr>
        <w:t xml:space="preserve"> </w:t>
      </w:r>
      <w:r w:rsidRPr="00682806">
        <w:rPr>
          <w:rFonts w:ascii="Traditional Arabic" w:hAnsi="Traditional Arabic" w:cs="Traditional Arabic"/>
          <w:sz w:val="30"/>
          <w:szCs w:val="30"/>
          <w:rtl/>
          <w:lang w:val="en-US"/>
        </w:rPr>
        <w:t>فيما يتعلق بالهجمات ضد المواد التي لا غنى عنها لبقاء السكان على قيد الحياه، بناءً على صياغة كل من الأحكام ذات الصلة في البروتوكولين الإضافيين الأول والثاني</w:t>
      </w:r>
      <w:r w:rsidRPr="00682806">
        <w:rPr>
          <w:rFonts w:ascii="Traditional Arabic" w:hAnsi="Traditional Arabic" w:cs="Traditional Arabic"/>
          <w:sz w:val="30"/>
          <w:szCs w:val="30"/>
          <w:vertAlign w:val="superscript"/>
          <w:rtl/>
          <w:lang w:val="en-US"/>
        </w:rPr>
        <w:footnoteReference w:id="1190"/>
      </w:r>
      <w:r w:rsidRPr="00682806">
        <w:rPr>
          <w:rFonts w:ascii="Traditional Arabic" w:hAnsi="Traditional Arabic" w:cs="Traditional Arabic"/>
          <w:sz w:val="30"/>
          <w:szCs w:val="30"/>
          <w:rtl/>
          <w:lang w:val="en-US"/>
        </w:rPr>
        <w:t xml:space="preserve">، فإن القصد الأعم لتجويع السكان ليس ضروريًا عندما تمنع </w:t>
      </w:r>
      <w:r w:rsidRPr="00682806">
        <w:rPr>
          <w:rFonts w:ascii="Traditional Arabic" w:hAnsi="Traditional Arabic" w:cs="Traditional Arabic"/>
          <w:sz w:val="30"/>
          <w:szCs w:val="30"/>
          <w:rtl/>
          <w:lang w:val="en-US"/>
        </w:rPr>
        <w:lastRenderedPageBreak/>
        <w:t xml:space="preserve">العمليات السكان من المواد الضرورية للبقاء على قيد الحياه "لغرض محدد هو منع السكان المدنيين أو الطرف الاخر من المواد ذات القيمه الحيوية، أيا كان الدافع" </w:t>
      </w:r>
      <w:r w:rsidRPr="00682806">
        <w:rPr>
          <w:rFonts w:ascii="Traditional Arabic" w:hAnsi="Traditional Arabic" w:cs="Traditional Arabic"/>
          <w:sz w:val="30"/>
          <w:szCs w:val="30"/>
          <w:vertAlign w:val="superscript"/>
          <w:rtl/>
          <w:lang w:val="en-US"/>
        </w:rPr>
        <w:footnoteReference w:id="1191"/>
      </w:r>
      <w:r w:rsidRPr="00682806">
        <w:rPr>
          <w:rFonts w:ascii="Traditional Arabic" w:hAnsi="Traditional Arabic" w:cs="Traditional Arabic"/>
          <w:sz w:val="30"/>
          <w:szCs w:val="30"/>
          <w:rtl/>
          <w:lang w:val="en-US"/>
        </w:rPr>
        <w:t>. تعني صياغة المادة 54 من البروتوكول الإضافي الأول أنه يكفي وجود نية لإتلاف أو تدمير أو إزالة المواد لحرمان المدنيين من القيمه الحيوية، على سبيل المثال المساهمة المحدده في بقاء السكان على قيد الحياه.</w:t>
      </w:r>
    </w:p>
    <w:p w14:paraId="3EC0906A" w14:textId="3A9F86AA"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ينطبق المنطق نفسه عند إعاقة الإغاثة الإنسانية عن عمد، مع نتيجة تجويع السكان. في الواقع، يجب على أطراف النزاع أن تسمح وتيسر المرور السريع ودون عوائق للإغاثة الإنسانية للمدنيين المحتاجين، شريطة أن تكون عمليات الإغاثة حياديه وإنسانية بطبيعتها وتخضع لحق الأطراف في السيطرة.</w:t>
      </w:r>
      <w:r w:rsidRPr="00833BDC">
        <w:rPr>
          <w:rFonts w:ascii="Traditional Arabic" w:hAnsi="Traditional Arabic" w:cs="Traditional Arabic"/>
          <w:sz w:val="30"/>
          <w:szCs w:val="30"/>
          <w:vertAlign w:val="superscript"/>
          <w:rtl/>
          <w:lang w:val="en-US"/>
        </w:rPr>
        <w:footnoteReference w:id="1192"/>
      </w:r>
      <w:r w:rsidRPr="00833BDC">
        <w:rPr>
          <w:rFonts w:ascii="Traditional Arabic" w:hAnsi="Traditional Arabic" w:cs="Traditional Arabic"/>
          <w:sz w:val="30"/>
          <w:szCs w:val="30"/>
          <w:rtl/>
          <w:lang w:val="en-US"/>
        </w:rPr>
        <w:t xml:space="preserve">   يعتبر عدم الموافقة على ايصال المساعدات الإنسانية والذي يؤدي إلى التجويع، تعسفياً، وبالتالي فهو غير قانوني.  </w:t>
      </w:r>
      <w:r w:rsidRPr="00833BDC">
        <w:rPr>
          <w:rFonts w:ascii="Traditional Arabic" w:hAnsi="Traditional Arabic" w:cs="Traditional Arabic"/>
          <w:sz w:val="30"/>
          <w:szCs w:val="30"/>
          <w:vertAlign w:val="superscript"/>
          <w:rtl/>
          <w:lang w:val="en-US"/>
        </w:rPr>
        <w:footnoteReference w:id="1193"/>
      </w:r>
    </w:p>
    <w:p w14:paraId="5E0E0726" w14:textId="0BA6A505" w:rsidR="00682806" w:rsidRDefault="00833BDC" w:rsidP="00224A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بالنسبة للحصار العسكري كاسلوب حرب وكذلك الحصار البحري والجوي، فإن  التحديد بغض النظر عن الغاية فهو اقل وضوحا وخاضعا للنقاش بين العلماء والممارسين</w:t>
      </w:r>
      <w:r w:rsidRPr="00833BDC">
        <w:rPr>
          <w:rFonts w:ascii="Traditional Arabic" w:hAnsi="Traditional Arabic" w:cs="Traditional Arabic"/>
          <w:sz w:val="30"/>
          <w:szCs w:val="30"/>
          <w:vertAlign w:val="superscript"/>
          <w:rtl/>
          <w:lang w:val="en-US"/>
        </w:rPr>
        <w:footnoteReference w:id="1194"/>
      </w:r>
      <w:r w:rsidRPr="00833BDC">
        <w:rPr>
          <w:rFonts w:ascii="Traditional Arabic" w:hAnsi="Traditional Arabic" w:cs="Traditional Arabic"/>
          <w:sz w:val="30"/>
          <w:szCs w:val="30"/>
          <w:rtl/>
          <w:lang w:val="en-US"/>
        </w:rPr>
        <w:t>. وهنا أيضًا، قد تحمي نفس قواعد القانون الدولي الإنساني السكان المدنيين من التجويع، حتى لو لم يتم عن قصد. يجب أيضًا دراسة مبدأ التناسب في الهجوم .</w:t>
      </w:r>
      <w:r w:rsidRPr="00833BDC">
        <w:rPr>
          <w:rFonts w:ascii="Traditional Arabic" w:hAnsi="Traditional Arabic" w:cs="Traditional Arabic"/>
          <w:sz w:val="30"/>
          <w:szCs w:val="30"/>
          <w:vertAlign w:val="superscript"/>
          <w:rtl/>
          <w:lang w:val="en-US"/>
        </w:rPr>
        <w:footnoteReference w:id="1195"/>
      </w:r>
      <w:r w:rsidRPr="00833BDC">
        <w:rPr>
          <w:rFonts w:ascii="Traditional Arabic" w:hAnsi="Traditional Arabic" w:cs="Traditional Arabic"/>
          <w:sz w:val="30"/>
          <w:szCs w:val="30"/>
          <w:rtl/>
          <w:lang w:val="en-US"/>
        </w:rPr>
        <w:t xml:space="preserve"> قد يصل التجويع أيضًا إلى شكل من أشكال المعاملة اللاإنسانية. إذا أدى ذلك إلى الموت، فقد يصل إلى حد القتل العمد للمدنيين.</w:t>
      </w:r>
      <w:r w:rsidRPr="00833BDC">
        <w:rPr>
          <w:rFonts w:ascii="Traditional Arabic" w:hAnsi="Traditional Arabic" w:cs="Traditional Arabic"/>
          <w:sz w:val="30"/>
          <w:szCs w:val="30"/>
          <w:vertAlign w:val="superscript"/>
          <w:rtl/>
          <w:lang w:val="en-US"/>
        </w:rPr>
        <w:footnoteReference w:id="1196"/>
      </w:r>
      <w:r w:rsidR="00224ABF">
        <w:rPr>
          <w:rFonts w:ascii="Traditional Arabic" w:hAnsi="Traditional Arabic" w:cs="Traditional Arabic" w:hint="cs"/>
          <w:sz w:val="30"/>
          <w:szCs w:val="30"/>
          <w:rtl/>
          <w:lang w:val="en-US"/>
        </w:rPr>
        <w:t xml:space="preserve"> </w:t>
      </w:r>
      <w:r w:rsidRPr="00833BDC">
        <w:rPr>
          <w:rFonts w:ascii="Traditional Arabic" w:hAnsi="Traditional Arabic" w:cs="Traditional Arabic"/>
          <w:sz w:val="30"/>
          <w:szCs w:val="30"/>
          <w:rtl/>
          <w:lang w:val="en-US"/>
        </w:rPr>
        <w:t>كما أن التجويع ينتهك القانون الدولي لحقوق الإنسان، بما في ذلك الحق في الغذاء والماء، وكذلك الحق في الصحة.</w:t>
      </w:r>
      <w:r w:rsidRPr="00833BDC">
        <w:rPr>
          <w:rFonts w:ascii="Traditional Arabic" w:hAnsi="Traditional Arabic" w:cs="Traditional Arabic"/>
          <w:sz w:val="30"/>
          <w:szCs w:val="30"/>
          <w:vertAlign w:val="superscript"/>
          <w:rtl/>
          <w:lang w:val="en-US"/>
        </w:rPr>
        <w:footnoteReference w:id="1197"/>
      </w:r>
    </w:p>
    <w:p w14:paraId="671EEFE5" w14:textId="1DFB695B"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lastRenderedPageBreak/>
        <w:t xml:space="preserve">في السياق الحالي، أفيد أن حوالي 80 في المائة من سكان اليمن بحاجة إلى نوع من المساعدة الإنسانية من أجل البقاء على قيد الحياه. هناك مخاوف من أن جميع أطراف النزاع قد استخدمت التجويع كأسلوب من أساليب القتال في اليمن من خلال مهاجمة المواد التي لا غنى عنها لبقاء السكان على قيد الحياه، وفرض الحصار أو استخدام الحصار العسكري كتكتيك، وإعاقة إيصال المساعدات الإنسانية. وقد تفاقمت آثار هذه الأفعال بسبب عدم احترام الحقوق الاقتصادية والاجتماعية والثقافية، ولا سيما الحق في مستوى معيشي لائق والحق في العمل. </w:t>
      </w:r>
      <w:r w:rsidRPr="00833BDC">
        <w:rPr>
          <w:rFonts w:ascii="Traditional Arabic" w:hAnsi="Traditional Arabic" w:cs="Traditional Arabic"/>
          <w:sz w:val="30"/>
          <w:szCs w:val="30"/>
          <w:vertAlign w:val="superscript"/>
          <w:rtl/>
          <w:lang w:val="en-US"/>
        </w:rPr>
        <w:footnoteReference w:id="1198"/>
      </w:r>
    </w:p>
    <w:p w14:paraId="1C26E2AA" w14:textId="040C5C3F" w:rsidR="00682806"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 xml:space="preserve">يعتبر التجويع كأسلوب من أساليب القتال جريمة حرب في النزاعات المسلحة الدولية وغير الدولية. في حين أن نظام روما الأساسي للمحكمة الجنائية الدولية باعتباره التجويع جريمة حرب في النزاعات المسلحة الدولية فقط  </w:t>
      </w:r>
      <w:r w:rsidRPr="00833BDC">
        <w:rPr>
          <w:rFonts w:ascii="Traditional Arabic" w:hAnsi="Traditional Arabic" w:cs="Traditional Arabic"/>
          <w:sz w:val="30"/>
          <w:szCs w:val="30"/>
          <w:vertAlign w:val="superscript"/>
          <w:rtl/>
          <w:lang w:val="en-US"/>
        </w:rPr>
        <w:footnoteReference w:id="1199"/>
      </w:r>
      <w:r w:rsidRPr="00833BDC">
        <w:rPr>
          <w:rFonts w:ascii="Traditional Arabic" w:hAnsi="Traditional Arabic" w:cs="Traditional Arabic"/>
          <w:sz w:val="30"/>
          <w:szCs w:val="30"/>
          <w:rtl/>
          <w:lang w:val="en-US"/>
        </w:rPr>
        <w:t>، فإنه يُعترف به أيضًا باعتباره جريمة حرب في نزاع مسلح غير دولي بالاستناد إلى القانون الإنساني الدولي العرفي.</w:t>
      </w:r>
      <w:r w:rsidRPr="00833BDC">
        <w:rPr>
          <w:rFonts w:ascii="Traditional Arabic" w:hAnsi="Traditional Arabic" w:cs="Traditional Arabic"/>
          <w:sz w:val="30"/>
          <w:szCs w:val="30"/>
          <w:vertAlign w:val="superscript"/>
          <w:rtl/>
          <w:lang w:val="en-US"/>
        </w:rPr>
        <w:footnoteReference w:id="1200"/>
      </w:r>
      <w:r w:rsidRPr="00833BDC">
        <w:rPr>
          <w:rFonts w:ascii="Traditional Arabic" w:hAnsi="Traditional Arabic" w:cs="Traditional Arabic"/>
          <w:sz w:val="30"/>
          <w:szCs w:val="30"/>
          <w:rtl/>
          <w:lang w:val="en-US"/>
        </w:rPr>
        <w:t xml:space="preserve">    تحدد المحكمة الجنائية الدولية نية الجاني في تجويع المدنيين كأسلوب من أساليب القتال كعنصر من عناصر الجريمة </w:t>
      </w:r>
      <w:r w:rsidRPr="00833BDC">
        <w:rPr>
          <w:rFonts w:ascii="Traditional Arabic" w:hAnsi="Traditional Arabic" w:cs="Traditional Arabic"/>
          <w:sz w:val="30"/>
          <w:szCs w:val="30"/>
          <w:vertAlign w:val="superscript"/>
          <w:rtl/>
          <w:lang w:val="en-US"/>
        </w:rPr>
        <w:footnoteReference w:id="1201"/>
      </w:r>
      <w:r w:rsidRPr="00833BDC">
        <w:rPr>
          <w:rFonts w:ascii="Traditional Arabic" w:hAnsi="Traditional Arabic" w:cs="Traditional Arabic"/>
          <w:sz w:val="30"/>
          <w:szCs w:val="30"/>
          <w:rtl/>
          <w:lang w:val="en-US"/>
        </w:rPr>
        <w:t>. في هذا السياق، تجدر الإشارة إلى أنه بالنسبة للمحكمة الجنائية الدولية، يتم إعطاء النية اللازمة عندما "يعني الشخص التسبب في هذه النتيجة أو يدرك أنه سيحدث في سياق الأحداث العادية" .</w:t>
      </w:r>
      <w:r w:rsidRPr="00833BDC">
        <w:rPr>
          <w:rFonts w:ascii="Traditional Arabic" w:hAnsi="Traditional Arabic" w:cs="Traditional Arabic"/>
          <w:sz w:val="30"/>
          <w:szCs w:val="30"/>
          <w:vertAlign w:val="superscript"/>
          <w:rtl/>
          <w:lang w:val="en-US"/>
        </w:rPr>
        <w:footnoteReference w:id="1202"/>
      </w:r>
      <w:r w:rsidRPr="00833BDC">
        <w:rPr>
          <w:rFonts w:ascii="Traditional Arabic" w:hAnsi="Traditional Arabic" w:cs="Traditional Arabic"/>
          <w:sz w:val="30"/>
          <w:szCs w:val="30"/>
          <w:rtl/>
          <w:lang w:val="en-US"/>
        </w:rPr>
        <w:t xml:space="preserve"> بالنسبة للتجويع كأسلوب من أساليب القتال، فإن الجزء الثاني من الجملة، والذي لا يتطلب إثباتًا صارمًا للرغبة في التجويع، قد يمثل في الواقع المعيار الأنسب .</w:t>
      </w:r>
      <w:r w:rsidRPr="00833BDC">
        <w:rPr>
          <w:rFonts w:ascii="Traditional Arabic" w:hAnsi="Traditional Arabic" w:cs="Traditional Arabic"/>
          <w:sz w:val="30"/>
          <w:szCs w:val="30"/>
          <w:vertAlign w:val="superscript"/>
          <w:rtl/>
          <w:lang w:val="en-US"/>
        </w:rPr>
        <w:footnoteReference w:id="1203"/>
      </w:r>
      <w:r w:rsidRPr="00833BDC">
        <w:rPr>
          <w:rFonts w:ascii="Traditional Arabic" w:hAnsi="Traditional Arabic" w:cs="Traditional Arabic"/>
          <w:sz w:val="30"/>
          <w:szCs w:val="30"/>
          <w:rtl/>
          <w:lang w:val="en-US"/>
        </w:rPr>
        <w:t xml:space="preserve"> في الواقع ، سيكون من الصعب القول بأن الأطراف لم تكن على علم بحالات التجويع المحتملة في اليمن، بالنظر إلى مقدار التقارير العلنية حول أزمة الغذاء والتهديد بالمجاعة، على الأقل منذ نهاية عام 2016. </w:t>
      </w:r>
      <w:r w:rsidRPr="00833BDC">
        <w:rPr>
          <w:rFonts w:ascii="Traditional Arabic" w:hAnsi="Traditional Arabic" w:cs="Traditional Arabic"/>
          <w:sz w:val="30"/>
          <w:szCs w:val="30"/>
          <w:vertAlign w:val="superscript"/>
          <w:rtl/>
          <w:lang w:val="en-US"/>
        </w:rPr>
        <w:footnoteReference w:id="1204"/>
      </w:r>
    </w:p>
    <w:p w14:paraId="693B91B5" w14:textId="019899A7" w:rsidR="00833BDC" w:rsidRDefault="00833BDC" w:rsidP="00833BD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3BDC">
        <w:rPr>
          <w:rFonts w:ascii="Traditional Arabic" w:hAnsi="Traditional Arabic" w:cs="Traditional Arabic"/>
          <w:sz w:val="30"/>
          <w:szCs w:val="30"/>
          <w:rtl/>
          <w:lang w:val="en-US"/>
        </w:rPr>
        <w:t xml:space="preserve">ومن أجل مواصلة دراسة المسؤولية الجنائية الفردية عن جريمة التجويع، ستكون هناك حاجة إلى مزيد من المعلومات عن العنصر الشخصي للجريمة. ستحتاج التحقيقات الإضافية أيضًا إلى التركيز على إظهار الصلة بين طريقة الحرب المعرضة للخطر (استهداف المواد التي لا غنى عنها، أو الحصار أو الحصار العسكري كأسلوب قتال، ومنع ايصال المساعدات الإنسانية للمدنيين المحتاجين) ومعاناة السكان كنتيجة للمنع. </w:t>
      </w:r>
      <w:r w:rsidRPr="00833BDC">
        <w:rPr>
          <w:rFonts w:ascii="Traditional Arabic" w:hAnsi="Traditional Arabic" w:cs="Traditional Arabic"/>
          <w:sz w:val="30"/>
          <w:szCs w:val="30"/>
          <w:vertAlign w:val="superscript"/>
          <w:rtl/>
          <w:lang w:val="en-US"/>
        </w:rPr>
        <w:footnoteReference w:id="1205"/>
      </w:r>
    </w:p>
    <w:p w14:paraId="564B4AA6" w14:textId="77B09BAC" w:rsidR="000858B5" w:rsidRDefault="000858B5" w:rsidP="000858B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858B5">
        <w:rPr>
          <w:rFonts w:ascii="Traditional Arabic" w:hAnsi="Traditional Arabic" w:cs="Traditional Arabic"/>
          <w:sz w:val="30"/>
          <w:szCs w:val="30"/>
          <w:rtl/>
          <w:lang w:val="en-US"/>
        </w:rPr>
        <w:lastRenderedPageBreak/>
        <w:t>وفي هذا السياق ، يجدر أيضاً إعادة التأكيد على الدعوة القوية التي وجهها مجلس الأمن في القرار 2417. ويحث القرار الدول "على إجراء تحقيقات مستقلة وكاملة وحياديه وفعالة ضمن ولايتها القضائية في انتهاكات القانون الدولي الإنساني المتعلق باستخدام تجويع المدنيين كأسلوب من أساليب القتال، بما في ذلك المنع غير القانوني من ايصال المساعدات الإنسانية للسكان المدنيين في النزاعات المسلحة "</w:t>
      </w:r>
      <w:r w:rsidRPr="000858B5">
        <w:rPr>
          <w:rFonts w:ascii="Traditional Arabic" w:hAnsi="Traditional Arabic" w:cs="Traditional Arabic"/>
          <w:sz w:val="30"/>
          <w:szCs w:val="30"/>
          <w:lang w:val="en-US"/>
        </w:rPr>
        <w:t>.</w:t>
      </w:r>
      <w:r w:rsidRPr="000858B5">
        <w:rPr>
          <w:rFonts w:ascii="Traditional Arabic" w:hAnsi="Traditional Arabic" w:cs="Traditional Arabic"/>
          <w:sz w:val="30"/>
          <w:szCs w:val="30"/>
          <w:vertAlign w:val="superscript"/>
          <w:rtl/>
          <w:lang w:val="en-US"/>
        </w:rPr>
        <w:footnoteReference w:id="1206"/>
      </w:r>
    </w:p>
    <w:p w14:paraId="30FABCF7" w14:textId="77777777" w:rsidR="000858B5" w:rsidRPr="000858B5" w:rsidRDefault="000858B5" w:rsidP="00E25F5D">
      <w:pPr>
        <w:pStyle w:val="ListParagraph"/>
        <w:numPr>
          <w:ilvl w:val="0"/>
          <w:numId w:val="43"/>
        </w:numPr>
        <w:bidi/>
        <w:ind w:right="900" w:hanging="81"/>
        <w:rPr>
          <w:rFonts w:ascii="Traditional Arabic" w:hAnsi="Traditional Arabic" w:cs="Traditional Arabic"/>
          <w:sz w:val="30"/>
          <w:szCs w:val="30"/>
          <w:lang w:val="en-US"/>
        </w:rPr>
      </w:pPr>
      <w:r w:rsidRPr="000858B5">
        <w:rPr>
          <w:rFonts w:ascii="Traditional Arabic" w:hAnsi="Traditional Arabic" w:cs="Traditional Arabic"/>
          <w:b/>
          <w:bCs/>
          <w:sz w:val="30"/>
          <w:szCs w:val="30"/>
          <w:rtl/>
          <w:lang w:val="en-US"/>
        </w:rPr>
        <w:t>الهجمات ذات تأثير على المواد الأساسية لبقاء السكان على قيد الحياة</w:t>
      </w:r>
    </w:p>
    <w:p w14:paraId="7E4B1509" w14:textId="18ABF0DD" w:rsidR="000858B5" w:rsidRDefault="000858B5" w:rsidP="00E403A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858B5">
        <w:rPr>
          <w:rFonts w:ascii="Traditional Arabic" w:hAnsi="Traditional Arabic" w:cs="Traditional Arabic"/>
          <w:sz w:val="30"/>
          <w:szCs w:val="30"/>
          <w:rtl/>
          <w:lang w:val="en-US"/>
        </w:rPr>
        <w:t xml:space="preserve">تعد الهجمات التي تشنها جميع أطراف النزاع </w:t>
      </w:r>
      <w:r w:rsidR="00E403A9">
        <w:rPr>
          <w:rFonts w:ascii="Traditional Arabic" w:hAnsi="Traditional Arabic" w:cs="Traditional Arabic" w:hint="cs"/>
          <w:sz w:val="30"/>
          <w:szCs w:val="30"/>
          <w:rtl/>
          <w:lang w:val="en-US"/>
        </w:rPr>
        <w:t xml:space="preserve">مؤثرة </w:t>
      </w:r>
      <w:r w:rsidR="00D93A22">
        <w:rPr>
          <w:rFonts w:ascii="Traditional Arabic" w:hAnsi="Traditional Arabic" w:cs="Traditional Arabic" w:hint="cs"/>
          <w:sz w:val="30"/>
          <w:szCs w:val="30"/>
          <w:rtl/>
          <w:lang w:val="en-US"/>
        </w:rPr>
        <w:t xml:space="preserve">على </w:t>
      </w:r>
      <w:r w:rsidRPr="000858B5">
        <w:rPr>
          <w:rFonts w:ascii="Traditional Arabic" w:hAnsi="Traditional Arabic" w:cs="Traditional Arabic"/>
          <w:sz w:val="30"/>
          <w:szCs w:val="30"/>
          <w:rtl/>
          <w:lang w:val="en-US"/>
        </w:rPr>
        <w:t>المواد التي لا غنى عنها لبقاء السكان اليمنيين على قيد الحياه مصدر قلق خاص في نطاق الأزمة الإنسانية الحالية.</w:t>
      </w:r>
    </w:p>
    <w:p w14:paraId="6C87B92C" w14:textId="6F557CA1" w:rsidR="00312E86" w:rsidRDefault="00312E86" w:rsidP="00D93A2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 xml:space="preserve">دمرت غارات جوية شنتها قوات التحالف بشكل خاص الأراضي الزراعية ومرافق المياه والبنية الأساسية للموانئ. يصف تقرير نشرته مؤسسة السلام العالمي في أكتوبر  2018 </w:t>
      </w:r>
      <w:r w:rsidRPr="00312E86">
        <w:rPr>
          <w:rFonts w:ascii="Traditional Arabic" w:hAnsi="Traditional Arabic" w:cs="Traditional Arabic"/>
          <w:sz w:val="30"/>
          <w:szCs w:val="30"/>
          <w:vertAlign w:val="superscript"/>
          <w:rtl/>
          <w:lang w:val="en-US"/>
        </w:rPr>
        <w:footnoteReference w:id="1207"/>
      </w:r>
      <w:r w:rsidRPr="00312E86">
        <w:rPr>
          <w:rFonts w:ascii="Traditional Arabic" w:hAnsi="Traditional Arabic" w:cs="Traditional Arabic"/>
          <w:sz w:val="30"/>
          <w:szCs w:val="30"/>
          <w:rtl/>
          <w:lang w:val="en-US"/>
        </w:rPr>
        <w:t xml:space="preserve">  كيف تأثرت المناطق الزراعية بهجوم التحالف، باتباع "استراتيجية واضحة لضرب موارد الحياة الريفية" .</w:t>
      </w:r>
      <w:r w:rsidRPr="00312E86">
        <w:rPr>
          <w:rFonts w:ascii="Traditional Arabic" w:hAnsi="Traditional Arabic" w:cs="Traditional Arabic"/>
          <w:sz w:val="30"/>
          <w:szCs w:val="30"/>
          <w:vertAlign w:val="superscript"/>
          <w:rtl/>
          <w:lang w:val="en-US"/>
        </w:rPr>
        <w:footnoteReference w:id="1208"/>
      </w:r>
      <w:r w:rsidRPr="00312E86">
        <w:rPr>
          <w:rFonts w:ascii="Traditional Arabic" w:hAnsi="Traditional Arabic" w:cs="Traditional Arabic"/>
          <w:sz w:val="30"/>
          <w:szCs w:val="30"/>
          <w:rtl/>
          <w:lang w:val="en-US"/>
        </w:rPr>
        <w:t xml:space="preserve"> يوضح التقرير كيف تم ضرب الأهداف الزراعية في صعدة في حزيران/ يونيو 2015، وخاصة المزارع والأراضي الزراعية، وتوسع هذا الأمر ليشمل مناطق أخرى في تموز/ يوليو وآب/ أغسطس 2015.</w:t>
      </w:r>
      <w:r w:rsidRPr="00312E86">
        <w:rPr>
          <w:rFonts w:ascii="Traditional Arabic" w:hAnsi="Traditional Arabic" w:cs="Traditional Arabic"/>
          <w:sz w:val="30"/>
          <w:szCs w:val="30"/>
          <w:vertAlign w:val="superscript"/>
          <w:rtl/>
          <w:lang w:val="en-US"/>
        </w:rPr>
        <w:footnoteReference w:id="1209"/>
      </w:r>
      <w:r w:rsidRPr="00312E86">
        <w:rPr>
          <w:rFonts w:ascii="Traditional Arabic" w:hAnsi="Traditional Arabic" w:cs="Traditional Arabic"/>
          <w:sz w:val="30"/>
          <w:szCs w:val="30"/>
          <w:rtl/>
          <w:lang w:val="en-US"/>
        </w:rPr>
        <w:t xml:space="preserve">  ويشير التقرير إلى أن هذه الضربات كانت ممنهجة". </w:t>
      </w:r>
      <w:r w:rsidRPr="00312E86">
        <w:rPr>
          <w:rFonts w:ascii="Traditional Arabic" w:hAnsi="Traditional Arabic" w:cs="Traditional Arabic"/>
          <w:sz w:val="30"/>
          <w:szCs w:val="30"/>
          <w:vertAlign w:val="superscript"/>
          <w:rtl/>
          <w:lang w:val="en-US"/>
        </w:rPr>
        <w:footnoteReference w:id="1210"/>
      </w:r>
    </w:p>
    <w:p w14:paraId="2FEF5C42" w14:textId="0EB6B319" w:rsidR="00312E86" w:rsidRDefault="00312E86" w:rsidP="00312E8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يتضمن التقرير كذلك دراسة حالة عن تهامة، توضح كيف ضرب التحالف</w:t>
      </w:r>
      <w:r w:rsidR="00D93A22">
        <w:rPr>
          <w:rFonts w:ascii="Traditional Arabic" w:hAnsi="Traditional Arabic" w:cs="Traditional Arabic" w:hint="cs"/>
          <w:sz w:val="30"/>
          <w:szCs w:val="30"/>
          <w:rtl/>
          <w:lang w:val="en-US"/>
        </w:rPr>
        <w:t xml:space="preserve"> مرافق</w:t>
      </w:r>
      <w:r w:rsidRPr="00312E86">
        <w:rPr>
          <w:rFonts w:ascii="Traditional Arabic" w:hAnsi="Traditional Arabic" w:cs="Traditional Arabic"/>
          <w:sz w:val="30"/>
          <w:szCs w:val="30"/>
          <w:rtl/>
          <w:lang w:val="en-US"/>
        </w:rPr>
        <w:t xml:space="preserve"> السلطة المسؤولة عن صيانة البنية التحتية الأساسية للري بين آب/ أغسطس وتشرين الأول/ أكتوبر 2015، مما ساهم في انخفاض حاد في الإنتاج الزراعي الذي يعتبر "سلة الخبز" للبلاد . </w:t>
      </w:r>
      <w:r w:rsidRPr="00312E86">
        <w:rPr>
          <w:rFonts w:ascii="Traditional Arabic" w:hAnsi="Traditional Arabic" w:cs="Traditional Arabic"/>
          <w:sz w:val="30"/>
          <w:szCs w:val="30"/>
          <w:vertAlign w:val="superscript"/>
          <w:rtl/>
          <w:lang w:val="en-US"/>
        </w:rPr>
        <w:footnoteReference w:id="1211"/>
      </w:r>
      <w:r w:rsidRPr="00312E86">
        <w:rPr>
          <w:rFonts w:ascii="Traditional Arabic" w:hAnsi="Traditional Arabic" w:cs="Traditional Arabic"/>
          <w:sz w:val="30"/>
          <w:szCs w:val="30"/>
          <w:rtl/>
          <w:lang w:val="en-US"/>
        </w:rPr>
        <w:t xml:space="preserve">تظهر دراسة حالة ثانية كيف تأثر الصيد الحرفي على ساحل البحر الأحمر بالغارات الجوية التي شنها التحالف، والتي أدت إلى مقتل الصيادين وتدمير منشآت الصيد. على وجه الخصوص، تُظهر الخرائط الواردة في التقرير تأثر موانئ تفريغ الأسماك على طول ساحل البحر الأحمر بشكلٍ خاص.  </w:t>
      </w:r>
      <w:r w:rsidRPr="00312E86">
        <w:rPr>
          <w:rFonts w:ascii="Traditional Arabic" w:hAnsi="Traditional Arabic" w:cs="Traditional Arabic"/>
          <w:sz w:val="30"/>
          <w:szCs w:val="30"/>
          <w:vertAlign w:val="superscript"/>
          <w:rtl/>
          <w:lang w:val="en-US"/>
        </w:rPr>
        <w:footnoteReference w:id="1212"/>
      </w:r>
    </w:p>
    <w:p w14:paraId="48BD5CF6" w14:textId="6BAB8E07" w:rsidR="00312E86" w:rsidRPr="00312E86" w:rsidRDefault="00312E86" w:rsidP="00D93A2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12E86">
        <w:rPr>
          <w:rFonts w:ascii="Traditional Arabic" w:hAnsi="Traditional Arabic" w:cs="Traditional Arabic"/>
          <w:sz w:val="30"/>
          <w:szCs w:val="30"/>
          <w:rtl/>
          <w:lang w:val="en-US"/>
        </w:rPr>
        <w:t>ومن الحوادث البارزة الأخرى التي تؤثر على وصول السكان اليمنيين إلى الإمدادات الأساسية التدمير</w:t>
      </w:r>
      <w:r w:rsidR="00D93A22">
        <w:rPr>
          <w:rFonts w:ascii="Traditional Arabic" w:hAnsi="Traditional Arabic" w:cs="Traditional Arabic" w:hint="cs"/>
          <w:sz w:val="30"/>
          <w:szCs w:val="30"/>
          <w:rtl/>
          <w:lang w:val="en-US"/>
        </w:rPr>
        <w:t xml:space="preserve"> </w:t>
      </w:r>
      <w:r w:rsidRPr="00312E86">
        <w:rPr>
          <w:rFonts w:ascii="Traditional Arabic" w:hAnsi="Traditional Arabic" w:cs="Traditional Arabic"/>
          <w:sz w:val="30"/>
          <w:szCs w:val="30"/>
          <w:rtl/>
          <w:lang w:val="en-US"/>
        </w:rPr>
        <w:t>الذي حدث في أغسطس/ آب 2015 عندما شنت قوات التحالف غاره جوية على الرافعات العملاقة الأربعة لتفريغ البضائع في ميناء الحديدة، وكذلك على الات الرصيف.  في شباط/فبراير 2018، تم في النهاية السماح للرافعات الجديدة بالدخول إلى الحديدة.</w:t>
      </w:r>
    </w:p>
    <w:p w14:paraId="514BEFE8" w14:textId="6732DD9D" w:rsidR="00312E86" w:rsidRDefault="00575458"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575458">
        <w:rPr>
          <w:rFonts w:ascii="Traditional Arabic" w:hAnsi="Traditional Arabic" w:cs="Traditional Arabic"/>
          <w:sz w:val="30"/>
          <w:szCs w:val="30"/>
          <w:rtl/>
          <w:lang w:val="en-US"/>
        </w:rPr>
        <w:lastRenderedPageBreak/>
        <w:t xml:space="preserve">نظر فريق الخبراء في تقارير أخرى عن غارات جوية شنتها قوات التحالف في الفترة بين عامي 2015 و 2019 على مرافق أغذية ومياه لا غنى عنها، ولا سيما في محافظات الحديدة وصعدة وحجة وصنعاء. فيما يتعلق بتدمير منشآت الإنتاج الزراعي والغذائي وبيعه وتخزينه، تضمنت هذه الحوادث 14 غارة جوية أصابت معظم الأسواق المزدحمة؛ 19 حادثة ضربات جوية على المزارع أو العمال الزراعيين؛ ثماني حوادث غارات جوية ضربت منشآت لتجهيز الأغذية أو تخزينها؛ و 12 حادث غارات جوية على عمليات نقل المواد الغذائية المدنية. واستقصى فريق الخبراء كذلك عن ست حوادث إضافية ضربت فيها غارات جوية للتحالف مرافق إمدادات المياه، مثل آبار المياه ومضخات المياه ومصنع لتعبئة المياه وخزان مياه وشاحنة مياه. (للحصول على تفاصيل حول عينة من هذه الحوادث التي حقق فيها فريق الخبراء، راجع </w:t>
      </w:r>
      <w:r w:rsidR="00D93A22">
        <w:rPr>
          <w:rFonts w:ascii="Traditional Arabic" w:hAnsi="Traditional Arabic" w:cs="Traditional Arabic" w:hint="cs"/>
          <w:sz w:val="30"/>
          <w:szCs w:val="30"/>
          <w:rtl/>
          <w:lang w:val="en-US"/>
        </w:rPr>
        <w:t xml:space="preserve">الفصول حول معركة </w:t>
      </w:r>
      <w:r w:rsidRPr="00575458">
        <w:rPr>
          <w:rFonts w:ascii="Traditional Arabic" w:hAnsi="Traditional Arabic" w:cs="Traditional Arabic"/>
          <w:sz w:val="30"/>
          <w:szCs w:val="30"/>
          <w:rtl/>
          <w:lang w:val="en-US"/>
        </w:rPr>
        <w:t>الحديدة وصنعاء و</w:t>
      </w:r>
      <w:r w:rsidR="00771EFF">
        <w:rPr>
          <w:rFonts w:ascii="Traditional Arabic" w:hAnsi="Traditional Arabic" w:cs="Traditional Arabic" w:hint="cs"/>
          <w:sz w:val="30"/>
          <w:szCs w:val="30"/>
          <w:rtl/>
          <w:lang w:val="en-US"/>
        </w:rPr>
        <w:t>مناطق أخرى تحت سيطرة سلطات الأمر الواقع</w:t>
      </w:r>
      <w:r w:rsidRPr="00575458">
        <w:rPr>
          <w:rFonts w:ascii="Traditional Arabic" w:hAnsi="Traditional Arabic" w:cs="Traditional Arabic"/>
          <w:sz w:val="30"/>
          <w:szCs w:val="30"/>
          <w:rtl/>
          <w:lang w:val="en-US"/>
        </w:rPr>
        <w:t xml:space="preserve">. راجع أيضاً </w:t>
      </w:r>
      <w:r w:rsidRPr="00575458">
        <w:rPr>
          <w:rFonts w:ascii="Traditional Arabic" w:hAnsi="Traditional Arabic" w:cs="Traditional Arabic"/>
          <w:sz w:val="30"/>
          <w:szCs w:val="30"/>
          <w:lang w:val="en-US"/>
        </w:rPr>
        <w:t>A/ HRC /39/43</w:t>
      </w:r>
      <w:r w:rsidRPr="00575458">
        <w:rPr>
          <w:rFonts w:ascii="Traditional Arabic" w:hAnsi="Traditional Arabic" w:cs="Traditional Arabic"/>
          <w:sz w:val="30"/>
          <w:szCs w:val="30"/>
          <w:rtl/>
          <w:lang w:val="en-US"/>
        </w:rPr>
        <w:t xml:space="preserve">   وتقارير المفوضية السابقة للاطلاع على أنماط هذا القصف)</w:t>
      </w:r>
    </w:p>
    <w:p w14:paraId="631C38D0" w14:textId="31E7D32D" w:rsid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حقق فريق الخبراء أيضا في 11 حادثا أصاب الصيادين، مما أسفر عن مقتل 43 صيادا و 49 جريحا وفقد 19 آخرين. وفقا لتقرير صادر عن جمعية الصيادين </w:t>
      </w:r>
      <w:r w:rsidRPr="00924A7A">
        <w:rPr>
          <w:rFonts w:ascii="Traditional Arabic" w:hAnsi="Traditional Arabic" w:cs="Traditional Arabic"/>
          <w:sz w:val="30"/>
          <w:szCs w:val="30"/>
          <w:vertAlign w:val="superscript"/>
          <w:rtl/>
          <w:lang w:val="en-US"/>
        </w:rPr>
        <w:footnoteReference w:id="1213"/>
      </w:r>
      <w:r w:rsidRPr="00924A7A">
        <w:rPr>
          <w:rFonts w:ascii="Traditional Arabic" w:hAnsi="Traditional Arabic" w:cs="Traditional Arabic"/>
          <w:sz w:val="30"/>
          <w:szCs w:val="30"/>
          <w:rtl/>
          <w:lang w:val="en-US"/>
        </w:rPr>
        <w:t>، منذ نشر التقرير الأول لفريق الخبراء، كانت هناك ثماني غارات جوية على قوارب الصيادين قبالة ساحل الحديدة. وبحسب ما ورد أسفرت هذه الحوادث عن مقتل 17 صيادًا وإصابة 15 آخرين. كما هو موضح في الفصل الخاص بالحديدة، فإن مجتمع الصيد على الساحل الغربي لليمن قد تأثر بشدة بالنزاع كما وتأثرت سبل عيش الناس بشكل كبير. من الواضح أن هذه الاحتياجات ذات الصلة بالأغذية تتفاقم في المنطقة. لمزيد من التفاصيل، راجع الحالة الرمزية للحديدة.</w:t>
      </w:r>
    </w:p>
    <w:p w14:paraId="0DEE334F" w14:textId="42C0692D" w:rsid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إن الألغام الأرضية التي يزرعها الحوثيون في الأراضي الزراعية والمراعي تحد من الزراعة وإنتاج الغذاء. وثّق فريق الخبراء أيضًا حالات انفجار الألغام في الأراضي الزراعية وقصف الحوثيين الذي أثر على إنتاج الغذاء. لمزيد من التفاصيل، راجع - عند الاقتضاء - الأقسام المتعلقة بالألغام الأرضية والقصف وتدمير الاعيان المحمية في فصول الحالة الرمزية لهذا التقرير.</w:t>
      </w:r>
    </w:p>
    <w:p w14:paraId="5717A710" w14:textId="77777777" w:rsidR="00000BE8" w:rsidRPr="00000BE8" w:rsidRDefault="00000BE8" w:rsidP="00000BE8">
      <w:pPr>
        <w:bidi/>
        <w:spacing w:after="240" w:line="240" w:lineRule="auto"/>
        <w:ind w:left="567" w:right="851" w:firstLine="567"/>
        <w:jc w:val="both"/>
        <w:rPr>
          <w:rStyle w:val="Heading2Char"/>
          <w:rFonts w:ascii="Traditional Arabic" w:hAnsi="Traditional Arabic" w:cs="Traditional Arabic"/>
          <w:sz w:val="30"/>
          <w:szCs w:val="30"/>
          <w:lang w:val="en-US"/>
        </w:rPr>
      </w:pPr>
      <w:r w:rsidRPr="00000BE8">
        <w:rPr>
          <w:rFonts w:ascii="Traditional Arabic" w:hAnsi="Traditional Arabic" w:cs="Traditional Arabic"/>
          <w:b/>
          <w:bCs/>
          <w:sz w:val="30"/>
          <w:szCs w:val="30"/>
          <w:rtl/>
          <w:lang w:val="en-US"/>
        </w:rPr>
        <w:t>أ) الاستنتاجات القانونية</w:t>
      </w:r>
    </w:p>
    <w:p w14:paraId="58FE3F34" w14:textId="71AC0382" w:rsidR="00000BE8" w:rsidRDefault="00000BE8" w:rsidP="00000BE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00BE8">
        <w:rPr>
          <w:rFonts w:ascii="Traditional Arabic" w:hAnsi="Traditional Arabic" w:cs="Traditional Arabic"/>
          <w:sz w:val="30"/>
          <w:szCs w:val="30"/>
          <w:rtl/>
          <w:lang w:val="en-US"/>
        </w:rPr>
        <w:t>إن أفعال أطراف النزاع التي أثرت على المواد التي لا غنى عنها لبقاء السكان على قيد الحياه، فاقمت الحالة الإنسانية التي تعتبر خطيرة بالفعل، وقد تصل إلى حد انتهاكات القانون الدولي الإنساني، وقد تؤدي إلى مسؤولية جنائية عن جرائم الحرب.</w:t>
      </w:r>
    </w:p>
    <w:p w14:paraId="567C5CFB" w14:textId="2C76331D" w:rsidR="00924A7A" w:rsidRDefault="00924A7A"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في جميع أنواع النزاعات، بما في ذلك النزاعات المسلحة غير الدولية، يُحظر مهاجمة أو تدمير أو إزالة أو تحويل المواد عديمة الفائدة التي لا غنى عنها لبقاء السكان المدنيين على قيد الحياه </w:t>
      </w:r>
      <w:r w:rsidRPr="00B83648">
        <w:rPr>
          <w:rFonts w:ascii="Traditional Arabic" w:hAnsi="Traditional Arabic" w:cs="Traditional Arabic"/>
          <w:sz w:val="30"/>
          <w:szCs w:val="30"/>
          <w:vertAlign w:val="superscript"/>
          <w:rtl/>
          <w:lang w:val="en-US"/>
        </w:rPr>
        <w:footnoteReference w:id="1214"/>
      </w:r>
      <w:r w:rsidRPr="00924A7A">
        <w:rPr>
          <w:rFonts w:ascii="Traditional Arabic" w:hAnsi="Traditional Arabic" w:cs="Traditional Arabic"/>
          <w:sz w:val="30"/>
          <w:szCs w:val="30"/>
          <w:rtl/>
          <w:lang w:val="en-US"/>
        </w:rPr>
        <w:t xml:space="preserve">. يُعرّف هذا الحظر في البروتوكول الإضافي </w:t>
      </w:r>
      <w:r w:rsidRPr="00924A7A">
        <w:rPr>
          <w:rFonts w:ascii="Traditional Arabic" w:hAnsi="Traditional Arabic" w:cs="Traditional Arabic"/>
          <w:sz w:val="30"/>
          <w:szCs w:val="30"/>
          <w:rtl/>
          <w:lang w:val="en-US"/>
        </w:rPr>
        <w:lastRenderedPageBreak/>
        <w:t xml:space="preserve">الثاني بأنه نتيجة طبيعية لحظر التجويع. في الواقع، قد تكون مثل هذه الهجمات بمثابة تجويع إذا كان لها تأثير على تجويع السكان المدنيين. من المتعارف عليه أن المادة 14 من البروتوكول الإضافي الثاني يتم تُفسَّرها مثل ما يقابلها في البروتوكول الإضافي الأول (المادة 54 (2))، وهو أكثر تفصيلاً </w:t>
      </w:r>
      <w:r w:rsidRPr="00B83648">
        <w:rPr>
          <w:rFonts w:ascii="Traditional Arabic" w:hAnsi="Traditional Arabic" w:cs="Traditional Arabic"/>
          <w:sz w:val="30"/>
          <w:szCs w:val="30"/>
          <w:vertAlign w:val="superscript"/>
          <w:rtl/>
          <w:lang w:val="en-US"/>
        </w:rPr>
        <w:footnoteReference w:id="1215"/>
      </w:r>
      <w:r w:rsidRPr="00924A7A">
        <w:rPr>
          <w:rFonts w:ascii="Traditional Arabic" w:hAnsi="Traditional Arabic" w:cs="Traditional Arabic"/>
          <w:sz w:val="30"/>
          <w:szCs w:val="30"/>
          <w:rtl/>
          <w:lang w:val="en-US"/>
        </w:rPr>
        <w:t xml:space="preserve">. هذا الأخير يبين المواد التي لا غنى عنها لبقاء السكان المدنيين على قيد الحياه على أنها تشمل الغذاء ومناطق زراعية لإنتاج المواد الغذائية والمحاصيل والماشية ومنشآت مياه الشرب والإمدادات وأعمال الري. في حين أن الاستخدام العسكري لمثل هذه المواد ليس محظورًا في حد ذاته ، الا انه يعرضها لمخاطر تدمير كبيرة وبالتالي فإن الاستخدام العسكري مشكوك فيه فيما يتعلق باحترام مبدأ التمييز والالتزام بحماية المدنيين من الأخطار الناجمة عن العمليات العسكرية </w:t>
      </w:r>
      <w:r w:rsidRPr="00B83648">
        <w:rPr>
          <w:rFonts w:ascii="Traditional Arabic" w:hAnsi="Traditional Arabic" w:cs="Traditional Arabic"/>
          <w:sz w:val="30"/>
          <w:szCs w:val="30"/>
          <w:vertAlign w:val="superscript"/>
          <w:rtl/>
          <w:lang w:val="en-US"/>
        </w:rPr>
        <w:footnoteReference w:id="1216"/>
      </w:r>
      <w:r w:rsidRPr="00924A7A">
        <w:rPr>
          <w:rFonts w:ascii="Traditional Arabic" w:hAnsi="Traditional Arabic" w:cs="Traditional Arabic"/>
          <w:sz w:val="30"/>
          <w:szCs w:val="30"/>
          <w:rtl/>
          <w:lang w:val="en-US"/>
        </w:rPr>
        <w:t xml:space="preserve">.  تحظر المادة 54 (2) من البروتوكول الإضافي الأول تغيير أو إزالة المواد التي لا غنى عنها لبقاء السكان على قيد الحياه "لغرض محدد يتمثل في  منع السكان المدنيين أو الطرف المعادي من المواد ذات القيمه الحيوية، أيا كان الدافع". </w:t>
      </w:r>
      <w:r w:rsidRPr="00B83648">
        <w:rPr>
          <w:rFonts w:ascii="Traditional Arabic" w:hAnsi="Traditional Arabic" w:cs="Traditional Arabic"/>
          <w:sz w:val="30"/>
          <w:szCs w:val="30"/>
          <w:vertAlign w:val="superscript"/>
          <w:rtl/>
          <w:lang w:val="en-US"/>
        </w:rPr>
        <w:footnoteReference w:id="1217"/>
      </w:r>
    </w:p>
    <w:p w14:paraId="4D939E06" w14:textId="400225C0" w:rsidR="00924A7A" w:rsidRPr="00924A7A" w:rsidRDefault="00924A7A" w:rsidP="00924A7A">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استخدمت جميع أطراف النزاع في اليمن ونفذت هجمات مؤثرة على المواد لا غنى عنها لبقاء السكان المدنيين على قيد الحياه. عند مهاجمة الاعيان المحمية، فأن هذا يصل إلى حد انتهاكات القانون الدولي الإنساني. هذه الأعمال تنتهك الحماية العامة الممنوحة للأعيان المدنية. بالإضافة إلى ذلك، من أجل انتهاك الحظر المتعلق بالمواد التي لا غنى عنها لبقاء السكان المدنيين على قيد الحياه، يجب أن تكون هذه الهجمات قد نفذت بهدف حرمان السكان المدنيين من المواد ذات القيمة الحيوية، أيا كان الدافع. في معظم الحالات التي تقصى عنها فريق الخبراء، يوجد حاجة إلى مزيد من التحقيقات لتحديد الهدف. ومع ذلك، فإن المعلومات المتعلقة بظروف هذه الهجمات، وفي بعض الحالات، تكرارها، تدل على هدف الهجمات.</w:t>
      </w:r>
    </w:p>
    <w:p w14:paraId="1024BBA0" w14:textId="1D41A712" w:rsidR="00924A7A" w:rsidRPr="00924A7A" w:rsidRDefault="00924A7A" w:rsidP="00E25F5D">
      <w:pPr>
        <w:pStyle w:val="ListParagraph"/>
        <w:numPr>
          <w:ilvl w:val="0"/>
          <w:numId w:val="43"/>
        </w:numPr>
        <w:bidi/>
        <w:spacing w:after="0"/>
        <w:ind w:right="900"/>
        <w:rPr>
          <w:rFonts w:ascii="Traditional Arabic" w:hAnsi="Traditional Arabic" w:cs="Traditional Arabic"/>
          <w:sz w:val="30"/>
          <w:szCs w:val="30"/>
          <w:lang w:val="en-US"/>
        </w:rPr>
      </w:pPr>
      <w:r w:rsidRPr="003A6CE6">
        <w:rPr>
          <w:rFonts w:ascii="Traditional Arabic" w:hAnsi="Traditional Arabic" w:cs="Traditional Arabic"/>
          <w:b/>
          <w:bCs/>
          <w:sz w:val="30"/>
          <w:szCs w:val="30"/>
          <w:rtl/>
          <w:lang w:val="en-US"/>
        </w:rPr>
        <w:t>الهجمات على المرافق الطبية والكوادر الطبية</w:t>
      </w:r>
    </w:p>
    <w:p w14:paraId="5DA33BF1" w14:textId="78DAE48C" w:rsidR="00924A7A" w:rsidRDefault="00924A7A"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24A7A">
        <w:rPr>
          <w:rFonts w:ascii="Traditional Arabic" w:hAnsi="Traditional Arabic" w:cs="Traditional Arabic"/>
          <w:sz w:val="30"/>
          <w:szCs w:val="30"/>
          <w:rtl/>
          <w:lang w:val="en-US"/>
        </w:rPr>
        <w:t xml:space="preserve">لقد اضيف عبئاً جديداً على الهياكل الأساسية الصحية الضعيفة والهشة بالاساس </w:t>
      </w:r>
      <w:r w:rsidR="003B7B68">
        <w:rPr>
          <w:rFonts w:ascii="Traditional Arabic" w:hAnsi="Traditional Arabic" w:cs="Traditional Arabic" w:hint="cs"/>
          <w:sz w:val="30"/>
          <w:szCs w:val="30"/>
          <w:rtl/>
          <w:lang w:val="en-US"/>
        </w:rPr>
        <w:t xml:space="preserve">في اليمن، </w:t>
      </w:r>
      <w:r w:rsidRPr="00924A7A">
        <w:rPr>
          <w:rFonts w:ascii="Traditional Arabic" w:hAnsi="Traditional Arabic" w:cs="Traditional Arabic"/>
          <w:sz w:val="30"/>
          <w:szCs w:val="30"/>
          <w:rtl/>
          <w:lang w:val="en-US"/>
        </w:rPr>
        <w:t>تمثل بتدمير المرافق الطبية أو تضررها خلال الأعمال القتالية. ومما زاد الطين بل</w:t>
      </w:r>
      <w:r w:rsidR="00F54212">
        <w:rPr>
          <w:rFonts w:ascii="Traditional Arabic" w:hAnsi="Traditional Arabic" w:cs="Traditional Arabic" w:hint="cs"/>
          <w:sz w:val="30"/>
          <w:szCs w:val="30"/>
          <w:rtl/>
          <w:lang w:val="en-US"/>
        </w:rPr>
        <w:t>ه</w:t>
      </w:r>
      <w:r w:rsidRPr="00924A7A">
        <w:rPr>
          <w:rFonts w:ascii="Traditional Arabic" w:hAnsi="Traditional Arabic" w:cs="Traditional Arabic"/>
          <w:sz w:val="30"/>
          <w:szCs w:val="30"/>
          <w:rtl/>
          <w:lang w:val="en-US"/>
        </w:rPr>
        <w:t xml:space="preserve"> الاستخدام العسكري لهذه المرافق من قبل جميع أطراف النزاع. وفقًا للأمين العام للأمم المتحدة، بين عامي 2015 و2018، تم تنفيذ 119 هجومًا على منشآت طبية في اليمن .</w:t>
      </w:r>
      <w:r w:rsidRPr="00924A7A">
        <w:rPr>
          <w:rFonts w:ascii="Traditional Arabic" w:hAnsi="Traditional Arabic" w:cs="Traditional Arabic"/>
          <w:sz w:val="30"/>
          <w:szCs w:val="30"/>
          <w:vertAlign w:val="superscript"/>
          <w:rtl/>
          <w:lang w:val="en-US"/>
        </w:rPr>
        <w:footnoteReference w:id="1218"/>
      </w:r>
      <w:r w:rsidRPr="00924A7A">
        <w:rPr>
          <w:rFonts w:ascii="Traditional Arabic" w:hAnsi="Traditional Arabic" w:cs="Traditional Arabic"/>
          <w:sz w:val="30"/>
          <w:szCs w:val="30"/>
          <w:rtl/>
          <w:lang w:val="en-US"/>
        </w:rPr>
        <w:t xml:space="preserve"> قام فريق الخبراء بتوثيق العديد من الحوادث التي تمت خلال النزاع وحيث لحق بالمرافق الصحية أضرار أو دمار. على سبيل المثال، أثار فريق الخبراء، في تقريره الأول، مخاوف جدية بشأن عملية الاستهداف التي طبقها التحالف، في أعقاب الغارات الجوية التي أصابت منشآت أطباء بلا </w:t>
      </w:r>
      <w:r w:rsidRPr="00924A7A">
        <w:rPr>
          <w:rFonts w:ascii="Traditional Arabic" w:hAnsi="Traditional Arabic" w:cs="Traditional Arabic"/>
          <w:sz w:val="30"/>
          <w:szCs w:val="30"/>
          <w:rtl/>
          <w:lang w:val="en-US"/>
        </w:rPr>
        <w:lastRenderedPageBreak/>
        <w:t>حدود في محافظتي صعدة وحجة في عام 2015 و 2016، على التوالي.</w:t>
      </w:r>
      <w:r w:rsidRPr="00924A7A">
        <w:rPr>
          <w:rFonts w:ascii="Traditional Arabic" w:hAnsi="Traditional Arabic" w:cs="Traditional Arabic"/>
          <w:sz w:val="30"/>
          <w:szCs w:val="30"/>
          <w:vertAlign w:val="superscript"/>
          <w:rtl/>
          <w:lang w:val="en-US"/>
        </w:rPr>
        <w:footnoteReference w:id="1219"/>
      </w:r>
      <w:r w:rsidR="00F54212">
        <w:rPr>
          <w:rFonts w:ascii="Traditional Arabic" w:hAnsi="Traditional Arabic" w:cs="Traditional Arabic" w:hint="cs"/>
          <w:sz w:val="30"/>
          <w:szCs w:val="30"/>
          <w:rtl/>
          <w:lang w:val="en-US"/>
        </w:rPr>
        <w:t xml:space="preserve"> </w:t>
      </w:r>
      <w:r w:rsidRPr="00924A7A">
        <w:rPr>
          <w:rFonts w:ascii="Traditional Arabic" w:hAnsi="Traditional Arabic" w:cs="Traditional Arabic"/>
          <w:sz w:val="30"/>
          <w:szCs w:val="30"/>
          <w:rtl/>
          <w:lang w:val="en-US"/>
        </w:rPr>
        <w:t xml:space="preserve">في استنتاجاتها، خلصت منظمة أطباء بلا حدود إلى أن الهجوم الذي وقع في 15 آب/ أغسطس 2016 أثر على مستشفى عبس وكان بمثابة هجوم من قبل التحالف على منشأة محمية وأنه تجاهل للطبيعة المحمية للمرفق الطبي </w:t>
      </w:r>
      <w:r w:rsidRPr="00924A7A">
        <w:rPr>
          <w:rFonts w:ascii="Traditional Arabic" w:hAnsi="Traditional Arabic" w:cs="Traditional Arabic"/>
          <w:sz w:val="30"/>
          <w:szCs w:val="30"/>
          <w:vertAlign w:val="superscript"/>
          <w:rtl/>
          <w:lang w:val="en-US"/>
        </w:rPr>
        <w:footnoteReference w:id="1220"/>
      </w:r>
      <w:r w:rsidRPr="00924A7A">
        <w:rPr>
          <w:rFonts w:ascii="Traditional Arabic" w:hAnsi="Traditional Arabic" w:cs="Traditional Arabic"/>
          <w:sz w:val="30"/>
          <w:szCs w:val="30"/>
          <w:rtl/>
          <w:lang w:val="en-US"/>
        </w:rPr>
        <w:t xml:space="preserve">. وفقًا لمنظمة أطباء بلا حدود، في حين أن إصلاح الأضرار المادية قد يكون بسيطًا نسبيًا، فقد كان من الصعب جدًا إعادة بناء ثقة الناس في العودة والبحث عن الخدمات الصحية. صرحت منظمة أطباء بلا حدود، "إن قصف المستشفى في أغسطس / آب 2016 لم يدمر المبنى فحسب، بل دمر أيضًا ثقة الناس. استغرقت إعادة بناء تلك الثقة أشهرًا." </w:t>
      </w:r>
      <w:r w:rsidRPr="00924A7A">
        <w:rPr>
          <w:rFonts w:ascii="Traditional Arabic" w:hAnsi="Traditional Arabic" w:cs="Traditional Arabic"/>
          <w:sz w:val="30"/>
          <w:szCs w:val="30"/>
          <w:vertAlign w:val="superscript"/>
          <w:rtl/>
          <w:lang w:val="en-US"/>
        </w:rPr>
        <w:footnoteReference w:id="1221"/>
      </w:r>
    </w:p>
    <w:p w14:paraId="1DD2B402" w14:textId="3CEB2943" w:rsidR="00924A7A" w:rsidRDefault="00735B5F"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2810DD">
        <w:rPr>
          <w:rFonts w:ascii="Traditional Arabic" w:hAnsi="Traditional Arabic" w:cs="Traditional Arabic"/>
          <w:sz w:val="30"/>
          <w:szCs w:val="30"/>
          <w:rtl/>
          <w:lang w:val="en-US"/>
        </w:rPr>
        <w:t xml:space="preserve">في حادثة أخرى أثرت على منشأة تابعة لمنظمة أطباء بلا حدود، في 2 ديسمبر/ كانون الأول 2015، قيل إن غارة جوية شنتها قوات التحالف على مقربة من عيادة طبية تابعة لمنظمة أطباء بلا حدود في الحوبان شرق تعز، مما أسفر عن إصابة تسعة أشخاص، من بينهم معلم صحي تابع لمنظمة أطباء بلا حدود وحارس تابع لها </w:t>
      </w:r>
      <w:r w:rsidRPr="002810DD">
        <w:rPr>
          <w:rFonts w:ascii="Traditional Arabic" w:hAnsi="Traditional Arabic" w:cs="Traditional Arabic"/>
          <w:sz w:val="30"/>
          <w:szCs w:val="30"/>
          <w:vertAlign w:val="superscript"/>
          <w:rtl/>
          <w:lang w:val="en-US"/>
        </w:rPr>
        <w:footnoteReference w:id="1222"/>
      </w:r>
      <w:r w:rsidRPr="002810DD">
        <w:rPr>
          <w:rFonts w:ascii="Traditional Arabic" w:hAnsi="Traditional Arabic" w:cs="Traditional Arabic"/>
          <w:sz w:val="30"/>
          <w:szCs w:val="30"/>
          <w:rtl/>
          <w:lang w:val="en-US"/>
        </w:rPr>
        <w:t>. توفي شخص واحد بعد يوم من إصابته.</w:t>
      </w:r>
      <w:r w:rsidRPr="002810DD">
        <w:rPr>
          <w:rFonts w:ascii="Traditional Arabic" w:hAnsi="Traditional Arabic" w:cs="Traditional Arabic"/>
          <w:sz w:val="30"/>
          <w:szCs w:val="30"/>
          <w:vertAlign w:val="superscript"/>
          <w:rtl/>
          <w:lang w:val="en-US"/>
        </w:rPr>
        <w:footnoteReference w:id="1223"/>
      </w:r>
    </w:p>
    <w:p w14:paraId="4EB8E0DA" w14:textId="693C6785" w:rsidR="00735B5F" w:rsidRDefault="002810DD"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حديثاً، حقق فريق الخبراء في</w:t>
      </w:r>
      <w:r w:rsidR="00F54212">
        <w:rPr>
          <w:rFonts w:ascii="Traditional Arabic" w:hAnsi="Traditional Arabic" w:cs="Traditional Arabic" w:hint="cs"/>
          <w:sz w:val="30"/>
          <w:szCs w:val="30"/>
          <w:rtl/>
          <w:lang w:val="en-US"/>
        </w:rPr>
        <w:t xml:space="preserve"> حادثة</w:t>
      </w:r>
      <w:r w:rsidRPr="00735B5F">
        <w:rPr>
          <w:rFonts w:ascii="Traditional Arabic" w:hAnsi="Traditional Arabic" w:cs="Traditional Arabic"/>
          <w:sz w:val="30"/>
          <w:szCs w:val="30"/>
          <w:rtl/>
          <w:lang w:val="en-US"/>
        </w:rPr>
        <w:t xml:space="preserve"> تدمير مركز علاج الكوليرا في مديرية عبس، محافظة حجة، التي أنشأتها منظمة أطباء بلا حدود وأصابتها غارة جوية للتحالف في 11 حزيران/ يونيو 2018. وكان من المقرر افتتاح المرفق في بداية "موسم الكوليرا" المتوقع بعد ذلك بوقت قصير،  علماً بأن المركز يستوعب ما يقارب من 50-60 سريرا. كانت المنشأة فارغة في وقت الهجوم، لكن الهجوم الجوي جعل المركز غير فعال تمامًا. وبالتالي، لم يكن من الممكن إفتتاح المركز كما هو مخطط في بداية موسم الكوليرا 2019 لمعالجة الزيادة الحادة في حالات الكوليرا (انظر القسم الخاص بالغارات الجوية في الفصل الخاص بصنعاء والمناطق الشمالية).</w:t>
      </w:r>
    </w:p>
    <w:p w14:paraId="7E623711" w14:textId="6B79DD71" w:rsidR="00735B5F" w:rsidRDefault="00735B5F"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 xml:space="preserve">وشملت الحوادث الأخرى التي حقق فيها فريق الخبراء تلك التي وقعت خلال معركة عدن في عام 2015، حيث حقق فريق الخبراء في العديد من الهجمات التي </w:t>
      </w:r>
      <w:r w:rsidRPr="00735B5F">
        <w:rPr>
          <w:rFonts w:ascii="Traditional Arabic" w:hAnsi="Traditional Arabic" w:cs="Traditional Arabic"/>
          <w:sz w:val="30"/>
          <w:szCs w:val="30"/>
          <w:rtl/>
          <w:lang w:val="en-US"/>
        </w:rPr>
        <w:lastRenderedPageBreak/>
        <w:t xml:space="preserve">شنتها جميع أطراف النزاع </w:t>
      </w:r>
      <w:r w:rsidR="000934E7">
        <w:rPr>
          <w:rFonts w:ascii="Traditional Arabic" w:hAnsi="Traditional Arabic" w:cs="Traditional Arabic" w:hint="cs"/>
          <w:sz w:val="30"/>
          <w:szCs w:val="30"/>
          <w:rtl/>
          <w:lang w:val="en-US"/>
        </w:rPr>
        <w:t xml:space="preserve">والتي ضربت خلالها </w:t>
      </w:r>
      <w:r w:rsidRPr="00735B5F">
        <w:rPr>
          <w:rFonts w:ascii="Traditional Arabic" w:hAnsi="Traditional Arabic" w:cs="Traditional Arabic"/>
          <w:sz w:val="30"/>
          <w:szCs w:val="30"/>
          <w:rtl/>
          <w:lang w:val="en-US"/>
        </w:rPr>
        <w:t>المرافق الطبية وسيارات الإسعاف والكوادر الطبيه. تضررت المرافق الطبية أيضا بسبب القتال في المناطق المجاورة لها. أدى استخدام المستشفيات لأغراض عسكرية إلى إعاقة الوصول إلى الرعاية الصحية في عدن في عام 2015 (لمزيد من التفاصيل، راجع الفصل الخاص بمعركة عدن (</w:t>
      </w:r>
      <w:r w:rsidR="00F54212">
        <w:rPr>
          <w:rFonts w:ascii="Traditional Arabic" w:hAnsi="Traditional Arabic" w:cs="Traditional Arabic" w:hint="cs"/>
          <w:sz w:val="30"/>
          <w:szCs w:val="30"/>
          <w:rtl/>
          <w:lang w:val="en-US"/>
        </w:rPr>
        <w:t>آذار/</w:t>
      </w:r>
      <w:r w:rsidRPr="00735B5F">
        <w:rPr>
          <w:rFonts w:ascii="Traditional Arabic" w:hAnsi="Traditional Arabic" w:cs="Traditional Arabic"/>
          <w:sz w:val="30"/>
          <w:szCs w:val="30"/>
          <w:rtl/>
          <w:lang w:val="en-US"/>
        </w:rPr>
        <w:t xml:space="preserve">مارس </w:t>
      </w:r>
      <w:r w:rsidR="00F54212">
        <w:rPr>
          <w:rFonts w:ascii="Traditional Arabic" w:hAnsi="Traditional Arabic" w:cs="Traditional Arabic"/>
          <w:sz w:val="30"/>
          <w:szCs w:val="30"/>
          <w:rtl/>
          <w:lang w:val="en-US"/>
        </w:rPr>
        <w:t>–</w:t>
      </w:r>
      <w:r w:rsidRPr="00735B5F">
        <w:rPr>
          <w:rFonts w:ascii="Traditional Arabic" w:hAnsi="Traditional Arabic" w:cs="Traditional Arabic"/>
          <w:sz w:val="30"/>
          <w:szCs w:val="30"/>
          <w:rtl/>
          <w:lang w:val="en-US"/>
        </w:rPr>
        <w:t xml:space="preserve"> </w:t>
      </w:r>
      <w:r w:rsidR="00F54212">
        <w:rPr>
          <w:rFonts w:ascii="Traditional Arabic" w:hAnsi="Traditional Arabic" w:cs="Traditional Arabic" w:hint="cs"/>
          <w:sz w:val="30"/>
          <w:szCs w:val="30"/>
          <w:rtl/>
          <w:lang w:val="en-US"/>
        </w:rPr>
        <w:t>تموز/</w:t>
      </w:r>
      <w:r w:rsidRPr="00735B5F">
        <w:rPr>
          <w:rFonts w:ascii="Traditional Arabic" w:hAnsi="Traditional Arabic" w:cs="Traditional Arabic"/>
          <w:sz w:val="30"/>
          <w:szCs w:val="30"/>
          <w:rtl/>
          <w:lang w:val="en-US"/>
        </w:rPr>
        <w:t xml:space="preserve">يوليو 2015). في مدينة الحديدة، قام الفريق بالتحقيق في كيفية احتلال مستشفى 22 </w:t>
      </w:r>
      <w:r w:rsidR="00F54212">
        <w:rPr>
          <w:rFonts w:ascii="Traditional Arabic" w:hAnsi="Traditional Arabic" w:cs="Traditional Arabic" w:hint="cs"/>
          <w:sz w:val="30"/>
          <w:szCs w:val="30"/>
          <w:rtl/>
          <w:lang w:val="en-US"/>
        </w:rPr>
        <w:t xml:space="preserve"> </w:t>
      </w:r>
      <w:r w:rsidRPr="00735B5F">
        <w:rPr>
          <w:rFonts w:ascii="Traditional Arabic" w:hAnsi="Traditional Arabic" w:cs="Traditional Arabic"/>
          <w:sz w:val="30"/>
          <w:szCs w:val="30"/>
          <w:rtl/>
          <w:lang w:val="en-US"/>
        </w:rPr>
        <w:t>مايو. وكيف دمره الحوثيون في تشرين الثاني/ نوفمبر 2018 (لمزيد من التفاصيل، راجع الفصل الخاص بمعركة الحديدة (2018-2019). وثق فريق الخبراء حوادث أخرى وقعت في 2018-2019، مثل التدمير الجزئي لوحدة الأمومة والطفوله، في مدينة الدريهمي، محافظة الحديدة، في أعقاب غارة جوية شنتها قوات التحالف في 11 تشرين الأول/ أكتوبر 2018 (لمزيد من التفاصيل، راجع الفصل الخاص بمعركة الحديدة). في محافظة صعدة، حقق فريق الخبراء في غارة جوية شنتها قوات التحالف على متجر في المنطقة المجاورة لمستشفى كتاف الريفي، وهو مرفق تدعمه منظمة رعاية الأطفال، في 26 آذار/ مارس 2019 (لمزيد من التفاصيل، راجع الفصل الخاص بصنعاء والشمال</w:t>
      </w:r>
      <w:r w:rsidRPr="00735B5F">
        <w:rPr>
          <w:rFonts w:ascii="Traditional Arabic" w:hAnsi="Traditional Arabic" w:cs="Traditional Arabic" w:hint="cs"/>
          <w:sz w:val="30"/>
          <w:szCs w:val="30"/>
          <w:rtl/>
          <w:lang w:val="en-US"/>
        </w:rPr>
        <w:t>)</w:t>
      </w:r>
      <w:r w:rsidRPr="00735B5F">
        <w:rPr>
          <w:rFonts w:ascii="Traditional Arabic" w:hAnsi="Traditional Arabic" w:cs="Traditional Arabic"/>
          <w:sz w:val="30"/>
          <w:szCs w:val="30"/>
          <w:rtl/>
          <w:lang w:val="en-US"/>
        </w:rPr>
        <w:t>.</w:t>
      </w:r>
    </w:p>
    <w:p w14:paraId="1EE8053E" w14:textId="11BCDDA4" w:rsidR="00735B5F" w:rsidRPr="00735B5F" w:rsidRDefault="00735B5F" w:rsidP="00735B5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735B5F">
        <w:rPr>
          <w:rFonts w:ascii="Traditional Arabic" w:hAnsi="Traditional Arabic" w:cs="Traditional Arabic"/>
          <w:sz w:val="30"/>
          <w:szCs w:val="30"/>
          <w:rtl/>
          <w:lang w:val="en-US"/>
        </w:rPr>
        <w:t xml:space="preserve">في تعز، وثّق فريق الخبراء الأضرار المستمرة التي لحقت بالمنشآت الطبية بسبب القتال (للاطلاع على التفاصيل، راجع الفصل الخاص بتعز). تعرضت احدى المستشفيات العامة الرئيسية في المدينة، مستشفى الثورة، الواقع في الشمال الشرقي من المدينة، للقصف وإطلاق النار، خاصة في عام 2015. وأفاد المستشفى أن هذا القصف ادى إلى مقتل أحد موظفي الإسعاف في 20 نيسان/ أبريل 2015  </w:t>
      </w:r>
      <w:r w:rsidRPr="00735B5F">
        <w:rPr>
          <w:rFonts w:ascii="Traditional Arabic" w:hAnsi="Traditional Arabic" w:cs="Traditional Arabic"/>
          <w:sz w:val="30"/>
          <w:szCs w:val="30"/>
          <w:vertAlign w:val="superscript"/>
          <w:rtl/>
          <w:lang w:val="en-US"/>
        </w:rPr>
        <w:footnoteReference w:id="1224"/>
      </w:r>
      <w:r w:rsidRPr="00735B5F">
        <w:rPr>
          <w:rFonts w:ascii="Traditional Arabic" w:hAnsi="Traditional Arabic" w:cs="Traditional Arabic"/>
          <w:sz w:val="30"/>
          <w:szCs w:val="30"/>
          <w:rtl/>
          <w:lang w:val="en-US"/>
        </w:rPr>
        <w:t>. إصابات المرضى في 11 تشرين الثاني/ نوفمبر 2015، والأضرار التي لحقت في أجزاء مختلفة من المبنى وسكن الكادر الطبي، بما في ذلك: وحدة العناية المركزة في 26 نيسان/ أبريل 2015 ،</w:t>
      </w:r>
      <w:r w:rsidRPr="00735B5F">
        <w:rPr>
          <w:rFonts w:ascii="Traditional Arabic" w:hAnsi="Traditional Arabic" w:cs="Traditional Arabic"/>
          <w:sz w:val="30"/>
          <w:szCs w:val="30"/>
          <w:vertAlign w:val="superscript"/>
          <w:rtl/>
          <w:lang w:val="en-US"/>
        </w:rPr>
        <w:footnoteReference w:id="1225"/>
      </w:r>
      <w:r w:rsidRPr="00735B5F">
        <w:rPr>
          <w:rFonts w:ascii="Traditional Arabic" w:hAnsi="Traditional Arabic" w:cs="Traditional Arabic"/>
          <w:sz w:val="30"/>
          <w:szCs w:val="30"/>
          <w:rtl/>
          <w:lang w:val="en-US"/>
        </w:rPr>
        <w:t xml:space="preserve"> أقسام طب الأسنان وطب الأطفال في 5 مايو 2015، قسم الحروق والجراحة في 20 حزيران/ يونيو 2015، وقسم العمليات في 25 تشرين الأول/ أكتوبر 2015. </w:t>
      </w:r>
      <w:r w:rsidRPr="00735B5F">
        <w:rPr>
          <w:rFonts w:ascii="Traditional Arabic" w:hAnsi="Traditional Arabic" w:cs="Traditional Arabic"/>
          <w:sz w:val="30"/>
          <w:szCs w:val="30"/>
          <w:vertAlign w:val="superscript"/>
          <w:rtl/>
          <w:lang w:val="en-US"/>
        </w:rPr>
        <w:footnoteReference w:id="1226"/>
      </w:r>
      <w:r w:rsidRPr="00735B5F">
        <w:rPr>
          <w:rFonts w:ascii="Traditional Arabic" w:hAnsi="Traditional Arabic" w:cs="Traditional Arabic"/>
          <w:sz w:val="30"/>
          <w:szCs w:val="30"/>
          <w:rtl/>
          <w:lang w:val="en-US"/>
        </w:rPr>
        <w:t xml:space="preserve">   واصلت المستشفى تقديم الرعاية الطبية المجانية طول فترة النزاع "ضمن الحدود المتاحة". </w:t>
      </w:r>
      <w:r w:rsidRPr="00735B5F">
        <w:rPr>
          <w:rFonts w:ascii="Traditional Arabic" w:hAnsi="Traditional Arabic" w:cs="Traditional Arabic"/>
          <w:sz w:val="30"/>
          <w:szCs w:val="30"/>
          <w:vertAlign w:val="superscript"/>
          <w:rtl/>
          <w:lang w:val="en-US"/>
        </w:rPr>
        <w:footnoteReference w:id="1227"/>
      </w:r>
      <w:r w:rsidRPr="00735B5F">
        <w:rPr>
          <w:rFonts w:ascii="Traditional Arabic" w:hAnsi="Traditional Arabic" w:cs="Traditional Arabic"/>
          <w:sz w:val="30"/>
          <w:szCs w:val="30"/>
          <w:rtl/>
          <w:lang w:val="en-US"/>
        </w:rPr>
        <w:t xml:space="preserve"> أصيب مستشفى المظفر في منطقة الأشرفية بمدينة تعز بأضرار جسيمة من حريق كبير وقع في 23 آذار/ مارس 2019 خلال مواجهات عنيفة بين كتائب أبو العباس والقوات المسلحة اليمنية.</w:t>
      </w:r>
      <w:r w:rsidRPr="00735B5F">
        <w:rPr>
          <w:rFonts w:ascii="Traditional Arabic" w:hAnsi="Traditional Arabic" w:cs="Traditional Arabic"/>
          <w:sz w:val="30"/>
          <w:szCs w:val="30"/>
          <w:vertAlign w:val="superscript"/>
          <w:rtl/>
          <w:lang w:val="en-US"/>
        </w:rPr>
        <w:footnoteReference w:id="1228"/>
      </w:r>
      <w:r w:rsidRPr="00735B5F">
        <w:rPr>
          <w:rFonts w:ascii="Traditional Arabic" w:hAnsi="Traditional Arabic" w:cs="Traditional Arabic"/>
          <w:sz w:val="30"/>
          <w:szCs w:val="30"/>
          <w:rtl/>
          <w:lang w:val="en-US"/>
        </w:rPr>
        <w:t xml:space="preserve">    ووفقاً لتقارير، قام مسلح تابع للحكومة بالتمركز في منزل يقع أمام المستشفى أصاب خزانات وقود الديزل بالمستشفى. </w:t>
      </w:r>
      <w:r w:rsidRPr="00735B5F">
        <w:rPr>
          <w:rFonts w:ascii="Traditional Arabic" w:hAnsi="Traditional Arabic" w:cs="Traditional Arabic"/>
          <w:sz w:val="30"/>
          <w:szCs w:val="30"/>
          <w:vertAlign w:val="superscript"/>
          <w:rtl/>
          <w:lang w:val="en-US"/>
        </w:rPr>
        <w:footnoteReference w:id="1229"/>
      </w:r>
    </w:p>
    <w:p w14:paraId="7B90CE24" w14:textId="7EF3831B" w:rsidR="00735B5F" w:rsidRDefault="002D269B" w:rsidP="002D269B">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أ) الاستنتاجات القانونية</w:t>
      </w:r>
    </w:p>
    <w:p w14:paraId="5DC2B5CF" w14:textId="0F14C32C" w:rsidR="00735B5F" w:rsidRDefault="002D269B" w:rsidP="002D269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2D269B">
        <w:rPr>
          <w:rFonts w:ascii="Traditional Arabic" w:hAnsi="Traditional Arabic" w:cs="Traditional Arabic"/>
          <w:sz w:val="30"/>
          <w:szCs w:val="30"/>
          <w:rtl/>
          <w:lang w:val="en-US"/>
        </w:rPr>
        <w:t xml:space="preserve">إن المنشآت الطبية محمية على وجه التحديد بموجب القانون الدولي الإنساني. جنبا إلى جنب مع الطاقم الطبي، يجب احترام وحماية الوحدات الطبية ووسائل النقل في جميع الأوقات. إن استخدامها لأغراض عسكرية قد ينتهك بالفعل الحماية </w:t>
      </w:r>
      <w:r w:rsidRPr="002D269B">
        <w:rPr>
          <w:rFonts w:ascii="Traditional Arabic" w:hAnsi="Traditional Arabic" w:cs="Traditional Arabic"/>
          <w:sz w:val="30"/>
          <w:szCs w:val="30"/>
          <w:rtl/>
          <w:lang w:val="en-US"/>
        </w:rPr>
        <w:lastRenderedPageBreak/>
        <w:t xml:space="preserve">الخاصة التي تستحقها الوحدات الطبية. </w:t>
      </w:r>
      <w:r w:rsidRPr="002D269B">
        <w:rPr>
          <w:rFonts w:ascii="Traditional Arabic" w:hAnsi="Traditional Arabic" w:cs="Traditional Arabic"/>
          <w:sz w:val="30"/>
          <w:szCs w:val="30"/>
          <w:vertAlign w:val="superscript"/>
          <w:rtl/>
          <w:lang w:val="en-US"/>
        </w:rPr>
        <w:footnoteReference w:id="1230"/>
      </w:r>
      <w:r w:rsidRPr="002D269B">
        <w:rPr>
          <w:rFonts w:ascii="Traditional Arabic" w:hAnsi="Traditional Arabic" w:cs="Traditional Arabic"/>
          <w:sz w:val="30"/>
          <w:szCs w:val="30"/>
          <w:rtl/>
          <w:lang w:val="en-US"/>
        </w:rPr>
        <w:t xml:space="preserve">   يجب ألا تكون هدفًا للهجوم، طالما انها لا تستخدم  في ارتكاب أعمال ضارة بالعدو. في مثل هذه الحالة، ممكن أن تصبح أهدافًا عسكرية مشروعة وتفقد حمايتها بعد إصدار تحذير يتم تجاهله .</w:t>
      </w:r>
      <w:r w:rsidRPr="002D269B">
        <w:rPr>
          <w:rFonts w:ascii="Traditional Arabic" w:hAnsi="Traditional Arabic" w:cs="Traditional Arabic"/>
          <w:sz w:val="30"/>
          <w:szCs w:val="30"/>
          <w:vertAlign w:val="superscript"/>
          <w:rtl/>
          <w:lang w:val="en-US"/>
        </w:rPr>
        <w:footnoteReference w:id="1231"/>
      </w:r>
      <w:r w:rsidRPr="002D269B">
        <w:rPr>
          <w:rFonts w:ascii="Traditional Arabic" w:hAnsi="Traditional Arabic" w:cs="Traditional Arabic"/>
          <w:sz w:val="30"/>
          <w:szCs w:val="30"/>
          <w:rtl/>
          <w:lang w:val="en-US"/>
        </w:rPr>
        <w:t xml:space="preserve"> يعد توجيه الهجمات المتعمدة ضد الوحدات الطبية المحمية جريمة حرب في النزاعات المسلحة غير الدولية. </w:t>
      </w:r>
      <w:r w:rsidRPr="002D269B">
        <w:rPr>
          <w:rFonts w:ascii="Traditional Arabic" w:hAnsi="Traditional Arabic" w:cs="Traditional Arabic"/>
          <w:sz w:val="30"/>
          <w:szCs w:val="30"/>
          <w:vertAlign w:val="superscript"/>
          <w:rtl/>
          <w:lang w:val="en-US"/>
        </w:rPr>
        <w:footnoteReference w:id="1232"/>
      </w:r>
    </w:p>
    <w:p w14:paraId="2A901BB8" w14:textId="770C71EE" w:rsidR="00000BE8" w:rsidRDefault="00000BE8" w:rsidP="00000BE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000BE8">
        <w:rPr>
          <w:rFonts w:ascii="Traditional Arabic" w:hAnsi="Traditional Arabic" w:cs="Traditional Arabic"/>
          <w:sz w:val="30"/>
          <w:szCs w:val="30"/>
          <w:rtl/>
          <w:lang w:val="en-US"/>
        </w:rPr>
        <w:t>لدى فريق الخبراء أسباب معقولة للاعتقاد بأن الحماية المحددة للوحدات الطبية قد انتهكت من قبل جميع أطراف النزاع، من خلال استخدام هذه المرافق لأغراض عسكرية، وعدم اتخاذ الاحتياطات اللازمة لتلافي إلحاق الضرر بهذه الوحدات، دون تمييز الهجمات وتلك التي قد تكون موجهة إلى هذه الوحدات. قد تؤدي هذه الهجمات العشوائية التي تستهدف المنشآت الطبية إلى مسؤولية جنائية فردية عن جرائم الحرب.</w:t>
      </w:r>
    </w:p>
    <w:p w14:paraId="337BBFAF" w14:textId="75468559"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2D76A18B" w14:textId="29B33171"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5A7C9643" w14:textId="77777777" w:rsidR="00E25F5D" w:rsidRDefault="00E25F5D" w:rsidP="00E25F5D">
      <w:pPr>
        <w:pStyle w:val="ListParagraph"/>
        <w:bidi/>
        <w:spacing w:after="240" w:line="240" w:lineRule="auto"/>
        <w:ind w:left="1134" w:right="851"/>
        <w:contextualSpacing w:val="0"/>
        <w:jc w:val="both"/>
        <w:rPr>
          <w:rFonts w:ascii="Traditional Arabic" w:hAnsi="Traditional Arabic" w:cs="Traditional Arabic"/>
          <w:sz w:val="30"/>
          <w:szCs w:val="30"/>
          <w:lang w:val="en-US"/>
        </w:rPr>
      </w:pPr>
    </w:p>
    <w:p w14:paraId="5F073439" w14:textId="6ED9DC31" w:rsidR="002D269B" w:rsidRDefault="002D269B" w:rsidP="002D269B">
      <w:pPr>
        <w:pStyle w:val="ListParagraph"/>
        <w:numPr>
          <w:ilvl w:val="0"/>
          <w:numId w:val="43"/>
        </w:numPr>
        <w:bidi/>
        <w:ind w:right="900"/>
        <w:rPr>
          <w:rStyle w:val="Heading2Cha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الحصار والحصار العسكري كأسلوب حرب</w:t>
      </w:r>
    </w:p>
    <w:p w14:paraId="1DC14DD1" w14:textId="5F6D6716" w:rsidR="002D269B" w:rsidRDefault="002D269B" w:rsidP="002D269B">
      <w:pPr>
        <w:pStyle w:val="ListParagraph"/>
        <w:bidi/>
        <w:spacing w:after="240" w:line="240" w:lineRule="auto"/>
        <w:ind w:left="1134" w:right="851"/>
        <w:contextualSpacing w:val="0"/>
        <w:jc w:val="both"/>
        <w:rPr>
          <w:rStyle w:val="Heading2Char"/>
          <w:rFonts w:ascii="Traditional Arabic" w:hAnsi="Traditional Arabic" w:cs="Traditional Arabic"/>
          <w:sz w:val="30"/>
          <w:szCs w:val="30"/>
          <w:lang w:val="en-US"/>
        </w:rPr>
      </w:pPr>
      <w:r w:rsidRPr="002D269B">
        <w:rPr>
          <w:rFonts w:ascii="Traditional Arabic" w:hAnsi="Traditional Arabic" w:cs="Traditional Arabic"/>
          <w:b/>
          <w:bCs/>
          <w:sz w:val="30"/>
          <w:szCs w:val="30"/>
          <w:rtl/>
          <w:lang w:val="en-US"/>
        </w:rPr>
        <w:t>أ) حصار التحالف المفروض على اليمن</w:t>
      </w:r>
    </w:p>
    <w:p w14:paraId="71C1DF4A" w14:textId="47A61A16" w:rsidR="002D269B" w:rsidRDefault="00FD7F1C"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إن قيود الوصول الى اليمن المفروضة من قبل التحالف، مثل الحصار البحري وإغلاق مطار صنعاء الدولي، كلاهما فرضا قيوداً على الواردات وحرية التنقل، والمساهمة بشكل كبير في تدهور الاقتصاد اليمني وعززا الازمه الإنسانية الحالية، بما في ذلك زيادة عرقلة إيصال إمدادات الإغاثة.</w:t>
      </w:r>
    </w:p>
    <w:p w14:paraId="508A83EB" w14:textId="7A9ABC35" w:rsidR="00FD7F1C" w:rsidRDefault="00FD7F1C" w:rsidP="00F54212">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بعد مشاركته في اليمن في عام 2015، فرض التحالف قيود على الدخول الى المياه الإقليمية اليمنية، والتي تصل إلى حد الحصار البحري الفعلي. تحتاج كل سفينة تسعى إلى دخول المياه اليمنية إلى تصريح بعد تفتيش لجنة الإخلاء والعمليات الإنسانية التابعة للتحالف. كذلك في أيار/مايو 2016، تم إنشاء آلية الأمم المتحدة للتحقق والتفتيش في اليمن (</w:t>
      </w:r>
      <w:r w:rsidRPr="00FD7F1C">
        <w:rPr>
          <w:rFonts w:ascii="Traditional Arabic" w:hAnsi="Traditional Arabic" w:cs="Traditional Arabic"/>
          <w:sz w:val="30"/>
          <w:szCs w:val="30"/>
          <w:lang w:val="en-US"/>
        </w:rPr>
        <w:t>UNVIM</w:t>
      </w:r>
      <w:r w:rsidRPr="00FD7F1C">
        <w:rPr>
          <w:rFonts w:ascii="Traditional Arabic" w:hAnsi="Traditional Arabic" w:cs="Traditional Arabic"/>
          <w:sz w:val="30"/>
          <w:szCs w:val="30"/>
          <w:rtl/>
          <w:lang w:val="en-US"/>
        </w:rPr>
        <w:t>) بناءً على طلب من الحكومة اليمنية لضمان الامتثال لنظام الجزاءات الذي أنشأه قرار مجلس الأمن 2216 (2015). وفقًا لذلك، فإن آلية الأمم المتحدة للتحقق والتفتيش في اليمن هي المسؤولة عن تخليص السفن التجارية التي تسعى إلى دخول اليمن عبر موانئ لا تخضع لسيطرة الحكومة، والتأكد من أنها لا تحتوي على أسلحة.</w:t>
      </w:r>
      <w:r w:rsidRPr="00FD7F1C">
        <w:rPr>
          <w:rFonts w:ascii="Traditional Arabic" w:hAnsi="Traditional Arabic" w:cs="Traditional Arabic"/>
          <w:sz w:val="30"/>
          <w:szCs w:val="30"/>
          <w:vertAlign w:val="superscript"/>
          <w:rtl/>
          <w:lang w:val="en-US"/>
        </w:rPr>
        <w:footnoteReference w:id="1233"/>
      </w:r>
    </w:p>
    <w:p w14:paraId="0FB05476" w14:textId="26745C31" w:rsidR="00FD7F1C"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وقد أدت هذه الإجراءات من قبل التحالف التي تم إبقاءها وأصبحت مزدوجة مع آلية الأمم المتحدة للتحقق والتفتيش، توصلت إلى إلى تباطؤ كبير في دخول </w:t>
      </w:r>
      <w:r w:rsidRPr="00FD7F1C">
        <w:rPr>
          <w:rFonts w:ascii="Traditional Arabic" w:hAnsi="Traditional Arabic" w:cs="Traditional Arabic"/>
          <w:sz w:val="30"/>
          <w:szCs w:val="30"/>
          <w:rtl/>
          <w:lang w:val="en-US"/>
        </w:rPr>
        <w:lastRenderedPageBreak/>
        <w:t>البضائع إلى اليمن، مما زاد من تكلفتها. وكان لهذا تأثير مدمر على الاقتصاد الذي يعتمد بشكل أساسي على الواردات، كما يتضح من حقيقة أن كمية الواردات قد انخفضت بالفعل بشكل كبير منذ بضعة أشهر في النزاع .</w:t>
      </w:r>
      <w:r w:rsidRPr="00FD7F1C">
        <w:rPr>
          <w:rFonts w:ascii="Traditional Arabic" w:hAnsi="Traditional Arabic" w:cs="Traditional Arabic"/>
          <w:sz w:val="30"/>
          <w:szCs w:val="30"/>
          <w:vertAlign w:val="superscript"/>
          <w:rtl/>
          <w:lang w:val="en-US"/>
        </w:rPr>
        <w:footnoteReference w:id="1234"/>
      </w:r>
      <w:r w:rsidRPr="00FD7F1C">
        <w:rPr>
          <w:rFonts w:ascii="Traditional Arabic" w:hAnsi="Traditional Arabic" w:cs="Traditional Arabic"/>
          <w:sz w:val="30"/>
          <w:szCs w:val="30"/>
          <w:rtl/>
          <w:lang w:val="en-US"/>
        </w:rPr>
        <w:t xml:space="preserve"> كما أثرت القيود التدريجية التي أدت إلى الإغلاق التام لمطار صنعاء على الرحلات الجوية التجارية في آب/ أغسطس 2016 بشكل كبير على حركة الأشخاص من وإلى اليمن، وكان لها تأثير كبير على حق المحتاجين إلى رعاية صحية متخصصة في الخارج.</w:t>
      </w:r>
    </w:p>
    <w:p w14:paraId="7A4D3631" w14:textId="6D1FCA67" w:rsidR="00FD7F1C" w:rsidRDefault="00FD7F1C" w:rsidP="00D636F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في تشرين ثاني/ نوفمبر 2017، فرض التحالف حصارًا تامًا على اليمن لمدة ثلاثة أسابيع. بعد إطلاق الصاروخ الباليستي من قبل الحوثيين على المملكة العربية السعودية في 4 تشرين ثاني/ نوفمبر 2017، أعلنت المملكة العربية السعودية بعد يومين من الحادثه إغلاق جميع الموانئ الجوية والبحرية والبرية في اليمن، مما أدى إلى حبس 27 مليون شخص فعليًا وحبس 500 </w:t>
      </w:r>
      <w:r w:rsidR="00AF04AC">
        <w:rPr>
          <w:rFonts w:ascii="Traditional Arabic" w:hAnsi="Traditional Arabic" w:cs="Traditional Arabic" w:hint="cs"/>
          <w:sz w:val="30"/>
          <w:szCs w:val="30"/>
          <w:rtl/>
          <w:lang w:val="en-US"/>
        </w:rPr>
        <w:t xml:space="preserve">ألف </w:t>
      </w:r>
      <w:r w:rsidRPr="00FD7F1C">
        <w:rPr>
          <w:rFonts w:ascii="Traditional Arabic" w:hAnsi="Traditional Arabic" w:cs="Traditional Arabic"/>
          <w:sz w:val="30"/>
          <w:szCs w:val="30"/>
          <w:rtl/>
          <w:lang w:val="en-US"/>
        </w:rPr>
        <w:t xml:space="preserve">طن متري من الغذاء والوقود، و 1,476 طن متري من المساعدات </w:t>
      </w:r>
      <w:r w:rsidRPr="00FD7F1C">
        <w:rPr>
          <w:rFonts w:ascii="Traditional Arabic" w:hAnsi="Traditional Arabic" w:cs="Traditional Arabic"/>
          <w:sz w:val="30"/>
          <w:szCs w:val="30"/>
          <w:vertAlign w:val="superscript"/>
          <w:rtl/>
          <w:lang w:val="en-US"/>
        </w:rPr>
        <w:footnoteReference w:id="1235"/>
      </w:r>
      <w:r w:rsidRPr="00FD7F1C">
        <w:rPr>
          <w:rFonts w:ascii="Traditional Arabic" w:hAnsi="Traditional Arabic" w:cs="Traditional Arabic"/>
          <w:sz w:val="30"/>
          <w:szCs w:val="30"/>
          <w:rtl/>
          <w:lang w:val="en-US"/>
        </w:rPr>
        <w:t xml:space="preserve">. بعد 10 أيام، أعيد فتح مطار عدن وميناءها البحري، إلى جانب الموانئ البحرية في المخا </w:t>
      </w:r>
      <w:r w:rsidR="00E04CCC">
        <w:rPr>
          <w:rFonts w:ascii="Traditional Arabic" w:hAnsi="Traditional Arabic" w:cs="Traditional Arabic" w:hint="cs"/>
          <w:sz w:val="30"/>
          <w:szCs w:val="30"/>
          <w:rtl/>
          <w:lang w:val="en-US"/>
        </w:rPr>
        <w:t>و</w:t>
      </w:r>
      <w:r w:rsidRPr="00FD7F1C">
        <w:rPr>
          <w:rFonts w:ascii="Traditional Arabic" w:hAnsi="Traditional Arabic" w:cs="Traditional Arabic"/>
          <w:sz w:val="30"/>
          <w:szCs w:val="30"/>
          <w:rtl/>
          <w:lang w:val="en-US"/>
        </w:rPr>
        <w:t>المكلا و</w:t>
      </w:r>
      <w:r w:rsidR="008A5B79">
        <w:rPr>
          <w:rFonts w:ascii="Traditional Arabic" w:hAnsi="Traditional Arabic" w:cs="Traditional Arabic" w:hint="cs"/>
          <w:sz w:val="30"/>
          <w:szCs w:val="30"/>
          <w:rtl/>
          <w:lang w:val="en-US"/>
        </w:rPr>
        <w:t>الم</w:t>
      </w:r>
      <w:r w:rsidR="00D636FF">
        <w:rPr>
          <w:rFonts w:ascii="Traditional Arabic" w:hAnsi="Traditional Arabic" w:cs="Traditional Arabic" w:hint="cs"/>
          <w:sz w:val="30"/>
          <w:szCs w:val="30"/>
          <w:rtl/>
          <w:lang w:val="en-US"/>
        </w:rPr>
        <w:t>عب</w:t>
      </w:r>
      <w:r w:rsidR="008A5B79">
        <w:rPr>
          <w:rFonts w:ascii="Traditional Arabic" w:hAnsi="Traditional Arabic" w:cs="Traditional Arabic" w:hint="cs"/>
          <w:sz w:val="30"/>
          <w:szCs w:val="30"/>
          <w:rtl/>
          <w:lang w:val="en-US"/>
        </w:rPr>
        <w:t>ر</w:t>
      </w:r>
      <w:r w:rsidR="00E04CCC">
        <w:rPr>
          <w:rFonts w:ascii="Traditional Arabic" w:hAnsi="Traditional Arabic" w:cs="Traditional Arabic" w:hint="cs"/>
          <w:sz w:val="30"/>
          <w:szCs w:val="30"/>
          <w:rtl/>
          <w:lang w:val="en-US"/>
        </w:rPr>
        <w:t xml:space="preserve"> البري مع المملكة العربية السعودية </w:t>
      </w:r>
      <w:r w:rsidR="008A5B79">
        <w:rPr>
          <w:rFonts w:ascii="Traditional Arabic" w:hAnsi="Traditional Arabic" w:cs="Traditional Arabic" w:hint="cs"/>
          <w:sz w:val="30"/>
          <w:szCs w:val="30"/>
          <w:rtl/>
          <w:lang w:val="en-US"/>
        </w:rPr>
        <w:t xml:space="preserve">في </w:t>
      </w:r>
      <w:r w:rsidRPr="00FD7F1C">
        <w:rPr>
          <w:rFonts w:ascii="Traditional Arabic" w:hAnsi="Traditional Arabic" w:cs="Traditional Arabic"/>
          <w:sz w:val="30"/>
          <w:szCs w:val="30"/>
          <w:rtl/>
          <w:lang w:val="en-US"/>
        </w:rPr>
        <w:t>الودي</w:t>
      </w:r>
      <w:r w:rsidR="008A5B79">
        <w:rPr>
          <w:rFonts w:ascii="Traditional Arabic" w:hAnsi="Traditional Arabic" w:cs="Traditional Arabic" w:hint="cs"/>
          <w:sz w:val="30"/>
          <w:szCs w:val="30"/>
          <w:rtl/>
          <w:lang w:val="en-US"/>
        </w:rPr>
        <w:t>عة</w:t>
      </w:r>
      <w:r w:rsidRPr="00FD7F1C">
        <w:rPr>
          <w:rFonts w:ascii="Traditional Arabic" w:hAnsi="Traditional Arabic" w:cs="Traditional Arabic"/>
          <w:sz w:val="30"/>
          <w:szCs w:val="30"/>
          <w:rtl/>
          <w:lang w:val="en-US"/>
        </w:rPr>
        <w:t xml:space="preserve">. أمر التحالف بإعادة توجيه جميع الواردات عبر تلك الموانئ . </w:t>
      </w:r>
      <w:r w:rsidRPr="00FD7F1C">
        <w:rPr>
          <w:rFonts w:ascii="Traditional Arabic" w:hAnsi="Traditional Arabic" w:cs="Traditional Arabic"/>
          <w:sz w:val="30"/>
          <w:szCs w:val="30"/>
          <w:vertAlign w:val="superscript"/>
          <w:rtl/>
          <w:lang w:val="en-US"/>
        </w:rPr>
        <w:footnoteReference w:id="1236"/>
      </w:r>
      <w:r w:rsidRPr="00FD7F1C">
        <w:rPr>
          <w:rFonts w:ascii="Traditional Arabic" w:hAnsi="Traditional Arabic" w:cs="Traditional Arabic"/>
          <w:sz w:val="30"/>
          <w:szCs w:val="30"/>
          <w:rtl/>
          <w:lang w:val="en-US"/>
        </w:rPr>
        <w:t>في 23 تشرين ثاني/ نوفمبر 2017، أعيد فتح موانئ الحديدة والصليف لتقديم المساعدة الإنسانية المحدودة. بالنظر إلى أن حوالي 80 في المائة من جميع واردات اليمن تتدفق عبر هذين المينائين وأن حوالي ثلثي سكان اليمن يعيشون في المناطق التي يخدمها مطار صنعاء مباشرة، "فإن الإغلاق المستمر للموانئ يضع عبئا هائلا على توافر الغذاء في السوق ويزيد بشكل كبير من خطر المجاعة على نطاق واسع في اليمن   ".</w:t>
      </w:r>
      <w:r w:rsidRPr="00FD7F1C">
        <w:rPr>
          <w:rFonts w:ascii="Traditional Arabic" w:hAnsi="Traditional Arabic" w:cs="Traditional Arabic"/>
          <w:sz w:val="30"/>
          <w:szCs w:val="30"/>
          <w:vertAlign w:val="superscript"/>
          <w:rtl/>
          <w:lang w:val="en-US"/>
        </w:rPr>
        <w:footnoteReference w:id="1237"/>
      </w:r>
    </w:p>
    <w:p w14:paraId="39066E4C" w14:textId="5005242C" w:rsidR="00FD7F1C" w:rsidRDefault="00FD7F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وعلى الرغم من تخفيف الحصار، فقد أدى الإغلاق بالفعل إلى تفاقم الأزمة بشكل كبير. "ستة عشر يومًا قطعت جزء من البلد من جميع الواردات مما كان له تأثير مدمر على أكبر أزمة إنسانية في العالم. ارتفعت أسعار المواد الغذائية، مما جعل الطعام الرئيسي بعيدًا عن متناول العديد من الناس. تواجه وكالات الإغاثة والقطاع الخاص أعباء مالية بسبب تأخر السفن الراسية خارج الحديدة في المياه العميقة؛ تكاليف تصل إلى أكثر من 10,000 دولار </w:t>
      </w:r>
      <w:r w:rsidR="00C6066E">
        <w:rPr>
          <w:rFonts w:ascii="Traditional Arabic" w:hAnsi="Traditional Arabic" w:cs="Traditional Arabic" w:hint="cs"/>
          <w:sz w:val="30"/>
          <w:szCs w:val="30"/>
          <w:rtl/>
          <w:lang w:val="en-US"/>
        </w:rPr>
        <w:t>من دولارات الولايات المتحدة</w:t>
      </w:r>
      <w:r w:rsidR="00C6066E" w:rsidRPr="00FD7F1C">
        <w:rPr>
          <w:rFonts w:ascii="Traditional Arabic" w:hAnsi="Traditional Arabic" w:cs="Traditional Arabic"/>
          <w:sz w:val="30"/>
          <w:szCs w:val="30"/>
          <w:rtl/>
          <w:lang w:val="en-US"/>
        </w:rPr>
        <w:t xml:space="preserve"> </w:t>
      </w:r>
      <w:r w:rsidRPr="00FD7F1C">
        <w:rPr>
          <w:rFonts w:ascii="Traditional Arabic" w:hAnsi="Traditional Arabic" w:cs="Traditional Arabic"/>
          <w:sz w:val="30"/>
          <w:szCs w:val="30"/>
          <w:rtl/>
          <w:lang w:val="en-US"/>
        </w:rPr>
        <w:t xml:space="preserve">لكل سفينة في اليوم الواحد. سوف يتحمل المستهلكون اليمنيون هذه التكاليف الإضافية في نهاية المطاف، والذين هم بالفعل فقراء ومجهدون مالياً. </w:t>
      </w:r>
      <w:r w:rsidRPr="00FD7F1C">
        <w:rPr>
          <w:rFonts w:ascii="Traditional Arabic" w:hAnsi="Traditional Arabic" w:cs="Traditional Arabic"/>
          <w:sz w:val="30"/>
          <w:szCs w:val="30"/>
          <w:vertAlign w:val="superscript"/>
          <w:rtl/>
          <w:lang w:val="en-US"/>
        </w:rPr>
        <w:footnoteReference w:id="1238"/>
      </w:r>
      <w:r w:rsidRPr="00FD7F1C">
        <w:rPr>
          <w:rFonts w:ascii="Traditional Arabic" w:hAnsi="Traditional Arabic" w:cs="Traditional Arabic"/>
          <w:sz w:val="30"/>
          <w:szCs w:val="30"/>
          <w:rtl/>
          <w:lang w:val="en-US"/>
        </w:rPr>
        <w:t xml:space="preserve"> أدت القيود المفروضة على واردات الغذاء والوقود والإيرادات</w:t>
      </w:r>
      <w:r w:rsidR="00E07C60">
        <w:rPr>
          <w:rFonts w:ascii="Traditional Arabic" w:hAnsi="Traditional Arabic" w:cs="Traditional Arabic" w:hint="cs"/>
          <w:sz w:val="30"/>
          <w:szCs w:val="30"/>
          <w:rtl/>
          <w:lang w:val="en-US"/>
        </w:rPr>
        <w:t xml:space="preserve"> التجارية</w:t>
      </w:r>
      <w:r w:rsidRPr="00FD7F1C">
        <w:rPr>
          <w:rFonts w:ascii="Traditional Arabic" w:hAnsi="Traditional Arabic" w:cs="Traditional Arabic"/>
          <w:sz w:val="30"/>
          <w:szCs w:val="30"/>
          <w:rtl/>
          <w:lang w:val="en-US"/>
        </w:rPr>
        <w:t xml:space="preserve"> إلى تفاقم حالة </w:t>
      </w:r>
      <w:r w:rsidRPr="00FD7F1C">
        <w:rPr>
          <w:rFonts w:ascii="Traditional Arabic" w:hAnsi="Traditional Arabic" w:cs="Traditional Arabic"/>
          <w:sz w:val="30"/>
          <w:szCs w:val="30"/>
          <w:rtl/>
          <w:lang w:val="en-US"/>
        </w:rPr>
        <w:lastRenderedPageBreak/>
        <w:t>انعدام الأمن الغذائي بالإضافة إلى إضعاف الاقتصاد اليمني بشكل كبير. كان لتأخير صهاريج الوقود وتحويلها تأثير مهم، ليس فقط على الاقتصاد، ولكن أيضًا على الزراعة والصحة، لأن الوقود ضروري لتشغيل مولدات المستشفيات ولضخ المياه إلى المنازل وللري .</w:t>
      </w:r>
      <w:r w:rsidRPr="00FD7F1C">
        <w:rPr>
          <w:rFonts w:ascii="Traditional Arabic" w:hAnsi="Traditional Arabic" w:cs="Traditional Arabic"/>
          <w:sz w:val="30"/>
          <w:szCs w:val="30"/>
          <w:vertAlign w:val="superscript"/>
          <w:rtl/>
          <w:lang w:val="en-US"/>
        </w:rPr>
        <w:footnoteReference w:id="1239"/>
      </w:r>
      <w:r w:rsidRPr="00FD7F1C">
        <w:rPr>
          <w:rFonts w:ascii="Traditional Arabic" w:hAnsi="Traditional Arabic" w:cs="Traditional Arabic"/>
          <w:sz w:val="30"/>
          <w:szCs w:val="30"/>
          <w:rtl/>
          <w:lang w:val="en-US"/>
        </w:rPr>
        <w:t xml:space="preserve"> في حين تم تخفيف الحصار تدريجياً، فإن بعض القيود الموضوعة في نوفمبر 2017 لا تزال قائمة حتى وقت إعداد هذا التقرير. على سبيل المثال، ظل ميناء الحديدة مغلقًا أمام حاويات الشحن (باستثناء حالة واحدة في العام 2018).</w:t>
      </w:r>
    </w:p>
    <w:p w14:paraId="37E46119" w14:textId="045BED75" w:rsidR="00FD7F1C" w:rsidRDefault="00FD7F1C" w:rsidP="00FD7F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FD7F1C">
        <w:rPr>
          <w:rFonts w:ascii="Traditional Arabic" w:hAnsi="Traditional Arabic" w:cs="Traditional Arabic"/>
          <w:b/>
          <w:bCs/>
          <w:sz w:val="30"/>
          <w:szCs w:val="30"/>
          <w:rtl/>
          <w:lang w:val="en-US"/>
        </w:rPr>
        <w:t>ب) الحصار العسكري كأسلوب قتال من قبل الحوثيين والقوات المسلحة اليمنية</w:t>
      </w:r>
    </w:p>
    <w:p w14:paraId="5CFF2194" w14:textId="399804CA" w:rsidR="00735B5F"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أدى الحصار العسكري المستخدم كأسلوب قتال من قبل الحوثيون حول مدينة تعز منذ آب / أغسطس 2015 والحصار الذي قيل عنه حول حجة منذ نهاية عام 2018 إلى تفاقم الوضع الإنساني، بما في ذلك منع إيصال  المساعدات الإنسانية بشكل كبير.</w:t>
      </w:r>
    </w:p>
    <w:p w14:paraId="6AAB5840" w14:textId="77777777" w:rsidR="00291D95" w:rsidRDefault="00291D95" w:rsidP="00FD7F1C">
      <w:pPr>
        <w:bidi/>
        <w:spacing w:after="240" w:line="240" w:lineRule="auto"/>
        <w:ind w:left="1417" w:right="851"/>
        <w:jc w:val="both"/>
        <w:rPr>
          <w:rFonts w:ascii="Traditional Arabic" w:hAnsi="Traditional Arabic" w:cs="Traditional Arabic"/>
          <w:i/>
          <w:iCs/>
          <w:sz w:val="30"/>
          <w:szCs w:val="30"/>
          <w:rtl/>
          <w:lang w:val="en-US"/>
        </w:rPr>
      </w:pPr>
    </w:p>
    <w:p w14:paraId="17FC8537" w14:textId="65C25107" w:rsidR="00FD7F1C" w:rsidRPr="00FD7F1C" w:rsidRDefault="00FD7F1C" w:rsidP="00291D95">
      <w:pPr>
        <w:bidi/>
        <w:spacing w:after="240" w:line="240" w:lineRule="auto"/>
        <w:ind w:left="1417" w:right="851"/>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تعز</w:t>
      </w:r>
    </w:p>
    <w:p w14:paraId="2C3E2264" w14:textId="1639CBE9" w:rsidR="00FD7F1C" w:rsidRPr="00291D95" w:rsidRDefault="00FD7F1C" w:rsidP="007663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w w:val="90"/>
          <w:sz w:val="30"/>
          <w:szCs w:val="30"/>
          <w:lang w:val="en-US"/>
        </w:rPr>
      </w:pPr>
      <w:r w:rsidRPr="00291D95">
        <w:rPr>
          <w:rFonts w:ascii="Traditional Arabic" w:hAnsi="Traditional Arabic" w:cs="Traditional Arabic"/>
          <w:w w:val="90"/>
          <w:sz w:val="30"/>
          <w:szCs w:val="30"/>
          <w:rtl/>
          <w:lang w:val="en-US"/>
        </w:rPr>
        <w:t xml:space="preserve">في أغسطس 2015، سيطر مقاتلو الحوثي صالح على المنطقة المحيطة بتعز، وأغلقوا معظم الطرق المؤدية من وإلى المدينة عدة أشهر، مما أعاق إيصال المساعدات الإنسانية والغذاء والإمدادات الطبية للمدنيين في المدينة. تسبب "النقص الحاد" في الغذاء في "زيادة حادة في أسعار المواد الغذائية"، مما جعل بعض المواد الغذائية الأساسية، مثل الدقيق والأرز، غير ممكن شرائها بالنسبة لمعظم السكان </w:t>
      </w:r>
      <w:r w:rsidRPr="00291D95">
        <w:rPr>
          <w:rFonts w:ascii="Traditional Arabic" w:hAnsi="Traditional Arabic" w:cs="Traditional Arabic"/>
          <w:w w:val="90"/>
          <w:sz w:val="30"/>
          <w:szCs w:val="30"/>
          <w:vertAlign w:val="superscript"/>
          <w:rtl/>
          <w:lang w:val="en-US"/>
        </w:rPr>
        <w:footnoteReference w:id="1240"/>
      </w:r>
      <w:r w:rsidRPr="00291D95">
        <w:rPr>
          <w:rFonts w:ascii="Traditional Arabic" w:hAnsi="Traditional Arabic" w:cs="Traditional Arabic"/>
          <w:w w:val="90"/>
          <w:sz w:val="30"/>
          <w:szCs w:val="30"/>
          <w:rtl/>
          <w:lang w:val="en-US"/>
        </w:rPr>
        <w:t xml:space="preserve">. ومما زاد الطين بلة أن هؤلاء السكان أنفسهم لم يتمكنوا من الوصول إلى إمدادات المساعدات المجانية عندما وصلت المنظمات الإنسانية إلى مناطقهم </w:t>
      </w:r>
      <w:r w:rsidRPr="00291D95">
        <w:rPr>
          <w:rFonts w:ascii="Traditional Arabic" w:hAnsi="Traditional Arabic" w:cs="Traditional Arabic"/>
          <w:w w:val="90"/>
          <w:sz w:val="30"/>
          <w:szCs w:val="30"/>
          <w:vertAlign w:val="superscript"/>
          <w:rtl/>
          <w:lang w:val="en-US"/>
        </w:rPr>
        <w:footnoteReference w:id="1241"/>
      </w:r>
      <w:r w:rsidRPr="00291D95">
        <w:rPr>
          <w:rFonts w:ascii="Traditional Arabic" w:hAnsi="Traditional Arabic" w:cs="Traditional Arabic"/>
          <w:w w:val="90"/>
          <w:sz w:val="30"/>
          <w:szCs w:val="30"/>
          <w:rtl/>
          <w:lang w:val="en-US"/>
        </w:rPr>
        <w:t xml:space="preserve">. (راجع مزيد من القيود المفروضة على وصول المساعدات الإنسانية أدناه). ومع استمرار الحصار، استنفدت </w:t>
      </w:r>
      <w:r w:rsidR="009750ED" w:rsidRPr="00291D95">
        <w:rPr>
          <w:rFonts w:ascii="Traditional Arabic" w:hAnsi="Traditional Arabic" w:cs="Traditional Arabic" w:hint="cs"/>
          <w:w w:val="90"/>
          <w:sz w:val="30"/>
          <w:szCs w:val="30"/>
          <w:rtl/>
          <w:lang w:val="en-US"/>
        </w:rPr>
        <w:t xml:space="preserve">المخزونات </w:t>
      </w:r>
      <w:r w:rsidRPr="00291D95">
        <w:rPr>
          <w:rFonts w:ascii="Traditional Arabic" w:hAnsi="Traditional Arabic" w:cs="Traditional Arabic"/>
          <w:w w:val="90"/>
          <w:sz w:val="30"/>
          <w:szCs w:val="30"/>
          <w:rtl/>
          <w:lang w:val="en-US"/>
        </w:rPr>
        <w:t>الغذ</w:t>
      </w:r>
      <w:r w:rsidR="00766306" w:rsidRPr="00291D95">
        <w:rPr>
          <w:rFonts w:ascii="Traditional Arabic" w:hAnsi="Traditional Arabic" w:cs="Traditional Arabic" w:hint="cs"/>
          <w:w w:val="90"/>
          <w:sz w:val="30"/>
          <w:szCs w:val="30"/>
          <w:rtl/>
          <w:lang w:val="en-US"/>
        </w:rPr>
        <w:t>ائ</w:t>
      </w:r>
      <w:r w:rsidRPr="00291D95">
        <w:rPr>
          <w:rFonts w:ascii="Traditional Arabic" w:hAnsi="Traditional Arabic" w:cs="Traditional Arabic"/>
          <w:w w:val="90"/>
          <w:sz w:val="30"/>
          <w:szCs w:val="30"/>
          <w:rtl/>
          <w:lang w:val="en-US"/>
        </w:rPr>
        <w:t>ية داخل المدينة وارتفعت أسعار المواد الغذائية . وبدلاً من ذلك، بدأ الناس يعتمدون على المواد الغذائية والسلع الاستهلاكية التي يتم جلبها عبر طريق جبل طالوق، والذي أصبح يُعرف باسم "طريق الموت" أو "طريق الحمير" بسبب رحلة العبور الغادرة. كذلك ارتفعت أسعار الأدوية والسلع الاستهلاكية</w:t>
      </w:r>
      <w:r w:rsidR="00766306" w:rsidRPr="00291D95">
        <w:rPr>
          <w:rFonts w:ascii="Traditional Arabic" w:hAnsi="Traditional Arabic" w:cs="Traditional Arabic" w:hint="cs"/>
          <w:w w:val="90"/>
          <w:sz w:val="30"/>
          <w:szCs w:val="30"/>
          <w:rtl/>
          <w:lang w:val="en-US"/>
        </w:rPr>
        <w:t xml:space="preserve"> بسبب زيادة</w:t>
      </w:r>
      <w:r w:rsidRPr="00291D95">
        <w:rPr>
          <w:rFonts w:ascii="Traditional Arabic" w:hAnsi="Traditional Arabic" w:cs="Traditional Arabic"/>
          <w:w w:val="90"/>
          <w:sz w:val="30"/>
          <w:szCs w:val="30"/>
          <w:rtl/>
          <w:lang w:val="en-US"/>
        </w:rPr>
        <w:t xml:space="preserve"> تكلفة نقل البضائع إلى المدينة</w:t>
      </w:r>
      <w:r w:rsidR="00766306" w:rsidRPr="00291D95">
        <w:rPr>
          <w:rFonts w:ascii="Traditional Arabic" w:hAnsi="Traditional Arabic" w:cs="Traditional Arabic" w:hint="cs"/>
          <w:w w:val="90"/>
          <w:sz w:val="30"/>
          <w:szCs w:val="30"/>
          <w:rtl/>
          <w:lang w:val="en-US"/>
        </w:rPr>
        <w:t xml:space="preserve"> عبر نقاط التفتيش</w:t>
      </w:r>
      <w:r w:rsidRPr="00291D95">
        <w:rPr>
          <w:rFonts w:ascii="Traditional Arabic" w:hAnsi="Traditional Arabic" w:cs="Traditional Arabic"/>
          <w:w w:val="90"/>
          <w:sz w:val="30"/>
          <w:szCs w:val="30"/>
          <w:vertAlign w:val="superscript"/>
          <w:rtl/>
          <w:lang w:val="en-US"/>
        </w:rPr>
        <w:footnoteReference w:id="1242"/>
      </w:r>
      <w:r w:rsidRPr="00291D95">
        <w:rPr>
          <w:rFonts w:ascii="Traditional Arabic" w:hAnsi="Traditional Arabic" w:cs="Traditional Arabic"/>
          <w:w w:val="90"/>
          <w:sz w:val="30"/>
          <w:szCs w:val="30"/>
          <w:rtl/>
          <w:lang w:val="en-US"/>
        </w:rPr>
        <w:t>. (للحصول على تفاصيل إضافية، انظر الى الفصل المتعلق بتعز، قسم "حصار تعز")</w:t>
      </w:r>
    </w:p>
    <w:p w14:paraId="59E25BA1" w14:textId="60164FF7" w:rsidR="00FD7F1C" w:rsidRDefault="00FD7F1C" w:rsidP="00FD7F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حجة</w:t>
      </w:r>
    </w:p>
    <w:p w14:paraId="0CAC7358" w14:textId="12BB7618" w:rsidR="00FD7F1C" w:rsidRDefault="00FD7F1C" w:rsidP="00FD7F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 xml:space="preserve">خلال شهرين على الأقل قبل اندلاع الأعمال العدائية الناشطة في حجور في يناير 2019، كانت هناك تقارير تفيد بأن الحوثيين قد طوقوا المدينة، وأقاموا نقاط تفتيش عند نقاط الدخول المختلفة وفرضوا قيوداً مختلفة، مما أدى الى خلق "حصار". عندما اندلعت الأعمال العدائية، لم تعد السيارات تدخل حجور. وأفيد أنه </w:t>
      </w:r>
      <w:r w:rsidRPr="00FD7F1C">
        <w:rPr>
          <w:rFonts w:ascii="Traditional Arabic" w:hAnsi="Traditional Arabic" w:cs="Traditional Arabic"/>
          <w:sz w:val="30"/>
          <w:szCs w:val="30"/>
          <w:rtl/>
          <w:lang w:val="en-US"/>
        </w:rPr>
        <w:lastRenderedPageBreak/>
        <w:t>تم حظر دخول الماء والغذاء، بالإضافة إلى العديد من العوائق التي تحول دون إيصال المساعدات الإنسانية. بسبب عدم توفر المساعدات الإنسانية، كان من المستحيل على الجهات الفاعلة في مجال الإغاثة تقدير عدد النازحين داخلياً في حجة، المعروف أنها المحافظة التي تستضيف أكثر النازحين داخلياً. أُبلغ فريق الخبراء أنه تم السماح مرة أخرى للسلع التجارية بدخول حجور بمجرد سيطرة الحوثيين على المدينة، في حين أن الجهات الفاعلة في مجال الإغاثة الإنسانية كانت لا تزال غير قادرة على الوصول إلى المنطقة بشكل مستمر لاستئناف عملياتها بحلول وقت كتابة هذا التقرير. (لمزيد من التفاصيل، راجع الفصل الخاص بصنعاء والمناطق الشمالية، القسم الخاص بحجة).</w:t>
      </w:r>
    </w:p>
    <w:p w14:paraId="3CAE416C" w14:textId="3DF56F51" w:rsidR="00FD7F1C" w:rsidRPr="00FD7F1C" w:rsidRDefault="00FD7F1C" w:rsidP="00291D95">
      <w:pPr>
        <w:bidi/>
        <w:spacing w:after="240" w:line="240" w:lineRule="auto"/>
        <w:ind w:left="1417" w:right="851"/>
        <w:jc w:val="both"/>
        <w:rPr>
          <w:rFonts w:ascii="Traditional Arabic" w:hAnsi="Traditional Arabic" w:cs="Traditional Arabic"/>
          <w:sz w:val="30"/>
          <w:szCs w:val="30"/>
          <w:lang w:val="en-US"/>
        </w:rPr>
      </w:pPr>
      <w:r w:rsidRPr="00FD7F1C">
        <w:rPr>
          <w:rFonts w:ascii="Traditional Arabic" w:hAnsi="Traditional Arabic" w:cs="Traditional Arabic"/>
          <w:i/>
          <w:iCs/>
          <w:sz w:val="30"/>
          <w:szCs w:val="30"/>
          <w:rtl/>
          <w:lang w:val="en-US"/>
        </w:rPr>
        <w:t>الدريهمي</w:t>
      </w:r>
    </w:p>
    <w:p w14:paraId="32ADB2DD" w14:textId="7274B748" w:rsidR="00FD7F1C" w:rsidRDefault="00FD7F1C" w:rsidP="00766306">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FD7F1C">
        <w:rPr>
          <w:rFonts w:ascii="Traditional Arabic" w:hAnsi="Traditional Arabic" w:cs="Traditional Arabic"/>
          <w:sz w:val="30"/>
          <w:szCs w:val="30"/>
          <w:rtl/>
          <w:lang w:val="en-US"/>
        </w:rPr>
        <w:t>يوجد مزيد من دواعي القلق تتعلق بالتقارير الأخيرة التي تفيد بأن القوات المسلحة اليمنية والجماعات التابعة لها تمنع الوصول إلى مدينة الدريهمي في محافظة الحديدة. بالفعل، يبدو أن منطقة الدريهمي التي لا تزال تحت سيطرة الحوثيين كانت تحت الحصار من قبل القوات المسلحة اليمنية والجماعات التابعة لها. وبحسب ما ورد يزداد تعقيد الوصول إلى هذه المنطقة بسبب وجود الألغام الأرضية. لم يستطع فريق الخبراء تحديد العدد الدقيق للأفراد الذين ما زالوا يعيشون في مناطق الدريهمي، وبالتالي الاحتياجات المحددة لسكانها، على الرغم من أن التقديرات الموثوق بها تشير إلى حوالي 1,800 شخص. كما أن عدم وصول الجهات الفاعلة في المجال الإنساني لإجراء تقييم مستقل للوضع يمثل مشكلة أيضًا. سيواصل فريق الخبراء التحقيق في الوضع. (للحصول على تفاصيل إضافية، راجع ال</w:t>
      </w:r>
      <w:r w:rsidR="00766306">
        <w:rPr>
          <w:rFonts w:ascii="Traditional Arabic" w:hAnsi="Traditional Arabic" w:cs="Traditional Arabic" w:hint="cs"/>
          <w:sz w:val="30"/>
          <w:szCs w:val="30"/>
          <w:rtl/>
          <w:lang w:val="en-US"/>
        </w:rPr>
        <w:t xml:space="preserve">فصل حول </w:t>
      </w:r>
      <w:r w:rsidRPr="00FD7F1C">
        <w:rPr>
          <w:rFonts w:ascii="Traditional Arabic" w:hAnsi="Traditional Arabic" w:cs="Traditional Arabic"/>
          <w:sz w:val="30"/>
          <w:szCs w:val="30"/>
          <w:rtl/>
          <w:lang w:val="en-US"/>
        </w:rPr>
        <w:t>الحديدة).</w:t>
      </w:r>
    </w:p>
    <w:p w14:paraId="58D5771A" w14:textId="6DA9FA13" w:rsidR="00000BE8" w:rsidRDefault="00000BE8" w:rsidP="00000BE8">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B31C8C">
        <w:rPr>
          <w:rFonts w:ascii="Traditional Arabic" w:hAnsi="Traditional Arabic" w:cs="Traditional Arabic"/>
          <w:b/>
          <w:bCs/>
          <w:sz w:val="30"/>
          <w:szCs w:val="30"/>
          <w:rtl/>
          <w:lang w:val="en-US"/>
        </w:rPr>
        <w:t>أ) الاستنتاجات القانونية</w:t>
      </w:r>
    </w:p>
    <w:p w14:paraId="19CF38BE" w14:textId="66DF292A" w:rsidR="00000BE8" w:rsidRDefault="00291D95" w:rsidP="00291D9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Pr>
          <w:rFonts w:ascii="Traditional Arabic" w:hAnsi="Traditional Arabic" w:cs="Traditional Arabic"/>
          <w:sz w:val="30"/>
          <w:szCs w:val="30"/>
          <w:rtl/>
          <w:lang w:val="en-US"/>
        </w:rPr>
        <w:t>إن عمليه ال</w:t>
      </w:r>
      <w:r>
        <w:rPr>
          <w:rFonts w:ascii="Traditional Arabic" w:hAnsi="Traditional Arabic" w:cs="Traditional Arabic" w:hint="cs"/>
          <w:sz w:val="30"/>
          <w:szCs w:val="30"/>
          <w:rtl/>
          <w:lang w:val="en-US"/>
        </w:rPr>
        <w:t>تطوي</w:t>
      </w:r>
      <w:r w:rsidR="00000BE8" w:rsidRPr="00000BE8">
        <w:rPr>
          <w:rFonts w:ascii="Traditional Arabic" w:hAnsi="Traditional Arabic" w:cs="Traditional Arabic"/>
          <w:sz w:val="30"/>
          <w:szCs w:val="30"/>
          <w:rtl/>
          <w:lang w:val="en-US"/>
        </w:rPr>
        <w:t>ق والحصار</w:t>
      </w:r>
      <w:r w:rsidR="00000BE8" w:rsidRPr="00000BE8">
        <w:rPr>
          <w:rFonts w:ascii="Traditional Arabic" w:hAnsi="Traditional Arabic" w:cs="Traditional Arabic"/>
          <w:sz w:val="30"/>
          <w:szCs w:val="30"/>
          <w:vertAlign w:val="superscript"/>
          <w:rtl/>
          <w:lang w:val="en-US"/>
        </w:rPr>
        <w:footnoteReference w:id="1243"/>
      </w:r>
      <w:r w:rsidR="00000BE8" w:rsidRPr="00000BE8">
        <w:rPr>
          <w:rFonts w:ascii="Traditional Arabic" w:hAnsi="Traditional Arabic" w:cs="Traditional Arabic"/>
          <w:sz w:val="30"/>
          <w:szCs w:val="30"/>
          <w:rtl/>
          <w:lang w:val="en-US"/>
        </w:rPr>
        <w:t xml:space="preserve"> والحصار كأسلوب قتال جميعها ليست محظورة في حد ذاتها بموجب القانون الدولي الإنساني، طالما أن الغرض منها هو تحقيق هدف عسكري ولا يتم فرضه بهدف تجويع السكان المدنيين</w:t>
      </w:r>
      <w:r w:rsidR="00000BE8" w:rsidRPr="00000BE8">
        <w:rPr>
          <w:rFonts w:ascii="Traditional Arabic" w:hAnsi="Traditional Arabic" w:cs="Traditional Arabic"/>
          <w:sz w:val="30"/>
          <w:szCs w:val="30"/>
          <w:vertAlign w:val="superscript"/>
          <w:rtl/>
          <w:lang w:val="en-US"/>
        </w:rPr>
        <w:footnoteReference w:id="1244"/>
      </w:r>
      <w:r w:rsidR="00000BE8" w:rsidRPr="00000BE8">
        <w:rPr>
          <w:rFonts w:ascii="Traditional Arabic" w:hAnsi="Traditional Arabic" w:cs="Traditional Arabic"/>
          <w:sz w:val="30"/>
          <w:szCs w:val="30"/>
          <w:rtl/>
          <w:lang w:val="en-US"/>
        </w:rPr>
        <w:t xml:space="preserve">. ومع ذلك، فإن آثار هذه القيود هي التي تحتاج إلى دراسة لتحديد ما إذا كانت هذه - في </w:t>
      </w:r>
      <w:r w:rsidR="002E25D5">
        <w:rPr>
          <w:rFonts w:ascii="Traditional Arabic" w:hAnsi="Traditional Arabic" w:cs="Traditional Arabic" w:hint="cs"/>
          <w:sz w:val="30"/>
          <w:szCs w:val="30"/>
          <w:rtl/>
          <w:lang w:val="en-US"/>
        </w:rPr>
        <w:t xml:space="preserve">أي </w:t>
      </w:r>
      <w:r w:rsidR="00000BE8" w:rsidRPr="00000BE8">
        <w:rPr>
          <w:rFonts w:ascii="Traditional Arabic" w:hAnsi="Traditional Arabic" w:cs="Traditional Arabic"/>
          <w:sz w:val="30"/>
          <w:szCs w:val="30"/>
          <w:rtl/>
          <w:lang w:val="en-US"/>
        </w:rPr>
        <w:t xml:space="preserve">حالة </w:t>
      </w:r>
      <w:r w:rsidR="00766306">
        <w:rPr>
          <w:rFonts w:ascii="Traditional Arabic" w:hAnsi="Traditional Arabic" w:cs="Traditional Arabic" w:hint="cs"/>
          <w:sz w:val="30"/>
          <w:szCs w:val="30"/>
          <w:rtl/>
          <w:lang w:val="en-US"/>
        </w:rPr>
        <w:t>معينة</w:t>
      </w:r>
      <w:r w:rsidR="00926E6E">
        <w:rPr>
          <w:rFonts w:ascii="Traditional Arabic" w:hAnsi="Traditional Arabic" w:cs="Traditional Arabic" w:hint="cs"/>
          <w:sz w:val="30"/>
          <w:szCs w:val="30"/>
          <w:rtl/>
          <w:lang w:val="en-US"/>
        </w:rPr>
        <w:t xml:space="preserve"> </w:t>
      </w:r>
      <w:r w:rsidR="00000BE8" w:rsidRPr="00000BE8">
        <w:rPr>
          <w:rFonts w:ascii="Traditional Arabic" w:hAnsi="Traditional Arabic" w:cs="Traditional Arabic"/>
          <w:sz w:val="30"/>
          <w:szCs w:val="30"/>
          <w:rtl/>
          <w:lang w:val="en-US"/>
        </w:rPr>
        <w:t>- وسيلة مشروعة للحرب.</w:t>
      </w:r>
    </w:p>
    <w:p w14:paraId="00AA49E3" w14:textId="0B88868C"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أكد فريق الخبراء في تقريره الأول أنه يوجد أسبابًا معقولة للاعتقاد بأن القيود المختلفة التي فرضها التحالف، بما في ذلك الحصار الفعلي في تشرين ثاني/ نوفمبر 2017، تنتهك مبدأ التناسب. استنتج الفريق هذا على أساس أنه لا يوجد فائدة عسكرية ممكن أن تبرر هذه المعاناة الشديدة والمستدامة لملايين الناس.</w:t>
      </w:r>
      <w:r w:rsidRPr="00B31C8C">
        <w:rPr>
          <w:rFonts w:ascii="Traditional Arabic" w:hAnsi="Traditional Arabic" w:cs="Traditional Arabic"/>
          <w:sz w:val="30"/>
          <w:szCs w:val="30"/>
          <w:vertAlign w:val="superscript"/>
          <w:rtl/>
          <w:lang w:val="en-US"/>
        </w:rPr>
        <w:footnoteReference w:id="1245"/>
      </w:r>
      <w:r w:rsidRPr="00B31C8C">
        <w:rPr>
          <w:rFonts w:ascii="Traditional Arabic" w:hAnsi="Traditional Arabic" w:cs="Traditional Arabic"/>
          <w:sz w:val="30"/>
          <w:szCs w:val="30"/>
          <w:rtl/>
          <w:lang w:val="en-US"/>
        </w:rPr>
        <w:t xml:space="preserve"> وبالإضافة إلى ذلك، وبالنظر إلى تأثير هذه القيود على العمليات الإنسانية، وجد </w:t>
      </w:r>
      <w:r w:rsidRPr="00B31C8C">
        <w:rPr>
          <w:rFonts w:ascii="Traditional Arabic" w:hAnsi="Traditional Arabic" w:cs="Traditional Arabic"/>
          <w:sz w:val="30"/>
          <w:szCs w:val="30"/>
          <w:rtl/>
          <w:lang w:val="en-US"/>
        </w:rPr>
        <w:lastRenderedPageBreak/>
        <w:t xml:space="preserve">الفريق أنها تنتهك </w:t>
      </w:r>
      <w:r w:rsidR="00A62039">
        <w:rPr>
          <w:rFonts w:ascii="Traditional Arabic" w:hAnsi="Traditional Arabic" w:cs="Traditional Arabic" w:hint="cs"/>
          <w:sz w:val="30"/>
          <w:szCs w:val="30"/>
          <w:rtl/>
          <w:lang w:val="en-US"/>
        </w:rPr>
        <w:t>إ</w:t>
      </w:r>
      <w:r w:rsidRPr="00B31C8C">
        <w:rPr>
          <w:rFonts w:ascii="Traditional Arabic" w:hAnsi="Traditional Arabic" w:cs="Traditional Arabic"/>
          <w:sz w:val="30"/>
          <w:szCs w:val="30"/>
          <w:rtl/>
          <w:lang w:val="en-US"/>
        </w:rPr>
        <w:t>لتزام الأطراف بالسماح بتسهيل مرور الإغاثة الإنسانية دون أي عوائق للمدنيين المحتاجين وتيسير ذلك .</w:t>
      </w:r>
      <w:r w:rsidRPr="00B31C8C">
        <w:rPr>
          <w:rFonts w:ascii="Traditional Arabic" w:hAnsi="Traditional Arabic" w:cs="Traditional Arabic"/>
          <w:sz w:val="30"/>
          <w:szCs w:val="30"/>
          <w:vertAlign w:val="superscript"/>
          <w:rtl/>
          <w:lang w:val="en-US"/>
        </w:rPr>
        <w:footnoteReference w:id="1246"/>
      </w:r>
    </w:p>
    <w:p w14:paraId="0AC5C46F" w14:textId="52B112D6"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فيما يتعلق بالحصار الكامل الذي فرض في تشرين الثاني / نوفمبر 2017، هناك أيضا مخاوف من أن تكون هذه التدابير بمثابة عقاب جماعي. يحظر القانون الدولي الإنساني العقوبات الجماعية، بما في ذلك النزاعات المسلحة غير الدولية .</w:t>
      </w:r>
      <w:r w:rsidRPr="00B31C8C">
        <w:rPr>
          <w:rFonts w:ascii="Traditional Arabic" w:hAnsi="Traditional Arabic" w:cs="Traditional Arabic"/>
          <w:sz w:val="30"/>
          <w:szCs w:val="30"/>
          <w:vertAlign w:val="superscript"/>
          <w:rtl/>
          <w:lang w:val="en-US"/>
        </w:rPr>
        <w:footnoteReference w:id="1247"/>
      </w:r>
      <w:r w:rsidRPr="00B31C8C">
        <w:rPr>
          <w:rFonts w:ascii="Traditional Arabic" w:hAnsi="Traditional Arabic" w:cs="Traditional Arabic"/>
          <w:sz w:val="30"/>
          <w:szCs w:val="30"/>
          <w:rtl/>
          <w:lang w:val="en-US"/>
        </w:rPr>
        <w:t xml:space="preserve"> ومع أن العقوبة الجماعية غير محددة من الناحية القانونية، فإنها تُفهم عمومًا على أنها عقوبة مفروضة على الأشخاص بسبب أفعال لم يرتكبوها. وتُفرض هذه العقوبة على الأشخاص المتضررين استجابة لأفعال أو أخطاء، سواء أكانت حقيقية أو متصورة، من جانب طرف أو كيان آخر. إن تفاعلية العقوبة تتميز عن غيرها من الأعمال غير القانونية. وبالتالي، فإن التوقيت أساسي في تحديد ما إذا كان الفعل قد يشكل عقابًا جماعيًا. وتفرض العقاب الجماعي المشقة أو المعاناة أو الأذى على الأشخاص الذين لا يتحملون مسؤولية فردية عن الأفعال التي أدت إلى الفعل التفاعلي للطرف ضدهم. وهو لا يشمل الأحكام القانونية فحسب، بل يشمل أيضًا العقوبات والمضايقات من أي نوع سواء إداري أو من خلال إجراءات الشرطة أو غير ذلك </w:t>
      </w:r>
      <w:r w:rsidRPr="00B31C8C">
        <w:rPr>
          <w:rFonts w:ascii="Traditional Arabic" w:hAnsi="Traditional Arabic" w:cs="Traditional Arabic"/>
          <w:sz w:val="30"/>
          <w:szCs w:val="30"/>
          <w:vertAlign w:val="superscript"/>
          <w:rtl/>
          <w:lang w:val="en-US"/>
        </w:rPr>
        <w:footnoteReference w:id="1248"/>
      </w:r>
      <w:r w:rsidRPr="00B31C8C">
        <w:rPr>
          <w:rFonts w:ascii="Traditional Arabic" w:hAnsi="Traditional Arabic" w:cs="Traditional Arabic"/>
          <w:sz w:val="30"/>
          <w:szCs w:val="30"/>
          <w:rtl/>
          <w:lang w:val="en-US"/>
        </w:rPr>
        <w:t>. تم اعتبار الحصار أثناء النزاعات المسلحة عقابًا جماعيًا.</w:t>
      </w:r>
      <w:r w:rsidRPr="00B31C8C">
        <w:rPr>
          <w:rFonts w:ascii="Traditional Arabic" w:hAnsi="Traditional Arabic" w:cs="Traditional Arabic"/>
          <w:sz w:val="30"/>
          <w:szCs w:val="30"/>
          <w:vertAlign w:val="superscript"/>
          <w:rtl/>
          <w:lang w:val="en-US"/>
        </w:rPr>
        <w:footnoteReference w:id="1249"/>
      </w:r>
      <w:r w:rsidRPr="00B31C8C">
        <w:rPr>
          <w:rFonts w:ascii="Traditional Arabic" w:hAnsi="Traditional Arabic" w:cs="Traditional Arabic"/>
          <w:sz w:val="30"/>
          <w:szCs w:val="30"/>
          <w:rtl/>
          <w:lang w:val="en-US"/>
        </w:rPr>
        <w:t xml:space="preserve"> العقاب الجماعي ينطوي على نية للمعاقبة، والتي غالبا ما يكون من الصعب استنتاجها من الأحداث والمعلومات المتوفرة.</w:t>
      </w:r>
    </w:p>
    <w:p w14:paraId="673417B5" w14:textId="6306F42C" w:rsidR="00B31C8C" w:rsidRDefault="00B31C8C"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31C8C">
        <w:rPr>
          <w:rFonts w:ascii="Traditional Arabic" w:hAnsi="Traditional Arabic" w:cs="Traditional Arabic"/>
          <w:sz w:val="30"/>
          <w:szCs w:val="30"/>
          <w:rtl/>
          <w:lang w:val="en-US"/>
        </w:rPr>
        <w:t xml:space="preserve">في حين أن التوقيت يشير إلى أن الحصار كان بمثابة رد فعل فوري للتحالف على الصاروخ الذي أطلقه الحوثيون على المملكة العربية السعودية، إلا أن النية لمعاقبة السكان الأوسع على هذه الأعمال التي بحاجة إلى  إثبات. إن عدم فعالية التدابير الرامية إلى تحقيق هدف عسكري محدد، على النحو المشار إليه في تقييم التناسب الموصوف أعلاه، وحقيقة أنها لم يتم رفعها على الرغم من التأثير الواضح والمدمّر على السكان المدنيين، يميل إلى الإشارة إلى أن الغرض منها قد يؤدي أيضًا إلى انه تم توجيهها نحو الضغط على السكان المدنيين، مما قد ينطوي على جانب عقابي. على وجه الخصوص، حقيقة أنه لا يمكن لأي حاوية، باستثناء حاوية واحدة، أن تدخل ميناء الحديدة حتى وقت كتابة هذا التقرير منذ فرض الحصار في عام 2017، وحقيقة أن الهدف العسكري المطلوب قد يتحقق بالفعل بواسطة التفتيش بواسطة خلية الاجلاء والعمليات الانسانية </w:t>
      </w:r>
      <w:r w:rsidRPr="00B31C8C">
        <w:rPr>
          <w:rFonts w:ascii="Traditional Arabic" w:hAnsi="Traditional Arabic" w:cs="Traditional Arabic"/>
          <w:sz w:val="30"/>
          <w:szCs w:val="30"/>
          <w:lang w:val="en-US"/>
        </w:rPr>
        <w:t>EHOC</w:t>
      </w:r>
      <w:r w:rsidRPr="00B31C8C">
        <w:rPr>
          <w:rFonts w:ascii="Traditional Arabic" w:hAnsi="Traditional Arabic" w:cs="Traditional Arabic"/>
          <w:sz w:val="30"/>
          <w:szCs w:val="30"/>
          <w:rtl/>
          <w:lang w:val="en-US"/>
        </w:rPr>
        <w:t>، توحي ببعض النوايا العقابية. ومع ذلك ، فإن هذا العنصر يحتاج إلى مزيد من التحقيق. وينطبق نفس المنطق على حالات استخدام الحصار كاسلوب قتال، حيث يتم فرض قيود على الوصول من قبل الحوثيين (تعز وحجة) والقوات المسلحة اليمنية (الدريهمي).</w:t>
      </w:r>
    </w:p>
    <w:p w14:paraId="402C1D3E" w14:textId="1A94EA3C" w:rsidR="00C6066E" w:rsidRDefault="00162BDD" w:rsidP="0068318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C6066E">
        <w:rPr>
          <w:rFonts w:ascii="Traditional Arabic" w:hAnsi="Traditional Arabic" w:cs="Traditional Arabic"/>
          <w:sz w:val="30"/>
          <w:szCs w:val="30"/>
          <w:rtl/>
          <w:lang w:val="en-US"/>
        </w:rPr>
        <w:t xml:space="preserve">إن القيود المفروضة على الوصول المذكورة أعلاه - أي الحصار وغيره من التدابير التي اتخذتها قوات التحالف واوضاع الحصار العسكري التي فرضها كل </w:t>
      </w:r>
      <w:r w:rsidRPr="00C6066E">
        <w:rPr>
          <w:rFonts w:ascii="Traditional Arabic" w:hAnsi="Traditional Arabic" w:cs="Traditional Arabic"/>
          <w:sz w:val="30"/>
          <w:szCs w:val="30"/>
          <w:rtl/>
          <w:lang w:val="en-US"/>
        </w:rPr>
        <w:lastRenderedPageBreak/>
        <w:t>من الحوثيين والقوات المسلحة اليمنية - قد أعاقت العمليات الإنسانية بشكل كبير، مما حد بشكل كبير من تنقل موظفي الإغاثة أو الإمدادات إلى أو داخل اليمن. بالنظر إلى هذا التأثير، لدى فريق الخبراء أسباب معقولة للاعتقاد بأن أطراف النزاع، في فرض عمليات الإغلاق هذه، تنتهك التزامهم بالسماح بتسهيل مرور الإغاثة الإنسانية دون أي عوائق للمدنيين المحتاجين وتيسير ذلك. انتهك هذا الالتزام أيضًا قيودًا أخرى، مثل القيود البيروقراطية والتدخلات في العمليات الإنسانية.</w:t>
      </w:r>
    </w:p>
    <w:p w14:paraId="6A7F7788" w14:textId="57B17C90" w:rsidR="00162BDD" w:rsidRDefault="00162BDD" w:rsidP="00162BDD">
      <w:pPr>
        <w:pStyle w:val="ListParagraph"/>
        <w:numPr>
          <w:ilvl w:val="0"/>
          <w:numId w:val="43"/>
        </w:numPr>
        <w:bidi/>
        <w:ind w:right="900"/>
        <w:rPr>
          <w:rFonts w:ascii="Traditional Arabic" w:hAnsi="Traditional Arabic" w:cs="Traditional Arabic"/>
          <w:sz w:val="30"/>
          <w:szCs w:val="30"/>
          <w:lang w:val="en-US"/>
        </w:rPr>
      </w:pPr>
      <w:r w:rsidRPr="00162BDD">
        <w:rPr>
          <w:rFonts w:ascii="Traditional Arabic" w:hAnsi="Traditional Arabic" w:cs="Traditional Arabic"/>
          <w:b/>
          <w:bCs/>
          <w:sz w:val="30"/>
          <w:szCs w:val="30"/>
          <w:rtl/>
          <w:lang w:val="en-US"/>
        </w:rPr>
        <w:t>مزيد من القيود المفروضة على وصول المساعدات الإنسانية</w:t>
      </w:r>
    </w:p>
    <w:p w14:paraId="16A9F853" w14:textId="38EB868E" w:rsidR="00162BDD" w:rsidRDefault="00162BDD"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في حالات النزاع، غالبًا ما تبرر القيود المفروضة على إيصال المساعدات الإنسانية بوجود أسباب أمنية . في اليمن، لا تشكل العمليات العسكرية والأعمال القتالية المستمرة سوى جزء صغير من حوادث الوصول (حوالي 5 إلى 6 في المائة) </w:t>
      </w:r>
      <w:r w:rsidRPr="00162BDD">
        <w:rPr>
          <w:rFonts w:ascii="Traditional Arabic" w:hAnsi="Traditional Arabic" w:cs="Traditional Arabic"/>
          <w:sz w:val="30"/>
          <w:szCs w:val="30"/>
          <w:vertAlign w:val="superscript"/>
          <w:rtl/>
          <w:lang w:val="en-US"/>
        </w:rPr>
        <w:footnoteReference w:id="1250"/>
      </w:r>
      <w:r w:rsidRPr="00162BDD">
        <w:rPr>
          <w:rFonts w:ascii="Traditional Arabic" w:hAnsi="Traditional Arabic" w:cs="Traditional Arabic"/>
          <w:sz w:val="30"/>
          <w:szCs w:val="30"/>
          <w:rtl/>
          <w:lang w:val="en-US"/>
        </w:rPr>
        <w:t xml:space="preserve"> . في حين أن تغيير الخطوط الأمامية قد يكون مشكلة خاصة في بعض المناطق، في مناطق أخرى، يتأثر وصول المساعدات الإنسانية بشكل رئيسي بالقيود البيروقراطية</w:t>
      </w:r>
      <w:r w:rsidRPr="00162BDD">
        <w:rPr>
          <w:rFonts w:ascii="Traditional Arabic" w:hAnsi="Traditional Arabic" w:cs="Traditional Arabic"/>
          <w:sz w:val="30"/>
          <w:szCs w:val="30"/>
          <w:vertAlign w:val="superscript"/>
          <w:rtl/>
          <w:lang w:val="en-US"/>
        </w:rPr>
        <w:footnoteReference w:id="1251"/>
      </w:r>
      <w:r w:rsidRPr="00162BDD">
        <w:rPr>
          <w:rFonts w:ascii="Traditional Arabic" w:hAnsi="Traditional Arabic" w:cs="Traditional Arabic"/>
          <w:sz w:val="30"/>
          <w:szCs w:val="30"/>
          <w:rtl/>
          <w:lang w:val="en-US"/>
        </w:rPr>
        <w:t>. ويشمل ذلك حالات الرفض أو التأخير في تسليم التأشيرات وتصاريح الإقامة وتصاريح السفر من جانب كل من حكومة اليمن وسلطات الأمر الواقع. إن رفض أو تأخير كل من الحكومة اليمنية وسلطات الأمر الواقع للتوقيع على اتفاقات فرعية هو عائق رئيسي آخر أمام عمليات الإغاثة.</w:t>
      </w:r>
    </w:p>
    <w:p w14:paraId="69915831" w14:textId="2909198A" w:rsidR="00162BDD" w:rsidRDefault="00162BDD" w:rsidP="00A6203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كانت جميع الأطراف مسؤولة أيضا عن التأخير في منح الموافقة على الواردات وحركة المعدات الأساسية. كما أدت متطلبات التخليص التي وضعها التحالف في </w:t>
      </w:r>
      <w:r w:rsidR="00A62039">
        <w:rPr>
          <w:rFonts w:ascii="Traditional Arabic" w:hAnsi="Traditional Arabic" w:cs="Traditional Arabic" w:hint="cs"/>
          <w:sz w:val="30"/>
          <w:szCs w:val="30"/>
          <w:rtl/>
          <w:lang w:val="en-US"/>
        </w:rPr>
        <w:t xml:space="preserve">كانون الأول/ </w:t>
      </w:r>
      <w:r w:rsidRPr="00162BDD">
        <w:rPr>
          <w:rFonts w:ascii="Traditional Arabic" w:hAnsi="Traditional Arabic" w:cs="Traditional Arabic"/>
          <w:sz w:val="30"/>
          <w:szCs w:val="30"/>
          <w:rtl/>
          <w:lang w:val="en-US"/>
        </w:rPr>
        <w:t>ديسمبر 2018 على حركة المساعدات الإنسانية إلى تأخير الإجراءات عند نقطة تفتيش ذباب في تعز.</w:t>
      </w:r>
      <w:r w:rsidRPr="00162BDD">
        <w:rPr>
          <w:rFonts w:ascii="Traditional Arabic" w:hAnsi="Traditional Arabic" w:cs="Traditional Arabic"/>
          <w:sz w:val="30"/>
          <w:szCs w:val="30"/>
          <w:vertAlign w:val="superscript"/>
          <w:rtl/>
          <w:lang w:val="en-US"/>
        </w:rPr>
        <w:footnoteReference w:id="1252"/>
      </w:r>
      <w:r w:rsidR="002E25D5">
        <w:rPr>
          <w:rFonts w:ascii="Traditional Arabic" w:hAnsi="Traditional Arabic" w:cs="Traditional Arabic" w:hint="cs"/>
          <w:sz w:val="30"/>
          <w:szCs w:val="30"/>
          <w:rtl/>
          <w:lang w:val="en-US"/>
        </w:rPr>
        <w:t xml:space="preserve"> </w:t>
      </w:r>
      <w:r w:rsidRPr="00162BDD">
        <w:rPr>
          <w:rFonts w:ascii="Traditional Arabic" w:hAnsi="Traditional Arabic" w:cs="Traditional Arabic"/>
          <w:sz w:val="30"/>
          <w:szCs w:val="30"/>
          <w:rtl/>
          <w:lang w:val="en-US"/>
        </w:rPr>
        <w:t xml:space="preserve">تم تسجيل مزيد من التأخير في </w:t>
      </w:r>
      <w:r w:rsidR="002E25D5">
        <w:rPr>
          <w:rFonts w:ascii="Traditional Arabic" w:hAnsi="Traditional Arabic" w:cs="Traditional Arabic" w:hint="cs"/>
          <w:sz w:val="30"/>
          <w:szCs w:val="30"/>
          <w:rtl/>
          <w:lang w:val="en-US"/>
        </w:rPr>
        <w:t xml:space="preserve">تشرين الأول/ </w:t>
      </w:r>
      <w:r w:rsidRPr="00162BDD">
        <w:rPr>
          <w:rFonts w:ascii="Traditional Arabic" w:hAnsi="Traditional Arabic" w:cs="Traditional Arabic"/>
          <w:sz w:val="30"/>
          <w:szCs w:val="30"/>
          <w:rtl/>
          <w:lang w:val="en-US"/>
        </w:rPr>
        <w:t>أكتوبر 2018، عندما تم إصدار إجراءات جديدة للتخليص في صنعاء. على الطريق بين عدن والحديدة، شكلت عمليات التخليص الجمركي في إب أيضًا تحديات كبيرة وتأخيرات مكلفة.</w:t>
      </w:r>
      <w:r w:rsidRPr="00162BDD">
        <w:rPr>
          <w:rFonts w:ascii="Traditional Arabic" w:hAnsi="Traditional Arabic" w:cs="Traditional Arabic"/>
          <w:sz w:val="30"/>
          <w:szCs w:val="30"/>
          <w:vertAlign w:val="superscript"/>
          <w:rtl/>
          <w:lang w:val="en-US"/>
        </w:rPr>
        <w:footnoteReference w:id="1253"/>
      </w:r>
    </w:p>
    <w:p w14:paraId="614BF734" w14:textId="0EBD05BA" w:rsidR="00162BDD" w:rsidRPr="00C6066E" w:rsidRDefault="00162BDD"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w w:val="90"/>
          <w:sz w:val="30"/>
          <w:szCs w:val="30"/>
          <w:lang w:val="en-US"/>
        </w:rPr>
      </w:pPr>
      <w:r w:rsidRPr="00C6066E">
        <w:rPr>
          <w:rFonts w:ascii="Traditional Arabic" w:hAnsi="Traditional Arabic" w:cs="Traditional Arabic"/>
          <w:w w:val="90"/>
          <w:sz w:val="30"/>
          <w:szCs w:val="30"/>
          <w:rtl/>
          <w:lang w:val="en-US"/>
        </w:rPr>
        <w:t>بالإضافة إلى فرض قيود مرهقة على عمال الإغاثة ، صادرت سلطات الأمر الواقع الغذاء والإمدادات الطبية</w:t>
      </w:r>
      <w:r w:rsidRPr="00C6066E">
        <w:rPr>
          <w:rFonts w:ascii="Traditional Arabic" w:hAnsi="Traditional Arabic" w:cs="Traditional Arabic"/>
          <w:w w:val="90"/>
          <w:sz w:val="30"/>
          <w:szCs w:val="30"/>
          <w:vertAlign w:val="superscript"/>
          <w:rtl/>
          <w:lang w:val="en-US"/>
        </w:rPr>
        <w:footnoteReference w:id="1254"/>
      </w:r>
      <w:r w:rsidRPr="00C6066E">
        <w:rPr>
          <w:rFonts w:ascii="Traditional Arabic" w:hAnsi="Traditional Arabic" w:cs="Traditional Arabic"/>
          <w:w w:val="90"/>
          <w:sz w:val="30"/>
          <w:szCs w:val="30"/>
          <w:rtl/>
          <w:lang w:val="en-US"/>
        </w:rPr>
        <w:t xml:space="preserve">. تدخل سلطات الأمر الواقع في العمليات الإنسانية واسع الانتشار </w:t>
      </w:r>
      <w:r w:rsidRPr="00C6066E">
        <w:rPr>
          <w:rFonts w:ascii="Traditional Arabic" w:hAnsi="Traditional Arabic" w:cs="Traditional Arabic"/>
          <w:w w:val="90"/>
          <w:sz w:val="30"/>
          <w:szCs w:val="30"/>
          <w:vertAlign w:val="superscript"/>
          <w:rtl/>
          <w:lang w:val="en-US"/>
        </w:rPr>
        <w:footnoteReference w:id="1255"/>
      </w:r>
      <w:r w:rsidRPr="00C6066E">
        <w:rPr>
          <w:rFonts w:ascii="Traditional Arabic" w:hAnsi="Traditional Arabic" w:cs="Traditional Arabic"/>
          <w:w w:val="90"/>
          <w:sz w:val="30"/>
          <w:szCs w:val="30"/>
          <w:rtl/>
          <w:lang w:val="en-US"/>
        </w:rPr>
        <w:t xml:space="preserve">. في </w:t>
      </w:r>
      <w:r w:rsidR="009A4DF8" w:rsidRPr="00C6066E">
        <w:rPr>
          <w:rFonts w:ascii="Traditional Arabic" w:hAnsi="Traditional Arabic" w:cs="Traditional Arabic" w:hint="cs"/>
          <w:w w:val="90"/>
          <w:sz w:val="30"/>
          <w:szCs w:val="30"/>
          <w:rtl/>
          <w:lang w:val="en-US"/>
        </w:rPr>
        <w:t xml:space="preserve">آذار/ </w:t>
      </w:r>
      <w:r w:rsidR="00C6066E" w:rsidRPr="00C6066E">
        <w:rPr>
          <w:rFonts w:ascii="Traditional Arabic" w:hAnsi="Traditional Arabic" w:cs="Traditional Arabic"/>
          <w:w w:val="90"/>
          <w:sz w:val="30"/>
          <w:szCs w:val="30"/>
          <w:rtl/>
          <w:lang w:val="en-US"/>
        </w:rPr>
        <w:t>مارس 2019</w:t>
      </w:r>
      <w:r w:rsidRPr="00C6066E">
        <w:rPr>
          <w:rFonts w:ascii="Traditional Arabic" w:hAnsi="Traditional Arabic" w:cs="Traditional Arabic"/>
          <w:w w:val="90"/>
          <w:sz w:val="30"/>
          <w:szCs w:val="30"/>
          <w:rtl/>
          <w:lang w:val="en-US"/>
        </w:rPr>
        <w:t xml:space="preserve">، أمرت سلطات الأمر الواقع جميع المنظمات غير الحكومية الدولية العاملة في مديرية حجة بالانتقال الى مدينة حجة (راجع الفصل الخاص بصنعاء </w:t>
      </w:r>
      <w:r w:rsidR="009A4DF8" w:rsidRPr="00C6066E">
        <w:rPr>
          <w:rFonts w:ascii="Traditional Arabic" w:hAnsi="Traditional Arabic" w:cs="Traditional Arabic" w:hint="cs"/>
          <w:w w:val="90"/>
          <w:sz w:val="30"/>
          <w:szCs w:val="30"/>
          <w:rtl/>
          <w:lang w:val="en-US"/>
        </w:rPr>
        <w:t>والمناطق الأخرى التي تسيطر عليها سلطات الأمر الواقع</w:t>
      </w:r>
      <w:r w:rsidRPr="00C6066E">
        <w:rPr>
          <w:rFonts w:ascii="Traditional Arabic" w:hAnsi="Traditional Arabic" w:cs="Traditional Arabic"/>
          <w:w w:val="90"/>
          <w:sz w:val="30"/>
          <w:szCs w:val="30"/>
          <w:rtl/>
          <w:lang w:val="en-US"/>
        </w:rPr>
        <w:t xml:space="preserve">، قسم حجة). في </w:t>
      </w:r>
      <w:r w:rsidR="009A4DF8" w:rsidRPr="00C6066E">
        <w:rPr>
          <w:rFonts w:ascii="Traditional Arabic" w:hAnsi="Traditional Arabic" w:cs="Traditional Arabic" w:hint="cs"/>
          <w:w w:val="90"/>
          <w:sz w:val="30"/>
          <w:szCs w:val="30"/>
          <w:rtl/>
          <w:lang w:val="en-US"/>
        </w:rPr>
        <w:t xml:space="preserve">حزيران/ </w:t>
      </w:r>
      <w:r w:rsidRPr="00C6066E">
        <w:rPr>
          <w:rFonts w:ascii="Traditional Arabic" w:hAnsi="Traditional Arabic" w:cs="Traditional Arabic"/>
          <w:w w:val="90"/>
          <w:sz w:val="30"/>
          <w:szCs w:val="30"/>
          <w:rtl/>
          <w:lang w:val="en-US"/>
        </w:rPr>
        <w:t xml:space="preserve">يونيو 2019، أبلغ مكتب تنسيق الشؤون الإنسانية كيف أُجبرت سلطات الأمر الواقع عدة منظمات غير حكومية دولية إلى تعليق أنشطتها، بما في ذلك في أجزاء من محافظتي الحديدة </w:t>
      </w:r>
      <w:r w:rsidRPr="00C6066E">
        <w:rPr>
          <w:rFonts w:ascii="Traditional Arabic" w:hAnsi="Traditional Arabic" w:cs="Traditional Arabic"/>
          <w:w w:val="90"/>
          <w:sz w:val="30"/>
          <w:szCs w:val="30"/>
          <w:rtl/>
          <w:lang w:val="en-US"/>
        </w:rPr>
        <w:lastRenderedPageBreak/>
        <w:t>وحجة. وبحسب ما ورد شملت القضايا التي تكمن وراء هذه الوقائع وجود</w:t>
      </w:r>
      <w:r w:rsidR="00C6066E" w:rsidRPr="00C6066E">
        <w:rPr>
          <w:rFonts w:ascii="Traditional Arabic" w:hAnsi="Traditional Arabic" w:cs="Traditional Arabic" w:hint="cs"/>
          <w:w w:val="90"/>
          <w:sz w:val="30"/>
          <w:szCs w:val="30"/>
          <w:rtl/>
          <w:lang w:val="en-US"/>
        </w:rPr>
        <w:t xml:space="preserve"> </w:t>
      </w:r>
      <w:r w:rsidRPr="00C6066E">
        <w:rPr>
          <w:rFonts w:ascii="Traditional Arabic" w:hAnsi="Traditional Arabic" w:cs="Traditional Arabic"/>
          <w:w w:val="90"/>
          <w:sz w:val="30"/>
          <w:szCs w:val="30"/>
          <w:rtl/>
          <w:lang w:val="en-US"/>
        </w:rPr>
        <w:t>نزاعات حول تقاسم قوائم المستفيدين النقدية والإبلاغ عن الأنشطة الإنسانية .</w:t>
      </w:r>
      <w:r w:rsidRPr="00C6066E">
        <w:rPr>
          <w:rFonts w:ascii="Traditional Arabic" w:hAnsi="Traditional Arabic" w:cs="Traditional Arabic"/>
          <w:w w:val="90"/>
          <w:sz w:val="30"/>
          <w:szCs w:val="30"/>
          <w:vertAlign w:val="superscript"/>
          <w:rtl/>
          <w:lang w:val="en-US"/>
        </w:rPr>
        <w:footnoteReference w:id="1256"/>
      </w:r>
      <w:r w:rsidRPr="00C6066E">
        <w:rPr>
          <w:rFonts w:ascii="Traditional Arabic" w:hAnsi="Traditional Arabic" w:cs="Traditional Arabic"/>
          <w:w w:val="90"/>
          <w:sz w:val="30"/>
          <w:szCs w:val="30"/>
          <w:rtl/>
          <w:lang w:val="en-US"/>
        </w:rPr>
        <w:t xml:space="preserve"> يشكل هذا التدخل مخاطر جسيمة على المبادئ الإنسانية وحماية المستفيدين.</w:t>
      </w:r>
    </w:p>
    <w:p w14:paraId="166CC7DC" w14:textId="3E782A44" w:rsidR="00162BDD" w:rsidRDefault="00162BDD"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في 20 </w:t>
      </w:r>
      <w:r w:rsidR="00C6066E">
        <w:rPr>
          <w:rFonts w:ascii="Traditional Arabic" w:hAnsi="Traditional Arabic" w:cs="Traditional Arabic" w:hint="cs"/>
          <w:sz w:val="30"/>
          <w:szCs w:val="30"/>
          <w:rtl/>
          <w:lang w:val="en-GB" w:bidi="ar-JO"/>
        </w:rPr>
        <w:t xml:space="preserve">أيار/ </w:t>
      </w:r>
      <w:r w:rsidRPr="00162BDD">
        <w:rPr>
          <w:rFonts w:ascii="Traditional Arabic" w:hAnsi="Traditional Arabic" w:cs="Traditional Arabic"/>
          <w:sz w:val="30"/>
          <w:szCs w:val="30"/>
          <w:rtl/>
          <w:lang w:val="en-US"/>
        </w:rPr>
        <w:t xml:space="preserve">مايو 2019، حذر برنامج الأغذية العالمي من أنه سيبدأ تعليق عملياته في المناطق التي تسيطر عليها سلطات الأمر الواقع، إذا لم يستطع الوصول بشكل مستقل إلى المحتاجين. وفقًا لبرنامج الأغذية العالمي: " يتم منع العاملين في المجال الإنساني من الوصول إلى السكان الذين يعانون من الجوع، كما تعرضت قوافل المساعدات الإغاثية للعرقلة، وتدخلت السلطات المحلية في عملية توزيع المساعدات الغذائية. والأهم من ذلك، يتم وضعُ العراقيل، على نحو متكرر، أمام قيامنا بتنفيذ عملية اختيار المستفيدين بشكل مستقل، وكذا أمام الطلب الخاص بتنفيذ نظام التسجيل الآلي البيومتري (نظام البصمة)، والذي من شأنه أن يُتيح للبرنامج تحديد واختيار الأشخاص الأكثر احتياجاً وضمان أنهم هم أنفسهم الذين يحصلون على المساعدات الغذائية ". </w:t>
      </w:r>
      <w:r w:rsidRPr="00162BDD">
        <w:rPr>
          <w:rFonts w:ascii="Traditional Arabic" w:hAnsi="Traditional Arabic" w:cs="Traditional Arabic"/>
          <w:sz w:val="30"/>
          <w:szCs w:val="30"/>
          <w:vertAlign w:val="superscript"/>
          <w:rtl/>
          <w:lang w:val="en-US"/>
        </w:rPr>
        <w:footnoteReference w:id="1257"/>
      </w:r>
      <w:r w:rsidRPr="00162BDD">
        <w:rPr>
          <w:rFonts w:ascii="Traditional Arabic" w:hAnsi="Traditional Arabic" w:cs="Traditional Arabic"/>
          <w:sz w:val="30"/>
          <w:szCs w:val="30"/>
          <w:rtl/>
          <w:lang w:val="en-US"/>
        </w:rPr>
        <w:t>في 17 حزيران/ يونيو 2019، أشار المدير التنفيذي لبرنامج الغذاء العالمي ديفيد بيسلي، في خطابه أمام مجلس الأمن التابع للأمم المتحدة، لعدم السماح للبرنامج للعمل بشكل مستقل، وأعلن أن البرنامج سيبدأ قريباً تعليقًا تدريجيًا للمساعدات الغذائية، إذا لم يتلق على الفور الضمانات الضرورية من سلطات الأمر الواقع بأن الاتفاقات حول تسجيل المستفيدين واستهداف المستفيدين ونظام التسجيل الآلي البيومتري (نظام البصمة)</w:t>
      </w:r>
      <w:r w:rsidR="00C6066E">
        <w:rPr>
          <w:rFonts w:ascii="Traditional Arabic" w:hAnsi="Traditional Arabic" w:cs="Traditional Arabic" w:hint="cs"/>
          <w:sz w:val="30"/>
          <w:szCs w:val="30"/>
          <w:rtl/>
          <w:lang w:val="en-US"/>
        </w:rPr>
        <w:t xml:space="preserve"> </w:t>
      </w:r>
      <w:r w:rsidRPr="00162BDD">
        <w:rPr>
          <w:rFonts w:ascii="Traditional Arabic" w:hAnsi="Traditional Arabic" w:cs="Traditional Arabic"/>
          <w:sz w:val="30"/>
          <w:szCs w:val="30"/>
          <w:rtl/>
          <w:lang w:val="en-US"/>
        </w:rPr>
        <w:t>ستحترم. وأ</w:t>
      </w:r>
      <w:r w:rsidR="00C6066E">
        <w:rPr>
          <w:rFonts w:ascii="Traditional Arabic" w:hAnsi="Traditional Arabic" w:cs="Traditional Arabic" w:hint="cs"/>
          <w:sz w:val="30"/>
          <w:szCs w:val="30"/>
          <w:rtl/>
          <w:lang w:val="en-US"/>
        </w:rPr>
        <w:t xml:space="preserve">شار إلى </w:t>
      </w:r>
      <w:r w:rsidRPr="00162BDD">
        <w:rPr>
          <w:rFonts w:ascii="Traditional Arabic" w:hAnsi="Traditional Arabic" w:cs="Traditional Arabic"/>
          <w:sz w:val="30"/>
          <w:szCs w:val="30"/>
          <w:rtl/>
          <w:lang w:val="en-US"/>
        </w:rPr>
        <w:t xml:space="preserve">أن القضايا متعددة، وشملت صعوبات في استيراد المعدات، وكذلك الموافقة على تأشيرات للموظفين. وأبرز كذلك بينما نقوم بإطعام أكثر من 10 ملايين شخص شهريًا ، كشف البرنامج عن "وجود ادلة جدية أن بعض المواد الغذائية يتم تحويلها وتوجيهها إلى الأشخاص الخطأ"، مشيرًا أيضًا إلى أنه تم تحويل الغذاء من أجل الربح أو لأغراض أخرى: </w:t>
      </w:r>
      <w:r w:rsidRPr="00C6066E">
        <w:rPr>
          <w:rFonts w:ascii="Traditional Arabic" w:hAnsi="Traditional Arabic" w:cs="Traditional Arabic"/>
          <w:i/>
          <w:iCs/>
          <w:sz w:val="30"/>
          <w:szCs w:val="30"/>
          <w:rtl/>
          <w:lang w:val="en-US"/>
        </w:rPr>
        <w:t>"سيدي الرئيس، يجري التلاعب بمساعدتنا الغذائية، ونحن مُنعنا من إصلاحها. سيدي الرئيس، اسمحوا لي أن أكون واضحا هنا: الأطفال يموتون الآن ونحن نتحدث بسبب هذا التدخل وعدم تمكننا من الوصول ".</w:t>
      </w:r>
      <w:r w:rsidRPr="00162BDD">
        <w:rPr>
          <w:rFonts w:ascii="Traditional Arabic" w:hAnsi="Traditional Arabic" w:cs="Traditional Arabic"/>
          <w:sz w:val="30"/>
          <w:szCs w:val="30"/>
          <w:rtl/>
          <w:lang w:val="en-US"/>
        </w:rPr>
        <w:t xml:space="preserve"> </w:t>
      </w:r>
      <w:r w:rsidRPr="00162BDD">
        <w:rPr>
          <w:rFonts w:ascii="Traditional Arabic" w:hAnsi="Traditional Arabic" w:cs="Traditional Arabic"/>
          <w:sz w:val="30"/>
          <w:szCs w:val="30"/>
          <w:vertAlign w:val="superscript"/>
          <w:rtl/>
          <w:lang w:val="en-US"/>
        </w:rPr>
        <w:footnoteReference w:id="1258"/>
      </w:r>
    </w:p>
    <w:p w14:paraId="28719F4C" w14:textId="37827D70" w:rsidR="00162BDD" w:rsidRDefault="00162BDD" w:rsidP="00291D9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62BDD">
        <w:rPr>
          <w:rFonts w:ascii="Traditional Arabic" w:hAnsi="Traditional Arabic" w:cs="Traditional Arabic"/>
          <w:sz w:val="30"/>
          <w:szCs w:val="30"/>
          <w:rtl/>
          <w:lang w:val="en-US"/>
        </w:rPr>
        <w:t xml:space="preserve">بعد بضعة أيام، في 20 </w:t>
      </w:r>
      <w:r w:rsidR="00291D95">
        <w:rPr>
          <w:rFonts w:ascii="Traditional Arabic" w:hAnsi="Traditional Arabic" w:cs="Traditional Arabic" w:hint="cs"/>
          <w:sz w:val="30"/>
          <w:szCs w:val="30"/>
          <w:rtl/>
          <w:lang w:val="en-US"/>
        </w:rPr>
        <w:t xml:space="preserve">حزيران/ </w:t>
      </w:r>
      <w:r w:rsidRPr="00162BDD">
        <w:rPr>
          <w:rFonts w:ascii="Traditional Arabic" w:hAnsi="Traditional Arabic" w:cs="Traditional Arabic"/>
          <w:sz w:val="30"/>
          <w:szCs w:val="30"/>
          <w:rtl/>
          <w:lang w:val="en-US"/>
        </w:rPr>
        <w:t xml:space="preserve">يونيو 2019، أصدر برنامج الأغذية العالمي بيانًا صحفيًا أعلن فيه أنه بدأ تعليقًا جزئيًا للمساعدات في اليمن، قيل إنه أثر على 850,000 شخص، مشيرًا إلى الفشل في التوصل إلى اتفاق مع سلطات الأمر الواقع لمنع تحويل الغذاء. وفقًا لبرنامج الغذاء العالمي، "تم اتخاذ القرار كملجأ أخير </w:t>
      </w:r>
      <w:r w:rsidRPr="00162BDD">
        <w:rPr>
          <w:rFonts w:ascii="Traditional Arabic" w:hAnsi="Traditional Arabic" w:cs="Traditional Arabic"/>
          <w:sz w:val="30"/>
          <w:szCs w:val="30"/>
          <w:rtl/>
          <w:lang w:val="en-US"/>
        </w:rPr>
        <w:lastRenderedPageBreak/>
        <w:t xml:space="preserve">بعد توقف المفاوضات المطولة حول اتفاق لإدخال ضوابط لمنع تحويل الغذاء بعيداً عن بعض أكثر الناس ضعفًا في اليمن". </w:t>
      </w:r>
      <w:r w:rsidRPr="00162BDD">
        <w:rPr>
          <w:rFonts w:ascii="Traditional Arabic" w:hAnsi="Traditional Arabic" w:cs="Traditional Arabic"/>
          <w:sz w:val="30"/>
          <w:szCs w:val="30"/>
          <w:vertAlign w:val="superscript"/>
          <w:rtl/>
          <w:lang w:val="en-US"/>
        </w:rPr>
        <w:footnoteReference w:id="1259"/>
      </w:r>
    </w:p>
    <w:p w14:paraId="6131E06C" w14:textId="37E5284A" w:rsidR="009C5E1C" w:rsidRDefault="009C5E1C"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علاوة على ذلك، كان عدم الوصول إلى مطاحن البحر الأحمر في مدينة الحديدة مشكلة رئيسية من حيث إيصال الأغذية لأنها كانت تحتوي - قبل أن تبدأ الأعمال العدائية في الحديدة - على ربع مخزون البرنامج داخل البلد. أي ما يكفي من القمح لإطعام 3.7 مليون شخص لمدة شهر واحد </w:t>
      </w:r>
      <w:r w:rsidRPr="009C5E1C">
        <w:rPr>
          <w:rFonts w:ascii="Traditional Arabic" w:hAnsi="Traditional Arabic" w:cs="Traditional Arabic"/>
          <w:sz w:val="30"/>
          <w:szCs w:val="30"/>
          <w:vertAlign w:val="superscript"/>
          <w:rtl/>
          <w:lang w:val="en-US"/>
        </w:rPr>
        <w:footnoteReference w:id="1260"/>
      </w:r>
      <w:r w:rsidRPr="009C5E1C">
        <w:rPr>
          <w:rFonts w:ascii="Traditional Arabic" w:hAnsi="Traditional Arabic" w:cs="Traditional Arabic"/>
          <w:sz w:val="30"/>
          <w:szCs w:val="30"/>
          <w:rtl/>
          <w:lang w:val="en-US"/>
        </w:rPr>
        <w:t xml:space="preserve">. مع وصول الأعمال الحربية إلى موقع الطواحين، فقد برنامج الأغذية العالمي الوصول إلى الموقع في سبتمبر 2018 واضطر إلى استخدام مخزونات القمح الأخرى بالإضافة إلى الاستيراد لتغطية الاحتياجات الغذائية للسكان اليمنيين. في حين أن القتال المستمر قدّم تفسيرًا منطقيًا للعوائق التي تعترض الوصول، إلا أن رفض الحوثيين المستمر إتاحة الوصول إلى الموقع من </w:t>
      </w:r>
      <w:r w:rsidR="00291D95">
        <w:rPr>
          <w:rFonts w:ascii="Traditional Arabic" w:hAnsi="Traditional Arabic" w:cs="Traditional Arabic" w:hint="cs"/>
          <w:sz w:val="30"/>
          <w:szCs w:val="30"/>
          <w:rtl/>
          <w:lang w:val="en-US"/>
        </w:rPr>
        <w:t xml:space="preserve">كانون الثاني/ </w:t>
      </w:r>
      <w:r w:rsidRPr="009C5E1C">
        <w:rPr>
          <w:rFonts w:ascii="Traditional Arabic" w:hAnsi="Traditional Arabic" w:cs="Traditional Arabic"/>
          <w:sz w:val="30"/>
          <w:szCs w:val="30"/>
          <w:rtl/>
          <w:lang w:val="en-US"/>
        </w:rPr>
        <w:t xml:space="preserve">يناير إلى </w:t>
      </w:r>
      <w:r w:rsidR="00291D95">
        <w:rPr>
          <w:rFonts w:ascii="Traditional Arabic" w:hAnsi="Traditional Arabic" w:cs="Traditional Arabic" w:hint="cs"/>
          <w:sz w:val="30"/>
          <w:szCs w:val="30"/>
          <w:rtl/>
          <w:lang w:val="en-US"/>
        </w:rPr>
        <w:t xml:space="preserve">أيار/ </w:t>
      </w:r>
      <w:r w:rsidRPr="009C5E1C">
        <w:rPr>
          <w:rFonts w:ascii="Traditional Arabic" w:hAnsi="Traditional Arabic" w:cs="Traditional Arabic"/>
          <w:sz w:val="30"/>
          <w:szCs w:val="30"/>
          <w:rtl/>
          <w:lang w:val="en-US"/>
        </w:rPr>
        <w:t>مايو 2019 في أعقاب اتفاقية استوكهولم كان يفتقر إلى تبرير واضح.</w:t>
      </w:r>
      <w:r w:rsidRPr="009C5E1C">
        <w:rPr>
          <w:rFonts w:ascii="Traditional Arabic" w:hAnsi="Traditional Arabic" w:cs="Traditional Arabic"/>
          <w:sz w:val="30"/>
          <w:szCs w:val="30"/>
          <w:vertAlign w:val="superscript"/>
          <w:rtl/>
          <w:lang w:val="en-US"/>
        </w:rPr>
        <w:footnoteReference w:id="1261"/>
      </w:r>
      <w:r w:rsidRPr="009C5E1C">
        <w:rPr>
          <w:rFonts w:ascii="Traditional Arabic" w:hAnsi="Traditional Arabic" w:cs="Traditional Arabic"/>
          <w:sz w:val="30"/>
          <w:szCs w:val="30"/>
          <w:rtl/>
          <w:lang w:val="en-US"/>
        </w:rPr>
        <w:t xml:space="preserve"> ظل الوصول إلى الموقع بمثابة نقطة دفاع مستمرة للأمم المتحدة ، إلى أن تم منح إذن الوصول إلى المطاحن في نهاية المطاف في 5 </w:t>
      </w:r>
      <w:r w:rsidR="00291D95">
        <w:rPr>
          <w:rFonts w:ascii="Traditional Arabic" w:hAnsi="Traditional Arabic" w:cs="Traditional Arabic" w:hint="cs"/>
          <w:sz w:val="30"/>
          <w:szCs w:val="30"/>
          <w:rtl/>
          <w:lang w:val="en-US"/>
        </w:rPr>
        <w:t xml:space="preserve">أيار/ </w:t>
      </w:r>
      <w:r w:rsidRPr="009C5E1C">
        <w:rPr>
          <w:rFonts w:ascii="Traditional Arabic" w:hAnsi="Traditional Arabic" w:cs="Traditional Arabic"/>
          <w:sz w:val="30"/>
          <w:szCs w:val="30"/>
          <w:rtl/>
          <w:lang w:val="en-US"/>
        </w:rPr>
        <w:t>مايو 2019. حالة إمدادات مطاحن البحر الأحمر، ولا سيما الكمية الإجمالية للقمح التي لا تزال صالحة للاستهلاك البشري، ولا يزال يتعين تحديدها في وقت كتابة هذا التقرير.</w:t>
      </w:r>
      <w:r w:rsidRPr="009C5E1C">
        <w:rPr>
          <w:rFonts w:ascii="Traditional Arabic" w:hAnsi="Traditional Arabic" w:cs="Traditional Arabic"/>
          <w:sz w:val="30"/>
          <w:szCs w:val="30"/>
          <w:vertAlign w:val="superscript"/>
          <w:rtl/>
          <w:lang w:val="en-US"/>
        </w:rPr>
        <w:footnoteReference w:id="1262"/>
      </w:r>
    </w:p>
    <w:p w14:paraId="79FB81AD" w14:textId="2A77BDB6" w:rsidR="009C5E1C" w:rsidRDefault="009C5E1C" w:rsidP="00687309">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وأفيد أيضا بأن العنف ضد العاملين في المجال الإنساني والأصول والمرافق يمثل عقبة أمام إيصال المساعدات الإنسانية. منذ </w:t>
      </w:r>
      <w:r w:rsidR="00291D95">
        <w:rPr>
          <w:rFonts w:ascii="Traditional Arabic" w:hAnsi="Traditional Arabic" w:cs="Traditional Arabic" w:hint="cs"/>
          <w:sz w:val="30"/>
          <w:szCs w:val="30"/>
          <w:rtl/>
          <w:lang w:val="en-US"/>
        </w:rPr>
        <w:t xml:space="preserve">أيلول/ </w:t>
      </w:r>
      <w:r w:rsidRPr="009C5E1C">
        <w:rPr>
          <w:rFonts w:ascii="Traditional Arabic" w:hAnsi="Traditional Arabic" w:cs="Traditional Arabic"/>
          <w:sz w:val="30"/>
          <w:szCs w:val="30"/>
          <w:rtl/>
          <w:lang w:val="en-US"/>
        </w:rPr>
        <w:t xml:space="preserve">سبتمبر 2014، سجلت قاعدة بيانات أمن عمال الإغاثة ما مجموعه 62 عاملاً في المجال الإنساني </w:t>
      </w:r>
      <w:r w:rsidR="00687309">
        <w:rPr>
          <w:rFonts w:ascii="Traditional Arabic" w:hAnsi="Traditional Arabic" w:cs="Traditional Arabic" w:hint="cs"/>
          <w:sz w:val="30"/>
          <w:szCs w:val="30"/>
          <w:rtl/>
          <w:lang w:val="en-US"/>
        </w:rPr>
        <w:t>ك</w:t>
      </w:r>
      <w:r w:rsidRPr="009C5E1C">
        <w:rPr>
          <w:rFonts w:ascii="Traditional Arabic" w:hAnsi="Traditional Arabic" w:cs="Traditional Arabic"/>
          <w:sz w:val="30"/>
          <w:szCs w:val="30"/>
          <w:rtl/>
          <w:lang w:val="en-US"/>
        </w:rPr>
        <w:t>ضحايا الهجمات في اليمن (59 موظفًا وطنيًا و 3 موظفين دوليين)، بمن فيهم 27 عاملاً قُتلوا و 20 جريحًا وخطف 15 آخرين .</w:t>
      </w:r>
      <w:r w:rsidRPr="009C5E1C">
        <w:rPr>
          <w:rFonts w:ascii="Traditional Arabic" w:hAnsi="Traditional Arabic" w:cs="Traditional Arabic"/>
          <w:sz w:val="30"/>
          <w:szCs w:val="30"/>
          <w:vertAlign w:val="superscript"/>
          <w:rtl/>
          <w:lang w:val="en-US"/>
        </w:rPr>
        <w:footnoteReference w:id="1263"/>
      </w:r>
      <w:r w:rsidRPr="009C5E1C">
        <w:rPr>
          <w:rFonts w:ascii="Traditional Arabic" w:hAnsi="Traditional Arabic" w:cs="Traditional Arabic"/>
          <w:sz w:val="30"/>
          <w:szCs w:val="30"/>
          <w:rtl/>
          <w:lang w:val="en-US"/>
        </w:rPr>
        <w:t xml:space="preserve"> أحد هؤلاء الضحايا كان مبعوث اللجنة الدولية للصليب الاحمر حنا لحود، الذي قُتل بالرصاص في تعز في 21 أبريل / نيسان 2018 (راجع الفصل حول تعز، القسم الخاص باستهداف موظفي الإغاثة الإنسانية).</w:t>
      </w:r>
    </w:p>
    <w:p w14:paraId="5DE60FDE" w14:textId="565DD5E6" w:rsidR="009C5E1C" w:rsidRDefault="009C5E1C" w:rsidP="009C5E1C">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9C5E1C">
        <w:rPr>
          <w:rFonts w:ascii="Traditional Arabic" w:hAnsi="Traditional Arabic" w:cs="Traditional Arabic"/>
          <w:b/>
          <w:bCs/>
          <w:sz w:val="30"/>
          <w:szCs w:val="30"/>
          <w:rtl/>
          <w:lang w:val="en-US"/>
        </w:rPr>
        <w:t>أ) الاستنتاجات القانونية</w:t>
      </w:r>
    </w:p>
    <w:p w14:paraId="68E484B0" w14:textId="3445E6B4" w:rsid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يتمتع موظفو المساعدة الإنسانية ومواد الإغاثة الإنسانية بحماية محددة بموجب القانون الدولي الإنساني. يجب على أطراف النزاع ، بما في ذلك النزاعات غير الدولية، احترام وحماية العاملين في المجال الإنساني ومواد الإغاثة الإنسانية </w:t>
      </w:r>
      <w:r w:rsidRPr="009C5E1C">
        <w:rPr>
          <w:rFonts w:ascii="Traditional Arabic" w:hAnsi="Traditional Arabic" w:cs="Traditional Arabic"/>
          <w:sz w:val="30"/>
          <w:szCs w:val="30"/>
          <w:vertAlign w:val="superscript"/>
          <w:rtl/>
          <w:lang w:val="en-US"/>
        </w:rPr>
        <w:footnoteReference w:id="1264"/>
      </w:r>
      <w:r w:rsidRPr="009C5E1C">
        <w:rPr>
          <w:rFonts w:ascii="Traditional Arabic" w:hAnsi="Traditional Arabic" w:cs="Traditional Arabic"/>
          <w:sz w:val="30"/>
          <w:szCs w:val="30"/>
          <w:rtl/>
          <w:lang w:val="en-US"/>
        </w:rPr>
        <w:t xml:space="preserve">. بموجب هذه القاعدة، لا يتمتع موظفو الإغاثة الإنسانية بالحماية من الهجوم فحسب، بل وأيضاً من المضايقات والترهيب والاحتجاز التعسفي </w:t>
      </w:r>
      <w:r w:rsidRPr="009C5E1C">
        <w:rPr>
          <w:rFonts w:ascii="Traditional Arabic" w:hAnsi="Traditional Arabic" w:cs="Traditional Arabic"/>
          <w:sz w:val="30"/>
          <w:szCs w:val="30"/>
          <w:vertAlign w:val="superscript"/>
          <w:rtl/>
          <w:lang w:val="en-US"/>
        </w:rPr>
        <w:footnoteReference w:id="1265"/>
      </w:r>
      <w:r w:rsidRPr="009C5E1C">
        <w:rPr>
          <w:rFonts w:ascii="Traditional Arabic" w:hAnsi="Traditional Arabic" w:cs="Traditional Arabic"/>
          <w:sz w:val="30"/>
          <w:szCs w:val="30"/>
          <w:rtl/>
          <w:lang w:val="en-US"/>
        </w:rPr>
        <w:t xml:space="preserve">. من إحدى </w:t>
      </w:r>
      <w:r w:rsidRPr="009C5E1C">
        <w:rPr>
          <w:rFonts w:ascii="Traditional Arabic" w:hAnsi="Traditional Arabic" w:cs="Traditional Arabic"/>
          <w:sz w:val="30"/>
          <w:szCs w:val="30"/>
          <w:rtl/>
          <w:lang w:val="en-US"/>
        </w:rPr>
        <w:lastRenderedPageBreak/>
        <w:t xml:space="preserve">جرائم الحرب توجيه الهجمات المتعمدة ضد الأفراد أو المنشآت أو المواد أو الوحدات أو المركبات المستخدمة في مهمة مساعدة إنسانية وفقًا لميثاق الأمم المتحدة، ما دام يحق لهؤلاء الأفراد أو المواد الحصول على الحماية الممنوحة للمدنيين / الاهداف المدنية بموجب القانون الدولي الإنساني. </w:t>
      </w:r>
      <w:r w:rsidRPr="009C5E1C">
        <w:rPr>
          <w:rFonts w:ascii="Traditional Arabic" w:hAnsi="Traditional Arabic" w:cs="Traditional Arabic"/>
          <w:sz w:val="30"/>
          <w:szCs w:val="30"/>
          <w:vertAlign w:val="superscript"/>
          <w:rtl/>
          <w:lang w:val="en-US"/>
        </w:rPr>
        <w:footnoteReference w:id="1266"/>
      </w:r>
    </w:p>
    <w:p w14:paraId="2161E5DF" w14:textId="69EFDF73"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وينص القانون الدولي الإنساني كذلك على أن أطراف النزاع يجب أن تسمح وتيسر مرور الإغاثة الإنسانية دون عوائق للمدنيين المحتاجين، شريطة أن تكون هذه الإغاثة ذا طبيعة محايدة وأن تجري دون تمييز معاكس </w:t>
      </w:r>
      <w:r w:rsidRPr="009C5E1C">
        <w:rPr>
          <w:rFonts w:ascii="Traditional Arabic" w:hAnsi="Traditional Arabic" w:cs="Traditional Arabic"/>
          <w:sz w:val="30"/>
          <w:szCs w:val="30"/>
          <w:vertAlign w:val="superscript"/>
          <w:rtl/>
          <w:lang w:val="en-US"/>
        </w:rPr>
        <w:footnoteReference w:id="1267"/>
      </w:r>
      <w:r w:rsidRPr="009C5E1C">
        <w:rPr>
          <w:rFonts w:ascii="Traditional Arabic" w:hAnsi="Traditional Arabic" w:cs="Traditional Arabic"/>
          <w:sz w:val="30"/>
          <w:szCs w:val="30"/>
          <w:rtl/>
          <w:lang w:val="en-US"/>
        </w:rPr>
        <w:t>. للأطراف الحق في السيطرة على العمليات الإنسانية</w:t>
      </w:r>
      <w:r w:rsidRPr="009C5E1C">
        <w:rPr>
          <w:rFonts w:ascii="Traditional Arabic" w:hAnsi="Traditional Arabic" w:cs="Traditional Arabic"/>
          <w:sz w:val="30"/>
          <w:szCs w:val="30"/>
          <w:vertAlign w:val="superscript"/>
          <w:rtl/>
          <w:lang w:val="en-US"/>
        </w:rPr>
        <w:footnoteReference w:id="1268"/>
      </w:r>
      <w:r w:rsidRPr="009C5E1C">
        <w:rPr>
          <w:rFonts w:ascii="Traditional Arabic" w:hAnsi="Traditional Arabic" w:cs="Traditional Arabic"/>
          <w:sz w:val="30"/>
          <w:szCs w:val="30"/>
          <w:rtl/>
          <w:lang w:val="en-US"/>
        </w:rPr>
        <w:t xml:space="preserve"> . ومع ذلك، فإن مثل هذه الرقابة لن تعوق بشكل تعسفي التسليم الفوري لإمدادات الإغاثة. لا يجوز حجب الموافقة لأسباب تعسفية، ولا يجوز تبرير القيود المفروضة على الأنشطة الإنسانية إلا في حالة الضرورة العسكرية الملحة وعلى أساس مؤقت.</w:t>
      </w:r>
      <w:r w:rsidRPr="009C5E1C">
        <w:rPr>
          <w:rFonts w:ascii="Traditional Arabic" w:hAnsi="Traditional Arabic" w:cs="Traditional Arabic"/>
          <w:sz w:val="30"/>
          <w:szCs w:val="30"/>
          <w:vertAlign w:val="superscript"/>
          <w:rtl/>
          <w:lang w:val="en-US"/>
        </w:rPr>
        <w:footnoteReference w:id="1269"/>
      </w:r>
    </w:p>
    <w:p w14:paraId="4B0176F5" w14:textId="739AD024" w:rsidR="009C5E1C" w:rsidRP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لدى فريق الخبراء أسباب معقولة للاعتقاد بأن جميع أطراف النزاع تنتهك التزاماتها بالسماح وتيسير مرور الإغاثة الإنسانية دون أي عوائق للمدنيين المحتاجين. عندما تكون الاحتياجات الإنسانية سائدة كما هو الحال في اليمن، ومن المعروف أن الناس يتضورون جوعا، فإن هذا يثير أيضا مخاوف جدية فيما يتعلق بإمكانية استخدام التجويع كأسلوب من أساليب القتال.</w:t>
      </w:r>
    </w:p>
    <w:p w14:paraId="117E26B8" w14:textId="330AA609" w:rsidR="009C5E1C" w:rsidRDefault="009C5E1C" w:rsidP="009C5E1C">
      <w:pPr>
        <w:pStyle w:val="ListParagraph"/>
        <w:numPr>
          <w:ilvl w:val="0"/>
          <w:numId w:val="43"/>
        </w:numPr>
        <w:bidi/>
        <w:ind w:right="900"/>
        <w:rPr>
          <w:rFonts w:ascii="Traditional Arabic" w:hAnsi="Traditional Arabic" w:cs="Traditional Arabic"/>
          <w:sz w:val="30"/>
          <w:szCs w:val="30"/>
          <w:lang w:val="en-US"/>
        </w:rPr>
      </w:pPr>
      <w:r w:rsidRPr="009C5E1C">
        <w:rPr>
          <w:rFonts w:ascii="Traditional Arabic" w:hAnsi="Traditional Arabic" w:cs="Traditional Arabic"/>
          <w:b/>
          <w:bCs/>
          <w:sz w:val="30"/>
          <w:szCs w:val="30"/>
          <w:rtl/>
          <w:lang w:val="en-US"/>
        </w:rPr>
        <w:t>التدابير التي تؤثر على الحقوق الاقتصادية والاجتماعية</w:t>
      </w:r>
    </w:p>
    <w:p w14:paraId="6800C626" w14:textId="7F9E4BC7" w:rsidR="00162BDD"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الوضع الاقتصادي الكارثي هو المحرك الرئيسي للأزمة الإنسانية في اليمن. ساهمت عدة عوامل - بالإضافة إلى التدابير الموضحة أعلاه - في الانكماش المتواصل للاقتصاد اليمني منذ بداية النزاع.</w:t>
      </w:r>
    </w:p>
    <w:p w14:paraId="76CE1D42" w14:textId="5005F4EF"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حتى قبل اندلاع النزاع، كان لليمن أدنى ناتج محلي إجمالي للفرد في الشرق الأوسط </w:t>
      </w:r>
      <w:r w:rsidRPr="009C5E1C">
        <w:rPr>
          <w:rFonts w:ascii="Traditional Arabic" w:hAnsi="Traditional Arabic" w:cs="Traditional Arabic"/>
          <w:sz w:val="30"/>
          <w:szCs w:val="30"/>
          <w:vertAlign w:val="superscript"/>
          <w:rtl/>
          <w:lang w:val="en-US"/>
        </w:rPr>
        <w:footnoteReference w:id="1270"/>
      </w:r>
      <w:r w:rsidRPr="009C5E1C">
        <w:rPr>
          <w:rFonts w:ascii="Traditional Arabic" w:hAnsi="Traditional Arabic" w:cs="Traditional Arabic"/>
          <w:sz w:val="30"/>
          <w:szCs w:val="30"/>
          <w:rtl/>
          <w:lang w:val="en-US"/>
        </w:rPr>
        <w:t>. على مؤشر التنمية البشرية، فقد احتل المرتبة الأسوأ أداءً بين الدول في مجالي الصحة والتعليم، حيث تراجع من المركز 161 في عام 2014 إلى 178 في العام 2018.</w:t>
      </w:r>
      <w:r w:rsidRPr="009C5E1C">
        <w:rPr>
          <w:rFonts w:ascii="Traditional Arabic" w:hAnsi="Traditional Arabic" w:cs="Traditional Arabic"/>
          <w:sz w:val="30"/>
          <w:szCs w:val="30"/>
          <w:vertAlign w:val="superscript"/>
          <w:rtl/>
          <w:lang w:val="en-US"/>
        </w:rPr>
        <w:footnoteReference w:id="1271"/>
      </w:r>
      <w:r w:rsidRPr="009C5E1C">
        <w:rPr>
          <w:rFonts w:ascii="Traditional Arabic" w:hAnsi="Traditional Arabic" w:cs="Traditional Arabic"/>
          <w:sz w:val="30"/>
          <w:szCs w:val="30"/>
          <w:rtl/>
          <w:lang w:val="en-US"/>
        </w:rPr>
        <w:t xml:space="preserve"> تعتمد اليمن اعتمادًا كبيرًا على التجارة الدولية. قبل النزاع ، كانت اليمن تستورد 90 في المائة من طعامها، و 85 في المائة من الإمدادات الطبية ومعظم الوقود .</w:t>
      </w:r>
      <w:r w:rsidRPr="009C5E1C">
        <w:rPr>
          <w:rFonts w:ascii="Traditional Arabic" w:hAnsi="Traditional Arabic" w:cs="Traditional Arabic"/>
          <w:sz w:val="30"/>
          <w:szCs w:val="30"/>
          <w:vertAlign w:val="superscript"/>
          <w:rtl/>
          <w:lang w:val="en-US"/>
        </w:rPr>
        <w:footnoteReference w:id="1272"/>
      </w:r>
      <w:r w:rsidRPr="009C5E1C">
        <w:rPr>
          <w:rFonts w:ascii="Traditional Arabic" w:hAnsi="Traditional Arabic" w:cs="Traditional Arabic"/>
          <w:sz w:val="30"/>
          <w:szCs w:val="30"/>
          <w:rtl/>
          <w:lang w:val="en-US"/>
        </w:rPr>
        <w:t xml:space="preserve"> يعد الحد من الصادرات والواردات الأساسية بسبب قيود </w:t>
      </w:r>
      <w:r w:rsidRPr="009C5E1C">
        <w:rPr>
          <w:rFonts w:ascii="Traditional Arabic" w:hAnsi="Traditional Arabic" w:cs="Traditional Arabic"/>
          <w:sz w:val="30"/>
          <w:szCs w:val="30"/>
          <w:rtl/>
          <w:lang w:val="en-US"/>
        </w:rPr>
        <w:lastRenderedPageBreak/>
        <w:t>الوصول الموضحة أعلاه ، وخاصة الحصار الذي يفرضه التحالف، العامل الرئيسي في تراجع الاقتصاد. آليات التفتيش والازدحام في الموانئ والبنية التحتية المدمرة هي عوامل مهمة تسببت في ارتفاع أسعار المواد الغذائية. أدت التأخيرات الكبيرة في واردات الأغذية وارتفاع الأسعار إلى زيادة تكلفة الغذاء إلى الحد الذي أصبح فيه بعيدًا عن متناول معظم السكان، على الرغم من توفر الغذاء في الأسواق .</w:t>
      </w:r>
      <w:r w:rsidRPr="009C5E1C">
        <w:rPr>
          <w:rFonts w:ascii="Traditional Arabic" w:hAnsi="Traditional Arabic" w:cs="Traditional Arabic"/>
          <w:sz w:val="30"/>
          <w:szCs w:val="30"/>
          <w:vertAlign w:val="superscript"/>
          <w:rtl/>
          <w:lang w:val="en-US"/>
        </w:rPr>
        <w:footnoteReference w:id="1273"/>
      </w:r>
    </w:p>
    <w:p w14:paraId="5B946410" w14:textId="44358662" w:rsidR="009C5E1C" w:rsidRDefault="009C5E1C" w:rsidP="00C6066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إن الانخفاض السريع للعملة بسبب التضخم يضاف إلى زيادة سعر الواردات. في ظل عدم وجود أرقام رسمية، يقدر البنك الدولي أن التضخم قد استمر في الارتفاع بينما تقلص الناتج المحلي الإجمالي بنسبة 39 في المائة منذ عام 2014 وبداية الحرب </w:t>
      </w:r>
      <w:r w:rsidRPr="009C5E1C">
        <w:rPr>
          <w:rFonts w:ascii="Traditional Arabic" w:hAnsi="Traditional Arabic" w:cs="Traditional Arabic"/>
          <w:sz w:val="30"/>
          <w:szCs w:val="30"/>
          <w:vertAlign w:val="superscript"/>
          <w:rtl/>
          <w:lang w:val="en-US"/>
        </w:rPr>
        <w:footnoteReference w:id="1274"/>
      </w:r>
      <w:r w:rsidRPr="009C5E1C">
        <w:rPr>
          <w:rFonts w:ascii="Traditional Arabic" w:hAnsi="Traditional Arabic" w:cs="Traditional Arabic"/>
          <w:sz w:val="30"/>
          <w:szCs w:val="30"/>
          <w:rtl/>
          <w:lang w:val="en-US"/>
        </w:rPr>
        <w:t xml:space="preserve">. نظرًا لأن التضخم المتصاعد أعاق بشكل كبير القدرة الشرائية لجزء كبير من السكان، أصبح من الصعب على العائلات اليمنية التي تعيش على أو تحت خط الفقر على نحو متزايد توفير الاحتياجات الأساسية مثل الغذاء والمياه، مما زاد من تفاقم الأزمة </w:t>
      </w:r>
      <w:r w:rsidRPr="009C5E1C">
        <w:rPr>
          <w:rFonts w:ascii="Traditional Arabic" w:hAnsi="Traditional Arabic" w:cs="Traditional Arabic"/>
          <w:sz w:val="30"/>
          <w:szCs w:val="30"/>
          <w:vertAlign w:val="superscript"/>
          <w:rtl/>
          <w:lang w:val="en-US"/>
        </w:rPr>
        <w:footnoteReference w:id="1275"/>
      </w:r>
      <w:r w:rsidRPr="009C5E1C">
        <w:rPr>
          <w:rFonts w:ascii="Traditional Arabic" w:hAnsi="Traditional Arabic" w:cs="Traditional Arabic"/>
          <w:sz w:val="30"/>
          <w:szCs w:val="30"/>
          <w:rtl/>
          <w:lang w:val="en-US"/>
        </w:rPr>
        <w:t xml:space="preserve">. وفقًا لبيتر ساليسبري ، صحفي ومحلل اقتصادي سياسي، </w:t>
      </w:r>
      <w:r w:rsidRPr="00C6066E">
        <w:rPr>
          <w:rFonts w:ascii="Traditional Arabic" w:hAnsi="Traditional Arabic" w:cs="Traditional Arabic"/>
          <w:i/>
          <w:iCs/>
          <w:sz w:val="30"/>
          <w:szCs w:val="30"/>
          <w:rtl/>
          <w:lang w:val="en-US"/>
        </w:rPr>
        <w:t>"تأتي الأزمة الاقتصادية في وقت تكافح فيه وكالات الإغاثة والتجار والمؤسسات الحكومية ، لأسباب متنوعة، لتقديم السلع الأساسية التي تشتد الحاجة إليها، وعندما ترتفع الأسعار لدرجة أن نسبة كبيرة من السكان ببساطة لا يستطيعون تحمل نفقات الطعام، وذلك في جزء صغير منه لأن الاقتصاد بشكل كلي قد توقف</w:t>
      </w:r>
      <w:r w:rsidRPr="009C5E1C">
        <w:rPr>
          <w:rFonts w:ascii="Traditional Arabic" w:hAnsi="Traditional Arabic" w:cs="Traditional Arabic"/>
          <w:sz w:val="30"/>
          <w:szCs w:val="30"/>
          <w:rtl/>
          <w:lang w:val="en-US"/>
        </w:rPr>
        <w:t>.</w:t>
      </w:r>
      <w:r w:rsidRPr="009C5E1C">
        <w:rPr>
          <w:rFonts w:ascii="Traditional Arabic" w:hAnsi="Traditional Arabic" w:cs="Traditional Arabic"/>
          <w:sz w:val="30"/>
          <w:szCs w:val="30"/>
          <w:vertAlign w:val="superscript"/>
          <w:rtl/>
          <w:lang w:val="en-US"/>
        </w:rPr>
        <w:footnoteReference w:id="1276"/>
      </w:r>
    </w:p>
    <w:p w14:paraId="6BA2B86A" w14:textId="54BB8A63" w:rsidR="009C5E1C" w:rsidRDefault="009C5E1C" w:rsidP="005D77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t xml:space="preserve">وفقًا لمنظمة الأمم المتحدة للأغذية والزراعة ، في اليمن في فبراير 2019 ، </w:t>
      </w:r>
      <w:r w:rsidRPr="005D7788">
        <w:rPr>
          <w:rFonts w:ascii="Traditional Arabic" w:hAnsi="Traditional Arabic" w:cs="Traditional Arabic"/>
          <w:i/>
          <w:iCs/>
          <w:sz w:val="30"/>
          <w:szCs w:val="30"/>
          <w:rtl/>
          <w:lang w:val="en-US"/>
        </w:rPr>
        <w:t>"يظل الحد الأدنى لتكاليف سلة الطعام للبقاء على قيد الحياة أعلى بأكثر من 110 في المائة مما كان عليه قبل تصاعد النزاع في مارس 2015.</w:t>
      </w:r>
      <w:r w:rsidRPr="005D7788">
        <w:rPr>
          <w:rFonts w:ascii="Traditional Arabic" w:hAnsi="Traditional Arabic" w:cs="Traditional Arabic"/>
          <w:i/>
          <w:iCs/>
          <w:sz w:val="30"/>
          <w:szCs w:val="30"/>
          <w:vertAlign w:val="superscript"/>
          <w:rtl/>
          <w:lang w:val="en-US"/>
        </w:rPr>
        <w:footnoteReference w:id="1277"/>
      </w:r>
      <w:r w:rsidRPr="005D7788">
        <w:rPr>
          <w:rFonts w:ascii="Traditional Arabic" w:hAnsi="Traditional Arabic" w:cs="Traditional Arabic"/>
          <w:i/>
          <w:iCs/>
          <w:sz w:val="30"/>
          <w:szCs w:val="30"/>
          <w:rtl/>
          <w:lang w:val="en-US"/>
        </w:rPr>
        <w:t>"</w:t>
      </w:r>
      <w:r w:rsidRPr="009C5E1C">
        <w:rPr>
          <w:rFonts w:ascii="Traditional Arabic" w:hAnsi="Traditional Arabic" w:cs="Traditional Arabic"/>
          <w:sz w:val="30"/>
          <w:szCs w:val="30"/>
          <w:rtl/>
          <w:lang w:val="en-US"/>
        </w:rPr>
        <w:t xml:space="preserve"> وعبر تسمية الوضع ب "مجاعة الدخل"، صرحت ليز غراندي، منسق الأمم المتحدة للشؤون الإنسانية في اليمن، بأن "مفتاح ايقاف كل ذلك هو ضمان حصول الناس على ما يكفي من المال لشراء ما يحتاجون إليه للبقاء على قيد الحياة" .</w:t>
      </w:r>
      <w:r w:rsidRPr="009C5E1C">
        <w:rPr>
          <w:rFonts w:ascii="Traditional Arabic" w:hAnsi="Traditional Arabic" w:cs="Traditional Arabic"/>
          <w:sz w:val="30"/>
          <w:szCs w:val="30"/>
          <w:vertAlign w:val="superscript"/>
          <w:rtl/>
          <w:lang w:val="en-US"/>
        </w:rPr>
        <w:footnoteReference w:id="1278"/>
      </w:r>
      <w:r w:rsidRPr="009C5E1C">
        <w:rPr>
          <w:rFonts w:ascii="Traditional Arabic" w:hAnsi="Traditional Arabic" w:cs="Traditional Arabic"/>
          <w:sz w:val="30"/>
          <w:szCs w:val="30"/>
          <w:rtl/>
          <w:lang w:val="en-US"/>
        </w:rPr>
        <w:t xml:space="preserve"> لا يمكن تعويض الاعتماد على الاستيراد عن طريق المساعدات الإنسانية وحدها. </w:t>
      </w:r>
      <w:r w:rsidRPr="009C5E1C">
        <w:rPr>
          <w:rFonts w:ascii="Traditional Arabic" w:hAnsi="Traditional Arabic" w:cs="Traditional Arabic"/>
          <w:sz w:val="30"/>
          <w:szCs w:val="30"/>
          <w:vertAlign w:val="superscript"/>
          <w:rtl/>
          <w:lang w:val="en-US"/>
        </w:rPr>
        <w:footnoteReference w:id="1279"/>
      </w:r>
    </w:p>
    <w:p w14:paraId="79107C61" w14:textId="5B07D4AD" w:rsidR="009C5E1C" w:rsidRDefault="009C5E1C" w:rsidP="009C5E1C">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9C5E1C">
        <w:rPr>
          <w:rFonts w:ascii="Traditional Arabic" w:hAnsi="Traditional Arabic" w:cs="Traditional Arabic"/>
          <w:sz w:val="30"/>
          <w:szCs w:val="30"/>
          <w:rtl/>
          <w:lang w:val="en-US"/>
        </w:rPr>
        <w:lastRenderedPageBreak/>
        <w:t xml:space="preserve">وقد تفاقم انخفاض قيمة الريال اليمني بسبب استمرار طباعة النقود من قبل الحكومة اليمنية </w:t>
      </w:r>
      <w:r w:rsidRPr="009C5E1C">
        <w:rPr>
          <w:rFonts w:ascii="Traditional Arabic" w:hAnsi="Traditional Arabic" w:cs="Traditional Arabic"/>
          <w:sz w:val="30"/>
          <w:szCs w:val="30"/>
          <w:vertAlign w:val="superscript"/>
          <w:rtl/>
          <w:lang w:val="en-US"/>
        </w:rPr>
        <w:footnoteReference w:id="1280"/>
      </w:r>
      <w:r w:rsidRPr="009C5E1C">
        <w:rPr>
          <w:rFonts w:ascii="Traditional Arabic" w:hAnsi="Traditional Arabic" w:cs="Traditional Arabic"/>
          <w:sz w:val="30"/>
          <w:szCs w:val="30"/>
          <w:rtl/>
          <w:lang w:val="en-US"/>
        </w:rPr>
        <w:t>. ساعدت سلسلة من عمليات ضخ الأموال من المملكة العربية السعودية على استقرار سعر الصرف، لكن أسعار صرف السوق السوداء لا تزال تحوم فوق السعر الرسمي</w:t>
      </w:r>
      <w:r w:rsidRPr="009C5E1C">
        <w:rPr>
          <w:rFonts w:ascii="Traditional Arabic" w:hAnsi="Traditional Arabic" w:cs="Traditional Arabic"/>
          <w:sz w:val="30"/>
          <w:szCs w:val="30"/>
          <w:vertAlign w:val="superscript"/>
          <w:rtl/>
          <w:lang w:val="en-US"/>
        </w:rPr>
        <w:footnoteReference w:id="1281"/>
      </w:r>
      <w:r w:rsidRPr="009C5E1C">
        <w:rPr>
          <w:rFonts w:ascii="Traditional Arabic" w:hAnsi="Traditional Arabic" w:cs="Traditional Arabic"/>
          <w:sz w:val="30"/>
          <w:szCs w:val="30"/>
          <w:rtl/>
          <w:lang w:val="en-US"/>
        </w:rPr>
        <w:t xml:space="preserve"> . استمرت أسعار الصرف المبالغ فيها في السوق السوداء بسبب نقل البنك المركزي من صنعاء إلى عدن من قبل الحكومة اليمنية في سبتمبر 2016. وفي الواقع، فإن انتقاله ترك البنك المركزي أضعف بكثير على المستوى الوطني، حيث أصبح غير قادر للعب دور عامل للاستقرار الاقتصادي .</w:t>
      </w:r>
      <w:r w:rsidRPr="009C5E1C">
        <w:rPr>
          <w:rFonts w:ascii="Traditional Arabic" w:hAnsi="Traditional Arabic" w:cs="Traditional Arabic"/>
          <w:sz w:val="30"/>
          <w:szCs w:val="30"/>
          <w:vertAlign w:val="superscript"/>
          <w:rtl/>
          <w:lang w:val="en-US"/>
        </w:rPr>
        <w:footnoteReference w:id="1282"/>
      </w:r>
      <w:r w:rsidRPr="009C5E1C">
        <w:rPr>
          <w:rFonts w:ascii="Traditional Arabic" w:hAnsi="Traditional Arabic" w:cs="Traditional Arabic"/>
          <w:sz w:val="30"/>
          <w:szCs w:val="30"/>
          <w:rtl/>
          <w:lang w:val="en-US"/>
        </w:rPr>
        <w:t xml:space="preserve"> هذا حرض اليمنيين كذلك على الاعتماد على أنظمة تحويل الأموال غير الرسمية</w:t>
      </w:r>
      <w:r w:rsidRPr="009C5E1C">
        <w:rPr>
          <w:rFonts w:ascii="Traditional Arabic" w:hAnsi="Traditional Arabic" w:cs="Traditional Arabic"/>
          <w:sz w:val="30"/>
          <w:szCs w:val="30"/>
          <w:vertAlign w:val="superscript"/>
          <w:rtl/>
          <w:lang w:val="en-US"/>
        </w:rPr>
        <w:footnoteReference w:id="1283"/>
      </w:r>
      <w:r w:rsidRPr="009C5E1C">
        <w:rPr>
          <w:rFonts w:ascii="Traditional Arabic" w:hAnsi="Traditional Arabic" w:cs="Traditional Arabic"/>
          <w:sz w:val="30"/>
          <w:szCs w:val="30"/>
          <w:rtl/>
          <w:lang w:val="en-US"/>
        </w:rPr>
        <w:t xml:space="preserve">  ، وزيادة المساهمة في السوق السوداء والفساد السائد في اقتصاد الحرب</w:t>
      </w:r>
      <w:r w:rsidRPr="009C5E1C">
        <w:rPr>
          <w:rFonts w:ascii="Traditional Arabic" w:hAnsi="Traditional Arabic" w:cs="Traditional Arabic"/>
          <w:sz w:val="30"/>
          <w:szCs w:val="30"/>
          <w:vertAlign w:val="superscript"/>
          <w:rtl/>
          <w:lang w:val="en-US"/>
        </w:rPr>
        <w:footnoteReference w:id="1284"/>
      </w:r>
      <w:r w:rsidRPr="009C5E1C">
        <w:rPr>
          <w:rFonts w:ascii="Traditional Arabic" w:hAnsi="Traditional Arabic" w:cs="Traditional Arabic"/>
          <w:sz w:val="30"/>
          <w:szCs w:val="30"/>
          <w:rtl/>
          <w:lang w:val="en-US"/>
        </w:rPr>
        <w:t xml:space="preserve"> . كما قوضت عملية إعادة التوطين مصداقية البنك الوطني على المستوى الدولي .</w:t>
      </w:r>
      <w:r w:rsidRPr="009C5E1C">
        <w:rPr>
          <w:rFonts w:ascii="Traditional Arabic" w:hAnsi="Traditional Arabic" w:cs="Traditional Arabic"/>
          <w:sz w:val="30"/>
          <w:szCs w:val="30"/>
          <w:vertAlign w:val="superscript"/>
          <w:rtl/>
          <w:lang w:val="en-US"/>
        </w:rPr>
        <w:footnoteReference w:id="1285"/>
      </w:r>
    </w:p>
    <w:p w14:paraId="3A78BE8D" w14:textId="0EF7B89C" w:rsidR="009C5E1C" w:rsidRDefault="00583FBD" w:rsidP="00583FBD">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583FBD">
        <w:rPr>
          <w:rFonts w:ascii="Traditional Arabic" w:hAnsi="Traditional Arabic" w:cs="Traditional Arabic"/>
          <w:sz w:val="30"/>
          <w:szCs w:val="30"/>
          <w:rtl/>
          <w:lang w:val="en-US"/>
        </w:rPr>
        <w:t xml:space="preserve">وكنتيجة ملموسة للغاية، أدى نقل الحكومة اليمنية للبنك المركزي إلى عدم دفع رواتب لمئات الآلاف من موظفي الخدمة المدنية الحكوميين، بمن فيهم المعلمون والكوادر الطبيه، الذين يعملون في المناطق التي تسيطر عليها سلطات الأمر الواقع. في 23 </w:t>
      </w:r>
      <w:r w:rsidR="005F7A88">
        <w:rPr>
          <w:rFonts w:ascii="Traditional Arabic" w:hAnsi="Traditional Arabic" w:cs="Traditional Arabic" w:hint="cs"/>
          <w:sz w:val="30"/>
          <w:szCs w:val="30"/>
          <w:rtl/>
          <w:lang w:val="en-US"/>
        </w:rPr>
        <w:t xml:space="preserve">أيلول/ </w:t>
      </w:r>
      <w:r w:rsidRPr="00583FBD">
        <w:rPr>
          <w:rFonts w:ascii="Traditional Arabic" w:hAnsi="Traditional Arabic" w:cs="Traditional Arabic"/>
          <w:sz w:val="30"/>
          <w:szCs w:val="30"/>
          <w:rtl/>
          <w:lang w:val="en-US"/>
        </w:rPr>
        <w:t>سبتمبر 2016، أقر الرئيس هادي أمام الجمعية العامة للأمم المتحدة أن نقل البنك المركزي من صنعاء إلى عدن قد يؤدي إلى عدم دفع رواتب موظفي القطاع العام .</w:t>
      </w:r>
      <w:r w:rsidRPr="00583FBD">
        <w:rPr>
          <w:rFonts w:ascii="Traditional Arabic" w:hAnsi="Traditional Arabic" w:cs="Traditional Arabic"/>
          <w:sz w:val="30"/>
          <w:szCs w:val="30"/>
          <w:vertAlign w:val="superscript"/>
          <w:rtl/>
          <w:lang w:val="en-US"/>
        </w:rPr>
        <w:footnoteReference w:id="1286"/>
      </w:r>
      <w:r w:rsidRPr="00583FBD">
        <w:rPr>
          <w:rFonts w:ascii="Traditional Arabic" w:hAnsi="Traditional Arabic" w:cs="Traditional Arabic"/>
          <w:sz w:val="30"/>
          <w:szCs w:val="30"/>
          <w:rtl/>
          <w:lang w:val="en-US"/>
        </w:rPr>
        <w:t xml:space="preserve"> في </w:t>
      </w:r>
      <w:r w:rsidR="005F7A88">
        <w:rPr>
          <w:rFonts w:ascii="Traditional Arabic" w:hAnsi="Traditional Arabic" w:cs="Traditional Arabic" w:hint="cs"/>
          <w:sz w:val="30"/>
          <w:szCs w:val="30"/>
          <w:rtl/>
          <w:lang w:val="en-US"/>
        </w:rPr>
        <w:t xml:space="preserve">أيار/ </w:t>
      </w:r>
      <w:r w:rsidRPr="00583FBD">
        <w:rPr>
          <w:rFonts w:ascii="Traditional Arabic" w:hAnsi="Traditional Arabic" w:cs="Traditional Arabic"/>
          <w:sz w:val="30"/>
          <w:szCs w:val="30"/>
          <w:rtl/>
          <w:lang w:val="en-US"/>
        </w:rPr>
        <w:t>مايو 2019، ذكر مركز صنعاء أن مئات الآلاف من موظفي الخدمة المدنية لم يتلقوا رواتب منتظمة لمدة ثلاث سنوات، أي منذ نقل البنك المركزي .</w:t>
      </w:r>
      <w:r w:rsidRPr="00583FBD">
        <w:rPr>
          <w:rFonts w:ascii="Traditional Arabic" w:hAnsi="Traditional Arabic" w:cs="Traditional Arabic"/>
          <w:sz w:val="30"/>
          <w:szCs w:val="30"/>
          <w:vertAlign w:val="superscript"/>
          <w:rtl/>
          <w:lang w:val="en-US"/>
        </w:rPr>
        <w:footnoteReference w:id="1287"/>
      </w:r>
      <w:r w:rsidRPr="00583FBD">
        <w:rPr>
          <w:rFonts w:ascii="Traditional Arabic" w:hAnsi="Traditional Arabic" w:cs="Traditional Arabic"/>
          <w:sz w:val="30"/>
          <w:szCs w:val="30"/>
          <w:rtl/>
          <w:lang w:val="en-US"/>
        </w:rPr>
        <w:t xml:space="preserve"> في </w:t>
      </w:r>
      <w:r w:rsidR="005F7A88">
        <w:rPr>
          <w:rFonts w:ascii="Traditional Arabic" w:hAnsi="Traditional Arabic" w:cs="Traditional Arabic" w:hint="cs"/>
          <w:sz w:val="30"/>
          <w:szCs w:val="30"/>
          <w:rtl/>
          <w:lang w:val="en-US"/>
        </w:rPr>
        <w:t xml:space="preserve">أيار/ </w:t>
      </w:r>
      <w:r w:rsidRPr="00583FBD">
        <w:rPr>
          <w:rFonts w:ascii="Traditional Arabic" w:hAnsi="Traditional Arabic" w:cs="Traditional Arabic"/>
          <w:sz w:val="30"/>
          <w:szCs w:val="30"/>
          <w:rtl/>
          <w:lang w:val="en-US"/>
        </w:rPr>
        <w:t>مايو 2019، أكد اتحاد غرف التجارة والصناعة في اليمن أن عدم دفع رواتب الموظفين كان أحد أهم العوامل التي تعمق الأزمة الاقتصادية والإنسانية في اليمن .</w:t>
      </w:r>
      <w:r w:rsidRPr="00583FBD">
        <w:rPr>
          <w:rFonts w:ascii="Traditional Arabic" w:hAnsi="Traditional Arabic" w:cs="Traditional Arabic"/>
          <w:sz w:val="30"/>
          <w:szCs w:val="30"/>
          <w:vertAlign w:val="superscript"/>
          <w:rtl/>
          <w:lang w:val="en-US"/>
        </w:rPr>
        <w:footnoteReference w:id="1288"/>
      </w:r>
      <w:r w:rsidRPr="00583FBD">
        <w:rPr>
          <w:rFonts w:ascii="Traditional Arabic" w:hAnsi="Traditional Arabic" w:cs="Traditional Arabic"/>
          <w:sz w:val="30"/>
          <w:szCs w:val="30"/>
          <w:rtl/>
          <w:lang w:val="en-US"/>
        </w:rPr>
        <w:t xml:space="preserve"> في 29 </w:t>
      </w:r>
      <w:r w:rsidR="005F7A88">
        <w:rPr>
          <w:rFonts w:ascii="Traditional Arabic" w:hAnsi="Traditional Arabic" w:cs="Traditional Arabic" w:hint="cs"/>
          <w:sz w:val="30"/>
          <w:szCs w:val="30"/>
          <w:rtl/>
          <w:lang w:val="en-US"/>
        </w:rPr>
        <w:t xml:space="preserve">أيلول/ </w:t>
      </w:r>
      <w:r w:rsidRPr="00583FBD">
        <w:rPr>
          <w:rFonts w:ascii="Traditional Arabic" w:hAnsi="Traditional Arabic" w:cs="Traditional Arabic"/>
          <w:sz w:val="30"/>
          <w:szCs w:val="30"/>
          <w:rtl/>
          <w:lang w:val="en-US"/>
        </w:rPr>
        <w:t xml:space="preserve">سبتمبر </w:t>
      </w:r>
      <w:r w:rsidRPr="00583FBD">
        <w:rPr>
          <w:rFonts w:ascii="Traditional Arabic" w:hAnsi="Traditional Arabic" w:cs="Traditional Arabic"/>
          <w:sz w:val="30"/>
          <w:szCs w:val="30"/>
          <w:rtl/>
          <w:lang w:val="en-US"/>
        </w:rPr>
        <w:lastRenderedPageBreak/>
        <w:t>2016، حذرت مجموعة الأزمات الدولية بالفعل من أن "الجهود المبذولة لتحريك البنك المركزي اليمني ستزيد على ا</w:t>
      </w:r>
      <w:r>
        <w:rPr>
          <w:rFonts w:ascii="Traditional Arabic" w:hAnsi="Traditional Arabic" w:cs="Traditional Arabic"/>
          <w:sz w:val="30"/>
          <w:szCs w:val="30"/>
          <w:rtl/>
          <w:lang w:val="en-US"/>
        </w:rPr>
        <w:t>لأرجح من مخاطر الإفلاس والجوع".</w:t>
      </w:r>
      <w:r w:rsidRPr="00583FBD">
        <w:rPr>
          <w:rFonts w:ascii="Traditional Arabic" w:hAnsi="Traditional Arabic" w:cs="Traditional Arabic"/>
          <w:sz w:val="30"/>
          <w:szCs w:val="30"/>
          <w:vertAlign w:val="superscript"/>
          <w:rtl/>
          <w:lang w:val="en-US"/>
        </w:rPr>
        <w:footnoteReference w:id="1289"/>
      </w:r>
    </w:p>
    <w:p w14:paraId="7FFFDAEE" w14:textId="3D5C309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لقد انهار نظام الإيرادات الضريبية الحكومية، لأن السلطات القائمة بحكم الأمر الواقع كانت تتبع ممارسات صارمة لجمع الضرائب لتمويل الجهود الحربية</w:t>
      </w:r>
      <w:r w:rsidRPr="00B75018">
        <w:rPr>
          <w:rFonts w:ascii="Traditional Arabic" w:hAnsi="Traditional Arabic" w:cs="Traditional Arabic"/>
          <w:sz w:val="30"/>
          <w:szCs w:val="30"/>
          <w:vertAlign w:val="superscript"/>
          <w:rtl/>
          <w:lang w:val="en-US"/>
        </w:rPr>
        <w:footnoteReference w:id="1290"/>
      </w:r>
      <w:r w:rsidRPr="00B75018">
        <w:rPr>
          <w:rFonts w:ascii="Traditional Arabic" w:hAnsi="Traditional Arabic" w:cs="Traditional Arabic"/>
          <w:sz w:val="30"/>
          <w:szCs w:val="30"/>
          <w:rtl/>
          <w:lang w:val="en-US"/>
        </w:rPr>
        <w:t xml:space="preserve"> . أدت هذه القيود المالية الإضافية التي يتعرض لها السكان اليمنيون إلى تعميق الأزمة الإنسانية، لا سيما لأنها شلت الطبقة الوسطى، التي كانت منظمات المعونة الإنسانية المحلية تعتمد عليها بشكل رئيسي في تبرعاتها النقدية.  </w:t>
      </w:r>
      <w:r w:rsidRPr="00B75018">
        <w:rPr>
          <w:rFonts w:ascii="Traditional Arabic" w:hAnsi="Traditional Arabic" w:cs="Traditional Arabic"/>
          <w:sz w:val="30"/>
          <w:szCs w:val="30"/>
          <w:vertAlign w:val="superscript"/>
          <w:rtl/>
          <w:lang w:val="en-US"/>
        </w:rPr>
        <w:footnoteReference w:id="1291"/>
      </w:r>
    </w:p>
    <w:p w14:paraId="7EEABF9B" w14:textId="3A5755A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 xml:space="preserve">في 3 أيلول/سبتمبر 2018 ، أصدرت الحكومة اليمنية المرسوم 75 ، كمحاولة لتنظيم واردات الوقود. وفقًا لهذا المرسوم ، يمكن فقط لمستوردي الوقود الذين تمت الموافقة عليهم من قبل اللجنة الاقتصادية التي أنشأتها الحكومة استيراد الوقود إلى اليمن. يقال إن هذه اللوائح "استبعدت العديد من التجار الحوثيين من استيراد الوقود."  </w:t>
      </w:r>
      <w:r w:rsidRPr="00B75018">
        <w:rPr>
          <w:rFonts w:ascii="Traditional Arabic" w:hAnsi="Traditional Arabic" w:cs="Traditional Arabic"/>
          <w:sz w:val="30"/>
          <w:szCs w:val="30"/>
          <w:vertAlign w:val="superscript"/>
          <w:rtl/>
          <w:lang w:val="en-US"/>
        </w:rPr>
        <w:footnoteReference w:id="1292"/>
      </w:r>
      <w:r w:rsidRPr="00B75018">
        <w:rPr>
          <w:rFonts w:ascii="Traditional Arabic" w:hAnsi="Traditional Arabic" w:cs="Traditional Arabic"/>
          <w:sz w:val="30"/>
          <w:szCs w:val="30"/>
          <w:rtl/>
          <w:lang w:val="en-US"/>
        </w:rPr>
        <w:t xml:space="preserve">  في 19 </w:t>
      </w:r>
      <w:r w:rsidR="005F7A88">
        <w:rPr>
          <w:rFonts w:ascii="Traditional Arabic" w:hAnsi="Traditional Arabic" w:cs="Traditional Arabic" w:hint="cs"/>
          <w:sz w:val="30"/>
          <w:szCs w:val="30"/>
          <w:rtl/>
          <w:lang w:val="en-US"/>
        </w:rPr>
        <w:t xml:space="preserve">شباط/ </w:t>
      </w:r>
      <w:r w:rsidRPr="00B75018">
        <w:rPr>
          <w:rFonts w:ascii="Traditional Arabic" w:hAnsi="Traditional Arabic" w:cs="Traditional Arabic"/>
          <w:sz w:val="30"/>
          <w:szCs w:val="30"/>
          <w:rtl/>
          <w:lang w:val="en-US"/>
        </w:rPr>
        <w:t xml:space="preserve">فبراير 2019، أعرب وكيل الأمين العام للشؤون الإنسانية ومنسق الإغاثة في حالات الطوارئ، أثناء إحاطة مجلس الأمن، عن مخاوفه بشأن تأثير المرسوم 75 الذي " يواصل عرقلة واردات الوقود التجارية، وهي ضرورية لضخ المياه والحفاظ على تشغيل مولدات المستشفيات، من بين وظائف مهمة أخرى </w:t>
      </w:r>
      <w:r w:rsidRPr="00B75018">
        <w:rPr>
          <w:rFonts w:ascii="Traditional Arabic" w:hAnsi="Traditional Arabic" w:cs="Traditional Arabic"/>
          <w:sz w:val="30"/>
          <w:szCs w:val="30"/>
          <w:vertAlign w:val="superscript"/>
          <w:rtl/>
          <w:lang w:val="en-US"/>
        </w:rPr>
        <w:footnoteReference w:id="1293"/>
      </w:r>
      <w:r w:rsidRPr="00B75018">
        <w:rPr>
          <w:rFonts w:ascii="Traditional Arabic" w:hAnsi="Traditional Arabic" w:cs="Traditional Arabic"/>
          <w:sz w:val="30"/>
          <w:szCs w:val="30"/>
          <w:rtl/>
          <w:lang w:val="en-US"/>
        </w:rPr>
        <w:t xml:space="preserve"> ". وأضاف كذلك أن أربع سفن تحمل ما يعادل نصف شهر من واردات الوقود التجارية تم منعها من دخول من قبل الحكومة اليمنية بموجب المرسوم 75. </w:t>
      </w:r>
      <w:r w:rsidRPr="00B75018">
        <w:rPr>
          <w:rFonts w:ascii="Traditional Arabic" w:hAnsi="Traditional Arabic" w:cs="Traditional Arabic"/>
          <w:sz w:val="30"/>
          <w:szCs w:val="30"/>
          <w:vertAlign w:val="superscript"/>
          <w:rtl/>
          <w:lang w:val="en-US"/>
        </w:rPr>
        <w:footnoteReference w:id="1294"/>
      </w:r>
    </w:p>
    <w:p w14:paraId="50FD8B9E" w14:textId="648DF2ED" w:rsidR="00B75018" w:rsidRDefault="00B75018" w:rsidP="00B7501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B75018">
        <w:rPr>
          <w:rFonts w:ascii="Traditional Arabic" w:hAnsi="Traditional Arabic" w:cs="Traditional Arabic"/>
          <w:sz w:val="30"/>
          <w:szCs w:val="30"/>
          <w:rtl/>
          <w:lang w:val="en-US"/>
        </w:rPr>
        <w:t xml:space="preserve">كما هو موضح في هذا الفصل، ساهمت عدة تدابير اتخذتها السلطات في الأزمة الاقتصادية والإنسانية. "هذه أزمة من صنع الإنسان. العديد من العوامل الاقتصادية واللوجستية المقيدة لا تحركها الطبيعة العنيفة للحرب بل القرارات السياسية التي تتخذها أطراف النزاع . </w:t>
      </w:r>
      <w:r w:rsidRPr="00B75018">
        <w:rPr>
          <w:rFonts w:ascii="Traditional Arabic" w:hAnsi="Traditional Arabic" w:cs="Traditional Arabic"/>
          <w:sz w:val="30"/>
          <w:szCs w:val="30"/>
          <w:vertAlign w:val="superscript"/>
          <w:rtl/>
          <w:lang w:val="en-US"/>
        </w:rPr>
        <w:footnoteReference w:id="1295"/>
      </w:r>
      <w:r w:rsidRPr="00B75018">
        <w:rPr>
          <w:rFonts w:ascii="Traditional Arabic" w:hAnsi="Traditional Arabic" w:cs="Traditional Arabic"/>
          <w:sz w:val="30"/>
          <w:szCs w:val="30"/>
          <w:rtl/>
          <w:lang w:val="en-US"/>
        </w:rPr>
        <w:t xml:space="preserve">"يشعر الفريق بالقلق من فشل كل من حكومة اليمن وسلطات الامر الواقع للوفاء بالتزاماتها في مجال حقوق الإنسان، لا </w:t>
      </w:r>
      <w:r w:rsidRPr="00B75018">
        <w:rPr>
          <w:rFonts w:ascii="Traditional Arabic" w:hAnsi="Traditional Arabic" w:cs="Traditional Arabic"/>
          <w:sz w:val="30"/>
          <w:szCs w:val="30"/>
          <w:rtl/>
          <w:lang w:val="en-US"/>
        </w:rPr>
        <w:lastRenderedPageBreak/>
        <w:t>سيما فيما يتعلق بالحق في العمل، والحق في مستوى معيشة لائق، بما في ذلك الحق في الغذاء، والحق في الماء، والحق في الصحة.</w:t>
      </w:r>
    </w:p>
    <w:p w14:paraId="0FFA1456" w14:textId="10B1B85F" w:rsidR="00B75018" w:rsidRDefault="00B75018" w:rsidP="00B75018">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B75018">
        <w:rPr>
          <w:rFonts w:ascii="Traditional Arabic" w:hAnsi="Traditional Arabic" w:cs="Traditional Arabic"/>
          <w:b/>
          <w:bCs/>
          <w:sz w:val="30"/>
          <w:szCs w:val="30"/>
          <w:rtl/>
          <w:lang w:val="en-US"/>
        </w:rPr>
        <w:t>أ) الاستنتاجات القانونية</w:t>
      </w:r>
    </w:p>
    <w:p w14:paraId="1A2F7B6F" w14:textId="2A06FF08" w:rsidR="00B75018" w:rsidRPr="00B75018" w:rsidRDefault="00B75018" w:rsidP="00B75018">
      <w:pPr>
        <w:bidi/>
        <w:spacing w:after="240" w:line="240" w:lineRule="auto"/>
        <w:ind w:left="1276" w:right="851"/>
        <w:jc w:val="both"/>
        <w:rPr>
          <w:rFonts w:ascii="Traditional Arabic" w:hAnsi="Traditional Arabic" w:cs="Traditional Arabic"/>
          <w:sz w:val="30"/>
          <w:szCs w:val="30"/>
          <w:lang w:val="en-US"/>
        </w:rPr>
      </w:pPr>
      <w:r w:rsidRPr="00B75018">
        <w:rPr>
          <w:rFonts w:ascii="Traditional Arabic" w:hAnsi="Traditional Arabic" w:cs="Traditional Arabic"/>
          <w:i/>
          <w:iCs/>
          <w:sz w:val="30"/>
          <w:szCs w:val="30"/>
          <w:rtl/>
          <w:lang w:val="en-US"/>
        </w:rPr>
        <w:t>الحق في العمل</w:t>
      </w:r>
    </w:p>
    <w:p w14:paraId="234E4E6F" w14:textId="7FC39BF4" w:rsidR="00B75018" w:rsidRDefault="001758BF" w:rsidP="001758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 xml:space="preserve">تضمنت المادة 6 من العهد الدولي الخاص بالحقوق الاقتصادية والاجتماعية والثقافية حق العمل، أي حق كل فرد في فرصة لكسب رزقه من خلال العمل الذي يتم اختياره أو قبوله بحرية ، بينما تضمنت المادة 7 شروط عمل مواتية. وتشمل هذه الدفعات التي توفر أجور عادلة لجميع العمال، فضلا عن العيش الكريم للعمال وأسرهم. لا يتم تحديد "العيش الكريم" من خلال العمل الذي يؤديه عامل فردي، كما هو الحال بالنسبة للأجور. إن العوامل المحددة لـ "العيش الكريم" هي التكاليف الخارجية مثل تكاليف المعيشة وغيرها من الظروف الاقتصادية والاجتماعية السائدة، بحيث يمكن للعمال وأسرهم التمتع الكامل بحقوقهم المنصوص عليها في العهد الدولي الخاص بالحقوق الاقتصادية والاجتماعية والثقافية.  </w:t>
      </w:r>
      <w:r w:rsidRPr="001758BF">
        <w:rPr>
          <w:rFonts w:ascii="Traditional Arabic" w:hAnsi="Traditional Arabic" w:cs="Traditional Arabic"/>
          <w:sz w:val="30"/>
          <w:szCs w:val="30"/>
          <w:vertAlign w:val="superscript"/>
          <w:rtl/>
          <w:lang w:val="en-US"/>
        </w:rPr>
        <w:footnoteReference w:id="1296"/>
      </w:r>
    </w:p>
    <w:p w14:paraId="2DA48013" w14:textId="60329181" w:rsidR="00B75018" w:rsidRDefault="001758BF" w:rsidP="001758BF">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إن عدم دفع رواتب موظفي الخدمة المدنية الذين يعيشون في مناطق خاضعة لسيطرة سلطات الأمر الواقع هو انتهاك مباشر للحق في العمل وكسب أجر عادل. تنتهك كل من الحكومة اليمنية وسلطات الأمر الواقع التزاماتها في مجال حقوق الإنسان في هذا الصدد، لأنها لا تتخذ جميع الخطوات اللازمة لتخفيف عواقب انتقال البنك المركزي من صنعاء إلى عدن. علاوة على ذلك، اتخذت الحكومة اليمنية، التحالف وسلطات الأمر الواقع ، جميعها اجراءات - كما هو موضح في هذا الفصل - أدت إلى تفاقم الأزمة الاقتصادية في اليمن، ولا سيما التي ساهمت في انخفاض العملة اليمنية. لقد ساهموا جميعًا في حرمان قطاعات كبيرة من السكان في اليمن من العيش الكريم.</w:t>
      </w:r>
    </w:p>
    <w:p w14:paraId="770C0518" w14:textId="06AEBB65" w:rsidR="009C5E1C" w:rsidRPr="001758BF" w:rsidRDefault="001758BF" w:rsidP="001758BF">
      <w:pPr>
        <w:bidi/>
        <w:spacing w:after="240" w:line="240" w:lineRule="auto"/>
        <w:ind w:left="1276" w:right="851"/>
        <w:jc w:val="both"/>
        <w:rPr>
          <w:rFonts w:ascii="Traditional Arabic" w:hAnsi="Traditional Arabic" w:cs="Traditional Arabic"/>
          <w:sz w:val="30"/>
          <w:szCs w:val="30"/>
          <w:lang w:val="en-US"/>
        </w:rPr>
      </w:pPr>
      <w:r w:rsidRPr="001758BF">
        <w:rPr>
          <w:rFonts w:ascii="Traditional Arabic" w:hAnsi="Traditional Arabic" w:cs="Traditional Arabic"/>
          <w:i/>
          <w:iCs/>
          <w:sz w:val="30"/>
          <w:szCs w:val="30"/>
          <w:rtl/>
          <w:lang w:val="en-US"/>
        </w:rPr>
        <w:t>الحق في الغذاء</w:t>
      </w:r>
    </w:p>
    <w:p w14:paraId="5E8F58D2" w14:textId="3F4DB68C" w:rsidR="009C5E1C" w:rsidRPr="00D465FC" w:rsidRDefault="001758BF" w:rsidP="005D77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1758BF">
        <w:rPr>
          <w:rFonts w:ascii="Traditional Arabic" w:hAnsi="Traditional Arabic" w:cs="Traditional Arabic"/>
          <w:sz w:val="30"/>
          <w:szCs w:val="30"/>
          <w:rtl/>
          <w:lang w:val="en-US"/>
        </w:rPr>
        <w:t>الحق في الغذاء مكفول بموجب المادة 11 من العهد الدولي الخاص بالحقوق الاقتصادية والاجتماعية والثقافية كجزء من حق كل فرد في مستوى معيشي لائق. ترى لجنة الحقوق الاقتصادية والاجتماعية والثقافية أن المحتوى الأساسي للحق في الغذاء الكافي يعني توافر الغذاء وإمكانية الوصول إليه، أي "توافر الغذاء بكمية ونوعية تكفيان لتلبية الاحتياجات الغذائية للأفراد، وخالية من  آثار المواد الضارة ، ومقبولة ضمن ثقافة معينة؛ وإمكانية الوصول إلى هذا الطعام بطرق مستدامة ولا تتعارض مع التمتع بحقوق الإنسان الأخرى</w:t>
      </w:r>
      <w:r w:rsidRPr="001758BF">
        <w:rPr>
          <w:rFonts w:ascii="Traditional Arabic" w:hAnsi="Traditional Arabic" w:cs="Traditional Arabic"/>
          <w:sz w:val="30"/>
          <w:szCs w:val="30"/>
          <w:vertAlign w:val="superscript"/>
          <w:rtl/>
          <w:lang w:val="en-US"/>
        </w:rPr>
        <w:footnoteReference w:id="1297"/>
      </w:r>
      <w:r w:rsidRPr="001758BF">
        <w:rPr>
          <w:rFonts w:ascii="Traditional Arabic" w:hAnsi="Traditional Arabic" w:cs="Traditional Arabic"/>
          <w:sz w:val="30"/>
          <w:szCs w:val="30"/>
          <w:rtl/>
          <w:lang w:val="en-US"/>
        </w:rPr>
        <w:t xml:space="preserve">". ويوضح كذلك أن "التوافر يشير إلى الإمكانيات إما للتغذية مباشرة من الأراضي المنتجة أو من الموارد الطبيعية الأخرى، أو لنظم التوزيع والتجهيز والسوق التي تعمل بشكل جيد والتي يمكن أن تنقل الأغذية من موقع الإنتاج إلى حيث تكون هناك حاجة إليها وفقًا مع </w:t>
      </w:r>
      <w:r w:rsidRPr="001758BF">
        <w:rPr>
          <w:rFonts w:ascii="Traditional Arabic" w:hAnsi="Traditional Arabic" w:cs="Traditional Arabic"/>
          <w:sz w:val="30"/>
          <w:szCs w:val="30"/>
          <w:rtl/>
          <w:lang w:val="en-US"/>
        </w:rPr>
        <w:lastRenderedPageBreak/>
        <w:t>الطلب"</w:t>
      </w:r>
      <w:r w:rsidRPr="001758BF">
        <w:rPr>
          <w:rFonts w:ascii="Traditional Arabic" w:hAnsi="Traditional Arabic" w:cs="Traditional Arabic"/>
          <w:sz w:val="30"/>
          <w:szCs w:val="30"/>
          <w:vertAlign w:val="superscript"/>
          <w:lang w:val="en-GB"/>
        </w:rPr>
        <w:footnoteReference w:id="1298"/>
      </w:r>
      <w:r w:rsidRPr="001758BF">
        <w:rPr>
          <w:rFonts w:ascii="Traditional Arabic" w:hAnsi="Traditional Arabic" w:cs="Traditional Arabic"/>
          <w:sz w:val="30"/>
          <w:szCs w:val="30"/>
          <w:rtl/>
          <w:lang w:val="en-US"/>
        </w:rPr>
        <w:t>، في حين أن إمكانية الوصول تشمل كلاً من إمكانية الوصول الاقتصادي والمادي.</w:t>
      </w:r>
      <w:r w:rsidRPr="001758BF">
        <w:rPr>
          <w:rFonts w:ascii="Traditional Arabic" w:hAnsi="Traditional Arabic" w:cs="Traditional Arabic"/>
          <w:sz w:val="30"/>
          <w:szCs w:val="30"/>
          <w:lang w:val="en-GB"/>
        </w:rPr>
        <w:t xml:space="preserve"> </w:t>
      </w:r>
      <w:r w:rsidRPr="001758BF">
        <w:rPr>
          <w:rFonts w:ascii="Traditional Arabic" w:hAnsi="Traditional Arabic" w:cs="Traditional Arabic"/>
          <w:sz w:val="30"/>
          <w:szCs w:val="30"/>
          <w:vertAlign w:val="superscript"/>
          <w:lang w:val="en-GB"/>
        </w:rPr>
        <w:footnoteReference w:id="1299"/>
      </w:r>
      <w:r w:rsidRPr="001758BF">
        <w:rPr>
          <w:rFonts w:ascii="Traditional Arabic" w:hAnsi="Traditional Arabic" w:cs="Traditional Arabic"/>
          <w:sz w:val="30"/>
          <w:szCs w:val="30"/>
          <w:rtl/>
          <w:lang w:val="en-US"/>
        </w:rPr>
        <w:t xml:space="preserve"> الحق في الغذاء الكافي قد يتحقق تدريجيا. ومع ذلك، يقع على عاتق الدول التزام باتخاذ الإجراءات اللازمة للتخفيف من حدة الجوع وتخفيفه على النحو المنصوص عليه في المادة 11، الفقرة 2، حتى في أوقات الكوارث الطبيعية أو غيرها من الكوارث.</w:t>
      </w:r>
      <w:r w:rsidRPr="001758BF">
        <w:rPr>
          <w:rFonts w:ascii="Traditional Arabic" w:hAnsi="Traditional Arabic" w:cs="Traditional Arabic"/>
          <w:sz w:val="30"/>
          <w:szCs w:val="30"/>
          <w:vertAlign w:val="superscript"/>
          <w:lang w:val="en-GB"/>
        </w:rPr>
        <w:t xml:space="preserve"> </w:t>
      </w:r>
      <w:r w:rsidRPr="001758BF">
        <w:rPr>
          <w:rFonts w:ascii="Traditional Arabic" w:hAnsi="Traditional Arabic" w:cs="Traditional Arabic"/>
          <w:sz w:val="30"/>
          <w:szCs w:val="30"/>
          <w:vertAlign w:val="superscript"/>
          <w:lang w:val="en-GB"/>
        </w:rPr>
        <w:footnoteReference w:id="1300"/>
      </w:r>
    </w:p>
    <w:p w14:paraId="71ED7741" w14:textId="7D76E5BB" w:rsidR="00D465FC" w:rsidRPr="00D465FC"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تنتهك المادة 11 "عندما تفشل الدولة في ضمان، على الأقل، الحد الأدنى من المستوى الأساسي المطلوب للتحرر من الجوع".</w:t>
      </w:r>
      <w:r w:rsidRPr="0033270E">
        <w:rPr>
          <w:rFonts w:ascii="Traditional Arabic" w:hAnsi="Traditional Arabic" w:cs="Traditional Arabic"/>
          <w:sz w:val="30"/>
          <w:szCs w:val="30"/>
          <w:vertAlign w:val="superscript"/>
          <w:lang w:val="en-GB"/>
        </w:rPr>
        <w:footnoteReference w:id="1301"/>
      </w:r>
      <w:r w:rsidRPr="0033270E">
        <w:rPr>
          <w:rFonts w:ascii="Traditional Arabic" w:hAnsi="Traditional Arabic" w:cs="Traditional Arabic"/>
          <w:sz w:val="30"/>
          <w:szCs w:val="30"/>
          <w:rtl/>
          <w:lang w:val="en-US"/>
        </w:rPr>
        <w:t xml:space="preserve"> إذا زعمت الدولة أنها غير قادرة على الوفاء بهذا الالتزام لأسباب خارجة عن إرادتها، فيجب إثبات أن هذا هو الحال، وكذلك "سعت دون جدوى للحصول على دعم دولي لضمان توافر وإمكانية الوصول إلى الغذاء اللازم.</w:t>
      </w:r>
      <w:r w:rsidRPr="0033270E">
        <w:rPr>
          <w:rFonts w:ascii="Traditional Arabic" w:hAnsi="Traditional Arabic" w:cs="Traditional Arabic"/>
          <w:sz w:val="30"/>
          <w:szCs w:val="30"/>
          <w:lang w:val="en-GB"/>
        </w:rPr>
        <w:t xml:space="preserve"> </w:t>
      </w:r>
      <w:r w:rsidRPr="0033270E">
        <w:rPr>
          <w:rFonts w:ascii="Traditional Arabic" w:hAnsi="Traditional Arabic" w:cs="Traditional Arabic"/>
          <w:sz w:val="30"/>
          <w:szCs w:val="30"/>
          <w:vertAlign w:val="superscript"/>
          <w:lang w:val="en-GB"/>
        </w:rPr>
        <w:footnoteReference w:id="1302"/>
      </w:r>
      <w:r w:rsidRPr="0033270E">
        <w:rPr>
          <w:rFonts w:ascii="Traditional Arabic" w:hAnsi="Traditional Arabic" w:cs="Traditional Arabic"/>
          <w:sz w:val="30"/>
          <w:szCs w:val="30"/>
          <w:rtl/>
          <w:lang w:val="en-US"/>
        </w:rPr>
        <w:t xml:space="preserve"> "على سبيل المثال، يمكن أن يمثل منع ايصال المساعدات الغذائية الإنسانية في نزاع غير دولي انتهاكًا للحق في الغذاء. يجب على الدول الأخرى "الامتناع في جميع الأوقات عن حظر المواد الغذائية أو التدابير المماثلة التي تهدد ظروف إنتاج الغذاء والحصول على الغذاء في البلدان الأخرى. لا ينبغي أبدًا استخدام الغذاء كأداة للضغط السياسي والاقتصادي."</w:t>
      </w:r>
      <w:r w:rsidRPr="0033270E">
        <w:rPr>
          <w:rFonts w:ascii="Traditional Arabic" w:hAnsi="Traditional Arabic" w:cs="Traditional Arabic"/>
          <w:sz w:val="30"/>
          <w:szCs w:val="30"/>
          <w:vertAlign w:val="superscript"/>
          <w:lang w:val="en-GB"/>
        </w:rPr>
        <w:footnoteReference w:id="1303"/>
      </w:r>
    </w:p>
    <w:p w14:paraId="774E4A15" w14:textId="49763F7F" w:rsidR="00D465FC" w:rsidRPr="00D465FC"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بناءً على ما تقدم، لدى فريق الخبراء أسباب معقولة للاعتقاد بأن جميع أطراف النزاع تنتهك الحق في الغذاء. في ضوء انعدام الأمن الغذائي المتفشي، فشلت الحكومة اليمنية في احترام وحماية وإعمال الحق في الغذاء، بالتنسيق مع التحالف لمنع الواردات بشكل ناشط، وإعاقة إيصال الإغاثة الإنسانية فوراً، ومن خلال جميع التدابير الأخرى التي تفاقم الأزمة الاقتصادية والإنسانية. ويشمل ذلك التدابير المتخذة في نطاق سير الأعمال العدائية، مثل الحصار كاسلوب من اسالب القتال والأضرار التي لحقت بالمواد الأساسية لبقاء السكان. التحالف، في فرض الحصار والقيود ذات الصلة على الواردات، وكذلك من خلال تدمير الاعيان الضرورية لضمان الإنتاج الغذائي الأساسي، ينتهك أيضا حق سكان اليمن في الغذاء، في انتهاك للقانون الدولي لحقوق الإنسان. وأخيراً، تنتهك سلطات الأمر الواقع التزاماتها فيما يتعلق بالحق في الغذاء، وفي إعاقة إيصال المساعدات الإنسانية، ومن خلال جميع التدابير الأخرى المتخذة التي تؤدي إلى تفاقم الأزمة الاقتصادية والإنسانية، بما في ذلك تدمير الأراضي الزراعية ومرافق إنتاج الأغذية.</w:t>
      </w:r>
    </w:p>
    <w:p w14:paraId="42038599" w14:textId="689CC3EE" w:rsidR="00D465FC" w:rsidRPr="0033270E" w:rsidRDefault="0033270E" w:rsidP="005D7788">
      <w:pPr>
        <w:bidi/>
        <w:spacing w:after="240" w:line="240" w:lineRule="auto"/>
        <w:ind w:left="1417" w:right="851"/>
        <w:jc w:val="both"/>
        <w:rPr>
          <w:rFonts w:ascii="Traditional Arabic" w:hAnsi="Traditional Arabic" w:cs="Traditional Arabic"/>
          <w:sz w:val="30"/>
          <w:szCs w:val="30"/>
          <w:lang w:val="en-US"/>
        </w:rPr>
      </w:pPr>
      <w:r w:rsidRPr="0033270E">
        <w:rPr>
          <w:rFonts w:ascii="Traditional Arabic" w:hAnsi="Traditional Arabic" w:cs="Traditional Arabic"/>
          <w:i/>
          <w:iCs/>
          <w:sz w:val="30"/>
          <w:szCs w:val="30"/>
          <w:rtl/>
          <w:lang w:val="en-US"/>
        </w:rPr>
        <w:t>الحق في الماء</w:t>
      </w:r>
    </w:p>
    <w:p w14:paraId="424C44D8" w14:textId="5F078991" w:rsidR="00D465FC" w:rsidRPr="00A64175" w:rsidRDefault="0033270E"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يعتبر الحق في الماء مشمولاً بالمادة 11 من العهد الدولي الخاص بالحقوق الاقتصادية والاجتماعية والثقافية، لأنه ضروري لضمان مستوى معيشي لائق.</w:t>
      </w:r>
      <w:r w:rsidRPr="0033270E">
        <w:rPr>
          <w:rFonts w:ascii="Traditional Arabic" w:hAnsi="Traditional Arabic" w:cs="Traditional Arabic"/>
          <w:sz w:val="30"/>
          <w:szCs w:val="30"/>
          <w:vertAlign w:val="superscript"/>
          <w:lang w:val="en-GB"/>
        </w:rPr>
        <w:footnoteReference w:id="1304"/>
      </w:r>
      <w:r w:rsidRPr="0033270E">
        <w:rPr>
          <w:rFonts w:ascii="Traditional Arabic" w:hAnsi="Traditional Arabic" w:cs="Traditional Arabic"/>
          <w:sz w:val="30"/>
          <w:szCs w:val="30"/>
          <w:rtl/>
          <w:lang w:val="en-US"/>
        </w:rPr>
        <w:t xml:space="preserve"> وفقًا للجنة الحقوق الاقتصادية والاجتماعية والثقافية، فإن حق الإنسان في المياه "يمنح الجميع الحصول على مياه كافية وآمنة ومقبولة ومتاحة فعليًا وبأسعار معقولة </w:t>
      </w:r>
      <w:r w:rsidRPr="0033270E">
        <w:rPr>
          <w:rFonts w:ascii="Traditional Arabic" w:hAnsi="Traditional Arabic" w:cs="Traditional Arabic"/>
          <w:sz w:val="30"/>
          <w:szCs w:val="30"/>
          <w:rtl/>
          <w:lang w:val="en-US"/>
        </w:rPr>
        <w:lastRenderedPageBreak/>
        <w:t>للاستخدام الشخصي والمنزلي.</w:t>
      </w:r>
      <w:r w:rsidRPr="0033270E">
        <w:rPr>
          <w:rFonts w:ascii="Traditional Arabic" w:hAnsi="Traditional Arabic" w:cs="Traditional Arabic"/>
          <w:sz w:val="30"/>
          <w:szCs w:val="30"/>
          <w:vertAlign w:val="superscript"/>
          <w:lang w:val="en-GB"/>
        </w:rPr>
        <w:t xml:space="preserve"> </w:t>
      </w:r>
      <w:r w:rsidRPr="0033270E">
        <w:rPr>
          <w:rFonts w:ascii="Traditional Arabic" w:hAnsi="Traditional Arabic" w:cs="Traditional Arabic"/>
          <w:sz w:val="30"/>
          <w:szCs w:val="30"/>
          <w:vertAlign w:val="superscript"/>
          <w:lang w:val="en-GB"/>
        </w:rPr>
        <w:footnoteReference w:id="1305"/>
      </w:r>
      <w:r w:rsidRPr="0033270E">
        <w:rPr>
          <w:rFonts w:ascii="Traditional Arabic" w:hAnsi="Traditional Arabic" w:cs="Traditional Arabic"/>
          <w:sz w:val="30"/>
          <w:szCs w:val="30"/>
          <w:rtl/>
          <w:lang w:val="en-US"/>
        </w:rPr>
        <w:t>" كمية كافية من المياه الصالحة للشرب ضرورية لمنع الموت بسبب الجفاف، للحد من مخاطر الأمراض ذات الصلة بالمياه ولتوفير متطلبات النظافة الشخصية والمنزلية للاستهلاك والطبخ.</w:t>
      </w:r>
      <w:r w:rsidRPr="0033270E">
        <w:rPr>
          <w:rFonts w:ascii="Traditional Arabic" w:hAnsi="Traditional Arabic" w:cs="Traditional Arabic"/>
          <w:sz w:val="30"/>
          <w:szCs w:val="30"/>
          <w:vertAlign w:val="superscript"/>
          <w:lang w:val="en-GB"/>
        </w:rPr>
        <w:t xml:space="preserve"> </w:t>
      </w:r>
      <w:r w:rsidRPr="0033270E">
        <w:rPr>
          <w:rFonts w:ascii="Traditional Arabic" w:hAnsi="Traditional Arabic" w:cs="Traditional Arabic"/>
          <w:sz w:val="30"/>
          <w:szCs w:val="30"/>
          <w:vertAlign w:val="superscript"/>
          <w:lang w:val="en-GB"/>
        </w:rPr>
        <w:footnoteReference w:id="1306"/>
      </w:r>
    </w:p>
    <w:p w14:paraId="714675E8" w14:textId="0DDA61EC" w:rsidR="00A64175" w:rsidRPr="0033270E" w:rsidRDefault="00A64175"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في أعقاب تفكير مشابه للحق في الغذاء ، لدى فريق الخبراء أسباب معقولة للاعتقاد بأن الحق في الماء قد انتهك بالمثل من جانب أطراف النزاع. هذا صحيح بشكل خاص فيما يتعلق بالتدابير التي أدت إلى تدمير أو إتلاف مرافق المياه، وغيرها من التدابير التي تحد من الوصول إلى المياه النظيفة للشرب والري، بما في ذلك تلك التي تحد من الوصول إلى الوقود اللازم لمضخات المياه. كما يتضح من تفشي وباء الكوليرا، الذي يقال إنه مرتبط بنقص الوصول إلى المياه النظيفة للشرب والري، فإن الحق في الماء والحق في الغذاء مرتبطان بشكل وثيق بالحق في الصحة.</w:t>
      </w:r>
    </w:p>
    <w:p w14:paraId="23FEDE13" w14:textId="25972394" w:rsidR="0033270E" w:rsidRPr="0033270E" w:rsidRDefault="0033270E" w:rsidP="0033270E">
      <w:pPr>
        <w:bidi/>
        <w:spacing w:after="240" w:line="240" w:lineRule="auto"/>
        <w:ind w:left="1417" w:right="851"/>
        <w:jc w:val="both"/>
        <w:rPr>
          <w:rFonts w:ascii="Traditional Arabic" w:hAnsi="Traditional Arabic" w:cs="Traditional Arabic"/>
          <w:sz w:val="30"/>
          <w:szCs w:val="30"/>
          <w:lang w:val="en-US"/>
        </w:rPr>
      </w:pPr>
      <w:r w:rsidRPr="0033270E">
        <w:rPr>
          <w:rFonts w:ascii="Traditional Arabic" w:hAnsi="Traditional Arabic" w:cs="Traditional Arabic"/>
          <w:i/>
          <w:iCs/>
          <w:sz w:val="30"/>
          <w:szCs w:val="30"/>
          <w:rtl/>
          <w:lang w:val="en-US"/>
        </w:rPr>
        <w:t>الحق في الصحة</w:t>
      </w:r>
    </w:p>
    <w:p w14:paraId="49A3FCC0" w14:textId="7799B622" w:rsidR="0033270E" w:rsidRDefault="0033270E" w:rsidP="0033270E">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33270E">
        <w:rPr>
          <w:rFonts w:ascii="Traditional Arabic" w:hAnsi="Traditional Arabic" w:cs="Traditional Arabic"/>
          <w:sz w:val="30"/>
          <w:szCs w:val="30"/>
          <w:rtl/>
          <w:lang w:val="en-US"/>
        </w:rPr>
        <w:t>يرتبط الحق في الصحة ارتباطًا وثيقًا بكل من الحق في الغذاء والحق في الماء، فضلاً عن الحقوق الاقتصادية، على سبيل المثال الحق في العمل. لكي يكون الفرد قادرًا على إعمال الحق في الصحة، سيحتاج المرء إلى تغذية كافية (الحق في الغذاء)، الترطيب (الحق في الماء)، والدخل الكافي (الحقوق الاقتصادية) لتحمل هذا الغذاء والماء ومستوى أساسي من الرعاية الصحية. بينما ترتبط المادة 12 من العهد الدولي الخاص بالحقوق الاقتصادية والاجتماعية والثقافية بوضوح بحقوق الإنسان الأخرى التي تم بحثها أعلاه، فإنها تحدد صراحةً حقًا مميزًا في الصحة وتحدد الخطوات التي ينبغي على الدول اتخاذها لتحقيق تقدم تدريجي، إلى أقصى حد من الموارد المتاحة، بأعلى مستوى يمكن بلوغه من الصحة، بما في ذلك الأمهات والأطفال صحة الطفل النظافة البيئية؛ الوقاية والعلاج والسيطرة على المرض؛ والخدمات الطبية والاهتمام للجميع.</w:t>
      </w:r>
    </w:p>
    <w:p w14:paraId="5EED29AA" w14:textId="52ACF84D" w:rsidR="00A64175"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لدى فريق الخبراء أسباب معقولة للاعتقاد بأن كل من الحكومة اليمنية وسلطات الأمر الواقع قد انتهكت الحق في الصحة لفشلها في ضمان الخدمات الأساسية، فضلاً عن تنفيذ برامج مكافحة الأمراض، مما جعل السكان عرضة للمخاطر وللأمراض التي يمكن الوقاية منها. من المحتمل أن يؤثر عدم دفع رواتب العاملين الصحيين في المناطق الخاضعة لسيطرة سلطات الأمر الواقع على إعمال الحق في الصحة. أخيرًا، انتهكت جميع أطراف النزاع الحق في الصحة خلال العمليات العسكرية، أي من خلال تدمير مرافق الرعاية الصحية أو إتلافها واستخدامها لأغراض عسكرية.</w:t>
      </w:r>
    </w:p>
    <w:p w14:paraId="5BCA919A" w14:textId="269256DA" w:rsidR="008362AB" w:rsidRDefault="008362AB" w:rsidP="008362AB">
      <w:pPr>
        <w:pStyle w:val="ListParagraph"/>
        <w:bidi/>
        <w:spacing w:after="240" w:line="240" w:lineRule="auto"/>
        <w:ind w:left="1134" w:right="851"/>
        <w:contextualSpacing w:val="0"/>
        <w:jc w:val="both"/>
        <w:rPr>
          <w:rFonts w:ascii="Traditional Arabic" w:hAnsi="Traditional Arabic" w:cs="Traditional Arabic"/>
          <w:sz w:val="30"/>
          <w:szCs w:val="30"/>
          <w:lang w:val="en-US"/>
        </w:rPr>
      </w:pPr>
      <w:r w:rsidRPr="008362AB">
        <w:rPr>
          <w:rFonts w:ascii="Traditional Arabic" w:hAnsi="Traditional Arabic" w:cs="Traditional Arabic"/>
          <w:i/>
          <w:iCs/>
          <w:sz w:val="30"/>
          <w:szCs w:val="30"/>
          <w:rtl/>
          <w:lang w:val="en-US"/>
        </w:rPr>
        <w:t>كارثة بيئية تلوح في الأفق: ناقلة تخزين وتفريغ النفط العائمة  (</w:t>
      </w:r>
      <w:r w:rsidRPr="008362AB">
        <w:rPr>
          <w:rFonts w:ascii="Traditional Arabic" w:hAnsi="Traditional Arabic" w:cs="Traditional Arabic"/>
          <w:i/>
          <w:iCs/>
          <w:sz w:val="30"/>
          <w:szCs w:val="30"/>
          <w:lang w:val="en-US"/>
        </w:rPr>
        <w:t>FSO</w:t>
      </w:r>
      <w:r w:rsidRPr="008362AB">
        <w:rPr>
          <w:rFonts w:ascii="Traditional Arabic" w:hAnsi="Traditional Arabic" w:cs="Traditional Arabic"/>
          <w:i/>
          <w:iCs/>
          <w:sz w:val="30"/>
          <w:szCs w:val="30"/>
          <w:rtl/>
          <w:lang w:val="en-US"/>
        </w:rPr>
        <w:t>)  - رأس عيسى</w:t>
      </w:r>
    </w:p>
    <w:p w14:paraId="5860C6A7" w14:textId="3A9699B3" w:rsidR="00C20C17" w:rsidRDefault="008362AB" w:rsidP="005F7A88">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lastRenderedPageBreak/>
        <w:t xml:space="preserve">أصدر منسق الإغاثة في حالات الطوارئ تحذيرات متكررة بشأن خطر "كارثة بيئية" تطرحها ناقلة النفط </w:t>
      </w:r>
      <w:r w:rsidRPr="008362AB">
        <w:rPr>
          <w:rFonts w:ascii="Traditional Arabic" w:hAnsi="Traditional Arabic" w:cs="Traditional Arabic"/>
          <w:sz w:val="30"/>
          <w:szCs w:val="30"/>
          <w:lang w:val="en-US"/>
        </w:rPr>
        <w:t>FSO</w:t>
      </w:r>
      <w:r w:rsidRPr="008362AB">
        <w:rPr>
          <w:rFonts w:ascii="Traditional Arabic" w:hAnsi="Traditional Arabic" w:cs="Traditional Arabic"/>
          <w:sz w:val="30"/>
          <w:szCs w:val="30"/>
          <w:rtl/>
          <w:lang w:val="en-US"/>
        </w:rPr>
        <w:t xml:space="preserve">، وهي منشأة عائمة للتخزين والتفريغ على بعد ثمانية كيلومترات قبالة ساحل ميناء رأس عيسى في البحر الأحمر. هذا المرفق ، الذي يحتوي على 1.1 مليون برميل من النفط، لم يتم صيانته منذ عام 2015. وفقًا للخبراء، فإن التسرب من </w:t>
      </w:r>
      <w:r w:rsidRPr="008362AB">
        <w:rPr>
          <w:rFonts w:ascii="Traditional Arabic" w:hAnsi="Traditional Arabic" w:cs="Traditional Arabic"/>
          <w:sz w:val="30"/>
          <w:szCs w:val="30"/>
          <w:lang w:val="en-US"/>
        </w:rPr>
        <w:t>FSO Safer</w:t>
      </w:r>
      <w:r w:rsidRPr="008362AB">
        <w:rPr>
          <w:rFonts w:ascii="Traditional Arabic" w:hAnsi="Traditional Arabic" w:cs="Traditional Arabic"/>
          <w:sz w:val="30"/>
          <w:szCs w:val="30"/>
          <w:rtl/>
          <w:lang w:val="en-US"/>
        </w:rPr>
        <w:t xml:space="preserve"> سيتضمن أكثر من أربعة أضعاف كمية النفط التي تم إطلاقها في تسرب نفط إكسون فالديز عام 1989.</w:t>
      </w:r>
      <w:r w:rsidRPr="008362AB">
        <w:rPr>
          <w:rFonts w:ascii="Traditional Arabic" w:hAnsi="Traditional Arabic" w:cs="Traditional Arabic"/>
          <w:sz w:val="30"/>
          <w:szCs w:val="30"/>
          <w:vertAlign w:val="superscript"/>
          <w:lang w:val="en-GB"/>
        </w:rPr>
        <w:t xml:space="preserve"> </w:t>
      </w:r>
      <w:r w:rsidRPr="008362AB">
        <w:rPr>
          <w:rFonts w:ascii="Traditional Arabic" w:hAnsi="Traditional Arabic" w:cs="Traditional Arabic"/>
          <w:sz w:val="30"/>
          <w:szCs w:val="30"/>
          <w:vertAlign w:val="superscript"/>
          <w:lang w:val="en-GB"/>
        </w:rPr>
        <w:footnoteReference w:id="1307"/>
      </w:r>
      <w:r w:rsidRPr="008362AB">
        <w:rPr>
          <w:rFonts w:ascii="Traditional Arabic" w:hAnsi="Traditional Arabic" w:cs="Traditional Arabic"/>
          <w:sz w:val="30"/>
          <w:szCs w:val="30"/>
          <w:rtl/>
          <w:lang w:val="en-US"/>
        </w:rPr>
        <w:t xml:space="preserve"> منذ سبتمبر 2018، سعت الأمم المتحدة لإجراء تقييم للناقلة.</w:t>
      </w:r>
    </w:p>
    <w:p w14:paraId="29A332C9" w14:textId="7C89DA82" w:rsidR="008362AB" w:rsidRDefault="008362AB" w:rsidP="008362A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t>على الرغم من احتمال وقوع كارثة بيئية، لم يتم التوصل إلى اتفاق بشأن كيفية التعامل مع ناقلة النفط.  يبدو أن المشكلة الرئيسية تتوقف على ما يجب عمله بالنفط، حيث يشير الحوثيون إلى أنه يجب بيعه في الأسواق الدولية</w:t>
      </w:r>
      <w:r w:rsidRPr="008362AB">
        <w:rPr>
          <w:rFonts w:ascii="Traditional Arabic" w:hAnsi="Traditional Arabic" w:cs="Traditional Arabic"/>
          <w:sz w:val="30"/>
          <w:szCs w:val="30"/>
          <w:vertAlign w:val="superscript"/>
          <w:lang w:val="en-GB"/>
        </w:rPr>
        <w:footnoteReference w:id="1308"/>
      </w:r>
      <w:r w:rsidRPr="008362AB">
        <w:rPr>
          <w:rFonts w:ascii="Traditional Arabic" w:hAnsi="Traditional Arabic" w:cs="Traditional Arabic"/>
          <w:sz w:val="30"/>
          <w:szCs w:val="30"/>
          <w:rtl/>
          <w:lang w:val="en-US"/>
        </w:rPr>
        <w:t xml:space="preserve"> ويلوم التحالف الحوثيين لرفضهم تفريغ النفط. بينما يبدو أن كلا الطرفين يريدان أن يكون لهما رأي بشأن ما يجب فعله بالنفط</w:t>
      </w:r>
      <w:r w:rsidRPr="008362AB">
        <w:rPr>
          <w:rFonts w:ascii="Traditional Arabic" w:hAnsi="Traditional Arabic" w:cs="Traditional Arabic"/>
          <w:sz w:val="30"/>
          <w:szCs w:val="30"/>
          <w:vertAlign w:val="superscript"/>
          <w:lang w:val="en-GB"/>
        </w:rPr>
        <w:footnoteReference w:id="1309"/>
      </w:r>
      <w:r w:rsidRPr="008362AB">
        <w:rPr>
          <w:rFonts w:ascii="Traditional Arabic" w:hAnsi="Traditional Arabic" w:cs="Traditional Arabic"/>
          <w:sz w:val="30"/>
          <w:szCs w:val="30"/>
          <w:rtl/>
          <w:lang w:val="en-US"/>
        </w:rPr>
        <w:t>، يبدو أن كلاهما في وضع يسمح لهما بإلقاء اللوم على الطرف الآخر في حالة حدوث كارثة بيئية مخيفة.</w:t>
      </w:r>
    </w:p>
    <w:p w14:paraId="753269B8" w14:textId="507D31B1" w:rsidR="008362AB" w:rsidRPr="00A64175" w:rsidRDefault="008362AB" w:rsidP="008362AB">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8362AB">
        <w:rPr>
          <w:rFonts w:ascii="Traditional Arabic" w:hAnsi="Traditional Arabic" w:cs="Traditional Arabic"/>
          <w:sz w:val="30"/>
          <w:szCs w:val="30"/>
          <w:rtl/>
          <w:lang w:val="en-US"/>
        </w:rPr>
        <w:t>في منتصف حزيران / يونيه 2019، ورد أن وكيل الأمين العام للشؤون الإنسانية ومنسق الإغاثة في حالات الطوارئ، مارك لوكوك، تلقى موافقة خطية أولية من سلطات الأمر الواقع للشروع في مهمة تقنية لتقييم ناقلة النفط المتحللة. شريطة أن يستمر الحوثيون في تسهيل هذا العمل، كان ينبغي لفريق التقييم أن يبدأ عمله بحلول نهاية حزيران/ يونيو 2019.</w:t>
      </w:r>
      <w:r w:rsidRPr="008362AB">
        <w:rPr>
          <w:rFonts w:ascii="Traditional Arabic" w:hAnsi="Traditional Arabic" w:cs="Traditional Arabic"/>
          <w:sz w:val="30"/>
          <w:szCs w:val="30"/>
          <w:vertAlign w:val="superscript"/>
          <w:lang w:val="en-GB"/>
        </w:rPr>
        <w:t xml:space="preserve"> </w:t>
      </w:r>
      <w:r w:rsidRPr="008362AB">
        <w:rPr>
          <w:rFonts w:ascii="Traditional Arabic" w:hAnsi="Traditional Arabic" w:cs="Traditional Arabic"/>
          <w:sz w:val="30"/>
          <w:szCs w:val="30"/>
          <w:vertAlign w:val="superscript"/>
          <w:lang w:val="en-GB"/>
        </w:rPr>
        <w:footnoteReference w:id="1310"/>
      </w:r>
      <w:r w:rsidRPr="008362AB">
        <w:rPr>
          <w:rFonts w:ascii="Traditional Arabic" w:hAnsi="Traditional Arabic" w:cs="Traditional Arabic"/>
          <w:sz w:val="30"/>
          <w:szCs w:val="30"/>
          <w:rtl/>
          <w:lang w:val="en-US"/>
        </w:rPr>
        <w:t xml:space="preserve"> في إحاطته إلى مجلس الأمن، في 18 تموز/ يوليو 2019، أبلغ مارك لووك المجلس أن سلطات الأمر الواقع استمرت في تأخير التقييم الفني للأمم المتحدة.</w:t>
      </w:r>
      <w:r w:rsidRPr="008362AB">
        <w:rPr>
          <w:rFonts w:ascii="Traditional Arabic" w:hAnsi="Traditional Arabic" w:cs="Traditional Arabic"/>
          <w:sz w:val="30"/>
          <w:szCs w:val="30"/>
          <w:lang w:val="en-GB"/>
        </w:rPr>
        <w:t xml:space="preserve"> </w:t>
      </w:r>
      <w:r w:rsidRPr="008362AB">
        <w:rPr>
          <w:rFonts w:ascii="Traditional Arabic" w:hAnsi="Traditional Arabic" w:cs="Traditional Arabic"/>
          <w:sz w:val="30"/>
          <w:szCs w:val="30"/>
          <w:vertAlign w:val="superscript"/>
          <w:lang w:val="en-GB"/>
        </w:rPr>
        <w:footnoteReference w:id="1311"/>
      </w:r>
    </w:p>
    <w:p w14:paraId="6DE83228" w14:textId="65C05FCF" w:rsidR="00A64175" w:rsidRPr="00A64175"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سيكون تأثير تسرب النفط من الناقله على سكان اليمن وبلدان أخرى حول البحر الأحمر ذا طبيعة وأبعاد لا يمكن تخيلهما. حقيقة أنه تم منع الوصول إلى فريق التقييم هو أمر غير مفهوم. يحث فريق الخبراء كلا الجانبين على تزويد الجهات الفاعلة في الأمم المتحدة بالوصول اللازم لتقييم الوضع والقيام بأي عمل لمنع وقوع كارثة تلاحق اليمن والمنطقة لعدة أجيال.</w:t>
      </w:r>
    </w:p>
    <w:p w14:paraId="55672391" w14:textId="0922A32C" w:rsidR="00A64175" w:rsidRPr="00CD513B" w:rsidRDefault="00A64175" w:rsidP="00A64175">
      <w:pPr>
        <w:pStyle w:val="ListParagraph"/>
        <w:numPr>
          <w:ilvl w:val="0"/>
          <w:numId w:val="3"/>
        </w:numPr>
        <w:bidi/>
        <w:spacing w:after="240" w:line="240" w:lineRule="auto"/>
        <w:ind w:left="1134" w:right="851" w:firstLine="0"/>
        <w:contextualSpacing w:val="0"/>
        <w:jc w:val="both"/>
        <w:rPr>
          <w:rFonts w:ascii="Traditional Arabic" w:hAnsi="Traditional Arabic" w:cs="Traditional Arabic"/>
          <w:sz w:val="30"/>
          <w:szCs w:val="30"/>
          <w:lang w:val="en-US"/>
        </w:rPr>
      </w:pPr>
      <w:r w:rsidRPr="00A64175">
        <w:rPr>
          <w:rFonts w:ascii="Traditional Arabic" w:hAnsi="Traditional Arabic" w:cs="Traditional Arabic"/>
          <w:sz w:val="30"/>
          <w:szCs w:val="30"/>
          <w:rtl/>
          <w:lang w:val="en-US"/>
        </w:rPr>
        <w:t>في حالة وقوع كارثة بيئية، فإن عدم وجود تدابير من جانب الأطراف لمنع مثل هذا الحدث سيكون بمثابة انتهاك آخر لالتزاماتها بموجب القانون الدولي لحقوق الإنسان، بالنظر إلى أن وجود بيئة ملائمة وصحية هو شرط مسبق لتحقيق العديد من حقوق الإنسان الأخرى، لا سيما الحقوق الاقتصادية والاجتماعية والثقافية المذكورة أعلاه.</w:t>
      </w:r>
    </w:p>
    <w:p w14:paraId="10D8AAD4" w14:textId="16314F38" w:rsidR="002F7440" w:rsidRPr="00A64175" w:rsidRDefault="002F7440" w:rsidP="00E25F5D">
      <w:pPr>
        <w:pStyle w:val="Heading2"/>
        <w:bidi/>
        <w:spacing w:after="240"/>
        <w:rPr>
          <w:rFonts w:ascii="Traditional Arabic" w:eastAsiaTheme="minorHAnsi" w:hAnsi="Traditional Arabic" w:cs="Traditional Arabic"/>
          <w:b/>
          <w:bCs/>
          <w:sz w:val="30"/>
          <w:szCs w:val="30"/>
        </w:rPr>
      </w:pPr>
      <w:bookmarkStart w:id="35" w:name="_Toc18918115"/>
      <w:r w:rsidRPr="00A64175">
        <w:rPr>
          <w:rFonts w:ascii="Traditional Arabic" w:eastAsiaTheme="minorHAnsi" w:hAnsi="Traditional Arabic" w:cs="Traditional Arabic"/>
          <w:b/>
          <w:bCs/>
          <w:sz w:val="30"/>
          <w:szCs w:val="30"/>
          <w:rtl/>
        </w:rPr>
        <w:t>ب. أثر النزاع على الأقليات والمهاجرين</w:t>
      </w:r>
      <w:bookmarkEnd w:id="35"/>
    </w:p>
    <w:p w14:paraId="631E4115" w14:textId="7681FB06" w:rsidR="002F7440" w:rsidRPr="002F7440" w:rsidRDefault="002F7440" w:rsidP="005D7788">
      <w:pPr>
        <w:numPr>
          <w:ilvl w:val="0"/>
          <w:numId w:val="24"/>
        </w:numPr>
        <w:tabs>
          <w:tab w:val="right" w:pos="1142"/>
        </w:tabs>
        <w:suppressAutoHyphens w:val="0"/>
        <w:bidi/>
        <w:spacing w:after="160" w:line="240" w:lineRule="auto"/>
        <w:ind w:left="872" w:right="827" w:hanging="180"/>
        <w:contextualSpacing/>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lastRenderedPageBreak/>
        <w:t>انتهاكات حرية الدين والمعتقد</w:t>
      </w:r>
      <w:r w:rsidR="005D7788">
        <w:rPr>
          <w:rFonts w:ascii="Traditional Arabic" w:eastAsiaTheme="minorHAnsi" w:hAnsi="Traditional Arabic" w:cs="Traditional Arabic" w:hint="cs"/>
          <w:b/>
          <w:bCs/>
          <w:sz w:val="30"/>
          <w:szCs w:val="30"/>
          <w:rtl/>
        </w:rPr>
        <w:t xml:space="preserve"> بين </w:t>
      </w:r>
      <w:r w:rsidRPr="002F7440">
        <w:rPr>
          <w:rFonts w:ascii="Traditional Arabic" w:eastAsiaTheme="minorHAnsi" w:hAnsi="Traditional Arabic" w:cs="Traditional Arabic"/>
          <w:b/>
          <w:bCs/>
          <w:sz w:val="30"/>
          <w:szCs w:val="30"/>
          <w:rtl/>
        </w:rPr>
        <w:t>البهائيين</w:t>
      </w:r>
    </w:p>
    <w:p w14:paraId="1AB3BA11" w14:textId="74BDDDAD" w:rsidR="002F7440" w:rsidRPr="002F7440" w:rsidRDefault="00C90E3F" w:rsidP="00C90E3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tl/>
        </w:rPr>
      </w:pPr>
      <w:r>
        <w:rPr>
          <w:rFonts w:ascii="Traditional Arabic" w:eastAsiaTheme="minorHAnsi" w:hAnsi="Traditional Arabic" w:cs="Traditional Arabic" w:hint="cs"/>
          <w:sz w:val="30"/>
          <w:szCs w:val="30"/>
          <w:rtl/>
          <w:lang w:bidi="ar-LB"/>
        </w:rPr>
        <w:t>في ظل سيطرة</w:t>
      </w:r>
      <w:r w:rsidR="002F7440" w:rsidRPr="002F7440">
        <w:rPr>
          <w:rFonts w:ascii="Traditional Arabic" w:eastAsiaTheme="minorHAnsi" w:hAnsi="Traditional Arabic" w:cs="Traditional Arabic"/>
          <w:sz w:val="30"/>
          <w:szCs w:val="30"/>
          <w:rtl/>
        </w:rPr>
        <w:t xml:space="preserve"> سلطات الأمر الواقع على </w:t>
      </w:r>
      <w:r>
        <w:rPr>
          <w:rFonts w:ascii="Traditional Arabic" w:eastAsiaTheme="minorHAnsi" w:hAnsi="Traditional Arabic" w:cs="Traditional Arabic" w:hint="cs"/>
          <w:sz w:val="30"/>
          <w:szCs w:val="30"/>
          <w:rtl/>
        </w:rPr>
        <w:t xml:space="preserve">معظم </w:t>
      </w:r>
      <w:r w:rsidR="002F7440" w:rsidRPr="002F7440">
        <w:rPr>
          <w:rFonts w:ascii="Traditional Arabic" w:eastAsiaTheme="minorHAnsi" w:hAnsi="Traditional Arabic" w:cs="Traditional Arabic"/>
          <w:sz w:val="30"/>
          <w:szCs w:val="30"/>
          <w:rtl/>
        </w:rPr>
        <w:t>الأجزاء الشمالية من اليمن، قام فريق الخبراء بتوثيق انتهاكات استهدفت البهائيين في اليمن</w:t>
      </w:r>
      <w:r>
        <w:rPr>
          <w:rFonts w:ascii="Traditional Arabic" w:eastAsiaTheme="minorHAnsi" w:hAnsi="Traditional Arabic" w:cs="Traditional Arabic" w:hint="cs"/>
          <w:sz w:val="30"/>
          <w:szCs w:val="30"/>
          <w:rtl/>
        </w:rPr>
        <w:t xml:space="preserve"> بشكل خاص</w:t>
      </w:r>
      <w:r w:rsidR="002F7440" w:rsidRPr="002F7440">
        <w:rPr>
          <w:rFonts w:ascii="Traditional Arabic" w:eastAsiaTheme="minorHAnsi" w:hAnsi="Traditional Arabic" w:cs="Traditional Arabic"/>
          <w:sz w:val="30"/>
          <w:szCs w:val="30"/>
          <w:rtl/>
        </w:rPr>
        <w:t>. وتلق</w:t>
      </w:r>
      <w:r w:rsidR="002F7440" w:rsidRPr="002F7440">
        <w:rPr>
          <w:rFonts w:ascii="Traditional Arabic" w:eastAsiaTheme="minorHAnsi" w:hAnsi="Traditional Arabic" w:cs="Traditional Arabic"/>
          <w:sz w:val="30"/>
          <w:szCs w:val="30"/>
          <w:rtl/>
          <w:lang w:bidi="ar-LB"/>
        </w:rPr>
        <w:t>ى</w:t>
      </w:r>
      <w:r w:rsidR="002F7440" w:rsidRPr="002F7440">
        <w:rPr>
          <w:rFonts w:ascii="Traditional Arabic" w:eastAsiaTheme="minorHAnsi" w:hAnsi="Traditional Arabic" w:cs="Traditional Arabic"/>
          <w:sz w:val="30"/>
          <w:szCs w:val="30"/>
          <w:rtl/>
        </w:rPr>
        <w:t xml:space="preserve"> الفريق أيضًا مزاعم </w:t>
      </w:r>
      <w:r w:rsidR="002F7440" w:rsidRPr="002F7440">
        <w:rPr>
          <w:rFonts w:ascii="Traditional Arabic" w:eastAsiaTheme="minorHAnsi" w:hAnsi="Traditional Arabic" w:cs="Traditional Arabic"/>
          <w:sz w:val="30"/>
          <w:szCs w:val="30"/>
          <w:rtl/>
          <w:lang w:bidi="ar-LB"/>
        </w:rPr>
        <w:t>عن استهداف الحوثيين لأ</w:t>
      </w:r>
      <w:r w:rsidR="002F7440" w:rsidRPr="002F7440">
        <w:rPr>
          <w:rFonts w:ascii="Traditional Arabic" w:eastAsiaTheme="minorHAnsi" w:hAnsi="Traditional Arabic" w:cs="Traditional Arabic"/>
          <w:sz w:val="30"/>
          <w:szCs w:val="30"/>
          <w:rtl/>
        </w:rPr>
        <w:t>فراد يعرّفون عن أنفسهم كملحدين</w:t>
      </w:r>
      <w:r w:rsidR="00A1608D" w:rsidRPr="00B91FAE">
        <w:rPr>
          <w:rStyle w:val="FootnoteReference"/>
          <w:rFonts w:asciiTheme="majorBidi" w:hAnsiTheme="majorBidi" w:cstheme="majorBidi"/>
        </w:rPr>
        <w:footnoteReference w:id="1312"/>
      </w:r>
      <w:r w:rsidR="00A1608D">
        <w:rPr>
          <w:rFonts w:ascii="Traditional Arabic" w:eastAsiaTheme="minorHAnsi" w:hAnsi="Traditional Arabic" w:cs="Traditional Arabic" w:hint="cs"/>
          <w:sz w:val="30"/>
          <w:szCs w:val="30"/>
          <w:rtl/>
        </w:rPr>
        <w:t xml:space="preserve"> </w:t>
      </w:r>
      <w:r w:rsidR="002F7440" w:rsidRPr="002F7440">
        <w:rPr>
          <w:rFonts w:ascii="Traditional Arabic" w:eastAsiaTheme="minorHAnsi" w:hAnsi="Traditional Arabic" w:cs="Traditional Arabic"/>
          <w:sz w:val="30"/>
          <w:szCs w:val="30"/>
          <w:rtl/>
        </w:rPr>
        <w:t>على أساس المعتقد. وقد جمع الفريق ادعاءات أخرى عن وجود  أحد أفراد طائفة دينية في الاختفاء القسري ويعاني من التعذيب في أحد مراكز الاحتجاز التابعة للحوثيين. وتمّ حجب المعلومات المتعلقة بقضيته لأسباب تتعلق بأمنه وأمن مجتمعه</w:t>
      </w:r>
      <w:r w:rsidR="002F7440" w:rsidRPr="002F7440">
        <w:rPr>
          <w:rFonts w:ascii="Traditional Arabic" w:eastAsiaTheme="minorHAnsi" w:hAnsi="Traditional Arabic" w:cs="Traditional Arabic"/>
          <w:sz w:val="30"/>
          <w:szCs w:val="30"/>
        </w:rPr>
        <w:t>.</w:t>
      </w:r>
    </w:p>
    <w:p w14:paraId="7BF5E62E"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استهداف البهائيين من جانب سلطات الأمر الواقع</w:t>
      </w:r>
    </w:p>
    <w:p w14:paraId="238C61E8" w14:textId="5B1D01B4" w:rsidR="002F7440" w:rsidRPr="002F7440" w:rsidRDefault="002F7440" w:rsidP="00A1608D">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tl/>
        </w:rPr>
      </w:pPr>
      <w:r w:rsidRPr="002F7440">
        <w:rPr>
          <w:rFonts w:ascii="Traditional Arabic" w:eastAsiaTheme="minorHAnsi" w:hAnsi="Traditional Arabic" w:cs="Traditional Arabic"/>
          <w:sz w:val="30"/>
          <w:szCs w:val="30"/>
          <w:rtl/>
        </w:rPr>
        <w:t xml:space="preserve">وثّق فريق الخبراء ثلاث حالات اعتقال واحتجاز تعسفيين بحق أفراد من الطائفة البهائية في صنعاء. قُبض على الأفراد الثلاثة (رجلان وامرأة) خلال </w:t>
      </w:r>
      <w:r w:rsidRPr="002F7440">
        <w:rPr>
          <w:rFonts w:ascii="Traditional Arabic" w:eastAsiaTheme="minorHAnsi" w:hAnsi="Traditional Arabic" w:cs="Traditional Arabic"/>
          <w:sz w:val="30"/>
          <w:szCs w:val="30"/>
          <w:rtl/>
          <w:lang w:bidi="ar-LB"/>
        </w:rPr>
        <w:t>نشاط خاص بالطائفة</w:t>
      </w:r>
      <w:r w:rsidRPr="002F7440">
        <w:rPr>
          <w:rFonts w:ascii="Traditional Arabic" w:eastAsiaTheme="minorHAnsi" w:hAnsi="Traditional Arabic" w:cs="Traditional Arabic"/>
          <w:sz w:val="30"/>
          <w:szCs w:val="30"/>
          <w:rtl/>
        </w:rPr>
        <w:t xml:space="preserve"> في صنعاء في 10 آب/أغسطس 2016، حيث أُفيد عن حضور حوالي 60 مشاركًا، معظمهم من البهائيين والبعض الآخر وُصفوا على أنهم "أصدقاء الجماعة". وقد اقتحم الفعالية أفراد من </w:t>
      </w:r>
      <w:r w:rsidRPr="002F7440">
        <w:rPr>
          <w:rFonts w:ascii="Traditional Arabic" w:eastAsiaTheme="minorHAnsi" w:hAnsi="Traditional Arabic" w:cs="Traditional Arabic" w:hint="cs"/>
          <w:sz w:val="30"/>
          <w:szCs w:val="30"/>
          <w:rtl/>
        </w:rPr>
        <w:t>القوات</w:t>
      </w:r>
      <w:r w:rsidRPr="002F7440">
        <w:rPr>
          <w:rFonts w:ascii="Traditional Arabic" w:eastAsiaTheme="minorHAnsi" w:hAnsi="Traditional Arabic" w:cs="Traditional Arabic"/>
          <w:sz w:val="30"/>
          <w:szCs w:val="30"/>
          <w:rtl/>
        </w:rPr>
        <w:t xml:space="preserve"> الأمن</w:t>
      </w:r>
      <w:r w:rsidRPr="002F7440">
        <w:rPr>
          <w:rFonts w:ascii="Traditional Arabic" w:eastAsiaTheme="minorHAnsi" w:hAnsi="Traditional Arabic" w:cs="Traditional Arabic" w:hint="cs"/>
          <w:sz w:val="30"/>
          <w:szCs w:val="30"/>
          <w:rtl/>
        </w:rPr>
        <w:t xml:space="preserve">ية </w:t>
      </w:r>
      <w:r w:rsidRPr="002F7440">
        <w:rPr>
          <w:rFonts w:ascii="Traditional Arabic" w:eastAsiaTheme="minorHAnsi" w:hAnsi="Traditional Arabic" w:cs="Traditional Arabic"/>
          <w:sz w:val="30"/>
          <w:szCs w:val="30"/>
          <w:rtl/>
        </w:rPr>
        <w:t xml:space="preserve">- جميعهم ملثّمون ومسلحون حسب ما أُفيد – حيث أخذوا جميع المشاركين إلى أماكن احتجاز </w:t>
      </w:r>
      <w:r w:rsidRPr="002F7440">
        <w:rPr>
          <w:rFonts w:ascii="Traditional Arabic" w:eastAsiaTheme="minorHAnsi" w:hAnsi="Traditional Arabic" w:cs="Traditional Arabic" w:hint="cs"/>
          <w:sz w:val="30"/>
          <w:szCs w:val="30"/>
          <w:rtl/>
        </w:rPr>
        <w:t xml:space="preserve">بينها مرفق احتجاز الأمن الوطني وأماكن أخرى </w:t>
      </w:r>
      <w:r w:rsidRPr="002F7440">
        <w:rPr>
          <w:rFonts w:ascii="Traditional Arabic" w:eastAsiaTheme="minorHAnsi" w:hAnsi="Traditional Arabic" w:cs="Traditional Arabic"/>
          <w:sz w:val="30"/>
          <w:szCs w:val="30"/>
          <w:rtl/>
        </w:rPr>
        <w:t>مجهولة. في حين أفرج عن معظم المشاركين، بينهم الأطفال والنساء، في الأيام التي أعقبت عملية الاعتقال، بقيت مجموعة من 11 شخصًا (بينهم ثلاث نساء) رهن الاحتجاز لمدة شهر تقريبًا. تمّ اعتقال أحدهم لمدة ثلاثة أشهر ونصف، بينما تم إطلاق سراح آخرين في مراحل مختلفة قبل ذلك. ولم توجه أي تهم إليهم لكن أُفيد بأنّه تمّ إجبار المحتجزين على التوقيع على ضمانات بأنهم لن يستأنفوا أي أنشطة مجتمعية بعد إطلاق سراحهم</w:t>
      </w:r>
      <w:r w:rsidR="00A1608D" w:rsidRPr="00B91FAE">
        <w:rPr>
          <w:rStyle w:val="FootnoteReference"/>
          <w:rFonts w:asciiTheme="majorBidi" w:hAnsiTheme="majorBidi" w:cstheme="majorBidi"/>
        </w:rPr>
        <w:footnoteReference w:id="1313"/>
      </w:r>
      <w:r w:rsidRPr="002F7440">
        <w:rPr>
          <w:rFonts w:ascii="Traditional Arabic" w:eastAsiaTheme="minorHAnsi" w:hAnsi="Traditional Arabic" w:cs="Traditional Arabic"/>
          <w:sz w:val="30"/>
          <w:szCs w:val="30"/>
          <w:rtl/>
        </w:rPr>
        <w:t>. لم يتمكنوا من الوصول إلى محامٍ أو الاتصال بأسرهم خلال فترة الاحتجاز. بالإضافة إلى ذلك، لم يتم إبلاغهم بأسباب احتجازهم</w:t>
      </w:r>
      <w:r w:rsidRPr="002F7440">
        <w:rPr>
          <w:rFonts w:ascii="Traditional Arabic" w:eastAsiaTheme="minorHAnsi" w:hAnsi="Traditional Arabic" w:cs="Traditional Arabic"/>
          <w:sz w:val="30"/>
          <w:szCs w:val="30"/>
        </w:rPr>
        <w:t>.</w:t>
      </w:r>
    </w:p>
    <w:p w14:paraId="288BD0EF" w14:textId="77777777" w:rsidR="00A1608D" w:rsidRPr="00A1608D" w:rsidRDefault="002F7440" w:rsidP="00A1608D">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A1608D">
        <w:rPr>
          <w:rFonts w:ascii="Traditional Arabic" w:eastAsiaTheme="minorHAnsi" w:hAnsi="Traditional Arabic" w:cs="Traditional Arabic"/>
          <w:sz w:val="30"/>
          <w:szCs w:val="30"/>
          <w:rtl/>
        </w:rPr>
        <w:t>قام فريق الخبراء بتوثيق حالة رجلين بهائيين اعتُقلا واحتُجزا لمدة ثلاثة أيام في آذار/مارس 2015 بدون توجيه تُهم إليهما. وعندما سأل أحدهما عن أسباب اعتقاله، أُفيد بأنه</w:t>
      </w:r>
      <w:r w:rsidRPr="00A1608D">
        <w:rPr>
          <w:rFonts w:ascii="Traditional Arabic" w:eastAsiaTheme="minorHAnsi" w:hAnsi="Traditional Arabic" w:cs="Traditional Arabic" w:hint="cs"/>
          <w:sz w:val="30"/>
          <w:szCs w:val="30"/>
          <w:rtl/>
        </w:rPr>
        <w:t xml:space="preserve"> تم إجابته</w:t>
      </w:r>
      <w:r w:rsidRPr="00A1608D">
        <w:rPr>
          <w:rFonts w:ascii="Traditional Arabic" w:eastAsiaTheme="minorHAnsi" w:hAnsi="Traditional Arabic" w:cs="Traditional Arabic"/>
          <w:sz w:val="30"/>
          <w:szCs w:val="30"/>
          <w:rtl/>
        </w:rPr>
        <w:t xml:space="preserve">: </w:t>
      </w:r>
      <w:r w:rsidRPr="00A1608D">
        <w:rPr>
          <w:rFonts w:ascii="Traditional Arabic" w:eastAsiaTheme="minorHAnsi" w:hAnsi="Traditional Arabic" w:cs="Traditional Arabic"/>
          <w:i/>
          <w:iCs/>
          <w:sz w:val="30"/>
          <w:szCs w:val="30"/>
          <w:rtl/>
        </w:rPr>
        <w:t>"لأنك بهائي</w:t>
      </w:r>
      <w:r w:rsidRPr="00A1608D">
        <w:rPr>
          <w:rFonts w:ascii="Traditional Arabic" w:eastAsiaTheme="minorHAnsi" w:hAnsi="Traditional Arabic" w:cs="Traditional Arabic"/>
          <w:i/>
          <w:iCs/>
          <w:sz w:val="30"/>
          <w:szCs w:val="30"/>
        </w:rPr>
        <w:t>".</w:t>
      </w:r>
      <w:r w:rsidR="00A1608D" w:rsidRPr="00B91FAE">
        <w:rPr>
          <w:rStyle w:val="FootnoteReference"/>
          <w:rFonts w:asciiTheme="majorBidi" w:hAnsiTheme="majorBidi" w:cstheme="majorBidi"/>
        </w:rPr>
        <w:footnoteReference w:id="1314"/>
      </w:r>
    </w:p>
    <w:p w14:paraId="7617A36B" w14:textId="1A9C6F37" w:rsidR="002F7440" w:rsidRPr="00A1608D" w:rsidRDefault="002F7440" w:rsidP="00C90E3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A1608D">
        <w:rPr>
          <w:rFonts w:ascii="Traditional Arabic" w:eastAsiaTheme="minorHAnsi" w:hAnsi="Traditional Arabic" w:cs="Traditional Arabic"/>
          <w:sz w:val="30"/>
          <w:szCs w:val="30"/>
          <w:rtl/>
        </w:rPr>
        <w:t xml:space="preserve">في 17 نيسان/ أبريل 2017، أصدرت </w:t>
      </w:r>
      <w:r w:rsidRPr="00A1608D">
        <w:rPr>
          <w:rFonts w:ascii="Traditional Arabic" w:eastAsiaTheme="minorHAnsi" w:hAnsi="Traditional Arabic" w:cs="Traditional Arabic" w:hint="cs"/>
          <w:sz w:val="30"/>
          <w:szCs w:val="30"/>
          <w:rtl/>
        </w:rPr>
        <w:t xml:space="preserve">سلطة </w:t>
      </w:r>
      <w:r w:rsidRPr="00A1608D">
        <w:rPr>
          <w:rFonts w:ascii="Traditional Arabic" w:eastAsiaTheme="minorHAnsi" w:hAnsi="Traditional Arabic" w:cs="Traditional Arabic"/>
          <w:sz w:val="30"/>
          <w:szCs w:val="30"/>
          <w:rtl/>
        </w:rPr>
        <w:t>النيابة الجنائية في صنعاء أمراً بالقبض على 25 شخصًا، و</w:t>
      </w:r>
      <w:r w:rsidRPr="00A1608D">
        <w:rPr>
          <w:rFonts w:ascii="Traditional Arabic" w:eastAsiaTheme="minorHAnsi" w:hAnsi="Traditional Arabic" w:cs="Traditional Arabic"/>
          <w:sz w:val="30"/>
          <w:szCs w:val="30"/>
          <w:rtl/>
          <w:lang w:bidi="ar-LB"/>
        </w:rPr>
        <w:t xml:space="preserve">أُفيد بأنها </w:t>
      </w:r>
      <w:r w:rsidRPr="00A1608D">
        <w:rPr>
          <w:rFonts w:ascii="Traditional Arabic" w:eastAsiaTheme="minorHAnsi" w:hAnsi="Traditional Arabic" w:cs="Traditional Arabic"/>
          <w:sz w:val="30"/>
          <w:szCs w:val="30"/>
          <w:rtl/>
        </w:rPr>
        <w:t>قائمة تضم أكثر من 20 بهائيًا.  واستدعى المدعي العام الأفراد عبر الهاتف في بعض الحالات</w:t>
      </w:r>
      <w:r w:rsidR="00A1608D" w:rsidRPr="00B91FAE">
        <w:rPr>
          <w:rStyle w:val="FootnoteReference"/>
          <w:rFonts w:asciiTheme="majorBidi" w:hAnsiTheme="majorBidi" w:cstheme="majorBidi"/>
        </w:rPr>
        <w:footnoteReference w:id="1315"/>
      </w:r>
      <w:r w:rsidRPr="00A1608D">
        <w:rPr>
          <w:rFonts w:ascii="Traditional Arabic" w:eastAsiaTheme="minorHAnsi" w:hAnsi="Traditional Arabic" w:cs="Traditional Arabic"/>
          <w:sz w:val="30"/>
          <w:szCs w:val="30"/>
          <w:rtl/>
        </w:rPr>
        <w:t>، فيما اختبأ آخرون بعد أن سمعوا بالقائمة وبأن أسماءهم واردة فيها.</w:t>
      </w:r>
      <w:r w:rsidRPr="00A1608D">
        <w:rPr>
          <w:rFonts w:ascii="Traditional Arabic" w:eastAsiaTheme="minorHAnsi" w:hAnsi="Traditional Arabic" w:cs="Traditional Arabic"/>
          <w:sz w:val="30"/>
          <w:szCs w:val="30"/>
          <w:vertAlign w:val="superscript"/>
        </w:rPr>
        <w:t xml:space="preserve"> </w:t>
      </w:r>
      <w:r w:rsidR="00A1608D" w:rsidRPr="00B91FAE">
        <w:rPr>
          <w:rStyle w:val="FootnoteReference"/>
          <w:rFonts w:asciiTheme="majorBidi" w:hAnsiTheme="majorBidi" w:cstheme="majorBidi"/>
        </w:rPr>
        <w:footnoteReference w:id="1316"/>
      </w:r>
      <w:r w:rsidRPr="00A1608D">
        <w:rPr>
          <w:rFonts w:ascii="Traditional Arabic" w:eastAsiaTheme="minorHAnsi" w:hAnsi="Traditional Arabic" w:cs="Traditional Arabic"/>
          <w:sz w:val="30"/>
          <w:szCs w:val="30"/>
          <w:rtl/>
        </w:rPr>
        <w:t>وقد أُفيد بأنه تمّ اعتقال خمسة بينما بقي الآخرون مختبئين منذ ذلك الحين. وتضمنت القائمة إسم فتاة واحدة عمرها دون 18 عامًا</w:t>
      </w:r>
      <w:r w:rsidR="00A1608D" w:rsidRPr="00B91FAE">
        <w:rPr>
          <w:rStyle w:val="FootnoteReference"/>
          <w:rFonts w:asciiTheme="majorBidi" w:hAnsiTheme="majorBidi" w:cstheme="majorBidi"/>
        </w:rPr>
        <w:footnoteReference w:id="1317"/>
      </w:r>
      <w:r w:rsidRPr="00A1608D">
        <w:rPr>
          <w:rFonts w:ascii="Traditional Arabic" w:eastAsiaTheme="minorHAnsi" w:hAnsi="Traditional Arabic" w:cs="Traditional Arabic"/>
          <w:sz w:val="30"/>
          <w:szCs w:val="30"/>
          <w:rtl/>
        </w:rPr>
        <w:t xml:space="preserve">. ووصلت فريق الخبراء معلومات، كما نظر في الوثائق الرسمية وبيانات الأمم المتحدة التي تشير إلى أن الاتهامات الموجهة ضد </w:t>
      </w:r>
      <w:r w:rsidRPr="00A1608D">
        <w:rPr>
          <w:rFonts w:ascii="Traditional Arabic" w:eastAsiaTheme="minorHAnsi" w:hAnsi="Traditional Arabic" w:cs="Traditional Arabic" w:hint="cs"/>
          <w:sz w:val="30"/>
          <w:szCs w:val="30"/>
          <w:rtl/>
        </w:rPr>
        <w:t>رجل بهائي، ح</w:t>
      </w:r>
      <w:r w:rsidR="00C90E3F">
        <w:rPr>
          <w:rFonts w:ascii="Traditional Arabic" w:eastAsiaTheme="minorHAnsi" w:hAnsi="Traditional Arabic" w:cs="Traditional Arabic" w:hint="cs"/>
          <w:sz w:val="30"/>
          <w:szCs w:val="30"/>
          <w:rtl/>
        </w:rPr>
        <w:t>ا</w:t>
      </w:r>
      <w:r w:rsidRPr="00A1608D">
        <w:rPr>
          <w:rFonts w:ascii="Traditional Arabic" w:eastAsiaTheme="minorHAnsi" w:hAnsi="Traditional Arabic" w:cs="Traditional Arabic" w:hint="cs"/>
          <w:sz w:val="30"/>
          <w:szCs w:val="30"/>
          <w:rtl/>
        </w:rPr>
        <w:t xml:space="preserve">مد كمال </w:t>
      </w:r>
      <w:r w:rsidRPr="00A1608D">
        <w:rPr>
          <w:rFonts w:ascii="Traditional Arabic" w:eastAsiaTheme="minorHAnsi" w:hAnsi="Traditional Arabic" w:cs="Traditional Arabic"/>
          <w:sz w:val="30"/>
          <w:szCs w:val="30"/>
          <w:rtl/>
        </w:rPr>
        <w:lastRenderedPageBreak/>
        <w:t>بن حيدرة</w:t>
      </w:r>
      <w:r w:rsidRPr="00A1608D">
        <w:rPr>
          <w:rFonts w:ascii="Traditional Arabic" w:eastAsiaTheme="minorHAnsi" w:hAnsi="Traditional Arabic" w:cs="Traditional Arabic" w:hint="cs"/>
          <w:sz w:val="30"/>
          <w:szCs w:val="30"/>
          <w:rtl/>
        </w:rPr>
        <w:t xml:space="preserve"> و</w:t>
      </w:r>
      <w:r w:rsidR="00F315D6">
        <w:rPr>
          <w:rFonts w:ascii="Traditional Arabic" w:eastAsiaTheme="minorHAnsi" w:hAnsi="Traditional Arabic" w:cs="Traditional Arabic" w:hint="cs"/>
          <w:sz w:val="30"/>
          <w:szCs w:val="30"/>
          <w:rtl/>
        </w:rPr>
        <w:t>الذي يتم احتجازه منذ العام 2013 والذي حكم عليه بالإعدام في العام 2018،</w:t>
      </w:r>
      <w:r w:rsidRPr="00A1608D">
        <w:rPr>
          <w:rFonts w:ascii="Traditional Arabic" w:eastAsiaTheme="minorHAnsi" w:hAnsi="Traditional Arabic" w:cs="Traditional Arabic" w:hint="cs"/>
          <w:sz w:val="30"/>
          <w:szCs w:val="30"/>
          <w:rtl/>
        </w:rPr>
        <w:t xml:space="preserve"> </w:t>
      </w:r>
      <w:r w:rsidRPr="00A1608D">
        <w:rPr>
          <w:rFonts w:ascii="Traditional Arabic" w:eastAsiaTheme="minorHAnsi" w:hAnsi="Traditional Arabic" w:cs="Traditional Arabic"/>
          <w:sz w:val="30"/>
          <w:szCs w:val="30"/>
          <w:rtl/>
        </w:rPr>
        <w:t>تتمحور حول معتقداته</w:t>
      </w:r>
      <w:r w:rsidRPr="00A1608D">
        <w:rPr>
          <w:rFonts w:ascii="Traditional Arabic" w:eastAsiaTheme="minorHAnsi" w:hAnsi="Traditional Arabic" w:cs="Traditional Arabic"/>
          <w:sz w:val="30"/>
          <w:szCs w:val="30"/>
        </w:rPr>
        <w:t>.</w:t>
      </w:r>
      <w:r w:rsidR="00A1608D" w:rsidRPr="00B91FAE">
        <w:rPr>
          <w:rStyle w:val="FootnoteReference"/>
          <w:rFonts w:asciiTheme="majorBidi" w:hAnsiTheme="majorBidi" w:cstheme="majorBidi"/>
        </w:rPr>
        <w:footnoteReference w:id="1318"/>
      </w:r>
    </w:p>
    <w:p w14:paraId="03E52C25" w14:textId="564381A2" w:rsidR="002F7440" w:rsidRPr="002F7440" w:rsidRDefault="002F7440" w:rsidP="00B5384F">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w:t>
      </w:r>
      <w:r w:rsidRPr="002F7440">
        <w:rPr>
          <w:rFonts w:ascii="Traditional Arabic" w:eastAsiaTheme="minorHAnsi" w:hAnsi="Traditional Arabic" w:cs="Traditional Arabic" w:hint="cs"/>
          <w:sz w:val="30"/>
          <w:szCs w:val="30"/>
          <w:rtl/>
        </w:rPr>
        <w:t xml:space="preserve"> ما يخص قضية بن حيدرة وقضايا أخرى، لدى فريق الخبراء مخاوف جديّة حول </w:t>
      </w:r>
      <w:r w:rsidRPr="002F7440">
        <w:rPr>
          <w:rFonts w:ascii="Traditional Arabic" w:eastAsiaTheme="minorHAnsi" w:hAnsi="Traditional Arabic" w:cs="Traditional Arabic"/>
          <w:sz w:val="30"/>
          <w:szCs w:val="30"/>
          <w:rtl/>
        </w:rPr>
        <w:t xml:space="preserve">استهداف </w:t>
      </w:r>
      <w:r w:rsidRPr="002F7440">
        <w:rPr>
          <w:rFonts w:ascii="Traditional Arabic" w:eastAsiaTheme="minorHAnsi" w:hAnsi="Traditional Arabic" w:cs="Traditional Arabic" w:hint="cs"/>
          <w:sz w:val="30"/>
          <w:szCs w:val="30"/>
          <w:rtl/>
        </w:rPr>
        <w:t xml:space="preserve">البهائيين </w:t>
      </w:r>
      <w:r w:rsidRPr="002F7440">
        <w:rPr>
          <w:rFonts w:ascii="Traditional Arabic" w:eastAsiaTheme="minorHAnsi" w:hAnsi="Traditional Arabic" w:cs="Traditional Arabic"/>
          <w:sz w:val="30"/>
          <w:szCs w:val="30"/>
          <w:rtl/>
        </w:rPr>
        <w:t>على أساس معتقداته</w:t>
      </w:r>
      <w:r w:rsidRPr="002F7440">
        <w:rPr>
          <w:rFonts w:ascii="Traditional Arabic" w:eastAsiaTheme="minorHAnsi" w:hAnsi="Traditional Arabic" w:cs="Traditional Arabic" w:hint="cs"/>
          <w:sz w:val="30"/>
          <w:szCs w:val="30"/>
          <w:rtl/>
        </w:rPr>
        <w:t>م.</w:t>
      </w:r>
      <w:r w:rsidRPr="002F7440">
        <w:rPr>
          <w:rFonts w:ascii="Traditional Arabic" w:eastAsiaTheme="minorHAnsi" w:hAnsi="Traditional Arabic" w:cs="Traditional Arabic"/>
          <w:sz w:val="30"/>
          <w:szCs w:val="30"/>
          <w:rtl/>
        </w:rPr>
        <w:t xml:space="preserve"> ففي خطاب متلفز يعود إلى آذار/ مارس 2018، شجب عبد الملك الحوثي</w:t>
      </w:r>
      <w:r w:rsidR="00A1608D" w:rsidRPr="00B91FAE">
        <w:rPr>
          <w:rStyle w:val="FootnoteReference"/>
          <w:rFonts w:asciiTheme="majorBidi" w:hAnsiTheme="majorBidi" w:cstheme="majorBidi"/>
        </w:rPr>
        <w:footnoteReference w:id="1319"/>
      </w:r>
      <w:r w:rsidR="00A1608D">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 xml:space="preserve">عددًا من المعتقدات التي تشن برأيه </w:t>
      </w:r>
      <w:r w:rsidR="00C90E3F" w:rsidRPr="002F7440">
        <w:rPr>
          <w:rFonts w:ascii="Traditional Arabic" w:eastAsiaTheme="minorHAnsi" w:hAnsi="Traditional Arabic" w:cs="Traditional Arabic"/>
          <w:sz w:val="30"/>
          <w:szCs w:val="30"/>
          <w:rtl/>
        </w:rPr>
        <w:t>"</w:t>
      </w:r>
      <w:r w:rsidR="00C90E3F">
        <w:rPr>
          <w:rFonts w:ascii="Traditional Arabic" w:eastAsiaTheme="minorHAnsi" w:hAnsi="Traditional Arabic" w:cs="Traditional Arabic" w:hint="cs"/>
          <w:sz w:val="30"/>
          <w:szCs w:val="30"/>
          <w:rtl/>
        </w:rPr>
        <w:t>استهدافا عدوانيا"</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sz w:val="30"/>
          <w:szCs w:val="30"/>
          <w:rtl/>
        </w:rPr>
        <w:t>ووشيكًا للمجتمع اليمني</w:t>
      </w:r>
      <w:r w:rsidR="00B5384F">
        <w:rPr>
          <w:rFonts w:ascii="Traditional Arabic" w:eastAsiaTheme="minorHAnsi" w:hAnsi="Traditional Arabic" w:cs="Traditional Arabic" w:hint="cs"/>
          <w:sz w:val="30"/>
          <w:szCs w:val="30"/>
          <w:rtl/>
        </w:rPr>
        <w:t xml:space="preserve"> </w:t>
      </w:r>
      <w:r w:rsidR="00C90E3F">
        <w:rPr>
          <w:rFonts w:ascii="Traditional Arabic" w:eastAsiaTheme="minorHAnsi" w:hAnsi="Traditional Arabic" w:cs="Traditional Arabic" w:hint="cs"/>
          <w:sz w:val="30"/>
          <w:szCs w:val="30"/>
          <w:rtl/>
        </w:rPr>
        <w:t xml:space="preserve">وحربًا خطيرة وعنيفة ضد </w:t>
      </w:r>
      <w:r w:rsidR="00C90E3F" w:rsidRPr="002F7440">
        <w:rPr>
          <w:rFonts w:ascii="Traditional Arabic" w:eastAsiaTheme="minorHAnsi" w:hAnsi="Traditional Arabic" w:cs="Traditional Arabic"/>
          <w:sz w:val="30"/>
          <w:szCs w:val="30"/>
          <w:rtl/>
        </w:rPr>
        <w:t>الإسلام</w:t>
      </w:r>
      <w:r w:rsidRPr="002F7440">
        <w:rPr>
          <w:rFonts w:ascii="Traditional Arabic" w:eastAsiaTheme="minorHAnsi" w:hAnsi="Traditional Arabic" w:cs="Traditional Arabic"/>
          <w:sz w:val="30"/>
          <w:szCs w:val="30"/>
          <w:rtl/>
        </w:rPr>
        <w:t>، وهو تهديد يدّعي أنه وُلد أثناء النزاع. ركّز زعيم الحوثيين في كلمته على العقيدة البهائية</w:t>
      </w:r>
      <w:r w:rsidRPr="002F7440">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التي وصفها بأنها "</w:t>
      </w:r>
      <w:r w:rsidR="00C90E3F">
        <w:rPr>
          <w:rFonts w:ascii="Traditional Arabic" w:eastAsiaTheme="minorHAnsi" w:hAnsi="Traditional Arabic" w:cs="Traditional Arabic" w:hint="cs"/>
          <w:sz w:val="30"/>
          <w:szCs w:val="30"/>
          <w:rtl/>
        </w:rPr>
        <w:t>الوافد ال</w:t>
      </w:r>
      <w:r w:rsidRPr="002F7440">
        <w:rPr>
          <w:rFonts w:ascii="Traditional Arabic" w:eastAsiaTheme="minorHAnsi" w:hAnsi="Traditional Arabic" w:cs="Traditional Arabic"/>
          <w:sz w:val="30"/>
          <w:szCs w:val="30"/>
          <w:rtl/>
        </w:rPr>
        <w:t xml:space="preserve">شيطاني" </w:t>
      </w:r>
      <w:r w:rsidR="00C90E3F">
        <w:rPr>
          <w:rFonts w:ascii="Traditional Arabic" w:eastAsiaTheme="minorHAnsi" w:hAnsi="Traditional Arabic" w:cs="Traditional Arabic" w:hint="cs"/>
          <w:sz w:val="30"/>
          <w:szCs w:val="30"/>
          <w:rtl/>
        </w:rPr>
        <w:t>ال</w:t>
      </w:r>
      <w:r w:rsidRPr="002F7440">
        <w:rPr>
          <w:rFonts w:ascii="Traditional Arabic" w:eastAsiaTheme="minorHAnsi" w:hAnsi="Traditional Arabic" w:cs="Traditional Arabic"/>
          <w:sz w:val="30"/>
          <w:szCs w:val="30"/>
          <w:rtl/>
        </w:rPr>
        <w:t>و</w:t>
      </w:r>
      <w:r w:rsidR="00C90E3F">
        <w:rPr>
          <w:rFonts w:ascii="Traditional Arabic" w:eastAsiaTheme="minorHAnsi" w:hAnsi="Traditional Arabic" w:cs="Traditional Arabic" w:hint="cs"/>
          <w:sz w:val="30"/>
          <w:szCs w:val="30"/>
          <w:rtl/>
        </w:rPr>
        <w:t>ا</w:t>
      </w:r>
      <w:r w:rsidRPr="002F7440">
        <w:rPr>
          <w:rFonts w:ascii="Traditional Arabic" w:eastAsiaTheme="minorHAnsi" w:hAnsi="Traditional Arabic" w:cs="Traditional Arabic"/>
          <w:sz w:val="30"/>
          <w:szCs w:val="30"/>
          <w:rtl/>
        </w:rPr>
        <w:t xml:space="preserve">صل حديثًا إلى اليمن، </w:t>
      </w:r>
      <w:r w:rsidR="00C90E3F">
        <w:rPr>
          <w:rFonts w:ascii="Traditional Arabic" w:eastAsiaTheme="minorHAnsi" w:hAnsi="Traditional Arabic" w:cs="Traditional Arabic" w:hint="cs"/>
          <w:sz w:val="30"/>
          <w:szCs w:val="30"/>
          <w:rtl/>
        </w:rPr>
        <w:t xml:space="preserve">والذي ترعاه وتحضنه </w:t>
      </w:r>
      <w:r w:rsidRPr="002F7440">
        <w:rPr>
          <w:rFonts w:ascii="Traditional Arabic" w:eastAsiaTheme="minorHAnsi" w:hAnsi="Traditional Arabic" w:cs="Traditional Arabic"/>
          <w:sz w:val="30"/>
          <w:szCs w:val="30"/>
          <w:rtl/>
        </w:rPr>
        <w:t>إسرائيل من أجل محاربة الإسلام. كما هاجم في الخطاب نفسه أديان ومعتقدات أخرى، منها الأحمدية وال</w:t>
      </w:r>
      <w:r w:rsidR="00A62408">
        <w:rPr>
          <w:rFonts w:ascii="Traditional Arabic" w:eastAsiaTheme="minorHAnsi" w:hAnsi="Traditional Arabic" w:cs="Traditional Arabic" w:hint="cs"/>
          <w:sz w:val="30"/>
          <w:szCs w:val="30"/>
          <w:rtl/>
        </w:rPr>
        <w:t xml:space="preserve">إلحاد </w:t>
      </w:r>
      <w:r w:rsidR="00A62408" w:rsidRPr="002F7440">
        <w:rPr>
          <w:rFonts w:ascii="Traditional Arabic" w:eastAsiaTheme="minorHAnsi" w:hAnsi="Traditional Arabic" w:cs="Traditional Arabic"/>
          <w:sz w:val="30"/>
          <w:szCs w:val="30"/>
          <w:rtl/>
        </w:rPr>
        <w:t>وال</w:t>
      </w:r>
      <w:r w:rsidR="00A62408">
        <w:rPr>
          <w:rFonts w:ascii="Traditional Arabic" w:eastAsiaTheme="minorHAnsi" w:hAnsi="Traditional Arabic" w:cs="Traditional Arabic" w:hint="cs"/>
          <w:sz w:val="30"/>
          <w:szCs w:val="30"/>
          <w:rtl/>
        </w:rPr>
        <w:t>تبشير بالنصرانية</w:t>
      </w:r>
      <w:r w:rsidRPr="002F7440">
        <w:rPr>
          <w:rFonts w:ascii="Traditional Arabic" w:eastAsiaTheme="minorHAnsi" w:hAnsi="Traditional Arabic" w:cs="Traditional Arabic"/>
          <w:sz w:val="30"/>
          <w:szCs w:val="30"/>
          <w:rtl/>
        </w:rPr>
        <w:t xml:space="preserve">. صحيح أن خطاب عبد الملك الحوثي لم يستهدف أعضاء معيّنين من الطوائف الدينية المختلفة التي ذكرها، واستهدف </w:t>
      </w:r>
      <w:r w:rsidRPr="002F7440">
        <w:rPr>
          <w:rFonts w:ascii="Traditional Arabic" w:eastAsiaTheme="minorHAnsi" w:hAnsi="Traditional Arabic" w:cs="Traditional Arabic" w:hint="cs"/>
          <w:sz w:val="30"/>
          <w:szCs w:val="30"/>
          <w:rtl/>
        </w:rPr>
        <w:t>المعتقد</w:t>
      </w:r>
      <w:r w:rsidRPr="002F7440">
        <w:rPr>
          <w:rFonts w:ascii="Traditional Arabic" w:eastAsiaTheme="minorHAnsi" w:hAnsi="Traditional Arabic" w:cs="Traditional Arabic"/>
          <w:sz w:val="30"/>
          <w:szCs w:val="30"/>
          <w:rtl/>
        </w:rPr>
        <w:t xml:space="preserve"> البهائي وليس أتباعه، لكن كلماته تثير مخاوف جدية، لا سيما في ضوء النزاع الحالي حيث تزايدت المشاعر الطائفية. كما أنّ منصبه كزعيم ديني وسياسي داخل الحركة يزيد من خطورة بياناته. وكون الحوثيين قد احتجزوا البهائيين بشكل تعسفي في صنعاء قبل أن يلقي خطابه، فإنّ هذا الخطاب يكتسب وزناً أكبر وقد يؤثّر على الأفراد البهائيين الذين كانت أسماؤهم معلنة آنذاك</w:t>
      </w:r>
      <w:r w:rsidR="00767CD6" w:rsidRPr="00B91FAE">
        <w:rPr>
          <w:rStyle w:val="FootnoteReference"/>
          <w:rFonts w:asciiTheme="majorBidi" w:hAnsiTheme="majorBidi" w:cstheme="majorBidi"/>
        </w:rPr>
        <w:footnoteReference w:id="1320"/>
      </w:r>
      <w:r w:rsidRPr="002F7440">
        <w:rPr>
          <w:rFonts w:ascii="Traditional Arabic" w:eastAsiaTheme="minorHAnsi" w:hAnsi="Traditional Arabic" w:cs="Traditional Arabic"/>
          <w:sz w:val="30"/>
          <w:szCs w:val="30"/>
          <w:rtl/>
        </w:rPr>
        <w:t>. يعتبر إصدار أمر بالاعتقال بحق البهائيين العشرين والاعتقالات التي وثقها فريق الخبراء مؤشراً على وجود نمط لاستهداف البهائيين من جانب سلطات الأمر الواقع</w:t>
      </w:r>
      <w:r w:rsidRPr="002F7440">
        <w:rPr>
          <w:rFonts w:ascii="Traditional Arabic" w:eastAsiaTheme="minorHAnsi" w:hAnsi="Traditional Arabic" w:cs="Traditional Arabic"/>
          <w:sz w:val="30"/>
          <w:szCs w:val="30"/>
        </w:rPr>
        <w:t>.</w:t>
      </w:r>
    </w:p>
    <w:p w14:paraId="09DB4D0E" w14:textId="3C050174" w:rsidR="002F7440" w:rsidRPr="002F7440" w:rsidRDefault="002F7440" w:rsidP="00723AA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color w:val="FF0000"/>
          <w:sz w:val="30"/>
          <w:szCs w:val="30"/>
        </w:rPr>
      </w:pPr>
      <w:r w:rsidRPr="002F7440">
        <w:rPr>
          <w:rFonts w:ascii="Traditional Arabic" w:eastAsiaTheme="minorHAnsi" w:hAnsi="Traditional Arabic" w:cs="Traditional Arabic"/>
          <w:sz w:val="30"/>
          <w:szCs w:val="30"/>
          <w:rtl/>
        </w:rPr>
        <w:t>في ردّ خطّي على الأسئلة التي طرحها فريق الخبراء بشأن أفراد الطائفة البهائية،</w:t>
      </w:r>
      <w:r w:rsidR="00767CD6" w:rsidRPr="00B91FAE">
        <w:rPr>
          <w:rStyle w:val="FootnoteReference"/>
          <w:rFonts w:asciiTheme="majorBidi" w:hAnsiTheme="majorBidi" w:cstheme="majorBidi"/>
        </w:rPr>
        <w:footnoteReference w:id="1321"/>
      </w:r>
      <w:r w:rsidRPr="002F7440">
        <w:rPr>
          <w:rFonts w:ascii="Traditional Arabic" w:eastAsiaTheme="minorHAnsi" w:hAnsi="Traditional Arabic" w:cs="Traditional Arabic"/>
          <w:sz w:val="30"/>
          <w:szCs w:val="30"/>
          <w:rtl/>
        </w:rPr>
        <w:t xml:space="preserve"> ردت سلطا</w:t>
      </w:r>
      <w:r w:rsidR="001D358E">
        <w:rPr>
          <w:rFonts w:ascii="Traditional Arabic" w:eastAsiaTheme="minorHAnsi" w:hAnsi="Traditional Arabic" w:cs="Traditional Arabic"/>
          <w:sz w:val="30"/>
          <w:szCs w:val="30"/>
          <w:rtl/>
        </w:rPr>
        <w:t>ت الأمر الواقع قائلةً بأن تهم</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hint="cs"/>
          <w:sz w:val="30"/>
          <w:szCs w:val="30"/>
          <w:rtl/>
        </w:rPr>
        <w:t xml:space="preserve">التخابر والاتصال غير المشروع </w:t>
      </w:r>
      <w:r w:rsidRPr="002F7440">
        <w:rPr>
          <w:rFonts w:ascii="Traditional Arabic" w:eastAsiaTheme="minorHAnsi" w:hAnsi="Traditional Arabic" w:cs="Traditional Arabic"/>
          <w:sz w:val="30"/>
          <w:szCs w:val="30"/>
          <w:rtl/>
        </w:rPr>
        <w:t xml:space="preserve">مع دولة أجنبية حملت في الرسالة إسم "الكيان الصهيوني"، وُجّهت ضد 20  فرداً ينتمون الى المعتقد البهئي. ووفقًا لردّ سلطات الأمر الواقع، تندرج هذه الاتهامات تحت قانون الجرائم والعقوبات </w:t>
      </w:r>
      <w:r w:rsidR="00B5384F">
        <w:rPr>
          <w:rFonts w:ascii="Traditional Arabic" w:eastAsiaTheme="minorHAnsi" w:hAnsi="Traditional Arabic" w:cs="Traditional Arabic" w:hint="cs"/>
          <w:sz w:val="30"/>
          <w:szCs w:val="30"/>
          <w:rtl/>
        </w:rPr>
        <w:t xml:space="preserve">رقم </w:t>
      </w:r>
      <w:r w:rsidR="00B5384F" w:rsidRPr="002F7440">
        <w:rPr>
          <w:rFonts w:ascii="Traditional Arabic" w:eastAsiaTheme="minorHAnsi" w:hAnsi="Traditional Arabic" w:cs="Traditional Arabic"/>
          <w:sz w:val="30"/>
          <w:szCs w:val="30"/>
          <w:rtl/>
        </w:rPr>
        <w:t xml:space="preserve">12 (1994) </w:t>
      </w:r>
      <w:r w:rsidR="00B5384F">
        <w:rPr>
          <w:rFonts w:ascii="Traditional Arabic" w:eastAsiaTheme="minorHAnsi" w:hAnsi="Traditional Arabic" w:cs="Traditional Arabic" w:hint="cs"/>
          <w:sz w:val="30"/>
          <w:szCs w:val="30"/>
          <w:rtl/>
        </w:rPr>
        <w:t xml:space="preserve">بشأن </w:t>
      </w:r>
      <w:r w:rsidRPr="002F7440">
        <w:rPr>
          <w:rFonts w:ascii="Traditional Arabic" w:eastAsiaTheme="minorHAnsi" w:hAnsi="Traditional Arabic" w:cs="Traditional Arabic"/>
          <w:sz w:val="30"/>
          <w:szCs w:val="30"/>
          <w:rtl/>
        </w:rPr>
        <w:t>اعتبارها جريمة</w:t>
      </w:r>
      <w:r w:rsidR="00B5384F">
        <w:rPr>
          <w:rFonts w:ascii="Traditional Arabic" w:eastAsiaTheme="minorHAnsi" w:hAnsi="Traditional Arabic" w:cs="Traditional Arabic" w:hint="cs"/>
          <w:sz w:val="30"/>
          <w:szCs w:val="30"/>
          <w:rtl/>
        </w:rPr>
        <w:t xml:space="preserve"> من جرائم أمن الدولة الخارجية التي تصيب الشخصية القانونية للدولة</w:t>
      </w:r>
      <w:r w:rsidRPr="002F7440">
        <w:rPr>
          <w:rFonts w:ascii="Traditional Arabic" w:eastAsiaTheme="minorHAnsi" w:hAnsi="Traditional Arabic" w:cs="Traditional Arabic"/>
          <w:sz w:val="30"/>
          <w:szCs w:val="30"/>
          <w:rtl/>
        </w:rPr>
        <w:t xml:space="preserve"> </w:t>
      </w:r>
      <w:r w:rsidR="00B5384F">
        <w:rPr>
          <w:rFonts w:ascii="Traditional Arabic" w:eastAsiaTheme="minorHAnsi" w:hAnsi="Traditional Arabic" w:cs="Traditional Arabic" w:hint="cs"/>
          <w:sz w:val="30"/>
          <w:szCs w:val="30"/>
          <w:rtl/>
        </w:rPr>
        <w:t>با</w:t>
      </w:r>
      <w:r w:rsidRPr="002F7440">
        <w:rPr>
          <w:rFonts w:ascii="Traditional Arabic" w:eastAsiaTheme="minorHAnsi" w:hAnsi="Traditional Arabic" w:cs="Traditional Arabic"/>
          <w:sz w:val="30"/>
          <w:szCs w:val="30"/>
          <w:rtl/>
        </w:rPr>
        <w:t>لخطر أو الضرر ويعاقَب عليها بموجب المادة 12</w:t>
      </w:r>
      <w:r w:rsidR="00B5384F">
        <w:rPr>
          <w:rFonts w:ascii="Traditional Arabic" w:eastAsiaTheme="minorHAnsi" w:hAnsi="Traditional Arabic" w:cs="Traditional Arabic" w:hint="cs"/>
          <w:sz w:val="30"/>
          <w:szCs w:val="30"/>
          <w:rtl/>
        </w:rPr>
        <w:t>8</w:t>
      </w:r>
      <w:r w:rsidRPr="002F7440">
        <w:rPr>
          <w:rFonts w:ascii="Traditional Arabic" w:eastAsiaTheme="minorHAnsi" w:hAnsi="Traditional Arabic" w:cs="Traditional Arabic"/>
          <w:sz w:val="30"/>
          <w:szCs w:val="30"/>
          <w:rtl/>
        </w:rPr>
        <w:t xml:space="preserve"> من قانون </w:t>
      </w:r>
      <w:r w:rsidR="00B5384F">
        <w:rPr>
          <w:rFonts w:ascii="Traditional Arabic" w:eastAsiaTheme="minorHAnsi" w:hAnsi="Traditional Arabic" w:cs="Traditional Arabic" w:hint="cs"/>
          <w:sz w:val="30"/>
          <w:szCs w:val="30"/>
          <w:rtl/>
        </w:rPr>
        <w:t>الجرائم والعقوبات</w:t>
      </w:r>
      <w:r w:rsidRPr="002F7440">
        <w:rPr>
          <w:rFonts w:ascii="Traditional Arabic" w:eastAsiaTheme="minorHAnsi" w:hAnsi="Traditional Arabic" w:cs="Traditional Arabic"/>
          <w:sz w:val="30"/>
          <w:szCs w:val="30"/>
          <w:rtl/>
        </w:rPr>
        <w:t>. ويلاحظ فريق الخبراء أن المادة 12</w:t>
      </w:r>
      <w:r w:rsidR="00723AAC">
        <w:rPr>
          <w:rFonts w:ascii="Traditional Arabic" w:eastAsiaTheme="minorHAnsi" w:hAnsi="Traditional Arabic" w:cs="Traditional Arabic" w:hint="cs"/>
          <w:sz w:val="30"/>
          <w:szCs w:val="30"/>
          <w:rtl/>
        </w:rPr>
        <w:t>8</w:t>
      </w:r>
      <w:r w:rsidRPr="002F7440">
        <w:rPr>
          <w:rFonts w:ascii="Traditional Arabic" w:eastAsiaTheme="minorHAnsi" w:hAnsi="Traditional Arabic" w:cs="Traditional Arabic"/>
          <w:sz w:val="30"/>
          <w:szCs w:val="30"/>
          <w:rtl/>
        </w:rPr>
        <w:t xml:space="preserve"> تحمل عقوبة الإعدام.</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22"/>
      </w:r>
      <w:r w:rsidRPr="002F7440">
        <w:rPr>
          <w:rFonts w:ascii="Traditional Arabic" w:eastAsiaTheme="minorHAnsi" w:hAnsi="Traditional Arabic" w:cs="Traditional Arabic"/>
          <w:sz w:val="30"/>
          <w:szCs w:val="30"/>
          <w:rtl/>
        </w:rPr>
        <w:t>كما ذكرت سلطات الأمر الواقع أن المتهمين يخضعون حالياً لمحاكمة علنية وأنه تمّ احترام حقهم في الدفاع وأنه أطلق سراح الأغلبية باستثناء ثلاثة أفراد، وفقاً لقرارات المحكمة. وأكدت سلطات الأمر الواقع أن التهم الموجهة ضد هؤلاء الأفراد لا علاقة لها بمعتقدهم. وفي رسالة منفصلة</w:t>
      </w:r>
      <w:r w:rsidR="00767CD6" w:rsidRPr="00B91FAE">
        <w:rPr>
          <w:rStyle w:val="FootnoteReference"/>
          <w:rFonts w:asciiTheme="majorBidi" w:hAnsiTheme="majorBidi" w:cstheme="majorBidi"/>
        </w:rPr>
        <w:footnoteReference w:id="1323"/>
      </w:r>
      <w:r w:rsidRPr="002F7440">
        <w:rPr>
          <w:rFonts w:ascii="Traditional Arabic" w:eastAsiaTheme="minorHAnsi" w:hAnsi="Traditional Arabic" w:cs="Traditional Arabic"/>
          <w:sz w:val="30"/>
          <w:szCs w:val="30"/>
          <w:rtl/>
        </w:rPr>
        <w:t>، ذكرت سلطات الأمر الواقع أن الدستور اليمني يكفل حرية الدين والمعتقد، م</w:t>
      </w:r>
      <w:r w:rsidR="00723AAC">
        <w:rPr>
          <w:rFonts w:ascii="Traditional Arabic" w:eastAsiaTheme="minorHAnsi" w:hAnsi="Traditional Arabic" w:cs="Traditional Arabic" w:hint="cs"/>
          <w:sz w:val="30"/>
          <w:szCs w:val="30"/>
          <w:rtl/>
        </w:rPr>
        <w:t>ضيف</w:t>
      </w:r>
      <w:r w:rsidRPr="002F7440">
        <w:rPr>
          <w:rFonts w:ascii="Traditional Arabic" w:eastAsiaTheme="minorHAnsi" w:hAnsi="Traditional Arabic" w:cs="Traditional Arabic"/>
          <w:sz w:val="30"/>
          <w:szCs w:val="30"/>
          <w:rtl/>
        </w:rPr>
        <w:t>ة أنّ</w:t>
      </w:r>
      <w:r w:rsidR="00723AAC">
        <w:rPr>
          <w:rFonts w:ascii="Traditional Arabic" w:eastAsiaTheme="minorHAnsi" w:hAnsi="Traditional Arabic" w:cs="Traditional Arabic" w:hint="cs"/>
          <w:sz w:val="30"/>
          <w:szCs w:val="30"/>
          <w:rtl/>
        </w:rPr>
        <w:t>ه</w:t>
      </w:r>
      <w:r w:rsidRPr="002F7440">
        <w:rPr>
          <w:rFonts w:ascii="Traditional Arabic" w:eastAsiaTheme="minorHAnsi" w:hAnsi="Traditional Arabic" w:cs="Traditional Arabic"/>
          <w:sz w:val="30"/>
          <w:szCs w:val="30"/>
          <w:rtl/>
        </w:rPr>
        <w:t xml:space="preserve"> لا </w:t>
      </w:r>
      <w:r w:rsidR="00723AAC">
        <w:rPr>
          <w:rFonts w:ascii="Traditional Arabic" w:eastAsiaTheme="minorHAnsi" w:hAnsi="Traditional Arabic" w:cs="Traditional Arabic" w:hint="cs"/>
          <w:sz w:val="30"/>
          <w:szCs w:val="30"/>
          <w:rtl/>
        </w:rPr>
        <w:t>تو</w:t>
      </w:r>
      <w:r w:rsidRPr="002F7440">
        <w:rPr>
          <w:rFonts w:ascii="Traditional Arabic" w:eastAsiaTheme="minorHAnsi" w:hAnsi="Traditional Arabic" w:cs="Traditional Arabic"/>
          <w:sz w:val="30"/>
          <w:szCs w:val="30"/>
          <w:rtl/>
        </w:rPr>
        <w:t>جد "أقليات عرقية أو لغوية أو دينية في اليمن</w:t>
      </w:r>
      <w:r w:rsidR="00723AAC">
        <w:rPr>
          <w:rFonts w:ascii="Traditional Arabic" w:eastAsiaTheme="minorHAnsi" w:hAnsi="Traditional Arabic" w:cs="Traditional Arabic"/>
          <w:sz w:val="30"/>
          <w:szCs w:val="30"/>
          <w:rtl/>
        </w:rPr>
        <w:t xml:space="preserve"> باستثناء ال</w:t>
      </w:r>
      <w:r w:rsidR="00723AAC">
        <w:rPr>
          <w:rFonts w:ascii="Traditional Arabic" w:eastAsiaTheme="minorHAnsi" w:hAnsi="Traditional Arabic" w:cs="Traditional Arabic" w:hint="cs"/>
          <w:sz w:val="30"/>
          <w:szCs w:val="30"/>
          <w:rtl/>
        </w:rPr>
        <w:t xml:space="preserve">طائفة </w:t>
      </w:r>
      <w:r w:rsidRPr="002F7440">
        <w:rPr>
          <w:rFonts w:ascii="Traditional Arabic" w:eastAsiaTheme="minorHAnsi" w:hAnsi="Traditional Arabic" w:cs="Traditional Arabic"/>
          <w:sz w:val="30"/>
          <w:szCs w:val="30"/>
          <w:rtl/>
        </w:rPr>
        <w:t>اليهودية</w:t>
      </w:r>
      <w:r w:rsidRPr="002F7440">
        <w:rPr>
          <w:rFonts w:ascii="Traditional Arabic" w:eastAsiaTheme="minorHAnsi" w:hAnsi="Traditional Arabic" w:cs="Traditional Arabic"/>
          <w:sz w:val="30"/>
          <w:szCs w:val="30"/>
        </w:rPr>
        <w:t>".</w:t>
      </w:r>
    </w:p>
    <w:p w14:paraId="3D27BBBF" w14:textId="77777777" w:rsidR="002F7440" w:rsidRPr="002F7440" w:rsidRDefault="002F7440" w:rsidP="002F7440">
      <w:pPr>
        <w:suppressAutoHyphens w:val="0"/>
        <w:bidi/>
        <w:spacing w:after="120"/>
        <w:ind w:left="414" w:right="828" w:firstLine="720"/>
        <w:jc w:val="both"/>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hint="cs"/>
          <w:i/>
          <w:iCs/>
          <w:sz w:val="30"/>
          <w:szCs w:val="30"/>
          <w:rtl/>
        </w:rPr>
        <w:lastRenderedPageBreak/>
        <w:t>ال</w:t>
      </w:r>
      <w:r w:rsidRPr="002F7440">
        <w:rPr>
          <w:rFonts w:ascii="Traditional Arabic" w:eastAsiaTheme="minorHAnsi" w:hAnsi="Traditional Arabic" w:cs="Traditional Arabic"/>
          <w:i/>
          <w:iCs/>
          <w:sz w:val="30"/>
          <w:szCs w:val="30"/>
          <w:rtl/>
        </w:rPr>
        <w:t>نتائج</w:t>
      </w:r>
    </w:p>
    <w:p w14:paraId="385A67ED" w14:textId="1D6F1B8C"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يضمن القانون الدولي لحقوق الإنسان حرية الفكر والوجدان والدين</w:t>
      </w:r>
      <w:r w:rsidR="00767CD6" w:rsidRPr="00B91FAE">
        <w:rPr>
          <w:rStyle w:val="FootnoteReference"/>
        </w:rPr>
        <w:footnoteReference w:id="1324"/>
      </w:r>
      <w:r w:rsidRPr="002F7440">
        <w:rPr>
          <w:rFonts w:ascii="Traditional Arabic" w:eastAsiaTheme="minorHAnsi" w:hAnsi="Traditional Arabic" w:cs="Traditional Arabic"/>
          <w:sz w:val="30"/>
          <w:szCs w:val="30"/>
          <w:rtl/>
        </w:rPr>
        <w:t>. وعلى غرار الحريات الأساسية الأخرى، يجوز تقييد حرية الفرد في إظهار دينه أو معتقداته، ولكن وفقًا لما ينص عليه القانون فقط ومتى كان ذلك ضرورياً لحماية حقوق الآخرين وحرياتهم، ولحماية الأمن القومي، والسلامة العامة، والنظام، والصحة والأخلاق. بالإضافة إلى ذلك، ينص القانون الدولي لحقوق الإنسان على عدم التمييز، ويتعين على أصحاب الواجب احترام وضمان حقوق الأفراد الخاضعين لولايتهم القضائية بدون تمييز من أي نوع، بما في ذلك على أساس الدين</w:t>
      </w:r>
      <w:r w:rsidRPr="002F7440">
        <w:rPr>
          <w:rFonts w:ascii="Traditional Arabic" w:eastAsiaTheme="minorHAnsi" w:hAnsi="Traditional Arabic" w:cs="Traditional Arabic"/>
          <w:sz w:val="30"/>
          <w:szCs w:val="30"/>
        </w:rPr>
        <w:t>.</w:t>
      </w:r>
      <w:r w:rsidR="00767CD6" w:rsidRPr="00B91FAE">
        <w:rPr>
          <w:rStyle w:val="FootnoteReference"/>
        </w:rPr>
        <w:footnoteReference w:id="1325"/>
      </w:r>
    </w:p>
    <w:p w14:paraId="7F51CB42" w14:textId="2DC4C690"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ويكفل القانون الدولي لحقوق الإنسان الحق في الحرية والأمن الشخصي وينص على عدم تعر</w:t>
      </w:r>
      <w:r w:rsidRPr="002F7440">
        <w:rPr>
          <w:rFonts w:ascii="Traditional Arabic" w:eastAsiaTheme="minorHAnsi" w:hAnsi="Traditional Arabic" w:cs="Traditional Arabic"/>
          <w:sz w:val="30"/>
          <w:szCs w:val="30"/>
          <w:rtl/>
          <w:lang w:bidi="ar-LB"/>
        </w:rPr>
        <w:t>يض</w:t>
      </w:r>
      <w:r w:rsidRPr="002F7440">
        <w:rPr>
          <w:rFonts w:ascii="Traditional Arabic" w:eastAsiaTheme="minorHAnsi" w:hAnsi="Traditional Arabic" w:cs="Traditional Arabic"/>
          <w:sz w:val="30"/>
          <w:szCs w:val="30"/>
          <w:rtl/>
        </w:rPr>
        <w:t xml:space="preserve"> أي شخص للاعتقال أو الاحتجاز بشكل تعسفي</w:t>
      </w:r>
      <w:r w:rsidR="00767CD6" w:rsidRPr="00B91FAE">
        <w:rPr>
          <w:rStyle w:val="FootnoteReference"/>
        </w:rPr>
        <w:footnoteReference w:id="1326"/>
      </w:r>
      <w:r w:rsidRPr="002F7440">
        <w:rPr>
          <w:rFonts w:ascii="Traditional Arabic" w:eastAsiaTheme="minorHAnsi" w:hAnsi="Traditional Arabic" w:cs="Traditional Arabic"/>
          <w:sz w:val="30"/>
          <w:szCs w:val="30"/>
          <w:rtl/>
        </w:rPr>
        <w:t>. كما يحظّر القانون الدولي الإنساني الاحتجاز التعسفي</w:t>
      </w:r>
      <w:r w:rsidR="00767CD6" w:rsidRPr="00B91FAE">
        <w:rPr>
          <w:rStyle w:val="FootnoteReference"/>
          <w:sz w:val="20"/>
        </w:rPr>
        <w:footnoteReference w:id="1327"/>
      </w:r>
      <w:r w:rsidRPr="002F7440">
        <w:rPr>
          <w:rFonts w:ascii="Traditional Arabic" w:eastAsiaTheme="minorHAnsi" w:hAnsi="Traditional Arabic" w:cs="Traditional Arabic"/>
          <w:sz w:val="30"/>
          <w:szCs w:val="30"/>
          <w:rtl/>
        </w:rPr>
        <w:t>. وتُعتبر حالات الحرمان من الحرية تعسفية عندما تأتي نتيجةً لممارسة الحريات الأساسية، فضلاً عن الاحتجاز على أساس تمييزي</w:t>
      </w:r>
      <w:r w:rsidR="00767CD6" w:rsidRPr="00B91FAE">
        <w:rPr>
          <w:rStyle w:val="FootnoteReference"/>
          <w:sz w:val="20"/>
        </w:rPr>
        <w:footnoteReference w:id="1328"/>
      </w:r>
      <w:r w:rsidRPr="002F7440">
        <w:rPr>
          <w:rFonts w:ascii="Traditional Arabic" w:eastAsiaTheme="minorHAnsi" w:hAnsi="Traditional Arabic" w:cs="Traditional Arabic"/>
          <w:sz w:val="30"/>
          <w:szCs w:val="30"/>
          <w:rtl/>
        </w:rPr>
        <w:t>. في الحالات الموصوفة أعلاه، توجد أسباب معقولة للاعتقاد بأنه تمّ احتجاز أعضاء الطائفة البهائية على أساس المعتقد. وعليه، لدى فريق الخبراء أسباب معقولة للاعتقاد بأن سلطات الأمر الواقع قد احتجزت أفراداً من الطائفة البهائية تعسفًا</w:t>
      </w:r>
      <w:r w:rsidRPr="002F7440">
        <w:rPr>
          <w:rFonts w:ascii="Traditional Arabic" w:eastAsiaTheme="minorHAnsi" w:hAnsi="Traditional Arabic" w:cs="Traditional Arabic"/>
          <w:sz w:val="30"/>
          <w:szCs w:val="30"/>
        </w:rPr>
        <w:t>.</w:t>
      </w:r>
    </w:p>
    <w:p w14:paraId="7FEF8CD9" w14:textId="77777777" w:rsidR="002F7440" w:rsidRPr="002F7440" w:rsidRDefault="002F7440" w:rsidP="0025057B">
      <w:pPr>
        <w:numPr>
          <w:ilvl w:val="0"/>
          <w:numId w:val="24"/>
        </w:numPr>
        <w:tabs>
          <w:tab w:val="right" w:pos="1142"/>
        </w:tabs>
        <w:suppressAutoHyphens w:val="0"/>
        <w:bidi/>
        <w:spacing w:after="160" w:line="240" w:lineRule="auto"/>
        <w:ind w:left="872" w:right="827" w:hanging="180"/>
        <w:contextualSpacing/>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مجتمع"المهمّشين"</w:t>
      </w:r>
    </w:p>
    <w:p w14:paraId="23FB5400" w14:textId="32C88281" w:rsidR="002F7440" w:rsidRPr="002F7440" w:rsidRDefault="002F7440" w:rsidP="00B42512">
      <w:pPr>
        <w:suppressAutoHyphens w:val="0"/>
        <w:bidi/>
        <w:spacing w:after="160" w:line="259" w:lineRule="auto"/>
        <w:ind w:left="1134" w:right="827"/>
        <w:rPr>
          <w:rFonts w:ascii="Traditional Arabic" w:eastAsiaTheme="minorHAnsi" w:hAnsi="Traditional Arabic" w:cs="Traditional Arabic"/>
          <w:i/>
          <w:iCs/>
          <w:sz w:val="30"/>
          <w:szCs w:val="30"/>
          <w:rtl/>
          <w:lang w:bidi="ar-JO"/>
        </w:rPr>
      </w:pPr>
      <w:r w:rsidRPr="002F7440">
        <w:rPr>
          <w:rFonts w:ascii="Traditional Arabic" w:eastAsiaTheme="minorHAnsi" w:hAnsi="Traditional Arabic" w:cs="Traditional Arabic"/>
          <w:b/>
          <w:bCs/>
          <w:i/>
          <w:iCs/>
          <w:sz w:val="30"/>
          <w:szCs w:val="30"/>
        </w:rPr>
        <w:t>"</w:t>
      </w:r>
      <w:r w:rsidR="00723AAC">
        <w:rPr>
          <w:rFonts w:ascii="Traditional Arabic" w:eastAsiaTheme="minorHAnsi" w:hAnsi="Traditional Arabic" w:cs="Traditional Arabic" w:hint="cs"/>
          <w:i/>
          <w:iCs/>
          <w:sz w:val="30"/>
          <w:szCs w:val="30"/>
          <w:rtl/>
        </w:rPr>
        <w:t>حين أتت</w:t>
      </w:r>
      <w:r w:rsidR="00723AAC" w:rsidRPr="002F7440">
        <w:rPr>
          <w:rFonts w:ascii="Traditional Arabic" w:eastAsiaTheme="minorHAnsi" w:hAnsi="Traditional Arabic" w:cs="Traditional Arabic"/>
          <w:i/>
          <w:iCs/>
          <w:sz w:val="30"/>
          <w:szCs w:val="30"/>
          <w:rtl/>
        </w:rPr>
        <w:t xml:space="preserve"> </w:t>
      </w:r>
      <w:r w:rsidRPr="002F7440">
        <w:rPr>
          <w:rFonts w:ascii="Traditional Arabic" w:eastAsiaTheme="minorHAnsi" w:hAnsi="Traditional Arabic" w:cs="Traditional Arabic"/>
          <w:i/>
          <w:iCs/>
          <w:sz w:val="30"/>
          <w:szCs w:val="30"/>
          <w:rtl/>
        </w:rPr>
        <w:t>الحرب، كانت بالنسبة لنا</w:t>
      </w:r>
      <w:r w:rsidR="00B42512">
        <w:rPr>
          <w:rFonts w:ascii="Traditional Arabic" w:eastAsiaTheme="minorHAnsi" w:hAnsi="Traditional Arabic" w:cs="Traditional Arabic" w:hint="cs"/>
          <w:i/>
          <w:iCs/>
          <w:sz w:val="30"/>
          <w:szCs w:val="30"/>
          <w:rtl/>
        </w:rPr>
        <w:t xml:space="preserve"> حكم بالموت. حين تركنا بيوتنا ونحن مكرهون، تلك البيوت التي احتضنت فقرنا وشبعنا وكانت بلسم لجرحنا...وحين وصلنا ألى أماكن </w:t>
      </w:r>
      <w:r w:rsidRPr="002F7440">
        <w:rPr>
          <w:rFonts w:ascii="Traditional Arabic" w:eastAsiaTheme="minorHAnsi" w:hAnsi="Traditional Arabic" w:cs="Traditional Arabic"/>
          <w:i/>
          <w:iCs/>
          <w:sz w:val="30"/>
          <w:szCs w:val="30"/>
          <w:rtl/>
        </w:rPr>
        <w:t>ليست أماكننا حيث بعض</w:t>
      </w:r>
      <w:r w:rsidR="00B42512">
        <w:rPr>
          <w:rFonts w:ascii="Traditional Arabic" w:eastAsiaTheme="minorHAnsi" w:hAnsi="Traditional Arabic" w:cs="Traditional Arabic" w:hint="cs"/>
          <w:i/>
          <w:iCs/>
          <w:sz w:val="30"/>
          <w:szCs w:val="30"/>
          <w:rtl/>
        </w:rPr>
        <w:t xml:space="preserve"> الناس </w:t>
      </w:r>
      <w:r w:rsidR="00B42512" w:rsidRPr="002F7440">
        <w:rPr>
          <w:rFonts w:ascii="Traditional Arabic" w:eastAsiaTheme="minorHAnsi" w:hAnsi="Traditional Arabic" w:cs="Traditional Arabic"/>
          <w:i/>
          <w:iCs/>
          <w:sz w:val="30"/>
          <w:szCs w:val="30"/>
          <w:rtl/>
        </w:rPr>
        <w:t>لم ي</w:t>
      </w:r>
      <w:r w:rsidR="00B42512">
        <w:rPr>
          <w:rFonts w:ascii="Traditional Arabic" w:eastAsiaTheme="minorHAnsi" w:hAnsi="Traditional Arabic" w:cs="Traditional Arabic" w:hint="cs"/>
          <w:i/>
          <w:iCs/>
          <w:sz w:val="30"/>
          <w:szCs w:val="30"/>
          <w:rtl/>
        </w:rPr>
        <w:t>ت</w:t>
      </w:r>
      <w:r w:rsidR="00B42512" w:rsidRPr="002F7440">
        <w:rPr>
          <w:rFonts w:ascii="Traditional Arabic" w:eastAsiaTheme="minorHAnsi" w:hAnsi="Traditional Arabic" w:cs="Traditional Arabic"/>
          <w:i/>
          <w:iCs/>
          <w:sz w:val="30"/>
          <w:szCs w:val="30"/>
          <w:rtl/>
        </w:rPr>
        <w:t xml:space="preserve">قبلنا </w:t>
      </w:r>
      <w:r w:rsidR="00B42512">
        <w:rPr>
          <w:rFonts w:ascii="Traditional Arabic" w:eastAsiaTheme="minorHAnsi" w:hAnsi="Traditional Arabic" w:cs="Traditional Arabic" w:hint="cs"/>
          <w:i/>
          <w:iCs/>
          <w:sz w:val="30"/>
          <w:szCs w:val="30"/>
          <w:rtl/>
        </w:rPr>
        <w:t>بل رفض أن نعيش في أرضه مؤقتا</w:t>
      </w:r>
      <w:r w:rsidR="00B42512" w:rsidRPr="002F7440">
        <w:rPr>
          <w:rFonts w:ascii="Traditional Arabic" w:eastAsiaTheme="minorHAnsi" w:hAnsi="Traditional Arabic" w:cs="Traditional Arabic"/>
          <w:i/>
          <w:iCs/>
          <w:sz w:val="30"/>
          <w:szCs w:val="30"/>
          <w:rtl/>
        </w:rPr>
        <w:t xml:space="preserve"> </w:t>
      </w:r>
      <w:r w:rsidR="00B42512">
        <w:rPr>
          <w:rFonts w:ascii="Traditional Arabic" w:eastAsiaTheme="minorHAnsi" w:hAnsi="Traditional Arabic" w:cs="Traditional Arabic" w:hint="cs"/>
          <w:i/>
          <w:iCs/>
          <w:sz w:val="30"/>
          <w:szCs w:val="30"/>
          <w:rtl/>
        </w:rPr>
        <w:t>حتى تنتهي الحرب ونعود لديارنا... كانت الفاجعة حيث</w:t>
      </w:r>
      <w:r w:rsidRPr="002F7440">
        <w:rPr>
          <w:rFonts w:ascii="Traditional Arabic" w:eastAsiaTheme="minorHAnsi" w:hAnsi="Traditional Arabic" w:cs="Traditional Arabic"/>
          <w:i/>
          <w:iCs/>
          <w:sz w:val="30"/>
          <w:szCs w:val="30"/>
          <w:rtl/>
        </w:rPr>
        <w:t xml:space="preserve"> شعرنا أننا نعيش في </w:t>
      </w:r>
      <w:r w:rsidR="00B42512">
        <w:rPr>
          <w:rFonts w:ascii="Traditional Arabic" w:eastAsiaTheme="minorHAnsi" w:hAnsi="Traditional Arabic" w:cs="Traditional Arabic" w:hint="cs"/>
          <w:i/>
          <w:iCs/>
          <w:sz w:val="30"/>
          <w:szCs w:val="30"/>
          <w:rtl/>
        </w:rPr>
        <w:t>غربة داخل غربة بينما نحن في وطننا."</w:t>
      </w:r>
      <w:r w:rsidR="00767CD6" w:rsidRPr="00B91FAE">
        <w:rPr>
          <w:rStyle w:val="FootnoteReference"/>
          <w:rFonts w:asciiTheme="majorBidi" w:hAnsiTheme="majorBidi" w:cstheme="majorBidi"/>
          <w:i/>
          <w:iCs/>
        </w:rPr>
        <w:footnoteReference w:id="1329"/>
      </w:r>
    </w:p>
    <w:p w14:paraId="7BD23E84" w14:textId="77777777" w:rsidR="002F7440" w:rsidRPr="002F7440" w:rsidRDefault="002F7440" w:rsidP="002F7440">
      <w:pPr>
        <w:suppressAutoHyphens w:val="0"/>
        <w:bidi/>
        <w:spacing w:after="160" w:line="259" w:lineRule="auto"/>
        <w:ind w:left="1134" w:right="827"/>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نازح من مجتمع "المهمّشين"، تعز</w:t>
      </w:r>
    </w:p>
    <w:p w14:paraId="4BB548D6" w14:textId="71C4CC86"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إنّ عبارة "المهمشين" هي تسمية أعطي</w:t>
      </w:r>
      <w:r w:rsidRPr="002F7440">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لأقلية اجتماعية في اليمن تعاني من التمييز القائم على النسب. ويُشار إلى "المهمشين" في بعض الأحيان </w:t>
      </w:r>
      <w:r w:rsidR="00C16701" w:rsidRPr="002F7440">
        <w:rPr>
          <w:rFonts w:ascii="Traditional Arabic" w:eastAsiaTheme="minorHAnsi" w:hAnsi="Traditional Arabic" w:cs="Traditional Arabic"/>
          <w:sz w:val="30"/>
          <w:szCs w:val="30"/>
          <w:rtl/>
        </w:rPr>
        <w:t>ب</w:t>
      </w:r>
      <w:r w:rsidR="00C16701">
        <w:rPr>
          <w:rFonts w:ascii="Traditional Arabic" w:eastAsiaTheme="minorHAnsi" w:hAnsi="Traditional Arabic" w:cs="Traditional Arabic" w:hint="cs"/>
          <w:sz w:val="30"/>
          <w:szCs w:val="30"/>
          <w:rtl/>
        </w:rPr>
        <w:t>مصطلح سلبي</w:t>
      </w:r>
      <w:r w:rsidR="00C16701"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sz w:val="30"/>
          <w:szCs w:val="30"/>
          <w:rtl/>
        </w:rPr>
        <w:t>هو "الأخدام". ويُقدّر عددهم بما بين خمسمائة ألف و3.5 مليون فرد</w:t>
      </w:r>
      <w:r w:rsidR="00767CD6" w:rsidRPr="00B91FAE">
        <w:rPr>
          <w:rStyle w:val="FootnoteReference"/>
          <w:rFonts w:asciiTheme="majorBidi" w:hAnsiTheme="majorBidi" w:cstheme="majorBidi"/>
        </w:rPr>
        <w:footnoteReference w:id="1330"/>
      </w:r>
      <w:r w:rsidRPr="002F7440">
        <w:rPr>
          <w:rFonts w:ascii="Traditional Arabic" w:eastAsiaTheme="minorHAnsi" w:hAnsi="Traditional Arabic" w:cs="Traditional Arabic"/>
          <w:sz w:val="30"/>
          <w:szCs w:val="30"/>
          <w:rtl/>
        </w:rPr>
        <w:t>. وفي حين أن القوانين اليمنية لا تميز ضد "المهمشين"، إلا أن ترسيخ وصمة العار الاجتماعية والأساطير المحيطة بهم أد</w:t>
      </w:r>
      <w:r w:rsidR="00C16701">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w:t>
      </w:r>
      <w:r w:rsidR="00C16701">
        <w:rPr>
          <w:rFonts w:ascii="Traditional Arabic" w:eastAsiaTheme="minorHAnsi" w:hAnsi="Traditional Arabic" w:cs="Traditional Arabic" w:hint="cs"/>
          <w:sz w:val="30"/>
          <w:szCs w:val="30"/>
          <w:rtl/>
        </w:rPr>
        <w:t>جميعا</w:t>
      </w:r>
      <w:r w:rsidR="00C16701"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sz w:val="30"/>
          <w:szCs w:val="30"/>
          <w:rtl/>
        </w:rPr>
        <w:t>إلى عزلهم المستمر عن بقية المجتمع اليمني. وعلى الرغم من إلغاء أنظمة الطبق</w:t>
      </w:r>
      <w:r w:rsidR="00C16701">
        <w:rPr>
          <w:rFonts w:ascii="Traditional Arabic" w:eastAsiaTheme="minorHAnsi" w:hAnsi="Traditional Arabic" w:cs="Traditional Arabic" w:hint="cs"/>
          <w:sz w:val="30"/>
          <w:szCs w:val="30"/>
          <w:rtl/>
        </w:rPr>
        <w:t>ية</w:t>
      </w:r>
      <w:r w:rsidRPr="002F7440">
        <w:rPr>
          <w:rFonts w:ascii="Traditional Arabic" w:eastAsiaTheme="minorHAnsi" w:hAnsi="Traditional Arabic" w:cs="Traditional Arabic"/>
          <w:sz w:val="30"/>
          <w:szCs w:val="30"/>
          <w:rtl/>
        </w:rPr>
        <w:t xml:space="preserve"> الاجتماعية رسميًا مع </w:t>
      </w:r>
      <w:r w:rsidR="00C16701">
        <w:rPr>
          <w:rFonts w:ascii="Traditional Arabic" w:eastAsiaTheme="minorHAnsi" w:hAnsi="Traditional Arabic" w:cs="Traditional Arabic" w:hint="cs"/>
          <w:sz w:val="30"/>
          <w:szCs w:val="30"/>
          <w:rtl/>
        </w:rPr>
        <w:t xml:space="preserve">حلول </w:t>
      </w:r>
      <w:r w:rsidRPr="002F7440">
        <w:rPr>
          <w:rFonts w:ascii="Traditional Arabic" w:eastAsiaTheme="minorHAnsi" w:hAnsi="Traditional Arabic" w:cs="Traditional Arabic"/>
          <w:sz w:val="30"/>
          <w:szCs w:val="30"/>
          <w:rtl/>
        </w:rPr>
        <w:t xml:space="preserve">الجمهورية في اليمن بقي "المهمشون" محصورين في الأحياء الفقيرة في معظم </w:t>
      </w:r>
      <w:r w:rsidRPr="002F7440">
        <w:rPr>
          <w:rFonts w:ascii="Traditional Arabic" w:eastAsiaTheme="minorHAnsi" w:hAnsi="Traditional Arabic" w:cs="Traditional Arabic"/>
          <w:sz w:val="30"/>
          <w:szCs w:val="30"/>
          <w:rtl/>
        </w:rPr>
        <w:lastRenderedPageBreak/>
        <w:t>المدن، من غير أن يتمكنوا من التزاوج بسهولة مع يمنيين آخرين. ويعمل معظمهم في التنظيف، مثل وظائف التنظيف العامة، وجمع القمامة وتكنيس الشوارع</w:t>
      </w:r>
      <w:r w:rsidRPr="002F7440">
        <w:rPr>
          <w:rFonts w:ascii="Traditional Arabic" w:eastAsiaTheme="minorHAnsi" w:hAnsi="Traditional Arabic" w:cs="Traditional Arabic"/>
          <w:sz w:val="30"/>
          <w:szCs w:val="30"/>
        </w:rPr>
        <w:t>.</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31"/>
      </w:r>
    </w:p>
    <w:p w14:paraId="04B80F64" w14:textId="29D41E02"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كان "المهمشون" من بين الذين خرجوا إلى الشوارع في احتجاجات الربيع العربي في العام 2011 وكانوا ممثلين في مؤتمر الحوار الوطني</w:t>
      </w:r>
      <w:r w:rsidR="00C16701">
        <w:rPr>
          <w:rFonts w:ascii="Traditional Arabic" w:eastAsiaTheme="minorHAnsi" w:hAnsi="Traditional Arabic" w:cs="Traditional Arabic" w:hint="cs"/>
          <w:sz w:val="30"/>
          <w:szCs w:val="30"/>
          <w:rtl/>
        </w:rPr>
        <w:t xml:space="preserve"> حيث</w:t>
      </w:r>
      <w:r w:rsidRPr="002F7440">
        <w:rPr>
          <w:rFonts w:ascii="Traditional Arabic" w:eastAsiaTheme="minorHAnsi" w:hAnsi="Traditional Arabic" w:cs="Traditional Arabic"/>
          <w:sz w:val="30"/>
          <w:szCs w:val="30"/>
          <w:rtl/>
        </w:rPr>
        <w:t xml:space="preserve"> تمّ اقتراح قوانين توفر لهم الحماية، غير أنه لم يتم تبنّيها بسبب النزاع، مما شكّل خطوة تراجع كبيرة كان لها تأثير سلبي على مجتمع "المهمّشين" في جميع أنحاء اليمن. ومع تطوّر</w:t>
      </w:r>
      <w:r w:rsidR="00C16701">
        <w:rPr>
          <w:rFonts w:ascii="Traditional Arabic" w:eastAsiaTheme="minorHAnsi" w:hAnsi="Traditional Arabic" w:cs="Traditional Arabic" w:hint="cs"/>
          <w:sz w:val="30"/>
          <w:szCs w:val="30"/>
          <w:rtl/>
        </w:rPr>
        <w:t>ه</w:t>
      </w:r>
      <w:r w:rsidRPr="002F7440">
        <w:rPr>
          <w:rFonts w:ascii="Traditional Arabic" w:eastAsiaTheme="minorHAnsi" w:hAnsi="Traditional Arabic" w:cs="Traditional Arabic"/>
          <w:sz w:val="30"/>
          <w:szCs w:val="30"/>
          <w:rtl/>
        </w:rPr>
        <w:t xml:space="preserve"> في تعز على سبيل المثال، أدّى تراجع الأموال العامة وعدم دفع الرواتب الى التأثير سلباً على جميع وظائف "المهمشين" الذين كانوا يعملون في البلدية، فبقوا بدون دخل لمدة عامين تقريبًا حسبما ورد من معلومات.</w:t>
      </w:r>
      <w:r w:rsidRPr="002F7440">
        <w:rPr>
          <w:rFonts w:ascii="Traditional Arabic" w:eastAsiaTheme="minorHAnsi" w:hAnsi="Traditional Arabic" w:cs="Traditional Arabic"/>
          <w:sz w:val="30"/>
          <w:szCs w:val="30"/>
          <w:vertAlign w:val="superscript"/>
        </w:rPr>
        <w:t xml:space="preserve"> </w:t>
      </w:r>
      <w:r w:rsidR="00767CD6" w:rsidRPr="00B91FAE">
        <w:rPr>
          <w:rStyle w:val="FootnoteReference"/>
          <w:rFonts w:asciiTheme="majorBidi" w:hAnsiTheme="majorBidi" w:cstheme="majorBidi"/>
        </w:rPr>
        <w:footnoteReference w:id="1332"/>
      </w:r>
      <w:r w:rsidRPr="002F7440">
        <w:rPr>
          <w:rFonts w:ascii="Traditional Arabic" w:eastAsiaTheme="minorHAnsi" w:hAnsi="Traditional Arabic" w:cs="Traditional Arabic"/>
          <w:sz w:val="30"/>
          <w:szCs w:val="30"/>
          <w:rtl/>
        </w:rPr>
        <w:t>وفي الأماكن حيث نزحت عائلات من "المهمّشين"، مثل حجّة وتعز، أضطروا بسبب وضعهم الاجتماعي للذهاب إلى مشارف المدن ولم يستفيدوا مثل غيرهم من النازحين من الهياكل المجتمعية الموجودة لاستضافة النازحين</w:t>
      </w:r>
      <w:r w:rsidR="00767CD6" w:rsidRPr="00B91FAE">
        <w:rPr>
          <w:rStyle w:val="FootnoteReference"/>
          <w:rFonts w:asciiTheme="majorBidi" w:hAnsiTheme="majorBidi" w:cstheme="majorBidi"/>
        </w:rPr>
        <w:footnoteReference w:id="1333"/>
      </w:r>
      <w:r w:rsidRPr="002F7440">
        <w:rPr>
          <w:rFonts w:ascii="Traditional Arabic" w:eastAsiaTheme="minorHAnsi" w:hAnsi="Traditional Arabic" w:cs="Traditional Arabic"/>
          <w:sz w:val="30"/>
          <w:szCs w:val="30"/>
          <w:rtl/>
        </w:rPr>
        <w:t>. بالإضافة إلى ذلك، تلقى فريق الخبراء عددًا من الادعاءات بأن "المهمشين" كانوا إما من بين أولئك الذين تم تجنيدهم قسراً في جماعات مسلحة، أو انضموا اليها طوعًا من أجل الحوافز الاقتصادية</w:t>
      </w:r>
      <w:r w:rsidRPr="002F7440">
        <w:rPr>
          <w:rFonts w:ascii="Traditional Arabic" w:eastAsiaTheme="minorHAnsi" w:hAnsi="Traditional Arabic" w:cs="Traditional Arabic"/>
          <w:sz w:val="30"/>
          <w:szCs w:val="30"/>
        </w:rPr>
        <w:t>.</w:t>
      </w:r>
    </w:p>
    <w:p w14:paraId="2433140C" w14:textId="472145C4"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إنّ عدم انتماء "</w:t>
      </w:r>
      <w:r w:rsidRPr="002F7440">
        <w:rPr>
          <w:rFonts w:ascii="Traditional Arabic" w:eastAsiaTheme="minorHAnsi" w:hAnsi="Traditional Arabic" w:cs="Traditional Arabic"/>
          <w:sz w:val="30"/>
          <w:szCs w:val="30"/>
          <w:rtl/>
          <w:lang w:bidi="ar-LB"/>
        </w:rPr>
        <w:t>المهمشين</w:t>
      </w:r>
      <w:r w:rsidRPr="002F7440">
        <w:rPr>
          <w:rFonts w:ascii="Traditional Arabic" w:eastAsiaTheme="minorHAnsi" w:hAnsi="Traditional Arabic" w:cs="Traditional Arabic"/>
          <w:sz w:val="30"/>
          <w:szCs w:val="30"/>
          <w:rtl/>
        </w:rPr>
        <w:t>" إلى النظام القبلي اليمني قد جعلهم أكثر عرضة للخطر خلال النزاع، حيث أن النظام القبلي قد لعب دوراً حيوياً في توزيع المساعدات وتخصيصها على مستوى الجماعات، وخاصة في المواقع حيث عمل</w:t>
      </w:r>
      <w:r w:rsidRPr="002F7440">
        <w:rPr>
          <w:rFonts w:ascii="Traditional Arabic" w:eastAsiaTheme="minorHAnsi" w:hAnsi="Traditional Arabic" w:cs="Traditional Arabic" w:hint="cs"/>
          <w:sz w:val="30"/>
          <w:szCs w:val="30"/>
          <w:rtl/>
        </w:rPr>
        <w:t>ت</w:t>
      </w:r>
      <w:r w:rsidRPr="002F7440">
        <w:rPr>
          <w:rFonts w:ascii="Traditional Arabic" w:eastAsiaTheme="minorHAnsi" w:hAnsi="Traditional Arabic" w:cs="Traditional Arabic"/>
          <w:sz w:val="30"/>
          <w:szCs w:val="30"/>
          <w:rtl/>
        </w:rPr>
        <w:t xml:space="preserve"> فيها المنظمات الإنسانية "عن بعد"، وبالتالي استحال عليها مراقبة التوزيعات مباشرة</w:t>
      </w:r>
      <w:r w:rsidR="00767CD6" w:rsidRPr="00B91FAE">
        <w:rPr>
          <w:rStyle w:val="FootnoteReference"/>
          <w:rFonts w:asciiTheme="majorBidi" w:hAnsiTheme="majorBidi" w:cstheme="majorBidi"/>
        </w:rPr>
        <w:footnoteReference w:id="1334"/>
      </w:r>
      <w:r w:rsidRPr="002F7440">
        <w:rPr>
          <w:rFonts w:ascii="Traditional Arabic" w:eastAsiaTheme="minorHAnsi" w:hAnsi="Traditional Arabic" w:cs="Traditional Arabic"/>
          <w:sz w:val="30"/>
          <w:szCs w:val="30"/>
          <w:rtl/>
        </w:rPr>
        <w:t>. وتلقى فريق الخبراء مزاعم تفيد بإزالة عائلات "المهمشين" من عمليات التقييم وقوائم التوزيعات في تعز أو أنها تلقت سلل غذ</w:t>
      </w:r>
      <w:r w:rsidR="00C16701">
        <w:rPr>
          <w:rFonts w:ascii="Traditional Arabic" w:eastAsiaTheme="minorHAnsi" w:hAnsi="Traditional Arabic" w:cs="Traditional Arabic" w:hint="cs"/>
          <w:sz w:val="30"/>
          <w:szCs w:val="30"/>
          <w:rtl/>
        </w:rPr>
        <w:t>ائ</w:t>
      </w:r>
      <w:r w:rsidRPr="002F7440">
        <w:rPr>
          <w:rFonts w:ascii="Traditional Arabic" w:eastAsiaTheme="minorHAnsi" w:hAnsi="Traditional Arabic" w:cs="Traditional Arabic"/>
          <w:sz w:val="30"/>
          <w:szCs w:val="30"/>
          <w:rtl/>
        </w:rPr>
        <w:t>ية أقل من العدد المخصص لها</w:t>
      </w:r>
      <w:r w:rsidR="00767CD6" w:rsidRPr="00B91FAE">
        <w:rPr>
          <w:rStyle w:val="FootnoteReference"/>
          <w:rFonts w:asciiTheme="majorBidi" w:hAnsiTheme="majorBidi" w:cstheme="majorBidi"/>
        </w:rPr>
        <w:footnoteReference w:id="1335"/>
      </w:r>
      <w:r w:rsidRPr="002F7440">
        <w:rPr>
          <w:rFonts w:ascii="Traditional Arabic" w:eastAsiaTheme="minorHAnsi" w:hAnsi="Traditional Arabic" w:cs="Traditional Arabic"/>
          <w:sz w:val="30"/>
          <w:szCs w:val="30"/>
          <w:rtl/>
        </w:rPr>
        <w:t>. خلال الأيام الأولى من "حصار" تعز</w:t>
      </w:r>
      <w:r w:rsidR="00767CD6" w:rsidRPr="00B91FAE">
        <w:rPr>
          <w:rStyle w:val="FootnoteReference"/>
          <w:rFonts w:asciiTheme="majorBidi" w:hAnsiTheme="majorBidi" w:cstheme="majorBidi"/>
        </w:rPr>
        <w:footnoteReference w:id="1336"/>
      </w:r>
      <w:r w:rsidRPr="002F7440">
        <w:rPr>
          <w:rFonts w:ascii="Traditional Arabic" w:eastAsiaTheme="minorHAnsi" w:hAnsi="Traditional Arabic" w:cs="Traditional Arabic"/>
          <w:sz w:val="30"/>
          <w:szCs w:val="30"/>
        </w:rPr>
        <w:t xml:space="preserve"> </w:t>
      </w:r>
      <w:r w:rsidRPr="002F7440">
        <w:rPr>
          <w:rFonts w:ascii="Traditional Arabic" w:eastAsiaTheme="minorHAnsi" w:hAnsi="Traditional Arabic" w:cs="Traditional Arabic"/>
          <w:sz w:val="30"/>
          <w:szCs w:val="30"/>
          <w:rtl/>
        </w:rPr>
        <w:t xml:space="preserve">على أيدي </w:t>
      </w:r>
      <w:r w:rsidRPr="002F7440">
        <w:rPr>
          <w:rFonts w:ascii="Traditional Arabic" w:eastAsiaTheme="minorHAnsi" w:hAnsi="Traditional Arabic" w:cs="Traditional Arabic" w:hint="cs"/>
          <w:sz w:val="30"/>
          <w:szCs w:val="30"/>
          <w:rtl/>
        </w:rPr>
        <w:t>مقاتلي</w:t>
      </w:r>
      <w:r w:rsidRPr="002F7440">
        <w:rPr>
          <w:rFonts w:ascii="Traditional Arabic" w:eastAsiaTheme="minorHAnsi" w:hAnsi="Traditional Arabic" w:cs="Traditional Arabic"/>
          <w:sz w:val="30"/>
          <w:szCs w:val="30"/>
          <w:rtl/>
        </w:rPr>
        <w:t xml:space="preserve"> الحوثيين - صالح، انتقل العديد من "المهمشين" الذين كانوا يقيمون داخل المدينة حتى ذلك الحين إلى منطقة الحوبان التي تخضع حاليًا لسيطرة سلطات الأمر الواقع. وواصل معظمهم العيش في مستوطنات عشوائية. وقد عانى البعض من عمليات النزوح المتعددة حيث لم يُسمح لهم بالعيش على أراض خاصة وانتقلوا إلى مناطق نائية و</w:t>
      </w:r>
      <w:r w:rsidRPr="002F7440">
        <w:rPr>
          <w:rFonts w:ascii="Traditional Arabic" w:eastAsiaTheme="minorHAnsi" w:hAnsi="Traditional Arabic" w:cs="Traditional Arabic"/>
          <w:sz w:val="30"/>
          <w:szCs w:val="30"/>
          <w:rtl/>
          <w:lang w:bidi="ar-LB"/>
        </w:rPr>
        <w:t>بريّة</w:t>
      </w:r>
      <w:r w:rsidR="00767CD6" w:rsidRPr="00B91FAE">
        <w:rPr>
          <w:rStyle w:val="FootnoteReference"/>
          <w:rFonts w:asciiTheme="majorBidi" w:hAnsiTheme="majorBidi" w:cstheme="majorBidi"/>
        </w:rPr>
        <w:footnoteReference w:id="1337"/>
      </w:r>
      <w:r w:rsidRPr="002F7440">
        <w:rPr>
          <w:rFonts w:ascii="Traditional Arabic" w:eastAsiaTheme="minorHAnsi" w:hAnsi="Traditional Arabic" w:cs="Traditional Arabic"/>
          <w:sz w:val="30"/>
          <w:szCs w:val="30"/>
          <w:rtl/>
        </w:rPr>
        <w:t>. تلقى فريق الخبراء ثلاثة تقارير تفيد عن مقتل "مهمشين" بنيران القناصة على الخطوط الأمامية في تعز أثناء محاولتهم كسب عيشهم، مثل غسل السيارات عند نقاط العبور. وفي إحدى الحالات، أُفيد عن والدة شاب أصيبت برصاص قناص أثناء محاولة إنقاذ ابنها</w:t>
      </w:r>
      <w:r w:rsidRPr="002F7440">
        <w:rPr>
          <w:rFonts w:ascii="Traditional Arabic" w:eastAsiaTheme="minorHAnsi" w:hAnsi="Traditional Arabic" w:cs="Traditional Arabic" w:hint="cs"/>
          <w:sz w:val="30"/>
          <w:szCs w:val="30"/>
          <w:rtl/>
        </w:rPr>
        <w:t xml:space="preserve"> الذي أصيب في تلك اللحظة</w:t>
      </w:r>
      <w:r w:rsidRPr="002F7440">
        <w:rPr>
          <w:rFonts w:ascii="Traditional Arabic" w:eastAsiaTheme="minorHAnsi" w:hAnsi="Traditional Arabic" w:cs="Traditional Arabic"/>
          <w:sz w:val="30"/>
          <w:szCs w:val="30"/>
          <w:rtl/>
        </w:rPr>
        <w:t>.</w:t>
      </w:r>
      <w:r w:rsidR="00767CD6" w:rsidRPr="00767CD6">
        <w:rPr>
          <w:rStyle w:val="Heading2Char"/>
          <w:rFonts w:asciiTheme="majorBidi" w:hAnsiTheme="majorBidi" w:cstheme="majorBidi"/>
        </w:rPr>
        <w:t xml:space="preserve"> </w:t>
      </w:r>
      <w:r w:rsidR="00767CD6" w:rsidRPr="00B91FAE">
        <w:rPr>
          <w:rStyle w:val="FootnoteReference"/>
          <w:rFonts w:asciiTheme="majorBidi" w:hAnsiTheme="majorBidi" w:cstheme="majorBidi"/>
        </w:rPr>
        <w:footnoteReference w:id="1338"/>
      </w:r>
      <w:r w:rsidRPr="002F7440">
        <w:rPr>
          <w:rFonts w:ascii="Traditional Arabic" w:eastAsiaTheme="minorHAnsi" w:hAnsi="Traditional Arabic" w:cs="Traditional Arabic"/>
          <w:sz w:val="30"/>
          <w:szCs w:val="30"/>
          <w:rtl/>
        </w:rPr>
        <w:t>وأصبح الوصول إلى المدارس والجامعات أكثر صعوبة، حيث أغلقت الطرق المؤدية إلى تعز أثناء النزاع، مما أجبر الناس على القيام برحلات طويلة ومكلفة، وكان "المهمشون" من بين العديد من الطلاب الذين لم يتمكنوا من تحمّل التكاليف</w:t>
      </w:r>
      <w:r w:rsidR="00767CD6" w:rsidRPr="00B91FAE">
        <w:rPr>
          <w:rStyle w:val="FootnoteReference"/>
          <w:rFonts w:asciiTheme="majorBidi" w:hAnsiTheme="majorBidi" w:cstheme="majorBidi"/>
        </w:rPr>
        <w:footnoteReference w:id="1339"/>
      </w:r>
      <w:r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sz w:val="30"/>
          <w:szCs w:val="30"/>
          <w:rtl/>
        </w:rPr>
        <w:lastRenderedPageBreak/>
        <w:t>وصف مستجوبون لفريق الخبراء مدى المعاناة اليومية خلال النزاع، بما في ذلك الصعوبات في قبول أطفالهم في المدرسة، أو حتى عدم قدرتهم على شراء "ملابس نظيفة" لهم</w:t>
      </w:r>
      <w:r w:rsidRPr="002F7440">
        <w:rPr>
          <w:rFonts w:ascii="Traditional Arabic" w:eastAsiaTheme="minorHAnsi" w:hAnsi="Traditional Arabic" w:cs="Traditional Arabic"/>
          <w:sz w:val="30"/>
          <w:szCs w:val="30"/>
        </w:rPr>
        <w:t>.</w:t>
      </w:r>
      <w:r w:rsidR="00767CD6" w:rsidRPr="00B91FAE">
        <w:rPr>
          <w:rStyle w:val="FootnoteReference"/>
          <w:rFonts w:asciiTheme="majorBidi" w:hAnsiTheme="majorBidi" w:cstheme="majorBidi"/>
        </w:rPr>
        <w:footnoteReference w:id="1340"/>
      </w:r>
    </w:p>
    <w:p w14:paraId="5694C3FC" w14:textId="41E0CD9F" w:rsidR="002F7440" w:rsidRPr="002F7440" w:rsidRDefault="002F7440" w:rsidP="00C16701">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 xml:space="preserve">بينما أطاح النزاع بحياة جميع اليمنيين، فقد أثر على "المهمشين" وعلى </w:t>
      </w:r>
      <w:r w:rsidR="00C16701">
        <w:rPr>
          <w:rFonts w:ascii="Traditional Arabic" w:eastAsiaTheme="minorHAnsi" w:hAnsi="Traditional Arabic" w:cs="Traditional Arabic" w:hint="cs"/>
          <w:sz w:val="30"/>
          <w:szCs w:val="30"/>
          <w:rtl/>
        </w:rPr>
        <w:t>فئات</w:t>
      </w:r>
      <w:r w:rsidRPr="002F7440">
        <w:rPr>
          <w:rFonts w:ascii="Traditional Arabic" w:eastAsiaTheme="minorHAnsi" w:hAnsi="Traditional Arabic" w:cs="Traditional Arabic"/>
          <w:sz w:val="30"/>
          <w:szCs w:val="30"/>
          <w:rtl/>
        </w:rPr>
        <w:t xml:space="preserve"> ضعيفة أخرى، بطرق غير متناسبة. تُظهر الحالات التي وثقها فريق الخبراء أن "المهمشين"، أثناء البحث عن آليات للتغلب على آثار النزاع على حياتهم، تعرضوا لمخاطر إضافية، مثل العمل بالقرب من الخطوط الأمامية، أو الانتقال إلى مناطق غير صالحة للسكن، أو الانضمام الى جماعات مسلحة مختلفة. ويسلّط هذا القسم الضوء على المخاطر التي يتعرضون لها نتيجة للتمييز المستشري الذي يواجهونه والذي تفاقم بسبب النزاع، فضلاً عن حاجتهم إلى مزيد من الحماية من جانب جميع أطراف النزاع في ضوء تزايد حالة ضعفهم</w:t>
      </w:r>
      <w:r w:rsidRPr="002F7440">
        <w:rPr>
          <w:rFonts w:ascii="Traditional Arabic" w:eastAsiaTheme="minorHAnsi" w:hAnsi="Traditional Arabic" w:cs="Traditional Arabic"/>
          <w:sz w:val="30"/>
          <w:szCs w:val="30"/>
        </w:rPr>
        <w:t>.</w:t>
      </w:r>
    </w:p>
    <w:p w14:paraId="242F7A28"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الاعتقال والاحتجاز التعسفي، الوفاة بسبب الإصابات نتيجة التعذيب</w:t>
      </w:r>
    </w:p>
    <w:p w14:paraId="4C6E21AE" w14:textId="1B5CE508"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حقق فريق الخبراء</w:t>
      </w:r>
      <w:r w:rsidR="00767CD6" w:rsidRPr="00B91FAE">
        <w:rPr>
          <w:rStyle w:val="FootnoteReference"/>
          <w:rFonts w:asciiTheme="majorBidi" w:hAnsiTheme="majorBidi" w:cstheme="majorBidi"/>
        </w:rPr>
        <w:footnoteReference w:id="1341"/>
      </w:r>
      <w:r w:rsidR="00767CD6">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sz w:val="30"/>
          <w:szCs w:val="30"/>
          <w:rtl/>
        </w:rPr>
        <w:t xml:space="preserve">في 10 حالات مزعومة (فتيان، وامرأة، وسبعة رجال) من الاعتقال والاحتجاز التعسفيين والتعذيب والعنف الجنسي </w:t>
      </w:r>
      <w:r w:rsidRPr="002F7440">
        <w:rPr>
          <w:rFonts w:ascii="Traditional Arabic" w:eastAsiaTheme="minorHAnsi" w:hAnsi="Traditional Arabic" w:cs="Traditional Arabic" w:hint="cs"/>
          <w:sz w:val="30"/>
          <w:szCs w:val="30"/>
          <w:rtl/>
          <w:lang w:bidi="ar-YE"/>
        </w:rPr>
        <w:t xml:space="preserve">ضد </w:t>
      </w:r>
      <w:r w:rsidRPr="002F7440">
        <w:rPr>
          <w:rFonts w:ascii="Traditional Arabic" w:eastAsiaTheme="minorHAnsi" w:hAnsi="Traditional Arabic" w:cs="Traditional Arabic"/>
          <w:sz w:val="30"/>
          <w:szCs w:val="30"/>
          <w:rtl/>
        </w:rPr>
        <w:t>أفراد من مجتمع "المهمشين" في تعز. وفي حالتين، تمّ إطلاق سراح المحتجزين بعد فترات طويلة من الاختفاء القسري والتعذيب، وتوفيا بعد فترة وجيزة، نتيجة للإصابات التي لحقت بهما أثناء الاحتجاز بحسب ما أُفيد. في جميع الحالات، لعبت مواطن الضعف الاجتماعية والاقتصادية التي يواجهها الضحايا بصفتهم من "المهمشين" دورًا أساسياً في تعريضهم لمخاطر انتهاكات حقوق الإنسان، أو في تفاقم حالتهم</w:t>
      </w:r>
      <w:r w:rsidRPr="002F7440">
        <w:rPr>
          <w:rFonts w:ascii="Traditional Arabic" w:eastAsiaTheme="minorHAnsi" w:hAnsi="Traditional Arabic" w:cs="Traditional Arabic"/>
          <w:sz w:val="30"/>
          <w:szCs w:val="30"/>
        </w:rPr>
        <w:t>.</w:t>
      </w:r>
    </w:p>
    <w:p w14:paraId="380EDF30" w14:textId="5F0945D5" w:rsidR="002F7440" w:rsidRPr="002F7440" w:rsidRDefault="002F7440" w:rsidP="00767CD6">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 إحدى الحالات التي وثقها فريق الخبراء</w:t>
      </w:r>
      <w:r w:rsidR="00767CD6" w:rsidRPr="00B91FAE">
        <w:rPr>
          <w:rStyle w:val="FootnoteReference"/>
          <w:rFonts w:asciiTheme="majorBidi" w:hAnsiTheme="majorBidi" w:cstheme="majorBidi"/>
        </w:rPr>
        <w:footnoteReference w:id="1342"/>
      </w:r>
      <w:r w:rsidRPr="002F7440">
        <w:rPr>
          <w:rFonts w:ascii="Traditional Arabic" w:eastAsiaTheme="minorHAnsi" w:hAnsi="Traditional Arabic" w:cs="Traditional Arabic"/>
          <w:sz w:val="30"/>
          <w:szCs w:val="30"/>
          <w:rtl/>
        </w:rPr>
        <w:t>، أفيد عن قيام عناصر من الحوثيين بأخذ شاب من "المهمشين" من شوارع تعز، على مقربة من المكان الذي كان يعمل فيه في تنظيف السيارات. تمّ اتهامه بالعمل لمصلحة "الجانب الآخر"، وأشير إليه باسم "الداعشي"</w:t>
      </w:r>
      <w:r w:rsidR="00767CD6" w:rsidRPr="00B91FAE">
        <w:rPr>
          <w:rStyle w:val="FootnoteReference"/>
          <w:rFonts w:asciiTheme="majorBidi" w:hAnsiTheme="majorBidi" w:cstheme="majorBidi"/>
        </w:rPr>
        <w:footnoteReference w:id="1343"/>
      </w:r>
      <w:r w:rsidRPr="002F7440">
        <w:rPr>
          <w:rFonts w:ascii="Traditional Arabic" w:eastAsiaTheme="minorHAnsi" w:hAnsi="Traditional Arabic" w:cs="Traditional Arabic"/>
          <w:sz w:val="30"/>
          <w:szCs w:val="30"/>
          <w:rtl/>
        </w:rPr>
        <w:t xml:space="preserve">. أخفي قسراً، وتعرّض للعنف الجنسي وغيره من أشكال التعذيب، مما أدى إلى إلحاق ضرر شديد في خصيتيه وكليتيه نتيجة الضرب. وأُفيد بأنه أطلق سراحه عندما وجده </w:t>
      </w:r>
      <w:r w:rsidRPr="002F7440">
        <w:rPr>
          <w:rFonts w:ascii="Traditional Arabic" w:eastAsiaTheme="minorHAnsi" w:hAnsi="Traditional Arabic" w:cs="Traditional Arabic" w:hint="cs"/>
          <w:sz w:val="30"/>
          <w:szCs w:val="30"/>
          <w:rtl/>
        </w:rPr>
        <w:t>فاعل</w:t>
      </w:r>
      <w:r w:rsidRPr="002F7440">
        <w:rPr>
          <w:rFonts w:ascii="Traditional Arabic" w:eastAsiaTheme="minorHAnsi" w:hAnsi="Traditional Arabic" w:cs="Traditional Arabic"/>
          <w:sz w:val="30"/>
          <w:szCs w:val="30"/>
          <w:rtl/>
        </w:rPr>
        <w:t xml:space="preserve"> خير في السجن ودفع </w:t>
      </w:r>
      <w:r w:rsidRPr="002F7440">
        <w:rPr>
          <w:rFonts w:ascii="Traditional Arabic" w:eastAsiaTheme="minorHAnsi" w:hAnsi="Traditional Arabic" w:cs="Traditional Arabic" w:hint="cs"/>
          <w:sz w:val="30"/>
          <w:szCs w:val="30"/>
          <w:rtl/>
        </w:rPr>
        <w:t>مبالغ ماليه</w:t>
      </w:r>
      <w:r w:rsidRPr="002F7440">
        <w:rPr>
          <w:rFonts w:ascii="Traditional Arabic" w:eastAsiaTheme="minorHAnsi" w:hAnsi="Traditional Arabic" w:cs="Traditional Arabic"/>
          <w:sz w:val="30"/>
          <w:szCs w:val="30"/>
          <w:rtl/>
        </w:rPr>
        <w:t xml:space="preserve"> </w:t>
      </w:r>
      <w:r w:rsidRPr="002F7440">
        <w:rPr>
          <w:rFonts w:ascii="Traditional Arabic" w:eastAsiaTheme="minorHAnsi" w:hAnsi="Traditional Arabic" w:cs="Traditional Arabic" w:hint="cs"/>
          <w:sz w:val="30"/>
          <w:szCs w:val="30"/>
          <w:rtl/>
        </w:rPr>
        <w:t>ل</w:t>
      </w:r>
      <w:r w:rsidRPr="002F7440">
        <w:rPr>
          <w:rFonts w:ascii="Traditional Arabic" w:eastAsiaTheme="minorHAnsi" w:hAnsi="Traditional Arabic" w:cs="Traditional Arabic"/>
          <w:sz w:val="30"/>
          <w:szCs w:val="30"/>
          <w:rtl/>
        </w:rPr>
        <w:t>إطلاق سراحه. وتوفي في النهاية في المستشفى، نتيجةً لإصاباته المستمرة التي تفاقمت بسبب عدم توفر الرعاية الطبية العاجلة. وقد استعرض فريق الخبراء لقطات مصوّرة للضحية حيث يروي محنته في المستشفى قبل وفاته. وأدى ضعفه الاجتماعي والاقتصادي إلى تفاقم حالته الطبية لأن أسرته لم تكن قادرة على تحمّل تكاليف الرعاية الطبية المطلوبة</w:t>
      </w:r>
      <w:r w:rsidRPr="002F7440">
        <w:rPr>
          <w:rFonts w:ascii="Traditional Arabic" w:eastAsiaTheme="minorHAnsi" w:hAnsi="Traditional Arabic" w:cs="Traditional Arabic"/>
          <w:sz w:val="30"/>
          <w:szCs w:val="30"/>
        </w:rPr>
        <w:t>.</w:t>
      </w:r>
    </w:p>
    <w:p w14:paraId="4726EFEF" w14:textId="1D436613" w:rsidR="002F7440" w:rsidRPr="003B0724" w:rsidRDefault="002F7440" w:rsidP="000B4D15">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b/>
          <w:bCs/>
          <w:i/>
          <w:iCs/>
          <w:sz w:val="30"/>
          <w:szCs w:val="30"/>
          <w:rtl/>
        </w:rPr>
      </w:pPr>
      <w:r w:rsidRPr="002F7440">
        <w:rPr>
          <w:rFonts w:ascii="Traditional Arabic" w:eastAsiaTheme="minorHAnsi" w:hAnsi="Traditional Arabic" w:cs="Traditional Arabic"/>
          <w:sz w:val="30"/>
          <w:szCs w:val="30"/>
          <w:rtl/>
        </w:rPr>
        <w:t xml:space="preserve">كما حقق </w:t>
      </w:r>
      <w:r w:rsidRPr="002F7440">
        <w:rPr>
          <w:rFonts w:ascii="Traditional Arabic" w:eastAsiaTheme="minorHAnsi" w:hAnsi="Traditional Arabic" w:cs="Traditional Arabic"/>
          <w:sz w:val="30"/>
          <w:szCs w:val="30"/>
          <w:rtl/>
          <w:lang w:bidi="ar-LB"/>
        </w:rPr>
        <w:t>فريق الخبراء</w:t>
      </w:r>
      <w:r w:rsidR="00767CD6" w:rsidRPr="00B91FAE">
        <w:rPr>
          <w:rStyle w:val="FootnoteReference"/>
          <w:rFonts w:asciiTheme="majorBidi" w:hAnsiTheme="majorBidi" w:cstheme="majorBidi"/>
        </w:rPr>
        <w:footnoteReference w:id="1344"/>
      </w:r>
      <w:r w:rsidRPr="002F7440">
        <w:rPr>
          <w:rFonts w:ascii="Traditional Arabic" w:eastAsiaTheme="minorHAnsi" w:hAnsi="Traditional Arabic" w:cs="Traditional Arabic"/>
          <w:sz w:val="30"/>
          <w:szCs w:val="30"/>
          <w:rtl/>
          <w:lang w:bidi="ar-LB"/>
        </w:rPr>
        <w:t xml:space="preserve"> </w:t>
      </w:r>
      <w:r w:rsidRPr="002F7440">
        <w:rPr>
          <w:rFonts w:ascii="Traditional Arabic" w:eastAsiaTheme="minorHAnsi" w:hAnsi="Traditional Arabic" w:cs="Traditional Arabic"/>
          <w:sz w:val="30"/>
          <w:szCs w:val="30"/>
          <w:rtl/>
        </w:rPr>
        <w:t xml:space="preserve">في قضية رجل من "المهمشين" أفيد أنه توفي نتيجة لحالته الطبية بعد التعذيب. كما أُفيد عن قيام الحوثيين بخطف الضحية </w:t>
      </w:r>
      <w:r w:rsidR="000B4D15" w:rsidRPr="00B91FAE">
        <w:rPr>
          <w:rStyle w:val="FootnoteReference"/>
          <w:rFonts w:asciiTheme="majorBidi" w:hAnsiTheme="majorBidi" w:cstheme="majorBidi"/>
        </w:rPr>
        <w:footnoteReference w:id="1345"/>
      </w:r>
      <w:r w:rsidRPr="002F7440">
        <w:rPr>
          <w:rFonts w:ascii="Traditional Arabic" w:eastAsiaTheme="minorHAnsi" w:hAnsi="Traditional Arabic" w:cs="Traditional Arabic"/>
          <w:sz w:val="30"/>
          <w:szCs w:val="30"/>
        </w:rPr>
        <w:t xml:space="preserve"> </w:t>
      </w:r>
      <w:r w:rsidRPr="002F7440">
        <w:rPr>
          <w:rFonts w:ascii="Traditional Arabic" w:eastAsiaTheme="minorHAnsi" w:hAnsi="Traditional Arabic" w:cs="Traditional Arabic"/>
          <w:sz w:val="30"/>
          <w:szCs w:val="30"/>
          <w:rtl/>
        </w:rPr>
        <w:t xml:space="preserve">من </w:t>
      </w:r>
      <w:r w:rsidRPr="002F7440">
        <w:rPr>
          <w:rFonts w:ascii="Traditional Arabic" w:eastAsiaTheme="minorHAnsi" w:hAnsi="Traditional Arabic" w:cs="Traditional Arabic"/>
          <w:sz w:val="30"/>
          <w:szCs w:val="30"/>
          <w:rtl/>
        </w:rPr>
        <w:lastRenderedPageBreak/>
        <w:t>منزله في الحوبان في 4 أبريل / نيسان 2017 أمام أسرته وأطفاله ومع أحد أبناء عمّه. تم احتجازه في سجن الحوبان (سجن صالح) ثم نُقل إلى سجن الأمن السياسي في صنعاء. لم تتمكن أسرته من رؤيته طوال فترة احتجازه. وعلى غرار العديد من الأشخاص الذين يُعتقد أنهم لا يدعمون الحوثيين، فقد اتُهم أيضًا بأنه "داعشي" (راجع فصل تعز لمزيد من التفاصيل). كان مريضاً جداً لدى إطلاق سراحه، وتم نقله إلى المستشفى بعد فترة وجيزة، حيث تبيّن أنه فقد رئته اليسرى. وتوفي نتيجة لحالته الطبية. لقد تحقق فريق الخبراء من اختفائه القسري من غير أن يستطيع التأكد من سبب وفاته تماماً. وورد أن الحوثيين اختطفوا ثمانية أفراد آخرين من العائلة نفسها، وجميعهم من الرجال، في الحوبان. ثلاثة منهم كانوا لا يزالون مختفين وقت كتابة هذا التقرير. وأُفيد بأنه تم احتجازهم جميعاً بدون توجيه تهم إليهم. تلقى فريق الخبراء تقارير تفيد بأن الحوادث كانت مرتبطة ب</w:t>
      </w:r>
      <w:r w:rsidRPr="002F7440">
        <w:rPr>
          <w:rFonts w:ascii="Traditional Arabic" w:eastAsiaTheme="minorHAnsi" w:hAnsi="Traditional Arabic" w:cs="Traditional Arabic"/>
          <w:sz w:val="30"/>
          <w:szCs w:val="30"/>
          <w:rtl/>
          <w:lang w:bidi="ar-LB"/>
        </w:rPr>
        <w:t>ال</w:t>
      </w:r>
      <w:r w:rsidRPr="002F7440">
        <w:rPr>
          <w:rFonts w:ascii="Traditional Arabic" w:eastAsiaTheme="minorHAnsi" w:hAnsi="Traditional Arabic" w:cs="Traditional Arabic"/>
          <w:sz w:val="30"/>
          <w:szCs w:val="30"/>
          <w:rtl/>
        </w:rPr>
        <w:t>ضغط الذي مارسه الحوثيين لتجنيد الرجال بالقوة</w:t>
      </w:r>
      <w:r w:rsidRPr="002F7440">
        <w:rPr>
          <w:rFonts w:ascii="Traditional Arabic" w:eastAsiaTheme="minorHAnsi" w:hAnsi="Traditional Arabic" w:cs="Traditional Arabic"/>
          <w:b/>
          <w:bCs/>
          <w:i/>
          <w:iCs/>
          <w:sz w:val="30"/>
          <w:szCs w:val="30"/>
        </w:rPr>
        <w:t>.</w:t>
      </w:r>
    </w:p>
    <w:p w14:paraId="3BCF8874" w14:textId="77777777" w:rsidR="002F7440" w:rsidRPr="002F7440" w:rsidRDefault="002F7440" w:rsidP="002F7440">
      <w:pPr>
        <w:tabs>
          <w:tab w:val="right" w:pos="1952"/>
        </w:tabs>
        <w:suppressAutoHyphens w:val="0"/>
        <w:bidi/>
        <w:spacing w:after="120" w:line="259" w:lineRule="auto"/>
        <w:ind w:right="828" w:firstLine="1142"/>
        <w:contextualSpacing/>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i/>
          <w:iCs/>
          <w:sz w:val="30"/>
          <w:szCs w:val="30"/>
          <w:rtl/>
        </w:rPr>
        <w:t xml:space="preserve">فرض  الحوثييون التجنيد الاجباري </w:t>
      </w:r>
      <w:r w:rsidRPr="002F7440">
        <w:rPr>
          <w:rFonts w:ascii="Traditional Arabic" w:eastAsiaTheme="minorHAnsi" w:hAnsi="Traditional Arabic" w:cs="Traditional Arabic" w:hint="cs"/>
          <w:i/>
          <w:iCs/>
          <w:sz w:val="30"/>
          <w:szCs w:val="30"/>
          <w:rtl/>
        </w:rPr>
        <w:t>والتجنيد ل</w:t>
      </w:r>
      <w:r w:rsidRPr="002F7440">
        <w:rPr>
          <w:rFonts w:ascii="Traditional Arabic" w:eastAsiaTheme="minorHAnsi" w:hAnsi="Traditional Arabic" w:cs="Traditional Arabic"/>
          <w:i/>
          <w:iCs/>
          <w:sz w:val="30"/>
          <w:szCs w:val="30"/>
          <w:rtl/>
        </w:rPr>
        <w:t>لقوات المسلحة اليمنية بقيادة</w:t>
      </w:r>
      <w:r w:rsidRPr="002F7440">
        <w:rPr>
          <w:rFonts w:ascii="Traditional Arabic" w:eastAsiaTheme="minorHAnsi" w:hAnsi="Traditional Arabic" w:cs="Traditional Arabic" w:hint="cs"/>
          <w:i/>
          <w:iCs/>
          <w:sz w:val="30"/>
          <w:szCs w:val="30"/>
          <w:rtl/>
        </w:rPr>
        <w:t xml:space="preserve"> المملكة العربية </w:t>
      </w:r>
      <w:r w:rsidRPr="002F7440">
        <w:rPr>
          <w:rFonts w:ascii="Traditional Arabic" w:eastAsiaTheme="minorHAnsi" w:hAnsi="Traditional Arabic" w:cs="Traditional Arabic"/>
          <w:i/>
          <w:iCs/>
          <w:sz w:val="30"/>
          <w:szCs w:val="30"/>
          <w:rtl/>
        </w:rPr>
        <w:t>السعودية</w:t>
      </w:r>
    </w:p>
    <w:p w14:paraId="23B2A1CF" w14:textId="294DD6DE" w:rsidR="002F7440" w:rsidRPr="002F7440" w:rsidRDefault="002F7440" w:rsidP="009A53DC">
      <w:pPr>
        <w:tabs>
          <w:tab w:val="right" w:pos="1592"/>
        </w:tabs>
        <w:suppressAutoHyphens w:val="0"/>
        <w:bidi/>
        <w:spacing w:after="120" w:line="259" w:lineRule="auto"/>
        <w:ind w:left="1701" w:right="828"/>
        <w:contextualSpacing/>
        <w:rPr>
          <w:rFonts w:ascii="Traditional Arabic" w:eastAsiaTheme="minorHAnsi" w:hAnsi="Traditional Arabic" w:cs="Traditional Arabic"/>
          <w:i/>
          <w:iCs/>
          <w:sz w:val="30"/>
          <w:szCs w:val="30"/>
        </w:rPr>
      </w:pPr>
      <w:r w:rsidRPr="002F7440">
        <w:rPr>
          <w:rFonts w:ascii="Traditional Arabic" w:eastAsiaTheme="minorHAnsi" w:hAnsi="Traditional Arabic" w:cs="Traditional Arabic"/>
          <w:i/>
          <w:iCs/>
          <w:sz w:val="30"/>
          <w:szCs w:val="30"/>
        </w:rPr>
        <w:t xml:space="preserve">  </w:t>
      </w:r>
      <w:r w:rsidR="00C16701">
        <w:rPr>
          <w:rFonts w:ascii="Traditional Arabic" w:eastAsiaTheme="minorHAnsi" w:hAnsi="Traditional Arabic" w:cs="Traditional Arabic" w:hint="cs"/>
          <w:i/>
          <w:iCs/>
          <w:sz w:val="30"/>
          <w:szCs w:val="30"/>
          <w:rtl/>
        </w:rPr>
        <w:t>"</w:t>
      </w:r>
      <w:r w:rsidR="00C16701" w:rsidRPr="002F7440">
        <w:rPr>
          <w:rFonts w:ascii="Traditional Arabic" w:eastAsiaTheme="minorHAnsi" w:hAnsi="Traditional Arabic" w:cs="Traditional Arabic"/>
          <w:i/>
          <w:iCs/>
          <w:sz w:val="30"/>
          <w:szCs w:val="30"/>
        </w:rPr>
        <w:t> </w:t>
      </w:r>
      <w:r w:rsidR="00C16701">
        <w:rPr>
          <w:rFonts w:ascii="Traditional Arabic" w:eastAsiaTheme="minorHAnsi" w:hAnsi="Traditional Arabic" w:cs="Traditional Arabic" w:hint="cs"/>
          <w:i/>
          <w:iCs/>
          <w:sz w:val="30"/>
          <w:szCs w:val="30"/>
          <w:rtl/>
        </w:rPr>
        <w:t>ما في أي عمل وأخي راح قال لأمي "دعيلي ياما وأنا انشالله اجمعلك فلوس واروح أسعدك ما كتب الله." انه يسعدنا... يوم الدفن أمي ما شفته. لليوم هذا</w:t>
      </w:r>
      <w:r w:rsidR="009A53DC" w:rsidRPr="009A53DC">
        <w:rPr>
          <w:rFonts w:ascii="Traditional Arabic" w:eastAsiaTheme="minorHAnsi" w:hAnsi="Traditional Arabic" w:cs="Traditional Arabic" w:hint="cs"/>
          <w:i/>
          <w:iCs/>
          <w:sz w:val="30"/>
          <w:szCs w:val="30"/>
          <w:rtl/>
        </w:rPr>
        <w:t xml:space="preserve"> </w:t>
      </w:r>
      <w:r w:rsidR="009A53DC">
        <w:rPr>
          <w:rFonts w:ascii="Traditional Arabic" w:eastAsiaTheme="minorHAnsi" w:hAnsi="Traditional Arabic" w:cs="Traditional Arabic" w:hint="cs"/>
          <w:i/>
          <w:iCs/>
          <w:sz w:val="30"/>
          <w:szCs w:val="30"/>
          <w:rtl/>
        </w:rPr>
        <w:t xml:space="preserve">وهي </w:t>
      </w:r>
      <w:r w:rsidR="009A53DC" w:rsidRPr="002F7440">
        <w:rPr>
          <w:rFonts w:ascii="Traditional Arabic" w:eastAsiaTheme="minorHAnsi" w:hAnsi="Traditional Arabic" w:cs="Traditional Arabic"/>
          <w:i/>
          <w:iCs/>
          <w:sz w:val="30"/>
          <w:szCs w:val="30"/>
          <w:rtl/>
        </w:rPr>
        <w:t xml:space="preserve"> تبكي</w:t>
      </w:r>
      <w:r w:rsidR="009A53DC">
        <w:rPr>
          <w:rFonts w:ascii="Traditional Arabic" w:eastAsiaTheme="minorHAnsi" w:hAnsi="Traditional Arabic" w:cs="Traditional Arabic" w:hint="cs"/>
          <w:i/>
          <w:iCs/>
          <w:sz w:val="30"/>
          <w:szCs w:val="30"/>
          <w:rtl/>
        </w:rPr>
        <w:t>...</w:t>
      </w:r>
      <w:r w:rsidRPr="002F7440">
        <w:rPr>
          <w:rFonts w:ascii="Traditional Arabic" w:eastAsiaTheme="minorHAnsi" w:hAnsi="Traditional Arabic" w:cs="Traditional Arabic"/>
          <w:i/>
          <w:iCs/>
          <w:sz w:val="30"/>
          <w:szCs w:val="30"/>
        </w:rPr>
        <w:t>"</w:t>
      </w:r>
    </w:p>
    <w:p w14:paraId="16F6499C" w14:textId="77777777" w:rsidR="002F7440" w:rsidRPr="002F7440" w:rsidRDefault="002F7440" w:rsidP="002F7440">
      <w:pPr>
        <w:suppressAutoHyphens w:val="0"/>
        <w:bidi/>
        <w:spacing w:after="120" w:line="259" w:lineRule="auto"/>
        <w:ind w:left="1701" w:right="828"/>
        <w:contextualSpacing/>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شاب من مجتمع "المهمشين" يتحدث عن</w:t>
      </w:r>
    </w:p>
    <w:p w14:paraId="01729D1F" w14:textId="1B450723" w:rsidR="002F7440" w:rsidRPr="002F7440" w:rsidRDefault="002F7440" w:rsidP="009A53DC">
      <w:pPr>
        <w:suppressAutoHyphens w:val="0"/>
        <w:bidi/>
        <w:spacing w:after="120" w:line="259" w:lineRule="auto"/>
        <w:ind w:left="1701" w:right="828"/>
        <w:contextualSpacing/>
        <w:jc w:val="right"/>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شقيقه الذي مات وهو يقاتل مع</w:t>
      </w:r>
      <w:r w:rsidR="009A53DC">
        <w:rPr>
          <w:rFonts w:ascii="Traditional Arabic" w:eastAsiaTheme="minorHAnsi" w:hAnsi="Traditional Arabic" w:cs="Traditional Arabic" w:hint="cs"/>
          <w:b/>
          <w:bCs/>
          <w:sz w:val="30"/>
          <w:szCs w:val="30"/>
          <w:rtl/>
        </w:rPr>
        <w:t xml:space="preserve"> طرف من</w:t>
      </w:r>
      <w:r w:rsidRPr="002F7440">
        <w:rPr>
          <w:rFonts w:ascii="Traditional Arabic" w:eastAsiaTheme="minorHAnsi" w:hAnsi="Traditional Arabic" w:cs="Traditional Arabic"/>
          <w:b/>
          <w:bCs/>
          <w:sz w:val="30"/>
          <w:szCs w:val="30"/>
          <w:rtl/>
        </w:rPr>
        <w:t xml:space="preserve"> </w:t>
      </w:r>
      <w:r w:rsidR="009A53DC">
        <w:rPr>
          <w:rFonts w:ascii="Traditional Arabic" w:eastAsiaTheme="minorHAnsi" w:hAnsi="Traditional Arabic" w:cs="Traditional Arabic" w:hint="cs"/>
          <w:b/>
          <w:bCs/>
          <w:sz w:val="30"/>
          <w:szCs w:val="30"/>
          <w:rtl/>
        </w:rPr>
        <w:t>أ</w:t>
      </w:r>
      <w:r w:rsidRPr="002F7440">
        <w:rPr>
          <w:rFonts w:ascii="Traditional Arabic" w:eastAsiaTheme="minorHAnsi" w:hAnsi="Traditional Arabic" w:cs="Traditional Arabic"/>
          <w:b/>
          <w:bCs/>
          <w:sz w:val="30"/>
          <w:szCs w:val="30"/>
          <w:rtl/>
        </w:rPr>
        <w:t>طر</w:t>
      </w:r>
      <w:r w:rsidR="009A53DC">
        <w:rPr>
          <w:rFonts w:ascii="Traditional Arabic" w:eastAsiaTheme="minorHAnsi" w:hAnsi="Traditional Arabic" w:cs="Traditional Arabic" w:hint="cs"/>
          <w:b/>
          <w:bCs/>
          <w:sz w:val="30"/>
          <w:szCs w:val="30"/>
          <w:rtl/>
        </w:rPr>
        <w:t>ا</w:t>
      </w:r>
      <w:r w:rsidRPr="002F7440">
        <w:rPr>
          <w:rFonts w:ascii="Traditional Arabic" w:eastAsiaTheme="minorHAnsi" w:hAnsi="Traditional Arabic" w:cs="Traditional Arabic"/>
          <w:b/>
          <w:bCs/>
          <w:sz w:val="30"/>
          <w:szCs w:val="30"/>
          <w:rtl/>
        </w:rPr>
        <w:t>ف النزاع</w:t>
      </w:r>
      <w:r w:rsidRPr="002F7440">
        <w:rPr>
          <w:rFonts w:ascii="Traditional Arabic" w:eastAsiaTheme="minorHAnsi" w:hAnsi="Traditional Arabic" w:cs="Traditional Arabic"/>
          <w:b/>
          <w:bCs/>
          <w:sz w:val="30"/>
          <w:szCs w:val="30"/>
        </w:rPr>
        <w:t xml:space="preserve"> </w:t>
      </w:r>
    </w:p>
    <w:p w14:paraId="250271A0" w14:textId="7E2B02D4" w:rsidR="002F7440" w:rsidRPr="002F7440" w:rsidRDefault="002F7440" w:rsidP="000B4D15">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قام فريق الخبراء بتوثيق حالة من محاولات التجنيد القسري من جانب الحوثيين في منطقة الحوبان في تعز. تحدث الرجل الذي فرّ مع عائلته بأكملها بحثًا عن الأمان عن الضغط الذي مارسه المقاتلون الحوثيون على مجموعة مؤلفة من 21 عائلة من "المهمشين" الذين يعيشون في الحوبان. تم الضغط على العائلات كي ينضم رجل أو رجلان منها إلى صفوف الحوثيين</w:t>
      </w:r>
      <w:r w:rsidR="000B4D15" w:rsidRPr="00B91FAE">
        <w:rPr>
          <w:rStyle w:val="FootnoteReference"/>
          <w:rFonts w:asciiTheme="majorBidi" w:hAnsiTheme="majorBidi" w:cstheme="majorBidi"/>
        </w:rPr>
        <w:footnoteReference w:id="1346"/>
      </w:r>
      <w:r w:rsidRPr="002F7440">
        <w:rPr>
          <w:rFonts w:ascii="Traditional Arabic" w:eastAsiaTheme="minorHAnsi" w:hAnsi="Traditional Arabic" w:cs="Traditional Arabic"/>
          <w:sz w:val="30"/>
          <w:szCs w:val="30"/>
          <w:rtl/>
        </w:rPr>
        <w:t>. وتلقى فريق الخبراء أيضًا تقريرًا لم يتم التحقق منه عن رجل من "المهمشين" كان يحاول الهرب من التجنيد القسري</w:t>
      </w:r>
      <w:r w:rsidRPr="002F7440">
        <w:rPr>
          <w:rFonts w:ascii="Traditional Arabic" w:eastAsiaTheme="minorHAnsi" w:hAnsi="Traditional Arabic" w:cs="Traditional Arabic" w:hint="cs"/>
          <w:sz w:val="30"/>
          <w:szCs w:val="30"/>
          <w:rtl/>
        </w:rPr>
        <w:t xml:space="preserve"> للحوثيين</w:t>
      </w:r>
      <w:r w:rsidRPr="002F7440">
        <w:rPr>
          <w:rFonts w:ascii="Traditional Arabic" w:eastAsiaTheme="minorHAnsi" w:hAnsi="Traditional Arabic" w:cs="Traditional Arabic"/>
          <w:sz w:val="30"/>
          <w:szCs w:val="30"/>
          <w:rtl/>
        </w:rPr>
        <w:t xml:space="preserve"> الذي</w:t>
      </w:r>
      <w:r w:rsidRPr="002F7440">
        <w:rPr>
          <w:rFonts w:ascii="Traditional Arabic" w:eastAsiaTheme="minorHAnsi" w:hAnsi="Traditional Arabic" w:cs="Traditional Arabic" w:hint="cs"/>
          <w:sz w:val="30"/>
          <w:szCs w:val="30"/>
          <w:rtl/>
        </w:rPr>
        <w:t>ن</w:t>
      </w:r>
      <w:r w:rsidRPr="002F7440">
        <w:rPr>
          <w:rFonts w:ascii="Traditional Arabic" w:eastAsiaTheme="minorHAnsi" w:hAnsi="Traditional Arabic" w:cs="Traditional Arabic"/>
          <w:sz w:val="30"/>
          <w:szCs w:val="30"/>
          <w:rtl/>
        </w:rPr>
        <w:t xml:space="preserve"> زُعم أنه</w:t>
      </w:r>
      <w:r w:rsidRPr="002F7440">
        <w:rPr>
          <w:rFonts w:ascii="Traditional Arabic" w:eastAsiaTheme="minorHAnsi" w:hAnsi="Traditional Arabic" w:cs="Traditional Arabic" w:hint="cs"/>
          <w:sz w:val="30"/>
          <w:szCs w:val="30"/>
          <w:rtl/>
        </w:rPr>
        <w:t xml:space="preserve">م حاولوا </w:t>
      </w:r>
      <w:r w:rsidRPr="002F7440">
        <w:rPr>
          <w:rFonts w:ascii="Traditional Arabic" w:eastAsiaTheme="minorHAnsi" w:hAnsi="Traditional Arabic" w:cs="Traditional Arabic"/>
          <w:sz w:val="30"/>
          <w:szCs w:val="30"/>
          <w:rtl/>
        </w:rPr>
        <w:t xml:space="preserve">أيضًا </w:t>
      </w:r>
      <w:r w:rsidRPr="002F7440">
        <w:rPr>
          <w:rFonts w:ascii="Traditional Arabic" w:eastAsiaTheme="minorHAnsi" w:hAnsi="Traditional Arabic" w:cs="Traditional Arabic" w:hint="cs"/>
          <w:sz w:val="30"/>
          <w:szCs w:val="30"/>
          <w:rtl/>
        </w:rPr>
        <w:t>تجنيد</w:t>
      </w:r>
      <w:r w:rsidRPr="002F7440">
        <w:rPr>
          <w:rFonts w:ascii="Traditional Arabic" w:eastAsiaTheme="minorHAnsi" w:hAnsi="Traditional Arabic" w:cs="Traditional Arabic"/>
          <w:sz w:val="30"/>
          <w:szCs w:val="30"/>
          <w:rtl/>
        </w:rPr>
        <w:t xml:space="preserve"> مجموعة من المهمشين في منطقة إب في العام 2016</w:t>
      </w:r>
      <w:r w:rsidRPr="002F7440">
        <w:rPr>
          <w:rFonts w:ascii="Traditional Arabic" w:eastAsiaTheme="minorHAnsi" w:hAnsi="Traditional Arabic" w:cs="Traditional Arabic"/>
          <w:sz w:val="30"/>
          <w:szCs w:val="30"/>
        </w:rPr>
        <w:t>.</w:t>
      </w:r>
      <w:r w:rsidR="000B4D15" w:rsidRPr="00B91FAE">
        <w:rPr>
          <w:rStyle w:val="FootnoteReference"/>
          <w:rFonts w:asciiTheme="majorBidi" w:hAnsiTheme="majorBidi" w:cstheme="majorBidi"/>
        </w:rPr>
        <w:footnoteReference w:id="1347"/>
      </w:r>
      <w:r w:rsidRPr="002F7440">
        <w:rPr>
          <w:rFonts w:ascii="Traditional Arabic" w:eastAsiaTheme="minorHAnsi" w:hAnsi="Traditional Arabic" w:cs="Traditional Arabic" w:hint="cs"/>
          <w:sz w:val="30"/>
          <w:szCs w:val="30"/>
          <w:vertAlign w:val="superscript"/>
          <w:rtl/>
        </w:rPr>
        <w:t xml:space="preserve"> </w:t>
      </w:r>
    </w:p>
    <w:p w14:paraId="69CDC5EA" w14:textId="5627E527"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 xml:space="preserve">وثّق فريق الخبراء حالة صبي يبلغ من العمر 17 عامًا، ذهب من الحوبان حيث كان قد نزح خلال الحرب مع أسرته، إلى مدينة تعز، لأنه سمع أنّ القوات المسلحة اليمنية تقوم بالتجنيد وبدفع أجور كي ينضمّ الفتيان والشبان. وأفيد أنه انضم وبعض الأصدقاء </w:t>
      </w:r>
      <w:r w:rsidRPr="002F7440">
        <w:rPr>
          <w:rFonts w:ascii="Traditional Arabic" w:eastAsiaTheme="minorHAnsi" w:hAnsi="Traditional Arabic" w:cs="Traditional Arabic" w:hint="cs"/>
          <w:sz w:val="30"/>
          <w:szCs w:val="30"/>
          <w:rtl/>
        </w:rPr>
        <w:t>من</w:t>
      </w:r>
      <w:r w:rsidRPr="002F7440">
        <w:rPr>
          <w:rFonts w:ascii="Traditional Arabic" w:eastAsiaTheme="minorHAnsi" w:hAnsi="Traditional Arabic" w:cs="Traditional Arabic"/>
          <w:sz w:val="30"/>
          <w:szCs w:val="30"/>
          <w:rtl/>
        </w:rPr>
        <w:t xml:space="preserve"> مجتمع "المهمّشين". تم إرساله على الفور للقتال، بدون تدريب، إلى حدود المملكة العربية السعودية، إلى مكان شهد على قتال عنيف بين القوات المسلحة اليمنية تحت قيادة المملكة العربية السعودية والمقاتلين الحوثيين. قتل بعد أربعة أشهر في انفجار لغم أرضي. يقال إن الشاب كان يقاتل مع القوات المسلحة اليمنية، تحت القيادة السعودية. ووفقًا للمصادر، تم دفع راتبه ورواتب الجنود الذين انضموا إلى تلك الجبهة بالريال السعودي، مما خلق حافزًا </w:t>
      </w:r>
      <w:r w:rsidRPr="002F7440">
        <w:rPr>
          <w:rFonts w:ascii="Traditional Arabic" w:eastAsiaTheme="minorHAnsi" w:hAnsi="Traditional Arabic" w:cs="Traditional Arabic"/>
          <w:sz w:val="30"/>
          <w:szCs w:val="30"/>
          <w:rtl/>
        </w:rPr>
        <w:lastRenderedPageBreak/>
        <w:t>للشباب للانضمام. وأكد فريق الخبراء كذلك أنه تم تجنيد الشاب من خلال "</w:t>
      </w:r>
      <w:r w:rsidR="009A53DC">
        <w:rPr>
          <w:rFonts w:ascii="Traditional Arabic" w:eastAsiaTheme="minorHAnsi" w:hAnsi="Traditional Arabic" w:cs="Traditional Arabic" w:hint="cs"/>
          <w:sz w:val="30"/>
          <w:szCs w:val="30"/>
          <w:rtl/>
        </w:rPr>
        <w:t>وسطاء</w:t>
      </w:r>
      <w:r w:rsidRPr="002F7440">
        <w:rPr>
          <w:rFonts w:ascii="Traditional Arabic" w:eastAsiaTheme="minorHAnsi" w:hAnsi="Traditional Arabic" w:cs="Traditional Arabic"/>
          <w:sz w:val="30"/>
          <w:szCs w:val="30"/>
          <w:rtl/>
        </w:rPr>
        <w:t>" في مدينة تعز</w:t>
      </w:r>
      <w:r w:rsidRPr="002F7440">
        <w:rPr>
          <w:rFonts w:ascii="Traditional Arabic" w:eastAsiaTheme="minorHAnsi" w:hAnsi="Traditional Arabic" w:cs="Traditional Arabic"/>
          <w:sz w:val="30"/>
          <w:szCs w:val="30"/>
        </w:rPr>
        <w:t>.</w:t>
      </w:r>
    </w:p>
    <w:p w14:paraId="162E8F98" w14:textId="77777777" w:rsidR="002F7440" w:rsidRPr="002F7440" w:rsidRDefault="002F7440" w:rsidP="003B0724">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وثّق فريق الخبراء أيضًا حالة أحد المجندين من مجتمع "المهمشين" في مدينة تعز، انضم طوعًا إلى القوات المسلحة</w:t>
      </w:r>
      <w:r w:rsidRPr="002F7440">
        <w:rPr>
          <w:rFonts w:ascii="Traditional Arabic" w:eastAsiaTheme="minorHAnsi" w:hAnsi="Traditional Arabic" w:cs="Traditional Arabic" w:hint="cs"/>
          <w:sz w:val="30"/>
          <w:szCs w:val="30"/>
          <w:rtl/>
        </w:rPr>
        <w:t xml:space="preserve"> </w:t>
      </w:r>
      <w:r w:rsidRPr="002F7440">
        <w:rPr>
          <w:rFonts w:ascii="Traditional Arabic" w:eastAsiaTheme="minorHAnsi" w:hAnsi="Traditional Arabic" w:cs="Traditional Arabic" w:hint="cs"/>
          <w:sz w:val="30"/>
          <w:szCs w:val="30"/>
          <w:rtl/>
          <w:lang w:bidi="ar-YE"/>
        </w:rPr>
        <w:t>اليمنية</w:t>
      </w:r>
      <w:r w:rsidRPr="002F7440">
        <w:rPr>
          <w:rFonts w:ascii="Traditional Arabic" w:eastAsiaTheme="minorHAnsi" w:hAnsi="Traditional Arabic" w:cs="Traditional Arabic"/>
          <w:sz w:val="30"/>
          <w:szCs w:val="30"/>
          <w:rtl/>
        </w:rPr>
        <w:t>، حيث أُفيد بأنه كان ي</w:t>
      </w:r>
      <w:r w:rsidRPr="002F7440">
        <w:rPr>
          <w:rFonts w:ascii="Traditional Arabic" w:eastAsiaTheme="minorHAnsi" w:hAnsi="Traditional Arabic" w:cs="Traditional Arabic" w:hint="cs"/>
          <w:sz w:val="30"/>
          <w:szCs w:val="30"/>
          <w:rtl/>
        </w:rPr>
        <w:t xml:space="preserve">لعب دور </w:t>
      </w:r>
      <w:r w:rsidRPr="002F7440">
        <w:rPr>
          <w:rFonts w:ascii="Traditional Arabic" w:eastAsiaTheme="minorHAnsi" w:hAnsi="Traditional Arabic" w:cs="Traditional Arabic"/>
          <w:sz w:val="30"/>
          <w:szCs w:val="30"/>
          <w:rtl/>
        </w:rPr>
        <w:t xml:space="preserve">غير قتالي </w:t>
      </w:r>
      <w:r w:rsidRPr="002F7440">
        <w:rPr>
          <w:rFonts w:ascii="Traditional Arabic" w:eastAsiaTheme="minorHAnsi" w:hAnsi="Traditional Arabic" w:cs="Traditional Arabic" w:hint="cs"/>
          <w:sz w:val="30"/>
          <w:szCs w:val="30"/>
          <w:rtl/>
        </w:rPr>
        <w:t xml:space="preserve">في إدارة العمليات </w:t>
      </w:r>
      <w:r w:rsidRPr="002F7440">
        <w:rPr>
          <w:rFonts w:ascii="Traditional Arabic" w:eastAsiaTheme="minorHAnsi" w:hAnsi="Traditional Arabic" w:cs="Traditional Arabic"/>
          <w:sz w:val="30"/>
          <w:szCs w:val="30"/>
          <w:rtl/>
        </w:rPr>
        <w:t>السعودية مقابل حوافز اقتصادية أيضًا. تلقى فريق الخبراء تقارير عن قيام السعودي</w:t>
      </w:r>
      <w:r w:rsidRPr="002F7440">
        <w:rPr>
          <w:rFonts w:ascii="Traditional Arabic" w:eastAsiaTheme="minorHAnsi" w:hAnsi="Traditional Arabic" w:cs="Traditional Arabic" w:hint="cs"/>
          <w:sz w:val="30"/>
          <w:szCs w:val="30"/>
          <w:rtl/>
        </w:rPr>
        <w:t>ين</w:t>
      </w:r>
      <w:r w:rsidRPr="002F7440">
        <w:rPr>
          <w:rFonts w:ascii="Traditional Arabic" w:eastAsiaTheme="minorHAnsi" w:hAnsi="Traditional Arabic" w:cs="Traditional Arabic"/>
          <w:sz w:val="30"/>
          <w:szCs w:val="30"/>
          <w:rtl/>
        </w:rPr>
        <w:t xml:space="preserve"> بعمليات تجنيد في أجزاء مختلفة من اليمن، من خلال "وسطاء" محليين زُعم أنهم كانوا يقومون بتجنيد ونقل الجنود إلى الجبهات الشمالية. صحيح أن التجنيد طوعي في طبيعته، لكن وفقاً للافادات التي جمعها فريق الخبراء، تستهدف عمليات التجنيد هذه على وجه التحديد الرجال والفتيان الضعفاء من الأسر الفقيرة، بما في ذلك "المهمشين". وتحدّث أحد المجندين الذي قابله فريق الخبراء عن الحالة المأساوية التي كان يعيشها هو وعائلته بسبب النزاع. وقال:"</w:t>
      </w:r>
      <w:r w:rsidRPr="002F7440">
        <w:rPr>
          <w:rFonts w:ascii="Traditional Arabic" w:eastAsiaTheme="minorHAnsi" w:hAnsi="Traditional Arabic" w:cs="Traditional Arabic"/>
          <w:i/>
          <w:iCs/>
          <w:sz w:val="30"/>
          <w:szCs w:val="30"/>
          <w:rtl/>
        </w:rPr>
        <w:t>لم يكن لدي حلّ آخر</w:t>
      </w:r>
      <w:r w:rsidRPr="002F7440">
        <w:rPr>
          <w:rFonts w:ascii="Traditional Arabic" w:eastAsiaTheme="minorHAnsi" w:hAnsi="Traditional Arabic" w:cs="Traditional Arabic"/>
          <w:sz w:val="30"/>
          <w:szCs w:val="30"/>
          <w:rtl/>
        </w:rPr>
        <w:t>".</w:t>
      </w:r>
    </w:p>
    <w:p w14:paraId="13477378" w14:textId="77777777" w:rsidR="002F7440" w:rsidRPr="002F7440" w:rsidRDefault="002F7440" w:rsidP="0025057B">
      <w:pPr>
        <w:numPr>
          <w:ilvl w:val="0"/>
          <w:numId w:val="24"/>
        </w:numPr>
        <w:suppressAutoHyphens w:val="0"/>
        <w:bidi/>
        <w:spacing w:after="120" w:line="240" w:lineRule="auto"/>
        <w:ind w:right="828"/>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حالة المهاجرين واللاجئين</w:t>
      </w:r>
    </w:p>
    <w:p w14:paraId="37256D61" w14:textId="4D1C76E9" w:rsidR="002F7440" w:rsidRPr="002F7440"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على الرغم من اتساع نطاق الصراع الذي دمّر البلاد منذ أربع سنوات وتسبّب في نزوح ملايين الأشخاص داخل البلاد، ظلت اليمن وجهة للمهاجرين، معظمهم من الإثيوبيين، حيث خاطر الآلاف منهم بحياتهم من خلال عبور البحر من القرن الأفريقي كل شهر. وصل هؤلاء المهاجرون بالاجمال إلى الشواطئ الجنوبية لليمن، حيث حاول معظمهم الوصول إلى المملكة العربية السعودية بحثًا عن فرص عمل وهرباً من عدم الاستقرار السياسي في بلدانهم</w:t>
      </w:r>
      <w:r w:rsidRPr="002F7440">
        <w:rPr>
          <w:rFonts w:ascii="Traditional Arabic" w:eastAsiaTheme="minorHAnsi" w:hAnsi="Traditional Arabic" w:cs="Traditional Arabic"/>
          <w:sz w:val="30"/>
          <w:szCs w:val="30"/>
        </w:rPr>
        <w:t>.</w:t>
      </w:r>
      <w:r w:rsidR="00495703" w:rsidRPr="00B91FAE">
        <w:rPr>
          <w:rStyle w:val="FootnoteReference"/>
          <w:rFonts w:asciiTheme="majorBidi" w:hAnsiTheme="majorBidi" w:cstheme="majorBidi"/>
        </w:rPr>
        <w:footnoteReference w:id="1348"/>
      </w:r>
    </w:p>
    <w:p w14:paraId="31E1F137" w14:textId="5F2D6EAF" w:rsidR="002F7440" w:rsidRPr="002F7440"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 العام 2019، أفيد عن ارتفاع حادّ في أعداد المهاجرين الذين يصلون</w:t>
      </w:r>
      <w:r w:rsidRPr="002F7440">
        <w:rPr>
          <w:rFonts w:ascii="Traditional Arabic" w:eastAsiaTheme="minorHAnsi" w:hAnsi="Traditional Arabic" w:cs="Traditional Arabic" w:hint="cs"/>
          <w:sz w:val="30"/>
          <w:szCs w:val="30"/>
          <w:rtl/>
        </w:rPr>
        <w:t xml:space="preserve"> الى</w:t>
      </w:r>
      <w:r w:rsidRPr="002F7440">
        <w:rPr>
          <w:rFonts w:ascii="Traditional Arabic" w:eastAsiaTheme="minorHAnsi" w:hAnsi="Traditional Arabic" w:cs="Traditional Arabic"/>
          <w:sz w:val="30"/>
          <w:szCs w:val="30"/>
          <w:rtl/>
        </w:rPr>
        <w:t xml:space="preserve"> اليمن</w:t>
      </w:r>
      <w:r w:rsidR="00495703" w:rsidRPr="00B91FAE">
        <w:rPr>
          <w:rStyle w:val="FootnoteReference"/>
          <w:rFonts w:asciiTheme="majorBidi" w:hAnsiTheme="majorBidi" w:cstheme="majorBidi"/>
        </w:rPr>
        <w:footnoteReference w:id="1349"/>
      </w:r>
      <w:r w:rsidRPr="002F7440">
        <w:rPr>
          <w:rFonts w:ascii="Traditional Arabic" w:eastAsiaTheme="minorHAnsi" w:hAnsi="Traditional Arabic" w:cs="Traditional Arabic"/>
          <w:sz w:val="30"/>
          <w:szCs w:val="30"/>
          <w:rtl/>
        </w:rPr>
        <w:t>. وفقًا للمنظمة الدولية للهجرة، دخل عشرة آلاف وخمسة وأربعين مهاجراً الى اليمن في حزيران/ يونيو وحده، بينهم ألفان وثلاث نساء و723 فتى و348 فتاة. كانت الغالبية العظمى من الإثيوبيين، مع عدد قليل من الصوماليين (977 في المجموع). وأُفيد عن وصول وافدين جدد من النيجيريين إلى اليمن في العام 2019. وبهذه الأرقام، قدّر عدد المهاجرين الذين وصلوا إلى اليمن في الفترة من كانون الثاني/ يناير إلى حزيران/ يونيو 2019 بحوالي 84،378</w:t>
      </w:r>
      <w:r w:rsidRPr="002F7440">
        <w:rPr>
          <w:rFonts w:ascii="Traditional Arabic" w:eastAsiaTheme="minorHAnsi" w:hAnsi="Traditional Arabic" w:cs="Traditional Arabic" w:hint="cs"/>
          <w:sz w:val="30"/>
          <w:szCs w:val="30"/>
          <w:rtl/>
        </w:rPr>
        <w:t xml:space="preserve"> </w:t>
      </w:r>
      <w:r w:rsidR="00495703" w:rsidRPr="00B91FAE">
        <w:rPr>
          <w:rStyle w:val="FootnoteReference"/>
          <w:rFonts w:asciiTheme="majorBidi" w:hAnsiTheme="majorBidi" w:cstheme="majorBidi"/>
        </w:rPr>
        <w:footnoteReference w:id="1350"/>
      </w:r>
      <w:r w:rsidRPr="002F7440">
        <w:rPr>
          <w:rFonts w:ascii="Traditional Arabic" w:eastAsiaTheme="minorHAnsi" w:hAnsi="Traditional Arabic" w:cs="Traditional Arabic"/>
          <w:sz w:val="30"/>
          <w:szCs w:val="30"/>
          <w:rtl/>
        </w:rPr>
        <w:t xml:space="preserve"> وهو تدفق هائل لم يردعه النزاع أو حتى عمليات احتجاز المهاجرين في جميع أنحاء البلاد</w:t>
      </w:r>
      <w:r w:rsidRPr="002F7440">
        <w:rPr>
          <w:rFonts w:ascii="Traditional Arabic" w:eastAsiaTheme="minorHAnsi" w:hAnsi="Traditional Arabic" w:cs="Traditional Arabic" w:hint="cs"/>
          <w:sz w:val="30"/>
          <w:szCs w:val="30"/>
          <w:rtl/>
        </w:rPr>
        <w:t xml:space="preserve">. </w:t>
      </w:r>
    </w:p>
    <w:p w14:paraId="43EF8FB1" w14:textId="1567B757" w:rsidR="002F7440" w:rsidRPr="00495703" w:rsidRDefault="002F7440" w:rsidP="00495703">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495703">
        <w:rPr>
          <w:rFonts w:ascii="Traditional Arabic" w:eastAsiaTheme="minorHAnsi" w:hAnsi="Traditional Arabic" w:cs="Traditional Arabic"/>
          <w:sz w:val="30"/>
          <w:szCs w:val="30"/>
          <w:rtl/>
        </w:rPr>
        <w:t>نظر فريق الخبراء في حالة المهاجرين في اليمن، نظراً للضعف الذي يتعرّضون له ولمعرفة درجة تأثير النزاع على المهاجرين العالقين في اليمن والذين أُفيد بأنهم عانوا من عدم الوصول إلى الخدمات المختلفة، وبخاصة الحماية</w:t>
      </w:r>
      <w:r w:rsidR="00495703" w:rsidRPr="00B91FAE">
        <w:rPr>
          <w:rStyle w:val="FootnoteReference"/>
          <w:rFonts w:asciiTheme="majorBidi" w:hAnsiTheme="majorBidi" w:cstheme="majorBidi"/>
        </w:rPr>
        <w:footnoteReference w:id="1351"/>
      </w:r>
      <w:r w:rsidRPr="00495703">
        <w:rPr>
          <w:rFonts w:ascii="Traditional Arabic" w:eastAsiaTheme="minorHAnsi" w:hAnsi="Traditional Arabic" w:cs="Traditional Arabic"/>
          <w:sz w:val="30"/>
          <w:szCs w:val="30"/>
          <w:rtl/>
        </w:rPr>
        <w:t>. المهاجر</w:t>
      </w:r>
      <w:r w:rsidRPr="00495703">
        <w:rPr>
          <w:rFonts w:ascii="Traditional Arabic" w:eastAsiaTheme="minorHAnsi" w:hAnsi="Traditional Arabic" w:cs="Traditional Arabic" w:hint="cs"/>
          <w:sz w:val="30"/>
          <w:szCs w:val="30"/>
          <w:rtl/>
        </w:rPr>
        <w:t>و</w:t>
      </w:r>
      <w:r w:rsidRPr="00495703">
        <w:rPr>
          <w:rFonts w:ascii="Traditional Arabic" w:eastAsiaTheme="minorHAnsi" w:hAnsi="Traditional Arabic" w:cs="Traditional Arabic"/>
          <w:sz w:val="30"/>
          <w:szCs w:val="30"/>
          <w:rtl/>
        </w:rPr>
        <w:t xml:space="preserve">ن الذين تحركهم الرغبة في الوصول إلى المملكة العربية السعودية غالباً ما يعبرون الأراضي اليمنية بشكل شبه مستحيل، من أقصى </w:t>
      </w:r>
      <w:r w:rsidRPr="00495703">
        <w:rPr>
          <w:rFonts w:ascii="Traditional Arabic" w:eastAsiaTheme="minorHAnsi" w:hAnsi="Traditional Arabic" w:cs="Traditional Arabic"/>
          <w:sz w:val="30"/>
          <w:szCs w:val="30"/>
          <w:rtl/>
        </w:rPr>
        <w:lastRenderedPageBreak/>
        <w:t>الجنوب إلى الشمال، مروراً بعدد من المناطق الخاضعة لسيطرة جماعات مسلحة مختلفة، مما يعرّضهم لمزيد من المخاطر</w:t>
      </w:r>
      <w:r w:rsidR="00495703" w:rsidRPr="00B91FAE">
        <w:rPr>
          <w:rStyle w:val="FootnoteReference"/>
          <w:rFonts w:asciiTheme="majorBidi" w:hAnsiTheme="majorBidi" w:cstheme="majorBidi"/>
        </w:rPr>
        <w:footnoteReference w:id="1352"/>
      </w:r>
      <w:r w:rsidRPr="00495703">
        <w:rPr>
          <w:rFonts w:ascii="Traditional Arabic" w:eastAsiaTheme="minorHAnsi" w:hAnsi="Traditional Arabic" w:cs="Traditional Arabic"/>
          <w:sz w:val="30"/>
          <w:szCs w:val="30"/>
          <w:rtl/>
        </w:rPr>
        <w:t xml:space="preserve"> على طول الطريق. وقد جمع فريق الخبراء روايات عن المهاجرين العالقين في مأرب وتعز وحجة.</w:t>
      </w:r>
      <w:r w:rsidRPr="00495703">
        <w:rPr>
          <w:rFonts w:ascii="Traditional Arabic" w:eastAsiaTheme="minorHAnsi" w:hAnsi="Traditional Arabic" w:cs="Traditional Arabic"/>
          <w:sz w:val="30"/>
          <w:szCs w:val="30"/>
          <w:vertAlign w:val="superscript"/>
        </w:rPr>
        <w:t xml:space="preserve"> </w:t>
      </w:r>
      <w:r w:rsidR="00495703" w:rsidRPr="00B91FAE">
        <w:rPr>
          <w:rStyle w:val="FootnoteReference"/>
          <w:rFonts w:asciiTheme="majorBidi" w:hAnsiTheme="majorBidi" w:cstheme="majorBidi"/>
        </w:rPr>
        <w:footnoteReference w:id="1353"/>
      </w:r>
      <w:r w:rsidRPr="00495703">
        <w:rPr>
          <w:rFonts w:ascii="Traditional Arabic" w:eastAsiaTheme="minorHAnsi" w:hAnsi="Traditional Arabic" w:cs="Traditional Arabic"/>
          <w:sz w:val="30"/>
          <w:szCs w:val="30"/>
          <w:rtl/>
        </w:rPr>
        <w:t>وتشير التقارير</w:t>
      </w:r>
      <w:r w:rsidR="00495703" w:rsidRPr="00B91FAE">
        <w:rPr>
          <w:rStyle w:val="FootnoteReference"/>
          <w:rFonts w:asciiTheme="majorBidi" w:hAnsiTheme="majorBidi" w:cstheme="majorBidi"/>
        </w:rPr>
        <w:footnoteReference w:id="1354"/>
      </w:r>
      <w:r w:rsidRPr="00495703">
        <w:rPr>
          <w:rFonts w:ascii="Traditional Arabic" w:eastAsiaTheme="minorHAnsi" w:hAnsi="Traditional Arabic" w:cs="Traditional Arabic"/>
          <w:sz w:val="30"/>
          <w:szCs w:val="30"/>
          <w:rtl/>
        </w:rPr>
        <w:t xml:space="preserve"> إلى أن المهاجرين تعرضوا لخطر متزايد حيث اتهمهم طرفا النزاع معاً بالتعاون مع الطرف الآخر</w:t>
      </w:r>
      <w:r w:rsidR="00495703" w:rsidRPr="00B91FAE">
        <w:rPr>
          <w:rStyle w:val="FootnoteReference"/>
          <w:rFonts w:asciiTheme="majorBidi" w:hAnsiTheme="majorBidi" w:cstheme="majorBidi"/>
        </w:rPr>
        <w:footnoteReference w:id="1355"/>
      </w:r>
      <w:r w:rsidR="00495703">
        <w:rPr>
          <w:rFonts w:ascii="Traditional Arabic" w:eastAsiaTheme="minorHAnsi" w:hAnsi="Traditional Arabic" w:cs="Traditional Arabic" w:hint="cs"/>
          <w:sz w:val="30"/>
          <w:szCs w:val="30"/>
          <w:rtl/>
        </w:rPr>
        <w:t xml:space="preserve"> </w:t>
      </w:r>
      <w:r w:rsidRPr="00495703">
        <w:rPr>
          <w:rFonts w:ascii="Traditional Arabic" w:eastAsiaTheme="minorHAnsi" w:hAnsi="Traditional Arabic" w:cs="Traditional Arabic"/>
          <w:sz w:val="30"/>
          <w:szCs w:val="30"/>
          <w:rtl/>
        </w:rPr>
        <w:t>والتجنيد لصالحه، مما زاد من ضعفهم. وأثّر عدم الوصول إلى اليمن بشكل كبير على قدرة الفريق على توثيق مزاعم انتهاكات حقوق الإنسان التي تحدث ضد المهاجرين والتحقق منها، وذلك بسبب الصعوبات في الوصول إلى مجتمعات المهاجرين والتواصل معهم داخل البلاد</w:t>
      </w:r>
      <w:r w:rsidRPr="00495703">
        <w:rPr>
          <w:rFonts w:ascii="Traditional Arabic" w:eastAsiaTheme="minorHAnsi" w:hAnsi="Traditional Arabic" w:cs="Traditional Arabic"/>
          <w:sz w:val="30"/>
          <w:szCs w:val="30"/>
        </w:rPr>
        <w:t>.</w:t>
      </w:r>
    </w:p>
    <w:p w14:paraId="5868426E" w14:textId="77777777" w:rsidR="002F7440" w:rsidRPr="002F7440" w:rsidRDefault="002F7440" w:rsidP="002F7440">
      <w:pPr>
        <w:suppressAutoHyphens w:val="0"/>
        <w:bidi/>
        <w:spacing w:after="120" w:line="240" w:lineRule="auto"/>
        <w:ind w:left="1134" w:right="828" w:hanging="26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أ) اعتقال المهاجرين والمخاطر المتزايدة بشأن الحماية</w:t>
      </w:r>
    </w:p>
    <w:p w14:paraId="32C95A97" w14:textId="184A511C" w:rsidR="002F7440" w:rsidRPr="002F7440" w:rsidRDefault="002F7440" w:rsidP="00DB6C5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جمع فريق الخبراء تقارير عن تزايد أعداد المهاجرين الذين يواجهون الاعتقال التعسفي في المناطق الخاضعة لسيطرة الحكومة اليمنية وكذلك في المناطق الخاضعة لسيطرة سلطات الأمر الواقع. وحقق الفريق في مزاعم من هذا النوع في عدن ولحج وأبين وصنعاء وصعدة. وبالنسبة لأولئك المهاجرين العالقين في صنعاء وفي الأجزاء الشمالية من اليمن، مثل حجة أو صعدة، ذُكر أن العديد منهم قاموا بالفعل بالعبور إلى المملكة العربية السعودية قبل إعادة ترحيلهم.</w:t>
      </w:r>
      <w:r w:rsidR="00495703" w:rsidRPr="00495703">
        <w:rPr>
          <w:rStyle w:val="Heading2Char"/>
          <w:rFonts w:asciiTheme="majorBidi" w:hAnsiTheme="majorBidi" w:cstheme="majorBidi"/>
        </w:rPr>
        <w:t xml:space="preserve"> </w:t>
      </w:r>
      <w:r w:rsidR="00495703" w:rsidRPr="00B91FAE">
        <w:rPr>
          <w:rStyle w:val="FootnoteReference"/>
          <w:rFonts w:asciiTheme="majorBidi" w:hAnsiTheme="majorBidi" w:cstheme="majorBidi"/>
        </w:rPr>
        <w:footnoteReference w:id="1356"/>
      </w:r>
      <w:r w:rsidRPr="002F7440">
        <w:rPr>
          <w:rFonts w:ascii="Traditional Arabic" w:eastAsiaTheme="minorHAnsi" w:hAnsi="Traditional Arabic" w:cs="Traditional Arabic"/>
          <w:sz w:val="30"/>
          <w:szCs w:val="30"/>
          <w:rtl/>
        </w:rPr>
        <w:t xml:space="preserve">وسمع فريق الخبراء من المقابلات عن ظروف الاحتجاز السيئة التي يتعرّض لها المهاجرون في كل من صنعاء وصعدة. وأفيد عن ظهور علامات سوء المعاملة على بعض المهاجرين الذين كانوا محتجزين سابقًا في الشمال، رغم أن فريق الخبراء لم يتحقق من هذه التقارير أو يتأكد من سببها </w:t>
      </w:r>
      <w:r w:rsidRPr="002F7440">
        <w:rPr>
          <w:rFonts w:ascii="Traditional Arabic" w:eastAsiaTheme="minorHAnsi" w:hAnsi="Traditional Arabic" w:cs="Traditional Arabic" w:hint="cs"/>
          <w:sz w:val="30"/>
          <w:szCs w:val="30"/>
          <w:rtl/>
        </w:rPr>
        <w:t xml:space="preserve">مع نهاية فترة كتابة هذا التقرير </w:t>
      </w:r>
      <w:r w:rsidRPr="002F7440">
        <w:rPr>
          <w:rFonts w:ascii="Traditional Arabic" w:eastAsiaTheme="minorHAnsi" w:hAnsi="Traditional Arabic" w:cs="Traditional Arabic"/>
          <w:sz w:val="30"/>
          <w:szCs w:val="30"/>
          <w:rtl/>
        </w:rPr>
        <w:t>بسبب عدم إمكانية الوصول.</w:t>
      </w:r>
      <w:r w:rsidR="00DB6C5E" w:rsidRPr="00DB6C5E">
        <w:rPr>
          <w:rStyle w:val="Heading2Char"/>
          <w:rFonts w:asciiTheme="majorBidi" w:hAnsiTheme="majorBidi" w:cstheme="majorBidi"/>
        </w:rPr>
        <w:t xml:space="preserve"> </w:t>
      </w:r>
      <w:r w:rsidR="00DB6C5E" w:rsidRPr="00B91FAE">
        <w:rPr>
          <w:rStyle w:val="FootnoteReference"/>
          <w:rFonts w:asciiTheme="majorBidi" w:hAnsiTheme="majorBidi" w:cstheme="majorBidi"/>
        </w:rPr>
        <w:footnoteReference w:id="1357"/>
      </w:r>
      <w:r w:rsidRPr="002F7440">
        <w:rPr>
          <w:rFonts w:ascii="Traditional Arabic" w:eastAsiaTheme="minorHAnsi" w:hAnsi="Traditional Arabic" w:cs="Traditional Arabic"/>
          <w:sz w:val="30"/>
          <w:szCs w:val="30"/>
          <w:rtl/>
        </w:rPr>
        <w:t xml:space="preserve"> وذُكر أنّ قلة الطعام وغياب القدرة على رعاية المهاجرين يسهمان في تدهور ظروف الاحتجاز</w:t>
      </w:r>
      <w:r w:rsidRPr="002F7440">
        <w:rPr>
          <w:rFonts w:ascii="Traditional Arabic" w:eastAsiaTheme="minorHAnsi" w:hAnsi="Traditional Arabic" w:cs="Traditional Arabic"/>
          <w:sz w:val="30"/>
          <w:szCs w:val="30"/>
        </w:rPr>
        <w:t>.</w:t>
      </w:r>
    </w:p>
    <w:p w14:paraId="71A52A85" w14:textId="4DF542F7" w:rsidR="002F7440" w:rsidRPr="002F7440" w:rsidRDefault="002F7440" w:rsidP="001D358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في</w:t>
      </w:r>
      <w:r w:rsidR="001D358E">
        <w:rPr>
          <w:rFonts w:ascii="Traditional Arabic" w:eastAsiaTheme="minorHAnsi" w:hAnsi="Traditional Arabic" w:cs="Traditional Arabic" w:hint="cs"/>
          <w:sz w:val="30"/>
          <w:szCs w:val="30"/>
          <w:rtl/>
        </w:rPr>
        <w:t xml:space="preserve"> تقريره في</w:t>
      </w:r>
      <w:r w:rsidRPr="002F7440">
        <w:rPr>
          <w:rFonts w:ascii="Traditional Arabic" w:eastAsiaTheme="minorHAnsi" w:hAnsi="Traditional Arabic" w:cs="Traditional Arabic"/>
          <w:sz w:val="30"/>
          <w:szCs w:val="30"/>
          <w:rtl/>
        </w:rPr>
        <w:t xml:space="preserve"> العام 2018، وجد فريق الخبراء أسبابًا معقولة للاعتقاد بأن قوات الحزام الأمني ارتكبت أعمال عنف جنسي، بما في ذلك الاغتصاب ضد المهاجرين واللاجئين الأفارقة في منطقتين في عدن: مركز احتجاز المهاجرين في البريقة وفي حي البساتين. تمّ إغلاق مرفق المهاجرين، لكن تم افتتاح مرفق جديد في العام 2019، حيث تم احتجاز ما يقدر بنحو خمسة آلاف شخص من إريتريا وإثيوبيا بين 21 نيسان/ أبريل و30 أيار/ مايو، بينهم رجال ونساء وفتيات وفتيان. شعر الفريق بمخاوف من </w:t>
      </w:r>
      <w:r w:rsidRPr="002F7440">
        <w:rPr>
          <w:rFonts w:ascii="Traditional Arabic" w:eastAsiaTheme="minorHAnsi" w:hAnsi="Traditional Arabic" w:cs="Traditional Arabic" w:hint="cs"/>
          <w:sz w:val="30"/>
          <w:szCs w:val="30"/>
          <w:rtl/>
        </w:rPr>
        <w:t xml:space="preserve">إمكانية </w:t>
      </w:r>
      <w:r w:rsidRPr="002F7440">
        <w:rPr>
          <w:rFonts w:ascii="Traditional Arabic" w:eastAsiaTheme="minorHAnsi" w:hAnsi="Traditional Arabic" w:cs="Traditional Arabic"/>
          <w:sz w:val="30"/>
          <w:szCs w:val="30"/>
          <w:rtl/>
        </w:rPr>
        <w:t xml:space="preserve">ظهور حالات في المرفق الجديد مماثلة لتلك التي سادت في العام 2018 </w:t>
      </w:r>
      <w:r w:rsidRPr="002F7440">
        <w:rPr>
          <w:rFonts w:ascii="Traditional Arabic" w:eastAsiaTheme="minorHAnsi" w:hAnsi="Traditional Arabic" w:cs="Traditional Arabic"/>
          <w:sz w:val="30"/>
          <w:szCs w:val="30"/>
        </w:rPr>
        <w:t>.</w:t>
      </w:r>
      <w:r w:rsidR="00DB6C5E" w:rsidRPr="00B91FAE">
        <w:rPr>
          <w:rStyle w:val="FootnoteReference"/>
          <w:rFonts w:asciiTheme="majorBidi" w:hAnsiTheme="majorBidi" w:cstheme="majorBidi"/>
          <w:lang w:eastAsia="en-GB"/>
        </w:rPr>
        <w:footnoteReference w:id="1358"/>
      </w:r>
    </w:p>
    <w:p w14:paraId="685D1E16" w14:textId="18F38418" w:rsidR="002F7440" w:rsidRPr="002F7440" w:rsidRDefault="002F7440" w:rsidP="001D358E">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وثّق فريق الخبراء</w:t>
      </w:r>
      <w:r w:rsidR="00DB6C5E" w:rsidRPr="00B91FAE">
        <w:rPr>
          <w:rStyle w:val="FootnoteReference"/>
          <w:rFonts w:asciiTheme="majorBidi" w:hAnsiTheme="majorBidi" w:cstheme="majorBidi"/>
        </w:rPr>
        <w:footnoteReference w:id="1359"/>
      </w:r>
      <w:r w:rsidRPr="002F7440">
        <w:rPr>
          <w:rFonts w:ascii="Traditional Arabic" w:eastAsiaTheme="minorHAnsi" w:hAnsi="Traditional Arabic" w:cs="Traditional Arabic"/>
          <w:sz w:val="30"/>
          <w:szCs w:val="30"/>
          <w:rtl/>
        </w:rPr>
        <w:t xml:space="preserve"> احتجاز 63 مهاجراً إثيوبيًا (بينهم 37 امرأة) وصلوا إلى الشما</w:t>
      </w:r>
      <w:r w:rsidRPr="002F7440">
        <w:rPr>
          <w:rFonts w:ascii="Traditional Arabic" w:eastAsiaTheme="minorHAnsi" w:hAnsi="Traditional Arabic" w:cs="Traditional Arabic" w:hint="cs"/>
          <w:sz w:val="30"/>
          <w:szCs w:val="30"/>
          <w:rtl/>
        </w:rPr>
        <w:t>تي</w:t>
      </w:r>
      <w:r w:rsidRPr="002F7440">
        <w:rPr>
          <w:rFonts w:ascii="Traditional Arabic" w:eastAsiaTheme="minorHAnsi" w:hAnsi="Traditional Arabic" w:cs="Traditional Arabic"/>
          <w:sz w:val="30"/>
          <w:szCs w:val="30"/>
          <w:rtl/>
        </w:rPr>
        <w:t xml:space="preserve">ن، وهي مديرية في محافظة تعز في 10 أبريل / نيسان 2019 ، تلاهم 13 صوماليًا بعد بضعة أيام. </w:t>
      </w:r>
      <w:r w:rsidRPr="002F7440">
        <w:rPr>
          <w:rFonts w:ascii="Traditional Arabic" w:eastAsiaTheme="minorHAnsi" w:hAnsi="Traditional Arabic" w:cs="Traditional Arabic" w:hint="cs"/>
          <w:sz w:val="30"/>
          <w:szCs w:val="30"/>
          <w:rtl/>
        </w:rPr>
        <w:t>قامت</w:t>
      </w:r>
      <w:r w:rsidRPr="002F7440">
        <w:rPr>
          <w:rFonts w:ascii="Traditional Arabic" w:eastAsiaTheme="minorHAnsi" w:hAnsi="Traditional Arabic" w:cs="Traditional Arabic"/>
          <w:sz w:val="30"/>
          <w:szCs w:val="30"/>
          <w:rtl/>
        </w:rPr>
        <w:t xml:space="preserve"> الأجهزة الأمنية </w:t>
      </w:r>
      <w:r w:rsidRPr="002F7440">
        <w:rPr>
          <w:rFonts w:ascii="Traditional Arabic" w:eastAsiaTheme="minorHAnsi" w:hAnsi="Traditional Arabic" w:cs="Traditional Arabic" w:hint="cs"/>
          <w:sz w:val="30"/>
          <w:szCs w:val="30"/>
          <w:rtl/>
        </w:rPr>
        <w:t xml:space="preserve">بأخذ </w:t>
      </w:r>
      <w:r w:rsidRPr="002F7440">
        <w:rPr>
          <w:rFonts w:ascii="Traditional Arabic" w:eastAsiaTheme="minorHAnsi" w:hAnsi="Traditional Arabic" w:cs="Traditional Arabic"/>
          <w:sz w:val="30"/>
          <w:szCs w:val="30"/>
          <w:rtl/>
        </w:rPr>
        <w:t xml:space="preserve">جميع الوافدين الجدد في تعز ووضعتهم في "الاحتجاز"، على الرغم من أن السلطات المحلية أبلغت فريق </w:t>
      </w:r>
      <w:r w:rsidRPr="002F7440">
        <w:rPr>
          <w:rFonts w:ascii="Traditional Arabic" w:eastAsiaTheme="minorHAnsi" w:hAnsi="Traditional Arabic" w:cs="Traditional Arabic"/>
          <w:sz w:val="30"/>
          <w:szCs w:val="30"/>
          <w:rtl/>
        </w:rPr>
        <w:lastRenderedPageBreak/>
        <w:t>الخبراء أنهم لم يُحرموا من حريتهم بل تم تزويدهم "بمكان لإيوائهم".</w:t>
      </w:r>
      <w:r w:rsidR="00DB6C5E" w:rsidRPr="00B91FAE">
        <w:rPr>
          <w:rStyle w:val="FootnoteReference"/>
          <w:rFonts w:asciiTheme="majorBidi" w:hAnsiTheme="majorBidi" w:cstheme="majorBidi"/>
        </w:rPr>
        <w:footnoteReference w:id="1360"/>
      </w:r>
      <w:r w:rsidRPr="002F7440">
        <w:rPr>
          <w:rFonts w:ascii="Traditional Arabic" w:eastAsiaTheme="minorHAnsi" w:hAnsi="Traditional Arabic" w:cs="Traditional Arabic"/>
          <w:sz w:val="30"/>
          <w:szCs w:val="30"/>
          <w:rtl/>
        </w:rPr>
        <w:t xml:space="preserve"> وأفيد عن قيام السلطات المحلية بتزويد المهاجرين الذين وجدوا أنفسهم في تعز، بالطعام، فضلاً عن الحصول على الرعاية الصحية لعدد قليل ممن كانوا في حالة صحية سيئة عند وصولهم. وأصدرت السلطات دعوة لوكالات الأمم المتحدة للمجيء وأخذ المهاجرين، لكنها لم تحصل على ردّ. بعد ذلك، قامت الأجهزة الأمنية بمرافقة المجموعة كاملةً الى</w:t>
      </w:r>
      <w:r w:rsidR="009A53DC">
        <w:rPr>
          <w:rFonts w:ascii="Traditional Arabic" w:eastAsiaTheme="minorHAnsi" w:hAnsi="Traditional Arabic" w:cs="Traditional Arabic" w:hint="cs"/>
          <w:sz w:val="30"/>
          <w:szCs w:val="30"/>
          <w:rtl/>
        </w:rPr>
        <w:t xml:space="preserve"> خارج</w:t>
      </w:r>
      <w:r w:rsidRPr="002F7440">
        <w:rPr>
          <w:rFonts w:ascii="Traditional Arabic" w:eastAsiaTheme="minorHAnsi" w:hAnsi="Traditional Arabic" w:cs="Traditional Arabic"/>
          <w:sz w:val="30"/>
          <w:szCs w:val="30"/>
          <w:rtl/>
        </w:rPr>
        <w:t xml:space="preserve"> محافظة تعز، ونحو الطريق إلى عدن. لم </w:t>
      </w:r>
      <w:r w:rsidR="001D358E">
        <w:rPr>
          <w:rFonts w:ascii="Traditional Arabic" w:eastAsiaTheme="minorHAnsi" w:hAnsi="Traditional Arabic" w:cs="Traditional Arabic" w:hint="cs"/>
          <w:sz w:val="30"/>
          <w:szCs w:val="30"/>
          <w:rtl/>
        </w:rPr>
        <w:t>يتم</w:t>
      </w:r>
      <w:r w:rsidRPr="002F7440">
        <w:rPr>
          <w:rFonts w:ascii="Traditional Arabic" w:eastAsiaTheme="minorHAnsi" w:hAnsi="Traditional Arabic" w:cs="Traditional Arabic"/>
          <w:sz w:val="30"/>
          <w:szCs w:val="30"/>
          <w:rtl/>
        </w:rPr>
        <w:t xml:space="preserve">كن </w:t>
      </w:r>
      <w:r w:rsidR="001D358E">
        <w:rPr>
          <w:rFonts w:ascii="Traditional Arabic" w:eastAsiaTheme="minorHAnsi" w:hAnsi="Traditional Arabic" w:cs="Traditional Arabic" w:hint="cs"/>
          <w:sz w:val="30"/>
          <w:szCs w:val="30"/>
          <w:rtl/>
        </w:rPr>
        <w:t xml:space="preserve">الفريق من الحصول على </w:t>
      </w:r>
      <w:r w:rsidRPr="002F7440">
        <w:rPr>
          <w:rFonts w:ascii="Traditional Arabic" w:eastAsiaTheme="minorHAnsi" w:hAnsi="Traditional Arabic" w:cs="Traditional Arabic"/>
          <w:sz w:val="30"/>
          <w:szCs w:val="30"/>
          <w:rtl/>
        </w:rPr>
        <w:t>معلومات إضافية عن مكان وجودهم. يثير هذا الحادث، مثله مثل الحوادث الأخرى، مخاوف بشأن آليات الحماية القائمة الخاصة بالمهاجرين في اليمن، وإمكانية وصولهم إلى الخدمات الإنسانية والحماية، والمخاطر التي تتضاعف لدى عبورهم أجزاء مختلفة من اليمن</w:t>
      </w:r>
      <w:r w:rsidRPr="002F7440">
        <w:rPr>
          <w:rFonts w:ascii="Traditional Arabic" w:eastAsiaTheme="minorHAnsi" w:hAnsi="Traditional Arabic" w:cs="Traditional Arabic"/>
          <w:sz w:val="30"/>
          <w:szCs w:val="30"/>
        </w:rPr>
        <w:t>.</w:t>
      </w:r>
    </w:p>
    <w:p w14:paraId="57580FE0" w14:textId="77777777" w:rsidR="002F7440" w:rsidRPr="002F7440" w:rsidRDefault="002F7440" w:rsidP="002F7440">
      <w:pPr>
        <w:suppressAutoHyphens w:val="0"/>
        <w:bidi/>
        <w:spacing w:after="120" w:line="240" w:lineRule="auto"/>
        <w:ind w:left="1134" w:right="828" w:hanging="442"/>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ب) الاعتقال والاحتجاز التعسفي للاجئين من جانب سلطات الأمر الواقع</w:t>
      </w:r>
    </w:p>
    <w:p w14:paraId="6865F511" w14:textId="6F21D5B6"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حقق فريق الخبراء في ثلاث حالات من اعتقال اللاجئين الصوماليين على أيدي سلطات الأمر الواقع</w:t>
      </w:r>
      <w:r w:rsidR="00DB6C5E" w:rsidRPr="00B91FAE">
        <w:rPr>
          <w:rStyle w:val="FootnoteReference"/>
          <w:rFonts w:asciiTheme="majorBidi" w:hAnsiTheme="majorBidi" w:cstheme="majorBidi"/>
        </w:rPr>
        <w:footnoteReference w:id="1361"/>
      </w:r>
      <w:r w:rsidRPr="002F7440">
        <w:rPr>
          <w:rFonts w:ascii="Traditional Arabic" w:eastAsiaTheme="minorHAnsi" w:hAnsi="Traditional Arabic" w:cs="Traditional Arabic"/>
          <w:sz w:val="30"/>
          <w:szCs w:val="30"/>
          <w:rtl/>
        </w:rPr>
        <w:t xml:space="preserve">. شارك اثنان على الأقل في لجنة اللاجئين لدعم الصوماليين وغيرهم من اللاجئين في اليمن. وقعت الاعتقالات في أوقات مختلفة </w:t>
      </w:r>
      <w:r w:rsidRPr="002F7440">
        <w:rPr>
          <w:rFonts w:ascii="Traditional Arabic" w:eastAsiaTheme="minorHAnsi" w:hAnsi="Traditional Arabic" w:cs="Traditional Arabic" w:hint="cs"/>
          <w:sz w:val="30"/>
          <w:szCs w:val="30"/>
          <w:rtl/>
        </w:rPr>
        <w:t xml:space="preserve">في </w:t>
      </w:r>
      <w:r w:rsidRPr="002F7440">
        <w:rPr>
          <w:rFonts w:ascii="Traditional Arabic" w:eastAsiaTheme="minorHAnsi" w:hAnsi="Traditional Arabic" w:cs="Traditional Arabic"/>
          <w:sz w:val="30"/>
          <w:szCs w:val="30"/>
          <w:rtl/>
        </w:rPr>
        <w:t>كانون الأول/ديسمبر 2018. وورد أن</w:t>
      </w:r>
      <w:r w:rsidRPr="002F7440">
        <w:rPr>
          <w:rFonts w:ascii="Traditional Arabic" w:eastAsiaTheme="minorHAnsi" w:hAnsi="Traditional Arabic" w:cs="Traditional Arabic" w:hint="cs"/>
          <w:sz w:val="30"/>
          <w:szCs w:val="30"/>
          <w:rtl/>
        </w:rPr>
        <w:t>ه يوجد</w:t>
      </w:r>
      <w:r w:rsidRPr="002F7440">
        <w:rPr>
          <w:rFonts w:ascii="Traditional Arabic" w:eastAsiaTheme="minorHAnsi" w:hAnsi="Traditional Arabic" w:cs="Traditional Arabic"/>
          <w:sz w:val="30"/>
          <w:szCs w:val="30"/>
          <w:rtl/>
        </w:rPr>
        <w:t xml:space="preserve"> المزيد من الاعتقالات المتعلقة بالقضية</w:t>
      </w:r>
      <w:r w:rsidR="00DB6C5E" w:rsidRPr="00B91FAE">
        <w:rPr>
          <w:rStyle w:val="FootnoteReference"/>
          <w:rFonts w:asciiTheme="majorBidi" w:hAnsiTheme="majorBidi" w:cstheme="majorBidi"/>
        </w:rPr>
        <w:footnoteReference w:id="1362"/>
      </w:r>
      <w:r w:rsidRPr="002F7440">
        <w:rPr>
          <w:rFonts w:ascii="Traditional Arabic" w:eastAsiaTheme="minorHAnsi" w:hAnsi="Traditional Arabic" w:cs="Traditional Arabic"/>
          <w:sz w:val="30"/>
          <w:szCs w:val="30"/>
          <w:rtl/>
        </w:rPr>
        <w:t>. وبقي أحد اللاجئين رهن الاحتجاز حتى وقت كتابة هذا التقرير، بدون توجيه تهم إليه. تم اعتقاله أمام منزله واحتُجز في البداية في سجن الثورة.</w:t>
      </w:r>
      <w:r w:rsidR="00DB6C5E" w:rsidRPr="00DB6C5E">
        <w:rPr>
          <w:rStyle w:val="Heading2Char"/>
          <w:rFonts w:asciiTheme="majorBidi" w:hAnsiTheme="majorBidi" w:cstheme="majorBidi"/>
        </w:rPr>
        <w:t xml:space="preserve"> </w:t>
      </w:r>
      <w:r w:rsidR="00DB6C5E" w:rsidRPr="00B91FAE">
        <w:rPr>
          <w:rStyle w:val="FootnoteReference"/>
          <w:rFonts w:asciiTheme="majorBidi" w:hAnsiTheme="majorBidi" w:cstheme="majorBidi"/>
        </w:rPr>
        <w:footnoteReference w:id="1363"/>
      </w:r>
      <w:r w:rsidRPr="002F7440">
        <w:rPr>
          <w:rFonts w:ascii="Traditional Arabic" w:eastAsiaTheme="minorHAnsi" w:hAnsi="Traditional Arabic" w:cs="Traditional Arabic"/>
          <w:sz w:val="30"/>
          <w:szCs w:val="30"/>
          <w:rtl/>
        </w:rPr>
        <w:t>ثم نُقل إلى مركز التأشيرات والهجرة والاحتجاز، حيث تعرّض للتهديد بالترحيل وقت كتابة هذا التقرير</w:t>
      </w:r>
      <w:r w:rsidR="00DB6C5E" w:rsidRPr="00B91FAE">
        <w:rPr>
          <w:rStyle w:val="FootnoteReference"/>
          <w:rFonts w:asciiTheme="majorBidi" w:hAnsiTheme="majorBidi" w:cstheme="majorBidi"/>
        </w:rPr>
        <w:footnoteReference w:id="1364"/>
      </w:r>
      <w:r w:rsidRPr="002F7440">
        <w:rPr>
          <w:rFonts w:ascii="Traditional Arabic" w:eastAsiaTheme="minorHAnsi" w:hAnsi="Traditional Arabic" w:cs="Traditional Arabic"/>
          <w:sz w:val="30"/>
          <w:szCs w:val="30"/>
          <w:rtl/>
        </w:rPr>
        <w:t>. تشير التقارير إلى أنه تمّ اعتقاله فقط لقيامه بأعمال المناصرة</w:t>
      </w:r>
      <w:r w:rsidRPr="002F7440">
        <w:rPr>
          <w:rFonts w:ascii="Traditional Arabic" w:eastAsiaTheme="minorHAnsi" w:hAnsi="Traditional Arabic" w:cs="Traditional Arabic"/>
          <w:sz w:val="30"/>
          <w:szCs w:val="30"/>
        </w:rPr>
        <w:t>.</w:t>
      </w:r>
    </w:p>
    <w:p w14:paraId="2A776E36" w14:textId="77777777" w:rsidR="002F7440" w:rsidRPr="002F7440" w:rsidRDefault="002F7440" w:rsidP="002F7440">
      <w:pPr>
        <w:suppressAutoHyphens w:val="0"/>
        <w:bidi/>
        <w:spacing w:after="120" w:line="240" w:lineRule="auto"/>
        <w:ind w:left="1134" w:right="828" w:hanging="622"/>
        <w:jc w:val="both"/>
        <w:rPr>
          <w:rFonts w:ascii="Traditional Arabic" w:eastAsiaTheme="minorHAnsi" w:hAnsi="Traditional Arabic" w:cs="Traditional Arabic"/>
          <w:b/>
          <w:bCs/>
          <w:sz w:val="30"/>
          <w:szCs w:val="30"/>
        </w:rPr>
      </w:pPr>
      <w:r w:rsidRPr="002F7440">
        <w:rPr>
          <w:rFonts w:ascii="Traditional Arabic" w:eastAsiaTheme="minorHAnsi" w:hAnsi="Traditional Arabic" w:cs="Traditional Arabic"/>
          <w:b/>
          <w:bCs/>
          <w:sz w:val="30"/>
          <w:szCs w:val="30"/>
          <w:rtl/>
        </w:rPr>
        <w:t>4. التمييز بموجب القانون الدولي لحقوق الإنسان</w:t>
      </w:r>
    </w:p>
    <w:p w14:paraId="42CBC9B6" w14:textId="529489F7" w:rsidR="002F7440" w:rsidRPr="002F7440" w:rsidRDefault="002F7440" w:rsidP="009A53DC">
      <w:pPr>
        <w:pStyle w:val="Footer"/>
        <w:numPr>
          <w:ilvl w:val="0"/>
          <w:numId w:val="3"/>
        </w:numPr>
        <w:tabs>
          <w:tab w:val="left" w:pos="720"/>
          <w:tab w:val="left" w:pos="900"/>
          <w:tab w:val="left" w:pos="1134"/>
          <w:tab w:val="left" w:pos="1701"/>
        </w:tabs>
        <w:bidi/>
        <w:spacing w:after="240"/>
        <w:ind w:left="1143" w:right="900" w:firstLine="0"/>
        <w:jc w:val="both"/>
        <w:rPr>
          <w:rFonts w:ascii="Traditional Arabic" w:eastAsiaTheme="minorHAnsi" w:hAnsi="Traditional Arabic" w:cs="Traditional Arabic"/>
          <w:sz w:val="30"/>
          <w:szCs w:val="30"/>
        </w:rPr>
      </w:pPr>
      <w:r w:rsidRPr="002F7440">
        <w:rPr>
          <w:rFonts w:ascii="Traditional Arabic" w:eastAsiaTheme="minorHAnsi" w:hAnsi="Traditional Arabic" w:cs="Traditional Arabic"/>
          <w:sz w:val="30"/>
          <w:szCs w:val="30"/>
          <w:rtl/>
        </w:rPr>
        <w:t>يكفل القانون الدولي لحقوق الإنسان مبدأ عدم التمييز. حيث يتعين على أصحاب الواجب احترام وضمان حقوق الإنسان لجميع الأفراد الموجودين ضمن ولاياتهم القضائية بدون تمييز من أي نوع، على أساس العرق أو اللون أو الجنس أو اللغة أو الدين أو الرأي السياسي أو غيره أو الأصل القومي أو الاجتماعي أو الممتلكات، أو الولادة، أو غيرها من الاوضاع</w:t>
      </w:r>
      <w:r w:rsidR="00DB6C5E" w:rsidRPr="00B91FAE">
        <w:rPr>
          <w:rStyle w:val="FootnoteReference"/>
        </w:rPr>
        <w:footnoteReference w:id="1365"/>
      </w:r>
      <w:r w:rsidRPr="002F7440">
        <w:rPr>
          <w:rFonts w:ascii="Traditional Arabic" w:eastAsiaTheme="minorHAnsi" w:hAnsi="Traditional Arabic" w:cs="Traditional Arabic"/>
          <w:sz w:val="30"/>
          <w:szCs w:val="30"/>
          <w:rtl/>
        </w:rPr>
        <w:t>. وتماشياً مع الالتزام باحترام حقوق الإنسان وحمايتها وإعمالها، لا يهدف هذا المبدأ المتقاطع إلى ضمان عدم</w:t>
      </w:r>
      <w:r w:rsidR="00DB6C5E">
        <w:rPr>
          <w:rFonts w:ascii="Traditional Arabic" w:eastAsiaTheme="minorHAnsi" w:hAnsi="Traditional Arabic" w:cs="Traditional Arabic"/>
          <w:sz w:val="30"/>
          <w:szCs w:val="30"/>
          <w:rtl/>
        </w:rPr>
        <w:t xml:space="preserve"> اتخاذ خطوات تمييزية</w:t>
      </w:r>
      <w:r w:rsidR="009A53DC">
        <w:rPr>
          <w:rFonts w:ascii="Traditional Arabic" w:eastAsiaTheme="minorHAnsi" w:hAnsi="Traditional Arabic" w:cs="Traditional Arabic" w:hint="cs"/>
          <w:sz w:val="30"/>
          <w:szCs w:val="30"/>
          <w:rtl/>
        </w:rPr>
        <w:t xml:space="preserve"> بالتدابير فقط</w:t>
      </w:r>
      <w:r w:rsidRPr="002F7440">
        <w:rPr>
          <w:rFonts w:ascii="Traditional Arabic" w:eastAsiaTheme="minorHAnsi" w:hAnsi="Traditional Arabic" w:cs="Traditional Arabic"/>
          <w:sz w:val="30"/>
          <w:szCs w:val="30"/>
          <w:rtl/>
        </w:rPr>
        <w:t>، بل أيضًا حماية الأفراد من التمييز من جانب كيانات أخرى واتخاذ خطوات إيجابية باتجاه هذا التأثير. ينص القانون الدولي الإنساني أيضًا على حظر أي تمييز ضار في تطبيقه، سواء كان قائمًا على العرق أو اللون أو الجنس أو اللغة أو الدين أو المعتقد أو الرأي السياسي أو غيره أو الأصل القومي أو الاجتماعي أو الممتلكات أو الولادة أو غيرها من الأوضاع، أو على أي معايير أخرى مماثلة</w:t>
      </w:r>
      <w:r w:rsidRPr="002F7440">
        <w:rPr>
          <w:rFonts w:ascii="Traditional Arabic" w:eastAsiaTheme="minorHAnsi" w:hAnsi="Traditional Arabic" w:cs="Traditional Arabic"/>
          <w:sz w:val="30"/>
          <w:szCs w:val="30"/>
        </w:rPr>
        <w:t>.</w:t>
      </w:r>
      <w:r w:rsidR="00DB6C5E" w:rsidRPr="00B91FAE">
        <w:rPr>
          <w:rStyle w:val="FootnoteReference"/>
        </w:rPr>
        <w:footnoteReference w:id="1366"/>
      </w:r>
    </w:p>
    <w:p w14:paraId="79382D2D" w14:textId="4AF534F8" w:rsidR="00554D52" w:rsidRPr="00B5063E" w:rsidRDefault="0077685C" w:rsidP="00E25F5D">
      <w:pPr>
        <w:pStyle w:val="Heading2"/>
        <w:bidi/>
        <w:ind w:left="189" w:firstLine="279"/>
        <w:rPr>
          <w:rFonts w:ascii="Traditional Arabic" w:eastAsiaTheme="minorHAnsi" w:hAnsi="Traditional Arabic" w:cs="Traditional Arabic"/>
          <w:b/>
          <w:bCs/>
          <w:sz w:val="30"/>
          <w:szCs w:val="30"/>
          <w:lang w:eastAsia="zh-CN"/>
        </w:rPr>
      </w:pPr>
      <w:bookmarkStart w:id="36" w:name="_Toc18918116"/>
      <w:r w:rsidRPr="00B5063E">
        <w:rPr>
          <w:rFonts w:ascii="Traditional Arabic" w:hAnsi="Traditional Arabic" w:cs="Traditional Arabic"/>
          <w:b/>
          <w:bCs/>
          <w:sz w:val="30"/>
          <w:szCs w:val="30"/>
          <w:rtl/>
        </w:rPr>
        <w:lastRenderedPageBreak/>
        <w:t>جـ.</w:t>
      </w:r>
      <w:r w:rsidR="002B2A40" w:rsidRPr="00B5063E">
        <w:rPr>
          <w:rFonts w:ascii="Traditional Arabic" w:hAnsi="Traditional Arabic" w:cs="Traditional Arabic"/>
          <w:b/>
          <w:bCs/>
          <w:sz w:val="30"/>
          <w:szCs w:val="30"/>
          <w:rtl/>
        </w:rPr>
        <w:tab/>
      </w:r>
      <w:r w:rsidR="00554D52" w:rsidRPr="00B5063E">
        <w:rPr>
          <w:rFonts w:ascii="Traditional Arabic" w:eastAsiaTheme="minorHAnsi" w:hAnsi="Traditional Arabic" w:cs="Traditional Arabic"/>
          <w:b/>
          <w:bCs/>
          <w:sz w:val="30"/>
          <w:szCs w:val="30"/>
          <w:rtl/>
          <w:lang w:eastAsia="zh-CN"/>
        </w:rPr>
        <w:t>الاستخدام العسكري وتدمير المواقع الدينية والثقافية</w:t>
      </w:r>
      <w:bookmarkEnd w:id="36"/>
    </w:p>
    <w:p w14:paraId="7B2A02F1" w14:textId="5754A34C" w:rsidR="00554D52" w:rsidRPr="00554D52" w:rsidRDefault="00554D52" w:rsidP="00DB6C5E">
      <w:pPr>
        <w:pStyle w:val="Footer"/>
        <w:numPr>
          <w:ilvl w:val="0"/>
          <w:numId w:val="3"/>
        </w:numPr>
        <w:tabs>
          <w:tab w:val="left" w:pos="720"/>
          <w:tab w:val="left" w:pos="900"/>
          <w:tab w:val="left" w:pos="1134"/>
          <w:tab w:val="left" w:pos="1701"/>
        </w:tabs>
        <w:bidi/>
        <w:spacing w:after="240"/>
        <w:ind w:left="1089" w:right="1089" w:firstLine="0"/>
        <w:jc w:val="both"/>
        <w:rPr>
          <w:rFonts w:ascii="Simplified Arabic" w:eastAsia="SimSun" w:hAnsi="Simplified Arabic" w:cs="Simplified Arabic"/>
          <w:sz w:val="24"/>
          <w:szCs w:val="24"/>
          <w:lang w:eastAsia="zh-CN"/>
        </w:rPr>
      </w:pPr>
      <w:r w:rsidRPr="002B2A40">
        <w:rPr>
          <w:rFonts w:ascii="Traditional Arabic" w:eastAsia="SimSun" w:hAnsi="Traditional Arabic" w:cs="Traditional Arabic"/>
          <w:sz w:val="30"/>
          <w:szCs w:val="30"/>
          <w:rtl/>
          <w:lang w:eastAsia="zh-CN" w:bidi="ar-JO"/>
        </w:rPr>
        <w:t>يوجد في</w:t>
      </w:r>
      <w:r w:rsidRPr="002B2A40">
        <w:rPr>
          <w:rFonts w:ascii="Traditional Arabic" w:eastAsia="SimSun" w:hAnsi="Traditional Arabic" w:cs="Traditional Arabic"/>
          <w:sz w:val="30"/>
          <w:szCs w:val="30"/>
          <w:rtl/>
          <w:lang w:eastAsia="zh-CN"/>
        </w:rPr>
        <w:t xml:space="preserve"> اليمن تراثًا ثقافيًا فريدًا يرجع تاريخه إلى آلاف السنين. هناك أربعة مواقع مدرجة في قائمة التراث العالمي لمنظمة الأمم المتحدة للتربية والعلم والثقافة ("اليونسكو")، ويوجد 1</w:t>
      </w:r>
      <w:r w:rsidR="009A53DC">
        <w:rPr>
          <w:rFonts w:ascii="Traditional Arabic" w:eastAsia="SimSun" w:hAnsi="Traditional Arabic" w:cs="Traditional Arabic"/>
          <w:sz w:val="30"/>
          <w:szCs w:val="30"/>
          <w:rtl/>
          <w:lang w:eastAsia="zh-CN"/>
        </w:rPr>
        <w:t>0 مواقع أخرى على القائمة ال</w:t>
      </w:r>
      <w:r w:rsidR="009A53DC">
        <w:rPr>
          <w:rFonts w:ascii="Traditional Arabic" w:eastAsia="SimSun" w:hAnsi="Traditional Arabic" w:cs="Traditional Arabic" w:hint="cs"/>
          <w:sz w:val="30"/>
          <w:szCs w:val="30"/>
          <w:rtl/>
          <w:lang w:eastAsia="zh-CN"/>
        </w:rPr>
        <w:t>أ</w:t>
      </w:r>
      <w:r w:rsidR="009A53DC">
        <w:rPr>
          <w:rFonts w:ascii="Traditional Arabic" w:eastAsia="SimSun" w:hAnsi="Traditional Arabic" w:cs="Traditional Arabic"/>
          <w:sz w:val="30"/>
          <w:szCs w:val="30"/>
          <w:rtl/>
          <w:lang w:eastAsia="zh-CN"/>
        </w:rPr>
        <w:t>ولي</w:t>
      </w:r>
      <w:r w:rsidR="009A53DC">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ومئات من المواقع الثقافية المتنوعة في جميع أنحاء البلاد، والتي تتراوح بين المتاحف والمكتبات ودور المحفوظات والمواقع الأثرية والقلاع،</w:t>
      </w:r>
      <w:r w:rsidR="009A53DC">
        <w:rPr>
          <w:rFonts w:ascii="Traditional Arabic" w:eastAsia="SimSun" w:hAnsi="Traditional Arabic" w:cs="Traditional Arabic" w:hint="cs"/>
          <w:sz w:val="30"/>
          <w:szCs w:val="30"/>
          <w:rtl/>
          <w:lang w:eastAsia="zh-CN"/>
        </w:rPr>
        <w:t xml:space="preserve"> وصولًا</w:t>
      </w:r>
      <w:r w:rsidRPr="002B2A40">
        <w:rPr>
          <w:rFonts w:ascii="Traditional Arabic" w:eastAsia="SimSun" w:hAnsi="Traditional Arabic" w:cs="Traditional Arabic"/>
          <w:sz w:val="30"/>
          <w:szCs w:val="30"/>
          <w:rtl/>
          <w:lang w:eastAsia="zh-CN"/>
        </w:rPr>
        <w:t xml:space="preserve"> إلى المواقع الدينية والطبيعية</w:t>
      </w:r>
      <w:r w:rsidR="00DB6C5E" w:rsidRPr="00B91FAE">
        <w:rPr>
          <w:rStyle w:val="FootnoteReference"/>
        </w:rPr>
        <w:footnoteReference w:id="1367"/>
      </w:r>
      <w:r w:rsidRPr="00554D52">
        <w:rPr>
          <w:rFonts w:ascii="Simplified Arabic" w:eastAsia="SimSun" w:hAnsi="Simplified Arabic" w:cs="Simplified Arabic"/>
          <w:sz w:val="24"/>
          <w:szCs w:val="24"/>
          <w:lang w:eastAsia="zh-CN"/>
        </w:rPr>
        <w:t>.</w:t>
      </w:r>
    </w:p>
    <w:p w14:paraId="15BFD176" w14:textId="215F35F7" w:rsidR="00554D52" w:rsidRPr="002B2A40"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إن الملكية الثقافية محمية بشكل خاص في أوقات النزاعات المسلحة. وفقًا للقانون الدولي الإنساني، يجب على أطراف النزاع احترام الممتلكات الثقافية وعليها توخي الحذر بشكل خاص لتفادي إلحاق الضرر بهذه الممتلكات في العمليات العسكرية. </w:t>
      </w:r>
      <w:r w:rsidR="009D5C34" w:rsidRPr="002B2A40">
        <w:rPr>
          <w:rFonts w:ascii="Traditional Arabic" w:eastAsia="SimSun" w:hAnsi="Traditional Arabic" w:cs="Traditional Arabic"/>
          <w:sz w:val="30"/>
          <w:szCs w:val="30"/>
          <w:rtl/>
          <w:lang w:eastAsia="zh-CN"/>
        </w:rPr>
        <w:t>و</w:t>
      </w:r>
      <w:r w:rsidR="009D5C34">
        <w:rPr>
          <w:rFonts w:ascii="Traditional Arabic" w:eastAsia="SimSun" w:hAnsi="Traditional Arabic" w:cs="Traditional Arabic" w:hint="cs"/>
          <w:sz w:val="30"/>
          <w:szCs w:val="30"/>
          <w:rtl/>
          <w:lang w:eastAsia="zh-CN"/>
        </w:rPr>
        <w:t>كذلك</w:t>
      </w:r>
      <w:r w:rsidR="009D5C34" w:rsidRPr="002B2A40">
        <w:rPr>
          <w:rFonts w:ascii="Traditional Arabic" w:eastAsia="SimSun" w:hAnsi="Traditional Arabic" w:cs="Traditional Arabic"/>
          <w:sz w:val="30"/>
          <w:szCs w:val="30"/>
          <w:rtl/>
          <w:lang w:eastAsia="zh-CN"/>
        </w:rPr>
        <w:t xml:space="preserve"> </w:t>
      </w:r>
      <w:r w:rsidR="009D5C34">
        <w:rPr>
          <w:rFonts w:ascii="Traditional Arabic" w:eastAsia="SimSun" w:hAnsi="Traditional Arabic" w:cs="Traditional Arabic" w:hint="cs"/>
          <w:sz w:val="30"/>
          <w:szCs w:val="30"/>
          <w:rtl/>
          <w:lang w:eastAsia="zh-CN"/>
        </w:rPr>
        <w:t>لا يجوز أن تكون</w:t>
      </w:r>
      <w:r w:rsidR="009D5C34"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sz w:val="30"/>
          <w:szCs w:val="30"/>
          <w:rtl/>
          <w:lang w:eastAsia="zh-CN"/>
        </w:rPr>
        <w:t xml:space="preserve">أن الممتلكات ذات الأهمية الكبرى للتراث الثقافي هدفًا للهجوم إلا إذا اقتضت الضرورة العسكرية ذلك. بالإضافة إلى ذلك، </w:t>
      </w:r>
      <w:r w:rsidRPr="002B2A40">
        <w:rPr>
          <w:rFonts w:ascii="Traditional Arabic" w:eastAsia="SimSun" w:hAnsi="Traditional Arabic" w:cs="Traditional Arabic" w:hint="cs"/>
          <w:sz w:val="30"/>
          <w:szCs w:val="30"/>
          <w:rtl/>
          <w:lang w:eastAsia="zh-CN"/>
        </w:rPr>
        <w:t xml:space="preserve">يحظر </w:t>
      </w:r>
      <w:r w:rsidRPr="002B2A40">
        <w:rPr>
          <w:rFonts w:ascii="Traditional Arabic" w:eastAsia="SimSun" w:hAnsi="Traditional Arabic" w:cs="Traditional Arabic"/>
          <w:sz w:val="30"/>
          <w:szCs w:val="30"/>
          <w:rtl/>
          <w:lang w:eastAsia="zh-CN"/>
        </w:rPr>
        <w:t xml:space="preserve">البروتوكول الإضافي الثاني </w:t>
      </w:r>
      <w:r w:rsidRPr="002B2A40">
        <w:rPr>
          <w:rFonts w:ascii="Traditional Arabic" w:eastAsia="SimSun" w:hAnsi="Traditional Arabic" w:cs="Traditional Arabic" w:hint="cs"/>
          <w:sz w:val="30"/>
          <w:szCs w:val="30"/>
          <w:rtl/>
          <w:lang w:eastAsia="zh-CN"/>
        </w:rPr>
        <w:t xml:space="preserve">بشكل </w:t>
      </w:r>
      <w:r w:rsidRPr="002B2A40">
        <w:rPr>
          <w:rFonts w:ascii="Traditional Arabic" w:eastAsia="SimSun" w:hAnsi="Traditional Arabic" w:cs="Traditional Arabic"/>
          <w:sz w:val="30"/>
          <w:szCs w:val="30"/>
          <w:rtl/>
          <w:lang w:eastAsia="zh-CN"/>
        </w:rPr>
        <w:t>مطلق "لارتكاب أي</w:t>
      </w:r>
      <w:r w:rsidRPr="002B2A40">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أعمال عدائية موجهة ضد الآثار التاريخية أو الأعمال الفنية أو أماكن العبادة التي تشكل التراث الثقافي أو الروحي للشعوب، واستخدامها في دعم المجهود الحربي"</w:t>
      </w:r>
      <w:r w:rsidRPr="002B2A40">
        <w:rPr>
          <w:rFonts w:ascii="Traditional Arabic" w:eastAsia="SimSun" w:hAnsi="Traditional Arabic" w:cs="Traditional Arabic" w:hint="cs"/>
          <w:sz w:val="30"/>
          <w:szCs w:val="30"/>
          <w:rtl/>
          <w:lang w:eastAsia="zh-CN"/>
        </w:rPr>
        <w:t>.</w:t>
      </w:r>
      <w:r w:rsidR="00DB6C5E" w:rsidRPr="00B91FAE">
        <w:rPr>
          <w:rStyle w:val="FootnoteReference"/>
        </w:rPr>
        <w:footnoteReference w:id="1368"/>
      </w:r>
      <w:r w:rsidRPr="002B2A40">
        <w:rPr>
          <w:rFonts w:ascii="Traditional Arabic" w:eastAsia="SimSun" w:hAnsi="Traditional Arabic" w:cs="Traditional Arabic"/>
          <w:sz w:val="30"/>
          <w:szCs w:val="30"/>
          <w:rtl/>
          <w:lang w:eastAsia="zh-CN"/>
        </w:rPr>
        <w:t xml:space="preserve"> هذا </w:t>
      </w:r>
      <w:r w:rsidRPr="002B2A40">
        <w:rPr>
          <w:rFonts w:ascii="Traditional Arabic" w:eastAsia="SimSun" w:hAnsi="Traditional Arabic" w:cs="Traditional Arabic" w:hint="cs"/>
          <w:sz w:val="30"/>
          <w:szCs w:val="30"/>
          <w:rtl/>
          <w:lang w:eastAsia="zh-CN"/>
        </w:rPr>
        <w:t>الشرط</w:t>
      </w:r>
      <w:r w:rsidRPr="002B2A40">
        <w:rPr>
          <w:rFonts w:ascii="Traditional Arabic" w:eastAsia="SimSun" w:hAnsi="Traditional Arabic" w:cs="Traditional Arabic"/>
          <w:sz w:val="30"/>
          <w:szCs w:val="30"/>
          <w:rtl/>
          <w:lang w:eastAsia="zh-CN"/>
        </w:rPr>
        <w:t xml:space="preserve"> لا ينطبق إلا على الأشياء ذات </w:t>
      </w:r>
      <w:r w:rsidRPr="002B2A40">
        <w:rPr>
          <w:rFonts w:ascii="Traditional Arabic" w:eastAsia="SimSun" w:hAnsi="Traditional Arabic" w:cs="Traditional Arabic" w:hint="cs"/>
          <w:sz w:val="30"/>
          <w:szCs w:val="30"/>
          <w:rtl/>
          <w:lang w:eastAsia="zh-CN"/>
        </w:rPr>
        <w:t>الاهمية</w:t>
      </w:r>
      <w:r w:rsidRPr="002B2A40">
        <w:rPr>
          <w:rFonts w:ascii="Traditional Arabic" w:eastAsia="SimSun" w:hAnsi="Traditional Arabic" w:cs="Traditional Arabic"/>
          <w:sz w:val="30"/>
          <w:szCs w:val="30"/>
          <w:rtl/>
          <w:lang w:eastAsia="zh-CN"/>
        </w:rPr>
        <w:t xml:space="preserve"> الاستثنائي</w:t>
      </w:r>
      <w:r w:rsidR="009D5C34">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والقيمة العالمية، من أجل "الحفاظ على تراث البشرية</w:t>
      </w:r>
      <w:r w:rsidRPr="002B2A40">
        <w:rPr>
          <w:rFonts w:ascii="Traditional Arabic" w:eastAsia="SimSun" w:hAnsi="Traditional Arabic" w:cs="Traditional Arabic"/>
          <w:sz w:val="30"/>
          <w:szCs w:val="30"/>
          <w:lang w:eastAsia="zh-CN"/>
        </w:rPr>
        <w:t>".</w:t>
      </w:r>
      <w:r w:rsidR="00DB6C5E" w:rsidRPr="00B91FAE">
        <w:rPr>
          <w:rStyle w:val="FootnoteReference"/>
        </w:rPr>
        <w:footnoteReference w:id="1369"/>
      </w:r>
      <w:r w:rsidRPr="002B2A40">
        <w:rPr>
          <w:rFonts w:ascii="Simplified Arabic" w:eastAsia="SimSun" w:hAnsi="Simplified Arabic" w:cs="Simplified Arabic"/>
          <w:sz w:val="24"/>
          <w:szCs w:val="24"/>
          <w:vertAlign w:val="superscript"/>
          <w:rtl/>
          <w:lang w:eastAsia="zh-CN"/>
        </w:rPr>
        <w:t xml:space="preserve"> </w:t>
      </w:r>
    </w:p>
    <w:p w14:paraId="37450BE9" w14:textId="5A18F339" w:rsidR="008E500F"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تعتبر اتفاقية لاهاي لعام 1954 لحماية الممتلكات الثقافية في حالة نشوب نزاع مسلح (المعروفة باسم "اتفاقية 1954") وبروتوكولها الثاني</w:t>
      </w:r>
      <w:r w:rsidR="00DB6C5E" w:rsidRPr="00B91FAE">
        <w:rPr>
          <w:rStyle w:val="FootnoteReference"/>
        </w:rPr>
        <w:footnoteReference w:id="1370"/>
      </w:r>
      <w:r w:rsidRPr="002B2A40">
        <w:rPr>
          <w:rFonts w:ascii="Traditional Arabic" w:eastAsia="SimSun" w:hAnsi="Traditional Arabic" w:cs="Traditional Arabic"/>
          <w:sz w:val="30"/>
          <w:szCs w:val="30"/>
          <w:rtl/>
          <w:lang w:eastAsia="zh-CN"/>
        </w:rPr>
        <w:t xml:space="preserve"> الذي تعد اليمن طرفًا فيه ، وكذلك معظم </w:t>
      </w:r>
      <w:r w:rsidRPr="002B2A40">
        <w:rPr>
          <w:rFonts w:ascii="Traditional Arabic" w:eastAsia="SimSun" w:hAnsi="Traditional Arabic" w:cs="Traditional Arabic" w:hint="cs"/>
          <w:sz w:val="30"/>
          <w:szCs w:val="30"/>
          <w:rtl/>
          <w:lang w:eastAsia="zh-CN"/>
        </w:rPr>
        <w:t>دول</w:t>
      </w:r>
      <w:r w:rsidRPr="002B2A40">
        <w:rPr>
          <w:rFonts w:ascii="Traditional Arabic" w:eastAsia="SimSun" w:hAnsi="Traditional Arabic" w:cs="Traditional Arabic"/>
          <w:sz w:val="30"/>
          <w:szCs w:val="30"/>
          <w:rtl/>
          <w:lang w:eastAsia="zh-CN"/>
        </w:rPr>
        <w:t xml:space="preserve"> التحالف</w:t>
      </w:r>
      <w:r w:rsidR="00DB6C5E" w:rsidRPr="00B91FAE">
        <w:rPr>
          <w:rStyle w:val="FootnoteReference"/>
        </w:rPr>
        <w:footnoteReference w:id="1371"/>
      </w:r>
      <w:r w:rsidRPr="002B2A40">
        <w:rPr>
          <w:rFonts w:ascii="Traditional Arabic" w:eastAsia="SimSun" w:hAnsi="Traditional Arabic" w:cs="Traditional Arabic"/>
          <w:sz w:val="30"/>
          <w:szCs w:val="30"/>
          <w:rtl/>
          <w:lang w:eastAsia="zh-CN"/>
        </w:rPr>
        <w:t xml:space="preserve">، ذات أهمية أيضًا في هذا السياق . إن الحماية التي توفرها الاتفاقية وبروتوكولها الثاني أوسع من الأحكام المذكورة أعلاه في القانون الدولي الإنساني، بمعنى أنها تنص بشكل خاص على شروط محددة للإعفاءات على أساس الضرورة العسكرية الملحة، وكذلك </w:t>
      </w:r>
      <w:r w:rsidRPr="002B2A40">
        <w:rPr>
          <w:rFonts w:ascii="Traditional Arabic" w:eastAsia="SimSun" w:hAnsi="Traditional Arabic" w:cs="Traditional Arabic" w:hint="cs"/>
          <w:sz w:val="30"/>
          <w:szCs w:val="30"/>
          <w:rtl/>
          <w:lang w:eastAsia="zh-CN"/>
        </w:rPr>
        <w:t>إقامة نظام معزز لحماية ممتلكات ثقافية معينه</w:t>
      </w:r>
      <w:r w:rsidRPr="002B2A40">
        <w:rPr>
          <w:rFonts w:ascii="Traditional Arabic" w:eastAsia="SimSun" w:hAnsi="Traditional Arabic" w:cs="Traditional Arabic"/>
          <w:sz w:val="30"/>
          <w:szCs w:val="30"/>
          <w:rtl/>
          <w:lang w:eastAsia="zh-CN"/>
        </w:rPr>
        <w:t xml:space="preserve"> على وجه التحديد</w:t>
      </w:r>
      <w:r w:rsidR="0088139E" w:rsidRPr="00B91FAE">
        <w:rPr>
          <w:rStyle w:val="FootnoteReference"/>
        </w:rPr>
        <w:footnoteReference w:id="1372"/>
      </w:r>
      <w:r w:rsidRPr="002B2A40">
        <w:rPr>
          <w:rFonts w:ascii="Traditional Arabic" w:eastAsia="SimSun" w:hAnsi="Traditional Arabic" w:cs="Traditional Arabic"/>
          <w:sz w:val="30"/>
          <w:szCs w:val="30"/>
          <w:rtl/>
          <w:lang w:eastAsia="zh-CN"/>
        </w:rPr>
        <w:t>. يجوز وضع الممتلكات تحت حماية معززة إذا لم تستخدم لأغراض عسكرية، ويجب على الأطراف الامتناع عن جعل هذه الممتلكات هدفًا للهجوم، وعن أي استخدام لها أو محيطها المباشر دعماً للعمل العسكري</w:t>
      </w:r>
      <w:r w:rsidRPr="002B2A40">
        <w:rPr>
          <w:rFonts w:ascii="Traditional Arabic" w:eastAsia="SimSun" w:hAnsi="Traditional Arabic" w:cs="Traditional Arabic"/>
          <w:sz w:val="30"/>
          <w:szCs w:val="30"/>
          <w:lang w:eastAsia="zh-CN"/>
        </w:rPr>
        <w:t>.</w:t>
      </w:r>
      <w:r w:rsidRPr="002B2A40">
        <w:rPr>
          <w:rFonts w:ascii="Traditional Arabic" w:eastAsia="SimSun" w:hAnsi="Traditional Arabic" w:cs="Traditional Arabic"/>
          <w:sz w:val="30"/>
          <w:szCs w:val="30"/>
          <w:rtl/>
          <w:lang w:eastAsia="zh-CN"/>
        </w:rPr>
        <w:t xml:space="preserve"> </w:t>
      </w:r>
    </w:p>
    <w:p w14:paraId="1AA59177" w14:textId="1403BC85" w:rsidR="00554D52" w:rsidRPr="003453D4" w:rsidRDefault="00554D52" w:rsidP="009D5C34">
      <w:pPr>
        <w:pStyle w:val="Footer"/>
        <w:numPr>
          <w:ilvl w:val="0"/>
          <w:numId w:val="3"/>
        </w:numPr>
        <w:tabs>
          <w:tab w:val="left" w:pos="720"/>
          <w:tab w:val="left" w:pos="900"/>
          <w:tab w:val="left" w:pos="1134"/>
          <w:tab w:val="left" w:pos="1701"/>
        </w:tabs>
        <w:bidi/>
        <w:spacing w:after="240"/>
        <w:ind w:left="1089" w:right="1089" w:firstLine="0"/>
        <w:jc w:val="both"/>
        <w:rPr>
          <w:rFonts w:ascii="Simplified Arabic" w:eastAsia="SimSun" w:hAnsi="Simplified Arabic" w:cs="Simplified Arabic"/>
          <w:sz w:val="24"/>
          <w:szCs w:val="24"/>
          <w:vertAlign w:val="superscript"/>
          <w:lang w:eastAsia="zh-CN"/>
        </w:rPr>
      </w:pPr>
      <w:r w:rsidRPr="008E500F">
        <w:rPr>
          <w:rFonts w:ascii="Traditional Arabic" w:eastAsia="SimSun" w:hAnsi="Traditional Arabic" w:cs="Traditional Arabic"/>
          <w:sz w:val="30"/>
          <w:szCs w:val="30"/>
          <w:rtl/>
          <w:lang w:eastAsia="zh-CN"/>
        </w:rPr>
        <w:lastRenderedPageBreak/>
        <w:t xml:space="preserve">أخيرًا ، يعتبر توجيه هجمات </w:t>
      </w:r>
      <w:r w:rsidRPr="008E500F">
        <w:rPr>
          <w:rFonts w:ascii="Traditional Arabic" w:eastAsia="SimSun" w:hAnsi="Traditional Arabic" w:cs="Traditional Arabic" w:hint="cs"/>
          <w:sz w:val="30"/>
          <w:szCs w:val="30"/>
          <w:rtl/>
          <w:lang w:eastAsia="zh-CN"/>
        </w:rPr>
        <w:t xml:space="preserve">بشكل متعمد </w:t>
      </w:r>
      <w:r w:rsidRPr="008E500F">
        <w:rPr>
          <w:rFonts w:ascii="Traditional Arabic" w:eastAsia="SimSun" w:hAnsi="Traditional Arabic" w:cs="Traditional Arabic"/>
          <w:sz w:val="30"/>
          <w:szCs w:val="30"/>
          <w:rtl/>
          <w:lang w:eastAsia="zh-CN"/>
        </w:rPr>
        <w:t xml:space="preserve">ضد </w:t>
      </w:r>
      <w:r w:rsidRPr="008E500F">
        <w:rPr>
          <w:rFonts w:ascii="Traditional Arabic" w:eastAsia="SimSun" w:hAnsi="Traditional Arabic" w:cs="Traditional Arabic" w:hint="cs"/>
          <w:sz w:val="30"/>
          <w:szCs w:val="30"/>
          <w:rtl/>
          <w:lang w:eastAsia="zh-CN"/>
        </w:rPr>
        <w:t>الاعيان</w:t>
      </w:r>
      <w:r w:rsidRPr="008E500F">
        <w:rPr>
          <w:rFonts w:ascii="Traditional Arabic" w:eastAsia="SimSun" w:hAnsi="Traditional Arabic" w:cs="Traditional Arabic"/>
          <w:sz w:val="30"/>
          <w:szCs w:val="30"/>
          <w:rtl/>
          <w:lang w:eastAsia="zh-CN"/>
        </w:rPr>
        <w:t xml:space="preserve"> المخصصة للأغراض الدينية أو التعليمية أو الفنية أو العلمية أو الخيرية ، والمعالم التاريخية ، شريطة ألا تكون أهدافًا عسكرية، جريمة حرب، </w:t>
      </w:r>
      <w:r w:rsidR="009D5C34">
        <w:rPr>
          <w:rFonts w:ascii="Traditional Arabic" w:eastAsia="SimSun" w:hAnsi="Traditional Arabic" w:cs="Traditional Arabic" w:hint="cs"/>
          <w:sz w:val="30"/>
          <w:szCs w:val="30"/>
          <w:rtl/>
          <w:lang w:eastAsia="zh-CN"/>
        </w:rPr>
        <w:t xml:space="preserve">ويسري ذلك أيضًا خلال </w:t>
      </w:r>
      <w:r w:rsidRPr="008E500F">
        <w:rPr>
          <w:rFonts w:ascii="Traditional Arabic" w:eastAsia="SimSun" w:hAnsi="Traditional Arabic" w:cs="Traditional Arabic"/>
          <w:sz w:val="30"/>
          <w:szCs w:val="30"/>
          <w:rtl/>
          <w:lang w:eastAsia="zh-CN"/>
        </w:rPr>
        <w:t>النزاعات المسلحة غير الدولية</w:t>
      </w:r>
      <w:r w:rsidR="0088139E" w:rsidRPr="00B91FAE">
        <w:rPr>
          <w:rStyle w:val="FootnoteReference"/>
        </w:rPr>
        <w:footnoteReference w:id="1373"/>
      </w:r>
      <w:r w:rsidR="0088139E">
        <w:rPr>
          <w:rFonts w:ascii="Traditional Arabic" w:eastAsia="SimSun" w:hAnsi="Traditional Arabic" w:cs="Traditional Arabic" w:hint="cs"/>
          <w:sz w:val="30"/>
          <w:szCs w:val="30"/>
          <w:rtl/>
          <w:lang w:eastAsia="zh-CN"/>
        </w:rPr>
        <w:t>.</w:t>
      </w:r>
    </w:p>
    <w:p w14:paraId="58ED7F36" w14:textId="2FCAE65A" w:rsidR="00554D52" w:rsidRPr="008E500F" w:rsidRDefault="00554D52" w:rsidP="008E500F">
      <w:pPr>
        <w:pStyle w:val="ListParagraph"/>
        <w:numPr>
          <w:ilvl w:val="0"/>
          <w:numId w:val="19"/>
        </w:numPr>
        <w:bidi/>
        <w:spacing w:after="160" w:line="240" w:lineRule="auto"/>
        <w:ind w:left="1179" w:hanging="540"/>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b/>
          <w:bCs/>
          <w:sz w:val="30"/>
          <w:szCs w:val="30"/>
          <w:rtl/>
          <w:lang w:eastAsia="zh-CN"/>
        </w:rPr>
        <w:t>تدمير التراث الثقافي اليمني</w:t>
      </w:r>
    </w:p>
    <w:p w14:paraId="2A3625B1" w14:textId="2416FDE3" w:rsidR="00554D52" w:rsidRPr="002B2A40" w:rsidRDefault="00554D52" w:rsidP="00DD4B60">
      <w:pPr>
        <w:pStyle w:val="Footer"/>
        <w:numPr>
          <w:ilvl w:val="0"/>
          <w:numId w:val="3"/>
        </w:numPr>
        <w:tabs>
          <w:tab w:val="left" w:pos="720"/>
          <w:tab w:val="left" w:pos="900"/>
          <w:tab w:val="right" w:pos="1089"/>
          <w:tab w:val="left" w:pos="1134"/>
          <w:tab w:val="left" w:pos="1701"/>
        </w:tabs>
        <w:bidi/>
        <w:spacing w:after="240"/>
        <w:ind w:left="1089" w:right="1089" w:firstLine="0"/>
        <w:jc w:val="both"/>
        <w:rPr>
          <w:rFonts w:ascii="Simplified Arabic" w:eastAsia="SimSun" w:hAnsi="Simplified Arabic" w:cs="Simplified Arabic"/>
          <w:sz w:val="24"/>
          <w:szCs w:val="24"/>
          <w:vertAlign w:val="superscript"/>
          <w:lang w:eastAsia="zh-CN"/>
        </w:rPr>
      </w:pPr>
      <w:r w:rsidRPr="002B2A40">
        <w:rPr>
          <w:rFonts w:ascii="Traditional Arabic" w:eastAsia="SimSun" w:hAnsi="Traditional Arabic" w:cs="Traditional Arabic"/>
          <w:sz w:val="30"/>
          <w:szCs w:val="30"/>
          <w:rtl/>
          <w:lang w:eastAsia="zh-CN"/>
        </w:rPr>
        <w:t xml:space="preserve">دمرت أطراف النزاع </w:t>
      </w:r>
      <w:r w:rsidRPr="002B2A40">
        <w:rPr>
          <w:rFonts w:ascii="Traditional Arabic" w:eastAsia="SimSun" w:hAnsi="Traditional Arabic" w:cs="Traditional Arabic" w:hint="cs"/>
          <w:sz w:val="30"/>
          <w:szCs w:val="30"/>
          <w:rtl/>
          <w:lang w:eastAsia="zh-CN"/>
        </w:rPr>
        <w:t>اعيان</w:t>
      </w:r>
      <w:r w:rsidRPr="002B2A40">
        <w:rPr>
          <w:rFonts w:ascii="Traditional Arabic" w:eastAsia="SimSun" w:hAnsi="Traditional Arabic" w:cs="Traditional Arabic"/>
          <w:sz w:val="30"/>
          <w:szCs w:val="30"/>
          <w:rtl/>
          <w:lang w:eastAsia="zh-CN"/>
        </w:rPr>
        <w:t xml:space="preserve"> خاضعة للحماية كممتلكات ثقافية كما وألحقت بها أضرارا ، مثل المعالم التاريخية والمباني الأثرية والدينية ذات الأهمية الثقافية والدينية لليمن والعالم. حدث هذا من خلال الهجمات المتعمدة أو العشوائية ، أو بسبب قربها من الأهداف العسكرية. استخدام هذه الممتلكات الثقافية لأغراض عسكرية ، وا</w:t>
      </w:r>
      <w:r w:rsidRPr="002B2A40">
        <w:rPr>
          <w:rFonts w:ascii="Traditional Arabic" w:eastAsia="SimSun" w:hAnsi="Traditional Arabic" w:cs="Traditional Arabic" w:hint="cs"/>
          <w:sz w:val="30"/>
          <w:szCs w:val="30"/>
          <w:rtl/>
          <w:lang w:eastAsia="zh-CN"/>
        </w:rPr>
        <w:t>زالة</w:t>
      </w:r>
      <w:r w:rsidRPr="002B2A40">
        <w:rPr>
          <w:rFonts w:ascii="Traditional Arabic" w:eastAsia="SimSun" w:hAnsi="Traditional Arabic" w:cs="Traditional Arabic"/>
          <w:sz w:val="30"/>
          <w:szCs w:val="30"/>
          <w:rtl/>
          <w:lang w:eastAsia="zh-CN"/>
        </w:rPr>
        <w:t xml:space="preserve"> حمايتها من الهجوم ، هو أيضا أحد الأسباب الرئيسية للتدمير. مع استمرار النزاع ، تستمر تصرفات الأطراف في </w:t>
      </w:r>
      <w:r w:rsidR="007F7EFF" w:rsidRPr="007F7EFF">
        <w:rPr>
          <w:rFonts w:ascii="Traditional Arabic" w:eastAsia="SimSun" w:hAnsi="Traditional Arabic" w:cs="Traditional Arabic"/>
          <w:sz w:val="30"/>
          <w:szCs w:val="30"/>
          <w:rtl/>
          <w:lang w:eastAsia="zh-CN"/>
        </w:rPr>
        <w:t>تعرض</w:t>
      </w:r>
      <w:r w:rsidR="007F7EFF">
        <w:rPr>
          <w:rFonts w:ascii="Traditional Arabic" w:eastAsia="SimSun" w:hAnsi="Traditional Arabic" w:cs="Traditional Arabic" w:hint="cs"/>
          <w:sz w:val="30"/>
          <w:szCs w:val="30"/>
          <w:rtl/>
          <w:lang w:eastAsia="zh-CN"/>
        </w:rPr>
        <w:t xml:space="preserve"> </w:t>
      </w:r>
      <w:r w:rsidRPr="002B2A40">
        <w:rPr>
          <w:rFonts w:ascii="Traditional Arabic" w:eastAsia="SimSun" w:hAnsi="Traditional Arabic" w:cs="Traditional Arabic"/>
          <w:sz w:val="30"/>
          <w:szCs w:val="30"/>
          <w:rtl/>
          <w:lang w:eastAsia="zh-CN"/>
        </w:rPr>
        <w:t xml:space="preserve">التراث الثقافي </w:t>
      </w:r>
      <w:r w:rsidR="001D358E">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ليمن</w:t>
      </w:r>
      <w:r w:rsidR="001D358E">
        <w:rPr>
          <w:rFonts w:ascii="Traditional Arabic" w:eastAsia="SimSun" w:hAnsi="Traditional Arabic" w:cs="Traditional Arabic" w:hint="cs"/>
          <w:sz w:val="30"/>
          <w:szCs w:val="30"/>
          <w:rtl/>
          <w:lang w:eastAsia="zh-CN"/>
        </w:rPr>
        <w:t>ي للخطر ال</w:t>
      </w:r>
      <w:r w:rsidR="001D358E" w:rsidRPr="002B2A40">
        <w:rPr>
          <w:rFonts w:ascii="Traditional Arabic" w:eastAsia="SimSun" w:hAnsi="Traditional Arabic" w:cs="Traditional Arabic"/>
          <w:sz w:val="30"/>
          <w:szCs w:val="30"/>
          <w:rtl/>
          <w:lang w:eastAsia="zh-CN"/>
        </w:rPr>
        <w:t xml:space="preserve">مباشر </w:t>
      </w:r>
      <w:r w:rsidR="001D358E">
        <w:rPr>
          <w:rFonts w:ascii="Traditional Arabic" w:eastAsia="SimSun" w:hAnsi="Traditional Arabic" w:cs="Traditional Arabic" w:hint="cs"/>
          <w:sz w:val="30"/>
          <w:szCs w:val="30"/>
          <w:rtl/>
          <w:lang w:eastAsia="zh-CN"/>
        </w:rPr>
        <w:t>و</w:t>
      </w:r>
      <w:r w:rsidR="007F7EFF">
        <w:rPr>
          <w:rFonts w:ascii="Traditional Arabic" w:eastAsia="SimSun" w:hAnsi="Traditional Arabic" w:cs="Traditional Arabic" w:hint="cs"/>
          <w:sz w:val="30"/>
          <w:szCs w:val="30"/>
          <w:rtl/>
          <w:lang w:eastAsia="zh-CN"/>
        </w:rPr>
        <w:t>خطر الا</w:t>
      </w:r>
      <w:r w:rsidRPr="002B2A40">
        <w:rPr>
          <w:rFonts w:ascii="Traditional Arabic" w:eastAsia="SimSun" w:hAnsi="Traditional Arabic" w:cs="Traditional Arabic"/>
          <w:sz w:val="30"/>
          <w:szCs w:val="30"/>
          <w:rtl/>
          <w:lang w:eastAsia="zh-CN"/>
        </w:rPr>
        <w:t>ختفا</w:t>
      </w:r>
      <w:r w:rsidR="007F7EFF" w:rsidRPr="007F7EFF">
        <w:rPr>
          <w:rFonts w:ascii="Traditional Arabic" w:eastAsia="SimSun" w:hAnsi="Traditional Arabic" w:cs="Traditional Arabic"/>
          <w:sz w:val="30"/>
          <w:szCs w:val="30"/>
          <w:rtl/>
          <w:lang w:eastAsia="zh-CN"/>
        </w:rPr>
        <w:t>ء</w:t>
      </w:r>
      <w:r w:rsidRPr="002B2A40">
        <w:rPr>
          <w:rFonts w:ascii="Traditional Arabic" w:eastAsia="SimSun" w:hAnsi="Traditional Arabic" w:cs="Traditional Arabic"/>
          <w:sz w:val="30"/>
          <w:szCs w:val="30"/>
          <w:lang w:eastAsia="zh-CN"/>
        </w:rPr>
        <w:t xml:space="preserve"> .</w:t>
      </w:r>
      <w:r w:rsidR="0088139E" w:rsidRPr="0088139E">
        <w:rPr>
          <w:rStyle w:val="Heading2Char"/>
        </w:rPr>
        <w:t xml:space="preserve"> </w:t>
      </w:r>
      <w:r w:rsidR="0088139E" w:rsidRPr="00B91FAE">
        <w:rPr>
          <w:rStyle w:val="FootnoteReference"/>
        </w:rPr>
        <w:footnoteReference w:id="1374"/>
      </w:r>
    </w:p>
    <w:p w14:paraId="0F67EEFE" w14:textId="37DFB4FC" w:rsidR="00177993" w:rsidRDefault="007F7EFF" w:rsidP="009D5C34">
      <w:pPr>
        <w:pStyle w:val="Footer"/>
        <w:numPr>
          <w:ilvl w:val="0"/>
          <w:numId w:val="3"/>
        </w:numPr>
        <w:tabs>
          <w:tab w:val="left" w:pos="720"/>
          <w:tab w:val="left" w:pos="900"/>
          <w:tab w:val="left" w:pos="1134"/>
          <w:tab w:val="left" w:pos="1701"/>
        </w:tabs>
        <w:bidi/>
        <w:spacing w:after="240"/>
        <w:ind w:left="999" w:right="1089" w:firstLine="90"/>
        <w:jc w:val="both"/>
        <w:rPr>
          <w:rFonts w:ascii="Traditional Arabic" w:eastAsia="SimSun" w:hAnsi="Traditional Arabic" w:cs="Traditional Arabic"/>
          <w:sz w:val="30"/>
          <w:szCs w:val="30"/>
          <w:lang w:eastAsia="zh-CN"/>
        </w:rPr>
      </w:pPr>
      <w:r w:rsidRPr="00177993">
        <w:rPr>
          <w:rFonts w:ascii="Traditional Arabic" w:eastAsia="SimSun" w:hAnsi="Traditional Arabic" w:cs="Traditional Arabic"/>
          <w:sz w:val="30"/>
          <w:szCs w:val="30"/>
          <w:rtl/>
          <w:lang w:eastAsia="zh-CN"/>
        </w:rPr>
        <w:t>ساهمت جميع أطراف النزاع في تآكل مواقع التراث الثقافي في جميع أنحاء اليمن وإلحاق الضرر بها.</w:t>
      </w:r>
      <w:r w:rsidRPr="007F7EFF">
        <w:rPr>
          <w:rtl/>
        </w:rPr>
        <w:t xml:space="preserve"> </w:t>
      </w:r>
      <w:r w:rsidRPr="00177993">
        <w:rPr>
          <w:rFonts w:ascii="Traditional Arabic" w:eastAsia="SimSun" w:hAnsi="Traditional Arabic" w:cs="Traditional Arabic"/>
          <w:sz w:val="30"/>
          <w:szCs w:val="30"/>
          <w:rtl/>
          <w:lang w:eastAsia="zh-CN"/>
        </w:rPr>
        <w:t>وأُبلغ فريق الخبراء بأن اليونسكو تتقاسم مع جميع أطراف النزاع إحداثيات مواقع التراث الثقافي</w:t>
      </w:r>
      <w:r w:rsidRPr="00177993">
        <w:rPr>
          <w:rFonts w:ascii="Traditional Arabic" w:eastAsia="SimSun" w:hAnsi="Traditional Arabic" w:cs="Traditional Arabic" w:hint="cs"/>
          <w:sz w:val="30"/>
          <w:szCs w:val="30"/>
          <w:rtl/>
          <w:lang w:eastAsia="zh-CN"/>
        </w:rPr>
        <w:t>.</w:t>
      </w:r>
      <w:r w:rsidR="0088139E" w:rsidRPr="00B91FAE">
        <w:rPr>
          <w:rStyle w:val="FootnoteReference"/>
        </w:rPr>
        <w:footnoteReference w:id="1375"/>
      </w:r>
      <w:r w:rsidRPr="007F7EFF">
        <w:rPr>
          <w:rtl/>
        </w:rPr>
        <w:t xml:space="preserve"> </w:t>
      </w:r>
      <w:r w:rsidRPr="00177993">
        <w:rPr>
          <w:rFonts w:ascii="Traditional Arabic" w:eastAsia="SimSun" w:hAnsi="Traditional Arabic" w:cs="Traditional Arabic"/>
          <w:sz w:val="30"/>
          <w:szCs w:val="30"/>
          <w:rtl/>
          <w:lang w:eastAsia="zh-CN"/>
        </w:rPr>
        <w:t xml:space="preserve">ومع ذلك، </w:t>
      </w:r>
      <w:r w:rsidR="009624EE">
        <w:rPr>
          <w:rFonts w:ascii="Traditional Arabic" w:eastAsia="SimSun" w:hAnsi="Traditional Arabic" w:cs="Traditional Arabic" w:hint="cs"/>
          <w:sz w:val="30"/>
          <w:szCs w:val="30"/>
          <w:rtl/>
          <w:lang w:eastAsia="zh-CN"/>
        </w:rPr>
        <w:t>أدت ا</w:t>
      </w:r>
      <w:r w:rsidRPr="00177993">
        <w:rPr>
          <w:rFonts w:ascii="Traditional Arabic" w:eastAsia="SimSun" w:hAnsi="Traditional Arabic" w:cs="Traditional Arabic"/>
          <w:sz w:val="30"/>
          <w:szCs w:val="30"/>
          <w:rtl/>
          <w:lang w:eastAsia="zh-CN"/>
        </w:rPr>
        <w:t xml:space="preserve">لغارات الجوية </w:t>
      </w:r>
      <w:r w:rsidR="009624EE">
        <w:rPr>
          <w:rFonts w:ascii="Traditional Arabic" w:eastAsia="SimSun" w:hAnsi="Traditional Arabic" w:cs="Traditional Arabic" w:hint="cs"/>
          <w:sz w:val="30"/>
          <w:szCs w:val="30"/>
          <w:rtl/>
          <w:lang w:eastAsia="zh-CN"/>
        </w:rPr>
        <w:t xml:space="preserve">إلى </w:t>
      </w:r>
      <w:r w:rsidRPr="00177993">
        <w:rPr>
          <w:rFonts w:ascii="Traditional Arabic" w:eastAsia="SimSun" w:hAnsi="Traditional Arabic" w:cs="Traditional Arabic"/>
          <w:sz w:val="30"/>
          <w:szCs w:val="30"/>
          <w:rtl/>
          <w:lang w:eastAsia="zh-CN"/>
        </w:rPr>
        <w:t>خسائر خاصة في المدن، بما في ذلك المدن القديمة في صعدة وصنعاء</w:t>
      </w:r>
      <w:r w:rsidR="00554D52" w:rsidRPr="00177993">
        <w:rPr>
          <w:rFonts w:ascii="Traditional Arabic" w:eastAsia="SimSun" w:hAnsi="Traditional Arabic" w:cs="Traditional Arabic"/>
          <w:sz w:val="30"/>
          <w:szCs w:val="30"/>
          <w:rtl/>
          <w:lang w:eastAsia="zh-CN"/>
        </w:rPr>
        <w:t>. مدينة صنعاء القديمة</w:t>
      </w:r>
      <w:r w:rsidR="00177993" w:rsidRPr="00177993">
        <w:rPr>
          <w:rtl/>
        </w:rPr>
        <w:t xml:space="preserve"> </w:t>
      </w:r>
      <w:r w:rsidR="00177993" w:rsidRPr="00177993">
        <w:rPr>
          <w:rFonts w:ascii="Traditional Arabic" w:eastAsia="SimSun" w:hAnsi="Traditional Arabic" w:cs="Traditional Arabic"/>
          <w:sz w:val="30"/>
          <w:szCs w:val="30"/>
          <w:rtl/>
          <w:lang w:eastAsia="zh-CN"/>
        </w:rPr>
        <w:t>مع هندستها المعمارية الفريدة وتراثها الإسلامي، والتي تم إدراجها على أنها</w:t>
      </w:r>
      <w:r w:rsidR="00554D52" w:rsidRPr="00177993">
        <w:rPr>
          <w:rFonts w:ascii="Traditional Arabic" w:eastAsia="SimSun" w:hAnsi="Traditional Arabic" w:cs="Traditional Arabic"/>
          <w:sz w:val="30"/>
          <w:szCs w:val="30"/>
          <w:rtl/>
          <w:lang w:eastAsia="zh-CN"/>
        </w:rPr>
        <w:t xml:space="preserve"> </w:t>
      </w:r>
      <w:r w:rsidR="00177993" w:rsidRPr="00177993">
        <w:rPr>
          <w:rFonts w:ascii="Traditional Arabic" w:eastAsia="SimSun" w:hAnsi="Traditional Arabic" w:cs="Traditional Arabic"/>
          <w:sz w:val="30"/>
          <w:szCs w:val="30"/>
          <w:rtl/>
          <w:lang w:eastAsia="zh-CN"/>
        </w:rPr>
        <w:t xml:space="preserve">موقع </w:t>
      </w:r>
      <w:r w:rsidR="009D5C34">
        <w:rPr>
          <w:rFonts w:ascii="Traditional Arabic" w:eastAsia="SimSun" w:hAnsi="Traditional Arabic" w:cs="Traditional Arabic" w:hint="cs"/>
          <w:sz w:val="30"/>
          <w:szCs w:val="30"/>
          <w:rtl/>
          <w:lang w:eastAsia="zh-CN"/>
        </w:rPr>
        <w:t>ل</w:t>
      </w:r>
      <w:r w:rsidR="00177993" w:rsidRPr="00177993">
        <w:rPr>
          <w:rFonts w:ascii="Traditional Arabic" w:eastAsia="SimSun" w:hAnsi="Traditional Arabic" w:cs="Traditional Arabic"/>
          <w:sz w:val="30"/>
          <w:szCs w:val="30"/>
          <w:rtl/>
          <w:lang w:eastAsia="zh-CN"/>
        </w:rPr>
        <w:t xml:space="preserve">لتراث العالمي منذ </w:t>
      </w:r>
      <w:r w:rsidR="009624EE">
        <w:rPr>
          <w:rFonts w:ascii="Traditional Arabic" w:eastAsia="SimSun" w:hAnsi="Traditional Arabic" w:cs="Traditional Arabic" w:hint="cs"/>
          <w:sz w:val="30"/>
          <w:szCs w:val="30"/>
          <w:rtl/>
          <w:lang w:eastAsia="zh-CN"/>
        </w:rPr>
        <w:t>ال</w:t>
      </w:r>
      <w:r w:rsidR="00177993" w:rsidRPr="00177993">
        <w:rPr>
          <w:rFonts w:ascii="Traditional Arabic" w:eastAsia="SimSun" w:hAnsi="Traditional Arabic" w:cs="Traditional Arabic"/>
          <w:sz w:val="30"/>
          <w:szCs w:val="30"/>
          <w:rtl/>
          <w:lang w:eastAsia="zh-CN"/>
        </w:rPr>
        <w:t xml:space="preserve">عام 1986، قد تأثرت </w:t>
      </w:r>
      <w:r w:rsidR="00554D52" w:rsidRPr="00177993">
        <w:rPr>
          <w:rFonts w:ascii="Traditional Arabic" w:eastAsia="SimSun" w:hAnsi="Traditional Arabic" w:cs="Traditional Arabic"/>
          <w:sz w:val="30"/>
          <w:szCs w:val="30"/>
          <w:rtl/>
          <w:lang w:eastAsia="zh-CN"/>
        </w:rPr>
        <w:t>جراء الغارات الجوية منذ بداية النزاع</w:t>
      </w:r>
      <w:r w:rsidR="0088139E" w:rsidRPr="00B91FAE">
        <w:rPr>
          <w:rStyle w:val="FootnoteReference"/>
        </w:rPr>
        <w:footnoteReference w:id="1376"/>
      </w:r>
      <w:r w:rsidR="00554D52" w:rsidRPr="00177993">
        <w:rPr>
          <w:rFonts w:ascii="Traditional Arabic" w:eastAsia="SimSun" w:hAnsi="Traditional Arabic" w:cs="Traditional Arabic"/>
          <w:sz w:val="30"/>
          <w:szCs w:val="30"/>
          <w:rtl/>
          <w:lang w:eastAsia="zh-CN"/>
        </w:rPr>
        <w:t xml:space="preserve">. </w:t>
      </w:r>
      <w:r w:rsidR="00177993" w:rsidRPr="00177993">
        <w:rPr>
          <w:rFonts w:ascii="Traditional Arabic" w:eastAsia="SimSun" w:hAnsi="Traditional Arabic" w:cs="Traditional Arabic"/>
          <w:sz w:val="30"/>
          <w:szCs w:val="30"/>
          <w:rtl/>
          <w:lang w:eastAsia="zh-CN"/>
        </w:rPr>
        <w:t>الأضرار التي حدثت خلال الأشهر الأولى من النزاع وحده قد أدت بالفعل إلى إلحاق أضرار بمئات المباني، مما جعل لجنة التراث العالمي تضعها على قائمة التراث العالمي المعرض للخطر في تموز/</w:t>
      </w:r>
      <w:r w:rsidR="009624EE">
        <w:rPr>
          <w:rFonts w:ascii="Traditional Arabic" w:eastAsia="SimSun" w:hAnsi="Traditional Arabic" w:cs="Traditional Arabic" w:hint="cs"/>
          <w:sz w:val="30"/>
          <w:szCs w:val="30"/>
          <w:rtl/>
          <w:lang w:eastAsia="zh-CN"/>
        </w:rPr>
        <w:t xml:space="preserve"> </w:t>
      </w:r>
      <w:r w:rsidR="00177993" w:rsidRPr="00177993">
        <w:rPr>
          <w:rFonts w:ascii="Traditional Arabic" w:eastAsia="SimSun" w:hAnsi="Traditional Arabic" w:cs="Traditional Arabic"/>
          <w:sz w:val="30"/>
          <w:szCs w:val="30"/>
          <w:rtl/>
          <w:lang w:eastAsia="zh-CN"/>
        </w:rPr>
        <w:t>يولي</w:t>
      </w:r>
      <w:r w:rsidR="009624EE">
        <w:rPr>
          <w:rFonts w:ascii="Traditional Arabic" w:eastAsia="SimSun" w:hAnsi="Traditional Arabic" w:cs="Traditional Arabic" w:hint="cs"/>
          <w:sz w:val="30"/>
          <w:szCs w:val="30"/>
          <w:rtl/>
          <w:lang w:eastAsia="zh-CN"/>
        </w:rPr>
        <w:t>و</w:t>
      </w:r>
      <w:r w:rsidR="00177993" w:rsidRPr="00177993">
        <w:rPr>
          <w:rFonts w:ascii="Traditional Arabic" w:eastAsia="SimSun" w:hAnsi="Traditional Arabic" w:cs="Traditional Arabic"/>
          <w:sz w:val="30"/>
          <w:szCs w:val="30"/>
          <w:rtl/>
          <w:lang w:eastAsia="zh-CN"/>
        </w:rPr>
        <w:t xml:space="preserve"> 2015</w:t>
      </w:r>
      <w:r w:rsidR="00177993" w:rsidRPr="00177993">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7"/>
      </w:r>
      <w:r w:rsidR="00177993" w:rsidRPr="00177993">
        <w:rPr>
          <w:rtl/>
        </w:rPr>
        <w:t xml:space="preserve"> </w:t>
      </w:r>
      <w:r w:rsidR="00177993" w:rsidRPr="00177993">
        <w:rPr>
          <w:rFonts w:ascii="Traditional Arabic" w:eastAsia="SimSun" w:hAnsi="Traditional Arabic" w:cs="Traditional Arabic"/>
          <w:sz w:val="30"/>
          <w:szCs w:val="30"/>
          <w:rtl/>
          <w:lang w:eastAsia="zh-CN"/>
        </w:rPr>
        <w:t xml:space="preserve">كما لحقت بتعز وقلعة القاهرة أضرار كبيرة </w:t>
      </w:r>
      <w:r w:rsidR="00177993">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8"/>
      </w:r>
      <w:r w:rsidR="00177993" w:rsidRPr="00177993">
        <w:rPr>
          <w:rFonts w:ascii="Traditional Arabic" w:eastAsia="SimSun" w:hAnsi="Traditional Arabic" w:cs="Traditional Arabic"/>
          <w:sz w:val="30"/>
          <w:szCs w:val="30"/>
          <w:rtl/>
          <w:lang w:eastAsia="zh-CN"/>
        </w:rPr>
        <w:t xml:space="preserve">القلعة، التي يعود تاريخها إلى الحقبة العثمانية، هي </w:t>
      </w:r>
      <w:r w:rsidR="009624EE">
        <w:rPr>
          <w:rFonts w:ascii="Traditional Arabic" w:eastAsia="SimSun" w:hAnsi="Traditional Arabic" w:cs="Traditional Arabic" w:hint="cs"/>
          <w:sz w:val="30"/>
          <w:szCs w:val="30"/>
          <w:rtl/>
          <w:lang w:eastAsia="zh-CN"/>
        </w:rPr>
        <w:t xml:space="preserve">إحدى أكثر </w:t>
      </w:r>
      <w:r w:rsidR="00177993" w:rsidRPr="00177993">
        <w:rPr>
          <w:rFonts w:ascii="Traditional Arabic" w:eastAsia="SimSun" w:hAnsi="Traditional Arabic" w:cs="Traditional Arabic"/>
          <w:sz w:val="30"/>
          <w:szCs w:val="30"/>
          <w:rtl/>
          <w:lang w:eastAsia="zh-CN"/>
        </w:rPr>
        <w:t>المواقع التاريخية شهرة</w:t>
      </w:r>
      <w:r w:rsidR="009624EE">
        <w:rPr>
          <w:rFonts w:ascii="Traditional Arabic" w:eastAsia="SimSun" w:hAnsi="Traditional Arabic" w:cs="Traditional Arabic" w:hint="cs"/>
          <w:sz w:val="30"/>
          <w:szCs w:val="30"/>
          <w:rtl/>
          <w:lang w:eastAsia="zh-CN"/>
        </w:rPr>
        <w:t>ً</w:t>
      </w:r>
      <w:r w:rsidR="00177993" w:rsidRPr="00177993">
        <w:rPr>
          <w:rFonts w:ascii="Traditional Arabic" w:eastAsia="SimSun" w:hAnsi="Traditional Arabic" w:cs="Traditional Arabic"/>
          <w:sz w:val="30"/>
          <w:szCs w:val="30"/>
          <w:rtl/>
          <w:lang w:eastAsia="zh-CN"/>
        </w:rPr>
        <w:t xml:space="preserve"> في اليمن.</w:t>
      </w:r>
    </w:p>
    <w:p w14:paraId="383503D2" w14:textId="33155842" w:rsidR="00177993" w:rsidRPr="00B82D02" w:rsidRDefault="00177993" w:rsidP="009D5C34">
      <w:pPr>
        <w:pStyle w:val="Footer"/>
        <w:numPr>
          <w:ilvl w:val="0"/>
          <w:numId w:val="3"/>
        </w:numPr>
        <w:tabs>
          <w:tab w:val="left" w:pos="720"/>
          <w:tab w:val="left" w:pos="900"/>
          <w:tab w:val="left" w:pos="1134"/>
          <w:tab w:val="left" w:pos="1701"/>
        </w:tabs>
        <w:bidi/>
        <w:spacing w:after="240"/>
        <w:ind w:left="999" w:right="1089" w:firstLine="81"/>
        <w:jc w:val="both"/>
        <w:rPr>
          <w:rFonts w:ascii="Traditional Arabic" w:eastAsia="SimSun" w:hAnsi="Traditional Arabic" w:cs="Traditional Arabic"/>
          <w:sz w:val="30"/>
          <w:szCs w:val="30"/>
          <w:lang w:eastAsia="zh-CN"/>
        </w:rPr>
      </w:pPr>
      <w:r w:rsidRPr="00177993">
        <w:rPr>
          <w:rFonts w:ascii="Traditional Arabic" w:eastAsia="SimSun" w:hAnsi="Traditional Arabic" w:cs="Traditional Arabic"/>
          <w:sz w:val="30"/>
          <w:szCs w:val="30"/>
          <w:rtl/>
          <w:lang w:eastAsia="zh-CN"/>
        </w:rPr>
        <w:t xml:space="preserve">وكانت مدينة </w:t>
      </w:r>
      <w:r w:rsidR="009D5C34">
        <w:rPr>
          <w:rFonts w:ascii="Traditional Arabic" w:eastAsia="SimSun" w:hAnsi="Traditional Arabic" w:cs="Traditional Arabic"/>
          <w:sz w:val="30"/>
          <w:szCs w:val="30"/>
          <w:rtl/>
          <w:lang w:eastAsia="zh-CN"/>
        </w:rPr>
        <w:t>صعدة من أكثر المدن تضرراً</w:t>
      </w:r>
      <w:r w:rsidRPr="00177993">
        <w:rPr>
          <w:rFonts w:ascii="Traditional Arabic" w:eastAsia="SimSun" w:hAnsi="Traditional Arabic" w:cs="Traditional Arabic"/>
          <w:sz w:val="30"/>
          <w:szCs w:val="30"/>
          <w:rtl/>
          <w:lang w:eastAsia="zh-CN"/>
        </w:rPr>
        <w:t xml:space="preserve"> من حيث مستويات التدمير، في جميع أنحاء اليمن، ويعزى ذلك في الغالب إلى الغارات الجوية.</w:t>
      </w:r>
      <w:r w:rsidR="00B82D02" w:rsidRPr="00B82D02">
        <w:rPr>
          <w:rtl/>
        </w:rPr>
        <w:t xml:space="preserve"> </w:t>
      </w:r>
      <w:r w:rsidR="00B82D02" w:rsidRPr="00B82D02">
        <w:rPr>
          <w:rFonts w:ascii="Traditional Arabic" w:eastAsia="SimSun" w:hAnsi="Traditional Arabic" w:cs="Traditional Arabic"/>
          <w:sz w:val="30"/>
          <w:szCs w:val="30"/>
          <w:rtl/>
          <w:lang w:eastAsia="zh-CN"/>
        </w:rPr>
        <w:t>وقد أثار بيان صادر عن المتحدث باسم التحالف في أيار/مايو 2015، يشير إلى أن مدينة صعدة بأكملها هدف عسكري، شواغل خطيرة بالنسبة للمدنيين والتمييز بين الأهداف المدنية والأهداف العسكرية.</w:t>
      </w:r>
      <w:r w:rsidR="00B82D02" w:rsidRPr="00B82D02">
        <w:rPr>
          <w:rtl/>
        </w:rPr>
        <w:t xml:space="preserve"> </w:t>
      </w:r>
      <w:r w:rsidR="00B82D02" w:rsidRPr="00B82D02">
        <w:rPr>
          <w:rFonts w:ascii="Traditional Arabic" w:eastAsia="SimSun" w:hAnsi="Traditional Arabic" w:cs="Traditional Arabic"/>
          <w:sz w:val="30"/>
          <w:szCs w:val="30"/>
          <w:rtl/>
          <w:lang w:eastAsia="zh-CN"/>
        </w:rPr>
        <w:t xml:space="preserve">وشمل الدمار الذي تعرضت له مدينة صعدة مواقع التراث الثقافي، مثل المدينة القديمة التاريخية ومسجد الإمام الهادي التاريخي الذي </w:t>
      </w:r>
      <w:r w:rsidR="00B82D02" w:rsidRPr="00B82D02">
        <w:rPr>
          <w:rFonts w:ascii="Traditional Arabic" w:eastAsia="SimSun" w:hAnsi="Traditional Arabic" w:cs="Traditional Arabic"/>
          <w:sz w:val="30"/>
          <w:szCs w:val="30"/>
          <w:rtl/>
          <w:lang w:eastAsia="zh-CN"/>
        </w:rPr>
        <w:lastRenderedPageBreak/>
        <w:t>د</w:t>
      </w:r>
      <w:r w:rsidR="00262E09">
        <w:rPr>
          <w:rFonts w:ascii="Traditional Arabic" w:eastAsia="SimSun" w:hAnsi="Traditional Arabic" w:cs="Traditional Arabic" w:hint="cs"/>
          <w:sz w:val="30"/>
          <w:szCs w:val="30"/>
          <w:rtl/>
          <w:lang w:eastAsia="zh-CN"/>
        </w:rPr>
        <w:t>ُ</w:t>
      </w:r>
      <w:r w:rsidR="00B82D02" w:rsidRPr="00B82D02">
        <w:rPr>
          <w:rFonts w:ascii="Traditional Arabic" w:eastAsia="SimSun" w:hAnsi="Traditional Arabic" w:cs="Traditional Arabic"/>
          <w:sz w:val="30"/>
          <w:szCs w:val="30"/>
          <w:rtl/>
          <w:lang w:eastAsia="zh-CN"/>
        </w:rPr>
        <w:t>مر جزئياً جراء غارة جوية في 9 أيار/</w:t>
      </w:r>
      <w:r w:rsidR="00262E09">
        <w:rPr>
          <w:rFonts w:ascii="Traditional Arabic" w:eastAsia="SimSun" w:hAnsi="Traditional Arabic" w:cs="Traditional Arabic" w:hint="cs"/>
          <w:sz w:val="30"/>
          <w:szCs w:val="30"/>
          <w:rtl/>
          <w:lang w:eastAsia="zh-CN"/>
        </w:rPr>
        <w:t xml:space="preserve"> </w:t>
      </w:r>
      <w:r w:rsidR="00B82D02" w:rsidRPr="00B82D02">
        <w:rPr>
          <w:rFonts w:ascii="Traditional Arabic" w:eastAsia="SimSun" w:hAnsi="Traditional Arabic" w:cs="Traditional Arabic"/>
          <w:sz w:val="30"/>
          <w:szCs w:val="30"/>
          <w:rtl/>
          <w:lang w:eastAsia="zh-CN"/>
        </w:rPr>
        <w:t>مايو 2015، وهو يحمل أهمية خاصة لل</w:t>
      </w:r>
      <w:r w:rsidR="00B82D02">
        <w:rPr>
          <w:rFonts w:ascii="Traditional Arabic" w:eastAsia="SimSun" w:hAnsi="Traditional Arabic" w:cs="Traditional Arabic" w:hint="cs"/>
          <w:sz w:val="30"/>
          <w:szCs w:val="30"/>
          <w:rtl/>
          <w:lang w:eastAsia="zh-CN"/>
        </w:rPr>
        <w:t>معتقد ال</w:t>
      </w:r>
      <w:r w:rsidR="00B82D02">
        <w:rPr>
          <w:rFonts w:ascii="Traditional Arabic" w:eastAsia="SimSun" w:hAnsi="Traditional Arabic" w:cs="Traditional Arabic"/>
          <w:sz w:val="30"/>
          <w:szCs w:val="30"/>
          <w:rtl/>
          <w:lang w:eastAsia="zh-CN"/>
        </w:rPr>
        <w:t xml:space="preserve">زيدي </w:t>
      </w:r>
      <w:r w:rsidR="009D5C34">
        <w:rPr>
          <w:rFonts w:ascii="Traditional Arabic" w:eastAsia="SimSun" w:hAnsi="Traditional Arabic" w:cs="Traditional Arabic" w:hint="cs"/>
          <w:sz w:val="30"/>
          <w:szCs w:val="30"/>
          <w:rtl/>
          <w:lang w:eastAsia="zh-CN"/>
        </w:rPr>
        <w:t xml:space="preserve">في </w:t>
      </w:r>
      <w:r w:rsidR="00B82D02">
        <w:rPr>
          <w:rFonts w:ascii="Traditional Arabic" w:eastAsia="SimSun" w:hAnsi="Traditional Arabic" w:cs="Traditional Arabic"/>
          <w:sz w:val="30"/>
          <w:szCs w:val="30"/>
          <w:rtl/>
          <w:lang w:eastAsia="zh-CN"/>
        </w:rPr>
        <w:t>اليمن</w:t>
      </w:r>
      <w:r w:rsidR="00B82D02">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79"/>
      </w:r>
    </w:p>
    <w:p w14:paraId="39F97A50" w14:textId="0AAB1014" w:rsidR="008E500F" w:rsidRDefault="008E500F" w:rsidP="0088139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دُمرت قلعة بر</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قش القديمة </w:t>
      </w:r>
      <w:r w:rsidR="0088139E" w:rsidRPr="00B91FAE">
        <w:rPr>
          <w:rStyle w:val="FootnoteReference"/>
        </w:rPr>
        <w:footnoteReference w:id="1380"/>
      </w:r>
      <w:r w:rsidRPr="002B2A40">
        <w:rPr>
          <w:rFonts w:ascii="Traditional Arabic" w:eastAsia="SimSun" w:hAnsi="Traditional Arabic" w:cs="Traditional Arabic"/>
          <w:sz w:val="30"/>
          <w:szCs w:val="30"/>
          <w:rtl/>
          <w:lang w:eastAsia="zh-CN"/>
        </w:rPr>
        <w:t xml:space="preserve">، وهي موقع </w:t>
      </w:r>
      <w:r w:rsidR="00176013" w:rsidRPr="00176013">
        <w:rPr>
          <w:rFonts w:ascii="Traditional Arabic" w:eastAsia="SimSun" w:hAnsi="Traditional Arabic" w:cs="Traditional Arabic"/>
          <w:sz w:val="30"/>
          <w:szCs w:val="30"/>
          <w:rtl/>
          <w:lang w:eastAsia="zh-CN"/>
        </w:rPr>
        <w:t xml:space="preserve">اثري </w:t>
      </w:r>
      <w:r w:rsidRPr="002B2A40">
        <w:rPr>
          <w:rFonts w:ascii="Traditional Arabic" w:eastAsia="SimSun" w:hAnsi="Traditional Arabic" w:cs="Traditional Arabic"/>
          <w:sz w:val="30"/>
          <w:szCs w:val="30"/>
          <w:rtl/>
          <w:lang w:eastAsia="zh-CN"/>
        </w:rPr>
        <w:t xml:space="preserve">محمي في محافظة الجوف، خلال السنة الأولى من النزاع. في حين أن فريق الخبراء لم يتمكن من </w:t>
      </w:r>
      <w:r w:rsidRPr="002B2A40">
        <w:rPr>
          <w:rFonts w:ascii="Traditional Arabic" w:eastAsia="SimSun" w:hAnsi="Traditional Arabic" w:cs="Traditional Arabic" w:hint="cs"/>
          <w:sz w:val="30"/>
          <w:szCs w:val="30"/>
          <w:rtl/>
          <w:lang w:eastAsia="zh-CN"/>
        </w:rPr>
        <w:t>تحديد الجهه التي تحمل عليها</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المسؤولية</w:t>
      </w:r>
      <w:r w:rsidRPr="002B2A40">
        <w:rPr>
          <w:rFonts w:ascii="Traditional Arabic" w:eastAsia="SimSun" w:hAnsi="Traditional Arabic" w:cs="Traditional Arabic"/>
          <w:sz w:val="30"/>
          <w:szCs w:val="30"/>
          <w:rtl/>
          <w:lang w:eastAsia="zh-CN"/>
        </w:rPr>
        <w:t xml:space="preserve">، لاحظ الشهود الذين زاروا الموقع الأضرار التي لحقت بالقلعة نتيجة القصف خلال عام 2015. كما تم </w:t>
      </w:r>
      <w:r w:rsidRPr="002B2A40">
        <w:rPr>
          <w:rFonts w:ascii="Traditional Arabic" w:eastAsia="SimSun" w:hAnsi="Traditional Arabic" w:cs="Traditional Arabic" w:hint="cs"/>
          <w:sz w:val="30"/>
          <w:szCs w:val="30"/>
          <w:rtl/>
          <w:lang w:eastAsia="zh-CN"/>
        </w:rPr>
        <w:t>نسب</w:t>
      </w:r>
      <w:r w:rsidRPr="002B2A40">
        <w:rPr>
          <w:rFonts w:ascii="Traditional Arabic" w:eastAsia="SimSun" w:hAnsi="Traditional Arabic" w:cs="Traditional Arabic"/>
          <w:sz w:val="30"/>
          <w:szCs w:val="30"/>
          <w:rtl/>
          <w:lang w:eastAsia="zh-CN"/>
        </w:rPr>
        <w:t xml:space="preserve"> هذ</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الضرر</w:t>
      </w:r>
      <w:r w:rsidRPr="002B2A40">
        <w:rPr>
          <w:rFonts w:ascii="Traditional Arabic" w:eastAsia="SimSun" w:hAnsi="Traditional Arabic" w:cs="Traditional Arabic"/>
          <w:sz w:val="30"/>
          <w:szCs w:val="30"/>
          <w:rtl/>
          <w:lang w:eastAsia="zh-CN"/>
        </w:rPr>
        <w:t xml:space="preserve"> بواسطة</w:t>
      </w:r>
      <w:r w:rsidRPr="002B2A40">
        <w:rPr>
          <w:rFonts w:ascii="Traditional Arabic" w:eastAsia="SimSun" w:hAnsi="Traditional Arabic" w:cs="Traditional Arabic"/>
          <w:sz w:val="30"/>
          <w:szCs w:val="30"/>
          <w:lang w:eastAsia="zh-CN"/>
        </w:rPr>
        <w:t xml:space="preserve"> </w:t>
      </w:r>
      <w:r w:rsidRPr="002B2A40">
        <w:rPr>
          <w:rFonts w:ascii="Traditional Arabic" w:eastAsia="SimSun" w:hAnsi="Traditional Arabic" w:cs="Traditional Arabic"/>
          <w:sz w:val="30"/>
          <w:szCs w:val="30"/>
          <w:rtl/>
          <w:lang w:eastAsia="zh-CN"/>
        </w:rPr>
        <w:t xml:space="preserve">اليونيتار – يونوسات. ظهرت صورة مؤرخة 29 أكتوبر 2015 ، على نقيض للصورة التي </w:t>
      </w:r>
      <w:r w:rsidRPr="002B2A40">
        <w:rPr>
          <w:rFonts w:ascii="Traditional Arabic" w:eastAsia="SimSun" w:hAnsi="Traditional Arabic" w:cs="Traditional Arabic" w:hint="cs"/>
          <w:sz w:val="30"/>
          <w:szCs w:val="30"/>
          <w:rtl/>
          <w:lang w:eastAsia="zh-CN"/>
        </w:rPr>
        <w:t>تعود</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الى</w:t>
      </w:r>
      <w:r w:rsidRPr="002B2A40">
        <w:rPr>
          <w:rFonts w:ascii="Traditional Arabic" w:eastAsia="SimSun" w:hAnsi="Traditional Arabic" w:cs="Traditional Arabic"/>
          <w:sz w:val="30"/>
          <w:szCs w:val="30"/>
          <w:rtl/>
          <w:lang w:eastAsia="zh-CN"/>
        </w:rPr>
        <w:t xml:space="preserve"> 13 </w:t>
      </w:r>
      <w:r w:rsidR="0088139E">
        <w:rPr>
          <w:rFonts w:ascii="Traditional Arabic" w:eastAsia="SimSun" w:hAnsi="Traditional Arabic" w:cs="Traditional Arabic" w:hint="cs"/>
          <w:sz w:val="30"/>
          <w:szCs w:val="30"/>
          <w:rtl/>
          <w:lang w:eastAsia="zh-CN"/>
        </w:rPr>
        <w:t xml:space="preserve">تشرين الثاني/ </w:t>
      </w:r>
      <w:r w:rsidRPr="002B2A40">
        <w:rPr>
          <w:rFonts w:ascii="Traditional Arabic" w:eastAsia="SimSun" w:hAnsi="Traditional Arabic" w:cs="Traditional Arabic"/>
          <w:sz w:val="30"/>
          <w:szCs w:val="30"/>
          <w:rtl/>
          <w:lang w:eastAsia="zh-CN"/>
        </w:rPr>
        <w:t>نوفمبر 2013 ، تُظهر تدمير الهيكل في القلعة والعديد من الحفر في المنطقة المجاورة مباشرة للقلعة القديمة</w:t>
      </w:r>
      <w:r w:rsidRPr="002B2A40">
        <w:rPr>
          <w:rFonts w:ascii="Traditional Arabic" w:eastAsia="SimSun" w:hAnsi="Traditional Arabic" w:cs="Traditional Arabic"/>
          <w:sz w:val="30"/>
          <w:szCs w:val="30"/>
          <w:lang w:eastAsia="zh-CN"/>
        </w:rPr>
        <w:t>.</w:t>
      </w:r>
      <w:r w:rsidR="0088139E" w:rsidRPr="00B91FAE">
        <w:rPr>
          <w:rStyle w:val="FootnoteReference"/>
        </w:rPr>
        <w:footnoteReference w:id="1381"/>
      </w:r>
    </w:p>
    <w:p w14:paraId="0E5A73F6" w14:textId="110F9EA9" w:rsidR="00554D52" w:rsidRPr="008E500F" w:rsidRDefault="00554D52" w:rsidP="00084F50">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 xml:space="preserve">خلال المواجهات التي وقعت في عدن في عام 2015، تم تدمير مسجد الحسيني الشيعي في منطقة كريتر الخاضعة لسيطرة </w:t>
      </w:r>
      <w:r w:rsidR="00084F50">
        <w:rPr>
          <w:rFonts w:ascii="Traditional Arabic" w:hAnsi="Traditional Arabic" w:cs="Traditional Arabic" w:hint="cs"/>
          <w:sz w:val="30"/>
          <w:szCs w:val="30"/>
          <w:rtl/>
        </w:rPr>
        <w:t>مقاتلي</w:t>
      </w:r>
      <w:r w:rsidR="00084F50" w:rsidRPr="009D7B92">
        <w:rPr>
          <w:rFonts w:ascii="Traditional Arabic" w:hAnsi="Traditional Arabic" w:cs="Traditional Arabic"/>
          <w:sz w:val="30"/>
          <w:szCs w:val="30"/>
          <w:rtl/>
        </w:rPr>
        <w:t xml:space="preserve"> الحوثي</w:t>
      </w:r>
      <w:r w:rsidRPr="008E500F">
        <w:rPr>
          <w:rFonts w:ascii="Traditional Arabic" w:eastAsia="SimSun" w:hAnsi="Traditional Arabic" w:cs="Traditional Arabic"/>
          <w:sz w:val="30"/>
          <w:szCs w:val="30"/>
          <w:rtl/>
          <w:lang w:eastAsia="zh-CN"/>
        </w:rPr>
        <w:t xml:space="preserve">-صالح جزئيًا خلال غارة جوية شنتها قوات التحالف في 16 </w:t>
      </w:r>
      <w:r w:rsidRPr="008E500F">
        <w:rPr>
          <w:rFonts w:ascii="Traditional Arabic" w:eastAsia="SimSun" w:hAnsi="Traditional Arabic" w:cs="Traditional Arabic" w:hint="cs"/>
          <w:sz w:val="30"/>
          <w:szCs w:val="30"/>
          <w:rtl/>
          <w:lang w:eastAsia="zh-CN"/>
        </w:rPr>
        <w:t xml:space="preserve">تموز/ </w:t>
      </w:r>
      <w:r w:rsidRPr="008E500F">
        <w:rPr>
          <w:rFonts w:ascii="Traditional Arabic" w:eastAsia="SimSun" w:hAnsi="Traditional Arabic" w:cs="Traditional Arabic"/>
          <w:sz w:val="30"/>
          <w:szCs w:val="30"/>
          <w:rtl/>
          <w:lang w:eastAsia="zh-CN"/>
        </w:rPr>
        <w:t>يوليو 2015. وكان مسجد الحسيني مسجد عدن الشيعي الشهير، قد بني في نهاية القرن التاسع عشر</w:t>
      </w:r>
      <w:r w:rsidRPr="008E500F">
        <w:rPr>
          <w:rFonts w:ascii="Traditional Arabic" w:eastAsia="SimSun" w:hAnsi="Traditional Arabic" w:cs="Traditional Arabic" w:hint="cs"/>
          <w:sz w:val="30"/>
          <w:szCs w:val="30"/>
          <w:rtl/>
          <w:lang w:eastAsia="zh-CN"/>
        </w:rPr>
        <w:t xml:space="preserve">. </w:t>
      </w:r>
      <w:r w:rsidRPr="008E500F">
        <w:rPr>
          <w:rFonts w:ascii="Traditional Arabic" w:eastAsia="SimSun" w:hAnsi="Traditional Arabic" w:cs="Traditional Arabic"/>
          <w:sz w:val="30"/>
          <w:szCs w:val="30"/>
          <w:rtl/>
          <w:lang w:eastAsia="zh-CN"/>
        </w:rPr>
        <w:t>كان للمسجد أهمية دينية وتاريخية وثقافية خاصة للأقلية الشيعية في عدن. حسب المعلومات الواردة</w:t>
      </w:r>
      <w:r w:rsidRPr="008E500F">
        <w:rPr>
          <w:rFonts w:ascii="Traditional Arabic" w:eastAsia="SimSun" w:hAnsi="Traditional Arabic" w:cs="Traditional Arabic" w:hint="cs"/>
          <w:sz w:val="30"/>
          <w:szCs w:val="30"/>
          <w:rtl/>
          <w:lang w:eastAsia="zh-CN"/>
        </w:rPr>
        <w:t xml:space="preserve"> لفريق الخبراء</w:t>
      </w:r>
      <w:r w:rsidRPr="008E500F">
        <w:rPr>
          <w:rFonts w:ascii="Traditional Arabic" w:eastAsia="SimSun" w:hAnsi="Traditional Arabic" w:cs="Traditional Arabic"/>
          <w:sz w:val="30"/>
          <w:szCs w:val="30"/>
          <w:rtl/>
          <w:lang w:eastAsia="zh-CN"/>
        </w:rPr>
        <w:t>، تم إغلاق المسجد طوال الحرب ولم يستخدم لأغراض عسكرية. بمجرد أن استولت المقاومة الجنوبية على المنطقة، أعادوا تسميته بمسجد شهداء السنة</w:t>
      </w:r>
      <w:r w:rsidRPr="008E500F">
        <w:rPr>
          <w:rFonts w:ascii="Traditional Arabic" w:eastAsia="SimSun" w:hAnsi="Traditional Arabic" w:cs="Traditional Arabic"/>
          <w:sz w:val="30"/>
          <w:szCs w:val="30"/>
          <w:lang w:eastAsia="zh-CN"/>
        </w:rPr>
        <w:t>.</w:t>
      </w:r>
    </w:p>
    <w:p w14:paraId="545FA842" w14:textId="77777777" w:rsidR="008E500F" w:rsidRDefault="00554D52" w:rsidP="008E50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تم تدمير مسجد الف</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 xml:space="preserve">زة الصوفي في الحديدة في حزيران/ يونيو 2018 بينما كانت المنطقة تحت سيطرة </w:t>
      </w:r>
      <w:r w:rsidRPr="002B2A40">
        <w:rPr>
          <w:rFonts w:ascii="Traditional Arabic" w:eastAsia="SimSun" w:hAnsi="Traditional Arabic" w:cs="Traditional Arabic" w:hint="cs"/>
          <w:sz w:val="30"/>
          <w:szCs w:val="30"/>
          <w:rtl/>
          <w:lang w:eastAsia="zh-CN"/>
        </w:rPr>
        <w:t xml:space="preserve">ألوية العمالقة التي </w:t>
      </w:r>
      <w:r w:rsidRPr="002B2A40">
        <w:rPr>
          <w:rFonts w:ascii="Traditional Arabic" w:eastAsia="SimSun" w:hAnsi="Traditional Arabic" w:cs="Traditional Arabic"/>
          <w:sz w:val="30"/>
          <w:szCs w:val="30"/>
          <w:rtl/>
          <w:lang w:eastAsia="zh-CN"/>
        </w:rPr>
        <w:t xml:space="preserve">تدعمها الإمارات العربية المتحدة. وجد فريق الخبراء أسبابًا معقولة للاعتقاد بأن عناصر </w:t>
      </w:r>
      <w:r w:rsidRPr="002B2A40">
        <w:rPr>
          <w:rFonts w:ascii="Traditional Arabic" w:eastAsia="SimSun" w:hAnsi="Traditional Arabic" w:cs="Traditional Arabic" w:hint="cs"/>
          <w:sz w:val="30"/>
          <w:szCs w:val="30"/>
          <w:rtl/>
          <w:lang w:eastAsia="zh-CN"/>
        </w:rPr>
        <w:t>ألوية</w:t>
      </w:r>
      <w:r w:rsidRPr="002B2A40">
        <w:rPr>
          <w:rFonts w:ascii="Traditional Arabic" w:eastAsia="SimSun" w:hAnsi="Traditional Arabic" w:cs="Traditional Arabic"/>
          <w:sz w:val="30"/>
          <w:szCs w:val="30"/>
          <w:rtl/>
          <w:lang w:eastAsia="zh-CN"/>
        </w:rPr>
        <w:t xml:space="preserve"> العمالقة كانوا مسؤولين عن التدمير المتعمد لهذا الموقع الديني التاريخي في القرن السابع، والذي لم يكن له سبب عسكري واضح. (للحصول على معلومات إضافية، انظر الى ال</w:t>
      </w:r>
      <w:r w:rsidRPr="002B2A40">
        <w:rPr>
          <w:rFonts w:ascii="Traditional Arabic" w:eastAsia="SimSun" w:hAnsi="Traditional Arabic" w:cs="Traditional Arabic" w:hint="cs"/>
          <w:sz w:val="30"/>
          <w:szCs w:val="30"/>
          <w:rtl/>
          <w:lang w:eastAsia="zh-CN"/>
        </w:rPr>
        <w:t xml:space="preserve">جزء حول </w:t>
      </w:r>
      <w:r w:rsidRPr="002B2A40">
        <w:rPr>
          <w:rFonts w:ascii="Traditional Arabic" w:eastAsia="SimSun" w:hAnsi="Traditional Arabic" w:cs="Traditional Arabic"/>
          <w:sz w:val="30"/>
          <w:szCs w:val="30"/>
          <w:rtl/>
          <w:lang w:eastAsia="zh-CN"/>
        </w:rPr>
        <w:t>معركة الحديدة)</w:t>
      </w:r>
    </w:p>
    <w:p w14:paraId="6E717BED" w14:textId="4FB18B0E" w:rsidR="008E500F" w:rsidRDefault="00554D52" w:rsidP="0088139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 xml:space="preserve">تستخدم أطراف النزاع في اليمن بانتظام الأهداف المدنية في الأنشطة العسكرية، بما في ذلك تلك التي تتمتع بحماية خاصة مثل المواقع الدينية والثقافية. في عدد من الحالات، كان لهذا تأثير على إزالة الحماية التي كانت تتمتع بها هذه </w:t>
      </w:r>
      <w:r w:rsidRPr="008E500F">
        <w:rPr>
          <w:rFonts w:ascii="Traditional Arabic" w:eastAsia="SimSun" w:hAnsi="Traditional Arabic" w:cs="Traditional Arabic" w:hint="cs"/>
          <w:sz w:val="30"/>
          <w:szCs w:val="30"/>
          <w:rtl/>
          <w:lang w:eastAsia="zh-CN"/>
        </w:rPr>
        <w:t>الواقع</w:t>
      </w:r>
      <w:r w:rsidRPr="008E500F">
        <w:rPr>
          <w:rFonts w:ascii="Traditional Arabic" w:eastAsia="SimSun" w:hAnsi="Traditional Arabic" w:cs="Traditional Arabic"/>
          <w:sz w:val="30"/>
          <w:szCs w:val="30"/>
          <w:rtl/>
          <w:lang w:eastAsia="zh-CN"/>
        </w:rPr>
        <w:t xml:space="preserve">، وضبابية التمييز بين الأهداف المدنية والأهداف العسكرية، وغالبًا ما يؤدي إلى إتلاف أو تدمير تلك </w:t>
      </w:r>
      <w:r w:rsidRPr="008E500F">
        <w:rPr>
          <w:rFonts w:ascii="Traditional Arabic" w:eastAsia="SimSun" w:hAnsi="Traditional Arabic" w:cs="Traditional Arabic" w:hint="cs"/>
          <w:sz w:val="30"/>
          <w:szCs w:val="30"/>
          <w:rtl/>
          <w:lang w:eastAsia="zh-CN"/>
        </w:rPr>
        <w:t>المواقع</w:t>
      </w:r>
      <w:r w:rsidRPr="008E500F">
        <w:rPr>
          <w:rFonts w:ascii="Traditional Arabic" w:eastAsia="SimSun" w:hAnsi="Traditional Arabic" w:cs="Traditional Arabic"/>
          <w:sz w:val="30"/>
          <w:szCs w:val="30"/>
          <w:rtl/>
          <w:lang w:eastAsia="zh-CN"/>
        </w:rPr>
        <w:t xml:space="preserve">، مما يزيد من الإضرار بالتراث التاريخي والثقافي </w:t>
      </w:r>
      <w:r w:rsidRPr="008E500F">
        <w:rPr>
          <w:rFonts w:ascii="Traditional Arabic" w:eastAsia="SimSun" w:hAnsi="Traditional Arabic" w:cs="Traditional Arabic" w:hint="cs"/>
          <w:sz w:val="30"/>
          <w:szCs w:val="30"/>
          <w:rtl/>
          <w:lang w:eastAsia="zh-CN"/>
        </w:rPr>
        <w:t>ل</w:t>
      </w:r>
      <w:r w:rsidRPr="008E500F">
        <w:rPr>
          <w:rFonts w:ascii="Traditional Arabic" w:eastAsia="SimSun" w:hAnsi="Traditional Arabic" w:cs="Traditional Arabic"/>
          <w:sz w:val="30"/>
          <w:szCs w:val="30"/>
          <w:rtl/>
          <w:lang w:eastAsia="zh-CN"/>
        </w:rPr>
        <w:t xml:space="preserve">ليمن. لا </w:t>
      </w:r>
      <w:r w:rsidRPr="008E500F">
        <w:rPr>
          <w:rFonts w:ascii="Traditional Arabic" w:eastAsia="SimSun" w:hAnsi="Traditional Arabic" w:cs="Traditional Arabic" w:hint="cs"/>
          <w:sz w:val="30"/>
          <w:szCs w:val="30"/>
          <w:rtl/>
          <w:lang w:eastAsia="zh-CN"/>
        </w:rPr>
        <w:t>علم</w:t>
      </w:r>
      <w:r w:rsidRPr="008E500F">
        <w:rPr>
          <w:rFonts w:ascii="Traditional Arabic" w:eastAsia="SimSun" w:hAnsi="Traditional Arabic" w:cs="Traditional Arabic"/>
          <w:sz w:val="30"/>
          <w:szCs w:val="30"/>
          <w:rtl/>
          <w:lang w:eastAsia="zh-CN"/>
        </w:rPr>
        <w:t xml:space="preserve"> </w:t>
      </w:r>
      <w:r w:rsidRPr="008E500F">
        <w:rPr>
          <w:rFonts w:ascii="Traditional Arabic" w:eastAsia="SimSun" w:hAnsi="Traditional Arabic" w:cs="Traditional Arabic" w:hint="cs"/>
          <w:sz w:val="30"/>
          <w:szCs w:val="30"/>
          <w:rtl/>
          <w:lang w:eastAsia="zh-CN"/>
        </w:rPr>
        <w:t>ل</w:t>
      </w:r>
      <w:r w:rsidRPr="008E500F">
        <w:rPr>
          <w:rFonts w:ascii="Traditional Arabic" w:eastAsia="SimSun" w:hAnsi="Traditional Arabic" w:cs="Traditional Arabic"/>
          <w:sz w:val="30"/>
          <w:szCs w:val="30"/>
          <w:rtl/>
          <w:lang w:eastAsia="zh-CN"/>
        </w:rPr>
        <w:t>لفريق أن أي تحذير مسبق قد تم توجيهه قبل مهاجمة تلك المواقع</w:t>
      </w:r>
      <w:r w:rsidRPr="008E500F">
        <w:rPr>
          <w:rFonts w:ascii="Traditional Arabic" w:eastAsia="SimSun" w:hAnsi="Traditional Arabic" w:cs="Traditional Arabic" w:hint="cs"/>
          <w:sz w:val="30"/>
          <w:szCs w:val="30"/>
          <w:rtl/>
          <w:lang w:eastAsia="zh-CN"/>
        </w:rPr>
        <w:t>.</w:t>
      </w:r>
      <w:r w:rsidR="0088139E" w:rsidRPr="0088139E">
        <w:rPr>
          <w:rStyle w:val="Heading2Char"/>
        </w:rPr>
        <w:t xml:space="preserve"> </w:t>
      </w:r>
      <w:r w:rsidR="0088139E" w:rsidRPr="00B91FAE">
        <w:rPr>
          <w:rStyle w:val="FootnoteReference"/>
        </w:rPr>
        <w:footnoteReference w:id="1382"/>
      </w:r>
    </w:p>
    <w:p w14:paraId="6EE629AF" w14:textId="12234742" w:rsidR="00554D52" w:rsidRPr="008E500F" w:rsidRDefault="00554D52" w:rsidP="008E500F">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lastRenderedPageBreak/>
        <w:t xml:space="preserve">في بداية الحرب ، تم قصف المتحف الوطني في تعز، </w:t>
      </w:r>
      <w:r w:rsidRPr="008E500F">
        <w:rPr>
          <w:rFonts w:ascii="Traditional Arabic" w:eastAsia="SimSun" w:hAnsi="Traditional Arabic" w:cs="Traditional Arabic" w:hint="cs"/>
          <w:sz w:val="30"/>
          <w:szCs w:val="30"/>
          <w:rtl/>
          <w:lang w:eastAsia="zh-CN"/>
        </w:rPr>
        <w:t>خلال فترة</w:t>
      </w:r>
      <w:r w:rsidRPr="008E500F">
        <w:rPr>
          <w:rFonts w:ascii="Traditional Arabic" w:eastAsia="SimSun" w:hAnsi="Traditional Arabic" w:cs="Traditional Arabic"/>
          <w:sz w:val="30"/>
          <w:szCs w:val="30"/>
          <w:rtl/>
          <w:lang w:eastAsia="zh-CN"/>
        </w:rPr>
        <w:t xml:space="preserve"> احتلال </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لحوثيين</w:t>
      </w:r>
      <w:r w:rsidRPr="008E500F">
        <w:rPr>
          <w:rFonts w:ascii="Traditional Arabic" w:eastAsia="SimSun" w:hAnsi="Traditional Arabic" w:cs="Traditional Arabic" w:hint="cs"/>
          <w:sz w:val="30"/>
          <w:szCs w:val="30"/>
          <w:rtl/>
          <w:lang w:eastAsia="zh-CN"/>
        </w:rPr>
        <w:t xml:space="preserve"> له</w:t>
      </w:r>
      <w:r w:rsidRPr="008E500F">
        <w:rPr>
          <w:rFonts w:ascii="Traditional Arabic" w:eastAsia="SimSun" w:hAnsi="Traditional Arabic" w:cs="Traditional Arabic"/>
          <w:sz w:val="30"/>
          <w:szCs w:val="30"/>
          <w:rtl/>
          <w:lang w:eastAsia="zh-CN"/>
        </w:rPr>
        <w:t xml:space="preserve">، من قبل قوات المقاومة، التي سيطرت عليه في آب/أغسطس 2015. في 4 شباط/فبراير 2016 ، قصف الحوثيون المتحف مما تسبب في </w:t>
      </w:r>
      <w:r w:rsidRPr="008E500F">
        <w:rPr>
          <w:rFonts w:ascii="Traditional Arabic" w:eastAsia="SimSun" w:hAnsi="Traditional Arabic" w:cs="Traditional Arabic" w:hint="cs"/>
          <w:sz w:val="30"/>
          <w:szCs w:val="30"/>
          <w:rtl/>
          <w:lang w:eastAsia="zh-CN"/>
        </w:rPr>
        <w:t>حدوث</w:t>
      </w:r>
      <w:r w:rsidRPr="008E500F">
        <w:rPr>
          <w:rFonts w:ascii="Traditional Arabic" w:eastAsia="SimSun" w:hAnsi="Traditional Arabic" w:cs="Traditional Arabic"/>
          <w:sz w:val="30"/>
          <w:szCs w:val="30"/>
          <w:rtl/>
          <w:lang w:eastAsia="zh-CN"/>
        </w:rPr>
        <w:t xml:space="preserve"> </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ضر</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ر واسع</w:t>
      </w:r>
      <w:r w:rsidRPr="008E500F">
        <w:rPr>
          <w:rFonts w:ascii="Traditional Arabic" w:eastAsia="SimSun" w:hAnsi="Traditional Arabic" w:cs="Traditional Arabic" w:hint="cs"/>
          <w:sz w:val="30"/>
          <w:szCs w:val="30"/>
          <w:rtl/>
          <w:lang w:eastAsia="zh-CN"/>
        </w:rPr>
        <w:t>ة</w:t>
      </w:r>
      <w:r w:rsidRPr="008E500F">
        <w:rPr>
          <w:rFonts w:ascii="Traditional Arabic" w:eastAsia="SimSun" w:hAnsi="Traditional Arabic" w:cs="Traditional Arabic"/>
          <w:sz w:val="30"/>
          <w:szCs w:val="30"/>
          <w:rtl/>
          <w:lang w:eastAsia="zh-CN"/>
        </w:rPr>
        <w:t xml:space="preserve"> النطاق.</w:t>
      </w:r>
    </w:p>
    <w:p w14:paraId="5F013F74" w14:textId="1E363874" w:rsidR="00554D52" w:rsidRPr="008E500F" w:rsidRDefault="00262E09" w:rsidP="00262E09">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rtl/>
          <w:lang w:eastAsia="zh-CN"/>
        </w:rPr>
      </w:pPr>
      <w:r>
        <w:rPr>
          <w:rFonts w:ascii="Traditional Arabic" w:eastAsia="SimSun" w:hAnsi="Traditional Arabic" w:cs="Traditional Arabic"/>
          <w:sz w:val="30"/>
          <w:szCs w:val="30"/>
          <w:rtl/>
          <w:lang w:eastAsia="zh-CN"/>
        </w:rPr>
        <w:t xml:space="preserve">وبالمثل، في عدن، </w:t>
      </w:r>
      <w:r>
        <w:rPr>
          <w:rFonts w:ascii="Traditional Arabic" w:eastAsia="SimSun" w:hAnsi="Traditional Arabic" w:cs="Traditional Arabic" w:hint="cs"/>
          <w:sz w:val="30"/>
          <w:szCs w:val="30"/>
          <w:rtl/>
          <w:lang w:eastAsia="zh-CN"/>
        </w:rPr>
        <w:t xml:space="preserve">سيطر </w:t>
      </w:r>
      <w:r w:rsidR="00554D52" w:rsidRPr="002B2A40">
        <w:rPr>
          <w:rFonts w:ascii="Traditional Arabic" w:eastAsia="SimSun" w:hAnsi="Traditional Arabic" w:cs="Traditional Arabic"/>
          <w:sz w:val="30"/>
          <w:szCs w:val="30"/>
          <w:rtl/>
          <w:lang w:eastAsia="zh-CN"/>
        </w:rPr>
        <w:t>مقاتلو الحوثي</w:t>
      </w:r>
      <w:r>
        <w:rPr>
          <w:rFonts w:ascii="Traditional Arabic" w:eastAsia="SimSun" w:hAnsi="Traditional Arabic" w:cs="Traditional Arabic" w:hint="cs"/>
          <w:sz w:val="30"/>
          <w:szCs w:val="30"/>
          <w:rtl/>
          <w:lang w:eastAsia="zh-CN"/>
        </w:rPr>
        <w:t xml:space="preserve"> </w:t>
      </w:r>
      <w:r w:rsidR="00554D52" w:rsidRPr="002B2A40">
        <w:rPr>
          <w:rFonts w:ascii="Traditional Arabic" w:eastAsia="SimSun" w:hAnsi="Traditional Arabic" w:cs="Traditional Arabic"/>
          <w:sz w:val="30"/>
          <w:szCs w:val="30"/>
          <w:rtl/>
          <w:lang w:eastAsia="zh-CN"/>
        </w:rPr>
        <w:t xml:space="preserve">- صالح على المتحف العسكري، الذي يعود </w:t>
      </w:r>
      <w:r>
        <w:rPr>
          <w:rFonts w:ascii="Traditional Arabic" w:eastAsia="SimSun" w:hAnsi="Traditional Arabic" w:cs="Traditional Arabic" w:hint="cs"/>
          <w:sz w:val="30"/>
          <w:szCs w:val="30"/>
          <w:rtl/>
          <w:lang w:eastAsia="zh-CN"/>
        </w:rPr>
        <w:t xml:space="preserve">بناؤه </w:t>
      </w:r>
      <w:r w:rsidR="00554D52" w:rsidRPr="002B2A40">
        <w:rPr>
          <w:rFonts w:ascii="Traditional Arabic" w:eastAsia="SimSun" w:hAnsi="Traditional Arabic" w:cs="Traditional Arabic"/>
          <w:sz w:val="30"/>
          <w:szCs w:val="30"/>
          <w:rtl/>
          <w:lang w:eastAsia="zh-CN"/>
        </w:rPr>
        <w:t xml:space="preserve">إلى </w:t>
      </w:r>
      <w:r w:rsidR="0088631E">
        <w:rPr>
          <w:rFonts w:ascii="Traditional Arabic" w:eastAsia="SimSun" w:hAnsi="Traditional Arabic" w:cs="Traditional Arabic" w:hint="cs"/>
          <w:sz w:val="30"/>
          <w:szCs w:val="30"/>
          <w:rtl/>
          <w:lang w:eastAsia="zh-CN"/>
        </w:rPr>
        <w:t>ال</w:t>
      </w:r>
      <w:r w:rsidR="00554D52" w:rsidRPr="002B2A40">
        <w:rPr>
          <w:rFonts w:ascii="Traditional Arabic" w:eastAsia="SimSun" w:hAnsi="Traditional Arabic" w:cs="Traditional Arabic"/>
          <w:sz w:val="30"/>
          <w:szCs w:val="30"/>
          <w:rtl/>
          <w:lang w:eastAsia="zh-CN"/>
        </w:rPr>
        <w:t>عام 1918 ، وأنشأ</w:t>
      </w:r>
      <w:r w:rsidR="00554D52" w:rsidRPr="002B2A40">
        <w:rPr>
          <w:rFonts w:ascii="Traditional Arabic" w:eastAsia="SimSun" w:hAnsi="Traditional Arabic" w:cs="Traditional Arabic" w:hint="cs"/>
          <w:sz w:val="30"/>
          <w:szCs w:val="30"/>
          <w:rtl/>
          <w:lang w:eastAsia="zh-CN"/>
        </w:rPr>
        <w:t>و</w:t>
      </w:r>
      <w:r w:rsidR="00554D52" w:rsidRPr="002B2A40">
        <w:rPr>
          <w:rFonts w:ascii="Traditional Arabic" w:eastAsia="SimSun" w:hAnsi="Traditional Arabic" w:cs="Traditional Arabic"/>
          <w:sz w:val="30"/>
          <w:szCs w:val="30"/>
          <w:rtl/>
          <w:lang w:eastAsia="zh-CN"/>
        </w:rPr>
        <w:t xml:space="preserve"> فيه مستودعًا عسكريًا ومرفق اعتقال سري</w:t>
      </w:r>
      <w:r w:rsidR="0088139E" w:rsidRPr="00B91FAE">
        <w:rPr>
          <w:rStyle w:val="FootnoteReference"/>
          <w:rFonts w:asciiTheme="majorBidi" w:hAnsiTheme="majorBidi" w:cstheme="majorBidi"/>
        </w:rPr>
        <w:footnoteReference w:id="1383"/>
      </w:r>
      <w:r w:rsidR="00554D52" w:rsidRPr="002B2A40">
        <w:rPr>
          <w:rFonts w:ascii="Traditional Arabic" w:eastAsia="SimSun" w:hAnsi="Traditional Arabic" w:cs="Traditional Arabic"/>
          <w:sz w:val="30"/>
          <w:szCs w:val="30"/>
          <w:rtl/>
          <w:lang w:eastAsia="zh-CN"/>
        </w:rPr>
        <w:t>. بالإضافة إلى نهب المتحف من قبل الحوثيين،</w:t>
      </w:r>
      <w:r w:rsidR="0088139E" w:rsidRPr="00B91FAE">
        <w:rPr>
          <w:rStyle w:val="FootnoteReference"/>
          <w:rFonts w:asciiTheme="majorBidi" w:hAnsiTheme="majorBidi" w:cstheme="majorBidi"/>
        </w:rPr>
        <w:t xml:space="preserve"> </w:t>
      </w:r>
      <w:r w:rsidR="0088139E" w:rsidRPr="00B91FAE">
        <w:rPr>
          <w:rStyle w:val="FootnoteReference"/>
          <w:rFonts w:asciiTheme="majorBidi" w:hAnsiTheme="majorBidi" w:cstheme="majorBidi"/>
        </w:rPr>
        <w:footnoteReference w:id="1384"/>
      </w:r>
      <w:r w:rsidR="00554D52" w:rsidRPr="008E500F">
        <w:rPr>
          <w:rFonts w:ascii="Simplified Arabic" w:eastAsia="SimSun" w:hAnsi="Simplified Arabic" w:cs="Simplified Arabic"/>
          <w:sz w:val="24"/>
          <w:szCs w:val="24"/>
          <w:vertAlign w:val="superscript"/>
          <w:rtl/>
          <w:lang w:eastAsia="zh-CN"/>
        </w:rPr>
        <w:t xml:space="preserve"> </w:t>
      </w:r>
      <w:r w:rsidR="00554D52" w:rsidRPr="002B2A40">
        <w:rPr>
          <w:rFonts w:ascii="Traditional Arabic" w:eastAsia="SimSun" w:hAnsi="Traditional Arabic" w:cs="Traditional Arabic"/>
          <w:sz w:val="30"/>
          <w:szCs w:val="30"/>
          <w:rtl/>
          <w:lang w:eastAsia="zh-CN"/>
        </w:rPr>
        <w:t xml:space="preserve">ضربت غارة جوية للتحالف المتحف في 16 </w:t>
      </w:r>
      <w:r w:rsidR="0088139E">
        <w:rPr>
          <w:rFonts w:ascii="Traditional Arabic" w:eastAsia="SimSun" w:hAnsi="Traditional Arabic" w:cs="Traditional Arabic" w:hint="cs"/>
          <w:sz w:val="30"/>
          <w:szCs w:val="30"/>
          <w:rtl/>
          <w:lang w:eastAsia="zh-CN"/>
        </w:rPr>
        <w:t xml:space="preserve">تموز/ </w:t>
      </w:r>
      <w:r w:rsidR="00554D52" w:rsidRPr="002B2A40">
        <w:rPr>
          <w:rFonts w:ascii="Traditional Arabic" w:eastAsia="SimSun" w:hAnsi="Traditional Arabic" w:cs="Traditional Arabic"/>
          <w:sz w:val="30"/>
          <w:szCs w:val="30"/>
          <w:rtl/>
          <w:lang w:eastAsia="zh-CN"/>
        </w:rPr>
        <w:t>يوليو 2015 ، مما أدى إلى تدمير الجناح الشمالي الشرقي للمتحف</w:t>
      </w:r>
      <w:r w:rsidR="0088139E">
        <w:rPr>
          <w:rFonts w:ascii="Traditional Arabic" w:eastAsia="SimSun" w:hAnsi="Traditional Arabic" w:cs="Traditional Arabic" w:hint="cs"/>
          <w:sz w:val="30"/>
          <w:szCs w:val="30"/>
          <w:rtl/>
          <w:lang w:eastAsia="zh-CN"/>
        </w:rPr>
        <w:t>.</w:t>
      </w:r>
      <w:r w:rsidR="0088139E" w:rsidRPr="00B91FAE">
        <w:rPr>
          <w:rStyle w:val="FootnoteReference"/>
          <w:rFonts w:asciiTheme="majorBidi" w:hAnsiTheme="majorBidi" w:cstheme="majorBidi"/>
        </w:rPr>
        <w:footnoteReference w:id="1385"/>
      </w:r>
    </w:p>
    <w:p w14:paraId="4DEC21E7" w14:textId="02A5F489" w:rsidR="00554D52" w:rsidRPr="008E500F" w:rsidRDefault="00554D52" w:rsidP="008E500F">
      <w:pPr>
        <w:pStyle w:val="ListParagraph"/>
        <w:numPr>
          <w:ilvl w:val="0"/>
          <w:numId w:val="19"/>
        </w:numPr>
        <w:tabs>
          <w:tab w:val="left" w:pos="1701"/>
        </w:tabs>
        <w:bidi/>
        <w:spacing w:after="120" w:line="240" w:lineRule="auto"/>
        <w:ind w:left="1179" w:right="425" w:hanging="540"/>
        <w:jc w:val="both"/>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hint="cs"/>
          <w:b/>
          <w:bCs/>
          <w:sz w:val="30"/>
          <w:szCs w:val="30"/>
          <w:rtl/>
          <w:lang w:eastAsia="zh-CN"/>
        </w:rPr>
        <w:t>الانتهاكات</w:t>
      </w:r>
    </w:p>
    <w:p w14:paraId="76DD6FCF" w14:textId="301DCADD" w:rsidR="00554D52" w:rsidRPr="002B2A40" w:rsidRDefault="00554D52" w:rsidP="0088631E">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لدى فريق الخبراء أسباب معقولة للاعتقاد بأن جميع أطراف النزاع لم تحترم الممتلكات الثقافية على النحو الذي يقتضيه القانون الدولي الإنساني. في حين أن فريق الخبراء لم يتمكن من تحديد ما إذا كان تدمير المسجد من قبل التحالف في منطقة كريتر ينطوي على انتهاك لمب</w:t>
      </w:r>
      <w:r w:rsidRPr="002B2A40">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د</w:t>
      </w:r>
      <w:r w:rsidRPr="002B2A40">
        <w:rPr>
          <w:rFonts w:ascii="Traditional Arabic" w:eastAsia="SimSun" w:hAnsi="Traditional Arabic" w:cs="Traditional Arabic" w:hint="cs"/>
          <w:sz w:val="30"/>
          <w:szCs w:val="30"/>
          <w:rtl/>
          <w:lang w:eastAsia="zh-CN"/>
        </w:rPr>
        <w:t>ئ</w:t>
      </w:r>
      <w:r w:rsidRPr="002B2A40">
        <w:rPr>
          <w:rFonts w:ascii="Traditional Arabic" w:eastAsia="SimSun" w:hAnsi="Traditional Arabic" w:cs="Traditional Arabic"/>
          <w:sz w:val="30"/>
          <w:szCs w:val="30"/>
          <w:rtl/>
          <w:lang w:eastAsia="zh-CN"/>
        </w:rPr>
        <w:t xml:space="preserve"> التمييز أو التناسب أو الاحتياطات، يبدو أن المسجد في الحديدة قد دمر من قبل </w:t>
      </w:r>
      <w:r w:rsidR="0088631E">
        <w:rPr>
          <w:rFonts w:ascii="Traditional Arabic" w:eastAsia="SimSun" w:hAnsi="Traditional Arabic" w:cs="Traditional Arabic" w:hint="cs"/>
          <w:sz w:val="30"/>
          <w:szCs w:val="30"/>
          <w:rtl/>
          <w:lang w:eastAsia="zh-CN"/>
        </w:rPr>
        <w:t>أ</w:t>
      </w:r>
      <w:r w:rsidRPr="002B2A40">
        <w:rPr>
          <w:rFonts w:ascii="Traditional Arabic" w:eastAsia="SimSun" w:hAnsi="Traditional Arabic" w:cs="Traditional Arabic" w:hint="cs"/>
          <w:sz w:val="30"/>
          <w:szCs w:val="30"/>
          <w:rtl/>
          <w:lang w:eastAsia="zh-CN"/>
        </w:rPr>
        <w:t>لوية</w:t>
      </w:r>
      <w:r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hint="cs"/>
          <w:sz w:val="30"/>
          <w:szCs w:val="30"/>
          <w:rtl/>
          <w:lang w:eastAsia="zh-CN"/>
        </w:rPr>
        <w:t>العمالقة</w:t>
      </w:r>
      <w:r w:rsidRPr="002B2A40">
        <w:rPr>
          <w:rFonts w:ascii="Traditional Arabic" w:eastAsia="SimSun" w:hAnsi="Traditional Arabic" w:cs="Traditional Arabic"/>
          <w:sz w:val="30"/>
          <w:szCs w:val="30"/>
          <w:rtl/>
          <w:lang w:eastAsia="zh-CN"/>
        </w:rPr>
        <w:t xml:space="preserve"> في غياب أي ضرورة عسكرية ، وبالتالي في انتهاك للقانون الدولي الإنساني. قد يثير هذا الفعل مسؤولية جنائية فردية عن جريمة الحرب المتمثلة في توجيه هجوم متعمد على مبنى تاريخي مخصص للدين. الحوثيون، في استخدامهم للمتاحف في كل من تعز وعدن للقيام بأنشطة عسكرية، تسببوا في تدميرها الجزئي عبر إزالة حمايتها وتحويلها إلى </w:t>
      </w:r>
      <w:r w:rsidR="00AC49F5">
        <w:rPr>
          <w:rFonts w:ascii="Traditional Arabic" w:eastAsia="SimSun" w:hAnsi="Traditional Arabic" w:cs="Traditional Arabic" w:hint="cs"/>
          <w:sz w:val="30"/>
          <w:szCs w:val="30"/>
          <w:rtl/>
          <w:lang w:eastAsia="zh-CN"/>
        </w:rPr>
        <w:t>أ</w:t>
      </w:r>
      <w:r w:rsidRPr="002B2A40">
        <w:rPr>
          <w:rFonts w:ascii="Traditional Arabic" w:eastAsia="SimSun" w:hAnsi="Traditional Arabic" w:cs="Traditional Arabic"/>
          <w:sz w:val="30"/>
          <w:szCs w:val="30"/>
          <w:rtl/>
          <w:lang w:eastAsia="zh-CN"/>
        </w:rPr>
        <w:t>هد</w:t>
      </w:r>
      <w:r w:rsidR="00AC49F5">
        <w:rPr>
          <w:rFonts w:ascii="Traditional Arabic" w:eastAsia="SimSun" w:hAnsi="Traditional Arabic" w:cs="Traditional Arabic" w:hint="cs"/>
          <w:sz w:val="30"/>
          <w:szCs w:val="30"/>
          <w:rtl/>
          <w:lang w:eastAsia="zh-CN"/>
        </w:rPr>
        <w:t>ا</w:t>
      </w:r>
      <w:r w:rsidRPr="002B2A40">
        <w:rPr>
          <w:rFonts w:ascii="Traditional Arabic" w:eastAsia="SimSun" w:hAnsi="Traditional Arabic" w:cs="Traditional Arabic"/>
          <w:sz w:val="30"/>
          <w:szCs w:val="30"/>
          <w:rtl/>
          <w:lang w:eastAsia="zh-CN"/>
        </w:rPr>
        <w:t>ف عسكري</w:t>
      </w:r>
      <w:r w:rsidR="00AC49F5">
        <w:rPr>
          <w:rFonts w:ascii="Traditional Arabic" w:eastAsia="SimSun" w:hAnsi="Traditional Arabic" w:cs="Traditional Arabic" w:hint="cs"/>
          <w:sz w:val="30"/>
          <w:szCs w:val="30"/>
          <w:rtl/>
          <w:lang w:eastAsia="zh-CN"/>
        </w:rPr>
        <w:t>ة</w:t>
      </w:r>
      <w:r w:rsidRPr="002B2A40">
        <w:rPr>
          <w:rFonts w:ascii="Traditional Arabic" w:eastAsia="SimSun" w:hAnsi="Traditional Arabic" w:cs="Traditional Arabic"/>
          <w:sz w:val="30"/>
          <w:szCs w:val="30"/>
          <w:rtl/>
          <w:lang w:eastAsia="zh-CN"/>
        </w:rPr>
        <w:t xml:space="preserve">، وهو ما يرقى إلى انتهاك الالتزام باحترام الممتلكات الثقافية ورعاية خاصة لتجنب الأضرار التي لحقت بها. لا يزال من غير الواضح ما إذا كانت الضربات التي قامت بها قوات المقاومة والتحالف على المتاحف تمتثل للشروط المنصوص عليها في البروتوكول الثاني لاتفاقية لاهاي لعام 1954 </w:t>
      </w:r>
      <w:r w:rsidRPr="002B2A40">
        <w:rPr>
          <w:rFonts w:ascii="Traditional Arabic" w:eastAsia="SimSun" w:hAnsi="Traditional Arabic" w:cs="Traditional Arabic" w:hint="cs"/>
          <w:sz w:val="30"/>
          <w:szCs w:val="30"/>
          <w:rtl/>
          <w:lang w:eastAsia="zh-CN"/>
        </w:rPr>
        <w:t>في شأن ا</w:t>
      </w:r>
      <w:r w:rsidRPr="002B2A40">
        <w:rPr>
          <w:rFonts w:ascii="Traditional Arabic" w:eastAsia="SimSun" w:hAnsi="Traditional Arabic" w:cs="Traditional Arabic"/>
          <w:sz w:val="30"/>
          <w:szCs w:val="30"/>
          <w:rtl/>
          <w:lang w:eastAsia="zh-CN"/>
        </w:rPr>
        <w:t>لتنازل على أساس الضرورة العسكرية الملحة</w:t>
      </w:r>
      <w:r w:rsidR="0088139E" w:rsidRPr="00B91FAE">
        <w:rPr>
          <w:rStyle w:val="FootnoteReference"/>
        </w:rPr>
        <w:footnoteReference w:id="1386"/>
      </w:r>
      <w:r w:rsidR="0088139E">
        <w:rPr>
          <w:rFonts w:ascii="Traditional Arabic" w:eastAsia="SimSun" w:hAnsi="Traditional Arabic" w:cs="Traditional Arabic" w:hint="cs"/>
          <w:sz w:val="30"/>
          <w:szCs w:val="30"/>
          <w:rtl/>
          <w:lang w:eastAsia="zh-CN"/>
        </w:rPr>
        <w:t>.</w:t>
      </w:r>
    </w:p>
    <w:p w14:paraId="25F16602" w14:textId="63AF52D1" w:rsidR="00554D52" w:rsidRPr="008E500F" w:rsidRDefault="008E500F" w:rsidP="008E500F">
      <w:pPr>
        <w:suppressAutoHyphens w:val="0"/>
        <w:bidi/>
        <w:spacing w:after="120" w:line="240" w:lineRule="auto"/>
        <w:ind w:left="1179" w:right="426" w:hanging="630"/>
        <w:jc w:val="both"/>
        <w:rPr>
          <w:rFonts w:ascii="Traditional Arabic" w:eastAsia="SimSun" w:hAnsi="Traditional Arabic" w:cs="Traditional Arabic"/>
          <w:b/>
          <w:bCs/>
          <w:sz w:val="30"/>
          <w:szCs w:val="30"/>
          <w:lang w:eastAsia="zh-CN"/>
        </w:rPr>
      </w:pPr>
      <w:r w:rsidRPr="008E500F">
        <w:rPr>
          <w:rFonts w:ascii="Traditional Arabic" w:eastAsia="SimSun" w:hAnsi="Traditional Arabic" w:cs="Traditional Arabic" w:hint="cs"/>
          <w:b/>
          <w:bCs/>
          <w:sz w:val="30"/>
          <w:szCs w:val="30"/>
          <w:rtl/>
          <w:lang w:eastAsia="zh-CN"/>
        </w:rPr>
        <w:t>3.</w:t>
      </w:r>
      <w:r w:rsidR="00554D52" w:rsidRPr="008E500F">
        <w:rPr>
          <w:rFonts w:ascii="Traditional Arabic" w:eastAsia="SimSun" w:hAnsi="Traditional Arabic" w:cs="Traditional Arabic"/>
          <w:b/>
          <w:bCs/>
          <w:sz w:val="30"/>
          <w:szCs w:val="30"/>
          <w:rtl/>
          <w:lang w:eastAsia="zh-CN"/>
        </w:rPr>
        <w:t xml:space="preserve"> </w:t>
      </w:r>
      <w:r>
        <w:rPr>
          <w:rFonts w:ascii="Traditional Arabic" w:eastAsia="SimSun" w:hAnsi="Traditional Arabic" w:cs="Traditional Arabic"/>
          <w:b/>
          <w:bCs/>
          <w:sz w:val="30"/>
          <w:szCs w:val="30"/>
          <w:rtl/>
          <w:lang w:eastAsia="zh-CN"/>
        </w:rPr>
        <w:tab/>
      </w:r>
      <w:r w:rsidR="00554D52" w:rsidRPr="008E500F">
        <w:rPr>
          <w:rFonts w:ascii="Traditional Arabic" w:eastAsia="SimSun" w:hAnsi="Traditional Arabic" w:cs="Traditional Arabic"/>
          <w:b/>
          <w:bCs/>
          <w:sz w:val="30"/>
          <w:szCs w:val="30"/>
          <w:rtl/>
          <w:lang w:eastAsia="zh-CN"/>
        </w:rPr>
        <w:t>الحالات المثيرة للقلق</w:t>
      </w:r>
    </w:p>
    <w:p w14:paraId="415A0D3C" w14:textId="1A8AD444" w:rsidR="008E500F" w:rsidRDefault="00554D52" w:rsidP="00432DBC">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يعرب فريق الخبراء عن قلقه فيما يتعلق بوضع مدينة زبيد القديمة - عاصمة اليمن من القرن الثالث عشر إلى القرن الخامس عشر - وأرخبيل سقطرى، وكلاهما مدرج </w:t>
      </w:r>
      <w:r w:rsidR="008E5563" w:rsidRPr="008E5563">
        <w:rPr>
          <w:rFonts w:ascii="Traditional Arabic" w:eastAsia="SimSun" w:hAnsi="Traditional Arabic" w:cs="Traditional Arabic"/>
          <w:sz w:val="30"/>
          <w:szCs w:val="30"/>
          <w:rtl/>
          <w:lang w:eastAsia="zh-CN"/>
        </w:rPr>
        <w:t>كمواقع</w:t>
      </w:r>
      <w:r w:rsidR="008E5563" w:rsidRPr="002B2A40">
        <w:rPr>
          <w:rFonts w:ascii="Traditional Arabic" w:eastAsia="SimSun" w:hAnsi="Traditional Arabic" w:cs="Traditional Arabic"/>
          <w:sz w:val="30"/>
          <w:szCs w:val="30"/>
          <w:rtl/>
          <w:lang w:eastAsia="zh-CN"/>
        </w:rPr>
        <w:t xml:space="preserve"> </w:t>
      </w:r>
      <w:r w:rsidRPr="002B2A40">
        <w:rPr>
          <w:rFonts w:ascii="Traditional Arabic" w:eastAsia="SimSun" w:hAnsi="Traditional Arabic" w:cs="Traditional Arabic"/>
          <w:sz w:val="30"/>
          <w:szCs w:val="30"/>
          <w:rtl/>
          <w:lang w:eastAsia="zh-CN"/>
        </w:rPr>
        <w:t>في</w:t>
      </w:r>
      <w:r w:rsidR="008E5563" w:rsidRPr="008E5563">
        <w:rPr>
          <w:rtl/>
        </w:rPr>
        <w:t xml:space="preserve"> </w:t>
      </w:r>
      <w:r w:rsidRPr="002B2A40">
        <w:rPr>
          <w:rFonts w:ascii="Traditional Arabic" w:eastAsia="SimSun" w:hAnsi="Traditional Arabic" w:cs="Traditional Arabic"/>
          <w:sz w:val="30"/>
          <w:szCs w:val="30"/>
          <w:rtl/>
          <w:lang w:eastAsia="zh-CN"/>
        </w:rPr>
        <w:t>قائمة التراث العالمي لليونسكو</w:t>
      </w:r>
      <w:r w:rsidRPr="002B2A40">
        <w:rPr>
          <w:rFonts w:ascii="Traditional Arabic" w:eastAsia="SimSun" w:hAnsi="Traditional Arabic" w:cs="Traditional Arabic"/>
          <w:sz w:val="30"/>
          <w:szCs w:val="30"/>
          <w:lang w:eastAsia="zh-CN"/>
        </w:rPr>
        <w:t>.</w:t>
      </w:r>
    </w:p>
    <w:p w14:paraId="7D9E44C7" w14:textId="31886839" w:rsidR="00554D52" w:rsidRPr="008E500F" w:rsidRDefault="00554D52" w:rsidP="000F026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8E500F">
        <w:rPr>
          <w:rFonts w:ascii="Traditional Arabic" w:eastAsia="SimSun" w:hAnsi="Traditional Arabic" w:cs="Traditional Arabic"/>
          <w:sz w:val="30"/>
          <w:szCs w:val="30"/>
          <w:rtl/>
          <w:lang w:eastAsia="zh-CN"/>
        </w:rPr>
        <w:t>أوجد النزاع</w:t>
      </w:r>
      <w:r w:rsidRPr="008E500F">
        <w:rPr>
          <w:rFonts w:ascii="Traditional Arabic" w:eastAsia="SimSun" w:hAnsi="Traditional Arabic" w:cs="Traditional Arabic" w:hint="cs"/>
          <w:sz w:val="30"/>
          <w:szCs w:val="30"/>
          <w:rtl/>
          <w:lang w:eastAsia="zh-CN"/>
        </w:rPr>
        <w:t xml:space="preserve"> </w:t>
      </w:r>
      <w:r w:rsidRPr="008E500F">
        <w:rPr>
          <w:rFonts w:ascii="Traditional Arabic" w:eastAsia="SimSun" w:hAnsi="Traditional Arabic" w:cs="Traditional Arabic"/>
          <w:sz w:val="30"/>
          <w:szCs w:val="30"/>
          <w:rtl/>
          <w:lang w:eastAsia="zh-CN"/>
        </w:rPr>
        <w:t>ظروف</w:t>
      </w:r>
      <w:r w:rsidRPr="008E500F">
        <w:rPr>
          <w:rFonts w:ascii="Traditional Arabic" w:eastAsia="SimSun" w:hAnsi="Traditional Arabic" w:cs="Traditional Arabic" w:hint="cs"/>
          <w:sz w:val="30"/>
          <w:szCs w:val="30"/>
          <w:rtl/>
          <w:lang w:eastAsia="zh-CN"/>
        </w:rPr>
        <w:t>اً</w:t>
      </w:r>
      <w:r w:rsidRPr="008E500F">
        <w:rPr>
          <w:rFonts w:ascii="Traditional Arabic" w:eastAsia="SimSun" w:hAnsi="Traditional Arabic" w:cs="Traditional Arabic"/>
          <w:sz w:val="30"/>
          <w:szCs w:val="30"/>
          <w:rtl/>
          <w:lang w:eastAsia="zh-CN"/>
        </w:rPr>
        <w:t xml:space="preserve"> </w:t>
      </w:r>
      <w:r w:rsidR="008E5563" w:rsidRPr="008E5563">
        <w:rPr>
          <w:rFonts w:ascii="Traditional Arabic" w:eastAsia="SimSun" w:hAnsi="Traditional Arabic" w:cs="Traditional Arabic"/>
          <w:sz w:val="30"/>
          <w:szCs w:val="30"/>
          <w:rtl/>
          <w:lang w:eastAsia="zh-CN"/>
        </w:rPr>
        <w:t xml:space="preserve">وضعت </w:t>
      </w:r>
      <w:r w:rsidR="008E5563" w:rsidRPr="008E500F">
        <w:rPr>
          <w:rFonts w:ascii="Traditional Arabic" w:eastAsia="SimSun" w:hAnsi="Traditional Arabic" w:cs="Traditional Arabic"/>
          <w:sz w:val="30"/>
          <w:szCs w:val="30"/>
          <w:rtl/>
          <w:lang w:eastAsia="zh-CN"/>
        </w:rPr>
        <w:t>الممتلكات الثقافية</w:t>
      </w:r>
      <w:r w:rsidR="008E5563" w:rsidRPr="008E5563">
        <w:rPr>
          <w:rtl/>
        </w:rPr>
        <w:t xml:space="preserve"> </w:t>
      </w:r>
      <w:r w:rsidR="008E5563" w:rsidRPr="008E5563">
        <w:rPr>
          <w:rFonts w:ascii="Traditional Arabic" w:eastAsia="SimSun" w:hAnsi="Traditional Arabic" w:cs="Traditional Arabic"/>
          <w:sz w:val="30"/>
          <w:szCs w:val="30"/>
          <w:rtl/>
          <w:lang w:eastAsia="zh-CN"/>
        </w:rPr>
        <w:t>في جميع أنحاء اليمن</w:t>
      </w:r>
      <w:r w:rsidR="008E5563" w:rsidRPr="008E500F">
        <w:rPr>
          <w:rFonts w:ascii="Traditional Arabic" w:eastAsia="SimSun" w:hAnsi="Traditional Arabic" w:cs="Traditional Arabic"/>
          <w:sz w:val="30"/>
          <w:szCs w:val="30"/>
          <w:rtl/>
          <w:lang w:eastAsia="zh-CN"/>
        </w:rPr>
        <w:t xml:space="preserve"> </w:t>
      </w:r>
      <w:r w:rsidR="008E5563" w:rsidRPr="008E5563">
        <w:rPr>
          <w:rFonts w:ascii="Traditional Arabic" w:eastAsia="SimSun" w:hAnsi="Traditional Arabic" w:cs="Traditional Arabic"/>
          <w:sz w:val="30"/>
          <w:szCs w:val="30"/>
          <w:rtl/>
          <w:lang w:eastAsia="zh-CN"/>
        </w:rPr>
        <w:t>في خطر</w:t>
      </w:r>
      <w:r w:rsidR="008E5563">
        <w:rPr>
          <w:rFonts w:ascii="Traditional Arabic" w:eastAsia="SimSun" w:hAnsi="Traditional Arabic" w:cs="Traditional Arabic" w:hint="cs"/>
          <w:sz w:val="30"/>
          <w:szCs w:val="30"/>
          <w:rtl/>
          <w:lang w:eastAsia="zh-CN"/>
        </w:rPr>
        <w:t xml:space="preserve">، </w:t>
      </w:r>
      <w:r w:rsidR="000F026D">
        <w:rPr>
          <w:rFonts w:ascii="Traditional Arabic" w:eastAsia="SimSun" w:hAnsi="Traditional Arabic" w:cs="Traditional Arabic" w:hint="cs"/>
          <w:sz w:val="30"/>
          <w:szCs w:val="30"/>
          <w:rtl/>
          <w:lang w:eastAsia="zh-CN"/>
        </w:rPr>
        <w:t>و</w:t>
      </w:r>
      <w:r w:rsidR="008E5563" w:rsidRPr="008E5563">
        <w:rPr>
          <w:rFonts w:ascii="Traditional Arabic" w:eastAsia="SimSun" w:hAnsi="Traditional Arabic" w:cs="Traditional Arabic"/>
          <w:sz w:val="30"/>
          <w:szCs w:val="30"/>
          <w:rtl/>
          <w:lang w:eastAsia="zh-CN"/>
        </w:rPr>
        <w:t>زبيد على سبيل المثال</w:t>
      </w:r>
      <w:r w:rsidRPr="008E500F">
        <w:rPr>
          <w:rFonts w:ascii="Traditional Arabic" w:eastAsia="SimSun" w:hAnsi="Traditional Arabic" w:cs="Traditional Arabic"/>
          <w:sz w:val="30"/>
          <w:szCs w:val="30"/>
          <w:rtl/>
          <w:lang w:eastAsia="zh-CN"/>
        </w:rPr>
        <w:t xml:space="preserve">. تلقى فريق الخبراء تقارير تفيد بأن مجموعة </w:t>
      </w:r>
      <w:r w:rsidRPr="008E500F">
        <w:rPr>
          <w:rFonts w:ascii="Traditional Arabic" w:eastAsia="SimSun" w:hAnsi="Traditional Arabic" w:cs="Traditional Arabic"/>
          <w:sz w:val="30"/>
          <w:szCs w:val="30"/>
          <w:rtl/>
          <w:lang w:eastAsia="zh-CN"/>
        </w:rPr>
        <w:lastRenderedPageBreak/>
        <w:t>كبيرة تضم أكثر من 1000 مخطوطة كانت موجودة في متحف زبيد قد أزيلت منه، و</w:t>
      </w:r>
      <w:r w:rsidRPr="008E500F">
        <w:rPr>
          <w:rFonts w:ascii="Traditional Arabic" w:eastAsia="SimSun" w:hAnsi="Traditional Arabic" w:cs="Traditional Arabic" w:hint="cs"/>
          <w:sz w:val="30"/>
          <w:szCs w:val="30"/>
          <w:rtl/>
          <w:lang w:eastAsia="zh-CN"/>
        </w:rPr>
        <w:t xml:space="preserve">يوجد </w:t>
      </w:r>
      <w:r w:rsidRPr="008E500F">
        <w:rPr>
          <w:rFonts w:ascii="Traditional Arabic" w:eastAsia="SimSun" w:hAnsi="Traditional Arabic" w:cs="Traditional Arabic"/>
          <w:sz w:val="30"/>
          <w:szCs w:val="30"/>
          <w:rtl/>
          <w:lang w:eastAsia="zh-CN"/>
        </w:rPr>
        <w:t xml:space="preserve">مخاوف بشأن حمايتها وصيانتها. </w:t>
      </w:r>
      <w:r w:rsidR="008E5563" w:rsidRPr="008E5563">
        <w:rPr>
          <w:rFonts w:ascii="Traditional Arabic" w:eastAsia="SimSun" w:hAnsi="Traditional Arabic" w:cs="Traditional Arabic"/>
          <w:sz w:val="30"/>
          <w:szCs w:val="30"/>
          <w:rtl/>
          <w:lang w:eastAsia="zh-CN"/>
        </w:rPr>
        <w:t>هذا هو واحد من العديد من الأمثلة على</w:t>
      </w:r>
      <w:r w:rsidR="008E5563">
        <w:rPr>
          <w:rFonts w:ascii="Traditional Arabic" w:eastAsia="SimSun" w:hAnsi="Traditional Arabic" w:cs="Traditional Arabic" w:hint="cs"/>
          <w:sz w:val="30"/>
          <w:szCs w:val="30"/>
          <w:rtl/>
          <w:lang w:eastAsia="zh-CN"/>
        </w:rPr>
        <w:t xml:space="preserve"> ا</w:t>
      </w:r>
      <w:r w:rsidRPr="008E500F">
        <w:rPr>
          <w:rFonts w:ascii="Traditional Arabic" w:eastAsia="SimSun" w:hAnsi="Traditional Arabic" w:cs="Traditional Arabic"/>
          <w:sz w:val="30"/>
          <w:szCs w:val="30"/>
          <w:rtl/>
          <w:lang w:eastAsia="zh-CN"/>
        </w:rPr>
        <w:t>لمعلومات التي تلقاها فريق الخبراء</w:t>
      </w:r>
      <w:r w:rsidR="00432DBC" w:rsidRPr="00432DBC">
        <w:rPr>
          <w:rtl/>
        </w:rPr>
        <w:t xml:space="preserve"> </w:t>
      </w:r>
      <w:r w:rsidR="00432DBC" w:rsidRPr="00432DBC">
        <w:rPr>
          <w:rFonts w:ascii="Traditional Arabic" w:eastAsia="SimSun" w:hAnsi="Traditional Arabic" w:cs="Traditional Arabic"/>
          <w:sz w:val="30"/>
          <w:szCs w:val="30"/>
          <w:rtl/>
          <w:lang w:eastAsia="zh-CN"/>
        </w:rPr>
        <w:t xml:space="preserve">كيف أدى النزاع إلى الارتباك وسوء الإدارة والمنازعات حول كيفية التعامل مع الممتلكات الثقافية اليمنية </w:t>
      </w:r>
      <w:r w:rsidRPr="008E500F">
        <w:rPr>
          <w:rFonts w:ascii="Traditional Arabic" w:eastAsia="SimSun" w:hAnsi="Traditional Arabic" w:cs="Traditional Arabic"/>
          <w:sz w:val="30"/>
          <w:szCs w:val="30"/>
          <w:lang w:eastAsia="zh-CN"/>
        </w:rPr>
        <w:t>.</w:t>
      </w:r>
      <w:r w:rsidR="0088139E" w:rsidRPr="0088139E">
        <w:rPr>
          <w:rStyle w:val="Heading2Char"/>
          <w:rFonts w:asciiTheme="majorBidi" w:hAnsiTheme="majorBidi" w:cstheme="majorBidi"/>
        </w:rPr>
        <w:t xml:space="preserve"> </w:t>
      </w:r>
      <w:r w:rsidR="0088139E" w:rsidRPr="00B91FAE">
        <w:rPr>
          <w:rStyle w:val="FootnoteReference"/>
          <w:rFonts w:asciiTheme="majorBidi" w:hAnsiTheme="majorBidi" w:cstheme="majorBidi"/>
        </w:rPr>
        <w:footnoteReference w:id="1387"/>
      </w:r>
    </w:p>
    <w:p w14:paraId="3BC184FF" w14:textId="1E86DFDF" w:rsidR="00554D52" w:rsidRPr="002B2A40" w:rsidRDefault="00554D52" w:rsidP="0068318D">
      <w:pPr>
        <w:pStyle w:val="Footer"/>
        <w:numPr>
          <w:ilvl w:val="0"/>
          <w:numId w:val="3"/>
        </w:numPr>
        <w:tabs>
          <w:tab w:val="left" w:pos="720"/>
          <w:tab w:val="left" w:pos="900"/>
          <w:tab w:val="left" w:pos="1134"/>
          <w:tab w:val="left" w:pos="1701"/>
        </w:tabs>
        <w:bidi/>
        <w:spacing w:after="240"/>
        <w:ind w:left="1089" w:right="1089" w:firstLine="0"/>
        <w:jc w:val="both"/>
        <w:rPr>
          <w:rFonts w:ascii="Traditional Arabic" w:eastAsia="SimSun" w:hAnsi="Traditional Arabic" w:cs="Traditional Arabic"/>
          <w:sz w:val="30"/>
          <w:szCs w:val="30"/>
          <w:lang w:eastAsia="zh-CN"/>
        </w:rPr>
      </w:pPr>
      <w:r w:rsidRPr="002B2A40">
        <w:rPr>
          <w:rFonts w:ascii="Traditional Arabic" w:eastAsia="SimSun" w:hAnsi="Traditional Arabic" w:cs="Traditional Arabic"/>
          <w:sz w:val="30"/>
          <w:szCs w:val="30"/>
          <w:rtl/>
          <w:lang w:eastAsia="zh-CN"/>
        </w:rPr>
        <w:t xml:space="preserve">لم </w:t>
      </w:r>
      <w:r w:rsidR="0068318D">
        <w:rPr>
          <w:rFonts w:ascii="Traditional Arabic" w:eastAsia="SimSun" w:hAnsi="Traditional Arabic" w:cs="Traditional Arabic" w:hint="cs"/>
          <w:sz w:val="30"/>
          <w:szCs w:val="30"/>
          <w:rtl/>
          <w:lang w:eastAsia="zh-CN"/>
        </w:rPr>
        <w:t>ي</w:t>
      </w:r>
      <w:r w:rsidRPr="002B2A40">
        <w:rPr>
          <w:rFonts w:ascii="Traditional Arabic" w:eastAsia="SimSun" w:hAnsi="Traditional Arabic" w:cs="Traditional Arabic" w:hint="cs"/>
          <w:sz w:val="30"/>
          <w:szCs w:val="30"/>
          <w:rtl/>
          <w:lang w:eastAsia="zh-CN"/>
        </w:rPr>
        <w:t>نجو</w:t>
      </w:r>
      <w:r w:rsidRPr="002B2A40">
        <w:rPr>
          <w:rFonts w:ascii="Traditional Arabic" w:eastAsia="SimSun" w:hAnsi="Traditional Arabic" w:cs="Traditional Arabic"/>
          <w:sz w:val="30"/>
          <w:szCs w:val="30"/>
          <w:rtl/>
          <w:lang w:eastAsia="zh-CN"/>
        </w:rPr>
        <w:t xml:space="preserve"> أرخبيل سقطرى، الواقع عند مفترق الطرق بين القرن الأفريقي وخليج عدن</w:t>
      </w:r>
      <w:r w:rsidR="0068318D">
        <w:rPr>
          <w:rFonts w:ascii="Traditional Arabic" w:eastAsia="SimSun" w:hAnsi="Traditional Arabic" w:cs="Traditional Arabic" w:hint="cs"/>
          <w:sz w:val="30"/>
          <w:szCs w:val="30"/>
          <w:rtl/>
          <w:lang w:eastAsia="zh-CN"/>
        </w:rPr>
        <w:t xml:space="preserve"> </w:t>
      </w:r>
      <w:r w:rsidR="0068318D" w:rsidRPr="002B2A40">
        <w:rPr>
          <w:rFonts w:ascii="Traditional Arabic" w:eastAsia="SimSun" w:hAnsi="Traditional Arabic" w:cs="Traditional Arabic" w:hint="cs"/>
          <w:sz w:val="30"/>
          <w:szCs w:val="30"/>
          <w:rtl/>
          <w:lang w:eastAsia="zh-CN"/>
        </w:rPr>
        <w:t>من النزاع</w:t>
      </w:r>
      <w:r w:rsidRPr="002B2A40">
        <w:rPr>
          <w:rFonts w:ascii="Traditional Arabic" w:eastAsia="SimSun" w:hAnsi="Traditional Arabic" w:cs="Traditional Arabic"/>
          <w:sz w:val="30"/>
          <w:szCs w:val="30"/>
          <w:rtl/>
          <w:lang w:eastAsia="zh-CN"/>
        </w:rPr>
        <w:t>. نظرًا لموقعه ذي الأهمية العالمية المتميزة بسبب تنوعه الحيوي مع النباتات والحيوانات الغنية والمتميزة ، فقد تم إدراج جزيرة سقطرى في قائمة اليونسكو للتراث العالمي في عام 2008. ومنذ نهاية عام 2015، كانت الجزيرة تخضع لمستويات متفاوتة من السيطرة من قبل الإمارات العربية المتحدة. وفقًا للمعلومات التي تلقاها الفريق</w:t>
      </w:r>
      <w:r w:rsidR="0088139E" w:rsidRPr="00B91FAE">
        <w:rPr>
          <w:rStyle w:val="FootnoteReference"/>
        </w:rPr>
        <w:footnoteReference w:id="1388"/>
      </w:r>
      <w:r w:rsidR="0088139E">
        <w:rPr>
          <w:rFonts w:ascii="Traditional Arabic" w:eastAsia="SimSun" w:hAnsi="Traditional Arabic" w:cs="Traditional Arabic" w:hint="cs"/>
          <w:sz w:val="30"/>
          <w:szCs w:val="30"/>
          <w:rtl/>
          <w:lang w:eastAsia="zh-CN"/>
        </w:rPr>
        <w:t>،</w:t>
      </w:r>
      <w:r w:rsidRPr="002B2A40">
        <w:rPr>
          <w:rFonts w:ascii="Traditional Arabic" w:eastAsia="SimSun" w:hAnsi="Traditional Arabic" w:cs="Traditional Arabic"/>
          <w:sz w:val="30"/>
          <w:szCs w:val="30"/>
          <w:rtl/>
          <w:lang w:eastAsia="zh-CN"/>
        </w:rPr>
        <w:t xml:space="preserve"> تعرضت سقطرى منذ ذلك الحين إلى التدهور البيئي الجسيم والنهب والفساد، بما في ذلك من مشاريع بناء من الامارات العربية المتحدة</w:t>
      </w:r>
      <w:r w:rsidRPr="002B2A40">
        <w:rPr>
          <w:rFonts w:ascii="Traditional Arabic" w:eastAsia="SimSun" w:hAnsi="Traditional Arabic" w:cs="Traditional Arabic"/>
          <w:sz w:val="30"/>
          <w:szCs w:val="30"/>
          <w:lang w:eastAsia="zh-CN"/>
        </w:rPr>
        <w:t>.</w:t>
      </w:r>
    </w:p>
    <w:p w14:paraId="4307F038" w14:textId="116D01C0" w:rsidR="00473FEE" w:rsidRDefault="00473FEE" w:rsidP="00554D52">
      <w:pPr>
        <w:pStyle w:val="Heading3"/>
        <w:tabs>
          <w:tab w:val="left" w:pos="720"/>
        </w:tabs>
        <w:bidi/>
        <w:rPr>
          <w:rtl/>
          <w:lang w:val="en-US"/>
        </w:rPr>
      </w:pPr>
    </w:p>
    <w:p w14:paraId="29DB8661" w14:textId="3A1B4E74" w:rsidR="00473FEE" w:rsidRPr="00C818F0" w:rsidRDefault="00595527" w:rsidP="005D608B">
      <w:pPr>
        <w:pStyle w:val="Footer"/>
        <w:numPr>
          <w:ilvl w:val="0"/>
          <w:numId w:val="4"/>
        </w:numPr>
        <w:tabs>
          <w:tab w:val="left" w:pos="720"/>
        </w:tabs>
        <w:bidi/>
        <w:spacing w:after="240"/>
        <w:ind w:right="1089"/>
        <w:rPr>
          <w:rStyle w:val="Heading2Char"/>
          <w:rFonts w:ascii="Traditional Arabic" w:hAnsi="Traditional Arabic" w:cs="Traditional Arabic"/>
          <w:b/>
          <w:bCs/>
          <w:sz w:val="28"/>
          <w:szCs w:val="38"/>
          <w:lang w:val="en-US"/>
        </w:rPr>
      </w:pPr>
      <w:bookmarkStart w:id="37" w:name="_Toc18918117"/>
      <w:r w:rsidRPr="00C818F0">
        <w:rPr>
          <w:rStyle w:val="Heading2Char"/>
          <w:rFonts w:ascii="Traditional Arabic" w:hAnsi="Traditional Arabic" w:cs="Traditional Arabic"/>
          <w:b/>
          <w:bCs/>
          <w:sz w:val="28"/>
          <w:szCs w:val="38"/>
          <w:rtl/>
          <w:lang w:val="en-US"/>
        </w:rPr>
        <w:t>المساء</w:t>
      </w:r>
      <w:r w:rsidR="00473FEE" w:rsidRPr="00C818F0">
        <w:rPr>
          <w:rStyle w:val="Heading2Char"/>
          <w:rFonts w:ascii="Traditional Arabic" w:hAnsi="Traditional Arabic" w:cs="Traditional Arabic"/>
          <w:b/>
          <w:bCs/>
          <w:sz w:val="28"/>
          <w:szCs w:val="38"/>
          <w:rtl/>
          <w:lang w:val="en-US"/>
        </w:rPr>
        <w:t>لة</w:t>
      </w:r>
      <w:bookmarkEnd w:id="37"/>
    </w:p>
    <w:p w14:paraId="7623BEFD" w14:textId="77777777" w:rsidR="00C818F0" w:rsidRPr="00C818F0" w:rsidRDefault="00C818F0" w:rsidP="005D608B">
      <w:pPr>
        <w:numPr>
          <w:ilvl w:val="0"/>
          <w:numId w:val="15"/>
        </w:numPr>
        <w:suppressAutoHyphens w:val="0"/>
        <w:bidi/>
        <w:spacing w:after="160" w:line="259" w:lineRule="auto"/>
        <w:ind w:right="827"/>
        <w:contextualSpacing/>
        <w:jc w:val="both"/>
        <w:rPr>
          <w:rFonts w:ascii="Traditional Arabic" w:eastAsiaTheme="minorHAnsi" w:hAnsi="Traditional Arabic" w:cs="Traditional Arabic"/>
          <w:bCs/>
          <w:sz w:val="30"/>
          <w:szCs w:val="30"/>
          <w:lang w:val="en-US" w:bidi="ar-YE"/>
        </w:rPr>
      </w:pPr>
      <w:r w:rsidRPr="00C818F0">
        <w:rPr>
          <w:rFonts w:ascii="Traditional Arabic" w:eastAsiaTheme="minorHAnsi" w:hAnsi="Traditional Arabic" w:cs="Traditional Arabic"/>
          <w:bCs/>
          <w:sz w:val="30"/>
          <w:szCs w:val="30"/>
          <w:rtl/>
          <w:lang w:val="en-US" w:bidi="ar-YE"/>
        </w:rPr>
        <w:t xml:space="preserve">مقدمة </w:t>
      </w:r>
    </w:p>
    <w:p w14:paraId="5462DCB5" w14:textId="77777777" w:rsidR="00C818F0" w:rsidRPr="00C818F0" w:rsidRDefault="00C818F0" w:rsidP="00C818F0">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lang w:bidi="ar"/>
        </w:rPr>
      </w:pPr>
      <w:r w:rsidRPr="00C818F0">
        <w:rPr>
          <w:rFonts w:ascii="Traditional Arabic" w:eastAsiaTheme="minorHAnsi" w:hAnsi="Traditional Arabic" w:cs="Traditional Arabic"/>
          <w:sz w:val="30"/>
          <w:szCs w:val="30"/>
          <w:rtl/>
          <w:lang w:val="en-US"/>
        </w:rPr>
        <w:t xml:space="preserve">يقدم هذا </w:t>
      </w:r>
      <w:r w:rsidRPr="00C818F0">
        <w:rPr>
          <w:rFonts w:ascii="Traditional Arabic" w:eastAsiaTheme="minorHAnsi" w:hAnsi="Traditional Arabic" w:cs="Traditional Arabic"/>
          <w:sz w:val="30"/>
          <w:szCs w:val="30"/>
          <w:rtl/>
        </w:rPr>
        <w:t>الجزء بحث</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في الآليات المتاحة لتحميل أطراف النزاع</w:t>
      </w:r>
      <w:r w:rsidRPr="00C818F0">
        <w:rPr>
          <w:rFonts w:ascii="Traditional Arabic" w:eastAsiaTheme="minorHAnsi" w:hAnsi="Traditional Arabic" w:cs="Traditional Arabic"/>
          <w:sz w:val="30"/>
          <w:szCs w:val="30"/>
          <w:rtl/>
          <w:lang w:bidi="ar-YE"/>
        </w:rPr>
        <w:t xml:space="preserve"> </w:t>
      </w:r>
      <w:r w:rsidRPr="00C818F0">
        <w:rPr>
          <w:rFonts w:ascii="Traditional Arabic" w:eastAsiaTheme="minorHAnsi" w:hAnsi="Traditional Arabic" w:cs="Traditional Arabic"/>
          <w:sz w:val="30"/>
          <w:szCs w:val="30"/>
          <w:rtl/>
        </w:rPr>
        <w:t>المسلح مسؤولية انتهاكات القانون الدولي ال</w:t>
      </w:r>
      <w:r w:rsidRPr="00C818F0">
        <w:rPr>
          <w:rFonts w:ascii="Traditional Arabic" w:eastAsiaTheme="minorHAnsi" w:hAnsi="Traditional Arabic" w:cs="Traditional Arabic" w:hint="cs"/>
          <w:sz w:val="30"/>
          <w:szCs w:val="30"/>
          <w:rtl/>
        </w:rPr>
        <w:t xml:space="preserve">مذكورة في </w:t>
      </w:r>
      <w:r w:rsidRPr="00C818F0">
        <w:rPr>
          <w:rFonts w:ascii="Traditional Arabic" w:eastAsiaTheme="minorHAnsi" w:hAnsi="Traditional Arabic" w:cs="Traditional Arabic"/>
          <w:sz w:val="30"/>
          <w:szCs w:val="30"/>
          <w:rtl/>
        </w:rPr>
        <w:t>هذا التقرير، لا سيما فيما يتعلق بتلك التي قد تؤدي إلى المسؤولية الفردية عن الجرائم الدولية</w:t>
      </w:r>
      <w:r w:rsidRPr="00C818F0">
        <w:rPr>
          <w:rFonts w:ascii="Traditional Arabic" w:eastAsiaTheme="minorHAnsi" w:hAnsi="Traditional Arabic" w:cs="Traditional Arabic"/>
          <w:sz w:val="30"/>
          <w:szCs w:val="30"/>
          <w:lang w:bidi="ar"/>
        </w:rPr>
        <w:t>.</w:t>
      </w:r>
    </w:p>
    <w:p w14:paraId="482E5AF6" w14:textId="359D1674" w:rsidR="00C818F0" w:rsidRPr="00A43F8F" w:rsidRDefault="00A43F8F" w:rsidP="00A43F8F">
      <w:pPr>
        <w:tabs>
          <w:tab w:val="left" w:pos="1701"/>
        </w:tabs>
        <w:suppressAutoHyphens w:val="0"/>
        <w:bidi/>
        <w:spacing w:after="120"/>
        <w:ind w:left="360" w:right="828" w:firstLine="369"/>
        <w:jc w:val="both"/>
        <w:rPr>
          <w:rFonts w:ascii="Traditional Arabic" w:eastAsiaTheme="minorHAnsi" w:hAnsi="Traditional Arabic" w:cs="Traditional Arabic"/>
          <w:b/>
          <w:bCs/>
          <w:sz w:val="30"/>
          <w:szCs w:val="30"/>
          <w:lang w:val="en-US" w:bidi="ar"/>
        </w:rPr>
      </w:pPr>
      <w:r>
        <w:rPr>
          <w:rFonts w:ascii="Traditional Arabic" w:eastAsiaTheme="minorHAnsi" w:hAnsi="Traditional Arabic" w:cs="Traditional Arabic" w:hint="cs"/>
          <w:b/>
          <w:bCs/>
          <w:sz w:val="30"/>
          <w:szCs w:val="30"/>
          <w:rtl/>
          <w:lang w:val="en-US"/>
        </w:rPr>
        <w:t xml:space="preserve"> </w:t>
      </w:r>
      <w:r w:rsidRPr="00A43F8F">
        <w:rPr>
          <w:rFonts w:ascii="Traditional Arabic" w:eastAsiaTheme="minorHAnsi" w:hAnsi="Traditional Arabic" w:cs="Traditional Arabic" w:hint="cs"/>
          <w:b/>
          <w:bCs/>
          <w:sz w:val="30"/>
          <w:szCs w:val="30"/>
          <w:rtl/>
          <w:lang w:val="en-US"/>
        </w:rPr>
        <w:t>أ</w:t>
      </w:r>
      <w:r w:rsidR="00C818F0" w:rsidRPr="00A43F8F">
        <w:rPr>
          <w:rFonts w:ascii="Traditional Arabic" w:eastAsiaTheme="minorHAnsi" w:hAnsi="Traditional Arabic" w:cs="Traditional Arabic" w:hint="cs"/>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مسؤولية</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أطراف</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النزاع</w:t>
      </w:r>
      <w:r w:rsidR="00C818F0" w:rsidRPr="00A43F8F">
        <w:rPr>
          <w:rFonts w:ascii="Traditional Arabic" w:eastAsiaTheme="minorHAnsi" w:hAnsi="Traditional Arabic" w:cs="Traditional Arabic"/>
          <w:b/>
          <w:bCs/>
          <w:sz w:val="30"/>
          <w:szCs w:val="30"/>
          <w:rtl/>
          <w:lang w:val="en-US" w:bidi="ar"/>
        </w:rPr>
        <w:t xml:space="preserve"> </w:t>
      </w:r>
      <w:r w:rsidR="00C818F0" w:rsidRPr="00A43F8F">
        <w:rPr>
          <w:rFonts w:ascii="Traditional Arabic" w:eastAsiaTheme="minorHAnsi" w:hAnsi="Traditional Arabic" w:cs="Traditional Arabic" w:hint="eastAsia"/>
          <w:b/>
          <w:bCs/>
          <w:sz w:val="30"/>
          <w:szCs w:val="30"/>
          <w:rtl/>
          <w:lang w:val="en-US"/>
        </w:rPr>
        <w:t>المسلح</w:t>
      </w:r>
    </w:p>
    <w:p w14:paraId="35646FCD" w14:textId="77777777" w:rsidR="00C818F0" w:rsidRPr="00C818F0" w:rsidRDefault="00C818F0" w:rsidP="00A43F8F">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على أطراف النزاع المسلح اتخاذ </w:t>
      </w:r>
      <w:r w:rsidRPr="00C818F0">
        <w:rPr>
          <w:rFonts w:ascii="Traditional Arabic" w:eastAsiaTheme="minorHAnsi" w:hAnsi="Traditional Arabic" w:cs="Traditional Arabic" w:hint="cs"/>
          <w:sz w:val="30"/>
          <w:szCs w:val="30"/>
          <w:rtl/>
        </w:rPr>
        <w:t xml:space="preserve">إجراءات </w:t>
      </w:r>
      <w:r w:rsidRPr="00C818F0">
        <w:rPr>
          <w:rFonts w:ascii="Traditional Arabic" w:eastAsiaTheme="minorHAnsi" w:hAnsi="Traditional Arabic" w:cs="Traditional Arabic" w:hint="eastAsia"/>
          <w:sz w:val="30"/>
          <w:szCs w:val="30"/>
          <w:rtl/>
        </w:rPr>
        <w:t>لمنع</w:t>
      </w:r>
      <w:r w:rsidRPr="00C818F0">
        <w:rPr>
          <w:rFonts w:ascii="Traditional Arabic" w:eastAsiaTheme="minorHAnsi" w:hAnsi="Traditional Arabic" w:cs="Traditional Arabic"/>
          <w:sz w:val="30"/>
          <w:szCs w:val="30"/>
          <w:rtl/>
        </w:rPr>
        <w:t xml:space="preserve"> ارتكاب انتهاكات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ولوقف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الخروقات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حدثت</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6921DC8B" w14:textId="1990CDA5" w:rsidR="00C818F0" w:rsidRPr="00C818F0" w:rsidRDefault="00C818F0" w:rsidP="0088139E">
      <w:pPr>
        <w:numPr>
          <w:ilvl w:val="0"/>
          <w:numId w:val="17"/>
        </w:numPr>
        <w:tabs>
          <w:tab w:val="left" w:pos="1701"/>
        </w:tabs>
        <w:suppressAutoHyphens w:val="0"/>
        <w:bidi/>
        <w:spacing w:after="120" w:line="259" w:lineRule="auto"/>
        <w:ind w:left="1719" w:right="828" w:firstLine="0"/>
        <w:contextualSpacing/>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الإجراء</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الوقائي</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يلزم</w:t>
      </w:r>
      <w:r w:rsidRPr="00C818F0">
        <w:rPr>
          <w:rFonts w:ascii="Traditional Arabic" w:eastAsiaTheme="minorHAnsi" w:hAnsi="Traditional Arabic" w:cs="Traditional Arabic"/>
          <w:sz w:val="30"/>
          <w:szCs w:val="30"/>
          <w:rtl/>
        </w:rPr>
        <w:t xml:space="preserve"> اتخاذ تدابير من جانب أطراف النزاع لضمان أن المقاتلين على وجه الخصوص </w:t>
      </w:r>
      <w:r w:rsidRPr="00C818F0">
        <w:rPr>
          <w:rFonts w:ascii="Traditional Arabic" w:eastAsiaTheme="minorHAnsi" w:hAnsi="Traditional Arabic" w:cs="Traditional Arabic" w:hint="cs"/>
          <w:sz w:val="30"/>
          <w:szCs w:val="30"/>
          <w:rtl/>
        </w:rPr>
        <w:t xml:space="preserve">يكونوا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دراية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التطبيق</w:t>
      </w:r>
      <w:r w:rsidR="0088139E" w:rsidRPr="00B91FAE">
        <w:rPr>
          <w:rStyle w:val="FootnoteReference"/>
        </w:rPr>
        <w:footnoteReference w:id="1389"/>
      </w:r>
    </w:p>
    <w:p w14:paraId="5316AEDD" w14:textId="498BCCF7" w:rsidR="00C818F0" w:rsidRPr="00C818F0" w:rsidRDefault="00C818F0" w:rsidP="0088139E">
      <w:pPr>
        <w:numPr>
          <w:ilvl w:val="0"/>
          <w:numId w:val="17"/>
        </w:numPr>
        <w:tabs>
          <w:tab w:val="left" w:pos="1701"/>
        </w:tabs>
        <w:suppressAutoHyphens w:val="0"/>
        <w:bidi/>
        <w:spacing w:after="120" w:line="259" w:lineRule="auto"/>
        <w:ind w:left="1719" w:right="828" w:firstLine="0"/>
        <w:contextualSpacing/>
        <w:jc w:val="both"/>
        <w:rPr>
          <w:rFonts w:ascii="Traditional Arabic" w:eastAsiaTheme="minorHAnsi" w:hAnsi="Traditional Arabic" w:cs="Traditional Arabic"/>
          <w:b/>
          <w:bCs/>
          <w:sz w:val="30"/>
          <w:szCs w:val="30"/>
          <w:rtl/>
          <w:lang w:val="en-US"/>
        </w:rPr>
      </w:pPr>
      <w:r w:rsidRPr="00C818F0">
        <w:rPr>
          <w:rFonts w:ascii="Traditional Arabic" w:eastAsiaTheme="minorHAnsi" w:hAnsi="Traditional Arabic" w:cs="Traditional Arabic" w:hint="eastAsia"/>
          <w:sz w:val="30"/>
          <w:szCs w:val="30"/>
          <w:rtl/>
        </w:rPr>
        <w:t>أثناء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مناشدة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w:t>
      </w:r>
      <w:r w:rsidRPr="00C818F0">
        <w:rPr>
          <w:rFonts w:ascii="Traditional Arabic" w:eastAsiaTheme="minorHAnsi" w:hAnsi="Traditional Arabic" w:cs="Traditional Arabic" w:hint="cs"/>
          <w:sz w:val="30"/>
          <w:szCs w:val="30"/>
          <w:rtl/>
        </w:rPr>
        <w:t>قوم ب</w:t>
      </w:r>
      <w:r w:rsidRPr="00C818F0">
        <w:rPr>
          <w:rFonts w:ascii="Traditional Arabic" w:eastAsiaTheme="minorHAnsi" w:hAnsi="Traditional Arabic" w:cs="Traditional Arabic" w:hint="eastAsia"/>
          <w:sz w:val="30"/>
          <w:szCs w:val="30"/>
          <w:rtl/>
        </w:rPr>
        <w:t>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وسعه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لوضع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للانتهاكات</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بعض الأحيان كان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فعالًا،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الرغم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يستغرق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الوقت</w:t>
      </w:r>
      <w:r w:rsidRPr="00C818F0">
        <w:rPr>
          <w:rFonts w:ascii="Traditional Arabic" w:eastAsiaTheme="minorHAnsi" w:hAnsi="Traditional Arabic" w:cs="Traditional Arabic"/>
          <w:sz w:val="30"/>
          <w:szCs w:val="30"/>
          <w:rtl/>
        </w:rPr>
        <w:t>.</w:t>
      </w:r>
      <w:r w:rsidR="0088139E" w:rsidRPr="0088139E">
        <w:rPr>
          <w:rStyle w:val="Heading2Char"/>
        </w:rPr>
        <w:t xml:space="preserve"> </w:t>
      </w:r>
      <w:r w:rsidR="0088139E" w:rsidRPr="00B91FAE">
        <w:rPr>
          <w:rStyle w:val="FootnoteReference"/>
        </w:rPr>
        <w:footnoteReference w:id="1390"/>
      </w:r>
      <w:r w:rsidRPr="00C818F0">
        <w:rPr>
          <w:rFonts w:ascii="Traditional Arabic" w:eastAsiaTheme="minorHAnsi" w:hAnsi="Traditional Arabic" w:cs="Traditional Arabic"/>
          <w:sz w:val="30"/>
          <w:szCs w:val="30"/>
          <w:lang w:val="en-US"/>
        </w:rPr>
        <w:t xml:space="preserve"> </w:t>
      </w:r>
    </w:p>
    <w:p w14:paraId="283F437B" w14:textId="01A55040" w:rsidR="00C818F0" w:rsidRPr="00C818F0" w:rsidRDefault="00C818F0" w:rsidP="0088139E">
      <w:pPr>
        <w:tabs>
          <w:tab w:val="left" w:pos="1701"/>
        </w:tabs>
        <w:suppressAutoHyphens w:val="0"/>
        <w:bidi/>
        <w:spacing w:after="120" w:line="259" w:lineRule="auto"/>
        <w:ind w:left="1719" w:right="828"/>
        <w:contextualSpacing/>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b/>
          <w:bCs/>
          <w:sz w:val="30"/>
          <w:szCs w:val="30"/>
          <w:rtl/>
          <w:lang w:val="en-US"/>
        </w:rPr>
        <w:t>ج</w:t>
      </w:r>
      <w:r w:rsidRPr="00C818F0">
        <w:rPr>
          <w:rFonts w:ascii="Traditional Arabic" w:eastAsiaTheme="minorHAnsi" w:hAnsi="Traditional Arabic" w:cs="Traditional Arabic"/>
          <w:b/>
          <w:bCs/>
          <w:sz w:val="30"/>
          <w:szCs w:val="30"/>
          <w:rtl/>
          <w:lang w:val="en-US"/>
        </w:rPr>
        <w:t xml:space="preserve">. </w:t>
      </w:r>
      <w:r w:rsidRPr="00C818F0">
        <w:rPr>
          <w:rFonts w:ascii="Traditional Arabic" w:eastAsiaTheme="minorHAnsi" w:hAnsi="Traditional Arabic" w:cs="Traditional Arabic" w:hint="eastAsia"/>
          <w:sz w:val="30"/>
          <w:szCs w:val="30"/>
          <w:rtl/>
        </w:rPr>
        <w:t>بعد</w:t>
      </w:r>
      <w:r w:rsidRPr="00C818F0">
        <w:rPr>
          <w:rFonts w:ascii="Traditional Arabic" w:eastAsiaTheme="minorHAnsi" w:hAnsi="Traditional Arabic" w:cs="Traditional Arabic"/>
          <w:sz w:val="30"/>
          <w:szCs w:val="30"/>
          <w:rtl/>
        </w:rPr>
        <w:t xml:space="preserve"> الحدث: من الواضح أن الدولة تتحمل مسؤولية انتهاكات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المنسوبة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1"/>
      </w:r>
      <w:r w:rsidRPr="00C818F0">
        <w:rPr>
          <w:rFonts w:ascii="Traditional Arabic" w:eastAsiaTheme="minorHAnsi" w:hAnsi="Traditional Arabic" w:cs="Traditional Arabic" w:hint="eastAsia"/>
          <w:sz w:val="30"/>
          <w:szCs w:val="30"/>
          <w:rtl/>
        </w:rPr>
        <w:t>وهذا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شرط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lastRenderedPageBreak/>
        <w:t>الخسارة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الناجم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2"/>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 المنطق يشير أيضًا إلى أن جماعات المعارضة المسلحة تتحمل مسؤولية انتهاكات القانون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أعضاؤها،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الواضح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تداعيات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المسؤولية</w:t>
      </w:r>
      <w:r w:rsidRPr="00C818F0">
        <w:rPr>
          <w:rFonts w:ascii="Traditional Arabic" w:eastAsiaTheme="minorHAnsi" w:hAnsi="Traditional Arabic" w:cs="Traditional Arabic"/>
          <w:sz w:val="30"/>
          <w:szCs w:val="30"/>
          <w:rtl/>
        </w:rPr>
        <w:t>.</w:t>
      </w:r>
      <w:r w:rsidR="0088139E" w:rsidRPr="00B91FAE">
        <w:rPr>
          <w:rStyle w:val="FootnoteReference"/>
        </w:rPr>
        <w:footnoteReference w:id="1393"/>
      </w:r>
      <w:r w:rsidR="0088139E">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hint="eastAsia"/>
          <w:sz w:val="30"/>
          <w:szCs w:val="30"/>
          <w:rtl/>
        </w:rPr>
        <w:t>تشكل</w:t>
      </w:r>
      <w:r w:rsidRPr="00C818F0">
        <w:rPr>
          <w:rFonts w:ascii="Traditional Arabic" w:eastAsiaTheme="minorHAnsi" w:hAnsi="Traditional Arabic" w:cs="Traditional Arabic"/>
          <w:sz w:val="30"/>
          <w:szCs w:val="30"/>
          <w:rtl/>
        </w:rPr>
        <w:t xml:space="preserve"> الانتهاكات الجسيمة للقانون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88139E" w:rsidRPr="00B91FAE">
        <w:rPr>
          <w:rStyle w:val="FootnoteReference"/>
        </w:rPr>
        <w:footnoteReference w:id="1394"/>
      </w:r>
      <w:r w:rsidRPr="00C818F0">
        <w:rPr>
          <w:rFonts w:ascii="Traditional Arabic" w:eastAsiaTheme="minorHAnsi" w:hAnsi="Traditional Arabic" w:cs="Traditional Arabic" w:hint="eastAsia"/>
          <w:sz w:val="30"/>
          <w:szCs w:val="30"/>
          <w:rtl/>
        </w:rPr>
        <w:t>الأفراد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يرتكبونها</w:t>
      </w:r>
      <w:r w:rsidRPr="00C818F0">
        <w:rPr>
          <w:rFonts w:ascii="Traditional Arabic" w:eastAsiaTheme="minorHAnsi" w:hAnsi="Traditional Arabic" w:cs="Traditional Arabic"/>
          <w:sz w:val="30"/>
          <w:szCs w:val="30"/>
          <w:rtl/>
        </w:rPr>
        <w:t>.</w:t>
      </w:r>
      <w:r w:rsidR="0088139E" w:rsidRPr="0088139E">
        <w:rPr>
          <w:rStyle w:val="Heading2Char"/>
        </w:rPr>
        <w:t xml:space="preserve"> </w:t>
      </w:r>
      <w:r w:rsidR="0088139E" w:rsidRPr="00B91FAE">
        <w:rPr>
          <w:rStyle w:val="FootnoteReference"/>
        </w:rPr>
        <w:footnoteReference w:id="1395"/>
      </w:r>
      <w:r w:rsidRPr="00C818F0">
        <w:rPr>
          <w:rFonts w:ascii="Traditional Arabic" w:eastAsiaTheme="minorHAnsi" w:hAnsi="Traditional Arabic" w:cs="Traditional Arabic"/>
          <w:sz w:val="30"/>
          <w:szCs w:val="30"/>
          <w:rtl/>
        </w:rPr>
        <w:t xml:space="preserve"> </w:t>
      </w:r>
    </w:p>
    <w:p w14:paraId="62C146D6" w14:textId="2533C0B0" w:rsidR="00C818F0" w:rsidRPr="00C818F0" w:rsidRDefault="00C818F0" w:rsidP="0088139E">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على أطراف النزاع المسلح اتخاذ الخطوات اللازمة لمنع ارتكاب انتهاكات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ووضع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لمعاقبة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مرتكبيها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التزامًا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يُزعم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قواتها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المسلحة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ارتكبتها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كانت على أراضيها، وإذا لزم الأمر مقاضاة المشتبه فيهم</w:t>
      </w:r>
      <w:r w:rsidRPr="00C818F0">
        <w:rPr>
          <w:rFonts w:ascii="Traditional Arabic" w:eastAsiaTheme="minorHAnsi" w:hAnsi="Traditional Arabic" w:cs="Traditional Arabic"/>
          <w:sz w:val="30"/>
          <w:szCs w:val="30"/>
          <w:lang w:bidi="ar"/>
        </w:rPr>
        <w:t>.</w:t>
      </w:r>
      <w:r w:rsidR="0088139E" w:rsidRPr="00B91FAE">
        <w:rPr>
          <w:rStyle w:val="FootnoteReference"/>
        </w:rPr>
        <w:footnoteReference w:id="1396"/>
      </w:r>
    </w:p>
    <w:p w14:paraId="2BC76C04" w14:textId="092A9546" w:rsidR="00C818F0" w:rsidRPr="00C818F0" w:rsidRDefault="00C818F0" w:rsidP="00B01E9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b/>
          <w:bCs/>
          <w:sz w:val="30"/>
          <w:szCs w:val="30"/>
          <w:lang w:val="en-US"/>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تم إحراز تقدم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تفعيل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الالتزامات،</w:t>
      </w:r>
      <w:r w:rsidR="0088139E" w:rsidRPr="00B91FAE">
        <w:rPr>
          <w:rStyle w:val="FootnoteReference"/>
        </w:rPr>
        <w:footnoteReference w:id="1397"/>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تبقى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مجالات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مهمة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يزال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توضيح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محتوى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الالتزام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سبيل المثال، يتطلب الالتزام بقمع انتهاكات القانون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من الواضح ما إذا كان الشرط ناتجًا عن حادثة يكون من الضروري فيها أولاً تحديد ما إذا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ارتكاب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 xml:space="preserve"> أم أنها ناجمة فقط عن شيء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وصفه</w:t>
      </w:r>
      <w:r w:rsidRPr="00C818F0">
        <w:rPr>
          <w:rFonts w:ascii="Traditional Arabic" w:eastAsiaTheme="minorHAnsi" w:hAnsi="Traditional Arabic" w:cs="Traditional Arabic"/>
          <w:sz w:val="30"/>
          <w:szCs w:val="30"/>
          <w:rtl/>
        </w:rPr>
        <w:t xml:space="preserve"> بالفعل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الرأي</w:t>
      </w:r>
      <w:r w:rsidRPr="00C818F0">
        <w:rPr>
          <w:rFonts w:ascii="Traditional Arabic" w:eastAsiaTheme="minorHAnsi" w:hAnsi="Traditional Arabic" w:cs="Traditional Arabic"/>
          <w:sz w:val="30"/>
          <w:szCs w:val="30"/>
          <w:rtl/>
        </w:rPr>
        <w:t xml:space="preserve"> الصحيح </w:t>
      </w:r>
      <w:r w:rsidRPr="00C818F0">
        <w:rPr>
          <w:rFonts w:ascii="Traditional Arabic" w:eastAsiaTheme="minorHAnsi" w:hAnsi="Traditional Arabic" w:cs="Traditional Arabic" w:hint="eastAsia"/>
          <w:sz w:val="30"/>
          <w:szCs w:val="30"/>
          <w:rtl/>
        </w:rPr>
        <w:t>منطقيا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المسألة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الأخرى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توضيحا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يشكل</w:t>
      </w:r>
      <w:r w:rsidRPr="00C818F0">
        <w:rPr>
          <w:rFonts w:ascii="Traditional Arabic" w:eastAsiaTheme="minorHAnsi" w:hAnsi="Traditional Arabic" w:cs="Traditional Arabic"/>
          <w:sz w:val="30"/>
          <w:szCs w:val="30"/>
          <w:rtl/>
        </w:rPr>
        <w:t xml:space="preserve"> "تحقيق</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لأغراض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تلبية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الشرط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الواضح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الضروري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مراعاة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السياق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يلزم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فيه</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وجه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الخصوص،</w:t>
      </w:r>
      <w:r w:rsidRPr="00C818F0">
        <w:rPr>
          <w:rFonts w:ascii="Traditional Arabic" w:eastAsiaTheme="minorHAnsi" w:hAnsi="Traditional Arabic" w:cs="Traditional Arabic"/>
          <w:sz w:val="30"/>
          <w:szCs w:val="30"/>
          <w:rtl/>
        </w:rPr>
        <w:t xml:space="preserve"> </w:t>
      </w:r>
      <w:r w:rsidR="00DD26C7">
        <w:rPr>
          <w:rFonts w:ascii="Traditional Arabic" w:eastAsiaTheme="minorHAnsi" w:hAnsi="Traditional Arabic" w:cs="Traditional Arabic" w:hint="cs"/>
          <w:sz w:val="30"/>
          <w:szCs w:val="30"/>
          <w:rtl/>
        </w:rPr>
        <w:t xml:space="preserve">يجب تحديد </w:t>
      </w:r>
      <w:r w:rsidRPr="00C818F0">
        <w:rPr>
          <w:rFonts w:ascii="Traditional Arabic" w:eastAsiaTheme="minorHAnsi" w:hAnsi="Traditional Arabic" w:cs="Traditional Arabic" w:hint="eastAsia"/>
          <w:sz w:val="30"/>
          <w:szCs w:val="30"/>
          <w:rtl/>
        </w:rPr>
        <w:t>مدى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ارتباط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تعريف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بالتعريف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حقوق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w:t>
      </w:r>
      <w:r w:rsidRPr="00C818F0">
        <w:rPr>
          <w:rFonts w:ascii="Traditional Arabic" w:eastAsiaTheme="minorHAnsi" w:hAnsi="Traditional Arabic" w:cs="Traditional Arabic"/>
          <w:sz w:val="30"/>
          <w:szCs w:val="30"/>
          <w:rtl/>
          <w:lang w:bidi="ar"/>
        </w:rPr>
        <w:t>.</w:t>
      </w:r>
      <w:r w:rsidR="00B01E91" w:rsidRPr="00B01E91">
        <w:rPr>
          <w:rStyle w:val="Heading2Char"/>
        </w:rPr>
        <w:t xml:space="preserve"> </w:t>
      </w:r>
      <w:r w:rsidR="00B01E91" w:rsidRPr="00B91FAE">
        <w:rPr>
          <w:rStyle w:val="FootnoteReference"/>
        </w:rPr>
        <w:footnoteReference w:id="1398"/>
      </w:r>
      <w:r w:rsidRPr="00C818F0">
        <w:rPr>
          <w:rFonts w:ascii="Traditional Arabic" w:eastAsiaTheme="minorHAnsi" w:hAnsi="Traditional Arabic" w:cs="Traditional Arabic"/>
          <w:sz w:val="30"/>
          <w:szCs w:val="30"/>
          <w:lang w:val="en-US"/>
        </w:rPr>
        <w:t xml:space="preserve"> </w:t>
      </w:r>
    </w:p>
    <w:p w14:paraId="1C879AFD" w14:textId="40B1AFB4" w:rsidR="00C818F0" w:rsidRPr="00C818F0" w:rsidRDefault="00C818F0" w:rsidP="00B01E91">
      <w:pPr>
        <w:pStyle w:val="Footer"/>
        <w:numPr>
          <w:ilvl w:val="0"/>
          <w:numId w:val="3"/>
        </w:numPr>
        <w:tabs>
          <w:tab w:val="left" w:pos="720"/>
          <w:tab w:val="left" w:pos="900"/>
          <w:tab w:val="left" w:pos="1134"/>
          <w:tab w:val="left" w:pos="1701"/>
        </w:tabs>
        <w:bidi/>
        <w:spacing w:after="240"/>
        <w:ind w:left="1134" w:right="1080" w:firstLine="0"/>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تجدر</w:t>
      </w:r>
      <w:r w:rsidRPr="00C818F0">
        <w:rPr>
          <w:rFonts w:ascii="Traditional Arabic" w:eastAsiaTheme="minorHAnsi" w:hAnsi="Traditional Arabic" w:cs="Traditional Arabic"/>
          <w:sz w:val="30"/>
          <w:szCs w:val="30"/>
          <w:rtl/>
        </w:rPr>
        <w:t xml:space="preserve"> الإشارة إلى أن هذه الصيغة تتطلب </w:t>
      </w:r>
      <w:r w:rsidRPr="00C818F0">
        <w:rPr>
          <w:rFonts w:ascii="Traditional Arabic" w:eastAsiaTheme="minorHAnsi" w:hAnsi="Traditional Arabic" w:cs="Traditional Arabic" w:hint="eastAsia"/>
          <w:sz w:val="30"/>
          <w:szCs w:val="30"/>
          <w:rtl/>
        </w:rPr>
        <w:t>القيام</w:t>
      </w:r>
      <w:r w:rsidRPr="00C818F0">
        <w:rPr>
          <w:rFonts w:ascii="Traditional Arabic" w:eastAsiaTheme="minorHAnsi" w:hAnsi="Traditional Arabic" w:cs="Traditional Arabic"/>
          <w:sz w:val="30"/>
          <w:szCs w:val="30"/>
          <w:rtl/>
        </w:rPr>
        <w:t xml:space="preserve"> بارتكاب جرائم حرب محتملة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أراضي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للتحقيق</w:t>
      </w:r>
      <w:r w:rsidRPr="00C818F0">
        <w:rPr>
          <w:rFonts w:ascii="Traditional Arabic" w:eastAsiaTheme="minorHAnsi" w:hAnsi="Traditional Arabic" w:cs="Traditional Arabic"/>
          <w:sz w:val="30"/>
          <w:szCs w:val="30"/>
          <w:rtl/>
        </w:rPr>
        <w:t xml:space="preserve">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حدث،</w:t>
      </w:r>
      <w:r w:rsidRPr="00C818F0">
        <w:rPr>
          <w:rFonts w:ascii="Traditional Arabic" w:eastAsiaTheme="minorHAnsi" w:hAnsi="Traditional Arabic" w:cs="Traditional Arabic"/>
          <w:sz w:val="30"/>
          <w:szCs w:val="30"/>
          <w:rtl/>
        </w:rPr>
        <w:t xml:space="preserve"> بما في ذلك </w:t>
      </w:r>
      <w:r w:rsidRPr="00C818F0">
        <w:rPr>
          <w:rFonts w:ascii="Traditional Arabic" w:eastAsiaTheme="minorHAnsi" w:hAnsi="Traditional Arabic" w:cs="Traditional Arabic" w:hint="eastAsia"/>
          <w:sz w:val="30"/>
          <w:szCs w:val="30"/>
          <w:rtl/>
        </w:rPr>
        <w:t>الحالات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يُفترض</w:t>
      </w:r>
      <w:r w:rsidRPr="00C818F0">
        <w:rPr>
          <w:rFonts w:ascii="Traditional Arabic" w:eastAsiaTheme="minorHAnsi" w:hAnsi="Traditional Arabic" w:cs="Traditional Arabic"/>
          <w:sz w:val="30"/>
          <w:szCs w:val="30"/>
          <w:rtl/>
        </w:rPr>
        <w:t xml:space="preserve"> أنه </w:t>
      </w:r>
      <w:r w:rsidRPr="00C818F0">
        <w:rPr>
          <w:rFonts w:ascii="Traditional Arabic" w:eastAsiaTheme="minorHAnsi" w:hAnsi="Traditional Arabic" w:cs="Traditional Arabic" w:hint="eastAsia"/>
          <w:sz w:val="30"/>
          <w:szCs w:val="30"/>
          <w:rtl/>
        </w:rPr>
        <w:t>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w:t>
      </w:r>
      <w:r w:rsidRPr="00C818F0">
        <w:rPr>
          <w:rFonts w:ascii="Traditional Arabic" w:eastAsiaTheme="minorHAnsi" w:hAnsi="Traditional Arabic" w:cs="Traditional Arabic"/>
          <w:sz w:val="30"/>
          <w:szCs w:val="30"/>
          <w:rtl/>
        </w:rPr>
        <w:t xml:space="preserve"> هذه الحوادث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قبل أعضاء في جماعة مسلحة غير </w:t>
      </w:r>
      <w:r w:rsidRPr="00C818F0">
        <w:rPr>
          <w:rFonts w:ascii="Traditional Arabic" w:eastAsiaTheme="minorHAnsi" w:hAnsi="Traditional Arabic" w:cs="Traditional Arabic" w:hint="eastAsia"/>
          <w:sz w:val="30"/>
          <w:szCs w:val="30"/>
          <w:rtl/>
        </w:rPr>
        <w:t>تابعة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للدولة</w:t>
      </w:r>
      <w:r w:rsidRPr="00C818F0">
        <w:rPr>
          <w:rFonts w:ascii="Traditional Arabic" w:eastAsiaTheme="minorHAnsi" w:hAnsi="Traditional Arabic" w:cs="Traditional Arabic"/>
          <w:sz w:val="30"/>
          <w:szCs w:val="30"/>
          <w:lang w:bidi="ar"/>
        </w:rPr>
        <w:t>.</w:t>
      </w:r>
      <w:r w:rsidR="00B01E91" w:rsidRPr="00B01E91">
        <w:rPr>
          <w:rStyle w:val="Heading2Char"/>
        </w:rPr>
        <w:t xml:space="preserve"> </w:t>
      </w:r>
      <w:r w:rsidR="00B01E91" w:rsidRPr="00B91FAE">
        <w:rPr>
          <w:rStyle w:val="FootnoteReference"/>
        </w:rPr>
        <w:footnoteReference w:id="1399"/>
      </w:r>
    </w:p>
    <w:p w14:paraId="7705C59E" w14:textId="25EEFD7C" w:rsidR="00A43F8F" w:rsidRPr="00E25F5D" w:rsidRDefault="00C818F0" w:rsidP="00A43F8F">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w w:val="90"/>
          <w:sz w:val="30"/>
          <w:szCs w:val="30"/>
          <w:lang w:bidi="ar"/>
        </w:rPr>
      </w:pPr>
      <w:r w:rsidRPr="00E25F5D">
        <w:rPr>
          <w:rFonts w:ascii="Traditional Arabic" w:eastAsiaTheme="minorHAnsi" w:hAnsi="Traditional Arabic" w:cs="Traditional Arabic" w:hint="eastAsia"/>
          <w:w w:val="90"/>
          <w:sz w:val="30"/>
          <w:szCs w:val="30"/>
          <w:rtl/>
        </w:rPr>
        <w:t>إذا</w:t>
      </w:r>
      <w:r w:rsidRPr="00E25F5D">
        <w:rPr>
          <w:rFonts w:ascii="Traditional Arabic" w:eastAsiaTheme="minorHAnsi" w:hAnsi="Traditional Arabic" w:cs="Traditional Arabic"/>
          <w:w w:val="90"/>
          <w:sz w:val="30"/>
          <w:szCs w:val="30"/>
          <w:rtl/>
        </w:rPr>
        <w:t xml:space="preserve"> كان التحقيق مطلوبًا، </w:t>
      </w:r>
      <w:r w:rsidRPr="00E25F5D">
        <w:rPr>
          <w:rFonts w:ascii="Traditional Arabic" w:eastAsiaTheme="minorHAnsi" w:hAnsi="Traditional Arabic" w:cs="Traditional Arabic" w:hint="eastAsia"/>
          <w:w w:val="90"/>
          <w:sz w:val="30"/>
          <w:szCs w:val="30"/>
          <w:rtl/>
        </w:rPr>
        <w:t>بحسب</w:t>
      </w:r>
      <w:r w:rsidRPr="00E25F5D">
        <w:rPr>
          <w:rFonts w:ascii="Traditional Arabic" w:eastAsiaTheme="minorHAnsi" w:hAnsi="Traditional Arabic" w:cs="Traditional Arabic"/>
          <w:w w:val="90"/>
          <w:sz w:val="30"/>
          <w:szCs w:val="30"/>
          <w:rtl/>
        </w:rPr>
        <w:t xml:space="preserve"> </w:t>
      </w:r>
      <w:r w:rsidRPr="00E25F5D">
        <w:rPr>
          <w:rFonts w:ascii="Traditional Arabic" w:eastAsiaTheme="minorHAnsi" w:hAnsi="Traditional Arabic" w:cs="Traditional Arabic" w:hint="eastAsia"/>
          <w:w w:val="90"/>
          <w:sz w:val="30"/>
          <w:szCs w:val="30"/>
          <w:rtl/>
        </w:rPr>
        <w:t>الظروف،</w:t>
      </w:r>
      <w:r w:rsidRPr="00E25F5D">
        <w:rPr>
          <w:rFonts w:ascii="Traditional Arabic" w:eastAsiaTheme="minorHAnsi" w:hAnsi="Traditional Arabic" w:cs="Traditional Arabic"/>
          <w:w w:val="90"/>
          <w:sz w:val="30"/>
          <w:szCs w:val="30"/>
          <w:rtl/>
        </w:rPr>
        <w:t xml:space="preserve"> فيجب على طرف النزاع عادةً أن ينظر في ثلاث </w:t>
      </w:r>
      <w:r w:rsidRPr="00E25F5D">
        <w:rPr>
          <w:rFonts w:ascii="Traditional Arabic" w:eastAsiaTheme="minorHAnsi" w:hAnsi="Traditional Arabic" w:cs="Traditional Arabic" w:hint="eastAsia"/>
          <w:w w:val="90"/>
          <w:sz w:val="30"/>
          <w:szCs w:val="30"/>
          <w:rtl/>
        </w:rPr>
        <w:t>مسائل</w:t>
      </w:r>
      <w:r w:rsidR="00E25F5D">
        <w:rPr>
          <w:rFonts w:ascii="Traditional Arabic" w:eastAsiaTheme="minorHAnsi" w:hAnsi="Traditional Arabic" w:cs="Traditional Arabic"/>
          <w:w w:val="90"/>
          <w:sz w:val="30"/>
          <w:szCs w:val="30"/>
        </w:rPr>
        <w:t>:</w:t>
      </w:r>
    </w:p>
    <w:p w14:paraId="6526C0EA" w14:textId="7440DFF9" w:rsidR="00A43F8F" w:rsidRDefault="00C818F0" w:rsidP="003E23E1">
      <w:pPr>
        <w:pStyle w:val="Footer"/>
        <w:numPr>
          <w:ilvl w:val="0"/>
          <w:numId w:val="18"/>
        </w:numPr>
        <w:tabs>
          <w:tab w:val="left" w:pos="720"/>
          <w:tab w:val="left" w:pos="900"/>
          <w:tab w:val="left" w:pos="1134"/>
          <w:tab w:val="left" w:pos="1701"/>
        </w:tabs>
        <w:bidi/>
        <w:ind w:right="1080"/>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sz w:val="30"/>
          <w:szCs w:val="30"/>
          <w:rtl/>
        </w:rPr>
        <w:t>ماذا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Pr="00C818F0">
        <w:rPr>
          <w:rFonts w:ascii="Traditional Arabic" w:eastAsiaTheme="minorHAnsi" w:hAnsi="Traditional Arabic" w:cs="Traditional Arabic" w:hint="eastAsia"/>
          <w:sz w:val="30"/>
          <w:szCs w:val="30"/>
          <w:rtl/>
        </w:rPr>
        <w:t>فعله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w:t>
      </w:r>
      <w:r w:rsidR="007C539F">
        <w:rPr>
          <w:rFonts w:ascii="Traditional Arabic" w:eastAsiaTheme="minorHAnsi" w:hAnsi="Traditional Arabic" w:cs="Traditional Arabic" w:hint="cs"/>
          <w:sz w:val="30"/>
          <w:szCs w:val="30"/>
          <w:rtl/>
        </w:rPr>
        <w:t xml:space="preserve">معرفة </w:t>
      </w:r>
      <w:r w:rsidRPr="00C818F0">
        <w:rPr>
          <w:rFonts w:ascii="Traditional Arabic" w:eastAsiaTheme="minorHAnsi" w:hAnsi="Traditional Arabic" w:cs="Traditional Arabic"/>
          <w:sz w:val="30"/>
          <w:szCs w:val="30"/>
          <w:rtl/>
        </w:rPr>
        <w:t xml:space="preserve">إذا </w:t>
      </w:r>
      <w:r w:rsidR="007C539F">
        <w:rPr>
          <w:rFonts w:ascii="Traditional Arabic" w:eastAsiaTheme="minorHAnsi" w:hAnsi="Traditional Arabic" w:cs="Traditional Arabic" w:hint="cs"/>
          <w:sz w:val="30"/>
          <w:szCs w:val="30"/>
          <w:rtl/>
        </w:rPr>
        <w:t xml:space="preserve">حصل </w:t>
      </w:r>
      <w:r w:rsidRPr="00C818F0">
        <w:rPr>
          <w:rFonts w:ascii="Traditional Arabic" w:eastAsiaTheme="minorHAnsi" w:hAnsi="Traditional Arabic" w:cs="Traditional Arabic" w:hint="eastAsia"/>
          <w:sz w:val="30"/>
          <w:szCs w:val="30"/>
          <w:rtl/>
        </w:rPr>
        <w:t>انتهاك</w:t>
      </w:r>
      <w:r w:rsidRPr="00C818F0">
        <w:rPr>
          <w:rFonts w:ascii="Traditional Arabic" w:eastAsiaTheme="minorHAnsi" w:hAnsi="Traditional Arabic" w:cs="Traditional Arabic"/>
          <w:sz w:val="30"/>
          <w:szCs w:val="30"/>
          <w:rtl/>
        </w:rPr>
        <w:t xml:space="preserve"> </w:t>
      </w:r>
      <w:r w:rsidR="003E23E1">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hint="eastAsia"/>
          <w:sz w:val="30"/>
          <w:szCs w:val="30"/>
          <w:rtl/>
        </w:rPr>
        <w:t>لقانون؛</w:t>
      </w:r>
    </w:p>
    <w:p w14:paraId="26EFFA1D" w14:textId="6D78E485" w:rsidR="00A43F8F" w:rsidRPr="00A43F8F" w:rsidRDefault="00C818F0" w:rsidP="005D608B">
      <w:pPr>
        <w:pStyle w:val="Footer"/>
        <w:numPr>
          <w:ilvl w:val="0"/>
          <w:numId w:val="18"/>
        </w:numPr>
        <w:tabs>
          <w:tab w:val="left" w:pos="720"/>
          <w:tab w:val="left" w:pos="900"/>
          <w:tab w:val="left" w:pos="1134"/>
          <w:tab w:val="left" w:pos="1701"/>
        </w:tabs>
        <w:bidi/>
        <w:ind w:right="1080"/>
        <w:jc w:val="both"/>
        <w:rPr>
          <w:rFonts w:ascii="Traditional Arabic" w:eastAsiaTheme="minorHAnsi" w:hAnsi="Traditional Arabic" w:cs="Traditional Arabic"/>
          <w:sz w:val="30"/>
          <w:szCs w:val="30"/>
          <w:rtl/>
          <w:lang w:bidi="ar"/>
        </w:rPr>
      </w:pPr>
      <w:r w:rsidRPr="00A43F8F">
        <w:rPr>
          <w:rFonts w:ascii="Traditional Arabic" w:eastAsiaTheme="minorHAnsi" w:hAnsi="Traditional Arabic" w:cs="Traditional Arabic" w:hint="eastAsia"/>
          <w:sz w:val="30"/>
          <w:szCs w:val="30"/>
          <w:rtl/>
        </w:rPr>
        <w:t>هل</w:t>
      </w:r>
      <w:r w:rsidRPr="00A43F8F">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Pr="00A43F8F">
        <w:rPr>
          <w:rFonts w:ascii="Traditional Arabic" w:eastAsiaTheme="minorHAnsi" w:hAnsi="Traditional Arabic" w:cs="Traditional Arabic" w:hint="eastAsia"/>
          <w:sz w:val="30"/>
          <w:szCs w:val="30"/>
          <w:rtl/>
        </w:rPr>
        <w:t>انته</w:t>
      </w:r>
      <w:r w:rsidR="007C539F">
        <w:rPr>
          <w:rFonts w:ascii="Traditional Arabic" w:eastAsiaTheme="minorHAnsi" w:hAnsi="Traditional Arabic" w:cs="Traditional Arabic" w:hint="cs"/>
          <w:sz w:val="30"/>
          <w:szCs w:val="30"/>
          <w:rtl/>
        </w:rPr>
        <w:t>ا</w:t>
      </w:r>
      <w:r w:rsidRPr="00A43F8F">
        <w:rPr>
          <w:rFonts w:ascii="Traditional Arabic" w:eastAsiaTheme="minorHAnsi" w:hAnsi="Traditional Arabic" w:cs="Traditional Arabic" w:hint="eastAsia"/>
          <w:sz w:val="30"/>
          <w:szCs w:val="30"/>
          <w:rtl/>
        </w:rPr>
        <w:t>ك</w:t>
      </w:r>
      <w:r w:rsidRPr="00A43F8F">
        <w:rPr>
          <w:rFonts w:ascii="Traditional Arabic" w:eastAsiaTheme="minorHAnsi" w:hAnsi="Traditional Arabic" w:cs="Traditional Arabic"/>
          <w:sz w:val="30"/>
          <w:szCs w:val="30"/>
          <w:rtl/>
        </w:rPr>
        <w:t xml:space="preserve"> </w:t>
      </w:r>
      <w:r w:rsidRPr="00A43F8F">
        <w:rPr>
          <w:rFonts w:ascii="Traditional Arabic" w:eastAsiaTheme="minorHAnsi" w:hAnsi="Traditional Arabic" w:cs="Traditional Arabic" w:hint="eastAsia"/>
          <w:sz w:val="30"/>
          <w:szCs w:val="30"/>
          <w:rtl/>
        </w:rPr>
        <w:t>القانون</w:t>
      </w:r>
      <w:r w:rsidRPr="00A43F8F">
        <w:rPr>
          <w:rFonts w:ascii="Traditional Arabic" w:eastAsiaTheme="minorHAnsi" w:hAnsi="Traditional Arabic" w:cs="Traditional Arabic"/>
          <w:sz w:val="30"/>
          <w:szCs w:val="30"/>
          <w:rtl/>
        </w:rPr>
        <w:t xml:space="preserve"> بالفعل</w:t>
      </w:r>
      <w:r w:rsidRPr="00A43F8F">
        <w:rPr>
          <w:rFonts w:ascii="Traditional Arabic" w:eastAsiaTheme="minorHAnsi" w:hAnsi="Traditional Arabic" w:cs="Traditional Arabic" w:hint="eastAsia"/>
          <w:sz w:val="30"/>
          <w:szCs w:val="30"/>
          <w:rtl/>
        </w:rPr>
        <w:t>؛</w:t>
      </w:r>
    </w:p>
    <w:p w14:paraId="1951A4F8" w14:textId="14C6E8FF" w:rsidR="00C818F0" w:rsidRPr="00A43F8F" w:rsidRDefault="00A43F8F" w:rsidP="00E25F5D">
      <w:pPr>
        <w:pStyle w:val="Footer"/>
        <w:tabs>
          <w:tab w:val="left" w:pos="720"/>
          <w:tab w:val="left" w:pos="900"/>
          <w:tab w:val="left" w:pos="1134"/>
          <w:tab w:val="left" w:pos="1701"/>
        </w:tabs>
        <w:bidi/>
        <w:spacing w:after="240"/>
        <w:ind w:right="1080"/>
        <w:jc w:val="both"/>
        <w:rPr>
          <w:rFonts w:ascii="Traditional Arabic" w:eastAsiaTheme="minorHAnsi" w:hAnsi="Traditional Arabic" w:cs="Traditional Arabic"/>
          <w:sz w:val="30"/>
          <w:szCs w:val="30"/>
          <w:rtl/>
          <w:lang w:bidi="ar"/>
        </w:rPr>
      </w:pP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Pr>
          <w:rFonts w:ascii="Traditional Arabic" w:eastAsiaTheme="minorHAnsi" w:hAnsi="Traditional Arabic" w:cs="Traditional Arabic"/>
          <w:sz w:val="30"/>
          <w:szCs w:val="30"/>
          <w:rtl/>
          <w:lang w:bidi="ar"/>
        </w:rPr>
        <w:tab/>
      </w:r>
      <w:r w:rsidR="00C818F0" w:rsidRPr="00A43F8F">
        <w:rPr>
          <w:rFonts w:ascii="Traditional Arabic" w:eastAsiaTheme="minorHAnsi" w:hAnsi="Traditional Arabic" w:cs="Traditional Arabic" w:hint="eastAsia"/>
          <w:sz w:val="30"/>
          <w:szCs w:val="30"/>
          <w:rtl/>
        </w:rPr>
        <w:t>ج</w:t>
      </w:r>
      <w:r w:rsidR="00C818F0" w:rsidRPr="00A43F8F">
        <w:rPr>
          <w:rFonts w:ascii="Traditional Arabic" w:eastAsiaTheme="minorHAnsi" w:hAnsi="Traditional Arabic" w:cs="Traditional Arabic"/>
          <w:sz w:val="30"/>
          <w:szCs w:val="30"/>
          <w:lang w:bidi="ar"/>
        </w:rPr>
        <w:t xml:space="preserve">. </w:t>
      </w:r>
      <w:r w:rsidR="00C818F0" w:rsidRPr="00A43F8F">
        <w:rPr>
          <w:rFonts w:ascii="Traditional Arabic" w:eastAsiaTheme="minorHAnsi" w:hAnsi="Traditional Arabic" w:cs="Traditional Arabic" w:hint="eastAsia"/>
          <w:sz w:val="30"/>
          <w:szCs w:val="30"/>
          <w:rtl/>
        </w:rPr>
        <w:t>هل</w:t>
      </w:r>
      <w:r w:rsidR="00C818F0" w:rsidRPr="00A43F8F">
        <w:rPr>
          <w:rFonts w:ascii="Traditional Arabic" w:eastAsiaTheme="minorHAnsi" w:hAnsi="Traditional Arabic" w:cs="Traditional Arabic"/>
          <w:sz w:val="30"/>
          <w:szCs w:val="30"/>
          <w:rtl/>
        </w:rPr>
        <w:t xml:space="preserve"> </w:t>
      </w:r>
      <w:r w:rsidR="007C539F">
        <w:rPr>
          <w:rFonts w:ascii="Traditional Arabic" w:eastAsiaTheme="minorHAnsi" w:hAnsi="Traditional Arabic" w:cs="Traditional Arabic" w:hint="cs"/>
          <w:sz w:val="30"/>
          <w:szCs w:val="30"/>
          <w:rtl/>
        </w:rPr>
        <w:t xml:space="preserve">تم </w:t>
      </w:r>
      <w:r w:rsidR="00C818F0" w:rsidRPr="00A43F8F">
        <w:rPr>
          <w:rFonts w:ascii="Traditional Arabic" w:eastAsiaTheme="minorHAnsi" w:hAnsi="Traditional Arabic" w:cs="Traditional Arabic" w:hint="eastAsia"/>
          <w:sz w:val="30"/>
          <w:szCs w:val="30"/>
          <w:rtl/>
        </w:rPr>
        <w:t>اتخ</w:t>
      </w:r>
      <w:r w:rsidR="007C539F">
        <w:rPr>
          <w:rFonts w:ascii="Traditional Arabic" w:eastAsiaTheme="minorHAnsi" w:hAnsi="Traditional Arabic" w:cs="Traditional Arabic" w:hint="cs"/>
          <w:sz w:val="30"/>
          <w:szCs w:val="30"/>
          <w:rtl/>
        </w:rPr>
        <w:t>ا</w:t>
      </w:r>
      <w:r w:rsidR="00C818F0" w:rsidRPr="00A43F8F">
        <w:rPr>
          <w:rFonts w:ascii="Traditional Arabic" w:eastAsiaTheme="minorHAnsi" w:hAnsi="Traditional Arabic" w:cs="Traditional Arabic" w:hint="eastAsia"/>
          <w:sz w:val="30"/>
          <w:szCs w:val="30"/>
          <w:rtl/>
        </w:rPr>
        <w:t>ذ</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أي</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إجراء</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تصحيحي</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تبين</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أنه</w:t>
      </w:r>
      <w:r w:rsidR="00C818F0" w:rsidRPr="00A43F8F">
        <w:rPr>
          <w:rFonts w:ascii="Traditional Arabic" w:eastAsiaTheme="minorHAnsi" w:hAnsi="Traditional Arabic" w:cs="Traditional Arabic"/>
          <w:sz w:val="30"/>
          <w:szCs w:val="30"/>
          <w:rtl/>
        </w:rPr>
        <w:t xml:space="preserve"> </w:t>
      </w:r>
      <w:r w:rsidR="00C818F0" w:rsidRPr="00A43F8F">
        <w:rPr>
          <w:rFonts w:ascii="Traditional Arabic" w:eastAsiaTheme="minorHAnsi" w:hAnsi="Traditional Arabic" w:cs="Traditional Arabic" w:hint="eastAsia"/>
          <w:sz w:val="30"/>
          <w:szCs w:val="30"/>
          <w:rtl/>
        </w:rPr>
        <w:t>ضروري</w:t>
      </w:r>
      <w:r w:rsidR="00C818F0" w:rsidRPr="00A43F8F">
        <w:rPr>
          <w:rFonts w:ascii="Traditional Arabic" w:eastAsiaTheme="minorHAnsi" w:hAnsi="Traditional Arabic" w:cs="Traditional Arabic"/>
          <w:sz w:val="30"/>
          <w:szCs w:val="30"/>
          <w:lang w:bidi="ar"/>
        </w:rPr>
        <w:t>.</w:t>
      </w:r>
    </w:p>
    <w:p w14:paraId="6C327563" w14:textId="21522D5D" w:rsidR="00C818F0" w:rsidRPr="00C818F0" w:rsidRDefault="00C818F0" w:rsidP="00A43F8F">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lastRenderedPageBreak/>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الثغرات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المحددة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w:t>
      </w:r>
      <w:r w:rsidRPr="00C818F0">
        <w:rPr>
          <w:rFonts w:ascii="Traditional Arabic" w:eastAsiaTheme="minorHAnsi" w:hAnsi="Traditional Arabic" w:cs="Traditional Arabic"/>
          <w:sz w:val="30"/>
          <w:szCs w:val="30"/>
          <w:rtl/>
        </w:rPr>
        <w:t xml:space="preserve"> الوقوع </w:t>
      </w:r>
      <w:r w:rsidRPr="00C818F0">
        <w:rPr>
          <w:rFonts w:ascii="Traditional Arabic" w:eastAsiaTheme="minorHAnsi" w:hAnsi="Traditional Arabic" w:cs="Traditional Arabic" w:hint="eastAsia"/>
          <w:sz w:val="30"/>
          <w:szCs w:val="30"/>
          <w:rtl/>
        </w:rPr>
        <w:t>فيها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الأول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التوصل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استنتاجات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سابقة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لأوانها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توفر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الأدلة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اللازمة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سبيل المثال، عندما </w:t>
      </w:r>
      <w:r w:rsidRPr="00C818F0">
        <w:rPr>
          <w:rFonts w:ascii="Traditional Arabic" w:eastAsiaTheme="minorHAnsi" w:hAnsi="Traditional Arabic" w:cs="Traditional Arabic" w:hint="eastAsia"/>
          <w:sz w:val="30"/>
          <w:szCs w:val="30"/>
          <w:rtl/>
        </w:rPr>
        <w:t>يؤدي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تدمير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منزل</w:t>
      </w:r>
      <w:r w:rsidRPr="00C818F0">
        <w:rPr>
          <w:rFonts w:ascii="Traditional Arabic" w:eastAsiaTheme="minorHAnsi" w:hAnsi="Traditional Arabic" w:cs="Traditional Arabic"/>
          <w:sz w:val="30"/>
          <w:szCs w:val="30"/>
          <w:rtl/>
        </w:rPr>
        <w:t xml:space="preserve"> ما إلى مقتل 15 شخصًا يحتمون في داخل</w:t>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rtl/>
        </w:rPr>
        <w:t xml:space="preserve"> لا يمكن تحديد ما إذا كان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خرقًا</w:t>
      </w:r>
      <w:r w:rsidRPr="00C818F0">
        <w:rPr>
          <w:rFonts w:ascii="Traditional Arabic" w:eastAsiaTheme="minorHAnsi" w:hAnsi="Traditional Arabic" w:cs="Traditional Arabic"/>
          <w:sz w:val="30"/>
          <w:szCs w:val="30"/>
          <w:rtl/>
        </w:rPr>
        <w:t xml:space="preserve"> للقانون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الإجابة</w:t>
      </w:r>
      <w:r w:rsidRPr="00C818F0">
        <w:rPr>
          <w:rFonts w:ascii="Traditional Arabic" w:eastAsiaTheme="minorHAnsi" w:hAnsi="Traditional Arabic" w:cs="Traditional Arabic"/>
          <w:sz w:val="30"/>
          <w:szCs w:val="30"/>
          <w:rtl/>
        </w:rPr>
        <w:t xml:space="preserve"> على الأسئلة التالية</w:t>
      </w:r>
      <w:r w:rsidRPr="00C818F0">
        <w:rPr>
          <w:rFonts w:ascii="Traditional Arabic" w:eastAsiaTheme="minorHAnsi" w:hAnsi="Traditional Arabic" w:cs="Traditional Arabic"/>
          <w:sz w:val="30"/>
          <w:szCs w:val="30"/>
          <w:lang w:bidi="ar"/>
        </w:rPr>
        <w:t>:</w:t>
      </w:r>
    </w:p>
    <w:p w14:paraId="66CE591D" w14:textId="3CAE41E7" w:rsidR="00C818F0" w:rsidRPr="00C818F0" w:rsidRDefault="00C818F0" w:rsidP="00E25F5D">
      <w:pPr>
        <w:suppressAutoHyphens w:val="0"/>
        <w:bidi/>
        <w:spacing w:after="240" w:line="259" w:lineRule="auto"/>
        <w:ind w:left="1701"/>
        <w:rPr>
          <w:rFonts w:ascii="Traditional Arabic" w:eastAsiaTheme="minorHAnsi" w:hAnsi="Traditional Arabic" w:cs="Traditional Arabic"/>
          <w:sz w:val="30"/>
          <w:szCs w:val="30"/>
          <w:lang w:val="en-US" w:bidi="ar"/>
        </w:rPr>
      </w:pPr>
      <w:r w:rsidRPr="00C818F0">
        <w:rPr>
          <w:rFonts w:ascii="Traditional Arabic" w:eastAsiaTheme="minorHAnsi" w:hAnsi="Traditional Arabic" w:cs="Traditional Arabic" w:hint="eastAsia"/>
          <w:sz w:val="30"/>
          <w:szCs w:val="30"/>
          <w:rtl/>
          <w:lang w:val="en-US"/>
        </w:rPr>
        <w:t>أ</w:t>
      </w:r>
      <w:r w:rsidRPr="00C818F0">
        <w:rPr>
          <w:rFonts w:ascii="Traditional Arabic" w:eastAsiaTheme="minorHAnsi" w:hAnsi="Traditional Arabic" w:cs="Traditional Arabic"/>
          <w:sz w:val="30"/>
          <w:szCs w:val="30"/>
          <w:rtl/>
          <w:lang w:val="en-US"/>
        </w:rPr>
        <w:t>.</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lang w:val="en-US"/>
        </w:rPr>
        <w:t>ما</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lang w:val="en-US"/>
        </w:rPr>
        <w:t>الذي</w:t>
      </w:r>
      <w:r w:rsidRPr="00C818F0">
        <w:rPr>
          <w:rFonts w:ascii="Traditional Arabic" w:eastAsiaTheme="minorHAnsi" w:hAnsi="Traditional Arabic" w:cs="Traditional Arabic"/>
          <w:sz w:val="30"/>
          <w:szCs w:val="30"/>
          <w:rtl/>
          <w:lang w:val="en-US"/>
        </w:rPr>
        <w:t xml:space="preserve"> كان يستهدف</w:t>
      </w:r>
      <w:r w:rsidRPr="00C818F0">
        <w:rPr>
          <w:rFonts w:ascii="Traditional Arabic" w:eastAsiaTheme="minorHAnsi" w:hAnsi="Traditional Arabic" w:cs="Traditional Arabic" w:hint="eastAsia"/>
          <w:sz w:val="30"/>
          <w:szCs w:val="30"/>
          <w:rtl/>
          <w:lang w:val="en-US"/>
        </w:rPr>
        <w:t>ه</w:t>
      </w:r>
      <w:r w:rsidRPr="00C818F0">
        <w:rPr>
          <w:rFonts w:ascii="Traditional Arabic" w:eastAsiaTheme="minorHAnsi" w:hAnsi="Traditional Arabic" w:cs="Traditional Arabic"/>
          <w:sz w:val="30"/>
          <w:szCs w:val="30"/>
          <w:rtl/>
          <w:lang w:val="en-US" w:bidi="ar"/>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المهاجم؟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ب</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متاحة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بالأغراض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استخدام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المنزل؛</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ج</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ثالثًا،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المتاحة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في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يتعلق بوجود </w:t>
      </w:r>
      <w:r w:rsidRPr="00C818F0">
        <w:rPr>
          <w:rFonts w:ascii="Traditional Arabic" w:eastAsiaTheme="minorHAnsi" w:hAnsi="Traditional Arabic" w:cs="Traditional Arabic" w:hint="eastAsia"/>
          <w:sz w:val="30"/>
          <w:szCs w:val="30"/>
          <w:rtl/>
        </w:rPr>
        <w:t>أشخاص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مقاتلين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المنزل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المناطق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المجاورة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له؛</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الظروف،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يحق للطرف المهاجم الاعتماد على المعلومات التي </w:t>
      </w:r>
      <w:r w:rsidRPr="00C818F0">
        <w:rPr>
          <w:rFonts w:ascii="Traditional Arabic" w:eastAsiaTheme="minorHAnsi" w:hAnsi="Traditional Arabic" w:cs="Traditional Arabic" w:hint="eastAsia"/>
          <w:sz w:val="30"/>
          <w:szCs w:val="30"/>
          <w:rtl/>
        </w:rPr>
        <w:t>بحوزته؛</w:t>
      </w:r>
      <w:r w:rsidR="00B01E91" w:rsidRPr="00B91FAE">
        <w:rPr>
          <w:rStyle w:val="FootnoteReference"/>
        </w:rPr>
        <w:footnoteReference w:id="1400"/>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اختيار كيفية مهاجمة المنزل، هل أخذ الطرف المهاجم في الحسبان </w:t>
      </w:r>
      <w:r w:rsidRPr="00C818F0">
        <w:rPr>
          <w:rFonts w:ascii="Traditional Arabic" w:eastAsiaTheme="minorHAnsi" w:hAnsi="Traditional Arabic" w:cs="Traditional Arabic" w:hint="eastAsia"/>
          <w:sz w:val="30"/>
          <w:szCs w:val="30"/>
          <w:rtl/>
        </w:rPr>
        <w:t>مخاطر</w:t>
      </w:r>
      <w:r w:rsidRPr="00C818F0">
        <w:rPr>
          <w:rFonts w:ascii="Traditional Arabic" w:eastAsiaTheme="minorHAnsi" w:hAnsi="Traditional Arabic" w:cs="Traditional Arabic"/>
          <w:sz w:val="30"/>
          <w:szCs w:val="30"/>
          <w:rtl/>
        </w:rPr>
        <w:t xml:space="preserve"> إلحاق الأذى </w:t>
      </w:r>
      <w:r w:rsidRPr="00C818F0">
        <w:rPr>
          <w:rFonts w:ascii="Traditional Arabic" w:eastAsiaTheme="minorHAnsi" w:hAnsi="Traditional Arabic" w:cs="Traditional Arabic" w:hint="eastAsia"/>
          <w:sz w:val="30"/>
          <w:szCs w:val="30"/>
          <w:rtl/>
        </w:rPr>
        <w:t>بالأشخاص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أنهم</w:t>
      </w:r>
      <w:r w:rsidRPr="00C818F0">
        <w:rPr>
          <w:rFonts w:ascii="Traditional Arabic" w:eastAsiaTheme="minorHAnsi" w:hAnsi="Traditional Arabic" w:cs="Traditional Arabic"/>
          <w:sz w:val="30"/>
          <w:szCs w:val="30"/>
          <w:rtl/>
        </w:rPr>
        <w:t xml:space="preserve"> موجودين في المنطقة المجاورة؛</w:t>
      </w:r>
      <w:r w:rsidRPr="00C818F0">
        <w:rPr>
          <w:rFonts w:ascii="Traditional Arabic" w:eastAsiaTheme="minorHAnsi" w:hAnsi="Traditional Arabic" w:cs="Traditional Arabic"/>
          <w:sz w:val="30"/>
          <w:szCs w:val="30"/>
          <w:lang w:bidi="ar"/>
        </w:rPr>
        <w:br/>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هل</w:t>
      </w:r>
      <w:r w:rsidRPr="00C818F0">
        <w:rPr>
          <w:rFonts w:ascii="Traditional Arabic" w:eastAsiaTheme="minorHAnsi" w:hAnsi="Traditional Arabic" w:cs="Traditional Arabic"/>
          <w:sz w:val="30"/>
          <w:szCs w:val="30"/>
          <w:rtl/>
        </w:rPr>
        <w:t xml:space="preserve"> كان الهجوم في الواقع موجهًا ضد </w:t>
      </w:r>
      <w:r w:rsidRPr="00C818F0">
        <w:rPr>
          <w:rFonts w:ascii="Traditional Arabic" w:eastAsiaTheme="minorHAnsi" w:hAnsi="Traditional Arabic" w:cs="Traditional Arabic" w:hint="eastAsia"/>
          <w:sz w:val="30"/>
          <w:szCs w:val="30"/>
          <w:rtl/>
        </w:rPr>
        <w:t>هدف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آخر،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وإذا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تدمير المنزل و/ أو </w:t>
      </w:r>
      <w:r w:rsidRPr="00C818F0">
        <w:rPr>
          <w:rFonts w:ascii="Traditional Arabic" w:eastAsiaTheme="minorHAnsi" w:hAnsi="Traditional Arabic" w:cs="Traditional Arabic" w:hint="eastAsia"/>
          <w:sz w:val="30"/>
          <w:szCs w:val="30"/>
          <w:rtl/>
        </w:rPr>
        <w:t>السكان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كانوا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بداخله</w:t>
      </w:r>
      <w:r w:rsidRPr="00C818F0">
        <w:rPr>
          <w:rFonts w:ascii="Traditional Arabic" w:eastAsiaTheme="minorHAnsi" w:hAnsi="Traditional Arabic" w:cs="Traditional Arabic"/>
          <w:sz w:val="30"/>
          <w:szCs w:val="30"/>
          <w:rtl/>
        </w:rPr>
        <w:t xml:space="preserve"> متوقعًا ومتناسبًا مع الميزة العسكرية الملموسة والمباشرة المتوقعة أم أنه لم يكن متوقعًا</w:t>
      </w:r>
      <w:r w:rsidRPr="00C818F0">
        <w:rPr>
          <w:rFonts w:ascii="Traditional Arabic" w:eastAsiaTheme="minorHAnsi" w:hAnsi="Traditional Arabic" w:cs="Traditional Arabic"/>
          <w:sz w:val="30"/>
          <w:szCs w:val="30"/>
          <w:lang w:bidi="ar"/>
        </w:rPr>
        <w:t>.</w:t>
      </w:r>
    </w:p>
    <w:p w14:paraId="153D9B02" w14:textId="288A214B"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معرفة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ناجم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هجمات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منفصلة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مدار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عديدة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هجوم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بالنسبة</w:t>
      </w:r>
      <w:r w:rsidRPr="00C818F0">
        <w:rPr>
          <w:rFonts w:ascii="Traditional Arabic" w:eastAsiaTheme="minorHAnsi" w:hAnsi="Traditional Arabic" w:cs="Traditional Arabic"/>
          <w:sz w:val="30"/>
          <w:szCs w:val="30"/>
          <w:rtl/>
        </w:rPr>
        <w:t xml:space="preserve"> للجزء الأكبر، </w:t>
      </w:r>
      <w:r w:rsidRPr="00C818F0">
        <w:rPr>
          <w:rFonts w:ascii="Traditional Arabic" w:eastAsiaTheme="minorHAnsi" w:hAnsi="Traditional Arabic" w:cs="Traditional Arabic" w:hint="eastAsia"/>
          <w:sz w:val="30"/>
          <w:szCs w:val="30"/>
          <w:rtl/>
        </w:rPr>
        <w:t>تتوفر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المعلومات فقط </w:t>
      </w:r>
      <w:r w:rsidRPr="00C818F0">
        <w:rPr>
          <w:rFonts w:ascii="Traditional Arabic" w:eastAsiaTheme="minorHAnsi" w:hAnsi="Traditional Arabic" w:cs="Traditional Arabic" w:hint="eastAsia"/>
          <w:sz w:val="30"/>
          <w:szCs w:val="30"/>
          <w:rtl/>
        </w:rPr>
        <w:t>لدى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المهاجم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قد يبدو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السهل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الهجوم،</w:t>
      </w:r>
      <w:r w:rsidR="00B01E91" w:rsidRPr="00B91FAE">
        <w:rPr>
          <w:rStyle w:val="FootnoteReference"/>
        </w:rPr>
        <w:footnoteReference w:id="1401"/>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بالإجمال،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يمكن </w:t>
      </w:r>
      <w:r w:rsidRPr="00C818F0">
        <w:rPr>
          <w:rFonts w:ascii="Traditional Arabic" w:eastAsiaTheme="minorHAnsi" w:hAnsi="Traditional Arabic" w:cs="Traditional Arabic" w:hint="eastAsia"/>
          <w:sz w:val="30"/>
          <w:szCs w:val="30"/>
          <w:rtl/>
        </w:rPr>
        <w:t>التوصل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استنتاج</w:t>
      </w:r>
      <w:r w:rsidRPr="00C818F0">
        <w:rPr>
          <w:rFonts w:ascii="Traditional Arabic" w:eastAsiaTheme="minorHAnsi" w:hAnsi="Traditional Arabic" w:cs="Traditional Arabic"/>
          <w:sz w:val="30"/>
          <w:szCs w:val="30"/>
          <w:rtl/>
        </w:rPr>
        <w:t xml:space="preserve"> بناءً على النتيجة فقط</w:t>
      </w:r>
      <w:r w:rsidRPr="00C818F0">
        <w:rPr>
          <w:rFonts w:ascii="Traditional Arabic" w:eastAsiaTheme="minorHAnsi" w:hAnsi="Traditional Arabic" w:cs="Traditional Arabic"/>
          <w:sz w:val="30"/>
          <w:szCs w:val="30"/>
          <w:lang w:bidi="ar"/>
        </w:rPr>
        <w:t>.</w:t>
      </w:r>
    </w:p>
    <w:p w14:paraId="2CC6169B" w14:textId="34576600" w:rsidR="00C818F0" w:rsidRPr="00C818F0" w:rsidRDefault="008C1E30" w:rsidP="008C1E30">
      <w:pPr>
        <w:tabs>
          <w:tab w:val="left" w:pos="1701"/>
        </w:tabs>
        <w:suppressAutoHyphens w:val="0"/>
        <w:bidi/>
        <w:spacing w:after="120"/>
        <w:ind w:left="909" w:right="828" w:hanging="442"/>
        <w:rPr>
          <w:rFonts w:ascii="Traditional Arabic" w:eastAsiaTheme="minorHAnsi" w:hAnsi="Traditional Arabic" w:cs="Traditional Arabic"/>
          <w:b/>
          <w:bCs/>
          <w:sz w:val="30"/>
          <w:szCs w:val="30"/>
          <w:lang w:val="en-US"/>
        </w:rPr>
      </w:pPr>
      <w:r>
        <w:rPr>
          <w:rFonts w:ascii="Traditional Arabic" w:eastAsiaTheme="minorHAnsi" w:hAnsi="Traditional Arabic" w:cs="Traditional Arabic" w:hint="cs"/>
          <w:b/>
          <w:bCs/>
          <w:sz w:val="30"/>
          <w:szCs w:val="30"/>
          <w:rtl/>
        </w:rPr>
        <w:t>ب</w:t>
      </w:r>
      <w:r w:rsidR="00C818F0" w:rsidRPr="00C818F0">
        <w:rPr>
          <w:rFonts w:ascii="Traditional Arabic" w:eastAsiaTheme="minorHAnsi" w:hAnsi="Traditional Arabic" w:cs="Traditional Arabic"/>
          <w:b/>
          <w:bCs/>
          <w:sz w:val="30"/>
          <w:szCs w:val="30"/>
          <w:rtl/>
          <w:lang w:bidi="ar"/>
        </w:rPr>
        <w:t xml:space="preserve">) </w:t>
      </w:r>
      <w:r w:rsidR="00C818F0" w:rsidRPr="00C818F0">
        <w:rPr>
          <w:rFonts w:ascii="Traditional Arabic" w:eastAsiaTheme="minorHAnsi" w:hAnsi="Traditional Arabic" w:cs="Traditional Arabic"/>
          <w:b/>
          <w:bCs/>
          <w:sz w:val="30"/>
          <w:szCs w:val="30"/>
          <w:rtl/>
        </w:rPr>
        <w:t>مسؤولية الدول</w:t>
      </w:r>
      <w:r w:rsidR="00C818F0" w:rsidRPr="00C818F0">
        <w:rPr>
          <w:rFonts w:ascii="Traditional Arabic" w:eastAsiaTheme="minorHAnsi" w:hAnsi="Traditional Arabic" w:cs="Traditional Arabic" w:hint="cs"/>
          <w:b/>
          <w:bCs/>
          <w:sz w:val="30"/>
          <w:szCs w:val="30"/>
          <w:rtl/>
          <w:lang w:bidi="ar-YE"/>
        </w:rPr>
        <w:t>ة</w:t>
      </w:r>
      <w:r w:rsidR="00C818F0" w:rsidRPr="00C818F0">
        <w:rPr>
          <w:rFonts w:ascii="Traditional Arabic" w:eastAsiaTheme="minorHAnsi" w:hAnsi="Traditional Arabic" w:cs="Traditional Arabic"/>
          <w:b/>
          <w:bCs/>
          <w:sz w:val="30"/>
          <w:szCs w:val="30"/>
          <w:rtl/>
        </w:rPr>
        <w:t xml:space="preserve"> </w:t>
      </w:r>
      <w:r w:rsidR="00C818F0" w:rsidRPr="00C818F0">
        <w:rPr>
          <w:rFonts w:ascii="Traditional Arabic" w:eastAsiaTheme="minorHAnsi" w:hAnsi="Traditional Arabic" w:cs="Traditional Arabic" w:hint="cs"/>
          <w:b/>
          <w:bCs/>
          <w:sz w:val="30"/>
          <w:szCs w:val="30"/>
          <w:rtl/>
        </w:rPr>
        <w:t>عن الانتهاكات</w:t>
      </w:r>
    </w:p>
    <w:p w14:paraId="465DF5AD" w14:textId="57C69515"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إن انتهاكات القانون الدولي الإنساني وقانون حقوق الإنسان تؤدي إلى مسؤولية الدولة .</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 ارتكب الفعل أجهزة الدولة التي تتضمن قواتها المسلحة وأفراد أو كيانات مخولة بسلطة حكومية. ويعزى الانتهاك أيضاً إلى الدولة إذا ارتكبه أشخاص أو مجموعات تعمل بناءً على تعليمات الدولة أو تحت إشرافها أو سيطرتها.</w:t>
      </w:r>
    </w:p>
    <w:p w14:paraId="1DA6BE9F" w14:textId="3DBD7C6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vertAlign w:val="superscript"/>
          <w:rtl/>
          <w:lang w:val="en-US"/>
        </w:rPr>
      </w:pPr>
      <w:r w:rsidRPr="00C818F0">
        <w:rPr>
          <w:rFonts w:ascii="Traditional Arabic" w:eastAsiaTheme="minorHAnsi" w:hAnsi="Traditional Arabic" w:cs="Traditional Arabic"/>
          <w:sz w:val="30"/>
          <w:szCs w:val="30"/>
          <w:rtl/>
        </w:rPr>
        <w:t>وفقًا للقانون الدولي الإنساني</w:t>
      </w:r>
      <w:r w:rsidRPr="00C818F0">
        <w:rPr>
          <w:rFonts w:ascii="Traditional Arabic" w:eastAsiaTheme="minorHAnsi" w:hAnsi="Traditional Arabic" w:cs="Traditional Arabic" w:hint="cs"/>
          <w:sz w:val="30"/>
          <w:szCs w:val="30"/>
          <w:rtl/>
        </w:rPr>
        <w:t xml:space="preserve"> بالتحديد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cs"/>
          <w:sz w:val="30"/>
          <w:szCs w:val="30"/>
          <w:rtl/>
        </w:rPr>
        <w:t>ت</w:t>
      </w:r>
      <w:r w:rsidRPr="00C818F0">
        <w:rPr>
          <w:rFonts w:ascii="Traditional Arabic" w:eastAsiaTheme="minorHAnsi" w:hAnsi="Traditional Arabic" w:cs="Traditional Arabic"/>
          <w:sz w:val="30"/>
          <w:szCs w:val="30"/>
          <w:rtl/>
        </w:rPr>
        <w:t>صلح</w:t>
      </w:r>
      <w:r w:rsidRPr="00C818F0">
        <w:rPr>
          <w:rFonts w:ascii="Traditional Arabic" w:eastAsiaTheme="minorHAnsi" w:hAnsi="Traditional Arabic" w:cs="Traditional Arabic" w:hint="cs"/>
          <w:sz w:val="30"/>
          <w:szCs w:val="30"/>
          <w:rtl/>
        </w:rPr>
        <w:t xml:space="preserve"> هذه القواعد</w:t>
      </w:r>
      <w:r w:rsidRPr="00C818F0">
        <w:rPr>
          <w:rFonts w:ascii="Traditional Arabic" w:eastAsiaTheme="minorHAnsi" w:hAnsi="Traditional Arabic" w:cs="Traditional Arabic"/>
          <w:sz w:val="30"/>
          <w:szCs w:val="30"/>
          <w:rtl/>
        </w:rPr>
        <w:t xml:space="preserve"> أيضًا في حالة النزاع المسلح </w:t>
      </w:r>
      <w:r w:rsidRPr="00C818F0">
        <w:rPr>
          <w:rFonts w:ascii="Traditional Arabic" w:eastAsiaTheme="minorHAnsi" w:hAnsi="Traditional Arabic" w:cs="Traditional Arabic" w:hint="cs"/>
          <w:sz w:val="30"/>
          <w:szCs w:val="30"/>
          <w:rtl/>
        </w:rPr>
        <w:t>الدولي و</w:t>
      </w:r>
      <w:r w:rsidRPr="00C818F0">
        <w:rPr>
          <w:rFonts w:ascii="Traditional Arabic" w:eastAsiaTheme="minorHAnsi" w:hAnsi="Traditional Arabic" w:cs="Traditional Arabic"/>
          <w:sz w:val="30"/>
          <w:szCs w:val="30"/>
          <w:rtl/>
        </w:rPr>
        <w:t>غير الدولي</w:t>
      </w:r>
      <w:r w:rsidR="00B01E91" w:rsidRPr="00B91FAE">
        <w:rPr>
          <w:rFonts w:asciiTheme="majorBidi" w:hAnsiTheme="majorBidi" w:cstheme="majorBidi"/>
          <w:vertAlign w:val="superscript"/>
        </w:rPr>
        <w:footnoteReference w:id="1402"/>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يكمن السؤال ضمن نزاع مسلح غير دولي</w:t>
      </w:r>
      <w:r w:rsidRPr="00C818F0">
        <w:rPr>
          <w:rFonts w:ascii="Traditional Arabic" w:eastAsiaTheme="minorHAnsi" w:hAnsi="Traditional Arabic" w:cs="Traditional Arabic" w:hint="eastAsia"/>
          <w:sz w:val="30"/>
          <w:szCs w:val="30"/>
          <w:rtl/>
          <w:lang w:bidi="ar-JO"/>
        </w:rPr>
        <w:t>،</w:t>
      </w:r>
      <w:r w:rsidRPr="00C818F0">
        <w:rPr>
          <w:rFonts w:ascii="Traditional Arabic" w:eastAsiaTheme="minorHAnsi" w:hAnsi="Traditional Arabic" w:cs="Traditional Arabic"/>
          <w:sz w:val="30"/>
          <w:szCs w:val="30"/>
          <w:rtl/>
          <w:lang w:bidi="ar-JO"/>
        </w:rPr>
        <w:t xml:space="preserve"> فيما اذا </w:t>
      </w:r>
      <w:r w:rsidRPr="00C818F0">
        <w:rPr>
          <w:rFonts w:ascii="Traditional Arabic" w:eastAsiaTheme="minorHAnsi" w:hAnsi="Traditional Arabic" w:cs="Traditional Arabic"/>
          <w:sz w:val="30"/>
          <w:szCs w:val="30"/>
          <w:rtl/>
        </w:rPr>
        <w:t xml:space="preserve">المجموعات المسلحة غير التابعة للدولة، خاصة إذا تولت هذه الكيانات دور </w:t>
      </w:r>
      <w:r w:rsidR="0068318D">
        <w:rPr>
          <w:rFonts w:ascii="Traditional Arabic" w:eastAsiaTheme="minorHAnsi" w:hAnsi="Traditional Arabic" w:cs="Traditional Arabic"/>
          <w:sz w:val="30"/>
          <w:szCs w:val="30"/>
          <w:rtl/>
        </w:rPr>
        <w:t>سلطات الأمر الواقع</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لديها مسؤولية مماثلة كمجموعة. في حين أن القانون الدولي الإنساني لا ينظم هذه المسألة، يبدو أن مشاريع مواد لجنة القانون </w:t>
      </w:r>
      <w:r w:rsidRPr="00C818F0">
        <w:rPr>
          <w:rFonts w:ascii="Traditional Arabic" w:eastAsiaTheme="minorHAnsi" w:hAnsi="Traditional Arabic" w:cs="Traditional Arabic"/>
          <w:sz w:val="30"/>
          <w:szCs w:val="30"/>
          <w:rtl/>
        </w:rPr>
        <w:lastRenderedPageBreak/>
        <w:t>الدولي</w:t>
      </w:r>
      <w:r w:rsidR="00B01E91" w:rsidRPr="00B91FAE">
        <w:rPr>
          <w:rStyle w:val="FootnoteReference"/>
          <w:rFonts w:asciiTheme="majorBidi" w:hAnsiTheme="majorBidi" w:cstheme="majorBidi"/>
        </w:rPr>
        <w:footnoteReference w:id="1403"/>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حول مسؤولية الدولة تترك بعض المجال لمسؤولية الكيانات غير الحكومية. تعزو مشاريع المواد صراحة هذه المسؤولية إلى الحركات التمردية التي تنجح في نهاية المطاف في إنشاء دولة جديدة (مشروع المادة 10). في مثل هذه الحالات، تنسب أعمال الكيان غير الحكومي في النهاية إلى الدولة الجديدة. ومع ذلك، في الحالات التي لا تُؤسّس فيها دولة جديدة، يظل من المثير للجدل ما إذا كانت المسؤولية يمكن أن تعزى إلى الكيانات غير الحكومية في حد ذاتها.</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04"/>
      </w:r>
      <w:r w:rsidRPr="00C818F0">
        <w:rPr>
          <w:rFonts w:ascii="Traditional Arabic" w:eastAsiaTheme="minorHAnsi" w:hAnsi="Traditional Arabic" w:cs="Traditional Arabic"/>
          <w:sz w:val="30"/>
          <w:szCs w:val="30"/>
          <w:rtl/>
        </w:rPr>
        <w:t>ومع ذلك، أكد بعض علماء القانون أن الكيانات المسلحة من غير الدول مسؤولة عن الأفعال التي يرتكبها أعضاؤها</w:t>
      </w:r>
      <w:r w:rsidR="00B01E91" w:rsidRPr="00B91FAE">
        <w:rPr>
          <w:rStyle w:val="FootnoteReference"/>
          <w:rFonts w:asciiTheme="majorBidi" w:hAnsiTheme="majorBidi" w:cstheme="majorBidi"/>
        </w:rPr>
        <w:footnoteReference w:id="1405"/>
      </w:r>
      <w:r w:rsidRPr="00C818F0">
        <w:rPr>
          <w:rFonts w:ascii="Traditional Arabic" w:eastAsiaTheme="minorHAnsi" w:hAnsi="Traditional Arabic" w:cs="Traditional Arabic"/>
          <w:sz w:val="30"/>
          <w:szCs w:val="30"/>
          <w:rtl/>
        </w:rPr>
        <w:t>، وهو تفسير يبدو معقولاً، لا سيما عندما تكون الكيانات من غير الدول مزودة بأجهزة لديها القدرة على التصرف نيابة عن هذه الكيانات، على غرار هيكل الدولة. هذا هو النهج المعتمد في هذا التقرير فيما يتعلق بسلطات الأمر الواقع في اليمن</w:t>
      </w:r>
      <w:r w:rsidRPr="00C818F0">
        <w:rPr>
          <w:rFonts w:ascii="Traditional Arabic" w:eastAsiaTheme="minorHAnsi" w:hAnsi="Traditional Arabic" w:cs="Traditional Arabic"/>
          <w:sz w:val="30"/>
          <w:szCs w:val="30"/>
          <w:lang w:bidi="ar"/>
        </w:rPr>
        <w:t>.</w:t>
      </w:r>
    </w:p>
    <w:p w14:paraId="20EBAC43" w14:textId="6A2ED3D0"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يحق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لضحايا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حقوق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الحصول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فعالة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وسريعة،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التعويضات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وضمانات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التكرار</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وبالمثل،</w:t>
      </w:r>
      <w:r w:rsidRPr="00C818F0">
        <w:rPr>
          <w:rFonts w:ascii="Traditional Arabic" w:eastAsiaTheme="minorHAnsi" w:hAnsi="Traditional Arabic" w:cs="Traditional Arabic"/>
          <w:sz w:val="30"/>
          <w:szCs w:val="30"/>
          <w:rtl/>
        </w:rPr>
        <w:t xml:space="preserve"> يتعين على الدولة المسؤولة عن انتهاكات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الخسارة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الناجم</w:t>
      </w:r>
      <w:r w:rsidRPr="00C818F0">
        <w:rPr>
          <w:rFonts w:ascii="Traditional Arabic" w:eastAsiaTheme="minorHAnsi" w:hAnsi="Traditional Arabic" w:cs="Traditional Arabic"/>
          <w:sz w:val="30"/>
          <w:szCs w:val="30"/>
          <w:rtl/>
        </w:rPr>
        <w:t>.</w:t>
      </w:r>
      <w:r w:rsidR="00B01E91" w:rsidRPr="00B01E91">
        <w:rPr>
          <w:rFonts w:asciiTheme="majorBidi" w:hAnsiTheme="majorBidi" w:cstheme="majorBidi"/>
          <w:vertAlign w:val="superscript"/>
        </w:rPr>
        <w:t xml:space="preserve"> </w:t>
      </w:r>
      <w:r w:rsidR="00B01E91" w:rsidRPr="00B91FAE">
        <w:rPr>
          <w:rFonts w:asciiTheme="majorBidi" w:hAnsiTheme="majorBidi" w:cstheme="majorBidi"/>
          <w:vertAlign w:val="superscript"/>
        </w:rPr>
        <w:footnoteReference w:id="1406"/>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 القانون الدولي يضع مسؤولية التعويضات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الدولة،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اعتراف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متزايد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بضرورة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الكيانات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الحكومية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بتقديم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تعويضات</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07"/>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خاص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تعتبر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الكيانات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سلطات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فعلية</w:t>
      </w:r>
      <w:r w:rsidRPr="00C818F0">
        <w:rPr>
          <w:rFonts w:ascii="Traditional Arabic" w:eastAsiaTheme="minorHAnsi" w:hAnsi="Traditional Arabic" w:cs="Traditional Arabic"/>
          <w:sz w:val="30"/>
          <w:szCs w:val="30"/>
          <w:lang w:bidi="ar"/>
        </w:rPr>
        <w:t>.</w:t>
      </w:r>
    </w:p>
    <w:p w14:paraId="7D6EB980" w14:textId="77777777" w:rsidR="00C818F0" w:rsidRPr="00C818F0" w:rsidRDefault="00C818F0" w:rsidP="00C818F0">
      <w:pPr>
        <w:tabs>
          <w:tab w:val="right" w:pos="512"/>
          <w:tab w:val="left" w:pos="1701"/>
        </w:tabs>
        <w:suppressAutoHyphens w:val="0"/>
        <w:bidi/>
        <w:spacing w:after="120"/>
        <w:ind w:right="828"/>
        <w:jc w:val="both"/>
        <w:rPr>
          <w:rFonts w:ascii="Traditional Arabic" w:eastAsiaTheme="minorHAnsi" w:hAnsi="Traditional Arabic" w:cs="Traditional Arabic"/>
          <w:b/>
          <w:bCs/>
          <w:sz w:val="30"/>
          <w:szCs w:val="30"/>
          <w:rtl/>
          <w:lang w:val="en-US"/>
        </w:rPr>
      </w:pPr>
      <w:r w:rsidRPr="00C818F0">
        <w:rPr>
          <w:rFonts w:ascii="Traditional Arabic" w:eastAsiaTheme="minorHAnsi" w:hAnsi="Traditional Arabic" w:cs="Traditional Arabic"/>
          <w:b/>
          <w:bCs/>
          <w:sz w:val="30"/>
          <w:szCs w:val="30"/>
          <w:rtl/>
          <w:lang w:val="en-US"/>
        </w:rPr>
        <w:t xml:space="preserve">         </w:t>
      </w:r>
      <w:r w:rsidRPr="00C818F0">
        <w:rPr>
          <w:rFonts w:ascii="Traditional Arabic" w:eastAsiaTheme="minorHAnsi" w:hAnsi="Traditional Arabic" w:cs="Traditional Arabic" w:hint="cs"/>
          <w:b/>
          <w:bCs/>
          <w:sz w:val="30"/>
          <w:szCs w:val="30"/>
          <w:rtl/>
          <w:lang w:val="en-US" w:bidi="ar-YE"/>
        </w:rPr>
        <w:t>ج</w:t>
      </w:r>
      <w:r w:rsidRPr="00C818F0">
        <w:rPr>
          <w:rFonts w:ascii="Traditional Arabic" w:eastAsiaTheme="minorHAnsi" w:hAnsi="Traditional Arabic" w:cs="Traditional Arabic"/>
          <w:b/>
          <w:bCs/>
          <w:sz w:val="30"/>
          <w:szCs w:val="30"/>
          <w:rtl/>
          <w:lang w:val="en-US"/>
        </w:rPr>
        <w:t>) المسؤولية الجنائية الفردية</w:t>
      </w:r>
    </w:p>
    <w:p w14:paraId="1BCF59BD" w14:textId="380A178E"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تشكل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الجسيمة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00B01E91" w:rsidRPr="00B91FAE">
        <w:rPr>
          <w:rStyle w:val="FootnoteReference"/>
        </w:rPr>
        <w:footnoteReference w:id="1408"/>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يتحمل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الأفراد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يرتكبونها</w:t>
      </w:r>
      <w:r w:rsidR="00B01E91" w:rsidRPr="00B91FAE">
        <w:rPr>
          <w:rStyle w:val="FootnoteReference"/>
        </w:rPr>
        <w:footnoteReference w:id="1409"/>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يُطلب</w:t>
      </w:r>
      <w:r w:rsidRPr="00C818F0">
        <w:rPr>
          <w:rFonts w:ascii="Traditional Arabic" w:eastAsiaTheme="minorHAnsi" w:hAnsi="Traditional Arabic" w:cs="Traditional Arabic"/>
          <w:sz w:val="30"/>
          <w:szCs w:val="30"/>
          <w:rtl/>
        </w:rPr>
        <w:t xml:space="preserve"> منهم أن يعصوا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أوامر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بارتكاب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جريمة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حرب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واضحة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Pr>
        <w:footnoteReference w:id="1410"/>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يتحمل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مسؤولية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المرتكبة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بموجب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أوامرهم</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Pr>
        <w:footnoteReference w:id="1411"/>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يكونوا</w:t>
      </w:r>
      <w:r w:rsidRPr="00C818F0">
        <w:rPr>
          <w:rFonts w:ascii="Traditional Arabic" w:eastAsiaTheme="minorHAnsi" w:hAnsi="Traditional Arabic" w:cs="Traditional Arabic"/>
          <w:sz w:val="30"/>
          <w:szCs w:val="30"/>
          <w:rtl/>
        </w:rPr>
        <w:t xml:space="preserve"> أيضًا مسؤولين عن الانتهاكات التي يرتكبها أشخاص تحت قيادتهم حيث كانوا يعلمون أو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أن يكونوا على علم بأن الانتهاكات </w:t>
      </w:r>
      <w:r w:rsidRPr="00C818F0">
        <w:rPr>
          <w:rFonts w:ascii="Traditional Arabic" w:eastAsiaTheme="minorHAnsi" w:hAnsi="Traditional Arabic" w:cs="Traditional Arabic" w:hint="eastAsia"/>
          <w:sz w:val="30"/>
          <w:szCs w:val="30"/>
          <w:rtl/>
        </w:rPr>
        <w:t>تمت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ستُرتكب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يتخذوا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التدابير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اللازمة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والمعقولة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قدرتهم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لمنع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lastRenderedPageBreak/>
        <w:t>يتحمل</w:t>
      </w:r>
      <w:r w:rsidRPr="00C818F0">
        <w:rPr>
          <w:rFonts w:ascii="Traditional Arabic" w:eastAsiaTheme="minorHAnsi" w:hAnsi="Traditional Arabic" w:cs="Traditional Arabic"/>
          <w:sz w:val="30"/>
          <w:szCs w:val="30"/>
          <w:rtl/>
        </w:rPr>
        <w:t xml:space="preserve"> القادة أيضًا مسؤولية </w:t>
      </w:r>
      <w:r w:rsidRPr="00C818F0">
        <w:rPr>
          <w:rFonts w:ascii="Traditional Arabic" w:eastAsiaTheme="minorHAnsi" w:hAnsi="Traditional Arabic" w:cs="Traditional Arabic" w:hint="eastAsia"/>
          <w:sz w:val="30"/>
          <w:szCs w:val="30"/>
          <w:rtl/>
        </w:rPr>
        <w:t>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عرفوا</w:t>
      </w:r>
      <w:r w:rsidRPr="00C818F0">
        <w:rPr>
          <w:rFonts w:ascii="Traditional Arabic" w:eastAsiaTheme="minorHAnsi" w:hAnsi="Traditional Arabic" w:cs="Traditional Arabic"/>
          <w:sz w:val="30"/>
          <w:szCs w:val="30"/>
          <w:rtl/>
        </w:rPr>
        <w:t xml:space="preserve"> أو يجب أن يكونوا على علم بأن الانتهاكات قد ارتكبها أشخاص تحت قيادتهم للإبلاغ عن الأمر إلى السلطات المختصة للتحقيق، وعند الاقتضاء، </w:t>
      </w:r>
      <w:r w:rsidRPr="00C818F0">
        <w:rPr>
          <w:rFonts w:ascii="Traditional Arabic" w:eastAsiaTheme="minorHAnsi" w:hAnsi="Traditional Arabic" w:cs="Traditional Arabic" w:hint="eastAsia"/>
          <w:sz w:val="30"/>
          <w:szCs w:val="30"/>
          <w:rtl/>
        </w:rPr>
        <w:t>القيام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بالملاحقة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القضائية</w:t>
      </w:r>
      <w:r w:rsidRPr="00C818F0">
        <w:rPr>
          <w:rFonts w:ascii="Traditional Arabic" w:eastAsiaTheme="minorHAnsi" w:hAnsi="Traditional Arabic" w:cs="Traditional Arabic"/>
          <w:sz w:val="30"/>
          <w:szCs w:val="30"/>
          <w:rtl/>
        </w:rPr>
        <w:t xml:space="preserve">. </w:t>
      </w:r>
    </w:p>
    <w:p w14:paraId="6502757C" w14:textId="4C62BAB1"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تنطبق المسؤولية الجنائية الفردية عن انتهاكات القانون الدولي على أفراد القوات المسلحة التابعة للدولة والجماعات المسلحة من غير الدول.</w:t>
      </w:r>
      <w:r w:rsidRPr="00C818F0">
        <w:rPr>
          <w:rFonts w:ascii="Traditional Arabic" w:eastAsiaTheme="minorHAnsi" w:hAnsi="Traditional Arabic" w:cs="Traditional Arabic"/>
          <w:sz w:val="30"/>
          <w:szCs w:val="30"/>
          <w:vertAlign w:val="superscript"/>
          <w:lang w:val="en-US"/>
        </w:rPr>
        <w:t xml:space="preserve"> </w:t>
      </w:r>
      <w:r w:rsidR="00B01E91" w:rsidRPr="00B91FAE">
        <w:rPr>
          <w:rFonts w:asciiTheme="majorBidi" w:hAnsiTheme="majorBidi" w:cstheme="majorBidi"/>
          <w:vertAlign w:val="superscript"/>
        </w:rPr>
        <w:footnoteReference w:id="1412"/>
      </w:r>
      <w:r w:rsidRPr="00C818F0">
        <w:rPr>
          <w:rFonts w:ascii="Traditional Arabic" w:eastAsiaTheme="minorHAnsi" w:hAnsi="Traditional Arabic" w:cs="Traditional Arabic"/>
          <w:sz w:val="30"/>
          <w:szCs w:val="30"/>
          <w:rtl/>
        </w:rPr>
        <w:t xml:space="preserve"> في سياق اليمن، هذا ينطبق على جرائم الحرب. بموجب القانون الدولي الإنساني، يقع على عاتق الدول الالتزام بالتحقيق في جميع مزاعم جرائم الحرب التي ارتكبتها قواتها المسلحة أو رعاياها، وكذلك تلك المزعوم ارتكابها على أراضيها. عندما يتوفر دليل كاف، على هذه الدول واجب محاكمة المسؤولين.</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13"/>
      </w:r>
      <w:r w:rsidRPr="00C818F0">
        <w:rPr>
          <w:rFonts w:ascii="Traditional Arabic" w:eastAsiaTheme="minorHAnsi" w:hAnsi="Traditional Arabic" w:cs="Traditional Arabic"/>
          <w:sz w:val="30"/>
          <w:szCs w:val="30"/>
          <w:rtl/>
        </w:rPr>
        <w:t>ثم يُطرح السؤال عما إذا كانت الكيانات المسلحة من غير الدول ملزمة بالالتزام نفسه. يعتمد هذا التقرير النهج القائل بأنه عندما يصل الكيان غير الحكومي إلى مستوى كاف</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 xml:space="preserve"> من التنظيم المطلوب لإدارة محاكم عاملة، فهو ينبغي أن يكون ملزماً بالإلتزام بالمحاكمة عندما يوجد أدلة كافية. هذا هو الحال فيما يتعلق باليمن و</w:t>
      </w:r>
      <w:r w:rsidRPr="00C818F0">
        <w:rPr>
          <w:rFonts w:ascii="Traditional Arabic" w:eastAsiaTheme="minorHAnsi" w:hAnsi="Traditional Arabic" w:cs="Traditional Arabic" w:hint="cs"/>
          <w:sz w:val="30"/>
          <w:szCs w:val="30"/>
          <w:rtl/>
        </w:rPr>
        <w:t xml:space="preserve">واجب </w:t>
      </w:r>
      <w:r w:rsidRPr="00C818F0">
        <w:rPr>
          <w:rFonts w:ascii="Traditional Arabic" w:eastAsiaTheme="minorHAnsi" w:hAnsi="Traditional Arabic" w:cs="Traditional Arabic"/>
          <w:sz w:val="30"/>
          <w:szCs w:val="30"/>
          <w:rtl/>
        </w:rPr>
        <w:t xml:space="preserve">سلطات الأمر الواقع </w:t>
      </w:r>
      <w:r w:rsidRPr="00C818F0">
        <w:rPr>
          <w:rFonts w:ascii="Traditional Arabic" w:eastAsiaTheme="minorHAnsi" w:hAnsi="Traditional Arabic" w:cs="Traditional Arabic" w:hint="cs"/>
          <w:sz w:val="30"/>
          <w:szCs w:val="30"/>
          <w:rtl/>
        </w:rPr>
        <w:t>في ا</w:t>
      </w:r>
      <w:r w:rsidRPr="00C818F0">
        <w:rPr>
          <w:rFonts w:ascii="Traditional Arabic" w:eastAsiaTheme="minorHAnsi" w:hAnsi="Traditional Arabic" w:cs="Traditional Arabic"/>
          <w:sz w:val="30"/>
          <w:szCs w:val="30"/>
          <w:rtl/>
        </w:rPr>
        <w:t>ل</w:t>
      </w:r>
      <w:r w:rsidRPr="00C818F0">
        <w:rPr>
          <w:rFonts w:ascii="Traditional Arabic" w:eastAsiaTheme="minorHAnsi" w:hAnsi="Traditional Arabic" w:cs="Traditional Arabic" w:hint="cs"/>
          <w:sz w:val="30"/>
          <w:szCs w:val="30"/>
          <w:rtl/>
        </w:rPr>
        <w:t>ملاحقة القانونية لل</w:t>
      </w:r>
      <w:r w:rsidRPr="00C818F0">
        <w:rPr>
          <w:rFonts w:ascii="Traditional Arabic" w:eastAsiaTheme="minorHAnsi" w:hAnsi="Traditional Arabic" w:cs="Traditional Arabic"/>
          <w:sz w:val="30"/>
          <w:szCs w:val="30"/>
          <w:rtl/>
        </w:rPr>
        <w:t>جرائم التي ارتكبتها الجماعات المسلحة العاملة في الأراضي التي تسيطر عليها</w:t>
      </w:r>
      <w:r w:rsidRPr="00C818F0">
        <w:rPr>
          <w:rFonts w:ascii="Traditional Arabic" w:eastAsiaTheme="minorHAnsi" w:hAnsi="Traditional Arabic" w:cs="Traditional Arabic"/>
          <w:sz w:val="30"/>
          <w:szCs w:val="30"/>
          <w:lang w:bidi="ar"/>
        </w:rPr>
        <w:t>.</w:t>
      </w:r>
    </w:p>
    <w:p w14:paraId="2A61F715" w14:textId="4BFCCB71"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يشمل الالتزام باحترام وحماية وتنفيذ الالتزامات الدولية لحقوق الإنسان الالتزام بتوثيق والتحقيق في مزاعم انتهاكات وتجاوزات حقوق الإنسان وضمان مساءلة الجناة.</w:t>
      </w:r>
      <w:r w:rsidR="00B01E91" w:rsidRPr="00B01E91">
        <w:rPr>
          <w:rStyle w:val="Heading2Char"/>
          <w:rFonts w:asciiTheme="majorBidi" w:hAnsiTheme="majorBidi" w:cstheme="majorBidi"/>
        </w:rPr>
        <w:t xml:space="preserve"> </w:t>
      </w:r>
      <w:r w:rsidR="00B01E91" w:rsidRPr="00B91FAE">
        <w:rPr>
          <w:rStyle w:val="FootnoteReference"/>
          <w:rFonts w:asciiTheme="majorBidi" w:hAnsiTheme="majorBidi" w:cstheme="majorBidi"/>
        </w:rPr>
        <w:footnoteReference w:id="1414"/>
      </w:r>
      <w:r w:rsidRPr="00C818F0">
        <w:rPr>
          <w:rFonts w:ascii="Traditional Arabic" w:eastAsiaTheme="minorHAnsi" w:hAnsi="Traditional Arabic" w:cs="Traditional Arabic"/>
          <w:sz w:val="30"/>
          <w:szCs w:val="30"/>
          <w:rtl/>
        </w:rPr>
        <w:t>وينطبق هذا بنفس القدر على جميع أصحاب واجبات الالتزامات بحقوق الإنسان، وهذا يعني في السياق الحالي، حكومة اليمن وأعضاء التحالف وسلطات الأمر الواقع</w:t>
      </w:r>
      <w:r w:rsidRPr="00C818F0">
        <w:rPr>
          <w:rFonts w:ascii="Traditional Arabic" w:eastAsiaTheme="minorHAnsi" w:hAnsi="Traditional Arabic" w:cs="Traditional Arabic"/>
          <w:sz w:val="30"/>
          <w:szCs w:val="30"/>
          <w:lang w:bidi="ar"/>
        </w:rPr>
        <w:t>.</w:t>
      </w:r>
    </w:p>
    <w:p w14:paraId="0B509CBA" w14:textId="4841AB74" w:rsidR="00C818F0" w:rsidRPr="00C818F0" w:rsidRDefault="00C818F0" w:rsidP="00B01E91">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للوفاء بمعايير القانون الدولي، يجب أن تكون التحقيقات في انتهاكات حقوق الإنسان والقانون الدولي الإنساني مستقلة ونزيهة وفورية وشاملة وفعالة وذات مصداقية وشفافة</w:t>
      </w:r>
      <w:r w:rsidR="00B01E91" w:rsidRPr="00B91FAE">
        <w:rPr>
          <w:rStyle w:val="FootnoteReference"/>
          <w:rFonts w:asciiTheme="majorBidi" w:hAnsiTheme="majorBidi" w:cstheme="majorBidi"/>
        </w:rPr>
        <w:footnoteReference w:id="1415"/>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حالة وجود أدلة كافية، يجب النظر في القضايا من قبل محكمة مختصة ومستقلة ونزيهة ومنشأة بموجب القانون.</w:t>
      </w:r>
      <w:r w:rsidR="00B01E91" w:rsidRPr="00B01E91">
        <w:rPr>
          <w:rStyle w:val="Heading2Char"/>
          <w:rFonts w:asciiTheme="majorBidi" w:hAnsiTheme="majorBidi" w:cstheme="majorBidi"/>
        </w:rPr>
        <w:t xml:space="preserve"> </w:t>
      </w:r>
      <w:r w:rsidR="00B01E91" w:rsidRPr="00B91FAE">
        <w:rPr>
          <w:rStyle w:val="FootnoteReference"/>
          <w:rFonts w:asciiTheme="majorBidi" w:hAnsiTheme="majorBidi" w:cstheme="majorBidi"/>
        </w:rPr>
        <w:footnoteReference w:id="1416"/>
      </w:r>
      <w:r w:rsidRPr="00C818F0">
        <w:rPr>
          <w:rFonts w:ascii="Traditional Arabic" w:eastAsiaTheme="minorHAnsi" w:hAnsi="Traditional Arabic" w:cs="Traditional Arabic"/>
          <w:sz w:val="30"/>
          <w:szCs w:val="30"/>
          <w:rtl/>
        </w:rPr>
        <w:t>وبالتالي، يجب على الدول أن تضمن أن تشريعاتها المحلية توفر الأساس القانوني اللازم لتمكين المحاكم المحلية من ممارسة الولاية القضائية على النحو الواجب على الحالات التي توجد فيها أدلة كافية على وجود جريمة دولية، وفقًا للمبادئ المعمول بها في القانون العرفي وقانون المعاهدات</w:t>
      </w:r>
      <w:r w:rsidRPr="00C818F0">
        <w:rPr>
          <w:rFonts w:ascii="Traditional Arabic" w:eastAsiaTheme="minorHAnsi" w:hAnsi="Traditional Arabic" w:cs="Traditional Arabic"/>
          <w:sz w:val="30"/>
          <w:szCs w:val="30"/>
          <w:lang w:bidi="ar"/>
        </w:rPr>
        <w:t>.</w:t>
      </w:r>
      <w:r w:rsidR="00B01E91" w:rsidRPr="00B91FAE">
        <w:rPr>
          <w:rFonts w:asciiTheme="majorBidi" w:hAnsiTheme="majorBidi" w:cstheme="majorBidi"/>
          <w:vertAlign w:val="superscript"/>
        </w:rPr>
        <w:footnoteReference w:id="1417"/>
      </w:r>
      <w:r w:rsidRPr="00C818F0">
        <w:rPr>
          <w:rFonts w:ascii="Traditional Arabic" w:eastAsiaTheme="minorHAnsi" w:hAnsi="Traditional Arabic" w:cs="Traditional Arabic"/>
          <w:b/>
          <w:bCs/>
          <w:sz w:val="30"/>
          <w:szCs w:val="30"/>
          <w:rtl/>
          <w:lang w:val="en-US"/>
        </w:rPr>
        <w:t xml:space="preserve"> </w:t>
      </w:r>
    </w:p>
    <w:p w14:paraId="2E99329C" w14:textId="0EC26525" w:rsidR="00C818F0" w:rsidRPr="00C818F0" w:rsidRDefault="00C818F0" w:rsidP="00B01E91">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lastRenderedPageBreak/>
        <w:t>تتمتع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بالحرية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منح</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محاكمها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الولاية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القضائية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جرائم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الحرب</w:t>
      </w:r>
      <w:r w:rsidR="00B01E91" w:rsidRPr="00B91FAE">
        <w:rPr>
          <w:rStyle w:val="FootnoteReference"/>
        </w:rPr>
        <w:footnoteReference w:id="1418"/>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المفضل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المزعومون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ضمن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اختصاص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المقاضاة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سيتم</w:t>
      </w:r>
      <w:r w:rsidRPr="00C818F0">
        <w:rPr>
          <w:rFonts w:ascii="Traditional Arabic" w:eastAsiaTheme="minorHAnsi" w:hAnsi="Traditional Arabic" w:cs="Traditional Arabic"/>
          <w:sz w:val="30"/>
          <w:szCs w:val="30"/>
          <w:rtl/>
        </w:rPr>
        <w:t xml:space="preserve"> النظر بشكل منفصل في مسألة ما هي </w:t>
      </w:r>
      <w:r w:rsidRPr="00C818F0">
        <w:rPr>
          <w:rFonts w:ascii="Traditional Arabic" w:eastAsiaTheme="minorHAnsi" w:hAnsi="Traditional Arabic" w:cs="Traditional Arabic" w:hint="eastAsia"/>
          <w:sz w:val="30"/>
          <w:szCs w:val="30"/>
          <w:rtl/>
        </w:rPr>
        <w:t>قدرة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مطالبة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النزاع بضمان الامتثال للقانون الدولي الإنساني</w:t>
      </w:r>
      <w:r w:rsidRPr="00C818F0">
        <w:rPr>
          <w:rFonts w:ascii="Traditional Arabic" w:eastAsiaTheme="minorHAnsi" w:hAnsi="Traditional Arabic" w:cs="Traditional Arabic"/>
          <w:sz w:val="30"/>
          <w:szCs w:val="30"/>
          <w:lang w:bidi="ar"/>
        </w:rPr>
        <w:t>.</w:t>
      </w:r>
    </w:p>
    <w:p w14:paraId="53FE3F72" w14:textId="77777777" w:rsidR="00C818F0" w:rsidRPr="008C1E30" w:rsidRDefault="00C818F0" w:rsidP="005D608B">
      <w:pPr>
        <w:numPr>
          <w:ilvl w:val="0"/>
          <w:numId w:val="15"/>
        </w:numPr>
        <w:suppressAutoHyphens w:val="0"/>
        <w:bidi/>
        <w:spacing w:line="259" w:lineRule="auto"/>
        <w:contextualSpacing/>
        <w:rPr>
          <w:rFonts w:asciiTheme="minorHAnsi" w:eastAsiaTheme="minorHAnsi" w:hAnsiTheme="minorHAnsi" w:cstheme="minorBidi"/>
          <w:b/>
          <w:bCs/>
          <w:sz w:val="22"/>
          <w:szCs w:val="22"/>
          <w:rtl/>
          <w:lang w:val="en-US"/>
        </w:rPr>
      </w:pPr>
      <w:r w:rsidRPr="008C1E30">
        <w:rPr>
          <w:rFonts w:ascii="Traditional Arabic" w:eastAsiaTheme="minorHAnsi" w:hAnsi="Traditional Arabic" w:cs="Traditional Arabic"/>
          <w:b/>
          <w:bCs/>
          <w:sz w:val="30"/>
          <w:szCs w:val="30"/>
          <w:rtl/>
        </w:rPr>
        <w:t xml:space="preserve">آليات المساءلة المتوفرة </w:t>
      </w:r>
    </w:p>
    <w:p w14:paraId="5BD4D52D" w14:textId="7777777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يبحث هذا القسم في آليات المساءلة التي وضعها الأطراف الرئيسية في النزاع والجهات المسؤولة العاملة حاليًا، أي اللجنة الوطنية للتحقيق التابعة للحكومة اليمنية وفريق تقييم الحوادث المشترك التابع للتحالف.</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ويبحث كذلك ما إذا كانت سلطات الأمر الواقع قد وضعت أي آلية للمساءلة ولمحاسبة مرتكبي انتهاكات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هو موضح أعلاه، يتم تطبيق معايير مماثلة على كيانات الدولة وسلطات الأمر الواقع، نظرًا لممارسة الأخيرة للولاية القضائية والسيطرة الفعالة على أجزاء من الأراضي اليمنية</w:t>
      </w:r>
      <w:r w:rsidRPr="00C818F0">
        <w:rPr>
          <w:rFonts w:ascii="Traditional Arabic" w:eastAsiaTheme="minorHAnsi" w:hAnsi="Traditional Arabic" w:cs="Traditional Arabic"/>
          <w:sz w:val="30"/>
          <w:szCs w:val="30"/>
          <w:lang w:bidi="ar"/>
        </w:rPr>
        <w:t>.</w:t>
      </w:r>
    </w:p>
    <w:p w14:paraId="5AA6C3A3" w14:textId="77777777" w:rsidR="00A47DC2" w:rsidRDefault="00A47DC2">
      <w:pPr>
        <w:suppressAutoHyphens w:val="0"/>
        <w:spacing w:line="240" w:lineRule="auto"/>
        <w:rPr>
          <w:rFonts w:ascii="Traditional Arabic" w:eastAsiaTheme="minorHAnsi" w:hAnsi="Traditional Arabic" w:cs="Traditional Arabic"/>
          <w:b/>
          <w:bCs/>
          <w:sz w:val="30"/>
          <w:szCs w:val="30"/>
          <w:rtl/>
        </w:rPr>
      </w:pPr>
      <w:r>
        <w:rPr>
          <w:rFonts w:ascii="Traditional Arabic" w:eastAsiaTheme="minorHAnsi" w:hAnsi="Traditional Arabic" w:cs="Traditional Arabic"/>
          <w:b/>
          <w:bCs/>
          <w:sz w:val="30"/>
          <w:szCs w:val="30"/>
          <w:rtl/>
        </w:rPr>
        <w:br w:type="page"/>
      </w:r>
    </w:p>
    <w:p w14:paraId="0F02F43F" w14:textId="3FC744CA" w:rsidR="00C818F0" w:rsidRPr="00C818F0" w:rsidRDefault="00C818F0" w:rsidP="005D608B">
      <w:pPr>
        <w:numPr>
          <w:ilvl w:val="0"/>
          <w:numId w:val="16"/>
        </w:numPr>
        <w:suppressAutoHyphens w:val="0"/>
        <w:bidi/>
        <w:spacing w:after="160" w:line="259" w:lineRule="auto"/>
        <w:ind w:left="782" w:right="828" w:hanging="270"/>
        <w:contextualSpacing/>
        <w:jc w:val="both"/>
        <w:rPr>
          <w:rFonts w:ascii="Traditional Arabic" w:eastAsiaTheme="minorHAnsi" w:hAnsi="Traditional Arabic" w:cs="Traditional Arabic"/>
          <w:b/>
          <w:bCs/>
          <w:iCs/>
          <w:sz w:val="30"/>
          <w:szCs w:val="30"/>
          <w:lang w:val="en-US"/>
        </w:rPr>
      </w:pPr>
      <w:r w:rsidRPr="00C818F0">
        <w:rPr>
          <w:rFonts w:ascii="Traditional Arabic" w:eastAsiaTheme="minorHAnsi" w:hAnsi="Traditional Arabic" w:cs="Traditional Arabic"/>
          <w:b/>
          <w:bCs/>
          <w:sz w:val="30"/>
          <w:szCs w:val="30"/>
          <w:rtl/>
        </w:rPr>
        <w:lastRenderedPageBreak/>
        <w:t>اللجنة الوطنية للتحقيق التابعة للحكومة اليمنية</w:t>
      </w:r>
    </w:p>
    <w:p w14:paraId="7F60C0A4" w14:textId="77777777"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 xml:space="preserve">بينما كان يوجد محاولات من قبل السلطات القضائية في الحكومة اليمنية لمعالجة انتهاكات القانون الدولي التي يُزعم أنها وقعت في نطاق النزاع، </w:t>
      </w:r>
      <w:r w:rsidRPr="00C818F0">
        <w:rPr>
          <w:rFonts w:ascii="Traditional Arabic" w:eastAsiaTheme="minorHAnsi" w:hAnsi="Traditional Arabic" w:cs="Traditional Arabic" w:hint="cs"/>
          <w:sz w:val="30"/>
          <w:szCs w:val="30"/>
          <w:rtl/>
        </w:rPr>
        <w:t>إ</w:t>
      </w:r>
      <w:r w:rsidRPr="00C818F0">
        <w:rPr>
          <w:rFonts w:ascii="Traditional Arabic" w:eastAsiaTheme="minorHAnsi" w:hAnsi="Traditional Arabic" w:cs="Traditional Arabic"/>
          <w:sz w:val="30"/>
          <w:szCs w:val="30"/>
          <w:rtl/>
        </w:rPr>
        <w:t xml:space="preserve">ن النظام القضائي اليمني أضعف كثيرًا </w:t>
      </w:r>
      <w:r w:rsidRPr="00C818F0">
        <w:rPr>
          <w:rFonts w:ascii="Traditional Arabic" w:eastAsiaTheme="minorHAnsi" w:hAnsi="Traditional Arabic" w:cs="Traditional Arabic" w:hint="eastAsia"/>
          <w:sz w:val="30"/>
          <w:szCs w:val="30"/>
          <w:rtl/>
        </w:rPr>
        <w:t>بسبب</w:t>
      </w:r>
      <w:r w:rsidRPr="00C818F0">
        <w:rPr>
          <w:rFonts w:ascii="Traditional Arabic" w:eastAsiaTheme="minorHAnsi" w:hAnsi="Traditional Arabic" w:cs="Traditional Arabic"/>
          <w:sz w:val="30"/>
          <w:szCs w:val="30"/>
          <w:rtl/>
        </w:rPr>
        <w:t xml:space="preserve"> النزاع وتأثر بالأعمال العدائية وانعدام الأمن والتهديدات المختلفة ضد العاملين فيه</w:t>
      </w:r>
      <w:r w:rsidRPr="00C818F0">
        <w:rPr>
          <w:rFonts w:ascii="Traditional Arabic" w:eastAsiaTheme="minorHAnsi" w:hAnsi="Traditional Arabic" w:cs="Traditional Arabic" w:hint="cs"/>
          <w:sz w:val="30"/>
          <w:szCs w:val="30"/>
          <w:rtl/>
        </w:rPr>
        <w:t xml:space="preserve"> وعدم وجود سلطة فعلية للحكومة، خاصة في أجزاء من جنوب اليمن. </w:t>
      </w:r>
    </w:p>
    <w:p w14:paraId="3DCB56C7" w14:textId="661ACA4E" w:rsidR="00C818F0" w:rsidRPr="00C818F0" w:rsidRDefault="00C818F0" w:rsidP="00E25F5D">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تأسست اللجنة الوطنية للتحقيق في ادعاءات انتهاكات حقوق الإنسان في اليمن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sz w:val="30"/>
          <w:szCs w:val="30"/>
          <w:rtl/>
        </w:rPr>
        <w:t>يُشار إليها لاحقاً بإسم "اللجنة الوطنية" – باعتبارها "آلية وطنية مستقلة" بموجب مرسوم رئاسي صدر في العام 2012 ومرسومان آخران في العامين 2015</w:t>
      </w:r>
      <w:r w:rsidRPr="00C818F0">
        <w:rPr>
          <w:rFonts w:ascii="Traditional Arabic" w:eastAsiaTheme="minorHAnsi" w:hAnsi="Traditional Arabic" w:cs="Traditional Arabic"/>
          <w:sz w:val="30"/>
          <w:szCs w:val="30"/>
          <w:rtl/>
          <w:lang w:bidi="ar"/>
        </w:rPr>
        <w:t xml:space="preserve"> </w:t>
      </w:r>
      <w:r w:rsidRPr="00C818F0">
        <w:rPr>
          <w:rFonts w:ascii="Traditional Arabic" w:eastAsiaTheme="minorHAnsi" w:hAnsi="Traditional Arabic" w:cs="Traditional Arabic"/>
          <w:sz w:val="30"/>
          <w:szCs w:val="30"/>
          <w:rtl/>
        </w:rPr>
        <w:t xml:space="preserve">و2017 </w:t>
      </w:r>
      <w:r w:rsidR="00B01E91" w:rsidRPr="00B91FAE">
        <w:rPr>
          <w:rStyle w:val="FootnoteReference"/>
          <w:rFonts w:asciiTheme="majorBidi" w:hAnsiTheme="majorBidi" w:cstheme="majorBidi"/>
        </w:rPr>
        <w:footnoteReference w:id="1419"/>
      </w:r>
      <w:r w:rsidRPr="00C818F0">
        <w:rPr>
          <w:rFonts w:ascii="Traditional Arabic" w:eastAsiaTheme="minorHAnsi" w:hAnsi="Traditional Arabic" w:cs="Traditional Arabic"/>
          <w:sz w:val="30"/>
          <w:szCs w:val="30"/>
          <w:rtl/>
        </w:rPr>
        <w:t xml:space="preserve"> مع تفويض الإبلاغ والتحقيق في جميع ادعاءات انتهاكات حقوق الإنسان المرتكبة في جميع محافظات اليمن والتي وقعت منذ كانون الثاني/ يناير 2011 حتى "يحين الوقت أن تستعيد الدولة السيطرة الكاملة على أراضي اليمن."</w:t>
      </w:r>
      <w:r w:rsidRPr="00C818F0">
        <w:rPr>
          <w:rFonts w:ascii="Traditional Arabic" w:eastAsiaTheme="minorHAnsi" w:hAnsi="Traditional Arabic" w:cs="Traditional Arabic"/>
          <w:sz w:val="30"/>
          <w:szCs w:val="30"/>
          <w:vertAlign w:val="superscript"/>
          <w:lang w:val="en-US"/>
        </w:rPr>
        <w:t xml:space="preserve"> </w:t>
      </w:r>
      <w:r w:rsidR="00B01E91" w:rsidRPr="00B91FAE">
        <w:rPr>
          <w:rStyle w:val="FootnoteReference"/>
          <w:rFonts w:asciiTheme="majorBidi" w:hAnsiTheme="majorBidi" w:cstheme="majorBidi"/>
        </w:rPr>
        <w:footnoteReference w:id="1420"/>
      </w:r>
      <w:r w:rsidR="00B01E91">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sz w:val="30"/>
          <w:szCs w:val="30"/>
          <w:rtl/>
        </w:rPr>
        <w:t xml:space="preserve">القضايا التي تحقق فيها اللجنة الوطنية </w:t>
      </w:r>
      <w:r w:rsidRPr="00C818F0">
        <w:rPr>
          <w:rFonts w:ascii="Traditional Arabic" w:eastAsiaTheme="minorHAnsi" w:hAnsi="Traditional Arabic" w:cs="Traditional Arabic" w:hint="cs"/>
          <w:sz w:val="30"/>
          <w:szCs w:val="30"/>
          <w:rtl/>
        </w:rPr>
        <w:t xml:space="preserve">يتم إحالتها </w:t>
      </w:r>
      <w:r w:rsidRPr="00C818F0">
        <w:rPr>
          <w:rFonts w:ascii="Traditional Arabic" w:eastAsiaTheme="minorHAnsi" w:hAnsi="Traditional Arabic" w:cs="Traditional Arabic"/>
          <w:sz w:val="30"/>
          <w:szCs w:val="30"/>
          <w:rtl/>
        </w:rPr>
        <w:t>إلى القضاء الوطني "كي يتم تقديم مرتكبي انتهاكات حقوق الإنسان إلى العدالة وحتى يتلقى الضحايا التعويضات.</w:t>
      </w:r>
      <w:r w:rsidRPr="00C818F0">
        <w:rPr>
          <w:rFonts w:ascii="Traditional Arabic" w:eastAsiaTheme="minorHAnsi" w:hAnsi="Traditional Arabic" w:cs="Traditional Arabic"/>
          <w:sz w:val="30"/>
          <w:szCs w:val="30"/>
          <w:lang w:bidi="ar"/>
        </w:rPr>
        <w:t>"</w:t>
      </w:r>
      <w:r w:rsidR="00B01E91" w:rsidRPr="00B91FAE">
        <w:rPr>
          <w:rStyle w:val="FootnoteReference"/>
          <w:rFonts w:asciiTheme="majorBidi" w:hAnsiTheme="majorBidi" w:cstheme="majorBidi"/>
        </w:rPr>
        <w:footnoteReference w:id="1421"/>
      </w:r>
    </w:p>
    <w:p w14:paraId="3CCCEC3B" w14:textId="77CEE686"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منذ وقت كتابة التقرير الأول لفريق الخبراء في آب/ أغسطس 2018، أصدرت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التقرير الخامس للفترة من 1 شباط/ فبراير 2018 حتى 31 تموز/ يوليو 2018 والتقرير السادس من 1 آب/ أغسطس 2018 حتى 31 كانون الثاني/ يناير 2019</w:t>
      </w:r>
      <w:r w:rsidRPr="00C818F0">
        <w:rPr>
          <w:rFonts w:ascii="Traditional Arabic" w:eastAsiaTheme="minorHAnsi" w:hAnsi="Traditional Arabic" w:cs="Traditional Arabic"/>
          <w:sz w:val="30"/>
          <w:szCs w:val="30"/>
          <w:rtl/>
          <w:lang w:bidi="ar"/>
        </w:rPr>
        <w:t xml:space="preserve">. </w:t>
      </w:r>
      <w:r w:rsidR="003E23E1">
        <w:rPr>
          <w:rFonts w:ascii="Traditional Arabic" w:eastAsiaTheme="minorHAnsi" w:hAnsi="Traditional Arabic" w:cs="Traditional Arabic" w:hint="cs"/>
          <w:sz w:val="30"/>
          <w:szCs w:val="30"/>
          <w:rtl/>
        </w:rPr>
        <w:t>أ</w:t>
      </w:r>
      <w:r w:rsidRPr="00C818F0">
        <w:rPr>
          <w:rFonts w:ascii="Traditional Arabic" w:eastAsiaTheme="minorHAnsi" w:hAnsi="Traditional Arabic" w:cs="Traditional Arabic"/>
          <w:sz w:val="30"/>
          <w:szCs w:val="30"/>
          <w:rtl/>
        </w:rPr>
        <w:t>ش</w:t>
      </w:r>
      <w:r w:rsidR="003E23E1">
        <w:rPr>
          <w:rFonts w:ascii="Traditional Arabic" w:eastAsiaTheme="minorHAnsi" w:hAnsi="Traditional Arabic" w:cs="Traditional Arabic" w:hint="cs"/>
          <w:sz w:val="30"/>
          <w:szCs w:val="30"/>
          <w:rtl/>
        </w:rPr>
        <w:t>ا</w:t>
      </w:r>
      <w:r w:rsidRPr="00C818F0">
        <w:rPr>
          <w:rFonts w:ascii="Traditional Arabic" w:eastAsiaTheme="minorHAnsi" w:hAnsi="Traditional Arabic" w:cs="Traditional Arabic"/>
          <w:sz w:val="30"/>
          <w:szCs w:val="30"/>
          <w:rtl/>
        </w:rPr>
        <w:t>ر التقرير الخامس إلى أن اللجنة الوطنية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أكملت تحقيق</w:t>
      </w:r>
      <w:r w:rsidRPr="00C818F0">
        <w:rPr>
          <w:rFonts w:ascii="Traditional Arabic" w:eastAsiaTheme="minorHAnsi" w:hAnsi="Traditional Arabic" w:cs="Traditional Arabic" w:hint="cs"/>
          <w:sz w:val="30"/>
          <w:szCs w:val="30"/>
          <w:rtl/>
        </w:rPr>
        <w:t>ها</w:t>
      </w:r>
      <w:r w:rsidRPr="00C818F0">
        <w:rPr>
          <w:rFonts w:ascii="Traditional Arabic" w:eastAsiaTheme="minorHAnsi" w:hAnsi="Traditional Arabic" w:cs="Traditional Arabic"/>
          <w:sz w:val="30"/>
          <w:szCs w:val="30"/>
          <w:rtl/>
        </w:rPr>
        <w:t xml:space="preserve"> في 1900 ادعاء متعلقًا بأكثر من 30 نوعًا من الانتهاكات.</w:t>
      </w:r>
      <w:r w:rsidR="00226F70" w:rsidRPr="00B91FAE">
        <w:rPr>
          <w:rFonts w:asciiTheme="majorBidi" w:hAnsiTheme="majorBidi" w:cstheme="majorBidi"/>
          <w:vertAlign w:val="superscript"/>
        </w:rPr>
        <w:footnoteReference w:id="1422"/>
      </w:r>
      <w:r w:rsidRPr="00C818F0">
        <w:rPr>
          <w:rFonts w:ascii="Traditional Arabic" w:eastAsiaTheme="minorHAnsi" w:hAnsi="Traditional Arabic" w:cs="Traditional Arabic"/>
          <w:sz w:val="30"/>
          <w:szCs w:val="30"/>
          <w:rtl/>
        </w:rPr>
        <w:t xml:space="preserve"> في التقرير السادس، ارتفع هذا العدد إلى أكثر من 2500 تحقيق مكتمل في حوادث الادعاءات التي تراقبها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w:t>
      </w:r>
      <w:r w:rsidR="00226F70" w:rsidRPr="00B91FAE">
        <w:rPr>
          <w:rFonts w:asciiTheme="majorBidi" w:hAnsiTheme="majorBidi" w:cstheme="majorBidi"/>
          <w:vertAlign w:val="superscript"/>
        </w:rPr>
        <w:footnoteReference w:id="1423"/>
      </w:r>
      <w:r w:rsidRPr="00C818F0">
        <w:rPr>
          <w:rFonts w:ascii="Traditional Arabic" w:eastAsiaTheme="minorHAnsi" w:hAnsi="Traditional Arabic" w:cs="Traditional Arabic"/>
          <w:sz w:val="30"/>
          <w:szCs w:val="30"/>
          <w:rtl/>
          <w:lang w:bidi="ar"/>
        </w:rPr>
        <w:t>.</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rPr>
        <w:t>في تقريريها الأخيرين، أشارت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أيضًا إلى التقدم المحرز، بالإشارة خاصةً إلى زيادة المراقبين في جميع المحافظات وتطبيق معايير جديدة فيما يتعلق بحفظ المعلومات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ذكرت اللجنة الوطنية الدعم المستمر لبناء القدرات الذي تتلقاه، بما في ذلك من مكتب المفوضية السامية لحقوق الإنسان</w:t>
      </w:r>
      <w:r w:rsidRPr="00C818F0">
        <w:rPr>
          <w:rFonts w:ascii="Traditional Arabic" w:eastAsiaTheme="minorHAnsi" w:hAnsi="Traditional Arabic" w:cs="Traditional Arabic"/>
          <w:sz w:val="30"/>
          <w:szCs w:val="30"/>
          <w:lang w:bidi="ar"/>
        </w:rPr>
        <w:t>.</w:t>
      </w:r>
    </w:p>
    <w:p w14:paraId="1C8F6868" w14:textId="77777777" w:rsidR="00C818F0" w:rsidRPr="00C818F0" w:rsidRDefault="00C818F0" w:rsidP="008C1E3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تشير تقارير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اللجنة الوطنية إلى </w:t>
      </w:r>
      <w:r w:rsidRPr="00C818F0">
        <w:rPr>
          <w:rFonts w:ascii="Traditional Arabic" w:eastAsiaTheme="minorHAnsi" w:hAnsi="Traditional Arabic" w:cs="Traditional Arabic" w:hint="cs"/>
          <w:sz w:val="30"/>
          <w:szCs w:val="30"/>
          <w:rtl/>
        </w:rPr>
        <w:t xml:space="preserve">ادعاءات </w:t>
      </w:r>
      <w:r w:rsidRPr="00C818F0">
        <w:rPr>
          <w:rFonts w:ascii="Traditional Arabic" w:eastAsiaTheme="minorHAnsi" w:hAnsi="Traditional Arabic" w:cs="Traditional Arabic"/>
          <w:sz w:val="30"/>
          <w:szCs w:val="30"/>
          <w:rtl/>
        </w:rPr>
        <w:t xml:space="preserve">انتهاكات ارتكبتها أطراف النزاع المختلفة. ويشمل ذلك الحوثيين والتحالف والقوات المسلحة اليمنية وكذلك الولايات المتحدة بسبب مزاعم تتعلق بضربات الطائرات المسيرة. تشير التقارير أيضًا إلى انتهاكات من جانب الجهات المسؤولة عن حقوق الإنسان، أي الحوثيين والحكومة اليمنية. بموجب القانون الدولي الإنساني، فإن الانتهاكات التي تم </w:t>
      </w:r>
      <w:r w:rsidRPr="00C818F0">
        <w:rPr>
          <w:rFonts w:ascii="Traditional Arabic" w:eastAsiaTheme="minorHAnsi" w:hAnsi="Traditional Arabic" w:cs="Traditional Arabic"/>
          <w:sz w:val="30"/>
          <w:szCs w:val="30"/>
          <w:rtl/>
        </w:rPr>
        <w:lastRenderedPageBreak/>
        <w:t xml:space="preserve">التحقيق فيها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آخر تقريرين هي قتل وجرح المدنيين وتجنيد الأطفال وزرع الألغام والهجمات على </w:t>
      </w:r>
      <w:r w:rsidRPr="00C818F0">
        <w:rPr>
          <w:rFonts w:ascii="Traditional Arabic" w:eastAsiaTheme="minorHAnsi" w:hAnsi="Traditional Arabic" w:cs="Traditional Arabic" w:hint="eastAsia"/>
          <w:sz w:val="30"/>
          <w:szCs w:val="30"/>
          <w:rtl/>
        </w:rPr>
        <w:t>الاعيان</w:t>
      </w:r>
      <w:r w:rsidRPr="00C818F0">
        <w:rPr>
          <w:rFonts w:ascii="Traditional Arabic" w:eastAsiaTheme="minorHAnsi" w:hAnsi="Traditional Arabic" w:cs="Traditional Arabic"/>
          <w:sz w:val="30"/>
          <w:szCs w:val="30"/>
          <w:rtl/>
        </w:rPr>
        <w:t xml:space="preserve"> الثقافية واستهداف المنشآت الطبية والتهجير القسري وحصار المدنيين وغيرها من العوائق التي تحول دون إيصال الإغاثة الإنسانية. وفيما يتعلق بالقانون الدولي لحقوق الإنسان، فإن الانتهاكات التي تم التحقيق فيها هي القتل خارج نطاق القضاء والاعتقالات التعسفية والاختفاء القسري والتعذيب وسوء المعاملة وتفجير المنازل. كما تضمن التقرير الخامس قسماً عن حرية الحركة و</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حرية الفكر أو المعتقد.</w:t>
      </w:r>
      <w:r w:rsidRPr="00C818F0">
        <w:rPr>
          <w:rFonts w:ascii="Traditional Arabic" w:eastAsiaTheme="minorHAnsi" w:hAnsi="Traditional Arabic" w:cs="Traditional Arabic" w:hint="cs"/>
          <w:sz w:val="30"/>
          <w:szCs w:val="30"/>
          <w:rtl/>
        </w:rPr>
        <w:t>"</w:t>
      </w:r>
      <w:r w:rsidRPr="00C818F0">
        <w:rPr>
          <w:rFonts w:ascii="Traditional Arabic" w:eastAsiaTheme="minorHAnsi" w:hAnsi="Traditional Arabic" w:cs="Traditional Arabic"/>
          <w:sz w:val="30"/>
          <w:szCs w:val="30"/>
          <w:rtl/>
        </w:rPr>
        <w:t xml:space="preserve"> في حين أن معظم الانتهاكات الموضحة في التقارير تتضمن حالات يزعم ارتكابها من جانب</w:t>
      </w:r>
      <w:r w:rsidRPr="00C818F0">
        <w:rPr>
          <w:rFonts w:ascii="Traditional Arabic" w:eastAsiaTheme="minorHAnsi" w:hAnsi="Traditional Arabic" w:cs="Traditional Arabic" w:hint="cs"/>
          <w:sz w:val="30"/>
          <w:szCs w:val="30"/>
          <w:rtl/>
        </w:rPr>
        <w:t xml:space="preserve"> جميع</w:t>
      </w:r>
      <w:r w:rsidRPr="00C818F0">
        <w:rPr>
          <w:rFonts w:ascii="Traditional Arabic" w:eastAsiaTheme="minorHAnsi" w:hAnsi="Traditional Arabic" w:cs="Traditional Arabic"/>
          <w:sz w:val="30"/>
          <w:szCs w:val="30"/>
          <w:rtl/>
        </w:rPr>
        <w:t xml:space="preserve"> الأطراف الرئيسية أو المسؤولة، فإن </w:t>
      </w:r>
      <w:r w:rsidRPr="00C818F0">
        <w:rPr>
          <w:rFonts w:ascii="Traditional Arabic" w:eastAsiaTheme="minorHAnsi" w:hAnsi="Traditional Arabic" w:cs="Traditional Arabic" w:hint="cs"/>
          <w:sz w:val="30"/>
          <w:szCs w:val="30"/>
          <w:rtl/>
        </w:rPr>
        <w:t xml:space="preserve">مواضيع مثل </w:t>
      </w:r>
      <w:r w:rsidRPr="00C818F0">
        <w:rPr>
          <w:rFonts w:ascii="Traditional Arabic" w:eastAsiaTheme="minorHAnsi" w:hAnsi="Traditional Arabic" w:cs="Traditional Arabic"/>
          <w:sz w:val="30"/>
          <w:szCs w:val="30"/>
          <w:rtl/>
        </w:rPr>
        <w:t>تجنيد الأطفال وزرع الألغام والتهجير القسري وهدم المنازل لا تشمل سوى حالات منسوبة إلى الحوثيين. جميع الحالات التي تم التحقيق فيها في القسم الخاص بحرية الحركة تتعلق بنقاط التفتيش التي تديرها قوات الحزام الأمني</w:t>
      </w:r>
      <w:r w:rsidRPr="00C818F0">
        <w:rPr>
          <w:rFonts w:ascii="Traditional Arabic" w:eastAsiaTheme="minorHAnsi" w:hAnsi="Traditional Arabic" w:cs="Traditional Arabic"/>
          <w:sz w:val="30"/>
          <w:szCs w:val="30"/>
          <w:lang w:bidi="ar"/>
        </w:rPr>
        <w:t>.</w:t>
      </w:r>
    </w:p>
    <w:p w14:paraId="44A51082"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يوجد مخاوف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لا تتوافر فيها المعايير الدولية الموضوعة لضمان المساءلة، كون الافتقار إلى الشفافية مشكلة سائدة تمنع تحليل المعلومات وهو أمر حاسم للسماح بفهم عمل النظام</w:t>
      </w:r>
      <w:r w:rsidRPr="00C818F0">
        <w:rPr>
          <w:rFonts w:ascii="Traditional Arabic" w:eastAsiaTheme="minorHAnsi" w:hAnsi="Traditional Arabic" w:cs="Traditional Arabic"/>
          <w:sz w:val="30"/>
          <w:szCs w:val="30"/>
          <w:lang w:bidi="ar"/>
        </w:rPr>
        <w:t>.</w:t>
      </w:r>
    </w:p>
    <w:p w14:paraId="74AAB0C9" w14:textId="77777777" w:rsidR="00C818F0" w:rsidRPr="00C818F0" w:rsidRDefault="00C818F0" w:rsidP="003B7CC4">
      <w:pPr>
        <w:suppressAutoHyphens w:val="0"/>
        <w:bidi/>
        <w:spacing w:after="240" w:line="259" w:lineRule="auto"/>
        <w:ind w:left="414" w:right="827" w:firstLine="720"/>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الاستقلالية</w:t>
      </w:r>
    </w:p>
    <w:p w14:paraId="534CFFDC" w14:textId="683BEC4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أنشئت اللجنة الوطنية بموجب قرار رئاسي وهي تقدم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تقاريرها مباشرة إلى الرئيس الذي يعين أيضًا أعضائها التسعة. لا توجد معلومات عامة حول المعايير التي يتم بموجبها اختيار هؤلاء الأعضاء التسعة. كذلك، لا يوجد معلومات عامة حول التمويل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الخاص باللجنة الوطنية. هذه العناصر في حد ذاتها تثير التساؤلات حول استقلالية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وشفافية اللجنة الوطنية.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ومن دواعي القلق الأخرى في ما يتعلق بالشفافية، تظل المعايير التي تستخدمها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اللجنة الوطنية لتحديد أي حالة معينة سيتم </w:t>
      </w:r>
      <w:r w:rsidR="00F43951">
        <w:rPr>
          <w:rFonts w:ascii="Traditional Arabic" w:eastAsiaTheme="minorHAnsi" w:hAnsi="Traditional Arabic" w:cs="Traditional Arabic" w:hint="cs"/>
          <w:sz w:val="30"/>
          <w:szCs w:val="30"/>
          <w:rtl/>
        </w:rPr>
        <w:t xml:space="preserve">اختيارها </w:t>
      </w:r>
      <w:r w:rsidRPr="00C818F0">
        <w:rPr>
          <w:rFonts w:ascii="Traditional Arabic" w:eastAsiaTheme="minorHAnsi" w:hAnsi="Traditional Arabic" w:cs="Traditional Arabic"/>
          <w:sz w:val="30"/>
          <w:szCs w:val="30"/>
          <w:rtl/>
        </w:rPr>
        <w:t>لت</w:t>
      </w:r>
      <w:r w:rsidR="00F43951">
        <w:rPr>
          <w:rFonts w:ascii="Traditional Arabic" w:eastAsiaTheme="minorHAnsi" w:hAnsi="Traditional Arabic" w:cs="Traditional Arabic" w:hint="cs"/>
          <w:sz w:val="30"/>
          <w:szCs w:val="30"/>
          <w:rtl/>
        </w:rPr>
        <w:t xml:space="preserve">ضمينها </w:t>
      </w:r>
      <w:r w:rsidRPr="00C818F0">
        <w:rPr>
          <w:rFonts w:ascii="Traditional Arabic" w:eastAsiaTheme="minorHAnsi" w:hAnsi="Traditional Arabic" w:cs="Traditional Arabic"/>
          <w:sz w:val="30"/>
          <w:szCs w:val="30"/>
          <w:rtl/>
        </w:rPr>
        <w:t>في تقاريرها الدورية تبقى غير واضحة</w:t>
      </w:r>
      <w:r w:rsidRPr="00C818F0">
        <w:rPr>
          <w:rFonts w:ascii="Traditional Arabic" w:eastAsiaTheme="minorHAnsi" w:hAnsi="Traditional Arabic" w:cs="Traditional Arabic"/>
          <w:sz w:val="30"/>
          <w:szCs w:val="30"/>
          <w:lang w:bidi="ar"/>
        </w:rPr>
        <w:t>.</w:t>
      </w:r>
    </w:p>
    <w:p w14:paraId="4C008A0A" w14:textId="77777777" w:rsidR="00C818F0" w:rsidRPr="00C818F0" w:rsidRDefault="00C818F0" w:rsidP="003B7CC4">
      <w:pPr>
        <w:suppressAutoHyphens w:val="0"/>
        <w:bidi/>
        <w:spacing w:after="240" w:line="259" w:lineRule="auto"/>
        <w:ind w:left="414" w:right="827" w:firstLine="720"/>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الحياد</w:t>
      </w:r>
    </w:p>
    <w:p w14:paraId="4BBC89C8"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sz w:val="30"/>
          <w:szCs w:val="30"/>
          <w:lang w:val="en-US"/>
        </w:rPr>
      </w:pPr>
      <w:r w:rsidRPr="00C818F0">
        <w:rPr>
          <w:rFonts w:ascii="Traditional Arabic" w:eastAsiaTheme="minorHAnsi" w:hAnsi="Traditional Arabic" w:cs="Traditional Arabic"/>
          <w:sz w:val="30"/>
          <w:szCs w:val="30"/>
          <w:rtl/>
        </w:rPr>
        <w:t>بالرغم من التحسن الملحوظ في التقارير الأخيرة</w:t>
      </w:r>
      <w:r w:rsidRPr="00C818F0">
        <w:rPr>
          <w:rFonts w:ascii="Traditional Arabic" w:eastAsiaTheme="minorHAnsi" w:hAnsi="Traditional Arabic" w:cs="Traditional Arabic" w:hint="cs"/>
          <w:sz w:val="30"/>
          <w:szCs w:val="30"/>
          <w:rtl/>
        </w:rPr>
        <w:t xml:space="preserve"> من حيث</w:t>
      </w:r>
      <w:r w:rsidRPr="00C818F0">
        <w:rPr>
          <w:rFonts w:ascii="Traditional Arabic" w:eastAsiaTheme="minorHAnsi" w:hAnsi="Traditional Arabic" w:cs="Traditional Arabic"/>
          <w:sz w:val="30"/>
          <w:szCs w:val="30"/>
          <w:rtl/>
        </w:rPr>
        <w:t xml:space="preserve"> إعداد تقارير أكثر توازنا، </w:t>
      </w:r>
      <w:r w:rsidRPr="00C818F0">
        <w:rPr>
          <w:rFonts w:ascii="Traditional Arabic" w:eastAsiaTheme="minorHAnsi" w:hAnsi="Traditional Arabic" w:cs="Traditional Arabic" w:hint="cs"/>
          <w:sz w:val="30"/>
          <w:szCs w:val="30"/>
          <w:rtl/>
        </w:rPr>
        <w:t>و</w:t>
      </w:r>
      <w:r w:rsidRPr="00C818F0">
        <w:rPr>
          <w:rFonts w:ascii="Traditional Arabic" w:eastAsiaTheme="minorHAnsi" w:hAnsi="Traditional Arabic" w:cs="Traditional Arabic"/>
          <w:sz w:val="30"/>
          <w:szCs w:val="30"/>
          <w:rtl/>
        </w:rPr>
        <w:t>شم</w:t>
      </w:r>
      <w:r w:rsidRPr="00C818F0">
        <w:rPr>
          <w:rFonts w:ascii="Traditional Arabic" w:eastAsiaTheme="minorHAnsi" w:hAnsi="Traditional Arabic" w:cs="Traditional Arabic" w:hint="cs"/>
          <w:sz w:val="30"/>
          <w:szCs w:val="30"/>
          <w:rtl/>
        </w:rPr>
        <w:t>و</w:t>
      </w:r>
      <w:r w:rsidRPr="00C818F0">
        <w:rPr>
          <w:rFonts w:ascii="Traditional Arabic" w:eastAsiaTheme="minorHAnsi" w:hAnsi="Traditional Arabic" w:cs="Traditional Arabic"/>
          <w:sz w:val="30"/>
          <w:szCs w:val="30"/>
          <w:rtl/>
        </w:rPr>
        <w:t>ل</w:t>
      </w:r>
      <w:r w:rsidRPr="00C818F0">
        <w:rPr>
          <w:rFonts w:ascii="Traditional Arabic" w:eastAsiaTheme="minorHAnsi" w:hAnsi="Traditional Arabic" w:cs="Traditional Arabic" w:hint="cs"/>
          <w:sz w:val="30"/>
          <w:szCs w:val="30"/>
          <w:rtl/>
        </w:rPr>
        <w:t xml:space="preserve">ها </w:t>
      </w:r>
      <w:r w:rsidRPr="00C818F0">
        <w:rPr>
          <w:rFonts w:ascii="Traditional Arabic" w:eastAsiaTheme="minorHAnsi" w:hAnsi="Traditional Arabic" w:cs="Traditional Arabic"/>
          <w:sz w:val="30"/>
          <w:szCs w:val="30"/>
          <w:rtl/>
        </w:rPr>
        <w:t>العديد من الادعاءات بحدوث انتهاكات من قبل التحالف و/ أو الحكومة اليمنية، إلا أنه من دواعي القلق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تعتبر بعض الانتهاكات لا يرتكبها سوى الحوثيين فقط. في الواقع، ووفقًا للمعلومات التي جمعها فريق الخبراء، فإن معظم أنواع الانتهاكات التي تنسبها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إلى الحوثيين فقط، هي انتهاكات ارتكبتها أيضًا قوات التحالف و/ أو القوات اليمنية، كما هو الحال مع تجنيد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الأطفال وتدمير المباني السكنية. بالتالي، لا تزال المخاوف بشأن حيادية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قائمة. نظرًا لموقعها في عدن، وعدم تعاون الحوثيين معها، تواجه</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تحديًا بحكم طبيعتها في الوصول إلى المعلومات، وهذا قد يكون له تأثير أيضًا على فعاليتها</w:t>
      </w:r>
      <w:r w:rsidRPr="00C818F0">
        <w:rPr>
          <w:rFonts w:ascii="Traditional Arabic" w:eastAsiaTheme="minorHAnsi" w:hAnsi="Traditional Arabic" w:cs="Traditional Arabic"/>
          <w:sz w:val="30"/>
          <w:szCs w:val="30"/>
          <w:lang w:bidi="ar"/>
        </w:rPr>
        <w:t>.</w:t>
      </w:r>
    </w:p>
    <w:p w14:paraId="1AFEA9EE" w14:textId="77777777" w:rsidR="00C818F0" w:rsidRPr="00C818F0" w:rsidRDefault="00C818F0" w:rsidP="003B7CC4">
      <w:pPr>
        <w:suppressAutoHyphens w:val="0"/>
        <w:bidi/>
        <w:spacing w:after="240" w:line="259" w:lineRule="auto"/>
        <w:ind w:left="720" w:right="827" w:firstLine="414"/>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الشفافية</w:t>
      </w:r>
    </w:p>
    <w:p w14:paraId="77FD03B0" w14:textId="773A3CFD" w:rsidR="00C818F0" w:rsidRPr="0068318D" w:rsidRDefault="00C818F0" w:rsidP="0068318D">
      <w:pPr>
        <w:pStyle w:val="Footer"/>
        <w:numPr>
          <w:ilvl w:val="0"/>
          <w:numId w:val="3"/>
        </w:numPr>
        <w:tabs>
          <w:tab w:val="left" w:pos="720"/>
          <w:tab w:val="left" w:pos="900"/>
          <w:tab w:val="left" w:pos="1134"/>
          <w:tab w:val="left" w:pos="1701"/>
          <w:tab w:val="right" w:pos="1809"/>
        </w:tabs>
        <w:suppressAutoHyphens w:val="0"/>
        <w:bidi/>
        <w:spacing w:after="120"/>
        <w:ind w:left="1134" w:right="828" w:firstLine="45"/>
        <w:jc w:val="both"/>
        <w:rPr>
          <w:rFonts w:ascii="Traditional Arabic" w:eastAsiaTheme="minorHAnsi" w:hAnsi="Traditional Arabic" w:cs="Traditional Arabic"/>
          <w:sz w:val="30"/>
          <w:szCs w:val="30"/>
          <w:rtl/>
          <w:lang w:val="en-US"/>
        </w:rPr>
      </w:pPr>
      <w:r w:rsidRPr="0068318D">
        <w:rPr>
          <w:rFonts w:ascii="Traditional Arabic" w:eastAsiaTheme="minorHAnsi" w:hAnsi="Traditional Arabic" w:cs="Traditional Arabic"/>
          <w:sz w:val="30"/>
          <w:szCs w:val="30"/>
          <w:rtl/>
        </w:rPr>
        <w:lastRenderedPageBreak/>
        <w:t>المعلومات التي قدمتها اللجنة الوطنية في التقرير كأساس لاستنتاجاتها</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حول انتهاكات محددة وإسنادها كذلك، ظلّت غير كافية لتمكين فريق الخبراء من تقييم ما إذا كانت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قد أخذت في الاعتبار جميع العناصر اللازمة لإثبات حدوث انتهاك. في أغلب الحالات المفصلة في تقريريها الخامس والسادس، أثبتت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أن الحادثة المبلغ عنها قد وقعت بالفعل، وأيضًا مسؤولية أي طرف في النزاع أو جهة مسؤولة. ولكن، في معظم الحالات المفصلة في التقارير، لم يكن يوجد أي عناصر تسمح باستخلاص النتائج المتعلقة بشرعية الإجراءات المطروحة ولم يوجد أي تحليل قانوني. هذه النقطة بالذات ملفتة للنظر فيما يخص القضايا المتعلقة بالقانون الدولي الإنساني، حيث إن</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w:t>
      </w:r>
      <w:r w:rsidRPr="0068318D">
        <w:rPr>
          <w:rFonts w:ascii="Traditional Arabic" w:eastAsiaTheme="minorHAnsi" w:hAnsi="Traditional Arabic" w:cs="Traditional Arabic" w:hint="cs"/>
          <w:sz w:val="30"/>
          <w:szCs w:val="30"/>
          <w:rtl/>
        </w:rPr>
        <w:t xml:space="preserve"> لا</w:t>
      </w:r>
      <w:r w:rsidRPr="0068318D">
        <w:rPr>
          <w:rFonts w:ascii="Traditional Arabic" w:eastAsiaTheme="minorHAnsi" w:hAnsi="Traditional Arabic" w:cs="Traditional Arabic"/>
          <w:sz w:val="30"/>
          <w:szCs w:val="30"/>
          <w:rtl/>
        </w:rPr>
        <w:t xml:space="preserve"> تذكر بالفعل حقائق عن حوادث محددة، على سبيل المثال طبيعة الهدف، وذلك من شأنه أن يسمح بتقييم الشرعية بموجب القانون الدولي الإنساني. بالنسبة لمعظم الحوادث المنسوبة إلى التحالف، أشارت</w:t>
      </w:r>
      <w:r w:rsidRPr="0068318D">
        <w:rPr>
          <w:rFonts w:ascii="Traditional Arabic" w:eastAsiaTheme="minorHAnsi" w:hAnsi="Traditional Arabic" w:cs="Traditional Arabic"/>
          <w:sz w:val="30"/>
          <w:szCs w:val="30"/>
          <w:lang w:bidi="ar"/>
        </w:rPr>
        <w:t xml:space="preserve"> </w:t>
      </w:r>
      <w:r w:rsidRPr="0068318D">
        <w:rPr>
          <w:rFonts w:ascii="Traditional Arabic" w:eastAsiaTheme="minorHAnsi" w:hAnsi="Traditional Arabic" w:cs="Traditional Arabic"/>
          <w:sz w:val="30"/>
          <w:szCs w:val="30"/>
          <w:rtl/>
        </w:rPr>
        <w:t>اللجنة الوطنية إلى أنها لا تزال تنتظر ردًا من التحالف على تحقيقها. وهذا يثير مخاوف إضافية فيما يتعلق بالفعالية والدقة والمصداقية</w:t>
      </w:r>
      <w:r w:rsidRPr="0068318D">
        <w:rPr>
          <w:rFonts w:ascii="Traditional Arabic" w:eastAsiaTheme="minorHAnsi" w:hAnsi="Traditional Arabic" w:cs="Traditional Arabic"/>
          <w:sz w:val="30"/>
          <w:szCs w:val="30"/>
          <w:lang w:bidi="ar"/>
        </w:rPr>
        <w:t>.</w:t>
      </w:r>
      <w:r w:rsidRPr="0068318D">
        <w:rPr>
          <w:rFonts w:ascii="Traditional Arabic" w:eastAsiaTheme="minorHAnsi" w:hAnsi="Traditional Arabic" w:cs="Traditional Arabic"/>
          <w:sz w:val="30"/>
          <w:szCs w:val="30"/>
          <w:rtl/>
          <w:lang w:bidi="ar"/>
        </w:rPr>
        <w:t xml:space="preserve"> </w:t>
      </w:r>
    </w:p>
    <w:p w14:paraId="40837AF6" w14:textId="77777777" w:rsidR="00C818F0" w:rsidRPr="00C818F0" w:rsidRDefault="00C818F0" w:rsidP="003B7CC4">
      <w:pPr>
        <w:suppressAutoHyphens w:val="0"/>
        <w:bidi/>
        <w:spacing w:after="240" w:line="259" w:lineRule="auto"/>
        <w:ind w:left="504" w:right="827" w:firstLine="630"/>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المصداقية والدقة</w:t>
      </w:r>
    </w:p>
    <w:p w14:paraId="0F110B4F" w14:textId="4A27C18B"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في الحالات التي يتم فيها ذكر الأساس القانوني المستخدم لتقييم حادثة معينة، لا يكون ذلك دائمًا دقيقًا من حيث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بالنسبة لمعظم الحوادث المفصلة في تقاريرها، لا توفر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الأسس اللازمة للسماح لفريق الخبراء من التحقق عما إذا كانت الاستنتاجات قد استندت إلى تحليل قانوني سليم على أساس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وبالتالي، لدى فريق الخبراء مخاوف بشأن ما إذا كانت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تفي بالمعايير المطلوبة من الدقة والمصداقية</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1BEB844F" w14:textId="7C9629D6" w:rsidR="00C818F0" w:rsidRPr="00C818F0" w:rsidRDefault="00C818F0" w:rsidP="003B7CC4">
      <w:pPr>
        <w:suppressAutoHyphens w:val="0"/>
        <w:bidi/>
        <w:spacing w:after="240" w:line="259" w:lineRule="auto"/>
        <w:ind w:left="720" w:right="827" w:firstLine="414"/>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 xml:space="preserve">الفعالية </w:t>
      </w:r>
    </w:p>
    <w:p w14:paraId="353F7D6D" w14:textId="4606BF3D"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أخيرًا، يبدو أنه يوجد عدد من التحديات التشغيلية التي تؤثر على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في فعاليتها، لا سيما فيما يتعلق بعدم تعاون الحوثيين.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كذلك واقع أن مقرها في عدن يجعل الوصول إلى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غير ممكن فعليًا للعديد من الأفراد الذين يعيشون في المناطق النائية أو المناطق الخاضعة لسيطرة الحوثيين.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أما من ناحية الفعالية، فيوجد حاجة إلى مزيد من المعلومات عن آلية إحالة القضايا إلى المدعي العام اليمني</w:t>
      </w:r>
      <w:r w:rsidR="00226F70" w:rsidRPr="00B91FAE">
        <w:rPr>
          <w:rStyle w:val="FootnoteReference"/>
          <w:rFonts w:asciiTheme="majorBidi" w:hAnsiTheme="majorBidi" w:cstheme="majorBidi"/>
        </w:rPr>
        <w:footnoteReference w:id="1424"/>
      </w:r>
      <w:r w:rsidRPr="00C818F0">
        <w:rPr>
          <w:rFonts w:ascii="Traditional Arabic" w:eastAsiaTheme="minorHAnsi" w:hAnsi="Traditional Arabic" w:cs="Traditional Arabic"/>
          <w:sz w:val="30"/>
          <w:szCs w:val="30"/>
          <w:rtl/>
        </w:rPr>
        <w:t xml:space="preserve"> لأن هذا يهدف إلى ضمان أن الانتهاكات التي رسختها اللجنة الوطنية سيتم التعامل معها من قبل سلطة قضائية مختصة.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وهنا، حتى لو كان ثمة دليل على وجود آلية إحالة فعالة، فإن أوجه القصور في النظام القضائي اليمني - خاصة في ما يتعلق بضمانات الإجراءات القانونية الواجبة كما </w:t>
      </w:r>
      <w:r w:rsidRPr="00C818F0">
        <w:rPr>
          <w:rFonts w:ascii="Traditional Arabic" w:eastAsiaTheme="minorHAnsi" w:hAnsi="Traditional Arabic" w:cs="Traditional Arabic" w:hint="cs"/>
          <w:sz w:val="30"/>
          <w:szCs w:val="30"/>
          <w:rtl/>
        </w:rPr>
        <w:t xml:space="preserve">هو </w:t>
      </w:r>
      <w:r w:rsidRPr="00C818F0">
        <w:rPr>
          <w:rFonts w:ascii="Traditional Arabic" w:eastAsiaTheme="minorHAnsi" w:hAnsi="Traditional Arabic" w:cs="Traditional Arabic"/>
          <w:sz w:val="30"/>
          <w:szCs w:val="30"/>
          <w:rtl/>
        </w:rPr>
        <w:t>محدد في تقارير فريق الخبراء – ستكون مصدر قلق إضافي فيما يتعلق بالمساءلة الفعالة</w:t>
      </w:r>
      <w:r w:rsidRPr="00C818F0">
        <w:rPr>
          <w:rFonts w:ascii="Traditional Arabic" w:eastAsiaTheme="minorHAnsi" w:hAnsi="Traditional Arabic" w:cs="Traditional Arabic"/>
          <w:sz w:val="30"/>
          <w:szCs w:val="30"/>
          <w:lang w:bidi="ar"/>
        </w:rPr>
        <w:t>.</w:t>
      </w:r>
    </w:p>
    <w:p w14:paraId="5FBB9750" w14:textId="77777777" w:rsidR="00C818F0" w:rsidRPr="00C818F0" w:rsidRDefault="00C818F0" w:rsidP="008C1E30">
      <w:pPr>
        <w:suppressAutoHyphens w:val="0"/>
        <w:bidi/>
        <w:spacing w:after="160" w:line="259" w:lineRule="auto"/>
        <w:ind w:left="1287" w:right="827" w:firstLine="414"/>
        <w:jc w:val="both"/>
        <w:rPr>
          <w:rFonts w:ascii="Traditional Arabic" w:eastAsiaTheme="minorHAnsi" w:hAnsi="Traditional Arabic" w:cs="Traditional Arabic"/>
          <w:i/>
          <w:iCs/>
          <w:sz w:val="30"/>
          <w:szCs w:val="30"/>
          <w:rtl/>
          <w:lang w:val="en-US"/>
        </w:rPr>
      </w:pPr>
      <w:r w:rsidRPr="00C818F0">
        <w:rPr>
          <w:rFonts w:ascii="Traditional Arabic" w:eastAsiaTheme="minorHAnsi" w:hAnsi="Traditional Arabic" w:cs="Traditional Arabic"/>
          <w:i/>
          <w:iCs/>
          <w:sz w:val="30"/>
          <w:szCs w:val="30"/>
          <w:rtl/>
          <w:lang w:val="en-US"/>
        </w:rPr>
        <w:t>الاستنتاج</w:t>
      </w:r>
    </w:p>
    <w:p w14:paraId="3AA8B44D"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في الختام، يلاحظ فريق الخبراء أن تقارير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اللجنة الوطنية أصبحت أكثر توازناً مع مرور الوقت مع التحقيق في الانتهاكات المزعومة المرتكبة من طرفي </w:t>
      </w:r>
      <w:r w:rsidRPr="00C818F0">
        <w:rPr>
          <w:rFonts w:ascii="Traditional Arabic" w:eastAsiaTheme="minorHAnsi" w:hAnsi="Traditional Arabic" w:cs="Traditional Arabic"/>
          <w:sz w:val="30"/>
          <w:szCs w:val="30"/>
          <w:rtl/>
        </w:rPr>
        <w:lastRenderedPageBreak/>
        <w:t>النزاع كليهما.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أظهرت جهود إعادة الهيكلة مؤخرا التي بذلتها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أيضًا التزامها تجاه المساءلة الأكثر فعالية. اللجنة الوطنية هي هيئة ضرورية للتصدي لظاهرة الإفلات من العقاب في اليمن. تحقيقا لهذه الغاية، يجب أن تكون مستقلة هيكليا ووظيفيا. ومع ذلك، قد لا تفي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w:t>
      </w:r>
      <w:r w:rsidRPr="00C818F0">
        <w:rPr>
          <w:rFonts w:ascii="Traditional Arabic" w:eastAsiaTheme="minorHAnsi" w:hAnsi="Traditional Arabic" w:cs="Traditional Arabic" w:hint="cs"/>
          <w:sz w:val="30"/>
          <w:szCs w:val="30"/>
          <w:rtl/>
        </w:rPr>
        <w:t>، في شكلها الحالي،</w:t>
      </w:r>
      <w:r w:rsidRPr="00C818F0">
        <w:rPr>
          <w:rFonts w:ascii="Traditional Arabic" w:eastAsiaTheme="minorHAnsi" w:hAnsi="Traditional Arabic" w:cs="Traditional Arabic"/>
          <w:sz w:val="30"/>
          <w:szCs w:val="30"/>
          <w:rtl/>
        </w:rPr>
        <w:t xml:space="preserve"> بالمعايير التي حددها القانون الدولي لضمان المساءلة، نظرًا لأنها مضمنة في الهيكل الحكومي</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7519B873"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إن مساهمة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فيما يتعلق بالتحليل وتقصي الحقائق أمر بالغ الأهمية في مكافحة الإفلات من العقاب في اليمن</w:t>
      </w:r>
      <w:r w:rsidRPr="00C818F0">
        <w:rPr>
          <w:rFonts w:ascii="Traditional Arabic" w:eastAsiaTheme="minorHAnsi" w:hAnsi="Traditional Arabic" w:cs="Traditional Arabic" w:hint="cs"/>
          <w:sz w:val="30"/>
          <w:szCs w:val="30"/>
          <w:rtl/>
          <w:lang w:bidi="ar"/>
        </w:rPr>
        <w:t>.</w:t>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 xml:space="preserve">من الضروري </w:t>
      </w:r>
      <w:r w:rsidRPr="00C818F0">
        <w:rPr>
          <w:rFonts w:ascii="Traditional Arabic" w:eastAsiaTheme="minorHAnsi" w:hAnsi="Traditional Arabic" w:cs="Traditional Arabic" w:hint="cs"/>
          <w:sz w:val="30"/>
          <w:szCs w:val="30"/>
          <w:rtl/>
        </w:rPr>
        <w:t xml:space="preserve">إذن </w:t>
      </w:r>
      <w:r w:rsidRPr="00C818F0">
        <w:rPr>
          <w:rFonts w:ascii="Traditional Arabic" w:eastAsiaTheme="minorHAnsi" w:hAnsi="Traditional Arabic" w:cs="Traditional Arabic"/>
          <w:sz w:val="30"/>
          <w:szCs w:val="30"/>
          <w:rtl/>
        </w:rPr>
        <w:t>أن تكون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محايدة في تقييم سلوك جميع الأطراف، وأن تكون فعالة في تحقيقاتها، وأن تكون نتائجها مدعومة بتحليل قانوني شامل يستند إلى القانون الدولي.</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يكرر فريق الخبراء عرضه بالتعاون رسميًا مع</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من أجل العمل بشكل متكامل لضمان المساءلة عن انتهاكات القانون الدولي من قبل جميع أطراف النزاع والجهات المسؤولة</w:t>
      </w:r>
      <w:r w:rsidRPr="00C818F0">
        <w:rPr>
          <w:rFonts w:ascii="Traditional Arabic" w:eastAsiaTheme="minorHAnsi" w:hAnsi="Traditional Arabic" w:cs="Traditional Arabic"/>
          <w:sz w:val="30"/>
          <w:szCs w:val="30"/>
          <w:lang w:bidi="ar"/>
        </w:rPr>
        <w:t>.</w:t>
      </w:r>
    </w:p>
    <w:p w14:paraId="76C602BE" w14:textId="77777777" w:rsidR="00C818F0" w:rsidRPr="00C818F0" w:rsidRDefault="00C818F0" w:rsidP="00C818F0">
      <w:pPr>
        <w:tabs>
          <w:tab w:val="left" w:pos="1701"/>
        </w:tabs>
        <w:suppressAutoHyphens w:val="0"/>
        <w:bidi/>
        <w:spacing w:after="120"/>
        <w:ind w:right="828" w:firstLine="332"/>
        <w:jc w:val="both"/>
        <w:rPr>
          <w:rFonts w:ascii="Traditional Arabic" w:eastAsiaTheme="minorHAnsi" w:hAnsi="Traditional Arabic" w:cs="Traditional Arabic"/>
          <w:b/>
          <w:bCs/>
          <w:i/>
          <w:sz w:val="30"/>
          <w:szCs w:val="30"/>
          <w:rtl/>
          <w:lang w:val="en-US"/>
        </w:rPr>
      </w:pPr>
      <w:r w:rsidRPr="00C818F0">
        <w:rPr>
          <w:rFonts w:ascii="Traditional Arabic" w:eastAsiaTheme="minorHAnsi" w:hAnsi="Traditional Arabic" w:cs="Traditional Arabic"/>
          <w:sz w:val="30"/>
          <w:szCs w:val="30"/>
          <w:lang w:val="en-US"/>
        </w:rPr>
        <w:t xml:space="preserve"> </w:t>
      </w:r>
      <w:r w:rsidRPr="00C818F0">
        <w:rPr>
          <w:rFonts w:ascii="Traditional Arabic" w:eastAsiaTheme="minorHAnsi" w:hAnsi="Traditional Arabic" w:cs="Traditional Arabic" w:hint="cs"/>
          <w:b/>
          <w:bCs/>
          <w:i/>
          <w:sz w:val="30"/>
          <w:szCs w:val="30"/>
          <w:rtl/>
          <w:lang w:val="en-US"/>
        </w:rPr>
        <w:t>ب)</w:t>
      </w:r>
      <w:r w:rsidRPr="00C818F0">
        <w:rPr>
          <w:rFonts w:ascii="Traditional Arabic" w:eastAsiaTheme="minorHAnsi" w:hAnsi="Traditional Arabic" w:cs="Traditional Arabic"/>
          <w:b/>
          <w:bCs/>
          <w:i/>
          <w:sz w:val="30"/>
          <w:szCs w:val="30"/>
          <w:rtl/>
          <w:lang w:val="en-US"/>
        </w:rPr>
        <w:t>الفريق المشترك لتقييم الحوادث</w:t>
      </w:r>
    </w:p>
    <w:p w14:paraId="256433AD" w14:textId="00B3A5E4"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أنشئ التحالف 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آب/ أغسطس 2016، بدعم من الولايات المتحدة.</w:t>
      </w:r>
      <w:r w:rsidRPr="00C818F0">
        <w:rPr>
          <w:rFonts w:ascii="Traditional Arabic" w:eastAsiaTheme="minorHAnsi" w:hAnsi="Traditional Arabic" w:cs="Traditional Arabic"/>
          <w:sz w:val="30"/>
          <w:szCs w:val="30"/>
          <w:vertAlign w:val="superscript"/>
          <w:lang w:val="en-US"/>
        </w:rPr>
        <w:t xml:space="preserve"> </w:t>
      </w:r>
      <w:r w:rsidR="00226F70" w:rsidRPr="00B91FAE">
        <w:rPr>
          <w:rStyle w:val="FootnoteReference"/>
          <w:rFonts w:asciiTheme="majorBidi" w:hAnsiTheme="majorBidi" w:cstheme="majorBidi"/>
        </w:rPr>
        <w:footnoteReference w:id="1425"/>
      </w:r>
      <w:r w:rsidRPr="00C818F0">
        <w:rPr>
          <w:rFonts w:ascii="Traditional Arabic" w:eastAsiaTheme="minorHAnsi" w:hAnsi="Traditional Arabic" w:cs="Traditional Arabic"/>
          <w:sz w:val="30"/>
          <w:szCs w:val="30"/>
          <w:rtl/>
        </w:rPr>
        <w:t>تتمثل مهمته في التحقيق في الانتهاكات المزعومة التي ارتكبها التحالف خلال العمليات في اليمن. يجب عليه أيضًا "التحقيق في الحوادث المثيرة للقلق وتحديد الدروس المستفادة وإعطاء نظرة عن أنماط الضرر المدني". وفقًا لمنظمة هيومن رايتس ووتش، كان 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يتكون في الأصل من 14 فردًا من الدول الأعضاء الرئيسية في التحالف. لديه تفويض للتحقيق لتبيان الحقائق وجمع الأدلة ورفع تقارير وتقديم توصيات حول "المطالبات والحوادث" خلال عمليات التحالف في اليمن."</w:t>
      </w:r>
      <w:r w:rsidRPr="00C818F0">
        <w:rPr>
          <w:rFonts w:ascii="Traditional Arabic" w:eastAsiaTheme="minorHAnsi" w:hAnsi="Traditional Arabic" w:cs="Traditional Arabic"/>
          <w:sz w:val="30"/>
          <w:szCs w:val="30"/>
          <w:vertAlign w:val="superscript"/>
          <w:lang w:val="en-US"/>
        </w:rPr>
        <w:t xml:space="preserve"> </w:t>
      </w:r>
      <w:r w:rsidR="00226F70" w:rsidRPr="00B91FAE">
        <w:rPr>
          <w:rFonts w:asciiTheme="majorBidi" w:hAnsiTheme="majorBidi" w:cstheme="majorBidi"/>
          <w:vertAlign w:val="superscript"/>
        </w:rPr>
        <w:footnoteReference w:id="1426"/>
      </w:r>
      <w:r w:rsidRPr="00C818F0">
        <w:rPr>
          <w:rFonts w:ascii="Traditional Arabic" w:eastAsiaTheme="minorHAnsi" w:hAnsi="Traditional Arabic" w:cs="Traditional Arabic"/>
          <w:sz w:val="30"/>
          <w:szCs w:val="30"/>
          <w:rtl/>
        </w:rPr>
        <w:t>في مذكرة مشتركة موجهة إلى فريق الخبراء في 8 آب/ أغسطس 2018، أشارت البعثات الدائمة لليمن والمملكة العربية السعودية والإمارات العربية المتحدة إلى أن الفريق المشترك لتقييم الحوادث ضم ممثلين عن عدد من الدول الأعضاء في التحالف. وبحسب المذكرة المشتركة أيضًا، إن المساءلة تتم وفقًا للقوانين المعمول بها في دول التحالف المعنية، وأن الحكومة اليمنية كانت تضمن المساءلة كذلك</w:t>
      </w:r>
      <w:r w:rsidRPr="00C818F0">
        <w:rPr>
          <w:rFonts w:ascii="Traditional Arabic" w:eastAsiaTheme="minorHAnsi" w:hAnsi="Traditional Arabic" w:cs="Traditional Arabic"/>
          <w:sz w:val="30"/>
          <w:szCs w:val="30"/>
          <w:lang w:bidi="ar"/>
        </w:rPr>
        <w:t>.</w:t>
      </w:r>
    </w:p>
    <w:p w14:paraId="101F490B"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إلا أن النظر في المعلومات المتاحة يثير مخاوف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لا يفي بالمعايير التي حددها القانون الدولي لضمان المساءلة.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يظل غياب الشفافية </w:t>
      </w:r>
      <w:r w:rsidRPr="00C818F0">
        <w:rPr>
          <w:rFonts w:ascii="Traditional Arabic" w:eastAsiaTheme="minorHAnsi" w:hAnsi="Traditional Arabic" w:cs="Traditional Arabic" w:hint="cs"/>
          <w:sz w:val="30"/>
          <w:szCs w:val="30"/>
          <w:rtl/>
        </w:rPr>
        <w:t>ال</w:t>
      </w:r>
      <w:r w:rsidRPr="00C818F0">
        <w:rPr>
          <w:rFonts w:ascii="Traditional Arabic" w:eastAsiaTheme="minorHAnsi" w:hAnsi="Traditional Arabic" w:cs="Traditional Arabic"/>
          <w:sz w:val="30"/>
          <w:szCs w:val="30"/>
          <w:rtl/>
        </w:rPr>
        <w:t xml:space="preserve">عقبة </w:t>
      </w:r>
      <w:r w:rsidRPr="00C818F0">
        <w:rPr>
          <w:rFonts w:ascii="Traditional Arabic" w:eastAsiaTheme="minorHAnsi" w:hAnsi="Traditional Arabic" w:cs="Traditional Arabic" w:hint="cs"/>
          <w:sz w:val="30"/>
          <w:szCs w:val="30"/>
          <w:rtl/>
        </w:rPr>
        <w:t>ال</w:t>
      </w:r>
      <w:r w:rsidRPr="00C818F0">
        <w:rPr>
          <w:rFonts w:ascii="Traditional Arabic" w:eastAsiaTheme="minorHAnsi" w:hAnsi="Traditional Arabic" w:cs="Traditional Arabic"/>
          <w:sz w:val="30"/>
          <w:szCs w:val="30"/>
          <w:rtl/>
        </w:rPr>
        <w:t>رئيسية أمام إجراء تقييم شامل لهذه الآلية</w:t>
      </w:r>
      <w:r w:rsidRPr="00C818F0">
        <w:rPr>
          <w:rFonts w:ascii="Traditional Arabic" w:eastAsiaTheme="minorHAnsi" w:hAnsi="Traditional Arabic" w:cs="Traditional Arabic"/>
          <w:sz w:val="30"/>
          <w:szCs w:val="30"/>
          <w:lang w:bidi="ar"/>
        </w:rPr>
        <w:t>.</w:t>
      </w:r>
    </w:p>
    <w:p w14:paraId="1B41F2A1" w14:textId="77777777" w:rsidR="00C818F0" w:rsidRPr="00C818F0" w:rsidRDefault="00C818F0" w:rsidP="003B7CC4">
      <w:pPr>
        <w:suppressAutoHyphens w:val="0"/>
        <w:bidi/>
        <w:spacing w:after="240" w:line="259" w:lineRule="auto"/>
        <w:ind w:left="1134" w:right="827"/>
        <w:jc w:val="both"/>
        <w:rPr>
          <w:rFonts w:ascii="Traditional Arabic" w:eastAsiaTheme="minorHAnsi" w:hAnsi="Traditional Arabic" w:cs="Traditional Arabic"/>
          <w:iCs/>
          <w:sz w:val="30"/>
          <w:szCs w:val="30"/>
          <w:rtl/>
          <w:lang w:val="en-US"/>
        </w:rPr>
      </w:pPr>
      <w:r w:rsidRPr="00C818F0">
        <w:rPr>
          <w:rFonts w:ascii="Traditional Arabic" w:eastAsiaTheme="minorHAnsi" w:hAnsi="Traditional Arabic" w:cs="Traditional Arabic"/>
          <w:iCs/>
          <w:sz w:val="30"/>
          <w:szCs w:val="30"/>
          <w:rtl/>
          <w:lang w:val="en-US"/>
        </w:rPr>
        <w:t xml:space="preserve">الاستقلالية والحيادية </w:t>
      </w:r>
    </w:p>
    <w:p w14:paraId="4C05D6D7"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lastRenderedPageBreak/>
        <w:t>وفقًا للمعلومات التي جمعها فريق الخبراء، يبدو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المنشأ بموجب مرسوم ملكي، يقدم تقاريره مباشرة إلى وزير الدفاع في المملكة العربية السعودية. هذا يثير مخاوف واضحة بشأن الاستقلالية. وبالفعل، طلب فريق الخبراء الحصول على معلومات من أجل تقييم كيفية ضمان الاستقلالية والحياد من قبل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ولم يتلق أي معلومات من التحالف.</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يثير هذا أيضًا مخاوف قوية بشأن </w:t>
      </w:r>
      <w:r w:rsidRPr="00C818F0">
        <w:rPr>
          <w:rFonts w:ascii="Traditional Arabic" w:eastAsiaTheme="minorHAnsi" w:hAnsi="Traditional Arabic" w:cs="Traditional Arabic" w:hint="cs"/>
          <w:sz w:val="30"/>
          <w:szCs w:val="30"/>
          <w:rtl/>
        </w:rPr>
        <w:t xml:space="preserve">إحترام </w:t>
      </w:r>
      <w:r w:rsidRPr="00C818F0">
        <w:rPr>
          <w:rFonts w:ascii="Traditional Arabic" w:eastAsiaTheme="minorHAnsi" w:hAnsi="Traditional Arabic" w:cs="Traditional Arabic"/>
          <w:sz w:val="30"/>
          <w:szCs w:val="30"/>
          <w:rtl/>
        </w:rPr>
        <w:t xml:space="preserve">الشفافية </w:t>
      </w:r>
      <w:r w:rsidRPr="00C818F0">
        <w:rPr>
          <w:rFonts w:ascii="Traditional Arabic" w:eastAsiaTheme="minorHAnsi" w:hAnsi="Traditional Arabic" w:cs="Traditional Arabic" w:hint="cs"/>
          <w:sz w:val="30"/>
          <w:szCs w:val="30"/>
          <w:rtl/>
        </w:rPr>
        <w:t xml:space="preserve">كما </w:t>
      </w:r>
      <w:r w:rsidRPr="00C818F0">
        <w:rPr>
          <w:rFonts w:ascii="Traditional Arabic" w:eastAsiaTheme="minorHAnsi" w:hAnsi="Traditional Arabic" w:cs="Traditional Arabic"/>
          <w:sz w:val="30"/>
          <w:szCs w:val="30"/>
          <w:rtl/>
        </w:rPr>
        <w:t>يتطلب القانون الدولي. بالرغم من طلبه الرسمي إلى كل من الحكومة اليمنية والتحالف، لم يتلق فريق الخبراء أي معلومات حول المنهجية والعملية التي اتبعها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لاختيار ومراجعة حوادث الإصابات بين المدنيين. استفسر فريق الخبراء تحديدا عن الأسس لتحديد ما إذا ينبغي فتح تحقيق رسمي أو ينبغي إغلاق القضية وتدابير</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 xml:space="preserve">مساءلة </w:t>
      </w:r>
      <w:r w:rsidRPr="00C818F0">
        <w:rPr>
          <w:rFonts w:ascii="Traditional Arabic" w:eastAsiaTheme="minorHAnsi" w:hAnsi="Traditional Arabic" w:cs="Traditional Arabic"/>
          <w:sz w:val="30"/>
          <w:szCs w:val="30"/>
          <w:rtl/>
          <w:lang w:bidi="ar-YE"/>
        </w:rPr>
        <w:t xml:space="preserve">أخرى </w:t>
      </w:r>
      <w:r w:rsidRPr="00C818F0">
        <w:rPr>
          <w:rFonts w:ascii="Traditional Arabic" w:eastAsiaTheme="minorHAnsi" w:hAnsi="Traditional Arabic" w:cs="Traditional Arabic"/>
          <w:sz w:val="30"/>
          <w:szCs w:val="30"/>
          <w:rtl/>
        </w:rPr>
        <w:t>في حالات تكون الملاحقة القضائية غير مناسبة. في حين أنه من المعروف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يتلقى شكاوى 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اللجنة الوطنية والأمم المتحدة والمنظمات غير الحكومية، لا يُعرف سوى القليل عن معايير اختيار الحالات التي سيراجعها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وبالمثل، من غير الواضح كيف يقع الاختيار على الحالات التي ستُنشر استنتاجاتها في البيانات الصحفية أو ما إذا كان يوجد قضايا أخرى غير تلك المنشورة قد تم دراستها بالفعل. إن حقيقة عدم وجود أي تجميع دوري لاستنتاجات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هو إشكالية، بمعنى أنه لا يوجد سجل عام شامل للنتائج والاستنتاجات. هذه مسألة أخرى تُعنى بالشفافية. أخيرًا، لم يعثر فريق الخبراء على أي معلومات تتعلق بآلية الإحالة المحتملة من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إلى النظام القضائي في اليمن أو في الدول الأعضاء في التحالف</w:t>
      </w:r>
      <w:r w:rsidRPr="00C818F0">
        <w:rPr>
          <w:rFonts w:ascii="Traditional Arabic" w:eastAsiaTheme="minorHAnsi" w:hAnsi="Traditional Arabic" w:cs="Traditional Arabic"/>
          <w:sz w:val="30"/>
          <w:szCs w:val="30"/>
          <w:lang w:bidi="ar"/>
        </w:rPr>
        <w:t>.</w:t>
      </w:r>
    </w:p>
    <w:p w14:paraId="170FD378" w14:textId="487956D1" w:rsidR="00C818F0" w:rsidRPr="00C818F0" w:rsidRDefault="00C818F0" w:rsidP="00C818F0">
      <w:pPr>
        <w:suppressAutoHyphens w:val="0"/>
        <w:bidi/>
        <w:spacing w:after="160" w:line="259" w:lineRule="auto"/>
        <w:ind w:right="827"/>
        <w:jc w:val="both"/>
        <w:rPr>
          <w:rFonts w:ascii="Traditional Arabic" w:eastAsiaTheme="minorHAnsi" w:hAnsi="Traditional Arabic" w:cs="Traditional Arabic"/>
          <w:b/>
          <w:iCs/>
          <w:sz w:val="30"/>
          <w:szCs w:val="30"/>
          <w:rtl/>
        </w:rPr>
      </w:pPr>
      <w:r w:rsidRPr="00C818F0">
        <w:rPr>
          <w:rFonts w:ascii="Traditional Arabic" w:eastAsiaTheme="minorHAnsi" w:hAnsi="Traditional Arabic" w:cs="Traditional Arabic"/>
          <w:bCs/>
          <w:i/>
          <w:sz w:val="30"/>
          <w:szCs w:val="30"/>
          <w:rtl/>
        </w:rPr>
        <w:tab/>
      </w:r>
      <w:r w:rsidR="00034649">
        <w:rPr>
          <w:rFonts w:ascii="Traditional Arabic" w:eastAsiaTheme="minorHAnsi" w:hAnsi="Traditional Arabic" w:cs="Traditional Arabic"/>
          <w:bCs/>
          <w:i/>
          <w:sz w:val="30"/>
          <w:szCs w:val="30"/>
          <w:rtl/>
        </w:rPr>
        <w:tab/>
      </w:r>
      <w:r w:rsidRPr="00C818F0">
        <w:rPr>
          <w:rFonts w:ascii="Traditional Arabic" w:eastAsiaTheme="minorHAnsi" w:hAnsi="Traditional Arabic" w:cs="Traditional Arabic"/>
          <w:b/>
          <w:iCs/>
          <w:sz w:val="30"/>
          <w:szCs w:val="30"/>
          <w:rtl/>
        </w:rPr>
        <w:t>الدقة والمصداقية</w:t>
      </w:r>
    </w:p>
    <w:p w14:paraId="55306282" w14:textId="09A07D0F"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iCs/>
          <w:sz w:val="30"/>
          <w:szCs w:val="30"/>
          <w:lang w:val="en-US"/>
        </w:rPr>
      </w:pPr>
      <w:r w:rsidRPr="00C818F0">
        <w:rPr>
          <w:rFonts w:ascii="Traditional Arabic" w:eastAsiaTheme="minorHAnsi" w:hAnsi="Traditional Arabic" w:cs="Traditional Arabic" w:hint="eastAsia"/>
          <w:sz w:val="30"/>
          <w:szCs w:val="30"/>
          <w:rtl/>
        </w:rPr>
        <w:t>ب</w:t>
      </w:r>
      <w:r w:rsidRPr="00C818F0">
        <w:rPr>
          <w:rFonts w:ascii="Traditional Arabic" w:eastAsiaTheme="minorHAnsi" w:hAnsi="Traditional Arabic" w:cs="Traditional Arabic"/>
          <w:sz w:val="30"/>
          <w:szCs w:val="30"/>
          <w:rtl/>
        </w:rPr>
        <w:t>الإضافة إلى استعراض أكثر من 70 حادثة حقق فيها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في ولايته الأولى، استعرض فريق الخبراء – في ولايته الحالية – أحدث استنتاجات</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المنشورة في وسائل الإعلام بين 1 تموز/ يوليو 2018 و30 حزيران/ يونيو 2019 في أكثر من 40 حالة. للأسف، لم </w:t>
      </w:r>
      <w:r w:rsidRPr="00C818F0">
        <w:rPr>
          <w:rFonts w:ascii="Traditional Arabic" w:eastAsiaTheme="minorHAnsi" w:hAnsi="Traditional Arabic" w:cs="Traditional Arabic"/>
          <w:sz w:val="30"/>
          <w:szCs w:val="30"/>
          <w:rtl/>
          <w:lang w:bidi="ar-YE"/>
        </w:rPr>
        <w:t xml:space="preserve">يصل </w:t>
      </w:r>
      <w:r w:rsidRPr="00C818F0">
        <w:rPr>
          <w:rFonts w:ascii="Traditional Arabic" w:eastAsiaTheme="minorHAnsi" w:hAnsi="Traditional Arabic" w:cs="Traditional Arabic"/>
          <w:sz w:val="30"/>
          <w:szCs w:val="30"/>
          <w:rtl/>
        </w:rPr>
        <w:t xml:space="preserve">رد من التحالف على طلب فريق الخبراء معرفة المستجدات في القضايا التي تم النظر فيها وملخص النتائج قبل المهلة الزمنية للانتهاء من كتابة هذا التقرير. على الرغم من التقدم الملحوظ على مر السنين في ما يتعلق بالمعلومات المقدمة وكذلك زيادة في إدراك "الأخطاء"، يظل التحليل المنشور في البيانات الصحفية في معظم الحالات موجزا للغاية وفيه تكرار ولا يَسمح لأحد باستنتاج ما إذا كانت التحقيقات قد تمت على مستوى المعايير الدولية، مما يثير مخاوف خطيرة بشأن الدقة والمصداقية. بقيت النتائج المتعلقة بادعاءات وقوع إصابات أو أضرار في صفوف المدنيين مقسمة إلى ثلاث فئات من الاستنتاجات: أ) خطأ بشري (معظمها معلومات </w:t>
      </w:r>
      <w:r w:rsidRPr="00C818F0">
        <w:rPr>
          <w:rFonts w:ascii="Traditional Arabic" w:eastAsiaTheme="minorHAnsi" w:hAnsi="Traditional Arabic" w:cs="Traditional Arabic" w:hint="eastAsia"/>
          <w:sz w:val="30"/>
          <w:szCs w:val="30"/>
          <w:rtl/>
        </w:rPr>
        <w:t>استخباريه</w:t>
      </w:r>
      <w:r w:rsidRPr="00C818F0">
        <w:rPr>
          <w:rFonts w:ascii="Traditional Arabic" w:eastAsiaTheme="minorHAnsi" w:hAnsi="Traditional Arabic" w:cs="Traditional Arabic"/>
          <w:sz w:val="30"/>
          <w:szCs w:val="30"/>
          <w:rtl/>
        </w:rPr>
        <w:t xml:space="preserve"> خاطئة) أو خطأ فني ب) لم يكن التحالف هو مصدر الهجوم؛ ج) كان المستهدف هدفا عسكريا. بينما نجد في بعض الحالات أن الفريق المشترك لتقييم الحوادث </w:t>
      </w:r>
      <w:r w:rsidRPr="00C818F0">
        <w:rPr>
          <w:rFonts w:ascii="Traditional Arabic" w:eastAsiaTheme="minorHAnsi" w:hAnsi="Traditional Arabic" w:cs="Traditional Arabic" w:hint="eastAsia"/>
          <w:sz w:val="30"/>
          <w:szCs w:val="30"/>
          <w:rtl/>
        </w:rPr>
        <w:t>إنتقد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الخسائر في الأرواح أو الأضرار التي لحقت بالبنى التحتية المدنية وأوصي بنوع من المساعدة، يبدو أنه فقط في اثنين من البيانات الصحفية التي تم النظر فيها توصل إلى استنتاج مفاده أن الدول الأعضاء في التحالف ربما انتهكت القانون الدولي </w:t>
      </w:r>
      <w:r w:rsidRPr="00C818F0">
        <w:rPr>
          <w:rFonts w:ascii="Traditional Arabic" w:eastAsiaTheme="minorHAnsi" w:hAnsi="Traditional Arabic" w:cs="Traditional Arabic"/>
          <w:sz w:val="30"/>
          <w:szCs w:val="30"/>
          <w:rtl/>
        </w:rPr>
        <w:lastRenderedPageBreak/>
        <w:t xml:space="preserve">الإنساني. عبر هاتان الحالتان اللتان اعترف بهما الفريق المشترك لتقييم الحوادث بعدم احترام قواعد الاشتباك، تم الإقرار ضمنًا بعدم احترام مبدأ الاحتياطات في الهجوم. تتعلق هذه النتائج بالغارة الجوية على حافلة وسوق محلي في صعدة في 9 آب/ أغسطس 2018 </w:t>
      </w:r>
      <w:r w:rsidR="00226F70" w:rsidRPr="00B91FAE">
        <w:rPr>
          <w:rStyle w:val="FootnoteReference"/>
          <w:rFonts w:asciiTheme="majorBidi" w:hAnsiTheme="majorBidi" w:cstheme="majorBidi"/>
          <w:bCs/>
        </w:rPr>
        <w:footnoteReference w:id="1427"/>
      </w:r>
      <w:r w:rsidRPr="00C818F0">
        <w:rPr>
          <w:rFonts w:ascii="Traditional Arabic" w:eastAsiaTheme="minorHAnsi" w:hAnsi="Traditional Arabic" w:cs="Traditional Arabic"/>
          <w:sz w:val="30"/>
          <w:szCs w:val="30"/>
          <w:rtl/>
        </w:rPr>
        <w:t xml:space="preserve"> (</w:t>
      </w:r>
      <w:r w:rsidRPr="00FE15BE">
        <w:rPr>
          <w:rFonts w:ascii="Traditional Arabic" w:eastAsiaTheme="minorHAnsi" w:hAnsi="Traditional Arabic" w:cs="Traditional Arabic"/>
          <w:sz w:val="30"/>
          <w:szCs w:val="30"/>
          <w:rtl/>
        </w:rPr>
        <w:t>انظر أدناه</w:t>
      </w:r>
      <w:r w:rsidRPr="00C818F0">
        <w:rPr>
          <w:rFonts w:ascii="Traditional Arabic" w:eastAsiaTheme="minorHAnsi" w:hAnsi="Traditional Arabic" w:cs="Traditional Arabic"/>
          <w:sz w:val="30"/>
          <w:szCs w:val="30"/>
          <w:rtl/>
        </w:rPr>
        <w:t xml:space="preserve">) والغارة الجوية على خيمة زفاف في حجة في 24 نيسان/ أبريل 2018 </w:t>
      </w:r>
      <w:r w:rsidR="00226F70" w:rsidRPr="00B91FAE">
        <w:rPr>
          <w:rStyle w:val="FootnoteReference"/>
          <w:rFonts w:asciiTheme="majorBidi" w:hAnsiTheme="majorBidi" w:cstheme="majorBidi"/>
          <w:bCs/>
        </w:rPr>
        <w:footnoteReference w:id="1428"/>
      </w:r>
      <w:r w:rsidR="00226F70"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rtl/>
        </w:rPr>
        <w:t xml:space="preserve">(انظر التقرير الأول </w:t>
      </w:r>
      <w:r w:rsidRPr="00C818F0">
        <w:rPr>
          <w:rFonts w:ascii="Traditional Arabic" w:eastAsiaTheme="minorHAnsi" w:hAnsi="Traditional Arabic" w:cs="Traditional Arabic"/>
          <w:bCs/>
          <w:sz w:val="30"/>
          <w:szCs w:val="30"/>
          <w:lang w:val="en-US"/>
        </w:rPr>
        <w:t>GEE A/HRC/39/43</w:t>
      </w:r>
      <w:r w:rsidRPr="00C818F0">
        <w:rPr>
          <w:rFonts w:ascii="Traditional Arabic" w:eastAsiaTheme="minorHAnsi" w:hAnsi="Traditional Arabic" w:cs="Traditional Arabic"/>
          <w:bCs/>
          <w:sz w:val="30"/>
          <w:szCs w:val="30"/>
          <w:rtl/>
          <w:lang w:val="en-US"/>
        </w:rPr>
        <w:t xml:space="preserve"> </w:t>
      </w:r>
      <w:r w:rsidRPr="00C818F0">
        <w:rPr>
          <w:rFonts w:ascii="Traditional Arabic" w:eastAsiaTheme="minorHAnsi" w:hAnsi="Traditional Arabic" w:cs="Traditional Arabic"/>
          <w:sz w:val="30"/>
          <w:szCs w:val="30"/>
          <w:rtl/>
        </w:rPr>
        <w:t>الفقرة 32).</w:t>
      </w:r>
    </w:p>
    <w:p w14:paraId="7B6A14DA" w14:textId="6CD6049D"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لدى فريق الخبراء مخاوف بشأن أحكام القانون الدولي الإنساني الذي تم التذرع به لتبرير بعض الإجراءات وأيضا التحليل القانوني الذي يدعم هذه النتائج.</w:t>
      </w:r>
      <w:r w:rsidR="00226F70" w:rsidRPr="00226F70">
        <w:rPr>
          <w:rStyle w:val="Heading2Char"/>
          <w:rFonts w:asciiTheme="majorBidi" w:hAnsiTheme="majorBidi" w:cstheme="majorBidi"/>
        </w:rPr>
        <w:t xml:space="preserve"> </w:t>
      </w:r>
      <w:r w:rsidR="00226F70" w:rsidRPr="00B91FAE">
        <w:rPr>
          <w:rStyle w:val="FootnoteReference"/>
          <w:rFonts w:asciiTheme="majorBidi" w:hAnsiTheme="majorBidi" w:cstheme="majorBidi"/>
        </w:rPr>
        <w:footnoteReference w:id="1429"/>
      </w:r>
      <w:r w:rsidRPr="00C818F0">
        <w:rPr>
          <w:rFonts w:ascii="Traditional Arabic" w:eastAsiaTheme="minorHAnsi" w:hAnsi="Traditional Arabic" w:cs="Traditional Arabic"/>
          <w:sz w:val="30"/>
          <w:szCs w:val="30"/>
          <w:rtl/>
        </w:rPr>
        <w:t>ما يثير القلق على وجه الخصوص أنه بمجرد قيام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ب</w:t>
      </w:r>
      <w:r w:rsidRPr="00C818F0">
        <w:rPr>
          <w:rFonts w:ascii="Traditional Arabic" w:eastAsiaTheme="minorHAnsi" w:hAnsi="Traditional Arabic" w:cs="Traditional Arabic" w:hint="cs"/>
          <w:sz w:val="30"/>
          <w:szCs w:val="30"/>
          <w:rtl/>
        </w:rPr>
        <w:t>التأكد م</w:t>
      </w:r>
      <w:r w:rsidRPr="00C818F0">
        <w:rPr>
          <w:rFonts w:ascii="Traditional Arabic" w:eastAsiaTheme="minorHAnsi" w:hAnsi="Traditional Arabic" w:cs="Traditional Arabic"/>
          <w:sz w:val="30"/>
          <w:szCs w:val="30"/>
          <w:rtl/>
        </w:rPr>
        <w:t xml:space="preserve">ن وجود هدف عسكري مشروع، فإنه لا يشير إلى تحليل التناسب الضروري. في الواقع، وفقًا لمبدأ التناسب، يشترط القانون الدولي الإنساني ألا تكون الإصابات المدنية العرضية أو الأضرار الجانبية المتوقعة التي </w:t>
      </w:r>
      <w:r w:rsidRPr="00C818F0">
        <w:rPr>
          <w:rFonts w:ascii="Traditional Arabic" w:eastAsiaTheme="minorHAnsi" w:hAnsi="Traditional Arabic" w:cs="Traditional Arabic" w:hint="eastAsia"/>
          <w:sz w:val="30"/>
          <w:szCs w:val="30"/>
          <w:rtl/>
        </w:rPr>
        <w:t>ت</w:t>
      </w:r>
      <w:r w:rsidRPr="00C818F0">
        <w:rPr>
          <w:rFonts w:ascii="Traditional Arabic" w:eastAsiaTheme="minorHAnsi" w:hAnsi="Traditional Arabic" w:cs="Traditional Arabic"/>
          <w:sz w:val="30"/>
          <w:szCs w:val="30"/>
          <w:rtl/>
        </w:rPr>
        <w:t>لحق بالأهداف المدنية مفرطة فيما يتعلق بالميزة العسكرية الملموسة والمباشرة المتوقعة. وبناءً على ذلك، يجب على القوات المسلحة التفكير في الميزة العسكرية التي يتوقع أن يقوم بها أي هجوم مقابل الإصابات أو الأضرار المتوقعة في صفوف المدنيين والتأكد من أن الهجوم المحدد لا يؤدي إلى خسائر مدنية</w:t>
      </w:r>
      <w:r w:rsidRPr="00C818F0">
        <w:rPr>
          <w:rFonts w:ascii="Traditional Arabic" w:eastAsiaTheme="minorHAnsi" w:hAnsi="Traditional Arabic" w:cs="Traditional Arabic" w:hint="cs"/>
          <w:sz w:val="30"/>
          <w:szCs w:val="30"/>
          <w:rtl/>
        </w:rPr>
        <w:t xml:space="preserve"> مفرطة</w:t>
      </w:r>
      <w:r w:rsidRPr="00C818F0">
        <w:rPr>
          <w:rFonts w:ascii="Traditional Arabic" w:eastAsiaTheme="minorHAnsi" w:hAnsi="Traditional Arabic" w:cs="Traditional Arabic"/>
          <w:sz w:val="30"/>
          <w:szCs w:val="30"/>
          <w:rtl/>
        </w:rPr>
        <w:t>. لا يوجد أي مؤشر على هذا التحليل في الملخصات المنشورة للفريق المشترك لتقييم الحوادث والتي خلصت في معظم الحالات إلى أن مسار العمل كان قانونيًا بمجرد تحديد الهدف باعتباره مشروعًا. ومع ذلك، فإن هذه الشرعية لن يكون معترف بها إذا لم يتم احترام مبدأ التناسب. فيما يتعلق بمبدأ الاحتياطات في الهجوم، فقد تم الإبلاغ عن تدابير احترازية في بعض الحالات، مثل توقيت الهجوم والتأكد من عدم وجود مدنيين، ولكن لا يوجد تحليل منهجي لاحترام هذا المبدأ أيضًا. في ضوء ذلك، لدى فريق الخبراء مخاوف بشأن ما إذا كانت دقة ومصداقية عمل</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تفي بمتطلبات آلية المساءلة لتلبية معايير القانون الدولي. وهذا </w:t>
      </w:r>
      <w:r w:rsidRPr="00C818F0">
        <w:rPr>
          <w:rFonts w:ascii="Traditional Arabic" w:eastAsiaTheme="minorHAnsi" w:hAnsi="Traditional Arabic" w:cs="Traditional Arabic" w:hint="cs"/>
          <w:sz w:val="30"/>
          <w:szCs w:val="30"/>
          <w:rtl/>
        </w:rPr>
        <w:t xml:space="preserve">أيضًا </w:t>
      </w:r>
      <w:r w:rsidRPr="00C818F0">
        <w:rPr>
          <w:rFonts w:ascii="Traditional Arabic" w:eastAsiaTheme="minorHAnsi" w:hAnsi="Traditional Arabic" w:cs="Traditional Arabic"/>
          <w:sz w:val="30"/>
          <w:szCs w:val="30"/>
          <w:rtl/>
        </w:rPr>
        <w:t>ي</w:t>
      </w:r>
      <w:r w:rsidRPr="00C818F0">
        <w:rPr>
          <w:rFonts w:ascii="Traditional Arabic" w:eastAsiaTheme="minorHAnsi" w:hAnsi="Traditional Arabic" w:cs="Traditional Arabic" w:hint="cs"/>
          <w:sz w:val="30"/>
          <w:szCs w:val="30"/>
          <w:rtl/>
        </w:rPr>
        <w:t xml:space="preserve">ؤكد على وجود </w:t>
      </w:r>
      <w:r w:rsidRPr="00C818F0">
        <w:rPr>
          <w:rFonts w:ascii="Traditional Arabic" w:eastAsiaTheme="minorHAnsi" w:hAnsi="Traditional Arabic" w:cs="Traditional Arabic"/>
          <w:sz w:val="30"/>
          <w:szCs w:val="30"/>
          <w:rtl/>
        </w:rPr>
        <w:t>مخاوف بشأن حياد الآلية</w:t>
      </w:r>
      <w:r w:rsidRPr="00C818F0">
        <w:rPr>
          <w:rFonts w:ascii="Traditional Arabic" w:eastAsiaTheme="minorHAnsi" w:hAnsi="Traditional Arabic" w:cs="Traditional Arabic"/>
          <w:sz w:val="30"/>
          <w:szCs w:val="30"/>
          <w:lang w:bidi="ar"/>
        </w:rPr>
        <w:t>.</w:t>
      </w:r>
    </w:p>
    <w:p w14:paraId="2FAEFB9D" w14:textId="77777777" w:rsidR="00C818F0" w:rsidRPr="00C818F0" w:rsidRDefault="00C818F0" w:rsidP="00034649">
      <w:pPr>
        <w:suppressAutoHyphens w:val="0"/>
        <w:bidi/>
        <w:spacing w:after="160" w:line="259" w:lineRule="auto"/>
        <w:ind w:left="1134" w:right="827"/>
        <w:jc w:val="both"/>
        <w:rPr>
          <w:rFonts w:ascii="Traditional Arabic" w:eastAsiaTheme="minorHAnsi" w:hAnsi="Traditional Arabic" w:cs="Traditional Arabic"/>
          <w:iCs/>
          <w:sz w:val="30"/>
          <w:szCs w:val="30"/>
          <w:lang w:val="en-US"/>
        </w:rPr>
      </w:pPr>
      <w:r w:rsidRPr="00C818F0">
        <w:rPr>
          <w:rFonts w:ascii="Traditional Arabic" w:eastAsiaTheme="minorHAnsi" w:hAnsi="Traditional Arabic" w:cs="Traditional Arabic"/>
          <w:iCs/>
          <w:sz w:val="30"/>
          <w:szCs w:val="30"/>
          <w:rtl/>
          <w:lang w:val="en-US"/>
        </w:rPr>
        <w:t>الفعالية</w:t>
      </w:r>
    </w:p>
    <w:p w14:paraId="66F778CB" w14:textId="43C4F796"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عند كتابة هذا التقرير، لم يتلق فريق الخبراء أي معلومات ردًا على استفساراته حول عدد القضايا المحالة إلى السلطات الوطنية وتلك التي أدت إلى ملاحقات قضائية وعدد الإدانات. كما أن الافتقار إلى الشفافية بشأن هذه المسألة يثير تساؤلات حول فعالية هذه الآلية من حيث المساءلة.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حتى لو </w:t>
      </w:r>
      <w:r w:rsidRPr="00C818F0">
        <w:rPr>
          <w:rFonts w:ascii="Traditional Arabic" w:eastAsiaTheme="minorHAnsi" w:hAnsi="Traditional Arabic" w:cs="Traditional Arabic" w:hint="cs"/>
          <w:sz w:val="30"/>
          <w:szCs w:val="30"/>
          <w:rtl/>
        </w:rPr>
        <w:t xml:space="preserve">كانت </w:t>
      </w:r>
      <w:r w:rsidRPr="00C818F0">
        <w:rPr>
          <w:rFonts w:ascii="Traditional Arabic" w:eastAsiaTheme="minorHAnsi" w:hAnsi="Traditional Arabic" w:cs="Traditional Arabic"/>
          <w:sz w:val="30"/>
          <w:szCs w:val="30"/>
          <w:rtl/>
        </w:rPr>
        <w:t xml:space="preserve">ملاحقات </w:t>
      </w:r>
      <w:r w:rsidRPr="00C818F0">
        <w:rPr>
          <w:rFonts w:ascii="Traditional Arabic" w:eastAsiaTheme="minorHAnsi" w:hAnsi="Traditional Arabic" w:cs="Traditional Arabic"/>
          <w:sz w:val="30"/>
          <w:szCs w:val="30"/>
          <w:rtl/>
        </w:rPr>
        <w:lastRenderedPageBreak/>
        <w:t>قضائية</w:t>
      </w:r>
      <w:r w:rsidRPr="00C818F0">
        <w:rPr>
          <w:rFonts w:ascii="Traditional Arabic" w:eastAsiaTheme="minorHAnsi" w:hAnsi="Traditional Arabic" w:cs="Traditional Arabic" w:hint="cs"/>
          <w:sz w:val="30"/>
          <w:szCs w:val="30"/>
          <w:rtl/>
        </w:rPr>
        <w:t xml:space="preserve"> تأخذ مجراها</w:t>
      </w:r>
      <w:r w:rsidRPr="00C818F0">
        <w:rPr>
          <w:rFonts w:ascii="Traditional Arabic" w:eastAsiaTheme="minorHAnsi" w:hAnsi="Traditional Arabic" w:cs="Traditional Arabic"/>
          <w:sz w:val="30"/>
          <w:szCs w:val="30"/>
          <w:rtl/>
        </w:rPr>
        <w:t>، وفقًا لوكالة الأنباء السعودية، فقد صدر عفوًا ملكيًا في 10 حزيران/ يوليو 2018 لجميع الجنود السعوديين المنتشرين في اليمن المتورطين في "عملية استعادة الأمل"، مما أدى الى إعفاءهم من العقوبات العسكرية والتأديبية الخاصة بهم</w:t>
      </w:r>
      <w:r w:rsidRPr="00C818F0" w:rsidDel="00D31907">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sz w:val="30"/>
          <w:szCs w:val="30"/>
          <w:rtl/>
        </w:rPr>
        <w:t xml:space="preserve">"فيما يتعلق  </w:t>
      </w:r>
      <w:r w:rsidRPr="00C818F0">
        <w:rPr>
          <w:rFonts w:ascii="Traditional Arabic" w:eastAsiaTheme="minorHAnsi" w:hAnsi="Traditional Arabic" w:cs="Traditional Arabic" w:hint="eastAsia"/>
          <w:sz w:val="30"/>
          <w:szCs w:val="30"/>
          <w:rtl/>
        </w:rPr>
        <w:t>ببعض</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قواعد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الضبط</w:t>
      </w:r>
      <w:r w:rsidRPr="00C818F0">
        <w:rPr>
          <w:rFonts w:ascii="Traditional Arabic" w:eastAsiaTheme="minorHAnsi" w:hAnsi="Traditional Arabic" w:cs="Traditional Arabic"/>
          <w:sz w:val="30"/>
          <w:szCs w:val="30"/>
          <w:rtl/>
        </w:rPr>
        <w:t xml:space="preserve"> والربط العسكري."</w:t>
      </w:r>
      <w:r w:rsidRPr="00C818F0">
        <w:rPr>
          <w:rFonts w:ascii="Traditional Arabic" w:eastAsiaTheme="minorHAnsi" w:hAnsi="Traditional Arabic" w:cs="Traditional Arabic"/>
          <w:sz w:val="30"/>
          <w:szCs w:val="30"/>
          <w:vertAlign w:val="superscript"/>
          <w:lang w:val="en-US"/>
        </w:rPr>
        <w:t xml:space="preserve"> </w:t>
      </w:r>
      <w:r w:rsidR="00226F70" w:rsidRPr="00B91FAE">
        <w:rPr>
          <w:rStyle w:val="FootnoteReference"/>
          <w:rFonts w:asciiTheme="majorBidi" w:hAnsiTheme="majorBidi" w:cstheme="majorBidi"/>
        </w:rPr>
        <w:footnoteReference w:id="1430"/>
      </w:r>
      <w:r w:rsidRPr="00C818F0">
        <w:rPr>
          <w:rFonts w:ascii="Traditional Arabic" w:eastAsiaTheme="minorHAnsi" w:hAnsi="Traditional Arabic" w:cs="Traditional Arabic"/>
          <w:sz w:val="30"/>
          <w:szCs w:val="30"/>
          <w:rtl/>
        </w:rPr>
        <w:t>على الرغم من أنه لا يزال من غير الواضح ما هي القواعد المشار إليها، إلا أنه يثير مخاوف أخرى من حيث الفعالية والمصداقية</w:t>
      </w:r>
      <w:r w:rsidRPr="00C818F0">
        <w:rPr>
          <w:rFonts w:ascii="Traditional Arabic" w:eastAsiaTheme="minorHAnsi" w:hAnsi="Traditional Arabic" w:cs="Traditional Arabic"/>
          <w:sz w:val="30"/>
          <w:szCs w:val="30"/>
          <w:lang w:bidi="ar"/>
        </w:rPr>
        <w:t>.</w:t>
      </w:r>
    </w:p>
    <w:p w14:paraId="7ED57D6C" w14:textId="2DE07A3C"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t>في الحالات التي أقر فيها</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بحدوث إصابات مدنية أو أضرار بالبنية التحتية المدنية خاصة في الحالات التي حددت فيها "أخطاء تقنية" (ثلاث حالات</w:t>
      </w:r>
      <w:r w:rsidR="00226F70" w:rsidRPr="00B91FAE">
        <w:rPr>
          <w:rStyle w:val="FootnoteReference"/>
          <w:rFonts w:asciiTheme="majorBidi" w:hAnsiTheme="majorBidi" w:cstheme="majorBidi"/>
        </w:rPr>
        <w:footnoteReference w:id="1431"/>
      </w:r>
      <w:r w:rsidRPr="00C818F0">
        <w:rPr>
          <w:rFonts w:ascii="Traditional Arabic" w:eastAsiaTheme="minorHAnsi" w:hAnsi="Traditional Arabic" w:cs="Traditional Arabic"/>
          <w:sz w:val="30"/>
          <w:szCs w:val="30"/>
          <w:rtl/>
        </w:rPr>
        <w:t>) أو "أخطاء بشرية غير مقصودة" (حالتان</w:t>
      </w:r>
      <w:r w:rsidR="00226F70" w:rsidRPr="00B91FAE">
        <w:rPr>
          <w:rStyle w:val="FootnoteReference"/>
          <w:rFonts w:asciiTheme="majorBidi" w:hAnsiTheme="majorBidi" w:cstheme="majorBidi"/>
        </w:rPr>
        <w:footnoteReference w:id="1432"/>
      </w:r>
      <w:r w:rsidRPr="00C818F0">
        <w:rPr>
          <w:rFonts w:ascii="Traditional Arabic" w:eastAsiaTheme="minorHAnsi" w:hAnsi="Traditional Arabic" w:cs="Traditional Arabic"/>
          <w:sz w:val="30"/>
          <w:szCs w:val="30"/>
          <w:rtl/>
        </w:rPr>
        <w:t>)، فقد أوصى بتقديم المساعدة للضحايا. وقد تم التوصية بهذه المساعدة أيضًا في الحالات التي لم يتم فيها الاعتراف بأية أخطاء، ولكن تم تقييم حدوث أضرار جانبية. في حين أن مثل هذه التوصيات للمساعدة هي خطوة مرحب بها، إلا أنه لا يزال من غير الواضح كيف تتم متابعة هذه التوصيات، وما إذا كان يوجد آلية محددة قد وضعت لضمان ذلك. يجدر الإشارة أيضًا إلى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w:t>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أوصى بتقديم المساعدة "الطوعية"، أي المساعدة التي لا ترتبط بالضرورة بأي اعترافات أو تقر بها، وبالتالي لا ترقى إلى مستوى التعويضات. من هذا المنطلق، في بعض الحالات التي حقق فيها فريق الخبراء، يوجد مخاوف من أن يكون الهدف من المدفوعات هو إسكات الضحايا أو الشهود</w:t>
      </w:r>
      <w:r w:rsidRPr="00C818F0">
        <w:rPr>
          <w:rFonts w:ascii="Traditional Arabic" w:eastAsiaTheme="minorHAnsi" w:hAnsi="Traditional Arabic" w:cs="Traditional Arabic"/>
          <w:sz w:val="30"/>
          <w:szCs w:val="30"/>
          <w:lang w:bidi="ar"/>
        </w:rPr>
        <w:t>.</w:t>
      </w:r>
    </w:p>
    <w:p w14:paraId="5F398C86" w14:textId="7759A448" w:rsidR="00C818F0" w:rsidRPr="0068318D" w:rsidRDefault="00C818F0" w:rsidP="00034649">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rPr>
        <w:t>أكد تحليل لنتائج</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في حالتين تم التحقيق فيهما من قبل فريق الخبراء على عدد من المخاوف التي تم تسليط الضوء عليها أعلاه</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الحالتين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هما</w:t>
      </w:r>
      <w:r w:rsidRPr="00C818F0">
        <w:rPr>
          <w:rFonts w:ascii="Traditional Arabic" w:eastAsiaTheme="minorHAnsi" w:hAnsi="Traditional Arabic" w:cs="Traditional Arabic"/>
          <w:sz w:val="30"/>
          <w:szCs w:val="30"/>
          <w:lang w:bidi="ar"/>
        </w:rPr>
        <w:t>:</w:t>
      </w:r>
    </w:p>
    <w:p w14:paraId="45005B96" w14:textId="7BFFF75E" w:rsidR="0068318D" w:rsidRDefault="0068318D" w:rsidP="0068318D">
      <w:pPr>
        <w:pStyle w:val="Footer"/>
        <w:tabs>
          <w:tab w:val="left" w:pos="720"/>
          <w:tab w:val="left" w:pos="900"/>
          <w:tab w:val="left" w:pos="1134"/>
          <w:tab w:val="left" w:pos="1701"/>
          <w:tab w:val="right" w:pos="1809"/>
        </w:tabs>
        <w:bidi/>
        <w:ind w:right="1080"/>
        <w:jc w:val="both"/>
        <w:rPr>
          <w:rFonts w:ascii="Traditional Arabic" w:eastAsiaTheme="minorHAnsi" w:hAnsi="Traditional Arabic" w:cs="Traditional Arabic"/>
          <w:sz w:val="30"/>
          <w:szCs w:val="30"/>
          <w:rtl/>
          <w:lang w:bidi="ar"/>
        </w:rPr>
      </w:pPr>
    </w:p>
    <w:p w14:paraId="3DD0C6EC" w14:textId="613F0E1A" w:rsidR="00C818F0" w:rsidRPr="00C818F0" w:rsidRDefault="00034649" w:rsidP="00C818F0">
      <w:pPr>
        <w:tabs>
          <w:tab w:val="left" w:pos="1701"/>
        </w:tabs>
        <w:suppressAutoHyphens w:val="0"/>
        <w:bidi/>
        <w:spacing w:after="120"/>
        <w:ind w:right="828"/>
        <w:rPr>
          <w:rFonts w:ascii="Traditional Arabic" w:eastAsiaTheme="minorHAnsi" w:hAnsi="Traditional Arabic" w:cs="Traditional Arabic"/>
          <w:sz w:val="30"/>
          <w:szCs w:val="30"/>
          <w:u w:val="single"/>
          <w:rtl/>
          <w:lang w:val="en-US"/>
        </w:rPr>
      </w:pPr>
      <w:r w:rsidRPr="00034649">
        <w:rPr>
          <w:rFonts w:ascii="Traditional Arabic" w:eastAsiaTheme="minorHAnsi" w:hAnsi="Traditional Arabic" w:cs="Traditional Arabic"/>
          <w:sz w:val="30"/>
          <w:szCs w:val="30"/>
          <w:rtl/>
          <w:lang w:val="en-US"/>
        </w:rPr>
        <w:tab/>
      </w:r>
      <w:r w:rsidR="00C818F0" w:rsidRPr="00C818F0">
        <w:rPr>
          <w:rFonts w:ascii="Traditional Arabic" w:eastAsiaTheme="minorHAnsi" w:hAnsi="Traditional Arabic" w:cs="Traditional Arabic" w:hint="eastAsia"/>
          <w:sz w:val="30"/>
          <w:szCs w:val="30"/>
          <w:u w:val="single"/>
          <w:rtl/>
          <w:lang w:val="en-US"/>
        </w:rPr>
        <w:t>هجوم</w:t>
      </w:r>
      <w:r w:rsidR="00C818F0" w:rsidRPr="00C818F0">
        <w:rPr>
          <w:rFonts w:ascii="Traditional Arabic" w:eastAsiaTheme="minorHAnsi" w:hAnsi="Traditional Arabic" w:cs="Traditional Arabic"/>
          <w:sz w:val="30"/>
          <w:szCs w:val="30"/>
          <w:u w:val="single"/>
          <w:rtl/>
          <w:lang w:val="en-US"/>
        </w:rPr>
        <w:t xml:space="preserve"> </w:t>
      </w:r>
      <w:r w:rsidR="00C818F0" w:rsidRPr="00C818F0">
        <w:rPr>
          <w:rFonts w:ascii="Traditional Arabic" w:eastAsiaTheme="minorHAnsi" w:hAnsi="Traditional Arabic" w:cs="Traditional Arabic" w:hint="eastAsia"/>
          <w:sz w:val="30"/>
          <w:szCs w:val="30"/>
          <w:u w:val="single"/>
          <w:rtl/>
          <w:lang w:val="en-US"/>
        </w:rPr>
        <w:t>على</w:t>
      </w:r>
      <w:r w:rsidR="00C818F0" w:rsidRPr="00C818F0">
        <w:rPr>
          <w:rFonts w:ascii="Traditional Arabic" w:eastAsiaTheme="minorHAnsi" w:hAnsi="Traditional Arabic" w:cs="Traditional Arabic"/>
          <w:sz w:val="30"/>
          <w:szCs w:val="30"/>
          <w:u w:val="single"/>
          <w:rtl/>
          <w:lang w:val="en-US"/>
        </w:rPr>
        <w:t xml:space="preserve"> مركز علاج الكوليرا، مديرية عبس، حجة</w:t>
      </w:r>
      <w:r w:rsidR="00C818F0" w:rsidRPr="00C818F0">
        <w:rPr>
          <w:rFonts w:ascii="Traditional Arabic" w:eastAsiaTheme="minorHAnsi" w:hAnsi="Traditional Arabic" w:cs="Traditional Arabic" w:hint="eastAsia"/>
          <w:sz w:val="30"/>
          <w:szCs w:val="30"/>
          <w:u w:val="single"/>
          <w:rtl/>
          <w:lang w:val="en-US"/>
        </w:rPr>
        <w:t>،</w:t>
      </w:r>
      <w:r w:rsidR="00C818F0" w:rsidRPr="00C818F0">
        <w:rPr>
          <w:rFonts w:ascii="Traditional Arabic" w:eastAsiaTheme="minorHAnsi" w:hAnsi="Traditional Arabic" w:cs="Traditional Arabic"/>
          <w:sz w:val="30"/>
          <w:szCs w:val="30"/>
          <w:u w:val="single"/>
          <w:rtl/>
          <w:lang w:val="en-US"/>
        </w:rPr>
        <w:t xml:space="preserve"> 11 </w:t>
      </w:r>
      <w:r w:rsidR="00C818F0" w:rsidRPr="00C818F0">
        <w:rPr>
          <w:rFonts w:ascii="Traditional Arabic" w:eastAsiaTheme="minorHAnsi" w:hAnsi="Traditional Arabic" w:cs="Traditional Arabic"/>
          <w:sz w:val="30"/>
          <w:szCs w:val="30"/>
          <w:u w:val="single"/>
          <w:rtl/>
        </w:rPr>
        <w:t xml:space="preserve">حزيران/ </w:t>
      </w:r>
      <w:r w:rsidR="00C818F0" w:rsidRPr="00C818F0">
        <w:rPr>
          <w:rFonts w:ascii="Traditional Arabic" w:eastAsiaTheme="minorHAnsi" w:hAnsi="Traditional Arabic" w:cs="Traditional Arabic"/>
          <w:sz w:val="30"/>
          <w:szCs w:val="30"/>
          <w:u w:val="single"/>
          <w:rtl/>
          <w:lang w:val="en-US"/>
        </w:rPr>
        <w:t>يونيو 2018</w:t>
      </w:r>
    </w:p>
    <w:p w14:paraId="094EE58D" w14:textId="33A4D007" w:rsidR="00C818F0" w:rsidRPr="00C818F0" w:rsidRDefault="00C818F0" w:rsidP="00FE15BE">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في هذه الحادثة (</w:t>
      </w:r>
      <w:r w:rsidRPr="00FE15BE">
        <w:rPr>
          <w:rFonts w:ascii="Traditional Arabic" w:eastAsiaTheme="minorHAnsi" w:hAnsi="Traditional Arabic" w:cs="Traditional Arabic"/>
          <w:sz w:val="30"/>
          <w:szCs w:val="30"/>
          <w:rtl/>
        </w:rPr>
        <w:t>انظر التفاصيل والتحليل في الفصل الخاص ب</w:t>
      </w:r>
      <w:r w:rsidR="00FE15BE" w:rsidRPr="00FE15BE">
        <w:rPr>
          <w:rFonts w:ascii="Traditional Arabic" w:eastAsiaTheme="minorHAnsi" w:hAnsi="Traditional Arabic" w:cs="Traditional Arabic" w:hint="cs"/>
          <w:sz w:val="30"/>
          <w:szCs w:val="30"/>
          <w:rtl/>
        </w:rPr>
        <w:t>صنعاء والمناطق تحت سيطرة سلطات الأمر الواقع، قسم الضربات الجوية</w:t>
      </w:r>
      <w:r w:rsidRPr="00C818F0">
        <w:rPr>
          <w:rFonts w:ascii="Traditional Arabic" w:eastAsiaTheme="minorHAnsi" w:hAnsi="Traditional Arabic" w:cs="Traditional Arabic"/>
          <w:sz w:val="30"/>
          <w:szCs w:val="30"/>
          <w:rtl/>
        </w:rPr>
        <w:t xml:space="preserve">) أقر الفريق المشترك لتقييم الحوادث بوجود خطأ من قبل التحالف على مستوى جمع المعلومات الاستخبارية. في النتائج التي توصل إليها في 16 كانون الثاني/ يناير 2019، </w:t>
      </w:r>
      <w:r w:rsidRPr="00C818F0">
        <w:rPr>
          <w:rFonts w:ascii="Traditional Arabic" w:eastAsiaTheme="minorHAnsi" w:hAnsi="Traditional Arabic" w:cs="Traditional Arabic" w:hint="eastAsia"/>
          <w:sz w:val="30"/>
          <w:szCs w:val="30"/>
          <w:rtl/>
        </w:rPr>
        <w:t>ومع</w:t>
      </w:r>
      <w:r w:rsidRPr="00C818F0">
        <w:rPr>
          <w:rFonts w:ascii="Traditional Arabic" w:eastAsiaTheme="minorHAnsi" w:hAnsi="Traditional Arabic" w:cs="Traditional Arabic"/>
          <w:sz w:val="30"/>
          <w:szCs w:val="30"/>
          <w:rtl/>
        </w:rPr>
        <w:t xml:space="preserve"> ذلك، ألقى</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باللوم على منظمة أطباء بلا حدود لفشلها في طلب إدراج الموقع على قائمة عدم الاستهداف "في انتهاكٍ للمادة 12 (3) من البروتوكول الإضافي الأول". كما ذكر أن صور الأقمار الصناعية لم تثبت أي دليل على وجود شارة مميزة على سطح المستودع أو على المباني المجاورة "في انتهاك للمادة 5 من الملحق الأول للبروتوكول الإضافي الثاني". يبدو أن هذا تطبيق غير دقيق لقانون</w:t>
      </w:r>
      <w:r w:rsidRPr="00C818F0">
        <w:rPr>
          <w:rFonts w:ascii="Traditional Arabic" w:eastAsiaTheme="minorHAnsi" w:hAnsi="Traditional Arabic" w:cs="Traditional Arabic" w:hint="cs"/>
          <w:sz w:val="30"/>
          <w:szCs w:val="30"/>
          <w:rtl/>
        </w:rPr>
        <w:t xml:space="preserve"> المعاهدات</w:t>
      </w:r>
      <w:r w:rsidRPr="00C818F0">
        <w:rPr>
          <w:rFonts w:ascii="Traditional Arabic" w:eastAsiaTheme="minorHAnsi" w:hAnsi="Traditional Arabic" w:cs="Traditional Arabic"/>
          <w:sz w:val="30"/>
          <w:szCs w:val="30"/>
          <w:rtl/>
        </w:rPr>
        <w:t xml:space="preserve"> بالنظر إلى أن البروتوكول الإضافي الأول ينظم النزاعات المسلحة الدولية فقط، كما إنه تفسير خاطئ لنطاق التطبيق والعواقب للأحكام المذكورة</w:t>
      </w:r>
      <w:r w:rsidRPr="00C818F0">
        <w:rPr>
          <w:rFonts w:ascii="Traditional Arabic" w:eastAsiaTheme="minorHAnsi" w:hAnsi="Traditional Arabic" w:cs="Traditional Arabic" w:hint="cs"/>
          <w:sz w:val="30"/>
          <w:szCs w:val="30"/>
          <w:rtl/>
        </w:rPr>
        <w:t xml:space="preserve">، بالإضافة إلى القانون الدولي </w:t>
      </w:r>
      <w:r w:rsidRPr="00C818F0">
        <w:rPr>
          <w:rFonts w:ascii="Traditional Arabic" w:eastAsiaTheme="minorHAnsi" w:hAnsi="Traditional Arabic" w:cs="Traditional Arabic" w:hint="cs"/>
          <w:sz w:val="30"/>
          <w:szCs w:val="30"/>
          <w:rtl/>
        </w:rPr>
        <w:lastRenderedPageBreak/>
        <w:t>العرفي ذات الصلة</w:t>
      </w:r>
      <w:r w:rsidRPr="00C818F0">
        <w:rPr>
          <w:rFonts w:ascii="Traditional Arabic" w:eastAsiaTheme="minorHAnsi" w:hAnsi="Traditional Arabic" w:cs="Traditional Arabic"/>
          <w:sz w:val="30"/>
          <w:szCs w:val="30"/>
          <w:rtl/>
        </w:rPr>
        <w:t>. خلافًا لتطبيق</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فإن المادة 12 (3) موجهة إلى أطراف النزاع، والحكم هو عبارة عن اقتراح لطريقة لزيادة الحماية، وتجاهله لا يخفف من مسؤولية طرف النزاع والتي هي ضمان احترام وحماية الوحدات الطبية في جميع الأوقات. تهدف المادة 5 من الملحق الأول والمتعلقة باستخدام الشارة المميزة إلى مساعدة الجيوش في الوفاء بمسؤولياتها الخاصة بتحديد الأهداف المدنية المحمية على وجه التحديد. إن تفسير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لهذه الأحكام يعكس، وبشكل خاطئ، العبء ويلقيه على المدنيين ليظهروا أنفسهم بوضوح للأطراف المهاجمة ضمن نزاع مسلح. بالإضافة إلى ذلك، يبدو أن الفريق المشترك لتقييم الحوادث أعطى تقييمًا متناقضًا حول التواصل بين التحالف ومنظمة أطباء بلا حدود نظرًا لأن منظمة أطباء بلا حدود كانت قد أبلغت التحالف بتحركاتها من وإلى منطقة الضربة في عدد من المناسبات بإعتراف الفريق المشترك لتقييم الحوادث. ومع ذلك، فإن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ألقى باللوم على منظمة أطباء بلا حدود لعدم طلبها رسمياً إدراج الموقع في قائمة عدم الاستهداف. وحتى إذا لم تطلب منظمة أطباء بلا حدود أن يُدرج الموقع كمرفق طبي في قائمة عدم الاستهداف، وهو أمر يمكن تفهمه لأن الموقع لم يكن يعمل كمرفق طبي بعد، يرى فريق الخبراء أن لدى التحالف معلومات وافرة </w:t>
      </w:r>
      <w:r w:rsidRPr="00C818F0">
        <w:rPr>
          <w:rFonts w:ascii="Traditional Arabic" w:eastAsiaTheme="minorHAnsi" w:hAnsi="Traditional Arabic" w:cs="Traditional Arabic"/>
          <w:sz w:val="30"/>
          <w:szCs w:val="30"/>
          <w:rtl/>
          <w:lang w:bidi="ar-YE"/>
        </w:rPr>
        <w:t>تشير</w:t>
      </w:r>
      <w:r w:rsidRPr="00C818F0">
        <w:rPr>
          <w:rFonts w:ascii="Traditional Arabic" w:eastAsiaTheme="minorHAnsi" w:hAnsi="Traditional Arabic" w:cs="Traditional Arabic"/>
          <w:sz w:val="30"/>
          <w:szCs w:val="30"/>
          <w:rtl/>
        </w:rPr>
        <w:t xml:space="preserve"> إلى أن المنشأة كانت تستخدم من قبل منظمة أطباء بلا حدود، بما في ذلك عند وقت الهجوم</w:t>
      </w:r>
      <w:r w:rsidRPr="00C818F0">
        <w:rPr>
          <w:rFonts w:ascii="Traditional Arabic" w:eastAsiaTheme="minorHAnsi" w:hAnsi="Traditional Arabic" w:cs="Traditional Arabic"/>
          <w:sz w:val="30"/>
          <w:szCs w:val="30"/>
          <w:lang w:bidi="ar"/>
        </w:rPr>
        <w:t>.</w:t>
      </w:r>
      <w:r w:rsidRPr="00C818F0">
        <w:rPr>
          <w:rFonts w:ascii="Traditional Arabic" w:eastAsiaTheme="minorHAnsi" w:hAnsi="Traditional Arabic" w:cs="Traditional Arabic"/>
          <w:sz w:val="30"/>
          <w:szCs w:val="30"/>
          <w:rtl/>
          <w:lang w:bidi="ar"/>
        </w:rPr>
        <w:t xml:space="preserve"> </w:t>
      </w:r>
    </w:p>
    <w:p w14:paraId="663CC691" w14:textId="77777777" w:rsidR="00C818F0" w:rsidRPr="00C818F0" w:rsidRDefault="00C818F0" w:rsidP="00C818F0">
      <w:pPr>
        <w:suppressAutoHyphens w:val="0"/>
        <w:bidi/>
        <w:spacing w:after="160" w:line="259" w:lineRule="auto"/>
        <w:ind w:left="1854" w:right="828"/>
        <w:contextualSpacing/>
        <w:jc w:val="both"/>
        <w:rPr>
          <w:rFonts w:ascii="Traditional Arabic" w:eastAsiaTheme="minorHAnsi" w:hAnsi="Traditional Arabic" w:cs="Traditional Arabic"/>
          <w:b/>
          <w:sz w:val="30"/>
          <w:szCs w:val="30"/>
          <w:u w:val="single"/>
          <w:rtl/>
          <w:lang w:val="en-US"/>
        </w:rPr>
      </w:pPr>
      <w:r w:rsidRPr="00C818F0">
        <w:rPr>
          <w:rFonts w:ascii="Traditional Arabic" w:eastAsiaTheme="minorHAnsi" w:hAnsi="Traditional Arabic" w:cs="Traditional Arabic" w:hint="eastAsia"/>
          <w:sz w:val="30"/>
          <w:szCs w:val="30"/>
          <w:u w:val="single"/>
          <w:rtl/>
        </w:rPr>
        <w:t>الهجوم</w:t>
      </w:r>
      <w:r w:rsidRPr="00C818F0">
        <w:rPr>
          <w:rFonts w:ascii="Traditional Arabic" w:eastAsiaTheme="minorHAnsi" w:hAnsi="Traditional Arabic" w:cs="Traditional Arabic"/>
          <w:sz w:val="30"/>
          <w:szCs w:val="30"/>
          <w:u w:val="single"/>
          <w:rtl/>
        </w:rPr>
        <w:t xml:space="preserve"> على </w:t>
      </w:r>
      <w:r w:rsidRPr="00C818F0">
        <w:rPr>
          <w:rFonts w:ascii="Traditional Arabic" w:eastAsiaTheme="minorHAnsi" w:hAnsi="Traditional Arabic" w:cs="Traditional Arabic"/>
          <w:b/>
          <w:sz w:val="30"/>
          <w:szCs w:val="30"/>
          <w:u w:val="single"/>
          <w:rtl/>
          <w:lang w:val="en-US"/>
        </w:rPr>
        <w:t xml:space="preserve">حافلة وسوق </w:t>
      </w:r>
      <w:r w:rsidRPr="00C818F0">
        <w:rPr>
          <w:rFonts w:ascii="Traditional Arabic" w:eastAsiaTheme="minorHAnsi" w:hAnsi="Traditional Arabic" w:cs="Traditional Arabic" w:hint="cs"/>
          <w:b/>
          <w:sz w:val="30"/>
          <w:szCs w:val="30"/>
          <w:u w:val="single"/>
          <w:rtl/>
          <w:lang w:val="en-US"/>
        </w:rPr>
        <w:t xml:space="preserve">في </w:t>
      </w:r>
      <w:r w:rsidRPr="00C818F0">
        <w:rPr>
          <w:rFonts w:ascii="Traditional Arabic" w:eastAsiaTheme="minorHAnsi" w:hAnsi="Traditional Arabic" w:cs="Traditional Arabic"/>
          <w:b/>
          <w:sz w:val="30"/>
          <w:szCs w:val="30"/>
          <w:u w:val="single"/>
          <w:rtl/>
          <w:lang w:val="en-US"/>
        </w:rPr>
        <w:t>ضحيان، مجاز، صعدة، 9 آب/ أغسطس 2018</w:t>
      </w:r>
    </w:p>
    <w:p w14:paraId="449A92A0" w14:textId="2C673F3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bidi="ar-YE"/>
        </w:rPr>
      </w:pPr>
      <w:r w:rsidRPr="00C818F0">
        <w:rPr>
          <w:rFonts w:ascii="Traditional Arabic" w:eastAsiaTheme="minorHAnsi" w:hAnsi="Traditional Arabic" w:cs="Traditional Arabic"/>
          <w:sz w:val="30"/>
          <w:szCs w:val="30"/>
          <w:rtl/>
        </w:rPr>
        <w:t xml:space="preserve">حادثة أخرى حقق فيها فريق الخبراء </w:t>
      </w:r>
      <w:r w:rsidRPr="00C818F0">
        <w:rPr>
          <w:rFonts w:ascii="Traditional Arabic" w:eastAsiaTheme="minorHAnsi" w:hAnsi="Traditional Arabic" w:cs="Traditional Arabic"/>
          <w:sz w:val="30"/>
          <w:szCs w:val="30"/>
          <w:rtl/>
          <w:lang w:bidi="ar-YE"/>
        </w:rPr>
        <w:t>و</w:t>
      </w:r>
      <w:r w:rsidRPr="00C818F0">
        <w:rPr>
          <w:rFonts w:ascii="Traditional Arabic" w:eastAsiaTheme="minorHAnsi" w:hAnsi="Traditional Arabic" w:cs="Traditional Arabic"/>
          <w:sz w:val="30"/>
          <w:szCs w:val="30"/>
          <w:rtl/>
        </w:rPr>
        <w:t>قدم</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بعض التحليل القانوني عنها وهي الضربة الجوية يوم 9 آب/ أغسطس 2018 في صعدة على حافلة تقل حوالي 50 طفلاً. أكثر الأرقام تحفظًا والتي تم التأكد منها من قبل فريق الخبراء تؤكد أن الضربة قتلت ما لا يقل عن 11 طفلاً وشخصين بالغين. صرح المستشار القانوني للفريق المشترك لتقييم الحوادث الفريق منصور أحمد المنصور في مؤتمر صحفي في 1 أيلول/ سبتمبر 2018 </w:t>
      </w:r>
      <w:r w:rsidR="00E96F5A" w:rsidRPr="00B91FAE">
        <w:rPr>
          <w:rStyle w:val="FootnoteReference"/>
          <w:rFonts w:asciiTheme="majorBidi" w:hAnsiTheme="majorBidi" w:cstheme="majorBidi"/>
        </w:rPr>
        <w:footnoteReference w:id="1433"/>
      </w:r>
      <w:r w:rsidRPr="00C818F0">
        <w:rPr>
          <w:rFonts w:ascii="Traditional Arabic" w:eastAsiaTheme="minorHAnsi" w:hAnsi="Traditional Arabic" w:cs="Traditional Arabic"/>
          <w:sz w:val="30"/>
          <w:szCs w:val="30"/>
          <w:rtl/>
        </w:rPr>
        <w:t xml:space="preserve"> أن الغارة الجوية لم تكن ضرورية لمنع أي هجوم وشيك، وكان ينبغي </w:t>
      </w:r>
      <w:r w:rsidRPr="00C818F0">
        <w:rPr>
          <w:rFonts w:ascii="Traditional Arabic" w:eastAsiaTheme="minorHAnsi" w:hAnsi="Traditional Arabic" w:cs="Traditional Arabic" w:hint="cs"/>
          <w:sz w:val="30"/>
          <w:szCs w:val="30"/>
          <w:rtl/>
        </w:rPr>
        <w:t xml:space="preserve">إجراءها سابقًا </w:t>
      </w:r>
      <w:r w:rsidRPr="00C818F0">
        <w:rPr>
          <w:rFonts w:ascii="Traditional Arabic" w:eastAsiaTheme="minorHAnsi" w:hAnsi="Traditional Arabic" w:cs="Traditional Arabic"/>
          <w:sz w:val="30"/>
          <w:szCs w:val="30"/>
          <w:rtl/>
        </w:rPr>
        <w:t xml:space="preserve"> عندما كانت الحافلة في مكان مفتوح لتجنب الأضرار الجانبية. ثم ذكر لاحقا أن حقيقة الأمر كان بسبب تأخير في معدات الطائرة الحربية، تلاه تأخير</w:t>
      </w:r>
      <w:r w:rsidRPr="00C818F0">
        <w:rPr>
          <w:rFonts w:ascii="Traditional Arabic" w:eastAsiaTheme="minorHAnsi" w:hAnsi="Traditional Arabic" w:cs="Traditional Arabic" w:hint="cs"/>
          <w:sz w:val="30"/>
          <w:szCs w:val="30"/>
          <w:rtl/>
        </w:rPr>
        <w:t xml:space="preserve"> في وقت لاحق</w:t>
      </w:r>
      <w:r w:rsidRPr="00C818F0">
        <w:rPr>
          <w:rFonts w:ascii="Traditional Arabic" w:eastAsiaTheme="minorHAnsi" w:hAnsi="Traditional Arabic" w:cs="Traditional Arabic"/>
          <w:sz w:val="30"/>
          <w:szCs w:val="30"/>
          <w:rtl/>
        </w:rPr>
        <w:t xml:space="preserve"> في إصدار أمر </w:t>
      </w:r>
      <w:r w:rsidRPr="00C818F0">
        <w:rPr>
          <w:rFonts w:ascii="Traditional Arabic" w:eastAsiaTheme="minorHAnsi" w:hAnsi="Traditional Arabic" w:cs="Traditional Arabic" w:hint="cs"/>
          <w:sz w:val="30"/>
          <w:szCs w:val="30"/>
          <w:rtl/>
        </w:rPr>
        <w:t>ب</w:t>
      </w:r>
      <w:r w:rsidRPr="00C818F0">
        <w:rPr>
          <w:rFonts w:ascii="Traditional Arabic" w:eastAsiaTheme="minorHAnsi" w:hAnsi="Traditional Arabic" w:cs="Traditional Arabic"/>
          <w:sz w:val="30"/>
          <w:szCs w:val="30"/>
          <w:rtl/>
        </w:rPr>
        <w:t>إلغاء العملية. أقر كذلك بأنه لم يصدر تحذير مسبق</w:t>
      </w:r>
      <w:r w:rsidRPr="00C818F0">
        <w:rPr>
          <w:rFonts w:ascii="Traditional Arabic" w:eastAsiaTheme="minorHAnsi" w:hAnsi="Traditional Arabic" w:cs="Traditional Arabic" w:hint="cs"/>
          <w:sz w:val="30"/>
          <w:szCs w:val="30"/>
          <w:rtl/>
        </w:rPr>
        <w:t xml:space="preserve"> إلى هيئة سلاح الجو المنفذة</w:t>
      </w:r>
      <w:r w:rsidRPr="00C818F0">
        <w:rPr>
          <w:rFonts w:ascii="Traditional Arabic" w:eastAsiaTheme="minorHAnsi" w:hAnsi="Traditional Arabic" w:cs="Traditional Arabic"/>
          <w:sz w:val="30"/>
          <w:szCs w:val="30"/>
          <w:rtl/>
        </w:rPr>
        <w:t xml:space="preserve"> بشأن احتمال حدوث أضرار جانبية. وفي بيان صحفي صدر في نفس اليوم،</w:t>
      </w:r>
      <w:r w:rsidR="00E96F5A" w:rsidRPr="00B91FAE">
        <w:rPr>
          <w:rStyle w:val="FootnoteReference"/>
          <w:rFonts w:asciiTheme="majorBidi" w:hAnsiTheme="majorBidi" w:cstheme="majorBidi"/>
        </w:rPr>
        <w:footnoteReference w:id="1434"/>
      </w:r>
      <w:r w:rsidRPr="00C818F0">
        <w:rPr>
          <w:rFonts w:ascii="Traditional Arabic" w:eastAsiaTheme="minorHAnsi" w:hAnsi="Traditional Arabic" w:cs="Traditional Arabic"/>
          <w:sz w:val="30"/>
          <w:szCs w:val="30"/>
          <w:rtl/>
        </w:rPr>
        <w:t xml:space="preserve"> أشار</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الفريق المشترك لتقييم الحوادث إلى وجود أخطاء في الامتثال لقواعد الاشتباك، وإلى أنه ينبغي اتخاذ الإجراءات القانونية لمحاسبة المسؤولين عن الأخطاء وإلى أنه ينبغي النظر في منح المساعدة للمتضررين</w:t>
      </w:r>
      <w:r w:rsidRPr="00C818F0">
        <w:rPr>
          <w:rFonts w:ascii="Traditional Arabic" w:eastAsiaTheme="minorHAnsi" w:hAnsi="Traditional Arabic" w:cs="Traditional Arabic"/>
          <w:sz w:val="30"/>
          <w:szCs w:val="30"/>
          <w:lang w:bidi="ar"/>
        </w:rPr>
        <w:t>.</w:t>
      </w:r>
    </w:p>
    <w:p w14:paraId="78F7D7D1" w14:textId="77777777" w:rsidR="00C818F0" w:rsidRPr="00C818F0" w:rsidRDefault="00C818F0" w:rsidP="003B7CC4">
      <w:pPr>
        <w:pStyle w:val="Footer"/>
        <w:numPr>
          <w:ilvl w:val="0"/>
          <w:numId w:val="3"/>
        </w:numPr>
        <w:tabs>
          <w:tab w:val="left" w:pos="720"/>
          <w:tab w:val="left" w:pos="900"/>
          <w:tab w:val="left" w:pos="1269"/>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sz w:val="30"/>
          <w:szCs w:val="30"/>
          <w:rtl/>
        </w:rPr>
        <w:lastRenderedPageBreak/>
        <w:t>في حين أقر الفريق المشترك لتقييم الحوادث فعليًا بأن التحالف انتهك مبدأ الاحتياطات في الهجوم لأنه استهدف الحافلة بينما كان</w:t>
      </w:r>
      <w:r w:rsidRPr="00C818F0">
        <w:rPr>
          <w:rFonts w:ascii="Traditional Arabic" w:eastAsiaTheme="minorHAnsi" w:hAnsi="Traditional Arabic" w:cs="Traditional Arabic" w:hint="eastAsia"/>
          <w:sz w:val="30"/>
          <w:szCs w:val="30"/>
          <w:rtl/>
        </w:rPr>
        <w:t>ت</w:t>
      </w:r>
      <w:r w:rsidRPr="00C818F0">
        <w:rPr>
          <w:rFonts w:ascii="Traditional Arabic" w:eastAsiaTheme="minorHAnsi" w:hAnsi="Traditional Arabic" w:cs="Traditional Arabic"/>
          <w:sz w:val="30"/>
          <w:szCs w:val="30"/>
          <w:rtl/>
        </w:rPr>
        <w:t xml:space="preserve"> قريب</w:t>
      </w:r>
      <w:r w:rsidRPr="00C818F0">
        <w:rPr>
          <w:rFonts w:ascii="Traditional Arabic" w:eastAsiaTheme="minorHAnsi" w:hAnsi="Traditional Arabic" w:cs="Traditional Arabic" w:hint="eastAsia"/>
          <w:sz w:val="30"/>
          <w:szCs w:val="30"/>
          <w:rtl/>
        </w:rPr>
        <w:t>ه</w:t>
      </w:r>
      <w:r w:rsidRPr="00C818F0">
        <w:rPr>
          <w:rFonts w:ascii="Traditional Arabic" w:eastAsiaTheme="minorHAnsi" w:hAnsi="Traditional Arabic" w:cs="Traditional Arabic"/>
          <w:sz w:val="30"/>
          <w:szCs w:val="30"/>
          <w:rtl/>
        </w:rPr>
        <w:t xml:space="preserve"> من السوق المحلية، إلا أنه من المذهل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لم يشكك في قانونية استهداف حافلة تقل حوالي 50 طفلًا، </w:t>
      </w:r>
      <w:r w:rsidRPr="00C818F0">
        <w:rPr>
          <w:rFonts w:ascii="Traditional Arabic" w:eastAsiaTheme="minorHAnsi" w:hAnsi="Traditional Arabic" w:cs="Traditional Arabic" w:hint="cs"/>
          <w:sz w:val="30"/>
          <w:szCs w:val="30"/>
          <w:rtl/>
        </w:rPr>
        <w:t xml:space="preserve">حتى لو تواجد </w:t>
      </w:r>
      <w:r w:rsidRPr="00C818F0">
        <w:rPr>
          <w:rFonts w:ascii="Traditional Arabic" w:eastAsiaTheme="minorHAnsi" w:hAnsi="Traditional Arabic" w:cs="Traditional Arabic"/>
          <w:sz w:val="30"/>
          <w:szCs w:val="30"/>
          <w:rtl/>
        </w:rPr>
        <w:t>أهداف عسكرية على متن القافلة.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في تحليله، أغفل الفريق المشترك لتقييم الحوادث </w:t>
      </w:r>
      <w:r w:rsidRPr="00C818F0">
        <w:rPr>
          <w:rFonts w:ascii="Traditional Arabic" w:eastAsiaTheme="minorHAnsi" w:hAnsi="Traditional Arabic" w:cs="Traditional Arabic" w:hint="cs"/>
          <w:sz w:val="30"/>
          <w:szCs w:val="30"/>
          <w:rtl/>
        </w:rPr>
        <w:t xml:space="preserve">عن الإشارة إلى أي أطفال </w:t>
      </w:r>
      <w:r w:rsidRPr="00C818F0">
        <w:rPr>
          <w:rFonts w:ascii="Traditional Arabic" w:eastAsiaTheme="minorHAnsi" w:hAnsi="Traditional Arabic" w:cs="Traditional Arabic"/>
          <w:sz w:val="30"/>
          <w:szCs w:val="30"/>
          <w:rtl/>
        </w:rPr>
        <w:t xml:space="preserve">ووصف الحافلة بأنها "هدف عسكري"، بناءً على الحقيقة المزعومة المتمثلة في أن أربعة قادة حوثيين كانوا موجودين داخلها. وهذا يثير مخاوف بشأن عملية تحديد الأهداف المستهدفة للتحالف </w:t>
      </w:r>
      <w:r w:rsidRPr="00C818F0">
        <w:rPr>
          <w:rFonts w:ascii="Traditional Arabic" w:eastAsiaTheme="minorHAnsi" w:hAnsi="Traditional Arabic" w:cs="Traditional Arabic" w:hint="cs"/>
          <w:sz w:val="30"/>
          <w:szCs w:val="30"/>
          <w:rtl/>
        </w:rPr>
        <w:t xml:space="preserve">ومدى </w:t>
      </w:r>
      <w:r w:rsidRPr="00C818F0">
        <w:rPr>
          <w:rFonts w:ascii="Traditional Arabic" w:eastAsiaTheme="minorHAnsi" w:hAnsi="Traditional Arabic" w:cs="Traditional Arabic"/>
          <w:sz w:val="30"/>
          <w:szCs w:val="30"/>
          <w:rtl/>
        </w:rPr>
        <w:t>احترام</w:t>
      </w:r>
      <w:r w:rsidRPr="00C818F0">
        <w:rPr>
          <w:rFonts w:ascii="Traditional Arabic" w:eastAsiaTheme="minorHAnsi" w:hAnsi="Traditional Arabic" w:cs="Traditional Arabic" w:hint="cs"/>
          <w:sz w:val="30"/>
          <w:szCs w:val="30"/>
          <w:rtl/>
        </w:rPr>
        <w:t>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مبدأ التناسب.</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كما يؤكد أيضًا مخاوف</w:t>
      </w:r>
      <w:r w:rsidRPr="00C818F0">
        <w:rPr>
          <w:rFonts w:ascii="Traditional Arabic" w:eastAsiaTheme="minorHAnsi" w:hAnsi="Traditional Arabic" w:cs="Traditional Arabic" w:hint="cs"/>
          <w:sz w:val="30"/>
          <w:szCs w:val="30"/>
          <w:rtl/>
        </w:rPr>
        <w:t xml:space="preserve"> فريق الخبراء</w:t>
      </w:r>
      <w:r w:rsidRPr="00C818F0">
        <w:rPr>
          <w:rFonts w:ascii="Traditional Arabic" w:eastAsiaTheme="minorHAnsi" w:hAnsi="Traditional Arabic" w:cs="Traditional Arabic"/>
          <w:sz w:val="30"/>
          <w:szCs w:val="30"/>
          <w:rtl/>
        </w:rPr>
        <w:t xml:space="preserve"> من أن</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الفريق المشترك لتقييم الحوادث يفشل في تقييم مشروعية </w:t>
      </w:r>
      <w:r w:rsidRPr="00C818F0">
        <w:rPr>
          <w:rFonts w:ascii="Traditional Arabic" w:eastAsiaTheme="minorHAnsi" w:hAnsi="Traditional Arabic" w:cs="Traditional Arabic" w:hint="eastAsia"/>
          <w:sz w:val="30"/>
          <w:szCs w:val="30"/>
          <w:rtl/>
        </w:rPr>
        <w:t>الضربات</w:t>
      </w:r>
      <w:r w:rsidRPr="00C818F0">
        <w:rPr>
          <w:rFonts w:ascii="Traditional Arabic" w:eastAsiaTheme="minorHAnsi" w:hAnsi="Traditional Arabic" w:cs="Traditional Arabic"/>
          <w:sz w:val="30"/>
          <w:szCs w:val="30"/>
          <w:rtl/>
        </w:rPr>
        <w:t xml:space="preserve"> استنادًا إلى مبدأ التناسب</w:t>
      </w:r>
      <w:r w:rsidRPr="00C818F0">
        <w:rPr>
          <w:rFonts w:ascii="Traditional Arabic" w:eastAsiaTheme="minorHAnsi" w:hAnsi="Traditional Arabic" w:cs="Traditional Arabic"/>
          <w:sz w:val="30"/>
          <w:szCs w:val="30"/>
          <w:lang w:bidi="ar"/>
        </w:rPr>
        <w:t>.</w:t>
      </w:r>
    </w:p>
    <w:p w14:paraId="571F6902" w14:textId="7B413E7D" w:rsidR="00C818F0" w:rsidRPr="00C818F0" w:rsidRDefault="00034649" w:rsidP="00034649">
      <w:pPr>
        <w:tabs>
          <w:tab w:val="left" w:pos="1701"/>
        </w:tabs>
        <w:suppressAutoHyphens w:val="0"/>
        <w:bidi/>
        <w:spacing w:after="120"/>
        <w:ind w:right="828" w:firstLine="459"/>
        <w:jc w:val="both"/>
        <w:rPr>
          <w:rFonts w:ascii="Traditional Arabic" w:eastAsiaTheme="minorHAnsi" w:hAnsi="Traditional Arabic" w:cs="Traditional Arabic"/>
          <w:b/>
          <w:bCs/>
          <w:iCs/>
          <w:sz w:val="30"/>
          <w:szCs w:val="30"/>
          <w:rtl/>
          <w:lang w:val="en-US"/>
        </w:rPr>
      </w:pPr>
      <w:r>
        <w:rPr>
          <w:rFonts w:ascii="Traditional Arabic" w:eastAsiaTheme="minorHAnsi" w:hAnsi="Traditional Arabic" w:cs="Traditional Arabic"/>
          <w:b/>
          <w:bCs/>
          <w:sz w:val="30"/>
          <w:szCs w:val="30"/>
          <w:rtl/>
        </w:rPr>
        <w:t xml:space="preserve">   </w:t>
      </w:r>
      <w:r w:rsidR="00C818F0" w:rsidRPr="00C818F0">
        <w:rPr>
          <w:rFonts w:ascii="Traditional Arabic" w:eastAsiaTheme="minorHAnsi" w:hAnsi="Traditional Arabic" w:cs="Traditional Arabic"/>
          <w:b/>
          <w:bCs/>
          <w:sz w:val="30"/>
          <w:szCs w:val="30"/>
          <w:rtl/>
        </w:rPr>
        <w:t>جـ)  المساءلة من جانب</w:t>
      </w:r>
      <w:r w:rsidR="00C818F0" w:rsidRPr="00C818F0">
        <w:rPr>
          <w:rFonts w:ascii="Traditional Arabic" w:eastAsiaTheme="minorHAnsi" w:hAnsi="Traditional Arabic" w:cs="Traditional Arabic" w:hint="cs"/>
          <w:b/>
          <w:bCs/>
          <w:sz w:val="30"/>
          <w:szCs w:val="30"/>
          <w:rtl/>
        </w:rPr>
        <w:t xml:space="preserve"> سلطات الأمر الواقع</w:t>
      </w:r>
      <w:r w:rsidR="00C818F0" w:rsidRPr="00C818F0">
        <w:rPr>
          <w:rFonts w:ascii="Traditional Arabic" w:eastAsiaTheme="minorHAnsi" w:hAnsi="Traditional Arabic" w:cs="Traditional Arabic"/>
          <w:b/>
          <w:bCs/>
          <w:sz w:val="30"/>
          <w:szCs w:val="30"/>
          <w:rtl/>
        </w:rPr>
        <w:t xml:space="preserve"> </w:t>
      </w:r>
    </w:p>
    <w:p w14:paraId="6B0C43C5" w14:textId="77777777"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bCs/>
          <w:iCs/>
          <w:sz w:val="30"/>
          <w:szCs w:val="30"/>
          <w:rtl/>
          <w:lang w:val="en-US"/>
        </w:rPr>
      </w:pPr>
      <w:r w:rsidRPr="00C818F0">
        <w:rPr>
          <w:rFonts w:ascii="Traditional Arabic" w:eastAsiaTheme="minorHAnsi" w:hAnsi="Traditional Arabic" w:cs="Traditional Arabic"/>
          <w:sz w:val="30"/>
          <w:szCs w:val="30"/>
          <w:rtl/>
        </w:rPr>
        <w:t xml:space="preserve">بسبب عدم توفر المعلومات، لم يتمكن فريق الخبراء من تقييم ما إذا كانت الانتهاكات المزعومة من قبل الحوثيين يتم النظر والتحقيق فيها فعليًا بواسطة أي نوع من آليات المساءلة. في ردها على قائمة القضايا التي أرسلها فريق الخبراء في كانون الثاني/ يناير 2019، أكدت سلطات الأمر الواقع أن جميع "العمليات العسكرية" من قبل "قواتها المسلحة" تخضع للتقييم بعد التنفيذ. </w:t>
      </w:r>
      <w:r w:rsidRPr="00C818F0">
        <w:rPr>
          <w:rFonts w:ascii="Traditional Arabic" w:eastAsiaTheme="minorHAnsi" w:hAnsi="Traditional Arabic" w:cs="Traditional Arabic" w:hint="eastAsia"/>
          <w:sz w:val="30"/>
          <w:szCs w:val="30"/>
          <w:rtl/>
        </w:rPr>
        <w:t>وأفادوا</w:t>
      </w:r>
      <w:r w:rsidRPr="00C818F0">
        <w:rPr>
          <w:rFonts w:ascii="Traditional Arabic" w:eastAsiaTheme="minorHAnsi" w:hAnsi="Traditional Arabic" w:cs="Traditional Arabic"/>
          <w:sz w:val="30"/>
          <w:szCs w:val="30"/>
          <w:rtl/>
        </w:rPr>
        <w:t xml:space="preserve">  كذلك أن "القضاء العسكري" كان مسؤولاً عن المساءلة تمشيا مع قانون العقوبات العسكري (اليمني) وقانون الإجراءات الجنائية العسكرية وكذلك اللوائح التي تنص على فرض عقوبات إدارية على الموظفين العسكريين. دون الكشف عن المعلومات المتعلقة بعدد الحالات التي تم التحقيق فيها (إن وجدت)، أعلنت سلطات الأمر الواقع أنه لم يثبت على أي من أفراد "قواتها المسلحة" مسئولية انتهاك قانون حقوق الإنسان أو القانون الدولي الإنساني. هذا التأكيد، في حد ذاته، يثير مخاوف قوية بشأن ما إذا كان يوجد أي آلية للمساءلة معمول بها للتحقيق في مثل هذه الحالات المزعومة ومقاضاة مرتكبيها، ويشير إلى نقص صارخ في المساءلة</w:t>
      </w:r>
      <w:r w:rsidRPr="00C818F0">
        <w:rPr>
          <w:rFonts w:ascii="Traditional Arabic" w:eastAsiaTheme="minorHAnsi" w:hAnsi="Traditional Arabic" w:cs="Traditional Arabic"/>
          <w:sz w:val="30"/>
          <w:szCs w:val="30"/>
          <w:lang w:bidi="ar"/>
        </w:rPr>
        <w:t>.</w:t>
      </w:r>
    </w:p>
    <w:p w14:paraId="5090D8CC" w14:textId="197EA9DF" w:rsidR="00C818F0" w:rsidRPr="00C818F0" w:rsidRDefault="00C818F0" w:rsidP="00034649">
      <w:pPr>
        <w:tabs>
          <w:tab w:val="left" w:pos="1701"/>
        </w:tabs>
        <w:suppressAutoHyphens w:val="0"/>
        <w:bidi/>
        <w:spacing w:after="120"/>
        <w:ind w:right="828"/>
        <w:jc w:val="both"/>
        <w:rPr>
          <w:rFonts w:ascii="Traditional Arabic" w:eastAsiaTheme="minorHAnsi" w:hAnsi="Traditional Arabic" w:cs="Traditional Arabic"/>
          <w:b/>
          <w:bCs/>
          <w:i/>
          <w:iCs/>
          <w:sz w:val="30"/>
          <w:szCs w:val="30"/>
          <w:rtl/>
        </w:rPr>
      </w:pPr>
      <w:r w:rsidRPr="00C818F0">
        <w:rPr>
          <w:rFonts w:ascii="Traditional Arabic" w:eastAsiaTheme="minorHAnsi" w:hAnsi="Traditional Arabic" w:cs="Traditional Arabic"/>
          <w:b/>
          <w:bCs/>
          <w:i/>
          <w:iCs/>
          <w:sz w:val="30"/>
          <w:szCs w:val="30"/>
          <w:rtl/>
        </w:rPr>
        <w:t xml:space="preserve">   </w:t>
      </w:r>
      <w:r w:rsidR="00034649">
        <w:rPr>
          <w:rFonts w:ascii="Traditional Arabic" w:eastAsiaTheme="minorHAnsi" w:hAnsi="Traditional Arabic" w:cs="Traditional Arabic" w:hint="cs"/>
          <w:b/>
          <w:bCs/>
          <w:i/>
          <w:iCs/>
          <w:sz w:val="30"/>
          <w:szCs w:val="30"/>
          <w:rtl/>
        </w:rPr>
        <w:t xml:space="preserve">       </w:t>
      </w:r>
      <w:r w:rsidRPr="00C818F0">
        <w:rPr>
          <w:rFonts w:ascii="Traditional Arabic" w:eastAsiaTheme="minorHAnsi" w:hAnsi="Traditional Arabic" w:cs="Traditional Arabic"/>
          <w:b/>
          <w:bCs/>
          <w:i/>
          <w:iCs/>
          <w:sz w:val="30"/>
          <w:szCs w:val="30"/>
          <w:rtl/>
        </w:rPr>
        <w:t>د)   الاستنتاج</w:t>
      </w:r>
      <w:r w:rsidRPr="00C818F0">
        <w:rPr>
          <w:rFonts w:ascii="Traditional Arabic" w:eastAsiaTheme="minorHAnsi" w:hAnsi="Traditional Arabic" w:cs="Traditional Arabic"/>
          <w:b/>
          <w:bCs/>
          <w:i/>
          <w:iCs/>
          <w:sz w:val="30"/>
          <w:szCs w:val="30"/>
        </w:rPr>
        <w:t xml:space="preserve">  </w:t>
      </w:r>
    </w:p>
    <w:p w14:paraId="5FD9EA3E" w14:textId="221DCC84" w:rsidR="00C818F0" w:rsidRPr="00C818F0" w:rsidRDefault="00C818F0" w:rsidP="00B76F96">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sz w:val="30"/>
          <w:szCs w:val="30"/>
          <w:rtl/>
        </w:rPr>
        <w:t xml:space="preserve">بعد مراجعة شاملة لنتائج آليات المساءلة المتاحة للعامة أو التي قدمها الأطراف إلى فريق الخبراء، فإن لدى </w:t>
      </w:r>
      <w:r w:rsidRPr="00C818F0">
        <w:rPr>
          <w:rFonts w:ascii="Traditional Arabic" w:eastAsiaTheme="minorHAnsi" w:hAnsi="Traditional Arabic" w:cs="Traditional Arabic" w:hint="eastAsia"/>
          <w:sz w:val="30"/>
          <w:szCs w:val="30"/>
          <w:rtl/>
        </w:rPr>
        <w:t>الفريق</w:t>
      </w:r>
      <w:r w:rsidRPr="00C818F0">
        <w:rPr>
          <w:rFonts w:ascii="Traditional Arabic" w:eastAsiaTheme="minorHAnsi" w:hAnsi="Traditional Arabic" w:cs="Traditional Arabic"/>
          <w:sz w:val="30"/>
          <w:szCs w:val="30"/>
          <w:rtl/>
        </w:rPr>
        <w:t xml:space="preserve"> مخاوف جدية بشأن الافتقار السائد للمساءلة عن انتهاكات القانون الدولي من جانب جميع أطراف النزاع في اليمن، والعديد منها والتي قد تصل إلى حد جرائم الحرب. يبدو أن تركيز اللجنة الوطنية للتحقيق ينصب على ما إذا كانت حوادث معينة قد حدثت بالفعل وعلى إسنادها دون تقديم تفاصيل عن التحليل القانوني الذي سيتيح للمرء الاستنتاج ما إذا كانت الانتهاكات قد وقعت. لم يتوصل فريق تقييم الحوادث المشتركة علناً إلى استنتاج مفاده أن التحالف يمكن أن يكون مسؤولاً عن </w:t>
      </w:r>
      <w:r w:rsidR="00B76F96">
        <w:rPr>
          <w:rFonts w:ascii="Traditional Arabic" w:eastAsiaTheme="minorHAnsi" w:hAnsi="Traditional Arabic" w:cs="Traditional Arabic" w:hint="cs"/>
          <w:sz w:val="30"/>
          <w:szCs w:val="30"/>
          <w:rtl/>
        </w:rPr>
        <w:t xml:space="preserve">أي </w:t>
      </w:r>
      <w:r w:rsidRPr="00C818F0">
        <w:rPr>
          <w:rFonts w:ascii="Traditional Arabic" w:eastAsiaTheme="minorHAnsi" w:hAnsi="Traditional Arabic" w:cs="Traditional Arabic"/>
          <w:sz w:val="30"/>
          <w:szCs w:val="30"/>
          <w:rtl/>
        </w:rPr>
        <w:t xml:space="preserve">انتهاكات </w:t>
      </w:r>
      <w:r w:rsidR="00B76F96">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لقانون الدولي المزعومة (باستثناء الاعترافين الضمنيين باحتمال الفشل في احترام مبدأ الاحتياطات في الهجوم)، على الرغم من الاعتراف - في حالات قليلة - بحدوث الأخطاء البشرية والتقنية. أخيرًا، أنكر الحوثيون وجود أي منتهكين للقانون الدولي بين صفوفهم، رغم أن فريق الخبراء لم يتلق أي دليل على وجود آلية تحقق فعليًا في مزاعم الانتهاكات</w:t>
      </w:r>
      <w:r w:rsidRPr="00C818F0">
        <w:rPr>
          <w:rFonts w:ascii="Traditional Arabic" w:eastAsiaTheme="minorHAnsi" w:hAnsi="Traditional Arabic" w:cs="Traditional Arabic"/>
          <w:sz w:val="30"/>
          <w:szCs w:val="30"/>
          <w:lang w:bidi="ar"/>
        </w:rPr>
        <w:t>.</w:t>
      </w:r>
    </w:p>
    <w:p w14:paraId="45FC2816" w14:textId="3C592EBA" w:rsidR="00C818F0" w:rsidRPr="00034649"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rtl/>
        </w:rPr>
      </w:pPr>
      <w:r w:rsidRPr="00C818F0">
        <w:rPr>
          <w:rFonts w:ascii="Traditional Arabic" w:eastAsiaTheme="minorHAnsi" w:hAnsi="Traditional Arabic" w:cs="Traditional Arabic" w:hint="cs"/>
          <w:sz w:val="30"/>
          <w:szCs w:val="30"/>
          <w:rtl/>
        </w:rPr>
        <w:lastRenderedPageBreak/>
        <w:t xml:space="preserve"> </w:t>
      </w:r>
      <w:r w:rsidRPr="00C818F0">
        <w:rPr>
          <w:rFonts w:ascii="Traditional Arabic" w:eastAsiaTheme="minorHAnsi" w:hAnsi="Traditional Arabic" w:cs="Traditional Arabic"/>
          <w:sz w:val="30"/>
          <w:szCs w:val="30"/>
          <w:rtl/>
        </w:rPr>
        <w:t>فريق الخبراء ليس على علم بأي جناة مزعومين خضعوا للمساءلة من قبل أطراف في النزاع عن جريمة مرتبطة بالنزاع، على الرغم من توجيه طلب معلومات بهذا الشأن إلى حكومة اليمن وأعضاء التحالف وسلطات الأمر الواقع.</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حالات قليلة، جمع فريق الخبراء أدلة على أن الحكومة اليمنية حاولت محاسبة جناة مزعومين من خلال بدء التحقيقات، بما في ذلك إنشاء لجان خاصة لهذا الغرض</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ومع ذلك، فقد أضعفت هذه التحقيقات بسبب الافتقار إلى القدرات والخوف من الأعمال الانتقامية. بناءً على ذلك، يبدو أن أياً من أطراف النزاع ليس على استعداد أو قادر على إجراء تحقيقات أو محاكمات في انتهاك لالتزاماتها بموجب القانون الدولي، لا سيما بالنظر إلى جرائم الحرب </w:t>
      </w:r>
      <w:r w:rsidRPr="00034649">
        <w:rPr>
          <w:rFonts w:ascii="Traditional Arabic" w:eastAsiaTheme="minorHAnsi" w:hAnsi="Traditional Arabic" w:cs="Traditional Arabic"/>
          <w:sz w:val="30"/>
          <w:szCs w:val="30"/>
          <w:rtl/>
        </w:rPr>
        <w:t>المزعومة.</w:t>
      </w:r>
    </w:p>
    <w:p w14:paraId="759AAC7B" w14:textId="19B862CE" w:rsidR="00C818F0" w:rsidRPr="00C818F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heme="minorHAnsi" w:eastAsiaTheme="minorHAnsi" w:hAnsiTheme="minorHAnsi" w:cstheme="minorBidi"/>
          <w:sz w:val="22"/>
          <w:szCs w:val="22"/>
          <w:rtl/>
          <w:lang w:val="en-US"/>
        </w:rPr>
      </w:pPr>
      <w:r w:rsidRPr="00C818F0">
        <w:rPr>
          <w:rFonts w:ascii="Traditional Arabic" w:eastAsiaTheme="minorHAnsi" w:hAnsi="Traditional Arabic" w:cs="Traditional Arabic"/>
          <w:sz w:val="30"/>
          <w:szCs w:val="30"/>
          <w:rtl/>
        </w:rPr>
        <w:t>في غياب أي ولاية قضائية دولية قيد النظر في الوضع في اليمن، يوصي فريق الخبراء مجلس حقوق الإنسان بت</w:t>
      </w:r>
      <w:r w:rsidRPr="00C818F0">
        <w:rPr>
          <w:rFonts w:ascii="Traditional Arabic" w:eastAsiaTheme="minorHAnsi" w:hAnsi="Traditional Arabic" w:cs="Traditional Arabic" w:hint="cs"/>
          <w:sz w:val="30"/>
          <w:szCs w:val="30"/>
          <w:rtl/>
        </w:rPr>
        <w:t>جديد وت</w:t>
      </w:r>
      <w:r w:rsidRPr="00C818F0">
        <w:rPr>
          <w:rFonts w:ascii="Traditional Arabic" w:eastAsiaTheme="minorHAnsi" w:hAnsi="Traditional Arabic" w:cs="Traditional Arabic"/>
          <w:sz w:val="30"/>
          <w:szCs w:val="30"/>
          <w:rtl/>
        </w:rPr>
        <w:t>عزيز ولايته فيما يتعلق بجمع وحفظ الأدلة</w:t>
      </w:r>
      <w:r w:rsidRPr="00C818F0">
        <w:rPr>
          <w:rFonts w:ascii="Traditional Arabic" w:eastAsiaTheme="minorHAnsi" w:hAnsi="Traditional Arabic" w:cs="Traditional Arabic"/>
          <w:sz w:val="30"/>
          <w:szCs w:val="30"/>
          <w:lang w:bidi="ar"/>
        </w:rPr>
        <w:t>.</w:t>
      </w:r>
    </w:p>
    <w:p w14:paraId="49D7D861" w14:textId="77777777" w:rsidR="00C818F0" w:rsidRPr="00C818F0" w:rsidRDefault="00C818F0" w:rsidP="005D608B">
      <w:pPr>
        <w:numPr>
          <w:ilvl w:val="0"/>
          <w:numId w:val="15"/>
        </w:numPr>
        <w:suppressAutoHyphens w:val="0"/>
        <w:bidi/>
        <w:spacing w:after="160" w:line="240" w:lineRule="auto"/>
        <w:contextualSpacing/>
        <w:rPr>
          <w:rFonts w:ascii="Traditional Arabic" w:eastAsiaTheme="minorHAnsi" w:hAnsi="Traditional Arabic" w:cs="Traditional Arabic"/>
          <w:bCs/>
          <w:sz w:val="30"/>
          <w:szCs w:val="30"/>
          <w:lang w:val="en-US"/>
        </w:rPr>
      </w:pPr>
      <w:r w:rsidRPr="00C818F0">
        <w:rPr>
          <w:rFonts w:ascii="Traditional Arabic" w:eastAsiaTheme="minorHAnsi" w:hAnsi="Traditional Arabic" w:cs="Traditional Arabic"/>
          <w:bCs/>
          <w:sz w:val="30"/>
          <w:szCs w:val="30"/>
          <w:rtl/>
          <w:lang w:val="en-US"/>
        </w:rPr>
        <w:t>مسؤولية الدول الثالثة</w:t>
      </w:r>
    </w:p>
    <w:p w14:paraId="7894D814" w14:textId="2900132F" w:rsidR="00C818F0" w:rsidRPr="00034649"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sz w:val="30"/>
          <w:szCs w:val="30"/>
          <w:rtl/>
          <w:lang w:val="en-US"/>
        </w:rPr>
        <w:t xml:space="preserve">وفقًا للمادة 1 المشتركة في اتفاقيات جنيف الأربع، على الدول الأطراف واجب ليس فقط احترام الاتفاقيات، ولكن أيضًا ضمان احترامها  في جميع الظروف. </w:t>
      </w:r>
      <w:r w:rsidRPr="00C818F0">
        <w:rPr>
          <w:rFonts w:ascii="Traditional Arabic" w:eastAsiaTheme="minorHAnsi" w:hAnsi="Traditional Arabic" w:cs="Traditional Arabic" w:hint="cs"/>
          <w:sz w:val="30"/>
          <w:szCs w:val="30"/>
          <w:rtl/>
          <w:lang w:val="en-US"/>
        </w:rPr>
        <w:t xml:space="preserve">تم تفسير هذا </w:t>
      </w:r>
      <w:r w:rsidRPr="00C818F0">
        <w:rPr>
          <w:rFonts w:ascii="Traditional Arabic" w:eastAsiaTheme="minorHAnsi" w:hAnsi="Traditional Arabic" w:cs="Traditional Arabic"/>
          <w:sz w:val="30"/>
          <w:szCs w:val="30"/>
          <w:rtl/>
          <w:lang w:val="en-US"/>
        </w:rPr>
        <w:t>البند</w:t>
      </w:r>
      <w:r w:rsidRPr="00C818F0">
        <w:rPr>
          <w:rFonts w:ascii="Traditional Arabic" w:eastAsiaTheme="minorHAnsi" w:hAnsi="Traditional Arabic" w:cs="Traditional Arabic" w:hint="cs"/>
          <w:sz w:val="30"/>
          <w:szCs w:val="30"/>
          <w:rtl/>
          <w:lang w:val="en-US"/>
        </w:rPr>
        <w:t xml:space="preserve"> على أنه ينص</w:t>
      </w:r>
      <w:r w:rsidRPr="00C818F0">
        <w:rPr>
          <w:rFonts w:ascii="Traditional Arabic" w:eastAsiaTheme="minorHAnsi" w:hAnsi="Traditional Arabic" w:cs="Traditional Arabic"/>
          <w:sz w:val="30"/>
          <w:szCs w:val="30"/>
          <w:rtl/>
          <w:lang w:val="en-US"/>
        </w:rPr>
        <w:t>، "يجب على الدول، سواء كانت محايدة أو متحالفة أو عدوانية، أن تفعل كل ما في وسعها بشكل معقول لضمان احترام الاتفاقيات من قبل الآخرين الذين هم أطراف في نزاع"</w:t>
      </w:r>
      <w:r w:rsidR="00E96F5A" w:rsidRPr="00B91FAE">
        <w:rPr>
          <w:rStyle w:val="FootnoteReference"/>
          <w:rFonts w:asciiTheme="majorBidi" w:hAnsiTheme="majorBidi" w:cstheme="majorBidi"/>
        </w:rPr>
        <w:footnoteReference w:id="1435"/>
      </w:r>
      <w:r w:rsidRPr="00C818F0">
        <w:rPr>
          <w:rFonts w:ascii="Traditional Arabic" w:eastAsiaTheme="minorHAnsi" w:hAnsi="Traditional Arabic" w:cs="Traditional Arabic"/>
          <w:sz w:val="30"/>
          <w:szCs w:val="30"/>
          <w:rtl/>
          <w:lang w:val="en-US"/>
        </w:rPr>
        <w:t xml:space="preserve">. الالتزام باحترام وضمان الاحترام لا يقتصر على اتفاقيات جنيف، بل يمتد ليشمل كامل القانون الدولي الإنساني. </w:t>
      </w:r>
      <w:r w:rsidRPr="00C818F0">
        <w:rPr>
          <w:rFonts w:ascii="Traditional Arabic" w:eastAsiaTheme="minorHAnsi" w:hAnsi="Traditional Arabic" w:cs="Traditional Arabic" w:hint="cs"/>
          <w:sz w:val="30"/>
          <w:szCs w:val="30"/>
          <w:rtl/>
          <w:lang w:val="en-US"/>
        </w:rPr>
        <w:t xml:space="preserve">بالتحديد، </w:t>
      </w:r>
      <w:r w:rsidRPr="00C818F0">
        <w:rPr>
          <w:rFonts w:ascii="Traditional Arabic" w:eastAsiaTheme="minorHAnsi" w:hAnsi="Traditional Arabic" w:cs="Traditional Arabic"/>
          <w:sz w:val="30"/>
          <w:szCs w:val="30"/>
          <w:rtl/>
          <w:lang w:val="en-US"/>
        </w:rPr>
        <w:t>من المعترف به الآن</w:t>
      </w:r>
      <w:r w:rsidRPr="00C818F0">
        <w:rPr>
          <w:rFonts w:ascii="Traditional Arabic" w:eastAsiaTheme="minorHAnsi" w:hAnsi="Traditional Arabic" w:cs="Traditional Arabic" w:hint="cs"/>
          <w:sz w:val="30"/>
          <w:szCs w:val="30"/>
          <w:rtl/>
          <w:lang w:val="en-US"/>
        </w:rPr>
        <w:t xml:space="preserve"> كقانون عرفي</w:t>
      </w:r>
      <w:r w:rsidRPr="00C818F0">
        <w:rPr>
          <w:rFonts w:ascii="Traditional Arabic" w:eastAsiaTheme="minorHAnsi" w:hAnsi="Traditional Arabic" w:cs="Traditional Arabic"/>
          <w:sz w:val="30"/>
          <w:szCs w:val="30"/>
          <w:rtl/>
          <w:lang w:val="en-US"/>
        </w:rPr>
        <w:t xml:space="preserve"> ألا تشجع الدول انتهاكات القانون الدولي الإنساني من جانب أطراف النزاع المسلح، ويجب عليها ممارسة نفوذها، إلى أقصى حد ممكن، لوقف هذه الانتهاكات</w:t>
      </w:r>
      <w:r w:rsidRPr="00C818F0">
        <w:rPr>
          <w:rFonts w:ascii="Traditional Arabic" w:eastAsiaTheme="minorHAnsi" w:hAnsi="Traditional Arabic" w:cs="Traditional Arabic"/>
          <w:sz w:val="30"/>
          <w:szCs w:val="30"/>
          <w:lang w:val="en-US"/>
        </w:rPr>
        <w:t>.</w:t>
      </w:r>
      <w:r w:rsidR="00E96F5A" w:rsidRPr="00E96F5A">
        <w:rPr>
          <w:rFonts w:asciiTheme="majorBidi" w:hAnsiTheme="majorBidi" w:cstheme="majorBidi"/>
          <w:vertAlign w:val="superscript"/>
        </w:rPr>
        <w:t xml:space="preserve"> </w:t>
      </w:r>
      <w:r w:rsidR="00E96F5A" w:rsidRPr="00B91FAE">
        <w:rPr>
          <w:rFonts w:asciiTheme="majorBidi" w:hAnsiTheme="majorBidi" w:cstheme="majorBidi"/>
          <w:vertAlign w:val="superscript"/>
        </w:rPr>
        <w:footnoteReference w:id="1436"/>
      </w:r>
    </w:p>
    <w:p w14:paraId="0132651D" w14:textId="5337147E" w:rsidR="00C818F0" w:rsidRPr="00034649"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034649">
        <w:rPr>
          <w:rFonts w:ascii="Traditional Arabic" w:eastAsiaTheme="minorHAnsi" w:hAnsi="Traditional Arabic" w:cs="Traditional Arabic"/>
          <w:sz w:val="30"/>
          <w:szCs w:val="30"/>
          <w:rtl/>
        </w:rPr>
        <w:t>من الم</w:t>
      </w:r>
      <w:r w:rsidRPr="00034649">
        <w:rPr>
          <w:rFonts w:ascii="Traditional Arabic" w:eastAsiaTheme="minorHAnsi" w:hAnsi="Traditional Arabic" w:cs="Traditional Arabic" w:hint="cs"/>
          <w:sz w:val="30"/>
          <w:szCs w:val="30"/>
          <w:rtl/>
        </w:rPr>
        <w:t xml:space="preserve">سلّم </w:t>
      </w:r>
      <w:r w:rsidRPr="00034649">
        <w:rPr>
          <w:rFonts w:ascii="Traditional Arabic" w:eastAsiaTheme="minorHAnsi" w:hAnsi="Traditional Arabic" w:cs="Traditional Arabic"/>
          <w:sz w:val="30"/>
          <w:szCs w:val="30"/>
          <w:rtl/>
        </w:rPr>
        <w:t>به كذلك عمومًا أن واجب ضمان احترام اتفاقيات جنيف الأربع والقانون الدولي الإنساني عمومًا يشمل التزامات</w:t>
      </w:r>
      <w:r w:rsidRPr="00034649">
        <w:rPr>
          <w:rFonts w:ascii="Traditional Arabic" w:eastAsiaTheme="minorHAnsi" w:hAnsi="Traditional Arabic" w:cs="Traditional Arabic" w:hint="cs"/>
          <w:sz w:val="30"/>
          <w:szCs w:val="30"/>
          <w:rtl/>
          <w:lang w:val="en-US"/>
        </w:rPr>
        <w:t xml:space="preserve"> </w:t>
      </w:r>
      <w:r w:rsidRPr="00034649">
        <w:rPr>
          <w:rFonts w:ascii="Traditional Arabic" w:eastAsiaTheme="minorHAnsi" w:hAnsi="Traditional Arabic" w:cs="Traditional Arabic"/>
          <w:sz w:val="30"/>
          <w:szCs w:val="30"/>
          <w:rtl/>
        </w:rPr>
        <w:t>سلبية وإيجابية.</w:t>
      </w:r>
      <w:r w:rsidRPr="00034649">
        <w:rPr>
          <w:rFonts w:ascii="Traditional Arabic" w:eastAsiaTheme="minorHAnsi" w:hAnsi="Traditional Arabic" w:cs="Traditional Arabic"/>
          <w:sz w:val="30"/>
          <w:szCs w:val="30"/>
          <w:vertAlign w:val="superscript"/>
          <w:lang w:val="en-US"/>
        </w:rPr>
        <w:t xml:space="preserve"> </w:t>
      </w:r>
      <w:r w:rsidR="00E96F5A" w:rsidRPr="00B91FAE">
        <w:rPr>
          <w:rFonts w:asciiTheme="majorBidi" w:hAnsiTheme="majorBidi" w:cstheme="majorBidi"/>
          <w:vertAlign w:val="superscript"/>
        </w:rPr>
        <w:footnoteReference w:id="1437"/>
      </w:r>
      <w:r w:rsidRPr="00034649">
        <w:rPr>
          <w:rFonts w:ascii="Traditional Arabic" w:eastAsiaTheme="minorHAnsi" w:hAnsi="Traditional Arabic" w:cs="Traditional Arabic"/>
          <w:sz w:val="30"/>
          <w:szCs w:val="30"/>
          <w:rtl/>
        </w:rPr>
        <w:t>فيما يتعلق بالالتزامات السلبية، يُتوقع من الدول الأطراف أن تمتنع عن أي سلوك معين، أي يجب ألا تشجع أو تساعد في انتهاك الاتفاقية. بالنسبة للالتزامات الإيجابية، يجب على الأطراف اتخاذ إجراء</w:t>
      </w:r>
      <w:r w:rsidRPr="00034649">
        <w:rPr>
          <w:rFonts w:ascii="Traditional Arabic" w:eastAsiaTheme="minorHAnsi" w:hAnsi="Traditional Arabic" w:cs="Traditional Arabic" w:hint="cs"/>
          <w:sz w:val="30"/>
          <w:szCs w:val="30"/>
          <w:rtl/>
        </w:rPr>
        <w:t>ات</w:t>
      </w:r>
      <w:r w:rsidRPr="00034649">
        <w:rPr>
          <w:rFonts w:ascii="Traditional Arabic" w:eastAsiaTheme="minorHAnsi" w:hAnsi="Traditional Arabic" w:cs="Traditional Arabic"/>
          <w:sz w:val="30"/>
          <w:szCs w:val="30"/>
          <w:rtl/>
        </w:rPr>
        <w:t xml:space="preserve"> معقول</w:t>
      </w:r>
      <w:r w:rsidRPr="00034649">
        <w:rPr>
          <w:rFonts w:ascii="Traditional Arabic" w:eastAsiaTheme="minorHAnsi" w:hAnsi="Traditional Arabic" w:cs="Traditional Arabic" w:hint="cs"/>
          <w:sz w:val="30"/>
          <w:szCs w:val="30"/>
          <w:rtl/>
        </w:rPr>
        <w:t>ة</w:t>
      </w:r>
      <w:r w:rsidRPr="00034649">
        <w:rPr>
          <w:rFonts w:ascii="Traditional Arabic" w:eastAsiaTheme="minorHAnsi" w:hAnsi="Traditional Arabic" w:cs="Traditional Arabic"/>
          <w:sz w:val="30"/>
          <w:szCs w:val="30"/>
          <w:rtl/>
        </w:rPr>
        <w:t xml:space="preserve"> لتحفيز الدول التي تنتهك الاتفاقيات على التصرف وفقًا للقانون الإنساني الدولي</w:t>
      </w:r>
      <w:r w:rsidRPr="00034649">
        <w:rPr>
          <w:rFonts w:ascii="Traditional Arabic" w:eastAsiaTheme="minorHAnsi" w:hAnsi="Traditional Arabic" w:cs="Traditional Arabic"/>
          <w:sz w:val="30"/>
          <w:szCs w:val="30"/>
        </w:rPr>
        <w:t>.</w:t>
      </w:r>
      <w:r w:rsidRPr="00034649">
        <w:rPr>
          <w:rFonts w:ascii="Traditional Arabic" w:eastAsiaTheme="minorHAnsi" w:hAnsi="Traditional Arabic" w:cs="Traditional Arabic"/>
          <w:sz w:val="30"/>
          <w:szCs w:val="30"/>
          <w:vertAlign w:val="superscript"/>
          <w:lang w:val="en-US"/>
        </w:rPr>
        <w:t xml:space="preserve"> </w:t>
      </w:r>
      <w:r w:rsidR="00E96F5A" w:rsidRPr="00B91FAE">
        <w:rPr>
          <w:rFonts w:asciiTheme="majorBidi" w:hAnsiTheme="majorBidi" w:cstheme="majorBidi"/>
          <w:vertAlign w:val="superscript"/>
        </w:rPr>
        <w:footnoteReference w:id="1438"/>
      </w:r>
    </w:p>
    <w:p w14:paraId="055DC81B" w14:textId="7C28A8CD"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hint="eastAsia"/>
          <w:sz w:val="30"/>
          <w:szCs w:val="30"/>
          <w:rtl/>
        </w:rPr>
        <w:t>حقيقة</w:t>
      </w:r>
      <w:r w:rsidRPr="00C818F0">
        <w:rPr>
          <w:rFonts w:ascii="Traditional Arabic" w:eastAsiaTheme="minorHAnsi" w:hAnsi="Traditional Arabic" w:cs="Traditional Arabic"/>
          <w:sz w:val="30"/>
          <w:szCs w:val="30"/>
          <w:rtl/>
        </w:rPr>
        <w:t xml:space="preserve"> أن التزامات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اعتبارها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سارية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مصلحة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احترامها</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ويمثل</w:t>
      </w:r>
      <w:r w:rsidRPr="00C818F0">
        <w:rPr>
          <w:rFonts w:ascii="Traditional Arabic" w:eastAsiaTheme="minorHAnsi" w:hAnsi="Traditional Arabic" w:cs="Traditional Arabic"/>
          <w:sz w:val="30"/>
          <w:szCs w:val="30"/>
          <w:rtl/>
        </w:rPr>
        <w:t xml:space="preserve"> هذا أساسًا </w:t>
      </w:r>
      <w:r w:rsidRPr="00C818F0">
        <w:rPr>
          <w:rFonts w:ascii="Traditional Arabic" w:eastAsiaTheme="minorHAnsi" w:hAnsi="Traditional Arabic" w:cs="Traditional Arabic"/>
          <w:sz w:val="30"/>
          <w:szCs w:val="30"/>
          <w:rtl/>
        </w:rPr>
        <w:lastRenderedPageBreak/>
        <w:t xml:space="preserve">آخر للالتزام باحترام وضمان احترام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النحو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المادة</w:t>
      </w:r>
      <w:r w:rsidRPr="00C818F0">
        <w:rPr>
          <w:rFonts w:ascii="Traditional Arabic" w:eastAsiaTheme="minorHAnsi" w:hAnsi="Traditional Arabic" w:cs="Traditional Arabic"/>
          <w:sz w:val="30"/>
          <w:szCs w:val="30"/>
          <w:rtl/>
        </w:rPr>
        <w:t xml:space="preserve"> 1 </w:t>
      </w:r>
      <w:r w:rsidRPr="00C818F0">
        <w:rPr>
          <w:rFonts w:ascii="Traditional Arabic" w:eastAsiaTheme="minorHAnsi" w:hAnsi="Traditional Arabic" w:cs="Traditional Arabic" w:hint="eastAsia"/>
          <w:sz w:val="30"/>
          <w:szCs w:val="30"/>
          <w:rtl/>
        </w:rPr>
        <w:t>المشتركة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اتفاقيات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جنيف</w:t>
      </w:r>
      <w:r w:rsidRPr="00C818F0">
        <w:rPr>
          <w:rFonts w:ascii="Traditional Arabic" w:eastAsiaTheme="minorHAnsi" w:hAnsi="Traditional Arabic" w:cs="Traditional Arabic"/>
          <w:sz w:val="30"/>
          <w:szCs w:val="30"/>
          <w:rtl/>
        </w:rPr>
        <w:t xml:space="preserve">. </w:t>
      </w:r>
    </w:p>
    <w:p w14:paraId="03FCB0ED" w14:textId="77A86536"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bidi="ar"/>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أقل الأحوال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w:t>
      </w:r>
      <w:r w:rsidRPr="00C818F0">
        <w:rPr>
          <w:rFonts w:ascii="Traditional Arabic" w:eastAsiaTheme="minorHAnsi" w:hAnsi="Traditional Arabic" w:cs="Traditional Arabic"/>
          <w:sz w:val="30"/>
          <w:szCs w:val="30"/>
          <w:rtl/>
        </w:rPr>
        <w:t xml:space="preserve"> أن تثير مخاوف. </w:t>
      </w:r>
      <w:r w:rsidRPr="00C818F0">
        <w:rPr>
          <w:rFonts w:ascii="Traditional Arabic" w:eastAsiaTheme="minorHAnsi" w:hAnsi="Traditional Arabic" w:cs="Traditional Arabic" w:hint="eastAsia"/>
          <w:sz w:val="30"/>
          <w:szCs w:val="30"/>
          <w:rtl/>
        </w:rPr>
        <w:t>إن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واجب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الامتثال</w:t>
      </w:r>
      <w:r w:rsidRPr="00C818F0">
        <w:rPr>
          <w:rFonts w:ascii="Traditional Arabic" w:eastAsiaTheme="minorHAnsi" w:hAnsi="Traditional Arabic" w:cs="Traditional Arabic"/>
          <w:sz w:val="30"/>
          <w:szCs w:val="30"/>
          <w:rtl/>
        </w:rPr>
        <w:t xml:space="preserve"> من دون اعتباره عملاً غير ودي</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يكون </w:t>
      </w:r>
      <w:r w:rsidRPr="00C818F0">
        <w:rPr>
          <w:rFonts w:ascii="Traditional Arabic" w:eastAsiaTheme="minorHAnsi" w:hAnsi="Traditional Arabic" w:cs="Traditional Arabic" w:hint="eastAsia"/>
          <w:sz w:val="30"/>
          <w:szCs w:val="30"/>
          <w:rtl/>
        </w:rPr>
        <w:t>مستمدًا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طابع</w:t>
      </w:r>
      <w:r w:rsidRPr="00C818F0">
        <w:rPr>
          <w:rFonts w:ascii="Traditional Arabic" w:eastAsiaTheme="minorHAnsi" w:hAnsi="Traditional Arabic" w:cs="Traditional Arabic"/>
          <w:sz w:val="30"/>
          <w:szCs w:val="30"/>
          <w:rtl/>
        </w:rPr>
        <w:t xml:space="preserve"> كافة </w:t>
      </w:r>
      <w:r w:rsidRPr="00C818F0">
        <w:rPr>
          <w:rFonts w:ascii="Traditional Arabic" w:eastAsiaTheme="minorHAnsi" w:hAnsi="Traditional Arabic" w:cs="Traditional Arabic" w:hint="eastAsia"/>
          <w:sz w:val="30"/>
          <w:szCs w:val="30"/>
          <w:rtl/>
        </w:rPr>
        <w:t>إلتزامات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ال</w:t>
      </w:r>
      <w:r w:rsidRPr="00C818F0">
        <w:rPr>
          <w:rFonts w:ascii="Traditional Arabic" w:eastAsiaTheme="minorHAnsi" w:hAnsi="Traditional Arabic" w:cs="Traditional Arabic" w:hint="eastAsia"/>
          <w:sz w:val="30"/>
          <w:szCs w:val="30"/>
          <w:rtl/>
        </w:rPr>
        <w:t>سارية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الجميع</w:t>
      </w:r>
      <w:r w:rsidR="00E96F5A" w:rsidRPr="00B91FAE">
        <w:rPr>
          <w:rStyle w:val="FootnoteReference"/>
        </w:rPr>
        <w:footnoteReference w:id="1439"/>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إذا</w:t>
      </w:r>
      <w:r w:rsidRPr="00C818F0">
        <w:rPr>
          <w:rFonts w:ascii="Traditional Arabic" w:eastAsiaTheme="minorHAnsi" w:hAnsi="Traditional Arabic" w:cs="Traditional Arabic"/>
          <w:sz w:val="30"/>
          <w:szCs w:val="30"/>
          <w:rtl/>
        </w:rPr>
        <w:t xml:space="preserve"> كانت </w:t>
      </w:r>
      <w:r w:rsidRPr="00C818F0">
        <w:rPr>
          <w:rFonts w:ascii="Traditional Arabic" w:eastAsiaTheme="minorHAnsi" w:hAnsi="Traditional Arabic" w:cs="Traditional Arabic" w:hint="eastAsia"/>
          <w:sz w:val="30"/>
          <w:szCs w:val="30"/>
          <w:rtl/>
        </w:rPr>
        <w:t>إلتزامات</w:t>
      </w:r>
      <w:r w:rsidRPr="00C818F0">
        <w:rPr>
          <w:rFonts w:ascii="Traditional Arabic" w:eastAsiaTheme="minorHAnsi" w:hAnsi="Traditional Arabic" w:cs="Traditional Arabic"/>
          <w:sz w:val="30"/>
          <w:szCs w:val="30"/>
          <w:rtl/>
        </w:rPr>
        <w:t xml:space="preserve"> القانون الدولي </w:t>
      </w:r>
      <w:r w:rsidRPr="00C818F0">
        <w:rPr>
          <w:rFonts w:ascii="Traditional Arabic" w:eastAsiaTheme="minorHAnsi" w:hAnsi="Traditional Arabic" w:cs="Traditional Arabic" w:hint="eastAsia"/>
          <w:sz w:val="30"/>
          <w:szCs w:val="30"/>
          <w:rtl/>
        </w:rPr>
        <w:t>الإنساني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طبيعة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ثنائية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فحسب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ولكنها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تمثل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تعهدات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تجاه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يتمتع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أعضاء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المجتمع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بمقام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للتعبير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بشأن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عدم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الامتثال</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فيبقى</w:t>
      </w:r>
      <w:r w:rsidRPr="00C818F0">
        <w:rPr>
          <w:rFonts w:ascii="Traditional Arabic" w:eastAsiaTheme="minorHAnsi" w:hAnsi="Traditional Arabic" w:cs="Traditional Arabic"/>
          <w:sz w:val="30"/>
          <w:szCs w:val="30"/>
          <w:rtl/>
        </w:rPr>
        <w:t xml:space="preserve"> التساؤل </w:t>
      </w:r>
      <w:r w:rsidRPr="00C818F0">
        <w:rPr>
          <w:rFonts w:ascii="Traditional Arabic" w:eastAsiaTheme="minorHAnsi" w:hAnsi="Traditional Arabic" w:cs="Traditional Arabic" w:hint="eastAsia"/>
          <w:sz w:val="30"/>
          <w:szCs w:val="30"/>
          <w:rtl/>
        </w:rPr>
        <w:t>مفتوحاً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ماهية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شكل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"المجتمع".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يُعتقد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هذا يتضمن المجتمع دولتين تعملان </w:t>
      </w:r>
      <w:r w:rsidRPr="00C818F0">
        <w:rPr>
          <w:rFonts w:ascii="Traditional Arabic" w:eastAsiaTheme="minorHAnsi" w:hAnsi="Traditional Arabic" w:cs="Traditional Arabic" w:hint="eastAsia"/>
          <w:sz w:val="30"/>
          <w:szCs w:val="30"/>
          <w:rtl/>
        </w:rPr>
        <w:t>سويًا،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الحال</w:t>
      </w:r>
      <w:r w:rsidRPr="00C818F0">
        <w:rPr>
          <w:rFonts w:ascii="Traditional Arabic" w:eastAsiaTheme="minorHAnsi" w:hAnsi="Traditional Arabic" w:cs="Traditional Arabic"/>
          <w:sz w:val="30"/>
          <w:szCs w:val="30"/>
          <w:rtl/>
        </w:rPr>
        <w:t xml:space="preserve"> مثلًا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جزء</w:t>
      </w:r>
      <w:r w:rsidRPr="00C818F0">
        <w:rPr>
          <w:rFonts w:ascii="Traditional Arabic" w:eastAsiaTheme="minorHAnsi" w:hAnsi="Traditional Arabic" w:cs="Traditional Arabic"/>
          <w:sz w:val="30"/>
          <w:szCs w:val="30"/>
          <w:rtl/>
        </w:rPr>
        <w:t xml:space="preserve"> ممثل </w:t>
      </w:r>
      <w:r w:rsidRPr="00C818F0">
        <w:rPr>
          <w:rFonts w:ascii="Traditional Arabic" w:eastAsiaTheme="minorHAnsi" w:hAnsi="Traditional Arabic" w:cs="Traditional Arabic" w:hint="eastAsia"/>
          <w:sz w:val="30"/>
          <w:szCs w:val="30"/>
          <w:rtl/>
        </w:rPr>
        <w:t>لجانب</w:t>
      </w:r>
      <w:r w:rsidRPr="00C818F0">
        <w:rPr>
          <w:rFonts w:ascii="Traditional Arabic" w:eastAsiaTheme="minorHAnsi" w:hAnsi="Traditional Arabic" w:cs="Traditional Arabic"/>
          <w:sz w:val="30"/>
          <w:szCs w:val="30"/>
          <w:rtl/>
        </w:rPr>
        <w:t xml:space="preserve"> من </w:t>
      </w:r>
      <w:r w:rsidRPr="00C818F0">
        <w:rPr>
          <w:rFonts w:ascii="Traditional Arabic" w:eastAsiaTheme="minorHAnsi" w:hAnsi="Traditional Arabic" w:cs="Traditional Arabic" w:hint="eastAsia"/>
          <w:sz w:val="30"/>
          <w:szCs w:val="30"/>
          <w:rtl/>
        </w:rPr>
        <w:t>الأمم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المتحدة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دول</w:t>
      </w:r>
      <w:r w:rsidRPr="00C818F0">
        <w:rPr>
          <w:rFonts w:ascii="Traditional Arabic" w:eastAsiaTheme="minorHAnsi" w:hAnsi="Traditional Arabic" w:cs="Traditional Arabic"/>
          <w:sz w:val="30"/>
          <w:szCs w:val="30"/>
          <w:rtl/>
        </w:rPr>
        <w:t xml:space="preserve"> فردية</w:t>
      </w:r>
      <w:r w:rsidRPr="00C818F0">
        <w:rPr>
          <w:rFonts w:ascii="Traditional Arabic" w:eastAsiaTheme="minorHAnsi" w:hAnsi="Traditional Arabic" w:cs="Traditional Arabic"/>
          <w:sz w:val="30"/>
          <w:szCs w:val="30"/>
          <w:lang w:bidi="ar"/>
        </w:rPr>
        <w:t>.</w:t>
      </w:r>
    </w:p>
    <w:p w14:paraId="24E49008" w14:textId="4A440C28"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bidi="ar-YE"/>
        </w:rPr>
      </w:pP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أي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يمكن </w:t>
      </w:r>
      <w:r w:rsidRPr="00C818F0">
        <w:rPr>
          <w:rFonts w:ascii="Traditional Arabic" w:eastAsiaTheme="minorHAnsi" w:hAnsi="Traditional Arabic" w:cs="Traditional Arabic" w:hint="eastAsia"/>
          <w:sz w:val="30"/>
          <w:szCs w:val="30"/>
          <w:rtl/>
        </w:rPr>
        <w:t>للأطراف</w:t>
      </w:r>
      <w:r w:rsidRPr="00C818F0">
        <w:rPr>
          <w:rFonts w:ascii="Traditional Arabic" w:eastAsiaTheme="minorHAnsi" w:hAnsi="Traditional Arabic" w:cs="Traditional Arabic"/>
          <w:sz w:val="30"/>
          <w:szCs w:val="30"/>
          <w:rtl/>
        </w:rPr>
        <w:t xml:space="preserve"> الثالثة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تطلب </w:t>
      </w:r>
      <w:r w:rsidRPr="00C818F0">
        <w:rPr>
          <w:rFonts w:ascii="Traditional Arabic" w:eastAsiaTheme="minorHAnsi" w:hAnsi="Traditional Arabic" w:cs="Traditional Arabic" w:hint="eastAsia"/>
          <w:sz w:val="30"/>
          <w:szCs w:val="30"/>
          <w:rtl/>
        </w:rPr>
        <w:t>أمرًا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احتمال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انتهاك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ممكن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تطلبه؟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المفترض،</w:t>
      </w:r>
      <w:r w:rsidRPr="00C818F0">
        <w:rPr>
          <w:rFonts w:ascii="Traditional Arabic" w:eastAsiaTheme="minorHAnsi" w:hAnsi="Traditional Arabic" w:cs="Traditional Arabic"/>
          <w:sz w:val="30"/>
          <w:szCs w:val="30"/>
          <w:rtl/>
        </w:rPr>
        <w:t xml:space="preserve"> أن ك</w:t>
      </w:r>
      <w:r w:rsidRPr="00C818F0">
        <w:rPr>
          <w:rFonts w:ascii="Traditional Arabic" w:eastAsiaTheme="minorHAnsi" w:hAnsi="Traditional Arabic" w:cs="Traditional Arabic" w:hint="eastAsia"/>
          <w:sz w:val="30"/>
          <w:szCs w:val="30"/>
          <w:rtl/>
        </w:rPr>
        <w:t>ل</w:t>
      </w:r>
      <w:r w:rsidRPr="00C818F0">
        <w:rPr>
          <w:rFonts w:ascii="Traditional Arabic" w:eastAsiaTheme="minorHAnsi" w:hAnsi="Traditional Arabic" w:cs="Traditional Arabic"/>
          <w:sz w:val="30"/>
          <w:szCs w:val="30"/>
          <w:rtl/>
        </w:rPr>
        <w:t xml:space="preserve"> ما قد يؤدي إلى إجراء تحقيق شرعي من قبل طرف ثالث ي</w:t>
      </w:r>
      <w:r w:rsidRPr="00C818F0">
        <w:rPr>
          <w:rFonts w:ascii="Traditional Arabic" w:eastAsiaTheme="minorHAnsi" w:hAnsi="Traditional Arabic" w:cs="Traditional Arabic" w:hint="eastAsia"/>
          <w:sz w:val="30"/>
          <w:szCs w:val="30"/>
          <w:rtl/>
        </w:rPr>
        <w:t>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الوهلة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الأولى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أيضًا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نشاطًا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قبل</w:t>
      </w:r>
      <w:r w:rsidRPr="00C818F0">
        <w:rPr>
          <w:rFonts w:ascii="Traditional Arabic" w:eastAsiaTheme="minorHAnsi" w:hAnsi="Traditional Arabic" w:cs="Traditional Arabic"/>
          <w:sz w:val="30"/>
          <w:szCs w:val="30"/>
          <w:rtl/>
        </w:rPr>
        <w:t xml:space="preserve"> الطرف الذي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توجيه التحقيق إليه. يكون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المفاجئ</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يطلب </w:t>
      </w:r>
      <w:r w:rsidRPr="00C818F0">
        <w:rPr>
          <w:rFonts w:ascii="Traditional Arabic" w:eastAsiaTheme="minorHAnsi" w:hAnsi="Traditional Arabic" w:cs="Traditional Arabic" w:hint="eastAsia"/>
          <w:sz w:val="30"/>
          <w:szCs w:val="30"/>
          <w:rtl/>
        </w:rPr>
        <w:t>طرفًا</w:t>
      </w:r>
      <w:r w:rsidRPr="00C818F0">
        <w:rPr>
          <w:rFonts w:ascii="Traditional Arabic" w:eastAsiaTheme="minorHAnsi" w:hAnsi="Traditional Arabic" w:cs="Traditional Arabic"/>
          <w:sz w:val="30"/>
          <w:szCs w:val="30"/>
          <w:rtl/>
        </w:rPr>
        <w:t xml:space="preserve"> ثالث</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تحقيق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نفسه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مُطالبًا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من قبل. </w:t>
      </w:r>
      <w:r w:rsidRPr="00C818F0">
        <w:rPr>
          <w:rFonts w:ascii="Traditional Arabic" w:eastAsiaTheme="minorHAnsi" w:hAnsi="Traditional Arabic" w:cs="Traditional Arabic" w:hint="eastAsia"/>
          <w:sz w:val="30"/>
          <w:szCs w:val="30"/>
          <w:rtl/>
        </w:rPr>
        <w:t>ومع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ذلك،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يطرأ</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موقف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يتسنى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إجراء تحقيق أو </w:t>
      </w:r>
      <w:r w:rsidRPr="00C818F0">
        <w:rPr>
          <w:rFonts w:ascii="Traditional Arabic" w:eastAsiaTheme="minorHAnsi" w:hAnsi="Traditional Arabic" w:cs="Traditional Arabic" w:hint="eastAsia"/>
          <w:sz w:val="30"/>
          <w:szCs w:val="30"/>
          <w:rtl/>
        </w:rPr>
        <w:t>معالجة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مسألة،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وبل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يقرر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ضروريًا،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ينبغي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الواقع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فيها.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حين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الاستثنائي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تستطيع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أطراف</w:t>
      </w:r>
      <w:r w:rsidRPr="00C818F0">
        <w:rPr>
          <w:rFonts w:ascii="Traditional Arabic" w:eastAsiaTheme="minorHAnsi" w:hAnsi="Traditional Arabic" w:cs="Traditional Arabic"/>
          <w:sz w:val="30"/>
          <w:szCs w:val="30"/>
          <w:rtl/>
        </w:rPr>
        <w:t xml:space="preserve"> ثالثة على تأكيد ارتكاب جريمة حرب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أساس نتيجة </w:t>
      </w:r>
      <w:r w:rsidRPr="00C818F0">
        <w:rPr>
          <w:rFonts w:ascii="Traditional Arabic" w:eastAsiaTheme="minorHAnsi" w:hAnsi="Traditional Arabic" w:cs="Traditional Arabic" w:hint="eastAsia"/>
          <w:sz w:val="30"/>
          <w:szCs w:val="30"/>
          <w:rtl/>
        </w:rPr>
        <w:t>الهجوم،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يمكنها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الإشارة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وجود </w:t>
      </w:r>
      <w:r w:rsidRPr="00C818F0">
        <w:rPr>
          <w:rFonts w:ascii="Traditional Arabic" w:eastAsiaTheme="minorHAnsi" w:hAnsi="Traditional Arabic" w:cs="Traditional Arabic" w:hint="eastAsia"/>
          <w:sz w:val="30"/>
          <w:szCs w:val="30"/>
          <w:rtl/>
        </w:rPr>
        <w:t>اسباب</w:t>
      </w:r>
      <w:r w:rsidRPr="00C818F0">
        <w:rPr>
          <w:rFonts w:ascii="Traditional Arabic" w:eastAsiaTheme="minorHAnsi" w:hAnsi="Traditional Arabic" w:cs="Traditional Arabic"/>
          <w:sz w:val="30"/>
          <w:szCs w:val="30"/>
          <w:rtl/>
        </w:rPr>
        <w:t xml:space="preserve"> وجيهة </w:t>
      </w:r>
      <w:r w:rsidRPr="00C818F0">
        <w:rPr>
          <w:rFonts w:ascii="Traditional Arabic" w:eastAsiaTheme="minorHAnsi" w:hAnsi="Traditional Arabic" w:cs="Traditional Arabic" w:hint="eastAsia"/>
          <w:sz w:val="30"/>
          <w:szCs w:val="30"/>
          <w:rtl/>
        </w:rPr>
        <w:t>للقلق</w:t>
      </w:r>
      <w:r w:rsidRPr="00C818F0">
        <w:rPr>
          <w:rFonts w:ascii="Traditional Arabic" w:eastAsiaTheme="minorHAnsi" w:hAnsi="Traditional Arabic" w:cs="Traditional Arabic"/>
          <w:sz w:val="30"/>
          <w:szCs w:val="30"/>
          <w:rtl/>
        </w:rPr>
        <w:t xml:space="preserve"> من </w:t>
      </w:r>
      <w:r w:rsidRPr="00C818F0">
        <w:rPr>
          <w:rFonts w:ascii="Traditional Arabic" w:eastAsiaTheme="minorHAnsi" w:hAnsi="Traditional Arabic" w:cs="Traditional Arabic" w:hint="eastAsia"/>
          <w:sz w:val="30"/>
          <w:szCs w:val="30"/>
          <w:rtl/>
        </w:rPr>
        <w:t>إمكانية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ارتكاب</w:t>
      </w:r>
      <w:r w:rsidRPr="00C818F0">
        <w:rPr>
          <w:rFonts w:ascii="Traditional Arabic" w:eastAsiaTheme="minorHAnsi" w:hAnsi="Traditional Arabic" w:cs="Traditional Arabic"/>
          <w:sz w:val="30"/>
          <w:szCs w:val="30"/>
          <w:rtl/>
        </w:rPr>
        <w:t xml:space="preserve"> جريمة حرب. في العديد من الحالات،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يبرر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حتى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التأكيد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"الهجوم </w:t>
      </w:r>
      <w:r w:rsidRPr="00C818F0">
        <w:rPr>
          <w:rFonts w:ascii="Traditional Arabic" w:eastAsiaTheme="minorHAnsi" w:hAnsi="Traditional Arabic" w:cs="Traditional Arabic" w:hint="eastAsia"/>
          <w:sz w:val="30"/>
          <w:szCs w:val="30"/>
          <w:rtl/>
        </w:rPr>
        <w:t>ضد</w:t>
      </w:r>
      <w:r w:rsidRPr="00C818F0">
        <w:rPr>
          <w:rFonts w:ascii="Traditional Arabic" w:eastAsiaTheme="minorHAnsi" w:hAnsi="Traditional Arabic" w:cs="Traditional Arabic"/>
          <w:sz w:val="30"/>
          <w:szCs w:val="30"/>
          <w:lang w:bidi="ar"/>
        </w:rPr>
        <w:t xml:space="preserve"> A </w:t>
      </w:r>
      <w:r w:rsidRPr="00C818F0">
        <w:rPr>
          <w:rFonts w:ascii="Traditional Arabic" w:eastAsiaTheme="minorHAnsi" w:hAnsi="Traditional Arabic" w:cs="Traditional Arabic" w:hint="eastAsia"/>
          <w:sz w:val="30"/>
          <w:szCs w:val="30"/>
          <w:rtl/>
        </w:rPr>
        <w:t>غير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قانوني</w:t>
      </w:r>
      <w:r w:rsidRPr="00C818F0">
        <w:rPr>
          <w:rFonts w:ascii="Traditional Arabic" w:eastAsiaTheme="minorHAnsi" w:hAnsi="Traditional Arabic" w:cs="Traditional Arabic"/>
          <w:sz w:val="30"/>
          <w:szCs w:val="30"/>
          <w:rtl/>
        </w:rPr>
        <w:t xml:space="preserve"> إلا إذا تمكن </w:t>
      </w:r>
      <w:r w:rsidRPr="00C818F0">
        <w:rPr>
          <w:rFonts w:ascii="Traditional Arabic" w:eastAsiaTheme="minorHAnsi" w:hAnsi="Traditional Arabic" w:cs="Traditional Arabic" w:hint="eastAsia"/>
          <w:sz w:val="30"/>
          <w:szCs w:val="30"/>
          <w:rtl/>
        </w:rPr>
        <w:t>الطرف</w:t>
      </w:r>
      <w:r w:rsidRPr="00C818F0">
        <w:rPr>
          <w:rFonts w:ascii="Traditional Arabic" w:eastAsiaTheme="minorHAnsi" w:hAnsi="Traditional Arabic" w:cs="Traditional Arabic"/>
          <w:sz w:val="30"/>
          <w:szCs w:val="30"/>
          <w:lang w:bidi="ar"/>
        </w:rPr>
        <w:t xml:space="preserve"> B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إظهار</w:t>
      </w:r>
      <w:r w:rsidRPr="00C818F0">
        <w:rPr>
          <w:rFonts w:ascii="Traditional Arabic" w:eastAsiaTheme="minorHAnsi" w:hAnsi="Traditional Arabic" w:cs="Traditional Arabic"/>
          <w:sz w:val="30"/>
          <w:szCs w:val="30"/>
          <w:lang w:bidi="ar"/>
        </w:rPr>
        <w:t xml:space="preserve"> X </w:t>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lang w:bidi="ar"/>
        </w:rPr>
        <w:t xml:space="preserve"> Y </w:t>
      </w:r>
      <w:r w:rsidRPr="00C818F0">
        <w:rPr>
          <w:rFonts w:ascii="Traditional Arabic" w:eastAsiaTheme="minorHAnsi" w:hAnsi="Traditional Arabic" w:cs="Traditional Arabic" w:hint="eastAsia"/>
          <w:sz w:val="30"/>
          <w:szCs w:val="30"/>
          <w:rtl/>
        </w:rPr>
        <w:t>و</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lang w:val="en-US" w:bidi="ar"/>
        </w:rPr>
        <w:t>Z</w:t>
      </w:r>
      <w:r w:rsidRPr="00C818F0">
        <w:rPr>
          <w:rFonts w:ascii="Traditional Arabic" w:eastAsiaTheme="minorHAnsi" w:hAnsi="Traditional Arabic" w:cs="Traditional Arabic"/>
          <w:sz w:val="30"/>
          <w:szCs w:val="30"/>
          <w:rtl/>
          <w:lang w:val="en-US" w:bidi="ar-YE"/>
        </w:rPr>
        <w:t xml:space="preserve">." </w:t>
      </w:r>
    </w:p>
    <w:p w14:paraId="270268E7" w14:textId="4FA5520D" w:rsidR="00C818F0" w:rsidRPr="00E6122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تجدر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الإشارة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نتعامل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المدني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القانون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الجنائي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وأننا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نتعامل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الأدنى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لإثارة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المخاوف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بدلاً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الإثبات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لتحديد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المسؤولية</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الأساس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المعقول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ملزمة</w:t>
      </w:r>
      <w:r w:rsidRPr="00C818F0">
        <w:rPr>
          <w:rFonts w:ascii="Traditional Arabic" w:eastAsiaTheme="minorHAnsi" w:hAnsi="Traditional Arabic" w:cs="Traditional Arabic"/>
          <w:sz w:val="30"/>
          <w:szCs w:val="30"/>
          <w:rtl/>
        </w:rPr>
        <w:t xml:space="preserve"> بموجبه بإثارة شواغلها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يكون "دليل</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موثوق</w:t>
      </w:r>
      <w:r w:rsidRPr="00C818F0">
        <w:rPr>
          <w:rFonts w:ascii="Traditional Arabic" w:eastAsiaTheme="minorHAnsi" w:hAnsi="Traditional Arabic" w:cs="Traditional Arabic" w:hint="eastAsia"/>
          <w:sz w:val="30"/>
          <w:szCs w:val="30"/>
          <w:rtl/>
        </w:rPr>
        <w:t>ًا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احتمال حدوث انتهاك.</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هكذا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ظروف</w:t>
      </w:r>
      <w:r w:rsidRPr="00C818F0">
        <w:rPr>
          <w:rFonts w:ascii="Traditional Arabic" w:eastAsiaTheme="minorHAnsi" w:hAnsi="Traditional Arabic" w:cs="Traditional Arabic"/>
          <w:sz w:val="30"/>
          <w:szCs w:val="30"/>
          <w:rtl/>
        </w:rPr>
        <w:t xml:space="preserve"> وبحكم ال</w:t>
      </w:r>
      <w:r w:rsidRPr="00C818F0">
        <w:rPr>
          <w:rFonts w:ascii="Traditional Arabic" w:eastAsiaTheme="minorHAnsi" w:hAnsi="Traditional Arabic" w:cs="Traditional Arabic" w:hint="eastAsia"/>
          <w:sz w:val="30"/>
          <w:szCs w:val="30"/>
          <w:rtl/>
        </w:rPr>
        <w:t>منطق،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ينبغي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للدولة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تعتمد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طبيعة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السؤال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المطروح</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سبيل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المثال،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التعبير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اختيار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أهداف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معينة،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كافياً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لطرف</w:t>
      </w:r>
      <w:r w:rsidRPr="00C818F0">
        <w:rPr>
          <w:rFonts w:ascii="Traditional Arabic" w:eastAsiaTheme="minorHAnsi" w:hAnsi="Traditional Arabic" w:cs="Traditional Arabic"/>
          <w:sz w:val="30"/>
          <w:szCs w:val="30"/>
          <w:rtl/>
        </w:rPr>
        <w:t xml:space="preserve"> النزاع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بعبارات عامة </w:t>
      </w:r>
      <w:r w:rsidRPr="00C818F0">
        <w:rPr>
          <w:rFonts w:ascii="Traditional Arabic" w:eastAsiaTheme="minorHAnsi" w:hAnsi="Traditional Arabic" w:cs="Traditional Arabic" w:hint="eastAsia"/>
          <w:sz w:val="30"/>
          <w:szCs w:val="30"/>
          <w:rtl/>
        </w:rPr>
        <w:t>بأنه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يستهدف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الأهداف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العسكرية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مناسبًا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باستفسار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ولكن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ليس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يتعلق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بسؤال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معين</w:t>
      </w:r>
      <w:r w:rsidRPr="00C818F0">
        <w:rPr>
          <w:rFonts w:ascii="Traditional Arabic" w:eastAsiaTheme="minorHAnsi" w:hAnsi="Traditional Arabic" w:cs="Traditional Arabic"/>
          <w:sz w:val="30"/>
          <w:szCs w:val="30"/>
          <w:lang w:bidi="ar"/>
        </w:rPr>
        <w:t>.</w:t>
      </w:r>
    </w:p>
    <w:p w14:paraId="227F28FB" w14:textId="4B6875F4"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نتيجة</w:t>
      </w:r>
      <w:r w:rsidRPr="00C818F0">
        <w:rPr>
          <w:rFonts w:ascii="Traditional Arabic" w:eastAsiaTheme="minorHAnsi" w:hAnsi="Traditional Arabic" w:cs="Traditional Arabic"/>
          <w:sz w:val="30"/>
          <w:szCs w:val="30"/>
          <w:rtl/>
        </w:rPr>
        <w:t xml:space="preserve"> معينة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حالة </w:t>
      </w:r>
      <w:r w:rsidRPr="00C818F0">
        <w:rPr>
          <w:rFonts w:ascii="Traditional Arabic" w:eastAsiaTheme="minorHAnsi" w:hAnsi="Traditional Arabic" w:cs="Traditional Arabic" w:hint="eastAsia"/>
          <w:sz w:val="30"/>
          <w:szCs w:val="30"/>
          <w:rtl/>
        </w:rPr>
        <w:t>معزولة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هي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أساس</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القلق</w:t>
      </w:r>
      <w:r w:rsidRPr="00C818F0">
        <w:rPr>
          <w:rFonts w:ascii="Traditional Arabic" w:eastAsiaTheme="minorHAnsi" w:hAnsi="Traditional Arabic" w:cs="Traditional Arabic"/>
          <w:sz w:val="30"/>
          <w:szCs w:val="30"/>
          <w:rtl/>
        </w:rPr>
        <w:t xml:space="preserve"> المعبر عنه</w:t>
      </w:r>
      <w:r w:rsidRPr="00C818F0">
        <w:rPr>
          <w:rFonts w:ascii="Traditional Arabic" w:eastAsiaTheme="minorHAnsi" w:hAnsi="Traditional Arabic" w:cs="Traditional Arabic" w:hint="eastAsia"/>
          <w:sz w:val="30"/>
          <w:szCs w:val="30"/>
          <w:rtl/>
        </w:rPr>
        <w:t>،</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عندها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المخالف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المحتمل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سبب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اتخاذ</w:t>
      </w:r>
      <w:r w:rsidRPr="00C818F0">
        <w:rPr>
          <w:rFonts w:ascii="Traditional Arabic" w:eastAsiaTheme="minorHAnsi" w:hAnsi="Traditional Arabic" w:cs="Traditional Arabic"/>
          <w:sz w:val="30"/>
          <w:szCs w:val="30"/>
          <w:rtl/>
        </w:rPr>
        <w:t xml:space="preserve"> الإجراء المعين بذلك الشكل. عندما تثير مسألة مخاوف بشأن نمط من الهجمات أدى في كل حالة من الحالات المحددة إلى نتيجة غير قانونية محتملة، فإن المشكلة قد لا </w:t>
      </w:r>
      <w:r w:rsidRPr="00C818F0">
        <w:rPr>
          <w:rFonts w:ascii="Traditional Arabic" w:eastAsiaTheme="minorHAnsi" w:hAnsi="Traditional Arabic" w:cs="Traditional Arabic"/>
          <w:sz w:val="30"/>
          <w:szCs w:val="30"/>
          <w:rtl/>
        </w:rPr>
        <w:lastRenderedPageBreak/>
        <w:t xml:space="preserve">تتعلق بالهجمات الفردية فقط. بدلاً من الفعل الفردي المحتمل للفعل الخاطئ، يثير هذا احتمال وجود نمط منهجي للفعل غير المشروع أو فشل منهجي في عملية صنع القرار. في </w:t>
      </w:r>
      <w:r w:rsidRPr="00C818F0">
        <w:rPr>
          <w:rFonts w:ascii="Traditional Arabic" w:eastAsiaTheme="minorHAnsi" w:hAnsi="Traditional Arabic" w:cs="Traditional Arabic" w:hint="eastAsia"/>
          <w:sz w:val="30"/>
          <w:szCs w:val="30"/>
          <w:rtl/>
        </w:rPr>
        <w:t>هكذا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حالة،</w:t>
      </w:r>
      <w:r w:rsidRPr="00C818F0">
        <w:rPr>
          <w:rFonts w:ascii="Traditional Arabic" w:eastAsiaTheme="minorHAnsi" w:hAnsi="Traditional Arabic" w:cs="Traditional Arabic"/>
          <w:sz w:val="30"/>
          <w:szCs w:val="30"/>
          <w:rtl/>
        </w:rPr>
        <w:t xml:space="preserve"> يحتاج الطرف الذي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استجوابه</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إجراء</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يشمل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الإجراءات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الفردية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المحددة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وإمكانية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جزءًا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نمط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الحصول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تفسير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أوفى،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نظرًا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للنطاق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الأكبر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للانتهاك</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المحتمل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مراعاة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قيود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المسائل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الحقيقية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المتعلقة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بالأمن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القومي،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تكون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نتائج</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معروفة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للطرف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الثالث</w:t>
      </w:r>
      <w:r w:rsidRPr="00C818F0">
        <w:rPr>
          <w:rFonts w:ascii="Traditional Arabic" w:eastAsiaTheme="minorHAnsi" w:hAnsi="Traditional Arabic" w:cs="Traditional Arabic"/>
          <w:sz w:val="30"/>
          <w:szCs w:val="30"/>
          <w:lang w:bidi="ar"/>
        </w:rPr>
        <w:t>.</w:t>
      </w:r>
    </w:p>
    <w:p w14:paraId="26BFCCC1" w14:textId="655A4728" w:rsidR="00C818F0" w:rsidRPr="00E61220" w:rsidRDefault="00C818F0" w:rsidP="003B7C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نوع</w:t>
      </w:r>
      <w:r w:rsidRPr="00C818F0">
        <w:rPr>
          <w:rFonts w:ascii="Traditional Arabic" w:eastAsiaTheme="minorHAnsi" w:hAnsi="Traditional Arabic" w:cs="Traditional Arabic"/>
          <w:sz w:val="30"/>
          <w:szCs w:val="30"/>
          <w:rtl/>
        </w:rPr>
        <w:t xml:space="preserve"> آخر من المواقف التي تتطلب المزيد من التحقيق المتعمق وهو مكان حدوث نتيجة خاطئة </w:t>
      </w:r>
      <w:r w:rsidRPr="00C818F0">
        <w:rPr>
          <w:rFonts w:ascii="Traditional Arabic" w:eastAsiaTheme="minorHAnsi" w:hAnsi="Traditional Arabic" w:cs="Traditional Arabic" w:hint="eastAsia"/>
          <w:sz w:val="30"/>
          <w:szCs w:val="30"/>
          <w:rtl/>
        </w:rPr>
        <w:t>واضحة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وحيث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للمخالف</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المزعوم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سيطرة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كاملة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وحصرية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الأحداث</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الصلة</w:t>
      </w:r>
      <w:r w:rsidRPr="00C818F0">
        <w:rPr>
          <w:rFonts w:ascii="Traditional Arabic" w:eastAsiaTheme="minorHAnsi" w:hAnsi="Traditional Arabic" w:cs="Traditional Arabic"/>
          <w:sz w:val="30"/>
          <w:szCs w:val="30"/>
          <w:rtl/>
        </w:rPr>
        <w:t>.</w:t>
      </w:r>
      <w:r w:rsidR="00E96F5A" w:rsidRPr="00B91FAE">
        <w:rPr>
          <w:rStyle w:val="FootnoteReference"/>
        </w:rPr>
        <w:footnoteReference w:id="1440"/>
      </w:r>
      <w:r w:rsidR="00E96F5A">
        <w:rPr>
          <w:rFonts w:ascii="Traditional Arabic" w:eastAsiaTheme="minorHAnsi" w:hAnsi="Traditional Arabic" w:cs="Traditional Arabic" w:hint="cs"/>
          <w:sz w:val="30"/>
          <w:szCs w:val="30"/>
          <w:vertAlign w:val="superscript"/>
          <w:rtl/>
          <w:lang w:val="en-US"/>
        </w:rPr>
        <w:t xml:space="preserve"> </w:t>
      </w:r>
      <w:r w:rsidRPr="00C818F0">
        <w:rPr>
          <w:rFonts w:ascii="Traditional Arabic" w:eastAsiaTheme="minorHAnsi" w:hAnsi="Traditional Arabic" w:cs="Traditional Arabic" w:hint="eastAsia"/>
          <w:sz w:val="30"/>
          <w:szCs w:val="30"/>
          <w:rtl/>
        </w:rPr>
        <w:t>المثال</w:t>
      </w:r>
      <w:r w:rsidRPr="00C818F0">
        <w:rPr>
          <w:rFonts w:ascii="Traditional Arabic" w:eastAsiaTheme="minorHAnsi" w:hAnsi="Traditional Arabic" w:cs="Traditional Arabic"/>
          <w:sz w:val="30"/>
          <w:szCs w:val="30"/>
          <w:rtl/>
        </w:rPr>
        <w:t xml:space="preserve"> الأكثر وضوحا هو </w:t>
      </w:r>
      <w:r w:rsidRPr="00C818F0">
        <w:rPr>
          <w:rFonts w:ascii="Traditional Arabic" w:eastAsiaTheme="minorHAnsi" w:hAnsi="Traditional Arabic" w:cs="Traditional Arabic" w:hint="eastAsia"/>
          <w:sz w:val="30"/>
          <w:szCs w:val="30"/>
          <w:rtl/>
        </w:rPr>
        <w:t>عندما</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احتجاز</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شخص</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سليم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ثم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يموت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الأسر.</w:t>
      </w:r>
      <w:r w:rsidRPr="00C818F0">
        <w:rPr>
          <w:rFonts w:ascii="Traditional Arabic" w:eastAsiaTheme="minorHAnsi" w:hAnsi="Traditional Arabic" w:cs="Traditional Arabic"/>
          <w:sz w:val="30"/>
          <w:szCs w:val="30"/>
          <w:vertAlign w:val="superscript"/>
          <w:lang w:val="en-US"/>
        </w:rPr>
        <w:t xml:space="preserve"> </w:t>
      </w:r>
      <w:r w:rsidR="00E96F5A" w:rsidRPr="00B91FAE">
        <w:rPr>
          <w:rStyle w:val="FootnoteReference"/>
        </w:rPr>
        <w:footnoteReference w:id="1441"/>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حين أنه لا يوجد سبب مبدئي لماذا يجب أن يقتصر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الأمر </w:t>
      </w:r>
      <w:r w:rsidRPr="00C818F0">
        <w:rPr>
          <w:rFonts w:ascii="Traditional Arabic" w:eastAsiaTheme="minorHAnsi" w:hAnsi="Traditional Arabic" w:cs="Traditional Arabic" w:hint="eastAsia"/>
          <w:sz w:val="30"/>
          <w:szCs w:val="30"/>
          <w:rtl/>
        </w:rPr>
        <w:t>على</w:t>
      </w:r>
      <w:r w:rsidRPr="00C818F0">
        <w:rPr>
          <w:rFonts w:ascii="Traditional Arabic" w:eastAsiaTheme="minorHAnsi" w:hAnsi="Traditional Arabic" w:cs="Traditional Arabic"/>
          <w:sz w:val="30"/>
          <w:szCs w:val="30"/>
          <w:rtl/>
        </w:rPr>
        <w:t xml:space="preserve"> سياق الاحتجاز، فإن </w:t>
      </w:r>
      <w:r w:rsidRPr="00C818F0">
        <w:rPr>
          <w:rFonts w:ascii="Traditional Arabic" w:eastAsiaTheme="minorHAnsi" w:hAnsi="Traditional Arabic" w:cs="Traditional Arabic" w:hint="eastAsia"/>
          <w:sz w:val="30"/>
          <w:szCs w:val="30"/>
          <w:rtl/>
        </w:rPr>
        <w:t>التفرد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السيطرة</w:t>
      </w:r>
      <w:r w:rsidRPr="00C818F0">
        <w:rPr>
          <w:rFonts w:ascii="Traditional Arabic" w:eastAsiaTheme="minorHAnsi" w:hAnsi="Traditional Arabic" w:cs="Traditional Arabic"/>
          <w:sz w:val="30"/>
          <w:szCs w:val="30"/>
          <w:rtl/>
        </w:rPr>
        <w:t xml:space="preserve"> على الأحداث </w:t>
      </w:r>
      <w:r w:rsidRPr="00C818F0">
        <w:rPr>
          <w:rFonts w:ascii="Traditional Arabic" w:eastAsiaTheme="minorHAnsi" w:hAnsi="Traditional Arabic" w:cs="Traditional Arabic" w:hint="eastAsia"/>
          <w:sz w:val="30"/>
          <w:szCs w:val="30"/>
          <w:rtl/>
        </w:rPr>
        <w:t>أمر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مطلوب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ويوحي</w:t>
      </w:r>
      <w:r w:rsidRPr="00C818F0">
        <w:rPr>
          <w:rFonts w:ascii="Traditional Arabic" w:eastAsiaTheme="minorHAnsi" w:hAnsi="Traditional Arabic" w:cs="Traditional Arabic"/>
          <w:sz w:val="30"/>
          <w:szCs w:val="30"/>
          <w:rtl/>
        </w:rPr>
        <w:t xml:space="preserve"> بأنه يكون قابلاً للتطبيق </w:t>
      </w:r>
      <w:r w:rsidRPr="00C818F0">
        <w:rPr>
          <w:rFonts w:ascii="Traditional Arabic" w:eastAsiaTheme="minorHAnsi" w:hAnsi="Traditional Arabic" w:cs="Traditional Arabic" w:hint="eastAsia"/>
          <w:sz w:val="30"/>
          <w:szCs w:val="30"/>
          <w:rtl/>
        </w:rPr>
        <w:t>فقط</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حين </w:t>
      </w:r>
      <w:r w:rsidRPr="00C818F0">
        <w:rPr>
          <w:rFonts w:ascii="Traditional Arabic" w:eastAsiaTheme="minorHAnsi" w:hAnsi="Traditional Arabic" w:cs="Traditional Arabic" w:hint="eastAsia"/>
          <w:sz w:val="30"/>
          <w:szCs w:val="30"/>
          <w:rtl/>
        </w:rPr>
        <w:t>إلى</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آخر</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سياق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النزاع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المسلح</w:t>
      </w:r>
      <w:r w:rsidRPr="00C818F0">
        <w:rPr>
          <w:rFonts w:ascii="Traditional Arabic" w:eastAsiaTheme="minorHAnsi" w:hAnsi="Traditional Arabic" w:cs="Traditional Arabic"/>
          <w:sz w:val="30"/>
          <w:szCs w:val="30"/>
          <w:lang w:bidi="ar"/>
        </w:rPr>
        <w:t>.</w:t>
      </w:r>
    </w:p>
    <w:p w14:paraId="271EC0E9" w14:textId="0354B9D4"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eastAsia"/>
          <w:sz w:val="30"/>
          <w:szCs w:val="30"/>
          <w:rtl/>
        </w:rPr>
        <w:t>شكل</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عام</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يوجد</w:t>
      </w:r>
      <w:r w:rsidRPr="00C818F0">
        <w:rPr>
          <w:rFonts w:ascii="Traditional Arabic" w:eastAsiaTheme="minorHAnsi" w:hAnsi="Traditional Arabic" w:cs="Traditional Arabic"/>
          <w:sz w:val="30"/>
          <w:szCs w:val="30"/>
          <w:rtl/>
        </w:rPr>
        <w:t xml:space="preserve"> مشكلة معينة تنشأ في حالات النزاع وهي </w:t>
      </w:r>
      <w:r w:rsidRPr="00C818F0">
        <w:rPr>
          <w:rFonts w:ascii="Traditional Arabic" w:eastAsiaTheme="minorHAnsi" w:hAnsi="Traditional Arabic" w:cs="Traditional Arabic" w:hint="eastAsia"/>
          <w:sz w:val="30"/>
          <w:szCs w:val="30"/>
          <w:rtl/>
        </w:rPr>
        <w:t>أن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جميع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المعلومات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الصلة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تظل</w:t>
      </w:r>
      <w:r w:rsidRPr="00C818F0">
        <w:rPr>
          <w:rFonts w:ascii="Traditional Arabic" w:eastAsiaTheme="minorHAnsi" w:hAnsi="Traditional Arabic" w:cs="Traditional Arabic"/>
          <w:sz w:val="30"/>
          <w:szCs w:val="30"/>
          <w:rtl/>
        </w:rPr>
        <w:t xml:space="preserve"> عمليًا في أيدي طرف واحد.</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hint="eastAsia"/>
          <w:sz w:val="30"/>
          <w:szCs w:val="30"/>
          <w:rtl/>
        </w:rPr>
        <w:t>هذا</w:t>
      </w:r>
      <w:r w:rsidRPr="00C818F0">
        <w:rPr>
          <w:rFonts w:ascii="Traditional Arabic" w:eastAsiaTheme="minorHAnsi" w:hAnsi="Traditional Arabic" w:cs="Traditional Arabic"/>
          <w:sz w:val="30"/>
          <w:szCs w:val="30"/>
          <w:rtl/>
        </w:rPr>
        <w:t xml:space="preserve"> العامل </w:t>
      </w:r>
      <w:r w:rsidRPr="00C818F0">
        <w:rPr>
          <w:rFonts w:ascii="Traditional Arabic" w:eastAsiaTheme="minorHAnsi" w:hAnsi="Traditional Arabic" w:cs="Traditional Arabic" w:hint="eastAsia"/>
          <w:sz w:val="30"/>
          <w:szCs w:val="30"/>
          <w:rtl/>
        </w:rPr>
        <w:t>بالذات</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قد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يتطلب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المزيد</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من</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الشفافية</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في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نوع</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التحقيق</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الذي</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يجب</w:t>
      </w:r>
      <w:r w:rsidRPr="00C818F0">
        <w:rPr>
          <w:rFonts w:ascii="Traditional Arabic" w:eastAsiaTheme="minorHAnsi" w:hAnsi="Traditional Arabic" w:cs="Traditional Arabic"/>
          <w:sz w:val="30"/>
          <w:szCs w:val="30"/>
          <w:rtl/>
        </w:rPr>
        <w:t xml:space="preserve"> </w:t>
      </w:r>
      <w:r w:rsidRPr="00C818F0">
        <w:rPr>
          <w:rFonts w:ascii="Traditional Arabic" w:eastAsiaTheme="minorHAnsi" w:hAnsi="Traditional Arabic" w:cs="Traditional Arabic" w:hint="eastAsia"/>
          <w:sz w:val="30"/>
          <w:szCs w:val="30"/>
          <w:rtl/>
        </w:rPr>
        <w:t>إجراؤه</w:t>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vertAlign w:val="superscript"/>
          <w:lang w:val="en-US"/>
        </w:rPr>
        <w:t xml:space="preserve"> </w:t>
      </w:r>
      <w:r w:rsidR="00E96F5A" w:rsidRPr="00B91FAE">
        <w:rPr>
          <w:rStyle w:val="FootnoteReference"/>
        </w:rPr>
        <w:footnoteReference w:id="1442"/>
      </w:r>
    </w:p>
    <w:p w14:paraId="3BA4AFAC" w14:textId="466F733D"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lang w:val="en-US"/>
        </w:rPr>
      </w:pPr>
      <w:r w:rsidRPr="00C818F0">
        <w:rPr>
          <w:rFonts w:ascii="Traditional Arabic" w:eastAsiaTheme="minorHAnsi" w:hAnsi="Traditional Arabic" w:cs="Traditional Arabic" w:hint="cs"/>
          <w:sz w:val="30"/>
          <w:szCs w:val="30"/>
          <w:rtl/>
          <w:lang w:val="en-US"/>
        </w:rPr>
        <w:t>ي</w:t>
      </w:r>
      <w:r w:rsidRPr="00C818F0">
        <w:rPr>
          <w:rFonts w:ascii="Traditional Arabic" w:eastAsiaTheme="minorHAnsi" w:hAnsi="Traditional Arabic" w:cs="Traditional Arabic"/>
          <w:sz w:val="30"/>
          <w:szCs w:val="30"/>
          <w:rtl/>
          <w:lang w:val="en-US"/>
        </w:rPr>
        <w:t xml:space="preserve">جب اتخاذ خطوات استباقية </w:t>
      </w:r>
      <w:r w:rsidRPr="00C818F0">
        <w:rPr>
          <w:rFonts w:ascii="Traditional Arabic" w:eastAsiaTheme="minorHAnsi" w:hAnsi="Traditional Arabic" w:cs="Traditional Arabic" w:hint="cs"/>
          <w:sz w:val="30"/>
          <w:szCs w:val="30"/>
          <w:rtl/>
          <w:lang w:val="en-US"/>
        </w:rPr>
        <w:t xml:space="preserve">أخرى </w:t>
      </w:r>
      <w:r w:rsidRPr="00C818F0">
        <w:rPr>
          <w:rFonts w:ascii="Traditional Arabic" w:eastAsiaTheme="minorHAnsi" w:hAnsi="Traditional Arabic" w:cs="Traditional Arabic"/>
          <w:sz w:val="30"/>
          <w:szCs w:val="30"/>
          <w:rtl/>
          <w:lang w:val="en-US"/>
        </w:rPr>
        <w:t>لوضع حد للانتهاكات التي ترتكبها أطراف النزاع وبذل العناية الواجبة</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lang w:val="en-US"/>
        </w:rPr>
        <w:t xml:space="preserve"> للقيام بتنفيذ هذا.</w:t>
      </w:r>
      <w:r w:rsidRPr="00C818F0">
        <w:rPr>
          <w:rFonts w:ascii="Traditional Arabic" w:eastAsiaTheme="minorHAnsi" w:hAnsi="Traditional Arabic" w:cs="Traditional Arabic"/>
          <w:sz w:val="30"/>
          <w:szCs w:val="30"/>
          <w:vertAlign w:val="superscript"/>
        </w:rPr>
        <w:t xml:space="preserve"> </w:t>
      </w:r>
      <w:r w:rsidR="00E96F5A" w:rsidRPr="00B91FAE">
        <w:rPr>
          <w:rFonts w:asciiTheme="majorBidi" w:hAnsiTheme="majorBidi" w:cstheme="majorBidi"/>
          <w:vertAlign w:val="superscript"/>
        </w:rPr>
        <w:footnoteReference w:id="1443"/>
      </w:r>
      <w:r w:rsidRPr="00C818F0">
        <w:rPr>
          <w:rFonts w:ascii="Traditional Arabic" w:eastAsiaTheme="minorHAnsi" w:hAnsi="Traditional Arabic" w:cs="Traditional Arabic"/>
          <w:sz w:val="30"/>
          <w:szCs w:val="30"/>
          <w:rtl/>
          <w:lang w:val="en-US"/>
        </w:rPr>
        <w:t xml:space="preserve">تتمتع الدول الثالثة بحرية الاختيار بين مختلف التدابير الممكنة، طالما أنها </w:t>
      </w:r>
      <w:r w:rsidRPr="00C818F0">
        <w:rPr>
          <w:rFonts w:ascii="Traditional Arabic" w:eastAsiaTheme="minorHAnsi" w:hAnsi="Traditional Arabic" w:cs="Traditional Arabic" w:hint="cs"/>
          <w:sz w:val="30"/>
          <w:szCs w:val="30"/>
          <w:rtl/>
          <w:lang w:val="en-US"/>
        </w:rPr>
        <w:t>مصممة</w:t>
      </w:r>
      <w:r w:rsidRPr="00C818F0">
        <w:rPr>
          <w:rFonts w:ascii="Traditional Arabic" w:eastAsiaTheme="minorHAnsi" w:hAnsi="Traditional Arabic" w:cs="Traditional Arabic"/>
          <w:sz w:val="30"/>
          <w:szCs w:val="30"/>
          <w:rtl/>
          <w:lang w:val="en-US"/>
        </w:rPr>
        <w:t xml:space="preserve"> لضمان احترام القانون.</w:t>
      </w:r>
      <w:r w:rsidRPr="00C818F0">
        <w:rPr>
          <w:rFonts w:ascii="Traditional Arabic" w:eastAsiaTheme="minorHAnsi" w:hAnsi="Traditional Arabic" w:cs="Traditional Arabic"/>
          <w:sz w:val="30"/>
          <w:szCs w:val="30"/>
          <w:vertAlign w:val="superscript"/>
        </w:rPr>
        <w:t xml:space="preserve"> </w:t>
      </w:r>
      <w:r w:rsidRPr="00C818F0">
        <w:rPr>
          <w:rFonts w:ascii="Traditional Arabic" w:eastAsiaTheme="minorHAnsi" w:hAnsi="Traditional Arabic" w:cs="Traditional Arabic"/>
          <w:sz w:val="30"/>
          <w:szCs w:val="30"/>
          <w:rtl/>
          <w:lang w:val="en-US"/>
        </w:rPr>
        <w:t>هذا يعني على سبيل المثال الاعتماد المستمر لإجراء الذي ثبت حتى الآن أنه غير فعال لضمان احترام القانون لم يعد يعتبر مناسبًا. ومن الأمثلة على التدابير المشاركة في الحوار الدبلوماسي، وتقديم المساعي الحميدة، وتقديم المساعدة القانونية والإحالة إلى الهيئات الدولية. ومع ذلك، يمكن أن تكون التدابير أيضًا أقوى وتتضمن تدابير الرد بالمثل، مثل القيود التجارية وتعليق المعونة أو اتفاق التعاون</w:t>
      </w:r>
      <w:r w:rsidRPr="00C818F0">
        <w:rPr>
          <w:rFonts w:ascii="Traditional Arabic" w:eastAsiaTheme="minorHAnsi" w:hAnsi="Traditional Arabic" w:cs="Traditional Arabic"/>
          <w:sz w:val="30"/>
          <w:szCs w:val="30"/>
          <w:lang w:val="en-US"/>
        </w:rPr>
        <w:t>.</w:t>
      </w:r>
      <w:r w:rsidR="00E96F5A" w:rsidRPr="00B91FAE">
        <w:rPr>
          <w:rStyle w:val="FootnoteReference"/>
          <w:rFonts w:asciiTheme="majorBidi" w:hAnsiTheme="majorBidi" w:cstheme="majorBidi"/>
        </w:rPr>
        <w:footnoteReference w:id="1444"/>
      </w:r>
    </w:p>
    <w:p w14:paraId="0D5700EA" w14:textId="6A2380AE" w:rsidR="008212C4" w:rsidRPr="008212C4"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rPr>
      </w:pPr>
      <w:r w:rsidRPr="00C818F0">
        <w:rPr>
          <w:rFonts w:ascii="Traditional Arabic" w:eastAsiaTheme="minorHAnsi" w:hAnsi="Traditional Arabic" w:cs="Traditional Arabic"/>
          <w:sz w:val="30"/>
          <w:szCs w:val="30"/>
          <w:rtl/>
        </w:rPr>
        <w:lastRenderedPageBreak/>
        <w:t>تختلف التدابير التي من المتوقع أن تتخذها الدول الثالثة وفقًا لمستوى التأثير الذي تمارسه الدولة على طرف النزاع. في اليمن، تزداد مسؤولية</w:t>
      </w:r>
      <w:r w:rsidR="00E96F5A" w:rsidRPr="00B91FAE">
        <w:rPr>
          <w:rStyle w:val="FootnoteReference"/>
          <w:rFonts w:asciiTheme="majorBidi" w:hAnsiTheme="majorBidi" w:cstheme="majorBidi"/>
        </w:rPr>
        <w:footnoteReference w:id="1445"/>
      </w:r>
      <w:r w:rsidRPr="00C818F0">
        <w:rPr>
          <w:rFonts w:ascii="Traditional Arabic" w:eastAsiaTheme="minorHAnsi" w:hAnsi="Traditional Arabic" w:cs="Traditional Arabic"/>
          <w:sz w:val="30"/>
          <w:szCs w:val="30"/>
        </w:rPr>
        <w:t xml:space="preserve"> </w:t>
      </w:r>
      <w:r w:rsidRPr="00C818F0">
        <w:rPr>
          <w:rFonts w:ascii="Traditional Arabic" w:eastAsiaTheme="minorHAnsi" w:hAnsi="Traditional Arabic" w:cs="Traditional Arabic"/>
          <w:sz w:val="30"/>
          <w:szCs w:val="30"/>
          <w:rtl/>
        </w:rPr>
        <w:t xml:space="preserve">اتخاذ التدابير مع ارتفاع مستوى التأثير الذي تتمتع به دولة معينة على الحكومة اليمنية أو أعضاء الائتلاف أو الحوثيين. هذا مهم بشكل خاص </w:t>
      </w:r>
      <w:r w:rsidRPr="00C818F0">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لدول - بالإضافة إلى أعضاء التحالف الذين يشاركون مباشرة كأطراف في النزاع - الذين يقدمون الدعم</w:t>
      </w: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 xml:space="preserve">بشكل مباشر أو غير مباشر، لطرف في النزاع من خلال مشورة الخبراء والاستخبارات والتدريب والدعم اللوجستي و/ أو نقل الأسلحة. </w:t>
      </w:r>
      <w:r w:rsidR="00984958">
        <w:rPr>
          <w:rFonts w:ascii="Traditional Arabic" w:eastAsiaTheme="minorHAnsi" w:hAnsi="Traditional Arabic" w:cs="Traditional Arabic" w:hint="cs"/>
          <w:sz w:val="30"/>
          <w:szCs w:val="30"/>
          <w:rtl/>
        </w:rPr>
        <w:t xml:space="preserve">لذلك، </w:t>
      </w:r>
      <w:r w:rsidRPr="00C818F0">
        <w:rPr>
          <w:rFonts w:ascii="Traditional Arabic" w:eastAsiaTheme="minorHAnsi" w:hAnsi="Traditional Arabic" w:cs="Traditional Arabic"/>
          <w:sz w:val="30"/>
          <w:szCs w:val="30"/>
          <w:rtl/>
        </w:rPr>
        <w:t xml:space="preserve">فيما يتعلق بالوضع في اليمن، فإن </w:t>
      </w:r>
      <w:r w:rsidR="00984958">
        <w:rPr>
          <w:rFonts w:ascii="Traditional Arabic" w:eastAsiaTheme="minorHAnsi" w:hAnsi="Traditional Arabic" w:cs="Traditional Arabic" w:hint="cs"/>
          <w:sz w:val="30"/>
          <w:szCs w:val="30"/>
          <w:rtl/>
        </w:rPr>
        <w:t>ل</w:t>
      </w:r>
      <w:r w:rsidRPr="00C818F0">
        <w:rPr>
          <w:rFonts w:ascii="Traditional Arabic" w:eastAsiaTheme="minorHAnsi" w:hAnsi="Traditional Arabic" w:cs="Traditional Arabic"/>
          <w:sz w:val="30"/>
          <w:szCs w:val="30"/>
          <w:rtl/>
        </w:rPr>
        <w:t>مسؤولية الدول</w:t>
      </w:r>
      <w:r w:rsidR="008212C4">
        <w:rPr>
          <w:rFonts w:ascii="Traditional Arabic" w:eastAsiaTheme="minorHAnsi" w:hAnsi="Traditional Arabic" w:cs="Traditional Arabic" w:hint="cs"/>
          <w:sz w:val="30"/>
          <w:szCs w:val="30"/>
          <w:rtl/>
        </w:rPr>
        <w:t xml:space="preserve"> </w:t>
      </w:r>
      <w:r w:rsidR="008212C4" w:rsidRPr="008212C4">
        <w:rPr>
          <w:rFonts w:ascii="Traditional Arabic" w:eastAsiaTheme="minorHAnsi" w:hAnsi="Traditional Arabic" w:cs="Traditional Arabic"/>
          <w:sz w:val="30"/>
          <w:szCs w:val="30"/>
          <w:rtl/>
        </w:rPr>
        <w:t xml:space="preserve">الثالثة أهمية خاصة </w:t>
      </w:r>
      <w:r w:rsidR="008212C4" w:rsidRPr="008212C4">
        <w:rPr>
          <w:rFonts w:ascii="Traditional Arabic" w:eastAsiaTheme="minorHAnsi" w:hAnsi="Traditional Arabic" w:cs="Traditional Arabic" w:hint="cs"/>
          <w:sz w:val="30"/>
          <w:szCs w:val="30"/>
          <w:rtl/>
        </w:rPr>
        <w:t>إن كان ا</w:t>
      </w:r>
      <w:r w:rsidR="008212C4" w:rsidRPr="008212C4">
        <w:rPr>
          <w:rFonts w:ascii="Traditional Arabic" w:eastAsiaTheme="minorHAnsi" w:hAnsi="Traditional Arabic" w:cs="Traditional Arabic"/>
          <w:sz w:val="30"/>
          <w:szCs w:val="30"/>
          <w:rtl/>
        </w:rPr>
        <w:t>لولايات المتحدة</w:t>
      </w:r>
      <w:r w:rsidR="008212C4">
        <w:rPr>
          <w:rStyle w:val="FootnoteReference"/>
          <w:rFonts w:eastAsiaTheme="minorHAnsi" w:cs="Traditional Arabic"/>
          <w:szCs w:val="30"/>
          <w:rtl/>
        </w:rPr>
        <w:footnoteReference w:id="1446"/>
      </w:r>
      <w:r w:rsidR="008212C4" w:rsidRPr="008212C4">
        <w:rPr>
          <w:rFonts w:ascii="Traditional Arabic" w:eastAsiaTheme="minorHAnsi" w:hAnsi="Traditional Arabic" w:cs="Traditional Arabic"/>
          <w:sz w:val="30"/>
          <w:szCs w:val="30"/>
          <w:rtl/>
        </w:rPr>
        <w:t xml:space="preserve"> والمملكة المتحدة</w:t>
      </w:r>
      <w:r w:rsidR="008212C4">
        <w:rPr>
          <w:rStyle w:val="FootnoteReference"/>
          <w:rFonts w:eastAsiaTheme="minorHAnsi" w:cs="Traditional Arabic"/>
          <w:szCs w:val="30"/>
          <w:rtl/>
        </w:rPr>
        <w:footnoteReference w:id="1447"/>
      </w:r>
      <w:r w:rsidR="008212C4" w:rsidRPr="008212C4">
        <w:rPr>
          <w:rFonts w:ascii="Traditional Arabic" w:eastAsiaTheme="minorHAnsi" w:hAnsi="Traditional Arabic" w:cs="Traditional Arabic"/>
          <w:sz w:val="30"/>
          <w:szCs w:val="30"/>
          <w:rtl/>
        </w:rPr>
        <w:t xml:space="preserve"> وفرنسا</w:t>
      </w:r>
      <w:r w:rsidR="008212C4">
        <w:rPr>
          <w:rStyle w:val="FootnoteReference"/>
          <w:rFonts w:eastAsiaTheme="minorHAnsi" w:cs="Traditional Arabic"/>
          <w:szCs w:val="30"/>
          <w:rtl/>
        </w:rPr>
        <w:footnoteReference w:id="1448"/>
      </w:r>
      <w:r w:rsidR="008212C4" w:rsidRPr="008212C4">
        <w:rPr>
          <w:rFonts w:ascii="Traditional Arabic" w:eastAsiaTheme="minorHAnsi" w:hAnsi="Traditional Arabic" w:cs="Traditional Arabic"/>
          <w:sz w:val="30"/>
          <w:szCs w:val="30"/>
          <w:rtl/>
        </w:rPr>
        <w:t xml:space="preserve"> والجمهورية الإسلامية الإيرانية</w:t>
      </w:r>
      <w:r w:rsidR="008212C4" w:rsidRPr="00B91FAE">
        <w:rPr>
          <w:rStyle w:val="FootnoteReference"/>
          <w:rFonts w:asciiTheme="majorBidi" w:hAnsiTheme="majorBidi" w:cstheme="majorBidi"/>
        </w:rPr>
        <w:footnoteReference w:id="1449"/>
      </w:r>
      <w:r w:rsidR="008212C4" w:rsidRPr="008212C4">
        <w:rPr>
          <w:rFonts w:ascii="Traditional Arabic" w:eastAsiaTheme="minorHAnsi" w:hAnsi="Traditional Arabic" w:cs="Traditional Arabic" w:hint="cs"/>
          <w:sz w:val="30"/>
          <w:szCs w:val="30"/>
          <w:rtl/>
        </w:rPr>
        <w:t xml:space="preserve"> أو غيرها </w:t>
      </w:r>
      <w:r w:rsidR="008212C4" w:rsidRPr="008212C4">
        <w:rPr>
          <w:rFonts w:ascii="Traditional Arabic" w:eastAsiaTheme="minorHAnsi" w:hAnsi="Traditional Arabic" w:cs="Traditional Arabic"/>
          <w:sz w:val="30"/>
          <w:szCs w:val="30"/>
          <w:rtl/>
        </w:rPr>
        <w:t>في ضوء التأثير الذي تمارسه هذه الدول على أطراف النزاع</w:t>
      </w:r>
      <w:r w:rsidR="008212C4" w:rsidRPr="008212C4">
        <w:rPr>
          <w:rFonts w:ascii="Traditional Arabic" w:eastAsiaTheme="minorHAnsi" w:hAnsi="Traditional Arabic" w:cs="Traditional Arabic" w:hint="cs"/>
          <w:sz w:val="30"/>
          <w:szCs w:val="30"/>
          <w:rtl/>
        </w:rPr>
        <w:t>.</w:t>
      </w:r>
    </w:p>
    <w:p w14:paraId="2AE0F12D" w14:textId="427E2320"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818F0">
        <w:rPr>
          <w:rFonts w:ascii="Traditional Arabic" w:eastAsiaTheme="minorHAnsi" w:hAnsi="Traditional Arabic" w:cs="Traditional Arabic"/>
          <w:sz w:val="30"/>
          <w:szCs w:val="30"/>
          <w:rtl/>
        </w:rPr>
        <w:t xml:space="preserve">إن مسألة نقل الأسلحة توضيحية بقدر ما تنطوي على التزامات باتخاذ تدابير سلبية وإيجابية. فمن ناحية، يتطلب الالتزام بضمان الاحترام أن تمتنع الدول عن نقل الأسلحة "إذا كان هناك توقع، استنادا إلى حقائق أو معرفة بأنماط الماضي، أن هذه الأسلحة ستُستخدم لانتهاك </w:t>
      </w:r>
      <w:r w:rsidRPr="00C818F0">
        <w:rPr>
          <w:rFonts w:ascii="Traditional Arabic" w:eastAsiaTheme="minorHAnsi" w:hAnsi="Traditional Arabic" w:cs="Traditional Arabic"/>
          <w:sz w:val="30"/>
          <w:szCs w:val="30"/>
          <w:lang w:val="en-US"/>
        </w:rPr>
        <w:t>]</w:t>
      </w:r>
      <w:r w:rsidRPr="00C818F0">
        <w:rPr>
          <w:rFonts w:ascii="Traditional Arabic" w:eastAsiaTheme="minorHAnsi" w:hAnsi="Traditional Arabic" w:cs="Traditional Arabic" w:hint="cs"/>
          <w:sz w:val="30"/>
          <w:szCs w:val="30"/>
          <w:rtl/>
          <w:lang w:val="en-US" w:bidi="ar-YE"/>
        </w:rPr>
        <w:t>القانون الدولي الإنساني</w:t>
      </w:r>
      <w:r w:rsidRPr="00C818F0">
        <w:rPr>
          <w:rFonts w:ascii="Traditional Arabic" w:eastAsiaTheme="minorHAnsi" w:hAnsi="Traditional Arabic" w:cs="Traditional Arabic"/>
          <w:sz w:val="30"/>
          <w:szCs w:val="30"/>
          <w:lang w:val="en-US" w:bidi="ar-YE"/>
        </w:rPr>
        <w:t>[</w:t>
      </w:r>
      <w:r w:rsidRPr="00C818F0">
        <w:rPr>
          <w:rFonts w:ascii="Traditional Arabic" w:eastAsiaTheme="minorHAnsi" w:hAnsi="Traditional Arabic" w:cs="Traditional Arabic"/>
          <w:sz w:val="30"/>
          <w:szCs w:val="30"/>
          <w:rtl/>
        </w:rPr>
        <w:t>". يتطلب هذا الالتزام إجراء تقييم قبل أي نقل للأسلحة.</w:t>
      </w:r>
      <w:r w:rsidRPr="00C818F0">
        <w:rPr>
          <w:rFonts w:ascii="Traditional Arabic" w:eastAsiaTheme="minorHAnsi" w:hAnsi="Traditional Arabic" w:cs="Traditional Arabic"/>
          <w:sz w:val="30"/>
          <w:szCs w:val="30"/>
          <w:shd w:val="clear" w:color="auto" w:fill="FFFFFF"/>
          <w:vertAlign w:val="superscript"/>
        </w:rPr>
        <w:t xml:space="preserve"> </w:t>
      </w:r>
      <w:r w:rsidR="00E96F5A" w:rsidRPr="00B91FAE">
        <w:rPr>
          <w:rStyle w:val="FootnoteReference"/>
          <w:rFonts w:asciiTheme="majorBidi" w:hAnsiTheme="majorBidi" w:cstheme="majorBidi"/>
          <w:shd w:val="clear" w:color="auto" w:fill="FFFFFF"/>
        </w:rPr>
        <w:footnoteReference w:id="1450"/>
      </w:r>
      <w:r w:rsidR="00E96F5A" w:rsidRPr="00B91FAE">
        <w:rPr>
          <w:rFonts w:asciiTheme="majorBidi" w:hAnsiTheme="majorBidi" w:cstheme="majorBidi"/>
        </w:rPr>
        <w:t xml:space="preserve"> </w:t>
      </w:r>
      <w:r w:rsidRPr="00C818F0">
        <w:rPr>
          <w:rFonts w:ascii="Traditional Arabic" w:eastAsiaTheme="minorHAnsi" w:hAnsi="Traditional Arabic" w:cs="Traditional Arabic"/>
          <w:sz w:val="30"/>
          <w:szCs w:val="30"/>
          <w:rtl/>
        </w:rPr>
        <w:t>وتشمل التدابير الإيجابية الأخرى ذات الصلة وضع شروط على هذه الأسلحة أو الحد منها أو رفضها</w:t>
      </w:r>
      <w:r w:rsidRPr="00C818F0">
        <w:rPr>
          <w:rFonts w:ascii="Traditional Arabic" w:eastAsiaTheme="minorHAnsi" w:hAnsi="Traditional Arabic" w:cs="Traditional Arabic"/>
          <w:sz w:val="30"/>
          <w:szCs w:val="30"/>
        </w:rPr>
        <w:t>.</w:t>
      </w:r>
      <w:r w:rsidR="00E96F5A" w:rsidRPr="00B91FAE">
        <w:rPr>
          <w:rStyle w:val="FootnoteReference"/>
          <w:rFonts w:asciiTheme="majorBidi" w:hAnsiTheme="majorBidi" w:cstheme="majorBidi"/>
        </w:rPr>
        <w:footnoteReference w:id="1451"/>
      </w:r>
    </w:p>
    <w:p w14:paraId="12911228" w14:textId="2DFCCF0E"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sz w:val="30"/>
          <w:szCs w:val="30"/>
        </w:rPr>
      </w:pPr>
      <w:r w:rsidRPr="00C818F0">
        <w:rPr>
          <w:rFonts w:ascii="Traditional Arabic" w:eastAsiaTheme="minorHAnsi" w:hAnsi="Traditional Arabic" w:cs="Traditional Arabic"/>
          <w:sz w:val="30"/>
          <w:szCs w:val="30"/>
          <w:rtl/>
        </w:rPr>
        <w:lastRenderedPageBreak/>
        <w:t>وبالمثل، تحظر معاهدة تجارة الأسلحة لعام 2013، التي أصبحت فرنسا والمملكة المتحدة أطرافا فيها، نقل الأسلحة التقليدية أو المواد ذات الصلة إذا كانت الدولة الطرف على علم بأنها ستستخدم هذه الاسلحة في ارتكاب الفظائع الجماعية، بما في ذلك جرائم الحرب.</w:t>
      </w:r>
      <w:r w:rsidR="00E96F5A" w:rsidRPr="00E96F5A">
        <w:rPr>
          <w:rStyle w:val="FootnoteReference"/>
          <w:rFonts w:asciiTheme="majorBidi" w:hAnsiTheme="majorBidi" w:cstheme="majorBidi"/>
          <w:shd w:val="clear" w:color="auto" w:fill="FFFFFF"/>
        </w:rPr>
        <w:t xml:space="preserve"> </w:t>
      </w:r>
      <w:r w:rsidR="00E96F5A" w:rsidRPr="00B91FAE">
        <w:rPr>
          <w:rStyle w:val="FootnoteReference"/>
          <w:rFonts w:asciiTheme="majorBidi" w:hAnsiTheme="majorBidi" w:cstheme="majorBidi"/>
          <w:shd w:val="clear" w:color="auto" w:fill="FFFFFF"/>
        </w:rPr>
        <w:footnoteReference w:id="1452"/>
      </w:r>
      <w:r w:rsidR="00E96F5A" w:rsidRPr="00C818F0">
        <w:rPr>
          <w:rFonts w:ascii="Traditional Arabic" w:eastAsiaTheme="minorHAnsi" w:hAnsi="Traditional Arabic" w:cs="Traditional Arabic" w:hint="cs"/>
          <w:sz w:val="30"/>
          <w:szCs w:val="30"/>
          <w:shd w:val="clear" w:color="auto" w:fill="FFFFFF"/>
          <w:vertAlign w:val="superscript"/>
          <w:rtl/>
        </w:rPr>
        <w:t xml:space="preserve"> </w:t>
      </w:r>
      <w:r w:rsidRPr="00C818F0">
        <w:rPr>
          <w:rFonts w:ascii="Traditional Arabic" w:eastAsiaTheme="minorHAnsi" w:hAnsi="Traditional Arabic" w:cs="Traditional Arabic"/>
          <w:sz w:val="30"/>
          <w:szCs w:val="30"/>
          <w:rtl/>
        </w:rPr>
        <w:t xml:space="preserve"> في حالات أخرى، يتعين على الدول أن تنظر في احترام القانون الدولي الإنساني من قبل الدولة المستوردة قبل التصريح بتصدير الأسلحة التقليدية</w:t>
      </w:r>
      <w:r w:rsidR="00E96F5A">
        <w:rPr>
          <w:rFonts w:ascii="Traditional Arabic" w:eastAsiaTheme="minorHAnsi" w:hAnsi="Traditional Arabic" w:cs="Traditional Arabic" w:hint="cs"/>
          <w:sz w:val="30"/>
          <w:szCs w:val="30"/>
          <w:rtl/>
        </w:rPr>
        <w:t>.</w:t>
      </w:r>
      <w:r w:rsidR="00E96F5A" w:rsidRPr="00B91FAE">
        <w:rPr>
          <w:rStyle w:val="FootnoteReference"/>
          <w:rFonts w:asciiTheme="majorBidi" w:hAnsiTheme="majorBidi" w:cstheme="majorBidi"/>
          <w:shd w:val="clear" w:color="auto" w:fill="FFFFFF"/>
        </w:rPr>
        <w:footnoteReference w:id="1453"/>
      </w:r>
      <w:r w:rsidR="00E96F5A">
        <w:rPr>
          <w:rFonts w:ascii="Traditional Arabic" w:eastAsiaTheme="minorHAnsi" w:hAnsi="Traditional Arabic" w:cs="Traditional Arabic" w:hint="cs"/>
          <w:sz w:val="30"/>
          <w:szCs w:val="30"/>
          <w:rtl/>
        </w:rPr>
        <w:t xml:space="preserve"> </w:t>
      </w:r>
      <w:r w:rsidRPr="00C818F0">
        <w:rPr>
          <w:rFonts w:ascii="Traditional Arabic" w:eastAsia="Calibri" w:hAnsi="Traditional Arabic" w:cs="Traditional Arabic"/>
          <w:sz w:val="30"/>
          <w:szCs w:val="30"/>
          <w:rtl/>
        </w:rPr>
        <w:t>وفقًا للقانون الدولي، وكما هو منصوص عليه صراحة في مشاريع مواد لجنة القانون الدولي بشأن مسؤولية الدولة والتي تعتبر تعبيرا عن القانون الدولي العرفي، فإن الدول ملزمة بالتعاون لإنهاء – من خلال الوسائل القانونية – أي خرق خطير للقانون الدولي</w:t>
      </w:r>
      <w:r w:rsidR="00E96F5A" w:rsidRPr="00B91FAE">
        <w:rPr>
          <w:rStyle w:val="FootnoteReference"/>
          <w:rFonts w:asciiTheme="majorBidi" w:eastAsia="Calibri" w:hAnsiTheme="majorBidi" w:cstheme="majorBidi"/>
        </w:rPr>
        <w:footnoteReference w:id="1454"/>
      </w:r>
      <w:r w:rsidRPr="00C818F0">
        <w:rPr>
          <w:rFonts w:ascii="Traditional Arabic" w:eastAsia="Calibri" w:hAnsi="Traditional Arabic" w:cs="Traditional Arabic"/>
          <w:sz w:val="30"/>
          <w:szCs w:val="30"/>
          <w:rtl/>
        </w:rPr>
        <w:t>. تعتبر انتهاكات خطيرة من جانب دولة لالتزام ناشئ بموجب قاعدة قطعية من القانون الدولي العام</w:t>
      </w:r>
      <w:r w:rsidR="008F6D71" w:rsidRPr="00B91FAE">
        <w:rPr>
          <w:rStyle w:val="FootnoteReference"/>
          <w:rFonts w:asciiTheme="majorBidi" w:hAnsiTheme="majorBidi" w:cstheme="majorBidi"/>
          <w:color w:val="000000"/>
        </w:rPr>
        <w:footnoteReference w:id="1455"/>
      </w:r>
      <w:r w:rsidRPr="00C818F0">
        <w:rPr>
          <w:rFonts w:ascii="Traditional Arabic" w:eastAsia="Calibri" w:hAnsi="Traditional Arabic" w:cs="Traditional Arabic"/>
          <w:sz w:val="30"/>
          <w:szCs w:val="30"/>
          <w:rtl/>
        </w:rPr>
        <w:t>. من المتفق عليه عمومًا أن حظر العدوان والإبادة الجماعية والعبودية والتمييز العنصري والجرائم ضد الإنسانية والحق في تقرير المصير، فضلاً عن القواعد الأساسية للقانون الدولي الإنساني ، ترقى إلى مستوى القواعد القطعية للقانون الدولي.</w:t>
      </w:r>
      <w:r w:rsidRPr="00C818F0">
        <w:rPr>
          <w:rFonts w:ascii="Traditional Arabic" w:eastAsiaTheme="minorHAnsi" w:hAnsi="Traditional Arabic" w:cs="Traditional Arabic"/>
          <w:sz w:val="30"/>
          <w:szCs w:val="30"/>
          <w:vertAlign w:val="superscript"/>
        </w:rPr>
        <w:t xml:space="preserve"> </w:t>
      </w:r>
      <w:r w:rsidR="00EA7E88" w:rsidRPr="00B91FAE">
        <w:rPr>
          <w:rStyle w:val="FootnoteReference"/>
          <w:rFonts w:asciiTheme="majorBidi" w:hAnsiTheme="majorBidi" w:cstheme="majorBidi"/>
        </w:rPr>
        <w:footnoteReference w:id="1456"/>
      </w:r>
      <w:r w:rsidRPr="00C818F0">
        <w:rPr>
          <w:rFonts w:ascii="Traditional Arabic" w:eastAsia="Calibri" w:hAnsi="Traditional Arabic" w:cs="Traditional Arabic"/>
          <w:sz w:val="30"/>
          <w:szCs w:val="30"/>
          <w:rtl/>
        </w:rPr>
        <w:t>وواجب التعاون هذا ينطوي ضمناً على التزام الدول بموجب ميثاق الأمم المتحدة بتعزيز الاحترام والمراعاة العالميين لحقوق الإنسان والحريات ، كما أشارت صراحةً جميع المعاهدات الدولية الأساسية لحقوق الإنسان.</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57"/>
      </w:r>
      <w:r w:rsidRPr="00C818F0">
        <w:rPr>
          <w:rFonts w:ascii="Traditional Arabic" w:eastAsiaTheme="minorHAnsi" w:hAnsi="Traditional Arabic" w:cs="Traditional Arabic"/>
          <w:color w:val="000000"/>
          <w:sz w:val="30"/>
          <w:szCs w:val="30"/>
        </w:rPr>
        <w:t xml:space="preserve"> </w:t>
      </w:r>
      <w:r w:rsidRPr="00C818F0">
        <w:rPr>
          <w:rFonts w:ascii="Traditional Arabic" w:eastAsiaTheme="minorHAnsi" w:hAnsi="Traditional Arabic" w:cs="Traditional Arabic"/>
          <w:sz w:val="30"/>
          <w:szCs w:val="30"/>
          <w:rtl/>
        </w:rPr>
        <w:t>بالإضافة إلى ذلك، يعد التعاون الدولي عنصرا أساسيا في إعمال الحقوق الاقتصادية والاجتماعية والثقافية.</w:t>
      </w:r>
      <w:r w:rsidR="00EA7E88" w:rsidRPr="00EA7E88">
        <w:rPr>
          <w:rStyle w:val="Heading2Char"/>
          <w:rFonts w:asciiTheme="majorBidi" w:hAnsiTheme="majorBidi" w:cstheme="majorBidi"/>
          <w:color w:val="000000"/>
        </w:rPr>
        <w:t xml:space="preserve"> </w:t>
      </w:r>
      <w:r w:rsidR="00EA7E88" w:rsidRPr="00B91FAE">
        <w:rPr>
          <w:rStyle w:val="FootnoteReference"/>
          <w:rFonts w:asciiTheme="majorBidi" w:hAnsiTheme="majorBidi" w:cstheme="majorBidi"/>
          <w:color w:val="000000"/>
        </w:rPr>
        <w:footnoteReference w:id="1458"/>
      </w:r>
      <w:r w:rsidRPr="00C818F0">
        <w:rPr>
          <w:rFonts w:ascii="Traditional Arabic" w:eastAsia="Calibri" w:hAnsi="Traditional Arabic" w:cs="Traditional Arabic"/>
          <w:sz w:val="30"/>
          <w:szCs w:val="30"/>
          <w:rtl/>
        </w:rPr>
        <w:t xml:space="preserve"> </w:t>
      </w:r>
    </w:p>
    <w:p w14:paraId="627254F5" w14:textId="0DFC135D" w:rsidR="00C818F0" w:rsidRPr="00C818F0" w:rsidRDefault="00C818F0" w:rsidP="00EA7E88">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الدول الثالثة ملزمة أيضًا بعدم الاعتراف بموقف قانوني بسبب الوضع الناشئ عن انتهاك خطير للقانون الدولي، أو بعدم تقديم مساعدة في الحفاظ على هذا الوضع.</w:t>
      </w:r>
      <w:r w:rsidRPr="00C818F0">
        <w:rPr>
          <w:rFonts w:ascii="Traditional Arabic" w:eastAsiaTheme="minorHAnsi" w:hAnsi="Traditional Arabic" w:cs="Traditional Arabic"/>
          <w:color w:val="000000"/>
          <w:sz w:val="30"/>
          <w:szCs w:val="30"/>
          <w:vertAlign w:val="superscript"/>
        </w:rPr>
        <w:t xml:space="preserve"> </w:t>
      </w:r>
      <w:r w:rsidR="00EA7E88">
        <w:rPr>
          <w:rStyle w:val="FootnoteReference"/>
          <w:rFonts w:cstheme="majorBidi"/>
          <w:color w:val="000000"/>
        </w:rPr>
        <w:footnoteReference w:id="1459"/>
      </w:r>
      <w:r w:rsidRPr="00C818F0">
        <w:rPr>
          <w:rFonts w:ascii="Traditional Arabic" w:eastAsiaTheme="minorHAnsi" w:hAnsi="Traditional Arabic" w:cs="Traditional Arabic"/>
          <w:sz w:val="30"/>
          <w:szCs w:val="30"/>
          <w:rtl/>
        </w:rPr>
        <w:t>وعلاوة على ذلك، فإن الدولة التي تساعد دولة أخرى عن عمد بهدف تيسير ارتكاب هذا الفعل غير المشروع دولياً تكون مسؤولة دولياً عن القيام بذلك، شريطة أن يكون الفعل غير مشروع إذا كان قد ارتكب من قبل الدولة المساعدة نفسها.</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0"/>
      </w:r>
      <w:r w:rsidRPr="00C818F0">
        <w:rPr>
          <w:rFonts w:ascii="Traditional Arabic" w:eastAsiaTheme="minorHAnsi" w:hAnsi="Traditional Arabic" w:cs="Traditional Arabic"/>
          <w:sz w:val="30"/>
          <w:szCs w:val="30"/>
          <w:rtl/>
        </w:rPr>
        <w:t xml:space="preserve">وفقًا لذلك، فإن الدول التي تساعد عن قصد أو تساعد أطراف </w:t>
      </w:r>
      <w:r w:rsidRPr="00C818F0">
        <w:rPr>
          <w:rFonts w:ascii="Traditional Arabic" w:eastAsiaTheme="minorHAnsi" w:hAnsi="Traditional Arabic" w:cs="Traditional Arabic"/>
          <w:sz w:val="30"/>
          <w:szCs w:val="30"/>
          <w:rtl/>
        </w:rPr>
        <w:lastRenderedPageBreak/>
        <w:t xml:space="preserve">النزاع في اليمن في ارتكاب الانتهاكات ستكون مسؤولة عن التواطؤ في انتهاكات القانون الدولي الإنساني ذات الصلة. </w:t>
      </w:r>
    </w:p>
    <w:p w14:paraId="57321F55" w14:textId="4D6D2713" w:rsidR="00C818F0" w:rsidRPr="00C818F0" w:rsidRDefault="00C818F0" w:rsidP="00C818F0">
      <w:pPr>
        <w:suppressAutoHyphens w:val="0"/>
        <w:bidi/>
        <w:spacing w:after="160" w:line="259" w:lineRule="auto"/>
        <w:ind w:right="810"/>
        <w:rPr>
          <w:rFonts w:ascii="Traditional Arabic" w:eastAsiaTheme="minorHAnsi" w:hAnsi="Traditional Arabic" w:cs="Traditional Arabic"/>
          <w:i/>
          <w:iCs/>
          <w:sz w:val="30"/>
          <w:szCs w:val="30"/>
          <w:rtl/>
        </w:rPr>
      </w:pPr>
      <w:r w:rsidRPr="00C818F0">
        <w:rPr>
          <w:rFonts w:ascii="Traditional Arabic" w:eastAsiaTheme="minorHAnsi" w:hAnsi="Traditional Arabic" w:cs="Traditional Arabic"/>
          <w:i/>
          <w:iCs/>
          <w:sz w:val="30"/>
          <w:szCs w:val="30"/>
          <w:rtl/>
        </w:rPr>
        <w:t xml:space="preserve">   </w:t>
      </w:r>
      <w:r w:rsidR="00E61220">
        <w:rPr>
          <w:rFonts w:ascii="Traditional Arabic" w:eastAsiaTheme="minorHAnsi" w:hAnsi="Traditional Arabic" w:cs="Traditional Arabic"/>
          <w:i/>
          <w:iCs/>
          <w:sz w:val="30"/>
          <w:szCs w:val="30"/>
          <w:rtl/>
        </w:rPr>
        <w:tab/>
      </w:r>
      <w:r w:rsidR="00E61220">
        <w:rPr>
          <w:rFonts w:ascii="Traditional Arabic" w:eastAsiaTheme="minorHAnsi" w:hAnsi="Traditional Arabic" w:cs="Traditional Arabic"/>
          <w:i/>
          <w:iCs/>
          <w:sz w:val="30"/>
          <w:szCs w:val="30"/>
          <w:rtl/>
        </w:rPr>
        <w:tab/>
      </w:r>
      <w:r w:rsidRPr="00C818F0">
        <w:rPr>
          <w:rFonts w:ascii="Traditional Arabic" w:eastAsiaTheme="minorHAnsi" w:hAnsi="Traditional Arabic" w:cs="Traditional Arabic"/>
          <w:i/>
          <w:iCs/>
          <w:sz w:val="30"/>
          <w:szCs w:val="30"/>
          <w:rtl/>
        </w:rPr>
        <w:t xml:space="preserve">  الاستنتاجات</w:t>
      </w:r>
    </w:p>
    <w:p w14:paraId="38E8E209" w14:textId="5132C76C"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sz w:val="30"/>
          <w:szCs w:val="30"/>
          <w:rtl/>
        </w:rPr>
        <w:t>كما هو الحال في العديد من النزاعات الأخرى، يبدو أن المادة 1 المشتركة في اتفاقية جنيف لا يتم النظر فيها بشكل كاف من قبل الدول الثالثة التي لا تشارك مباشرة في النزاع في اليمن، ولا سيما الدول التي تمارس أو قد تمارس تأثيراً محدداً على أطراف النزاع. وبشكل أكثر تحديداً، يوجد شك في ما إذا كانت المملكة المتحدة والولايات المتحدة وفرنسا والجمهورية الإسلامية الإيرانية تتخذ جميع التدابير المعقولة لضمان احترام القانون الدولي الإنساني في اليمن.</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1"/>
      </w:r>
      <w:r w:rsidRPr="00C818F0">
        <w:rPr>
          <w:rFonts w:ascii="Traditional Arabic" w:eastAsiaTheme="minorHAnsi" w:hAnsi="Traditional Arabic" w:cs="Traditional Arabic"/>
          <w:sz w:val="30"/>
          <w:szCs w:val="30"/>
          <w:rtl/>
        </w:rPr>
        <w:t xml:space="preserve">يمكن قول الأمر ذاته بالنسبة لجميع الدول التي تنقل الأسلحة إلى أطراف النزاع في اليمن. مع </w:t>
      </w:r>
      <w:r w:rsidRPr="00C818F0">
        <w:rPr>
          <w:rFonts w:ascii="Traditional Arabic" w:eastAsiaTheme="minorHAnsi" w:hAnsi="Traditional Arabic" w:cs="Traditional Arabic" w:hint="eastAsia"/>
          <w:sz w:val="30"/>
          <w:szCs w:val="30"/>
          <w:rtl/>
        </w:rPr>
        <w:t>عدد</w:t>
      </w:r>
      <w:r w:rsidRPr="00C818F0">
        <w:rPr>
          <w:rFonts w:ascii="Traditional Arabic" w:eastAsiaTheme="minorHAnsi" w:hAnsi="Traditional Arabic" w:cs="Traditional Arabic"/>
          <w:sz w:val="30"/>
          <w:szCs w:val="30"/>
          <w:rtl/>
        </w:rPr>
        <w:t xml:space="preserve"> التقارير العلنية التي تزعم وقوع انتهاكات خطيرة للقانون الدولي الإنساني وغالبًا ما تثبت وقوعها، لا يمكن لأي دولة أن تدعي أنها لا تدرك وقوع مثل هذه الانتهاكات في اليمن. كما يتضح من تقرير</w:t>
      </w:r>
      <w:r w:rsidRPr="00C818F0">
        <w:rPr>
          <w:rFonts w:ascii="Traditional Arabic" w:eastAsiaTheme="minorHAnsi" w:hAnsi="Traditional Arabic" w:cs="Traditional Arabic" w:hint="eastAsia"/>
          <w:sz w:val="30"/>
          <w:szCs w:val="30"/>
          <w:rtl/>
        </w:rPr>
        <w:t>ي</w:t>
      </w:r>
      <w:r w:rsidRPr="00C818F0">
        <w:rPr>
          <w:rFonts w:ascii="Traditional Arabic" w:eastAsiaTheme="minorHAnsi" w:hAnsi="Traditional Arabic" w:cs="Traditional Arabic"/>
          <w:sz w:val="30"/>
          <w:szCs w:val="30"/>
          <w:rtl/>
        </w:rPr>
        <w:t xml:space="preserve"> فريق الخبراء، ارتكبت أطراف النزاع في اليمن انتهاكات قد تؤدي إلى مسؤولية جنائية عن العديد من جرائم الحرب. </w:t>
      </w:r>
    </w:p>
    <w:p w14:paraId="46344035" w14:textId="1DBA01A8" w:rsidR="00C818F0" w:rsidRPr="008212C4"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tl/>
          <w:lang w:val="en-US"/>
        </w:rPr>
      </w:pPr>
      <w:r w:rsidRPr="00C818F0">
        <w:rPr>
          <w:rFonts w:ascii="Traditional Arabic" w:eastAsiaTheme="minorHAnsi" w:hAnsi="Traditional Arabic" w:cs="Traditional Arabic" w:hint="cs"/>
          <w:sz w:val="30"/>
          <w:szCs w:val="30"/>
          <w:rtl/>
        </w:rPr>
        <w:t xml:space="preserve"> </w:t>
      </w:r>
      <w:r w:rsidRPr="00C818F0">
        <w:rPr>
          <w:rFonts w:ascii="Traditional Arabic" w:eastAsiaTheme="minorHAnsi" w:hAnsi="Traditional Arabic" w:cs="Traditional Arabic"/>
          <w:sz w:val="30"/>
          <w:szCs w:val="30"/>
          <w:rtl/>
        </w:rPr>
        <w:t>بالنسبة إلى الدول الأطراف في معاهدة تجارة الأسلحة، بمجرد معرفة الدولة الطرف بأن نقل الأسلحة سيُستخدم في ارتكاب جرائم حرب في اليمن سيكون كافياً ل</w:t>
      </w:r>
      <w:r w:rsidRPr="00C818F0">
        <w:rPr>
          <w:rFonts w:ascii="Traditional Arabic" w:eastAsiaTheme="minorHAnsi" w:hAnsi="Traditional Arabic" w:cs="Traditional Arabic"/>
          <w:sz w:val="30"/>
          <w:szCs w:val="30"/>
          <w:rtl/>
          <w:lang w:bidi="ar-YE"/>
        </w:rPr>
        <w:t xml:space="preserve">انتهاك </w:t>
      </w:r>
      <w:r w:rsidRPr="00C818F0">
        <w:rPr>
          <w:rFonts w:ascii="Traditional Arabic" w:eastAsiaTheme="minorHAnsi" w:hAnsi="Traditional Arabic" w:cs="Traditional Arabic"/>
          <w:sz w:val="30"/>
          <w:szCs w:val="30"/>
          <w:rtl/>
        </w:rPr>
        <w:t>المعاهدة.</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 xml:space="preserve">وفقًا للمادة 6 (3): </w:t>
      </w:r>
      <w:r w:rsidRPr="00C818F0">
        <w:rPr>
          <w:rFonts w:ascii="Traditional Arabic" w:eastAsiaTheme="minorHAnsi" w:hAnsi="Traditional Arabic" w:cs="Traditional Arabic"/>
          <w:i/>
          <w:iCs/>
          <w:sz w:val="30"/>
          <w:szCs w:val="30"/>
          <w:rtl/>
        </w:rPr>
        <w:t>"لا ترخص الدولة الطرف أي نقل للأسلحة التقليدية المشمولة بالمادة 2 (1) أو من المواد المشمولة بالمادة 3 أو المادة 4، إذا كان لديها علم وقت الإذن بأن</w:t>
      </w:r>
      <w:r w:rsidRPr="00C818F0">
        <w:rPr>
          <w:rFonts w:ascii="Traditional Arabic" w:eastAsiaTheme="minorHAnsi" w:hAnsi="Traditional Arabic" w:cs="Traditional Arabic"/>
          <w:i/>
          <w:iCs/>
          <w:sz w:val="30"/>
          <w:szCs w:val="30"/>
          <w:rtl/>
          <w:lang w:bidi="ar"/>
        </w:rPr>
        <w:t xml:space="preserve"> </w:t>
      </w:r>
      <w:r w:rsidRPr="00C818F0">
        <w:rPr>
          <w:rFonts w:ascii="Traditional Arabic" w:eastAsiaTheme="minorHAnsi" w:hAnsi="Traditional Arabic" w:cs="Traditional Arabic"/>
          <w:i/>
          <w:iCs/>
          <w:sz w:val="30"/>
          <w:szCs w:val="30"/>
          <w:rtl/>
        </w:rPr>
        <w:t>الأسلحة أو المواد تُستخدم في ارتكاب الإبادة الجماعية أو الجرائم ضد الإنسانية أو الانتهاكات الجسيمة لاتفاقيات جنيف لعام 1949 أو في الهجمات ضد الأهداف المدنية أو المدنيين المحميين على هذا النحو أو غيرها من جرائم الحرب على النحو المحدد في الاتفاقات الدولية التي</w:t>
      </w:r>
      <w:r w:rsidRPr="00C818F0">
        <w:rPr>
          <w:rFonts w:ascii="Traditional Arabic" w:eastAsiaTheme="minorHAnsi" w:hAnsi="Traditional Arabic" w:cs="Traditional Arabic"/>
          <w:i/>
          <w:iCs/>
          <w:sz w:val="30"/>
          <w:szCs w:val="30"/>
          <w:rtl/>
          <w:lang w:bidi="ar"/>
        </w:rPr>
        <w:t xml:space="preserve"> </w:t>
      </w:r>
      <w:r w:rsidRPr="00C818F0">
        <w:rPr>
          <w:rFonts w:ascii="Traditional Arabic" w:eastAsiaTheme="minorHAnsi" w:hAnsi="Traditional Arabic" w:cs="Traditional Arabic"/>
          <w:i/>
          <w:iCs/>
          <w:sz w:val="30"/>
          <w:szCs w:val="30"/>
          <w:rtl/>
        </w:rPr>
        <w:t>هي طرف فيها</w:t>
      </w:r>
      <w:r w:rsidRPr="00C818F0">
        <w:rPr>
          <w:rFonts w:ascii="Traditional Arabic" w:eastAsiaTheme="minorHAnsi" w:hAnsi="Traditional Arabic" w:cs="Traditional Arabic" w:hint="cs"/>
          <w:i/>
          <w:iCs/>
          <w:sz w:val="30"/>
          <w:szCs w:val="30"/>
          <w:rtl/>
        </w:rPr>
        <w:t>."</w:t>
      </w:r>
    </w:p>
    <w:p w14:paraId="5D9002B3" w14:textId="3F97D856"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color w:val="000000"/>
          <w:sz w:val="30"/>
          <w:szCs w:val="30"/>
        </w:rPr>
      </w:pPr>
      <w:r w:rsidRPr="00C818F0">
        <w:rPr>
          <w:rFonts w:ascii="Traditional Arabic" w:eastAsiaTheme="minorHAnsi" w:hAnsi="Traditional Arabic" w:cs="Traditional Arabic"/>
          <w:sz w:val="30"/>
          <w:szCs w:val="30"/>
          <w:rtl/>
        </w:rPr>
        <w:t xml:space="preserve">بالنسبة لجميع الدول، بما فيها تلك التي ليست أطرافًا في معاهدة تجارة الأسلحة، قد تؤدي عمليات نقل الأسلحة إلى دول أعضاء في التحالف إلى مسؤولية الدولة بمعنى أنها </w:t>
      </w:r>
      <w:r w:rsidRPr="00C818F0">
        <w:rPr>
          <w:rFonts w:ascii="Traditional Arabic" w:eastAsiaTheme="minorHAnsi" w:hAnsi="Traditional Arabic" w:cs="Traditional Arabic" w:hint="cs"/>
          <w:sz w:val="30"/>
          <w:szCs w:val="30"/>
          <w:rtl/>
        </w:rPr>
        <w:t xml:space="preserve">قد </w:t>
      </w:r>
      <w:r w:rsidRPr="00C818F0">
        <w:rPr>
          <w:rFonts w:ascii="Traditional Arabic" w:eastAsiaTheme="minorHAnsi" w:hAnsi="Traditional Arabic" w:cs="Traditional Arabic"/>
          <w:sz w:val="30"/>
          <w:szCs w:val="30"/>
          <w:rtl/>
        </w:rPr>
        <w:t xml:space="preserve">تنتهك </w:t>
      </w:r>
      <w:r w:rsidRPr="00C818F0">
        <w:rPr>
          <w:rFonts w:ascii="Traditional Arabic" w:eastAsiaTheme="minorHAnsi" w:hAnsi="Traditional Arabic" w:cs="Traditional Arabic" w:hint="cs"/>
          <w:sz w:val="30"/>
          <w:szCs w:val="30"/>
          <w:rtl/>
        </w:rPr>
        <w:t>إ</w:t>
      </w:r>
      <w:r w:rsidRPr="00C818F0">
        <w:rPr>
          <w:rFonts w:ascii="Traditional Arabic" w:eastAsiaTheme="minorHAnsi" w:hAnsi="Traditional Arabic" w:cs="Traditional Arabic"/>
          <w:sz w:val="30"/>
          <w:szCs w:val="30"/>
          <w:rtl/>
        </w:rPr>
        <w:t>لتزام الدول بالتعاون من أجل وضع حد لأي خرق خطير للقانون الدولي بما في ذلك الانتهاكات الجسيمة للقانون الدولي الإنساني</w:t>
      </w:r>
      <w:r w:rsidR="00EA7E88" w:rsidRPr="00B91FAE">
        <w:rPr>
          <w:rStyle w:val="FootnoteReference"/>
          <w:rFonts w:asciiTheme="majorBidi" w:hAnsiTheme="majorBidi" w:cstheme="majorBidi"/>
          <w:color w:val="000000"/>
        </w:rPr>
        <w:footnoteReference w:id="1462"/>
      </w:r>
      <w:r w:rsidRPr="00C818F0">
        <w:rPr>
          <w:rFonts w:ascii="Traditional Arabic" w:eastAsiaTheme="minorHAnsi" w:hAnsi="Traditional Arabic" w:cs="Traditional Arabic"/>
          <w:sz w:val="30"/>
          <w:szCs w:val="30"/>
          <w:rtl/>
        </w:rPr>
        <w:t>.</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في بعض الحالات، يمكن أن يكون توفير الأسلحة أو الدعم اللوجستي لطرف في النزاع بمثابة مساعدة أو مساندة طرف النزاع، عن علم، في ارتكاب فعل غير مشروع دوليًا، وبالتالي تكون الدولة الموفرة للسلاح مسؤولة عن هذا الفعل.</w:t>
      </w:r>
      <w:r w:rsidRPr="00C818F0">
        <w:rPr>
          <w:rFonts w:ascii="Traditional Arabic" w:eastAsia="Calibri" w:hAnsi="Traditional Arabic" w:cs="Traditional Arabic"/>
          <w:sz w:val="30"/>
          <w:szCs w:val="30"/>
          <w:vertAlign w:val="superscript"/>
        </w:rPr>
        <w:t xml:space="preserve"> </w:t>
      </w:r>
      <w:r w:rsidR="00EA7E88" w:rsidRPr="00B91FAE">
        <w:rPr>
          <w:rStyle w:val="FootnoteReference"/>
          <w:rFonts w:asciiTheme="majorBidi" w:eastAsia="Calibri" w:hAnsiTheme="majorBidi" w:cstheme="majorBidi"/>
        </w:rPr>
        <w:footnoteReference w:id="1463"/>
      </w:r>
      <w:r w:rsidRPr="00C818F0">
        <w:rPr>
          <w:rFonts w:ascii="Traditional Arabic" w:eastAsiaTheme="minorHAnsi" w:hAnsi="Traditional Arabic" w:cs="Traditional Arabic"/>
          <w:sz w:val="30"/>
          <w:szCs w:val="30"/>
          <w:rtl/>
        </w:rPr>
        <w:t xml:space="preserve">وهذا يعرّض الأفراد في هذه البلدان لخطر المسؤولية </w:t>
      </w:r>
      <w:r w:rsidRPr="00C818F0">
        <w:rPr>
          <w:rFonts w:ascii="Traditional Arabic" w:eastAsiaTheme="minorHAnsi" w:hAnsi="Traditional Arabic" w:cs="Traditional Arabic"/>
          <w:sz w:val="30"/>
          <w:szCs w:val="30"/>
          <w:rtl/>
        </w:rPr>
        <w:lastRenderedPageBreak/>
        <w:t>الجنائية عن المساعدة والتحريض على جرائم الحرب.</w:t>
      </w:r>
      <w:r w:rsidRPr="00C818F0">
        <w:rPr>
          <w:rFonts w:ascii="Traditional Arabic" w:eastAsia="Calibri" w:hAnsi="Traditional Arabic" w:cs="Traditional Arabic"/>
          <w:sz w:val="30"/>
          <w:szCs w:val="30"/>
          <w:vertAlign w:val="superscript"/>
        </w:rPr>
        <w:t xml:space="preserve"> </w:t>
      </w:r>
      <w:r w:rsidR="00EA7E88" w:rsidRPr="00B91FAE">
        <w:rPr>
          <w:rStyle w:val="FootnoteReference"/>
          <w:rFonts w:asciiTheme="majorBidi" w:eastAsia="Calibri" w:hAnsiTheme="majorBidi" w:cstheme="majorBidi"/>
        </w:rPr>
        <w:footnoteReference w:id="1464"/>
      </w:r>
      <w:r w:rsidRPr="00C818F0">
        <w:rPr>
          <w:rFonts w:ascii="Traditional Arabic" w:eastAsiaTheme="minorHAnsi" w:hAnsi="Traditional Arabic" w:cs="Traditional Arabic"/>
          <w:sz w:val="30"/>
          <w:szCs w:val="30"/>
          <w:rtl/>
        </w:rPr>
        <w:t>ما إذا كانت شروط الضلوع تنطبق، لا سيما بالنسبة لجرائم الحرب، فيما يتعلق بالدول التي تزود اليمن بالأسلحة، فهذا أمر لم يتم تحديده بعد</w:t>
      </w:r>
      <w:r w:rsidRPr="00C818F0">
        <w:rPr>
          <w:rFonts w:ascii="Traditional Arabic" w:eastAsiaTheme="minorHAnsi" w:hAnsi="Traditional Arabic" w:cs="Traditional Arabic"/>
          <w:sz w:val="30"/>
          <w:szCs w:val="30"/>
          <w:lang w:bidi="ar"/>
        </w:rPr>
        <w:t>.</w:t>
      </w:r>
      <w:r w:rsidR="00EA7E88" w:rsidRPr="00EA7E88">
        <w:rPr>
          <w:rStyle w:val="Heading2Char"/>
          <w:rFonts w:asciiTheme="majorBidi" w:hAnsiTheme="majorBidi" w:cstheme="majorBidi"/>
          <w:color w:val="000000"/>
        </w:rPr>
        <w:t xml:space="preserve"> </w:t>
      </w:r>
      <w:r w:rsidR="00EA7E88" w:rsidRPr="00B91FAE">
        <w:rPr>
          <w:rStyle w:val="FootnoteReference"/>
          <w:rFonts w:asciiTheme="majorBidi" w:hAnsiTheme="majorBidi" w:cstheme="majorBidi"/>
          <w:color w:val="000000"/>
        </w:rPr>
        <w:footnoteReference w:id="1465"/>
      </w:r>
      <w:r w:rsidRPr="00C818F0">
        <w:rPr>
          <w:rFonts w:ascii="Traditional Arabic" w:eastAsiaTheme="minorHAnsi" w:hAnsi="Traditional Arabic" w:cs="Traditional Arabic"/>
          <w:color w:val="000000"/>
          <w:sz w:val="30"/>
          <w:szCs w:val="30"/>
        </w:rPr>
        <w:t xml:space="preserve"> </w:t>
      </w:r>
    </w:p>
    <w:p w14:paraId="2437A6F7" w14:textId="22EB196B" w:rsidR="00C818F0" w:rsidRPr="00C818F0" w:rsidRDefault="00C818F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color w:val="000000"/>
          <w:sz w:val="30"/>
          <w:szCs w:val="30"/>
          <w:rtl/>
        </w:rPr>
      </w:pPr>
      <w:r w:rsidRPr="00C818F0">
        <w:rPr>
          <w:rFonts w:ascii="Traditional Arabic" w:eastAsiaTheme="minorHAnsi" w:hAnsi="Traditional Arabic" w:cs="Traditional Arabic" w:hint="cs"/>
          <w:sz w:val="30"/>
          <w:szCs w:val="30"/>
          <w:rtl/>
        </w:rPr>
        <w:t xml:space="preserve"> بناءًا على </w:t>
      </w:r>
      <w:r w:rsidRPr="00C818F0">
        <w:rPr>
          <w:rFonts w:ascii="Traditional Arabic" w:eastAsiaTheme="minorHAnsi" w:hAnsi="Traditional Arabic" w:cs="Traditional Arabic"/>
          <w:sz w:val="30"/>
          <w:szCs w:val="30"/>
          <w:rtl/>
        </w:rPr>
        <w:t>أسس قانونية مختلفة، لا تزال مسألة قانونية نقل الأسلحة من جانب فرنسا والمملكة المتحدة والولايات المتحدة ودول أخرى إلى أطراف النزاع اليمني محل شك.</w:t>
      </w:r>
      <w:r w:rsidRPr="00C818F0">
        <w:rPr>
          <w:rFonts w:ascii="Traditional Arabic" w:eastAsiaTheme="minorHAnsi" w:hAnsi="Traditional Arabic" w:cs="Traditional Arabic"/>
          <w:sz w:val="30"/>
          <w:szCs w:val="30"/>
          <w:lang w:bidi="ar"/>
        </w:rPr>
        <w:t xml:space="preserve"> </w:t>
      </w:r>
      <w:r w:rsidRPr="00C818F0">
        <w:rPr>
          <w:rFonts w:ascii="Traditional Arabic" w:eastAsiaTheme="minorHAnsi" w:hAnsi="Traditional Arabic" w:cs="Traditional Arabic"/>
          <w:sz w:val="30"/>
          <w:szCs w:val="30"/>
          <w:rtl/>
        </w:rPr>
        <w:t>هذا السؤال هو حاليا موضوع ضمن إجراءات محاكم محلية ومناقشات برلمانية مختلفة.</w:t>
      </w:r>
      <w:r w:rsidRPr="00C818F0">
        <w:rPr>
          <w:rFonts w:ascii="Traditional Arabic" w:eastAsiaTheme="minorHAnsi" w:hAnsi="Traditional Arabic" w:cs="Traditional Arabic"/>
          <w:color w:val="000000"/>
          <w:sz w:val="30"/>
          <w:szCs w:val="30"/>
          <w:vertAlign w:val="superscript"/>
        </w:rPr>
        <w:t xml:space="preserve"> </w:t>
      </w:r>
      <w:r w:rsidR="00EA7E88" w:rsidRPr="00B91FAE">
        <w:rPr>
          <w:rStyle w:val="FootnoteReference"/>
          <w:rFonts w:asciiTheme="majorBidi" w:hAnsiTheme="majorBidi" w:cstheme="majorBidi"/>
          <w:color w:val="000000"/>
        </w:rPr>
        <w:footnoteReference w:id="1466"/>
      </w:r>
      <w:r w:rsidRPr="00C818F0">
        <w:rPr>
          <w:rFonts w:ascii="Traditional Arabic" w:eastAsiaTheme="minorHAnsi" w:hAnsi="Traditional Arabic" w:cs="Traditional Arabic"/>
          <w:sz w:val="30"/>
          <w:szCs w:val="30"/>
          <w:rtl/>
        </w:rPr>
        <w:t>بصرف النظر عن نتائج هذه الإجراءات، يشير فريق الخبراء إلى أن إمداد الأسلحة المستمر لأطراف النزاع في اليمن يطيل الصراع ومعاناة السكان</w:t>
      </w:r>
      <w:r w:rsidRPr="00C818F0">
        <w:rPr>
          <w:rFonts w:ascii="Traditional Arabic" w:eastAsiaTheme="minorHAnsi" w:hAnsi="Traditional Arabic" w:cs="Traditional Arabic"/>
          <w:sz w:val="30"/>
          <w:szCs w:val="30"/>
          <w:lang w:bidi="ar"/>
        </w:rPr>
        <w:t>.</w:t>
      </w:r>
    </w:p>
    <w:p w14:paraId="44EAE76E" w14:textId="52DD75DD" w:rsidR="00CD2150" w:rsidRPr="00CD2150" w:rsidRDefault="00473FEE" w:rsidP="00CD2150">
      <w:pPr>
        <w:pStyle w:val="Footer"/>
        <w:numPr>
          <w:ilvl w:val="0"/>
          <w:numId w:val="4"/>
        </w:numPr>
        <w:tabs>
          <w:tab w:val="left" w:pos="720"/>
        </w:tabs>
        <w:bidi/>
        <w:spacing w:after="240"/>
        <w:ind w:right="1089"/>
        <w:rPr>
          <w:sz w:val="28"/>
          <w:szCs w:val="38"/>
          <w:rtl/>
          <w:lang w:val="en-US"/>
        </w:rPr>
      </w:pPr>
      <w:bookmarkStart w:id="38" w:name="_Toc18918118"/>
      <w:r w:rsidRPr="00C167A3">
        <w:rPr>
          <w:rStyle w:val="Heading2Char"/>
          <w:sz w:val="28"/>
          <w:szCs w:val="38"/>
          <w:rtl/>
          <w:lang w:val="en-US"/>
        </w:rPr>
        <w:t>الاستنتاجات والتوصيات</w:t>
      </w:r>
      <w:bookmarkEnd w:id="38"/>
      <w:r w:rsidR="00CD2150" w:rsidRPr="00CD2150">
        <w:rPr>
          <w:rFonts w:ascii="Traditional Arabic" w:hAnsi="Traditional Arabic" w:cs="Traditional Arabic"/>
          <w:bCs/>
          <w:sz w:val="34"/>
          <w:szCs w:val="34"/>
          <w:rtl/>
          <w:lang w:bidi="ar-YE"/>
        </w:rPr>
        <w:t xml:space="preserve"> </w:t>
      </w:r>
    </w:p>
    <w:p w14:paraId="02BD405B" w14:textId="3659BB86" w:rsidR="00CD2150" w:rsidRPr="00CD2150" w:rsidRDefault="00CD2150" w:rsidP="00CD2150">
      <w:pPr>
        <w:keepNext/>
        <w:keepLines/>
        <w:tabs>
          <w:tab w:val="right" w:pos="851"/>
        </w:tabs>
        <w:bidi/>
        <w:spacing w:before="360" w:after="240" w:line="300" w:lineRule="exact"/>
        <w:ind w:left="1134" w:right="540" w:hanging="1134"/>
        <w:jc w:val="both"/>
        <w:rPr>
          <w:rFonts w:ascii="Traditional Arabic" w:hAnsi="Traditional Arabic" w:cs="Traditional Arabic"/>
          <w:bCs/>
          <w:sz w:val="30"/>
          <w:szCs w:val="30"/>
          <w:rtl/>
        </w:rPr>
      </w:pPr>
      <w:r>
        <w:rPr>
          <w:rFonts w:ascii="Traditional Arabic" w:hAnsi="Traditional Arabic" w:cs="Traditional Arabic" w:hint="cs"/>
          <w:bCs/>
          <w:sz w:val="30"/>
          <w:szCs w:val="30"/>
          <w:rtl/>
        </w:rPr>
        <w:t>أ</w:t>
      </w:r>
      <w:r w:rsidRPr="00CD2150">
        <w:rPr>
          <w:rFonts w:ascii="Traditional Arabic" w:hAnsi="Traditional Arabic" w:cs="Traditional Arabic"/>
          <w:bCs/>
          <w:sz w:val="30"/>
          <w:szCs w:val="30"/>
          <w:rtl/>
        </w:rPr>
        <w:t xml:space="preserve">. </w:t>
      </w:r>
      <w:r w:rsidRPr="00CD2150">
        <w:rPr>
          <w:rFonts w:ascii="Traditional Arabic" w:hAnsi="Traditional Arabic" w:cs="Traditional Arabic" w:hint="eastAsia"/>
          <w:bCs/>
          <w:sz w:val="30"/>
          <w:szCs w:val="30"/>
          <w:rtl/>
        </w:rPr>
        <w:t>الاستنتاجات</w:t>
      </w:r>
    </w:p>
    <w:p w14:paraId="315A8AEC"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b/>
          <w:sz w:val="30"/>
          <w:szCs w:val="30"/>
        </w:rPr>
      </w:pP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النزاع</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مسؤولة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مجموعة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حقوق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الإنسان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w:t>
      </w:r>
      <w:r w:rsidRPr="00CD2150">
        <w:rPr>
          <w:rFonts w:ascii="Traditional Arabic" w:eastAsiaTheme="minorHAnsi" w:hAnsi="Traditional Arabic" w:cs="Traditional Arabic"/>
          <w:sz w:val="30"/>
          <w:szCs w:val="30"/>
          <w:rtl/>
        </w:rPr>
        <w:t xml:space="preserve"> الإنساني.</w:t>
      </w:r>
      <w:r w:rsidRPr="00CD2150">
        <w:rPr>
          <w:rFonts w:ascii="Traditional Arabic" w:eastAsiaTheme="minorHAnsi" w:hAnsi="Traditional Arabic" w:cs="Traditional Arabic"/>
          <w:sz w:val="30"/>
          <w:szCs w:val="30"/>
          <w:lang w:bidi="ar"/>
        </w:rPr>
        <w:t xml:space="preserve"> </w:t>
      </w:r>
      <w:r w:rsidRPr="00CD2150">
        <w:rPr>
          <w:rFonts w:ascii="Traditional Arabic" w:eastAsiaTheme="minorHAnsi" w:hAnsi="Traditional Arabic" w:cs="Traditional Arabic" w:hint="eastAsia"/>
          <w:sz w:val="30"/>
          <w:szCs w:val="30"/>
          <w:rtl/>
        </w:rPr>
        <w:t>يُحتمل</w:t>
      </w:r>
      <w:r w:rsidRPr="00CD2150">
        <w:rPr>
          <w:rFonts w:ascii="Traditional Arabic" w:eastAsiaTheme="minorHAnsi" w:hAnsi="Traditional Arabic" w:cs="Traditional Arabic"/>
          <w:sz w:val="30"/>
          <w:szCs w:val="30"/>
          <w:rtl/>
        </w:rPr>
        <w:t xml:space="preserve"> أن </w:t>
      </w:r>
      <w:r w:rsidRPr="00CD2150">
        <w:rPr>
          <w:rFonts w:ascii="Traditional Arabic" w:eastAsiaTheme="minorHAnsi" w:hAnsi="Traditional Arabic" w:cs="Traditional Arabic" w:hint="eastAsia"/>
          <w:sz w:val="30"/>
          <w:szCs w:val="30"/>
          <w:rtl/>
          <w:lang w:bidi="ar-YE"/>
        </w:rPr>
        <w:t>ي</w:t>
      </w:r>
      <w:r w:rsidRPr="00CD2150">
        <w:rPr>
          <w:rFonts w:ascii="Traditional Arabic" w:eastAsiaTheme="minorHAnsi" w:hAnsi="Traditional Arabic" w:cs="Traditional Arabic" w:hint="eastAsia"/>
          <w:sz w:val="30"/>
          <w:szCs w:val="30"/>
          <w:rtl/>
        </w:rPr>
        <w:t>صل</w:t>
      </w:r>
      <w:r w:rsidRPr="00CD2150">
        <w:rPr>
          <w:rFonts w:ascii="Traditional Arabic" w:eastAsiaTheme="minorHAnsi" w:hAnsi="Traditional Arabic" w:cs="Traditional Arabic"/>
          <w:sz w:val="30"/>
          <w:szCs w:val="30"/>
          <w:rtl/>
        </w:rPr>
        <w:t xml:space="preserve"> بعض هذه الانتهاكات </w:t>
      </w:r>
      <w:r w:rsidRPr="00CD2150">
        <w:rPr>
          <w:rFonts w:ascii="Traditional Arabic" w:eastAsiaTheme="minorHAnsi" w:hAnsi="Traditional Arabic" w:cs="Traditional Arabic" w:hint="eastAsia"/>
          <w:sz w:val="30"/>
          <w:szCs w:val="30"/>
          <w:rtl/>
        </w:rPr>
        <w:t>إلى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جرائم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الحرب</w:t>
      </w:r>
      <w:r w:rsidRPr="00CD2150">
        <w:rPr>
          <w:rFonts w:ascii="Traditional Arabic" w:eastAsiaTheme="minorHAnsi" w:hAnsi="Traditional Arabic" w:cs="Traditional Arabic"/>
          <w:sz w:val="30"/>
          <w:szCs w:val="30"/>
          <w:rtl/>
        </w:rPr>
        <w:t xml:space="preserve">. </w:t>
      </w:r>
    </w:p>
    <w:p w14:paraId="2FACDD64"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sz w:val="30"/>
          <w:szCs w:val="30"/>
        </w:rPr>
      </w:pPr>
      <w:r w:rsidRPr="00CD2150">
        <w:rPr>
          <w:rFonts w:ascii="Traditional Arabic" w:eastAsiaTheme="minorHAnsi" w:hAnsi="Traditional Arabic" w:cs="Traditional Arabic" w:hint="eastAsia"/>
          <w:sz w:val="30"/>
          <w:szCs w:val="30"/>
          <w:rtl/>
        </w:rPr>
        <w:t>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التأثير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الفعلي</w:t>
      </w:r>
      <w:r w:rsidRPr="00CD2150">
        <w:rPr>
          <w:rFonts w:ascii="Traditional Arabic" w:eastAsiaTheme="minorHAnsi" w:hAnsi="Traditional Arabic" w:cs="Traditional Arabic"/>
          <w:sz w:val="30"/>
          <w:szCs w:val="30"/>
          <w:rtl/>
        </w:rPr>
        <w:t xml:space="preserve"> لهذه الانتهاكات على حياة </w:t>
      </w:r>
      <w:r w:rsidRPr="00CD2150">
        <w:rPr>
          <w:rFonts w:ascii="Traditional Arabic" w:eastAsiaTheme="minorHAnsi" w:hAnsi="Traditional Arabic" w:cs="Traditional Arabic" w:hint="eastAsia"/>
          <w:sz w:val="30"/>
          <w:szCs w:val="30"/>
          <w:rtl/>
        </w:rPr>
        <w:t>المواطنين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اليمنيين</w:t>
      </w:r>
      <w:r w:rsidRPr="00CD2150">
        <w:rPr>
          <w:rFonts w:ascii="Traditional Arabic" w:eastAsiaTheme="minorHAnsi" w:hAnsi="Traditional Arabic" w:cs="Traditional Arabic"/>
          <w:sz w:val="30"/>
          <w:szCs w:val="30"/>
          <w:rtl/>
        </w:rPr>
        <w:t xml:space="preserve"> هائلاً وواسع النطاق </w:t>
      </w:r>
      <w:r w:rsidRPr="00CD2150">
        <w:rPr>
          <w:rFonts w:ascii="Traditional Arabic" w:eastAsiaTheme="minorHAnsi" w:hAnsi="Traditional Arabic" w:cs="Traditional Arabic" w:hint="eastAsia"/>
          <w:sz w:val="30"/>
          <w:szCs w:val="30"/>
          <w:rtl/>
        </w:rPr>
        <w:t>وأصاب</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القصف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والغارات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الجوية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الأشخاص</w:t>
      </w:r>
      <w:r w:rsidRPr="00CD2150">
        <w:rPr>
          <w:rFonts w:ascii="Traditional Arabic" w:eastAsiaTheme="minorHAnsi" w:hAnsi="Traditional Arabic" w:cs="Traditional Arabic"/>
          <w:sz w:val="30"/>
          <w:szCs w:val="30"/>
          <w:rtl/>
          <w:lang w:bidi="ar-YE"/>
        </w:rPr>
        <w:t xml:space="preserve"> الاعتياديين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lastRenderedPageBreak/>
        <w:t>حياتهم</w:t>
      </w:r>
      <w:r w:rsidRPr="00CD2150">
        <w:rPr>
          <w:rFonts w:ascii="Traditional Arabic" w:eastAsiaTheme="minorHAnsi" w:hAnsi="Traditional Arabic" w:cs="Traditional Arabic"/>
          <w:sz w:val="30"/>
          <w:szCs w:val="30"/>
          <w:rtl/>
        </w:rPr>
        <w:t xml:space="preserve"> اليومية، غالبًا دون سابق إنذار في </w:t>
      </w:r>
      <w:r w:rsidRPr="00CD2150">
        <w:rPr>
          <w:rFonts w:ascii="Traditional Arabic" w:eastAsiaTheme="minorHAnsi" w:hAnsi="Traditional Arabic" w:cs="Traditional Arabic" w:hint="eastAsia"/>
          <w:sz w:val="30"/>
          <w:szCs w:val="30"/>
          <w:rtl/>
          <w:lang w:bidi="ar-JO"/>
        </w:rPr>
        <w:t>ال</w:t>
      </w:r>
      <w:r w:rsidRPr="00CD2150">
        <w:rPr>
          <w:rFonts w:ascii="Traditional Arabic" w:eastAsiaTheme="minorHAnsi" w:hAnsi="Traditional Arabic" w:cs="Traditional Arabic"/>
          <w:sz w:val="30"/>
          <w:szCs w:val="30"/>
          <w:rtl/>
        </w:rPr>
        <w:t xml:space="preserve">مناطق التي لا </w:t>
      </w:r>
      <w:r w:rsidRPr="00CD2150">
        <w:rPr>
          <w:rFonts w:ascii="Traditional Arabic" w:eastAsiaTheme="minorHAnsi" w:hAnsi="Traditional Arabic" w:cs="Traditional Arabic" w:hint="eastAsia"/>
          <w:sz w:val="30"/>
          <w:szCs w:val="30"/>
          <w:rtl/>
        </w:rPr>
        <w:t>تشهد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قتالًا</w:t>
      </w:r>
      <w:r w:rsidRPr="00CD2150">
        <w:rPr>
          <w:rFonts w:ascii="Traditional Arabic" w:eastAsiaTheme="minorHAnsi" w:hAnsi="Traditional Arabic" w:cs="Traditional Arabic"/>
          <w:sz w:val="30"/>
          <w:szCs w:val="30"/>
          <w:rtl/>
        </w:rPr>
        <w:t xml:space="preserve"> نشط</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ومستمرًا،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خلق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شعورًا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بأنه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يوجد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آمن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للاختباء</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القتال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الألغام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الأرضية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خلّفها</w:t>
      </w:r>
      <w:r w:rsidRPr="00CD2150">
        <w:rPr>
          <w:rFonts w:ascii="Traditional Arabic" w:eastAsiaTheme="minorHAnsi" w:hAnsi="Traditional Arabic" w:cs="Traditional Arabic"/>
          <w:sz w:val="30"/>
          <w:szCs w:val="30"/>
          <w:rtl/>
        </w:rPr>
        <w:t xml:space="preserve"> الحوثيون تقتل وتشوه الناس بعد </w:t>
      </w:r>
      <w:r w:rsidRPr="00CD2150">
        <w:rPr>
          <w:rFonts w:ascii="Traditional Arabic" w:eastAsiaTheme="minorHAnsi" w:hAnsi="Traditional Arabic" w:cs="Traditional Arabic" w:hint="eastAsia"/>
          <w:sz w:val="30"/>
          <w:szCs w:val="30"/>
          <w:rtl/>
        </w:rPr>
        <w:t>مرور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فترة</w:t>
      </w:r>
      <w:r w:rsidRPr="00CD2150">
        <w:rPr>
          <w:rFonts w:ascii="Traditional Arabic" w:eastAsiaTheme="minorHAnsi" w:hAnsi="Traditional Arabic" w:cs="Traditional Arabic"/>
          <w:sz w:val="30"/>
          <w:szCs w:val="30"/>
          <w:rtl/>
        </w:rPr>
        <w:t xml:space="preserve"> طويلة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انتهاء</w:t>
      </w:r>
      <w:r w:rsidRPr="00CD2150">
        <w:rPr>
          <w:rFonts w:ascii="Traditional Arabic" w:eastAsiaTheme="minorHAnsi" w:hAnsi="Traditional Arabic" w:cs="Traditional Arabic"/>
          <w:sz w:val="30"/>
          <w:szCs w:val="30"/>
          <w:rtl/>
        </w:rPr>
        <w:t xml:space="preserve"> المعارك. الحصار </w:t>
      </w:r>
      <w:r w:rsidRPr="00CD2150">
        <w:rPr>
          <w:rFonts w:ascii="Traditional Arabic" w:eastAsiaTheme="minorHAnsi" w:hAnsi="Traditional Arabic" w:cs="Traditional Arabic" w:hint="eastAsia"/>
          <w:sz w:val="30"/>
          <w:szCs w:val="30"/>
          <w:rtl/>
        </w:rPr>
        <w:t>والحصار</w:t>
      </w:r>
      <w:r w:rsidRPr="00CD2150">
        <w:rPr>
          <w:rFonts w:ascii="Traditional Arabic" w:eastAsiaTheme="minorHAnsi" w:hAnsi="Traditional Arabic" w:cs="Traditional Arabic"/>
          <w:sz w:val="30"/>
          <w:szCs w:val="30"/>
          <w:rtl/>
        </w:rPr>
        <w:t xml:space="preserve"> العسكري كاسلوب قتال </w:t>
      </w:r>
      <w:r w:rsidRPr="00CD2150">
        <w:rPr>
          <w:rFonts w:ascii="Traditional Arabic" w:eastAsiaTheme="minorHAnsi" w:hAnsi="Traditional Arabic" w:cs="Traditional Arabic" w:hint="eastAsia"/>
          <w:sz w:val="30"/>
          <w:szCs w:val="30"/>
          <w:rtl/>
        </w:rPr>
        <w:t>والهجمات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lang w:bidi="ar-YE"/>
        </w:rPr>
        <w:t xml:space="preserve">التي تؤثر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المواد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الأساسية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لبقاء</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السكان</w:t>
      </w:r>
      <w:r w:rsidRPr="00CD2150">
        <w:rPr>
          <w:rFonts w:ascii="Traditional Arabic" w:eastAsiaTheme="minorHAnsi" w:hAnsi="Traditional Arabic" w:cs="Traditional Arabic"/>
          <w:sz w:val="30"/>
          <w:szCs w:val="30"/>
          <w:rtl/>
        </w:rPr>
        <w:t xml:space="preserve"> على قيد الحياه </w:t>
      </w:r>
      <w:r w:rsidRPr="00CD2150">
        <w:rPr>
          <w:rFonts w:ascii="Traditional Arabic" w:eastAsiaTheme="minorHAnsi" w:hAnsi="Traditional Arabic" w:cs="Traditional Arabic" w:hint="eastAsia"/>
          <w:sz w:val="30"/>
          <w:szCs w:val="30"/>
          <w:rtl/>
        </w:rPr>
        <w:t>والعوائق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تحول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دون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إيصال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المساعدات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تحرم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السكان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المواد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الضرورية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بينما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يمر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اليمن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بأزمة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إنسانية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غير</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مسبوقة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يتم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إعتقال</w:t>
      </w:r>
      <w:r w:rsidRPr="00CD2150">
        <w:rPr>
          <w:rFonts w:ascii="Traditional Arabic" w:eastAsiaTheme="minorHAnsi" w:hAnsi="Traditional Arabic" w:cs="Traditional Arabic"/>
          <w:sz w:val="30"/>
          <w:szCs w:val="30"/>
          <w:rtl/>
        </w:rPr>
        <w:t xml:space="preserve"> الناس </w:t>
      </w:r>
      <w:r w:rsidRPr="00CD2150">
        <w:rPr>
          <w:rFonts w:ascii="Traditional Arabic" w:eastAsiaTheme="minorHAnsi" w:hAnsi="Traditional Arabic" w:cs="Traditional Arabic" w:hint="eastAsia"/>
          <w:sz w:val="30"/>
          <w:szCs w:val="30"/>
          <w:rtl/>
        </w:rPr>
        <w:t>واحتجازهم</w:t>
      </w:r>
      <w:r w:rsidRPr="00CD2150">
        <w:rPr>
          <w:rFonts w:ascii="Traditional Arabic" w:eastAsiaTheme="minorHAnsi" w:hAnsi="Traditional Arabic" w:cs="Traditional Arabic"/>
          <w:sz w:val="30"/>
          <w:szCs w:val="30"/>
          <w:rtl/>
        </w:rPr>
        <w:t xml:space="preserve"> وإخفائهم بشكل تعسفي </w:t>
      </w:r>
      <w:r w:rsidRPr="00CD2150">
        <w:rPr>
          <w:rFonts w:ascii="Traditional Arabic" w:eastAsiaTheme="minorHAnsi" w:hAnsi="Traditional Arabic" w:cs="Traditional Arabic" w:hint="eastAsia"/>
          <w:sz w:val="30"/>
          <w:szCs w:val="30"/>
          <w:rtl/>
        </w:rPr>
        <w:t>وهم</w:t>
      </w:r>
      <w:r w:rsidRPr="00CD2150">
        <w:rPr>
          <w:rFonts w:ascii="Traditional Arabic" w:eastAsiaTheme="minorHAnsi" w:hAnsi="Traditional Arabic" w:cs="Traditional Arabic"/>
          <w:sz w:val="30"/>
          <w:szCs w:val="30"/>
          <w:rtl/>
        </w:rPr>
        <w:t xml:space="preserve"> عرضة </w:t>
      </w:r>
      <w:r w:rsidRPr="00CD2150">
        <w:rPr>
          <w:rFonts w:ascii="Traditional Arabic" w:eastAsiaTheme="minorHAnsi" w:hAnsi="Traditional Arabic" w:cs="Traditional Arabic" w:hint="eastAsia"/>
          <w:sz w:val="30"/>
          <w:szCs w:val="30"/>
          <w:rtl/>
        </w:rPr>
        <w:t>للتعذيب</w:t>
      </w:r>
      <w:r w:rsidRPr="00CD2150">
        <w:rPr>
          <w:rFonts w:ascii="Traditional Arabic" w:eastAsiaTheme="minorHAnsi" w:hAnsi="Traditional Arabic" w:cs="Traditional Arabic"/>
          <w:sz w:val="30"/>
          <w:szCs w:val="30"/>
          <w:rtl/>
        </w:rPr>
        <w:t xml:space="preserve"> وسوء المعاملة بما في ذلك العنف الجنسي وفي بعض الحالات </w:t>
      </w:r>
      <w:r w:rsidRPr="00CD2150">
        <w:rPr>
          <w:rFonts w:ascii="Traditional Arabic" w:eastAsiaTheme="minorHAnsi" w:hAnsi="Traditional Arabic" w:cs="Traditional Arabic" w:hint="eastAsia"/>
          <w:sz w:val="30"/>
          <w:szCs w:val="30"/>
          <w:rtl/>
        </w:rPr>
        <w:t>التي</w:t>
      </w:r>
      <w:r w:rsidRPr="00CD2150">
        <w:rPr>
          <w:rFonts w:ascii="Traditional Arabic" w:eastAsiaTheme="minorHAnsi" w:hAnsi="Traditional Arabic" w:cs="Traditional Arabic"/>
          <w:sz w:val="30"/>
          <w:szCs w:val="30"/>
          <w:rtl/>
        </w:rPr>
        <w:t xml:space="preserve"> وثقها </w:t>
      </w:r>
      <w:r w:rsidRPr="00CD2150">
        <w:rPr>
          <w:rFonts w:ascii="Traditional Arabic" w:eastAsiaTheme="minorHAnsi" w:hAnsi="Traditional Arabic" w:cs="Traditional Arabic" w:hint="eastAsia"/>
          <w:sz w:val="30"/>
          <w:szCs w:val="30"/>
          <w:rtl/>
        </w:rPr>
        <w:t>فريق</w:t>
      </w:r>
      <w:r w:rsidRPr="00CD2150">
        <w:rPr>
          <w:rFonts w:ascii="Traditional Arabic" w:eastAsiaTheme="minorHAnsi" w:hAnsi="Traditional Arabic" w:cs="Traditional Arabic"/>
          <w:sz w:val="30"/>
          <w:szCs w:val="30"/>
          <w:rtl/>
        </w:rPr>
        <w:t xml:space="preserve"> الخبراء </w:t>
      </w:r>
      <w:r w:rsidRPr="00CD2150">
        <w:rPr>
          <w:rFonts w:ascii="Traditional Arabic" w:eastAsiaTheme="minorHAnsi" w:hAnsi="Traditional Arabic" w:cs="Traditional Arabic" w:hint="eastAsia"/>
          <w:sz w:val="30"/>
          <w:szCs w:val="30"/>
          <w:rtl/>
        </w:rPr>
        <w:t>فقد</w:t>
      </w:r>
      <w:r w:rsidRPr="00CD2150">
        <w:rPr>
          <w:rFonts w:ascii="Traditional Arabic" w:eastAsiaTheme="minorHAnsi" w:hAnsi="Traditional Arabic" w:cs="Traditional Arabic"/>
          <w:sz w:val="30"/>
          <w:szCs w:val="30"/>
          <w:rtl/>
        </w:rPr>
        <w:t xml:space="preserve"> مات </w:t>
      </w:r>
      <w:r w:rsidRPr="00CD2150">
        <w:rPr>
          <w:rFonts w:ascii="Traditional Arabic" w:eastAsiaTheme="minorHAnsi" w:hAnsi="Traditional Arabic" w:cs="Traditional Arabic" w:hint="eastAsia"/>
          <w:sz w:val="30"/>
          <w:szCs w:val="30"/>
          <w:rtl/>
        </w:rPr>
        <w:t>أشخاص</w:t>
      </w:r>
      <w:r w:rsidRPr="00CD2150">
        <w:rPr>
          <w:rFonts w:ascii="Traditional Arabic" w:eastAsiaTheme="minorHAnsi" w:hAnsi="Traditional Arabic" w:cs="Traditional Arabic"/>
          <w:sz w:val="30"/>
          <w:szCs w:val="30"/>
          <w:rtl/>
        </w:rPr>
        <w:t xml:space="preserve"> في </w:t>
      </w:r>
      <w:r w:rsidRPr="00CD2150">
        <w:rPr>
          <w:rFonts w:ascii="Traditional Arabic" w:eastAsiaTheme="minorHAnsi" w:hAnsi="Traditional Arabic" w:cs="Traditional Arabic" w:hint="eastAsia"/>
          <w:sz w:val="30"/>
          <w:szCs w:val="30"/>
          <w:rtl/>
        </w:rPr>
        <w:t>مرافق</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احتجاز</w:t>
      </w:r>
      <w:r w:rsidRPr="00CD2150">
        <w:rPr>
          <w:rFonts w:ascii="Traditional Arabic" w:eastAsiaTheme="minorHAnsi" w:hAnsi="Traditional Arabic" w:cs="Traditional Arabic"/>
          <w:sz w:val="30"/>
          <w:szCs w:val="30"/>
          <w:rtl/>
        </w:rPr>
        <w:t xml:space="preserve"> أطراف النزاع أو بعد وقت قصير من إطلاق سراحهم. يعيش السكان في </w:t>
      </w:r>
      <w:r w:rsidRPr="00CD2150">
        <w:rPr>
          <w:rFonts w:ascii="Traditional Arabic" w:eastAsiaTheme="minorHAnsi" w:hAnsi="Traditional Arabic" w:cs="Traditional Arabic" w:hint="eastAsia"/>
          <w:sz w:val="30"/>
          <w:szCs w:val="30"/>
          <w:rtl/>
        </w:rPr>
        <w:t>حالة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خوفٍ</w:t>
      </w:r>
      <w:r w:rsidRPr="00CD2150">
        <w:rPr>
          <w:rFonts w:ascii="Traditional Arabic" w:eastAsiaTheme="minorHAnsi" w:hAnsi="Traditional Arabic" w:cs="Traditional Arabic"/>
          <w:sz w:val="30"/>
          <w:szCs w:val="30"/>
          <w:rtl/>
        </w:rPr>
        <w:t xml:space="preserve"> من الاعتقال أو </w:t>
      </w:r>
      <w:r w:rsidRPr="00CD2150">
        <w:rPr>
          <w:rFonts w:ascii="Traditional Arabic" w:eastAsiaTheme="minorHAnsi" w:hAnsi="Traditional Arabic" w:cs="Traditional Arabic" w:hint="eastAsia"/>
          <w:sz w:val="30"/>
          <w:szCs w:val="30"/>
          <w:rtl/>
        </w:rPr>
        <w:t>الاستهداف</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بأي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شكل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الأشكال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لاعتبارهم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معارضين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تنشط</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الصراع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تجنيد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الأطفال</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ذلك</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طريق</w:t>
      </w:r>
      <w:r w:rsidRPr="00CD2150">
        <w:rPr>
          <w:rFonts w:ascii="Traditional Arabic" w:eastAsiaTheme="minorHAnsi" w:hAnsi="Traditional Arabic" w:cs="Traditional Arabic"/>
          <w:sz w:val="30"/>
          <w:szCs w:val="30"/>
          <w:rtl/>
        </w:rPr>
        <w:t xml:space="preserve"> القوة. المدنيون غير القادرين أو غير الراغبين في دعم قضية </w:t>
      </w:r>
      <w:r w:rsidRPr="00CD2150">
        <w:rPr>
          <w:rFonts w:ascii="Traditional Arabic" w:eastAsiaTheme="minorHAnsi" w:hAnsi="Traditional Arabic" w:cs="Traditional Arabic" w:hint="eastAsia"/>
          <w:sz w:val="30"/>
          <w:szCs w:val="30"/>
          <w:rtl/>
        </w:rPr>
        <w:t>طرف</w:t>
      </w:r>
      <w:r w:rsidRPr="00CD2150">
        <w:rPr>
          <w:rFonts w:ascii="Traditional Arabic" w:eastAsiaTheme="minorHAnsi" w:hAnsi="Traditional Arabic" w:cs="Traditional Arabic"/>
          <w:sz w:val="30"/>
          <w:szCs w:val="30"/>
          <w:rtl/>
        </w:rPr>
        <w:t xml:space="preserve"> النزاع </w:t>
      </w:r>
      <w:r w:rsidRPr="00CD2150">
        <w:rPr>
          <w:rFonts w:ascii="Traditional Arabic" w:eastAsiaTheme="minorHAnsi" w:hAnsi="Traditional Arabic" w:cs="Traditional Arabic" w:hint="eastAsia"/>
          <w:sz w:val="30"/>
          <w:szCs w:val="30"/>
          <w:rtl/>
        </w:rPr>
        <w:t>المسيطر</w:t>
      </w:r>
      <w:r w:rsidRPr="00CD2150">
        <w:rPr>
          <w:rFonts w:ascii="Traditional Arabic" w:eastAsiaTheme="minorHAnsi" w:hAnsi="Traditional Arabic" w:cs="Traditional Arabic"/>
          <w:sz w:val="30"/>
          <w:szCs w:val="30"/>
          <w:rtl/>
        </w:rPr>
        <w:t xml:space="preserve"> على منطقة </w:t>
      </w:r>
      <w:r w:rsidRPr="00CD2150">
        <w:rPr>
          <w:rFonts w:ascii="Traditional Arabic" w:eastAsiaTheme="minorHAnsi" w:hAnsi="Traditional Arabic" w:cs="Traditional Arabic" w:hint="eastAsia"/>
          <w:sz w:val="30"/>
          <w:szCs w:val="30"/>
          <w:rtl/>
        </w:rPr>
        <w:t>إقامتهم</w:t>
      </w:r>
      <w:r w:rsidRPr="00CD2150">
        <w:rPr>
          <w:rFonts w:ascii="Traditional Arabic" w:eastAsiaTheme="minorHAnsi" w:hAnsi="Traditional Arabic" w:cs="Traditional Arabic"/>
          <w:sz w:val="30"/>
          <w:szCs w:val="30"/>
          <w:rtl/>
        </w:rPr>
        <w:t xml:space="preserve"> ي</w:t>
      </w:r>
      <w:r w:rsidRPr="00CD2150">
        <w:rPr>
          <w:rFonts w:ascii="Traditional Arabic" w:eastAsiaTheme="minorHAnsi" w:hAnsi="Traditional Arabic" w:cs="Traditional Arabic" w:hint="eastAsia"/>
          <w:sz w:val="30"/>
          <w:szCs w:val="30"/>
          <w:rtl/>
        </w:rPr>
        <w:t>عانون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عقوبات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منتظمة</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تقوم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أطراف</w:t>
      </w:r>
      <w:r w:rsidRPr="00CD2150">
        <w:rPr>
          <w:rFonts w:ascii="Traditional Arabic" w:eastAsiaTheme="minorHAnsi" w:hAnsi="Traditional Arabic" w:cs="Traditional Arabic"/>
          <w:sz w:val="30"/>
          <w:szCs w:val="30"/>
          <w:rtl/>
        </w:rPr>
        <w:t xml:space="preserve"> النزاع ب</w:t>
      </w:r>
      <w:r w:rsidRPr="00CD2150">
        <w:rPr>
          <w:rFonts w:ascii="Traditional Arabic" w:eastAsiaTheme="minorHAnsi" w:hAnsi="Traditional Arabic" w:cs="Traditional Arabic" w:hint="eastAsia"/>
          <w:sz w:val="30"/>
          <w:szCs w:val="30"/>
          <w:rtl/>
        </w:rPr>
        <w:t>مراقبة</w:t>
      </w:r>
      <w:r w:rsidRPr="00CD2150">
        <w:rPr>
          <w:rFonts w:ascii="Traditional Arabic" w:eastAsiaTheme="minorHAnsi" w:hAnsi="Traditional Arabic" w:cs="Traditional Arabic"/>
          <w:sz w:val="30"/>
          <w:szCs w:val="30"/>
          <w:rtl/>
        </w:rPr>
        <w:t xml:space="preserve"> الناشطين والصحفيين والمدافعين عن حقوق الإنسان والعاملين في المجال الإنساني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كثب</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وتفرض</w:t>
      </w:r>
      <w:r w:rsidRPr="00CD2150">
        <w:rPr>
          <w:rFonts w:ascii="Traditional Arabic" w:eastAsiaTheme="minorHAnsi" w:hAnsi="Traditional Arabic" w:cs="Traditional Arabic"/>
          <w:sz w:val="30"/>
          <w:szCs w:val="30"/>
          <w:rtl/>
        </w:rPr>
        <w:t xml:space="preserve"> قيودًا </w:t>
      </w:r>
      <w:r w:rsidRPr="00CD2150">
        <w:rPr>
          <w:rFonts w:ascii="Traditional Arabic" w:eastAsiaTheme="minorHAnsi" w:hAnsi="Traditional Arabic" w:cs="Traditional Arabic" w:hint="eastAsia"/>
          <w:sz w:val="30"/>
          <w:szCs w:val="30"/>
          <w:rtl/>
        </w:rPr>
        <w:t>عليهم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عملهم، مما يؤدي في كثير من الأحيان إلى وقف الخدمات التي يقدمونها للأشخاص المحتاجين. </w:t>
      </w:r>
      <w:r w:rsidRPr="00CD2150">
        <w:rPr>
          <w:rFonts w:ascii="Traditional Arabic" w:eastAsiaTheme="minorHAnsi" w:hAnsi="Traditional Arabic" w:cs="Traditional Arabic" w:hint="eastAsia"/>
          <w:sz w:val="30"/>
          <w:szCs w:val="30"/>
          <w:rtl/>
        </w:rPr>
        <w:t>جميع</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هذه</w:t>
      </w:r>
      <w:r w:rsidRPr="00CD2150">
        <w:rPr>
          <w:rFonts w:ascii="Traditional Arabic" w:eastAsiaTheme="minorHAnsi" w:hAnsi="Traditional Arabic" w:cs="Traditional Arabic"/>
          <w:sz w:val="30"/>
          <w:szCs w:val="30"/>
          <w:rtl/>
        </w:rPr>
        <w:t xml:space="preserve"> الأفعال ترقى </w:t>
      </w:r>
      <w:r w:rsidRPr="00CD2150">
        <w:rPr>
          <w:rFonts w:ascii="Traditional Arabic" w:eastAsiaTheme="minorHAnsi" w:hAnsi="Traditional Arabic" w:cs="Traditional Arabic" w:hint="eastAsia"/>
          <w:sz w:val="30"/>
          <w:szCs w:val="30"/>
          <w:rtl/>
        </w:rPr>
        <w:t>الى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w:t>
      </w:r>
      <w:r w:rsidRPr="00CD2150">
        <w:rPr>
          <w:rFonts w:ascii="Traditional Arabic" w:eastAsiaTheme="minorHAnsi" w:hAnsi="Traditional Arabic" w:cs="Traditional Arabic"/>
          <w:sz w:val="30"/>
          <w:szCs w:val="30"/>
          <w:rtl/>
        </w:rPr>
        <w:t xml:space="preserve">  حقوق الشعب اليمني، وكثير منها </w:t>
      </w:r>
      <w:r w:rsidRPr="00CD2150">
        <w:rPr>
          <w:rFonts w:ascii="Traditional Arabic" w:eastAsiaTheme="minorHAnsi" w:hAnsi="Traditional Arabic" w:cs="Traditional Arabic" w:hint="eastAsia"/>
          <w:sz w:val="30"/>
          <w:szCs w:val="30"/>
          <w:rtl/>
        </w:rPr>
        <w:t>يرقى</w:t>
      </w:r>
      <w:r w:rsidRPr="00CD2150">
        <w:rPr>
          <w:rFonts w:ascii="Traditional Arabic" w:eastAsiaTheme="minorHAnsi" w:hAnsi="Traditional Arabic" w:cs="Traditional Arabic"/>
          <w:sz w:val="30"/>
          <w:szCs w:val="30"/>
          <w:rtl/>
        </w:rPr>
        <w:t xml:space="preserve"> إلى </w:t>
      </w:r>
      <w:r w:rsidRPr="00CD2150">
        <w:rPr>
          <w:rFonts w:ascii="Traditional Arabic" w:eastAsiaTheme="minorHAnsi" w:hAnsi="Traditional Arabic" w:cs="Traditional Arabic" w:hint="eastAsia"/>
          <w:sz w:val="30"/>
          <w:szCs w:val="30"/>
          <w:rtl/>
        </w:rPr>
        <w:t>مستوى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انتهاكات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القانون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بما</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ذلك</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الجرائم</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الدولية</w:t>
      </w:r>
      <w:r w:rsidRPr="00CD2150">
        <w:rPr>
          <w:rFonts w:ascii="Traditional Arabic" w:eastAsiaTheme="minorHAnsi" w:hAnsi="Traditional Arabic" w:cs="Traditional Arabic"/>
          <w:sz w:val="30"/>
          <w:szCs w:val="30"/>
          <w:lang w:bidi="ar"/>
        </w:rPr>
        <w:t>.</w:t>
      </w:r>
    </w:p>
    <w:p w14:paraId="15B61D39"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أماكن </w:t>
      </w:r>
      <w:r w:rsidRPr="00CD2150">
        <w:rPr>
          <w:rFonts w:ascii="Traditional Arabic" w:hAnsi="Traditional Arabic" w:cs="Traditional Arabic" w:hint="eastAsia"/>
          <w:sz w:val="30"/>
          <w:szCs w:val="30"/>
          <w:rtl/>
        </w:rPr>
        <w:t>الصراع</w:t>
      </w:r>
      <w:r w:rsidRPr="00CD2150">
        <w:rPr>
          <w:rFonts w:ascii="Traditional Arabic" w:hAnsi="Traditional Arabic" w:cs="Traditional Arabic"/>
          <w:sz w:val="30"/>
          <w:szCs w:val="30"/>
          <w:rtl/>
        </w:rPr>
        <w:t xml:space="preserve"> المسلح </w:t>
      </w:r>
      <w:r w:rsidRPr="00CD2150">
        <w:rPr>
          <w:rFonts w:ascii="Traditional Arabic" w:hAnsi="Traditional Arabic" w:cs="Traditional Arabic" w:hint="eastAsia"/>
          <w:sz w:val="30"/>
          <w:szCs w:val="30"/>
          <w:rtl/>
        </w:rPr>
        <w:t>حيث</w:t>
      </w:r>
      <w:r w:rsidRPr="00CD2150">
        <w:rPr>
          <w:rFonts w:ascii="Traditional Arabic" w:hAnsi="Traditional Arabic" w:cs="Traditional Arabic"/>
          <w:sz w:val="30"/>
          <w:szCs w:val="30"/>
          <w:rtl/>
        </w:rPr>
        <w:t xml:space="preserve"> الخطوط الأمامية </w:t>
      </w:r>
      <w:r w:rsidRPr="00CD2150">
        <w:rPr>
          <w:rFonts w:ascii="Traditional Arabic" w:hAnsi="Traditional Arabic" w:cs="Traditional Arabic" w:hint="eastAsia"/>
          <w:sz w:val="30"/>
          <w:szCs w:val="30"/>
          <w:rtl/>
        </w:rPr>
        <w:t>ظلت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هادئة</w:t>
      </w:r>
      <w:r w:rsidRPr="00CD2150">
        <w:rPr>
          <w:rFonts w:ascii="Traditional Arabic" w:hAnsi="Traditional Arabic" w:cs="Traditional Arabic"/>
          <w:sz w:val="30"/>
          <w:szCs w:val="30"/>
          <w:rtl/>
        </w:rPr>
        <w:t xml:space="preserve"> نسبياً لسنوات، </w:t>
      </w:r>
      <w:r w:rsidRPr="00CD2150">
        <w:rPr>
          <w:rFonts w:ascii="Traditional Arabic" w:hAnsi="Traditional Arabic" w:cs="Traditional Arabic" w:hint="eastAsia"/>
          <w:sz w:val="30"/>
          <w:szCs w:val="30"/>
          <w:rtl/>
        </w:rPr>
        <w:t>مثل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تعز،</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استمرار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استخدام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أساليب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الحصار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تجعل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الحياة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تُحتمل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بالنسبة</w:t>
      </w:r>
      <w:r w:rsidRPr="00CD2150">
        <w:rPr>
          <w:rFonts w:ascii="Traditional Arabic" w:hAnsi="Traditional Arabic" w:cs="Traditional Arabic"/>
          <w:sz w:val="30"/>
          <w:szCs w:val="30"/>
          <w:rtl/>
        </w:rPr>
        <w:t xml:space="preserve"> للمدنيين أمر </w:t>
      </w:r>
      <w:r w:rsidRPr="00CD2150">
        <w:rPr>
          <w:rFonts w:ascii="Traditional Arabic" w:hAnsi="Traditional Arabic" w:cs="Traditional Arabic" w:hint="eastAsia"/>
          <w:sz w:val="30"/>
          <w:szCs w:val="30"/>
          <w:rtl/>
        </w:rPr>
        <w:t>متعذرٌ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تبريره،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وعلى</w:t>
      </w:r>
      <w:r w:rsidRPr="00CD2150">
        <w:rPr>
          <w:rFonts w:ascii="Traditional Arabic" w:hAnsi="Traditional Arabic" w:cs="Traditional Arabic"/>
          <w:sz w:val="30"/>
          <w:szCs w:val="30"/>
          <w:rtl/>
        </w:rPr>
        <w:t xml:space="preserve"> نحو متزايد أصبح التأثير شديد على السكان </w:t>
      </w:r>
      <w:r w:rsidRPr="00CD2150">
        <w:rPr>
          <w:rFonts w:ascii="Traditional Arabic" w:hAnsi="Traditional Arabic" w:cs="Traditional Arabic" w:hint="eastAsia"/>
          <w:sz w:val="30"/>
          <w:szCs w:val="30"/>
          <w:rtl/>
        </w:rPr>
        <w:t>وهذا</w:t>
      </w:r>
      <w:r w:rsidRPr="00CD2150">
        <w:rPr>
          <w:rFonts w:ascii="Traditional Arabic" w:hAnsi="Traditional Arabic" w:cs="Traditional Arabic"/>
          <w:sz w:val="30"/>
          <w:szCs w:val="30"/>
          <w:rtl/>
        </w:rPr>
        <w:t xml:space="preserve"> يتضح </w:t>
      </w:r>
      <w:r w:rsidRPr="00CD2150">
        <w:rPr>
          <w:rFonts w:ascii="Traditional Arabic" w:hAnsi="Traditional Arabic" w:cs="Traditional Arabic" w:hint="eastAsia"/>
          <w:sz w:val="30"/>
          <w:szCs w:val="30"/>
          <w:rtl/>
        </w:rPr>
        <w:t>أكثر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مرور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الوقت</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كذلك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يُعتبر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الاستمرار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ممارسات</w:t>
      </w:r>
      <w:r w:rsidRPr="00CD2150">
        <w:rPr>
          <w:rFonts w:ascii="Traditional Arabic" w:hAnsi="Traditional Arabic" w:cs="Traditional Arabic"/>
          <w:sz w:val="30"/>
          <w:szCs w:val="30"/>
          <w:rtl/>
        </w:rPr>
        <w:t xml:space="preserve"> تؤثر على </w:t>
      </w:r>
      <w:r w:rsidRPr="00CD2150">
        <w:rPr>
          <w:rFonts w:ascii="Traditional Arabic" w:hAnsi="Traditional Arabic" w:cs="Traditional Arabic" w:hint="eastAsia"/>
          <w:sz w:val="30"/>
          <w:szCs w:val="30"/>
          <w:rtl/>
        </w:rPr>
        <w:t>جميع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مثل </w:t>
      </w:r>
      <w:r w:rsidRPr="00CD2150">
        <w:rPr>
          <w:rFonts w:ascii="Traditional Arabic" w:hAnsi="Traditional Arabic" w:cs="Traditional Arabic" w:hint="eastAsia"/>
          <w:sz w:val="30"/>
          <w:szCs w:val="30"/>
          <w:rtl/>
        </w:rPr>
        <w:t>فرض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القيود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السلع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التجارية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وتأخير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وتحويل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المساعدات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التي تؤدي إلى </w:t>
      </w:r>
      <w:r w:rsidRPr="00CD2150">
        <w:rPr>
          <w:rFonts w:ascii="Traditional Arabic" w:hAnsi="Traditional Arabic" w:cs="Traditional Arabic" w:hint="eastAsia"/>
          <w:sz w:val="30"/>
          <w:szCs w:val="30"/>
          <w:rtl/>
        </w:rPr>
        <w:t>تجويع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بشكل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واضح</w:t>
      </w:r>
      <w:r w:rsidRPr="00CD2150">
        <w:rPr>
          <w:rFonts w:ascii="Traditional Arabic" w:hAnsi="Traditional Arabic" w:cs="Traditional Arabic" w:hint="cs"/>
          <w:sz w:val="30"/>
          <w:szCs w:val="30"/>
          <w:rtl/>
        </w:rPr>
        <w:t>،</w:t>
      </w:r>
      <w:r w:rsidRPr="00CD2150">
        <w:rPr>
          <w:rFonts w:ascii="Traditional Arabic" w:hAnsi="Traditional Arabic" w:cs="Traditional Arabic"/>
          <w:sz w:val="30"/>
          <w:szCs w:val="30"/>
          <w:rtl/>
        </w:rPr>
        <w:t xml:space="preserve"> أم</w:t>
      </w:r>
      <w:r w:rsidRPr="00CD2150">
        <w:rPr>
          <w:rFonts w:ascii="Traditional Arabic" w:hAnsi="Traditional Arabic" w:cs="Traditional Arabic" w:hint="eastAsia"/>
          <w:sz w:val="30"/>
          <w:szCs w:val="30"/>
          <w:rtl/>
        </w:rPr>
        <w:t>ور</w:t>
      </w:r>
      <w:r w:rsidRPr="00CD2150">
        <w:rPr>
          <w:rFonts w:ascii="Traditional Arabic" w:hAnsi="Traditional Arabic" w:cs="Traditional Arabic"/>
          <w:sz w:val="30"/>
          <w:szCs w:val="30"/>
          <w:rtl/>
        </w:rPr>
        <w:t xml:space="preserve"> لا </w:t>
      </w:r>
      <w:r w:rsidRPr="00CD2150">
        <w:rPr>
          <w:rFonts w:ascii="Traditional Arabic" w:hAnsi="Traditional Arabic" w:cs="Traditional Arabic" w:hint="eastAsia"/>
          <w:sz w:val="30"/>
          <w:szCs w:val="30"/>
          <w:rtl/>
        </w:rPr>
        <w:t>تُغتفر</w:t>
      </w:r>
      <w:r w:rsidRPr="00CD2150">
        <w:rPr>
          <w:rFonts w:ascii="Traditional Arabic" w:hAnsi="Traditional Arabic" w:cs="Traditional Arabic"/>
          <w:sz w:val="30"/>
          <w:szCs w:val="30"/>
          <w:rtl/>
        </w:rPr>
        <w:t xml:space="preserve"> بكل بساطة.</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يزال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يُعرف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أنه "أسوأ أزمة إنسانية في العالم" </w:t>
      </w:r>
      <w:r w:rsidRPr="00CD2150">
        <w:rPr>
          <w:rFonts w:ascii="Traditional Arabic" w:hAnsi="Traditional Arabic" w:cs="Traditional Arabic" w:hint="eastAsia"/>
          <w:sz w:val="30"/>
          <w:szCs w:val="30"/>
          <w:rtl/>
        </w:rPr>
        <w:t>والتي</w:t>
      </w:r>
      <w:r w:rsidRPr="00CD2150">
        <w:rPr>
          <w:rFonts w:ascii="Traditional Arabic" w:hAnsi="Traditional Arabic" w:cs="Traditional Arabic"/>
          <w:sz w:val="30"/>
          <w:szCs w:val="30"/>
          <w:rtl/>
        </w:rPr>
        <w:t xml:space="preserve"> هي "من </w:t>
      </w:r>
      <w:r w:rsidRPr="00CD2150">
        <w:rPr>
          <w:rFonts w:ascii="Traditional Arabic" w:hAnsi="Traditional Arabic" w:cs="Traditional Arabic" w:hint="eastAsia"/>
          <w:sz w:val="30"/>
          <w:szCs w:val="30"/>
          <w:rtl/>
        </w:rPr>
        <w:t>صنع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ورأى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الخبراء </w:t>
      </w:r>
      <w:r w:rsidRPr="00CD2150">
        <w:rPr>
          <w:rFonts w:ascii="Traditional Arabic" w:hAnsi="Traditional Arabic" w:cs="Traditional Arabic" w:hint="eastAsia"/>
          <w:sz w:val="30"/>
          <w:szCs w:val="30"/>
          <w:rtl/>
        </w:rPr>
        <w:t>أدلة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كثيرة</w:t>
      </w:r>
      <w:r w:rsidRPr="00CD2150">
        <w:rPr>
          <w:rFonts w:ascii="Traditional Arabic" w:hAnsi="Traditional Arabic" w:cs="Traditional Arabic"/>
          <w:sz w:val="30"/>
          <w:szCs w:val="30"/>
          <w:rtl/>
        </w:rPr>
        <w:t xml:space="preserve"> على هذا.</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إن</w:t>
      </w:r>
      <w:r w:rsidRPr="00CD2150">
        <w:rPr>
          <w:rFonts w:ascii="Traditional Arabic" w:hAnsi="Traditional Arabic" w:cs="Traditional Arabic"/>
          <w:sz w:val="30"/>
          <w:szCs w:val="30"/>
          <w:rtl/>
        </w:rPr>
        <w:t xml:space="preserve"> استمرار هذا </w:t>
      </w:r>
      <w:r w:rsidRPr="00CD2150">
        <w:rPr>
          <w:rFonts w:ascii="Traditional Arabic" w:hAnsi="Traditional Arabic" w:cs="Traditional Arabic" w:hint="eastAsia"/>
          <w:sz w:val="30"/>
          <w:szCs w:val="30"/>
          <w:rtl/>
        </w:rPr>
        <w:t>الوضع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بظل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معرفة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أطراف</w:t>
      </w:r>
      <w:r w:rsidRPr="00CD2150">
        <w:rPr>
          <w:rFonts w:ascii="Traditional Arabic" w:hAnsi="Traditional Arabic" w:cs="Traditional Arabic"/>
          <w:sz w:val="30"/>
          <w:szCs w:val="30"/>
          <w:rtl/>
        </w:rPr>
        <w:t xml:space="preserve"> النزاع ب</w:t>
      </w:r>
      <w:r w:rsidRPr="00CD2150">
        <w:rPr>
          <w:rFonts w:ascii="Traditional Arabic" w:hAnsi="Traditional Arabic" w:cs="Traditional Arabic" w:hint="eastAsia"/>
          <w:sz w:val="30"/>
          <w:szCs w:val="30"/>
          <w:rtl/>
        </w:rPr>
        <w:t>الآثار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الواضحة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hint="eastAsia"/>
          <w:sz w:val="30"/>
          <w:szCs w:val="30"/>
          <w:rtl/>
          <w:lang w:bidi="ar-YE"/>
        </w:rPr>
        <w:t>أساليبها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بقاء السكان قد دفع فريق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الاستنتاج</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هذه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الأفعال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قد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ترقى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مستوى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الانتهاكات للقانون الدولي وحتى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الدولية</w:t>
      </w:r>
      <w:r w:rsidRPr="00CD2150">
        <w:rPr>
          <w:rFonts w:ascii="Traditional Arabic" w:hAnsi="Traditional Arabic" w:cs="Traditional Arabic"/>
          <w:sz w:val="30"/>
          <w:szCs w:val="30"/>
          <w:lang w:bidi="ar"/>
        </w:rPr>
        <w:t>.</w:t>
      </w:r>
    </w:p>
    <w:p w14:paraId="3BC4037B"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التقدم</w:t>
      </w:r>
      <w:r w:rsidRPr="00CD2150">
        <w:rPr>
          <w:rFonts w:ascii="Traditional Arabic" w:hAnsi="Traditional Arabic" w:cs="Traditional Arabic"/>
          <w:sz w:val="30"/>
          <w:szCs w:val="30"/>
          <w:rtl/>
        </w:rPr>
        <w:t xml:space="preserve"> الذي ح</w:t>
      </w:r>
      <w:r w:rsidRPr="00CD2150">
        <w:rPr>
          <w:rFonts w:ascii="Traditional Arabic" w:hAnsi="Traditional Arabic" w:cs="Traditional Arabic" w:hint="eastAsia"/>
          <w:sz w:val="30"/>
          <w:szCs w:val="30"/>
          <w:rtl/>
        </w:rPr>
        <w:t>دث</w:t>
      </w:r>
      <w:r w:rsidRPr="00CD2150">
        <w:rPr>
          <w:rFonts w:ascii="Traditional Arabic" w:hAnsi="Traditional Arabic" w:cs="Traditional Arabic"/>
          <w:sz w:val="30"/>
          <w:szCs w:val="30"/>
          <w:rtl/>
        </w:rPr>
        <w:t xml:space="preserve"> على مستوى </w:t>
      </w:r>
      <w:r w:rsidRPr="00CD2150">
        <w:rPr>
          <w:rFonts w:ascii="Traditional Arabic" w:hAnsi="Traditional Arabic" w:cs="Traditional Arabic" w:hint="eastAsia"/>
          <w:sz w:val="30"/>
          <w:szCs w:val="30"/>
          <w:rtl/>
        </w:rPr>
        <w:t>المفاوضات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الهادفة</w:t>
      </w:r>
      <w:r w:rsidRPr="00CD2150">
        <w:rPr>
          <w:rFonts w:ascii="Traditional Arabic" w:hAnsi="Traditional Arabic" w:cs="Traditional Arabic"/>
          <w:sz w:val="30"/>
          <w:szCs w:val="30"/>
          <w:rtl/>
        </w:rPr>
        <w:t xml:space="preserve"> إلى التوصل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تسوية</w:t>
      </w:r>
      <w:r w:rsidRPr="00CD2150">
        <w:rPr>
          <w:rFonts w:ascii="Traditional Arabic" w:hAnsi="Traditional Arabic" w:cs="Traditional Arabic"/>
          <w:sz w:val="30"/>
          <w:szCs w:val="30"/>
          <w:rtl/>
        </w:rPr>
        <w:t xml:space="preserve"> سياسية في </w:t>
      </w:r>
      <w:r w:rsidRPr="00CD2150">
        <w:rPr>
          <w:rFonts w:ascii="Traditional Arabic" w:hAnsi="Traditional Arabic" w:cs="Traditional Arabic" w:hint="eastAsia"/>
          <w:sz w:val="30"/>
          <w:szCs w:val="30"/>
          <w:rtl/>
        </w:rPr>
        <w:t>العام</w:t>
      </w:r>
      <w:r w:rsidRPr="00CD2150">
        <w:rPr>
          <w:rFonts w:ascii="Traditional Arabic" w:hAnsi="Traditional Arabic" w:cs="Traditional Arabic"/>
          <w:sz w:val="30"/>
          <w:szCs w:val="30"/>
          <w:rtl/>
        </w:rPr>
        <w:t xml:space="preserve"> 2018 </w:t>
      </w:r>
      <w:r w:rsidRPr="00CD2150">
        <w:rPr>
          <w:rFonts w:ascii="Traditional Arabic" w:hAnsi="Traditional Arabic" w:cs="Traditional Arabic" w:hint="eastAsia"/>
          <w:sz w:val="30"/>
          <w:szCs w:val="30"/>
          <w:rtl/>
        </w:rPr>
        <w:t>مشجعا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وأسفر</w:t>
      </w:r>
      <w:r w:rsidRPr="00CD2150">
        <w:rPr>
          <w:rFonts w:ascii="Traditional Arabic" w:hAnsi="Traditional Arabic" w:cs="Traditional Arabic"/>
          <w:sz w:val="30"/>
          <w:szCs w:val="30"/>
          <w:rtl/>
        </w:rPr>
        <w:t xml:space="preserve"> عن </w:t>
      </w:r>
      <w:r w:rsidRPr="00CD2150">
        <w:rPr>
          <w:rFonts w:ascii="Traditional Arabic" w:hAnsi="Traditional Arabic" w:cs="Traditional Arabic" w:hint="eastAsia"/>
          <w:sz w:val="30"/>
          <w:szCs w:val="30"/>
          <w:rtl/>
        </w:rPr>
        <w:t>اتفاق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ستوكهولم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لوقف</w:t>
      </w:r>
      <w:r w:rsidRPr="00CD2150">
        <w:rPr>
          <w:rFonts w:ascii="Traditional Arabic" w:hAnsi="Traditional Arabic" w:cs="Traditional Arabic"/>
          <w:sz w:val="30"/>
          <w:szCs w:val="30"/>
          <w:rtl/>
        </w:rPr>
        <w:t xml:space="preserve"> إطلاق النار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الحديدة </w:t>
      </w:r>
      <w:r w:rsidRPr="00CD2150">
        <w:rPr>
          <w:rFonts w:ascii="Traditional Arabic" w:hAnsi="Traditional Arabic" w:cs="Traditional Arabic" w:hint="eastAsia"/>
          <w:sz w:val="30"/>
          <w:szCs w:val="30"/>
          <w:rtl/>
        </w:rPr>
        <w:t>واتفاقيات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ثلاثة</w:t>
      </w:r>
      <w:r w:rsidRPr="00CD2150">
        <w:rPr>
          <w:rFonts w:ascii="Traditional Arabic" w:hAnsi="Traditional Arabic" w:cs="Traditional Arabic"/>
          <w:sz w:val="30"/>
          <w:szCs w:val="30"/>
          <w:rtl/>
        </w:rPr>
        <w:t xml:space="preserve"> موانئ تجارية رئيسية </w:t>
      </w:r>
      <w:r w:rsidRPr="00CD2150">
        <w:rPr>
          <w:rFonts w:ascii="Traditional Arabic" w:hAnsi="Traditional Arabic" w:cs="Traditional Arabic" w:hint="eastAsia"/>
          <w:sz w:val="30"/>
          <w:szCs w:val="30"/>
          <w:rtl/>
        </w:rPr>
        <w:t>بالإضافة</w:t>
      </w:r>
      <w:r w:rsidRPr="00CD2150">
        <w:rPr>
          <w:rFonts w:ascii="Traditional Arabic" w:hAnsi="Traditional Arabic" w:cs="Traditional Arabic"/>
          <w:sz w:val="30"/>
          <w:szCs w:val="30"/>
          <w:rtl/>
        </w:rPr>
        <w:t xml:space="preserve"> إلى </w:t>
      </w:r>
      <w:r w:rsidRPr="00CD2150">
        <w:rPr>
          <w:rFonts w:ascii="Traditional Arabic" w:hAnsi="Traditional Arabic" w:cs="Traditional Arabic" w:hint="eastAsia"/>
          <w:sz w:val="30"/>
          <w:szCs w:val="30"/>
          <w:rtl/>
        </w:rPr>
        <w:t>مذكرة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بيان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التفاهم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تعز وخطة لتبادل الأسرى.</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لكن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تنفيذ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الاتفاق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أقل</w:t>
      </w:r>
      <w:r w:rsidRPr="00CD2150">
        <w:rPr>
          <w:rFonts w:ascii="Traditional Arabic" w:hAnsi="Traditional Arabic" w:cs="Traditional Arabic"/>
          <w:sz w:val="30"/>
          <w:szCs w:val="30"/>
          <w:rtl/>
        </w:rPr>
        <w:t xml:space="preserve"> نجاحًا بكثير.</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حين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ساعد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وقف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إطلاق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النار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الحديدة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الحد</w:t>
      </w:r>
      <w:r w:rsidRPr="00CD2150">
        <w:rPr>
          <w:rFonts w:ascii="Traditional Arabic" w:hAnsi="Traditional Arabic" w:cs="Traditional Arabic"/>
          <w:sz w:val="30"/>
          <w:szCs w:val="30"/>
          <w:rtl/>
        </w:rPr>
        <w:t xml:space="preserve"> من </w:t>
      </w:r>
      <w:r w:rsidRPr="00CD2150">
        <w:rPr>
          <w:rFonts w:ascii="Traditional Arabic" w:hAnsi="Traditional Arabic" w:cs="Traditional Arabic" w:hint="eastAsia"/>
          <w:sz w:val="30"/>
          <w:szCs w:val="30"/>
          <w:rtl/>
        </w:rPr>
        <w:t>تفاقم</w:t>
      </w:r>
      <w:r w:rsidRPr="00CD2150">
        <w:rPr>
          <w:rFonts w:ascii="Traditional Arabic" w:hAnsi="Traditional Arabic" w:cs="Traditional Arabic"/>
          <w:sz w:val="30"/>
          <w:szCs w:val="30"/>
          <w:rtl/>
        </w:rPr>
        <w:t xml:space="preserve"> الأزمة الإنسانية الكارثية التي تواجه اليمن، بدلاً من استغلاله كفرصة للتركيز على التسوية السياسية، </w:t>
      </w:r>
      <w:r w:rsidRPr="00CD2150">
        <w:rPr>
          <w:rFonts w:ascii="Traditional Arabic" w:hAnsi="Traditional Arabic" w:cs="Traditional Arabic" w:hint="eastAsia"/>
          <w:sz w:val="30"/>
          <w:szCs w:val="30"/>
          <w:rtl/>
        </w:rPr>
        <w:t>حوّلت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أطراف</w:t>
      </w:r>
      <w:r w:rsidRPr="00CD2150">
        <w:rPr>
          <w:rFonts w:ascii="Traditional Arabic" w:hAnsi="Traditional Arabic" w:cs="Traditional Arabic"/>
          <w:sz w:val="30"/>
          <w:szCs w:val="30"/>
          <w:rtl/>
        </w:rPr>
        <w:t xml:space="preserve"> النزاع </w:t>
      </w:r>
      <w:r w:rsidRPr="00CD2150">
        <w:rPr>
          <w:rFonts w:ascii="Traditional Arabic" w:hAnsi="Traditional Arabic" w:cs="Traditional Arabic" w:hint="eastAsia"/>
          <w:sz w:val="30"/>
          <w:szCs w:val="30"/>
          <w:rtl/>
        </w:rPr>
        <w:t>جهودها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ومواردها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لتعزيز</w:t>
      </w:r>
      <w:r w:rsidRPr="00CD2150">
        <w:rPr>
          <w:rFonts w:ascii="Traditional Arabic" w:hAnsi="Traditional Arabic" w:cs="Traditional Arabic"/>
          <w:sz w:val="30"/>
          <w:szCs w:val="30"/>
          <w:rtl/>
        </w:rPr>
        <w:t xml:space="preserve"> الجبهات الأمامية في مناطق أخرى. </w:t>
      </w:r>
      <w:r w:rsidRPr="00CD2150">
        <w:rPr>
          <w:rFonts w:ascii="Traditional Arabic" w:hAnsi="Traditional Arabic" w:cs="Traditional Arabic" w:hint="eastAsia"/>
          <w:sz w:val="30"/>
          <w:szCs w:val="30"/>
          <w:rtl/>
        </w:rPr>
        <w:t>المعارك</w:t>
      </w:r>
      <w:r w:rsidRPr="00CD2150">
        <w:rPr>
          <w:rFonts w:ascii="Traditional Arabic" w:hAnsi="Traditional Arabic" w:cs="Traditional Arabic"/>
          <w:sz w:val="30"/>
          <w:szCs w:val="30"/>
          <w:rtl/>
        </w:rPr>
        <w:t xml:space="preserve"> مستمرة </w:t>
      </w:r>
      <w:r w:rsidRPr="00CD2150">
        <w:rPr>
          <w:rFonts w:ascii="Traditional Arabic" w:hAnsi="Traditional Arabic" w:cs="Traditional Arabic" w:hint="eastAsia"/>
          <w:sz w:val="30"/>
          <w:szCs w:val="30"/>
          <w:rtl/>
        </w:rPr>
        <w:t>ويفر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المدنيون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منازلهم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غالبًا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ظروف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قاسية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ويواجهون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رحلات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مستحيلة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ودائما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يتأثر</w:t>
      </w:r>
      <w:r w:rsidRPr="00CD2150">
        <w:rPr>
          <w:rFonts w:ascii="Traditional Arabic" w:hAnsi="Traditional Arabic" w:cs="Traditional Arabic"/>
          <w:sz w:val="30"/>
          <w:szCs w:val="30"/>
          <w:rtl/>
        </w:rPr>
        <w:t xml:space="preserve"> الفارون وال</w:t>
      </w:r>
      <w:r w:rsidRPr="00CD2150">
        <w:rPr>
          <w:rFonts w:ascii="Traditional Arabic" w:hAnsi="Traditional Arabic" w:cs="Traditional Arabic" w:hint="eastAsia"/>
          <w:sz w:val="30"/>
          <w:szCs w:val="30"/>
          <w:rtl/>
        </w:rPr>
        <w:t>باقون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سواء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بالاستخدام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العشوائي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للأسلحة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تدمر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العائلات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وسبل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العيش</w:t>
      </w:r>
      <w:r w:rsidRPr="00CD2150">
        <w:rPr>
          <w:rFonts w:ascii="Traditional Arabic" w:hAnsi="Traditional Arabic" w:cs="Traditional Arabic"/>
          <w:sz w:val="30"/>
          <w:szCs w:val="30"/>
          <w:rtl/>
        </w:rPr>
        <w:t>.</w:t>
      </w:r>
    </w:p>
    <w:p w14:paraId="69C64A2A"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Pr>
      </w:pPr>
      <w:r w:rsidRPr="00CD2150">
        <w:rPr>
          <w:rFonts w:ascii="Traditional Arabic" w:hAnsi="Traditional Arabic" w:cs="Traditional Arabic" w:hint="eastAsia"/>
          <w:sz w:val="30"/>
          <w:szCs w:val="30"/>
          <w:rtl/>
        </w:rPr>
        <w:lastRenderedPageBreak/>
        <w:t>حدد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عددا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الأفراد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الذين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قد </w:t>
      </w:r>
      <w:r w:rsidRPr="00CD2150">
        <w:rPr>
          <w:rFonts w:ascii="Traditional Arabic" w:hAnsi="Traditional Arabic" w:cs="Traditional Arabic" w:hint="eastAsia"/>
          <w:sz w:val="30"/>
          <w:szCs w:val="30"/>
          <w:rtl/>
        </w:rPr>
        <w:t>يتحملون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المحتملة</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يجب</w:t>
      </w:r>
      <w:r w:rsidRPr="00CD2150">
        <w:rPr>
          <w:rFonts w:ascii="Traditional Arabic" w:hAnsi="Traditional Arabic" w:cs="Traditional Arabic"/>
          <w:sz w:val="30"/>
          <w:szCs w:val="30"/>
          <w:rtl/>
        </w:rPr>
        <w:t xml:space="preserve"> أن </w:t>
      </w:r>
      <w:r w:rsidRPr="00CD2150">
        <w:rPr>
          <w:rFonts w:ascii="Traditional Arabic" w:hAnsi="Traditional Arabic" w:cs="Traditional Arabic" w:hint="cs"/>
          <w:sz w:val="30"/>
          <w:szCs w:val="30"/>
          <w:rtl/>
        </w:rPr>
        <w:t xml:space="preserve">يتم التحقيق مع </w:t>
      </w:r>
      <w:r w:rsidRPr="00CD2150">
        <w:rPr>
          <w:rFonts w:ascii="Traditional Arabic" w:hAnsi="Traditional Arabic" w:cs="Traditional Arabic" w:hint="eastAsia"/>
          <w:sz w:val="30"/>
          <w:szCs w:val="30"/>
          <w:rtl/>
        </w:rPr>
        <w:t>هؤلاء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الأفراد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المعنيون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cs"/>
          <w:sz w:val="30"/>
          <w:szCs w:val="30"/>
          <w:rtl/>
        </w:rPr>
        <w:t xml:space="preserve">بغرض </w:t>
      </w:r>
      <w:r w:rsidRPr="00CD2150">
        <w:rPr>
          <w:rFonts w:ascii="Traditional Arabic" w:hAnsi="Traditional Arabic" w:cs="Traditional Arabic" w:hint="eastAsia"/>
          <w:sz w:val="30"/>
          <w:szCs w:val="30"/>
          <w:rtl/>
        </w:rPr>
        <w:t>الملاحق</w:t>
      </w:r>
      <w:r w:rsidRPr="00CD2150">
        <w:rPr>
          <w:rFonts w:ascii="Traditional Arabic" w:hAnsi="Traditional Arabic" w:cs="Traditional Arabic" w:hint="cs"/>
          <w:sz w:val="30"/>
          <w:szCs w:val="30"/>
          <w:rtl/>
        </w:rPr>
        <w:t xml:space="preserve">ة </w:t>
      </w:r>
      <w:r w:rsidRPr="00CD2150">
        <w:rPr>
          <w:rFonts w:ascii="Traditional Arabic" w:hAnsi="Traditional Arabic" w:cs="Traditional Arabic" w:hint="eastAsia"/>
          <w:sz w:val="30"/>
          <w:szCs w:val="30"/>
          <w:rtl/>
        </w:rPr>
        <w:t>القضائية</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وقد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أُبلغت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أسمائهم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مفوضة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الأمم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المتحدة</w:t>
      </w:r>
      <w:r w:rsidRPr="00CD2150">
        <w:rPr>
          <w:rFonts w:ascii="Traditional Arabic" w:hAnsi="Traditional Arabic" w:cs="Traditional Arabic"/>
          <w:sz w:val="30"/>
          <w:szCs w:val="30"/>
          <w:rtl/>
        </w:rPr>
        <w:t xml:space="preserve"> السامي</w:t>
      </w:r>
      <w:r w:rsidRPr="00CD2150">
        <w:rPr>
          <w:rFonts w:ascii="Traditional Arabic" w:hAnsi="Traditional Arabic" w:cs="Traditional Arabic" w:hint="eastAsia"/>
          <w:sz w:val="30"/>
          <w:szCs w:val="30"/>
          <w:rtl/>
        </w:rPr>
        <w:t>ة</w:t>
      </w:r>
      <w:r w:rsidRPr="00CD2150">
        <w:rPr>
          <w:rFonts w:ascii="Traditional Arabic" w:hAnsi="Traditional Arabic" w:cs="Traditional Arabic"/>
          <w:sz w:val="30"/>
          <w:szCs w:val="30"/>
          <w:rtl/>
        </w:rPr>
        <w:t xml:space="preserve"> لحقوق الإنسان </w:t>
      </w:r>
      <w:r w:rsidRPr="00CD2150">
        <w:rPr>
          <w:rFonts w:ascii="Traditional Arabic" w:hAnsi="Traditional Arabic" w:cs="Traditional Arabic" w:hint="eastAsia"/>
          <w:sz w:val="30"/>
          <w:szCs w:val="30"/>
          <w:rtl/>
        </w:rPr>
        <w:t>بسرية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تامة</w:t>
      </w:r>
      <w:r w:rsidRPr="00CD2150">
        <w:rPr>
          <w:rFonts w:ascii="Traditional Arabic" w:hAnsi="Traditional Arabic" w:cs="Traditional Arabic"/>
          <w:sz w:val="30"/>
          <w:szCs w:val="30"/>
          <w:lang w:bidi="ar"/>
        </w:rPr>
        <w:t>.</w:t>
      </w:r>
    </w:p>
    <w:p w14:paraId="77182E35" w14:textId="751FFC78"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أدى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فشل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الأطراف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الإقرار</w:t>
      </w:r>
      <w:r w:rsidRPr="00CD2150">
        <w:rPr>
          <w:rFonts w:ascii="Traditional Arabic" w:hAnsi="Traditional Arabic" w:cs="Traditional Arabic"/>
          <w:sz w:val="30"/>
          <w:szCs w:val="30"/>
          <w:rtl/>
        </w:rPr>
        <w:t xml:space="preserve"> ب</w:t>
      </w:r>
      <w:r w:rsidRPr="00CD2150">
        <w:rPr>
          <w:rFonts w:ascii="Traditional Arabic" w:hAnsi="Traditional Arabic" w:cs="Traditional Arabic" w:hint="eastAsia"/>
          <w:sz w:val="30"/>
          <w:szCs w:val="30"/>
          <w:rtl/>
        </w:rPr>
        <w:t>أي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نوع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المسؤولية</w:t>
      </w:r>
      <w:r w:rsidRPr="00CD2150">
        <w:rPr>
          <w:rFonts w:ascii="Traditional Arabic" w:hAnsi="Traditional Arabic" w:cs="Traditional Arabic"/>
          <w:sz w:val="30"/>
          <w:szCs w:val="30"/>
          <w:rtl/>
        </w:rPr>
        <w:t xml:space="preserve"> عن الانتهاكات ورفضها اتخاذ أي خطوات ذات مغزى لتصحيح المواقف ال</w:t>
      </w:r>
      <w:r w:rsidRPr="00CD2150">
        <w:rPr>
          <w:rFonts w:ascii="Traditional Arabic" w:hAnsi="Traditional Arabic" w:cs="Traditional Arabic" w:hint="eastAsia"/>
          <w:sz w:val="30"/>
          <w:szCs w:val="30"/>
          <w:rtl/>
        </w:rPr>
        <w:t>ناتجة</w:t>
      </w:r>
      <w:r w:rsidRPr="00CD2150">
        <w:rPr>
          <w:rFonts w:ascii="Traditional Arabic" w:hAnsi="Traditional Arabic" w:cs="Traditional Arabic"/>
          <w:sz w:val="30"/>
          <w:szCs w:val="30"/>
          <w:rtl/>
        </w:rPr>
        <w:t xml:space="preserve"> عن أفعالها،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انعدام المساءلة على نطاق واسع، </w:t>
      </w:r>
      <w:r w:rsidRPr="00CD2150">
        <w:rPr>
          <w:rFonts w:ascii="Traditional Arabic" w:hAnsi="Traditional Arabic" w:cs="Traditional Arabic" w:hint="eastAsia"/>
          <w:sz w:val="30"/>
          <w:szCs w:val="30"/>
          <w:rtl/>
        </w:rPr>
        <w:t>مما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شجع</w:t>
      </w:r>
      <w:r w:rsidRPr="00CD2150">
        <w:rPr>
          <w:rFonts w:ascii="Traditional Arabic" w:hAnsi="Traditional Arabic" w:cs="Traditional Arabic"/>
          <w:sz w:val="30"/>
          <w:szCs w:val="30"/>
          <w:rtl/>
        </w:rPr>
        <w:t xml:space="preserve"> على زيادة دائرة عدم </w:t>
      </w:r>
      <w:r w:rsidRPr="00CD2150">
        <w:rPr>
          <w:rFonts w:ascii="Traditional Arabic" w:hAnsi="Traditional Arabic" w:cs="Traditional Arabic" w:hint="eastAsia"/>
          <w:sz w:val="30"/>
          <w:szCs w:val="30"/>
          <w:rtl/>
        </w:rPr>
        <w:t>الاكتراث</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السكان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اليمنيين</w:t>
      </w:r>
      <w:r w:rsidRPr="00CD2150">
        <w:rPr>
          <w:rFonts w:ascii="Traditional Arabic" w:hAnsi="Traditional Arabic" w:cs="Traditional Arabic"/>
          <w:sz w:val="30"/>
          <w:szCs w:val="30"/>
          <w:rtl/>
          <w:lang w:bidi="ar"/>
        </w:rPr>
        <w:t xml:space="preserve"> </w:t>
      </w:r>
      <w:r w:rsidRPr="00CD2150">
        <w:rPr>
          <w:rFonts w:ascii="Traditional Arabic" w:hAnsi="Traditional Arabic" w:cs="Traditional Arabic" w:hint="eastAsia"/>
          <w:sz w:val="30"/>
          <w:szCs w:val="30"/>
          <w:rtl/>
        </w:rPr>
        <w:t>وحرّض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الإفلات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العقاب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المرتكبة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لدى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الحكومة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اليمنية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معالجة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وجه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السرعة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تتحمل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سلطات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الأمر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الواقع</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والدول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الأعضاء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التحالف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بما</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ذلك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المملكة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العربية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السعودية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والإمارات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العربية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المتحدة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مسؤولية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جسيمة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ويجب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عليها</w:t>
      </w:r>
      <w:r w:rsidRPr="00CD2150">
        <w:rPr>
          <w:rFonts w:ascii="Traditional Arabic" w:hAnsi="Traditional Arabic" w:cs="Traditional Arabic"/>
          <w:sz w:val="30"/>
          <w:szCs w:val="30"/>
          <w:rtl/>
        </w:rPr>
        <w:t xml:space="preserve"> اتخاذ إجراءات ضد المسؤولين داخل صفوفه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يقع</w:t>
      </w:r>
      <w:r w:rsidRPr="00CD2150">
        <w:rPr>
          <w:rFonts w:ascii="Traditional Arabic" w:hAnsi="Traditional Arabic" w:cs="Traditional Arabic"/>
          <w:sz w:val="30"/>
          <w:szCs w:val="30"/>
          <w:rtl/>
        </w:rPr>
        <w:t xml:space="preserve"> العبء أيضًا على المجتمع الدولي، وخاصة الدول التي لها تأثير على أطراف النزاع، لإدانة</w:t>
      </w:r>
      <w:r w:rsidR="00F2268A">
        <w:rPr>
          <w:rFonts w:ascii="Traditional Arabic" w:hAnsi="Traditional Arabic" w:cs="Traditional Arabic" w:hint="cs"/>
          <w:sz w:val="30"/>
          <w:szCs w:val="30"/>
          <w:rtl/>
        </w:rPr>
        <w:t xml:space="preserve"> واتخاذ خطوات مناسبة لمنع حدوث</w:t>
      </w:r>
      <w:r w:rsidRPr="00CD2150">
        <w:rPr>
          <w:rFonts w:ascii="Traditional Arabic" w:hAnsi="Traditional Arabic" w:cs="Traditional Arabic"/>
          <w:sz w:val="30"/>
          <w:szCs w:val="30"/>
          <w:rtl/>
        </w:rPr>
        <w:t xml:space="preserve"> الانتهاكات ومساعدة اليمن </w:t>
      </w:r>
      <w:r w:rsidRPr="00CD2150">
        <w:rPr>
          <w:rFonts w:ascii="Traditional Arabic" w:hAnsi="Traditional Arabic" w:cs="Traditional Arabic" w:hint="eastAsia"/>
          <w:sz w:val="30"/>
          <w:szCs w:val="30"/>
          <w:rtl/>
        </w:rPr>
        <w:t>عبر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ضمان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محاسبة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مرتكبي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الجرائم</w:t>
      </w:r>
      <w:r w:rsidRPr="00CD2150">
        <w:rPr>
          <w:rFonts w:ascii="Traditional Arabic" w:hAnsi="Traditional Arabic" w:cs="Traditional Arabic"/>
          <w:sz w:val="30"/>
          <w:szCs w:val="30"/>
          <w:lang w:bidi="ar"/>
        </w:rPr>
        <w:t>.</w:t>
      </w:r>
      <w:r w:rsidR="0062598E">
        <w:rPr>
          <w:rFonts w:ascii="Traditional Arabic" w:hAnsi="Traditional Arabic" w:cs="Traditional Arabic" w:hint="cs"/>
          <w:sz w:val="30"/>
          <w:szCs w:val="30"/>
          <w:rtl/>
        </w:rPr>
        <w:t xml:space="preserve"> كما أن استمرار تزويد الأسلحة لأطراف النزاع</w:t>
      </w:r>
      <w:r w:rsidR="000D3496">
        <w:rPr>
          <w:rFonts w:ascii="Traditional Arabic" w:hAnsi="Traditional Arabic" w:cs="Traditional Arabic" w:hint="cs"/>
          <w:sz w:val="30"/>
          <w:szCs w:val="30"/>
          <w:rtl/>
        </w:rPr>
        <w:t xml:space="preserve"> في اليمن يؤجج </w:t>
      </w:r>
      <w:r w:rsidR="008B72E2">
        <w:rPr>
          <w:rFonts w:ascii="Traditional Arabic" w:hAnsi="Traditional Arabic" w:cs="Traditional Arabic" w:hint="cs"/>
          <w:sz w:val="30"/>
          <w:szCs w:val="30"/>
          <w:rtl/>
        </w:rPr>
        <w:t>الصراع</w:t>
      </w:r>
      <w:r w:rsidR="000D3496">
        <w:rPr>
          <w:rFonts w:ascii="Traditional Arabic" w:hAnsi="Traditional Arabic" w:cs="Traditional Arabic" w:hint="cs"/>
          <w:sz w:val="30"/>
          <w:szCs w:val="30"/>
          <w:rtl/>
        </w:rPr>
        <w:t xml:space="preserve"> ويزيد من معاناة السكان</w:t>
      </w:r>
      <w:r w:rsidR="008B72E2">
        <w:rPr>
          <w:rFonts w:ascii="Traditional Arabic" w:hAnsi="Traditional Arabic" w:cs="Traditional Arabic" w:hint="cs"/>
          <w:sz w:val="30"/>
          <w:szCs w:val="30"/>
          <w:rtl/>
          <w:lang w:bidi="ar"/>
        </w:rPr>
        <w:t xml:space="preserve">. </w:t>
      </w:r>
    </w:p>
    <w:p w14:paraId="75B1983E"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تمت</w:t>
      </w:r>
      <w:r w:rsidRPr="00CD2150">
        <w:rPr>
          <w:rFonts w:ascii="Traditional Arabic" w:hAnsi="Traditional Arabic" w:cs="Traditional Arabic"/>
          <w:sz w:val="30"/>
          <w:szCs w:val="30"/>
          <w:rtl/>
        </w:rPr>
        <w:t xml:space="preserve"> مناقشة الخطوات المطلوبة للتصدي لانتهاكات حقوق الإنسان والقانون الدولي في اليمن بشكل مستمر ولم يعد </w:t>
      </w:r>
      <w:r w:rsidRPr="00CD2150">
        <w:rPr>
          <w:rFonts w:ascii="Traditional Arabic" w:hAnsi="Traditional Arabic" w:cs="Traditional Arabic" w:hint="eastAsia"/>
          <w:sz w:val="30"/>
          <w:szCs w:val="30"/>
          <w:rtl/>
        </w:rPr>
        <w:t>يوجد</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أي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مبرر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لعدم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اتخاذ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خطوات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مغزى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للتصدي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لها</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قام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فريق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الخبراء</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مفوضة</w:t>
      </w:r>
      <w:r w:rsidRPr="00CD2150">
        <w:rPr>
          <w:rFonts w:ascii="Traditional Arabic" w:hAnsi="Traditional Arabic" w:cs="Traditional Arabic"/>
          <w:sz w:val="30"/>
          <w:szCs w:val="30"/>
          <w:rtl/>
        </w:rPr>
        <w:t xml:space="preserve"> الأمم المتحدة السامية لحقوق الإنسان </w:t>
      </w:r>
      <w:r w:rsidRPr="00CD2150">
        <w:rPr>
          <w:rFonts w:ascii="Traditional Arabic" w:hAnsi="Traditional Arabic" w:cs="Traditional Arabic" w:hint="eastAsia"/>
          <w:sz w:val="30"/>
          <w:szCs w:val="30"/>
          <w:rtl/>
        </w:rPr>
        <w:t>بصياغة</w:t>
      </w:r>
      <w:r w:rsidRPr="00CD2150">
        <w:rPr>
          <w:rFonts w:ascii="Traditional Arabic" w:hAnsi="Traditional Arabic" w:cs="Traditional Arabic"/>
          <w:sz w:val="30"/>
          <w:szCs w:val="30"/>
          <w:rtl/>
        </w:rPr>
        <w:t xml:space="preserve"> توصيات ملموسة في </w:t>
      </w:r>
      <w:r w:rsidRPr="00CD2150">
        <w:rPr>
          <w:rFonts w:ascii="Traditional Arabic" w:hAnsi="Traditional Arabic" w:cs="Traditional Arabic" w:hint="eastAsia"/>
          <w:sz w:val="30"/>
          <w:szCs w:val="30"/>
          <w:rtl/>
        </w:rPr>
        <w:t>التقارير</w:t>
      </w:r>
      <w:r w:rsidRPr="00CD2150">
        <w:rPr>
          <w:rFonts w:ascii="Traditional Arabic" w:hAnsi="Traditional Arabic" w:cs="Traditional Arabic"/>
          <w:sz w:val="30"/>
          <w:szCs w:val="30"/>
          <w:rtl/>
        </w:rPr>
        <w:t xml:space="preserve"> الم</w:t>
      </w:r>
      <w:r w:rsidRPr="00CD2150">
        <w:rPr>
          <w:rFonts w:ascii="Traditional Arabic" w:hAnsi="Traditional Arabic" w:cs="Traditional Arabic" w:hint="eastAsia"/>
          <w:sz w:val="30"/>
          <w:szCs w:val="30"/>
          <w:rtl/>
        </w:rPr>
        <w:t>قدمة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مجلس</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 xml:space="preserve"> (</w:t>
      </w:r>
      <w:r w:rsidRPr="00CD2150">
        <w:rPr>
          <w:rFonts w:ascii="Traditional Arabic" w:eastAsia="Calibri" w:hAnsi="Traditional Arabic" w:cs="Traditional Arabic"/>
          <w:bCs/>
          <w:sz w:val="30"/>
          <w:szCs w:val="30"/>
        </w:rPr>
        <w:t>A/HRC/30/31, A/HRC/33/38, A/HRC/36/33, A/HRC39/43, and A/HRC/42/17</w:t>
      </w:r>
      <w:r w:rsidRPr="00CD2150">
        <w:rPr>
          <w:rFonts w:ascii="Traditional Arabic" w:hAnsi="Traditional Arabic" w:cs="Traditional Arabic"/>
          <w:sz w:val="30"/>
          <w:szCs w:val="30"/>
          <w:rtl/>
        </w:rPr>
        <w:t>) مثلها مثل العديد من منظمات المجتمع المدني الدولية والوطنية.</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يجب</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تنفيذ</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هذه</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التوصيات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الفور</w:t>
      </w:r>
      <w:r w:rsidRPr="00CD2150">
        <w:rPr>
          <w:rFonts w:ascii="Traditional Arabic" w:hAnsi="Traditional Arabic" w:cs="Traditional Arabic"/>
          <w:sz w:val="30"/>
          <w:szCs w:val="30"/>
          <w:lang w:bidi="ar"/>
        </w:rPr>
        <w:t>.</w:t>
      </w:r>
    </w:p>
    <w:p w14:paraId="392A7F6E"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Calibri" w:hAnsi="Traditional Arabic" w:cs="Traditional Arabic"/>
          <w:bCs/>
          <w:sz w:val="30"/>
          <w:szCs w:val="30"/>
          <w:rtl/>
        </w:rPr>
      </w:pPr>
      <w:r w:rsidRPr="00CD2150">
        <w:rPr>
          <w:rFonts w:ascii="Traditional Arabic" w:hAnsi="Traditional Arabic" w:cs="Traditional Arabic" w:hint="eastAsia"/>
          <w:sz w:val="30"/>
          <w:szCs w:val="30"/>
          <w:rtl/>
        </w:rPr>
        <w:t>مع</w:t>
      </w:r>
      <w:r w:rsidRPr="00CD2150">
        <w:rPr>
          <w:rFonts w:ascii="Traditional Arabic" w:hAnsi="Traditional Arabic" w:cs="Traditional Arabic"/>
          <w:sz w:val="30"/>
          <w:szCs w:val="30"/>
          <w:rtl/>
        </w:rPr>
        <w:t xml:space="preserve"> استمرار معاناة السكان،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الواضح تماما </w:t>
      </w:r>
      <w:r w:rsidRPr="00CD2150">
        <w:rPr>
          <w:rFonts w:ascii="Traditional Arabic" w:hAnsi="Traditional Arabic" w:cs="Traditional Arabic" w:hint="eastAsia"/>
          <w:sz w:val="30"/>
          <w:szCs w:val="30"/>
          <w:rtl/>
        </w:rPr>
        <w:t>إستحالة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إنهاء</w:t>
      </w:r>
      <w:r w:rsidRPr="00CD2150">
        <w:rPr>
          <w:rFonts w:ascii="Traditional Arabic" w:hAnsi="Traditional Arabic" w:cs="Traditional Arabic"/>
          <w:sz w:val="30"/>
          <w:szCs w:val="30"/>
          <w:rtl/>
        </w:rPr>
        <w:t xml:space="preserve"> معاناة الشعب اليمني </w:t>
      </w:r>
      <w:r w:rsidRPr="00CD2150">
        <w:rPr>
          <w:rFonts w:ascii="Traditional Arabic" w:hAnsi="Traditional Arabic" w:cs="Traditional Arabic" w:hint="eastAsia"/>
          <w:sz w:val="30"/>
          <w:szCs w:val="30"/>
          <w:rtl/>
        </w:rPr>
        <w:t>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دون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سلام،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وهو</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سيتحقق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فقط</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عبر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تسوية</w:t>
      </w:r>
      <w:r w:rsidRPr="00CD2150">
        <w:rPr>
          <w:rFonts w:ascii="Traditional Arabic" w:hAnsi="Traditional Arabic" w:cs="Traditional Arabic"/>
          <w:sz w:val="30"/>
          <w:szCs w:val="30"/>
          <w:rtl/>
        </w:rPr>
        <w:t xml:space="preserve"> سياسية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طريق</w:t>
      </w:r>
      <w:r w:rsidRPr="00CD2150">
        <w:rPr>
          <w:rFonts w:ascii="Traditional Arabic" w:hAnsi="Traditional Arabic" w:cs="Traditional Arabic"/>
          <w:sz w:val="30"/>
          <w:szCs w:val="30"/>
          <w:rtl/>
        </w:rPr>
        <w:t xml:space="preserve"> الت</w:t>
      </w:r>
      <w:r w:rsidRPr="00CD2150">
        <w:rPr>
          <w:rFonts w:ascii="Traditional Arabic" w:hAnsi="Traditional Arabic" w:cs="Traditional Arabic" w:hint="eastAsia"/>
          <w:sz w:val="30"/>
          <w:szCs w:val="30"/>
          <w:rtl/>
        </w:rPr>
        <w:t>فاوض</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تتضمن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تدابير</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لضمان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المساءلة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عن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حقوق</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الإنسان</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وبدون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مثل</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هكذا</w:t>
      </w:r>
      <w:r w:rsidRPr="00CD2150">
        <w:rPr>
          <w:rFonts w:ascii="Traditional Arabic" w:hAnsi="Traditional Arabic" w:cs="Traditional Arabic"/>
          <w:sz w:val="30"/>
          <w:szCs w:val="30"/>
          <w:rtl/>
        </w:rPr>
        <w:t xml:space="preserve"> تسوية، </w:t>
      </w:r>
      <w:r w:rsidRPr="00CD2150">
        <w:rPr>
          <w:rFonts w:ascii="Traditional Arabic" w:hAnsi="Traditional Arabic" w:cs="Traditional Arabic" w:hint="eastAsia"/>
          <w:sz w:val="30"/>
          <w:szCs w:val="30"/>
          <w:rtl/>
        </w:rPr>
        <w:t>يكون</w:t>
      </w:r>
      <w:r w:rsidRPr="00CD2150">
        <w:rPr>
          <w:rFonts w:ascii="Traditional Arabic" w:hAnsi="Traditional Arabic" w:cs="Traditional Arabic"/>
          <w:sz w:val="30"/>
          <w:szCs w:val="30"/>
          <w:rtl/>
        </w:rPr>
        <w:t xml:space="preserve"> مصير </w:t>
      </w:r>
      <w:r w:rsidRPr="00CD2150">
        <w:rPr>
          <w:rFonts w:ascii="Traditional Arabic" w:hAnsi="Traditional Arabic" w:cs="Traditional Arabic" w:hint="eastAsia"/>
          <w:sz w:val="30"/>
          <w:szCs w:val="30"/>
          <w:rtl/>
        </w:rPr>
        <w:t>اليمن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الاستمرار</w:t>
      </w:r>
      <w:r w:rsidRPr="00CD2150">
        <w:rPr>
          <w:rFonts w:ascii="Traditional Arabic" w:hAnsi="Traditional Arabic" w:cs="Traditional Arabic"/>
          <w:sz w:val="30"/>
          <w:szCs w:val="30"/>
          <w:rtl/>
        </w:rPr>
        <w:t xml:space="preserve"> في </w:t>
      </w:r>
      <w:r w:rsidRPr="00CD2150">
        <w:rPr>
          <w:rFonts w:ascii="Traditional Arabic" w:hAnsi="Traditional Arabic" w:cs="Traditional Arabic" w:hint="eastAsia"/>
          <w:sz w:val="30"/>
          <w:szCs w:val="30"/>
          <w:rtl/>
        </w:rPr>
        <w:t>دائرة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العنف</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والانتهاكات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الخطيرة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للقانون</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الدولي</w:t>
      </w:r>
      <w:r w:rsidRPr="00CD2150">
        <w:rPr>
          <w:rFonts w:ascii="Traditional Arabic" w:hAnsi="Traditional Arabic" w:cs="Traditional Arabic"/>
          <w:sz w:val="30"/>
          <w:szCs w:val="30"/>
          <w:rtl/>
        </w:rPr>
        <w:t>.</w:t>
      </w:r>
      <w:r w:rsidRPr="00CD2150">
        <w:rPr>
          <w:rFonts w:ascii="Traditional Arabic" w:hAnsi="Traditional Arabic" w:cs="Traditional Arabic"/>
          <w:sz w:val="30"/>
          <w:szCs w:val="30"/>
          <w:lang w:bidi="ar"/>
        </w:rPr>
        <w:t xml:space="preserve"> </w:t>
      </w:r>
      <w:r w:rsidRPr="00CD2150">
        <w:rPr>
          <w:rFonts w:ascii="Traditional Arabic" w:hAnsi="Traditional Arabic" w:cs="Traditional Arabic" w:hint="eastAsia"/>
          <w:sz w:val="30"/>
          <w:szCs w:val="30"/>
          <w:rtl/>
        </w:rPr>
        <w:t>على</w:t>
      </w:r>
      <w:r w:rsidRPr="00CD2150">
        <w:rPr>
          <w:rFonts w:ascii="Traditional Arabic" w:hAnsi="Traditional Arabic" w:cs="Traditional Arabic"/>
          <w:sz w:val="30"/>
          <w:szCs w:val="30"/>
          <w:rtl/>
        </w:rPr>
        <w:t xml:space="preserve"> المجتمع الدولي </w:t>
      </w:r>
      <w:r w:rsidRPr="00CD2150">
        <w:rPr>
          <w:rFonts w:ascii="Traditional Arabic" w:hAnsi="Traditional Arabic" w:cs="Traditional Arabic" w:hint="eastAsia"/>
          <w:sz w:val="30"/>
          <w:szCs w:val="30"/>
          <w:rtl/>
        </w:rPr>
        <w:t>الالتزام</w:t>
      </w:r>
      <w:r w:rsidRPr="00CD2150">
        <w:rPr>
          <w:rFonts w:ascii="Traditional Arabic" w:hAnsi="Traditional Arabic" w:cs="Traditional Arabic"/>
          <w:sz w:val="30"/>
          <w:szCs w:val="30"/>
          <w:rtl/>
        </w:rPr>
        <w:t xml:space="preserve"> بدعم اليمن في تحقيق سلام </w:t>
      </w:r>
      <w:r w:rsidRPr="00CD2150">
        <w:rPr>
          <w:rFonts w:ascii="Traditional Arabic" w:hAnsi="Traditional Arabic" w:cs="Traditional Arabic" w:hint="eastAsia"/>
          <w:sz w:val="30"/>
          <w:szCs w:val="30"/>
          <w:rtl/>
        </w:rPr>
        <w:t>مستدام</w:t>
      </w:r>
      <w:r w:rsidRPr="00CD2150">
        <w:rPr>
          <w:rFonts w:ascii="Traditional Arabic" w:hAnsi="Traditional Arabic" w:cs="Traditional Arabic"/>
          <w:sz w:val="30"/>
          <w:szCs w:val="30"/>
          <w:lang w:bidi="ar"/>
        </w:rPr>
        <w:t>.</w:t>
      </w:r>
    </w:p>
    <w:p w14:paraId="2E677102" w14:textId="15C5FAEC" w:rsidR="00CD2150" w:rsidRPr="00CD2150" w:rsidRDefault="00CD2150" w:rsidP="00CD2150">
      <w:pPr>
        <w:tabs>
          <w:tab w:val="left" w:pos="1701"/>
        </w:tabs>
        <w:bidi/>
        <w:spacing w:after="120"/>
        <w:ind w:left="1134" w:right="540" w:hanging="1108"/>
        <w:jc w:val="both"/>
        <w:rPr>
          <w:rFonts w:ascii="Traditional Arabic" w:eastAsia="Calibri" w:hAnsi="Traditional Arabic" w:cs="Traditional Arabic"/>
          <w:b/>
          <w:bCs/>
          <w:sz w:val="30"/>
          <w:szCs w:val="30"/>
          <w:rtl/>
          <w:lang w:bidi="ar-YE"/>
        </w:rPr>
      </w:pPr>
      <w:r w:rsidRPr="00CD2150">
        <w:rPr>
          <w:rFonts w:ascii="Traditional Arabic" w:hAnsi="Traditional Arabic" w:cs="Traditional Arabic" w:hint="eastAsia"/>
          <w:b/>
          <w:bCs/>
          <w:sz w:val="30"/>
          <w:szCs w:val="30"/>
          <w:rtl/>
        </w:rPr>
        <w:t>ب</w:t>
      </w:r>
      <w:r w:rsidRPr="00CD2150">
        <w:rPr>
          <w:rFonts w:ascii="Traditional Arabic" w:hAnsi="Traditional Arabic" w:cs="Traditional Arabic"/>
          <w:b/>
          <w:bCs/>
          <w:sz w:val="30"/>
          <w:szCs w:val="30"/>
          <w:rtl/>
        </w:rPr>
        <w:t>. توصيات</w:t>
      </w:r>
    </w:p>
    <w:p w14:paraId="51672F98" w14:textId="028B1AB2" w:rsidR="00CD2150" w:rsidRPr="001C66F0" w:rsidRDefault="00CD2150" w:rsidP="0025057B">
      <w:pPr>
        <w:pStyle w:val="ListParagraph"/>
        <w:numPr>
          <w:ilvl w:val="0"/>
          <w:numId w:val="28"/>
        </w:numPr>
        <w:bidi/>
        <w:ind w:right="540"/>
        <w:jc w:val="both"/>
        <w:rPr>
          <w:rFonts w:ascii="Traditional Arabic" w:hAnsi="Traditional Arabic" w:cs="Traditional Arabic"/>
          <w:b/>
          <w:bCs/>
          <w:sz w:val="30"/>
          <w:szCs w:val="30"/>
        </w:rPr>
      </w:pPr>
      <w:r w:rsidRPr="001C66F0">
        <w:rPr>
          <w:rFonts w:ascii="Traditional Arabic" w:hAnsi="Traditional Arabic" w:cs="Traditional Arabic"/>
          <w:b/>
          <w:bCs/>
          <w:sz w:val="30"/>
          <w:szCs w:val="30"/>
          <w:rtl/>
        </w:rPr>
        <w:t>إلى جميع أطراف النزاع في اليمن</w:t>
      </w:r>
      <w:r w:rsidRPr="001C66F0">
        <w:rPr>
          <w:rFonts w:ascii="Traditional Arabic" w:hAnsi="Traditional Arabic" w:cs="Traditional Arabic"/>
          <w:b/>
          <w:bCs/>
          <w:sz w:val="30"/>
          <w:szCs w:val="30"/>
        </w:rPr>
        <w:t>:</w:t>
      </w:r>
    </w:p>
    <w:p w14:paraId="7E99BA33"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يجب أن </w:t>
      </w:r>
      <w:r w:rsidRPr="00CD2150">
        <w:rPr>
          <w:rFonts w:ascii="Traditional Arabic" w:eastAsiaTheme="minorHAnsi" w:hAnsi="Traditional Arabic" w:cs="Traditional Arabic" w:hint="eastAsia"/>
          <w:sz w:val="30"/>
          <w:szCs w:val="30"/>
          <w:rtl/>
        </w:rPr>
        <w:t>ي</w:t>
      </w:r>
      <w:r w:rsidRPr="00CD2150">
        <w:rPr>
          <w:rFonts w:ascii="Traditional Arabic" w:eastAsiaTheme="minorHAnsi" w:hAnsi="Traditional Arabic" w:cs="Traditional Arabic"/>
          <w:sz w:val="30"/>
          <w:szCs w:val="30"/>
          <w:rtl/>
        </w:rPr>
        <w:t xml:space="preserve">متثل جميع أطراف النزاع في اليمن </w:t>
      </w:r>
      <w:r w:rsidRPr="00CD2150">
        <w:rPr>
          <w:rFonts w:ascii="Traditional Arabic" w:eastAsiaTheme="minorHAnsi" w:hAnsi="Traditional Arabic" w:cs="Traditional Arabic" w:hint="eastAsia"/>
          <w:sz w:val="30"/>
          <w:szCs w:val="30"/>
          <w:rtl/>
        </w:rPr>
        <w:t>ب</w:t>
      </w:r>
      <w:r w:rsidRPr="00CD2150">
        <w:rPr>
          <w:rFonts w:ascii="Traditional Arabic" w:eastAsiaTheme="minorHAnsi" w:hAnsi="Traditional Arabic" w:cs="Traditional Arabic"/>
          <w:sz w:val="30"/>
          <w:szCs w:val="30"/>
          <w:rtl/>
        </w:rPr>
        <w:t xml:space="preserve">التزاماتها بموجب القانون الدولي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حماية المدنيين وتقليل تأثير النزاع المسلح عل</w:t>
      </w:r>
      <w:r w:rsidRPr="00CD2150">
        <w:rPr>
          <w:rFonts w:ascii="Traditional Arabic" w:eastAsiaTheme="minorHAnsi" w:hAnsi="Traditional Arabic" w:cs="Traditional Arabic" w:hint="eastAsia"/>
          <w:sz w:val="30"/>
          <w:szCs w:val="30"/>
          <w:rtl/>
        </w:rPr>
        <w:t>يهم</w:t>
      </w:r>
      <w:r w:rsidRPr="00CD2150">
        <w:rPr>
          <w:rFonts w:ascii="Traditional Arabic" w:eastAsiaTheme="minorHAnsi" w:hAnsi="Traditional Arabic" w:cs="Traditional Arabic"/>
          <w:sz w:val="30"/>
          <w:szCs w:val="30"/>
          <w:rtl/>
        </w:rPr>
        <w:t xml:space="preserve">. تحقيقًا لهذه الغاية، 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جميع أطراف النزاع</w:t>
      </w:r>
      <w:r w:rsidRPr="00CD2150">
        <w:rPr>
          <w:rFonts w:ascii="Traditional Arabic" w:eastAsiaTheme="minorHAnsi" w:hAnsi="Traditional Arabic" w:cs="Traditional Arabic"/>
          <w:sz w:val="30"/>
          <w:szCs w:val="30"/>
        </w:rPr>
        <w:t>:</w:t>
      </w:r>
    </w:p>
    <w:p w14:paraId="6A892A84"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 xml:space="preserve">أ) وقف جميع أعمال العنف </w:t>
      </w:r>
      <w:r w:rsidRPr="00CD2150">
        <w:rPr>
          <w:rFonts w:ascii="Traditional Arabic" w:hAnsi="Traditional Arabic" w:cs="Traditional Arabic" w:hint="cs"/>
          <w:sz w:val="30"/>
          <w:szCs w:val="30"/>
          <w:rtl/>
        </w:rPr>
        <w:t xml:space="preserve">الموجهة </w:t>
      </w:r>
      <w:r w:rsidRPr="00CD2150">
        <w:rPr>
          <w:rFonts w:ascii="Traditional Arabic" w:hAnsi="Traditional Arabic" w:cs="Traditional Arabic"/>
          <w:sz w:val="30"/>
          <w:szCs w:val="30"/>
          <w:rtl/>
        </w:rPr>
        <w:t>ضد المدنيين؛</w:t>
      </w:r>
    </w:p>
    <w:p w14:paraId="2B30EAB0"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lastRenderedPageBreak/>
        <w:t xml:space="preserve">ب) التأكد من إمتثال جميع العمليات العسكرية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مبادئ التمييز والتناسب وال</w:t>
      </w:r>
      <w:r w:rsidRPr="00CD2150">
        <w:rPr>
          <w:rFonts w:ascii="Traditional Arabic" w:hAnsi="Traditional Arabic" w:cs="Traditional Arabic" w:hint="eastAsia"/>
          <w:sz w:val="30"/>
          <w:szCs w:val="30"/>
          <w:rtl/>
        </w:rPr>
        <w:t>احتياط</w:t>
      </w:r>
      <w:r w:rsidRPr="00CD2150">
        <w:rPr>
          <w:rFonts w:ascii="Traditional Arabic" w:hAnsi="Traditional Arabic" w:cs="Traditional Arabic"/>
          <w:sz w:val="30"/>
          <w:szCs w:val="30"/>
          <w:rtl/>
        </w:rPr>
        <w:t xml:space="preserve"> في الهجوم؛ </w:t>
      </w:r>
      <w:r w:rsidRPr="00CD2150">
        <w:rPr>
          <w:rFonts w:ascii="Traditional Arabic" w:hAnsi="Traditional Arabic" w:cs="Traditional Arabic" w:hint="eastAsia"/>
          <w:sz w:val="30"/>
          <w:szCs w:val="30"/>
          <w:rtl/>
        </w:rPr>
        <w:t>و</w:t>
      </w:r>
      <w:r w:rsidRPr="00CD2150">
        <w:rPr>
          <w:rFonts w:ascii="Traditional Arabic" w:hAnsi="Traditional Arabic" w:cs="Traditional Arabic"/>
          <w:sz w:val="30"/>
          <w:szCs w:val="30"/>
          <w:rtl/>
        </w:rPr>
        <w:t xml:space="preserve">وقف جميع الهجمات التي تستهدف المدنيين أو العشوائية بطبيعتها أو التي تسبب خسائر فادحة في أرواح المدنيين أو </w:t>
      </w:r>
      <w:r w:rsidRPr="00CD2150">
        <w:rPr>
          <w:rFonts w:ascii="Traditional Arabic" w:hAnsi="Traditional Arabic" w:cs="Traditional Arabic" w:hint="eastAsia"/>
          <w:sz w:val="30"/>
          <w:szCs w:val="30"/>
          <w:rtl/>
        </w:rPr>
        <w:t>التي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ت</w:t>
      </w:r>
      <w:r w:rsidRPr="00CD2150">
        <w:rPr>
          <w:rFonts w:ascii="Traditional Arabic" w:hAnsi="Traditional Arabic" w:cs="Traditional Arabic"/>
          <w:sz w:val="30"/>
          <w:szCs w:val="30"/>
          <w:rtl/>
        </w:rPr>
        <w:t>لحق أضرار</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بالأعيان المدنية؛</w:t>
      </w:r>
    </w:p>
    <w:p w14:paraId="0EA82886"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ج</w:t>
      </w:r>
      <w:r w:rsidRPr="00CD2150">
        <w:rPr>
          <w:rFonts w:ascii="Traditional Arabic" w:hAnsi="Traditional Arabic" w:cs="Traditional Arabic" w:hint="eastAsia"/>
          <w:sz w:val="30"/>
          <w:szCs w:val="30"/>
          <w:rtl/>
        </w:rPr>
        <w:t>ـ</w:t>
      </w:r>
      <w:r w:rsidRPr="00CD2150">
        <w:rPr>
          <w:rFonts w:ascii="Traditional Arabic" w:hAnsi="Traditional Arabic" w:cs="Traditional Arabic"/>
          <w:sz w:val="30"/>
          <w:szCs w:val="30"/>
          <w:rtl/>
        </w:rPr>
        <w:t>) وقف جميع أعمال القتل التعسفي والاحتجاز التعسفي والتعذيب وسوء المعاملة و</w:t>
      </w:r>
      <w:r w:rsidRPr="00CD2150">
        <w:rPr>
          <w:rFonts w:ascii="Traditional Arabic" w:hAnsi="Traditional Arabic" w:cs="Traditional Arabic" w:hint="eastAsia"/>
          <w:sz w:val="30"/>
          <w:szCs w:val="30"/>
          <w:rtl/>
        </w:rPr>
        <w:t>حالات</w:t>
      </w:r>
      <w:r w:rsidRPr="00CD2150">
        <w:rPr>
          <w:rFonts w:ascii="Traditional Arabic" w:hAnsi="Traditional Arabic" w:cs="Traditional Arabic"/>
          <w:sz w:val="30"/>
          <w:szCs w:val="30"/>
          <w:rtl/>
        </w:rPr>
        <w:t xml:space="preserve"> الاختفاء القسري؛</w:t>
      </w:r>
    </w:p>
    <w:p w14:paraId="64275433"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د) وقف ارتكاب العنف الجنسي والجنساني ضد النساء والفتيات والرجال والفتيان؛</w:t>
      </w:r>
    </w:p>
    <w:p w14:paraId="53D61938" w14:textId="22829765" w:rsidR="00CD2150" w:rsidRPr="00CD2150" w:rsidRDefault="00CD2150" w:rsidP="00DA0E82">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ه</w:t>
      </w:r>
      <w:r w:rsidRPr="00CD2150">
        <w:rPr>
          <w:rFonts w:ascii="Traditional Arabic" w:hAnsi="Traditional Arabic" w:cs="Traditional Arabic" w:hint="eastAsia"/>
          <w:sz w:val="30"/>
          <w:szCs w:val="30"/>
          <w:rtl/>
        </w:rPr>
        <w:t>ـ</w:t>
      </w:r>
      <w:r w:rsidRPr="00CD2150">
        <w:rPr>
          <w:rFonts w:ascii="Traditional Arabic" w:hAnsi="Traditional Arabic" w:cs="Traditional Arabic"/>
          <w:sz w:val="30"/>
          <w:szCs w:val="30"/>
          <w:rtl/>
        </w:rPr>
        <w:t>) وقف أي تدابير تؤدي إلى تفاقم الأزمة الإنسانية؛ على وجه الخصوص، الوقف الفوري للهجمات ضد ال</w:t>
      </w:r>
      <w:r w:rsidRPr="00CD2150">
        <w:rPr>
          <w:rFonts w:ascii="Traditional Arabic" w:hAnsi="Traditional Arabic" w:cs="Traditional Arabic" w:hint="eastAsia"/>
          <w:sz w:val="30"/>
          <w:szCs w:val="30"/>
          <w:rtl/>
        </w:rPr>
        <w:t>مواد</w:t>
      </w:r>
      <w:r w:rsidRPr="00CD2150">
        <w:rPr>
          <w:rFonts w:ascii="Traditional Arabic" w:hAnsi="Traditional Arabic" w:cs="Traditional Arabic"/>
          <w:sz w:val="30"/>
          <w:szCs w:val="30"/>
          <w:rtl/>
        </w:rPr>
        <w:t xml:space="preserve"> التي لا غنى عنها لبقاء السكان على قيد الحياه؛ اتخاذ الخطوات اللازمة لإزالة القيود غير المتناسبة على الدخول الآمن والسريع للإمدادات الإنسانية وغيرها من السلع التي لا غنى عنها للسكان المدنيين؛</w:t>
      </w:r>
    </w:p>
    <w:p w14:paraId="57925A60"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hAnsi="Traditional Arabic" w:cs="Traditional Arabic"/>
          <w:sz w:val="30"/>
          <w:szCs w:val="30"/>
          <w:rtl/>
        </w:rPr>
        <w:t>و) السماح وتس</w:t>
      </w:r>
      <w:r w:rsidRPr="00CD2150">
        <w:rPr>
          <w:rFonts w:ascii="Traditional Arabic" w:hAnsi="Traditional Arabic" w:cs="Traditional Arabic" w:hint="eastAsia"/>
          <w:sz w:val="30"/>
          <w:szCs w:val="30"/>
          <w:rtl/>
        </w:rPr>
        <w:t>ه</w:t>
      </w:r>
      <w:r w:rsidRPr="00CD2150">
        <w:rPr>
          <w:rFonts w:ascii="Traditional Arabic" w:hAnsi="Traditional Arabic" w:cs="Traditional Arabic"/>
          <w:sz w:val="30"/>
          <w:szCs w:val="30"/>
          <w:rtl/>
        </w:rPr>
        <w:t>ي</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 xml:space="preserve"> المرور السريع و</w:t>
      </w:r>
      <w:r w:rsidRPr="00CD2150">
        <w:rPr>
          <w:rFonts w:ascii="Traditional Arabic" w:hAnsi="Traditional Arabic" w:cs="Traditional Arabic" w:hint="eastAsia"/>
          <w:sz w:val="30"/>
          <w:szCs w:val="30"/>
          <w:rtl/>
        </w:rPr>
        <w:t>إزالة</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 xml:space="preserve">عوائق </w:t>
      </w:r>
      <w:r w:rsidRPr="00CD2150">
        <w:rPr>
          <w:rFonts w:ascii="Traditional Arabic" w:hAnsi="Traditional Arabic" w:cs="Traditional Arabic" w:hint="eastAsia"/>
          <w:sz w:val="30"/>
          <w:szCs w:val="30"/>
          <w:rtl/>
        </w:rPr>
        <w:t>أمام</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لإغاثة الإنسانية للمدنيين المحتاجين، وه</w:t>
      </w:r>
      <w:r w:rsidRPr="00CD2150">
        <w:rPr>
          <w:rFonts w:ascii="Traditional Arabic" w:hAnsi="Traditional Arabic" w:cs="Traditional Arabic" w:hint="eastAsia"/>
          <w:sz w:val="30"/>
          <w:szCs w:val="30"/>
          <w:rtl/>
        </w:rPr>
        <w:t>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ذات</w:t>
      </w:r>
      <w:r w:rsidRPr="00CD2150">
        <w:rPr>
          <w:rFonts w:ascii="Traditional Arabic" w:hAnsi="Traditional Arabic" w:cs="Traditional Arabic"/>
          <w:sz w:val="30"/>
          <w:szCs w:val="30"/>
          <w:rtl/>
        </w:rPr>
        <w:t xml:space="preserve"> طابع محايد ويتم إجراؤه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دون أي تمييز ضار، رهنا بحقهم في السيطرة؛ السماح وتيسير الوصول الحر وغير المقيد إلى جميع أنحاء اليمن للصحفيين الوطنيين والأجانب والعاملين في مجال حقوق الإنسان للتحقيق </w:t>
      </w:r>
      <w:r w:rsidRPr="00CD2150">
        <w:rPr>
          <w:rFonts w:ascii="Traditional Arabic" w:hAnsi="Traditional Arabic" w:cs="Traditional Arabic" w:hint="eastAsia"/>
          <w:sz w:val="30"/>
          <w:szCs w:val="30"/>
          <w:rtl/>
        </w:rPr>
        <w:t>ب</w:t>
      </w:r>
      <w:r w:rsidRPr="00CD2150">
        <w:rPr>
          <w:rFonts w:ascii="Traditional Arabic" w:hAnsi="Traditional Arabic" w:cs="Traditional Arabic"/>
          <w:sz w:val="30"/>
          <w:szCs w:val="30"/>
          <w:rtl/>
        </w:rPr>
        <w:t>الانتهاكات والا</w:t>
      </w:r>
      <w:r w:rsidRPr="00CD2150">
        <w:rPr>
          <w:rFonts w:ascii="Traditional Arabic" w:hAnsi="Traditional Arabic" w:cs="Traditional Arabic" w:hint="eastAsia"/>
          <w:sz w:val="30"/>
          <w:szCs w:val="30"/>
          <w:rtl/>
        </w:rPr>
        <w:t>ساء</w:t>
      </w:r>
      <w:r w:rsidRPr="00CD2150">
        <w:rPr>
          <w:rFonts w:ascii="Traditional Arabic" w:hAnsi="Traditional Arabic" w:cs="Traditional Arabic"/>
          <w:sz w:val="30"/>
          <w:szCs w:val="30"/>
          <w:rtl/>
        </w:rPr>
        <w:t>ات المزعومة والإبلاغ عن</w:t>
      </w:r>
      <w:r w:rsidRPr="00CD2150">
        <w:rPr>
          <w:rFonts w:ascii="Traditional Arabic" w:hAnsi="Traditional Arabic" w:cs="Traditional Arabic" w:hint="eastAsia"/>
          <w:sz w:val="30"/>
          <w:szCs w:val="30"/>
          <w:rtl/>
        </w:rPr>
        <w:t>ها</w:t>
      </w:r>
      <w:r w:rsidRPr="00CD2150">
        <w:rPr>
          <w:rFonts w:ascii="Traditional Arabic" w:hAnsi="Traditional Arabic" w:cs="Traditional Arabic"/>
          <w:sz w:val="30"/>
          <w:szCs w:val="30"/>
          <w:rtl/>
        </w:rPr>
        <w:t>؛</w:t>
      </w:r>
    </w:p>
    <w:p w14:paraId="24A1F755" w14:textId="77777777" w:rsidR="00CD2150" w:rsidRPr="00CD2150" w:rsidRDefault="00CD2150" w:rsidP="008212C4">
      <w:pPr>
        <w:bidi/>
        <w:spacing w:after="240"/>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ز) وقف ومنع تجنيد واستخدام الأطفال في النزاع المسلح؛ ضمان تسريح ونزع سلاح جميع الأطفال الذين تم تجنيدهم و/ أو استخدامهم لأغراض عسكرية؛ تنفيذ تدابير فعالة لإعادة تأهيلهم وتعافيهم البدني والنفسي وإعادة إدماجهم في المجتمع.</w:t>
      </w:r>
    </w:p>
    <w:p w14:paraId="749A4547" w14:textId="345859C6" w:rsidR="00CD2150" w:rsidRPr="00CD2150" w:rsidRDefault="00CD2150" w:rsidP="0025057B">
      <w:pPr>
        <w:pStyle w:val="ListParagraph"/>
        <w:numPr>
          <w:ilvl w:val="0"/>
          <w:numId w:val="28"/>
        </w:numPr>
        <w:bidi/>
        <w:ind w:right="540"/>
        <w:jc w:val="both"/>
        <w:rPr>
          <w:rFonts w:ascii="Traditional Arabic" w:hAnsi="Traditional Arabic" w:cs="Traditional Arabic"/>
          <w:b/>
          <w:bCs/>
          <w:sz w:val="30"/>
          <w:szCs w:val="30"/>
        </w:rPr>
      </w:pPr>
      <w:r w:rsidRPr="00CD2150">
        <w:rPr>
          <w:rFonts w:ascii="Traditional Arabic" w:hAnsi="Traditional Arabic" w:cs="Traditional Arabic"/>
          <w:b/>
          <w:bCs/>
          <w:sz w:val="30"/>
          <w:szCs w:val="30"/>
          <w:rtl/>
        </w:rPr>
        <w:t>إلى حكومة اليمن:</w:t>
      </w:r>
    </w:p>
    <w:p w14:paraId="5D60A6FB"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يجب على الحكومة اليمنية، بما في ذلك السلطات المدنية والقوات المسلحة اليمنية حسب الاقتضاء، أن تمتثل للالتزامات بموجب القانون الدولي الإنساني والقانون الدولي لحقوق الإنسان. تحقيقاً لهذه الغاية، بالإضافة إلى التوصيات المذكورة أعلاه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 xml:space="preserve">جميع أطراف النزاع، 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لحكومة:</w:t>
      </w:r>
    </w:p>
    <w:p w14:paraId="5FF2E47E" w14:textId="77777777" w:rsidR="00CD2150" w:rsidRPr="00CD2150" w:rsidRDefault="00CD2150" w:rsidP="0025057B">
      <w:pPr>
        <w:numPr>
          <w:ilvl w:val="0"/>
          <w:numId w:val="25"/>
        </w:numPr>
        <w:tabs>
          <w:tab w:val="right" w:pos="1736"/>
        </w:tabs>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الاعتراف بدور القوات المسلحة اليمنية والجماعات التابعة لها في ارتكاب انتهاكات للقانون الدولي لحقوق الإنسان والقانون الدولي الإنساني، بما في ذلك العنف الجنسي والجنساني والانتهاكات ضد الأطفال؛</w:t>
      </w:r>
    </w:p>
    <w:p w14:paraId="0434928A" w14:textId="77777777" w:rsidR="00CD2150" w:rsidRPr="00CD2150" w:rsidRDefault="00CD2150" w:rsidP="0025057B">
      <w:pPr>
        <w:numPr>
          <w:ilvl w:val="0"/>
          <w:numId w:val="25"/>
        </w:numPr>
        <w:tabs>
          <w:tab w:val="right" w:pos="1736"/>
        </w:tabs>
        <w:suppressAutoHyphens w:val="0"/>
        <w:bidi/>
        <w:spacing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إصدار تعليمات واضحة وعامة وصريحة إلى جميع فروع القوات المسلحة اليمنية وغيرها من قوات الأمن تحظر حظراً تاماً التعذيب والاغتصاب والعنف الجنسي والانتهاكات ضد الأطفال وغيرها من انتهاكات حقوق الإنسان؛ أمر القوات المسلحة اليمنية وجميع قوات الأمن بالامتثال للقانون الدولي لحقوق الإنسان والقانون الدولي الإنساني، حسب الاقتضاء؛</w:t>
      </w:r>
    </w:p>
    <w:p w14:paraId="6FE666A9" w14:textId="77777777" w:rsidR="00CD2150" w:rsidRPr="00CD2150" w:rsidRDefault="00CD2150" w:rsidP="001C66F0">
      <w:pPr>
        <w:tabs>
          <w:tab w:val="right" w:pos="1736"/>
          <w:tab w:val="right" w:pos="2006"/>
        </w:tabs>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ج</w:t>
      </w:r>
      <w:r w:rsidRPr="00CD2150">
        <w:rPr>
          <w:rFonts w:ascii="Traditional Arabic" w:eastAsiaTheme="minorHAnsi" w:hAnsi="Traditional Arabic" w:cs="Traditional Arabic" w:hint="eastAsia"/>
          <w:sz w:val="30"/>
          <w:szCs w:val="30"/>
          <w:rtl/>
        </w:rPr>
        <w:t>ـ</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العمل على وضع حد للإفلات من العقاب وضمان المساءلة الكاملة عن انتهاكات القانون الدولي لحقوق الإنسان والقانون الدولي الإنساني والجرائم المنصوص عليها في القانون الدولي من خلال متابعة جميع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ادعاءات الموثوقة </w:t>
      </w:r>
      <w:r w:rsidRPr="00CD2150">
        <w:rPr>
          <w:rFonts w:ascii="Traditional Arabic" w:eastAsiaTheme="minorHAnsi" w:hAnsi="Traditional Arabic" w:cs="Traditional Arabic" w:hint="eastAsia"/>
          <w:sz w:val="30"/>
          <w:szCs w:val="30"/>
          <w:rtl/>
        </w:rPr>
        <w:t>ب</w:t>
      </w:r>
      <w:r w:rsidRPr="00CD2150">
        <w:rPr>
          <w:rFonts w:ascii="Traditional Arabic" w:eastAsiaTheme="minorHAnsi" w:hAnsi="Traditional Arabic" w:cs="Traditional Arabic"/>
          <w:sz w:val="30"/>
          <w:szCs w:val="30"/>
          <w:rtl/>
        </w:rPr>
        <w:t>انتهاكات وا</w:t>
      </w:r>
      <w:r w:rsidRPr="00CD2150">
        <w:rPr>
          <w:rFonts w:ascii="Traditional Arabic" w:eastAsiaTheme="minorHAnsi" w:hAnsi="Traditional Arabic" w:cs="Traditional Arabic" w:hint="eastAsia"/>
          <w:sz w:val="30"/>
          <w:szCs w:val="30"/>
          <w:rtl/>
        </w:rPr>
        <w:t>ساء</w:t>
      </w:r>
      <w:r w:rsidRPr="00CD2150">
        <w:rPr>
          <w:rFonts w:ascii="Traditional Arabic" w:eastAsiaTheme="minorHAnsi" w:hAnsi="Traditional Arabic" w:cs="Traditional Arabic"/>
          <w:sz w:val="30"/>
          <w:szCs w:val="30"/>
          <w:rtl/>
        </w:rPr>
        <w:t xml:space="preserve">ات وجرائم من خلال تحقيقات سريعة وفعالة وشاملة، </w:t>
      </w:r>
      <w:r w:rsidRPr="00CD2150">
        <w:rPr>
          <w:rFonts w:ascii="Traditional Arabic" w:eastAsiaTheme="minorHAnsi" w:hAnsi="Traditional Arabic" w:cs="Traditional Arabic" w:hint="eastAsia"/>
          <w:sz w:val="30"/>
          <w:szCs w:val="30"/>
          <w:rtl/>
        </w:rPr>
        <w:t>و</w:t>
      </w:r>
      <w:r w:rsidRPr="00CD2150">
        <w:rPr>
          <w:rFonts w:ascii="Traditional Arabic" w:eastAsiaTheme="minorHAnsi" w:hAnsi="Traditional Arabic" w:cs="Traditional Arabic"/>
          <w:sz w:val="30"/>
          <w:szCs w:val="30"/>
          <w:rtl/>
        </w:rPr>
        <w:t xml:space="preserve">موثوقة ومستقلة ونزيهة تراعي الفوارق بين الجنسين، ومساءلة مرتكبيها تمشياً مع القواعد والمعايير الدولية لحقوق الإنسان؛ </w:t>
      </w:r>
      <w:r w:rsidRPr="00CD2150">
        <w:rPr>
          <w:rFonts w:ascii="Traditional Arabic" w:eastAsiaTheme="minorHAnsi" w:hAnsi="Traditional Arabic" w:cs="Traditional Arabic" w:hint="eastAsia"/>
          <w:sz w:val="30"/>
          <w:szCs w:val="30"/>
          <w:rtl/>
        </w:rPr>
        <w:t>تضمين</w:t>
      </w:r>
      <w:r w:rsidRPr="00CD2150">
        <w:rPr>
          <w:rFonts w:ascii="Traditional Arabic" w:eastAsiaTheme="minorHAnsi" w:hAnsi="Traditional Arabic" w:cs="Traditional Arabic"/>
          <w:sz w:val="30"/>
          <w:szCs w:val="30"/>
          <w:rtl/>
        </w:rPr>
        <w:t xml:space="preserve"> تركيز محدد على التحقيق مع ومقاضاة ومعاقبة الجناة المباشرين ورؤسائهم المتورط</w:t>
      </w:r>
      <w:r w:rsidRPr="00CD2150">
        <w:rPr>
          <w:rFonts w:ascii="Traditional Arabic" w:eastAsiaTheme="minorHAnsi" w:hAnsi="Traditional Arabic" w:cs="Traditional Arabic" w:hint="eastAsia"/>
          <w:sz w:val="30"/>
          <w:szCs w:val="30"/>
          <w:rtl/>
        </w:rPr>
        <w:t>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أعمال العنف الجنسي </w:t>
      </w:r>
      <w:r w:rsidRPr="00CD2150">
        <w:rPr>
          <w:rFonts w:ascii="Traditional Arabic" w:eastAsiaTheme="minorHAnsi" w:hAnsi="Traditional Arabic" w:cs="Traditional Arabic"/>
          <w:sz w:val="30"/>
          <w:szCs w:val="30"/>
          <w:rtl/>
        </w:rPr>
        <w:lastRenderedPageBreak/>
        <w:t xml:space="preserve">والجنساني والانتهاكات الجسيمة ضد الأطفال؛ على وجه التحديد ضمان إجراء تحقيقات في الادعاءات التي أثيرت في تقارير فريق الخبراء؛ </w:t>
      </w:r>
    </w:p>
    <w:p w14:paraId="74FD59E0" w14:textId="77777777" w:rsidR="00CD2150" w:rsidRPr="00CD2150" w:rsidRDefault="00CD2150" w:rsidP="001C66F0">
      <w:pPr>
        <w:tabs>
          <w:tab w:val="right" w:pos="1736"/>
          <w:tab w:val="right" w:pos="2006"/>
        </w:tabs>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د) ضمان إجراء تحقيقات نزيهة وشفافة في جميع المزاعم الموثوقة بانتهاكات حقوق الإنسان </w:t>
      </w:r>
      <w:r w:rsidRPr="00CD2150">
        <w:rPr>
          <w:rFonts w:ascii="Traditional Arabic" w:eastAsiaTheme="minorHAnsi" w:hAnsi="Traditional Arabic" w:cs="Traditional Arabic" w:hint="cs"/>
          <w:sz w:val="30"/>
          <w:szCs w:val="30"/>
          <w:rtl/>
        </w:rPr>
        <w:t>و</w:t>
      </w:r>
      <w:r w:rsidRPr="00CD2150">
        <w:rPr>
          <w:rFonts w:ascii="Traditional Arabic" w:eastAsiaTheme="minorHAnsi" w:hAnsi="Traditional Arabic" w:cs="Traditional Arabic"/>
          <w:sz w:val="30"/>
          <w:szCs w:val="30"/>
          <w:rtl/>
        </w:rPr>
        <w:t>انتهاكات</w:t>
      </w:r>
      <w:r w:rsidRPr="00CD2150">
        <w:rPr>
          <w:rFonts w:ascii="Traditional Arabic" w:eastAsiaTheme="minorHAnsi" w:hAnsi="Traditional Arabic" w:cs="Traditional Arabic" w:hint="cs"/>
          <w:sz w:val="30"/>
          <w:szCs w:val="30"/>
          <w:rtl/>
        </w:rPr>
        <w:t xml:space="preserve"> القانون الدولي الإنساني</w:t>
      </w:r>
      <w:r w:rsidRPr="00CD2150">
        <w:rPr>
          <w:rFonts w:ascii="Traditional Arabic" w:eastAsiaTheme="minorHAnsi" w:hAnsi="Traditional Arabic" w:cs="Traditional Arabic"/>
          <w:sz w:val="30"/>
          <w:szCs w:val="30"/>
          <w:rtl/>
        </w:rPr>
        <w:t xml:space="preserve"> والجرائم الدولية التي يرتكبها أعضاء التحالف ونشر نتائجها؛ ضمان المساءلة بما في ذلك، عند الاقتضاء، المحاكمة من جانب سلطة قضائية مختصة للمتورطين في جرائم الحرب؛</w:t>
      </w:r>
    </w:p>
    <w:p w14:paraId="366DE993" w14:textId="3CF9EFC6" w:rsidR="00CD2150" w:rsidRPr="00CD2150" w:rsidRDefault="00CD2150" w:rsidP="00F7188A">
      <w:pPr>
        <w:bidi/>
        <w:ind w:left="1449" w:right="540"/>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hint="cs"/>
          <w:sz w:val="30"/>
          <w:szCs w:val="30"/>
          <w:rtl/>
        </w:rPr>
        <w:t>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وضع إجراء يسمح للأفراد بالإبلاغ عن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الاختفاء القسري وضمان التحقيق في ال</w:t>
      </w:r>
      <w:r w:rsidRPr="00CD2150">
        <w:rPr>
          <w:rFonts w:ascii="Traditional Arabic" w:eastAsiaTheme="minorHAnsi" w:hAnsi="Traditional Arabic" w:cs="Traditional Arabic" w:hint="eastAsia"/>
          <w:sz w:val="30"/>
          <w:szCs w:val="30"/>
          <w:rtl/>
        </w:rPr>
        <w:t>بلاغات</w:t>
      </w:r>
      <w:r w:rsidRPr="00CD2150">
        <w:rPr>
          <w:rFonts w:ascii="Traditional Arabic" w:eastAsiaTheme="minorHAnsi" w:hAnsi="Traditional Arabic" w:cs="Traditional Arabic"/>
          <w:sz w:val="30"/>
          <w:szCs w:val="30"/>
          <w:rtl/>
        </w:rPr>
        <w:t xml:space="preserve"> بشكل مستقل عن القوات المسلحة اليمنية </w:t>
      </w:r>
      <w:r w:rsidR="00F7188A">
        <w:rPr>
          <w:rFonts w:ascii="Traditional Arabic" w:eastAsiaTheme="minorHAnsi" w:hAnsi="Traditional Arabic" w:cs="Traditional Arabic" w:hint="cs"/>
          <w:sz w:val="30"/>
          <w:szCs w:val="30"/>
          <w:rtl/>
        </w:rPr>
        <w:t xml:space="preserve">واتخاذ الجهود لإيجاد </w:t>
      </w:r>
      <w:r w:rsidRPr="00CD2150">
        <w:rPr>
          <w:rFonts w:ascii="Traditional Arabic" w:eastAsiaTheme="minorHAnsi" w:hAnsi="Traditional Arabic" w:cs="Traditional Arabic"/>
          <w:sz w:val="30"/>
          <w:szCs w:val="30"/>
          <w:rtl/>
        </w:rPr>
        <w:t>الضحية ومحاسبة الجناة أيا كانوا؛</w:t>
      </w:r>
    </w:p>
    <w:p w14:paraId="31A68857" w14:textId="77777777" w:rsidR="00CD2150" w:rsidRPr="00CD2150" w:rsidRDefault="00CD2150" w:rsidP="001C66F0">
      <w:pPr>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cs"/>
          <w:sz w:val="30"/>
          <w:szCs w:val="30"/>
          <w:rtl/>
        </w:rPr>
        <w:t>و</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 xml:space="preserve">اعتماد سياسة شاملة ومجموعة من التدابير المتعلقة بإعمال الحق في تعويض ضحايا </w:t>
      </w:r>
      <w:r w:rsidRPr="00CD2150">
        <w:rPr>
          <w:rFonts w:ascii="Traditional Arabic" w:eastAsiaTheme="minorHAnsi" w:hAnsi="Traditional Arabic" w:cs="Traditional Arabic" w:hint="eastAsia"/>
          <w:sz w:val="30"/>
          <w:szCs w:val="30"/>
          <w:rtl/>
        </w:rPr>
        <w:t>عن</w:t>
      </w:r>
      <w:r w:rsidRPr="00CD2150">
        <w:rPr>
          <w:rFonts w:ascii="Traditional Arabic" w:eastAsiaTheme="minorHAnsi" w:hAnsi="Traditional Arabic" w:cs="Traditional Arabic"/>
          <w:sz w:val="30"/>
          <w:szCs w:val="30"/>
          <w:rtl/>
        </w:rPr>
        <w:t xml:space="preserve"> الانتهاكات الخطيرة لحقوق الإنسان</w:t>
      </w:r>
      <w:r w:rsidRPr="00CD2150">
        <w:rPr>
          <w:rFonts w:ascii="Traditional Arabic" w:eastAsiaTheme="minorHAnsi" w:hAnsi="Traditional Arabic" w:cs="Traditional Arabic" w:hint="cs"/>
          <w:sz w:val="30"/>
          <w:szCs w:val="30"/>
          <w:rtl/>
        </w:rPr>
        <w:t xml:space="preserve"> والقانون الإنساني</w:t>
      </w:r>
      <w:r w:rsidRPr="00CD2150">
        <w:rPr>
          <w:rFonts w:ascii="Traditional Arabic" w:eastAsiaTheme="minorHAnsi" w:hAnsi="Traditional Arabic" w:cs="Traditional Arabic"/>
          <w:sz w:val="30"/>
          <w:szCs w:val="30"/>
          <w:rtl/>
        </w:rPr>
        <w:t>؛ ضمان تقديم التعويض من قبل الحكومة اليمنية أو التحالف عن الوفيات والإصابات والأضرار غير المشروعة في صفوف المدنيين، وضمان وجود نظم للمدنيين لطلب مثل هذا التعويض؛</w:t>
      </w:r>
    </w:p>
    <w:p w14:paraId="5CC94693" w14:textId="77777777" w:rsidR="00CD2150" w:rsidRPr="00CD2150" w:rsidRDefault="00CD2150" w:rsidP="001C66F0">
      <w:pPr>
        <w:bidi/>
        <w:ind w:left="1449" w:right="540"/>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cs"/>
          <w:sz w:val="30"/>
          <w:szCs w:val="30"/>
          <w:rtl/>
        </w:rPr>
        <w:t>ز</w:t>
      </w:r>
      <w:r w:rsidRPr="00CD2150">
        <w:rPr>
          <w:rFonts w:ascii="Traditional Arabic" w:eastAsiaTheme="minorHAnsi" w:hAnsi="Traditional Arabic" w:cs="Traditional Arabic"/>
          <w:sz w:val="30"/>
          <w:szCs w:val="30"/>
          <w:rtl/>
        </w:rPr>
        <w:t>) تعزيز استقلالية وموارد وقدرة اللجنة الوطنية للتحقيق في الانتهاكات المزعومة لحقوق الإنسان؛ ضمان تمتع اللجنة بال</w:t>
      </w:r>
      <w:r w:rsidRPr="00CD2150">
        <w:rPr>
          <w:rFonts w:ascii="Traditional Arabic" w:eastAsiaTheme="minorHAnsi" w:hAnsi="Traditional Arabic" w:cs="Traditional Arabic" w:hint="eastAsia"/>
          <w:sz w:val="30"/>
          <w:szCs w:val="30"/>
          <w:rtl/>
        </w:rPr>
        <w:t>إمكانية</w:t>
      </w:r>
      <w:r w:rsidRPr="00CD2150">
        <w:rPr>
          <w:rFonts w:ascii="Traditional Arabic" w:eastAsiaTheme="minorHAnsi" w:hAnsi="Traditional Arabic" w:cs="Traditional Arabic"/>
          <w:sz w:val="30"/>
          <w:szCs w:val="30"/>
          <w:rtl/>
        </w:rPr>
        <w:t xml:space="preserve"> والقدرة على التحقيق في جميع الانتهاكات المزعومة؛</w:t>
      </w:r>
    </w:p>
    <w:p w14:paraId="50C1107D" w14:textId="4A00D660" w:rsidR="00CD2150" w:rsidRPr="00CD2150" w:rsidRDefault="00CD2150" w:rsidP="008212C4">
      <w:pPr>
        <w:bidi/>
        <w:ind w:left="1449" w:right="540"/>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hint="cs"/>
          <w:sz w:val="30"/>
          <w:szCs w:val="30"/>
          <w:rtl/>
        </w:rPr>
        <w:t>ح</w:t>
      </w:r>
      <w:r w:rsidRPr="00CD2150">
        <w:rPr>
          <w:rFonts w:ascii="Traditional Arabic" w:eastAsiaTheme="minorHAnsi" w:hAnsi="Traditional Arabic" w:cs="Traditional Arabic"/>
          <w:sz w:val="30"/>
          <w:szCs w:val="30"/>
          <w:rtl/>
        </w:rPr>
        <w:t xml:space="preserve">) ضمان وصول الناجين، وخاصة في حالات العنف الجنسي والتعذيب، إلى دعم طبي مجاني وسري يتضمّن الدعم النفسي والنفسي الإجتماعي أو الرعاية الصحية العقلية حسب الاقتضاء؛ دمج هذا الدعم في الرعاية الاجتماعية الأوسع نطاقاً </w:t>
      </w:r>
      <w:r w:rsidRPr="00CD2150">
        <w:rPr>
          <w:rFonts w:ascii="Traditional Arabic" w:eastAsiaTheme="minorHAnsi" w:hAnsi="Traditional Arabic" w:cs="Traditional Arabic" w:hint="eastAsia"/>
          <w:sz w:val="30"/>
          <w:szCs w:val="30"/>
          <w:rtl/>
        </w:rPr>
        <w:t>وطويلة</w:t>
      </w:r>
      <w:r w:rsidRPr="00CD2150">
        <w:rPr>
          <w:rFonts w:ascii="Traditional Arabic" w:eastAsiaTheme="minorHAnsi" w:hAnsi="Traditional Arabic" w:cs="Traditional Arabic"/>
          <w:sz w:val="30"/>
          <w:szCs w:val="30"/>
          <w:rtl/>
        </w:rPr>
        <w:t xml:space="preserve"> الأجل و</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الدعم الذي تقدمه الدولة للأشخاص المستضعفين؛</w:t>
      </w:r>
    </w:p>
    <w:p w14:paraId="19A267A6" w14:textId="77777777" w:rsidR="00CD2150" w:rsidRPr="00CD2150" w:rsidRDefault="00CD2150" w:rsidP="001C66F0">
      <w:pPr>
        <w:bidi/>
        <w:ind w:left="1449" w:right="540"/>
        <w:jc w:val="both"/>
        <w:rPr>
          <w:rFonts w:ascii="Traditional Arabic" w:hAnsi="Traditional Arabic" w:cs="Traditional Arabic"/>
          <w:sz w:val="30"/>
          <w:szCs w:val="30"/>
        </w:rPr>
      </w:pPr>
      <w:r w:rsidRPr="00CD2150">
        <w:rPr>
          <w:rFonts w:ascii="Traditional Arabic" w:eastAsiaTheme="minorHAnsi" w:hAnsi="Traditional Arabic" w:cs="Traditional Arabic" w:hint="cs"/>
          <w:sz w:val="30"/>
          <w:szCs w:val="30"/>
          <w:rtl/>
        </w:rPr>
        <w:t>ط</w:t>
      </w:r>
      <w:r w:rsidRPr="00CD2150">
        <w:rPr>
          <w:rFonts w:ascii="Traditional Arabic" w:eastAsiaTheme="minorHAnsi" w:hAnsi="Traditional Arabic" w:cs="Traditional Arabic"/>
          <w:sz w:val="30"/>
          <w:szCs w:val="30"/>
          <w:rtl/>
        </w:rPr>
        <w:t xml:space="preserve">) إنهاء جميع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مضايقة و</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اضطهاد </w:t>
      </w:r>
      <w:r w:rsidRPr="00CD2150">
        <w:rPr>
          <w:rFonts w:ascii="Traditional Arabic" w:eastAsiaTheme="minorHAnsi" w:hAnsi="Traditional Arabic" w:cs="Traditional Arabic" w:hint="eastAsia"/>
          <w:sz w:val="30"/>
          <w:szCs w:val="30"/>
          <w:rtl/>
        </w:rPr>
        <w:t>ضد</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لمدافعين عن حقوق الإنسان والمحامين والصحفيين والناشطين</w:t>
      </w:r>
      <w:r w:rsidRPr="00CD2150">
        <w:rPr>
          <w:rFonts w:ascii="Traditional Arabic" w:hAnsi="Traditional Arabic" w:cs="Traditional Arabic"/>
          <w:sz w:val="30"/>
          <w:szCs w:val="30"/>
          <w:rtl/>
        </w:rPr>
        <w:t xml:space="preserve"> وغيرهم من أعضاء المجتمع المدني </w:t>
      </w:r>
      <w:r w:rsidRPr="00CD2150">
        <w:rPr>
          <w:rFonts w:ascii="Traditional Arabic" w:hAnsi="Traditional Arabic" w:cs="Traditional Arabic" w:hint="eastAsia"/>
          <w:sz w:val="30"/>
          <w:szCs w:val="30"/>
          <w:rtl/>
        </w:rPr>
        <w:t>بسبب</w:t>
      </w:r>
      <w:r w:rsidRPr="00CD2150">
        <w:rPr>
          <w:rFonts w:ascii="Traditional Arabic" w:hAnsi="Traditional Arabic" w:cs="Traditional Arabic"/>
          <w:sz w:val="30"/>
          <w:szCs w:val="30"/>
          <w:rtl/>
        </w:rPr>
        <w:t xml:space="preserve"> ممارستهم السلمية لحقوقهم في حرية التعبير وتكوين الجمعيات والتجمع؛</w:t>
      </w:r>
    </w:p>
    <w:p w14:paraId="066F15CA"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hint="cs"/>
          <w:sz w:val="30"/>
          <w:szCs w:val="30"/>
          <w:rtl/>
        </w:rPr>
        <w:t>ي</w:t>
      </w:r>
      <w:r w:rsidRPr="00CD2150">
        <w:rPr>
          <w:rFonts w:ascii="Traditional Arabic" w:hAnsi="Traditional Arabic" w:cs="Traditional Arabic"/>
          <w:sz w:val="30"/>
          <w:szCs w:val="30"/>
          <w:rtl/>
        </w:rPr>
        <w:t>) ضمان الوصول الفعال لجميع الأطفال إلى جميع الخدمات العامة الأساسية، بما في ذلك التعليم والرعاية الصحية؛ إيلاء اهتمام خاص لأولئك الأطفال الذين فقدوا مقدمي الرعاية الأولية خلال النزاع؛ توفير الدعم النفسي والمساعدة الصحية العقلية للأطفال المتأثرين بالنزاع كأولوية؛</w:t>
      </w:r>
    </w:p>
    <w:p w14:paraId="6EA3889F" w14:textId="6645E27E" w:rsidR="00CD2150" w:rsidRDefault="00CD2150" w:rsidP="003B7CC4">
      <w:pPr>
        <w:bidi/>
        <w:spacing w:after="240"/>
        <w:ind w:left="1449" w:right="540"/>
        <w:jc w:val="both"/>
        <w:rPr>
          <w:rFonts w:ascii="Traditional Arabic" w:eastAsia="Calibri" w:hAnsi="Traditional Arabic" w:cs="Traditional Arabic"/>
          <w:sz w:val="30"/>
          <w:szCs w:val="30"/>
          <w:rtl/>
        </w:rPr>
      </w:pPr>
      <w:r w:rsidRPr="00CD2150">
        <w:rPr>
          <w:rFonts w:ascii="Traditional Arabic" w:hAnsi="Traditional Arabic" w:cs="Traditional Arabic" w:hint="cs"/>
          <w:sz w:val="30"/>
          <w:szCs w:val="30"/>
          <w:rtl/>
        </w:rPr>
        <w:t>ق</w:t>
      </w:r>
      <w:r w:rsidRPr="00CD2150">
        <w:rPr>
          <w:rFonts w:ascii="Traditional Arabic" w:hAnsi="Traditional Arabic" w:cs="Traditional Arabic"/>
          <w:sz w:val="30"/>
          <w:szCs w:val="30"/>
          <w:rtl/>
        </w:rPr>
        <w:t xml:space="preserve">) اتخاذ الخطوات المناسبة، قدر الإمكان، لضمان إعمال الحق في مستوى معيشة لائق للسكان، ولا سيما النساء والأطفال؛ ضمان الوصول الفعال إلى الخدمات الأساسية بما في ذلك حماية المجتمعات الضعيفة </w:t>
      </w:r>
      <w:r w:rsidR="00527EC8">
        <w:rPr>
          <w:rFonts w:ascii="Traditional Arabic" w:hAnsi="Traditional Arabic" w:cs="Traditional Arabic" w:hint="cs"/>
          <w:sz w:val="30"/>
          <w:szCs w:val="30"/>
          <w:rtl/>
        </w:rPr>
        <w:t xml:space="preserve">بما في ذلك </w:t>
      </w:r>
      <w:r w:rsidRPr="00CD2150">
        <w:rPr>
          <w:rFonts w:ascii="Traditional Arabic" w:hAnsi="Traditional Arabic" w:cs="Traditional Arabic"/>
          <w:sz w:val="30"/>
          <w:szCs w:val="30"/>
          <w:rtl/>
        </w:rPr>
        <w:t>المهاجرين والأشخاص ذوي الإعاقة والمسنين، واتخاذ تدابير إيجابية لضمان عدم تأثر هذه الجماعات بالنزاع بشكل غير متناسب.</w:t>
      </w:r>
      <w:r w:rsidRPr="00CD2150" w:rsidDel="00E744B3">
        <w:rPr>
          <w:rFonts w:ascii="Traditional Arabic" w:eastAsia="Calibri" w:hAnsi="Traditional Arabic" w:cs="Traditional Arabic"/>
          <w:sz w:val="30"/>
          <w:szCs w:val="30"/>
        </w:rPr>
        <w:t xml:space="preserve"> </w:t>
      </w:r>
    </w:p>
    <w:p w14:paraId="00C0A3C3" w14:textId="77777777" w:rsidR="00CD2150" w:rsidRPr="00CD2150" w:rsidRDefault="00CD2150" w:rsidP="0025057B">
      <w:pPr>
        <w:pStyle w:val="ListParagraph"/>
        <w:numPr>
          <w:ilvl w:val="0"/>
          <w:numId w:val="28"/>
        </w:numPr>
        <w:bidi/>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إلى سلطات الأمر الواقع</w:t>
      </w:r>
    </w:p>
    <w:p w14:paraId="79570E42"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يتعين على سلطات الأمر الواقع، بما في ذلك الجهات الفاعلة المسلحة الت</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ب</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 xml:space="preserve">ة </w:t>
      </w:r>
      <w:r w:rsidRPr="00CD2150">
        <w:rPr>
          <w:rFonts w:ascii="Traditional Arabic" w:eastAsiaTheme="minorHAnsi" w:hAnsi="Traditional Arabic" w:cs="Traditional Arabic" w:hint="eastAsia"/>
          <w:sz w:val="30"/>
          <w:szCs w:val="30"/>
          <w:rtl/>
        </w:rPr>
        <w:t>لها،</w:t>
      </w:r>
      <w:r w:rsidRPr="00CD2150">
        <w:rPr>
          <w:rFonts w:ascii="Traditional Arabic" w:eastAsiaTheme="minorHAnsi" w:hAnsi="Traditional Arabic" w:cs="Traditional Arabic"/>
          <w:sz w:val="30"/>
          <w:szCs w:val="30"/>
          <w:rtl/>
        </w:rPr>
        <w:t xml:space="preserve"> حسب الاقتضاء، أن تمتثل للالتزامات بموجب القانون الدولي الإنساني، وفي المناطق الخاضعة لسيطرتها، للقانون الدولي لحقوق الإنسان. تحقيقًا لهذه الغاية، بالإضافة إلى التوصيات المذكورة أعلاه إلى جميع أطراف النزاع، ينبغي على سلطات الأمر الواقع:</w:t>
      </w:r>
    </w:p>
    <w:p w14:paraId="1BCAF071" w14:textId="77777777" w:rsidR="00CD2150" w:rsidRPr="00CD2150" w:rsidRDefault="00CD2150" w:rsidP="0025057B">
      <w:pPr>
        <w:numPr>
          <w:ilvl w:val="0"/>
          <w:numId w:val="27"/>
        </w:numPr>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lastRenderedPageBreak/>
        <w:t>وقف الاستخدام العشوائي للألغام الأرضية المضادة للمركبات ووقف كل استخدام الألغام الأرضية المضادة للأفراد؛ تحديد أو إزالة أو تدمير الألغام</w:t>
      </w:r>
      <w:r w:rsidRPr="00CD2150">
        <w:rPr>
          <w:rFonts w:ascii="Traditional Arabic" w:eastAsiaTheme="minorHAnsi" w:hAnsi="Traditional Arabic" w:cs="Traditional Arabic" w:hint="cs"/>
          <w:sz w:val="30"/>
          <w:szCs w:val="30"/>
          <w:rtl/>
        </w:rPr>
        <w:t xml:space="preserve"> أو حتى جعلها عديمة الضرر على المدنيّين </w:t>
      </w:r>
    </w:p>
    <w:p w14:paraId="5376E4CF" w14:textId="2F5F1818" w:rsidR="00CD2150" w:rsidRPr="00CD2150" w:rsidRDefault="00CD2150" w:rsidP="006764A4">
      <w:pPr>
        <w:numPr>
          <w:ilvl w:val="0"/>
          <w:numId w:val="27"/>
        </w:numPr>
        <w:suppressAutoHyphens w:val="0"/>
        <w:bidi/>
        <w:spacing w:after="160" w:line="256" w:lineRule="auto"/>
        <w:ind w:left="1449" w:right="540" w:firstLine="0"/>
        <w:contextualSpacing/>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الاعتراف بدور ال</w:t>
      </w:r>
      <w:r w:rsidR="006764A4">
        <w:rPr>
          <w:rFonts w:ascii="Traditional Arabic" w:eastAsiaTheme="minorHAnsi" w:hAnsi="Traditional Arabic" w:cs="Traditional Arabic" w:hint="cs"/>
          <w:sz w:val="30"/>
          <w:szCs w:val="30"/>
          <w:rtl/>
        </w:rPr>
        <w:t xml:space="preserve">أشخاص </w:t>
      </w:r>
      <w:r w:rsidRPr="00CD2150">
        <w:rPr>
          <w:rFonts w:ascii="Traditional Arabic" w:eastAsiaTheme="minorHAnsi" w:hAnsi="Traditional Arabic" w:cs="Traditional Arabic"/>
          <w:sz w:val="30"/>
          <w:szCs w:val="30"/>
          <w:rtl/>
        </w:rPr>
        <w:t>المرتبط</w:t>
      </w:r>
      <w:r w:rsidR="006764A4">
        <w:rPr>
          <w:rFonts w:ascii="Traditional Arabic" w:eastAsiaTheme="minorHAnsi" w:hAnsi="Traditional Arabic" w:cs="Traditional Arabic" w:hint="cs"/>
          <w:sz w:val="30"/>
          <w:szCs w:val="30"/>
          <w:rtl/>
        </w:rPr>
        <w:t>ين</w:t>
      </w:r>
      <w:r w:rsidRPr="00CD2150">
        <w:rPr>
          <w:rFonts w:ascii="Traditional Arabic" w:eastAsiaTheme="minorHAnsi" w:hAnsi="Traditional Arabic" w:cs="Traditional Arabic"/>
          <w:sz w:val="30"/>
          <w:szCs w:val="30"/>
          <w:rtl/>
        </w:rPr>
        <w:t xml:space="preserve"> بالحوثيين في ارتكاب انتهاكات للقانون الدولي لحقوق الإنسان والقانون الدولي الإنساني، بما في ذلك العنف الجنسي والجنساني والانتهاكات ضد الأطفال؛</w:t>
      </w:r>
    </w:p>
    <w:p w14:paraId="1334B72A" w14:textId="487EAEAF" w:rsidR="00CD2150" w:rsidRPr="00CD2150" w:rsidRDefault="00CD2150" w:rsidP="001248E1">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ج</w:t>
      </w:r>
      <w:r w:rsidRPr="00CD2150">
        <w:rPr>
          <w:rFonts w:ascii="Traditional Arabic" w:eastAsiaTheme="minorHAnsi" w:hAnsi="Traditional Arabic" w:cs="Traditional Arabic" w:hint="eastAsia"/>
          <w:sz w:val="30"/>
          <w:szCs w:val="30"/>
          <w:rtl/>
        </w:rPr>
        <w:t>ـ</w:t>
      </w:r>
      <w:r w:rsidRPr="00CD2150">
        <w:rPr>
          <w:rFonts w:ascii="Traditional Arabic" w:eastAsiaTheme="minorHAnsi" w:hAnsi="Traditional Arabic" w:cs="Traditional Arabic"/>
          <w:sz w:val="30"/>
          <w:szCs w:val="30"/>
          <w:rtl/>
        </w:rPr>
        <w:t>) إصدار تعليمات واضحة وعامة</w:t>
      </w:r>
      <w:r w:rsidR="003242F2">
        <w:rPr>
          <w:rFonts w:ascii="Traditional Arabic" w:eastAsiaTheme="minorHAnsi" w:hAnsi="Traditional Arabic" w:cs="Traditional Arabic"/>
          <w:sz w:val="30"/>
          <w:szCs w:val="30"/>
          <w:rtl/>
        </w:rPr>
        <w:t xml:space="preserve"> وصريحة إلى جميع الجهات </w:t>
      </w:r>
      <w:r w:rsidR="003242F2">
        <w:rPr>
          <w:rFonts w:ascii="Traditional Arabic" w:eastAsiaTheme="minorHAnsi" w:hAnsi="Traditional Arabic" w:cs="Traditional Arabic" w:hint="cs"/>
          <w:sz w:val="30"/>
          <w:szCs w:val="30"/>
          <w:rtl/>
        </w:rPr>
        <w:t>ذات الصلة التي تقع تحت</w:t>
      </w:r>
      <w:r w:rsidRPr="00CD2150">
        <w:rPr>
          <w:rFonts w:ascii="Traditional Arabic" w:eastAsiaTheme="minorHAnsi" w:hAnsi="Traditional Arabic" w:cs="Traditional Arabic"/>
          <w:sz w:val="30"/>
          <w:szCs w:val="30"/>
          <w:rtl/>
        </w:rPr>
        <w:t xml:space="preserve"> سيطرة سلطات الأمر الواقع، بحظر التعذيب والاغتصاب والعنف الجنسي والانتهاكات ضد الأطفال وغيرها من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 xml:space="preserve">انتهاكات </w:t>
      </w:r>
      <w:r w:rsidRPr="00CD2150">
        <w:rPr>
          <w:rFonts w:ascii="Traditional Arabic" w:eastAsiaTheme="minorHAnsi" w:hAnsi="Traditional Arabic" w:cs="Traditional Arabic" w:hint="eastAsia"/>
          <w:sz w:val="30"/>
          <w:szCs w:val="30"/>
          <w:rtl/>
        </w:rPr>
        <w:t>ل</w:t>
      </w:r>
      <w:r w:rsidRPr="00CD2150">
        <w:rPr>
          <w:rFonts w:ascii="Traditional Arabic" w:eastAsiaTheme="minorHAnsi" w:hAnsi="Traditional Arabic" w:cs="Traditional Arabic"/>
          <w:sz w:val="30"/>
          <w:szCs w:val="30"/>
          <w:rtl/>
        </w:rPr>
        <w:t xml:space="preserve">حقوق الإنسان؛ أمر جميع الجهات الفاعلة </w:t>
      </w:r>
      <w:r w:rsidR="001248E1">
        <w:rPr>
          <w:rFonts w:ascii="Traditional Arabic" w:eastAsiaTheme="minorHAnsi" w:hAnsi="Traditional Arabic" w:cs="Traditional Arabic" w:hint="cs"/>
          <w:sz w:val="30"/>
          <w:szCs w:val="30"/>
          <w:rtl/>
        </w:rPr>
        <w:t xml:space="preserve">بما في ذلك </w:t>
      </w:r>
      <w:r w:rsidRPr="00CD2150">
        <w:rPr>
          <w:rFonts w:ascii="Traditional Arabic" w:eastAsiaTheme="minorHAnsi" w:hAnsi="Traditional Arabic" w:cs="Traditional Arabic"/>
          <w:sz w:val="30"/>
          <w:szCs w:val="30"/>
          <w:rtl/>
        </w:rPr>
        <w:t>قوات الأمن بالامتثال للقانون الدولي لحقوق الإنسان والقانون الدولي الإنساني، حسب الاقتضاء؛</w:t>
      </w:r>
    </w:p>
    <w:p w14:paraId="68637131"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د)    العمل على وضع حد للإفلات من العقاب وضمان المساءلة الكاملة عن انتهاكات القانون الدولي لحقوق الإنسان والقانون الدولي الإنساني والجرائم بموجب القانون الدولي من خلال متابعة جميع الادعاءات الموثوقة </w:t>
      </w:r>
      <w:r w:rsidRPr="00CD2150">
        <w:rPr>
          <w:rFonts w:ascii="Traditional Arabic" w:eastAsiaTheme="minorHAnsi" w:hAnsi="Traditional Arabic" w:cs="Traditional Arabic" w:hint="cs"/>
          <w:sz w:val="30"/>
          <w:szCs w:val="30"/>
          <w:rtl/>
        </w:rPr>
        <w:t xml:space="preserve">عن هكذا </w:t>
      </w:r>
      <w:r w:rsidRPr="00CD2150">
        <w:rPr>
          <w:rFonts w:ascii="Traditional Arabic" w:eastAsiaTheme="minorHAnsi" w:hAnsi="Traditional Arabic" w:cs="Traditional Arabic"/>
          <w:sz w:val="30"/>
          <w:szCs w:val="30"/>
          <w:rtl/>
        </w:rPr>
        <w:t xml:space="preserve">انتهاكات وجرائم </w:t>
      </w:r>
      <w:r w:rsidRPr="00CD2150">
        <w:rPr>
          <w:rFonts w:ascii="Traditional Arabic" w:eastAsiaTheme="minorHAnsi" w:hAnsi="Traditional Arabic" w:cs="Traditional Arabic" w:hint="cs"/>
          <w:sz w:val="30"/>
          <w:szCs w:val="30"/>
          <w:rtl/>
        </w:rPr>
        <w:t xml:space="preserve">وإساءات </w:t>
      </w:r>
      <w:r w:rsidRPr="00CD2150">
        <w:rPr>
          <w:rFonts w:ascii="Traditional Arabic" w:eastAsiaTheme="minorHAnsi" w:hAnsi="Traditional Arabic" w:cs="Traditional Arabic"/>
          <w:sz w:val="30"/>
          <w:szCs w:val="30"/>
          <w:rtl/>
        </w:rPr>
        <w:t xml:space="preserve">من خلال تحقيقات سريعة وفعالة وشاملة، </w:t>
      </w:r>
      <w:r w:rsidRPr="00CD2150">
        <w:rPr>
          <w:rFonts w:ascii="Traditional Arabic" w:eastAsiaTheme="minorHAnsi" w:hAnsi="Traditional Arabic" w:cs="Traditional Arabic" w:hint="eastAsia"/>
          <w:sz w:val="30"/>
          <w:szCs w:val="30"/>
          <w:rtl/>
        </w:rPr>
        <w:t>و</w:t>
      </w:r>
      <w:r w:rsidRPr="00CD2150">
        <w:rPr>
          <w:rFonts w:ascii="Traditional Arabic" w:eastAsiaTheme="minorHAnsi" w:hAnsi="Traditional Arabic" w:cs="Traditional Arabic"/>
          <w:sz w:val="30"/>
          <w:szCs w:val="30"/>
          <w:rtl/>
        </w:rPr>
        <w:t xml:space="preserve">موثوقة ومستقلة ونزيهة تراعي الفوارق بين الجنسين، ومساءلة مرتكبيها تمشياً مع القواعد والمعايير الدولية لحقوق الإنسان؛ </w:t>
      </w:r>
      <w:r w:rsidRPr="00CD2150">
        <w:rPr>
          <w:rFonts w:ascii="Traditional Arabic" w:eastAsiaTheme="minorHAnsi" w:hAnsi="Traditional Arabic" w:cs="Traditional Arabic" w:hint="eastAsia"/>
          <w:sz w:val="30"/>
          <w:szCs w:val="30"/>
          <w:rtl/>
        </w:rPr>
        <w:t>تضمين</w:t>
      </w:r>
      <w:r w:rsidRPr="00CD2150">
        <w:rPr>
          <w:rFonts w:ascii="Traditional Arabic" w:eastAsiaTheme="minorHAnsi" w:hAnsi="Traditional Arabic" w:cs="Traditional Arabic"/>
          <w:sz w:val="30"/>
          <w:szCs w:val="30"/>
          <w:rtl/>
        </w:rPr>
        <w:t xml:space="preserve"> تركيز محدد على التحقيق والمقاضاة والمعاقبة على الجناة المباشرين ورؤسائهم المتورط</w:t>
      </w:r>
      <w:r w:rsidRPr="00CD2150">
        <w:rPr>
          <w:rFonts w:ascii="Traditional Arabic" w:eastAsiaTheme="minorHAnsi" w:hAnsi="Traditional Arabic" w:cs="Traditional Arabic" w:hint="eastAsia"/>
          <w:sz w:val="30"/>
          <w:szCs w:val="30"/>
          <w:rtl/>
        </w:rPr>
        <w:t>ين</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في</w:t>
      </w:r>
      <w:r w:rsidRPr="00CD2150">
        <w:rPr>
          <w:rFonts w:ascii="Traditional Arabic" w:eastAsiaTheme="minorHAnsi" w:hAnsi="Traditional Arabic" w:cs="Traditional Arabic"/>
          <w:sz w:val="30"/>
          <w:szCs w:val="30"/>
          <w:rtl/>
        </w:rPr>
        <w:t xml:space="preserve"> أعمال العنف الجنسي والجنساني والانتهاكات الجسيمة ضد الأطفال؛ ضمان إجراء تحقيقات على وجه التحديد في الادعاءات التي أثيرت في تقارير فريق الخبراء؛ </w:t>
      </w:r>
    </w:p>
    <w:p w14:paraId="49FA41B6" w14:textId="34918B66" w:rsidR="00CD2150" w:rsidRPr="00CD2150" w:rsidRDefault="00CD2150" w:rsidP="0055555A">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هـ) وضع إجراء يمكن للأفراد من خلاله الإبلاغ عن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الاختفاء القسري، وضمان التحقيق في التقارير بشكل مستقل، </w:t>
      </w:r>
      <w:r w:rsidR="00557D15">
        <w:rPr>
          <w:rFonts w:ascii="Traditional Arabic" w:eastAsiaTheme="minorHAnsi" w:hAnsi="Traditional Arabic" w:cs="Traditional Arabic" w:hint="cs"/>
          <w:sz w:val="30"/>
          <w:szCs w:val="30"/>
          <w:rtl/>
        </w:rPr>
        <w:t xml:space="preserve">مع </w:t>
      </w:r>
      <w:r w:rsidR="007D4680">
        <w:rPr>
          <w:rFonts w:ascii="Traditional Arabic" w:eastAsiaTheme="minorHAnsi" w:hAnsi="Traditional Arabic" w:cs="Traditional Arabic" w:hint="cs"/>
          <w:sz w:val="30"/>
          <w:szCs w:val="30"/>
          <w:rtl/>
        </w:rPr>
        <w:t>اتخاذ المجهود لإيجاد الضحية</w:t>
      </w:r>
      <w:r w:rsidRPr="00CD2150">
        <w:rPr>
          <w:rFonts w:ascii="Traditional Arabic" w:eastAsiaTheme="minorHAnsi" w:hAnsi="Traditional Arabic" w:cs="Traditional Arabic"/>
          <w:sz w:val="30"/>
          <w:szCs w:val="30"/>
          <w:rtl/>
        </w:rPr>
        <w:t xml:space="preserve"> ومحاسبة الجناة</w:t>
      </w:r>
      <w:r w:rsidR="0055555A">
        <w:rPr>
          <w:rFonts w:ascii="Traditional Arabic" w:eastAsiaTheme="minorHAnsi" w:hAnsi="Traditional Arabic" w:cs="Traditional Arabic" w:hint="cs"/>
          <w:sz w:val="30"/>
          <w:szCs w:val="30"/>
          <w:rtl/>
        </w:rPr>
        <w:t xml:space="preserve"> أيًا كانو</w:t>
      </w:r>
      <w:r w:rsidRPr="00CD2150">
        <w:rPr>
          <w:rFonts w:ascii="Traditional Arabic" w:eastAsiaTheme="minorHAnsi" w:hAnsi="Traditional Arabic" w:cs="Traditional Arabic"/>
          <w:sz w:val="30"/>
          <w:szCs w:val="30"/>
          <w:rtl/>
        </w:rPr>
        <w:t>؛</w:t>
      </w:r>
    </w:p>
    <w:p w14:paraId="20B7C5F3"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و) اعتماد سياسة شاملة ومجموعة من التدابير المتعلقة بإعمال الحق في تعويض ضحايا الانتهاكات الخطيرة</w:t>
      </w:r>
      <w:r w:rsidRPr="00CD2150">
        <w:rPr>
          <w:rFonts w:ascii="Traditional Arabic" w:eastAsiaTheme="minorHAnsi" w:hAnsi="Traditional Arabic" w:cs="Traditional Arabic" w:hint="cs"/>
          <w:sz w:val="30"/>
          <w:szCs w:val="30"/>
          <w:rtl/>
        </w:rPr>
        <w:t xml:space="preserve"> والإساءات</w:t>
      </w:r>
      <w:r w:rsidRPr="00CD2150">
        <w:rPr>
          <w:rFonts w:ascii="Traditional Arabic" w:eastAsiaTheme="minorHAnsi" w:hAnsi="Traditional Arabic" w:cs="Traditional Arabic"/>
          <w:sz w:val="30"/>
          <w:szCs w:val="30"/>
          <w:rtl/>
        </w:rPr>
        <w:t xml:space="preserve"> لحقوق الإنسان؛ ضمان تقديم تعويض عن الوفيات والإصابات والأضرار التي لحقت بالمدنيين بشكل غير مشروع، وضمان وجود نظم للمدنيين لطلب مثل هذا التعويض؛</w:t>
      </w:r>
    </w:p>
    <w:p w14:paraId="4531C52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ز) ضمان وصول الناجين، وخاصة في حالات العنف الجنسي والتعذيب، إلى دعم طبي مجاني وسري، بما في ذلك الدعم النفسي والنفسي الإجتماعي أو الرعاية الصحية العقلية حسب الاقتضاء؛</w:t>
      </w:r>
    </w:p>
    <w:p w14:paraId="21656D1E"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 xml:space="preserve">ح) إنهاء جميع </w:t>
      </w:r>
      <w:r w:rsidRPr="00CD2150">
        <w:rPr>
          <w:rFonts w:ascii="Traditional Arabic" w:eastAsiaTheme="minorHAnsi" w:hAnsi="Traditional Arabic" w:cs="Traditional Arabic" w:hint="eastAsia"/>
          <w:sz w:val="30"/>
          <w:szCs w:val="30"/>
          <w:rtl/>
        </w:rPr>
        <w:t>حالات</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مضايقة و</w:t>
      </w:r>
      <w:r w:rsidRPr="00CD2150">
        <w:rPr>
          <w:rFonts w:ascii="Traditional Arabic" w:eastAsiaTheme="minorHAnsi" w:hAnsi="Traditional Arabic" w:cs="Traditional Arabic" w:hint="eastAsia"/>
          <w:sz w:val="30"/>
          <w:szCs w:val="30"/>
          <w:rtl/>
        </w:rPr>
        <w:t>ال</w:t>
      </w:r>
      <w:r w:rsidRPr="00CD2150">
        <w:rPr>
          <w:rFonts w:ascii="Traditional Arabic" w:eastAsiaTheme="minorHAnsi" w:hAnsi="Traditional Arabic" w:cs="Traditional Arabic"/>
          <w:sz w:val="30"/>
          <w:szCs w:val="30"/>
          <w:rtl/>
        </w:rPr>
        <w:t>اضطهاد ضد المدافعين عن حقوق الإنسان والمحامين والصحفيين والناشطين وغيرهم من أعضاء المجتمع المدني، بسبب ممارستهم السلمية لحقوقهم في حرية التعبير وتكوين الجمعيات والتجمع؛</w:t>
      </w:r>
    </w:p>
    <w:p w14:paraId="4B17ECB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hint="eastAsia"/>
          <w:sz w:val="30"/>
          <w:szCs w:val="30"/>
          <w:rtl/>
        </w:rPr>
        <w:t>ط</w:t>
      </w:r>
      <w:r w:rsidRPr="00CD2150">
        <w:rPr>
          <w:rFonts w:ascii="Traditional Arabic" w:eastAsiaTheme="minorHAnsi" w:hAnsi="Traditional Arabic" w:cs="Traditional Arabic"/>
          <w:sz w:val="30"/>
          <w:szCs w:val="30"/>
          <w:rtl/>
        </w:rPr>
        <w:t>) ضمان الوصول الفعال لجميع الأطفال إلى جميع الخدمات العامة الأساسية، بما في ذلك التعليم والرعاية الصحية؛ إيلاء اهتمام خاص لأولئك الأطفال الذين فقدوا مقدمي الرعاية الأساسيين أثناء النزاع؛ توفير الدعم النفسي والمساعدة الصحية العقلية للأطفال المتأثرين بالنزاع كأولوية؛</w:t>
      </w:r>
    </w:p>
    <w:p w14:paraId="6FE119FF"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lastRenderedPageBreak/>
        <w:t>ي) وقف انتهاكات الحريات الأساسية والتأكد من السماح للأشخاص بممارسة حقوقهم السلمية في حرية الفكر والمعتقد والرأي والتعبير والتجمع وتكوين الجمعيات؛</w:t>
      </w:r>
    </w:p>
    <w:p w14:paraId="29AF2C98" w14:textId="77777777" w:rsidR="00CD2150" w:rsidRPr="00CD2150" w:rsidRDefault="00CD2150" w:rsidP="001C66F0">
      <w:pPr>
        <w:suppressAutoHyphens w:val="0"/>
        <w:bidi/>
        <w:spacing w:after="160"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ك) التوقف عن استخدام خطاب الكراهية، لا سيما عندما يتعلق الأمر بالدعوة إلى الكراهية العنصرية أو الدينية التي تشكل تحريضا على التمييز أو العداوة أو العنف؛</w:t>
      </w:r>
    </w:p>
    <w:p w14:paraId="404E9EDB" w14:textId="77777777" w:rsidR="00CD2150" w:rsidRPr="00CD2150" w:rsidRDefault="00CD2150" w:rsidP="008212C4">
      <w:pPr>
        <w:suppressAutoHyphens w:val="0"/>
        <w:bidi/>
        <w:spacing w:line="256" w:lineRule="auto"/>
        <w:ind w:left="1449" w:right="540"/>
        <w:contextualSpacing/>
        <w:jc w:val="both"/>
        <w:rPr>
          <w:rFonts w:ascii="Traditional Arabic" w:eastAsiaTheme="minorHAnsi" w:hAnsi="Traditional Arabic" w:cs="Traditional Arabic"/>
          <w:sz w:val="30"/>
          <w:szCs w:val="30"/>
          <w:rtl/>
        </w:rPr>
      </w:pPr>
      <w:r w:rsidRPr="00CD2150">
        <w:rPr>
          <w:rFonts w:ascii="Traditional Arabic" w:eastAsiaTheme="minorHAnsi" w:hAnsi="Traditional Arabic" w:cs="Traditional Arabic"/>
          <w:sz w:val="30"/>
          <w:szCs w:val="30"/>
          <w:rtl/>
        </w:rPr>
        <w:t>ل) ضمان الوصول الفعال إلى الخدمات الأساسية بما في ذلك حماية المجتمعات الضعيفة والمهاجرين والأشخاص ذوي الإعاقة والمسنين، واتخاذ تدابير إيجابية لضمان عدم تأثر هذه الجماعات بالنزاع بشكل غير متناسب.</w:t>
      </w:r>
    </w:p>
    <w:p w14:paraId="23311705" w14:textId="77777777" w:rsidR="00CD2150" w:rsidRPr="00CD2150" w:rsidRDefault="00CD2150" w:rsidP="0025057B">
      <w:pPr>
        <w:keepNext/>
        <w:keepLines/>
        <w:numPr>
          <w:ilvl w:val="0"/>
          <w:numId w:val="26"/>
        </w:numPr>
        <w:bidi/>
        <w:spacing w:before="240" w:after="120" w:line="240" w:lineRule="exact"/>
        <w:ind w:right="540"/>
        <w:jc w:val="both"/>
        <w:rPr>
          <w:rFonts w:ascii="Traditional Arabic" w:eastAsia="Calibri" w:hAnsi="Traditional Arabic" w:cs="Traditional Arabic"/>
          <w:b/>
          <w:sz w:val="30"/>
          <w:szCs w:val="30"/>
          <w:rtl/>
        </w:rPr>
      </w:pPr>
      <w:r w:rsidRPr="00CD2150">
        <w:rPr>
          <w:rFonts w:ascii="Traditional Arabic" w:hAnsi="Traditional Arabic" w:cs="Traditional Arabic"/>
          <w:b/>
          <w:bCs/>
          <w:sz w:val="30"/>
          <w:szCs w:val="30"/>
          <w:rtl/>
        </w:rPr>
        <w:t>إلى التحالف، بما في ذلك المملكة العربية السعودية والإمارات العربية المتحدة</w:t>
      </w:r>
    </w:p>
    <w:p w14:paraId="2D4CDE07"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يتعين على دول التحالف، بما في ذلك المملكة العربية السعودية والإمارات العربية المتحدة بوصفهما قائدين للتحالف، الامتثال للالتزامات بموجب القانون الدولي الإنساني والقانون الدولي لحقوق الإنسان. تحقيقًا لهذه الغاية، بالإضافة إلى التوصيات المذكورة أعلاه لجميع أطراف النزاع، ي</w:t>
      </w:r>
      <w:r w:rsidRPr="00CD2150">
        <w:rPr>
          <w:rFonts w:ascii="Traditional Arabic" w:hAnsi="Traditional Arabic" w:cs="Traditional Arabic" w:hint="eastAsia"/>
          <w:sz w:val="30"/>
          <w:szCs w:val="30"/>
          <w:rtl/>
        </w:rPr>
        <w:t>نبغي</w:t>
      </w:r>
      <w:r w:rsidRPr="00CD2150">
        <w:rPr>
          <w:rFonts w:ascii="Traditional Arabic" w:hAnsi="Traditional Arabic" w:cs="Traditional Arabic"/>
          <w:sz w:val="30"/>
          <w:szCs w:val="30"/>
          <w:rtl/>
        </w:rPr>
        <w:t xml:space="preserve"> على التحالف: </w:t>
      </w:r>
    </w:p>
    <w:p w14:paraId="78EE89C2"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أ) الاعتراف بدور قوات المملكة العربية السعودية وقوات الإمارات العربية المتحدة والجماعات المسلحة التابعة لها في ارتكاب انتهاكات للقانون الدولي لحقوق الإنسان والقانون الدولي الإنساني؛</w:t>
      </w:r>
    </w:p>
    <w:p w14:paraId="7227C1CC"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ب) إصدار تعليمات واضحة وعامة وصريحة لقوات التحالف بضرورة الالتزام بالقانون الدولي الإنساني، بما في ذلك اتخاذ جميع التدابير </w:t>
      </w:r>
      <w:r w:rsidRPr="00CD2150">
        <w:rPr>
          <w:rFonts w:ascii="Traditional Arabic" w:hAnsi="Traditional Arabic" w:cs="Traditional Arabic" w:hint="cs"/>
          <w:sz w:val="30"/>
          <w:szCs w:val="30"/>
          <w:rtl/>
        </w:rPr>
        <w:t xml:space="preserve">الممكنة </w:t>
      </w:r>
      <w:r w:rsidRPr="00CD2150">
        <w:rPr>
          <w:rFonts w:ascii="Traditional Arabic" w:hAnsi="Traditional Arabic" w:cs="Traditional Arabic"/>
          <w:sz w:val="30"/>
          <w:szCs w:val="30"/>
          <w:rtl/>
        </w:rPr>
        <w:t xml:space="preserve">لحماية المدنيين من الأذى أثناء العمليات العسكرية؛ زيادة </w:t>
      </w:r>
      <w:r w:rsidRPr="00CD2150">
        <w:rPr>
          <w:rFonts w:ascii="Traditional Arabic" w:hAnsi="Traditional Arabic" w:cs="Traditional Arabic" w:hint="eastAsia"/>
          <w:sz w:val="30"/>
          <w:szCs w:val="30"/>
          <w:rtl/>
        </w:rPr>
        <w:t>الوعي</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ب</w:t>
      </w:r>
      <w:r w:rsidRPr="00CD2150">
        <w:rPr>
          <w:rFonts w:ascii="Traditional Arabic" w:hAnsi="Traditional Arabic" w:cs="Traditional Arabic"/>
          <w:sz w:val="30"/>
          <w:szCs w:val="30"/>
          <w:rtl/>
        </w:rPr>
        <w:t>أن التعذيب والاغتصاب والعنف الجنسي والانتهاكات ضد الأطفال وغيرها من انتهاكات حقوق الإنسان محظورة حظراً تاماً؛</w:t>
      </w:r>
    </w:p>
    <w:p w14:paraId="7A42A5B8"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ج) تعزيز استقلالية وقدرة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فريق المشتر</w:t>
      </w:r>
      <w:r w:rsidRPr="00CD2150">
        <w:rPr>
          <w:rFonts w:ascii="Traditional Arabic" w:hAnsi="Traditional Arabic" w:cs="Traditional Arabic" w:hint="eastAsia"/>
          <w:sz w:val="30"/>
          <w:szCs w:val="30"/>
          <w:rtl/>
        </w:rPr>
        <w:t>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تقييم الحوادث، بما في ذلك ضمان التحقيق في جميع الادعاءات الموثوقة بانتهاكات حقوق الإنسان والجرائم الدولية التي يرتكبها أعضاء التحالف بصورة نزيهة وشفافة؛</w:t>
      </w:r>
    </w:p>
    <w:p w14:paraId="69DC725C"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د) التأكد من أن </w:t>
      </w:r>
      <w:r w:rsidRPr="00CD2150">
        <w:rPr>
          <w:rFonts w:ascii="Traditional Arabic" w:hAnsi="Traditional Arabic" w:cs="Traditional Arabic" w:hint="eastAsia"/>
          <w:sz w:val="30"/>
          <w:szCs w:val="30"/>
          <w:rtl/>
        </w:rPr>
        <w:t>ال</w:t>
      </w:r>
      <w:r w:rsidRPr="00CD2150">
        <w:rPr>
          <w:rFonts w:ascii="Traditional Arabic" w:hAnsi="Traditional Arabic" w:cs="Traditional Arabic"/>
          <w:sz w:val="30"/>
          <w:szCs w:val="30"/>
          <w:rtl/>
        </w:rPr>
        <w:t>فريق المشتر</w:t>
      </w:r>
      <w:r w:rsidRPr="00CD2150">
        <w:rPr>
          <w:rFonts w:ascii="Traditional Arabic" w:hAnsi="Traditional Arabic" w:cs="Traditional Arabic" w:hint="eastAsia"/>
          <w:sz w:val="30"/>
          <w:szCs w:val="30"/>
          <w:rtl/>
        </w:rPr>
        <w:t>ك</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ل</w:t>
      </w:r>
      <w:r w:rsidRPr="00CD2150">
        <w:rPr>
          <w:rFonts w:ascii="Traditional Arabic" w:hAnsi="Traditional Arabic" w:cs="Traditional Arabic"/>
          <w:sz w:val="30"/>
          <w:szCs w:val="30"/>
          <w:rtl/>
        </w:rPr>
        <w:t>تقييم الحوادث يقدم بيانات علنية منطقية تشرح نتائج كل واحد من تحقيقاته؛</w:t>
      </w:r>
    </w:p>
    <w:p w14:paraId="491C30A0"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هـ) ضمان المساءلة عن الانتهاكات، بما في ذلك، عند الاقتضاء، مقاضاة السلطة القضائية المختصة لموظفي الحكومة المدنية والعسكريين على جميع مستويات القيادة المتورطة في جرائم الحرب؛</w:t>
      </w:r>
    </w:p>
    <w:p w14:paraId="598257F8"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و) تقديم تعويض عن الوفيات والإصابات والأضرار التي لحقت بالمدنيين بشكل غير مشروع، والتأكد من وجود </w:t>
      </w:r>
      <w:r w:rsidRPr="00CD2150">
        <w:rPr>
          <w:rFonts w:ascii="Traditional Arabic" w:hAnsi="Traditional Arabic" w:cs="Traditional Arabic" w:hint="eastAsia"/>
          <w:sz w:val="30"/>
          <w:szCs w:val="30"/>
          <w:rtl/>
        </w:rPr>
        <w:t>نظم</w:t>
      </w:r>
      <w:r w:rsidRPr="00CD2150">
        <w:rPr>
          <w:rFonts w:ascii="Traditional Arabic" w:hAnsi="Traditional Arabic" w:cs="Traditional Arabic"/>
          <w:sz w:val="30"/>
          <w:szCs w:val="30"/>
          <w:rtl/>
        </w:rPr>
        <w:t xml:space="preserve"> لإبلاغ المدنيين بنتائج التحقيق وطلب التعويض أو غيره</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 xml:space="preserve"> من أشكال </w:t>
      </w:r>
      <w:r w:rsidRPr="00CD2150">
        <w:rPr>
          <w:rFonts w:ascii="Traditional Arabic" w:hAnsi="Traditional Arabic" w:cs="Traditional Arabic" w:hint="eastAsia"/>
          <w:sz w:val="30"/>
          <w:szCs w:val="30"/>
          <w:rtl/>
        </w:rPr>
        <w:t>التعويض</w:t>
      </w:r>
      <w:r w:rsidRPr="00CD2150">
        <w:rPr>
          <w:rFonts w:ascii="Traditional Arabic" w:hAnsi="Traditional Arabic" w:cs="Traditional Arabic"/>
          <w:sz w:val="30"/>
          <w:szCs w:val="30"/>
          <w:rtl/>
        </w:rPr>
        <w:t>؛</w:t>
      </w:r>
    </w:p>
    <w:p w14:paraId="7875A9DF"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ز) تتبع الضحايا المدنيين من عمليات التحالف العسكرية بشكل منهجي كجزء من عمليات تقييم الأضرار بعد المع</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رك؛ شرح الأساس لتحديد ما إذا كان الشخص الذي قُتل أو أُصيب في عملية تحالف مدني؛ تقديم تحديثات عامة منتظمة حول عدد الإصابات في صفوف المدنيين الناجمة عن عمليات التحالف العسكرية؛</w:t>
      </w:r>
    </w:p>
    <w:p w14:paraId="5502B59D" w14:textId="77777777" w:rsidR="00CD2150" w:rsidRPr="00CD2150" w:rsidRDefault="00CD2150" w:rsidP="001C66F0">
      <w:pPr>
        <w:bidi/>
        <w:ind w:left="1449" w:right="540"/>
        <w:jc w:val="both"/>
        <w:rPr>
          <w:rFonts w:ascii="Traditional Arabic" w:hAnsi="Traditional Arabic" w:cs="Traditional Arabic"/>
          <w:sz w:val="30"/>
          <w:szCs w:val="30"/>
          <w:rtl/>
        </w:rPr>
      </w:pPr>
      <w:r w:rsidRPr="00CD2150">
        <w:rPr>
          <w:rFonts w:ascii="Traditional Arabic" w:hAnsi="Traditional Arabic" w:cs="Traditional Arabic"/>
          <w:sz w:val="30"/>
          <w:szCs w:val="30"/>
          <w:rtl/>
        </w:rPr>
        <w:t xml:space="preserve">ح) مراجعة </w:t>
      </w:r>
      <w:r w:rsidRPr="00CD2150">
        <w:rPr>
          <w:rFonts w:ascii="Traditional Arabic" w:hAnsi="Traditional Arabic" w:cs="Traditional Arabic" w:hint="eastAsia"/>
          <w:sz w:val="30"/>
          <w:szCs w:val="30"/>
          <w:rtl/>
        </w:rPr>
        <w:t>الإستنتاجات</w:t>
      </w:r>
      <w:r w:rsidRPr="00CD2150">
        <w:rPr>
          <w:rFonts w:ascii="Traditional Arabic" w:hAnsi="Traditional Arabic" w:cs="Traditional Arabic"/>
          <w:sz w:val="30"/>
          <w:szCs w:val="30"/>
          <w:rtl/>
        </w:rPr>
        <w:t xml:space="preserve"> </w:t>
      </w:r>
      <w:r w:rsidRPr="00CD2150">
        <w:rPr>
          <w:rFonts w:ascii="Traditional Arabic" w:hAnsi="Traditional Arabic" w:cs="Traditional Arabic" w:hint="eastAsia"/>
          <w:sz w:val="30"/>
          <w:szCs w:val="30"/>
          <w:rtl/>
        </w:rPr>
        <w:t>حول</w:t>
      </w:r>
      <w:r w:rsidRPr="00CD2150">
        <w:rPr>
          <w:rFonts w:ascii="Traditional Arabic" w:hAnsi="Traditional Arabic" w:cs="Traditional Arabic"/>
          <w:sz w:val="30"/>
          <w:szCs w:val="30"/>
          <w:rtl/>
        </w:rPr>
        <w:t xml:space="preserve"> الضحايا المدنيين باستمرار لفهم </w:t>
      </w:r>
      <w:r w:rsidRPr="00CD2150">
        <w:rPr>
          <w:rFonts w:ascii="Traditional Arabic" w:hAnsi="Traditional Arabic" w:cs="Traditional Arabic" w:hint="eastAsia"/>
          <w:sz w:val="30"/>
          <w:szCs w:val="30"/>
          <w:rtl/>
        </w:rPr>
        <w:t>نتائج</w:t>
      </w:r>
      <w:r w:rsidRPr="00CD2150">
        <w:rPr>
          <w:rFonts w:ascii="Traditional Arabic" w:hAnsi="Traditional Arabic" w:cs="Traditional Arabic"/>
          <w:sz w:val="30"/>
          <w:szCs w:val="30"/>
          <w:rtl/>
        </w:rPr>
        <w:t xml:space="preserve"> الضرر الذي يلحق بالمدنيين واستخدام المعلومات لإنشاء الدروس المستفادة لمنع ح</w:t>
      </w:r>
      <w:r w:rsidRPr="00CD2150">
        <w:rPr>
          <w:rFonts w:ascii="Traditional Arabic" w:hAnsi="Traditional Arabic" w:cs="Traditional Arabic" w:hint="eastAsia"/>
          <w:sz w:val="30"/>
          <w:szCs w:val="30"/>
          <w:rtl/>
        </w:rPr>
        <w:t>صول</w:t>
      </w:r>
      <w:r w:rsidRPr="00CD2150">
        <w:rPr>
          <w:rFonts w:ascii="Traditional Arabic" w:hAnsi="Traditional Arabic" w:cs="Traditional Arabic"/>
          <w:sz w:val="30"/>
          <w:szCs w:val="30"/>
          <w:rtl/>
        </w:rPr>
        <w:t xml:space="preserve"> مثل هذه الحوادث في المستقبل؛</w:t>
      </w:r>
    </w:p>
    <w:p w14:paraId="63FE2D90" w14:textId="77777777" w:rsidR="00CD2150" w:rsidRPr="00CD2150" w:rsidRDefault="00CD2150" w:rsidP="001C66F0">
      <w:pPr>
        <w:bidi/>
        <w:ind w:left="1449" w:right="540"/>
        <w:jc w:val="both"/>
        <w:rPr>
          <w:rFonts w:ascii="Traditional Arabic" w:eastAsia="Calibri" w:hAnsi="Traditional Arabic" w:cs="Traditional Arabic"/>
          <w:bCs/>
          <w:sz w:val="30"/>
          <w:szCs w:val="30"/>
          <w:rtl/>
        </w:rPr>
      </w:pPr>
      <w:r w:rsidRPr="00CD2150">
        <w:rPr>
          <w:rFonts w:ascii="Traditional Arabic" w:hAnsi="Traditional Arabic" w:cs="Traditional Arabic"/>
          <w:sz w:val="30"/>
          <w:szCs w:val="30"/>
          <w:rtl/>
        </w:rPr>
        <w:lastRenderedPageBreak/>
        <w:t xml:space="preserve">ط) </w:t>
      </w:r>
      <w:r w:rsidRPr="00CD2150">
        <w:rPr>
          <w:rFonts w:ascii="Traditional Arabic" w:hAnsi="Traditional Arabic" w:cs="Traditional Arabic" w:hint="eastAsia"/>
          <w:sz w:val="30"/>
          <w:szCs w:val="30"/>
          <w:rtl/>
        </w:rPr>
        <w:t>إ</w:t>
      </w:r>
      <w:r w:rsidRPr="00CD2150">
        <w:rPr>
          <w:rFonts w:ascii="Traditional Arabic" w:hAnsi="Traditional Arabic" w:cs="Traditional Arabic"/>
          <w:sz w:val="30"/>
          <w:szCs w:val="30"/>
          <w:rtl/>
        </w:rPr>
        <w:t>غل</w:t>
      </w:r>
      <w:r w:rsidRPr="00CD2150">
        <w:rPr>
          <w:rFonts w:ascii="Traditional Arabic" w:hAnsi="Traditional Arabic" w:cs="Traditional Arabic" w:hint="eastAsia"/>
          <w:sz w:val="30"/>
          <w:szCs w:val="30"/>
          <w:rtl/>
        </w:rPr>
        <w:t>ا</w:t>
      </w:r>
      <w:r w:rsidRPr="00CD2150">
        <w:rPr>
          <w:rFonts w:ascii="Traditional Arabic" w:hAnsi="Traditional Arabic" w:cs="Traditional Arabic"/>
          <w:sz w:val="30"/>
          <w:szCs w:val="30"/>
          <w:rtl/>
        </w:rPr>
        <w:t>ق على الفور جميع مرافق الاعتقال السرية و</w:t>
      </w:r>
      <w:r w:rsidRPr="00CD2150">
        <w:rPr>
          <w:rFonts w:ascii="Traditional Arabic" w:hAnsi="Traditional Arabic" w:cs="Traditional Arabic" w:hint="eastAsia"/>
          <w:sz w:val="30"/>
          <w:szCs w:val="30"/>
          <w:rtl/>
        </w:rPr>
        <w:t>ت</w:t>
      </w:r>
      <w:r w:rsidRPr="00CD2150">
        <w:rPr>
          <w:rFonts w:ascii="Traditional Arabic" w:hAnsi="Traditional Arabic" w:cs="Traditional Arabic"/>
          <w:sz w:val="30"/>
          <w:szCs w:val="30"/>
          <w:rtl/>
        </w:rPr>
        <w:t>سل</w:t>
      </w:r>
      <w:r w:rsidRPr="00CD2150">
        <w:rPr>
          <w:rFonts w:ascii="Traditional Arabic" w:hAnsi="Traditional Arabic" w:cs="Traditional Arabic" w:hint="eastAsia"/>
          <w:sz w:val="30"/>
          <w:szCs w:val="30"/>
          <w:rtl/>
        </w:rPr>
        <w:t>ي</w:t>
      </w:r>
      <w:r w:rsidRPr="00CD2150">
        <w:rPr>
          <w:rFonts w:ascii="Traditional Arabic" w:hAnsi="Traditional Arabic" w:cs="Traditional Arabic"/>
          <w:sz w:val="30"/>
          <w:szCs w:val="30"/>
          <w:rtl/>
        </w:rPr>
        <w:t>م الحكومة اليمنية جميع المحتجزين الخاضعين لسيطرة دول التحالف أو الجماعات المسلحة التابعة لها الذي لا يتوافق احتجازه مع قوانين اليمن أو القانون الدولي</w:t>
      </w:r>
      <w:r w:rsidRPr="00CD2150">
        <w:rPr>
          <w:rFonts w:ascii="Traditional Arabic" w:hAnsi="Traditional Arabic" w:cs="Traditional Arabic"/>
          <w:sz w:val="30"/>
          <w:szCs w:val="30"/>
        </w:rPr>
        <w:t xml:space="preserve"> </w:t>
      </w:r>
      <w:r w:rsidRPr="00CD2150">
        <w:rPr>
          <w:rFonts w:ascii="Traditional Arabic" w:eastAsia="Calibri" w:hAnsi="Traditional Arabic" w:cs="Traditional Arabic" w:hint="cs"/>
          <w:bCs/>
          <w:sz w:val="30"/>
          <w:szCs w:val="30"/>
          <w:rtl/>
        </w:rPr>
        <w:t xml:space="preserve">. </w:t>
      </w:r>
    </w:p>
    <w:p w14:paraId="50680CB1" w14:textId="77777777" w:rsidR="00CD2150" w:rsidRPr="00CD2150" w:rsidRDefault="00CD2150" w:rsidP="0025057B">
      <w:pPr>
        <w:keepNext/>
        <w:keepLines/>
        <w:numPr>
          <w:ilvl w:val="0"/>
          <w:numId w:val="26"/>
        </w:numPr>
        <w:bidi/>
        <w:spacing w:before="240" w:after="120" w:line="240" w:lineRule="exact"/>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 xml:space="preserve"> </w:t>
      </w:r>
      <w:r w:rsidRPr="00CD2150">
        <w:rPr>
          <w:rFonts w:ascii="Traditional Arabic" w:eastAsiaTheme="minorHAnsi" w:hAnsi="Traditional Arabic" w:cs="Traditional Arabic" w:hint="eastAsia"/>
          <w:b/>
          <w:bCs/>
          <w:sz w:val="30"/>
          <w:szCs w:val="30"/>
          <w:rtl/>
        </w:rPr>
        <w:t>إ</w:t>
      </w:r>
      <w:r w:rsidRPr="00CD2150">
        <w:rPr>
          <w:rFonts w:ascii="Traditional Arabic" w:eastAsiaTheme="minorHAnsi" w:hAnsi="Traditional Arabic" w:cs="Traditional Arabic"/>
          <w:b/>
          <w:bCs/>
          <w:sz w:val="30"/>
          <w:szCs w:val="30"/>
          <w:rtl/>
        </w:rPr>
        <w:t>ل</w:t>
      </w:r>
      <w:r w:rsidRPr="00CD2150">
        <w:rPr>
          <w:rFonts w:ascii="Traditional Arabic" w:eastAsiaTheme="minorHAnsi" w:hAnsi="Traditional Arabic" w:cs="Traditional Arabic" w:hint="eastAsia"/>
          <w:b/>
          <w:bCs/>
          <w:sz w:val="30"/>
          <w:szCs w:val="30"/>
          <w:rtl/>
        </w:rPr>
        <w:t>ى</w:t>
      </w:r>
      <w:r w:rsidRPr="00CD2150">
        <w:rPr>
          <w:rFonts w:ascii="Traditional Arabic" w:eastAsiaTheme="minorHAnsi" w:hAnsi="Traditional Arabic" w:cs="Traditional Arabic"/>
          <w:b/>
          <w:bCs/>
          <w:sz w:val="30"/>
          <w:szCs w:val="30"/>
          <w:rtl/>
        </w:rPr>
        <w:t xml:space="preserve"> </w:t>
      </w:r>
      <w:r w:rsidRPr="00CD2150">
        <w:rPr>
          <w:rFonts w:ascii="Traditional Arabic" w:eastAsiaTheme="minorHAnsi" w:hAnsi="Traditional Arabic" w:cs="Traditional Arabic" w:hint="eastAsia"/>
          <w:b/>
          <w:bCs/>
          <w:sz w:val="30"/>
          <w:szCs w:val="30"/>
          <w:rtl/>
        </w:rPr>
        <w:t>ا</w:t>
      </w:r>
      <w:r w:rsidRPr="00CD2150">
        <w:rPr>
          <w:rFonts w:ascii="Traditional Arabic" w:eastAsiaTheme="minorHAnsi" w:hAnsi="Traditional Arabic" w:cs="Traditional Arabic"/>
          <w:b/>
          <w:bCs/>
          <w:sz w:val="30"/>
          <w:szCs w:val="30"/>
          <w:rtl/>
        </w:rPr>
        <w:t>لدول ذات النفوذ على أطراف النزاع في اليمن</w:t>
      </w:r>
    </w:p>
    <w:p w14:paraId="42BBC49B"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هذه</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لدول أن تتخذ جميع التدابير المعقولة</w:t>
      </w:r>
      <w:r w:rsidRPr="00CD2150">
        <w:rPr>
          <w:rFonts w:ascii="Traditional Arabic" w:eastAsiaTheme="minorHAnsi" w:hAnsi="Traditional Arabic" w:cs="Traditional Arabic" w:hint="cs"/>
          <w:sz w:val="30"/>
          <w:szCs w:val="30"/>
          <w:rtl/>
        </w:rPr>
        <w:t xml:space="preserve"> المعدة</w:t>
      </w:r>
      <w:r w:rsidRPr="00CD2150">
        <w:rPr>
          <w:rFonts w:ascii="Traditional Arabic" w:eastAsiaTheme="minorHAnsi" w:hAnsi="Traditional Arabic" w:cs="Traditional Arabic"/>
          <w:sz w:val="30"/>
          <w:szCs w:val="30"/>
          <w:rtl/>
        </w:rPr>
        <w:t xml:space="preserve"> لضمان احترام القانون الدولي الإنساني من جانب جميع أطراف النزاع، مع مراعاة مستوى نفوذها. </w:t>
      </w:r>
    </w:p>
    <w:p w14:paraId="38725423"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يجب على الدول أن تحظر التصريح بأي عمليات نقل أسلحة إلى أطراف النزاع في اليمن بالنظر إلى الخطر السائد في إمكانية استخدامها في ارتكاب انتهاكات خطيرة </w:t>
      </w:r>
      <w:r w:rsidRPr="00CD2150">
        <w:rPr>
          <w:rFonts w:ascii="Traditional Arabic" w:eastAsiaTheme="minorHAnsi" w:hAnsi="Traditional Arabic" w:cs="Traditional Arabic" w:hint="cs"/>
          <w:sz w:val="30"/>
          <w:szCs w:val="30"/>
          <w:rtl/>
        </w:rPr>
        <w:t>ل</w:t>
      </w:r>
      <w:r w:rsidRPr="00CD2150">
        <w:rPr>
          <w:rFonts w:ascii="Traditional Arabic" w:eastAsiaTheme="minorHAnsi" w:hAnsi="Traditional Arabic" w:cs="Traditional Arabic"/>
          <w:sz w:val="30"/>
          <w:szCs w:val="30"/>
          <w:rtl/>
        </w:rPr>
        <w:t>لقانون الدولي الإنساني والقانون الدولي لحقوق الإنسان أو تيسير ارتكابها</w:t>
      </w:r>
      <w:r w:rsidRPr="00CD2150">
        <w:rPr>
          <w:rFonts w:ascii="Traditional Arabic" w:eastAsiaTheme="minorHAnsi" w:hAnsi="Traditional Arabic" w:cs="Traditional Arabic" w:hint="cs"/>
          <w:sz w:val="30"/>
          <w:szCs w:val="30"/>
          <w:rtl/>
        </w:rPr>
        <w:t xml:space="preserve"> </w:t>
      </w:r>
      <w:r w:rsidRPr="00CD2150">
        <w:rPr>
          <w:rFonts w:ascii="Traditional Arabic" w:eastAsiaTheme="minorHAnsi" w:hAnsi="Traditional Arabic" w:cs="Traditional Arabic"/>
          <w:sz w:val="30"/>
          <w:szCs w:val="30"/>
          <w:rtl/>
        </w:rPr>
        <w:t>ويجب عل</w:t>
      </w:r>
      <w:r w:rsidRPr="00CD2150">
        <w:rPr>
          <w:rFonts w:ascii="Traditional Arabic" w:eastAsiaTheme="minorHAnsi" w:hAnsi="Traditional Arabic" w:cs="Traditional Arabic" w:hint="cs"/>
          <w:sz w:val="30"/>
          <w:szCs w:val="30"/>
          <w:rtl/>
        </w:rPr>
        <w:t xml:space="preserve"> الدول </w:t>
      </w:r>
      <w:r w:rsidRPr="00CD2150">
        <w:rPr>
          <w:rFonts w:ascii="Traditional Arabic" w:eastAsiaTheme="minorHAnsi" w:hAnsi="Traditional Arabic" w:cs="Traditional Arabic"/>
          <w:sz w:val="30"/>
          <w:szCs w:val="30"/>
          <w:rtl/>
        </w:rPr>
        <w:t xml:space="preserve">الامتناع عن توفير أسلحة </w:t>
      </w:r>
      <w:r w:rsidRPr="00CD2150">
        <w:rPr>
          <w:rFonts w:ascii="Traditional Arabic" w:eastAsiaTheme="minorHAnsi" w:hAnsi="Traditional Arabic" w:cs="Traditional Arabic" w:hint="cs"/>
          <w:sz w:val="30"/>
          <w:szCs w:val="30"/>
          <w:rtl/>
        </w:rPr>
        <w:t>لهذه الأطراف</w:t>
      </w:r>
      <w:r w:rsidRPr="00CD2150">
        <w:rPr>
          <w:rFonts w:ascii="Traditional Arabic" w:eastAsiaTheme="minorHAnsi" w:hAnsi="Traditional Arabic" w:cs="Traditional Arabic"/>
          <w:sz w:val="30"/>
          <w:szCs w:val="30"/>
          <w:rtl/>
        </w:rPr>
        <w:t xml:space="preserve"> يمكن استخدامها</w:t>
      </w:r>
      <w:r w:rsidRPr="00CD2150">
        <w:rPr>
          <w:rFonts w:ascii="Traditional Arabic" w:eastAsiaTheme="minorHAnsi" w:hAnsi="Traditional Arabic" w:cs="Traditional Arabic" w:hint="cs"/>
          <w:sz w:val="30"/>
          <w:szCs w:val="30"/>
          <w:rtl/>
        </w:rPr>
        <w:t xml:space="preserve"> في النزاع</w:t>
      </w:r>
      <w:r w:rsidRPr="00CD2150">
        <w:rPr>
          <w:rFonts w:ascii="Traditional Arabic" w:eastAsiaTheme="minorHAnsi" w:hAnsi="Traditional Arabic" w:cs="Traditional Arabic"/>
          <w:sz w:val="30"/>
          <w:szCs w:val="30"/>
          <w:rtl/>
        </w:rPr>
        <w:t xml:space="preserve">. </w:t>
      </w:r>
    </w:p>
    <w:p w14:paraId="052F6F38" w14:textId="77777777" w:rsidR="00CD2150" w:rsidRPr="00CD2150" w:rsidRDefault="00CD2150" w:rsidP="003B7CC4">
      <w:pPr>
        <w:keepNext/>
        <w:keepLines/>
        <w:numPr>
          <w:ilvl w:val="0"/>
          <w:numId w:val="26"/>
        </w:numPr>
        <w:bidi/>
        <w:spacing w:before="240" w:after="240" w:line="240" w:lineRule="exact"/>
        <w:ind w:right="540"/>
        <w:jc w:val="both"/>
        <w:rPr>
          <w:rFonts w:ascii="Traditional Arabic" w:eastAsiaTheme="minorHAnsi" w:hAnsi="Traditional Arabic" w:cs="Traditional Arabic"/>
          <w:b/>
          <w:bCs/>
          <w:sz w:val="30"/>
          <w:szCs w:val="30"/>
        </w:rPr>
      </w:pPr>
      <w:r w:rsidRPr="00CD2150">
        <w:rPr>
          <w:rFonts w:ascii="Traditional Arabic" w:eastAsiaTheme="minorHAnsi" w:hAnsi="Traditional Arabic" w:cs="Traditional Arabic"/>
          <w:b/>
          <w:bCs/>
          <w:sz w:val="30"/>
          <w:szCs w:val="30"/>
          <w:rtl/>
        </w:rPr>
        <w:t>إلى الأمم المتحدة والمجتمع الدولي</w:t>
      </w:r>
    </w:p>
    <w:p w14:paraId="07CA74CA"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ينبغي ع</w:t>
      </w:r>
      <w:r w:rsidRPr="00CD2150">
        <w:rPr>
          <w:rFonts w:ascii="Traditional Arabic" w:eastAsiaTheme="minorHAnsi" w:hAnsi="Traditional Arabic" w:cs="Traditional Arabic" w:hint="eastAsia"/>
          <w:sz w:val="30"/>
          <w:szCs w:val="30"/>
          <w:rtl/>
        </w:rPr>
        <w:t>لى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لمجتمع الدولي، بما في ذلك الدول والمنظمات الإقليمية والدولية، أن يشجع ويدعم جميع الجهود، ولا سيما من جانب المبعوث الخاص للأمين العام إلى اليمن، للتوصل إلى وقف للأعمال القتالية وتحقيق سلام مستدام وشامل ولضمان المساءلة عن الانتهاكات والجرائم الخطيرة.</w:t>
      </w:r>
    </w:p>
    <w:p w14:paraId="7CEF1AC2"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يجب على المجتمع الدولي، من خلال الأمم المتحدة، استخدام جميع الوسائل الدبلوماسية والإنسانية وغيرها من الوسائل السلمية لمساعدة اليمن في الوفاء بمسؤوليته عن حماية شعبه من جرائم الحرب وانتهاكات القانون الدولي لحقوق الإنسان.</w:t>
      </w:r>
    </w:p>
    <w:p w14:paraId="7BE27936"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ضمان أن تظل حالة حقوق الإنسان في اليمن على جدول أعمال</w:t>
      </w:r>
      <w:r w:rsidRPr="00CD2150">
        <w:rPr>
          <w:rFonts w:ascii="Traditional Arabic" w:eastAsiaTheme="minorHAnsi" w:hAnsi="Traditional Arabic" w:cs="Traditional Arabic" w:hint="eastAsia"/>
          <w:sz w:val="30"/>
          <w:szCs w:val="30"/>
          <w:rtl/>
        </w:rPr>
        <w:t>ه</w:t>
      </w:r>
      <w:r w:rsidRPr="00CD2150">
        <w:rPr>
          <w:rFonts w:ascii="Traditional Arabic" w:eastAsiaTheme="minorHAnsi" w:hAnsi="Traditional Arabic" w:cs="Traditional Arabic"/>
          <w:sz w:val="30"/>
          <w:szCs w:val="30"/>
          <w:rtl/>
        </w:rPr>
        <w:t xml:space="preserve"> من خلال تجديد ولاية فريق الخبراء.</w:t>
      </w:r>
    </w:p>
    <w:p w14:paraId="3A510CD2"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يطلب من فريق الخبراء تقديم تقارير دورية إلى المجلس وجمع الأدلة على الانتهاكات المزعومة والمحافظة عليها.</w:t>
      </w:r>
    </w:p>
    <w:p w14:paraId="5265A609"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يضمن أن الموارد المقدمة إلى فريق الخبراء تسمح بتنفيذ ولايته بفعالية، بما في ذلك ضمان استمرارية الأمانة.</w:t>
      </w:r>
    </w:p>
    <w:p w14:paraId="209F87A1"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مجلس حقوق الإنسان أن يحث مجلس الأمن على التأكيد على أبعاد حقوق الإنسان للنزاع في اليمن والحاجة إلى ضمان عدم الإفلات من العقاب على أخطر الجرائم.</w:t>
      </w:r>
    </w:p>
    <w:p w14:paraId="2322F598" w14:textId="77777777" w:rsidR="00CD2150" w:rsidRPr="00CD2150" w:rsidRDefault="00CD2150" w:rsidP="008212C4">
      <w:pPr>
        <w:pStyle w:val="Footer"/>
        <w:numPr>
          <w:ilvl w:val="0"/>
          <w:numId w:val="3"/>
        </w:numPr>
        <w:tabs>
          <w:tab w:val="left" w:pos="720"/>
          <w:tab w:val="left" w:pos="900"/>
          <w:tab w:val="left" w:pos="1134"/>
          <w:tab w:val="left" w:pos="1701"/>
          <w:tab w:val="right" w:pos="1809"/>
        </w:tabs>
        <w:bidi/>
        <w:spacing w:after="240"/>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 xml:space="preserve">ينبغي </w:t>
      </w:r>
      <w:r w:rsidRPr="00CD2150">
        <w:rPr>
          <w:rFonts w:ascii="Traditional Arabic" w:eastAsiaTheme="minorHAnsi" w:hAnsi="Traditional Arabic" w:cs="Traditional Arabic" w:hint="eastAsia"/>
          <w:sz w:val="30"/>
          <w:szCs w:val="30"/>
          <w:rtl/>
        </w:rPr>
        <w:t>ع</w:t>
      </w:r>
      <w:r w:rsidRPr="00CD2150">
        <w:rPr>
          <w:rFonts w:ascii="Traditional Arabic" w:eastAsiaTheme="minorHAnsi" w:hAnsi="Traditional Arabic" w:cs="Traditional Arabic"/>
          <w:sz w:val="30"/>
          <w:szCs w:val="30"/>
          <w:rtl/>
        </w:rPr>
        <w:t>ل</w:t>
      </w:r>
      <w:r w:rsidRPr="00CD2150">
        <w:rPr>
          <w:rFonts w:ascii="Traditional Arabic" w:eastAsiaTheme="minorHAnsi" w:hAnsi="Traditional Arabic" w:cs="Traditional Arabic" w:hint="eastAsia"/>
          <w:sz w:val="30"/>
          <w:szCs w:val="30"/>
          <w:rtl/>
        </w:rPr>
        <w:t>ى</w:t>
      </w:r>
      <w:r w:rsidRPr="00CD2150">
        <w:rPr>
          <w:rFonts w:ascii="Traditional Arabic" w:eastAsiaTheme="minorHAnsi" w:hAnsi="Traditional Arabic" w:cs="Traditional Arabic"/>
          <w:sz w:val="30"/>
          <w:szCs w:val="30"/>
          <w:rtl/>
        </w:rPr>
        <w:t xml:space="preserve"> </w:t>
      </w:r>
      <w:r w:rsidRPr="00CD2150">
        <w:rPr>
          <w:rFonts w:ascii="Traditional Arabic" w:eastAsiaTheme="minorHAnsi" w:hAnsi="Traditional Arabic" w:cs="Traditional Arabic" w:hint="eastAsia"/>
          <w:sz w:val="30"/>
          <w:szCs w:val="30"/>
          <w:rtl/>
        </w:rPr>
        <w:t>ا</w:t>
      </w:r>
      <w:r w:rsidRPr="00CD2150">
        <w:rPr>
          <w:rFonts w:ascii="Traditional Arabic" w:eastAsiaTheme="minorHAnsi" w:hAnsi="Traditional Arabic" w:cs="Traditional Arabic"/>
          <w:sz w:val="30"/>
          <w:szCs w:val="30"/>
          <w:rtl/>
        </w:rPr>
        <w:t>لمنظمات الإقليمية ذات الصلة أن تضع استراتيجيات لضمان المساءلة عن مرتكبي الجرائم بموجب القانون الدولي في اليمن، بما في ذلك من خلال التواصل المستمر مع اليمن ودعم آلية العدالة الدولية.</w:t>
      </w:r>
    </w:p>
    <w:p w14:paraId="0F349459" w14:textId="77777777" w:rsidR="00CD2150" w:rsidRPr="00CD2150" w:rsidRDefault="00CD2150" w:rsidP="001C66F0">
      <w:pPr>
        <w:pStyle w:val="Footer"/>
        <w:numPr>
          <w:ilvl w:val="0"/>
          <w:numId w:val="3"/>
        </w:numPr>
        <w:tabs>
          <w:tab w:val="left" w:pos="720"/>
          <w:tab w:val="left" w:pos="900"/>
          <w:tab w:val="left" w:pos="1134"/>
          <w:tab w:val="left" w:pos="1701"/>
          <w:tab w:val="right" w:pos="1809"/>
        </w:tabs>
        <w:bidi/>
        <w:ind w:left="1134" w:right="1080" w:firstLine="45"/>
        <w:jc w:val="both"/>
        <w:rPr>
          <w:rFonts w:ascii="Traditional Arabic" w:eastAsiaTheme="minorHAnsi" w:hAnsi="Traditional Arabic" w:cs="Traditional Arabic"/>
          <w:sz w:val="30"/>
          <w:szCs w:val="30"/>
        </w:rPr>
      </w:pPr>
      <w:r w:rsidRPr="00CD2150">
        <w:rPr>
          <w:rFonts w:ascii="Traditional Arabic" w:eastAsiaTheme="minorHAnsi" w:hAnsi="Traditional Arabic" w:cs="Traditional Arabic"/>
          <w:sz w:val="30"/>
          <w:szCs w:val="30"/>
          <w:rtl/>
        </w:rPr>
        <w:t>يجب على الدول الأعضاء ممارسة الولاية القضائية للتحقيق مع مرتكبي الجرائم الخطيرة المرتكب</w:t>
      </w:r>
      <w:r w:rsidRPr="00CD2150">
        <w:rPr>
          <w:rFonts w:ascii="Traditional Arabic" w:eastAsiaTheme="minorHAnsi" w:hAnsi="Traditional Arabic" w:cs="Traditional Arabic" w:hint="eastAsia"/>
          <w:sz w:val="30"/>
          <w:szCs w:val="30"/>
          <w:rtl/>
        </w:rPr>
        <w:t>ة</w:t>
      </w:r>
      <w:r w:rsidRPr="00CD2150">
        <w:rPr>
          <w:rFonts w:ascii="Traditional Arabic" w:eastAsiaTheme="minorHAnsi" w:hAnsi="Traditional Arabic" w:cs="Traditional Arabic"/>
          <w:sz w:val="30"/>
          <w:szCs w:val="30"/>
          <w:rtl/>
        </w:rPr>
        <w:t xml:space="preserve"> في اليمن ومقاضاتهم بموجب القانون الدولي.</w:t>
      </w:r>
    </w:p>
    <w:p w14:paraId="3F7FBD98" w14:textId="77777777" w:rsidR="001462D7" w:rsidRDefault="001462D7">
      <w:pPr>
        <w:suppressAutoHyphens w:val="0"/>
        <w:spacing w:line="240" w:lineRule="auto"/>
        <w:rPr>
          <w:b/>
          <w:bCs/>
          <w:sz w:val="28"/>
          <w:szCs w:val="28"/>
        </w:rPr>
      </w:pPr>
      <w:bookmarkStart w:id="39" w:name="_Toc18155915"/>
      <w:bookmarkStart w:id="40" w:name="_Toc18918119"/>
      <w:r>
        <w:rPr>
          <w:b/>
          <w:bCs/>
          <w:sz w:val="28"/>
          <w:szCs w:val="28"/>
        </w:rPr>
        <w:lastRenderedPageBreak/>
        <w:br w:type="page"/>
      </w:r>
    </w:p>
    <w:p w14:paraId="7883764F" w14:textId="2E63A362" w:rsidR="004639AE" w:rsidRDefault="004639AE" w:rsidP="004639AE">
      <w:pPr>
        <w:pStyle w:val="Heading2"/>
        <w:rPr>
          <w:b/>
          <w:bCs/>
          <w:sz w:val="28"/>
          <w:szCs w:val="28"/>
        </w:rPr>
      </w:pPr>
      <w:r>
        <w:rPr>
          <w:b/>
          <w:bCs/>
          <w:sz w:val="28"/>
          <w:szCs w:val="28"/>
        </w:rPr>
        <w:lastRenderedPageBreak/>
        <w:t>Annex I</w:t>
      </w:r>
    </w:p>
    <w:p w14:paraId="665EAE88" w14:textId="77777777" w:rsidR="004639AE" w:rsidRPr="008E3AB8" w:rsidRDefault="004639AE" w:rsidP="004639AE">
      <w:pPr>
        <w:pStyle w:val="H1G"/>
      </w:pPr>
      <w:r>
        <w:tab/>
      </w:r>
      <w:r>
        <w:tab/>
      </w:r>
      <w:r w:rsidRPr="008E3AB8">
        <w:t>Mapping of military and security apparatus and armed groups</w:t>
      </w:r>
    </w:p>
    <w:bookmarkEnd w:id="39"/>
    <w:bookmarkEnd w:id="40"/>
    <w:p w14:paraId="2B998769" w14:textId="77777777" w:rsidR="00EA7E88" w:rsidRPr="00B91FAE" w:rsidRDefault="00EA7E88" w:rsidP="00EA7E88">
      <w:pPr>
        <w:pStyle w:val="ListParagraph"/>
        <w:numPr>
          <w:ilvl w:val="0"/>
          <w:numId w:val="30"/>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Kingdom of Saudi Arabia</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3239"/>
        <w:gridCol w:w="1980"/>
        <w:gridCol w:w="3690"/>
      </w:tblGrid>
      <w:tr w:rsidR="00EA7E88" w:rsidRPr="00B91FAE" w14:paraId="33D2BB42" w14:textId="77777777" w:rsidTr="00162F52">
        <w:tc>
          <w:tcPr>
            <w:tcW w:w="816" w:type="dxa"/>
            <w:tcBorders>
              <w:bottom w:val="single" w:sz="4" w:space="0" w:color="auto"/>
            </w:tcBorders>
            <w:shd w:val="clear" w:color="auto" w:fill="FFFFFF" w:themeFill="background1"/>
          </w:tcPr>
          <w:p w14:paraId="3BECA19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3239" w:type="dxa"/>
            <w:tcBorders>
              <w:bottom w:val="single" w:sz="4" w:space="0" w:color="auto"/>
            </w:tcBorders>
            <w:shd w:val="clear" w:color="auto" w:fill="FFFFFF" w:themeFill="background1"/>
          </w:tcPr>
          <w:p w14:paraId="7FFFB42E"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1980" w:type="dxa"/>
            <w:tcBorders>
              <w:bottom w:val="single" w:sz="4" w:space="0" w:color="auto"/>
            </w:tcBorders>
            <w:shd w:val="clear" w:color="auto" w:fill="FFFFFF" w:themeFill="background1"/>
          </w:tcPr>
          <w:p w14:paraId="0FB04DDD"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79A7C237"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4884F468" w14:textId="77777777" w:rsidTr="00162F52">
        <w:tc>
          <w:tcPr>
            <w:tcW w:w="816" w:type="dxa"/>
            <w:tcBorders>
              <w:top w:val="single" w:sz="4" w:space="0" w:color="auto"/>
            </w:tcBorders>
          </w:tcPr>
          <w:p w14:paraId="36668F72"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w:t>
            </w:r>
          </w:p>
        </w:tc>
        <w:tc>
          <w:tcPr>
            <w:tcW w:w="3239" w:type="dxa"/>
            <w:tcBorders>
              <w:top w:val="single" w:sz="4" w:space="0" w:color="auto"/>
            </w:tcBorders>
          </w:tcPr>
          <w:p w14:paraId="1799D24C"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Pr>
              <w:t>Crown Prince Mohammad Bin Salman</w:t>
            </w:r>
          </w:p>
          <w:p w14:paraId="032564D6"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الامير محمد بن سلمان</w:t>
            </w:r>
          </w:p>
        </w:tc>
        <w:tc>
          <w:tcPr>
            <w:tcW w:w="1980" w:type="dxa"/>
            <w:tcBorders>
              <w:top w:val="single" w:sz="4" w:space="0" w:color="auto"/>
            </w:tcBorders>
          </w:tcPr>
          <w:p w14:paraId="4C9A1433" w14:textId="77777777" w:rsidR="00EA7E88" w:rsidRPr="00B91FAE" w:rsidRDefault="00EA7E88" w:rsidP="00162F52">
            <w:pPr>
              <w:rPr>
                <w:rFonts w:asciiTheme="majorBidi" w:hAnsiTheme="majorBidi" w:cstheme="majorBidi"/>
              </w:rPr>
            </w:pPr>
            <w:r w:rsidRPr="00B91FAE">
              <w:rPr>
                <w:rFonts w:asciiTheme="majorBidi" w:hAnsiTheme="majorBidi" w:cstheme="majorBidi"/>
              </w:rPr>
              <w:t>Minister of Defence</w:t>
            </w:r>
          </w:p>
        </w:tc>
        <w:tc>
          <w:tcPr>
            <w:tcW w:w="3690" w:type="dxa"/>
            <w:tcBorders>
              <w:top w:val="single" w:sz="4" w:space="0" w:color="auto"/>
            </w:tcBorders>
          </w:tcPr>
          <w:p w14:paraId="4E05B3AF" w14:textId="77777777" w:rsidR="00EA7E88" w:rsidRPr="00B91FAE" w:rsidRDefault="00EA7E88" w:rsidP="00162F52">
            <w:pPr>
              <w:rPr>
                <w:rFonts w:asciiTheme="majorBidi" w:hAnsiTheme="majorBidi" w:cstheme="majorBidi"/>
              </w:rPr>
            </w:pPr>
            <w:r w:rsidRPr="00B91FAE">
              <w:rPr>
                <w:rFonts w:asciiTheme="majorBidi" w:hAnsiTheme="majorBidi" w:cstheme="majorBidi"/>
              </w:rPr>
              <w:t>23 January 2015</w:t>
            </w:r>
            <w:r w:rsidRPr="00B91FAE">
              <w:rPr>
                <w:rStyle w:val="FootnoteReference"/>
                <w:rFonts w:asciiTheme="majorBidi" w:hAnsiTheme="majorBidi" w:cstheme="majorBidi"/>
              </w:rPr>
              <w:footnoteReference w:id="1467"/>
            </w:r>
          </w:p>
          <w:p w14:paraId="4BCB122C"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lang w:val="en-US"/>
              </w:rPr>
              <w:t>At the top of the decision-making process</w:t>
            </w:r>
          </w:p>
        </w:tc>
      </w:tr>
      <w:tr w:rsidR="00EA7E88" w:rsidRPr="00B91FAE" w14:paraId="0401F334" w14:textId="77777777" w:rsidTr="00162F52">
        <w:tc>
          <w:tcPr>
            <w:tcW w:w="816" w:type="dxa"/>
          </w:tcPr>
          <w:p w14:paraId="2FA10C2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2</w:t>
            </w:r>
          </w:p>
        </w:tc>
        <w:tc>
          <w:tcPr>
            <w:tcW w:w="3239" w:type="dxa"/>
          </w:tcPr>
          <w:p w14:paraId="505B195E"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General Fayyadh al-Ruwaili</w:t>
            </w:r>
            <w:r w:rsidRPr="00B91FAE">
              <w:rPr>
                <w:rStyle w:val="FootnoteReference"/>
                <w:rFonts w:asciiTheme="majorBidi" w:hAnsiTheme="majorBidi" w:cstheme="majorBidi"/>
              </w:rPr>
              <w:footnoteReference w:id="1468"/>
            </w:r>
          </w:p>
          <w:p w14:paraId="51E8FAA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اول الركن فياض بن حامد الرويلي</w:t>
            </w:r>
          </w:p>
        </w:tc>
        <w:tc>
          <w:tcPr>
            <w:tcW w:w="1980" w:type="dxa"/>
          </w:tcPr>
          <w:p w14:paraId="71E4816D" w14:textId="77777777" w:rsidR="00EA7E88" w:rsidRPr="00B91FAE" w:rsidRDefault="00EA7E88" w:rsidP="00162F52">
            <w:pPr>
              <w:rPr>
                <w:rFonts w:asciiTheme="majorBidi" w:hAnsiTheme="majorBidi" w:cstheme="majorBidi"/>
              </w:rPr>
            </w:pPr>
            <w:r w:rsidRPr="00B91FAE">
              <w:rPr>
                <w:rFonts w:asciiTheme="majorBidi" w:hAnsiTheme="majorBidi" w:cstheme="majorBidi"/>
              </w:rPr>
              <w:t>Chairman of the Joint Chiefs of Staff</w:t>
            </w:r>
          </w:p>
        </w:tc>
        <w:tc>
          <w:tcPr>
            <w:tcW w:w="3690" w:type="dxa"/>
          </w:tcPr>
          <w:p w14:paraId="66462B9B"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p w14:paraId="2D03C0A3" w14:textId="77777777" w:rsidR="00EA7E88" w:rsidRPr="00B91FAE" w:rsidRDefault="00EA7E88" w:rsidP="00162F52">
            <w:pPr>
              <w:rPr>
                <w:rFonts w:asciiTheme="majorBidi" w:hAnsiTheme="majorBidi" w:cstheme="majorBidi"/>
              </w:rPr>
            </w:pPr>
          </w:p>
        </w:tc>
      </w:tr>
      <w:tr w:rsidR="00EA7E88" w:rsidRPr="00B91FAE" w14:paraId="16F923CF" w14:textId="77777777" w:rsidTr="00162F52">
        <w:tc>
          <w:tcPr>
            <w:tcW w:w="816" w:type="dxa"/>
          </w:tcPr>
          <w:p w14:paraId="59DBB80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3</w:t>
            </w:r>
          </w:p>
        </w:tc>
        <w:tc>
          <w:tcPr>
            <w:tcW w:w="3239" w:type="dxa"/>
          </w:tcPr>
          <w:p w14:paraId="5D2FCFD7"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Prince Lieutenant General Fahad bin Turki bin Abdalazeez</w:t>
            </w:r>
          </w:p>
          <w:p w14:paraId="0E454925"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الامير الفريق ركن فهد بن تركي بن عبدالعزيز</w:t>
            </w:r>
          </w:p>
        </w:tc>
        <w:tc>
          <w:tcPr>
            <w:tcW w:w="1980" w:type="dxa"/>
          </w:tcPr>
          <w:p w14:paraId="1313C259"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Joint Forces Commander </w:t>
            </w:r>
          </w:p>
          <w:p w14:paraId="781382C1" w14:textId="77777777" w:rsidR="00EA7E88" w:rsidRPr="00B91FAE" w:rsidRDefault="00EA7E88" w:rsidP="00162F52">
            <w:pPr>
              <w:rPr>
                <w:rFonts w:asciiTheme="majorBidi" w:hAnsiTheme="majorBidi" w:cstheme="majorBidi"/>
              </w:rPr>
            </w:pPr>
          </w:p>
        </w:tc>
        <w:tc>
          <w:tcPr>
            <w:tcW w:w="3690" w:type="dxa"/>
          </w:tcPr>
          <w:p w14:paraId="1F8C2FAF"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Coalition Commander since 27 February 2018  </w:t>
            </w:r>
          </w:p>
          <w:p w14:paraId="600E12EE"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the Royal Saudi Land Forces from April 2017 -27 February 2018</w:t>
            </w:r>
          </w:p>
        </w:tc>
      </w:tr>
      <w:tr w:rsidR="00EA7E88" w:rsidRPr="00B91FAE" w14:paraId="1667CD96" w14:textId="77777777" w:rsidTr="00162F52">
        <w:tc>
          <w:tcPr>
            <w:tcW w:w="816" w:type="dxa"/>
          </w:tcPr>
          <w:p w14:paraId="6EDF6C8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4</w:t>
            </w:r>
          </w:p>
        </w:tc>
        <w:tc>
          <w:tcPr>
            <w:tcW w:w="3239" w:type="dxa"/>
          </w:tcPr>
          <w:p w14:paraId="0C5356F4"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Fahd bin Abdallah al-Mtair</w:t>
            </w:r>
            <w:r w:rsidRPr="00B91FAE">
              <w:rPr>
                <w:rStyle w:val="FootnoteReference"/>
                <w:rFonts w:asciiTheme="majorBidi" w:hAnsiTheme="majorBidi" w:cstheme="majorBidi"/>
              </w:rPr>
              <w:footnoteReference w:id="1469"/>
            </w:r>
          </w:p>
          <w:p w14:paraId="743B954C" w14:textId="77777777" w:rsidR="00EA7E88" w:rsidRPr="00B91FAE" w:rsidRDefault="00EA7E88" w:rsidP="00162F52">
            <w:pPr>
              <w:rPr>
                <w:rFonts w:asciiTheme="majorBidi" w:hAnsiTheme="majorBidi" w:cstheme="majorBidi"/>
                <w:rtl/>
              </w:rPr>
            </w:pPr>
            <w:r w:rsidRPr="00B91FAE">
              <w:rPr>
                <w:rFonts w:asciiTheme="majorBidi" w:hAnsiTheme="majorBidi" w:cstheme="majorBidi"/>
                <w:rtl/>
              </w:rPr>
              <w:t>الفريق ركن فهد بن عبدالله المطير</w:t>
            </w:r>
          </w:p>
        </w:tc>
        <w:tc>
          <w:tcPr>
            <w:tcW w:w="1980" w:type="dxa"/>
          </w:tcPr>
          <w:p w14:paraId="2CDB6977" w14:textId="77777777" w:rsidR="00EA7E88" w:rsidRPr="00B91FAE" w:rsidRDefault="00EA7E88" w:rsidP="00162F52">
            <w:pPr>
              <w:rPr>
                <w:rFonts w:asciiTheme="majorBidi" w:hAnsiTheme="majorBidi" w:cstheme="majorBidi"/>
              </w:rPr>
            </w:pPr>
            <w:r w:rsidRPr="00B91FAE">
              <w:rPr>
                <w:rFonts w:asciiTheme="majorBidi" w:hAnsiTheme="majorBidi" w:cstheme="majorBidi"/>
              </w:rPr>
              <w:t>Land Forces Commander</w:t>
            </w:r>
          </w:p>
          <w:p w14:paraId="7869C096" w14:textId="77777777" w:rsidR="00EA7E88" w:rsidRPr="00B91FAE" w:rsidRDefault="00EA7E88" w:rsidP="00162F52">
            <w:pPr>
              <w:rPr>
                <w:rFonts w:asciiTheme="majorBidi" w:hAnsiTheme="majorBidi" w:cstheme="majorBidi"/>
              </w:rPr>
            </w:pPr>
          </w:p>
        </w:tc>
        <w:tc>
          <w:tcPr>
            <w:tcW w:w="3690" w:type="dxa"/>
          </w:tcPr>
          <w:p w14:paraId="0C0E29D7"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tc>
      </w:tr>
      <w:tr w:rsidR="00EA7E88" w:rsidRPr="00B91FAE" w14:paraId="139A70C5" w14:textId="77777777" w:rsidTr="00162F52">
        <w:tc>
          <w:tcPr>
            <w:tcW w:w="816" w:type="dxa"/>
          </w:tcPr>
          <w:p w14:paraId="2746BAFA"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5</w:t>
            </w:r>
          </w:p>
        </w:tc>
        <w:tc>
          <w:tcPr>
            <w:tcW w:w="3239" w:type="dxa"/>
          </w:tcPr>
          <w:p w14:paraId="5F7FC73C" w14:textId="77777777" w:rsidR="00EA7E88" w:rsidRPr="00B91FAE" w:rsidRDefault="00EA7E88" w:rsidP="00162F52">
            <w:pPr>
              <w:rPr>
                <w:rFonts w:asciiTheme="majorBidi" w:hAnsiTheme="majorBidi" w:cstheme="majorBidi"/>
              </w:rPr>
            </w:pPr>
            <w:r w:rsidRPr="00B91FAE">
              <w:rPr>
                <w:rFonts w:asciiTheme="majorBidi" w:hAnsiTheme="majorBidi" w:cstheme="majorBidi"/>
              </w:rPr>
              <w:t>Prince Lieutenant General</w:t>
            </w:r>
            <w:r w:rsidRPr="00B91FAE">
              <w:rPr>
                <w:rFonts w:asciiTheme="majorBidi" w:hAnsiTheme="majorBidi" w:cstheme="majorBidi"/>
                <w:rtl/>
              </w:rPr>
              <w:t xml:space="preserve"> </w:t>
            </w:r>
            <w:r w:rsidRPr="00B91FAE">
              <w:rPr>
                <w:rFonts w:asciiTheme="majorBidi" w:hAnsiTheme="majorBidi" w:cstheme="majorBidi"/>
              </w:rPr>
              <w:t>Turki bin Bandar bin Abdalazeez al-Saud</w:t>
            </w:r>
            <w:r w:rsidRPr="00B91FAE">
              <w:rPr>
                <w:rStyle w:val="FootnoteReference"/>
                <w:rFonts w:asciiTheme="majorBidi" w:hAnsiTheme="majorBidi" w:cstheme="majorBidi"/>
              </w:rPr>
              <w:footnoteReference w:id="1470"/>
            </w:r>
            <w:r w:rsidRPr="00B91FAE">
              <w:rPr>
                <w:rFonts w:asciiTheme="majorBidi" w:hAnsiTheme="majorBidi" w:cstheme="majorBidi"/>
              </w:rPr>
              <w:t xml:space="preserve"> </w:t>
            </w:r>
          </w:p>
          <w:p w14:paraId="440B2E6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الامير الفريق ركن تركي بن بندر بن عبدالعزيز آل سعود</w:t>
            </w:r>
          </w:p>
        </w:tc>
        <w:tc>
          <w:tcPr>
            <w:tcW w:w="1980" w:type="dxa"/>
          </w:tcPr>
          <w:p w14:paraId="7BFFE494"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Force Commander</w:t>
            </w:r>
          </w:p>
        </w:tc>
        <w:tc>
          <w:tcPr>
            <w:tcW w:w="3690" w:type="dxa"/>
          </w:tcPr>
          <w:p w14:paraId="22F106B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27 February 2018 </w:t>
            </w:r>
          </w:p>
        </w:tc>
      </w:tr>
      <w:tr w:rsidR="00EA7E88" w:rsidRPr="00B91FAE" w14:paraId="0D7A2882" w14:textId="77777777" w:rsidTr="00162F52">
        <w:tc>
          <w:tcPr>
            <w:tcW w:w="816" w:type="dxa"/>
          </w:tcPr>
          <w:p w14:paraId="26E4FF7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6</w:t>
            </w:r>
          </w:p>
        </w:tc>
        <w:tc>
          <w:tcPr>
            <w:tcW w:w="3239" w:type="dxa"/>
          </w:tcPr>
          <w:p w14:paraId="3A289600"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 xml:space="preserve">Vice Admiral Fahd bin Abdulla al-Ghufaili </w:t>
            </w:r>
            <w:r w:rsidRPr="00B91FAE">
              <w:rPr>
                <w:rStyle w:val="FootnoteReference"/>
                <w:rFonts w:asciiTheme="majorBidi" w:hAnsiTheme="majorBidi" w:cstheme="majorBidi"/>
              </w:rPr>
              <w:footnoteReference w:id="1471"/>
            </w:r>
          </w:p>
          <w:p w14:paraId="420F52D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فهد بن عبدالله الغفيلي</w:t>
            </w:r>
          </w:p>
        </w:tc>
        <w:tc>
          <w:tcPr>
            <w:tcW w:w="1980" w:type="dxa"/>
          </w:tcPr>
          <w:p w14:paraId="60E90D71" w14:textId="77777777" w:rsidR="00EA7E88" w:rsidRPr="00B91FAE" w:rsidRDefault="00EA7E88" w:rsidP="00162F52">
            <w:pPr>
              <w:rPr>
                <w:rFonts w:asciiTheme="majorBidi" w:hAnsiTheme="majorBidi" w:cstheme="majorBidi"/>
              </w:rPr>
            </w:pPr>
            <w:r w:rsidRPr="00B91FAE">
              <w:rPr>
                <w:rFonts w:asciiTheme="majorBidi" w:hAnsiTheme="majorBidi" w:cstheme="majorBidi"/>
              </w:rPr>
              <w:t>Naval Commander</w:t>
            </w:r>
          </w:p>
          <w:p w14:paraId="67B58902" w14:textId="77777777" w:rsidR="00EA7E88" w:rsidRPr="00B91FAE" w:rsidRDefault="00EA7E88" w:rsidP="00162F52">
            <w:pPr>
              <w:rPr>
                <w:rFonts w:asciiTheme="majorBidi" w:hAnsiTheme="majorBidi" w:cstheme="majorBidi"/>
              </w:rPr>
            </w:pPr>
          </w:p>
        </w:tc>
        <w:tc>
          <w:tcPr>
            <w:tcW w:w="3690" w:type="dxa"/>
          </w:tcPr>
          <w:p w14:paraId="3A55ED37"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4 November 2017  </w:t>
            </w:r>
          </w:p>
        </w:tc>
      </w:tr>
      <w:tr w:rsidR="00EA7E88" w:rsidRPr="00B91FAE" w14:paraId="293B022B" w14:textId="77777777" w:rsidTr="00162F52">
        <w:tc>
          <w:tcPr>
            <w:tcW w:w="816" w:type="dxa"/>
          </w:tcPr>
          <w:p w14:paraId="2270A85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7</w:t>
            </w:r>
          </w:p>
        </w:tc>
        <w:tc>
          <w:tcPr>
            <w:tcW w:w="3239" w:type="dxa"/>
          </w:tcPr>
          <w:p w14:paraId="56F601E4"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Mazyad Sulaiman al-Amro</w:t>
            </w:r>
            <w:r w:rsidRPr="00B91FAE">
              <w:rPr>
                <w:rStyle w:val="FootnoteReference"/>
                <w:rFonts w:asciiTheme="majorBidi" w:hAnsiTheme="majorBidi" w:cstheme="majorBidi"/>
              </w:rPr>
              <w:footnoteReference w:id="1472"/>
            </w:r>
          </w:p>
          <w:p w14:paraId="36B3793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مزيد بن سليمان العمرو</w:t>
            </w:r>
          </w:p>
        </w:tc>
        <w:tc>
          <w:tcPr>
            <w:tcW w:w="1980" w:type="dxa"/>
          </w:tcPr>
          <w:p w14:paraId="1E3D4630"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Defence Commander</w:t>
            </w:r>
          </w:p>
          <w:p w14:paraId="2FBA5CCE" w14:textId="77777777" w:rsidR="00EA7E88" w:rsidRPr="00B91FAE" w:rsidRDefault="00EA7E88" w:rsidP="00162F52">
            <w:pPr>
              <w:rPr>
                <w:rFonts w:asciiTheme="majorBidi" w:hAnsiTheme="majorBidi" w:cstheme="majorBidi"/>
              </w:rPr>
            </w:pPr>
          </w:p>
        </w:tc>
        <w:tc>
          <w:tcPr>
            <w:tcW w:w="3690" w:type="dxa"/>
          </w:tcPr>
          <w:p w14:paraId="1B871B9C"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27 February 2018 </w:t>
            </w:r>
          </w:p>
        </w:tc>
      </w:tr>
      <w:tr w:rsidR="00EA7E88" w:rsidRPr="00B91FAE" w14:paraId="627D9994" w14:textId="77777777" w:rsidTr="00162F52">
        <w:tc>
          <w:tcPr>
            <w:tcW w:w="816" w:type="dxa"/>
          </w:tcPr>
          <w:p w14:paraId="57CF04EF"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8</w:t>
            </w:r>
          </w:p>
        </w:tc>
        <w:tc>
          <w:tcPr>
            <w:tcW w:w="3239" w:type="dxa"/>
          </w:tcPr>
          <w:p w14:paraId="3BFD3272"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Jarallah bin Mohammed bin Jarallah al-Elwait</w:t>
            </w:r>
          </w:p>
          <w:p w14:paraId="7B850F49"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جار الله بن محمد بن جار الله العلويط</w:t>
            </w:r>
          </w:p>
        </w:tc>
        <w:tc>
          <w:tcPr>
            <w:tcW w:w="1980" w:type="dxa"/>
          </w:tcPr>
          <w:p w14:paraId="3AA8557C" w14:textId="77777777" w:rsidR="00EA7E88" w:rsidRPr="00B91FAE" w:rsidRDefault="00EA7E88" w:rsidP="00162F52">
            <w:pPr>
              <w:rPr>
                <w:rFonts w:asciiTheme="majorBidi" w:hAnsiTheme="majorBidi" w:cstheme="majorBidi"/>
              </w:rPr>
            </w:pPr>
            <w:r w:rsidRPr="00B91FAE">
              <w:rPr>
                <w:rFonts w:asciiTheme="majorBidi" w:hAnsiTheme="majorBidi" w:cstheme="majorBidi"/>
              </w:rPr>
              <w:t>Strategic Missile Force Commander</w:t>
            </w:r>
          </w:p>
          <w:p w14:paraId="66E45A86" w14:textId="77777777" w:rsidR="00EA7E88" w:rsidRPr="00B91FAE" w:rsidRDefault="00EA7E88" w:rsidP="00162F52">
            <w:pPr>
              <w:rPr>
                <w:rFonts w:asciiTheme="majorBidi" w:hAnsiTheme="majorBidi" w:cstheme="majorBidi"/>
              </w:rPr>
            </w:pPr>
          </w:p>
        </w:tc>
        <w:tc>
          <w:tcPr>
            <w:tcW w:w="3690" w:type="dxa"/>
          </w:tcPr>
          <w:p w14:paraId="6171B6C5" w14:textId="77777777" w:rsidR="00EA7E88" w:rsidRPr="00B91FAE" w:rsidRDefault="00EA7E88" w:rsidP="00162F52">
            <w:pPr>
              <w:rPr>
                <w:rFonts w:asciiTheme="majorBidi" w:hAnsiTheme="majorBidi" w:cstheme="majorBidi"/>
              </w:rPr>
            </w:pPr>
            <w:r w:rsidRPr="00B91FAE">
              <w:rPr>
                <w:rFonts w:asciiTheme="majorBidi" w:hAnsiTheme="majorBidi" w:cstheme="majorBidi"/>
              </w:rPr>
              <w:t>27 February 2018</w:t>
            </w:r>
          </w:p>
        </w:tc>
      </w:tr>
      <w:tr w:rsidR="00EA7E88" w:rsidRPr="00B91FAE" w14:paraId="0D7B017B" w14:textId="77777777" w:rsidTr="00162F52">
        <w:tc>
          <w:tcPr>
            <w:tcW w:w="816" w:type="dxa"/>
          </w:tcPr>
          <w:p w14:paraId="07799FD5"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9</w:t>
            </w:r>
          </w:p>
        </w:tc>
        <w:tc>
          <w:tcPr>
            <w:tcW w:w="3239" w:type="dxa"/>
          </w:tcPr>
          <w:p w14:paraId="5FF5526B"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Pilot Abdullah al-Ghamdi</w:t>
            </w:r>
          </w:p>
          <w:p w14:paraId="6167BADF"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 xml:space="preserve">اللواء الركن الطيار عبدالله الغامدي </w:t>
            </w:r>
          </w:p>
        </w:tc>
        <w:tc>
          <w:tcPr>
            <w:tcW w:w="1980" w:type="dxa"/>
          </w:tcPr>
          <w:p w14:paraId="6378DB58" w14:textId="77777777" w:rsidR="00EA7E88" w:rsidRPr="00B91FAE" w:rsidRDefault="00EA7E88" w:rsidP="00162F52">
            <w:pPr>
              <w:rPr>
                <w:rFonts w:asciiTheme="majorBidi" w:hAnsiTheme="majorBidi" w:cstheme="majorBidi"/>
              </w:rPr>
            </w:pPr>
            <w:r w:rsidRPr="00B91FAE">
              <w:rPr>
                <w:rFonts w:asciiTheme="majorBidi" w:hAnsiTheme="majorBidi" w:cstheme="majorBidi"/>
              </w:rPr>
              <w:t>Air Operations, Deputy Air Force Commander</w:t>
            </w:r>
          </w:p>
        </w:tc>
        <w:tc>
          <w:tcPr>
            <w:tcW w:w="3690" w:type="dxa"/>
          </w:tcPr>
          <w:p w14:paraId="2E83B31C"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Deputy Commander</w:t>
            </w:r>
            <w:r w:rsidRPr="00B91FAE">
              <w:rPr>
                <w:rStyle w:val="FootnoteReference"/>
                <w:rFonts w:asciiTheme="majorBidi" w:hAnsiTheme="majorBidi" w:cstheme="majorBidi"/>
              </w:rPr>
              <w:footnoteReference w:id="1473"/>
            </w:r>
          </w:p>
        </w:tc>
      </w:tr>
    </w:tbl>
    <w:p w14:paraId="42F48A06" w14:textId="77777777" w:rsidR="00EA7E88" w:rsidRPr="00B91FAE" w:rsidRDefault="00EA7E88" w:rsidP="00EA7E88">
      <w:pPr>
        <w:pStyle w:val="ListParagraph"/>
        <w:spacing w:after="160" w:line="259" w:lineRule="auto"/>
        <w:ind w:left="360"/>
        <w:rPr>
          <w:rFonts w:asciiTheme="majorBidi" w:hAnsiTheme="majorBidi" w:cstheme="majorBidi"/>
          <w:b/>
          <w:bCs/>
          <w:sz w:val="20"/>
          <w:szCs w:val="20"/>
        </w:rPr>
      </w:pPr>
    </w:p>
    <w:p w14:paraId="3A5FE6D1" w14:textId="77777777" w:rsidR="00EA7E88" w:rsidRPr="00B91FAE" w:rsidRDefault="00EA7E88" w:rsidP="00EA7E88">
      <w:pPr>
        <w:suppressAutoHyphens w:val="0"/>
        <w:spacing w:line="240" w:lineRule="auto"/>
        <w:rPr>
          <w:rFonts w:asciiTheme="majorBidi" w:eastAsia="Calibri" w:hAnsiTheme="majorBidi" w:cstheme="majorBidi"/>
          <w:b/>
          <w:bCs/>
          <w:lang w:val="de-AT"/>
        </w:rPr>
      </w:pPr>
      <w:r w:rsidRPr="00B91FAE">
        <w:rPr>
          <w:rFonts w:asciiTheme="majorBidi" w:hAnsiTheme="majorBidi" w:cstheme="majorBidi"/>
          <w:b/>
          <w:bCs/>
        </w:rPr>
        <w:br w:type="page"/>
      </w:r>
    </w:p>
    <w:p w14:paraId="0C26A337" w14:textId="77777777" w:rsidR="00EA7E88" w:rsidRPr="00B91FAE" w:rsidRDefault="00EA7E88" w:rsidP="00EA7E88">
      <w:pPr>
        <w:pStyle w:val="ListParagraph"/>
        <w:spacing w:after="160" w:line="259" w:lineRule="auto"/>
        <w:ind w:left="360"/>
        <w:rPr>
          <w:rFonts w:asciiTheme="majorBidi" w:hAnsiTheme="majorBidi" w:cstheme="majorBidi"/>
          <w:b/>
          <w:bCs/>
          <w:sz w:val="20"/>
          <w:szCs w:val="20"/>
        </w:rPr>
      </w:pPr>
    </w:p>
    <w:p w14:paraId="41502CCD" w14:textId="77777777" w:rsidR="00EA7E88" w:rsidRPr="00B91FAE" w:rsidRDefault="00EA7E88" w:rsidP="00EA7E88">
      <w:pPr>
        <w:pStyle w:val="ListParagraph"/>
        <w:numPr>
          <w:ilvl w:val="0"/>
          <w:numId w:val="30"/>
        </w:numPr>
        <w:spacing w:after="160" w:line="259" w:lineRule="auto"/>
        <w:ind w:hanging="720"/>
        <w:rPr>
          <w:rFonts w:asciiTheme="majorBidi" w:hAnsiTheme="majorBidi" w:cstheme="majorBidi"/>
          <w:b/>
          <w:bCs/>
          <w:sz w:val="20"/>
          <w:szCs w:val="20"/>
        </w:rPr>
      </w:pPr>
      <w:r w:rsidRPr="00B91FAE">
        <w:rPr>
          <w:rFonts w:asciiTheme="majorBidi" w:hAnsiTheme="majorBidi" w:cstheme="majorBidi"/>
          <w:b/>
          <w:bCs/>
          <w:sz w:val="20"/>
          <w:szCs w:val="20"/>
        </w:rPr>
        <w:t xml:space="preserve">United Arab Emirates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
        <w:gridCol w:w="3031"/>
        <w:gridCol w:w="2190"/>
        <w:gridCol w:w="3690"/>
      </w:tblGrid>
      <w:tr w:rsidR="00EA7E88" w:rsidRPr="00B91FAE" w14:paraId="4DF87DE5" w14:textId="77777777" w:rsidTr="00162F52">
        <w:tc>
          <w:tcPr>
            <w:tcW w:w="814" w:type="dxa"/>
            <w:tcBorders>
              <w:bottom w:val="single" w:sz="4" w:space="0" w:color="auto"/>
            </w:tcBorders>
            <w:shd w:val="clear" w:color="auto" w:fill="FFFFFF" w:themeFill="background1"/>
          </w:tcPr>
          <w:p w14:paraId="3BD39AAD"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3031" w:type="dxa"/>
            <w:tcBorders>
              <w:bottom w:val="single" w:sz="4" w:space="0" w:color="auto"/>
            </w:tcBorders>
            <w:shd w:val="clear" w:color="auto" w:fill="FFFFFF" w:themeFill="background1"/>
          </w:tcPr>
          <w:p w14:paraId="3FE1AF6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2190" w:type="dxa"/>
            <w:tcBorders>
              <w:bottom w:val="single" w:sz="4" w:space="0" w:color="auto"/>
            </w:tcBorders>
            <w:shd w:val="clear" w:color="auto" w:fill="FFFFFF" w:themeFill="background1"/>
          </w:tcPr>
          <w:p w14:paraId="501299A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Position</w:t>
            </w:r>
          </w:p>
        </w:tc>
        <w:tc>
          <w:tcPr>
            <w:tcW w:w="3690" w:type="dxa"/>
            <w:tcBorders>
              <w:bottom w:val="single" w:sz="4" w:space="0" w:color="auto"/>
            </w:tcBorders>
            <w:shd w:val="clear" w:color="auto" w:fill="FFFFFF" w:themeFill="background1"/>
          </w:tcPr>
          <w:p w14:paraId="749D349E"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51744E77" w14:textId="77777777" w:rsidTr="00162F52">
        <w:tc>
          <w:tcPr>
            <w:tcW w:w="814" w:type="dxa"/>
            <w:tcBorders>
              <w:top w:val="single" w:sz="4" w:space="0" w:color="auto"/>
            </w:tcBorders>
          </w:tcPr>
          <w:p w14:paraId="510294A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w:t>
            </w:r>
          </w:p>
        </w:tc>
        <w:tc>
          <w:tcPr>
            <w:tcW w:w="3031" w:type="dxa"/>
            <w:tcBorders>
              <w:top w:val="single" w:sz="4" w:space="0" w:color="auto"/>
            </w:tcBorders>
          </w:tcPr>
          <w:p w14:paraId="6B0CC78B"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Pr>
              <w:t>Sheikh Mohammed bin Zayed al-Nahyan</w:t>
            </w:r>
          </w:p>
          <w:p w14:paraId="644FFE47"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tl/>
                <w:lang w:bidi="ar-JO"/>
              </w:rPr>
              <w:t>الشيخ محمد بن زايد آل نهيان</w:t>
            </w:r>
          </w:p>
        </w:tc>
        <w:tc>
          <w:tcPr>
            <w:tcW w:w="2190" w:type="dxa"/>
            <w:tcBorders>
              <w:top w:val="single" w:sz="4" w:space="0" w:color="auto"/>
            </w:tcBorders>
          </w:tcPr>
          <w:p w14:paraId="6BDAE173" w14:textId="77777777" w:rsidR="00EA7E88" w:rsidRPr="00B91FAE" w:rsidRDefault="00EA7E88" w:rsidP="00162F52">
            <w:pPr>
              <w:rPr>
                <w:rFonts w:asciiTheme="majorBidi" w:hAnsiTheme="majorBidi" w:cstheme="majorBidi"/>
              </w:rPr>
            </w:pPr>
            <w:r w:rsidRPr="00B91FAE">
              <w:rPr>
                <w:rFonts w:asciiTheme="majorBidi" w:hAnsiTheme="majorBidi" w:cstheme="majorBidi"/>
              </w:rPr>
              <w:t>Deputy  Supreme Commander</w:t>
            </w:r>
          </w:p>
          <w:p w14:paraId="4707FC0D" w14:textId="77777777" w:rsidR="00EA7E88" w:rsidRPr="00B91FAE" w:rsidRDefault="00EA7E88" w:rsidP="00162F52">
            <w:pPr>
              <w:rPr>
                <w:rFonts w:asciiTheme="majorBidi" w:hAnsiTheme="majorBidi" w:cstheme="majorBidi"/>
              </w:rPr>
            </w:pPr>
          </w:p>
        </w:tc>
        <w:tc>
          <w:tcPr>
            <w:tcW w:w="3690" w:type="dxa"/>
            <w:tcBorders>
              <w:top w:val="single" w:sz="4" w:space="0" w:color="auto"/>
            </w:tcBorders>
          </w:tcPr>
          <w:p w14:paraId="185D618E"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Top of decision-making process </w:t>
            </w:r>
          </w:p>
        </w:tc>
      </w:tr>
      <w:tr w:rsidR="00EA7E88" w:rsidRPr="00B91FAE" w14:paraId="2F45EFFE" w14:textId="77777777" w:rsidTr="00162F52">
        <w:trPr>
          <w:trHeight w:val="855"/>
        </w:trPr>
        <w:tc>
          <w:tcPr>
            <w:tcW w:w="814" w:type="dxa"/>
          </w:tcPr>
          <w:p w14:paraId="75F308D0"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2</w:t>
            </w:r>
          </w:p>
        </w:tc>
        <w:tc>
          <w:tcPr>
            <w:tcW w:w="3031" w:type="dxa"/>
          </w:tcPr>
          <w:p w14:paraId="07A60EC0" w14:textId="77777777" w:rsidR="00EA7E88" w:rsidRPr="00B91FAE" w:rsidRDefault="00EA7E88" w:rsidP="00162F52">
            <w:pPr>
              <w:rPr>
                <w:rFonts w:asciiTheme="majorBidi" w:hAnsiTheme="majorBidi" w:cstheme="majorBidi"/>
              </w:rPr>
            </w:pPr>
            <w:r w:rsidRPr="00B91FAE">
              <w:rPr>
                <w:rFonts w:asciiTheme="majorBidi" w:hAnsiTheme="majorBidi" w:cstheme="majorBidi"/>
              </w:rPr>
              <w:t>Sheikh Mohammed bin Rashid al-Maktoum</w:t>
            </w:r>
            <w:r w:rsidRPr="00B91FAE">
              <w:rPr>
                <w:rStyle w:val="FootnoteReference"/>
                <w:rFonts w:asciiTheme="majorBidi" w:hAnsiTheme="majorBidi" w:cstheme="majorBidi"/>
              </w:rPr>
              <w:footnoteReference w:id="1474"/>
            </w:r>
          </w:p>
          <w:p w14:paraId="0890808B"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الشيخ محمد بن راشد آل مكتوم</w:t>
            </w:r>
          </w:p>
        </w:tc>
        <w:tc>
          <w:tcPr>
            <w:tcW w:w="2190" w:type="dxa"/>
          </w:tcPr>
          <w:p w14:paraId="2AA00F17" w14:textId="77777777" w:rsidR="00EA7E88" w:rsidRPr="00B91FAE" w:rsidRDefault="00EA7E88" w:rsidP="00162F52">
            <w:pPr>
              <w:rPr>
                <w:rFonts w:asciiTheme="majorBidi" w:hAnsiTheme="majorBidi" w:cstheme="majorBidi"/>
              </w:rPr>
            </w:pPr>
            <w:r w:rsidRPr="00B91FAE">
              <w:rPr>
                <w:rFonts w:asciiTheme="majorBidi" w:hAnsiTheme="majorBidi" w:cstheme="majorBidi"/>
              </w:rPr>
              <w:t>Minister of Defence</w:t>
            </w:r>
          </w:p>
        </w:tc>
        <w:tc>
          <w:tcPr>
            <w:tcW w:w="3690" w:type="dxa"/>
          </w:tcPr>
          <w:p w14:paraId="596FC0D7" w14:textId="77777777" w:rsidR="00EA7E88" w:rsidRPr="00B91FAE" w:rsidRDefault="00EA7E88" w:rsidP="00162F52">
            <w:pPr>
              <w:rPr>
                <w:rFonts w:asciiTheme="majorBidi" w:hAnsiTheme="majorBidi" w:cstheme="majorBidi"/>
              </w:rPr>
            </w:pPr>
          </w:p>
        </w:tc>
      </w:tr>
      <w:tr w:rsidR="00EA7E88" w:rsidRPr="00B91FAE" w14:paraId="3A7426D1" w14:textId="77777777" w:rsidTr="00162F52">
        <w:tc>
          <w:tcPr>
            <w:tcW w:w="814" w:type="dxa"/>
          </w:tcPr>
          <w:p w14:paraId="2914AEBA"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3</w:t>
            </w:r>
          </w:p>
        </w:tc>
        <w:tc>
          <w:tcPr>
            <w:tcW w:w="3031" w:type="dxa"/>
          </w:tcPr>
          <w:p w14:paraId="197FEC0A"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Lieutenant General Hamad Mohammed Thani al-Romaithi</w:t>
            </w:r>
            <w:r w:rsidRPr="00B91FAE">
              <w:rPr>
                <w:rStyle w:val="FootnoteReference"/>
                <w:rFonts w:asciiTheme="majorBidi" w:hAnsiTheme="majorBidi" w:cstheme="majorBidi"/>
              </w:rPr>
              <w:footnoteReference w:id="1475"/>
            </w:r>
          </w:p>
          <w:p w14:paraId="5B8F06A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الفريق الركن حمد محمد ثاني الرميثي</w:t>
            </w:r>
          </w:p>
        </w:tc>
        <w:tc>
          <w:tcPr>
            <w:tcW w:w="2190" w:type="dxa"/>
          </w:tcPr>
          <w:p w14:paraId="18FE6E3D" w14:textId="77777777" w:rsidR="00EA7E88" w:rsidRPr="00B91FAE" w:rsidRDefault="00EA7E88" w:rsidP="00162F52">
            <w:pPr>
              <w:rPr>
                <w:rFonts w:asciiTheme="majorBidi" w:hAnsiTheme="majorBidi" w:cstheme="majorBidi"/>
              </w:rPr>
            </w:pPr>
            <w:r w:rsidRPr="00B91FAE">
              <w:rPr>
                <w:rFonts w:asciiTheme="majorBidi" w:hAnsiTheme="majorBidi" w:cstheme="majorBidi"/>
              </w:rPr>
              <w:t>Chief of Staff of the Armed Forces</w:t>
            </w:r>
          </w:p>
        </w:tc>
        <w:tc>
          <w:tcPr>
            <w:tcW w:w="3690" w:type="dxa"/>
          </w:tcPr>
          <w:p w14:paraId="73D7D786"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3 January 2005</w:t>
            </w:r>
          </w:p>
        </w:tc>
      </w:tr>
      <w:tr w:rsidR="00EA7E88" w:rsidRPr="00B91FAE" w14:paraId="247B0871" w14:textId="77777777" w:rsidTr="00162F52">
        <w:trPr>
          <w:trHeight w:val="1304"/>
        </w:trPr>
        <w:tc>
          <w:tcPr>
            <w:tcW w:w="814" w:type="dxa"/>
          </w:tcPr>
          <w:p w14:paraId="1501F29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4</w:t>
            </w:r>
          </w:p>
        </w:tc>
        <w:tc>
          <w:tcPr>
            <w:tcW w:w="3031" w:type="dxa"/>
          </w:tcPr>
          <w:p w14:paraId="06C3B24B"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Eisa Saif al-Mazrouei</w:t>
            </w:r>
          </w:p>
          <w:p w14:paraId="1C9BA643"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الركن المهندس عيسى سيف بن عبلان المزروعي</w:t>
            </w:r>
          </w:p>
        </w:tc>
        <w:tc>
          <w:tcPr>
            <w:tcW w:w="2190" w:type="dxa"/>
          </w:tcPr>
          <w:p w14:paraId="1A4628F7" w14:textId="77777777" w:rsidR="00EA7E88" w:rsidRPr="00B91FAE" w:rsidRDefault="00EA7E88" w:rsidP="00162F52">
            <w:pPr>
              <w:rPr>
                <w:rFonts w:asciiTheme="majorBidi" w:hAnsiTheme="majorBidi" w:cstheme="majorBidi"/>
              </w:rPr>
            </w:pPr>
            <w:r w:rsidRPr="00B91FAE">
              <w:rPr>
                <w:rFonts w:asciiTheme="majorBidi" w:hAnsiTheme="majorBidi" w:cstheme="majorBidi"/>
              </w:rPr>
              <w:t>Deputy Chief of Staff</w:t>
            </w:r>
          </w:p>
        </w:tc>
        <w:tc>
          <w:tcPr>
            <w:tcW w:w="3690" w:type="dxa"/>
          </w:tcPr>
          <w:p w14:paraId="109E504B" w14:textId="77777777" w:rsidR="00EA7E88" w:rsidRPr="00B91FAE" w:rsidRDefault="00EA7E88" w:rsidP="00162F52">
            <w:pPr>
              <w:rPr>
                <w:rFonts w:asciiTheme="majorBidi" w:hAnsiTheme="majorBidi" w:cstheme="majorBidi"/>
              </w:rPr>
            </w:pPr>
          </w:p>
        </w:tc>
      </w:tr>
      <w:tr w:rsidR="00EA7E88" w:rsidRPr="00B91FAE" w14:paraId="7E0EE6A8" w14:textId="77777777" w:rsidTr="00162F52">
        <w:trPr>
          <w:trHeight w:val="1008"/>
        </w:trPr>
        <w:tc>
          <w:tcPr>
            <w:tcW w:w="814" w:type="dxa"/>
          </w:tcPr>
          <w:p w14:paraId="1EFF9D90"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 xml:space="preserve">5                                    </w:t>
            </w:r>
          </w:p>
        </w:tc>
        <w:tc>
          <w:tcPr>
            <w:tcW w:w="3031" w:type="dxa"/>
          </w:tcPr>
          <w:p w14:paraId="4F4C4DDE"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Saleh Mohammad Saleh al-Ameri</w:t>
            </w:r>
          </w:p>
          <w:p w14:paraId="3D540C19"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صالح محمد صالح العامري</w:t>
            </w:r>
          </w:p>
        </w:tc>
        <w:tc>
          <w:tcPr>
            <w:tcW w:w="2190" w:type="dxa"/>
          </w:tcPr>
          <w:p w14:paraId="5C60FBBD"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Ground Forces</w:t>
            </w:r>
          </w:p>
          <w:p w14:paraId="0FA667A4" w14:textId="77777777" w:rsidR="00EA7E88" w:rsidRPr="00B91FAE" w:rsidRDefault="00EA7E88" w:rsidP="00162F52">
            <w:pPr>
              <w:rPr>
                <w:rFonts w:asciiTheme="majorBidi" w:hAnsiTheme="majorBidi" w:cstheme="majorBidi"/>
              </w:rPr>
            </w:pPr>
          </w:p>
        </w:tc>
        <w:tc>
          <w:tcPr>
            <w:tcW w:w="3690" w:type="dxa"/>
          </w:tcPr>
          <w:p w14:paraId="7DE2BA38" w14:textId="77777777" w:rsidR="00EA7E88" w:rsidRPr="00B91FAE" w:rsidRDefault="00EA7E88" w:rsidP="00162F52">
            <w:pPr>
              <w:rPr>
                <w:rFonts w:asciiTheme="majorBidi" w:hAnsiTheme="majorBidi" w:cstheme="majorBidi"/>
              </w:rPr>
            </w:pPr>
          </w:p>
        </w:tc>
      </w:tr>
      <w:tr w:rsidR="00EA7E88" w:rsidRPr="00B91FAE" w14:paraId="1CA8629D" w14:textId="77777777" w:rsidTr="00162F52">
        <w:tc>
          <w:tcPr>
            <w:tcW w:w="814" w:type="dxa"/>
          </w:tcPr>
          <w:p w14:paraId="1CB3C607"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6</w:t>
            </w:r>
          </w:p>
        </w:tc>
        <w:tc>
          <w:tcPr>
            <w:tcW w:w="3031" w:type="dxa"/>
          </w:tcPr>
          <w:p w14:paraId="37C0ABEC"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Major General Ibrahim Nasser Mohammed al-Alawi</w:t>
            </w:r>
          </w:p>
          <w:p w14:paraId="75904B1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اللواء الركن الطيار ابراهيم ناصر محمد العلوي</w:t>
            </w:r>
          </w:p>
          <w:p w14:paraId="3B9E4ADD" w14:textId="77777777" w:rsidR="00EA7E88" w:rsidRPr="00B91FAE" w:rsidRDefault="00EA7E88" w:rsidP="00162F52">
            <w:pPr>
              <w:rPr>
                <w:rFonts w:asciiTheme="majorBidi" w:hAnsiTheme="majorBidi" w:cstheme="majorBidi"/>
              </w:rPr>
            </w:pPr>
          </w:p>
        </w:tc>
        <w:tc>
          <w:tcPr>
            <w:tcW w:w="2190" w:type="dxa"/>
          </w:tcPr>
          <w:p w14:paraId="42AAC418" w14:textId="77777777" w:rsidR="00EA7E88" w:rsidRPr="00B91FAE" w:rsidRDefault="00EA7E88" w:rsidP="00162F52">
            <w:pPr>
              <w:rPr>
                <w:rFonts w:asciiTheme="majorBidi" w:hAnsiTheme="majorBidi" w:cstheme="majorBidi"/>
              </w:rPr>
            </w:pPr>
            <w:r w:rsidRPr="00B91FAE">
              <w:rPr>
                <w:rFonts w:asciiTheme="majorBidi" w:hAnsiTheme="majorBidi" w:cstheme="majorBidi"/>
              </w:rPr>
              <w:t>Commander of Air Force and Air Defence</w:t>
            </w:r>
          </w:p>
          <w:p w14:paraId="2C31B552" w14:textId="77777777" w:rsidR="00EA7E88" w:rsidRPr="00B91FAE" w:rsidRDefault="00EA7E88" w:rsidP="00162F52">
            <w:pPr>
              <w:rPr>
                <w:rFonts w:asciiTheme="majorBidi" w:hAnsiTheme="majorBidi" w:cstheme="majorBidi"/>
              </w:rPr>
            </w:pPr>
          </w:p>
        </w:tc>
        <w:tc>
          <w:tcPr>
            <w:tcW w:w="3690" w:type="dxa"/>
          </w:tcPr>
          <w:p w14:paraId="0A05D426" w14:textId="77777777" w:rsidR="00EA7E88" w:rsidRPr="00B91FAE" w:rsidRDefault="00EA7E88" w:rsidP="00162F52">
            <w:pPr>
              <w:rPr>
                <w:rFonts w:asciiTheme="majorBidi" w:hAnsiTheme="majorBidi" w:cstheme="majorBidi"/>
              </w:rPr>
            </w:pPr>
          </w:p>
        </w:tc>
      </w:tr>
      <w:tr w:rsidR="00EA7E88" w:rsidRPr="00B91FAE" w14:paraId="2295824C" w14:textId="77777777" w:rsidTr="00162F52">
        <w:trPr>
          <w:trHeight w:val="1520"/>
        </w:trPr>
        <w:tc>
          <w:tcPr>
            <w:tcW w:w="814" w:type="dxa"/>
          </w:tcPr>
          <w:p w14:paraId="02DBEC58"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7</w:t>
            </w:r>
          </w:p>
        </w:tc>
        <w:tc>
          <w:tcPr>
            <w:tcW w:w="3031" w:type="dxa"/>
          </w:tcPr>
          <w:p w14:paraId="4A068E23"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Sheikh Saeed Bin Hamdan Bin Mohammad al-Nahyan</w:t>
            </w:r>
            <w:r w:rsidRPr="00B91FAE">
              <w:rPr>
                <w:rStyle w:val="FootnoteReference"/>
                <w:rFonts w:asciiTheme="majorBidi" w:hAnsiTheme="majorBidi" w:cstheme="majorBidi"/>
              </w:rPr>
              <w:footnoteReference w:id="1476"/>
            </w:r>
          </w:p>
          <w:p w14:paraId="7887A7F6"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rtl/>
                <w:lang w:bidi="ar-JO"/>
              </w:rPr>
              <w:t>اللواء الركن الشيخ سعيد بن حمدان بن محمد آل نهيان</w:t>
            </w:r>
          </w:p>
        </w:tc>
        <w:tc>
          <w:tcPr>
            <w:tcW w:w="2190" w:type="dxa"/>
          </w:tcPr>
          <w:p w14:paraId="074371A5"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rPr>
              <w:t>Commander of Navy</w:t>
            </w:r>
          </w:p>
        </w:tc>
        <w:tc>
          <w:tcPr>
            <w:tcW w:w="3690" w:type="dxa"/>
          </w:tcPr>
          <w:p w14:paraId="416B825C" w14:textId="77777777" w:rsidR="00EA7E88" w:rsidRPr="00B91FAE" w:rsidRDefault="00EA7E88" w:rsidP="00162F52">
            <w:pPr>
              <w:rPr>
                <w:rFonts w:asciiTheme="majorBidi" w:hAnsiTheme="majorBidi" w:cstheme="majorBidi"/>
              </w:rPr>
            </w:pPr>
            <w:r w:rsidRPr="00B91FAE">
              <w:rPr>
                <w:rFonts w:asciiTheme="majorBidi" w:hAnsiTheme="majorBidi" w:cstheme="majorBidi"/>
              </w:rPr>
              <w:t>On 11 October 2017 replaced Rear Admiral Ibrahim</w:t>
            </w:r>
          </w:p>
          <w:p w14:paraId="5474DED5"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al-Musharrakh</w:t>
            </w:r>
          </w:p>
        </w:tc>
      </w:tr>
      <w:tr w:rsidR="00EA7E88" w:rsidRPr="00B91FAE" w14:paraId="6A96F172" w14:textId="77777777" w:rsidTr="00162F52">
        <w:trPr>
          <w:trHeight w:val="972"/>
        </w:trPr>
        <w:tc>
          <w:tcPr>
            <w:tcW w:w="814" w:type="dxa"/>
          </w:tcPr>
          <w:p w14:paraId="5CB46D2F"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8</w:t>
            </w:r>
          </w:p>
        </w:tc>
        <w:tc>
          <w:tcPr>
            <w:tcW w:w="3031" w:type="dxa"/>
          </w:tcPr>
          <w:p w14:paraId="10CD7A2C"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Ali Ahmed al-Tanjee</w:t>
            </w:r>
          </w:p>
          <w:p w14:paraId="35D49226"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علي احمد الطنيجي</w:t>
            </w:r>
          </w:p>
        </w:tc>
        <w:tc>
          <w:tcPr>
            <w:tcW w:w="2190" w:type="dxa"/>
          </w:tcPr>
          <w:p w14:paraId="36F77D11"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p w14:paraId="4F85D708" w14:textId="77777777" w:rsidR="00EA7E88" w:rsidRPr="00B91FAE" w:rsidRDefault="00EA7E88" w:rsidP="00162F52">
            <w:pPr>
              <w:rPr>
                <w:rFonts w:asciiTheme="majorBidi" w:hAnsiTheme="majorBidi" w:cstheme="majorBidi"/>
              </w:rPr>
            </w:pPr>
          </w:p>
        </w:tc>
        <w:tc>
          <w:tcPr>
            <w:tcW w:w="3690" w:type="dxa"/>
          </w:tcPr>
          <w:p w14:paraId="5C973049"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w:t>
            </w:r>
            <w:r w:rsidRPr="00B91FAE">
              <w:rPr>
                <w:rFonts w:asciiTheme="majorBidi" w:hAnsiTheme="majorBidi" w:cstheme="majorBidi"/>
                <w:rtl/>
              </w:rPr>
              <w:t xml:space="preserve"> </w:t>
            </w:r>
            <w:r w:rsidRPr="00B91FAE">
              <w:rPr>
                <w:rFonts w:asciiTheme="majorBidi" w:hAnsiTheme="majorBidi" w:cstheme="majorBidi"/>
              </w:rPr>
              <w:t>May 2015 - January 2016</w:t>
            </w:r>
          </w:p>
          <w:p w14:paraId="2F244D51" w14:textId="77777777" w:rsidR="00EA7E88" w:rsidRPr="00B91FAE" w:rsidRDefault="00EA7E88" w:rsidP="00162F52">
            <w:pPr>
              <w:rPr>
                <w:rFonts w:asciiTheme="majorBidi" w:hAnsiTheme="majorBidi" w:cstheme="majorBidi"/>
              </w:rPr>
            </w:pPr>
            <w:r w:rsidRPr="00B91FAE">
              <w:rPr>
                <w:rFonts w:asciiTheme="majorBidi" w:hAnsiTheme="majorBidi" w:cstheme="majorBidi"/>
              </w:rPr>
              <w:t>al-Hudaydah</w:t>
            </w:r>
            <w:r w:rsidRPr="00B91FAE">
              <w:rPr>
                <w:rStyle w:val="FootnoteReference"/>
                <w:rFonts w:asciiTheme="majorBidi" w:hAnsiTheme="majorBidi" w:cstheme="majorBidi"/>
              </w:rPr>
              <w:footnoteReference w:id="1477"/>
            </w:r>
            <w:r w:rsidRPr="00B91FAE">
              <w:rPr>
                <w:rFonts w:asciiTheme="majorBidi" w:hAnsiTheme="majorBidi" w:cstheme="majorBidi"/>
              </w:rPr>
              <w:t>,2018 - 2019</w:t>
            </w:r>
          </w:p>
          <w:p w14:paraId="1EB6EC60" w14:textId="77777777" w:rsidR="00EA7E88" w:rsidRPr="00B91FAE" w:rsidRDefault="00EA7E88" w:rsidP="00162F52">
            <w:pPr>
              <w:rPr>
                <w:rFonts w:asciiTheme="majorBidi" w:hAnsiTheme="majorBidi" w:cstheme="majorBidi"/>
              </w:rPr>
            </w:pPr>
          </w:p>
        </w:tc>
      </w:tr>
      <w:tr w:rsidR="00EA7E88" w:rsidRPr="00B91FAE" w14:paraId="26DC3336" w14:textId="77777777" w:rsidTr="00162F52">
        <w:trPr>
          <w:trHeight w:val="1070"/>
        </w:trPr>
        <w:tc>
          <w:tcPr>
            <w:tcW w:w="814" w:type="dxa"/>
          </w:tcPr>
          <w:p w14:paraId="3BB982B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9</w:t>
            </w:r>
          </w:p>
        </w:tc>
        <w:tc>
          <w:tcPr>
            <w:tcW w:w="3031" w:type="dxa"/>
          </w:tcPr>
          <w:p w14:paraId="56D7D029"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Ali al-Nuaimee</w:t>
            </w:r>
          </w:p>
          <w:p w14:paraId="3059AB8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علي سيف النعيمي</w:t>
            </w:r>
          </w:p>
        </w:tc>
        <w:tc>
          <w:tcPr>
            <w:tcW w:w="2190" w:type="dxa"/>
          </w:tcPr>
          <w:p w14:paraId="7B15624E"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7E69407F"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2016 - July 2016</w:t>
            </w:r>
          </w:p>
        </w:tc>
      </w:tr>
      <w:tr w:rsidR="00EA7E88" w:rsidRPr="00B91FAE" w14:paraId="0EDA6018" w14:textId="77777777" w:rsidTr="00162F52">
        <w:trPr>
          <w:trHeight w:val="980"/>
        </w:trPr>
        <w:tc>
          <w:tcPr>
            <w:tcW w:w="814" w:type="dxa"/>
          </w:tcPr>
          <w:p w14:paraId="68A567D2"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10</w:t>
            </w:r>
          </w:p>
        </w:tc>
        <w:tc>
          <w:tcPr>
            <w:tcW w:w="3031" w:type="dxa"/>
          </w:tcPr>
          <w:p w14:paraId="2C8CCEE3"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Sultan al-Habsee</w:t>
            </w:r>
          </w:p>
          <w:p w14:paraId="30E9AE03"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سلطان الحبسي</w:t>
            </w:r>
          </w:p>
        </w:tc>
        <w:tc>
          <w:tcPr>
            <w:tcW w:w="2190" w:type="dxa"/>
          </w:tcPr>
          <w:p w14:paraId="0FC570E0"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2487F54D"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2016 - January 2017</w:t>
            </w:r>
          </w:p>
        </w:tc>
      </w:tr>
      <w:tr w:rsidR="00EA7E88" w:rsidRPr="00B91FAE" w14:paraId="361DF42F" w14:textId="77777777" w:rsidTr="00162F52">
        <w:trPr>
          <w:trHeight w:val="990"/>
        </w:trPr>
        <w:tc>
          <w:tcPr>
            <w:tcW w:w="814" w:type="dxa"/>
          </w:tcPr>
          <w:p w14:paraId="6AA5396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11</w:t>
            </w:r>
          </w:p>
        </w:tc>
        <w:tc>
          <w:tcPr>
            <w:tcW w:w="3031" w:type="dxa"/>
          </w:tcPr>
          <w:p w14:paraId="5F973513"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Naser Mushabab al-Otaibee</w:t>
            </w:r>
          </w:p>
          <w:p w14:paraId="46DBF6E3" w14:textId="77777777" w:rsidR="00EA7E88" w:rsidRPr="00B91FAE" w:rsidRDefault="00EA7E88" w:rsidP="00162F52">
            <w:pPr>
              <w:rPr>
                <w:rFonts w:asciiTheme="majorBidi" w:hAnsiTheme="majorBidi" w:cstheme="majorBidi"/>
                <w:rtl/>
              </w:rPr>
            </w:pPr>
            <w:r w:rsidRPr="00B91FAE">
              <w:rPr>
                <w:rFonts w:asciiTheme="majorBidi" w:hAnsiTheme="majorBidi" w:cstheme="majorBidi"/>
                <w:rtl/>
              </w:rPr>
              <w:t>العميد الركن ناصر مشبب العتيبي</w:t>
            </w:r>
          </w:p>
        </w:tc>
        <w:tc>
          <w:tcPr>
            <w:tcW w:w="2190" w:type="dxa"/>
          </w:tcPr>
          <w:p w14:paraId="7F9B4C43"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p w14:paraId="03C99277" w14:textId="77777777" w:rsidR="00EA7E88" w:rsidRPr="00B91FAE" w:rsidRDefault="00EA7E88" w:rsidP="00162F52">
            <w:pPr>
              <w:rPr>
                <w:rFonts w:asciiTheme="majorBidi" w:hAnsiTheme="majorBidi" w:cstheme="majorBidi"/>
              </w:rPr>
            </w:pPr>
          </w:p>
        </w:tc>
        <w:tc>
          <w:tcPr>
            <w:tcW w:w="3690" w:type="dxa"/>
          </w:tcPr>
          <w:p w14:paraId="670496E6"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2017 – July 2017</w:t>
            </w:r>
          </w:p>
        </w:tc>
      </w:tr>
      <w:tr w:rsidR="00EA7E88" w:rsidRPr="00B91FAE" w14:paraId="53F304EF" w14:textId="77777777" w:rsidTr="00162F52">
        <w:tc>
          <w:tcPr>
            <w:tcW w:w="814" w:type="dxa"/>
          </w:tcPr>
          <w:p w14:paraId="362D87DD"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12</w:t>
            </w:r>
          </w:p>
        </w:tc>
        <w:tc>
          <w:tcPr>
            <w:tcW w:w="3031" w:type="dxa"/>
          </w:tcPr>
          <w:p w14:paraId="0BC20C7E"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Ahmed al-Blushee aka Abu Majed</w:t>
            </w:r>
          </w:p>
          <w:p w14:paraId="2E660422"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lastRenderedPageBreak/>
              <w:t>العميد الركن احمد البلوشي المكنى ابو ماجد</w:t>
            </w:r>
          </w:p>
        </w:tc>
        <w:tc>
          <w:tcPr>
            <w:tcW w:w="2190" w:type="dxa"/>
          </w:tcPr>
          <w:p w14:paraId="1AB95556" w14:textId="77777777" w:rsidR="00EA7E88" w:rsidRPr="00B91FAE" w:rsidRDefault="00EA7E88" w:rsidP="00162F52">
            <w:pPr>
              <w:rPr>
                <w:rFonts w:asciiTheme="majorBidi" w:hAnsiTheme="majorBidi" w:cstheme="majorBidi"/>
              </w:rPr>
            </w:pPr>
            <w:r w:rsidRPr="00B91FAE">
              <w:rPr>
                <w:rFonts w:asciiTheme="majorBidi" w:hAnsiTheme="majorBidi" w:cstheme="majorBidi"/>
              </w:rPr>
              <w:lastRenderedPageBreak/>
              <w:t>Coalition Commander</w:t>
            </w:r>
          </w:p>
          <w:p w14:paraId="530B7492" w14:textId="77777777" w:rsidR="00EA7E88" w:rsidRPr="00B91FAE" w:rsidRDefault="00EA7E88" w:rsidP="00162F52">
            <w:pPr>
              <w:rPr>
                <w:rFonts w:asciiTheme="majorBidi" w:hAnsiTheme="majorBidi" w:cstheme="majorBidi"/>
              </w:rPr>
            </w:pPr>
          </w:p>
        </w:tc>
        <w:tc>
          <w:tcPr>
            <w:tcW w:w="3690" w:type="dxa"/>
          </w:tcPr>
          <w:p w14:paraId="7983E4F2"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2017 – January 2018</w:t>
            </w:r>
          </w:p>
        </w:tc>
      </w:tr>
      <w:tr w:rsidR="00EA7E88" w:rsidRPr="00B91FAE" w14:paraId="09BA3DB6" w14:textId="77777777" w:rsidTr="00162F52">
        <w:trPr>
          <w:trHeight w:val="873"/>
        </w:trPr>
        <w:tc>
          <w:tcPr>
            <w:tcW w:w="814" w:type="dxa"/>
          </w:tcPr>
          <w:p w14:paraId="2D1129C1"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13</w:t>
            </w:r>
          </w:p>
        </w:tc>
        <w:tc>
          <w:tcPr>
            <w:tcW w:w="3031" w:type="dxa"/>
          </w:tcPr>
          <w:p w14:paraId="067B9E4B"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Muhammad el-Hasani</w:t>
            </w:r>
            <w:r w:rsidRPr="00B91FAE">
              <w:rPr>
                <w:rStyle w:val="FootnoteReference"/>
                <w:rFonts w:asciiTheme="majorBidi" w:hAnsiTheme="majorBidi" w:cstheme="majorBidi"/>
              </w:rPr>
              <w:footnoteReference w:id="1478"/>
            </w:r>
          </w:p>
          <w:p w14:paraId="4F745A2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محمد الحساني</w:t>
            </w:r>
          </w:p>
        </w:tc>
        <w:tc>
          <w:tcPr>
            <w:tcW w:w="2190" w:type="dxa"/>
          </w:tcPr>
          <w:p w14:paraId="3DB402EE"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3DE14019"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2018 – July 2018</w:t>
            </w:r>
          </w:p>
          <w:p w14:paraId="0564DE8B" w14:textId="77777777" w:rsidR="00EA7E88" w:rsidRPr="00B91FAE" w:rsidRDefault="00EA7E88" w:rsidP="00162F52">
            <w:pPr>
              <w:rPr>
                <w:rFonts w:asciiTheme="majorBidi" w:hAnsiTheme="majorBidi" w:cstheme="majorBidi"/>
              </w:rPr>
            </w:pPr>
          </w:p>
        </w:tc>
      </w:tr>
      <w:tr w:rsidR="00EA7E88" w:rsidRPr="00B91FAE" w14:paraId="29BE7600" w14:textId="77777777" w:rsidTr="00162F52">
        <w:trPr>
          <w:trHeight w:val="990"/>
        </w:trPr>
        <w:tc>
          <w:tcPr>
            <w:tcW w:w="814" w:type="dxa"/>
          </w:tcPr>
          <w:p w14:paraId="48DE1FF8" w14:textId="77777777" w:rsidR="00EA7E88" w:rsidRPr="00B91FAE" w:rsidRDefault="00EA7E88" w:rsidP="00162F52">
            <w:pPr>
              <w:jc w:val="center"/>
              <w:rPr>
                <w:rFonts w:asciiTheme="majorBidi" w:hAnsiTheme="majorBidi" w:cstheme="majorBidi"/>
                <w:rtl/>
                <w:lang w:bidi="ar-JO"/>
              </w:rPr>
            </w:pPr>
            <w:r w:rsidRPr="00B91FAE">
              <w:rPr>
                <w:rFonts w:asciiTheme="majorBidi" w:hAnsiTheme="majorBidi" w:cstheme="majorBidi"/>
              </w:rPr>
              <w:t>14</w:t>
            </w:r>
          </w:p>
        </w:tc>
        <w:tc>
          <w:tcPr>
            <w:tcW w:w="3031" w:type="dxa"/>
          </w:tcPr>
          <w:p w14:paraId="0C7D576C"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Awad Saeed al-Ahbabi</w:t>
            </w:r>
            <w:r w:rsidRPr="00B91FAE">
              <w:rPr>
                <w:rStyle w:val="FootnoteReference"/>
                <w:rFonts w:asciiTheme="majorBidi" w:hAnsiTheme="majorBidi" w:cstheme="majorBidi"/>
              </w:rPr>
              <w:footnoteReference w:id="1479"/>
            </w:r>
          </w:p>
          <w:p w14:paraId="3F8F740B"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عوض سعيد الاحبابي</w:t>
            </w:r>
          </w:p>
        </w:tc>
        <w:tc>
          <w:tcPr>
            <w:tcW w:w="2190" w:type="dxa"/>
          </w:tcPr>
          <w:p w14:paraId="7D63B178"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749C42E0"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July 2018 – January 2019</w:t>
            </w:r>
          </w:p>
        </w:tc>
      </w:tr>
      <w:tr w:rsidR="00EA7E88" w:rsidRPr="00B91FAE" w14:paraId="1B168300" w14:textId="77777777" w:rsidTr="00162F52">
        <w:tc>
          <w:tcPr>
            <w:tcW w:w="814" w:type="dxa"/>
          </w:tcPr>
          <w:p w14:paraId="0AC1A3C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15</w:t>
            </w:r>
          </w:p>
        </w:tc>
        <w:tc>
          <w:tcPr>
            <w:tcW w:w="3031" w:type="dxa"/>
          </w:tcPr>
          <w:p w14:paraId="41B42770" w14:textId="77777777" w:rsidR="00EA7E88" w:rsidRPr="00B91FAE" w:rsidRDefault="00EA7E88" w:rsidP="00162F52">
            <w:pPr>
              <w:rPr>
                <w:rFonts w:asciiTheme="majorBidi" w:hAnsiTheme="majorBidi" w:cstheme="majorBidi"/>
                <w:rtl/>
              </w:rPr>
            </w:pPr>
            <w:r w:rsidRPr="00B91FAE">
              <w:rPr>
                <w:rFonts w:asciiTheme="majorBidi" w:hAnsiTheme="majorBidi" w:cstheme="majorBidi"/>
              </w:rPr>
              <w:t>Brigadier General Rashed Saeed al-ghafli</w:t>
            </w:r>
            <w:r w:rsidRPr="00B91FAE">
              <w:rPr>
                <w:rFonts w:asciiTheme="majorBidi" w:hAnsiTheme="majorBidi" w:cstheme="majorBidi"/>
                <w:rtl/>
              </w:rPr>
              <w:t xml:space="preserve"> </w:t>
            </w:r>
            <w:r w:rsidRPr="00B91FAE">
              <w:rPr>
                <w:rFonts w:asciiTheme="majorBidi" w:hAnsiTheme="majorBidi" w:cstheme="majorBidi"/>
              </w:rPr>
              <w:t xml:space="preserve"> aka Abu Mohammed</w:t>
            </w:r>
            <w:r w:rsidRPr="00B91FAE">
              <w:rPr>
                <w:rStyle w:val="FootnoteReference"/>
                <w:rFonts w:asciiTheme="majorBidi" w:hAnsiTheme="majorBidi" w:cstheme="majorBidi"/>
              </w:rPr>
              <w:footnoteReference w:id="1480"/>
            </w:r>
          </w:p>
          <w:p w14:paraId="3759C4FC"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راشد سعيد الغفلي المكنى ابو محمد</w:t>
            </w:r>
          </w:p>
          <w:p w14:paraId="09E6D476" w14:textId="77777777" w:rsidR="00EA7E88" w:rsidRPr="00B91FAE" w:rsidRDefault="00EA7E88" w:rsidP="00162F52">
            <w:pPr>
              <w:rPr>
                <w:rFonts w:asciiTheme="majorBidi" w:hAnsiTheme="majorBidi" w:cstheme="majorBidi"/>
              </w:rPr>
            </w:pPr>
          </w:p>
        </w:tc>
        <w:tc>
          <w:tcPr>
            <w:tcW w:w="2190" w:type="dxa"/>
          </w:tcPr>
          <w:p w14:paraId="77716F55"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55C9001F" w14:textId="77777777" w:rsidR="00EA7E88" w:rsidRPr="00B91FAE" w:rsidRDefault="00EA7E88" w:rsidP="00162F52">
            <w:pPr>
              <w:rPr>
                <w:rFonts w:asciiTheme="majorBidi" w:hAnsiTheme="majorBidi" w:cstheme="majorBidi"/>
              </w:rPr>
            </w:pPr>
            <w:r w:rsidRPr="00B91FAE">
              <w:rPr>
                <w:rFonts w:asciiTheme="majorBidi" w:hAnsiTheme="majorBidi" w:cstheme="majorBidi"/>
              </w:rPr>
              <w:t>Aden, January 2019 – July 2019</w:t>
            </w:r>
          </w:p>
        </w:tc>
      </w:tr>
      <w:tr w:rsidR="00EA7E88" w:rsidRPr="00B91FAE" w14:paraId="7A30C089" w14:textId="77777777" w:rsidTr="00162F52">
        <w:trPr>
          <w:trHeight w:val="1295"/>
        </w:trPr>
        <w:tc>
          <w:tcPr>
            <w:tcW w:w="814" w:type="dxa"/>
          </w:tcPr>
          <w:p w14:paraId="49AC5364"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16</w:t>
            </w:r>
          </w:p>
        </w:tc>
        <w:tc>
          <w:tcPr>
            <w:tcW w:w="3031" w:type="dxa"/>
          </w:tcPr>
          <w:p w14:paraId="73080C99" w14:textId="77777777" w:rsidR="00EA7E88" w:rsidRPr="00B91FAE" w:rsidRDefault="00EA7E88" w:rsidP="00162F52">
            <w:pPr>
              <w:rPr>
                <w:rFonts w:asciiTheme="majorBidi" w:hAnsiTheme="majorBidi" w:cstheme="majorBidi"/>
                <w:rtl/>
              </w:rPr>
            </w:pPr>
            <w:r w:rsidRPr="00A1624A">
              <w:rPr>
                <w:rFonts w:asciiTheme="majorBidi" w:hAnsiTheme="majorBidi" w:cstheme="majorBidi"/>
                <w:lang w:val="es-ES"/>
              </w:rPr>
              <w:t>Brigadier General  Abd el-Salam al-Shahi</w:t>
            </w:r>
            <w:r w:rsidRPr="00B91FAE">
              <w:rPr>
                <w:rStyle w:val="FootnoteReference"/>
                <w:rFonts w:asciiTheme="majorBidi" w:hAnsiTheme="majorBidi" w:cstheme="majorBidi"/>
              </w:rPr>
              <w:footnoteReference w:id="1481"/>
            </w:r>
          </w:p>
          <w:p w14:paraId="16D851A8" w14:textId="77777777" w:rsidR="00EA7E88" w:rsidRPr="00B91FAE" w:rsidRDefault="00EA7E88" w:rsidP="00162F52">
            <w:pPr>
              <w:rPr>
                <w:rFonts w:asciiTheme="majorBidi" w:hAnsiTheme="majorBidi" w:cstheme="majorBidi"/>
              </w:rPr>
            </w:pPr>
            <w:r w:rsidRPr="00B91FAE">
              <w:rPr>
                <w:rFonts w:asciiTheme="majorBidi" w:hAnsiTheme="majorBidi" w:cstheme="majorBidi"/>
                <w:rtl/>
              </w:rPr>
              <w:t>العميد الركن عبد السلام الشحي</w:t>
            </w:r>
          </w:p>
          <w:p w14:paraId="03C1481E" w14:textId="77777777" w:rsidR="00EA7E88" w:rsidRPr="00B91FAE" w:rsidRDefault="00EA7E88" w:rsidP="00162F52">
            <w:pPr>
              <w:rPr>
                <w:rFonts w:asciiTheme="majorBidi" w:hAnsiTheme="majorBidi" w:cstheme="majorBidi"/>
              </w:rPr>
            </w:pPr>
          </w:p>
        </w:tc>
        <w:tc>
          <w:tcPr>
            <w:tcW w:w="2190" w:type="dxa"/>
          </w:tcPr>
          <w:p w14:paraId="28F84F36"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Commander</w:t>
            </w:r>
          </w:p>
        </w:tc>
        <w:tc>
          <w:tcPr>
            <w:tcW w:w="3690" w:type="dxa"/>
          </w:tcPr>
          <w:p w14:paraId="590399D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Western Coast,  </w:t>
            </w:r>
            <w:r w:rsidRPr="00B91FAE">
              <w:rPr>
                <w:rFonts w:asciiTheme="majorBidi" w:hAnsiTheme="majorBidi" w:cstheme="majorBidi"/>
                <w:lang w:val="en-US"/>
              </w:rPr>
              <w:t>2015 – 2019</w:t>
            </w:r>
          </w:p>
        </w:tc>
      </w:tr>
      <w:tr w:rsidR="00EA7E88" w:rsidRPr="00B91FAE" w14:paraId="3D5FE1F1" w14:textId="77777777" w:rsidTr="00162F52">
        <w:tc>
          <w:tcPr>
            <w:tcW w:w="814" w:type="dxa"/>
          </w:tcPr>
          <w:p w14:paraId="3B575143"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17</w:t>
            </w:r>
          </w:p>
        </w:tc>
        <w:tc>
          <w:tcPr>
            <w:tcW w:w="3031" w:type="dxa"/>
          </w:tcPr>
          <w:p w14:paraId="1FD55D2B" w14:textId="77777777" w:rsidR="00EA7E88" w:rsidRPr="00B91FAE" w:rsidRDefault="00EA7E88" w:rsidP="00162F52">
            <w:pPr>
              <w:rPr>
                <w:rFonts w:asciiTheme="majorBidi" w:hAnsiTheme="majorBidi" w:cstheme="majorBidi"/>
              </w:rPr>
            </w:pPr>
            <w:r w:rsidRPr="00B91FAE">
              <w:rPr>
                <w:rFonts w:asciiTheme="majorBidi" w:hAnsiTheme="majorBidi" w:cstheme="majorBidi"/>
              </w:rPr>
              <w:t>Abu Khalifa Said al-Mahri</w:t>
            </w:r>
            <w:r w:rsidRPr="00B91FAE">
              <w:rPr>
                <w:rStyle w:val="FootnoteReference"/>
                <w:rFonts w:asciiTheme="majorBidi" w:hAnsiTheme="majorBidi" w:cstheme="majorBidi"/>
              </w:rPr>
              <w:footnoteReference w:id="1482"/>
            </w:r>
          </w:p>
        </w:tc>
        <w:tc>
          <w:tcPr>
            <w:tcW w:w="2190" w:type="dxa"/>
          </w:tcPr>
          <w:p w14:paraId="57640EB1" w14:textId="77777777" w:rsidR="00EA7E88" w:rsidRPr="00B91FAE" w:rsidRDefault="00EA7E88" w:rsidP="00162F52">
            <w:pPr>
              <w:rPr>
                <w:rFonts w:asciiTheme="majorBidi" w:hAnsiTheme="majorBidi" w:cstheme="majorBidi"/>
              </w:rPr>
            </w:pPr>
            <w:r w:rsidRPr="00B91FAE">
              <w:rPr>
                <w:rFonts w:asciiTheme="majorBidi" w:hAnsiTheme="majorBidi" w:cstheme="majorBidi"/>
              </w:rPr>
              <w:t>Coalition Intelligence Officer</w:t>
            </w:r>
          </w:p>
        </w:tc>
        <w:tc>
          <w:tcPr>
            <w:tcW w:w="3690" w:type="dxa"/>
          </w:tcPr>
          <w:p w14:paraId="34946E80"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Aden, Abyan, Lahj, 2015 – 2019. UAE field commander for the Security Belt (he gives orders to the heads of the Security Belt).  </w:t>
            </w:r>
          </w:p>
        </w:tc>
      </w:tr>
    </w:tbl>
    <w:p w14:paraId="226BB24B" w14:textId="77777777" w:rsidR="00EA7E88" w:rsidRPr="00B91FAE" w:rsidRDefault="00EA7E88" w:rsidP="00EA7E88">
      <w:pPr>
        <w:rPr>
          <w:rFonts w:asciiTheme="majorBidi" w:hAnsiTheme="majorBidi" w:cstheme="majorBidi"/>
          <w:b/>
          <w:bCs/>
        </w:rPr>
      </w:pPr>
    </w:p>
    <w:p w14:paraId="18A3B5A0"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br w:type="page"/>
      </w:r>
    </w:p>
    <w:p w14:paraId="5B7B6E73" w14:textId="77777777" w:rsidR="00EA7E88" w:rsidRPr="00B91FAE" w:rsidRDefault="00EA7E88" w:rsidP="00EA7E88">
      <w:pPr>
        <w:rPr>
          <w:rFonts w:asciiTheme="majorBidi" w:hAnsiTheme="majorBidi" w:cstheme="majorBidi"/>
        </w:rPr>
      </w:pPr>
      <w:r w:rsidRPr="00B91FAE">
        <w:rPr>
          <w:rFonts w:asciiTheme="majorBidi" w:hAnsiTheme="majorBidi" w:cstheme="majorBidi"/>
          <w:b/>
          <w:bCs/>
        </w:rPr>
        <w:lastRenderedPageBreak/>
        <w:t>Government of Yemen</w:t>
      </w:r>
    </w:p>
    <w:p w14:paraId="29491BE1" w14:textId="77777777" w:rsidR="00EA7E88" w:rsidRPr="00B91FAE" w:rsidRDefault="00EA7E88" w:rsidP="00EA7E88">
      <w:pPr>
        <w:pStyle w:val="ListParagraph"/>
        <w:numPr>
          <w:ilvl w:val="1"/>
          <w:numId w:val="30"/>
        </w:numPr>
        <w:spacing w:after="160" w:line="259" w:lineRule="auto"/>
        <w:ind w:left="720"/>
        <w:rPr>
          <w:rFonts w:asciiTheme="majorBidi" w:hAnsiTheme="majorBidi" w:cstheme="majorBidi"/>
          <w:sz w:val="20"/>
          <w:szCs w:val="20"/>
        </w:rPr>
      </w:pPr>
      <w:r w:rsidRPr="00B91FAE">
        <w:rPr>
          <w:rFonts w:asciiTheme="majorBidi" w:hAnsiTheme="majorBidi" w:cstheme="majorBidi"/>
          <w:b/>
          <w:bCs/>
          <w:sz w:val="20"/>
          <w:szCs w:val="20"/>
        </w:rPr>
        <w:t>Yemen Armed Forces</w:t>
      </w:r>
      <w:r w:rsidRPr="00B91FAE">
        <w:rPr>
          <w:rStyle w:val="FootnoteReference"/>
          <w:rFonts w:asciiTheme="majorBidi" w:hAnsiTheme="majorBidi" w:cstheme="majorBidi"/>
          <w:b/>
          <w:bCs/>
          <w:sz w:val="20"/>
          <w:szCs w:val="20"/>
        </w:rPr>
        <w:footnoteReference w:id="1483"/>
      </w:r>
      <w:r w:rsidRPr="00B91FAE">
        <w:rPr>
          <w:rFonts w:asciiTheme="majorBidi" w:hAnsiTheme="majorBidi" w:cstheme="majorBidi"/>
          <w:b/>
          <w:bCs/>
          <w:sz w:val="20"/>
          <w:szCs w:val="20"/>
        </w:rPr>
        <w:t xml:space="preserve"> </w:t>
      </w:r>
    </w:p>
    <w:tbl>
      <w:tblPr>
        <w:tblStyle w:val="TableGrid"/>
        <w:tblW w:w="9725" w:type="dxa"/>
        <w:tblInd w:w="-3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802"/>
        <w:gridCol w:w="2250"/>
        <w:gridCol w:w="3870"/>
      </w:tblGrid>
      <w:tr w:rsidR="00EA7E88" w:rsidRPr="00B91FAE" w14:paraId="792348E7" w14:textId="77777777" w:rsidTr="00162F52">
        <w:tc>
          <w:tcPr>
            <w:tcW w:w="803" w:type="dxa"/>
            <w:tcBorders>
              <w:bottom w:val="single" w:sz="4" w:space="0" w:color="auto"/>
            </w:tcBorders>
            <w:shd w:val="clear" w:color="auto" w:fill="FFFFFF" w:themeFill="background1"/>
          </w:tcPr>
          <w:p w14:paraId="74BF4201"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Serial</w:t>
            </w:r>
          </w:p>
        </w:tc>
        <w:tc>
          <w:tcPr>
            <w:tcW w:w="2802" w:type="dxa"/>
            <w:tcBorders>
              <w:bottom w:val="single" w:sz="4" w:space="0" w:color="auto"/>
            </w:tcBorders>
            <w:shd w:val="clear" w:color="auto" w:fill="FFFFFF" w:themeFill="background1"/>
          </w:tcPr>
          <w:p w14:paraId="68541433"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Name</w:t>
            </w:r>
          </w:p>
        </w:tc>
        <w:tc>
          <w:tcPr>
            <w:tcW w:w="2250" w:type="dxa"/>
            <w:tcBorders>
              <w:bottom w:val="single" w:sz="4" w:space="0" w:color="auto"/>
            </w:tcBorders>
            <w:shd w:val="clear" w:color="auto" w:fill="FFFFFF" w:themeFill="background1"/>
          </w:tcPr>
          <w:p w14:paraId="7C97E1D5"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Positon</w:t>
            </w:r>
          </w:p>
        </w:tc>
        <w:tc>
          <w:tcPr>
            <w:tcW w:w="3870" w:type="dxa"/>
            <w:tcBorders>
              <w:bottom w:val="single" w:sz="4" w:space="0" w:color="auto"/>
            </w:tcBorders>
            <w:shd w:val="clear" w:color="auto" w:fill="FFFFFF" w:themeFill="background1"/>
          </w:tcPr>
          <w:p w14:paraId="69BFAB80" w14:textId="77777777" w:rsidR="00EA7E88" w:rsidRPr="00B91FAE" w:rsidRDefault="00EA7E88" w:rsidP="00162F52">
            <w:pPr>
              <w:jc w:val="center"/>
              <w:rPr>
                <w:rFonts w:asciiTheme="majorBidi" w:hAnsiTheme="majorBidi" w:cstheme="majorBidi"/>
                <w:b/>
                <w:bCs/>
                <w:i/>
                <w:iCs/>
              </w:rPr>
            </w:pPr>
            <w:r w:rsidRPr="00B91FAE">
              <w:rPr>
                <w:rFonts w:asciiTheme="majorBidi" w:hAnsiTheme="majorBidi" w:cstheme="majorBidi"/>
                <w:b/>
                <w:bCs/>
                <w:i/>
                <w:iCs/>
              </w:rPr>
              <w:t>Assessment/ remarks</w:t>
            </w:r>
          </w:p>
        </w:tc>
      </w:tr>
      <w:tr w:rsidR="00EA7E88" w:rsidRPr="00B91FAE" w14:paraId="228D3755" w14:textId="77777777" w:rsidTr="00162F52">
        <w:trPr>
          <w:trHeight w:val="1142"/>
        </w:trPr>
        <w:tc>
          <w:tcPr>
            <w:tcW w:w="803" w:type="dxa"/>
            <w:tcBorders>
              <w:top w:val="single" w:sz="4" w:space="0" w:color="auto"/>
            </w:tcBorders>
          </w:tcPr>
          <w:p w14:paraId="59B0CC5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w:t>
            </w:r>
          </w:p>
        </w:tc>
        <w:tc>
          <w:tcPr>
            <w:tcW w:w="2802" w:type="dxa"/>
            <w:tcBorders>
              <w:top w:val="single" w:sz="4" w:space="0" w:color="auto"/>
            </w:tcBorders>
          </w:tcPr>
          <w:p w14:paraId="6E9BFA59"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President Abd Rabbu Mansour Hadi</w:t>
            </w:r>
            <w:r w:rsidRPr="00B91FAE">
              <w:rPr>
                <w:rStyle w:val="FootnoteReference"/>
                <w:rFonts w:asciiTheme="majorBidi" w:hAnsiTheme="majorBidi" w:cstheme="majorBidi"/>
              </w:rPr>
              <w:footnoteReference w:id="1484"/>
            </w:r>
          </w:p>
          <w:p w14:paraId="70E012E1"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الرئيس عبد ربه منصور هادي</w:t>
            </w:r>
          </w:p>
        </w:tc>
        <w:tc>
          <w:tcPr>
            <w:tcW w:w="2250" w:type="dxa"/>
            <w:tcBorders>
              <w:top w:val="single" w:sz="4" w:space="0" w:color="auto"/>
            </w:tcBorders>
          </w:tcPr>
          <w:p w14:paraId="5F4126F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Supreme Commander of the Armed Forces</w:t>
            </w:r>
            <w:r w:rsidRPr="00B91FAE">
              <w:rPr>
                <w:rStyle w:val="FootnoteReference"/>
                <w:rFonts w:asciiTheme="majorBidi" w:hAnsiTheme="majorBidi" w:cstheme="majorBidi"/>
              </w:rPr>
              <w:footnoteReference w:id="1485"/>
            </w:r>
          </w:p>
        </w:tc>
        <w:tc>
          <w:tcPr>
            <w:tcW w:w="3870" w:type="dxa"/>
            <w:tcBorders>
              <w:top w:val="single" w:sz="4" w:space="0" w:color="auto"/>
            </w:tcBorders>
          </w:tcPr>
          <w:p w14:paraId="6180BAD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February 2012</w:t>
            </w:r>
          </w:p>
        </w:tc>
      </w:tr>
      <w:tr w:rsidR="00EA7E88" w:rsidRPr="00B91FAE" w14:paraId="09EE1AB3" w14:textId="77777777" w:rsidTr="00162F52">
        <w:trPr>
          <w:trHeight w:val="1008"/>
        </w:trPr>
        <w:tc>
          <w:tcPr>
            <w:tcW w:w="803" w:type="dxa"/>
          </w:tcPr>
          <w:p w14:paraId="1E906E3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2</w:t>
            </w:r>
          </w:p>
        </w:tc>
        <w:tc>
          <w:tcPr>
            <w:tcW w:w="2802" w:type="dxa"/>
          </w:tcPr>
          <w:p w14:paraId="25E08ED1" w14:textId="77777777" w:rsidR="00EA7E88" w:rsidRPr="00B91FAE" w:rsidRDefault="00EA7E88" w:rsidP="00162F52">
            <w:pPr>
              <w:spacing w:line="259" w:lineRule="auto"/>
              <w:rPr>
                <w:rFonts w:asciiTheme="majorBidi" w:hAnsiTheme="majorBidi" w:cstheme="majorBidi"/>
                <w:rtl/>
                <w:lang w:val="en-US"/>
              </w:rPr>
            </w:pPr>
            <w:r w:rsidRPr="00B91FAE">
              <w:rPr>
                <w:rFonts w:asciiTheme="majorBidi" w:hAnsiTheme="majorBidi" w:cstheme="majorBidi"/>
                <w:lang w:val="en-US"/>
              </w:rPr>
              <w:t>Major General Ali Mohsen al-Ahmar</w:t>
            </w:r>
          </w:p>
          <w:p w14:paraId="32D3BE2B"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tl/>
                <w:lang w:val="en-US"/>
              </w:rPr>
              <w:t>الفريق الركن علي محسن الاحمر</w:t>
            </w:r>
          </w:p>
        </w:tc>
        <w:tc>
          <w:tcPr>
            <w:tcW w:w="2250" w:type="dxa"/>
          </w:tcPr>
          <w:p w14:paraId="00335416"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Vice President</w:t>
            </w:r>
            <w:r w:rsidRPr="00B91FAE">
              <w:rPr>
                <w:rStyle w:val="FootnoteReference"/>
                <w:rFonts w:asciiTheme="majorBidi" w:hAnsiTheme="majorBidi" w:cstheme="majorBidi"/>
              </w:rPr>
              <w:footnoteReference w:id="1486"/>
            </w:r>
            <w:r w:rsidRPr="00B91FAE">
              <w:rPr>
                <w:rFonts w:asciiTheme="majorBidi" w:hAnsiTheme="majorBidi" w:cstheme="majorBidi"/>
              </w:rPr>
              <w:t xml:space="preserve"> </w:t>
            </w:r>
          </w:p>
        </w:tc>
        <w:tc>
          <w:tcPr>
            <w:tcW w:w="3870" w:type="dxa"/>
          </w:tcPr>
          <w:p w14:paraId="4C2D8903"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3 April 2016</w:t>
            </w:r>
          </w:p>
        </w:tc>
      </w:tr>
      <w:tr w:rsidR="00EA7E88" w:rsidRPr="00B91FAE" w14:paraId="54BA3D96" w14:textId="77777777" w:rsidTr="00162F52">
        <w:tc>
          <w:tcPr>
            <w:tcW w:w="803" w:type="dxa"/>
          </w:tcPr>
          <w:p w14:paraId="0E83086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3</w:t>
            </w:r>
          </w:p>
        </w:tc>
        <w:tc>
          <w:tcPr>
            <w:tcW w:w="2802" w:type="dxa"/>
          </w:tcPr>
          <w:p w14:paraId="53E5A31E"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Major General Mohammad Ali al-Maqdashi</w:t>
            </w:r>
          </w:p>
          <w:p w14:paraId="2BAF97FB"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الفريق الركن محمد علي المقدشي</w:t>
            </w:r>
          </w:p>
        </w:tc>
        <w:tc>
          <w:tcPr>
            <w:tcW w:w="2250" w:type="dxa"/>
          </w:tcPr>
          <w:p w14:paraId="0A66491C"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Minister of Defence</w:t>
            </w:r>
            <w:r w:rsidRPr="00B91FAE">
              <w:rPr>
                <w:rStyle w:val="FootnoteReference"/>
                <w:rFonts w:asciiTheme="majorBidi" w:hAnsiTheme="majorBidi" w:cstheme="majorBidi"/>
              </w:rPr>
              <w:footnoteReference w:id="1487"/>
            </w:r>
          </w:p>
          <w:p w14:paraId="110F713F" w14:textId="77777777" w:rsidR="00EA7E88" w:rsidRPr="00B91FAE" w:rsidRDefault="00EA7E88" w:rsidP="00162F52">
            <w:pPr>
              <w:spacing w:line="259" w:lineRule="auto"/>
              <w:rPr>
                <w:rFonts w:asciiTheme="majorBidi" w:hAnsiTheme="majorBidi" w:cstheme="majorBidi"/>
              </w:rPr>
            </w:pPr>
          </w:p>
        </w:tc>
        <w:tc>
          <w:tcPr>
            <w:tcW w:w="3870" w:type="dxa"/>
          </w:tcPr>
          <w:p w14:paraId="18782899"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8 November 2018</w:t>
            </w:r>
          </w:p>
        </w:tc>
      </w:tr>
      <w:tr w:rsidR="00EA7E88" w:rsidRPr="00B91FAE" w14:paraId="385DF07F" w14:textId="77777777" w:rsidTr="00162F52">
        <w:trPr>
          <w:trHeight w:val="1350"/>
        </w:trPr>
        <w:tc>
          <w:tcPr>
            <w:tcW w:w="803" w:type="dxa"/>
          </w:tcPr>
          <w:p w14:paraId="07D992B1"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4</w:t>
            </w:r>
          </w:p>
        </w:tc>
        <w:tc>
          <w:tcPr>
            <w:tcW w:w="2802" w:type="dxa"/>
          </w:tcPr>
          <w:p w14:paraId="40DD32B1" w14:textId="77777777" w:rsidR="00EA7E88" w:rsidRPr="00B91FAE" w:rsidRDefault="00EA7E88" w:rsidP="00162F52">
            <w:pPr>
              <w:spacing w:line="259" w:lineRule="auto"/>
              <w:rPr>
                <w:rFonts w:asciiTheme="majorBidi" w:hAnsiTheme="majorBidi" w:cstheme="majorBidi"/>
                <w:rtl/>
                <w:lang w:val="en-US"/>
              </w:rPr>
            </w:pPr>
            <w:r w:rsidRPr="00B91FAE">
              <w:rPr>
                <w:rFonts w:asciiTheme="majorBidi" w:hAnsiTheme="majorBidi" w:cstheme="majorBidi"/>
                <w:lang w:val="en-US"/>
              </w:rPr>
              <w:t>Major General Abdullah Salem Ali al-Nakhai</w:t>
            </w:r>
            <w:r w:rsidRPr="00B91FAE">
              <w:rPr>
                <w:rStyle w:val="FootnoteReference"/>
                <w:rFonts w:asciiTheme="majorBidi" w:hAnsiTheme="majorBidi" w:cstheme="majorBidi"/>
              </w:rPr>
              <w:footnoteReference w:id="1488"/>
            </w:r>
          </w:p>
          <w:p w14:paraId="00EE9875"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tl/>
                <w:lang w:val="en-US"/>
              </w:rPr>
              <w:t>اللواء الركن البحري عبدالله النخعي</w:t>
            </w:r>
          </w:p>
        </w:tc>
        <w:tc>
          <w:tcPr>
            <w:tcW w:w="2250" w:type="dxa"/>
          </w:tcPr>
          <w:p w14:paraId="5C5B600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Chief of the General Staff</w:t>
            </w:r>
            <w:r w:rsidRPr="00B91FAE">
              <w:rPr>
                <w:rStyle w:val="FootnoteReference"/>
                <w:rFonts w:asciiTheme="majorBidi" w:hAnsiTheme="majorBidi" w:cstheme="majorBidi"/>
              </w:rPr>
              <w:footnoteReference w:id="1489"/>
            </w:r>
          </w:p>
        </w:tc>
        <w:tc>
          <w:tcPr>
            <w:tcW w:w="3870" w:type="dxa"/>
          </w:tcPr>
          <w:p w14:paraId="38809842" w14:textId="77777777" w:rsidR="00EA7E88" w:rsidRPr="00B91FAE" w:rsidRDefault="00EA7E88" w:rsidP="00162F52">
            <w:pPr>
              <w:spacing w:after="160" w:line="259" w:lineRule="auto"/>
              <w:rPr>
                <w:rFonts w:asciiTheme="majorBidi" w:hAnsiTheme="majorBidi" w:cstheme="majorBidi"/>
                <w:rtl/>
                <w:lang w:val="en-US"/>
              </w:rPr>
            </w:pPr>
            <w:r w:rsidRPr="00B91FAE">
              <w:rPr>
                <w:rFonts w:asciiTheme="majorBidi" w:hAnsiTheme="majorBidi" w:cstheme="majorBidi"/>
              </w:rPr>
              <w:t>8 November 2018</w:t>
            </w:r>
          </w:p>
        </w:tc>
      </w:tr>
      <w:tr w:rsidR="00EA7E88" w:rsidRPr="00B91FAE" w14:paraId="2B6FF939" w14:textId="77777777" w:rsidTr="00162F52">
        <w:tc>
          <w:tcPr>
            <w:tcW w:w="803" w:type="dxa"/>
          </w:tcPr>
          <w:p w14:paraId="06E00DC9" w14:textId="77777777" w:rsidR="00EA7E88" w:rsidRPr="00B91FAE" w:rsidRDefault="00EA7E88" w:rsidP="00162F52">
            <w:pPr>
              <w:rPr>
                <w:rFonts w:asciiTheme="majorBidi" w:hAnsiTheme="majorBidi" w:cstheme="majorBidi"/>
              </w:rPr>
            </w:pPr>
            <w:r w:rsidRPr="00B91FAE">
              <w:rPr>
                <w:rFonts w:asciiTheme="majorBidi" w:hAnsiTheme="majorBidi" w:cstheme="majorBidi"/>
              </w:rPr>
              <w:t>5</w:t>
            </w:r>
          </w:p>
        </w:tc>
        <w:tc>
          <w:tcPr>
            <w:tcW w:w="2802" w:type="dxa"/>
          </w:tcPr>
          <w:p w14:paraId="5C7D7CBC"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lang w:val="en-US"/>
              </w:rPr>
              <w:t>Major General Saleh al-Zindani</w:t>
            </w:r>
          </w:p>
          <w:p w14:paraId="55271249"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rtl/>
                <w:lang w:val="en-US"/>
              </w:rPr>
              <w:t>اللواء الركن صالح الزنداني</w:t>
            </w:r>
          </w:p>
          <w:p w14:paraId="56F55A21" w14:textId="77777777" w:rsidR="00EA7E88" w:rsidRPr="00B91FAE" w:rsidDel="00206E30" w:rsidRDefault="00EA7E88" w:rsidP="00162F52">
            <w:pPr>
              <w:rPr>
                <w:rFonts w:asciiTheme="majorBidi" w:hAnsiTheme="majorBidi" w:cstheme="majorBidi"/>
                <w:lang w:val="en-US"/>
              </w:rPr>
            </w:pPr>
          </w:p>
        </w:tc>
        <w:tc>
          <w:tcPr>
            <w:tcW w:w="2250" w:type="dxa"/>
          </w:tcPr>
          <w:p w14:paraId="1D8F7523"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Deputy Chief of General Staff </w:t>
            </w:r>
          </w:p>
        </w:tc>
        <w:tc>
          <w:tcPr>
            <w:tcW w:w="3870" w:type="dxa"/>
          </w:tcPr>
          <w:p w14:paraId="238D8EB1" w14:textId="77777777" w:rsidR="00EA7E88" w:rsidRPr="00B91FAE" w:rsidRDefault="00EA7E88" w:rsidP="00162F52">
            <w:pPr>
              <w:rPr>
                <w:rFonts w:asciiTheme="majorBidi" w:hAnsiTheme="majorBidi" w:cstheme="majorBidi"/>
              </w:rPr>
            </w:pPr>
            <w:r w:rsidRPr="00B91FAE">
              <w:rPr>
                <w:rFonts w:asciiTheme="majorBidi" w:hAnsiTheme="majorBidi" w:cstheme="majorBidi"/>
              </w:rPr>
              <w:t xml:space="preserve">Al-Zindani was among 11 people injured in a Houthi drone attack on 10 January 2019 at al-Anid Base in Lahij. He died a month later </w:t>
            </w:r>
          </w:p>
          <w:p w14:paraId="08A7E104" w14:textId="77777777" w:rsidR="00EA7E88" w:rsidRPr="00B91FAE" w:rsidRDefault="00EA7E88" w:rsidP="00162F52">
            <w:pPr>
              <w:rPr>
                <w:rFonts w:asciiTheme="majorBidi" w:hAnsiTheme="majorBidi" w:cstheme="majorBidi"/>
              </w:rPr>
            </w:pPr>
          </w:p>
        </w:tc>
      </w:tr>
      <w:tr w:rsidR="00EA7E88" w:rsidRPr="00B91FAE" w14:paraId="4798CC57" w14:textId="77777777" w:rsidTr="00162F52">
        <w:tc>
          <w:tcPr>
            <w:tcW w:w="803" w:type="dxa"/>
          </w:tcPr>
          <w:p w14:paraId="01B8BDF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6</w:t>
            </w:r>
          </w:p>
        </w:tc>
        <w:tc>
          <w:tcPr>
            <w:tcW w:w="2802" w:type="dxa"/>
          </w:tcPr>
          <w:p w14:paraId="275CD120"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Tahir Ali al-Aqaili</w:t>
            </w:r>
          </w:p>
          <w:p w14:paraId="2ECF8009"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rtl/>
              </w:rPr>
              <w:t>اللواء الركن طاهر علي العقيلي</w:t>
            </w:r>
          </w:p>
        </w:tc>
        <w:tc>
          <w:tcPr>
            <w:tcW w:w="2250" w:type="dxa"/>
          </w:tcPr>
          <w:p w14:paraId="696FA7B8"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Adviser to the Supreme Commander</w:t>
            </w:r>
            <w:r w:rsidRPr="00B91FAE">
              <w:rPr>
                <w:rStyle w:val="FootnoteReference"/>
                <w:rFonts w:asciiTheme="majorBidi" w:hAnsiTheme="majorBidi" w:cstheme="majorBidi"/>
              </w:rPr>
              <w:footnoteReference w:id="1490"/>
            </w:r>
          </w:p>
          <w:p w14:paraId="7B821E7F" w14:textId="77777777" w:rsidR="00EA7E88" w:rsidRPr="00B91FAE" w:rsidRDefault="00EA7E88" w:rsidP="00162F52">
            <w:pPr>
              <w:spacing w:after="160" w:line="259" w:lineRule="auto"/>
              <w:rPr>
                <w:rFonts w:asciiTheme="majorBidi" w:hAnsiTheme="majorBidi" w:cstheme="majorBidi"/>
              </w:rPr>
            </w:pPr>
          </w:p>
        </w:tc>
        <w:tc>
          <w:tcPr>
            <w:tcW w:w="3870" w:type="dxa"/>
          </w:tcPr>
          <w:p w14:paraId="49D8FA7A"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8 November 2018</w:t>
            </w:r>
          </w:p>
          <w:p w14:paraId="240DFC6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Former Chief of General Staff</w:t>
            </w:r>
          </w:p>
        </w:tc>
      </w:tr>
      <w:tr w:rsidR="00EA7E88" w:rsidRPr="00B91FAE" w14:paraId="26250AC1" w14:textId="77777777" w:rsidTr="00162F52">
        <w:tc>
          <w:tcPr>
            <w:tcW w:w="803" w:type="dxa"/>
          </w:tcPr>
          <w:p w14:paraId="4BE4060A" w14:textId="77777777" w:rsidR="00EA7E88" w:rsidRPr="00B91FAE" w:rsidRDefault="00EA7E88" w:rsidP="00162F52">
            <w:pPr>
              <w:rPr>
                <w:rFonts w:asciiTheme="majorBidi" w:hAnsiTheme="majorBidi" w:cstheme="majorBidi"/>
              </w:rPr>
            </w:pPr>
            <w:r w:rsidRPr="00B91FAE">
              <w:rPr>
                <w:rFonts w:asciiTheme="majorBidi" w:hAnsiTheme="majorBidi" w:cstheme="majorBidi"/>
              </w:rPr>
              <w:t>7</w:t>
            </w:r>
          </w:p>
        </w:tc>
        <w:tc>
          <w:tcPr>
            <w:tcW w:w="2802" w:type="dxa"/>
          </w:tcPr>
          <w:p w14:paraId="05C87EB6"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Khaled Qassem Fadhal</w:t>
            </w:r>
          </w:p>
          <w:p w14:paraId="77B1ADC2"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اللواء الركن خالد قاسم فاضل</w:t>
            </w:r>
          </w:p>
          <w:p w14:paraId="7663DAAB" w14:textId="77777777" w:rsidR="00EA7E88" w:rsidRPr="00B91FAE" w:rsidRDefault="00EA7E88" w:rsidP="00162F52">
            <w:pPr>
              <w:rPr>
                <w:rFonts w:asciiTheme="majorBidi" w:hAnsiTheme="majorBidi" w:cstheme="majorBidi"/>
              </w:rPr>
            </w:pPr>
          </w:p>
        </w:tc>
        <w:tc>
          <w:tcPr>
            <w:tcW w:w="2250" w:type="dxa"/>
          </w:tcPr>
          <w:p w14:paraId="6FC8C13D" w14:textId="77777777" w:rsidR="00EA7E88" w:rsidRPr="00B91FAE" w:rsidRDefault="00EA7E88" w:rsidP="00162F52">
            <w:pPr>
              <w:rPr>
                <w:rFonts w:asciiTheme="majorBidi" w:hAnsiTheme="majorBidi" w:cstheme="majorBidi"/>
              </w:rPr>
            </w:pPr>
            <w:r w:rsidRPr="00B91FAE">
              <w:rPr>
                <w:rFonts w:asciiTheme="majorBidi" w:hAnsiTheme="majorBidi" w:cstheme="majorBidi"/>
              </w:rPr>
              <w:t>Adviser to Minister of Defence</w:t>
            </w:r>
            <w:r w:rsidRPr="00B91FAE">
              <w:rPr>
                <w:rStyle w:val="FootnoteReference"/>
                <w:rFonts w:asciiTheme="majorBidi" w:hAnsiTheme="majorBidi" w:cstheme="majorBidi"/>
              </w:rPr>
              <w:footnoteReference w:id="1491"/>
            </w:r>
          </w:p>
        </w:tc>
        <w:tc>
          <w:tcPr>
            <w:tcW w:w="3870" w:type="dxa"/>
          </w:tcPr>
          <w:p w14:paraId="03AA2964" w14:textId="77777777" w:rsidR="00EA7E88" w:rsidRPr="00B91FAE" w:rsidRDefault="00EA7E88" w:rsidP="00162F52">
            <w:pPr>
              <w:rPr>
                <w:rFonts w:asciiTheme="majorBidi" w:hAnsiTheme="majorBidi" w:cstheme="majorBidi"/>
              </w:rPr>
            </w:pPr>
            <w:r w:rsidRPr="00B91FAE">
              <w:rPr>
                <w:rFonts w:asciiTheme="majorBidi" w:hAnsiTheme="majorBidi" w:cstheme="majorBidi"/>
                <w:lang w:bidi="ar-JO"/>
              </w:rPr>
              <w:t>When conflict first broke out Fadhel rallied locals to fight the Houthi/Saleh alliance in his home district of Jabal Habashi.  After Ta’izz was controlled by the Houthis President Hadi appointed him commander of the Ta’izz Axis in August 2016.</w:t>
            </w:r>
            <w:r w:rsidRPr="00B91FAE">
              <w:rPr>
                <w:rFonts w:asciiTheme="majorBidi" w:hAnsiTheme="majorBidi" w:cstheme="majorBidi"/>
              </w:rPr>
              <w:t xml:space="preserve"> On 31 December 2018, he was appointed as adviser to the Minister of Defence.</w:t>
            </w:r>
          </w:p>
          <w:p w14:paraId="320287EB" w14:textId="77777777" w:rsidR="00EA7E88" w:rsidRPr="00B91FAE" w:rsidRDefault="00EA7E88" w:rsidP="00162F52">
            <w:pPr>
              <w:rPr>
                <w:rFonts w:asciiTheme="majorBidi" w:hAnsiTheme="majorBidi" w:cstheme="majorBidi"/>
                <w:rtl/>
              </w:rPr>
            </w:pPr>
          </w:p>
        </w:tc>
      </w:tr>
      <w:tr w:rsidR="00EA7E88" w:rsidRPr="00B91FAE" w14:paraId="61B81507" w14:textId="77777777" w:rsidTr="00162F52">
        <w:tc>
          <w:tcPr>
            <w:tcW w:w="803" w:type="dxa"/>
          </w:tcPr>
          <w:p w14:paraId="761A536B" w14:textId="77777777" w:rsidR="00EA7E88" w:rsidRPr="00B91FAE" w:rsidRDefault="00EA7E88" w:rsidP="00162F52">
            <w:pPr>
              <w:rPr>
                <w:rFonts w:asciiTheme="majorBidi" w:hAnsiTheme="majorBidi" w:cstheme="majorBidi"/>
              </w:rPr>
            </w:pPr>
            <w:r w:rsidRPr="00B91FAE">
              <w:rPr>
                <w:rFonts w:asciiTheme="majorBidi" w:hAnsiTheme="majorBidi" w:cstheme="majorBidi"/>
              </w:rPr>
              <w:t>8</w:t>
            </w:r>
          </w:p>
        </w:tc>
        <w:tc>
          <w:tcPr>
            <w:tcW w:w="2802" w:type="dxa"/>
          </w:tcPr>
          <w:p w14:paraId="6AFF30BF"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Major General Saghir Aziz</w:t>
            </w:r>
          </w:p>
          <w:p w14:paraId="5AFDF969"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tl/>
              </w:rPr>
              <w:t>اللواء الركن صغير بن عزيز</w:t>
            </w:r>
          </w:p>
        </w:tc>
        <w:tc>
          <w:tcPr>
            <w:tcW w:w="2250" w:type="dxa"/>
          </w:tcPr>
          <w:p w14:paraId="5C560BE2" w14:textId="77777777" w:rsidR="00EA7E88" w:rsidRPr="00B91FAE" w:rsidRDefault="00EA7E88" w:rsidP="00162F52">
            <w:pPr>
              <w:rPr>
                <w:rFonts w:asciiTheme="majorBidi" w:hAnsiTheme="majorBidi" w:cstheme="majorBidi"/>
              </w:rPr>
            </w:pPr>
            <w:r w:rsidRPr="00B91FAE">
              <w:rPr>
                <w:rFonts w:asciiTheme="majorBidi" w:hAnsiTheme="majorBidi" w:cstheme="majorBidi"/>
              </w:rPr>
              <w:t>Joint Operations Commander</w:t>
            </w:r>
            <w:r w:rsidRPr="00B91FAE">
              <w:rPr>
                <w:rStyle w:val="FootnoteReference"/>
                <w:rFonts w:asciiTheme="majorBidi" w:hAnsiTheme="majorBidi" w:cstheme="majorBidi"/>
              </w:rPr>
              <w:footnoteReference w:id="1492"/>
            </w:r>
          </w:p>
          <w:p w14:paraId="6C12B5AA" w14:textId="77777777" w:rsidR="00EA7E88" w:rsidRPr="00B91FAE" w:rsidRDefault="00EA7E88" w:rsidP="00162F52">
            <w:pPr>
              <w:rPr>
                <w:rFonts w:asciiTheme="majorBidi" w:hAnsiTheme="majorBidi" w:cstheme="majorBidi"/>
              </w:rPr>
            </w:pPr>
          </w:p>
        </w:tc>
        <w:tc>
          <w:tcPr>
            <w:tcW w:w="3870" w:type="dxa"/>
          </w:tcPr>
          <w:p w14:paraId="24D02F6C" w14:textId="77777777" w:rsidR="00EA7E88" w:rsidRPr="00B91FAE" w:rsidRDefault="00EA7E88" w:rsidP="00162F52">
            <w:pPr>
              <w:rPr>
                <w:rFonts w:asciiTheme="majorBidi" w:hAnsiTheme="majorBidi" w:cstheme="majorBidi"/>
              </w:rPr>
            </w:pPr>
            <w:r w:rsidRPr="00B91FAE">
              <w:rPr>
                <w:rFonts w:asciiTheme="majorBidi" w:hAnsiTheme="majorBidi" w:cstheme="majorBidi"/>
              </w:rPr>
              <w:t>11 July 2019</w:t>
            </w:r>
          </w:p>
        </w:tc>
      </w:tr>
      <w:tr w:rsidR="00EA7E88" w:rsidRPr="00B91FAE" w14:paraId="3A13B090" w14:textId="77777777" w:rsidTr="00162F52">
        <w:tc>
          <w:tcPr>
            <w:tcW w:w="803" w:type="dxa"/>
          </w:tcPr>
          <w:p w14:paraId="6E0BA2BA" w14:textId="77777777" w:rsidR="00EA7E88" w:rsidRPr="00B91FAE" w:rsidDel="00B34B31" w:rsidRDefault="00EA7E88" w:rsidP="00162F52">
            <w:pPr>
              <w:rPr>
                <w:rFonts w:asciiTheme="majorBidi" w:hAnsiTheme="majorBidi" w:cstheme="majorBidi"/>
              </w:rPr>
            </w:pPr>
            <w:r w:rsidRPr="00B91FAE">
              <w:rPr>
                <w:rFonts w:asciiTheme="majorBidi" w:hAnsiTheme="majorBidi" w:cstheme="majorBidi"/>
              </w:rPr>
              <w:t>9</w:t>
            </w:r>
          </w:p>
        </w:tc>
        <w:tc>
          <w:tcPr>
            <w:tcW w:w="2802" w:type="dxa"/>
          </w:tcPr>
          <w:p w14:paraId="4F6EBD12" w14:textId="77777777" w:rsidR="00EA7E88" w:rsidRPr="00B91FAE" w:rsidRDefault="00EA7E88" w:rsidP="00162F52">
            <w:pPr>
              <w:rPr>
                <w:rFonts w:asciiTheme="majorBidi" w:hAnsiTheme="majorBidi" w:cstheme="majorBidi"/>
              </w:rPr>
            </w:pPr>
            <w:r w:rsidRPr="00B91FAE">
              <w:rPr>
                <w:rFonts w:asciiTheme="majorBidi" w:hAnsiTheme="majorBidi" w:cstheme="majorBidi"/>
              </w:rPr>
              <w:t>Major General Ahmad Mohsen Salem al-Yafa’ay</w:t>
            </w:r>
          </w:p>
          <w:p w14:paraId="66582CFC" w14:textId="77777777" w:rsidR="00EA7E88" w:rsidRPr="00B91FAE" w:rsidRDefault="00EA7E88" w:rsidP="00162F52">
            <w:pPr>
              <w:rPr>
                <w:rFonts w:asciiTheme="majorBidi" w:hAnsiTheme="majorBidi" w:cstheme="majorBidi"/>
                <w:rtl/>
                <w:lang w:bidi="ar-JO"/>
              </w:rPr>
            </w:pPr>
            <w:r w:rsidRPr="00B91FAE">
              <w:rPr>
                <w:rFonts w:asciiTheme="majorBidi" w:hAnsiTheme="majorBidi" w:cstheme="majorBidi"/>
                <w:rtl/>
                <w:lang w:bidi="ar-JO"/>
              </w:rPr>
              <w:t>اللواء الركن أحمد محسن سالم اليافعي</w:t>
            </w:r>
          </w:p>
        </w:tc>
        <w:tc>
          <w:tcPr>
            <w:tcW w:w="2250" w:type="dxa"/>
          </w:tcPr>
          <w:p w14:paraId="5FC2AA65" w14:textId="77777777" w:rsidR="00EA7E88" w:rsidRPr="00B91FAE" w:rsidRDefault="00EA7E88" w:rsidP="00162F52">
            <w:pPr>
              <w:rPr>
                <w:rFonts w:asciiTheme="majorBidi" w:hAnsiTheme="majorBidi" w:cstheme="majorBidi"/>
                <w:lang w:bidi="ar-JO"/>
              </w:rPr>
            </w:pPr>
            <w:r w:rsidRPr="00B91FAE">
              <w:rPr>
                <w:rFonts w:asciiTheme="majorBidi" w:hAnsiTheme="majorBidi" w:cstheme="majorBidi"/>
                <w:lang w:bidi="ar-JO"/>
              </w:rPr>
              <w:t>Chief of Mil. Intelligence Staff</w:t>
            </w:r>
            <w:r w:rsidRPr="00B91FAE">
              <w:rPr>
                <w:rStyle w:val="FootnoteReference"/>
                <w:rFonts w:asciiTheme="majorBidi" w:hAnsiTheme="majorBidi" w:cstheme="majorBidi"/>
                <w:lang w:bidi="ar-JO"/>
              </w:rPr>
              <w:footnoteReference w:id="1493"/>
            </w:r>
          </w:p>
        </w:tc>
        <w:tc>
          <w:tcPr>
            <w:tcW w:w="3870" w:type="dxa"/>
          </w:tcPr>
          <w:p w14:paraId="4A0FBF48" w14:textId="77777777" w:rsidR="00EA7E88" w:rsidRPr="00B91FAE" w:rsidRDefault="00EA7E88" w:rsidP="00162F52">
            <w:pPr>
              <w:rPr>
                <w:rFonts w:asciiTheme="majorBidi" w:hAnsiTheme="majorBidi" w:cstheme="majorBidi"/>
              </w:rPr>
            </w:pPr>
            <w:r w:rsidRPr="00B91FAE">
              <w:rPr>
                <w:rFonts w:asciiTheme="majorBidi" w:hAnsiTheme="majorBidi" w:cstheme="majorBidi"/>
              </w:rPr>
              <w:t>On 22 January 2019, he replaced Major General Mohammad Saleh Tamah who was killed on January 2019 in al-Anid drone incident.</w:t>
            </w:r>
          </w:p>
          <w:p w14:paraId="5929F7C9" w14:textId="77777777" w:rsidR="00EA7E88" w:rsidRPr="00B91FAE" w:rsidRDefault="00EA7E88" w:rsidP="00162F52">
            <w:pPr>
              <w:rPr>
                <w:rFonts w:asciiTheme="majorBidi" w:hAnsiTheme="majorBidi" w:cstheme="majorBidi"/>
              </w:rPr>
            </w:pPr>
          </w:p>
        </w:tc>
      </w:tr>
      <w:tr w:rsidR="00EA7E88" w:rsidRPr="00B91FAE" w14:paraId="739D51EE" w14:textId="77777777" w:rsidTr="00162F52">
        <w:tc>
          <w:tcPr>
            <w:tcW w:w="803" w:type="dxa"/>
          </w:tcPr>
          <w:p w14:paraId="20695649"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lastRenderedPageBreak/>
              <w:t>10</w:t>
            </w:r>
          </w:p>
        </w:tc>
        <w:tc>
          <w:tcPr>
            <w:tcW w:w="2802" w:type="dxa"/>
          </w:tcPr>
          <w:p w14:paraId="041FFD6C"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Major General Saleh Mohammad Timis</w:t>
            </w:r>
          </w:p>
          <w:p w14:paraId="5A49D5F9"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tl/>
              </w:rPr>
              <w:t>اللواء الركن صالح محمد طميس</w:t>
            </w:r>
          </w:p>
        </w:tc>
        <w:tc>
          <w:tcPr>
            <w:tcW w:w="2250" w:type="dxa"/>
          </w:tcPr>
          <w:p w14:paraId="5DA2A512"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1</w:t>
            </w:r>
            <w:r w:rsidRPr="00B91FAE">
              <w:rPr>
                <w:rFonts w:asciiTheme="majorBidi" w:hAnsiTheme="majorBidi" w:cstheme="majorBidi"/>
                <w:vertAlign w:val="superscript"/>
              </w:rPr>
              <w:t>st</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494"/>
            </w:r>
          </w:p>
        </w:tc>
        <w:tc>
          <w:tcPr>
            <w:tcW w:w="3870" w:type="dxa"/>
          </w:tcPr>
          <w:p w14:paraId="43A387CB"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lang w:val="en-US"/>
              </w:rPr>
              <w:t xml:space="preserve">Seiyoun, Hadramaut, </w:t>
            </w:r>
            <w:r w:rsidRPr="00B91FAE">
              <w:rPr>
                <w:rFonts w:asciiTheme="majorBidi" w:hAnsiTheme="majorBidi" w:cstheme="majorBidi"/>
              </w:rPr>
              <w:t>22 November 2016</w:t>
            </w:r>
          </w:p>
        </w:tc>
      </w:tr>
      <w:tr w:rsidR="00EA7E88" w:rsidRPr="00B91FAE" w14:paraId="007113B3" w14:textId="77777777" w:rsidTr="00162F52">
        <w:trPr>
          <w:trHeight w:val="1557"/>
        </w:trPr>
        <w:tc>
          <w:tcPr>
            <w:tcW w:w="803" w:type="dxa"/>
          </w:tcPr>
          <w:p w14:paraId="755D19D5"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11</w:t>
            </w:r>
          </w:p>
        </w:tc>
        <w:tc>
          <w:tcPr>
            <w:tcW w:w="2802" w:type="dxa"/>
          </w:tcPr>
          <w:p w14:paraId="0FB502AF" w14:textId="77777777" w:rsidR="00EA7E88" w:rsidRPr="00B91FAE" w:rsidRDefault="00EA7E88" w:rsidP="00162F52">
            <w:pPr>
              <w:spacing w:line="259" w:lineRule="auto"/>
              <w:rPr>
                <w:rFonts w:asciiTheme="majorBidi" w:hAnsiTheme="majorBidi" w:cstheme="majorBidi"/>
                <w:rtl/>
                <w:lang w:val="en-US" w:bidi="ar-JO"/>
              </w:rPr>
            </w:pPr>
            <w:r w:rsidRPr="00A1624A">
              <w:rPr>
                <w:rFonts w:asciiTheme="majorBidi" w:hAnsiTheme="majorBidi" w:cstheme="majorBidi"/>
                <w:lang w:val="es-ES"/>
              </w:rPr>
              <w:t>Major General Faraj Salamin al-Bahasani</w:t>
            </w:r>
          </w:p>
          <w:p w14:paraId="2E34A242"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tl/>
                <w:lang w:val="en-US" w:bidi="ar-JO"/>
              </w:rPr>
              <w:t>اللواء الركن فرج سالمين البحسني</w:t>
            </w:r>
          </w:p>
        </w:tc>
        <w:tc>
          <w:tcPr>
            <w:tcW w:w="2250" w:type="dxa"/>
          </w:tcPr>
          <w:p w14:paraId="344177AC"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rPr>
              <w:t>2</w:t>
            </w:r>
            <w:r w:rsidRPr="00B91FAE">
              <w:rPr>
                <w:rFonts w:asciiTheme="majorBidi" w:hAnsiTheme="majorBidi" w:cstheme="majorBidi"/>
                <w:vertAlign w:val="superscript"/>
              </w:rPr>
              <w:t>nd</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lang w:val="en-US"/>
              </w:rPr>
              <w:footnoteReference w:id="1495"/>
            </w:r>
          </w:p>
          <w:p w14:paraId="4E98D614" w14:textId="77777777" w:rsidR="00EA7E88" w:rsidRPr="00B91FAE" w:rsidRDefault="00EA7E88" w:rsidP="00162F52">
            <w:pPr>
              <w:spacing w:after="160" w:line="259" w:lineRule="auto"/>
              <w:rPr>
                <w:rFonts w:asciiTheme="majorBidi" w:hAnsiTheme="majorBidi" w:cstheme="majorBidi"/>
              </w:rPr>
            </w:pPr>
          </w:p>
        </w:tc>
        <w:tc>
          <w:tcPr>
            <w:tcW w:w="3870" w:type="dxa"/>
          </w:tcPr>
          <w:p w14:paraId="585999E0"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al-Mukalla, Hadramaut, Since 2015. Most influence in al-Sahel, he is a governor and 2</w:t>
            </w:r>
            <w:r w:rsidRPr="00B91FAE">
              <w:rPr>
                <w:rFonts w:asciiTheme="majorBidi" w:hAnsiTheme="majorBidi" w:cstheme="majorBidi"/>
                <w:vertAlign w:val="superscript"/>
              </w:rPr>
              <w:t>nd</w:t>
            </w:r>
            <w:r w:rsidRPr="00B91FAE">
              <w:rPr>
                <w:rFonts w:asciiTheme="majorBidi" w:hAnsiTheme="majorBidi" w:cstheme="majorBidi"/>
              </w:rPr>
              <w:t xml:space="preserve"> military district commander and Hadramout Elite Force Commander </w:t>
            </w:r>
          </w:p>
        </w:tc>
      </w:tr>
      <w:tr w:rsidR="00EA7E88" w:rsidRPr="00B91FAE" w14:paraId="7F4F2998" w14:textId="77777777" w:rsidTr="00162F52">
        <w:trPr>
          <w:trHeight w:val="1529"/>
        </w:trPr>
        <w:tc>
          <w:tcPr>
            <w:tcW w:w="803" w:type="dxa"/>
          </w:tcPr>
          <w:p w14:paraId="0D0D6E08"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12</w:t>
            </w:r>
          </w:p>
        </w:tc>
        <w:tc>
          <w:tcPr>
            <w:tcW w:w="2802" w:type="dxa"/>
          </w:tcPr>
          <w:p w14:paraId="5742DEA1" w14:textId="77777777" w:rsidR="00EA7E88" w:rsidRPr="00B91FAE" w:rsidRDefault="00EA7E88" w:rsidP="00162F52">
            <w:pPr>
              <w:rPr>
                <w:rFonts w:asciiTheme="majorBidi" w:hAnsiTheme="majorBidi" w:cstheme="majorBidi"/>
                <w:rtl/>
                <w:lang w:val="en-US"/>
              </w:rPr>
            </w:pPr>
            <w:r w:rsidRPr="00B91FAE">
              <w:rPr>
                <w:rFonts w:asciiTheme="majorBidi" w:hAnsiTheme="majorBidi" w:cstheme="majorBidi"/>
                <w:lang w:val="en-US"/>
              </w:rPr>
              <w:t xml:space="preserve">Major General Faisal </w:t>
            </w:r>
            <w:r w:rsidRPr="00B91FAE">
              <w:rPr>
                <w:rFonts w:asciiTheme="majorBidi" w:hAnsiTheme="majorBidi" w:cstheme="majorBidi"/>
              </w:rPr>
              <w:t xml:space="preserve">Ali </w:t>
            </w:r>
            <w:r w:rsidRPr="00B91FAE">
              <w:rPr>
                <w:rFonts w:asciiTheme="majorBidi" w:hAnsiTheme="majorBidi" w:cstheme="majorBidi"/>
                <w:lang w:val="en-US"/>
              </w:rPr>
              <w:t>Qaid Hassan</w:t>
            </w:r>
          </w:p>
          <w:p w14:paraId="3B63B4E5" w14:textId="77777777" w:rsidR="00EA7E88" w:rsidRPr="00B91FAE" w:rsidRDefault="00EA7E88" w:rsidP="00162F52">
            <w:pPr>
              <w:rPr>
                <w:rFonts w:asciiTheme="majorBidi" w:hAnsiTheme="majorBidi" w:cstheme="majorBidi"/>
                <w:lang w:val="en-US" w:bidi="ar-JO"/>
              </w:rPr>
            </w:pPr>
            <w:r w:rsidRPr="00B91FAE">
              <w:rPr>
                <w:rFonts w:asciiTheme="majorBidi" w:hAnsiTheme="majorBidi" w:cstheme="majorBidi"/>
                <w:rtl/>
                <w:lang w:val="en-US"/>
              </w:rPr>
              <w:t>اللواء الركن فيصل علي قايد حسن</w:t>
            </w:r>
          </w:p>
        </w:tc>
        <w:tc>
          <w:tcPr>
            <w:tcW w:w="2250" w:type="dxa"/>
          </w:tcPr>
          <w:p w14:paraId="7B1F94A6"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3</w:t>
            </w:r>
            <w:r w:rsidRPr="00B91FAE">
              <w:rPr>
                <w:rFonts w:asciiTheme="majorBidi" w:hAnsiTheme="majorBidi" w:cstheme="majorBidi"/>
                <w:vertAlign w:val="superscript"/>
                <w:lang w:val="en-US"/>
              </w:rPr>
              <w:t>rd</w:t>
            </w:r>
            <w:r w:rsidRPr="00B91FAE">
              <w:rPr>
                <w:rFonts w:asciiTheme="majorBidi" w:hAnsiTheme="majorBidi" w:cstheme="majorBidi"/>
                <w:lang w:val="en-US"/>
              </w:rPr>
              <w:t xml:space="preserve"> Military District Commander</w:t>
            </w:r>
            <w:r w:rsidRPr="00B91FAE">
              <w:rPr>
                <w:rStyle w:val="FootnoteReference"/>
                <w:rFonts w:asciiTheme="majorBidi" w:hAnsiTheme="majorBidi" w:cstheme="majorBidi"/>
                <w:lang w:val="en-US"/>
              </w:rPr>
              <w:footnoteReference w:id="1496"/>
            </w:r>
          </w:p>
          <w:p w14:paraId="05968DE2" w14:textId="77777777" w:rsidR="00EA7E88" w:rsidRPr="00B91FAE" w:rsidRDefault="00EA7E88" w:rsidP="00162F52">
            <w:pPr>
              <w:spacing w:after="160" w:line="259" w:lineRule="auto"/>
              <w:rPr>
                <w:rFonts w:asciiTheme="majorBidi" w:hAnsiTheme="majorBidi" w:cstheme="majorBidi"/>
              </w:rPr>
            </w:pPr>
          </w:p>
        </w:tc>
        <w:tc>
          <w:tcPr>
            <w:tcW w:w="3870" w:type="dxa"/>
          </w:tcPr>
          <w:p w14:paraId="7BCDC80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Ma’rib , 26 May 2018</w:t>
            </w:r>
          </w:p>
          <w:p w14:paraId="207FA5D6"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Serwah Axis commander 2018</w:t>
            </w:r>
          </w:p>
          <w:p w14:paraId="5C09CECB"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On 14 August 2019 replaced by Brigadier General Mohammed Ahmed al-Habaishi</w:t>
            </w:r>
            <w:r w:rsidRPr="00B91FAE">
              <w:rPr>
                <w:rStyle w:val="FootnoteReference"/>
                <w:rFonts w:asciiTheme="majorBidi" w:hAnsiTheme="majorBidi" w:cstheme="majorBidi"/>
              </w:rPr>
              <w:footnoteReference w:id="1497"/>
            </w:r>
          </w:p>
        </w:tc>
      </w:tr>
      <w:tr w:rsidR="00EA7E88" w:rsidRPr="00B91FAE" w14:paraId="22D00DFB" w14:textId="77777777" w:rsidTr="00162F52">
        <w:tc>
          <w:tcPr>
            <w:tcW w:w="803" w:type="dxa"/>
          </w:tcPr>
          <w:p w14:paraId="1AFBA2F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13</w:t>
            </w:r>
          </w:p>
        </w:tc>
        <w:tc>
          <w:tcPr>
            <w:tcW w:w="2802" w:type="dxa"/>
          </w:tcPr>
          <w:p w14:paraId="42A84D47" w14:textId="77777777" w:rsidR="00EA7E88" w:rsidRPr="00B91FAE" w:rsidRDefault="00EA7E88" w:rsidP="00162F52">
            <w:pPr>
              <w:spacing w:line="259" w:lineRule="auto"/>
              <w:rPr>
                <w:rFonts w:asciiTheme="majorBidi" w:hAnsiTheme="majorBidi" w:cstheme="majorBidi"/>
                <w:lang w:val="en-US"/>
              </w:rPr>
            </w:pPr>
            <w:r w:rsidRPr="00B91FAE">
              <w:rPr>
                <w:rFonts w:asciiTheme="majorBidi" w:hAnsiTheme="majorBidi" w:cstheme="majorBidi"/>
                <w:lang w:val="en-US"/>
              </w:rPr>
              <w:t>Major General Fadhl Hasan</w:t>
            </w:r>
          </w:p>
          <w:p w14:paraId="4DA96B51"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tl/>
                <w:lang w:val="en-US" w:bidi="ar-JO"/>
              </w:rPr>
              <w:t>اللواء الركن فضل حسن العمري</w:t>
            </w:r>
          </w:p>
        </w:tc>
        <w:tc>
          <w:tcPr>
            <w:tcW w:w="2250" w:type="dxa"/>
          </w:tcPr>
          <w:p w14:paraId="7786EA0C"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lang w:val="en-US"/>
              </w:rPr>
              <w:t>4</w:t>
            </w:r>
            <w:r w:rsidRPr="00B91FAE">
              <w:rPr>
                <w:rFonts w:asciiTheme="majorBidi" w:hAnsiTheme="majorBidi" w:cstheme="majorBidi"/>
                <w:vertAlign w:val="superscript"/>
                <w:lang w:val="en-US"/>
              </w:rPr>
              <w:t>th</w:t>
            </w:r>
            <w:r w:rsidRPr="00B91FAE">
              <w:rPr>
                <w:rFonts w:asciiTheme="majorBidi" w:hAnsiTheme="majorBidi" w:cstheme="majorBidi"/>
                <w:lang w:val="en-US"/>
              </w:rPr>
              <w:t xml:space="preserve"> Military District Commander</w:t>
            </w:r>
            <w:r w:rsidRPr="00B91FAE">
              <w:rPr>
                <w:rStyle w:val="FootnoteReference"/>
                <w:rFonts w:asciiTheme="majorBidi" w:hAnsiTheme="majorBidi" w:cstheme="majorBidi"/>
                <w:lang w:val="en-US"/>
              </w:rPr>
              <w:footnoteReference w:id="1498"/>
            </w:r>
          </w:p>
        </w:tc>
        <w:tc>
          <w:tcPr>
            <w:tcW w:w="3870" w:type="dxa"/>
          </w:tcPr>
          <w:p w14:paraId="0DCDD695"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lang w:val="en-US"/>
              </w:rPr>
              <w:t>Aden, 21 November 2016</w:t>
            </w:r>
          </w:p>
          <w:p w14:paraId="2CADCE4C" w14:textId="77777777" w:rsidR="00EA7E88" w:rsidRPr="00B91FAE" w:rsidRDefault="00EA7E88" w:rsidP="00162F52">
            <w:pPr>
              <w:spacing w:after="160" w:line="259" w:lineRule="auto"/>
              <w:rPr>
                <w:rFonts w:asciiTheme="majorBidi" w:hAnsiTheme="majorBidi" w:cstheme="majorBidi"/>
                <w:lang w:val="en-US"/>
              </w:rPr>
            </w:pPr>
            <w:r w:rsidRPr="00B91FAE">
              <w:rPr>
                <w:rFonts w:asciiTheme="majorBidi" w:hAnsiTheme="majorBidi" w:cstheme="majorBidi"/>
                <w:lang w:val="en-US"/>
              </w:rPr>
              <w:t xml:space="preserve">He has good relations with STC </w:t>
            </w:r>
          </w:p>
        </w:tc>
      </w:tr>
      <w:tr w:rsidR="00EA7E88" w:rsidRPr="00B91FAE" w14:paraId="2809F374" w14:textId="77777777" w:rsidTr="00162F52">
        <w:trPr>
          <w:trHeight w:val="1880"/>
        </w:trPr>
        <w:tc>
          <w:tcPr>
            <w:tcW w:w="803" w:type="dxa"/>
          </w:tcPr>
          <w:p w14:paraId="22B51DE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14</w:t>
            </w:r>
          </w:p>
        </w:tc>
        <w:tc>
          <w:tcPr>
            <w:tcW w:w="2802" w:type="dxa"/>
          </w:tcPr>
          <w:p w14:paraId="19488727"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Pr>
              <w:t>Major General Yahya Hussien Salah</w:t>
            </w:r>
          </w:p>
          <w:p w14:paraId="0E75960C" w14:textId="77777777" w:rsidR="00EA7E88" w:rsidRPr="00B91FAE" w:rsidRDefault="00EA7E88" w:rsidP="00162F52">
            <w:pPr>
              <w:spacing w:line="259" w:lineRule="auto"/>
              <w:rPr>
                <w:rFonts w:asciiTheme="majorBidi" w:hAnsiTheme="majorBidi" w:cstheme="majorBidi"/>
                <w:rtl/>
                <w:lang w:bidi="ar-JO"/>
              </w:rPr>
            </w:pPr>
            <w:r w:rsidRPr="00B91FAE">
              <w:rPr>
                <w:rFonts w:asciiTheme="majorBidi" w:hAnsiTheme="majorBidi" w:cstheme="majorBidi"/>
                <w:rtl/>
                <w:lang w:bidi="ar-JO"/>
              </w:rPr>
              <w:t>اللواء الركن يحي حسن صالح</w:t>
            </w:r>
          </w:p>
        </w:tc>
        <w:tc>
          <w:tcPr>
            <w:tcW w:w="2250" w:type="dxa"/>
          </w:tcPr>
          <w:p w14:paraId="500A0AA6"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5</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499"/>
            </w:r>
          </w:p>
          <w:p w14:paraId="2C47564D" w14:textId="77777777" w:rsidR="00EA7E88" w:rsidRPr="00B91FAE" w:rsidRDefault="00EA7E88" w:rsidP="00162F52">
            <w:pPr>
              <w:spacing w:line="259" w:lineRule="auto"/>
              <w:rPr>
                <w:rFonts w:asciiTheme="majorBidi" w:hAnsiTheme="majorBidi" w:cstheme="majorBidi"/>
              </w:rPr>
            </w:pPr>
          </w:p>
        </w:tc>
        <w:tc>
          <w:tcPr>
            <w:tcW w:w="3870" w:type="dxa"/>
          </w:tcPr>
          <w:p w14:paraId="47C69333"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Midi, Hajjah,  17 February 2018</w:t>
            </w:r>
          </w:p>
        </w:tc>
      </w:tr>
      <w:tr w:rsidR="00EA7E88" w:rsidRPr="00B91FAE" w14:paraId="0D0AFDAA" w14:textId="77777777" w:rsidTr="00162F52">
        <w:tc>
          <w:tcPr>
            <w:tcW w:w="803" w:type="dxa"/>
          </w:tcPr>
          <w:p w14:paraId="20CD8082"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15</w:t>
            </w:r>
          </w:p>
        </w:tc>
        <w:tc>
          <w:tcPr>
            <w:tcW w:w="2802" w:type="dxa"/>
          </w:tcPr>
          <w:p w14:paraId="06C7CD21"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Pr>
              <w:t>Major General Hashem Abdallah al-Ahmar</w:t>
            </w:r>
          </w:p>
          <w:p w14:paraId="3A150C8F"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tl/>
                <w:lang w:bidi="ar-JO"/>
              </w:rPr>
              <w:t>اللواء الركن هاشم عبدالله الاحمر</w:t>
            </w:r>
          </w:p>
        </w:tc>
        <w:tc>
          <w:tcPr>
            <w:tcW w:w="2250" w:type="dxa"/>
          </w:tcPr>
          <w:p w14:paraId="548F8BCF" w14:textId="77777777" w:rsidR="00EA7E88" w:rsidRPr="00B91FAE" w:rsidRDefault="00EA7E88" w:rsidP="00162F52">
            <w:pPr>
              <w:spacing w:line="259" w:lineRule="auto"/>
              <w:rPr>
                <w:rFonts w:asciiTheme="majorBidi" w:hAnsiTheme="majorBidi" w:cstheme="majorBidi"/>
              </w:rPr>
            </w:pPr>
            <w:r w:rsidRPr="00B91FAE">
              <w:rPr>
                <w:rFonts w:asciiTheme="majorBidi" w:hAnsiTheme="majorBidi" w:cstheme="majorBidi"/>
              </w:rPr>
              <w:t>6</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500"/>
            </w:r>
          </w:p>
          <w:p w14:paraId="21F37771" w14:textId="77777777" w:rsidR="00EA7E88" w:rsidRPr="00B91FAE" w:rsidRDefault="00EA7E88" w:rsidP="00162F52">
            <w:pPr>
              <w:spacing w:after="160" w:line="259" w:lineRule="auto"/>
              <w:rPr>
                <w:rFonts w:asciiTheme="majorBidi" w:hAnsiTheme="majorBidi" w:cstheme="majorBidi"/>
              </w:rPr>
            </w:pPr>
          </w:p>
        </w:tc>
        <w:tc>
          <w:tcPr>
            <w:tcW w:w="3870" w:type="dxa"/>
          </w:tcPr>
          <w:p w14:paraId="1439EB77"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al-Jawf, 17 February 2018</w:t>
            </w:r>
          </w:p>
        </w:tc>
      </w:tr>
      <w:tr w:rsidR="00EA7E88" w:rsidRPr="00B91FAE" w14:paraId="1708A377" w14:textId="77777777" w:rsidTr="00162F52">
        <w:trPr>
          <w:trHeight w:val="1593"/>
        </w:trPr>
        <w:tc>
          <w:tcPr>
            <w:tcW w:w="803" w:type="dxa"/>
          </w:tcPr>
          <w:p w14:paraId="79B21688" w14:textId="77777777" w:rsidR="00EA7E88" w:rsidRPr="00B91FAE" w:rsidRDefault="00EA7E88" w:rsidP="00162F52">
            <w:pPr>
              <w:spacing w:after="160" w:line="259" w:lineRule="auto"/>
              <w:rPr>
                <w:rFonts w:asciiTheme="majorBidi" w:hAnsiTheme="majorBidi" w:cstheme="majorBidi"/>
                <w:rtl/>
                <w:lang w:bidi="ar-JO"/>
              </w:rPr>
            </w:pPr>
            <w:r w:rsidRPr="00B91FAE">
              <w:rPr>
                <w:rFonts w:asciiTheme="majorBidi" w:hAnsiTheme="majorBidi" w:cstheme="majorBidi"/>
              </w:rPr>
              <w:t>16</w:t>
            </w:r>
          </w:p>
        </w:tc>
        <w:tc>
          <w:tcPr>
            <w:tcW w:w="2802" w:type="dxa"/>
          </w:tcPr>
          <w:p w14:paraId="40174CF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Major General Mohsen Ahmed Mohammed al-Khabi</w:t>
            </w:r>
          </w:p>
          <w:p w14:paraId="58EFF5B2" w14:textId="77777777" w:rsidR="00EA7E88" w:rsidRPr="00B91FAE" w:rsidRDefault="00EA7E88" w:rsidP="00162F52">
            <w:pPr>
              <w:spacing w:after="160" w:line="259" w:lineRule="auto"/>
              <w:rPr>
                <w:rFonts w:asciiTheme="majorBidi" w:hAnsiTheme="majorBidi" w:cstheme="majorBidi"/>
                <w:lang w:val="en-US" w:bidi="ar-JO"/>
              </w:rPr>
            </w:pPr>
            <w:r w:rsidRPr="00B91FAE">
              <w:rPr>
                <w:rFonts w:asciiTheme="majorBidi" w:hAnsiTheme="majorBidi" w:cstheme="majorBidi"/>
                <w:rtl/>
                <w:lang w:val="en-US" w:bidi="ar-JO"/>
              </w:rPr>
              <w:t>اللواء الركن محسن احمد الخبي</w:t>
            </w:r>
          </w:p>
        </w:tc>
        <w:tc>
          <w:tcPr>
            <w:tcW w:w="2250" w:type="dxa"/>
          </w:tcPr>
          <w:p w14:paraId="08B18B54" w14:textId="77777777" w:rsidR="00EA7E88" w:rsidRPr="00B91FAE" w:rsidRDefault="00EA7E88" w:rsidP="00162F52">
            <w:pPr>
              <w:spacing w:after="160" w:line="259" w:lineRule="auto"/>
              <w:rPr>
                <w:rFonts w:asciiTheme="majorBidi" w:hAnsiTheme="majorBidi" w:cstheme="majorBidi"/>
              </w:rPr>
            </w:pPr>
            <w:r w:rsidRPr="00B91FAE">
              <w:rPr>
                <w:rFonts w:asciiTheme="majorBidi" w:hAnsiTheme="majorBidi" w:cstheme="majorBidi"/>
              </w:rPr>
              <w:t>7</w:t>
            </w:r>
            <w:r w:rsidRPr="00B91FAE">
              <w:rPr>
                <w:rFonts w:asciiTheme="majorBidi" w:hAnsiTheme="majorBidi" w:cstheme="majorBidi"/>
                <w:vertAlign w:val="superscript"/>
              </w:rPr>
              <w:t>th</w:t>
            </w:r>
            <w:r w:rsidRPr="00B91FAE">
              <w:rPr>
                <w:rFonts w:asciiTheme="majorBidi" w:hAnsiTheme="majorBidi" w:cstheme="majorBidi"/>
              </w:rPr>
              <w:t xml:space="preserve">  Military District Commander</w:t>
            </w:r>
            <w:r w:rsidRPr="00B91FAE">
              <w:rPr>
                <w:rStyle w:val="FootnoteReference"/>
                <w:rFonts w:asciiTheme="majorBidi" w:hAnsiTheme="majorBidi" w:cstheme="majorBidi"/>
              </w:rPr>
              <w:footnoteReference w:id="1501"/>
            </w:r>
          </w:p>
        </w:tc>
        <w:tc>
          <w:tcPr>
            <w:tcW w:w="3870" w:type="dxa"/>
          </w:tcPr>
          <w:p w14:paraId="1E3ACAF1" w14:textId="77777777" w:rsidR="00EA7E88" w:rsidRPr="00B91FAE" w:rsidRDefault="00EA7E88" w:rsidP="00162F52">
            <w:pPr>
              <w:spacing w:after="160" w:line="259" w:lineRule="auto"/>
              <w:rPr>
                <w:rFonts w:asciiTheme="majorBidi" w:hAnsiTheme="majorBidi" w:cstheme="majorBidi"/>
                <w:rtl/>
              </w:rPr>
            </w:pPr>
            <w:r w:rsidRPr="00B91FAE">
              <w:rPr>
                <w:rFonts w:asciiTheme="majorBidi" w:hAnsiTheme="majorBidi" w:cstheme="majorBidi"/>
              </w:rPr>
              <w:t>Nahim</w:t>
            </w:r>
            <w:r w:rsidRPr="00B91FAE">
              <w:rPr>
                <w:rFonts w:asciiTheme="majorBidi" w:hAnsiTheme="majorBidi" w:cstheme="majorBidi"/>
                <w:lang w:bidi="ar-JO"/>
              </w:rPr>
              <w:t xml:space="preserve">, Sana’a, </w:t>
            </w:r>
            <w:r w:rsidRPr="00B91FAE">
              <w:rPr>
                <w:rFonts w:asciiTheme="majorBidi" w:hAnsiTheme="majorBidi" w:cstheme="majorBidi"/>
              </w:rPr>
              <w:t>5 August 2018</w:t>
            </w:r>
          </w:p>
          <w:p w14:paraId="50884695" w14:textId="77777777" w:rsidR="00EA7E88" w:rsidRPr="00B91FAE" w:rsidRDefault="00EA7E88" w:rsidP="00162F52">
            <w:pPr>
              <w:spacing w:after="160" w:line="259" w:lineRule="auto"/>
              <w:rPr>
                <w:rFonts w:asciiTheme="majorBidi" w:hAnsiTheme="majorBidi" w:cstheme="majorBidi"/>
                <w:lang w:bidi="ar-JO"/>
              </w:rPr>
            </w:pPr>
          </w:p>
        </w:tc>
      </w:tr>
    </w:tbl>
    <w:p w14:paraId="4173BDD5" w14:textId="77777777" w:rsidR="00EA7E88" w:rsidRPr="00B91FAE" w:rsidRDefault="00EA7E88" w:rsidP="00EA7E88">
      <w:pPr>
        <w:rPr>
          <w:rFonts w:asciiTheme="majorBidi" w:hAnsiTheme="majorBidi" w:cstheme="majorBidi"/>
        </w:rPr>
      </w:pPr>
    </w:p>
    <w:p w14:paraId="104677AA" w14:textId="77777777" w:rsidR="00EA7E88" w:rsidRPr="00B91FAE" w:rsidRDefault="00EA7E88" w:rsidP="00EA7E88">
      <w:pPr>
        <w:suppressAutoHyphens w:val="0"/>
        <w:spacing w:line="240" w:lineRule="auto"/>
        <w:rPr>
          <w:rFonts w:asciiTheme="majorBidi" w:hAnsiTheme="majorBidi" w:cstheme="majorBidi"/>
        </w:rPr>
      </w:pPr>
      <w:r w:rsidRPr="00B91FAE">
        <w:rPr>
          <w:rFonts w:asciiTheme="majorBidi" w:hAnsiTheme="majorBidi" w:cstheme="majorBidi"/>
        </w:rPr>
        <w:br w:type="page"/>
      </w:r>
    </w:p>
    <w:p w14:paraId="7A695BB8" w14:textId="77777777" w:rsidR="00EA7E88" w:rsidRPr="00B91FAE" w:rsidRDefault="00EA7E88" w:rsidP="00EA7E88">
      <w:pPr>
        <w:rPr>
          <w:rFonts w:asciiTheme="majorBidi" w:hAnsiTheme="majorBidi" w:cstheme="majorBidi"/>
        </w:rPr>
      </w:pPr>
    </w:p>
    <w:p w14:paraId="36F08D11"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t>b.</w:t>
      </w:r>
      <w:r w:rsidRPr="00B91FAE">
        <w:rPr>
          <w:rFonts w:asciiTheme="majorBidi" w:hAnsiTheme="majorBidi" w:cstheme="majorBidi"/>
          <w:b/>
          <w:bCs/>
        </w:rPr>
        <w:tab/>
        <w:t>Main Actors in Aden I (2015), Government of Yemen</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EA7E88" w:rsidRPr="00B91FAE" w14:paraId="781273AD" w14:textId="77777777" w:rsidTr="00162F52">
        <w:tc>
          <w:tcPr>
            <w:tcW w:w="810" w:type="dxa"/>
            <w:tcBorders>
              <w:bottom w:val="single" w:sz="4" w:space="0" w:color="auto"/>
            </w:tcBorders>
            <w:shd w:val="clear" w:color="auto" w:fill="FFFFFF" w:themeFill="background1"/>
          </w:tcPr>
          <w:p w14:paraId="45609C5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2659B2C8"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A2C76F3"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6DC2F60"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Assessment/ remarks</w:t>
            </w:r>
          </w:p>
        </w:tc>
      </w:tr>
      <w:tr w:rsidR="00EA7E88" w:rsidRPr="00B91FAE" w14:paraId="0BF69FA1" w14:textId="77777777" w:rsidTr="00162F52">
        <w:trPr>
          <w:trHeight w:val="1232"/>
        </w:trPr>
        <w:tc>
          <w:tcPr>
            <w:tcW w:w="810" w:type="dxa"/>
            <w:tcBorders>
              <w:top w:val="single" w:sz="4" w:space="0" w:color="auto"/>
            </w:tcBorders>
          </w:tcPr>
          <w:p w14:paraId="76ECB326"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1</w:t>
            </w:r>
          </w:p>
        </w:tc>
        <w:tc>
          <w:tcPr>
            <w:tcW w:w="2790" w:type="dxa"/>
            <w:tcBorders>
              <w:top w:val="single" w:sz="4" w:space="0" w:color="auto"/>
            </w:tcBorders>
          </w:tcPr>
          <w:p w14:paraId="71A1AA05" w14:textId="77777777" w:rsidR="00EA7E88" w:rsidRPr="00B91FAE" w:rsidRDefault="00EA7E88" w:rsidP="00162F52">
            <w:pPr>
              <w:spacing w:after="160" w:line="259" w:lineRule="auto"/>
              <w:rPr>
                <w:rFonts w:asciiTheme="majorBidi" w:hAnsiTheme="majorBidi" w:cstheme="majorBidi"/>
                <w:sz w:val="20"/>
                <w:szCs w:val="20"/>
                <w:rtl/>
              </w:rPr>
            </w:pPr>
            <w:r w:rsidRPr="00B91FAE">
              <w:rPr>
                <w:rFonts w:asciiTheme="majorBidi" w:hAnsiTheme="majorBidi" w:cstheme="majorBidi"/>
                <w:sz w:val="20"/>
                <w:szCs w:val="20"/>
              </w:rPr>
              <w:t>President Abd Rabbu Mansour Hadi</w:t>
            </w:r>
            <w:r w:rsidRPr="00B91FAE">
              <w:rPr>
                <w:rStyle w:val="FootnoteReference"/>
                <w:rFonts w:asciiTheme="majorBidi" w:hAnsiTheme="majorBidi" w:cstheme="majorBidi"/>
                <w:sz w:val="20"/>
                <w:szCs w:val="20"/>
              </w:rPr>
              <w:footnoteReference w:id="1502"/>
            </w:r>
          </w:p>
          <w:p w14:paraId="62046D56"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tl/>
              </w:rPr>
              <w:t>الرئيس عبد ربه منصور هادي</w:t>
            </w:r>
          </w:p>
        </w:tc>
        <w:tc>
          <w:tcPr>
            <w:tcW w:w="2250" w:type="dxa"/>
            <w:tcBorders>
              <w:top w:val="single" w:sz="4" w:space="0" w:color="auto"/>
            </w:tcBorders>
          </w:tcPr>
          <w:p w14:paraId="5EE36F41"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Supreme Commander of the Armed Forces</w:t>
            </w:r>
          </w:p>
        </w:tc>
        <w:tc>
          <w:tcPr>
            <w:tcW w:w="3960" w:type="dxa"/>
            <w:tcBorders>
              <w:top w:val="single" w:sz="4" w:space="0" w:color="auto"/>
            </w:tcBorders>
          </w:tcPr>
          <w:p w14:paraId="563009D9" w14:textId="77777777" w:rsidR="00EA7E88" w:rsidRPr="00B91FAE" w:rsidRDefault="00EA7E88" w:rsidP="00162F52">
            <w:pPr>
              <w:spacing w:after="160" w:line="259" w:lineRule="auto"/>
              <w:rPr>
                <w:rFonts w:asciiTheme="majorBidi" w:hAnsiTheme="majorBidi" w:cstheme="majorBidi"/>
                <w:sz w:val="20"/>
                <w:szCs w:val="20"/>
              </w:rPr>
            </w:pPr>
            <w:r w:rsidRPr="00B91FAE">
              <w:rPr>
                <w:rFonts w:asciiTheme="majorBidi" w:hAnsiTheme="majorBidi" w:cstheme="majorBidi"/>
                <w:sz w:val="20"/>
                <w:szCs w:val="20"/>
              </w:rPr>
              <w:t>25 March 2015 left Aden to al-Mahra then to Oman then to Saudi Ariabia</w:t>
            </w:r>
          </w:p>
        </w:tc>
      </w:tr>
      <w:tr w:rsidR="00EA7E88" w:rsidRPr="00B91FAE" w14:paraId="25745A84" w14:textId="77777777" w:rsidTr="00162F52">
        <w:trPr>
          <w:trHeight w:val="990"/>
        </w:trPr>
        <w:tc>
          <w:tcPr>
            <w:tcW w:w="810" w:type="dxa"/>
            <w:shd w:val="clear" w:color="auto" w:fill="auto"/>
          </w:tcPr>
          <w:p w14:paraId="0F56962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790" w:type="dxa"/>
            <w:shd w:val="clear" w:color="auto" w:fill="auto"/>
          </w:tcPr>
          <w:p w14:paraId="07CAB4D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Ali Hassan al-Ahmadi</w:t>
            </w:r>
          </w:p>
          <w:p w14:paraId="0687E304"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الدكتور علي حسن الاحمدي</w:t>
            </w:r>
          </w:p>
        </w:tc>
        <w:tc>
          <w:tcPr>
            <w:tcW w:w="2250" w:type="dxa"/>
            <w:shd w:val="clear" w:color="auto" w:fill="auto"/>
          </w:tcPr>
          <w:p w14:paraId="261CB43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National Security Bureau </w:t>
            </w:r>
          </w:p>
        </w:tc>
        <w:tc>
          <w:tcPr>
            <w:tcW w:w="3960" w:type="dxa"/>
            <w:shd w:val="clear" w:color="auto" w:fill="auto"/>
          </w:tcPr>
          <w:p w14:paraId="3639AE4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On 25 March 2015, accompanied  President Hadi when he left Aden</w:t>
            </w:r>
          </w:p>
          <w:p w14:paraId="5DE03BB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Now, Yemen's Ambassador to Bahrain</w:t>
            </w:r>
          </w:p>
          <w:p w14:paraId="7E5F34AA" w14:textId="77777777" w:rsidR="00EA7E88" w:rsidRPr="00B91FAE" w:rsidRDefault="00EA7E88" w:rsidP="00162F52">
            <w:pPr>
              <w:rPr>
                <w:rFonts w:asciiTheme="majorBidi" w:hAnsiTheme="majorBidi" w:cstheme="majorBidi"/>
                <w:sz w:val="20"/>
                <w:szCs w:val="20"/>
                <w:rtl/>
                <w:lang w:bidi="ar-JO"/>
              </w:rPr>
            </w:pPr>
          </w:p>
        </w:tc>
      </w:tr>
      <w:tr w:rsidR="00EA7E88" w:rsidRPr="00B91FAE" w14:paraId="0A65CE5D" w14:textId="77777777" w:rsidTr="00162F52">
        <w:tc>
          <w:tcPr>
            <w:tcW w:w="810" w:type="dxa"/>
            <w:shd w:val="clear" w:color="auto" w:fill="auto"/>
          </w:tcPr>
          <w:p w14:paraId="7BC13E0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790" w:type="dxa"/>
            <w:shd w:val="clear" w:color="auto" w:fill="auto"/>
          </w:tcPr>
          <w:p w14:paraId="3F76C9E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Mahmoud al-Subaihi,</w:t>
            </w:r>
          </w:p>
          <w:p w14:paraId="4B2D41F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محمود الصبيحي</w:t>
            </w:r>
            <w:r w:rsidRPr="00B91FAE">
              <w:rPr>
                <w:rFonts w:asciiTheme="majorBidi" w:hAnsiTheme="majorBidi" w:cstheme="majorBidi"/>
                <w:sz w:val="20"/>
                <w:szCs w:val="20"/>
                <w:lang w:bidi="ar-JO"/>
              </w:rPr>
              <w:t xml:space="preserve"> </w:t>
            </w:r>
          </w:p>
        </w:tc>
        <w:tc>
          <w:tcPr>
            <w:tcW w:w="2250" w:type="dxa"/>
            <w:shd w:val="clear" w:color="auto" w:fill="auto"/>
          </w:tcPr>
          <w:p w14:paraId="22489BC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Minister of Defence</w:t>
            </w:r>
          </w:p>
        </w:tc>
        <w:tc>
          <w:tcPr>
            <w:tcW w:w="3960" w:type="dxa"/>
            <w:shd w:val="clear" w:color="auto" w:fill="auto"/>
          </w:tcPr>
          <w:p w14:paraId="568C6B6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6401D11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was captured by the Houthis on March 25 near al-Anad base.</w:t>
            </w:r>
          </w:p>
          <w:p w14:paraId="34BE7A47" w14:textId="77777777" w:rsidR="00EA7E88" w:rsidRPr="00B91FAE" w:rsidRDefault="00EA7E88" w:rsidP="00162F52">
            <w:pPr>
              <w:rPr>
                <w:rFonts w:asciiTheme="majorBidi" w:hAnsiTheme="majorBidi" w:cstheme="majorBidi"/>
                <w:sz w:val="20"/>
                <w:szCs w:val="20"/>
                <w:lang w:bidi="ar-JO"/>
              </w:rPr>
            </w:pPr>
          </w:p>
        </w:tc>
      </w:tr>
      <w:tr w:rsidR="00EA7E88" w:rsidRPr="00B91FAE" w14:paraId="3B581155" w14:textId="77777777" w:rsidTr="00162F52">
        <w:tc>
          <w:tcPr>
            <w:tcW w:w="810" w:type="dxa"/>
            <w:shd w:val="clear" w:color="auto" w:fill="auto"/>
          </w:tcPr>
          <w:p w14:paraId="7EAA6DB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0" w:type="dxa"/>
            <w:shd w:val="clear" w:color="auto" w:fill="auto"/>
          </w:tcPr>
          <w:p w14:paraId="6B4024E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Nasser Mansour Hadi</w:t>
            </w:r>
          </w:p>
          <w:p w14:paraId="16D5865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ناصر منصور هادي</w:t>
            </w:r>
          </w:p>
          <w:p w14:paraId="188EB2C3" w14:textId="77777777" w:rsidR="00EA7E88" w:rsidRPr="00B91FAE" w:rsidRDefault="00EA7E88" w:rsidP="00162F52">
            <w:pPr>
              <w:rPr>
                <w:rFonts w:asciiTheme="majorBidi" w:hAnsiTheme="majorBidi" w:cstheme="majorBidi"/>
                <w:sz w:val="20"/>
                <w:szCs w:val="20"/>
                <w:lang w:bidi="ar-JO"/>
              </w:rPr>
            </w:pPr>
          </w:p>
        </w:tc>
        <w:tc>
          <w:tcPr>
            <w:tcW w:w="2250" w:type="dxa"/>
            <w:shd w:val="clear" w:color="auto" w:fill="auto"/>
          </w:tcPr>
          <w:p w14:paraId="356C9471"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director of political security in Aden, Lahj and Abyan</w:t>
            </w:r>
          </w:p>
        </w:tc>
        <w:tc>
          <w:tcPr>
            <w:tcW w:w="3960" w:type="dxa"/>
            <w:shd w:val="clear" w:color="auto" w:fill="auto"/>
          </w:tcPr>
          <w:p w14:paraId="2187965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President Hadi's brother</w:t>
            </w:r>
          </w:p>
          <w:p w14:paraId="699F083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150A9E1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was captured by the Houthis on March 25 near al-Anad base.</w:t>
            </w:r>
          </w:p>
          <w:p w14:paraId="5360959A" w14:textId="77777777" w:rsidR="00EA7E88" w:rsidRPr="00B91FAE" w:rsidRDefault="00EA7E88" w:rsidP="00162F52">
            <w:pPr>
              <w:rPr>
                <w:rFonts w:asciiTheme="majorBidi" w:hAnsiTheme="majorBidi" w:cstheme="majorBidi"/>
                <w:sz w:val="20"/>
                <w:szCs w:val="20"/>
                <w:lang w:bidi="ar-JO"/>
              </w:rPr>
            </w:pPr>
          </w:p>
        </w:tc>
      </w:tr>
      <w:tr w:rsidR="00EA7E88" w:rsidRPr="00B91FAE" w14:paraId="724E6247" w14:textId="77777777" w:rsidTr="00162F52">
        <w:tc>
          <w:tcPr>
            <w:tcW w:w="810" w:type="dxa"/>
            <w:shd w:val="clear" w:color="auto" w:fill="auto"/>
          </w:tcPr>
          <w:p w14:paraId="3C9DC24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0" w:type="dxa"/>
            <w:shd w:val="clear" w:color="auto" w:fill="auto"/>
          </w:tcPr>
          <w:p w14:paraId="0B339DF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Brigadier General Faisal Rajab </w:t>
            </w:r>
          </w:p>
          <w:p w14:paraId="5640346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فيصل رجب</w:t>
            </w:r>
          </w:p>
        </w:tc>
        <w:tc>
          <w:tcPr>
            <w:tcW w:w="2250" w:type="dxa"/>
            <w:shd w:val="clear" w:color="auto" w:fill="auto"/>
          </w:tcPr>
          <w:p w14:paraId="7827DA5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119 Infantry Brigade Commander</w:t>
            </w:r>
          </w:p>
        </w:tc>
        <w:tc>
          <w:tcPr>
            <w:tcW w:w="3960" w:type="dxa"/>
            <w:shd w:val="clear" w:color="auto" w:fill="auto"/>
          </w:tcPr>
          <w:p w14:paraId="2BF023E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Loyal to President Hadi</w:t>
            </w:r>
          </w:p>
          <w:p w14:paraId="369E4F2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He was captured by the Houthis on March 25 near al-Anad base.</w:t>
            </w:r>
          </w:p>
        </w:tc>
      </w:tr>
      <w:tr w:rsidR="00EA7E88" w:rsidRPr="00B91FAE" w14:paraId="0C3E7724" w14:textId="77777777" w:rsidTr="00162F52">
        <w:tc>
          <w:tcPr>
            <w:tcW w:w="810" w:type="dxa"/>
          </w:tcPr>
          <w:p w14:paraId="441D2DF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0" w:type="dxa"/>
          </w:tcPr>
          <w:p w14:paraId="2E790D10"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Abd al-Latif al-Sayyad</w:t>
            </w:r>
            <w:r w:rsidRPr="00B91FAE">
              <w:rPr>
                <w:rFonts w:asciiTheme="majorBidi" w:eastAsia="Calibri" w:hAnsiTheme="majorBidi" w:cstheme="majorBidi"/>
                <w:spacing w:val="4"/>
                <w:w w:val="103"/>
                <w:sz w:val="20"/>
                <w:szCs w:val="20"/>
                <w:vertAlign w:val="superscript"/>
              </w:rPr>
              <w:footnoteReference w:id="1503"/>
            </w:r>
          </w:p>
          <w:p w14:paraId="74F6D85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عبداللطيف السيد</w:t>
            </w:r>
          </w:p>
        </w:tc>
        <w:tc>
          <w:tcPr>
            <w:tcW w:w="2250" w:type="dxa"/>
          </w:tcPr>
          <w:p w14:paraId="3CD708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Head of Abyan popular Committees</w:t>
            </w:r>
          </w:p>
        </w:tc>
        <w:tc>
          <w:tcPr>
            <w:tcW w:w="3960" w:type="dxa"/>
          </w:tcPr>
          <w:p w14:paraId="205DCC32"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Fought against central security forces in Aden during March 2015 </w:t>
            </w:r>
          </w:p>
          <w:p w14:paraId="496F6757"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Now, Commander of Abyan Security Belt Forces</w:t>
            </w:r>
          </w:p>
          <w:p w14:paraId="51DC51E4"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Supported by UAE</w:t>
            </w:r>
          </w:p>
        </w:tc>
      </w:tr>
      <w:tr w:rsidR="00EA7E88" w:rsidRPr="00B91FAE" w14:paraId="41D36108" w14:textId="77777777" w:rsidTr="00162F52">
        <w:trPr>
          <w:trHeight w:val="1080"/>
        </w:trPr>
        <w:tc>
          <w:tcPr>
            <w:tcW w:w="810" w:type="dxa"/>
            <w:shd w:val="clear" w:color="auto" w:fill="auto"/>
          </w:tcPr>
          <w:p w14:paraId="536D55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790" w:type="dxa"/>
            <w:shd w:val="clear" w:color="auto" w:fill="auto"/>
          </w:tcPr>
          <w:p w14:paraId="24703D2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Major General Ali </w:t>
            </w:r>
            <w:r w:rsidRPr="00B91FAE">
              <w:rPr>
                <w:rFonts w:asciiTheme="majorBidi" w:hAnsiTheme="majorBidi" w:cstheme="majorBidi"/>
                <w:sz w:val="20"/>
                <w:szCs w:val="20"/>
                <w:lang w:val="en-US" w:bidi="ar-JO"/>
              </w:rPr>
              <w:t xml:space="preserve">Naser </w:t>
            </w:r>
            <w:r w:rsidRPr="00B91FAE">
              <w:rPr>
                <w:rFonts w:asciiTheme="majorBidi" w:hAnsiTheme="majorBidi" w:cstheme="majorBidi"/>
                <w:sz w:val="20"/>
                <w:szCs w:val="20"/>
                <w:lang w:bidi="ar-JO"/>
              </w:rPr>
              <w:t>Lakhsha’</w:t>
            </w:r>
          </w:p>
          <w:p w14:paraId="00E6EABF"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علي ناصر الاخشع</w:t>
            </w:r>
          </w:p>
        </w:tc>
        <w:tc>
          <w:tcPr>
            <w:tcW w:w="2250" w:type="dxa"/>
            <w:shd w:val="clear" w:color="auto" w:fill="auto"/>
          </w:tcPr>
          <w:p w14:paraId="35C8523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Deputy Minister of Interior</w:t>
            </w:r>
          </w:p>
        </w:tc>
        <w:tc>
          <w:tcPr>
            <w:tcW w:w="3960" w:type="dxa"/>
            <w:shd w:val="clear" w:color="auto" w:fill="auto"/>
          </w:tcPr>
          <w:p w14:paraId="6107D87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Tasked to rearrange the security departments in Aden after the escape of the central security forces</w:t>
            </w:r>
          </w:p>
          <w:p w14:paraId="0508E8B0" w14:textId="77777777" w:rsidR="00EA7E88" w:rsidRPr="00B91FAE" w:rsidRDefault="00EA7E88" w:rsidP="00162F52">
            <w:pPr>
              <w:rPr>
                <w:rFonts w:asciiTheme="majorBidi" w:hAnsiTheme="majorBidi" w:cstheme="majorBidi"/>
                <w:sz w:val="20"/>
                <w:szCs w:val="20"/>
                <w:lang w:bidi="ar-JO"/>
              </w:rPr>
            </w:pPr>
          </w:p>
        </w:tc>
      </w:tr>
      <w:tr w:rsidR="00EA7E88" w:rsidRPr="00B91FAE" w14:paraId="2616EC35" w14:textId="77777777" w:rsidTr="00162F52">
        <w:tc>
          <w:tcPr>
            <w:tcW w:w="810" w:type="dxa"/>
            <w:shd w:val="clear" w:color="auto" w:fill="auto"/>
          </w:tcPr>
          <w:p w14:paraId="653E597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790" w:type="dxa"/>
            <w:shd w:val="clear" w:color="auto" w:fill="auto"/>
          </w:tcPr>
          <w:p w14:paraId="23FB9AE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Brigadier General Mohammed Saleh Tamah</w:t>
            </w:r>
          </w:p>
          <w:p w14:paraId="067253E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محمد صالح طماح</w:t>
            </w:r>
          </w:p>
        </w:tc>
        <w:tc>
          <w:tcPr>
            <w:tcW w:w="2250" w:type="dxa"/>
            <w:shd w:val="clear" w:color="auto" w:fill="auto"/>
          </w:tcPr>
          <w:p w14:paraId="6B08AEE9"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Al-Anad Axes Commander</w:t>
            </w:r>
          </w:p>
        </w:tc>
        <w:tc>
          <w:tcPr>
            <w:tcW w:w="3960" w:type="dxa"/>
            <w:shd w:val="clear" w:color="auto" w:fill="auto"/>
          </w:tcPr>
          <w:p w14:paraId="472B081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Played a significant role in al-Anad front during the fight against Houthi-Saleh groups in 2015. </w:t>
            </w:r>
          </w:p>
          <w:p w14:paraId="58E3614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 On 13 January 2019, killed in al-Anad base by a Houthi drone. </w:t>
            </w:r>
          </w:p>
        </w:tc>
      </w:tr>
      <w:tr w:rsidR="00EA7E88" w:rsidRPr="00B91FAE" w14:paraId="4914D7BF" w14:textId="77777777" w:rsidTr="00162F52">
        <w:tc>
          <w:tcPr>
            <w:tcW w:w="810" w:type="dxa"/>
          </w:tcPr>
          <w:p w14:paraId="58706ED1" w14:textId="77777777" w:rsidR="00EA7E88" w:rsidRPr="00B91FAE" w:rsidRDefault="00EA7E88" w:rsidP="00162F52">
            <w:pPr>
              <w:spacing w:after="160" w:line="259" w:lineRule="auto"/>
              <w:jc w:val="center"/>
              <w:rPr>
                <w:rFonts w:asciiTheme="majorBidi" w:hAnsiTheme="majorBidi" w:cstheme="majorBidi"/>
                <w:sz w:val="20"/>
                <w:szCs w:val="20"/>
              </w:rPr>
            </w:pPr>
            <w:r w:rsidRPr="00B91FAE">
              <w:rPr>
                <w:rFonts w:asciiTheme="majorBidi" w:hAnsiTheme="majorBidi" w:cstheme="majorBidi"/>
                <w:sz w:val="20"/>
                <w:szCs w:val="20"/>
              </w:rPr>
              <w:t>9</w:t>
            </w:r>
          </w:p>
        </w:tc>
        <w:tc>
          <w:tcPr>
            <w:tcW w:w="2790" w:type="dxa"/>
          </w:tcPr>
          <w:p w14:paraId="6C581F4A" w14:textId="77777777" w:rsidR="00EA7E88" w:rsidRPr="00B91FAE" w:rsidRDefault="00EA7E88" w:rsidP="00162F52">
            <w:pPr>
              <w:spacing w:line="259" w:lineRule="auto"/>
              <w:rPr>
                <w:rFonts w:asciiTheme="majorBidi" w:hAnsiTheme="majorBidi" w:cstheme="majorBidi"/>
                <w:sz w:val="20"/>
                <w:szCs w:val="20"/>
                <w:lang w:val="en-US"/>
              </w:rPr>
            </w:pPr>
            <w:r w:rsidRPr="00B91FAE">
              <w:rPr>
                <w:rFonts w:asciiTheme="majorBidi" w:hAnsiTheme="majorBidi" w:cstheme="majorBidi"/>
                <w:sz w:val="20"/>
                <w:szCs w:val="20"/>
                <w:lang w:val="en-US"/>
              </w:rPr>
              <w:t>Major General Fadhl Hasan</w:t>
            </w:r>
          </w:p>
          <w:p w14:paraId="0BB55225" w14:textId="77777777" w:rsidR="00EA7E88" w:rsidRPr="00B91FAE" w:rsidRDefault="00EA7E88" w:rsidP="00162F52">
            <w:pPr>
              <w:spacing w:line="259" w:lineRule="auto"/>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اللواء الركن فضل حسن العمري</w:t>
            </w:r>
          </w:p>
          <w:p w14:paraId="461D1D73" w14:textId="77777777" w:rsidR="00EA7E88" w:rsidRPr="00B91FAE" w:rsidRDefault="00EA7E88" w:rsidP="00162F52">
            <w:pPr>
              <w:spacing w:after="160" w:line="259" w:lineRule="auto"/>
              <w:rPr>
                <w:rFonts w:asciiTheme="majorBidi" w:hAnsiTheme="majorBidi" w:cstheme="majorBidi"/>
                <w:sz w:val="20"/>
                <w:szCs w:val="20"/>
              </w:rPr>
            </w:pPr>
          </w:p>
        </w:tc>
        <w:tc>
          <w:tcPr>
            <w:tcW w:w="2250" w:type="dxa"/>
          </w:tcPr>
          <w:p w14:paraId="65FF8D9B" w14:textId="77777777" w:rsidR="00EA7E88" w:rsidRPr="00B91FAE" w:rsidRDefault="00EA7E88" w:rsidP="00162F52">
            <w:pPr>
              <w:spacing w:after="160" w:line="259" w:lineRule="auto"/>
              <w:rPr>
                <w:rFonts w:asciiTheme="majorBidi" w:hAnsiTheme="majorBidi" w:cstheme="majorBidi"/>
                <w:sz w:val="20"/>
                <w:szCs w:val="20"/>
                <w:rtl/>
                <w:lang w:bidi="ar-JO"/>
              </w:rPr>
            </w:pPr>
            <w:r w:rsidRPr="00B91FAE">
              <w:rPr>
                <w:rFonts w:asciiTheme="majorBidi" w:hAnsiTheme="majorBidi" w:cstheme="majorBidi"/>
                <w:sz w:val="20"/>
                <w:szCs w:val="20"/>
              </w:rPr>
              <w:t>al-Anad base commander</w:t>
            </w:r>
          </w:p>
        </w:tc>
        <w:tc>
          <w:tcPr>
            <w:tcW w:w="3960" w:type="dxa"/>
          </w:tcPr>
          <w:p w14:paraId="17E8626E" w14:textId="77777777" w:rsidR="00EA7E88" w:rsidRPr="00B91FAE" w:rsidRDefault="00EA7E88" w:rsidP="00162F52">
            <w:pPr>
              <w:spacing w:after="160" w:line="259" w:lineRule="auto"/>
              <w:rPr>
                <w:rFonts w:asciiTheme="majorBidi" w:hAnsiTheme="majorBidi" w:cstheme="majorBidi"/>
                <w:sz w:val="20"/>
                <w:szCs w:val="20"/>
                <w:rtl/>
                <w:lang w:bidi="ar-JO"/>
              </w:rPr>
            </w:pPr>
            <w:r w:rsidRPr="00B91FAE">
              <w:rPr>
                <w:rFonts w:asciiTheme="majorBidi" w:hAnsiTheme="majorBidi" w:cstheme="majorBidi"/>
                <w:sz w:val="20"/>
                <w:szCs w:val="20"/>
                <w:lang w:bidi="ar-JO"/>
              </w:rPr>
              <w:t>Played a prominent role in operations of defeating Houthi-Saleh and led the recapture of al-Anad air base in August 2015</w:t>
            </w:r>
          </w:p>
        </w:tc>
      </w:tr>
      <w:tr w:rsidR="00EA7E88" w:rsidRPr="00B91FAE" w14:paraId="6E3111C2" w14:textId="77777777" w:rsidTr="00162F52">
        <w:tc>
          <w:tcPr>
            <w:tcW w:w="810" w:type="dxa"/>
            <w:shd w:val="clear" w:color="auto" w:fill="auto"/>
          </w:tcPr>
          <w:p w14:paraId="3FA5A6A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790" w:type="dxa"/>
            <w:shd w:val="clear" w:color="auto" w:fill="auto"/>
          </w:tcPr>
          <w:p w14:paraId="50F766E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Abed Rabbo al-Tahiri</w:t>
            </w:r>
          </w:p>
          <w:p w14:paraId="3E34818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عبد ربه الطاهري</w:t>
            </w:r>
          </w:p>
        </w:tc>
        <w:tc>
          <w:tcPr>
            <w:tcW w:w="2250" w:type="dxa"/>
            <w:shd w:val="clear" w:color="auto" w:fill="auto"/>
          </w:tcPr>
          <w:p w14:paraId="7F59829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4</w:t>
            </w:r>
            <w:r w:rsidRPr="00B91FAE">
              <w:rPr>
                <w:rFonts w:asciiTheme="majorBidi" w:hAnsiTheme="majorBidi" w:cstheme="majorBidi"/>
                <w:sz w:val="20"/>
                <w:szCs w:val="20"/>
                <w:vertAlign w:val="superscript"/>
                <w:lang w:bidi="ar-JO"/>
              </w:rPr>
              <w:t>th</w:t>
            </w:r>
            <w:r w:rsidRPr="00B91FAE">
              <w:rPr>
                <w:rFonts w:asciiTheme="majorBidi" w:hAnsiTheme="majorBidi" w:cstheme="majorBidi"/>
                <w:sz w:val="20"/>
                <w:szCs w:val="20"/>
                <w:lang w:bidi="ar-JO"/>
              </w:rPr>
              <w:t xml:space="preserve"> Military District commander</w:t>
            </w:r>
          </w:p>
        </w:tc>
        <w:tc>
          <w:tcPr>
            <w:tcW w:w="3960" w:type="dxa"/>
            <w:shd w:val="clear" w:color="auto" w:fill="auto"/>
          </w:tcPr>
          <w:p w14:paraId="27F49CD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On </w:t>
            </w:r>
            <w:r w:rsidRPr="00B91FAE">
              <w:rPr>
                <w:rFonts w:asciiTheme="majorBidi" w:hAnsiTheme="majorBidi" w:cstheme="majorBidi"/>
                <w:sz w:val="20"/>
                <w:szCs w:val="20"/>
                <w:lang w:val="en-US" w:bidi="ar-JO"/>
              </w:rPr>
              <w:t xml:space="preserve">2 </w:t>
            </w:r>
            <w:r w:rsidRPr="00B91FAE">
              <w:rPr>
                <w:rFonts w:asciiTheme="majorBidi" w:hAnsiTheme="majorBidi" w:cstheme="majorBidi"/>
                <w:sz w:val="20"/>
                <w:szCs w:val="20"/>
                <w:lang w:bidi="ar-JO"/>
              </w:rPr>
              <w:t>January 2015, he was appointed commander of the 4th Military District located in Aden</w:t>
            </w:r>
            <w:r w:rsidRPr="00B91FAE">
              <w:rPr>
                <w:rStyle w:val="FootnoteReference"/>
                <w:rFonts w:asciiTheme="majorBidi" w:hAnsiTheme="majorBidi" w:cstheme="majorBidi"/>
                <w:sz w:val="20"/>
                <w:szCs w:val="20"/>
                <w:lang w:bidi="ar-JO"/>
              </w:rPr>
              <w:footnoteReference w:id="1504"/>
            </w:r>
          </w:p>
        </w:tc>
      </w:tr>
      <w:tr w:rsidR="00EA7E88" w:rsidRPr="00B91FAE" w14:paraId="348D1D6A" w14:textId="77777777" w:rsidTr="00162F52">
        <w:trPr>
          <w:trHeight w:val="1008"/>
        </w:trPr>
        <w:tc>
          <w:tcPr>
            <w:tcW w:w="810" w:type="dxa"/>
          </w:tcPr>
          <w:p w14:paraId="6B8327C6"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lang w:val="en-US"/>
              </w:rPr>
              <w:t>11</w:t>
            </w:r>
          </w:p>
        </w:tc>
        <w:tc>
          <w:tcPr>
            <w:tcW w:w="2790" w:type="dxa"/>
          </w:tcPr>
          <w:p w14:paraId="2199D124"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Brig. Gen. Faraj Hussein al-Atiki al-Awlaki</w:t>
            </w:r>
          </w:p>
          <w:p w14:paraId="24F90F72"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العميد فرج حسين العتيقي العولقي</w:t>
            </w:r>
          </w:p>
        </w:tc>
        <w:tc>
          <w:tcPr>
            <w:tcW w:w="2250" w:type="dxa"/>
          </w:tcPr>
          <w:p w14:paraId="01D25931"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39</w:t>
            </w:r>
            <w:r w:rsidRPr="00B91FAE">
              <w:rPr>
                <w:rFonts w:asciiTheme="majorBidi" w:hAnsiTheme="majorBidi" w:cstheme="majorBidi"/>
                <w:sz w:val="20"/>
                <w:szCs w:val="20"/>
                <w:vertAlign w:val="superscript"/>
                <w:lang w:bidi="ar-JO"/>
              </w:rPr>
              <w:t>th</w:t>
            </w:r>
            <w:r w:rsidRPr="00B91FAE">
              <w:rPr>
                <w:rFonts w:asciiTheme="majorBidi" w:hAnsiTheme="majorBidi" w:cstheme="majorBidi"/>
                <w:sz w:val="20"/>
                <w:szCs w:val="20"/>
                <w:lang w:bidi="ar-JO"/>
              </w:rPr>
              <w:t xml:space="preserve"> Armoured Brigade Commander</w:t>
            </w:r>
          </w:p>
        </w:tc>
        <w:tc>
          <w:tcPr>
            <w:tcW w:w="3960" w:type="dxa"/>
          </w:tcPr>
          <w:p w14:paraId="7DB458EE"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39</w:t>
            </w:r>
            <w:r w:rsidRPr="00B91FAE">
              <w:rPr>
                <w:rFonts w:asciiTheme="majorBidi" w:hAnsiTheme="majorBidi" w:cstheme="majorBidi"/>
                <w:sz w:val="20"/>
                <w:szCs w:val="20"/>
                <w:vertAlign w:val="superscript"/>
                <w:lang w:val="en-US" w:bidi="ar-JO"/>
              </w:rPr>
              <w:t>th</w:t>
            </w:r>
            <w:r w:rsidRPr="00B91FAE">
              <w:rPr>
                <w:rFonts w:asciiTheme="majorBidi" w:hAnsiTheme="majorBidi" w:cstheme="majorBidi"/>
                <w:sz w:val="20"/>
                <w:szCs w:val="20"/>
                <w:lang w:val="en-US" w:bidi="ar-JO"/>
              </w:rPr>
              <w:t xml:space="preserve"> brigade HQs in Bir Ahmed, Aden.</w:t>
            </w:r>
          </w:p>
          <w:p w14:paraId="0AC4A22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All brigade weapons’ and equipment were plundered by civilians.</w:t>
            </w:r>
          </w:p>
        </w:tc>
      </w:tr>
      <w:tr w:rsidR="00EA7E88" w:rsidRPr="00B91FAE" w14:paraId="52A98ED4" w14:textId="77777777" w:rsidTr="00162F52">
        <w:tc>
          <w:tcPr>
            <w:tcW w:w="810" w:type="dxa"/>
          </w:tcPr>
          <w:p w14:paraId="24AE3949"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rtl/>
                <w:lang w:val="en-US"/>
              </w:rPr>
              <w:t>12</w:t>
            </w:r>
          </w:p>
        </w:tc>
        <w:tc>
          <w:tcPr>
            <w:tcW w:w="2790" w:type="dxa"/>
          </w:tcPr>
          <w:p w14:paraId="4AD86DD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Adeeb Mohammad Saleh Al Aissi</w:t>
            </w:r>
            <w:r w:rsidRPr="00B91FAE">
              <w:rPr>
                <w:rStyle w:val="FootnoteReference"/>
                <w:rFonts w:asciiTheme="majorBidi" w:hAnsiTheme="majorBidi" w:cstheme="majorBidi"/>
                <w:sz w:val="20"/>
                <w:szCs w:val="20"/>
              </w:rPr>
              <w:footnoteReference w:id="1505"/>
            </w:r>
          </w:p>
          <w:p w14:paraId="6BFA1C5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lastRenderedPageBreak/>
              <w:t>اديب محمد صالح العيسى</w:t>
            </w:r>
          </w:p>
        </w:tc>
        <w:tc>
          <w:tcPr>
            <w:tcW w:w="2250" w:type="dxa"/>
          </w:tcPr>
          <w:p w14:paraId="751EAD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Resident Leader</w:t>
            </w:r>
          </w:p>
        </w:tc>
        <w:tc>
          <w:tcPr>
            <w:tcW w:w="3960" w:type="dxa"/>
          </w:tcPr>
          <w:p w14:paraId="34FA49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Resident leader in charge of Dar Sa’ad, Bassateen, and Bir Fadhel during the battale.</w:t>
            </w:r>
          </w:p>
          <w:p w14:paraId="00D05069" w14:textId="77777777" w:rsidR="00EA7E88" w:rsidRPr="00B91FAE" w:rsidRDefault="00EA7E88" w:rsidP="00162F52">
            <w:pPr>
              <w:rPr>
                <w:rFonts w:asciiTheme="majorBidi" w:hAnsiTheme="majorBidi" w:cstheme="majorBidi"/>
                <w:sz w:val="20"/>
                <w:szCs w:val="20"/>
              </w:rPr>
            </w:pPr>
          </w:p>
        </w:tc>
      </w:tr>
    </w:tbl>
    <w:p w14:paraId="4DD94E2E" w14:textId="77777777" w:rsidR="00EA7E88" w:rsidRPr="00B91FAE" w:rsidRDefault="00EA7E88" w:rsidP="00EA7E88">
      <w:pPr>
        <w:rPr>
          <w:rFonts w:asciiTheme="majorBidi" w:hAnsiTheme="majorBidi" w:cstheme="majorBidi"/>
          <w:b/>
          <w:bCs/>
        </w:rPr>
      </w:pPr>
    </w:p>
    <w:p w14:paraId="249926FC" w14:textId="77777777" w:rsidR="00EA7E88" w:rsidRPr="00B91FAE" w:rsidRDefault="00EA7E88" w:rsidP="00EA7E88">
      <w:pPr>
        <w:pStyle w:val="ListParagraph"/>
        <w:numPr>
          <w:ilvl w:val="0"/>
          <w:numId w:val="32"/>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Main Actors in Aden II (2018-2019), Government of Yemen</w:t>
      </w:r>
      <w:r w:rsidRPr="00B91FAE">
        <w:rPr>
          <w:rStyle w:val="FootnoteReference"/>
          <w:rFonts w:asciiTheme="majorBidi" w:hAnsiTheme="majorBidi" w:cstheme="majorBidi"/>
          <w:b/>
          <w:bCs/>
          <w:sz w:val="20"/>
          <w:szCs w:val="20"/>
        </w:rPr>
        <w:footnoteReference w:id="1506"/>
      </w:r>
      <w:r w:rsidRPr="00B91FAE">
        <w:rPr>
          <w:rFonts w:asciiTheme="majorBidi" w:hAnsiTheme="majorBidi" w:cstheme="majorBidi"/>
          <w:b/>
          <w:bCs/>
          <w:sz w:val="20"/>
          <w:szCs w:val="20"/>
        </w:rPr>
        <w:t xml:space="preserv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EA7E88" w:rsidRPr="00B91FAE" w14:paraId="0145D287" w14:textId="77777777" w:rsidTr="00162F52">
        <w:tc>
          <w:tcPr>
            <w:tcW w:w="810" w:type="dxa"/>
            <w:tcBorders>
              <w:bottom w:val="single" w:sz="4" w:space="0" w:color="auto"/>
            </w:tcBorders>
            <w:shd w:val="clear" w:color="auto" w:fill="FFFFFF" w:themeFill="background1"/>
          </w:tcPr>
          <w:p w14:paraId="2279571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0" w:type="dxa"/>
            <w:tcBorders>
              <w:bottom w:val="single" w:sz="4" w:space="0" w:color="auto"/>
            </w:tcBorders>
            <w:shd w:val="clear" w:color="auto" w:fill="FFFFFF" w:themeFill="background1"/>
          </w:tcPr>
          <w:p w14:paraId="240E89B0"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5CC4DC3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0741C59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 remarks</w:t>
            </w:r>
          </w:p>
        </w:tc>
      </w:tr>
      <w:tr w:rsidR="00EA7E88" w:rsidRPr="00B91FAE" w14:paraId="45B45601" w14:textId="77777777" w:rsidTr="00162F52">
        <w:tc>
          <w:tcPr>
            <w:tcW w:w="810" w:type="dxa"/>
            <w:tcBorders>
              <w:top w:val="single" w:sz="4" w:space="0" w:color="auto"/>
            </w:tcBorders>
          </w:tcPr>
          <w:p w14:paraId="6EAA400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790" w:type="dxa"/>
            <w:tcBorders>
              <w:top w:val="single" w:sz="4" w:space="0" w:color="auto"/>
            </w:tcBorders>
          </w:tcPr>
          <w:p w14:paraId="14668B0F"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Ahmad al-Maisari</w:t>
            </w:r>
          </w:p>
        </w:tc>
        <w:tc>
          <w:tcPr>
            <w:tcW w:w="2250" w:type="dxa"/>
            <w:tcBorders>
              <w:top w:val="single" w:sz="4" w:space="0" w:color="auto"/>
            </w:tcBorders>
          </w:tcPr>
          <w:p w14:paraId="3CF186E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Minister of Interior</w:t>
            </w:r>
          </w:p>
        </w:tc>
        <w:tc>
          <w:tcPr>
            <w:tcW w:w="3960" w:type="dxa"/>
            <w:tcBorders>
              <w:top w:val="single" w:sz="4" w:space="0" w:color="auto"/>
            </w:tcBorders>
          </w:tcPr>
          <w:p w14:paraId="18D13E9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He led August 2019 operations in Aden against STC forces. </w:t>
            </w:r>
          </w:p>
          <w:p w14:paraId="2E59CA5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Anti-UAE</w:t>
            </w:r>
            <w:r w:rsidRPr="00B91FAE">
              <w:rPr>
                <w:rStyle w:val="FootnoteReference"/>
                <w:rFonts w:asciiTheme="majorBidi" w:hAnsiTheme="majorBidi" w:cstheme="majorBidi"/>
                <w:sz w:val="20"/>
                <w:szCs w:val="20"/>
                <w:lang w:bidi="ar-JO"/>
              </w:rPr>
              <w:footnoteReference w:id="1507"/>
            </w:r>
          </w:p>
        </w:tc>
      </w:tr>
      <w:tr w:rsidR="00EA7E88" w:rsidRPr="00B91FAE" w14:paraId="05124657" w14:textId="77777777" w:rsidTr="00162F52">
        <w:tc>
          <w:tcPr>
            <w:tcW w:w="810" w:type="dxa"/>
          </w:tcPr>
          <w:p w14:paraId="32543B8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790" w:type="dxa"/>
          </w:tcPr>
          <w:p w14:paraId="647BA737"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lang w:val="en-US" w:eastAsia="en-GB" w:bidi="ar"/>
              </w:rPr>
            </w:pPr>
            <w:r w:rsidRPr="00B91FAE">
              <w:rPr>
                <w:rFonts w:asciiTheme="majorBidi" w:hAnsiTheme="majorBidi" w:cstheme="majorBidi"/>
                <w:sz w:val="20"/>
                <w:szCs w:val="20"/>
              </w:rPr>
              <w:t>Major General Aydaroos  al-Zubaidi</w:t>
            </w:r>
            <w:r w:rsidRPr="00B91FAE">
              <w:rPr>
                <w:rStyle w:val="FootnoteReference"/>
                <w:rFonts w:asciiTheme="majorBidi" w:eastAsia="Times New Roman" w:hAnsiTheme="majorBidi" w:cstheme="majorBidi"/>
                <w:color w:val="222222"/>
                <w:sz w:val="20"/>
                <w:szCs w:val="20"/>
                <w:lang w:eastAsia="en-GB" w:bidi="ar"/>
              </w:rPr>
              <w:footnoteReference w:id="1508"/>
            </w:r>
          </w:p>
          <w:p w14:paraId="76CAE3A3"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عدروس الزبيدي</w:t>
            </w:r>
          </w:p>
        </w:tc>
        <w:tc>
          <w:tcPr>
            <w:tcW w:w="2250" w:type="dxa"/>
          </w:tcPr>
          <w:p w14:paraId="608BCB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President of Southern Transitional Council (STC)</w:t>
            </w:r>
            <w:r w:rsidRPr="00B91FAE">
              <w:rPr>
                <w:rStyle w:val="FootnoteReference"/>
                <w:rFonts w:asciiTheme="majorBidi" w:hAnsiTheme="majorBidi" w:cstheme="majorBidi"/>
                <w:sz w:val="20"/>
                <w:szCs w:val="20"/>
              </w:rPr>
              <w:footnoteReference w:id="1509"/>
            </w:r>
          </w:p>
          <w:p w14:paraId="6E03B9DD" w14:textId="77777777" w:rsidR="00EA7E88" w:rsidRPr="00B91FAE" w:rsidRDefault="00EA7E88" w:rsidP="00162F52">
            <w:pPr>
              <w:rPr>
                <w:rFonts w:asciiTheme="majorBidi" w:hAnsiTheme="majorBidi" w:cstheme="majorBidi"/>
                <w:sz w:val="20"/>
                <w:szCs w:val="20"/>
              </w:rPr>
            </w:pPr>
          </w:p>
        </w:tc>
        <w:tc>
          <w:tcPr>
            <w:tcW w:w="3960" w:type="dxa"/>
          </w:tcPr>
          <w:p w14:paraId="1FFE52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 Salafist leader from al-Dhale’e backed by UAE , served as a governor of Aden from 7 December 2015 until 27 April 2017. </w:t>
            </w:r>
          </w:p>
          <w:p w14:paraId="7AB055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On 11 May 2017, Aydaroos  al-Zubaidi, established the STC and became its president. </w:t>
            </w:r>
          </w:p>
          <w:p w14:paraId="59DCC22E" w14:textId="77777777" w:rsidR="00EA7E88" w:rsidRPr="00B91FAE" w:rsidRDefault="00EA7E88" w:rsidP="00162F52">
            <w:pPr>
              <w:rPr>
                <w:rFonts w:asciiTheme="majorBidi" w:hAnsiTheme="majorBidi" w:cstheme="majorBidi"/>
                <w:sz w:val="20"/>
                <w:szCs w:val="20"/>
              </w:rPr>
            </w:pPr>
          </w:p>
        </w:tc>
      </w:tr>
      <w:tr w:rsidR="00EA7E88" w:rsidRPr="00B91FAE" w14:paraId="3717F253" w14:textId="77777777" w:rsidTr="00162F52">
        <w:tc>
          <w:tcPr>
            <w:tcW w:w="810" w:type="dxa"/>
          </w:tcPr>
          <w:p w14:paraId="2921331A" w14:textId="77777777" w:rsidR="00EA7E88" w:rsidRPr="00B91FAE" w:rsidRDefault="00EA7E88" w:rsidP="00162F52">
            <w:pPr>
              <w:jc w:val="center"/>
              <w:rPr>
                <w:rFonts w:asciiTheme="majorBidi" w:hAnsiTheme="majorBidi" w:cstheme="majorBidi"/>
                <w:sz w:val="20"/>
                <w:szCs w:val="20"/>
              </w:rPr>
            </w:pPr>
          </w:p>
        </w:tc>
        <w:tc>
          <w:tcPr>
            <w:tcW w:w="2790" w:type="dxa"/>
          </w:tcPr>
          <w:p w14:paraId="79B22876"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250" w:type="dxa"/>
          </w:tcPr>
          <w:p w14:paraId="42C723AA" w14:textId="77777777" w:rsidR="00EA7E88" w:rsidRPr="00B91FAE" w:rsidRDefault="00EA7E88" w:rsidP="00162F52">
            <w:pPr>
              <w:rPr>
                <w:rFonts w:asciiTheme="majorBidi" w:hAnsiTheme="majorBidi" w:cstheme="majorBidi"/>
                <w:sz w:val="20"/>
                <w:szCs w:val="20"/>
              </w:rPr>
            </w:pPr>
          </w:p>
        </w:tc>
        <w:tc>
          <w:tcPr>
            <w:tcW w:w="3960" w:type="dxa"/>
          </w:tcPr>
          <w:p w14:paraId="6CB000B4" w14:textId="77777777" w:rsidR="00EA7E88" w:rsidRPr="00B91FAE" w:rsidRDefault="00EA7E88" w:rsidP="00162F52">
            <w:pPr>
              <w:jc w:val="both"/>
              <w:rPr>
                <w:rFonts w:asciiTheme="majorBidi" w:hAnsiTheme="majorBidi" w:cstheme="majorBidi"/>
                <w:sz w:val="20"/>
                <w:szCs w:val="20"/>
              </w:rPr>
            </w:pPr>
          </w:p>
        </w:tc>
      </w:tr>
      <w:tr w:rsidR="00EA7E88" w:rsidRPr="00B91FAE" w14:paraId="6D6FC1E2" w14:textId="77777777" w:rsidTr="00162F52">
        <w:tc>
          <w:tcPr>
            <w:tcW w:w="810" w:type="dxa"/>
          </w:tcPr>
          <w:p w14:paraId="2CB83A96"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rtl/>
              </w:rPr>
              <w:t>3</w:t>
            </w:r>
          </w:p>
        </w:tc>
        <w:tc>
          <w:tcPr>
            <w:tcW w:w="2790" w:type="dxa"/>
          </w:tcPr>
          <w:p w14:paraId="32AC5D91"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Pr>
              <w:t>Sheikh Hani Bin Brek</w:t>
            </w:r>
            <w:r w:rsidRPr="00B91FAE">
              <w:rPr>
                <w:rStyle w:val="FootnoteReference"/>
                <w:rFonts w:asciiTheme="majorBidi" w:hAnsiTheme="majorBidi" w:cstheme="majorBidi"/>
                <w:sz w:val="20"/>
                <w:szCs w:val="20"/>
              </w:rPr>
              <w:footnoteReference w:id="1510"/>
            </w:r>
          </w:p>
          <w:p w14:paraId="198E4BA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الشيخ هاني بن بريك</w:t>
            </w:r>
          </w:p>
        </w:tc>
        <w:tc>
          <w:tcPr>
            <w:tcW w:w="2250" w:type="dxa"/>
          </w:tcPr>
          <w:p w14:paraId="02FA416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Vice President of the Southern Transitional Council</w:t>
            </w:r>
          </w:p>
          <w:p w14:paraId="55ABFB89" w14:textId="77777777" w:rsidR="00EA7E88" w:rsidRPr="00B91FAE" w:rsidRDefault="00EA7E88" w:rsidP="00162F52">
            <w:pPr>
              <w:rPr>
                <w:rFonts w:asciiTheme="majorBidi" w:hAnsiTheme="majorBidi" w:cstheme="majorBidi"/>
                <w:sz w:val="20"/>
                <w:szCs w:val="20"/>
              </w:rPr>
            </w:pPr>
          </w:p>
        </w:tc>
        <w:tc>
          <w:tcPr>
            <w:tcW w:w="3960" w:type="dxa"/>
          </w:tcPr>
          <w:p w14:paraId="41DD9EEC"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A Salafist leader backed by UAE, his previous position was State Minister from 6 January 2016 until 27 April 2017</w:t>
            </w:r>
            <w:r w:rsidRPr="00B91FAE">
              <w:rPr>
                <w:rFonts w:asciiTheme="majorBidi" w:hAnsiTheme="majorBidi" w:cstheme="majorBidi"/>
                <w:sz w:val="20"/>
                <w:szCs w:val="20"/>
                <w:vertAlign w:val="superscript"/>
              </w:rPr>
              <w:footnoteReference w:id="1511"/>
            </w:r>
            <w:r w:rsidRPr="00B91FAE">
              <w:rPr>
                <w:rFonts w:asciiTheme="majorBidi" w:hAnsiTheme="majorBidi" w:cstheme="majorBidi"/>
                <w:sz w:val="20"/>
                <w:szCs w:val="20"/>
              </w:rPr>
              <w:t xml:space="preserve"> .</w:t>
            </w:r>
          </w:p>
          <w:p w14:paraId="6E26A0A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Provides religious and moral guidance to the security belt forces.</w:t>
            </w:r>
          </w:p>
          <w:p w14:paraId="5AEDBCC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is known for his anti-al-Islah party positions.</w:t>
            </w:r>
          </w:p>
        </w:tc>
      </w:tr>
      <w:tr w:rsidR="00EA7E88" w:rsidRPr="00B91FAE" w14:paraId="747A5F64" w14:textId="77777777" w:rsidTr="00162F52">
        <w:tc>
          <w:tcPr>
            <w:tcW w:w="810" w:type="dxa"/>
          </w:tcPr>
          <w:p w14:paraId="736DDFA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0" w:type="dxa"/>
          </w:tcPr>
          <w:p w14:paraId="592A00E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Shallal al-Shaye</w:t>
            </w:r>
            <w:r w:rsidRPr="00B91FAE">
              <w:rPr>
                <w:rStyle w:val="FootnoteReference"/>
                <w:rFonts w:asciiTheme="majorBidi" w:hAnsiTheme="majorBidi" w:cstheme="majorBidi"/>
                <w:sz w:val="20"/>
                <w:szCs w:val="20"/>
              </w:rPr>
              <w:footnoteReference w:id="1512"/>
            </w:r>
          </w:p>
          <w:p w14:paraId="3B70914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شلال الشايع</w:t>
            </w:r>
          </w:p>
        </w:tc>
        <w:tc>
          <w:tcPr>
            <w:tcW w:w="2250" w:type="dxa"/>
          </w:tcPr>
          <w:p w14:paraId="68822CF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Public Security Director</w:t>
            </w:r>
            <w:r w:rsidRPr="00B91FAE">
              <w:rPr>
                <w:rStyle w:val="FootnoteReference"/>
                <w:rFonts w:asciiTheme="majorBidi" w:hAnsiTheme="majorBidi" w:cstheme="majorBidi"/>
                <w:sz w:val="20"/>
                <w:szCs w:val="20"/>
              </w:rPr>
              <w:footnoteReference w:id="1513"/>
            </w:r>
          </w:p>
        </w:tc>
        <w:tc>
          <w:tcPr>
            <w:tcW w:w="3960" w:type="dxa"/>
          </w:tcPr>
          <w:p w14:paraId="65037683"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Pr>
              <w:t xml:space="preserve">On </w:t>
            </w:r>
            <w:r w:rsidRPr="00B91FAE">
              <w:rPr>
                <w:rFonts w:asciiTheme="majorBidi" w:hAnsiTheme="majorBidi" w:cstheme="majorBidi"/>
                <w:sz w:val="20"/>
                <w:szCs w:val="20"/>
                <w:lang w:bidi="ar-JO"/>
              </w:rPr>
              <w:t>8 December 2015, he was appointed as Public Security Director of Aden.</w:t>
            </w:r>
          </w:p>
          <w:p w14:paraId="50E672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He works simultaneously with the UAE on detentions. UAE provides logistical support and other resources to Aden Police. </w:t>
            </w:r>
            <w:r w:rsidRPr="00B91FAE">
              <w:rPr>
                <w:rStyle w:val="FootnoteReference"/>
                <w:rFonts w:asciiTheme="majorBidi" w:hAnsiTheme="majorBidi" w:cstheme="majorBidi"/>
                <w:sz w:val="20"/>
                <w:szCs w:val="20"/>
              </w:rPr>
              <w:footnoteReference w:id="1514"/>
            </w:r>
            <w:r w:rsidRPr="00B91FAE">
              <w:rPr>
                <w:rFonts w:asciiTheme="majorBidi" w:hAnsiTheme="majorBidi" w:cstheme="majorBidi"/>
                <w:sz w:val="20"/>
                <w:szCs w:val="20"/>
              </w:rPr>
              <w:t xml:space="preserve"> He commands all Security Belt forces in Aden, and the Security Belt network of unofficial detention facilities in Aden</w:t>
            </w:r>
          </w:p>
          <w:p w14:paraId="33CA570D" w14:textId="77777777" w:rsidR="00EA7E88" w:rsidRPr="00B91FAE" w:rsidRDefault="00EA7E88" w:rsidP="00162F52">
            <w:pPr>
              <w:rPr>
                <w:rFonts w:asciiTheme="majorBidi" w:hAnsiTheme="majorBidi" w:cstheme="majorBidi"/>
                <w:sz w:val="20"/>
                <w:szCs w:val="20"/>
              </w:rPr>
            </w:pPr>
          </w:p>
        </w:tc>
      </w:tr>
      <w:tr w:rsidR="00EA7E88" w:rsidRPr="00B91FAE" w14:paraId="77AADA75" w14:textId="77777777" w:rsidTr="00162F52">
        <w:tc>
          <w:tcPr>
            <w:tcW w:w="810" w:type="dxa"/>
          </w:tcPr>
          <w:p w14:paraId="15AA7F1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0" w:type="dxa"/>
          </w:tcPr>
          <w:p w14:paraId="48DA16E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Wadhah Omer Abdul Aziz</w:t>
            </w:r>
            <w:r w:rsidRPr="00B91FAE">
              <w:rPr>
                <w:rStyle w:val="FootnoteReference"/>
                <w:rFonts w:asciiTheme="majorBidi" w:hAnsiTheme="majorBidi" w:cstheme="majorBidi"/>
                <w:sz w:val="20"/>
                <w:szCs w:val="20"/>
              </w:rPr>
              <w:footnoteReference w:id="1515"/>
            </w:r>
          </w:p>
          <w:p w14:paraId="71AE7B2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وضاح عمر عبد العزيز</w:t>
            </w:r>
          </w:p>
        </w:tc>
        <w:tc>
          <w:tcPr>
            <w:tcW w:w="2250" w:type="dxa"/>
          </w:tcPr>
          <w:p w14:paraId="4DB881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Security Belt  and 3rd  Support Brigade</w:t>
            </w:r>
            <w:r w:rsidRPr="00B91FAE">
              <w:rPr>
                <w:rStyle w:val="FootnoteReference"/>
                <w:rFonts w:asciiTheme="majorBidi" w:hAnsiTheme="majorBidi" w:cstheme="majorBidi"/>
                <w:sz w:val="20"/>
                <w:szCs w:val="20"/>
              </w:rPr>
              <w:footnoteReference w:id="1516"/>
            </w:r>
            <w:r w:rsidRPr="00B91FAE">
              <w:rPr>
                <w:rFonts w:asciiTheme="majorBidi" w:hAnsiTheme="majorBidi" w:cstheme="majorBidi"/>
                <w:sz w:val="20"/>
                <w:szCs w:val="20"/>
              </w:rPr>
              <w:t xml:space="preserve"> </w:t>
            </w:r>
          </w:p>
          <w:p w14:paraId="3A5D68CB" w14:textId="77777777" w:rsidR="00EA7E88" w:rsidRPr="00B91FAE" w:rsidRDefault="00EA7E88" w:rsidP="00162F52">
            <w:pPr>
              <w:rPr>
                <w:rFonts w:asciiTheme="majorBidi" w:hAnsiTheme="majorBidi" w:cstheme="majorBidi"/>
                <w:sz w:val="20"/>
                <w:szCs w:val="20"/>
              </w:rPr>
            </w:pPr>
          </w:p>
        </w:tc>
        <w:tc>
          <w:tcPr>
            <w:tcW w:w="3960" w:type="dxa"/>
          </w:tcPr>
          <w:p w14:paraId="2C8A0BB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Salafi background.</w:t>
            </w:r>
          </w:p>
          <w:p w14:paraId="46F028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force is UAE-backed force from southern Yemen affiliated with the STC; It has more than 15,000 troops, deployed in Aden, Abyan, al-Dhalea and Lahij. Involved in UAE-led operations against AQAP and the Islamic State. The Security Belt has dominated security in Aden after clashes with troops loyal to President Hadi in January 2018 and August 2019.</w:t>
            </w:r>
          </w:p>
          <w:p w14:paraId="064A9E62" w14:textId="77777777" w:rsidR="00EA7E88" w:rsidRPr="00B91FAE" w:rsidRDefault="00EA7E88" w:rsidP="00162F52">
            <w:pPr>
              <w:rPr>
                <w:rFonts w:asciiTheme="majorBidi" w:hAnsiTheme="majorBidi" w:cstheme="majorBidi"/>
                <w:sz w:val="20"/>
                <w:szCs w:val="20"/>
              </w:rPr>
            </w:pPr>
          </w:p>
        </w:tc>
      </w:tr>
      <w:tr w:rsidR="00EA7E88" w:rsidRPr="00B91FAE" w14:paraId="64B39293" w14:textId="77777777" w:rsidTr="00162F52">
        <w:tc>
          <w:tcPr>
            <w:tcW w:w="810" w:type="dxa"/>
          </w:tcPr>
          <w:p w14:paraId="708BB7E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0" w:type="dxa"/>
          </w:tcPr>
          <w:p w14:paraId="3B1C285C"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 xml:space="preserve">Brigadier General  Mounir Muhamoud Ali, aka Abul </w:t>
            </w:r>
            <w:r w:rsidRPr="00A1624A">
              <w:rPr>
                <w:rFonts w:asciiTheme="majorBidi" w:hAnsiTheme="majorBidi" w:cstheme="majorBidi"/>
                <w:sz w:val="20"/>
                <w:szCs w:val="20"/>
                <w:lang w:val="es-ES"/>
              </w:rPr>
              <w:lastRenderedPageBreak/>
              <w:t>Yamamah</w:t>
            </w:r>
            <w:r w:rsidRPr="00B91FAE">
              <w:rPr>
                <w:rStyle w:val="FootnoteReference"/>
                <w:rFonts w:asciiTheme="majorBidi" w:hAnsiTheme="majorBidi" w:cstheme="majorBidi"/>
                <w:sz w:val="20"/>
                <w:szCs w:val="20"/>
              </w:rPr>
              <w:footnoteReference w:id="1517"/>
            </w:r>
          </w:p>
          <w:p w14:paraId="424537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منير محمود علي ابو اليمامه</w:t>
            </w:r>
          </w:p>
        </w:tc>
        <w:tc>
          <w:tcPr>
            <w:tcW w:w="2250" w:type="dxa"/>
          </w:tcPr>
          <w:p w14:paraId="747C6548"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lastRenderedPageBreak/>
              <w:t xml:space="preserve">Commander </w:t>
            </w:r>
          </w:p>
          <w:p w14:paraId="6346791C"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lastRenderedPageBreak/>
              <w:t xml:space="preserve">1st Support Brigade </w:t>
            </w:r>
          </w:p>
          <w:p w14:paraId="21A10E0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Emergency Forces</w:t>
            </w:r>
            <w:r w:rsidRPr="00B91FAE">
              <w:rPr>
                <w:rStyle w:val="FootnoteReference"/>
                <w:rFonts w:asciiTheme="majorBidi" w:hAnsiTheme="majorBidi" w:cstheme="majorBidi"/>
                <w:sz w:val="20"/>
                <w:szCs w:val="20"/>
              </w:rPr>
              <w:footnoteReference w:id="1518"/>
            </w:r>
            <w:r w:rsidRPr="00B91FAE">
              <w:rPr>
                <w:rStyle w:val="FootnoteReference"/>
                <w:rFonts w:asciiTheme="majorBidi" w:hAnsiTheme="majorBidi" w:cstheme="majorBidi"/>
                <w:sz w:val="20"/>
                <w:szCs w:val="20"/>
              </w:rPr>
              <w:footnoteReference w:id="1519"/>
            </w:r>
          </w:p>
          <w:p w14:paraId="3AA4CB42" w14:textId="77777777" w:rsidR="00EA7E88" w:rsidRPr="00B91FAE" w:rsidRDefault="00EA7E88" w:rsidP="00162F52">
            <w:pPr>
              <w:rPr>
                <w:rFonts w:asciiTheme="majorBidi" w:hAnsiTheme="majorBidi" w:cstheme="majorBidi"/>
                <w:sz w:val="20"/>
                <w:szCs w:val="20"/>
              </w:rPr>
            </w:pPr>
          </w:p>
        </w:tc>
        <w:tc>
          <w:tcPr>
            <w:tcW w:w="3960" w:type="dxa"/>
          </w:tcPr>
          <w:p w14:paraId="5F16883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 xml:space="preserve">Security Belt units receive orders from UAE, arresting people from the streets and houses, </w:t>
            </w:r>
            <w:r w:rsidRPr="00B91FAE">
              <w:rPr>
                <w:rFonts w:asciiTheme="majorBidi" w:hAnsiTheme="majorBidi" w:cstheme="majorBidi"/>
                <w:sz w:val="20"/>
                <w:szCs w:val="20"/>
              </w:rPr>
              <w:lastRenderedPageBreak/>
              <w:t xml:space="preserve">keeping detainees in detention centres, and transferring detainees to Coalition HQs. </w:t>
            </w:r>
          </w:p>
          <w:p w14:paraId="7E741BF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Also arresting and transfering detainees to UAE detention centre in al-Buriqa base. Killed by ballistic missile launched by the Houthis on 1 August 2019 during a military parade</w:t>
            </w:r>
          </w:p>
          <w:p w14:paraId="4760B95A" w14:textId="77777777" w:rsidR="00EA7E88" w:rsidRPr="00B91FAE" w:rsidRDefault="00EA7E88" w:rsidP="00162F52">
            <w:pPr>
              <w:rPr>
                <w:rFonts w:asciiTheme="majorBidi" w:hAnsiTheme="majorBidi" w:cstheme="majorBidi"/>
                <w:sz w:val="20"/>
                <w:szCs w:val="20"/>
              </w:rPr>
            </w:pPr>
          </w:p>
        </w:tc>
      </w:tr>
      <w:tr w:rsidR="00EA7E88" w:rsidRPr="00B91FAE" w14:paraId="45FAE342" w14:textId="77777777" w:rsidTr="00162F52">
        <w:tc>
          <w:tcPr>
            <w:tcW w:w="810" w:type="dxa"/>
          </w:tcPr>
          <w:p w14:paraId="580B0C4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7</w:t>
            </w:r>
          </w:p>
        </w:tc>
        <w:tc>
          <w:tcPr>
            <w:tcW w:w="2790" w:type="dxa"/>
          </w:tcPr>
          <w:p w14:paraId="3AE3222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Imam Ahmed Muhammed Abdu al-Salwy, aka Imam al-Nubi</w:t>
            </w:r>
            <w:r w:rsidRPr="00B91FAE">
              <w:rPr>
                <w:rStyle w:val="FootnoteReference"/>
                <w:rFonts w:asciiTheme="majorBidi" w:hAnsiTheme="majorBidi" w:cstheme="majorBidi"/>
                <w:sz w:val="20"/>
                <w:szCs w:val="20"/>
              </w:rPr>
              <w:footnoteReference w:id="1520"/>
            </w:r>
          </w:p>
          <w:p w14:paraId="36A2705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امام النوبي</w:t>
            </w:r>
          </w:p>
          <w:p w14:paraId="10BC6D3C" w14:textId="77777777" w:rsidR="00EA7E88" w:rsidRPr="00B91FAE" w:rsidRDefault="00EA7E88" w:rsidP="00162F52">
            <w:pPr>
              <w:rPr>
                <w:rFonts w:asciiTheme="majorBidi" w:hAnsiTheme="majorBidi" w:cstheme="majorBidi"/>
                <w:sz w:val="20"/>
                <w:szCs w:val="20"/>
              </w:rPr>
            </w:pPr>
          </w:p>
        </w:tc>
        <w:tc>
          <w:tcPr>
            <w:tcW w:w="2250" w:type="dxa"/>
          </w:tcPr>
          <w:p w14:paraId="27B7500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Camp 20</w:t>
            </w:r>
            <w:r w:rsidRPr="00B91FAE">
              <w:rPr>
                <w:rStyle w:val="FootnoteReference"/>
                <w:rFonts w:asciiTheme="majorBidi" w:hAnsiTheme="majorBidi" w:cstheme="majorBidi"/>
                <w:sz w:val="20"/>
                <w:szCs w:val="20"/>
              </w:rPr>
              <w:footnoteReference w:id="1521"/>
            </w:r>
          </w:p>
        </w:tc>
        <w:tc>
          <w:tcPr>
            <w:tcW w:w="3960" w:type="dxa"/>
          </w:tcPr>
          <w:p w14:paraId="3E86872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49FB65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Imam is the strongest man among the UAE's allies in Crater and his local forces, supported by the UAE, managed to control the largest part of the city in place of the weak government’s presence in al-Ma’ashiq region. Imam al-Nubi was the commander of Salafist-affiliated Security Belt forces controlling Craiter, and commander of their headquarters at Camp 20 from 2015 to at least June 2019</w:t>
            </w:r>
          </w:p>
          <w:p w14:paraId="4C6E7E94" w14:textId="77777777" w:rsidR="00EA7E88" w:rsidRPr="00B91FAE" w:rsidRDefault="00EA7E88" w:rsidP="00162F52">
            <w:pPr>
              <w:rPr>
                <w:rFonts w:asciiTheme="majorBidi" w:hAnsiTheme="majorBidi" w:cstheme="majorBidi"/>
                <w:sz w:val="20"/>
                <w:szCs w:val="20"/>
              </w:rPr>
            </w:pPr>
          </w:p>
        </w:tc>
      </w:tr>
      <w:tr w:rsidR="00EA7E88" w:rsidRPr="00B91FAE" w14:paraId="1B0A6872" w14:textId="77777777" w:rsidTr="00162F52">
        <w:tc>
          <w:tcPr>
            <w:tcW w:w="810" w:type="dxa"/>
          </w:tcPr>
          <w:p w14:paraId="44ED3F9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790" w:type="dxa"/>
          </w:tcPr>
          <w:p w14:paraId="5CADF4F9"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Colonel Yusran al-Maqtari</w:t>
            </w:r>
          </w:p>
          <w:p w14:paraId="189BE23B"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hAnsiTheme="majorBidi" w:cstheme="majorBidi"/>
                <w:sz w:val="20"/>
                <w:szCs w:val="20"/>
                <w:rtl/>
              </w:rPr>
              <w:t>العقيد يسران المقطري</w:t>
            </w:r>
          </w:p>
          <w:p w14:paraId="2F42A8E2" w14:textId="77777777" w:rsidR="00EA7E88" w:rsidRPr="00B91FAE" w:rsidRDefault="00EA7E88" w:rsidP="00162F52">
            <w:pPr>
              <w:rPr>
                <w:rFonts w:asciiTheme="majorBidi" w:hAnsiTheme="majorBidi" w:cstheme="majorBidi"/>
                <w:sz w:val="20"/>
                <w:szCs w:val="20"/>
              </w:rPr>
            </w:pPr>
          </w:p>
        </w:tc>
        <w:tc>
          <w:tcPr>
            <w:tcW w:w="2250" w:type="dxa"/>
          </w:tcPr>
          <w:p w14:paraId="2B55A977" w14:textId="77777777" w:rsidR="00EA7E88" w:rsidRPr="00B91FAE" w:rsidRDefault="00EA7E88" w:rsidP="00162F52">
            <w:pPr>
              <w:jc w:val="both"/>
              <w:rPr>
                <w:rFonts w:asciiTheme="majorBidi" w:eastAsia="Times New Roman" w:hAnsiTheme="majorBidi" w:cstheme="majorBidi"/>
                <w:color w:val="222222"/>
                <w:sz w:val="20"/>
                <w:szCs w:val="20"/>
                <w:lang w:eastAsia="en-GB" w:bidi="ar"/>
              </w:rPr>
            </w:pPr>
            <w:r w:rsidRPr="00B91FAE">
              <w:rPr>
                <w:rFonts w:asciiTheme="majorBidi" w:hAnsiTheme="majorBidi" w:cstheme="majorBidi"/>
                <w:sz w:val="20"/>
                <w:szCs w:val="20"/>
              </w:rPr>
              <w:t>Counter-terrorism force  commander</w:t>
            </w:r>
            <w:r w:rsidRPr="00B91FAE">
              <w:rPr>
                <w:rStyle w:val="FootnoteReference"/>
                <w:rFonts w:asciiTheme="majorBidi" w:eastAsia="Times New Roman" w:hAnsiTheme="majorBidi" w:cstheme="majorBidi"/>
                <w:color w:val="222222"/>
                <w:sz w:val="20"/>
                <w:szCs w:val="20"/>
                <w:lang w:eastAsia="en-GB" w:bidi="ar"/>
              </w:rPr>
              <w:footnoteReference w:id="1522"/>
            </w:r>
          </w:p>
          <w:p w14:paraId="1052F906" w14:textId="77777777" w:rsidR="00EA7E88" w:rsidRPr="00B91FAE" w:rsidRDefault="00EA7E88" w:rsidP="00162F52">
            <w:pPr>
              <w:rPr>
                <w:rFonts w:asciiTheme="majorBidi" w:hAnsiTheme="majorBidi" w:cstheme="majorBidi"/>
                <w:sz w:val="20"/>
                <w:szCs w:val="20"/>
              </w:rPr>
            </w:pPr>
          </w:p>
        </w:tc>
        <w:tc>
          <w:tcPr>
            <w:tcW w:w="3960" w:type="dxa"/>
          </w:tcPr>
          <w:p w14:paraId="5A2816E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 young officer who has been granted a colonel rank and his forces affiliated to UAE and are close to the Southern Transitional Council.</w:t>
            </w:r>
          </w:p>
          <w:p w14:paraId="4F03467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Works under Shallal and receives order from UAE </w:t>
            </w:r>
          </w:p>
          <w:p w14:paraId="4BB396C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Soldiers under a-Moqtari and Shallal conduct night raids with no orders from the prosecution.</w:t>
            </w:r>
          </w:p>
          <w:p w14:paraId="43AB3B30" w14:textId="77777777" w:rsidR="00EA7E88" w:rsidRPr="00B91FAE" w:rsidRDefault="00EA7E88" w:rsidP="00162F52">
            <w:pPr>
              <w:rPr>
                <w:rFonts w:asciiTheme="majorBidi" w:hAnsiTheme="majorBidi" w:cstheme="majorBidi"/>
                <w:sz w:val="20"/>
                <w:szCs w:val="20"/>
              </w:rPr>
            </w:pPr>
          </w:p>
        </w:tc>
      </w:tr>
      <w:tr w:rsidR="00EA7E88" w:rsidRPr="00B91FAE" w14:paraId="04DFD85B" w14:textId="77777777" w:rsidTr="00162F52">
        <w:trPr>
          <w:trHeight w:val="1188"/>
        </w:trPr>
        <w:tc>
          <w:tcPr>
            <w:tcW w:w="810" w:type="dxa"/>
          </w:tcPr>
          <w:p w14:paraId="7955A63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790" w:type="dxa"/>
          </w:tcPr>
          <w:p w14:paraId="65D787A4"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Ghassan al-Agrrabi</w:t>
            </w:r>
          </w:p>
          <w:p w14:paraId="187B86CE"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غسان العقربي</w:t>
            </w:r>
          </w:p>
        </w:tc>
        <w:tc>
          <w:tcPr>
            <w:tcW w:w="2250" w:type="dxa"/>
          </w:tcPr>
          <w:p w14:paraId="55EF59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Bir Ahmad II detention facilities</w:t>
            </w:r>
            <w:r w:rsidRPr="00B91FAE">
              <w:rPr>
                <w:rStyle w:val="FootnoteReference"/>
                <w:rFonts w:asciiTheme="majorBidi" w:hAnsiTheme="majorBidi" w:cstheme="majorBidi"/>
                <w:sz w:val="20"/>
                <w:szCs w:val="20"/>
              </w:rPr>
              <w:footnoteReference w:id="1523"/>
            </w:r>
          </w:p>
          <w:p w14:paraId="5A5182E4"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 xml:space="preserve"> </w:t>
            </w:r>
          </w:p>
        </w:tc>
        <w:tc>
          <w:tcPr>
            <w:tcW w:w="3960" w:type="dxa"/>
          </w:tcPr>
          <w:p w14:paraId="041754A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0E1631E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He is backed by UAE.</w:t>
            </w:r>
          </w:p>
          <w:p w14:paraId="0485321B" w14:textId="77777777" w:rsidR="00EA7E88" w:rsidRPr="00B91FAE" w:rsidRDefault="00EA7E88" w:rsidP="00162F52">
            <w:pPr>
              <w:rPr>
                <w:rFonts w:asciiTheme="majorBidi" w:hAnsiTheme="majorBidi" w:cstheme="majorBidi"/>
                <w:sz w:val="20"/>
                <w:szCs w:val="20"/>
              </w:rPr>
            </w:pPr>
          </w:p>
        </w:tc>
      </w:tr>
      <w:tr w:rsidR="00EA7E88" w:rsidRPr="00B91FAE" w14:paraId="013FC157" w14:textId="77777777" w:rsidTr="00162F52">
        <w:tc>
          <w:tcPr>
            <w:tcW w:w="810" w:type="dxa"/>
          </w:tcPr>
          <w:p w14:paraId="1A7BC46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790" w:type="dxa"/>
          </w:tcPr>
          <w:p w14:paraId="192B20E7"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Pr>
              <w:t>Colonel Mohammad Saleh al-Qamli</w:t>
            </w:r>
          </w:p>
          <w:p w14:paraId="269A0434"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محمد صالح القملي</w:t>
            </w:r>
          </w:p>
        </w:tc>
        <w:tc>
          <w:tcPr>
            <w:tcW w:w="2250" w:type="dxa"/>
          </w:tcPr>
          <w:p w14:paraId="7DA000E6" w14:textId="77777777" w:rsidR="00EA7E88" w:rsidRPr="00B91FAE" w:rsidRDefault="00EA7E88" w:rsidP="00162F52">
            <w:pPr>
              <w:jc w:val="both"/>
              <w:rPr>
                <w:rFonts w:asciiTheme="majorBidi" w:hAnsiTheme="majorBidi" w:cstheme="majorBidi"/>
                <w:sz w:val="20"/>
                <w:szCs w:val="20"/>
              </w:rPr>
            </w:pPr>
            <w:r w:rsidRPr="00B91FAE">
              <w:rPr>
                <w:rFonts w:asciiTheme="majorBidi" w:hAnsiTheme="majorBidi" w:cstheme="majorBidi"/>
                <w:sz w:val="20"/>
                <w:szCs w:val="20"/>
              </w:rPr>
              <w:t>Criminal Investigation Director</w:t>
            </w:r>
            <w:r w:rsidRPr="00B91FAE">
              <w:rPr>
                <w:rStyle w:val="FootnoteReference"/>
                <w:rFonts w:asciiTheme="majorBidi" w:hAnsiTheme="majorBidi" w:cstheme="majorBidi"/>
                <w:sz w:val="20"/>
                <w:szCs w:val="20"/>
              </w:rPr>
              <w:footnoteReference w:id="1524"/>
            </w:r>
          </w:p>
          <w:p w14:paraId="7E4F78BA" w14:textId="77777777" w:rsidR="00EA7E88" w:rsidRPr="00B91FAE" w:rsidRDefault="00EA7E88" w:rsidP="00162F52">
            <w:pPr>
              <w:jc w:val="both"/>
              <w:rPr>
                <w:rFonts w:asciiTheme="majorBidi" w:hAnsiTheme="majorBidi" w:cstheme="majorBidi"/>
                <w:sz w:val="20"/>
                <w:szCs w:val="20"/>
              </w:rPr>
            </w:pPr>
          </w:p>
        </w:tc>
        <w:tc>
          <w:tcPr>
            <w:tcW w:w="3960" w:type="dxa"/>
          </w:tcPr>
          <w:p w14:paraId="49D77D7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Khormaksar, Since 2015</w:t>
            </w:r>
          </w:p>
          <w:p w14:paraId="6AF52ED8" w14:textId="77777777" w:rsidR="00EA7E88" w:rsidRPr="00B91FAE" w:rsidRDefault="00EA7E88" w:rsidP="00162F52">
            <w:pPr>
              <w:rPr>
                <w:rFonts w:asciiTheme="majorBidi" w:hAnsiTheme="majorBidi" w:cstheme="majorBidi"/>
                <w:sz w:val="20"/>
                <w:szCs w:val="20"/>
                <w:rtl/>
              </w:rPr>
            </w:pPr>
          </w:p>
          <w:p w14:paraId="5B1314E5" w14:textId="77777777" w:rsidR="00EA7E88" w:rsidRPr="00B91FAE" w:rsidRDefault="00EA7E88" w:rsidP="00162F52">
            <w:pPr>
              <w:rPr>
                <w:rFonts w:asciiTheme="majorBidi" w:hAnsiTheme="majorBidi" w:cstheme="majorBidi"/>
                <w:sz w:val="20"/>
                <w:szCs w:val="20"/>
                <w:rtl/>
              </w:rPr>
            </w:pPr>
          </w:p>
          <w:p w14:paraId="06157BEC" w14:textId="77777777" w:rsidR="00EA7E88" w:rsidRPr="00B91FAE" w:rsidRDefault="00EA7E88" w:rsidP="00162F52">
            <w:pPr>
              <w:rPr>
                <w:rFonts w:asciiTheme="majorBidi" w:hAnsiTheme="majorBidi" w:cstheme="majorBidi"/>
                <w:sz w:val="20"/>
                <w:szCs w:val="20"/>
              </w:rPr>
            </w:pPr>
          </w:p>
        </w:tc>
      </w:tr>
      <w:tr w:rsidR="00EA7E88" w:rsidRPr="00B91FAE" w14:paraId="34FA4B04" w14:textId="77777777" w:rsidTr="00162F52">
        <w:tc>
          <w:tcPr>
            <w:tcW w:w="810" w:type="dxa"/>
          </w:tcPr>
          <w:p w14:paraId="05E8C7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790" w:type="dxa"/>
          </w:tcPr>
          <w:p w14:paraId="4E3489A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Brigadier General Louay Awad Mohamed Zamiki </w:t>
            </w:r>
          </w:p>
          <w:p w14:paraId="5090EB3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لؤي الزامكي</w:t>
            </w:r>
          </w:p>
          <w:p w14:paraId="629BA17F" w14:textId="77777777" w:rsidR="00EA7E88" w:rsidRPr="00B91FAE" w:rsidRDefault="00EA7E88" w:rsidP="00162F52">
            <w:pPr>
              <w:rPr>
                <w:rFonts w:asciiTheme="majorBidi" w:hAnsiTheme="majorBidi" w:cstheme="majorBidi"/>
                <w:sz w:val="20"/>
                <w:szCs w:val="20"/>
              </w:rPr>
            </w:pPr>
          </w:p>
        </w:tc>
        <w:tc>
          <w:tcPr>
            <w:tcW w:w="2250" w:type="dxa"/>
          </w:tcPr>
          <w:p w14:paraId="078F782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3</w:t>
            </w:r>
            <w:r w:rsidRPr="00B91FAE">
              <w:rPr>
                <w:rFonts w:asciiTheme="majorBidi" w:hAnsiTheme="majorBidi" w:cstheme="majorBidi"/>
                <w:sz w:val="20"/>
                <w:szCs w:val="20"/>
                <w:vertAlign w:val="superscript"/>
              </w:rPr>
              <w:t>rd</w:t>
            </w:r>
            <w:r w:rsidRPr="00B91FAE">
              <w:rPr>
                <w:rFonts w:asciiTheme="majorBidi" w:hAnsiTheme="majorBidi" w:cstheme="majorBidi"/>
                <w:sz w:val="20"/>
                <w:szCs w:val="20"/>
              </w:rPr>
              <w:t xml:space="preserve"> Presidential Protection Brigade</w:t>
            </w:r>
            <w:r w:rsidRPr="00B91FAE">
              <w:rPr>
                <w:rStyle w:val="FootnoteReference"/>
                <w:rFonts w:asciiTheme="majorBidi" w:hAnsiTheme="majorBidi" w:cstheme="majorBidi"/>
                <w:sz w:val="20"/>
                <w:szCs w:val="20"/>
              </w:rPr>
              <w:footnoteReference w:id="1525"/>
            </w:r>
          </w:p>
          <w:p w14:paraId="2601430A" w14:textId="77777777" w:rsidR="00EA7E88" w:rsidRPr="00B91FAE" w:rsidRDefault="00EA7E88" w:rsidP="00162F52">
            <w:pPr>
              <w:rPr>
                <w:rFonts w:asciiTheme="majorBidi" w:hAnsiTheme="majorBidi" w:cstheme="majorBidi"/>
                <w:sz w:val="20"/>
                <w:szCs w:val="20"/>
                <w:rtl/>
                <w:lang w:bidi="ar-JO"/>
              </w:rPr>
            </w:pPr>
          </w:p>
        </w:tc>
        <w:tc>
          <w:tcPr>
            <w:tcW w:w="3960" w:type="dxa"/>
          </w:tcPr>
          <w:p w14:paraId="1975AC6E"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lang w:bidi="ar-JO"/>
              </w:rPr>
              <w:t>One of the leaders of the southern Salafist resistance in Aden and one of the leaders of the West Coast front operation Golden Spear and the Liberation of Dhabab District in Ta’izz Governorate.</w:t>
            </w:r>
          </w:p>
          <w:p w14:paraId="5264AA9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28 March 2019, replaced  Brigadier General </w:t>
            </w:r>
            <w:r w:rsidRPr="00B91FAE">
              <w:rPr>
                <w:rFonts w:asciiTheme="majorBidi" w:hAnsiTheme="majorBidi" w:cstheme="majorBidi"/>
                <w:sz w:val="20"/>
                <w:szCs w:val="20"/>
              </w:rPr>
              <w:lastRenderedPageBreak/>
              <w:t>Ibrahim Haydan</w:t>
            </w:r>
          </w:p>
          <w:p w14:paraId="7AF21AC7" w14:textId="77777777" w:rsidR="00EA7E88" w:rsidRPr="00B91FAE" w:rsidRDefault="00EA7E88" w:rsidP="00162F52">
            <w:pPr>
              <w:rPr>
                <w:rFonts w:asciiTheme="majorBidi" w:hAnsiTheme="majorBidi" w:cstheme="majorBidi"/>
                <w:sz w:val="20"/>
                <w:szCs w:val="20"/>
                <w:rtl/>
              </w:rPr>
            </w:pPr>
          </w:p>
        </w:tc>
      </w:tr>
      <w:tr w:rsidR="00EA7E88" w:rsidRPr="00B91FAE" w14:paraId="6E342A02" w14:textId="77777777" w:rsidTr="00162F52">
        <w:tc>
          <w:tcPr>
            <w:tcW w:w="810" w:type="dxa"/>
          </w:tcPr>
          <w:p w14:paraId="011CA2B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12</w:t>
            </w:r>
          </w:p>
        </w:tc>
        <w:tc>
          <w:tcPr>
            <w:tcW w:w="2790" w:type="dxa"/>
          </w:tcPr>
          <w:p w14:paraId="429AD3D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Mahran Qubati</w:t>
            </w:r>
          </w:p>
          <w:p w14:paraId="48BCDF81"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مهران القباطي</w:t>
            </w:r>
          </w:p>
        </w:tc>
        <w:tc>
          <w:tcPr>
            <w:tcW w:w="2250" w:type="dxa"/>
          </w:tcPr>
          <w:p w14:paraId="10D730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Presidential Protection Brigade</w:t>
            </w:r>
            <w:r w:rsidRPr="00B91FAE">
              <w:rPr>
                <w:rStyle w:val="FootnoteReference"/>
                <w:rFonts w:asciiTheme="majorBidi" w:hAnsiTheme="majorBidi" w:cstheme="majorBidi"/>
                <w:sz w:val="20"/>
                <w:szCs w:val="20"/>
              </w:rPr>
              <w:footnoteReference w:id="1526"/>
            </w:r>
          </w:p>
          <w:p w14:paraId="2A66DA64" w14:textId="77777777" w:rsidR="00EA7E88" w:rsidRPr="00B91FAE" w:rsidRDefault="00EA7E88" w:rsidP="00162F52">
            <w:pPr>
              <w:rPr>
                <w:rFonts w:asciiTheme="majorBidi" w:hAnsiTheme="majorBidi" w:cstheme="majorBidi"/>
                <w:sz w:val="20"/>
                <w:szCs w:val="20"/>
              </w:rPr>
            </w:pPr>
          </w:p>
        </w:tc>
        <w:tc>
          <w:tcPr>
            <w:tcW w:w="3960" w:type="dxa"/>
          </w:tcPr>
          <w:p w14:paraId="46D5052C"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 xml:space="preserve">In December 2016 he was appointed as 4th PPB commander. He is a Salafist leader, loyal to President Hadi.  </w:t>
            </w:r>
          </w:p>
          <w:p w14:paraId="75343077" w14:textId="77777777" w:rsidR="00EA7E88" w:rsidRPr="00B91FAE" w:rsidRDefault="00EA7E88" w:rsidP="00162F52">
            <w:pPr>
              <w:rPr>
                <w:rFonts w:asciiTheme="majorBidi" w:hAnsiTheme="majorBidi" w:cstheme="majorBidi"/>
                <w:sz w:val="20"/>
                <w:szCs w:val="20"/>
                <w:lang w:val="en-US" w:bidi="ar-JO"/>
              </w:rPr>
            </w:pPr>
          </w:p>
        </w:tc>
      </w:tr>
      <w:tr w:rsidR="00EA7E88" w:rsidRPr="00B91FAE" w14:paraId="60B74A82" w14:textId="77777777" w:rsidTr="00162F52">
        <w:tc>
          <w:tcPr>
            <w:tcW w:w="810" w:type="dxa"/>
          </w:tcPr>
          <w:p w14:paraId="623C746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790" w:type="dxa"/>
          </w:tcPr>
          <w:p w14:paraId="444A7FFD"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Abdullah al-Subaihi</w:t>
            </w:r>
          </w:p>
          <w:p w14:paraId="791CEE5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عبدالله الصبيحي</w:t>
            </w:r>
          </w:p>
        </w:tc>
        <w:tc>
          <w:tcPr>
            <w:tcW w:w="2250" w:type="dxa"/>
          </w:tcPr>
          <w:p w14:paraId="65EF785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39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Armoured  Brigade</w:t>
            </w:r>
            <w:r w:rsidRPr="00B91FAE">
              <w:rPr>
                <w:rStyle w:val="FootnoteReference"/>
                <w:rFonts w:asciiTheme="majorBidi" w:hAnsiTheme="majorBidi" w:cstheme="majorBidi"/>
                <w:sz w:val="20"/>
                <w:szCs w:val="20"/>
              </w:rPr>
              <w:footnoteReference w:id="1527"/>
            </w:r>
          </w:p>
          <w:p w14:paraId="2EE940A8" w14:textId="77777777" w:rsidR="00EA7E88" w:rsidRPr="00B91FAE" w:rsidRDefault="00EA7E88" w:rsidP="00162F52">
            <w:pPr>
              <w:rPr>
                <w:rFonts w:asciiTheme="majorBidi" w:hAnsiTheme="majorBidi" w:cstheme="majorBidi"/>
                <w:sz w:val="20"/>
                <w:szCs w:val="20"/>
              </w:rPr>
            </w:pPr>
          </w:p>
        </w:tc>
        <w:tc>
          <w:tcPr>
            <w:tcW w:w="3960" w:type="dxa"/>
          </w:tcPr>
          <w:p w14:paraId="456241B3"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Bader Camp</w:t>
            </w:r>
            <w:r w:rsidRPr="00B91FAE">
              <w:rPr>
                <w:rFonts w:asciiTheme="majorBidi" w:hAnsiTheme="majorBidi" w:cstheme="majorBidi"/>
                <w:sz w:val="20"/>
                <w:szCs w:val="20"/>
                <w:lang w:val="en-US"/>
              </w:rPr>
              <w:t>,</w:t>
            </w:r>
            <w:r w:rsidRPr="00B91FAE">
              <w:rPr>
                <w:rFonts w:asciiTheme="majorBidi" w:hAnsiTheme="majorBidi" w:cstheme="majorBidi"/>
                <w:sz w:val="20"/>
                <w:szCs w:val="20"/>
              </w:rPr>
              <w:t xml:space="preserve"> </w:t>
            </w:r>
            <w:r w:rsidRPr="00B91FAE">
              <w:rPr>
                <w:rFonts w:asciiTheme="majorBidi" w:hAnsiTheme="majorBidi" w:cstheme="majorBidi"/>
                <w:sz w:val="20"/>
                <w:szCs w:val="20"/>
                <w:lang w:val="en-US"/>
              </w:rPr>
              <w:t xml:space="preserve">Khormaksar, </w:t>
            </w:r>
          </w:p>
          <w:p w14:paraId="657F539B"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9 January 2016</w:t>
            </w:r>
          </w:p>
        </w:tc>
      </w:tr>
      <w:tr w:rsidR="00EA7E88" w:rsidRPr="00B91FAE" w14:paraId="16BB2F07" w14:textId="77777777" w:rsidTr="00162F52">
        <w:tc>
          <w:tcPr>
            <w:tcW w:w="810" w:type="dxa"/>
          </w:tcPr>
          <w:p w14:paraId="72B237F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14</w:t>
            </w:r>
          </w:p>
        </w:tc>
        <w:tc>
          <w:tcPr>
            <w:tcW w:w="2790" w:type="dxa"/>
          </w:tcPr>
          <w:p w14:paraId="3A19D74C"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Nasser Ahmed al-Ju’aimilani</w:t>
            </w:r>
          </w:p>
          <w:p w14:paraId="0C654D10"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ناصر الجعميلاني</w:t>
            </w:r>
          </w:p>
        </w:tc>
        <w:tc>
          <w:tcPr>
            <w:tcW w:w="2250" w:type="dxa"/>
          </w:tcPr>
          <w:p w14:paraId="254A191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Commander of 89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p>
        </w:tc>
        <w:tc>
          <w:tcPr>
            <w:tcW w:w="3960" w:type="dxa"/>
          </w:tcPr>
          <w:p w14:paraId="26B206C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Bader Camp, Khormaksar</w:t>
            </w:r>
          </w:p>
        </w:tc>
      </w:tr>
      <w:tr w:rsidR="00EA7E88" w:rsidRPr="00B91FAE" w14:paraId="17F4E239" w14:textId="77777777" w:rsidTr="00162F52">
        <w:tc>
          <w:tcPr>
            <w:tcW w:w="810" w:type="dxa"/>
          </w:tcPr>
          <w:p w14:paraId="2607E98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790" w:type="dxa"/>
          </w:tcPr>
          <w:p w14:paraId="189591B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 xml:space="preserve">Brigadier General Salim Haydan </w:t>
            </w:r>
          </w:p>
          <w:p w14:paraId="3D030400"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سليم حيدان</w:t>
            </w:r>
          </w:p>
        </w:tc>
        <w:tc>
          <w:tcPr>
            <w:tcW w:w="2250" w:type="dxa"/>
          </w:tcPr>
          <w:p w14:paraId="37BD3F8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Presidential Protection for the protection of the facilities</w:t>
            </w:r>
            <w:r w:rsidRPr="00B91FAE">
              <w:rPr>
                <w:rStyle w:val="FootnoteReference"/>
                <w:rFonts w:asciiTheme="majorBidi" w:hAnsiTheme="majorBidi" w:cstheme="majorBidi"/>
                <w:sz w:val="20"/>
                <w:szCs w:val="20"/>
              </w:rPr>
              <w:footnoteReference w:id="1528"/>
            </w:r>
          </w:p>
          <w:p w14:paraId="723AFB7A" w14:textId="77777777" w:rsidR="00EA7E88" w:rsidRPr="00B91FAE" w:rsidRDefault="00EA7E88" w:rsidP="00162F52">
            <w:pPr>
              <w:rPr>
                <w:rFonts w:asciiTheme="majorBidi" w:hAnsiTheme="majorBidi" w:cstheme="majorBidi"/>
                <w:sz w:val="20"/>
                <w:szCs w:val="20"/>
              </w:rPr>
            </w:pPr>
          </w:p>
        </w:tc>
        <w:tc>
          <w:tcPr>
            <w:tcW w:w="3960" w:type="dxa"/>
          </w:tcPr>
          <w:p w14:paraId="5BCE649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Bader Camp, Khormaksar, 14 March 2018</w:t>
            </w:r>
          </w:p>
        </w:tc>
      </w:tr>
    </w:tbl>
    <w:tbl>
      <w:tblPr>
        <w:tblStyle w:val="TableGrid"/>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0"/>
        <w:gridCol w:w="2790"/>
        <w:gridCol w:w="2250"/>
        <w:gridCol w:w="3960"/>
      </w:tblGrid>
      <w:tr w:rsidR="00EA7E88" w:rsidRPr="00B91FAE" w14:paraId="3652C09D" w14:textId="77777777" w:rsidTr="00162F52">
        <w:tc>
          <w:tcPr>
            <w:tcW w:w="810" w:type="dxa"/>
          </w:tcPr>
          <w:p w14:paraId="28976C7D" w14:textId="77777777" w:rsidR="00EA7E88" w:rsidRPr="00B91FAE" w:rsidRDefault="00EA7E88" w:rsidP="00162F52">
            <w:pPr>
              <w:jc w:val="center"/>
              <w:rPr>
                <w:rFonts w:asciiTheme="majorBidi" w:hAnsiTheme="majorBidi" w:cstheme="majorBidi"/>
              </w:rPr>
            </w:pPr>
            <w:r w:rsidRPr="00B91FAE">
              <w:rPr>
                <w:rFonts w:asciiTheme="majorBidi" w:hAnsiTheme="majorBidi" w:cstheme="majorBidi"/>
              </w:rPr>
              <w:t>16</w:t>
            </w:r>
          </w:p>
        </w:tc>
        <w:tc>
          <w:tcPr>
            <w:tcW w:w="2790" w:type="dxa"/>
          </w:tcPr>
          <w:p w14:paraId="5429D1B3" w14:textId="77777777" w:rsidR="00EA7E88" w:rsidRPr="00B91FAE" w:rsidRDefault="00EA7E88" w:rsidP="00162F52">
            <w:pPr>
              <w:autoSpaceDE w:val="0"/>
              <w:autoSpaceDN w:val="0"/>
              <w:adjustRightInd w:val="0"/>
              <w:jc w:val="both"/>
              <w:rPr>
                <w:rFonts w:asciiTheme="majorBidi" w:hAnsiTheme="majorBidi" w:cstheme="majorBidi"/>
                <w:rtl/>
              </w:rPr>
            </w:pPr>
            <w:r w:rsidRPr="00B91FAE">
              <w:rPr>
                <w:rFonts w:asciiTheme="majorBidi" w:hAnsiTheme="majorBidi" w:cstheme="majorBidi"/>
              </w:rPr>
              <w:t>Major General Nasser al-Nuba</w:t>
            </w:r>
          </w:p>
          <w:p w14:paraId="635E9525" w14:textId="77777777" w:rsidR="00EA7E88" w:rsidRPr="00B91FAE" w:rsidRDefault="00EA7E88" w:rsidP="00162F52">
            <w:pPr>
              <w:autoSpaceDE w:val="0"/>
              <w:autoSpaceDN w:val="0"/>
              <w:adjustRightInd w:val="0"/>
              <w:jc w:val="both"/>
              <w:rPr>
                <w:rFonts w:asciiTheme="majorBidi" w:hAnsiTheme="majorBidi" w:cstheme="majorBidi"/>
                <w:color w:val="222222"/>
                <w:rtl/>
                <w:lang w:eastAsia="en-GB" w:bidi="ar"/>
              </w:rPr>
            </w:pPr>
            <w:r w:rsidRPr="00B91FAE">
              <w:rPr>
                <w:rFonts w:asciiTheme="majorBidi" w:hAnsiTheme="majorBidi" w:cstheme="majorBidi"/>
                <w:rtl/>
              </w:rPr>
              <w:t>اللواء ناصر النوبه</w:t>
            </w:r>
          </w:p>
          <w:p w14:paraId="3E8C9378" w14:textId="77777777" w:rsidR="00EA7E88" w:rsidRPr="00B91FAE" w:rsidRDefault="00EA7E88" w:rsidP="00162F52">
            <w:pPr>
              <w:rPr>
                <w:rFonts w:asciiTheme="majorBidi" w:hAnsiTheme="majorBidi" w:cstheme="majorBidi"/>
                <w:lang w:bidi="ar"/>
              </w:rPr>
            </w:pPr>
          </w:p>
        </w:tc>
        <w:tc>
          <w:tcPr>
            <w:tcW w:w="2250" w:type="dxa"/>
          </w:tcPr>
          <w:p w14:paraId="32023311" w14:textId="77777777" w:rsidR="00EA7E88" w:rsidRPr="00B91FAE" w:rsidRDefault="00EA7E88" w:rsidP="00162F52">
            <w:pPr>
              <w:rPr>
                <w:rFonts w:asciiTheme="majorBidi" w:hAnsiTheme="majorBidi" w:cstheme="majorBidi"/>
              </w:rPr>
            </w:pPr>
            <w:r w:rsidRPr="00B91FAE">
              <w:rPr>
                <w:rFonts w:asciiTheme="majorBidi" w:hAnsiTheme="majorBidi" w:cstheme="majorBidi"/>
              </w:rPr>
              <w:t>Military Police Forces Commander and Commander of Aden Branch</w:t>
            </w:r>
            <w:r w:rsidRPr="00B91FAE">
              <w:rPr>
                <w:rFonts w:asciiTheme="majorBidi" w:hAnsiTheme="majorBidi" w:cstheme="majorBidi"/>
                <w:color w:val="222222"/>
                <w:vertAlign w:val="superscript"/>
                <w:lang w:eastAsia="en-GB" w:bidi="ar"/>
              </w:rPr>
              <w:footnoteReference w:id="1529"/>
            </w:r>
          </w:p>
          <w:p w14:paraId="196DF02A" w14:textId="77777777" w:rsidR="00EA7E88" w:rsidRPr="00B91FAE" w:rsidRDefault="00EA7E88" w:rsidP="00162F52">
            <w:pPr>
              <w:rPr>
                <w:rFonts w:asciiTheme="majorBidi" w:hAnsiTheme="majorBidi" w:cstheme="majorBidi"/>
              </w:rPr>
            </w:pPr>
          </w:p>
        </w:tc>
        <w:tc>
          <w:tcPr>
            <w:tcW w:w="3960" w:type="dxa"/>
          </w:tcPr>
          <w:p w14:paraId="29A33EB2" w14:textId="77777777" w:rsidR="00EA7E88" w:rsidRPr="00B91FAE" w:rsidRDefault="00EA7E88" w:rsidP="00162F52">
            <w:pPr>
              <w:rPr>
                <w:rFonts w:asciiTheme="majorBidi" w:hAnsiTheme="majorBidi" w:cstheme="majorBidi"/>
                <w:rtl/>
              </w:rPr>
            </w:pPr>
            <w:r w:rsidRPr="00B91FAE">
              <w:rPr>
                <w:rFonts w:asciiTheme="majorBidi" w:hAnsiTheme="majorBidi" w:cstheme="majorBidi"/>
                <w:lang w:val="en-US"/>
              </w:rPr>
              <w:t xml:space="preserve">Al-Tawaihi, Aden, </w:t>
            </w:r>
            <w:r w:rsidRPr="00B91FAE">
              <w:rPr>
                <w:rFonts w:asciiTheme="majorBidi" w:hAnsiTheme="majorBidi" w:cstheme="majorBidi"/>
              </w:rPr>
              <w:t>20 May 2018</w:t>
            </w:r>
          </w:p>
          <w:p w14:paraId="76A8F86B" w14:textId="77777777" w:rsidR="00EA7E88" w:rsidRPr="00B91FAE" w:rsidRDefault="00EA7E88" w:rsidP="00162F52">
            <w:pPr>
              <w:rPr>
                <w:rFonts w:asciiTheme="majorBidi" w:hAnsiTheme="majorBidi" w:cstheme="majorBidi"/>
                <w:lang w:val="en-US"/>
              </w:rPr>
            </w:pPr>
            <w:r w:rsidRPr="00B91FAE">
              <w:rPr>
                <w:rFonts w:asciiTheme="majorBidi" w:hAnsiTheme="majorBidi" w:cstheme="majorBidi"/>
                <w:lang w:val="en-US"/>
              </w:rPr>
              <w:t>He</w:t>
            </w:r>
            <w:r w:rsidRPr="00B91FAE">
              <w:rPr>
                <w:rFonts w:asciiTheme="majorBidi" w:hAnsiTheme="majorBidi" w:cstheme="majorBidi"/>
              </w:rPr>
              <w:t xml:space="preserve"> was</w:t>
            </w:r>
            <w:r w:rsidRPr="00B91FAE">
              <w:rPr>
                <w:rFonts w:asciiTheme="majorBidi" w:hAnsiTheme="majorBidi" w:cstheme="majorBidi"/>
                <w:lang w:val="en-US"/>
              </w:rPr>
              <w:t xml:space="preserve"> the commander of Ataq Axis and the 30th Infantry Brigade in Shabwah Governorate and loyal to President Hadi.</w:t>
            </w:r>
          </w:p>
          <w:p w14:paraId="4B4F2532" w14:textId="77777777" w:rsidR="00EA7E88" w:rsidRPr="00B91FAE" w:rsidRDefault="00EA7E88" w:rsidP="00162F52">
            <w:pPr>
              <w:rPr>
                <w:rFonts w:asciiTheme="majorBidi" w:hAnsiTheme="majorBidi" w:cstheme="majorBidi"/>
                <w:lang w:val="en-US"/>
              </w:rPr>
            </w:pPr>
          </w:p>
        </w:tc>
      </w:tr>
    </w:tbl>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0"/>
        <w:gridCol w:w="2790"/>
        <w:gridCol w:w="2250"/>
        <w:gridCol w:w="3960"/>
      </w:tblGrid>
      <w:tr w:rsidR="00EA7E88" w:rsidRPr="00B91FAE" w14:paraId="48849CEB" w14:textId="77777777" w:rsidTr="00162F52">
        <w:tc>
          <w:tcPr>
            <w:tcW w:w="810" w:type="dxa"/>
          </w:tcPr>
          <w:p w14:paraId="1FB40B8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17</w:t>
            </w:r>
          </w:p>
        </w:tc>
        <w:tc>
          <w:tcPr>
            <w:tcW w:w="2790" w:type="dxa"/>
          </w:tcPr>
          <w:p w14:paraId="592AC7E7"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Pr>
              <w:t>Major General Fadl Ba'ash</w:t>
            </w:r>
          </w:p>
          <w:p w14:paraId="5943D9E9"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فضل باعش</w:t>
            </w:r>
          </w:p>
          <w:p w14:paraId="1B0B9630" w14:textId="77777777" w:rsidR="00EA7E88" w:rsidRPr="00B91FAE" w:rsidRDefault="00EA7E88" w:rsidP="00162F52">
            <w:pPr>
              <w:rPr>
                <w:rFonts w:asciiTheme="majorBidi" w:hAnsiTheme="majorBidi" w:cstheme="majorBidi"/>
                <w:sz w:val="20"/>
                <w:szCs w:val="20"/>
              </w:rPr>
            </w:pPr>
          </w:p>
        </w:tc>
        <w:tc>
          <w:tcPr>
            <w:tcW w:w="2250" w:type="dxa"/>
          </w:tcPr>
          <w:p w14:paraId="268D816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Special Security Forces</w:t>
            </w:r>
            <w:r w:rsidRPr="00B91FAE">
              <w:rPr>
                <w:rStyle w:val="FootnoteReference"/>
                <w:rFonts w:asciiTheme="majorBidi" w:hAnsiTheme="majorBidi" w:cstheme="majorBidi"/>
                <w:sz w:val="20"/>
                <w:szCs w:val="20"/>
              </w:rPr>
              <w:footnoteReference w:id="1530"/>
            </w:r>
            <w:r w:rsidRPr="00B91FAE">
              <w:rPr>
                <w:rFonts w:asciiTheme="majorBidi" w:hAnsiTheme="majorBidi" w:cstheme="majorBidi"/>
                <w:sz w:val="20"/>
                <w:szCs w:val="20"/>
              </w:rPr>
              <w:t xml:space="preserve"> </w:t>
            </w:r>
          </w:p>
          <w:p w14:paraId="1DAA68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w:t>
            </w:r>
          </w:p>
        </w:tc>
        <w:tc>
          <w:tcPr>
            <w:tcW w:w="3960" w:type="dxa"/>
          </w:tcPr>
          <w:p w14:paraId="2D66521A" w14:textId="77777777" w:rsidR="00EA7E88" w:rsidRPr="00B91FAE" w:rsidRDefault="00EA7E88" w:rsidP="00EA7E88">
            <w:pPr>
              <w:pStyle w:val="ListParagraph"/>
              <w:numPr>
                <w:ilvl w:val="0"/>
                <w:numId w:val="29"/>
              </w:numPr>
              <w:spacing w:after="150" w:line="240" w:lineRule="auto"/>
              <w:ind w:left="76" w:hanging="180"/>
              <w:jc w:val="both"/>
              <w:rPr>
                <w:rFonts w:asciiTheme="majorBidi" w:hAnsiTheme="majorBidi" w:cstheme="majorBidi"/>
                <w:sz w:val="20"/>
                <w:szCs w:val="20"/>
                <w:lang w:val="en-US"/>
              </w:rPr>
            </w:pPr>
            <w:r w:rsidRPr="00B91FAE">
              <w:rPr>
                <w:rFonts w:asciiTheme="majorBidi" w:hAnsiTheme="majorBidi" w:cstheme="majorBidi"/>
                <w:sz w:val="20"/>
                <w:szCs w:val="20"/>
                <w:lang w:val="en-US"/>
              </w:rPr>
              <w:t>On 9 January 2017 promoted to MG and appointed as a commander in the Central Security Force.</w:t>
            </w:r>
          </w:p>
          <w:p w14:paraId="49687CB2" w14:textId="77777777" w:rsidR="00EA7E88" w:rsidRPr="00B91FAE" w:rsidRDefault="00EA7E88" w:rsidP="00162F52">
            <w:pPr>
              <w:rPr>
                <w:rFonts w:asciiTheme="majorBidi" w:hAnsiTheme="majorBidi" w:cstheme="majorBidi"/>
                <w:sz w:val="20"/>
                <w:szCs w:val="20"/>
                <w:lang w:val="en-US"/>
              </w:rPr>
            </w:pPr>
          </w:p>
        </w:tc>
      </w:tr>
      <w:tr w:rsidR="00EA7E88" w:rsidRPr="00B91FAE" w14:paraId="1B9ACF37" w14:textId="77777777" w:rsidTr="00162F52">
        <w:tc>
          <w:tcPr>
            <w:tcW w:w="810" w:type="dxa"/>
          </w:tcPr>
          <w:p w14:paraId="2284BE9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18</w:t>
            </w:r>
          </w:p>
        </w:tc>
        <w:tc>
          <w:tcPr>
            <w:tcW w:w="2790" w:type="dxa"/>
          </w:tcPr>
          <w:p w14:paraId="598F4FF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Nasser al-Anbury</w:t>
            </w:r>
          </w:p>
          <w:p w14:paraId="69FB6C4D"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tl/>
              </w:rPr>
              <w:t>العميد ناصر العنبوري</w:t>
            </w:r>
          </w:p>
          <w:p w14:paraId="6D76C14D" w14:textId="77777777" w:rsidR="00EA7E88" w:rsidRPr="00B91FAE" w:rsidRDefault="00EA7E88" w:rsidP="00162F52">
            <w:pPr>
              <w:rPr>
                <w:rFonts w:asciiTheme="majorBidi" w:hAnsiTheme="majorBidi" w:cstheme="majorBidi"/>
                <w:sz w:val="20"/>
                <w:szCs w:val="20"/>
              </w:rPr>
            </w:pPr>
          </w:p>
        </w:tc>
        <w:tc>
          <w:tcPr>
            <w:tcW w:w="2250" w:type="dxa"/>
          </w:tcPr>
          <w:p w14:paraId="7FE2A66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Security Forces, Aden Branch</w:t>
            </w:r>
            <w:r w:rsidRPr="00B91FAE">
              <w:rPr>
                <w:rStyle w:val="FootnoteReference"/>
                <w:rFonts w:asciiTheme="majorBidi" w:hAnsiTheme="majorBidi" w:cstheme="majorBidi"/>
                <w:sz w:val="20"/>
                <w:szCs w:val="20"/>
              </w:rPr>
              <w:footnoteReference w:id="1531"/>
            </w:r>
          </w:p>
          <w:p w14:paraId="35177C64" w14:textId="77777777" w:rsidR="00EA7E88" w:rsidRPr="00B91FAE" w:rsidRDefault="00EA7E88" w:rsidP="00162F52">
            <w:pPr>
              <w:rPr>
                <w:rFonts w:asciiTheme="majorBidi" w:hAnsiTheme="majorBidi" w:cstheme="majorBidi"/>
                <w:sz w:val="20"/>
                <w:szCs w:val="20"/>
              </w:rPr>
            </w:pPr>
          </w:p>
        </w:tc>
        <w:tc>
          <w:tcPr>
            <w:tcW w:w="3960" w:type="dxa"/>
          </w:tcPr>
          <w:p w14:paraId="610BC53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SSF is concentrated in the Al-Sawlaban camp, but it is a force that does not have enough weapons like the rest , But the government is counting on them to find a balance in Khormaksar in place of the presence of UAE –backed forces</w:t>
            </w:r>
          </w:p>
        </w:tc>
      </w:tr>
      <w:tr w:rsidR="00EA7E88" w:rsidRPr="00B91FAE" w14:paraId="6DED5B69" w14:textId="77777777" w:rsidTr="00162F52">
        <w:tc>
          <w:tcPr>
            <w:tcW w:w="810" w:type="dxa"/>
          </w:tcPr>
          <w:p w14:paraId="1D0C35D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19</w:t>
            </w:r>
          </w:p>
        </w:tc>
        <w:tc>
          <w:tcPr>
            <w:tcW w:w="2790" w:type="dxa"/>
          </w:tcPr>
          <w:p w14:paraId="787A502B"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Brigadier General Amjad Khalid</w:t>
            </w:r>
          </w:p>
          <w:p w14:paraId="07628460" w14:textId="77777777" w:rsidR="00EA7E88" w:rsidRPr="00B91FAE" w:rsidRDefault="00EA7E88" w:rsidP="00162F52">
            <w:pPr>
              <w:autoSpaceDE w:val="0"/>
              <w:autoSpaceDN w:val="0"/>
              <w:adjustRightInd w:val="0"/>
              <w:rPr>
                <w:rFonts w:asciiTheme="majorBidi" w:hAnsiTheme="majorBidi" w:cstheme="majorBidi"/>
                <w:sz w:val="20"/>
                <w:szCs w:val="20"/>
                <w:rtl/>
                <w:lang w:bidi="ar"/>
              </w:rPr>
            </w:pPr>
            <w:r w:rsidRPr="00B91FAE">
              <w:rPr>
                <w:rFonts w:asciiTheme="majorBidi" w:hAnsiTheme="majorBidi" w:cstheme="majorBidi"/>
                <w:sz w:val="20"/>
                <w:szCs w:val="20"/>
                <w:rtl/>
              </w:rPr>
              <w:t>العميد امجد خالد</w:t>
            </w:r>
          </w:p>
          <w:p w14:paraId="697D0900" w14:textId="77777777" w:rsidR="00EA7E88" w:rsidRPr="00B91FAE" w:rsidRDefault="00EA7E88" w:rsidP="00162F52">
            <w:pPr>
              <w:rPr>
                <w:rFonts w:asciiTheme="majorBidi" w:hAnsiTheme="majorBidi" w:cstheme="majorBidi"/>
                <w:sz w:val="20"/>
                <w:szCs w:val="20"/>
              </w:rPr>
            </w:pPr>
          </w:p>
        </w:tc>
        <w:tc>
          <w:tcPr>
            <w:tcW w:w="2250" w:type="dxa"/>
          </w:tcPr>
          <w:p w14:paraId="7CCF32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Logistics Military Brigade</w:t>
            </w:r>
            <w:r w:rsidRPr="00B91FAE">
              <w:rPr>
                <w:rStyle w:val="FootnoteReference"/>
                <w:rFonts w:asciiTheme="majorBidi" w:hAnsiTheme="majorBidi" w:cstheme="majorBidi"/>
                <w:sz w:val="20"/>
                <w:szCs w:val="20"/>
              </w:rPr>
              <w:footnoteReference w:id="1532"/>
            </w:r>
          </w:p>
          <w:p w14:paraId="33D8AD82" w14:textId="77777777" w:rsidR="00EA7E88" w:rsidRPr="00B91FAE" w:rsidRDefault="00EA7E88" w:rsidP="00162F52">
            <w:pPr>
              <w:rPr>
                <w:rFonts w:asciiTheme="majorBidi" w:hAnsiTheme="majorBidi" w:cstheme="majorBidi"/>
                <w:sz w:val="20"/>
                <w:szCs w:val="20"/>
              </w:rPr>
            </w:pPr>
          </w:p>
        </w:tc>
        <w:tc>
          <w:tcPr>
            <w:tcW w:w="3960" w:type="dxa"/>
          </w:tcPr>
          <w:p w14:paraId="1A851BC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Aden, 19 February 2017</w:t>
            </w:r>
          </w:p>
          <w:p w14:paraId="7F87B3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t>
            </w:r>
            <w:r w:rsidRPr="00B91FAE">
              <w:rPr>
                <w:rFonts w:asciiTheme="majorBidi" w:hAnsiTheme="majorBidi" w:cstheme="majorBidi"/>
                <w:sz w:val="20"/>
                <w:szCs w:val="20"/>
              </w:rPr>
              <w:tab/>
              <w:t>Loyal to President Hadi</w:t>
            </w:r>
          </w:p>
          <w:p w14:paraId="13FA57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t>
            </w:r>
            <w:r w:rsidRPr="00B91FAE">
              <w:rPr>
                <w:rFonts w:asciiTheme="majorBidi" w:hAnsiTheme="majorBidi" w:cstheme="majorBidi"/>
                <w:sz w:val="20"/>
                <w:szCs w:val="20"/>
              </w:rPr>
              <w:tab/>
              <w:t>Logistic Brigade includes a large number of Salafist fighters</w:t>
            </w:r>
          </w:p>
          <w:p w14:paraId="060AF889" w14:textId="77777777" w:rsidR="00EA7E88" w:rsidRPr="00B91FAE" w:rsidRDefault="00EA7E88" w:rsidP="00162F52">
            <w:pPr>
              <w:rPr>
                <w:rFonts w:asciiTheme="majorBidi" w:hAnsiTheme="majorBidi" w:cstheme="majorBidi"/>
                <w:sz w:val="20"/>
                <w:szCs w:val="20"/>
              </w:rPr>
            </w:pPr>
          </w:p>
        </w:tc>
      </w:tr>
      <w:tr w:rsidR="00EA7E88" w:rsidRPr="00B91FAE" w14:paraId="0FAB561A" w14:textId="77777777" w:rsidTr="00162F52">
        <w:tc>
          <w:tcPr>
            <w:tcW w:w="810" w:type="dxa"/>
          </w:tcPr>
          <w:p w14:paraId="45D8BB7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20</w:t>
            </w:r>
          </w:p>
        </w:tc>
        <w:tc>
          <w:tcPr>
            <w:tcW w:w="2790" w:type="dxa"/>
          </w:tcPr>
          <w:p w14:paraId="269C827F"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Brigadier General Sanad al-Rahwa</w:t>
            </w:r>
          </w:p>
          <w:p w14:paraId="5D4719CD" w14:textId="77777777" w:rsidR="00EA7E88" w:rsidRPr="00B91FAE" w:rsidRDefault="00EA7E88" w:rsidP="00162F52">
            <w:pPr>
              <w:autoSpaceDE w:val="0"/>
              <w:autoSpaceDN w:val="0"/>
              <w:adjustRightInd w:val="0"/>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سند الرهوه</w:t>
            </w:r>
          </w:p>
          <w:p w14:paraId="0BB5BB3F"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p>
        </w:tc>
        <w:tc>
          <w:tcPr>
            <w:tcW w:w="2250" w:type="dxa"/>
          </w:tcPr>
          <w:p w14:paraId="55DD17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w:t>
            </w:r>
            <w:r w:rsidRPr="00B91FAE">
              <w:rPr>
                <w:rFonts w:asciiTheme="majorBidi" w:hAnsiTheme="majorBidi" w:cstheme="majorBidi"/>
                <w:sz w:val="20"/>
                <w:szCs w:val="20"/>
                <w:vertAlign w:val="superscript"/>
              </w:rPr>
              <w:t>st</w:t>
            </w:r>
            <w:r w:rsidRPr="00B91FAE">
              <w:rPr>
                <w:rFonts w:asciiTheme="majorBidi" w:hAnsiTheme="majorBidi" w:cstheme="majorBidi"/>
                <w:sz w:val="20"/>
                <w:szCs w:val="20"/>
              </w:rPr>
              <w:t xml:space="preserve"> Presidential Brigade</w:t>
            </w:r>
            <w:r w:rsidRPr="00B91FAE">
              <w:rPr>
                <w:rStyle w:val="FootnoteReference"/>
                <w:rFonts w:asciiTheme="majorBidi" w:hAnsiTheme="majorBidi" w:cstheme="majorBidi"/>
                <w:sz w:val="20"/>
                <w:szCs w:val="20"/>
              </w:rPr>
              <w:footnoteReference w:id="1533"/>
            </w:r>
          </w:p>
        </w:tc>
        <w:tc>
          <w:tcPr>
            <w:tcW w:w="3960" w:type="dxa"/>
          </w:tcPr>
          <w:p w14:paraId="1DD5019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Al-Masheiq Palace, Crater, Aden</w:t>
            </w:r>
          </w:p>
        </w:tc>
      </w:tr>
      <w:tr w:rsidR="00EA7E88" w:rsidRPr="00B91FAE" w14:paraId="0000BCF1" w14:textId="77777777" w:rsidTr="00162F52">
        <w:tc>
          <w:tcPr>
            <w:tcW w:w="810" w:type="dxa"/>
          </w:tcPr>
          <w:p w14:paraId="3B12DF2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21</w:t>
            </w:r>
          </w:p>
        </w:tc>
        <w:tc>
          <w:tcPr>
            <w:tcW w:w="2790" w:type="dxa"/>
          </w:tcPr>
          <w:p w14:paraId="5E081F2E"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Pr>
              <w:t>Brigadier General Nasaer Abd Rabbu Hadi</w:t>
            </w:r>
          </w:p>
          <w:p w14:paraId="78A10824"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ناصر عبد ربه هادي</w:t>
            </w:r>
          </w:p>
        </w:tc>
        <w:tc>
          <w:tcPr>
            <w:tcW w:w="2250" w:type="dxa"/>
          </w:tcPr>
          <w:p w14:paraId="54C2448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Presidential Brigades</w:t>
            </w:r>
          </w:p>
        </w:tc>
        <w:tc>
          <w:tcPr>
            <w:tcW w:w="3960" w:type="dxa"/>
          </w:tcPr>
          <w:p w14:paraId="3BCB44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Al-Masheiq Palace, Aden</w:t>
            </w:r>
          </w:p>
        </w:tc>
      </w:tr>
      <w:tr w:rsidR="00EA7E88" w:rsidRPr="00B91FAE" w14:paraId="15FE1785" w14:textId="77777777" w:rsidTr="00162F52">
        <w:tc>
          <w:tcPr>
            <w:tcW w:w="810" w:type="dxa"/>
          </w:tcPr>
          <w:p w14:paraId="375D2A1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22</w:t>
            </w:r>
          </w:p>
        </w:tc>
        <w:tc>
          <w:tcPr>
            <w:tcW w:w="2790" w:type="dxa"/>
          </w:tcPr>
          <w:p w14:paraId="0C2390B8"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A1624A">
              <w:rPr>
                <w:rFonts w:asciiTheme="majorBidi" w:hAnsiTheme="majorBidi" w:cstheme="majorBidi"/>
                <w:sz w:val="20"/>
                <w:szCs w:val="20"/>
                <w:lang w:val="es-ES" w:bidi="ar-JO"/>
              </w:rPr>
              <w:t>Abdul Nasser Rajeh al-Bawa aka Abu Hammam</w:t>
            </w:r>
          </w:p>
          <w:p w14:paraId="4B738922" w14:textId="77777777" w:rsidR="00EA7E88" w:rsidRPr="00B91FAE" w:rsidRDefault="00EA7E88" w:rsidP="00162F52">
            <w:pPr>
              <w:autoSpaceDE w:val="0"/>
              <w:autoSpaceDN w:val="0"/>
              <w:adjustRightInd w:val="0"/>
              <w:rPr>
                <w:rFonts w:asciiTheme="majorBidi" w:hAnsiTheme="majorBidi" w:cstheme="majorBidi"/>
                <w:sz w:val="20"/>
                <w:szCs w:val="20"/>
                <w:rtl/>
                <w:lang w:bidi="ar-JO"/>
              </w:rPr>
            </w:pPr>
            <w:r w:rsidRPr="00B91FAE">
              <w:rPr>
                <w:rFonts w:asciiTheme="majorBidi" w:hAnsiTheme="majorBidi" w:cstheme="majorBidi"/>
                <w:sz w:val="20"/>
                <w:szCs w:val="20"/>
                <w:rtl/>
                <w:lang w:bidi="ar-JO"/>
              </w:rPr>
              <w:t>عبد الناصر راجح البعوه المكنى ابو همام</w:t>
            </w:r>
          </w:p>
        </w:tc>
        <w:tc>
          <w:tcPr>
            <w:tcW w:w="2250" w:type="dxa"/>
          </w:tcPr>
          <w:p w14:paraId="2A60B039"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Southern Resistance</w:t>
            </w:r>
            <w:r w:rsidRPr="00B91FAE">
              <w:rPr>
                <w:rStyle w:val="FootnoteReference"/>
                <w:rFonts w:asciiTheme="majorBidi" w:hAnsiTheme="majorBidi" w:cstheme="majorBidi"/>
                <w:sz w:val="20"/>
                <w:szCs w:val="20"/>
                <w:lang w:bidi="ar-JO"/>
              </w:rPr>
              <w:footnoteReference w:id="1534"/>
            </w:r>
          </w:p>
        </w:tc>
        <w:tc>
          <w:tcPr>
            <w:tcW w:w="3960" w:type="dxa"/>
          </w:tcPr>
          <w:p w14:paraId="5A555080"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Supported by UAE</w:t>
            </w:r>
          </w:p>
        </w:tc>
      </w:tr>
    </w:tbl>
    <w:p w14:paraId="4FD8F4B3" w14:textId="77777777" w:rsidR="00EA7E88" w:rsidRPr="00B91FAE" w:rsidRDefault="00EA7E88" w:rsidP="00EA7E88">
      <w:pPr>
        <w:pStyle w:val="ListParagraph"/>
        <w:spacing w:after="160" w:line="259" w:lineRule="auto"/>
        <w:rPr>
          <w:rFonts w:asciiTheme="majorBidi" w:hAnsiTheme="majorBidi" w:cstheme="majorBidi"/>
          <w:b/>
          <w:bCs/>
          <w:sz w:val="20"/>
          <w:szCs w:val="20"/>
        </w:rPr>
      </w:pPr>
    </w:p>
    <w:p w14:paraId="51305762" w14:textId="77777777" w:rsidR="00EA7E88" w:rsidRPr="00B91FAE" w:rsidRDefault="00EA7E88" w:rsidP="00EA7E88">
      <w:pPr>
        <w:pStyle w:val="ListParagraph"/>
        <w:spacing w:after="160" w:line="259" w:lineRule="auto"/>
        <w:rPr>
          <w:rFonts w:asciiTheme="majorBidi" w:hAnsiTheme="majorBidi" w:cstheme="majorBidi"/>
          <w:b/>
          <w:bCs/>
          <w:sz w:val="20"/>
          <w:szCs w:val="20"/>
        </w:rPr>
      </w:pPr>
    </w:p>
    <w:p w14:paraId="46953B12" w14:textId="77777777" w:rsidR="00EA7E88" w:rsidRPr="00B91FAE" w:rsidRDefault="00EA7E88" w:rsidP="00EA7E88">
      <w:pPr>
        <w:pStyle w:val="ListParagraph"/>
        <w:numPr>
          <w:ilvl w:val="0"/>
          <w:numId w:val="32"/>
        </w:numPr>
        <w:spacing w:after="160" w:line="259" w:lineRule="auto"/>
        <w:rPr>
          <w:rFonts w:asciiTheme="majorBidi" w:hAnsiTheme="majorBidi" w:cstheme="majorBidi"/>
          <w:b/>
          <w:bCs/>
          <w:sz w:val="20"/>
          <w:szCs w:val="20"/>
        </w:rPr>
      </w:pPr>
      <w:r w:rsidRPr="00B91FAE">
        <w:rPr>
          <w:rFonts w:asciiTheme="majorBidi" w:hAnsiTheme="majorBidi" w:cstheme="majorBidi"/>
          <w:b/>
          <w:bCs/>
          <w:sz w:val="20"/>
          <w:szCs w:val="20"/>
        </w:rPr>
        <w:t xml:space="preserve">Main Actors in Abyan Governorate </w:t>
      </w:r>
    </w:p>
    <w:tbl>
      <w:tblPr>
        <w:tblStyle w:val="TableGrid1"/>
        <w:tblW w:w="981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
        <w:gridCol w:w="2797"/>
        <w:gridCol w:w="2250"/>
        <w:gridCol w:w="3960"/>
      </w:tblGrid>
      <w:tr w:rsidR="00EA7E88" w:rsidRPr="00B91FAE" w14:paraId="1AA29B71" w14:textId="77777777" w:rsidTr="00162F52">
        <w:tc>
          <w:tcPr>
            <w:tcW w:w="803" w:type="dxa"/>
            <w:tcBorders>
              <w:bottom w:val="single" w:sz="4" w:space="0" w:color="auto"/>
            </w:tcBorders>
            <w:shd w:val="clear" w:color="auto" w:fill="FFFFFF" w:themeFill="background1"/>
          </w:tcPr>
          <w:p w14:paraId="6607EDA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797" w:type="dxa"/>
            <w:tcBorders>
              <w:bottom w:val="single" w:sz="4" w:space="0" w:color="auto"/>
            </w:tcBorders>
            <w:shd w:val="clear" w:color="auto" w:fill="FFFFFF" w:themeFill="background1"/>
          </w:tcPr>
          <w:p w14:paraId="5935819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bottom w:val="single" w:sz="4" w:space="0" w:color="auto"/>
            </w:tcBorders>
            <w:shd w:val="clear" w:color="auto" w:fill="FFFFFF" w:themeFill="background1"/>
          </w:tcPr>
          <w:p w14:paraId="74B8D70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960" w:type="dxa"/>
            <w:tcBorders>
              <w:bottom w:val="single" w:sz="4" w:space="0" w:color="auto"/>
            </w:tcBorders>
            <w:shd w:val="clear" w:color="auto" w:fill="FFFFFF" w:themeFill="background1"/>
          </w:tcPr>
          <w:p w14:paraId="721E976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 remarks</w:t>
            </w:r>
          </w:p>
        </w:tc>
      </w:tr>
      <w:tr w:rsidR="00EA7E88" w:rsidRPr="00B91FAE" w14:paraId="793FAB63" w14:textId="77777777" w:rsidTr="00162F52">
        <w:tc>
          <w:tcPr>
            <w:tcW w:w="803" w:type="dxa"/>
            <w:tcBorders>
              <w:top w:val="single" w:sz="4" w:space="0" w:color="auto"/>
            </w:tcBorders>
          </w:tcPr>
          <w:p w14:paraId="6B31F5D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797" w:type="dxa"/>
            <w:tcBorders>
              <w:top w:val="single" w:sz="4" w:space="0" w:color="auto"/>
            </w:tcBorders>
          </w:tcPr>
          <w:p w14:paraId="76B2523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Abu Baker Hussien Salim</w:t>
            </w:r>
          </w:p>
          <w:p w14:paraId="3208D88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ابو بكر حسين سالم</w:t>
            </w:r>
          </w:p>
          <w:p w14:paraId="18679713" w14:textId="77777777" w:rsidR="00EA7E88" w:rsidRPr="00B91FAE" w:rsidRDefault="00EA7E88" w:rsidP="00162F52">
            <w:pPr>
              <w:rPr>
                <w:rFonts w:asciiTheme="majorBidi" w:hAnsiTheme="majorBidi" w:cstheme="majorBidi"/>
                <w:sz w:val="20"/>
                <w:szCs w:val="20"/>
                <w:rtl/>
                <w:lang w:bidi="ar-JO"/>
              </w:rPr>
            </w:pPr>
          </w:p>
        </w:tc>
        <w:tc>
          <w:tcPr>
            <w:tcW w:w="2250" w:type="dxa"/>
            <w:tcBorders>
              <w:top w:val="single" w:sz="4" w:space="0" w:color="auto"/>
            </w:tcBorders>
          </w:tcPr>
          <w:p w14:paraId="591B7A2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Abyan and Commander of Abyan Axis and 15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Fonts w:asciiTheme="majorBidi" w:hAnsiTheme="majorBidi" w:cstheme="majorBidi"/>
                <w:color w:val="000000"/>
                <w:sz w:val="20"/>
                <w:szCs w:val="20"/>
                <w:vertAlign w:val="superscript"/>
              </w:rPr>
              <w:footnoteReference w:id="1535"/>
            </w:r>
          </w:p>
        </w:tc>
        <w:tc>
          <w:tcPr>
            <w:tcW w:w="3960" w:type="dxa"/>
            <w:tcBorders>
              <w:top w:val="single" w:sz="4" w:space="0" w:color="auto"/>
            </w:tcBorders>
          </w:tcPr>
          <w:p w14:paraId="0E2B457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Axis, Zinjibar, 11 March 2017.</w:t>
            </w:r>
          </w:p>
          <w:p w14:paraId="2D1427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is a professional military officer and served as coastal defence brigade commander for six years</w:t>
            </w:r>
          </w:p>
        </w:tc>
      </w:tr>
      <w:tr w:rsidR="00EA7E88" w:rsidRPr="00B91FAE" w14:paraId="24BE8EFA" w14:textId="77777777" w:rsidTr="00162F52">
        <w:tc>
          <w:tcPr>
            <w:tcW w:w="803" w:type="dxa"/>
          </w:tcPr>
          <w:p w14:paraId="1A9EE58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797" w:type="dxa"/>
          </w:tcPr>
          <w:p w14:paraId="5CD77F78" w14:textId="77777777" w:rsidR="00EA7E88" w:rsidRPr="00B91FAE" w:rsidRDefault="00EA7E88" w:rsidP="00162F52">
            <w:pPr>
              <w:adjustRightInd w:val="0"/>
              <w:spacing w:before="40" w:after="40"/>
              <w:rPr>
                <w:rFonts w:asciiTheme="majorBidi" w:hAnsiTheme="majorBidi" w:cstheme="majorBidi"/>
                <w:sz w:val="20"/>
                <w:szCs w:val="20"/>
                <w:rtl/>
                <w:lang w:bidi="ar-JO"/>
              </w:rPr>
            </w:pPr>
            <w:r w:rsidRPr="00B91FAE">
              <w:rPr>
                <w:rFonts w:asciiTheme="majorBidi" w:hAnsiTheme="majorBidi" w:cstheme="majorBidi"/>
                <w:sz w:val="20"/>
                <w:szCs w:val="20"/>
              </w:rPr>
              <w:t>Brigadier General Mohammad Ahmed Mulhem</w:t>
            </w:r>
          </w:p>
          <w:p w14:paraId="5242173A" w14:textId="77777777" w:rsidR="00EA7E88" w:rsidRPr="00B91FAE" w:rsidRDefault="00EA7E88" w:rsidP="00162F52">
            <w:pPr>
              <w:adjustRightInd w:val="0"/>
              <w:spacing w:before="40" w:after="40"/>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محمد احمد ملهم العميسي</w:t>
            </w:r>
          </w:p>
        </w:tc>
        <w:tc>
          <w:tcPr>
            <w:tcW w:w="2250" w:type="dxa"/>
          </w:tcPr>
          <w:p w14:paraId="4C81F6D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111</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 Commander</w:t>
            </w:r>
            <w:r w:rsidRPr="00B91FAE">
              <w:rPr>
                <w:rStyle w:val="FootnoteReference"/>
                <w:rFonts w:asciiTheme="majorBidi" w:eastAsia="Calibri" w:hAnsiTheme="majorBidi" w:cstheme="majorBidi"/>
                <w:spacing w:val="4"/>
                <w:w w:val="103"/>
                <w:sz w:val="20"/>
                <w:szCs w:val="20"/>
              </w:rPr>
              <w:footnoteReference w:id="1536"/>
            </w:r>
          </w:p>
          <w:p w14:paraId="30E79017" w14:textId="77777777" w:rsidR="00EA7E88" w:rsidRPr="00B91FAE" w:rsidRDefault="00EA7E88" w:rsidP="00162F52">
            <w:pPr>
              <w:rPr>
                <w:rFonts w:asciiTheme="majorBidi" w:hAnsiTheme="majorBidi" w:cstheme="majorBidi"/>
                <w:sz w:val="20"/>
                <w:szCs w:val="20"/>
              </w:rPr>
            </w:pPr>
          </w:p>
        </w:tc>
        <w:tc>
          <w:tcPr>
            <w:tcW w:w="3960" w:type="dxa"/>
          </w:tcPr>
          <w:p w14:paraId="3E8F911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Ahor, Abyan,  6 July 2015</w:t>
            </w:r>
          </w:p>
        </w:tc>
      </w:tr>
      <w:tr w:rsidR="00EA7E88" w:rsidRPr="00B91FAE" w14:paraId="7124BCA6" w14:textId="77777777" w:rsidTr="00162F52">
        <w:tc>
          <w:tcPr>
            <w:tcW w:w="803" w:type="dxa"/>
          </w:tcPr>
          <w:p w14:paraId="3D7FE25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797" w:type="dxa"/>
          </w:tcPr>
          <w:p w14:paraId="6E19FA9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Saif Ali Mohammed al-Qefish</w:t>
            </w:r>
          </w:p>
          <w:p w14:paraId="75AE6E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سيف علي محمد القفيش</w:t>
            </w:r>
          </w:p>
        </w:tc>
        <w:tc>
          <w:tcPr>
            <w:tcW w:w="2250" w:type="dxa"/>
          </w:tcPr>
          <w:p w14:paraId="3FE199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115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Style w:val="FootnoteReference"/>
                <w:rFonts w:asciiTheme="majorBidi" w:hAnsiTheme="majorBidi" w:cstheme="majorBidi"/>
                <w:sz w:val="20"/>
                <w:szCs w:val="20"/>
              </w:rPr>
              <w:footnoteReference w:id="1537"/>
            </w:r>
          </w:p>
        </w:tc>
        <w:tc>
          <w:tcPr>
            <w:tcW w:w="3960" w:type="dxa"/>
          </w:tcPr>
          <w:p w14:paraId="4CBFB2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Abyan Axis Shaqra, </w:t>
            </w:r>
            <w:r w:rsidRPr="00B91FAE">
              <w:rPr>
                <w:rFonts w:asciiTheme="majorBidi" w:hAnsiTheme="majorBidi" w:cstheme="majorBidi"/>
                <w:sz w:val="20"/>
                <w:szCs w:val="20"/>
                <w:lang w:val="en-US"/>
              </w:rPr>
              <w:t>17 March 2018</w:t>
            </w:r>
          </w:p>
        </w:tc>
      </w:tr>
      <w:tr w:rsidR="00EA7E88" w:rsidRPr="00B91FAE" w14:paraId="0036F2BD" w14:textId="77777777" w:rsidTr="00162F52">
        <w:tc>
          <w:tcPr>
            <w:tcW w:w="803" w:type="dxa"/>
          </w:tcPr>
          <w:p w14:paraId="29660FE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797" w:type="dxa"/>
          </w:tcPr>
          <w:p w14:paraId="4B7C3A6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al-Hamzah Ali Salim al-Jadani</w:t>
            </w:r>
          </w:p>
          <w:p w14:paraId="77D8569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الحمزه علي سالم الجعدني</w:t>
            </w:r>
          </w:p>
        </w:tc>
        <w:tc>
          <w:tcPr>
            <w:tcW w:w="2250" w:type="dxa"/>
          </w:tcPr>
          <w:p w14:paraId="417E669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119</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Infantry Brigade</w:t>
            </w:r>
            <w:r w:rsidRPr="00B91FAE">
              <w:rPr>
                <w:rStyle w:val="FootnoteReference"/>
                <w:rFonts w:asciiTheme="majorBidi" w:hAnsiTheme="majorBidi" w:cstheme="majorBidi"/>
                <w:color w:val="000000"/>
                <w:sz w:val="20"/>
                <w:szCs w:val="20"/>
              </w:rPr>
              <w:footnoteReference w:id="1538"/>
            </w:r>
          </w:p>
          <w:p w14:paraId="2931E427" w14:textId="77777777" w:rsidR="00EA7E88" w:rsidRPr="00B91FAE" w:rsidRDefault="00EA7E88" w:rsidP="00162F52">
            <w:pPr>
              <w:rPr>
                <w:rFonts w:asciiTheme="majorBidi" w:hAnsiTheme="majorBidi" w:cstheme="majorBidi"/>
                <w:sz w:val="20"/>
                <w:szCs w:val="20"/>
              </w:rPr>
            </w:pPr>
          </w:p>
        </w:tc>
        <w:tc>
          <w:tcPr>
            <w:tcW w:w="3960" w:type="dxa"/>
          </w:tcPr>
          <w:p w14:paraId="7A0A82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30 March 2018</w:t>
            </w:r>
          </w:p>
        </w:tc>
      </w:tr>
      <w:tr w:rsidR="00EA7E88" w:rsidRPr="00B91FAE" w14:paraId="52CA1A2D" w14:textId="77777777" w:rsidTr="00162F52">
        <w:tc>
          <w:tcPr>
            <w:tcW w:w="803" w:type="dxa"/>
          </w:tcPr>
          <w:p w14:paraId="570AF9E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797" w:type="dxa"/>
          </w:tcPr>
          <w:p w14:paraId="5B20EF93"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Khader al-Nub</w:t>
            </w:r>
            <w:r w:rsidRPr="00B91FAE">
              <w:rPr>
                <w:rFonts w:asciiTheme="majorBidi" w:eastAsia="Calibri" w:hAnsiTheme="majorBidi" w:cstheme="majorBidi"/>
                <w:spacing w:val="4"/>
                <w:w w:val="103"/>
                <w:sz w:val="20"/>
                <w:szCs w:val="20"/>
                <w:vertAlign w:val="superscript"/>
              </w:rPr>
              <w:footnoteReference w:id="1539"/>
            </w:r>
          </w:p>
          <w:p w14:paraId="1993C388" w14:textId="77777777" w:rsidR="00EA7E88" w:rsidRPr="00B91FAE" w:rsidRDefault="00EA7E88" w:rsidP="00162F52">
            <w:pPr>
              <w:autoSpaceDE w:val="0"/>
              <w:autoSpaceDN w:val="0"/>
              <w:adjustRightInd w:val="0"/>
              <w:rPr>
                <w:rFonts w:asciiTheme="majorBidi" w:eastAsia="Calibri" w:hAnsiTheme="majorBidi" w:cstheme="majorBidi"/>
                <w:spacing w:val="4"/>
                <w:w w:val="103"/>
                <w:sz w:val="20"/>
                <w:szCs w:val="20"/>
              </w:rPr>
            </w:pPr>
            <w:r w:rsidRPr="00B91FAE">
              <w:rPr>
                <w:rFonts w:asciiTheme="majorBidi" w:hAnsiTheme="majorBidi" w:cstheme="majorBidi"/>
                <w:sz w:val="20"/>
                <w:szCs w:val="20"/>
                <w:rtl/>
              </w:rPr>
              <w:t>الخضر علي ناصر النوب</w:t>
            </w:r>
          </w:p>
        </w:tc>
        <w:tc>
          <w:tcPr>
            <w:tcW w:w="2250" w:type="dxa"/>
          </w:tcPr>
          <w:p w14:paraId="54C0E5D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Director of General Security</w:t>
            </w:r>
          </w:p>
        </w:tc>
        <w:tc>
          <w:tcPr>
            <w:tcW w:w="3960" w:type="dxa"/>
          </w:tcPr>
          <w:p w14:paraId="073D39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 14 November 2017</w:t>
            </w:r>
          </w:p>
        </w:tc>
      </w:tr>
      <w:tr w:rsidR="00EA7E88" w:rsidRPr="00B91FAE" w14:paraId="25564FB9" w14:textId="77777777" w:rsidTr="00162F52">
        <w:tc>
          <w:tcPr>
            <w:tcW w:w="803" w:type="dxa"/>
          </w:tcPr>
          <w:p w14:paraId="2E5B069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797" w:type="dxa"/>
          </w:tcPr>
          <w:p w14:paraId="7518AB50"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Ali Naser Abu Zaid Ba’azab Abu Mashal al-Kazmi</w:t>
            </w:r>
            <w:r w:rsidRPr="00B91FAE">
              <w:rPr>
                <w:rStyle w:val="FootnoteReference"/>
                <w:rFonts w:asciiTheme="majorBidi" w:hAnsiTheme="majorBidi" w:cstheme="majorBidi"/>
                <w:sz w:val="20"/>
                <w:szCs w:val="20"/>
              </w:rPr>
              <w:footnoteReference w:id="1540"/>
            </w:r>
          </w:p>
          <w:p w14:paraId="4E7121CF"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علي الذئب المكنى ابو مشعل الكازمي</w:t>
            </w:r>
          </w:p>
        </w:tc>
        <w:tc>
          <w:tcPr>
            <w:tcW w:w="2250" w:type="dxa"/>
          </w:tcPr>
          <w:p w14:paraId="652AE4E1"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Director of General Security</w:t>
            </w:r>
          </w:p>
        </w:tc>
        <w:tc>
          <w:tcPr>
            <w:tcW w:w="3960" w:type="dxa"/>
          </w:tcPr>
          <w:p w14:paraId="399B6E0B"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lang w:val="en-US"/>
              </w:rPr>
              <w:t xml:space="preserve">On 20 June 2019 appointed as director of general security of Abyan. </w:t>
            </w:r>
          </w:p>
          <w:p w14:paraId="1AD981D4"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lang w:val="en-US"/>
              </w:rPr>
              <w:t>From the leaders of the southern resistance, worked as a commander of the police station al-Basateen in Aden and deputy of Aden Security Director, Shallal.</w:t>
            </w:r>
          </w:p>
        </w:tc>
      </w:tr>
      <w:tr w:rsidR="00EA7E88" w:rsidRPr="00B91FAE" w14:paraId="043CA594" w14:textId="77777777" w:rsidTr="00162F52">
        <w:tc>
          <w:tcPr>
            <w:tcW w:w="803" w:type="dxa"/>
          </w:tcPr>
          <w:p w14:paraId="7B3D3E6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797" w:type="dxa"/>
          </w:tcPr>
          <w:p w14:paraId="778FD938"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Colonel Abd al-Latif al-Sayyad</w:t>
            </w:r>
            <w:r w:rsidRPr="00B91FAE">
              <w:rPr>
                <w:rFonts w:asciiTheme="majorBidi" w:eastAsia="Calibri" w:hAnsiTheme="majorBidi" w:cstheme="majorBidi"/>
                <w:spacing w:val="4"/>
                <w:w w:val="103"/>
                <w:sz w:val="20"/>
                <w:szCs w:val="20"/>
                <w:vertAlign w:val="superscript"/>
              </w:rPr>
              <w:footnoteReference w:id="1541"/>
            </w:r>
          </w:p>
          <w:p w14:paraId="648D3772"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عبد اللطيف السيد</w:t>
            </w:r>
          </w:p>
        </w:tc>
        <w:tc>
          <w:tcPr>
            <w:tcW w:w="2250" w:type="dxa"/>
          </w:tcPr>
          <w:p w14:paraId="1895053B"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of </w:t>
            </w:r>
          </w:p>
          <w:p w14:paraId="27F662B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Forces</w:t>
            </w:r>
            <w:r w:rsidRPr="00B91FAE">
              <w:rPr>
                <w:rStyle w:val="FootnoteReference"/>
                <w:rFonts w:asciiTheme="majorBidi" w:eastAsia="Calibri" w:hAnsiTheme="majorBidi" w:cstheme="majorBidi"/>
                <w:spacing w:val="4"/>
                <w:w w:val="103"/>
                <w:sz w:val="20"/>
                <w:szCs w:val="20"/>
              </w:rPr>
              <w:footnoteReference w:id="1542"/>
            </w:r>
          </w:p>
          <w:p w14:paraId="32365F8D" w14:textId="77777777" w:rsidR="00EA7E88" w:rsidRPr="00B91FAE" w:rsidRDefault="00EA7E88" w:rsidP="00162F52">
            <w:pPr>
              <w:rPr>
                <w:rFonts w:asciiTheme="majorBidi" w:hAnsiTheme="majorBidi" w:cstheme="majorBidi"/>
                <w:sz w:val="20"/>
                <w:szCs w:val="20"/>
              </w:rPr>
            </w:pPr>
          </w:p>
        </w:tc>
        <w:tc>
          <w:tcPr>
            <w:tcW w:w="3960" w:type="dxa"/>
          </w:tcPr>
          <w:p w14:paraId="6AFC5FDD"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Abyan, Mid-2016</w:t>
            </w:r>
          </w:p>
          <w:p w14:paraId="6EF6919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Southern Resistance leader, He played a prominent role in fighting al-Qaeda and defending Aden and Abyan during the Houthi-Saleh attack. </w:t>
            </w:r>
          </w:p>
        </w:tc>
      </w:tr>
      <w:tr w:rsidR="00EA7E88" w:rsidRPr="00B91FAE" w14:paraId="48E756FC" w14:textId="77777777" w:rsidTr="00162F52">
        <w:tc>
          <w:tcPr>
            <w:tcW w:w="803" w:type="dxa"/>
          </w:tcPr>
          <w:p w14:paraId="25A8D025" w14:textId="77777777" w:rsidR="00EA7E88" w:rsidRPr="00B91FAE" w:rsidRDefault="00EA7E88" w:rsidP="00162F52">
            <w:pPr>
              <w:jc w:val="center"/>
              <w:rPr>
                <w:rFonts w:asciiTheme="majorBidi" w:hAnsiTheme="majorBidi" w:cstheme="majorBidi"/>
                <w:sz w:val="20"/>
                <w:szCs w:val="20"/>
                <w:rtl/>
                <w:lang w:bidi="ar-JO"/>
              </w:rPr>
            </w:pPr>
            <w:r w:rsidRPr="00B91FAE">
              <w:rPr>
                <w:rFonts w:asciiTheme="majorBidi" w:hAnsiTheme="majorBidi" w:cstheme="majorBidi"/>
                <w:sz w:val="20"/>
                <w:szCs w:val="20"/>
              </w:rPr>
              <w:t>8</w:t>
            </w:r>
          </w:p>
        </w:tc>
        <w:tc>
          <w:tcPr>
            <w:tcW w:w="2797" w:type="dxa"/>
          </w:tcPr>
          <w:p w14:paraId="5845E9D1"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Pr>
              <w:t>Lieutenant Colonel Mohammed al-Oban</w:t>
            </w:r>
          </w:p>
        </w:tc>
        <w:tc>
          <w:tcPr>
            <w:tcW w:w="2250" w:type="dxa"/>
          </w:tcPr>
          <w:p w14:paraId="0D27D09E"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Deputy Commander of Security Belt Forces</w:t>
            </w:r>
            <w:r w:rsidRPr="00B91FAE">
              <w:rPr>
                <w:rFonts w:asciiTheme="majorBidi" w:hAnsiTheme="majorBidi" w:cstheme="majorBidi"/>
                <w:sz w:val="20"/>
                <w:szCs w:val="20"/>
                <w:vertAlign w:val="superscript"/>
              </w:rPr>
              <w:footnoteReference w:id="1543"/>
            </w:r>
          </w:p>
        </w:tc>
        <w:tc>
          <w:tcPr>
            <w:tcW w:w="3960" w:type="dxa"/>
          </w:tcPr>
          <w:p w14:paraId="4B7B012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Abyan</w:t>
            </w:r>
          </w:p>
        </w:tc>
      </w:tr>
    </w:tbl>
    <w:p w14:paraId="6E00CF05" w14:textId="77777777" w:rsidR="00EA7E88" w:rsidRPr="00B91FAE" w:rsidRDefault="00EA7E88" w:rsidP="00EA7E88">
      <w:pPr>
        <w:rPr>
          <w:rFonts w:asciiTheme="majorBidi" w:hAnsiTheme="majorBidi" w:cstheme="majorBidi"/>
          <w:b/>
          <w:bCs/>
        </w:rPr>
      </w:pPr>
    </w:p>
    <w:p w14:paraId="3012EBFA" w14:textId="77777777" w:rsidR="00EA7E88" w:rsidRPr="00B91FAE" w:rsidRDefault="00EA7E88" w:rsidP="00EA7E88">
      <w:pPr>
        <w:rPr>
          <w:rFonts w:asciiTheme="majorBidi" w:hAnsiTheme="majorBidi" w:cstheme="majorBidi"/>
          <w:b/>
          <w:bCs/>
        </w:rPr>
      </w:pPr>
    </w:p>
    <w:p w14:paraId="60F3A4B8" w14:textId="77777777" w:rsidR="00EA7E88" w:rsidRPr="00B91FAE" w:rsidRDefault="00EA7E88" w:rsidP="00EA7E88">
      <w:pPr>
        <w:rPr>
          <w:rFonts w:asciiTheme="majorBidi" w:hAnsiTheme="majorBidi" w:cstheme="majorBidi"/>
          <w:b/>
          <w:bCs/>
        </w:rPr>
      </w:pPr>
    </w:p>
    <w:p w14:paraId="7E030AF2" w14:textId="77777777" w:rsidR="00EA7E88" w:rsidRPr="00B91FAE" w:rsidRDefault="00EA7E88" w:rsidP="00EA7E88">
      <w:pPr>
        <w:rPr>
          <w:rFonts w:asciiTheme="majorBidi" w:hAnsiTheme="majorBidi" w:cstheme="majorBidi"/>
          <w:b/>
          <w:bCs/>
        </w:rPr>
      </w:pPr>
    </w:p>
    <w:p w14:paraId="55C7D987" w14:textId="77777777" w:rsidR="00EA7E88" w:rsidRPr="00B91FAE" w:rsidRDefault="00EA7E88" w:rsidP="00EA7E88">
      <w:pPr>
        <w:rPr>
          <w:rFonts w:asciiTheme="majorBidi" w:hAnsiTheme="majorBidi" w:cstheme="majorBidi"/>
          <w:b/>
          <w:bCs/>
        </w:rPr>
      </w:pPr>
    </w:p>
    <w:p w14:paraId="6EF0F45F" w14:textId="77777777" w:rsidR="00EA7E88" w:rsidRPr="00B91FAE" w:rsidRDefault="00EA7E88" w:rsidP="00EA7E88">
      <w:pPr>
        <w:rPr>
          <w:rFonts w:asciiTheme="majorBidi" w:hAnsiTheme="majorBidi" w:cstheme="majorBidi"/>
          <w:b/>
          <w:bCs/>
        </w:rPr>
      </w:pPr>
    </w:p>
    <w:p w14:paraId="2CDBC2AB" w14:textId="77777777" w:rsidR="00EA7E88" w:rsidRPr="00B91FAE" w:rsidRDefault="00EA7E88" w:rsidP="00EA7E88">
      <w:pPr>
        <w:rPr>
          <w:rFonts w:asciiTheme="majorBidi" w:hAnsiTheme="majorBidi" w:cstheme="majorBidi"/>
          <w:b/>
          <w:bCs/>
        </w:rPr>
      </w:pPr>
      <w:r w:rsidRPr="00B91FAE">
        <w:rPr>
          <w:rFonts w:asciiTheme="majorBidi" w:hAnsiTheme="majorBidi" w:cstheme="majorBidi"/>
          <w:b/>
          <w:bCs/>
        </w:rPr>
        <w:t>e.    Main Actors in Lahj Governorate</w:t>
      </w:r>
    </w:p>
    <w:tbl>
      <w:tblPr>
        <w:tblStyle w:val="TableGrid1"/>
        <w:tblW w:w="966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
        <w:gridCol w:w="2682"/>
        <w:gridCol w:w="2206"/>
        <w:gridCol w:w="3849"/>
      </w:tblGrid>
      <w:tr w:rsidR="00EA7E88" w:rsidRPr="00B91FAE" w14:paraId="366643AE" w14:textId="77777777" w:rsidTr="00162F52">
        <w:tc>
          <w:tcPr>
            <w:tcW w:w="923" w:type="dxa"/>
            <w:tcBorders>
              <w:bottom w:val="single" w:sz="4" w:space="0" w:color="auto"/>
            </w:tcBorders>
            <w:shd w:val="clear" w:color="auto" w:fill="FFFFFF" w:themeFill="background1"/>
          </w:tcPr>
          <w:p w14:paraId="05C7F22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62A1F92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7ADFC9A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7647AA89"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71BE5514" w14:textId="77777777" w:rsidTr="00162F52">
        <w:trPr>
          <w:trHeight w:val="729"/>
        </w:trPr>
        <w:tc>
          <w:tcPr>
            <w:tcW w:w="923" w:type="dxa"/>
            <w:tcBorders>
              <w:top w:val="single" w:sz="4" w:space="0" w:color="auto"/>
            </w:tcBorders>
          </w:tcPr>
          <w:p w14:paraId="0C3F321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1</w:t>
            </w:r>
          </w:p>
        </w:tc>
        <w:tc>
          <w:tcPr>
            <w:tcW w:w="2682" w:type="dxa"/>
            <w:tcBorders>
              <w:top w:val="single" w:sz="4" w:space="0" w:color="auto"/>
            </w:tcBorders>
          </w:tcPr>
          <w:p w14:paraId="6F70976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Brigadier General Ahmed Abdullah al-Turky</w:t>
            </w:r>
          </w:p>
          <w:p w14:paraId="4D6E4E5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احمد عبدالله التركي</w:t>
            </w:r>
          </w:p>
        </w:tc>
        <w:tc>
          <w:tcPr>
            <w:tcW w:w="2206" w:type="dxa"/>
            <w:tcBorders>
              <w:top w:val="single" w:sz="4" w:space="0" w:color="auto"/>
            </w:tcBorders>
          </w:tcPr>
          <w:p w14:paraId="1BBF874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Lahj and Commander of the 17th Infantry Brigade</w:t>
            </w:r>
            <w:r w:rsidRPr="00B91FAE">
              <w:rPr>
                <w:rStyle w:val="FootnoteReference"/>
                <w:rFonts w:asciiTheme="majorBidi" w:hAnsiTheme="majorBidi" w:cstheme="majorBidi"/>
                <w:sz w:val="20"/>
                <w:szCs w:val="20"/>
              </w:rPr>
              <w:footnoteReference w:id="1544"/>
            </w:r>
          </w:p>
          <w:p w14:paraId="1DB50FA0" w14:textId="77777777" w:rsidR="00EA7E88" w:rsidRPr="00B91FAE" w:rsidRDefault="00EA7E88" w:rsidP="00162F52">
            <w:pPr>
              <w:rPr>
                <w:rFonts w:asciiTheme="majorBidi" w:hAnsiTheme="majorBidi" w:cstheme="majorBidi"/>
                <w:sz w:val="20"/>
                <w:szCs w:val="20"/>
                <w:rtl/>
                <w:lang w:bidi="ar-JO"/>
              </w:rPr>
            </w:pPr>
          </w:p>
        </w:tc>
        <w:tc>
          <w:tcPr>
            <w:tcW w:w="3849" w:type="dxa"/>
            <w:tcBorders>
              <w:top w:val="single" w:sz="4" w:space="0" w:color="auto"/>
            </w:tcBorders>
          </w:tcPr>
          <w:p w14:paraId="4625316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bidi="ar-JO"/>
              </w:rPr>
              <w:t>Lahij</w:t>
            </w:r>
            <w:r w:rsidRPr="00B91FAE">
              <w:rPr>
                <w:rFonts w:asciiTheme="majorBidi" w:hAnsiTheme="majorBidi" w:cstheme="majorBidi"/>
                <w:sz w:val="20"/>
                <w:szCs w:val="20"/>
                <w:lang w:val="en-US" w:bidi="ar-JO"/>
              </w:rPr>
              <w:t xml:space="preserve">, Hafan, </w:t>
            </w:r>
            <w:r w:rsidRPr="00B91FAE">
              <w:rPr>
                <w:rFonts w:asciiTheme="majorBidi" w:hAnsiTheme="majorBidi" w:cstheme="majorBidi"/>
                <w:sz w:val="20"/>
                <w:szCs w:val="20"/>
                <w:lang w:val="en-US"/>
              </w:rPr>
              <w:t>24 December 2017</w:t>
            </w:r>
          </w:p>
          <w:p w14:paraId="1BE468A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Professional military officer</w:t>
            </w:r>
          </w:p>
          <w:p w14:paraId="248F7F4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Played a prominent role in the liberation of al-Anad base in 2015 through his leadership of the resistance</w:t>
            </w:r>
          </w:p>
          <w:p w14:paraId="30135C07"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7FB4D98F" w14:textId="77777777" w:rsidTr="00162F52">
        <w:tc>
          <w:tcPr>
            <w:tcW w:w="923" w:type="dxa"/>
          </w:tcPr>
          <w:p w14:paraId="2DD2C69E"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2</w:t>
            </w:r>
          </w:p>
        </w:tc>
        <w:tc>
          <w:tcPr>
            <w:tcW w:w="2682" w:type="dxa"/>
          </w:tcPr>
          <w:p w14:paraId="0A1A7A09"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Saleh al-Sayyed</w:t>
            </w:r>
            <w:r w:rsidRPr="00B91FAE">
              <w:rPr>
                <w:rStyle w:val="FootnoteReference"/>
                <w:rFonts w:asciiTheme="majorBidi" w:hAnsiTheme="majorBidi" w:cstheme="majorBidi"/>
                <w:sz w:val="20"/>
                <w:szCs w:val="20"/>
              </w:rPr>
              <w:footnoteReference w:id="1545"/>
            </w:r>
          </w:p>
          <w:p w14:paraId="34C86E8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صالح السيد</w:t>
            </w:r>
          </w:p>
          <w:p w14:paraId="08461BC6" w14:textId="77777777" w:rsidR="00EA7E88" w:rsidRPr="00B91FAE" w:rsidRDefault="00EA7E88" w:rsidP="00162F52">
            <w:pPr>
              <w:rPr>
                <w:rFonts w:asciiTheme="majorBidi" w:hAnsiTheme="majorBidi" w:cstheme="majorBidi"/>
                <w:sz w:val="20"/>
                <w:szCs w:val="20"/>
                <w:rtl/>
                <w:lang w:bidi="ar-JO"/>
              </w:rPr>
            </w:pPr>
          </w:p>
        </w:tc>
        <w:tc>
          <w:tcPr>
            <w:tcW w:w="2206" w:type="dxa"/>
          </w:tcPr>
          <w:p w14:paraId="04A43AC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Director</w:t>
            </w:r>
          </w:p>
          <w:p w14:paraId="2B6F681E" w14:textId="77777777" w:rsidR="00EA7E88" w:rsidRPr="00B91FAE" w:rsidRDefault="00EA7E88" w:rsidP="00162F52">
            <w:pPr>
              <w:rPr>
                <w:rFonts w:asciiTheme="majorBidi" w:hAnsiTheme="majorBidi" w:cstheme="majorBidi"/>
                <w:sz w:val="20"/>
                <w:szCs w:val="20"/>
              </w:rPr>
            </w:pPr>
          </w:p>
        </w:tc>
        <w:tc>
          <w:tcPr>
            <w:tcW w:w="3849" w:type="dxa"/>
          </w:tcPr>
          <w:p w14:paraId="6BFA047D"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rPr>
              <w:t xml:space="preserve">Lahij, </w:t>
            </w:r>
            <w:r w:rsidRPr="00B91FAE">
              <w:rPr>
                <w:rFonts w:asciiTheme="majorBidi" w:hAnsiTheme="majorBidi" w:cstheme="majorBidi"/>
                <w:sz w:val="20"/>
                <w:szCs w:val="20"/>
                <w:lang w:val="en-US"/>
              </w:rPr>
              <w:t>20 November 2016</w:t>
            </w:r>
          </w:p>
          <w:p w14:paraId="718B1516"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participated in the liberation of Aden and Lahij in 2015 after returning from Saudi Arabia.</w:t>
            </w:r>
          </w:p>
        </w:tc>
      </w:tr>
      <w:tr w:rsidR="00EA7E88" w:rsidRPr="00B91FAE" w14:paraId="356A19B7" w14:textId="77777777" w:rsidTr="00162F52">
        <w:tc>
          <w:tcPr>
            <w:tcW w:w="923" w:type="dxa"/>
          </w:tcPr>
          <w:p w14:paraId="580B4ACB"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3</w:t>
            </w:r>
          </w:p>
        </w:tc>
        <w:tc>
          <w:tcPr>
            <w:tcW w:w="2682" w:type="dxa"/>
          </w:tcPr>
          <w:p w14:paraId="444133B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Jalal Nasser al-Rubaie</w:t>
            </w:r>
          </w:p>
          <w:p w14:paraId="146A223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جلال ناصر الربيعي</w:t>
            </w:r>
          </w:p>
        </w:tc>
        <w:tc>
          <w:tcPr>
            <w:tcW w:w="2206" w:type="dxa"/>
          </w:tcPr>
          <w:p w14:paraId="46AF61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Belt Commander</w:t>
            </w:r>
            <w:r w:rsidRPr="00B91FAE">
              <w:rPr>
                <w:rStyle w:val="FootnoteReference"/>
                <w:rFonts w:asciiTheme="majorBidi" w:hAnsiTheme="majorBidi" w:cstheme="majorBidi"/>
                <w:sz w:val="20"/>
                <w:szCs w:val="20"/>
              </w:rPr>
              <w:footnoteReference w:id="1546"/>
            </w:r>
          </w:p>
          <w:p w14:paraId="514CF261" w14:textId="77777777" w:rsidR="00EA7E88" w:rsidRPr="00B91FAE" w:rsidRDefault="00EA7E88" w:rsidP="00162F52">
            <w:pPr>
              <w:rPr>
                <w:rFonts w:asciiTheme="majorBidi" w:hAnsiTheme="majorBidi" w:cstheme="majorBidi"/>
                <w:sz w:val="20"/>
                <w:szCs w:val="20"/>
              </w:rPr>
            </w:pPr>
          </w:p>
        </w:tc>
        <w:tc>
          <w:tcPr>
            <w:tcW w:w="3849" w:type="dxa"/>
          </w:tcPr>
          <w:p w14:paraId="0FFB43F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Lahij, </w:t>
            </w:r>
            <w:r w:rsidRPr="00B91FAE">
              <w:rPr>
                <w:rFonts w:asciiTheme="majorBidi" w:hAnsiTheme="majorBidi" w:cstheme="majorBidi"/>
                <w:sz w:val="20"/>
                <w:szCs w:val="20"/>
                <w:lang w:val="en-US" w:bidi="ar-JO"/>
              </w:rPr>
              <w:t>22 December 2018</w:t>
            </w:r>
          </w:p>
        </w:tc>
      </w:tr>
      <w:tr w:rsidR="00EA7E88" w:rsidRPr="00B91FAE" w14:paraId="2DB36571" w14:textId="77777777" w:rsidTr="00162F52">
        <w:tc>
          <w:tcPr>
            <w:tcW w:w="923" w:type="dxa"/>
          </w:tcPr>
          <w:p w14:paraId="42695E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82" w:type="dxa"/>
          </w:tcPr>
          <w:p w14:paraId="5F6B244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Colonel Hader al-Shukhaty</w:t>
            </w:r>
          </w:p>
          <w:p w14:paraId="2C5AA50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العقيد هدار الشوحطي</w:t>
            </w:r>
          </w:p>
        </w:tc>
        <w:tc>
          <w:tcPr>
            <w:tcW w:w="2206" w:type="dxa"/>
          </w:tcPr>
          <w:p w14:paraId="2C791DF0"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w:t>
            </w:r>
          </w:p>
          <w:p w14:paraId="3D7E3C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Support Brigade</w:t>
            </w:r>
            <w:r w:rsidRPr="00B91FAE">
              <w:rPr>
                <w:rStyle w:val="FootnoteReference"/>
                <w:rFonts w:asciiTheme="majorBidi" w:hAnsiTheme="majorBidi" w:cstheme="majorBidi"/>
                <w:sz w:val="20"/>
                <w:szCs w:val="20"/>
              </w:rPr>
              <w:footnoteReference w:id="1547"/>
            </w:r>
          </w:p>
          <w:p w14:paraId="2EDE436E" w14:textId="77777777" w:rsidR="00EA7E88" w:rsidRPr="00B91FAE" w:rsidRDefault="00EA7E88" w:rsidP="00162F52">
            <w:pPr>
              <w:rPr>
                <w:rFonts w:asciiTheme="majorBidi" w:hAnsiTheme="majorBidi" w:cstheme="majorBidi"/>
                <w:sz w:val="20"/>
                <w:szCs w:val="20"/>
              </w:rPr>
            </w:pPr>
          </w:p>
        </w:tc>
        <w:tc>
          <w:tcPr>
            <w:tcW w:w="3849" w:type="dxa"/>
          </w:tcPr>
          <w:p w14:paraId="1FCD9AA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Lahij, al-Rebat</w:t>
            </w:r>
          </w:p>
        </w:tc>
      </w:tr>
      <w:tr w:rsidR="00EA7E88" w:rsidRPr="00B91FAE" w14:paraId="39339E6F" w14:textId="77777777" w:rsidTr="00162F52">
        <w:tc>
          <w:tcPr>
            <w:tcW w:w="923" w:type="dxa"/>
          </w:tcPr>
          <w:p w14:paraId="5647794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82" w:type="dxa"/>
          </w:tcPr>
          <w:p w14:paraId="0F04F28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Colonel Mukhtar al-Nubi</w:t>
            </w:r>
          </w:p>
          <w:p w14:paraId="4BD945C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العقيد مختار النوبي</w:t>
            </w:r>
          </w:p>
        </w:tc>
        <w:tc>
          <w:tcPr>
            <w:tcW w:w="2206" w:type="dxa"/>
          </w:tcPr>
          <w:p w14:paraId="69563B6E" w14:textId="77777777" w:rsidR="00EA7E88" w:rsidRPr="00B91FAE" w:rsidRDefault="00EA7E88" w:rsidP="00162F52">
            <w:pPr>
              <w:adjustRightInd w:val="0"/>
              <w:spacing w:before="40" w:after="40"/>
              <w:rPr>
                <w:rFonts w:asciiTheme="majorBidi" w:hAnsiTheme="majorBidi" w:cstheme="majorBidi"/>
                <w:sz w:val="20"/>
                <w:szCs w:val="20"/>
              </w:rPr>
            </w:pPr>
            <w:r w:rsidRPr="00B91FAE">
              <w:rPr>
                <w:rFonts w:asciiTheme="majorBidi" w:hAnsiTheme="majorBidi" w:cstheme="majorBidi"/>
                <w:sz w:val="20"/>
                <w:szCs w:val="20"/>
              </w:rPr>
              <w:t xml:space="preserve">Commander </w:t>
            </w:r>
          </w:p>
          <w:p w14:paraId="2C32D2E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5th Support Brigade</w:t>
            </w:r>
            <w:r w:rsidRPr="00B91FAE">
              <w:rPr>
                <w:rStyle w:val="FootnoteReference"/>
                <w:rFonts w:asciiTheme="majorBidi" w:hAnsiTheme="majorBidi" w:cstheme="majorBidi"/>
                <w:sz w:val="20"/>
                <w:szCs w:val="20"/>
              </w:rPr>
              <w:footnoteReference w:id="1548"/>
            </w:r>
          </w:p>
          <w:p w14:paraId="34D125D5" w14:textId="77777777" w:rsidR="00EA7E88" w:rsidRPr="00B91FAE" w:rsidRDefault="00EA7E88" w:rsidP="00162F52">
            <w:pPr>
              <w:rPr>
                <w:rFonts w:asciiTheme="majorBidi" w:hAnsiTheme="majorBidi" w:cstheme="majorBidi"/>
                <w:sz w:val="20"/>
                <w:szCs w:val="20"/>
              </w:rPr>
            </w:pPr>
          </w:p>
          <w:p w14:paraId="56A52E46" w14:textId="77777777" w:rsidR="00EA7E88" w:rsidRPr="00B91FAE" w:rsidRDefault="00EA7E88" w:rsidP="00162F52">
            <w:pPr>
              <w:rPr>
                <w:rFonts w:asciiTheme="majorBidi" w:hAnsiTheme="majorBidi" w:cstheme="majorBidi"/>
                <w:sz w:val="20"/>
                <w:szCs w:val="20"/>
              </w:rPr>
            </w:pPr>
          </w:p>
        </w:tc>
        <w:tc>
          <w:tcPr>
            <w:tcW w:w="3849" w:type="dxa"/>
          </w:tcPr>
          <w:p w14:paraId="19ED21B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Lahij</w:t>
            </w:r>
          </w:p>
        </w:tc>
      </w:tr>
      <w:tr w:rsidR="00EA7E88" w:rsidRPr="00B91FAE" w14:paraId="70BB4E39" w14:textId="77777777" w:rsidTr="00162F52">
        <w:tc>
          <w:tcPr>
            <w:tcW w:w="923" w:type="dxa"/>
          </w:tcPr>
          <w:p w14:paraId="0C51D534" w14:textId="77777777" w:rsidR="00EA7E88" w:rsidRPr="00B91FAE" w:rsidRDefault="00EA7E88" w:rsidP="00162F52">
            <w:pPr>
              <w:jc w:val="center"/>
              <w:rPr>
                <w:rFonts w:asciiTheme="majorBidi" w:hAnsiTheme="majorBidi" w:cstheme="majorBidi"/>
              </w:rPr>
            </w:pPr>
          </w:p>
        </w:tc>
        <w:tc>
          <w:tcPr>
            <w:tcW w:w="2682" w:type="dxa"/>
          </w:tcPr>
          <w:p w14:paraId="3A6CED4E" w14:textId="77777777" w:rsidR="00EA7E88" w:rsidRPr="00B91FAE" w:rsidRDefault="00EA7E88" w:rsidP="00162F52">
            <w:pPr>
              <w:rPr>
                <w:rFonts w:asciiTheme="majorBidi" w:hAnsiTheme="majorBidi" w:cstheme="majorBidi"/>
              </w:rPr>
            </w:pPr>
          </w:p>
        </w:tc>
        <w:tc>
          <w:tcPr>
            <w:tcW w:w="2206" w:type="dxa"/>
          </w:tcPr>
          <w:p w14:paraId="7FD892C3" w14:textId="77777777" w:rsidR="00EA7E88" w:rsidRPr="00B91FAE" w:rsidRDefault="00EA7E88" w:rsidP="00162F52">
            <w:pPr>
              <w:adjustRightInd w:val="0"/>
              <w:spacing w:before="40" w:after="40"/>
              <w:rPr>
                <w:rFonts w:asciiTheme="majorBidi" w:hAnsiTheme="majorBidi" w:cstheme="majorBidi"/>
              </w:rPr>
            </w:pPr>
          </w:p>
        </w:tc>
        <w:tc>
          <w:tcPr>
            <w:tcW w:w="3849" w:type="dxa"/>
          </w:tcPr>
          <w:p w14:paraId="32834358" w14:textId="77777777" w:rsidR="00EA7E88" w:rsidRPr="00B91FAE" w:rsidRDefault="00EA7E88" w:rsidP="00162F52">
            <w:pPr>
              <w:rPr>
                <w:rFonts w:asciiTheme="majorBidi" w:hAnsiTheme="majorBidi" w:cstheme="majorBidi"/>
              </w:rPr>
            </w:pPr>
          </w:p>
        </w:tc>
      </w:tr>
      <w:tr w:rsidR="00EA7E88" w:rsidRPr="00B91FAE" w14:paraId="20A6CDAB" w14:textId="77777777" w:rsidTr="00162F52">
        <w:tc>
          <w:tcPr>
            <w:tcW w:w="9660" w:type="dxa"/>
            <w:gridSpan w:val="4"/>
          </w:tcPr>
          <w:p w14:paraId="5CB4D6F1"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f.  Main Actors in Shabwah Governorate</w:t>
            </w:r>
          </w:p>
        </w:tc>
      </w:tr>
      <w:tr w:rsidR="00EA7E88" w:rsidRPr="00B91FAE" w14:paraId="544C0045" w14:textId="77777777" w:rsidTr="00162F52">
        <w:tc>
          <w:tcPr>
            <w:tcW w:w="923" w:type="dxa"/>
            <w:tcBorders>
              <w:bottom w:val="single" w:sz="4" w:space="0" w:color="auto"/>
            </w:tcBorders>
            <w:shd w:val="clear" w:color="auto" w:fill="FFFFFF" w:themeFill="background1"/>
          </w:tcPr>
          <w:p w14:paraId="3A2CE519"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82" w:type="dxa"/>
            <w:tcBorders>
              <w:bottom w:val="single" w:sz="4" w:space="0" w:color="auto"/>
            </w:tcBorders>
            <w:shd w:val="clear" w:color="auto" w:fill="FFFFFF" w:themeFill="background1"/>
          </w:tcPr>
          <w:p w14:paraId="675DD0F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06" w:type="dxa"/>
            <w:tcBorders>
              <w:bottom w:val="single" w:sz="4" w:space="0" w:color="auto"/>
            </w:tcBorders>
            <w:shd w:val="clear" w:color="auto" w:fill="FFFFFF" w:themeFill="background1"/>
          </w:tcPr>
          <w:p w14:paraId="1526684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49" w:type="dxa"/>
            <w:tcBorders>
              <w:bottom w:val="single" w:sz="4" w:space="0" w:color="auto"/>
            </w:tcBorders>
            <w:shd w:val="clear" w:color="auto" w:fill="FFFFFF" w:themeFill="background1"/>
          </w:tcPr>
          <w:p w14:paraId="7D7A34E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1EB4E7A9" w14:textId="77777777" w:rsidTr="00162F52">
        <w:tc>
          <w:tcPr>
            <w:tcW w:w="923" w:type="dxa"/>
            <w:tcBorders>
              <w:top w:val="single" w:sz="4" w:space="0" w:color="auto"/>
            </w:tcBorders>
          </w:tcPr>
          <w:p w14:paraId="02B3313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82" w:type="dxa"/>
            <w:tcBorders>
              <w:top w:val="single" w:sz="4" w:space="0" w:color="auto"/>
            </w:tcBorders>
          </w:tcPr>
          <w:p w14:paraId="2F738570"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Brigadier General Azeez Naser al-‘Atiqi</w:t>
            </w:r>
            <w:r w:rsidRPr="00B91FAE">
              <w:rPr>
                <w:rFonts w:asciiTheme="majorBidi" w:eastAsia="Times New Roman" w:hAnsiTheme="majorBidi" w:cstheme="majorBidi"/>
                <w:color w:val="222222"/>
                <w:sz w:val="20"/>
                <w:szCs w:val="20"/>
                <w:vertAlign w:val="superscript"/>
                <w:lang w:eastAsia="en-GB" w:bidi="ar"/>
              </w:rPr>
              <w:footnoteReference w:id="1549"/>
            </w:r>
          </w:p>
          <w:p w14:paraId="7DD2E29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العميد عزيز ناصر العتيقي</w:t>
            </w:r>
          </w:p>
        </w:tc>
        <w:tc>
          <w:tcPr>
            <w:tcW w:w="2206" w:type="dxa"/>
            <w:tcBorders>
              <w:top w:val="single" w:sz="4" w:space="0" w:color="auto"/>
            </w:tcBorders>
          </w:tcPr>
          <w:p w14:paraId="1E4BC7F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Atiq Axis commander and 30th Infantry Brigade commander</w:t>
            </w:r>
            <w:r w:rsidRPr="00B91FAE">
              <w:rPr>
                <w:rStyle w:val="FootnoteReference"/>
                <w:rFonts w:asciiTheme="majorBidi" w:hAnsiTheme="majorBidi" w:cstheme="majorBidi"/>
                <w:sz w:val="20"/>
                <w:szCs w:val="20"/>
              </w:rPr>
              <w:footnoteReference w:id="1550"/>
            </w:r>
          </w:p>
          <w:p w14:paraId="5C4269F3" w14:textId="77777777" w:rsidR="00EA7E88" w:rsidRPr="00B91FAE" w:rsidRDefault="00EA7E88" w:rsidP="00162F52">
            <w:pPr>
              <w:rPr>
                <w:rFonts w:asciiTheme="majorBidi" w:hAnsiTheme="majorBidi" w:cstheme="majorBidi"/>
                <w:sz w:val="20"/>
                <w:szCs w:val="20"/>
              </w:rPr>
            </w:pPr>
          </w:p>
        </w:tc>
        <w:tc>
          <w:tcPr>
            <w:tcW w:w="3849" w:type="dxa"/>
            <w:tcBorders>
              <w:top w:val="single" w:sz="4" w:space="0" w:color="auto"/>
            </w:tcBorders>
          </w:tcPr>
          <w:p w14:paraId="7AE783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Atiq, January 2017</w:t>
            </w:r>
          </w:p>
        </w:tc>
      </w:tr>
      <w:tr w:rsidR="00EA7E88" w:rsidRPr="00B91FAE" w14:paraId="252CB205" w14:textId="77777777" w:rsidTr="00162F52">
        <w:tc>
          <w:tcPr>
            <w:tcW w:w="923" w:type="dxa"/>
          </w:tcPr>
          <w:p w14:paraId="1D2812B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682" w:type="dxa"/>
          </w:tcPr>
          <w:p w14:paraId="2561D10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lang w:val="en-US"/>
              </w:rPr>
              <w:t xml:space="preserve">Brig. Gen. </w:t>
            </w:r>
            <w:r w:rsidRPr="00B91FAE">
              <w:rPr>
                <w:rFonts w:asciiTheme="majorBidi" w:hAnsiTheme="majorBidi" w:cstheme="majorBidi"/>
                <w:sz w:val="20"/>
                <w:szCs w:val="20"/>
              </w:rPr>
              <w:t xml:space="preserve">Awad Massod Al Dahboul </w:t>
            </w:r>
            <w:r w:rsidRPr="00B91FAE">
              <w:rPr>
                <w:rStyle w:val="FootnoteReference"/>
                <w:rFonts w:asciiTheme="majorBidi" w:hAnsiTheme="majorBidi" w:cstheme="majorBidi"/>
                <w:sz w:val="20"/>
                <w:szCs w:val="20"/>
              </w:rPr>
              <w:footnoteReference w:id="1551"/>
            </w:r>
          </w:p>
          <w:p w14:paraId="349D441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عوض مسعود الحبول</w:t>
            </w:r>
          </w:p>
          <w:p w14:paraId="104965C5" w14:textId="77777777" w:rsidR="00EA7E88" w:rsidRPr="00B91FAE" w:rsidRDefault="00EA7E88" w:rsidP="00162F52">
            <w:pPr>
              <w:rPr>
                <w:rFonts w:asciiTheme="majorBidi" w:hAnsiTheme="majorBidi" w:cstheme="majorBidi"/>
                <w:sz w:val="20"/>
                <w:szCs w:val="20"/>
              </w:rPr>
            </w:pPr>
          </w:p>
        </w:tc>
        <w:tc>
          <w:tcPr>
            <w:tcW w:w="2206" w:type="dxa"/>
          </w:tcPr>
          <w:p w14:paraId="6AD1FA6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Security Director</w:t>
            </w:r>
          </w:p>
          <w:p w14:paraId="147F1D7A" w14:textId="77777777" w:rsidR="00EA7E88" w:rsidRPr="00B91FAE" w:rsidRDefault="00EA7E88" w:rsidP="00162F52">
            <w:pPr>
              <w:rPr>
                <w:rFonts w:asciiTheme="majorBidi" w:hAnsiTheme="majorBidi" w:cstheme="majorBidi"/>
                <w:sz w:val="20"/>
                <w:szCs w:val="20"/>
              </w:rPr>
            </w:pPr>
          </w:p>
        </w:tc>
        <w:tc>
          <w:tcPr>
            <w:tcW w:w="3849" w:type="dxa"/>
          </w:tcPr>
          <w:p w14:paraId="6B9A9AA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Shabwah, </w:t>
            </w:r>
            <w:r w:rsidRPr="00B91FAE">
              <w:rPr>
                <w:rFonts w:asciiTheme="majorBidi" w:hAnsiTheme="majorBidi" w:cstheme="majorBidi"/>
                <w:sz w:val="20"/>
                <w:szCs w:val="20"/>
                <w:lang w:val="en-US"/>
              </w:rPr>
              <w:t>3 June 2016</w:t>
            </w:r>
          </w:p>
        </w:tc>
      </w:tr>
      <w:tr w:rsidR="00EA7E88" w:rsidRPr="00B91FAE" w14:paraId="34A3B852" w14:textId="77777777" w:rsidTr="00162F52">
        <w:tc>
          <w:tcPr>
            <w:tcW w:w="923" w:type="dxa"/>
          </w:tcPr>
          <w:p w14:paraId="3EB6354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82" w:type="dxa"/>
          </w:tcPr>
          <w:p w14:paraId="6F266E88" w14:textId="77777777" w:rsidR="00EA7E88" w:rsidRPr="00B91FAE" w:rsidRDefault="00EA7E88" w:rsidP="00162F52">
            <w:pPr>
              <w:rPr>
                <w:rFonts w:asciiTheme="majorBidi" w:hAnsiTheme="majorBidi" w:cstheme="majorBidi"/>
                <w:color w:val="676767"/>
                <w:sz w:val="20"/>
                <w:szCs w:val="20"/>
                <w:lang w:val="en"/>
              </w:rPr>
            </w:pPr>
            <w:r w:rsidRPr="00B91FAE">
              <w:rPr>
                <w:rFonts w:asciiTheme="majorBidi" w:hAnsiTheme="majorBidi" w:cstheme="majorBidi"/>
                <w:sz w:val="20"/>
                <w:szCs w:val="20"/>
              </w:rPr>
              <w:t>Lt. Col. Mohammed Salem Al Buhair Al-Qamishi</w:t>
            </w:r>
            <w:r w:rsidRPr="00B91FAE">
              <w:rPr>
                <w:rFonts w:asciiTheme="majorBidi" w:hAnsiTheme="majorBidi" w:cstheme="majorBidi"/>
                <w:color w:val="676767"/>
                <w:sz w:val="20"/>
                <w:szCs w:val="20"/>
                <w:lang w:val="en"/>
              </w:rPr>
              <w:t xml:space="preserve"> </w:t>
            </w:r>
            <w:r w:rsidRPr="00B91FAE">
              <w:rPr>
                <w:rFonts w:asciiTheme="majorBidi" w:eastAsia="Times New Roman" w:hAnsiTheme="majorBidi" w:cstheme="majorBidi"/>
                <w:color w:val="222222"/>
                <w:sz w:val="20"/>
                <w:szCs w:val="20"/>
                <w:vertAlign w:val="superscript"/>
                <w:lang w:eastAsia="en-GB" w:bidi="ar"/>
              </w:rPr>
              <w:footnoteReference w:id="1552"/>
            </w:r>
          </w:p>
          <w:p w14:paraId="306B48C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color w:val="676767"/>
                <w:sz w:val="20"/>
                <w:szCs w:val="20"/>
                <w:rtl/>
                <w:lang w:val="en" w:bidi="ar-JO"/>
              </w:rPr>
              <w:t>المقدم محمد سالم البوحر القميشي</w:t>
            </w:r>
          </w:p>
        </w:tc>
        <w:tc>
          <w:tcPr>
            <w:tcW w:w="2206" w:type="dxa"/>
          </w:tcPr>
          <w:p w14:paraId="1ED3A7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Elite Forces Commander</w:t>
            </w:r>
          </w:p>
          <w:p w14:paraId="38BB7BE1" w14:textId="77777777" w:rsidR="00EA7E88" w:rsidRPr="00B91FAE" w:rsidRDefault="00EA7E88" w:rsidP="00162F52">
            <w:pPr>
              <w:rPr>
                <w:rFonts w:asciiTheme="majorBidi" w:hAnsiTheme="majorBidi" w:cstheme="majorBidi"/>
                <w:sz w:val="20"/>
                <w:szCs w:val="20"/>
              </w:rPr>
            </w:pPr>
          </w:p>
        </w:tc>
        <w:tc>
          <w:tcPr>
            <w:tcW w:w="3849" w:type="dxa"/>
          </w:tcPr>
          <w:p w14:paraId="0B8C3365" w14:textId="77777777" w:rsidR="00EA7E88" w:rsidRPr="00B91FAE" w:rsidRDefault="00EA7E88" w:rsidP="00162F52">
            <w:pPr>
              <w:autoSpaceDE w:val="0"/>
              <w:autoSpaceDN w:val="0"/>
              <w:adjustRightInd w:val="0"/>
              <w:jc w:val="both"/>
              <w:rPr>
                <w:rFonts w:asciiTheme="majorBidi" w:hAnsiTheme="majorBidi" w:cstheme="majorBidi"/>
                <w:sz w:val="20"/>
                <w:szCs w:val="20"/>
              </w:rPr>
            </w:pPr>
            <w:r w:rsidRPr="00B91FAE">
              <w:rPr>
                <w:rFonts w:asciiTheme="majorBidi" w:hAnsiTheme="majorBidi" w:cstheme="majorBidi"/>
                <w:sz w:val="20"/>
                <w:szCs w:val="20"/>
              </w:rPr>
              <w:t xml:space="preserve">Belhaf, </w:t>
            </w:r>
            <w:r w:rsidRPr="00B91FAE">
              <w:rPr>
                <w:rFonts w:asciiTheme="majorBidi" w:hAnsiTheme="majorBidi" w:cstheme="majorBidi"/>
                <w:sz w:val="20"/>
                <w:szCs w:val="20"/>
                <w:lang w:val="en-US"/>
              </w:rPr>
              <w:t>October 2017</w:t>
            </w:r>
          </w:p>
          <w:p w14:paraId="1C9C5634" w14:textId="77777777" w:rsidR="00EA7E88" w:rsidRPr="00B91FAE" w:rsidRDefault="00EA7E88" w:rsidP="00162F52">
            <w:pPr>
              <w:rPr>
                <w:rFonts w:asciiTheme="majorBidi" w:hAnsiTheme="majorBidi" w:cstheme="majorBidi"/>
                <w:sz w:val="20"/>
                <w:szCs w:val="20"/>
              </w:rPr>
            </w:pPr>
          </w:p>
        </w:tc>
      </w:tr>
      <w:tr w:rsidR="00EA7E88" w:rsidRPr="00B91FAE" w14:paraId="1A312959" w14:textId="77777777" w:rsidTr="00162F52">
        <w:trPr>
          <w:trHeight w:val="936"/>
        </w:trPr>
        <w:tc>
          <w:tcPr>
            <w:tcW w:w="923" w:type="dxa"/>
          </w:tcPr>
          <w:p w14:paraId="07E2FAC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82" w:type="dxa"/>
          </w:tcPr>
          <w:p w14:paraId="29BC829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Lt. Col. Wajdi Ba'aum Al-Khelaifi</w:t>
            </w:r>
          </w:p>
          <w:p w14:paraId="3FEA6E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المقدم وجدي باعوم الخليفي</w:t>
            </w:r>
          </w:p>
        </w:tc>
        <w:tc>
          <w:tcPr>
            <w:tcW w:w="2206" w:type="dxa"/>
          </w:tcPr>
          <w:p w14:paraId="1F9D7B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Martyrs' Axis, Shabwah Elite Forces</w:t>
            </w:r>
            <w:r w:rsidRPr="00B91FAE">
              <w:rPr>
                <w:rStyle w:val="FootnoteReference"/>
                <w:rFonts w:asciiTheme="majorBidi" w:hAnsiTheme="majorBidi" w:cstheme="majorBidi"/>
                <w:sz w:val="20"/>
                <w:szCs w:val="20"/>
              </w:rPr>
              <w:footnoteReference w:id="1553"/>
            </w:r>
          </w:p>
          <w:p w14:paraId="77984314" w14:textId="77777777" w:rsidR="00EA7E88" w:rsidRPr="00B91FAE" w:rsidRDefault="00EA7E88" w:rsidP="00162F52">
            <w:pPr>
              <w:rPr>
                <w:rFonts w:asciiTheme="majorBidi" w:hAnsiTheme="majorBidi" w:cstheme="majorBidi"/>
                <w:sz w:val="20"/>
                <w:szCs w:val="20"/>
              </w:rPr>
            </w:pPr>
          </w:p>
        </w:tc>
        <w:tc>
          <w:tcPr>
            <w:tcW w:w="3849" w:type="dxa"/>
          </w:tcPr>
          <w:p w14:paraId="2752451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Nassab and  Markha</w:t>
            </w:r>
          </w:p>
        </w:tc>
      </w:tr>
      <w:tr w:rsidR="00EA7E88" w:rsidRPr="00B91FAE" w14:paraId="7700A916" w14:textId="77777777" w:rsidTr="00162F52">
        <w:trPr>
          <w:trHeight w:val="936"/>
        </w:trPr>
        <w:tc>
          <w:tcPr>
            <w:tcW w:w="923" w:type="dxa"/>
          </w:tcPr>
          <w:p w14:paraId="6B0BF25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82" w:type="dxa"/>
          </w:tcPr>
          <w:p w14:paraId="445C66C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Mahdi Mohammed Barahma</w:t>
            </w:r>
          </w:p>
          <w:p w14:paraId="27E0515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الرائد مهدي محمد براهمه</w:t>
            </w:r>
          </w:p>
        </w:tc>
        <w:tc>
          <w:tcPr>
            <w:tcW w:w="2206" w:type="dxa"/>
          </w:tcPr>
          <w:p w14:paraId="639D370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 Rapid Intervention Forces</w:t>
            </w:r>
            <w:r w:rsidRPr="00B91FAE">
              <w:rPr>
                <w:rStyle w:val="FootnoteReference"/>
                <w:rFonts w:asciiTheme="majorBidi" w:hAnsiTheme="majorBidi" w:cstheme="majorBidi"/>
                <w:sz w:val="20"/>
                <w:szCs w:val="20"/>
              </w:rPr>
              <w:footnoteReference w:id="1554"/>
            </w:r>
          </w:p>
          <w:p w14:paraId="215582EE" w14:textId="77777777" w:rsidR="00EA7E88" w:rsidRPr="00B91FAE" w:rsidRDefault="00EA7E88" w:rsidP="00162F52">
            <w:pPr>
              <w:rPr>
                <w:rFonts w:asciiTheme="majorBidi" w:hAnsiTheme="majorBidi" w:cstheme="majorBidi"/>
                <w:sz w:val="20"/>
                <w:szCs w:val="20"/>
              </w:rPr>
            </w:pPr>
          </w:p>
        </w:tc>
        <w:tc>
          <w:tcPr>
            <w:tcW w:w="3849" w:type="dxa"/>
          </w:tcPr>
          <w:p w14:paraId="688CA772" w14:textId="77777777" w:rsidR="00EA7E88" w:rsidRPr="00B91FAE" w:rsidRDefault="00EA7E88" w:rsidP="00162F52">
            <w:pPr>
              <w:rPr>
                <w:rFonts w:asciiTheme="majorBidi" w:hAnsiTheme="majorBidi" w:cstheme="majorBidi"/>
                <w:sz w:val="20"/>
                <w:szCs w:val="20"/>
              </w:rPr>
            </w:pPr>
          </w:p>
        </w:tc>
      </w:tr>
      <w:tr w:rsidR="00EA7E88" w:rsidRPr="00B91FAE" w14:paraId="26A304A6" w14:textId="77777777" w:rsidTr="00162F52">
        <w:tc>
          <w:tcPr>
            <w:tcW w:w="923" w:type="dxa"/>
          </w:tcPr>
          <w:p w14:paraId="6F63A7A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6</w:t>
            </w:r>
          </w:p>
        </w:tc>
        <w:tc>
          <w:tcPr>
            <w:tcW w:w="2682" w:type="dxa"/>
          </w:tcPr>
          <w:p w14:paraId="5D248D42"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hAnsiTheme="majorBidi" w:cstheme="majorBidi"/>
                <w:sz w:val="20"/>
                <w:szCs w:val="20"/>
              </w:rPr>
              <w:t xml:space="preserve">Sheikh Saleh Farid Muhsen </w:t>
            </w:r>
            <w:r w:rsidRPr="00B91FAE">
              <w:rPr>
                <w:rFonts w:asciiTheme="majorBidi" w:hAnsiTheme="majorBidi" w:cstheme="majorBidi"/>
                <w:sz w:val="20"/>
                <w:szCs w:val="20"/>
              </w:rPr>
              <w:lastRenderedPageBreak/>
              <w:t>al-Olaki</w:t>
            </w:r>
            <w:r w:rsidRPr="00B91FAE">
              <w:rPr>
                <w:rFonts w:asciiTheme="majorBidi" w:eastAsia="Times New Roman" w:hAnsiTheme="majorBidi" w:cstheme="majorBidi"/>
                <w:color w:val="222222"/>
                <w:sz w:val="20"/>
                <w:szCs w:val="20"/>
                <w:lang w:eastAsia="en-GB" w:bidi="ar"/>
              </w:rPr>
              <w:t xml:space="preserve"> </w:t>
            </w:r>
            <w:r w:rsidRPr="00B91FAE">
              <w:rPr>
                <w:rFonts w:asciiTheme="majorBidi" w:eastAsia="Times New Roman" w:hAnsiTheme="majorBidi" w:cstheme="majorBidi"/>
                <w:color w:val="222222"/>
                <w:sz w:val="20"/>
                <w:szCs w:val="20"/>
                <w:vertAlign w:val="superscript"/>
                <w:lang w:eastAsia="en-GB" w:bidi="ar"/>
              </w:rPr>
              <w:footnoteReference w:id="1555"/>
            </w:r>
          </w:p>
          <w:p w14:paraId="5E4C0F17"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r w:rsidRPr="00B91FAE">
              <w:rPr>
                <w:rFonts w:asciiTheme="majorBidi" w:eastAsia="Times New Roman" w:hAnsiTheme="majorBidi" w:cstheme="majorBidi"/>
                <w:color w:val="222222"/>
                <w:sz w:val="20"/>
                <w:szCs w:val="20"/>
                <w:rtl/>
                <w:lang w:eastAsia="en-GB"/>
              </w:rPr>
              <w:t>الشيخ صالح</w:t>
            </w:r>
            <w:r w:rsidRPr="00B91FAE">
              <w:rPr>
                <w:rFonts w:asciiTheme="majorBidi" w:eastAsia="Times New Roman" w:hAnsiTheme="majorBidi" w:cstheme="majorBidi"/>
                <w:color w:val="222222"/>
                <w:sz w:val="20"/>
                <w:szCs w:val="20"/>
                <w:rtl/>
                <w:lang w:eastAsia="en-GB" w:bidi="ar"/>
              </w:rPr>
              <w:t xml:space="preserve"> </w:t>
            </w:r>
            <w:r w:rsidRPr="00B91FAE">
              <w:rPr>
                <w:rFonts w:asciiTheme="majorBidi" w:eastAsia="Times New Roman" w:hAnsiTheme="majorBidi" w:cstheme="majorBidi"/>
                <w:color w:val="222222"/>
                <w:sz w:val="20"/>
                <w:szCs w:val="20"/>
                <w:rtl/>
                <w:lang w:eastAsia="en-GB"/>
              </w:rPr>
              <w:t>بن فريد محسن العولقي</w:t>
            </w:r>
          </w:p>
          <w:p w14:paraId="26EBD7B3"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p>
          <w:p w14:paraId="40BEA88C" w14:textId="77777777" w:rsidR="00EA7E88" w:rsidRPr="00B91FAE" w:rsidRDefault="00EA7E88" w:rsidP="00162F52">
            <w:pPr>
              <w:autoSpaceDE w:val="0"/>
              <w:autoSpaceDN w:val="0"/>
              <w:adjustRightInd w:val="0"/>
              <w:rPr>
                <w:rFonts w:asciiTheme="majorBidi" w:eastAsia="Times New Roman" w:hAnsiTheme="majorBidi" w:cstheme="majorBidi"/>
                <w:color w:val="222222"/>
                <w:sz w:val="20"/>
                <w:szCs w:val="20"/>
                <w:rtl/>
                <w:lang w:eastAsia="en-GB" w:bidi="ar"/>
              </w:rPr>
            </w:pPr>
          </w:p>
          <w:p w14:paraId="6D54D760"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206" w:type="dxa"/>
          </w:tcPr>
          <w:p w14:paraId="6AD779E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 xml:space="preserve">Influence </w:t>
            </w:r>
            <w:r w:rsidRPr="00B91FAE">
              <w:rPr>
                <w:rStyle w:val="FootnoteReference"/>
                <w:rFonts w:asciiTheme="majorBidi" w:hAnsiTheme="majorBidi" w:cstheme="majorBidi"/>
                <w:sz w:val="20"/>
                <w:szCs w:val="20"/>
                <w:lang w:val="en-US"/>
              </w:rPr>
              <w:footnoteReference w:id="1556"/>
            </w:r>
          </w:p>
        </w:tc>
        <w:tc>
          <w:tcPr>
            <w:tcW w:w="3849" w:type="dxa"/>
          </w:tcPr>
          <w:p w14:paraId="676B9E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Shabwah</w:t>
            </w:r>
          </w:p>
        </w:tc>
      </w:tr>
    </w:tbl>
    <w:p w14:paraId="56F61065" w14:textId="77777777" w:rsidR="00EA7E88" w:rsidRPr="00B91FAE" w:rsidRDefault="00EA7E88" w:rsidP="00EA7E88">
      <w:pPr>
        <w:rPr>
          <w:rFonts w:asciiTheme="majorBidi" w:hAnsiTheme="majorBidi" w:cstheme="majorBidi"/>
        </w:rPr>
      </w:pPr>
    </w:p>
    <w:tbl>
      <w:tblPr>
        <w:tblStyle w:val="TableGrid1"/>
        <w:tblW w:w="10085" w:type="dxa"/>
        <w:tblInd w:w="-545" w:type="dxa"/>
        <w:tblLook w:val="04A0" w:firstRow="1" w:lastRow="0" w:firstColumn="1" w:lastColumn="0" w:noHBand="0" w:noVBand="1"/>
      </w:tblPr>
      <w:tblGrid>
        <w:gridCol w:w="816"/>
        <w:gridCol w:w="2969"/>
        <w:gridCol w:w="2250"/>
        <w:gridCol w:w="4050"/>
      </w:tblGrid>
      <w:tr w:rsidR="00EA7E88" w:rsidRPr="00B91FAE" w14:paraId="0098E256" w14:textId="77777777" w:rsidTr="00162F52">
        <w:tc>
          <w:tcPr>
            <w:tcW w:w="10085" w:type="dxa"/>
            <w:gridSpan w:val="4"/>
            <w:tcBorders>
              <w:top w:val="nil"/>
              <w:left w:val="nil"/>
              <w:bottom w:val="nil"/>
              <w:right w:val="nil"/>
            </w:tcBorders>
          </w:tcPr>
          <w:p w14:paraId="38DFE675"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 xml:space="preserve">     g.       Main Actors in Taizz Governorate</w:t>
            </w:r>
          </w:p>
        </w:tc>
      </w:tr>
      <w:tr w:rsidR="00EA7E88" w:rsidRPr="00B91FAE" w14:paraId="24E3C498" w14:textId="77777777" w:rsidTr="00162F52">
        <w:tc>
          <w:tcPr>
            <w:tcW w:w="816" w:type="dxa"/>
            <w:tcBorders>
              <w:top w:val="nil"/>
              <w:left w:val="nil"/>
              <w:bottom w:val="single" w:sz="4" w:space="0" w:color="auto"/>
              <w:right w:val="nil"/>
            </w:tcBorders>
            <w:shd w:val="clear" w:color="auto" w:fill="FFFFFF" w:themeFill="background1"/>
          </w:tcPr>
          <w:p w14:paraId="042FA9D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969" w:type="dxa"/>
            <w:tcBorders>
              <w:top w:val="nil"/>
              <w:left w:val="nil"/>
              <w:bottom w:val="single" w:sz="4" w:space="0" w:color="auto"/>
              <w:right w:val="nil"/>
            </w:tcBorders>
            <w:shd w:val="clear" w:color="auto" w:fill="FFFFFF" w:themeFill="background1"/>
          </w:tcPr>
          <w:p w14:paraId="3392E06A"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250" w:type="dxa"/>
            <w:tcBorders>
              <w:top w:val="nil"/>
              <w:left w:val="nil"/>
              <w:bottom w:val="single" w:sz="4" w:space="0" w:color="auto"/>
              <w:right w:val="nil"/>
            </w:tcBorders>
            <w:shd w:val="clear" w:color="auto" w:fill="FFFFFF" w:themeFill="background1"/>
          </w:tcPr>
          <w:p w14:paraId="24B822E6"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050" w:type="dxa"/>
            <w:tcBorders>
              <w:top w:val="nil"/>
              <w:left w:val="nil"/>
              <w:bottom w:val="single" w:sz="4" w:space="0" w:color="auto"/>
              <w:right w:val="nil"/>
            </w:tcBorders>
            <w:shd w:val="clear" w:color="auto" w:fill="FFFFFF" w:themeFill="background1"/>
          </w:tcPr>
          <w:p w14:paraId="471FAAAF"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709C0D36" w14:textId="77777777" w:rsidTr="00162F52">
        <w:trPr>
          <w:trHeight w:val="1052"/>
        </w:trPr>
        <w:tc>
          <w:tcPr>
            <w:tcW w:w="816" w:type="dxa"/>
            <w:tcBorders>
              <w:top w:val="single" w:sz="4" w:space="0" w:color="auto"/>
              <w:left w:val="nil"/>
              <w:bottom w:val="nil"/>
              <w:right w:val="nil"/>
            </w:tcBorders>
          </w:tcPr>
          <w:p w14:paraId="50F9C24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969" w:type="dxa"/>
            <w:tcBorders>
              <w:top w:val="single" w:sz="4" w:space="0" w:color="auto"/>
              <w:left w:val="nil"/>
              <w:bottom w:val="nil"/>
              <w:right w:val="nil"/>
            </w:tcBorders>
          </w:tcPr>
          <w:p w14:paraId="189DF29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Ali Al-Ma’mari</w:t>
            </w:r>
            <w:r w:rsidRPr="00B91FAE">
              <w:rPr>
                <w:rStyle w:val="FootnoteReference"/>
                <w:rFonts w:asciiTheme="majorBidi" w:hAnsiTheme="majorBidi" w:cstheme="majorBidi"/>
                <w:sz w:val="20"/>
                <w:szCs w:val="20"/>
              </w:rPr>
              <w:footnoteReference w:id="1557"/>
            </w:r>
          </w:p>
          <w:p w14:paraId="7E701617"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علي المعمري</w:t>
            </w:r>
          </w:p>
          <w:p w14:paraId="2D0C7A00" w14:textId="77777777" w:rsidR="00EA7E88" w:rsidRPr="00B91FAE" w:rsidRDefault="00EA7E88" w:rsidP="00162F52">
            <w:pPr>
              <w:rPr>
                <w:rFonts w:asciiTheme="majorBidi" w:hAnsiTheme="majorBidi" w:cstheme="majorBidi"/>
                <w:sz w:val="20"/>
                <w:szCs w:val="20"/>
              </w:rPr>
            </w:pPr>
          </w:p>
        </w:tc>
        <w:tc>
          <w:tcPr>
            <w:tcW w:w="2250" w:type="dxa"/>
            <w:tcBorders>
              <w:top w:val="single" w:sz="4" w:space="0" w:color="auto"/>
              <w:left w:val="nil"/>
              <w:bottom w:val="nil"/>
              <w:right w:val="nil"/>
            </w:tcBorders>
          </w:tcPr>
          <w:p w14:paraId="52B11F6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Pr>
              <w:t>Former Governor</w:t>
            </w:r>
            <w:r w:rsidRPr="00B91FAE">
              <w:rPr>
                <w:rStyle w:val="FootnoteReference"/>
                <w:rFonts w:asciiTheme="majorBidi" w:hAnsiTheme="majorBidi" w:cstheme="majorBidi"/>
                <w:sz w:val="20"/>
                <w:szCs w:val="20"/>
              </w:rPr>
              <w:footnoteReference w:id="1558"/>
            </w:r>
          </w:p>
        </w:tc>
        <w:tc>
          <w:tcPr>
            <w:tcW w:w="4050" w:type="dxa"/>
            <w:tcBorders>
              <w:top w:val="single" w:sz="4" w:space="0" w:color="auto"/>
              <w:left w:val="nil"/>
              <w:bottom w:val="nil"/>
              <w:right w:val="nil"/>
            </w:tcBorders>
          </w:tcPr>
          <w:p w14:paraId="700E7E3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January 2016 – September 2017</w:t>
            </w:r>
          </w:p>
          <w:p w14:paraId="770E09D4" w14:textId="77777777" w:rsidR="00EA7E88" w:rsidRPr="00B91FAE" w:rsidRDefault="00EA7E88" w:rsidP="00162F52">
            <w:pPr>
              <w:rPr>
                <w:rFonts w:asciiTheme="majorBidi" w:hAnsiTheme="majorBidi" w:cstheme="majorBidi"/>
                <w:sz w:val="20"/>
                <w:szCs w:val="20"/>
              </w:rPr>
            </w:pPr>
          </w:p>
        </w:tc>
      </w:tr>
      <w:tr w:rsidR="00EA7E88" w:rsidRPr="00B91FAE" w14:paraId="447F80BA" w14:textId="77777777" w:rsidTr="00162F52">
        <w:tc>
          <w:tcPr>
            <w:tcW w:w="816" w:type="dxa"/>
            <w:tcBorders>
              <w:top w:val="nil"/>
              <w:left w:val="nil"/>
              <w:bottom w:val="nil"/>
              <w:right w:val="nil"/>
            </w:tcBorders>
          </w:tcPr>
          <w:p w14:paraId="2DB3D2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969" w:type="dxa"/>
            <w:tcBorders>
              <w:top w:val="nil"/>
              <w:left w:val="nil"/>
              <w:bottom w:val="nil"/>
              <w:right w:val="nil"/>
            </w:tcBorders>
          </w:tcPr>
          <w:p w14:paraId="66AF566A"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 xml:space="preserve">Ameen Ahmed Mahmoud </w:t>
            </w:r>
            <w:r w:rsidRPr="00B91FAE">
              <w:rPr>
                <w:rStyle w:val="FootnoteReference"/>
                <w:rFonts w:asciiTheme="majorBidi" w:hAnsiTheme="majorBidi" w:cstheme="majorBidi"/>
                <w:sz w:val="20"/>
                <w:szCs w:val="20"/>
              </w:rPr>
              <w:footnoteReference w:id="1559"/>
            </w:r>
          </w:p>
          <w:p w14:paraId="6F930090" w14:textId="77777777" w:rsidR="00EA7E88" w:rsidRPr="00B91FAE" w:rsidRDefault="00EA7E88" w:rsidP="00162F52">
            <w:pPr>
              <w:autoSpaceDE w:val="0"/>
              <w:autoSpaceDN w:val="0"/>
              <w:adjustRightInd w:val="0"/>
              <w:rPr>
                <w:rFonts w:asciiTheme="majorBidi" w:hAnsiTheme="majorBidi" w:cstheme="majorBidi"/>
                <w:sz w:val="20"/>
                <w:szCs w:val="20"/>
                <w:lang w:val="en-US"/>
              </w:rPr>
            </w:pPr>
            <w:r w:rsidRPr="00B91FAE">
              <w:rPr>
                <w:rFonts w:asciiTheme="majorBidi" w:hAnsiTheme="majorBidi" w:cstheme="majorBidi"/>
                <w:sz w:val="20"/>
                <w:szCs w:val="20"/>
                <w:rtl/>
              </w:rPr>
              <w:t>امين احمد محمود</w:t>
            </w:r>
          </w:p>
          <w:p w14:paraId="75898F44"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394A26C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Governor</w:t>
            </w:r>
          </w:p>
        </w:tc>
        <w:tc>
          <w:tcPr>
            <w:tcW w:w="4050" w:type="dxa"/>
            <w:tcBorders>
              <w:top w:val="nil"/>
              <w:left w:val="nil"/>
              <w:bottom w:val="nil"/>
              <w:right w:val="nil"/>
            </w:tcBorders>
          </w:tcPr>
          <w:p w14:paraId="6CBD88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December 2017 – December 2018</w:t>
            </w:r>
          </w:p>
          <w:p w14:paraId="3E1B9DBF" w14:textId="77777777" w:rsidR="00EA7E88" w:rsidRPr="00B91FAE" w:rsidRDefault="00EA7E88" w:rsidP="00162F52">
            <w:pPr>
              <w:rPr>
                <w:rFonts w:asciiTheme="majorBidi" w:hAnsiTheme="majorBidi" w:cstheme="majorBidi"/>
                <w:sz w:val="20"/>
                <w:szCs w:val="20"/>
              </w:rPr>
            </w:pPr>
          </w:p>
        </w:tc>
      </w:tr>
      <w:tr w:rsidR="00EA7E88" w:rsidRPr="00B91FAE" w14:paraId="5B5C3FB4" w14:textId="77777777" w:rsidTr="00162F52">
        <w:tc>
          <w:tcPr>
            <w:tcW w:w="816" w:type="dxa"/>
            <w:tcBorders>
              <w:top w:val="nil"/>
              <w:left w:val="nil"/>
              <w:bottom w:val="nil"/>
              <w:right w:val="nil"/>
            </w:tcBorders>
          </w:tcPr>
          <w:p w14:paraId="6A7A3F5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969" w:type="dxa"/>
            <w:tcBorders>
              <w:top w:val="nil"/>
              <w:left w:val="nil"/>
              <w:bottom w:val="nil"/>
              <w:right w:val="nil"/>
            </w:tcBorders>
          </w:tcPr>
          <w:p w14:paraId="6EDC5899" w14:textId="77777777" w:rsidR="00EA7E88" w:rsidRPr="00B91FAE" w:rsidRDefault="00EA7E88" w:rsidP="00162F52">
            <w:pPr>
              <w:autoSpaceDE w:val="0"/>
              <w:autoSpaceDN w:val="0"/>
              <w:adjustRightInd w:val="0"/>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Nabil Abdu Sham</w:t>
            </w:r>
            <w:r w:rsidRPr="00B91FAE">
              <w:rPr>
                <w:rFonts w:asciiTheme="majorBidi" w:hAnsiTheme="majorBidi" w:cstheme="majorBidi"/>
                <w:noProof/>
                <w:sz w:val="20"/>
                <w:szCs w:val="20"/>
                <w:lang w:val="en-US" w:eastAsia="en-GB"/>
              </w:rPr>
              <w:t>s</w:t>
            </w:r>
            <w:r w:rsidRPr="00B91FAE">
              <w:rPr>
                <w:rFonts w:asciiTheme="majorBidi" w:hAnsiTheme="majorBidi" w:cstheme="majorBidi"/>
                <w:noProof/>
                <w:sz w:val="20"/>
                <w:szCs w:val="20"/>
                <w:lang w:eastAsia="en-GB"/>
              </w:rPr>
              <w:t xml:space="preserve">an </w:t>
            </w:r>
          </w:p>
          <w:p w14:paraId="163FD2AE" w14:textId="77777777" w:rsidR="00EA7E88" w:rsidRPr="00B91FAE" w:rsidRDefault="00EA7E88" w:rsidP="00162F52">
            <w:pPr>
              <w:autoSpaceDE w:val="0"/>
              <w:autoSpaceDN w:val="0"/>
              <w:adjustRightInd w:val="0"/>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نبيل عبده شمسان</w:t>
            </w:r>
          </w:p>
          <w:p w14:paraId="298222AC"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0078E29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noProof/>
                <w:sz w:val="20"/>
                <w:szCs w:val="20"/>
                <w:lang w:eastAsia="en-GB"/>
              </w:rPr>
              <w:t xml:space="preserve">Governor </w:t>
            </w:r>
            <w:r w:rsidRPr="00B91FAE">
              <w:rPr>
                <w:rStyle w:val="FootnoteReference"/>
                <w:rFonts w:asciiTheme="majorBidi" w:hAnsiTheme="majorBidi" w:cstheme="majorBidi"/>
                <w:noProof/>
                <w:sz w:val="20"/>
                <w:szCs w:val="20"/>
                <w:lang w:eastAsia="en-GB"/>
              </w:rPr>
              <w:footnoteReference w:id="1560"/>
            </w:r>
          </w:p>
        </w:tc>
        <w:tc>
          <w:tcPr>
            <w:tcW w:w="4050" w:type="dxa"/>
            <w:tcBorders>
              <w:top w:val="nil"/>
              <w:left w:val="nil"/>
              <w:bottom w:val="nil"/>
              <w:right w:val="nil"/>
            </w:tcBorders>
          </w:tcPr>
          <w:p w14:paraId="3898DC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Ta’izz, </w:t>
            </w:r>
            <w:r w:rsidRPr="00B91FAE">
              <w:rPr>
                <w:rFonts w:asciiTheme="majorBidi" w:hAnsiTheme="majorBidi" w:cstheme="majorBidi"/>
                <w:noProof/>
                <w:sz w:val="20"/>
                <w:szCs w:val="20"/>
                <w:lang w:eastAsia="en-GB"/>
              </w:rPr>
              <w:t>31 December 2018</w:t>
            </w:r>
          </w:p>
        </w:tc>
      </w:tr>
      <w:tr w:rsidR="00EA7E88" w:rsidRPr="00B91FAE" w14:paraId="74562525" w14:textId="77777777" w:rsidTr="00162F52">
        <w:tc>
          <w:tcPr>
            <w:tcW w:w="816" w:type="dxa"/>
            <w:tcBorders>
              <w:top w:val="nil"/>
              <w:left w:val="nil"/>
              <w:bottom w:val="nil"/>
              <w:right w:val="nil"/>
            </w:tcBorders>
          </w:tcPr>
          <w:p w14:paraId="7D04B26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969" w:type="dxa"/>
            <w:tcBorders>
              <w:top w:val="nil"/>
              <w:left w:val="nil"/>
              <w:bottom w:val="nil"/>
              <w:right w:val="nil"/>
            </w:tcBorders>
          </w:tcPr>
          <w:p w14:paraId="383D2DB4" w14:textId="77777777" w:rsidR="00EA7E88" w:rsidRPr="00B91FAE" w:rsidRDefault="00EA7E88" w:rsidP="00162F52">
            <w:pPr>
              <w:autoSpaceDE w:val="0"/>
              <w:autoSpaceDN w:val="0"/>
              <w:adjustRightInd w:val="0"/>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Abdulqawi al-Mekhlafi</w:t>
            </w:r>
            <w:r w:rsidRPr="00B91FAE">
              <w:rPr>
                <w:rStyle w:val="FootnoteReference"/>
                <w:rFonts w:asciiTheme="majorBidi" w:hAnsiTheme="majorBidi" w:cstheme="majorBidi"/>
                <w:noProof/>
                <w:sz w:val="20"/>
                <w:szCs w:val="20"/>
                <w:lang w:eastAsia="en-GB"/>
              </w:rPr>
              <w:footnoteReference w:id="1561"/>
            </w:r>
          </w:p>
          <w:p w14:paraId="1E0F17DA" w14:textId="77777777" w:rsidR="00EA7E88" w:rsidRPr="00B91FAE" w:rsidRDefault="00EA7E88" w:rsidP="00162F52">
            <w:pPr>
              <w:autoSpaceDE w:val="0"/>
              <w:autoSpaceDN w:val="0"/>
              <w:adjustRightInd w:val="0"/>
              <w:rPr>
                <w:rFonts w:asciiTheme="majorBidi" w:hAnsiTheme="majorBidi" w:cstheme="majorBidi"/>
                <w:noProof/>
                <w:sz w:val="20"/>
                <w:szCs w:val="20"/>
                <w:rtl/>
                <w:lang w:eastAsia="en-GB" w:bidi="ar-JO"/>
              </w:rPr>
            </w:pPr>
            <w:r w:rsidRPr="00B91FAE">
              <w:rPr>
                <w:rFonts w:asciiTheme="majorBidi" w:hAnsiTheme="majorBidi" w:cstheme="majorBidi"/>
                <w:noProof/>
                <w:sz w:val="20"/>
                <w:szCs w:val="20"/>
                <w:rtl/>
                <w:lang w:eastAsia="en-GB" w:bidi="ar-JO"/>
              </w:rPr>
              <w:t>عبد القوي المخلافي</w:t>
            </w:r>
          </w:p>
        </w:tc>
        <w:tc>
          <w:tcPr>
            <w:tcW w:w="2250" w:type="dxa"/>
            <w:tcBorders>
              <w:top w:val="nil"/>
              <w:left w:val="nil"/>
              <w:bottom w:val="nil"/>
              <w:right w:val="nil"/>
            </w:tcBorders>
          </w:tcPr>
          <w:p w14:paraId="4412C84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Deputy Governor</w:t>
            </w:r>
          </w:p>
          <w:p w14:paraId="1F9A53F1"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7E92F9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Engaged in mediation related to ceasefires and road access</w:t>
            </w:r>
          </w:p>
          <w:p w14:paraId="677E537F" w14:textId="77777777" w:rsidR="00EA7E88" w:rsidRPr="00B91FAE" w:rsidRDefault="00EA7E88" w:rsidP="00162F52">
            <w:pPr>
              <w:rPr>
                <w:rFonts w:asciiTheme="majorBidi" w:hAnsiTheme="majorBidi" w:cstheme="majorBidi"/>
                <w:sz w:val="20"/>
                <w:szCs w:val="20"/>
              </w:rPr>
            </w:pPr>
          </w:p>
        </w:tc>
      </w:tr>
      <w:tr w:rsidR="00EA7E88" w:rsidRPr="00B91FAE" w14:paraId="533E5DF1" w14:textId="77777777" w:rsidTr="00162F52">
        <w:tc>
          <w:tcPr>
            <w:tcW w:w="816" w:type="dxa"/>
            <w:tcBorders>
              <w:top w:val="nil"/>
              <w:left w:val="nil"/>
              <w:bottom w:val="nil"/>
              <w:right w:val="nil"/>
            </w:tcBorders>
          </w:tcPr>
          <w:p w14:paraId="27DBFFD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969" w:type="dxa"/>
            <w:tcBorders>
              <w:top w:val="nil"/>
              <w:left w:val="nil"/>
              <w:bottom w:val="nil"/>
              <w:right w:val="nil"/>
            </w:tcBorders>
          </w:tcPr>
          <w:p w14:paraId="3DF3B234" w14:textId="77777777" w:rsidR="00EA7E88" w:rsidRPr="00B91FAE" w:rsidRDefault="00EA7E88" w:rsidP="00162F52">
            <w:pPr>
              <w:spacing w:after="160" w:line="259" w:lineRule="auto"/>
              <w:rPr>
                <w:rFonts w:asciiTheme="majorBidi" w:hAnsiTheme="majorBidi" w:cstheme="majorBidi"/>
                <w:sz w:val="20"/>
                <w:szCs w:val="20"/>
                <w:rtl/>
              </w:rPr>
            </w:pPr>
            <w:r w:rsidRPr="00B91FAE">
              <w:rPr>
                <w:rFonts w:asciiTheme="majorBidi" w:hAnsiTheme="majorBidi" w:cstheme="majorBidi"/>
                <w:sz w:val="20"/>
                <w:szCs w:val="20"/>
              </w:rPr>
              <w:t xml:space="preserve">Major General </w:t>
            </w:r>
            <w:r w:rsidRPr="00B91FAE">
              <w:rPr>
                <w:rFonts w:asciiTheme="majorBidi" w:hAnsiTheme="majorBidi" w:cstheme="majorBidi"/>
                <w:sz w:val="20"/>
                <w:szCs w:val="20"/>
                <w:lang w:val="en-US"/>
              </w:rPr>
              <w:t xml:space="preserve">Khaled Qassem </w:t>
            </w:r>
            <w:r w:rsidRPr="00B91FAE">
              <w:rPr>
                <w:rFonts w:asciiTheme="majorBidi" w:hAnsiTheme="majorBidi" w:cstheme="majorBidi"/>
                <w:sz w:val="20"/>
                <w:szCs w:val="20"/>
              </w:rPr>
              <w:t xml:space="preserve">Fadhl </w:t>
            </w:r>
          </w:p>
          <w:p w14:paraId="49084477" w14:textId="77777777" w:rsidR="00EA7E88" w:rsidRPr="00B91FAE" w:rsidRDefault="00EA7E88" w:rsidP="00162F52">
            <w:pPr>
              <w:spacing w:after="160" w:line="259" w:lineRule="auto"/>
              <w:rPr>
                <w:rFonts w:asciiTheme="majorBidi" w:hAnsiTheme="majorBidi" w:cstheme="majorBidi"/>
                <w:sz w:val="20"/>
                <w:szCs w:val="20"/>
                <w:lang w:bidi="ar-JO"/>
              </w:rPr>
            </w:pPr>
            <w:r w:rsidRPr="00B91FAE">
              <w:rPr>
                <w:rFonts w:asciiTheme="majorBidi" w:hAnsiTheme="majorBidi" w:cstheme="majorBidi"/>
                <w:sz w:val="20"/>
                <w:szCs w:val="20"/>
                <w:rtl/>
              </w:rPr>
              <w:t xml:space="preserve">اللواء الركن </w:t>
            </w:r>
            <w:r w:rsidRPr="00B91FAE">
              <w:rPr>
                <w:rFonts w:asciiTheme="majorBidi" w:hAnsiTheme="majorBidi" w:cstheme="majorBidi"/>
                <w:sz w:val="20"/>
                <w:szCs w:val="20"/>
                <w:rtl/>
                <w:lang w:bidi="ar-JO"/>
              </w:rPr>
              <w:t>خالد قاسم فاضل</w:t>
            </w:r>
          </w:p>
          <w:p w14:paraId="5D375F52" w14:textId="77777777" w:rsidR="00EA7E88" w:rsidRPr="00B91FAE" w:rsidRDefault="00EA7E88" w:rsidP="00162F52">
            <w:pPr>
              <w:rPr>
                <w:rFonts w:asciiTheme="majorBidi" w:hAnsiTheme="majorBidi" w:cstheme="majorBidi"/>
                <w:sz w:val="20"/>
                <w:szCs w:val="20"/>
              </w:rPr>
            </w:pPr>
          </w:p>
        </w:tc>
        <w:tc>
          <w:tcPr>
            <w:tcW w:w="2250" w:type="dxa"/>
            <w:tcBorders>
              <w:top w:val="nil"/>
              <w:left w:val="nil"/>
              <w:bottom w:val="nil"/>
              <w:right w:val="nil"/>
            </w:tcBorders>
          </w:tcPr>
          <w:p w14:paraId="3050C1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Taizz Axis Commander</w:t>
            </w:r>
            <w:r w:rsidRPr="00B91FAE">
              <w:rPr>
                <w:rStyle w:val="FootnoteReference"/>
                <w:rFonts w:asciiTheme="majorBidi" w:hAnsiTheme="majorBidi" w:cstheme="majorBidi"/>
                <w:sz w:val="20"/>
                <w:szCs w:val="20"/>
              </w:rPr>
              <w:footnoteReference w:id="1562"/>
            </w:r>
          </w:p>
        </w:tc>
        <w:tc>
          <w:tcPr>
            <w:tcW w:w="4050" w:type="dxa"/>
            <w:tcBorders>
              <w:top w:val="nil"/>
              <w:left w:val="nil"/>
              <w:bottom w:val="nil"/>
              <w:right w:val="nil"/>
            </w:tcBorders>
          </w:tcPr>
          <w:p w14:paraId="2522F17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Ta’izz, 31 December 2018 Adviser for Minister of Defence </w:t>
            </w:r>
            <w:r w:rsidRPr="00B91FAE">
              <w:rPr>
                <w:rStyle w:val="FootnoteReference"/>
                <w:rFonts w:asciiTheme="majorBidi" w:hAnsiTheme="majorBidi" w:cstheme="majorBidi"/>
                <w:sz w:val="20"/>
                <w:szCs w:val="20"/>
              </w:rPr>
              <w:footnoteReference w:id="1563"/>
            </w:r>
          </w:p>
          <w:p w14:paraId="489690D0" w14:textId="77777777" w:rsidR="00EA7E88" w:rsidRPr="00B91FAE" w:rsidRDefault="00EA7E88" w:rsidP="00162F52">
            <w:pPr>
              <w:rPr>
                <w:rFonts w:asciiTheme="majorBidi" w:hAnsiTheme="majorBidi" w:cstheme="majorBidi"/>
                <w:sz w:val="20"/>
                <w:szCs w:val="20"/>
              </w:rPr>
            </w:pPr>
          </w:p>
        </w:tc>
      </w:tr>
      <w:tr w:rsidR="00EA7E88" w:rsidRPr="00B91FAE" w14:paraId="09E2F918" w14:textId="77777777" w:rsidTr="00162F52">
        <w:tc>
          <w:tcPr>
            <w:tcW w:w="816" w:type="dxa"/>
            <w:tcBorders>
              <w:top w:val="nil"/>
              <w:left w:val="nil"/>
              <w:bottom w:val="nil"/>
              <w:right w:val="nil"/>
            </w:tcBorders>
          </w:tcPr>
          <w:p w14:paraId="1AA6D35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969" w:type="dxa"/>
            <w:tcBorders>
              <w:top w:val="nil"/>
              <w:left w:val="nil"/>
              <w:bottom w:val="nil"/>
              <w:right w:val="nil"/>
            </w:tcBorders>
          </w:tcPr>
          <w:p w14:paraId="0D06CD49"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Major general Samir Abdallah al-Sabri</w:t>
            </w:r>
            <w:r w:rsidRPr="00B91FAE">
              <w:rPr>
                <w:rStyle w:val="FootnoteReference"/>
                <w:rFonts w:asciiTheme="majorBidi" w:hAnsiTheme="majorBidi" w:cstheme="majorBidi"/>
                <w:noProof/>
                <w:sz w:val="20"/>
                <w:szCs w:val="20"/>
                <w:lang w:eastAsia="en-GB"/>
              </w:rPr>
              <w:footnoteReference w:id="1564"/>
            </w:r>
          </w:p>
          <w:p w14:paraId="58FE15B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اللواء سمير عبدالله صبري</w:t>
            </w:r>
          </w:p>
        </w:tc>
        <w:tc>
          <w:tcPr>
            <w:tcW w:w="2250" w:type="dxa"/>
            <w:tcBorders>
              <w:top w:val="nil"/>
              <w:left w:val="nil"/>
              <w:bottom w:val="nil"/>
              <w:right w:val="nil"/>
            </w:tcBorders>
          </w:tcPr>
          <w:p w14:paraId="269460DB"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Axis Commander and 145</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Infantry Brigade</w:t>
            </w:r>
          </w:p>
          <w:p w14:paraId="255474B2"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340DA0E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31 December 2018</w:t>
            </w:r>
          </w:p>
        </w:tc>
      </w:tr>
      <w:tr w:rsidR="00EA7E88" w:rsidRPr="00B91FAE" w14:paraId="3F591862" w14:textId="77777777" w:rsidTr="00162F52">
        <w:tc>
          <w:tcPr>
            <w:tcW w:w="816" w:type="dxa"/>
            <w:tcBorders>
              <w:top w:val="nil"/>
              <w:left w:val="nil"/>
              <w:bottom w:val="nil"/>
              <w:right w:val="nil"/>
            </w:tcBorders>
          </w:tcPr>
          <w:p w14:paraId="637AB72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969" w:type="dxa"/>
            <w:tcBorders>
              <w:top w:val="nil"/>
              <w:left w:val="nil"/>
              <w:bottom w:val="nil"/>
              <w:right w:val="nil"/>
            </w:tcBorders>
          </w:tcPr>
          <w:p w14:paraId="75D13E2A"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 xml:space="preserve">Brigadier General Adnan Rozaiq </w:t>
            </w:r>
          </w:p>
          <w:p w14:paraId="774AB9C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عدنان رزيق</w:t>
            </w:r>
          </w:p>
        </w:tc>
        <w:tc>
          <w:tcPr>
            <w:tcW w:w="2250" w:type="dxa"/>
            <w:tcBorders>
              <w:top w:val="nil"/>
              <w:left w:val="nil"/>
              <w:bottom w:val="nil"/>
              <w:right w:val="nil"/>
            </w:tcBorders>
          </w:tcPr>
          <w:p w14:paraId="08C6167C"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head of Taizz Axis Operation Branch and commander of 5th Presidential Protection Brigade</w:t>
            </w:r>
            <w:r w:rsidRPr="00B91FAE">
              <w:rPr>
                <w:rFonts w:asciiTheme="majorBidi" w:hAnsiTheme="majorBidi" w:cstheme="majorBidi"/>
                <w:sz w:val="20"/>
                <w:szCs w:val="20"/>
                <w:vertAlign w:val="superscript"/>
              </w:rPr>
              <w:footnoteReference w:id="1565"/>
            </w:r>
          </w:p>
          <w:p w14:paraId="32594B05"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269FCC9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17 November 2017</w:t>
            </w:r>
          </w:p>
          <w:p w14:paraId="5B78AB86"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sz w:val="20"/>
                <w:szCs w:val="20"/>
              </w:rPr>
              <w:t>Earlier</w:t>
            </w:r>
            <w:r w:rsidRPr="00B91FAE">
              <w:rPr>
                <w:rFonts w:asciiTheme="majorBidi" w:hAnsiTheme="majorBidi" w:cstheme="majorBidi"/>
                <w:b/>
                <w:bCs/>
                <w:sz w:val="20"/>
                <w:szCs w:val="20"/>
              </w:rPr>
              <w:t xml:space="preserve">, </w:t>
            </w:r>
            <w:r w:rsidRPr="00B91FAE">
              <w:rPr>
                <w:rFonts w:asciiTheme="majorBidi" w:hAnsiTheme="majorBidi" w:cstheme="majorBidi"/>
                <w:sz w:val="20"/>
                <w:szCs w:val="20"/>
              </w:rPr>
              <w:t>he formed and led the resistance group called the Hasm Battalions</w:t>
            </w:r>
          </w:p>
        </w:tc>
      </w:tr>
      <w:tr w:rsidR="00EA7E88" w:rsidRPr="00B91FAE" w14:paraId="1E17965F" w14:textId="77777777" w:rsidTr="00162F52">
        <w:tc>
          <w:tcPr>
            <w:tcW w:w="816" w:type="dxa"/>
            <w:tcBorders>
              <w:top w:val="nil"/>
              <w:left w:val="nil"/>
              <w:bottom w:val="nil"/>
              <w:right w:val="nil"/>
            </w:tcBorders>
          </w:tcPr>
          <w:p w14:paraId="5809463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969" w:type="dxa"/>
            <w:tcBorders>
              <w:top w:val="nil"/>
              <w:left w:val="nil"/>
              <w:bottom w:val="nil"/>
              <w:right w:val="nil"/>
            </w:tcBorders>
          </w:tcPr>
          <w:p w14:paraId="76D85571"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Brigadier General  Abdel Rhman al-Shamsani</w:t>
            </w:r>
          </w:p>
          <w:p w14:paraId="6452D499"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عبدالرحمن الشمساني</w:t>
            </w:r>
          </w:p>
          <w:p w14:paraId="58B2D7DC"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600FEA70" w14:textId="77777777" w:rsidR="00EA7E88" w:rsidRPr="00B91FAE" w:rsidRDefault="00EA7E88" w:rsidP="00162F52">
            <w:pPr>
              <w:rPr>
                <w:rFonts w:asciiTheme="majorBidi" w:hAnsiTheme="majorBidi" w:cstheme="majorBidi"/>
                <w:noProof/>
                <w:sz w:val="20"/>
                <w:szCs w:val="20"/>
                <w:lang w:val="en-US" w:eastAsia="en-GB"/>
              </w:rPr>
            </w:pPr>
            <w:r w:rsidRPr="00B91FAE">
              <w:rPr>
                <w:rFonts w:asciiTheme="majorBidi" w:hAnsiTheme="majorBidi" w:cstheme="majorBidi"/>
                <w:noProof/>
                <w:sz w:val="20"/>
                <w:szCs w:val="20"/>
                <w:lang w:eastAsia="en-GB"/>
              </w:rPr>
              <w:t>17</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Infantry Brigade</w:t>
            </w:r>
            <w:r w:rsidRPr="00B91FAE">
              <w:rPr>
                <w:rStyle w:val="FootnoteReference"/>
                <w:rFonts w:asciiTheme="majorBidi" w:hAnsiTheme="majorBidi" w:cstheme="majorBidi"/>
                <w:noProof/>
                <w:sz w:val="20"/>
                <w:szCs w:val="20"/>
                <w:lang w:eastAsia="en-GB"/>
              </w:rPr>
              <w:footnoteReference w:id="1566"/>
            </w:r>
          </w:p>
        </w:tc>
        <w:tc>
          <w:tcPr>
            <w:tcW w:w="4050" w:type="dxa"/>
            <w:tcBorders>
              <w:top w:val="nil"/>
              <w:left w:val="nil"/>
              <w:bottom w:val="nil"/>
              <w:right w:val="nil"/>
            </w:tcBorders>
          </w:tcPr>
          <w:p w14:paraId="5DA1AA85" w14:textId="77777777" w:rsidR="00EA7E88" w:rsidRPr="00B91FAE" w:rsidRDefault="00EA7E88" w:rsidP="00162F52">
            <w:pPr>
              <w:rPr>
                <w:rFonts w:asciiTheme="majorBidi" w:hAnsiTheme="majorBidi" w:cstheme="majorBidi"/>
                <w:noProof/>
                <w:sz w:val="20"/>
                <w:szCs w:val="20"/>
                <w:rtl/>
                <w:lang w:eastAsia="en-GB" w:bidi="ar-JO"/>
              </w:rPr>
            </w:pPr>
            <w:r w:rsidRPr="00B91FAE">
              <w:rPr>
                <w:rFonts w:asciiTheme="majorBidi" w:hAnsiTheme="majorBidi" w:cstheme="majorBidi"/>
                <w:noProof/>
                <w:sz w:val="20"/>
                <w:szCs w:val="20"/>
                <w:lang w:eastAsia="en-GB"/>
              </w:rPr>
              <w:t>Ta’izz</w:t>
            </w:r>
          </w:p>
        </w:tc>
      </w:tr>
      <w:tr w:rsidR="00EA7E88" w:rsidRPr="00B91FAE" w14:paraId="415E5F67" w14:textId="77777777" w:rsidTr="00162F52">
        <w:tc>
          <w:tcPr>
            <w:tcW w:w="816" w:type="dxa"/>
            <w:tcBorders>
              <w:top w:val="nil"/>
              <w:left w:val="nil"/>
              <w:bottom w:val="nil"/>
              <w:right w:val="nil"/>
            </w:tcBorders>
          </w:tcPr>
          <w:p w14:paraId="09F07D2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969" w:type="dxa"/>
            <w:tcBorders>
              <w:top w:val="nil"/>
              <w:left w:val="nil"/>
              <w:bottom w:val="nil"/>
              <w:right w:val="nil"/>
            </w:tcBorders>
          </w:tcPr>
          <w:p w14:paraId="69FCFA75"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Brigadier General Sadeq Sarhan</w:t>
            </w:r>
          </w:p>
          <w:p w14:paraId="29213F6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lastRenderedPageBreak/>
              <w:t>العميد صادق سرحان</w:t>
            </w:r>
          </w:p>
        </w:tc>
        <w:tc>
          <w:tcPr>
            <w:tcW w:w="2250" w:type="dxa"/>
            <w:tcBorders>
              <w:top w:val="nil"/>
              <w:left w:val="nil"/>
              <w:bottom w:val="nil"/>
              <w:right w:val="nil"/>
            </w:tcBorders>
          </w:tcPr>
          <w:p w14:paraId="7B8B527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sz w:val="20"/>
                <w:szCs w:val="20"/>
              </w:rPr>
              <w:lastRenderedPageBreak/>
              <w:t>commands the 22</w:t>
            </w:r>
            <w:r w:rsidRPr="00B91FAE">
              <w:rPr>
                <w:rFonts w:asciiTheme="majorBidi" w:hAnsiTheme="majorBidi" w:cstheme="majorBidi"/>
                <w:sz w:val="20"/>
                <w:szCs w:val="20"/>
                <w:vertAlign w:val="superscript"/>
              </w:rPr>
              <w:t>nd</w:t>
            </w:r>
            <w:r w:rsidRPr="00B91FAE">
              <w:rPr>
                <w:rFonts w:asciiTheme="majorBidi" w:hAnsiTheme="majorBidi" w:cstheme="majorBidi"/>
                <w:sz w:val="20"/>
                <w:szCs w:val="20"/>
              </w:rPr>
              <w:t xml:space="preserve"> </w:t>
            </w:r>
            <w:r w:rsidRPr="00B91FAE">
              <w:rPr>
                <w:rFonts w:asciiTheme="majorBidi" w:hAnsiTheme="majorBidi" w:cstheme="majorBidi"/>
                <w:sz w:val="20"/>
                <w:szCs w:val="20"/>
              </w:rPr>
              <w:lastRenderedPageBreak/>
              <w:t>Brigade</w:t>
            </w:r>
            <w:r w:rsidRPr="00B91FAE">
              <w:rPr>
                <w:rStyle w:val="FootnoteReference"/>
                <w:rFonts w:asciiTheme="majorBidi" w:hAnsiTheme="majorBidi" w:cstheme="majorBidi"/>
                <w:sz w:val="20"/>
                <w:szCs w:val="20"/>
              </w:rPr>
              <w:footnoteReference w:id="1567"/>
            </w:r>
          </w:p>
        </w:tc>
        <w:tc>
          <w:tcPr>
            <w:tcW w:w="4050" w:type="dxa"/>
            <w:tcBorders>
              <w:top w:val="nil"/>
              <w:left w:val="nil"/>
              <w:bottom w:val="nil"/>
              <w:right w:val="nil"/>
            </w:tcBorders>
          </w:tcPr>
          <w:p w14:paraId="2AE8D5C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lastRenderedPageBreak/>
              <w:t xml:space="preserve">Ta’izz, He was appointed at the beginning of </w:t>
            </w:r>
            <w:r w:rsidRPr="00B91FAE">
              <w:rPr>
                <w:rFonts w:asciiTheme="majorBidi" w:hAnsiTheme="majorBidi" w:cstheme="majorBidi"/>
                <w:noProof/>
                <w:sz w:val="20"/>
                <w:szCs w:val="20"/>
                <w:lang w:eastAsia="en-GB"/>
              </w:rPr>
              <w:lastRenderedPageBreak/>
              <w:t>the conflict and has had to rebuild a brigade that in large part sided with the Houthi/Saleh alliance</w:t>
            </w:r>
          </w:p>
        </w:tc>
      </w:tr>
      <w:tr w:rsidR="00EA7E88" w:rsidRPr="00B91FAE" w14:paraId="128954D3" w14:textId="77777777" w:rsidTr="00162F52">
        <w:tc>
          <w:tcPr>
            <w:tcW w:w="816" w:type="dxa"/>
            <w:tcBorders>
              <w:top w:val="nil"/>
              <w:left w:val="nil"/>
              <w:bottom w:val="nil"/>
              <w:right w:val="nil"/>
            </w:tcBorders>
          </w:tcPr>
          <w:p w14:paraId="5C7ED50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10</w:t>
            </w:r>
          </w:p>
        </w:tc>
        <w:tc>
          <w:tcPr>
            <w:tcW w:w="2969" w:type="dxa"/>
            <w:tcBorders>
              <w:top w:val="nil"/>
              <w:left w:val="nil"/>
              <w:bottom w:val="nil"/>
              <w:right w:val="nil"/>
            </w:tcBorders>
          </w:tcPr>
          <w:p w14:paraId="08BF2285"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Brigadier General Adnan al-Hammadi</w:t>
            </w:r>
            <w:r w:rsidRPr="00B91FAE">
              <w:rPr>
                <w:rStyle w:val="FootnoteReference"/>
                <w:rFonts w:asciiTheme="majorBidi" w:hAnsiTheme="majorBidi" w:cstheme="majorBidi"/>
                <w:noProof/>
                <w:sz w:val="20"/>
                <w:szCs w:val="20"/>
                <w:lang w:eastAsia="en-GB"/>
              </w:rPr>
              <w:footnoteReference w:id="1568"/>
            </w:r>
            <w:r w:rsidRPr="00A1624A">
              <w:rPr>
                <w:rFonts w:asciiTheme="majorBidi" w:hAnsiTheme="majorBidi" w:cstheme="majorBidi"/>
                <w:noProof/>
                <w:sz w:val="20"/>
                <w:szCs w:val="20"/>
                <w:lang w:val="es-ES" w:eastAsia="en-GB"/>
              </w:rPr>
              <w:t xml:space="preserve"> </w:t>
            </w:r>
          </w:p>
          <w:p w14:paraId="279C0BE7"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العميد عدنان الحمادي</w:t>
            </w:r>
          </w:p>
          <w:p w14:paraId="2881709D"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08CA0CC2"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35</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Armoured Brigade</w:t>
            </w:r>
          </w:p>
          <w:p w14:paraId="4A581A2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noProof/>
                <w:sz w:val="20"/>
                <w:szCs w:val="20"/>
                <w:lang w:eastAsia="en-GB"/>
              </w:rPr>
              <w:t xml:space="preserve"> </w:t>
            </w:r>
          </w:p>
        </w:tc>
        <w:tc>
          <w:tcPr>
            <w:tcW w:w="4050" w:type="dxa"/>
            <w:tcBorders>
              <w:top w:val="nil"/>
              <w:left w:val="nil"/>
              <w:bottom w:val="nil"/>
              <w:right w:val="nil"/>
            </w:tcBorders>
          </w:tcPr>
          <w:p w14:paraId="30F06CC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 April 2015</w:t>
            </w:r>
          </w:p>
        </w:tc>
      </w:tr>
      <w:tr w:rsidR="00EA7E88" w:rsidRPr="00B91FAE" w14:paraId="7E80B75F" w14:textId="77777777" w:rsidTr="00162F52">
        <w:tc>
          <w:tcPr>
            <w:tcW w:w="816" w:type="dxa"/>
            <w:tcBorders>
              <w:top w:val="nil"/>
              <w:left w:val="nil"/>
              <w:bottom w:val="nil"/>
              <w:right w:val="nil"/>
            </w:tcBorders>
          </w:tcPr>
          <w:p w14:paraId="3987F0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969" w:type="dxa"/>
            <w:tcBorders>
              <w:top w:val="nil"/>
              <w:left w:val="nil"/>
              <w:bottom w:val="nil"/>
              <w:right w:val="nil"/>
            </w:tcBorders>
          </w:tcPr>
          <w:p w14:paraId="2F19B487"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Abu Baker al-Jabuli</w:t>
            </w:r>
          </w:p>
          <w:p w14:paraId="082F65A1"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ابو بكر الجبولي</w:t>
            </w:r>
          </w:p>
        </w:tc>
        <w:tc>
          <w:tcPr>
            <w:tcW w:w="2250" w:type="dxa"/>
            <w:tcBorders>
              <w:top w:val="nil"/>
              <w:left w:val="nil"/>
              <w:bottom w:val="nil"/>
              <w:right w:val="nil"/>
            </w:tcBorders>
          </w:tcPr>
          <w:p w14:paraId="1D5A890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4</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Mountain Infantry Brigade</w:t>
            </w:r>
            <w:r w:rsidRPr="00B91FAE">
              <w:rPr>
                <w:rStyle w:val="FootnoteReference"/>
                <w:rFonts w:asciiTheme="majorBidi" w:hAnsiTheme="majorBidi" w:cstheme="majorBidi"/>
                <w:noProof/>
                <w:sz w:val="20"/>
                <w:szCs w:val="20"/>
                <w:lang w:eastAsia="en-GB"/>
              </w:rPr>
              <w:footnoteReference w:id="1569"/>
            </w:r>
          </w:p>
          <w:p w14:paraId="3547026B" w14:textId="77777777" w:rsidR="00EA7E88" w:rsidRPr="00B91FAE" w:rsidRDefault="00EA7E88" w:rsidP="00162F52">
            <w:pPr>
              <w:rPr>
                <w:rFonts w:asciiTheme="majorBidi" w:hAnsiTheme="majorBidi" w:cstheme="majorBidi"/>
                <w:noProof/>
                <w:sz w:val="20"/>
                <w:szCs w:val="20"/>
                <w:rtl/>
                <w:lang w:eastAsia="en-GB" w:bidi="ar-JO"/>
              </w:rPr>
            </w:pPr>
          </w:p>
        </w:tc>
        <w:tc>
          <w:tcPr>
            <w:tcW w:w="4050" w:type="dxa"/>
            <w:tcBorders>
              <w:top w:val="nil"/>
              <w:left w:val="nil"/>
              <w:bottom w:val="nil"/>
              <w:right w:val="nil"/>
            </w:tcBorders>
          </w:tcPr>
          <w:p w14:paraId="0034A3E8"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Hefan front,  Abu Baker is not a military officer</w:t>
            </w:r>
            <w:r w:rsidRPr="00B91FAE">
              <w:rPr>
                <w:rStyle w:val="FootnoteReference"/>
                <w:rFonts w:asciiTheme="majorBidi" w:hAnsiTheme="majorBidi" w:cstheme="majorBidi"/>
                <w:noProof/>
                <w:sz w:val="20"/>
                <w:szCs w:val="20"/>
                <w:lang w:eastAsia="en-GB"/>
              </w:rPr>
              <w:footnoteReference w:id="1570"/>
            </w:r>
          </w:p>
        </w:tc>
      </w:tr>
      <w:tr w:rsidR="00EA7E88" w:rsidRPr="00B91FAE" w14:paraId="0F8AC533" w14:textId="77777777" w:rsidTr="00162F52">
        <w:tc>
          <w:tcPr>
            <w:tcW w:w="816" w:type="dxa"/>
            <w:tcBorders>
              <w:top w:val="nil"/>
              <w:left w:val="nil"/>
              <w:bottom w:val="nil"/>
              <w:right w:val="nil"/>
            </w:tcBorders>
          </w:tcPr>
          <w:p w14:paraId="2B07AB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969" w:type="dxa"/>
            <w:tcBorders>
              <w:top w:val="nil"/>
              <w:left w:val="nil"/>
              <w:bottom w:val="nil"/>
              <w:right w:val="nil"/>
            </w:tcBorders>
          </w:tcPr>
          <w:p w14:paraId="60429D14"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val="en-US" w:eastAsia="en-GB"/>
              </w:rPr>
              <w:t xml:space="preserve">Brig. Gen. </w:t>
            </w:r>
            <w:r w:rsidRPr="00B91FAE">
              <w:rPr>
                <w:rFonts w:asciiTheme="majorBidi" w:hAnsiTheme="majorBidi" w:cstheme="majorBidi"/>
                <w:noProof/>
                <w:sz w:val="20"/>
                <w:szCs w:val="20"/>
                <w:lang w:eastAsia="en-GB"/>
              </w:rPr>
              <w:t>Abdulaziz Ahmed Nasser Al-Majidi</w:t>
            </w:r>
            <w:r w:rsidRPr="00B91FAE">
              <w:rPr>
                <w:rStyle w:val="FootnoteReference"/>
                <w:rFonts w:asciiTheme="majorBidi" w:hAnsiTheme="majorBidi" w:cstheme="majorBidi"/>
                <w:noProof/>
                <w:sz w:val="20"/>
                <w:szCs w:val="20"/>
                <w:lang w:eastAsia="en-GB"/>
              </w:rPr>
              <w:footnoteReference w:id="1571"/>
            </w:r>
          </w:p>
          <w:p w14:paraId="769103B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bidi="ar-JO"/>
              </w:rPr>
              <w:t xml:space="preserve">العميد </w:t>
            </w:r>
            <w:r w:rsidRPr="00B91FAE">
              <w:rPr>
                <w:rFonts w:asciiTheme="majorBidi" w:hAnsiTheme="majorBidi" w:cstheme="majorBidi"/>
                <w:noProof/>
                <w:sz w:val="20"/>
                <w:szCs w:val="20"/>
                <w:rtl/>
                <w:lang w:eastAsia="en-GB"/>
              </w:rPr>
              <w:t>عبد العزيز احمد ناصر المجيدي</w:t>
            </w:r>
          </w:p>
        </w:tc>
        <w:tc>
          <w:tcPr>
            <w:tcW w:w="2250" w:type="dxa"/>
            <w:tcBorders>
              <w:top w:val="nil"/>
              <w:left w:val="nil"/>
              <w:bottom w:val="nil"/>
              <w:right w:val="nil"/>
            </w:tcBorders>
          </w:tcPr>
          <w:p w14:paraId="34499D6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170</w:t>
            </w:r>
            <w:r w:rsidRPr="00B91FAE">
              <w:rPr>
                <w:rFonts w:asciiTheme="majorBidi" w:hAnsiTheme="majorBidi" w:cstheme="majorBidi"/>
                <w:noProof/>
                <w:sz w:val="20"/>
                <w:szCs w:val="20"/>
                <w:vertAlign w:val="superscript"/>
                <w:lang w:eastAsia="en-GB"/>
              </w:rPr>
              <w:t>th</w:t>
            </w:r>
            <w:r w:rsidRPr="00B91FAE">
              <w:rPr>
                <w:rFonts w:asciiTheme="majorBidi" w:hAnsiTheme="majorBidi" w:cstheme="majorBidi"/>
                <w:noProof/>
                <w:sz w:val="20"/>
                <w:szCs w:val="20"/>
                <w:lang w:eastAsia="en-GB"/>
              </w:rPr>
              <w:t xml:space="preserve">  Air defence Brigade</w:t>
            </w:r>
            <w:r w:rsidRPr="00B91FAE">
              <w:rPr>
                <w:rStyle w:val="FootnoteReference"/>
                <w:rFonts w:asciiTheme="majorBidi" w:hAnsiTheme="majorBidi" w:cstheme="majorBidi"/>
                <w:noProof/>
                <w:sz w:val="20"/>
                <w:szCs w:val="20"/>
                <w:lang w:eastAsia="en-GB"/>
              </w:rPr>
              <w:footnoteReference w:id="1572"/>
            </w:r>
          </w:p>
          <w:p w14:paraId="0728BC0F"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40C3490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The al-Shamayatain Front, 20 February 2018</w:t>
            </w:r>
          </w:p>
          <w:p w14:paraId="1ED5EA50" w14:textId="77777777" w:rsidR="00EA7E88" w:rsidRPr="00B91FAE" w:rsidRDefault="00EA7E88" w:rsidP="00162F52">
            <w:pPr>
              <w:rPr>
                <w:rFonts w:asciiTheme="majorBidi" w:hAnsiTheme="majorBidi" w:cstheme="majorBidi"/>
                <w:noProof/>
                <w:sz w:val="20"/>
                <w:szCs w:val="20"/>
                <w:lang w:eastAsia="en-GB"/>
              </w:rPr>
            </w:pPr>
          </w:p>
        </w:tc>
      </w:tr>
      <w:tr w:rsidR="00EA7E88" w:rsidRPr="00B91FAE" w14:paraId="4EA89ABA" w14:textId="77777777" w:rsidTr="00162F52">
        <w:tc>
          <w:tcPr>
            <w:tcW w:w="816" w:type="dxa"/>
            <w:tcBorders>
              <w:top w:val="nil"/>
              <w:left w:val="nil"/>
              <w:bottom w:val="nil"/>
              <w:right w:val="nil"/>
            </w:tcBorders>
          </w:tcPr>
          <w:p w14:paraId="59BBE99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969" w:type="dxa"/>
            <w:tcBorders>
              <w:top w:val="nil"/>
              <w:left w:val="nil"/>
              <w:bottom w:val="nil"/>
              <w:right w:val="nil"/>
            </w:tcBorders>
          </w:tcPr>
          <w:p w14:paraId="18FD9C01" w14:textId="77777777" w:rsidR="00EA7E88" w:rsidRPr="00B91FAE" w:rsidRDefault="00EA7E88" w:rsidP="00162F52">
            <w:pPr>
              <w:rPr>
                <w:rFonts w:asciiTheme="majorBidi" w:hAnsiTheme="majorBidi" w:cstheme="majorBidi"/>
                <w:noProof/>
                <w:sz w:val="20"/>
                <w:szCs w:val="20"/>
                <w:rtl/>
                <w:lang w:eastAsia="en-GB"/>
              </w:rPr>
            </w:pPr>
            <w:r w:rsidRPr="00A1624A">
              <w:rPr>
                <w:rFonts w:asciiTheme="majorBidi" w:hAnsiTheme="majorBidi" w:cstheme="majorBidi"/>
                <w:noProof/>
                <w:sz w:val="20"/>
                <w:szCs w:val="20"/>
                <w:lang w:val="es-ES" w:eastAsia="en-GB"/>
              </w:rPr>
              <w:t xml:space="preserve">Adel Abdu Fare’a aka Abu Al-Abbas </w:t>
            </w:r>
          </w:p>
          <w:p w14:paraId="54568AC9"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عادل عبده فارع (ابو العباس)</w:t>
            </w:r>
          </w:p>
        </w:tc>
        <w:tc>
          <w:tcPr>
            <w:tcW w:w="2250" w:type="dxa"/>
            <w:tcBorders>
              <w:top w:val="nil"/>
              <w:left w:val="nil"/>
              <w:bottom w:val="nil"/>
              <w:right w:val="nil"/>
            </w:tcBorders>
          </w:tcPr>
          <w:p w14:paraId="1717123F"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Commander of the Abu Al-Abbas Battalions</w:t>
            </w:r>
            <w:r w:rsidRPr="00B91FAE">
              <w:rPr>
                <w:rStyle w:val="FootnoteReference"/>
                <w:rFonts w:asciiTheme="majorBidi" w:hAnsiTheme="majorBidi" w:cstheme="majorBidi"/>
                <w:noProof/>
                <w:sz w:val="20"/>
                <w:szCs w:val="20"/>
                <w:lang w:eastAsia="en-GB"/>
              </w:rPr>
              <w:footnoteReference w:id="1573"/>
            </w:r>
          </w:p>
          <w:p w14:paraId="6B23AA77" w14:textId="77777777" w:rsidR="00EA7E88" w:rsidRPr="00B91FAE" w:rsidRDefault="00EA7E88" w:rsidP="00162F52">
            <w:pPr>
              <w:rPr>
                <w:rFonts w:asciiTheme="majorBidi" w:hAnsiTheme="majorBidi" w:cstheme="majorBidi"/>
                <w:noProof/>
                <w:sz w:val="20"/>
                <w:szCs w:val="20"/>
                <w:lang w:eastAsia="en-GB"/>
              </w:rPr>
            </w:pPr>
          </w:p>
        </w:tc>
        <w:tc>
          <w:tcPr>
            <w:tcW w:w="4050" w:type="dxa"/>
            <w:tcBorders>
              <w:top w:val="nil"/>
              <w:left w:val="nil"/>
              <w:bottom w:val="nil"/>
              <w:right w:val="nil"/>
            </w:tcBorders>
          </w:tcPr>
          <w:p w14:paraId="524F7E2E"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al-Kadha, In October 2017, the USA and Saudi Arabia designated him a terrorist</w:t>
            </w:r>
            <w:r w:rsidRPr="00B91FAE">
              <w:rPr>
                <w:rStyle w:val="FootnoteReference"/>
                <w:rFonts w:asciiTheme="majorBidi" w:hAnsiTheme="majorBidi" w:cstheme="majorBidi"/>
                <w:noProof/>
                <w:sz w:val="20"/>
                <w:szCs w:val="20"/>
                <w:lang w:eastAsia="en-GB"/>
              </w:rPr>
              <w:footnoteReference w:id="1574"/>
            </w:r>
          </w:p>
        </w:tc>
      </w:tr>
      <w:tr w:rsidR="00EA7E88" w:rsidRPr="00B91FAE" w14:paraId="744A8135" w14:textId="77777777" w:rsidTr="00162F52">
        <w:tc>
          <w:tcPr>
            <w:tcW w:w="816" w:type="dxa"/>
            <w:tcBorders>
              <w:top w:val="nil"/>
              <w:left w:val="nil"/>
              <w:bottom w:val="nil"/>
              <w:right w:val="nil"/>
            </w:tcBorders>
          </w:tcPr>
          <w:p w14:paraId="3544C09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14</w:t>
            </w:r>
          </w:p>
        </w:tc>
        <w:tc>
          <w:tcPr>
            <w:tcW w:w="2969" w:type="dxa"/>
            <w:tcBorders>
              <w:top w:val="nil"/>
              <w:left w:val="nil"/>
              <w:bottom w:val="nil"/>
              <w:right w:val="nil"/>
            </w:tcBorders>
          </w:tcPr>
          <w:p w14:paraId="299E2838" w14:textId="77777777" w:rsidR="00EA7E88" w:rsidRPr="00B91FAE" w:rsidRDefault="00EA7E88" w:rsidP="00162F52">
            <w:pPr>
              <w:rPr>
                <w:rFonts w:asciiTheme="majorBidi" w:hAnsiTheme="majorBidi" w:cstheme="majorBidi"/>
                <w:noProof/>
                <w:sz w:val="20"/>
                <w:szCs w:val="20"/>
                <w:rtl/>
                <w:lang w:eastAsia="en-GB"/>
              </w:rPr>
            </w:pPr>
            <w:r w:rsidRPr="00B91FAE">
              <w:rPr>
                <w:rFonts w:asciiTheme="majorBidi" w:hAnsiTheme="majorBidi" w:cstheme="majorBidi"/>
                <w:noProof/>
                <w:sz w:val="20"/>
                <w:szCs w:val="20"/>
                <w:lang w:eastAsia="en-GB"/>
              </w:rPr>
              <w:t>Abdulhafedh al-Faqeeh</w:t>
            </w:r>
          </w:p>
          <w:p w14:paraId="3379B660"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عبد الحافظ الفقيه</w:t>
            </w:r>
          </w:p>
          <w:p w14:paraId="5F564608" w14:textId="77777777" w:rsidR="00EA7E88" w:rsidRPr="00B91FAE" w:rsidRDefault="00EA7E88" w:rsidP="00162F52">
            <w:pPr>
              <w:rPr>
                <w:rFonts w:asciiTheme="majorBidi" w:hAnsiTheme="majorBidi" w:cstheme="majorBidi"/>
                <w:noProof/>
                <w:sz w:val="20"/>
                <w:szCs w:val="20"/>
                <w:lang w:eastAsia="en-GB"/>
              </w:rPr>
            </w:pPr>
          </w:p>
        </w:tc>
        <w:tc>
          <w:tcPr>
            <w:tcW w:w="2250" w:type="dxa"/>
            <w:tcBorders>
              <w:top w:val="nil"/>
              <w:left w:val="nil"/>
              <w:bottom w:val="nil"/>
              <w:right w:val="nil"/>
            </w:tcBorders>
          </w:tcPr>
          <w:p w14:paraId="0BC993DA"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 xml:space="preserve">Influence, </w:t>
            </w:r>
            <w:r w:rsidRPr="00B91FAE">
              <w:rPr>
                <w:rFonts w:asciiTheme="majorBidi" w:hAnsiTheme="majorBidi" w:cstheme="majorBidi"/>
                <w:sz w:val="20"/>
                <w:szCs w:val="20"/>
              </w:rPr>
              <w:t>Islah leader</w:t>
            </w:r>
            <w:r w:rsidRPr="00B91FAE">
              <w:rPr>
                <w:rStyle w:val="FootnoteReference"/>
                <w:rFonts w:asciiTheme="majorBidi" w:hAnsiTheme="majorBidi" w:cstheme="majorBidi"/>
                <w:sz w:val="20"/>
                <w:szCs w:val="20"/>
              </w:rPr>
              <w:footnoteReference w:id="1575"/>
            </w:r>
          </w:p>
        </w:tc>
        <w:tc>
          <w:tcPr>
            <w:tcW w:w="4050" w:type="dxa"/>
            <w:tcBorders>
              <w:top w:val="nil"/>
              <w:left w:val="nil"/>
              <w:bottom w:val="nil"/>
              <w:right w:val="nil"/>
            </w:tcBorders>
          </w:tcPr>
          <w:p w14:paraId="4F39B7BC"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w:t>
            </w:r>
          </w:p>
        </w:tc>
      </w:tr>
      <w:tr w:rsidR="00EA7E88" w:rsidRPr="00B91FAE" w14:paraId="0CEAAC31" w14:textId="77777777" w:rsidTr="00162F52">
        <w:tc>
          <w:tcPr>
            <w:tcW w:w="816" w:type="dxa"/>
            <w:tcBorders>
              <w:top w:val="nil"/>
              <w:left w:val="nil"/>
              <w:bottom w:val="nil"/>
              <w:right w:val="nil"/>
            </w:tcBorders>
          </w:tcPr>
          <w:p w14:paraId="694BCD4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969" w:type="dxa"/>
            <w:tcBorders>
              <w:top w:val="nil"/>
              <w:left w:val="nil"/>
              <w:bottom w:val="nil"/>
              <w:right w:val="nil"/>
            </w:tcBorders>
          </w:tcPr>
          <w:p w14:paraId="1C0E3253"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Abdu Farhan “Salem”</w:t>
            </w:r>
          </w:p>
          <w:p w14:paraId="67AD495B"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rtl/>
                <w:lang w:eastAsia="en-GB"/>
              </w:rPr>
              <w:t>عبده فرحان سالم</w:t>
            </w:r>
          </w:p>
        </w:tc>
        <w:tc>
          <w:tcPr>
            <w:tcW w:w="2250" w:type="dxa"/>
            <w:tcBorders>
              <w:top w:val="nil"/>
              <w:left w:val="nil"/>
              <w:bottom w:val="nil"/>
              <w:right w:val="nil"/>
            </w:tcBorders>
          </w:tcPr>
          <w:p w14:paraId="7DE41287"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Influence, Islah Leader</w:t>
            </w:r>
            <w:r w:rsidRPr="00B91FAE">
              <w:rPr>
                <w:rStyle w:val="FootnoteReference"/>
                <w:rFonts w:asciiTheme="majorBidi" w:hAnsiTheme="majorBidi" w:cstheme="majorBidi"/>
                <w:noProof/>
                <w:sz w:val="20"/>
                <w:szCs w:val="20"/>
                <w:lang w:eastAsia="en-GB"/>
              </w:rPr>
              <w:footnoteReference w:id="1576"/>
            </w:r>
          </w:p>
        </w:tc>
        <w:tc>
          <w:tcPr>
            <w:tcW w:w="4050" w:type="dxa"/>
            <w:tcBorders>
              <w:top w:val="nil"/>
              <w:left w:val="nil"/>
              <w:bottom w:val="nil"/>
              <w:right w:val="nil"/>
            </w:tcBorders>
          </w:tcPr>
          <w:p w14:paraId="31A7C984" w14:textId="77777777" w:rsidR="00EA7E88" w:rsidRPr="00B91FAE" w:rsidRDefault="00EA7E88" w:rsidP="00162F52">
            <w:pPr>
              <w:rPr>
                <w:rFonts w:asciiTheme="majorBidi" w:hAnsiTheme="majorBidi" w:cstheme="majorBidi"/>
                <w:noProof/>
                <w:sz w:val="20"/>
                <w:szCs w:val="20"/>
                <w:lang w:eastAsia="en-GB"/>
              </w:rPr>
            </w:pPr>
            <w:r w:rsidRPr="00B91FAE">
              <w:rPr>
                <w:rFonts w:asciiTheme="majorBidi" w:hAnsiTheme="majorBidi" w:cstheme="majorBidi"/>
                <w:noProof/>
                <w:sz w:val="20"/>
                <w:szCs w:val="20"/>
                <w:lang w:eastAsia="en-GB"/>
              </w:rPr>
              <w:t>Ta’izz</w:t>
            </w:r>
          </w:p>
        </w:tc>
      </w:tr>
    </w:tbl>
    <w:p w14:paraId="21DC821C" w14:textId="77777777" w:rsidR="00EA7E88" w:rsidRPr="00B91FAE" w:rsidRDefault="00EA7E88" w:rsidP="00EA7E88">
      <w:pPr>
        <w:rPr>
          <w:rFonts w:asciiTheme="majorBidi" w:hAnsiTheme="majorBidi" w:cstheme="majorBidi"/>
        </w:rPr>
      </w:pPr>
    </w:p>
    <w:tbl>
      <w:tblPr>
        <w:tblStyle w:val="TableGrid1"/>
        <w:tblW w:w="10085" w:type="dxa"/>
        <w:tblInd w:w="-550" w:type="dxa"/>
        <w:tblLook w:val="04A0" w:firstRow="1" w:lastRow="0" w:firstColumn="1" w:lastColumn="0" w:noHBand="0" w:noVBand="1"/>
      </w:tblPr>
      <w:tblGrid>
        <w:gridCol w:w="705"/>
        <w:gridCol w:w="2811"/>
        <w:gridCol w:w="2050"/>
        <w:gridCol w:w="4519"/>
      </w:tblGrid>
      <w:tr w:rsidR="00EA7E88" w:rsidRPr="00B91FAE" w14:paraId="53D8A42A" w14:textId="77777777" w:rsidTr="00162F52">
        <w:tc>
          <w:tcPr>
            <w:tcW w:w="10085" w:type="dxa"/>
            <w:gridSpan w:val="4"/>
            <w:tcBorders>
              <w:top w:val="nil"/>
              <w:left w:val="nil"/>
              <w:bottom w:val="nil"/>
              <w:right w:val="nil"/>
            </w:tcBorders>
          </w:tcPr>
          <w:p w14:paraId="23782964" w14:textId="77777777" w:rsidR="00EA7E88" w:rsidRPr="00B91FAE" w:rsidRDefault="00EA7E88" w:rsidP="00162F52">
            <w:pPr>
              <w:ind w:hanging="22"/>
              <w:rPr>
                <w:rFonts w:asciiTheme="majorBidi" w:hAnsiTheme="majorBidi" w:cstheme="majorBidi"/>
                <w:b/>
                <w:bCs/>
                <w:sz w:val="20"/>
                <w:szCs w:val="20"/>
              </w:rPr>
            </w:pPr>
            <w:r w:rsidRPr="00B91FAE">
              <w:rPr>
                <w:rFonts w:asciiTheme="majorBidi" w:hAnsiTheme="majorBidi" w:cstheme="majorBidi"/>
                <w:sz w:val="20"/>
                <w:szCs w:val="20"/>
              </w:rPr>
              <w:br w:type="page"/>
            </w:r>
            <w:r w:rsidRPr="00B91FAE">
              <w:rPr>
                <w:rFonts w:asciiTheme="majorBidi" w:hAnsiTheme="majorBidi" w:cstheme="majorBidi"/>
                <w:b/>
                <w:bCs/>
                <w:sz w:val="20"/>
                <w:szCs w:val="20"/>
              </w:rPr>
              <w:t xml:space="preserve">      h.     Main Actors in al-Hudaydah Governorate</w:t>
            </w:r>
          </w:p>
        </w:tc>
      </w:tr>
      <w:tr w:rsidR="00EA7E88" w:rsidRPr="00B91FAE" w14:paraId="760F7367" w14:textId="77777777" w:rsidTr="00162F52">
        <w:tc>
          <w:tcPr>
            <w:tcW w:w="583" w:type="dxa"/>
            <w:tcBorders>
              <w:top w:val="nil"/>
              <w:left w:val="nil"/>
              <w:bottom w:val="single" w:sz="4" w:space="0" w:color="auto"/>
              <w:right w:val="nil"/>
            </w:tcBorders>
            <w:shd w:val="clear" w:color="auto" w:fill="FFFFFF" w:themeFill="background1"/>
          </w:tcPr>
          <w:p w14:paraId="391EB9FF"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S.N</w:t>
            </w:r>
          </w:p>
        </w:tc>
        <w:tc>
          <w:tcPr>
            <w:tcW w:w="2847" w:type="dxa"/>
            <w:tcBorders>
              <w:top w:val="nil"/>
              <w:left w:val="nil"/>
              <w:bottom w:val="single" w:sz="4" w:space="0" w:color="auto"/>
              <w:right w:val="nil"/>
            </w:tcBorders>
            <w:shd w:val="clear" w:color="auto" w:fill="FFFFFF" w:themeFill="background1"/>
          </w:tcPr>
          <w:p w14:paraId="6AD2443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070" w:type="dxa"/>
            <w:tcBorders>
              <w:top w:val="nil"/>
              <w:left w:val="nil"/>
              <w:bottom w:val="single" w:sz="4" w:space="0" w:color="auto"/>
              <w:right w:val="nil"/>
            </w:tcBorders>
            <w:shd w:val="clear" w:color="auto" w:fill="FFFFFF" w:themeFill="background1"/>
          </w:tcPr>
          <w:p w14:paraId="1F8F4D3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585" w:type="dxa"/>
            <w:tcBorders>
              <w:top w:val="nil"/>
              <w:left w:val="nil"/>
              <w:bottom w:val="single" w:sz="4" w:space="0" w:color="auto"/>
              <w:right w:val="nil"/>
            </w:tcBorders>
            <w:shd w:val="clear" w:color="auto" w:fill="FFFFFF" w:themeFill="background1"/>
          </w:tcPr>
          <w:p w14:paraId="5791239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44AD6EE2" w14:textId="77777777" w:rsidTr="00162F52">
        <w:tc>
          <w:tcPr>
            <w:tcW w:w="583" w:type="dxa"/>
            <w:tcBorders>
              <w:top w:val="single" w:sz="4" w:space="0" w:color="auto"/>
              <w:left w:val="nil"/>
              <w:bottom w:val="nil"/>
              <w:right w:val="nil"/>
            </w:tcBorders>
          </w:tcPr>
          <w:p w14:paraId="49CB39E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847" w:type="dxa"/>
            <w:tcBorders>
              <w:top w:val="single" w:sz="4" w:space="0" w:color="auto"/>
              <w:left w:val="nil"/>
              <w:bottom w:val="nil"/>
              <w:right w:val="nil"/>
            </w:tcBorders>
          </w:tcPr>
          <w:p w14:paraId="1479BD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Abdulrahman bin Saleh al-Mahrami Yafi'i , aka Abu Zerah</w:t>
            </w:r>
            <w:r w:rsidRPr="00B91FAE">
              <w:rPr>
                <w:rStyle w:val="FootnoteReference"/>
                <w:rFonts w:asciiTheme="majorBidi" w:hAnsiTheme="majorBidi" w:cstheme="majorBidi"/>
                <w:sz w:val="20"/>
                <w:szCs w:val="20"/>
              </w:rPr>
              <w:footnoteReference w:id="1577"/>
            </w:r>
          </w:p>
          <w:p w14:paraId="1D73E5C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عبدالرحمن بن صالح المحرمي اليافي (ابو زرعه المحرمي)</w:t>
            </w:r>
          </w:p>
          <w:p w14:paraId="0242B786" w14:textId="77777777" w:rsidR="00EA7E88" w:rsidRPr="00B91FAE" w:rsidRDefault="00EA7E88" w:rsidP="00162F52">
            <w:pPr>
              <w:rPr>
                <w:rFonts w:asciiTheme="majorBidi" w:hAnsiTheme="majorBidi" w:cstheme="majorBidi"/>
                <w:sz w:val="20"/>
                <w:szCs w:val="20"/>
                <w:rtl/>
                <w:lang w:bidi="ar-JO"/>
              </w:rPr>
            </w:pPr>
          </w:p>
        </w:tc>
        <w:tc>
          <w:tcPr>
            <w:tcW w:w="2070" w:type="dxa"/>
            <w:tcBorders>
              <w:top w:val="single" w:sz="4" w:space="0" w:color="auto"/>
              <w:left w:val="nil"/>
              <w:bottom w:val="nil"/>
              <w:right w:val="nil"/>
            </w:tcBorders>
          </w:tcPr>
          <w:p w14:paraId="548733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Giants Forces Commander</w:t>
            </w:r>
          </w:p>
        </w:tc>
        <w:tc>
          <w:tcPr>
            <w:tcW w:w="4585" w:type="dxa"/>
            <w:tcBorders>
              <w:top w:val="single" w:sz="4" w:space="0" w:color="auto"/>
              <w:left w:val="nil"/>
              <w:bottom w:val="nil"/>
              <w:right w:val="nil"/>
            </w:tcBorders>
          </w:tcPr>
          <w:p w14:paraId="61E0A17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West Coast, al-Hudaydah</w:t>
            </w:r>
          </w:p>
          <w:p w14:paraId="019EEE7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Giants “al-Amaliqah” Brigades number between 20,000 and 28,000 fighters</w:t>
            </w:r>
            <w:r w:rsidRPr="00B91FAE">
              <w:rPr>
                <w:rStyle w:val="FootnoteReference"/>
                <w:rFonts w:asciiTheme="majorBidi" w:hAnsiTheme="majorBidi" w:cstheme="majorBidi"/>
                <w:sz w:val="20"/>
                <w:szCs w:val="20"/>
              </w:rPr>
              <w:footnoteReference w:id="1578"/>
            </w:r>
          </w:p>
          <w:p w14:paraId="492FAA84" w14:textId="77777777" w:rsidR="00EA7E88" w:rsidRPr="00B91FAE" w:rsidRDefault="00EA7E88" w:rsidP="00162F52">
            <w:pPr>
              <w:rPr>
                <w:rFonts w:asciiTheme="majorBidi" w:hAnsiTheme="majorBidi" w:cstheme="majorBidi"/>
                <w:sz w:val="20"/>
                <w:szCs w:val="20"/>
              </w:rPr>
            </w:pPr>
          </w:p>
        </w:tc>
      </w:tr>
      <w:tr w:rsidR="00EA7E88" w:rsidRPr="00B91FAE" w14:paraId="5E382296" w14:textId="77777777" w:rsidTr="00162F52">
        <w:tc>
          <w:tcPr>
            <w:tcW w:w="583" w:type="dxa"/>
            <w:tcBorders>
              <w:top w:val="nil"/>
              <w:left w:val="nil"/>
              <w:bottom w:val="nil"/>
              <w:right w:val="nil"/>
            </w:tcBorders>
          </w:tcPr>
          <w:p w14:paraId="4C83ACB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847" w:type="dxa"/>
            <w:tcBorders>
              <w:top w:val="nil"/>
              <w:left w:val="nil"/>
              <w:bottom w:val="nil"/>
              <w:right w:val="nil"/>
            </w:tcBorders>
          </w:tcPr>
          <w:p w14:paraId="7286CA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Ra’ed al-Habhi</w:t>
            </w:r>
          </w:p>
          <w:p w14:paraId="380B6D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رائد الحبهي</w:t>
            </w:r>
          </w:p>
        </w:tc>
        <w:tc>
          <w:tcPr>
            <w:tcW w:w="2070" w:type="dxa"/>
            <w:tcBorders>
              <w:top w:val="nil"/>
              <w:left w:val="nil"/>
              <w:bottom w:val="nil"/>
              <w:right w:val="nil"/>
            </w:tcBorders>
          </w:tcPr>
          <w:p w14:paraId="2981E62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1st Giants Brigade</w:t>
            </w:r>
            <w:r w:rsidRPr="00B91FAE">
              <w:rPr>
                <w:rStyle w:val="FootnoteReference"/>
                <w:rFonts w:asciiTheme="majorBidi" w:hAnsiTheme="majorBidi" w:cstheme="majorBidi"/>
                <w:sz w:val="20"/>
                <w:szCs w:val="20"/>
              </w:rPr>
              <w:footnoteReference w:id="1579"/>
            </w:r>
          </w:p>
        </w:tc>
        <w:tc>
          <w:tcPr>
            <w:tcW w:w="4585" w:type="dxa"/>
            <w:tcBorders>
              <w:top w:val="nil"/>
              <w:left w:val="nil"/>
              <w:bottom w:val="nil"/>
              <w:right w:val="nil"/>
            </w:tcBorders>
          </w:tcPr>
          <w:p w14:paraId="7766B1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coast-al-Durayhimi</w:t>
            </w:r>
          </w:p>
          <w:p w14:paraId="39B13482" w14:textId="77777777" w:rsidR="00EA7E88" w:rsidRPr="00B91FAE" w:rsidRDefault="00EA7E88" w:rsidP="00162F52">
            <w:pPr>
              <w:rPr>
                <w:rFonts w:asciiTheme="majorBidi" w:hAnsiTheme="majorBidi" w:cstheme="majorBidi"/>
                <w:sz w:val="20"/>
                <w:szCs w:val="20"/>
              </w:rPr>
            </w:pPr>
          </w:p>
        </w:tc>
      </w:tr>
      <w:tr w:rsidR="00EA7E88" w:rsidRPr="00B91FAE" w14:paraId="5288FE5F" w14:textId="77777777" w:rsidTr="00162F52">
        <w:tc>
          <w:tcPr>
            <w:tcW w:w="583" w:type="dxa"/>
            <w:tcBorders>
              <w:top w:val="nil"/>
              <w:left w:val="nil"/>
              <w:bottom w:val="nil"/>
              <w:right w:val="nil"/>
            </w:tcBorders>
          </w:tcPr>
          <w:p w14:paraId="2A93B9A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3</w:t>
            </w:r>
          </w:p>
        </w:tc>
        <w:tc>
          <w:tcPr>
            <w:tcW w:w="2847" w:type="dxa"/>
            <w:tcBorders>
              <w:top w:val="nil"/>
              <w:left w:val="nil"/>
              <w:bottom w:val="nil"/>
              <w:right w:val="nil"/>
            </w:tcBorders>
          </w:tcPr>
          <w:p w14:paraId="0045D10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Hamdi Shukri</w:t>
            </w:r>
            <w:r w:rsidRPr="00B91FAE">
              <w:rPr>
                <w:rStyle w:val="FootnoteReference"/>
                <w:rFonts w:asciiTheme="majorBidi" w:hAnsiTheme="majorBidi" w:cstheme="majorBidi"/>
                <w:sz w:val="20"/>
                <w:szCs w:val="20"/>
              </w:rPr>
              <w:footnoteReference w:id="1580"/>
            </w:r>
          </w:p>
          <w:p w14:paraId="1170A41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حمدي شكري الصبيحي</w:t>
            </w:r>
          </w:p>
        </w:tc>
        <w:tc>
          <w:tcPr>
            <w:tcW w:w="2070" w:type="dxa"/>
            <w:tcBorders>
              <w:top w:val="nil"/>
              <w:left w:val="nil"/>
              <w:bottom w:val="nil"/>
              <w:right w:val="nil"/>
            </w:tcBorders>
          </w:tcPr>
          <w:p w14:paraId="295459E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2nd Giants Brigade</w:t>
            </w:r>
          </w:p>
        </w:tc>
        <w:tc>
          <w:tcPr>
            <w:tcW w:w="4585" w:type="dxa"/>
            <w:tcBorders>
              <w:top w:val="nil"/>
              <w:left w:val="nil"/>
              <w:bottom w:val="nil"/>
              <w:right w:val="nil"/>
            </w:tcBorders>
          </w:tcPr>
          <w:p w14:paraId="2408EC2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Zabid-al-Jarahi</w:t>
            </w:r>
          </w:p>
          <w:p w14:paraId="05596BCB" w14:textId="77777777" w:rsidR="00EA7E88" w:rsidRPr="00B91FAE" w:rsidRDefault="00EA7E88" w:rsidP="00162F52">
            <w:pPr>
              <w:rPr>
                <w:rFonts w:asciiTheme="majorBidi" w:hAnsiTheme="majorBidi" w:cstheme="majorBidi"/>
                <w:sz w:val="20"/>
                <w:szCs w:val="20"/>
              </w:rPr>
            </w:pPr>
          </w:p>
        </w:tc>
      </w:tr>
      <w:tr w:rsidR="00EA7E88" w:rsidRPr="00B91FAE" w14:paraId="3544A425" w14:textId="77777777" w:rsidTr="00162F52">
        <w:tc>
          <w:tcPr>
            <w:tcW w:w="583" w:type="dxa"/>
            <w:tcBorders>
              <w:top w:val="nil"/>
              <w:left w:val="nil"/>
              <w:bottom w:val="nil"/>
              <w:right w:val="nil"/>
            </w:tcBorders>
          </w:tcPr>
          <w:p w14:paraId="6C93621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lastRenderedPageBreak/>
              <w:t>4</w:t>
            </w:r>
          </w:p>
        </w:tc>
        <w:tc>
          <w:tcPr>
            <w:tcW w:w="2847" w:type="dxa"/>
            <w:tcBorders>
              <w:top w:val="nil"/>
              <w:left w:val="nil"/>
              <w:bottom w:val="nil"/>
              <w:right w:val="nil"/>
            </w:tcBorders>
          </w:tcPr>
          <w:p w14:paraId="6D28106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 Ruhman al-lahji</w:t>
            </w:r>
            <w:r w:rsidRPr="00B91FAE">
              <w:rPr>
                <w:rStyle w:val="FootnoteReference"/>
                <w:rFonts w:asciiTheme="majorBidi" w:hAnsiTheme="majorBidi" w:cstheme="majorBidi"/>
                <w:sz w:val="20"/>
                <w:szCs w:val="20"/>
              </w:rPr>
              <w:footnoteReference w:id="1581"/>
            </w:r>
          </w:p>
          <w:p w14:paraId="350A5B3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عبدالرحمن اللحجي</w:t>
            </w:r>
          </w:p>
        </w:tc>
        <w:tc>
          <w:tcPr>
            <w:tcW w:w="2070" w:type="dxa"/>
            <w:tcBorders>
              <w:top w:val="nil"/>
              <w:left w:val="nil"/>
              <w:bottom w:val="nil"/>
              <w:right w:val="nil"/>
            </w:tcBorders>
          </w:tcPr>
          <w:p w14:paraId="695958E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Giants Brigade</w:t>
            </w:r>
          </w:p>
        </w:tc>
        <w:tc>
          <w:tcPr>
            <w:tcW w:w="4585" w:type="dxa"/>
            <w:tcBorders>
              <w:top w:val="nil"/>
              <w:left w:val="nil"/>
              <w:bottom w:val="nil"/>
              <w:right w:val="nil"/>
            </w:tcBorders>
          </w:tcPr>
          <w:p w14:paraId="23B4FB5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coast- al-Durayhmi</w:t>
            </w:r>
          </w:p>
          <w:p w14:paraId="711B663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the Third Brigade is supported by Nabil Mashouchi</w:t>
            </w:r>
          </w:p>
          <w:p w14:paraId="432D208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 </w:t>
            </w:r>
          </w:p>
        </w:tc>
      </w:tr>
      <w:tr w:rsidR="00EA7E88" w:rsidRPr="00B91FAE" w14:paraId="172EC677" w14:textId="77777777" w:rsidTr="00162F52">
        <w:tc>
          <w:tcPr>
            <w:tcW w:w="583" w:type="dxa"/>
            <w:tcBorders>
              <w:top w:val="nil"/>
              <w:left w:val="nil"/>
              <w:bottom w:val="nil"/>
              <w:right w:val="nil"/>
            </w:tcBorders>
          </w:tcPr>
          <w:p w14:paraId="2559EA8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5</w:t>
            </w:r>
          </w:p>
        </w:tc>
        <w:tc>
          <w:tcPr>
            <w:tcW w:w="2847" w:type="dxa"/>
            <w:tcBorders>
              <w:top w:val="nil"/>
              <w:left w:val="nil"/>
              <w:bottom w:val="nil"/>
              <w:right w:val="nil"/>
            </w:tcBorders>
          </w:tcPr>
          <w:p w14:paraId="0586CA4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Nizar al-Wajeh</w:t>
            </w:r>
          </w:p>
          <w:p w14:paraId="1F0BF1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نزار الوجيه</w:t>
            </w:r>
          </w:p>
        </w:tc>
        <w:tc>
          <w:tcPr>
            <w:tcW w:w="2070" w:type="dxa"/>
            <w:tcBorders>
              <w:top w:val="nil"/>
              <w:left w:val="nil"/>
              <w:bottom w:val="nil"/>
              <w:right w:val="nil"/>
            </w:tcBorders>
          </w:tcPr>
          <w:p w14:paraId="284DA21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Giants Brigade</w:t>
            </w:r>
          </w:p>
          <w:p w14:paraId="454F0EC9"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04F7201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Tuhayta</w:t>
            </w:r>
            <w:r w:rsidRPr="00B91FAE">
              <w:rPr>
                <w:rStyle w:val="FootnoteReference"/>
                <w:rFonts w:asciiTheme="majorBidi" w:hAnsiTheme="majorBidi" w:cstheme="majorBidi"/>
                <w:sz w:val="20"/>
                <w:szCs w:val="20"/>
              </w:rPr>
              <w:footnoteReference w:id="1582"/>
            </w:r>
          </w:p>
          <w:p w14:paraId="179701DA" w14:textId="77777777" w:rsidR="00EA7E88" w:rsidRPr="00B91FAE" w:rsidRDefault="00EA7E88" w:rsidP="00162F52">
            <w:pPr>
              <w:rPr>
                <w:rFonts w:asciiTheme="majorBidi" w:hAnsiTheme="majorBidi" w:cstheme="majorBidi"/>
                <w:sz w:val="20"/>
                <w:szCs w:val="20"/>
              </w:rPr>
            </w:pPr>
          </w:p>
        </w:tc>
      </w:tr>
      <w:tr w:rsidR="00EA7E88" w:rsidRPr="00B91FAE" w14:paraId="516E1E84" w14:textId="77777777" w:rsidTr="00162F52">
        <w:tc>
          <w:tcPr>
            <w:tcW w:w="583" w:type="dxa"/>
            <w:tcBorders>
              <w:top w:val="nil"/>
              <w:left w:val="nil"/>
              <w:bottom w:val="nil"/>
              <w:right w:val="nil"/>
            </w:tcBorders>
          </w:tcPr>
          <w:p w14:paraId="7880748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6</w:t>
            </w:r>
          </w:p>
        </w:tc>
        <w:tc>
          <w:tcPr>
            <w:tcW w:w="2847" w:type="dxa"/>
            <w:tcBorders>
              <w:top w:val="nil"/>
              <w:left w:val="nil"/>
              <w:bottom w:val="nil"/>
              <w:right w:val="nil"/>
            </w:tcBorders>
          </w:tcPr>
          <w:p w14:paraId="7303732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Mohammed Albokri</w:t>
            </w:r>
          </w:p>
          <w:p w14:paraId="6666633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محمد البكري</w:t>
            </w:r>
          </w:p>
          <w:p w14:paraId="00F9BF34"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0828EF8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Giants Brigade</w:t>
            </w:r>
          </w:p>
        </w:tc>
        <w:tc>
          <w:tcPr>
            <w:tcW w:w="4585" w:type="dxa"/>
            <w:tcBorders>
              <w:top w:val="nil"/>
              <w:left w:val="nil"/>
              <w:bottom w:val="nil"/>
              <w:right w:val="nil"/>
            </w:tcBorders>
          </w:tcPr>
          <w:p w14:paraId="2579EC6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Fazzah</w:t>
            </w:r>
            <w:r w:rsidRPr="00B91FAE">
              <w:rPr>
                <w:rStyle w:val="FootnoteReference"/>
                <w:rFonts w:asciiTheme="majorBidi" w:hAnsiTheme="majorBidi" w:cstheme="majorBidi"/>
                <w:sz w:val="20"/>
                <w:szCs w:val="20"/>
              </w:rPr>
              <w:footnoteReference w:id="1583"/>
            </w:r>
          </w:p>
        </w:tc>
      </w:tr>
      <w:tr w:rsidR="00EA7E88" w:rsidRPr="00B91FAE" w14:paraId="7619C6DA" w14:textId="77777777" w:rsidTr="00162F52">
        <w:tc>
          <w:tcPr>
            <w:tcW w:w="583" w:type="dxa"/>
            <w:tcBorders>
              <w:top w:val="nil"/>
              <w:left w:val="nil"/>
              <w:bottom w:val="nil"/>
              <w:right w:val="nil"/>
            </w:tcBorders>
          </w:tcPr>
          <w:p w14:paraId="089584E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7</w:t>
            </w:r>
          </w:p>
        </w:tc>
        <w:tc>
          <w:tcPr>
            <w:tcW w:w="2847" w:type="dxa"/>
            <w:tcBorders>
              <w:top w:val="nil"/>
              <w:left w:val="nil"/>
              <w:bottom w:val="nil"/>
              <w:right w:val="nil"/>
            </w:tcBorders>
          </w:tcPr>
          <w:p w14:paraId="6B189D6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Tariq Saleh</w:t>
            </w:r>
          </w:p>
          <w:p w14:paraId="2A5C8D6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الركن طارق صالح</w:t>
            </w:r>
          </w:p>
        </w:tc>
        <w:tc>
          <w:tcPr>
            <w:tcW w:w="2070" w:type="dxa"/>
            <w:tcBorders>
              <w:top w:val="nil"/>
              <w:left w:val="nil"/>
              <w:bottom w:val="nil"/>
              <w:right w:val="nil"/>
            </w:tcBorders>
          </w:tcPr>
          <w:p w14:paraId="3BA99FC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National Resistance Forces</w:t>
            </w:r>
            <w:r w:rsidRPr="00B91FAE">
              <w:rPr>
                <w:rStyle w:val="FootnoteReference"/>
                <w:rFonts w:asciiTheme="majorBidi" w:hAnsiTheme="majorBidi" w:cstheme="majorBidi"/>
                <w:sz w:val="20"/>
                <w:szCs w:val="20"/>
              </w:rPr>
              <w:footnoteReference w:id="1584"/>
            </w:r>
          </w:p>
          <w:p w14:paraId="75637CB1"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04B3859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Jah/Fazzah</w:t>
            </w:r>
            <w:r w:rsidRPr="00B91FAE">
              <w:rPr>
                <w:rStyle w:val="FootnoteReference"/>
                <w:rFonts w:asciiTheme="majorBidi" w:hAnsiTheme="majorBidi" w:cstheme="majorBidi"/>
                <w:sz w:val="20"/>
                <w:szCs w:val="20"/>
              </w:rPr>
              <w:footnoteReference w:id="1585"/>
            </w:r>
          </w:p>
        </w:tc>
      </w:tr>
      <w:tr w:rsidR="00EA7E88" w:rsidRPr="00B91FAE" w14:paraId="6027F6F4" w14:textId="77777777" w:rsidTr="00162F52">
        <w:tc>
          <w:tcPr>
            <w:tcW w:w="583" w:type="dxa"/>
            <w:tcBorders>
              <w:top w:val="nil"/>
              <w:left w:val="nil"/>
              <w:bottom w:val="nil"/>
              <w:right w:val="nil"/>
            </w:tcBorders>
          </w:tcPr>
          <w:p w14:paraId="55EE8BD6" w14:textId="77777777" w:rsidR="00EA7E88" w:rsidRPr="00B91FAE" w:rsidRDefault="00EA7E88" w:rsidP="00162F52">
            <w:pPr>
              <w:jc w:val="center"/>
              <w:rPr>
                <w:rFonts w:asciiTheme="majorBidi" w:hAnsiTheme="majorBidi" w:cstheme="majorBidi"/>
                <w:sz w:val="20"/>
                <w:szCs w:val="20"/>
                <w:rtl/>
              </w:rPr>
            </w:pPr>
            <w:r w:rsidRPr="00B91FAE">
              <w:rPr>
                <w:rFonts w:asciiTheme="majorBidi" w:hAnsiTheme="majorBidi" w:cstheme="majorBidi"/>
                <w:sz w:val="20"/>
                <w:szCs w:val="20"/>
              </w:rPr>
              <w:t>8</w:t>
            </w:r>
          </w:p>
        </w:tc>
        <w:tc>
          <w:tcPr>
            <w:tcW w:w="2847" w:type="dxa"/>
            <w:tcBorders>
              <w:top w:val="nil"/>
              <w:left w:val="nil"/>
              <w:bottom w:val="nil"/>
              <w:right w:val="nil"/>
            </w:tcBorders>
          </w:tcPr>
          <w:p w14:paraId="3B77674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Ali al-Kanini </w:t>
            </w:r>
          </w:p>
          <w:p w14:paraId="6EC22D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الكنيني</w:t>
            </w:r>
          </w:p>
        </w:tc>
        <w:tc>
          <w:tcPr>
            <w:tcW w:w="2070" w:type="dxa"/>
            <w:tcBorders>
              <w:top w:val="nil"/>
              <w:left w:val="nil"/>
              <w:bottom w:val="nil"/>
              <w:right w:val="nil"/>
            </w:tcBorders>
          </w:tcPr>
          <w:p w14:paraId="2A5809A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7</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Giants Brigade</w:t>
            </w:r>
          </w:p>
          <w:p w14:paraId="0E77EFAB"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2A3220F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Hays</w:t>
            </w:r>
            <w:r w:rsidRPr="00B91FAE">
              <w:rPr>
                <w:rStyle w:val="FootnoteReference"/>
                <w:rFonts w:asciiTheme="majorBidi" w:hAnsiTheme="majorBidi" w:cstheme="majorBidi"/>
                <w:sz w:val="20"/>
                <w:szCs w:val="20"/>
              </w:rPr>
              <w:footnoteReference w:id="1586"/>
            </w:r>
          </w:p>
        </w:tc>
      </w:tr>
      <w:tr w:rsidR="00EA7E88" w:rsidRPr="00B91FAE" w14:paraId="1DC0A72E" w14:textId="77777777" w:rsidTr="00162F52">
        <w:tc>
          <w:tcPr>
            <w:tcW w:w="583" w:type="dxa"/>
            <w:tcBorders>
              <w:top w:val="nil"/>
              <w:left w:val="nil"/>
              <w:bottom w:val="nil"/>
              <w:right w:val="nil"/>
            </w:tcBorders>
          </w:tcPr>
          <w:p w14:paraId="7839CA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847" w:type="dxa"/>
            <w:tcBorders>
              <w:top w:val="nil"/>
              <w:left w:val="nil"/>
              <w:bottom w:val="nil"/>
              <w:right w:val="nil"/>
            </w:tcBorders>
          </w:tcPr>
          <w:p w14:paraId="5C0F0561"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Sulaiman Yahya Munaser al-Zarnouki</w:t>
            </w:r>
            <w:r w:rsidRPr="00B91FAE">
              <w:rPr>
                <w:rStyle w:val="FootnoteReference"/>
                <w:rFonts w:asciiTheme="majorBidi" w:hAnsiTheme="majorBidi" w:cstheme="majorBidi"/>
                <w:sz w:val="20"/>
                <w:szCs w:val="20"/>
              </w:rPr>
              <w:footnoteReference w:id="1587"/>
            </w:r>
          </w:p>
          <w:p w14:paraId="474E48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سليمان الزرنوقي</w:t>
            </w:r>
          </w:p>
        </w:tc>
        <w:tc>
          <w:tcPr>
            <w:tcW w:w="2070" w:type="dxa"/>
            <w:tcBorders>
              <w:top w:val="nil"/>
              <w:left w:val="nil"/>
              <w:bottom w:val="nil"/>
              <w:right w:val="nil"/>
            </w:tcBorders>
          </w:tcPr>
          <w:p w14:paraId="212D528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Al- Zaraniq Brigades</w:t>
            </w:r>
          </w:p>
          <w:p w14:paraId="62C43B7E"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1D2B35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668BFD25" w14:textId="77777777" w:rsidTr="00162F52">
        <w:tc>
          <w:tcPr>
            <w:tcW w:w="583" w:type="dxa"/>
            <w:tcBorders>
              <w:top w:val="nil"/>
              <w:left w:val="nil"/>
              <w:bottom w:val="nil"/>
              <w:right w:val="nil"/>
            </w:tcBorders>
          </w:tcPr>
          <w:p w14:paraId="02DA60A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847" w:type="dxa"/>
            <w:tcBorders>
              <w:top w:val="nil"/>
              <w:left w:val="nil"/>
              <w:bottom w:val="nil"/>
              <w:right w:val="nil"/>
            </w:tcBorders>
          </w:tcPr>
          <w:p w14:paraId="0EBA07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Ahmad al-Kawkabani</w:t>
            </w:r>
            <w:r w:rsidRPr="00B91FAE">
              <w:rPr>
                <w:rStyle w:val="FootnoteReference"/>
                <w:rFonts w:asciiTheme="majorBidi" w:hAnsiTheme="majorBidi" w:cstheme="majorBidi"/>
                <w:sz w:val="20"/>
                <w:szCs w:val="20"/>
              </w:rPr>
              <w:footnoteReference w:id="1588"/>
            </w:r>
          </w:p>
          <w:p w14:paraId="11B64C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احمد الكوكباني</w:t>
            </w:r>
          </w:p>
          <w:p w14:paraId="19A5423B"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73EA913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Tihama Resistance</w:t>
            </w:r>
          </w:p>
        </w:tc>
        <w:tc>
          <w:tcPr>
            <w:tcW w:w="4585" w:type="dxa"/>
            <w:tcBorders>
              <w:top w:val="nil"/>
              <w:left w:val="nil"/>
              <w:bottom w:val="nil"/>
              <w:right w:val="nil"/>
            </w:tcBorders>
          </w:tcPr>
          <w:p w14:paraId="08D11B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Mujaylis, al-Durayhmi, al-Hudaydah</w:t>
            </w:r>
          </w:p>
          <w:p w14:paraId="5909C308" w14:textId="77777777" w:rsidR="00EA7E88" w:rsidRPr="00B91FAE" w:rsidRDefault="00EA7E88" w:rsidP="00162F52">
            <w:pPr>
              <w:rPr>
                <w:rFonts w:asciiTheme="majorBidi" w:hAnsiTheme="majorBidi" w:cstheme="majorBidi"/>
                <w:sz w:val="20"/>
                <w:szCs w:val="20"/>
              </w:rPr>
            </w:pPr>
          </w:p>
        </w:tc>
      </w:tr>
      <w:tr w:rsidR="00EA7E88" w:rsidRPr="00B91FAE" w14:paraId="6B2AB619" w14:textId="77777777" w:rsidTr="00162F52">
        <w:tc>
          <w:tcPr>
            <w:tcW w:w="583" w:type="dxa"/>
            <w:tcBorders>
              <w:top w:val="nil"/>
              <w:left w:val="nil"/>
              <w:bottom w:val="nil"/>
              <w:right w:val="nil"/>
            </w:tcBorders>
          </w:tcPr>
          <w:p w14:paraId="237B5C3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847" w:type="dxa"/>
            <w:tcBorders>
              <w:top w:val="nil"/>
              <w:left w:val="nil"/>
              <w:bottom w:val="nil"/>
              <w:right w:val="nil"/>
            </w:tcBorders>
          </w:tcPr>
          <w:p w14:paraId="4E8D99C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Haitham Qasim Tahir</w:t>
            </w:r>
            <w:r w:rsidRPr="00B91FAE">
              <w:rPr>
                <w:rStyle w:val="FootnoteReference"/>
                <w:rFonts w:asciiTheme="majorBidi" w:hAnsiTheme="majorBidi" w:cstheme="majorBidi"/>
                <w:sz w:val="20"/>
                <w:szCs w:val="20"/>
              </w:rPr>
              <w:footnoteReference w:id="1589"/>
            </w:r>
          </w:p>
          <w:p w14:paraId="29511B1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هيثم قاسم طاهر</w:t>
            </w:r>
          </w:p>
        </w:tc>
        <w:tc>
          <w:tcPr>
            <w:tcW w:w="2070" w:type="dxa"/>
            <w:tcBorders>
              <w:top w:val="nil"/>
              <w:left w:val="nil"/>
              <w:bottom w:val="nil"/>
              <w:right w:val="nil"/>
            </w:tcBorders>
          </w:tcPr>
          <w:p w14:paraId="278848B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Field Commander</w:t>
            </w:r>
          </w:p>
        </w:tc>
        <w:tc>
          <w:tcPr>
            <w:tcW w:w="4585" w:type="dxa"/>
            <w:tcBorders>
              <w:top w:val="nil"/>
              <w:left w:val="nil"/>
              <w:bottom w:val="nil"/>
              <w:right w:val="nil"/>
            </w:tcBorders>
          </w:tcPr>
          <w:p w14:paraId="325AAA1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Jabaliyah</w:t>
            </w:r>
            <w:r w:rsidRPr="00B91FAE">
              <w:rPr>
                <w:rStyle w:val="FootnoteReference"/>
                <w:rFonts w:asciiTheme="majorBidi" w:hAnsiTheme="majorBidi" w:cstheme="majorBidi"/>
                <w:sz w:val="20"/>
                <w:szCs w:val="20"/>
              </w:rPr>
              <w:footnoteReference w:id="1590"/>
            </w:r>
          </w:p>
          <w:p w14:paraId="5B3CEA4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Minister of Defence 1990 – 1994</w:t>
            </w:r>
          </w:p>
          <w:p w14:paraId="4AF3CA01" w14:textId="77777777" w:rsidR="00EA7E88" w:rsidRPr="00B91FAE" w:rsidRDefault="00EA7E88" w:rsidP="00162F52">
            <w:pPr>
              <w:rPr>
                <w:rFonts w:asciiTheme="majorBidi" w:hAnsiTheme="majorBidi" w:cstheme="majorBidi"/>
                <w:sz w:val="20"/>
                <w:szCs w:val="20"/>
              </w:rPr>
            </w:pPr>
          </w:p>
          <w:p w14:paraId="05997503" w14:textId="77777777" w:rsidR="00EA7E88" w:rsidRPr="00B91FAE" w:rsidRDefault="00EA7E88" w:rsidP="00162F52">
            <w:pPr>
              <w:rPr>
                <w:rFonts w:asciiTheme="majorBidi" w:hAnsiTheme="majorBidi" w:cstheme="majorBidi"/>
                <w:sz w:val="20"/>
                <w:szCs w:val="20"/>
              </w:rPr>
            </w:pPr>
          </w:p>
        </w:tc>
      </w:tr>
      <w:tr w:rsidR="00EA7E88" w:rsidRPr="00B91FAE" w14:paraId="18128345" w14:textId="77777777" w:rsidTr="00162F52">
        <w:tc>
          <w:tcPr>
            <w:tcW w:w="583" w:type="dxa"/>
            <w:tcBorders>
              <w:top w:val="nil"/>
              <w:left w:val="nil"/>
              <w:bottom w:val="nil"/>
              <w:right w:val="nil"/>
            </w:tcBorders>
          </w:tcPr>
          <w:p w14:paraId="6098DE4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847" w:type="dxa"/>
            <w:tcBorders>
              <w:top w:val="nil"/>
              <w:left w:val="nil"/>
              <w:bottom w:val="nil"/>
              <w:right w:val="nil"/>
            </w:tcBorders>
          </w:tcPr>
          <w:p w14:paraId="6393698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Bassam al- Mahdhar</w:t>
            </w:r>
          </w:p>
          <w:p w14:paraId="294390C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بسام المحظار</w:t>
            </w:r>
          </w:p>
          <w:p w14:paraId="2015A8AA"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79F4461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Infantry Brigade</w:t>
            </w:r>
            <w:r w:rsidRPr="00B91FAE">
              <w:rPr>
                <w:rStyle w:val="FootnoteReference"/>
                <w:rFonts w:asciiTheme="majorBidi" w:hAnsiTheme="majorBidi" w:cstheme="majorBidi"/>
                <w:sz w:val="20"/>
                <w:szCs w:val="20"/>
              </w:rPr>
              <w:footnoteReference w:id="1591"/>
            </w:r>
          </w:p>
          <w:p w14:paraId="2B31D35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 </w:t>
            </w:r>
          </w:p>
        </w:tc>
        <w:tc>
          <w:tcPr>
            <w:tcW w:w="4585" w:type="dxa"/>
            <w:tcBorders>
              <w:top w:val="nil"/>
              <w:left w:val="nil"/>
              <w:bottom w:val="nil"/>
              <w:right w:val="nil"/>
            </w:tcBorders>
          </w:tcPr>
          <w:p w14:paraId="3186B67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2AB6BDE3" w14:textId="77777777" w:rsidTr="00162F52">
        <w:tc>
          <w:tcPr>
            <w:tcW w:w="583" w:type="dxa"/>
            <w:tcBorders>
              <w:top w:val="nil"/>
              <w:left w:val="nil"/>
              <w:bottom w:val="nil"/>
              <w:right w:val="nil"/>
            </w:tcBorders>
          </w:tcPr>
          <w:p w14:paraId="19429C9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847" w:type="dxa"/>
            <w:tcBorders>
              <w:top w:val="nil"/>
              <w:left w:val="nil"/>
              <w:bottom w:val="nil"/>
              <w:right w:val="nil"/>
            </w:tcBorders>
          </w:tcPr>
          <w:p w14:paraId="2B7E6BB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Basher Maqbul</w:t>
            </w:r>
            <w:r w:rsidRPr="00B91FAE">
              <w:rPr>
                <w:rStyle w:val="FootnoteReference"/>
                <w:rFonts w:asciiTheme="majorBidi" w:hAnsiTheme="majorBidi" w:cstheme="majorBidi"/>
                <w:sz w:val="20"/>
                <w:szCs w:val="20"/>
              </w:rPr>
              <w:footnoteReference w:id="1592"/>
            </w:r>
          </w:p>
          <w:p w14:paraId="2BF6B53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بشير مقبل</w:t>
            </w:r>
          </w:p>
        </w:tc>
        <w:tc>
          <w:tcPr>
            <w:tcW w:w="2070" w:type="dxa"/>
            <w:tcBorders>
              <w:top w:val="nil"/>
              <w:left w:val="nil"/>
              <w:bottom w:val="nil"/>
              <w:right w:val="nil"/>
            </w:tcBorders>
          </w:tcPr>
          <w:p w14:paraId="32934D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13</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Giant</w:t>
            </w:r>
            <w:r>
              <w:rPr>
                <w:rFonts w:asciiTheme="majorBidi" w:hAnsiTheme="majorBidi" w:cstheme="majorBidi"/>
                <w:sz w:val="20"/>
                <w:szCs w:val="20"/>
              </w:rPr>
              <w:t>s</w:t>
            </w:r>
            <w:r w:rsidRPr="00B91FAE">
              <w:rPr>
                <w:rFonts w:asciiTheme="majorBidi" w:hAnsiTheme="majorBidi" w:cstheme="majorBidi"/>
                <w:sz w:val="20"/>
                <w:szCs w:val="20"/>
              </w:rPr>
              <w:t xml:space="preserve"> Brigade</w:t>
            </w:r>
          </w:p>
          <w:p w14:paraId="582197D3" w14:textId="77777777" w:rsidR="00EA7E88" w:rsidRPr="00B91FAE" w:rsidRDefault="00EA7E88" w:rsidP="00162F52">
            <w:pPr>
              <w:rPr>
                <w:rFonts w:asciiTheme="majorBidi" w:hAnsiTheme="majorBidi" w:cstheme="majorBidi"/>
                <w:sz w:val="20"/>
                <w:szCs w:val="20"/>
              </w:rPr>
            </w:pPr>
          </w:p>
          <w:p w14:paraId="1BCA56DE"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3C7334A0" w14:textId="77777777" w:rsidR="00EA7E88" w:rsidRPr="00B91FAE" w:rsidRDefault="00EA7E88" w:rsidP="00162F52">
            <w:pPr>
              <w:rPr>
                <w:rFonts w:asciiTheme="majorBidi" w:hAnsiTheme="majorBidi" w:cstheme="majorBidi"/>
                <w:sz w:val="20"/>
                <w:szCs w:val="20"/>
              </w:rPr>
            </w:pPr>
          </w:p>
        </w:tc>
      </w:tr>
      <w:tr w:rsidR="00EA7E88" w:rsidRPr="00B91FAE" w14:paraId="6120062B" w14:textId="77777777" w:rsidTr="00162F52">
        <w:tc>
          <w:tcPr>
            <w:tcW w:w="10085" w:type="dxa"/>
            <w:gridSpan w:val="4"/>
            <w:tcBorders>
              <w:top w:val="nil"/>
              <w:left w:val="nil"/>
              <w:bottom w:val="nil"/>
              <w:right w:val="nil"/>
            </w:tcBorders>
          </w:tcPr>
          <w:p w14:paraId="3F9F6630" w14:textId="77777777" w:rsidR="00EA7E88" w:rsidRPr="00B91FAE" w:rsidRDefault="00EA7E88" w:rsidP="00EA7E88">
            <w:pPr>
              <w:pStyle w:val="ListParagraph"/>
              <w:numPr>
                <w:ilvl w:val="0"/>
                <w:numId w:val="31"/>
              </w:numPr>
              <w:spacing w:after="0" w:line="240" w:lineRule="auto"/>
              <w:rPr>
                <w:rFonts w:asciiTheme="majorBidi" w:hAnsiTheme="majorBidi" w:cstheme="majorBidi"/>
                <w:sz w:val="20"/>
                <w:szCs w:val="20"/>
              </w:rPr>
            </w:pPr>
            <w:r w:rsidRPr="00B91FAE">
              <w:rPr>
                <w:rFonts w:asciiTheme="majorBidi" w:hAnsiTheme="majorBidi" w:cstheme="majorBidi"/>
                <w:sz w:val="20"/>
                <w:szCs w:val="20"/>
              </w:rPr>
              <w:br w:type="page"/>
            </w:r>
            <w:r w:rsidRPr="00B91FAE">
              <w:rPr>
                <w:rFonts w:asciiTheme="majorBidi" w:hAnsiTheme="majorBidi" w:cstheme="majorBidi"/>
                <w:b/>
                <w:bCs/>
                <w:sz w:val="20"/>
                <w:szCs w:val="20"/>
              </w:rPr>
              <w:t xml:space="preserve"> Main Actors in al-Mahra Governorate</w:t>
            </w:r>
          </w:p>
        </w:tc>
      </w:tr>
      <w:tr w:rsidR="00EA7E88" w:rsidRPr="00B91FAE" w14:paraId="7208DA97" w14:textId="77777777" w:rsidTr="00162F52">
        <w:tc>
          <w:tcPr>
            <w:tcW w:w="583" w:type="dxa"/>
            <w:tcBorders>
              <w:top w:val="nil"/>
              <w:left w:val="nil"/>
              <w:bottom w:val="nil"/>
              <w:right w:val="nil"/>
            </w:tcBorders>
            <w:shd w:val="clear" w:color="auto" w:fill="D9D9D9" w:themeFill="background1" w:themeFillShade="D9"/>
          </w:tcPr>
          <w:p w14:paraId="24998B7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847" w:type="dxa"/>
            <w:tcBorders>
              <w:top w:val="nil"/>
              <w:left w:val="nil"/>
              <w:bottom w:val="nil"/>
              <w:right w:val="nil"/>
            </w:tcBorders>
            <w:shd w:val="clear" w:color="auto" w:fill="D9D9D9" w:themeFill="background1" w:themeFillShade="D9"/>
          </w:tcPr>
          <w:p w14:paraId="31875681"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070" w:type="dxa"/>
            <w:tcBorders>
              <w:top w:val="nil"/>
              <w:left w:val="nil"/>
              <w:bottom w:val="nil"/>
              <w:right w:val="nil"/>
            </w:tcBorders>
            <w:shd w:val="clear" w:color="auto" w:fill="D9D9D9" w:themeFill="background1" w:themeFillShade="D9"/>
          </w:tcPr>
          <w:p w14:paraId="300E4E4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4585" w:type="dxa"/>
            <w:tcBorders>
              <w:top w:val="nil"/>
              <w:left w:val="nil"/>
              <w:bottom w:val="nil"/>
              <w:right w:val="nil"/>
            </w:tcBorders>
            <w:shd w:val="clear" w:color="auto" w:fill="D9D9D9" w:themeFill="background1" w:themeFillShade="D9"/>
          </w:tcPr>
          <w:p w14:paraId="2FDDFB9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 xml:space="preserve"> Assessment/remarks</w:t>
            </w:r>
          </w:p>
        </w:tc>
      </w:tr>
      <w:tr w:rsidR="00EA7E88" w:rsidRPr="00B91FAE" w14:paraId="5298C338" w14:textId="77777777" w:rsidTr="00162F52">
        <w:tc>
          <w:tcPr>
            <w:tcW w:w="583" w:type="dxa"/>
            <w:tcBorders>
              <w:top w:val="nil"/>
              <w:left w:val="nil"/>
              <w:bottom w:val="nil"/>
              <w:right w:val="nil"/>
            </w:tcBorders>
          </w:tcPr>
          <w:p w14:paraId="58B6C8C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847" w:type="dxa"/>
            <w:tcBorders>
              <w:top w:val="nil"/>
              <w:left w:val="nil"/>
              <w:bottom w:val="nil"/>
              <w:right w:val="nil"/>
            </w:tcBorders>
          </w:tcPr>
          <w:p w14:paraId="7741E9F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Rajah Saeed Ba’Krait</w:t>
            </w:r>
            <w:r w:rsidRPr="00B91FAE">
              <w:rPr>
                <w:rStyle w:val="FootnoteReference"/>
                <w:rFonts w:asciiTheme="majorBidi" w:hAnsiTheme="majorBidi" w:cstheme="majorBidi"/>
                <w:sz w:val="20"/>
                <w:szCs w:val="20"/>
              </w:rPr>
              <w:footnoteReference w:id="1593"/>
            </w:r>
          </w:p>
          <w:p w14:paraId="36BA6B5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راجح سعيد باكريت</w:t>
            </w:r>
          </w:p>
        </w:tc>
        <w:tc>
          <w:tcPr>
            <w:tcW w:w="2070" w:type="dxa"/>
            <w:tcBorders>
              <w:top w:val="nil"/>
              <w:left w:val="nil"/>
              <w:bottom w:val="nil"/>
              <w:right w:val="nil"/>
            </w:tcBorders>
          </w:tcPr>
          <w:p w14:paraId="28B5FB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w:t>
            </w:r>
            <w:r w:rsidRPr="00B91FAE">
              <w:rPr>
                <w:rStyle w:val="FootnoteReference"/>
                <w:rFonts w:asciiTheme="majorBidi" w:hAnsiTheme="majorBidi" w:cstheme="majorBidi"/>
                <w:sz w:val="20"/>
                <w:szCs w:val="20"/>
              </w:rPr>
              <w:footnoteReference w:id="1594"/>
            </w:r>
          </w:p>
        </w:tc>
        <w:tc>
          <w:tcPr>
            <w:tcW w:w="4585" w:type="dxa"/>
            <w:tcBorders>
              <w:top w:val="nil"/>
              <w:left w:val="nil"/>
              <w:bottom w:val="nil"/>
              <w:right w:val="nil"/>
            </w:tcBorders>
          </w:tcPr>
          <w:p w14:paraId="686CC58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Origin from Hawf</w:t>
            </w:r>
          </w:p>
          <w:p w14:paraId="2FE3123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27 November 2017</w:t>
            </w:r>
          </w:p>
          <w:p w14:paraId="353F25C5" w14:textId="77777777" w:rsidR="00EA7E88" w:rsidRPr="00B91FAE" w:rsidRDefault="00EA7E88" w:rsidP="00162F52">
            <w:pPr>
              <w:rPr>
                <w:rFonts w:asciiTheme="majorBidi" w:hAnsiTheme="majorBidi" w:cstheme="majorBidi"/>
                <w:sz w:val="20"/>
                <w:szCs w:val="20"/>
              </w:rPr>
            </w:pPr>
          </w:p>
        </w:tc>
      </w:tr>
      <w:tr w:rsidR="00EA7E88" w:rsidRPr="00B91FAE" w14:paraId="564345C0" w14:textId="77777777" w:rsidTr="00162F52">
        <w:tc>
          <w:tcPr>
            <w:tcW w:w="583" w:type="dxa"/>
            <w:tcBorders>
              <w:top w:val="nil"/>
              <w:left w:val="nil"/>
              <w:bottom w:val="nil"/>
              <w:right w:val="nil"/>
            </w:tcBorders>
          </w:tcPr>
          <w:p w14:paraId="49860E37" w14:textId="77777777" w:rsidR="00EA7E88" w:rsidRPr="00B91FAE" w:rsidRDefault="00EA7E88" w:rsidP="00162F52">
            <w:pPr>
              <w:jc w:val="center"/>
              <w:rPr>
                <w:rFonts w:asciiTheme="majorBidi" w:hAnsiTheme="majorBidi" w:cstheme="majorBidi"/>
                <w:sz w:val="20"/>
                <w:szCs w:val="20"/>
              </w:rPr>
            </w:pPr>
          </w:p>
        </w:tc>
        <w:tc>
          <w:tcPr>
            <w:tcW w:w="2847" w:type="dxa"/>
            <w:tcBorders>
              <w:top w:val="nil"/>
              <w:left w:val="nil"/>
              <w:bottom w:val="nil"/>
              <w:right w:val="nil"/>
            </w:tcBorders>
          </w:tcPr>
          <w:p w14:paraId="36DC29C6"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373B69F2"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7D5C3AA8" w14:textId="77777777" w:rsidR="00EA7E88" w:rsidRPr="00B91FAE" w:rsidRDefault="00EA7E88" w:rsidP="00162F52">
            <w:pPr>
              <w:rPr>
                <w:rFonts w:asciiTheme="majorBidi" w:hAnsiTheme="majorBidi" w:cstheme="majorBidi"/>
                <w:sz w:val="20"/>
                <w:szCs w:val="20"/>
              </w:rPr>
            </w:pPr>
          </w:p>
        </w:tc>
      </w:tr>
      <w:tr w:rsidR="00EA7E88" w:rsidRPr="00B91FAE" w14:paraId="4A43A877" w14:textId="77777777" w:rsidTr="00162F52">
        <w:tc>
          <w:tcPr>
            <w:tcW w:w="583" w:type="dxa"/>
            <w:tcBorders>
              <w:top w:val="nil"/>
              <w:left w:val="nil"/>
              <w:bottom w:val="nil"/>
              <w:right w:val="nil"/>
            </w:tcBorders>
          </w:tcPr>
          <w:p w14:paraId="6DD7C75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847" w:type="dxa"/>
            <w:tcBorders>
              <w:top w:val="nil"/>
              <w:left w:val="nil"/>
              <w:bottom w:val="nil"/>
              <w:right w:val="nil"/>
            </w:tcBorders>
          </w:tcPr>
          <w:p w14:paraId="0A083B3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Sheikh Muslim bin Hazahs </w:t>
            </w:r>
            <w:r w:rsidRPr="00B91FAE">
              <w:rPr>
                <w:rStyle w:val="FootnoteReference"/>
                <w:rFonts w:asciiTheme="majorBidi" w:hAnsiTheme="majorBidi" w:cstheme="majorBidi"/>
                <w:sz w:val="20"/>
                <w:szCs w:val="20"/>
              </w:rPr>
              <w:footnoteReference w:id="1595"/>
            </w:r>
          </w:p>
          <w:p w14:paraId="78D46D5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مسلم بن حزحيز</w:t>
            </w:r>
          </w:p>
          <w:p w14:paraId="0873A3EF"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5764CF14"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Vice Governor</w:t>
            </w:r>
          </w:p>
        </w:tc>
        <w:tc>
          <w:tcPr>
            <w:tcW w:w="4585" w:type="dxa"/>
            <w:tcBorders>
              <w:top w:val="nil"/>
              <w:left w:val="nil"/>
              <w:bottom w:val="nil"/>
              <w:right w:val="nil"/>
            </w:tcBorders>
          </w:tcPr>
          <w:p w14:paraId="51692880" w14:textId="77777777" w:rsidR="00EA7E88" w:rsidRPr="00B91FAE" w:rsidRDefault="00EA7E88" w:rsidP="00162F52">
            <w:pPr>
              <w:rPr>
                <w:rFonts w:asciiTheme="majorBidi" w:hAnsiTheme="majorBidi" w:cstheme="majorBidi"/>
                <w:sz w:val="20"/>
                <w:szCs w:val="20"/>
              </w:rPr>
            </w:pPr>
          </w:p>
        </w:tc>
      </w:tr>
      <w:tr w:rsidR="00EA7E88" w:rsidRPr="00B91FAE" w14:paraId="4F3D5EDB" w14:textId="77777777" w:rsidTr="00162F52">
        <w:tc>
          <w:tcPr>
            <w:tcW w:w="583" w:type="dxa"/>
            <w:tcBorders>
              <w:top w:val="nil"/>
              <w:left w:val="nil"/>
              <w:bottom w:val="nil"/>
              <w:right w:val="nil"/>
            </w:tcBorders>
          </w:tcPr>
          <w:p w14:paraId="20A2C1A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847" w:type="dxa"/>
            <w:tcBorders>
              <w:top w:val="nil"/>
              <w:left w:val="nil"/>
              <w:bottom w:val="nil"/>
              <w:right w:val="nil"/>
            </w:tcBorders>
          </w:tcPr>
          <w:p w14:paraId="1EEB4CF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Brig. Gen.  Mufti Suhail Nahyan Salem al-Samouda</w:t>
            </w:r>
            <w:r w:rsidRPr="00B91FAE">
              <w:rPr>
                <w:rStyle w:val="FootnoteReference"/>
                <w:rFonts w:asciiTheme="majorBidi" w:hAnsiTheme="majorBidi" w:cstheme="majorBidi"/>
                <w:sz w:val="20"/>
                <w:szCs w:val="20"/>
                <w:lang w:val="en-US" w:bidi="ar-JO"/>
              </w:rPr>
              <w:footnoteReference w:id="1596"/>
            </w:r>
          </w:p>
          <w:p w14:paraId="43F4E69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lastRenderedPageBreak/>
              <w:t>العميد مفتي سهيل نهيان سالم الصموده</w:t>
            </w:r>
          </w:p>
          <w:p w14:paraId="253F0B8B" w14:textId="77777777" w:rsidR="00EA7E88" w:rsidRPr="00B91FAE" w:rsidRDefault="00EA7E88" w:rsidP="00162F52">
            <w:pPr>
              <w:rPr>
                <w:rFonts w:asciiTheme="majorBidi" w:hAnsiTheme="majorBidi" w:cstheme="majorBidi"/>
                <w:sz w:val="20"/>
                <w:szCs w:val="20"/>
                <w:rtl/>
                <w:lang w:bidi="ar-JO"/>
              </w:rPr>
            </w:pPr>
          </w:p>
        </w:tc>
        <w:tc>
          <w:tcPr>
            <w:tcW w:w="2070" w:type="dxa"/>
            <w:tcBorders>
              <w:top w:val="nil"/>
              <w:left w:val="nil"/>
              <w:bottom w:val="nil"/>
              <w:right w:val="nil"/>
            </w:tcBorders>
          </w:tcPr>
          <w:p w14:paraId="7EAAA16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Security Director</w:t>
            </w:r>
          </w:p>
        </w:tc>
        <w:tc>
          <w:tcPr>
            <w:tcW w:w="4585" w:type="dxa"/>
            <w:tcBorders>
              <w:top w:val="nil"/>
              <w:left w:val="nil"/>
              <w:bottom w:val="nil"/>
              <w:right w:val="nil"/>
            </w:tcBorders>
          </w:tcPr>
          <w:p w14:paraId="72FF8279" w14:textId="77777777" w:rsidR="00EA7E88" w:rsidRPr="00B91FAE" w:rsidRDefault="00EA7E88" w:rsidP="00162F52">
            <w:pPr>
              <w:rPr>
                <w:rFonts w:asciiTheme="majorBidi" w:hAnsiTheme="majorBidi" w:cstheme="majorBidi"/>
                <w:sz w:val="20"/>
                <w:szCs w:val="20"/>
              </w:rPr>
            </w:pPr>
          </w:p>
        </w:tc>
      </w:tr>
      <w:tr w:rsidR="00EA7E88" w:rsidRPr="00B91FAE" w14:paraId="4627B60C" w14:textId="77777777" w:rsidTr="00162F52">
        <w:tc>
          <w:tcPr>
            <w:tcW w:w="583" w:type="dxa"/>
            <w:tcBorders>
              <w:top w:val="nil"/>
              <w:left w:val="nil"/>
              <w:bottom w:val="nil"/>
              <w:right w:val="nil"/>
            </w:tcBorders>
          </w:tcPr>
          <w:p w14:paraId="006CDDF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847" w:type="dxa"/>
            <w:tcBorders>
              <w:top w:val="nil"/>
              <w:left w:val="nil"/>
              <w:bottom w:val="nil"/>
              <w:right w:val="nil"/>
            </w:tcBorders>
          </w:tcPr>
          <w:p w14:paraId="6B8CF1FF"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Ahmed Mohammad “Qahtan” Muhawi al-Mujibi</w:t>
            </w:r>
          </w:p>
          <w:p w14:paraId="192CC1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احمد</w:t>
            </w:r>
            <w:r w:rsidRPr="00B91FAE">
              <w:rPr>
                <w:rFonts w:asciiTheme="majorBidi" w:hAnsiTheme="majorBidi" w:cstheme="majorBidi"/>
                <w:sz w:val="20"/>
                <w:szCs w:val="20"/>
                <w:rtl/>
                <w:lang w:bidi="ar-JO"/>
              </w:rPr>
              <w:t xml:space="preserve"> محمد</w:t>
            </w:r>
            <w:r w:rsidRPr="00B91FAE">
              <w:rPr>
                <w:rFonts w:asciiTheme="majorBidi" w:hAnsiTheme="majorBidi" w:cstheme="majorBidi"/>
                <w:sz w:val="20"/>
                <w:szCs w:val="20"/>
                <w:rtl/>
              </w:rPr>
              <w:t xml:space="preserve"> قحطان المجيبي</w:t>
            </w:r>
          </w:p>
          <w:p w14:paraId="650BB045" w14:textId="77777777" w:rsidR="00EA7E88" w:rsidRPr="00B91FAE" w:rsidRDefault="00EA7E88" w:rsidP="00162F52">
            <w:pPr>
              <w:rPr>
                <w:rFonts w:asciiTheme="majorBidi" w:hAnsiTheme="majorBidi" w:cstheme="majorBidi"/>
                <w:sz w:val="20"/>
                <w:szCs w:val="20"/>
              </w:rPr>
            </w:pPr>
          </w:p>
        </w:tc>
        <w:tc>
          <w:tcPr>
            <w:tcW w:w="2070" w:type="dxa"/>
            <w:tcBorders>
              <w:top w:val="nil"/>
              <w:left w:val="nil"/>
              <w:bottom w:val="nil"/>
              <w:right w:val="nil"/>
            </w:tcBorders>
          </w:tcPr>
          <w:p w14:paraId="0C762EE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Security Director</w:t>
            </w:r>
          </w:p>
        </w:tc>
        <w:tc>
          <w:tcPr>
            <w:tcW w:w="4585" w:type="dxa"/>
            <w:tcBorders>
              <w:top w:val="nil"/>
              <w:left w:val="nil"/>
              <w:bottom w:val="nil"/>
              <w:right w:val="nil"/>
            </w:tcBorders>
          </w:tcPr>
          <w:p w14:paraId="2CF2BDC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Replaced by Colonel Mufti Suhail Nahyan Salem Al-Samouda</w:t>
            </w:r>
          </w:p>
          <w:p w14:paraId="77670495" w14:textId="77777777" w:rsidR="00EA7E88" w:rsidRPr="00B91FAE" w:rsidRDefault="00EA7E88" w:rsidP="00162F52">
            <w:pPr>
              <w:rPr>
                <w:rFonts w:asciiTheme="majorBidi" w:hAnsiTheme="majorBidi" w:cstheme="majorBidi"/>
                <w:sz w:val="20"/>
                <w:szCs w:val="20"/>
              </w:rPr>
            </w:pPr>
          </w:p>
        </w:tc>
      </w:tr>
      <w:tr w:rsidR="00EA7E88" w:rsidRPr="00B91FAE" w14:paraId="789F7585" w14:textId="77777777" w:rsidTr="00162F52">
        <w:tc>
          <w:tcPr>
            <w:tcW w:w="583" w:type="dxa"/>
            <w:tcBorders>
              <w:top w:val="nil"/>
              <w:left w:val="nil"/>
              <w:bottom w:val="nil"/>
              <w:right w:val="nil"/>
            </w:tcBorders>
          </w:tcPr>
          <w:p w14:paraId="7C7FD62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4</w:t>
            </w:r>
          </w:p>
        </w:tc>
        <w:tc>
          <w:tcPr>
            <w:tcW w:w="2847" w:type="dxa"/>
            <w:tcBorders>
              <w:top w:val="nil"/>
              <w:left w:val="nil"/>
              <w:bottom w:val="nil"/>
              <w:right w:val="nil"/>
            </w:tcBorders>
          </w:tcPr>
          <w:p w14:paraId="4F488B2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Ali Salem al-Harizi</w:t>
            </w:r>
            <w:r w:rsidRPr="00B91FAE">
              <w:rPr>
                <w:rStyle w:val="FootnoteReference"/>
                <w:rFonts w:asciiTheme="majorBidi" w:hAnsiTheme="majorBidi" w:cstheme="majorBidi"/>
                <w:sz w:val="20"/>
                <w:szCs w:val="20"/>
              </w:rPr>
              <w:footnoteReference w:id="1597"/>
            </w:r>
          </w:p>
          <w:p w14:paraId="2D0F85D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سالم الحريزي</w:t>
            </w:r>
          </w:p>
        </w:tc>
        <w:tc>
          <w:tcPr>
            <w:tcW w:w="2070" w:type="dxa"/>
            <w:tcBorders>
              <w:top w:val="nil"/>
              <w:left w:val="nil"/>
              <w:bottom w:val="nil"/>
              <w:right w:val="nil"/>
            </w:tcBorders>
          </w:tcPr>
          <w:p w14:paraId="478DD90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Assistant Governor for Desert Region</w:t>
            </w:r>
          </w:p>
          <w:p w14:paraId="27CABDAD"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27DB662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Orgin from Miz’yunah</w:t>
            </w:r>
          </w:p>
          <w:p w14:paraId="26EB750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In February 2018 dismissed as border guard commander.</w:t>
            </w:r>
          </w:p>
          <w:p w14:paraId="31F5A5F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 July 2018 dismissed from the post of Vice Governor</w:t>
            </w:r>
            <w:r w:rsidRPr="00B91FAE">
              <w:rPr>
                <w:rStyle w:val="FootnoteReference"/>
                <w:rFonts w:asciiTheme="majorBidi" w:hAnsiTheme="majorBidi" w:cstheme="majorBidi"/>
                <w:sz w:val="20"/>
                <w:szCs w:val="20"/>
              </w:rPr>
              <w:footnoteReference w:id="1598"/>
            </w:r>
          </w:p>
          <w:p w14:paraId="37EC204A" w14:textId="77777777" w:rsidR="00EA7E88" w:rsidRPr="00B91FAE" w:rsidRDefault="00EA7E88" w:rsidP="00162F52">
            <w:pPr>
              <w:rPr>
                <w:rFonts w:asciiTheme="majorBidi" w:hAnsiTheme="majorBidi" w:cstheme="majorBidi"/>
                <w:sz w:val="20"/>
                <w:szCs w:val="20"/>
              </w:rPr>
            </w:pPr>
          </w:p>
        </w:tc>
      </w:tr>
      <w:tr w:rsidR="00EA7E88" w:rsidRPr="00B91FAE" w14:paraId="380D935C" w14:textId="77777777" w:rsidTr="00162F52">
        <w:tc>
          <w:tcPr>
            <w:tcW w:w="583" w:type="dxa"/>
            <w:tcBorders>
              <w:top w:val="nil"/>
              <w:left w:val="nil"/>
              <w:bottom w:val="nil"/>
              <w:right w:val="nil"/>
            </w:tcBorders>
          </w:tcPr>
          <w:p w14:paraId="186C69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5</w:t>
            </w:r>
          </w:p>
        </w:tc>
        <w:tc>
          <w:tcPr>
            <w:tcW w:w="2847" w:type="dxa"/>
            <w:tcBorders>
              <w:top w:val="nil"/>
              <w:left w:val="nil"/>
              <w:bottom w:val="nil"/>
              <w:right w:val="nil"/>
            </w:tcBorders>
          </w:tcPr>
          <w:p w14:paraId="12249CE5"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Sheikh Abdullah bin Issa bin Afrar</w:t>
            </w:r>
          </w:p>
          <w:p w14:paraId="21A3BD7B"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lang w:bidi="ar-JO"/>
              </w:rPr>
              <w:t xml:space="preserve">الشيخ </w:t>
            </w:r>
            <w:r w:rsidRPr="00B91FAE">
              <w:rPr>
                <w:rFonts w:asciiTheme="majorBidi" w:hAnsiTheme="majorBidi" w:cstheme="majorBidi"/>
                <w:sz w:val="20"/>
                <w:szCs w:val="20"/>
                <w:rtl/>
              </w:rPr>
              <w:t>عبدالله بن عيسى بن عفرار</w:t>
            </w:r>
          </w:p>
        </w:tc>
        <w:tc>
          <w:tcPr>
            <w:tcW w:w="2070" w:type="dxa"/>
            <w:tcBorders>
              <w:top w:val="nil"/>
              <w:left w:val="nil"/>
              <w:bottom w:val="nil"/>
              <w:right w:val="nil"/>
            </w:tcBorders>
          </w:tcPr>
          <w:p w14:paraId="21A8EBAE"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rPr>
              <w:t>STC member</w:t>
            </w:r>
            <w:r w:rsidRPr="00B91FAE">
              <w:rPr>
                <w:rStyle w:val="FootnoteReference"/>
                <w:rFonts w:asciiTheme="majorBidi" w:hAnsiTheme="majorBidi" w:cstheme="majorBidi"/>
                <w:sz w:val="20"/>
                <w:szCs w:val="20"/>
              </w:rPr>
              <w:footnoteReference w:id="1599"/>
            </w:r>
          </w:p>
          <w:p w14:paraId="68663D70" w14:textId="77777777" w:rsidR="00EA7E88" w:rsidRPr="00B91FAE" w:rsidRDefault="00EA7E88" w:rsidP="00162F52">
            <w:pPr>
              <w:rPr>
                <w:rFonts w:asciiTheme="majorBidi" w:hAnsiTheme="majorBidi" w:cstheme="majorBidi"/>
                <w:sz w:val="20"/>
                <w:szCs w:val="20"/>
              </w:rPr>
            </w:pPr>
          </w:p>
        </w:tc>
        <w:tc>
          <w:tcPr>
            <w:tcW w:w="4585" w:type="dxa"/>
            <w:tcBorders>
              <w:top w:val="nil"/>
              <w:left w:val="nil"/>
              <w:bottom w:val="nil"/>
              <w:right w:val="nil"/>
            </w:tcBorders>
          </w:tcPr>
          <w:p w14:paraId="354FD99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al-Mahra</w:t>
            </w:r>
          </w:p>
          <w:p w14:paraId="535C336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Lived in Saudi Arabia until 2017</w:t>
            </w:r>
          </w:p>
          <w:p w14:paraId="132CC8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Sultan</w:t>
            </w:r>
          </w:p>
        </w:tc>
      </w:tr>
      <w:tr w:rsidR="00EA7E88" w:rsidRPr="00B91FAE" w14:paraId="28ADF61A" w14:textId="77777777" w:rsidTr="00162F52">
        <w:tc>
          <w:tcPr>
            <w:tcW w:w="583" w:type="dxa"/>
            <w:tcBorders>
              <w:top w:val="nil"/>
              <w:left w:val="nil"/>
              <w:bottom w:val="nil"/>
              <w:right w:val="nil"/>
            </w:tcBorders>
          </w:tcPr>
          <w:p w14:paraId="7BDAF248"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6</w:t>
            </w:r>
          </w:p>
        </w:tc>
        <w:tc>
          <w:tcPr>
            <w:tcW w:w="2847" w:type="dxa"/>
            <w:tcBorders>
              <w:top w:val="nil"/>
              <w:left w:val="nil"/>
              <w:bottom w:val="nil"/>
              <w:right w:val="nil"/>
            </w:tcBorders>
          </w:tcPr>
          <w:p w14:paraId="198DA766"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Colonel Mohsen Ali Naser</w:t>
            </w:r>
            <w:r w:rsidRPr="00B91FAE">
              <w:rPr>
                <w:rStyle w:val="FootnoteReference"/>
                <w:rFonts w:asciiTheme="majorBidi" w:hAnsiTheme="majorBidi" w:cstheme="majorBidi"/>
                <w:sz w:val="20"/>
                <w:szCs w:val="20"/>
              </w:rPr>
              <w:footnoteReference w:id="1600"/>
            </w:r>
          </w:p>
          <w:p w14:paraId="6A5BB59D"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العقيد محسن علي ناصر</w:t>
            </w:r>
          </w:p>
        </w:tc>
        <w:tc>
          <w:tcPr>
            <w:tcW w:w="2070" w:type="dxa"/>
            <w:tcBorders>
              <w:top w:val="nil"/>
              <w:left w:val="nil"/>
              <w:bottom w:val="nil"/>
              <w:right w:val="nil"/>
            </w:tcBorders>
          </w:tcPr>
          <w:p w14:paraId="5B5345C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Police Commander</w:t>
            </w:r>
          </w:p>
        </w:tc>
        <w:tc>
          <w:tcPr>
            <w:tcW w:w="4585" w:type="dxa"/>
            <w:tcBorders>
              <w:top w:val="nil"/>
              <w:left w:val="nil"/>
              <w:bottom w:val="nil"/>
              <w:right w:val="nil"/>
            </w:tcBorders>
          </w:tcPr>
          <w:p w14:paraId="24A8421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al-Mahra</w:t>
            </w:r>
          </w:p>
          <w:p w14:paraId="65FCA76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15 July 2019</w:t>
            </w:r>
          </w:p>
        </w:tc>
      </w:tr>
    </w:tbl>
    <w:p w14:paraId="34C71053" w14:textId="77777777" w:rsidR="00EA7E88" w:rsidRPr="00B91FAE" w:rsidRDefault="00EA7E88" w:rsidP="00EA7E88">
      <w:pPr>
        <w:rPr>
          <w:rFonts w:asciiTheme="majorBidi" w:hAnsiTheme="majorBidi" w:cstheme="majorBidi"/>
          <w:b/>
          <w:bCs/>
          <w:lang w:val="en-US"/>
        </w:rPr>
      </w:pPr>
      <w:r w:rsidRPr="00B91FAE">
        <w:rPr>
          <w:rFonts w:asciiTheme="majorBidi" w:hAnsiTheme="majorBidi" w:cstheme="majorBidi"/>
        </w:rPr>
        <w:br w:type="page"/>
      </w:r>
      <w:r w:rsidRPr="00B91FAE">
        <w:rPr>
          <w:rFonts w:asciiTheme="majorBidi" w:hAnsiTheme="majorBidi" w:cstheme="majorBidi"/>
          <w:b/>
          <w:bCs/>
          <w:lang w:val="en-US"/>
        </w:rPr>
        <w:lastRenderedPageBreak/>
        <w:t>De-Facto Authorities</w:t>
      </w:r>
      <w:r w:rsidRPr="00B91FAE">
        <w:rPr>
          <w:rStyle w:val="FootnoteReference"/>
          <w:rFonts w:asciiTheme="majorBidi" w:hAnsiTheme="majorBidi" w:cstheme="majorBidi"/>
          <w:b/>
          <w:bCs/>
          <w:lang w:val="en-US"/>
        </w:rPr>
        <w:footnoteReference w:id="1601"/>
      </w:r>
    </w:p>
    <w:p w14:paraId="53CA0190" w14:textId="77777777" w:rsidR="00EA7E88" w:rsidRPr="00B91FAE" w:rsidRDefault="00EA7E88" w:rsidP="00EA7E88">
      <w:pPr>
        <w:pStyle w:val="ListParagraph"/>
        <w:numPr>
          <w:ilvl w:val="1"/>
          <w:numId w:val="32"/>
        </w:numPr>
        <w:spacing w:after="160" w:line="259" w:lineRule="auto"/>
        <w:rPr>
          <w:rFonts w:asciiTheme="majorBidi" w:hAnsiTheme="majorBidi" w:cstheme="majorBidi"/>
          <w:b/>
          <w:bCs/>
          <w:sz w:val="20"/>
          <w:szCs w:val="20"/>
          <w:lang w:val="en-US"/>
        </w:rPr>
      </w:pPr>
      <w:r w:rsidRPr="00B91FAE">
        <w:rPr>
          <w:rFonts w:asciiTheme="majorBidi" w:hAnsiTheme="majorBidi" w:cstheme="majorBidi"/>
          <w:b/>
          <w:bCs/>
          <w:sz w:val="20"/>
          <w:szCs w:val="20"/>
          <w:lang w:val="en-US"/>
        </w:rPr>
        <w:t>Political and Military Main Actors</w:t>
      </w:r>
    </w:p>
    <w:tbl>
      <w:tblPr>
        <w:tblStyle w:val="TableGrid1"/>
        <w:tblW w:w="9635" w:type="dxa"/>
        <w:tblInd w:w="-5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2"/>
        <w:gridCol w:w="14"/>
        <w:gridCol w:w="2609"/>
        <w:gridCol w:w="2340"/>
        <w:gridCol w:w="3870"/>
      </w:tblGrid>
      <w:tr w:rsidR="00EA7E88" w:rsidRPr="00B91FAE" w14:paraId="50F759BA" w14:textId="77777777" w:rsidTr="00162F52">
        <w:tc>
          <w:tcPr>
            <w:tcW w:w="816" w:type="dxa"/>
            <w:gridSpan w:val="2"/>
            <w:tcBorders>
              <w:bottom w:val="single" w:sz="4" w:space="0" w:color="auto"/>
            </w:tcBorders>
            <w:shd w:val="clear" w:color="auto" w:fill="FFFFFF" w:themeFill="background1"/>
          </w:tcPr>
          <w:p w14:paraId="07AAE11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Serial</w:t>
            </w:r>
          </w:p>
        </w:tc>
        <w:tc>
          <w:tcPr>
            <w:tcW w:w="2609" w:type="dxa"/>
            <w:tcBorders>
              <w:bottom w:val="single" w:sz="4" w:space="0" w:color="auto"/>
            </w:tcBorders>
            <w:shd w:val="clear" w:color="auto" w:fill="FFFFFF" w:themeFill="background1"/>
          </w:tcPr>
          <w:p w14:paraId="418AA2F3"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340" w:type="dxa"/>
            <w:tcBorders>
              <w:bottom w:val="single" w:sz="4" w:space="0" w:color="auto"/>
            </w:tcBorders>
            <w:shd w:val="clear" w:color="auto" w:fill="FFFFFF" w:themeFill="background1"/>
          </w:tcPr>
          <w:p w14:paraId="7E9A0B7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70" w:type="dxa"/>
            <w:tcBorders>
              <w:bottom w:val="single" w:sz="4" w:space="0" w:color="auto"/>
            </w:tcBorders>
            <w:shd w:val="clear" w:color="auto" w:fill="FFFFFF" w:themeFill="background1"/>
          </w:tcPr>
          <w:p w14:paraId="76B676C5"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Assessment/remarks</w:t>
            </w:r>
          </w:p>
        </w:tc>
      </w:tr>
      <w:tr w:rsidR="00EA7E88" w:rsidRPr="00B91FAE" w14:paraId="2ABB1F56" w14:textId="77777777" w:rsidTr="00162F52">
        <w:trPr>
          <w:trHeight w:val="1142"/>
        </w:trPr>
        <w:tc>
          <w:tcPr>
            <w:tcW w:w="816" w:type="dxa"/>
            <w:gridSpan w:val="2"/>
            <w:tcBorders>
              <w:top w:val="single" w:sz="4" w:space="0" w:color="auto"/>
            </w:tcBorders>
          </w:tcPr>
          <w:p w14:paraId="3C3A1FA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p w14:paraId="1CDCC613" w14:textId="77777777" w:rsidR="00EA7E88" w:rsidRPr="00B91FAE" w:rsidRDefault="00EA7E88" w:rsidP="00162F52">
            <w:pPr>
              <w:jc w:val="center"/>
              <w:rPr>
                <w:rFonts w:asciiTheme="majorBidi" w:hAnsiTheme="majorBidi" w:cstheme="majorBidi"/>
                <w:sz w:val="20"/>
                <w:szCs w:val="20"/>
              </w:rPr>
            </w:pPr>
          </w:p>
        </w:tc>
        <w:tc>
          <w:tcPr>
            <w:tcW w:w="2609" w:type="dxa"/>
            <w:tcBorders>
              <w:top w:val="single" w:sz="4" w:space="0" w:color="auto"/>
            </w:tcBorders>
          </w:tcPr>
          <w:p w14:paraId="5CA7852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Badr al-Din al-Houthi</w:t>
            </w:r>
            <w:r w:rsidRPr="00B91FAE">
              <w:rPr>
                <w:rStyle w:val="FootnoteReference"/>
                <w:rFonts w:asciiTheme="majorBidi" w:hAnsiTheme="majorBidi" w:cstheme="majorBidi"/>
                <w:sz w:val="20"/>
                <w:szCs w:val="20"/>
              </w:rPr>
              <w:footnoteReference w:id="1602"/>
            </w:r>
          </w:p>
          <w:p w14:paraId="21AC9A4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 الملك بدر الدين الحوثي</w:t>
            </w:r>
          </w:p>
        </w:tc>
        <w:tc>
          <w:tcPr>
            <w:tcW w:w="2340" w:type="dxa"/>
            <w:tcBorders>
              <w:top w:val="single" w:sz="4" w:space="0" w:color="auto"/>
            </w:tcBorders>
          </w:tcPr>
          <w:p w14:paraId="75A7D04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Leader of the Houthis’</w:t>
            </w:r>
            <w:r w:rsidRPr="00B91FAE">
              <w:rPr>
                <w:rStyle w:val="FootnoteReference"/>
                <w:rFonts w:asciiTheme="majorBidi" w:hAnsiTheme="majorBidi" w:cstheme="majorBidi"/>
                <w:sz w:val="20"/>
                <w:szCs w:val="20"/>
              </w:rPr>
              <w:footnoteReference w:id="1603"/>
            </w:r>
          </w:p>
        </w:tc>
        <w:tc>
          <w:tcPr>
            <w:tcW w:w="3870" w:type="dxa"/>
            <w:tcBorders>
              <w:top w:val="single" w:sz="4" w:space="0" w:color="auto"/>
            </w:tcBorders>
          </w:tcPr>
          <w:p w14:paraId="41EE84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665640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Political, no military rank</w:t>
            </w:r>
          </w:p>
        </w:tc>
      </w:tr>
      <w:tr w:rsidR="00EA7E88" w:rsidRPr="00B91FAE" w14:paraId="503D4E48" w14:textId="77777777" w:rsidTr="00162F52">
        <w:trPr>
          <w:trHeight w:val="1070"/>
        </w:trPr>
        <w:tc>
          <w:tcPr>
            <w:tcW w:w="816" w:type="dxa"/>
            <w:gridSpan w:val="2"/>
          </w:tcPr>
          <w:p w14:paraId="67ADE21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2</w:t>
            </w:r>
          </w:p>
        </w:tc>
        <w:tc>
          <w:tcPr>
            <w:tcW w:w="2609" w:type="dxa"/>
          </w:tcPr>
          <w:p w14:paraId="14C82B09"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Mahdi al-Mashat</w:t>
            </w:r>
          </w:p>
          <w:p w14:paraId="5E27AA1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مهدي المشاط</w:t>
            </w:r>
          </w:p>
        </w:tc>
        <w:tc>
          <w:tcPr>
            <w:tcW w:w="2340" w:type="dxa"/>
          </w:tcPr>
          <w:p w14:paraId="32B552E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President of Supreme Political Council (SPC)</w:t>
            </w:r>
          </w:p>
          <w:p w14:paraId="713A4F3E" w14:textId="77777777" w:rsidR="00EA7E88" w:rsidRPr="00B91FAE" w:rsidRDefault="00EA7E88" w:rsidP="00162F52">
            <w:pPr>
              <w:rPr>
                <w:rFonts w:asciiTheme="majorBidi" w:hAnsiTheme="majorBidi" w:cstheme="majorBidi"/>
                <w:sz w:val="20"/>
                <w:szCs w:val="20"/>
              </w:rPr>
            </w:pPr>
          </w:p>
        </w:tc>
        <w:tc>
          <w:tcPr>
            <w:tcW w:w="3870" w:type="dxa"/>
          </w:tcPr>
          <w:p w14:paraId="64FEE9D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25EDCA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Promoted to marshal rank</w:t>
            </w:r>
            <w:r w:rsidRPr="00B91FAE">
              <w:rPr>
                <w:rStyle w:val="FootnoteReference"/>
                <w:rFonts w:asciiTheme="majorBidi" w:hAnsiTheme="majorBidi" w:cstheme="majorBidi"/>
                <w:sz w:val="20"/>
                <w:szCs w:val="20"/>
              </w:rPr>
              <w:footnoteReference w:id="1604"/>
            </w:r>
          </w:p>
          <w:p w14:paraId="2C4438A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The SPC  has decided to extend the tenure  of al-Mashat from 24 August 2019 until 24 August 2020</w:t>
            </w:r>
            <w:r w:rsidRPr="00B91FAE">
              <w:rPr>
                <w:rStyle w:val="FootnoteReference"/>
                <w:rFonts w:asciiTheme="majorBidi" w:hAnsiTheme="majorBidi" w:cstheme="majorBidi"/>
                <w:sz w:val="20"/>
                <w:szCs w:val="20"/>
              </w:rPr>
              <w:footnoteReference w:id="1605"/>
            </w:r>
          </w:p>
        </w:tc>
      </w:tr>
      <w:tr w:rsidR="00EA7E88" w:rsidRPr="00B91FAE" w14:paraId="23FB04F6" w14:textId="77777777" w:rsidTr="00162F52">
        <w:tc>
          <w:tcPr>
            <w:tcW w:w="816" w:type="dxa"/>
            <w:gridSpan w:val="2"/>
          </w:tcPr>
          <w:p w14:paraId="5AF0F92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3</w:t>
            </w:r>
          </w:p>
        </w:tc>
        <w:tc>
          <w:tcPr>
            <w:tcW w:w="2609" w:type="dxa"/>
          </w:tcPr>
          <w:p w14:paraId="6993DEB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Mohammed Ali Abdulkarim al-Houthi</w:t>
            </w:r>
          </w:p>
          <w:p w14:paraId="68D48C4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محمد علي عبدالكريم الحوثي</w:t>
            </w:r>
          </w:p>
          <w:p w14:paraId="3D16E35A" w14:textId="77777777" w:rsidR="00EA7E88" w:rsidRPr="00B91FAE" w:rsidRDefault="00EA7E88" w:rsidP="00162F52">
            <w:pPr>
              <w:rPr>
                <w:rFonts w:asciiTheme="majorBidi" w:hAnsiTheme="majorBidi" w:cstheme="majorBidi"/>
                <w:sz w:val="20"/>
                <w:szCs w:val="20"/>
              </w:rPr>
            </w:pPr>
          </w:p>
        </w:tc>
        <w:tc>
          <w:tcPr>
            <w:tcW w:w="2340" w:type="dxa"/>
          </w:tcPr>
          <w:p w14:paraId="321CBF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Member of the Supreme Political Council</w:t>
            </w:r>
            <w:r w:rsidRPr="00B91FAE">
              <w:rPr>
                <w:rStyle w:val="FootnoteReference"/>
                <w:rFonts w:asciiTheme="majorBidi" w:hAnsiTheme="majorBidi" w:cstheme="majorBidi"/>
                <w:sz w:val="20"/>
                <w:szCs w:val="20"/>
              </w:rPr>
              <w:footnoteReference w:id="1606"/>
            </w:r>
          </w:p>
          <w:p w14:paraId="13F7CA1C" w14:textId="77777777" w:rsidR="00EA7E88" w:rsidRPr="00B91FAE" w:rsidRDefault="00EA7E88" w:rsidP="00162F52">
            <w:pPr>
              <w:rPr>
                <w:rFonts w:asciiTheme="majorBidi" w:hAnsiTheme="majorBidi" w:cstheme="majorBidi"/>
                <w:sz w:val="20"/>
                <w:szCs w:val="20"/>
              </w:rPr>
            </w:pPr>
          </w:p>
        </w:tc>
        <w:tc>
          <w:tcPr>
            <w:tcW w:w="3870" w:type="dxa"/>
          </w:tcPr>
          <w:p w14:paraId="2411607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9ADF22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 military rank</w:t>
            </w:r>
          </w:p>
          <w:p w14:paraId="313046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18 March 2019</w:t>
            </w:r>
          </w:p>
        </w:tc>
      </w:tr>
      <w:tr w:rsidR="00EA7E88" w:rsidRPr="00B91FAE" w14:paraId="3A1E4744" w14:textId="77777777" w:rsidTr="00162F52">
        <w:tc>
          <w:tcPr>
            <w:tcW w:w="816" w:type="dxa"/>
            <w:gridSpan w:val="2"/>
          </w:tcPr>
          <w:p w14:paraId="6FFA0E5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Pr>
          <w:p w14:paraId="6705B3B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Yahya Mohammed al-Shami</w:t>
            </w:r>
          </w:p>
          <w:p w14:paraId="60CC5AA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يحيي محمد الشامي</w:t>
            </w:r>
          </w:p>
        </w:tc>
        <w:tc>
          <w:tcPr>
            <w:tcW w:w="2340" w:type="dxa"/>
          </w:tcPr>
          <w:p w14:paraId="1ABEBD7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Assistant of supreme commander</w:t>
            </w:r>
            <w:r w:rsidRPr="00B91FAE">
              <w:rPr>
                <w:rStyle w:val="FootnoteReference"/>
                <w:rFonts w:asciiTheme="majorBidi" w:hAnsiTheme="majorBidi" w:cstheme="majorBidi"/>
                <w:sz w:val="20"/>
                <w:szCs w:val="20"/>
                <w:lang w:val="en-US"/>
              </w:rPr>
              <w:footnoteReference w:id="1607"/>
            </w:r>
          </w:p>
          <w:p w14:paraId="22766CCC" w14:textId="77777777" w:rsidR="00EA7E88" w:rsidRPr="00B91FAE" w:rsidRDefault="00EA7E88" w:rsidP="00162F52">
            <w:pPr>
              <w:rPr>
                <w:rFonts w:asciiTheme="majorBidi" w:hAnsiTheme="majorBidi" w:cstheme="majorBidi"/>
                <w:sz w:val="20"/>
                <w:szCs w:val="20"/>
                <w:lang w:val="en-US"/>
              </w:rPr>
            </w:pPr>
          </w:p>
        </w:tc>
        <w:tc>
          <w:tcPr>
            <w:tcW w:w="3870" w:type="dxa"/>
          </w:tcPr>
          <w:p w14:paraId="3438924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9512C5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28 November 2016</w:t>
            </w:r>
          </w:p>
        </w:tc>
      </w:tr>
      <w:tr w:rsidR="00EA7E88" w:rsidRPr="00B91FAE" w14:paraId="3B9C5BBB" w14:textId="77777777" w:rsidTr="00162F52">
        <w:tc>
          <w:tcPr>
            <w:tcW w:w="816" w:type="dxa"/>
            <w:gridSpan w:val="2"/>
          </w:tcPr>
          <w:p w14:paraId="36A0D0B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Pr>
          <w:p w14:paraId="52750F7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Abdulkarim Ammer Aldain  al-Houthi</w:t>
            </w:r>
            <w:r w:rsidRPr="00B91FAE">
              <w:rPr>
                <w:rStyle w:val="FootnoteReference"/>
                <w:rFonts w:asciiTheme="majorBidi" w:hAnsiTheme="majorBidi" w:cstheme="majorBidi"/>
                <w:sz w:val="20"/>
                <w:szCs w:val="20"/>
              </w:rPr>
              <w:footnoteReference w:id="1608"/>
            </w:r>
          </w:p>
          <w:p w14:paraId="6FDE5D0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 الكريم امير الدين الحوثي</w:t>
            </w:r>
          </w:p>
        </w:tc>
        <w:tc>
          <w:tcPr>
            <w:tcW w:w="2340" w:type="dxa"/>
          </w:tcPr>
          <w:p w14:paraId="40A2F25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interior</w:t>
            </w:r>
          </w:p>
          <w:p w14:paraId="4637BA90" w14:textId="77777777" w:rsidR="00EA7E88" w:rsidRPr="00B91FAE" w:rsidRDefault="00EA7E88" w:rsidP="00162F52">
            <w:pPr>
              <w:rPr>
                <w:rFonts w:asciiTheme="majorBidi" w:hAnsiTheme="majorBidi" w:cstheme="majorBidi"/>
                <w:sz w:val="20"/>
                <w:szCs w:val="20"/>
                <w:lang w:val="en-US"/>
              </w:rPr>
            </w:pPr>
          </w:p>
        </w:tc>
        <w:tc>
          <w:tcPr>
            <w:tcW w:w="3870" w:type="dxa"/>
          </w:tcPr>
          <w:p w14:paraId="62FD00AD"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5 May 2019</w:t>
            </w:r>
          </w:p>
          <w:p w14:paraId="1F0FC8F0"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He lived in Doha for a while and has military, political and financial influence inside Sana'a</w:t>
            </w:r>
          </w:p>
        </w:tc>
      </w:tr>
      <w:tr w:rsidR="00EA7E88" w:rsidRPr="00B91FAE" w14:paraId="272FBE95" w14:textId="77777777" w:rsidTr="00162F52">
        <w:tc>
          <w:tcPr>
            <w:tcW w:w="816" w:type="dxa"/>
            <w:gridSpan w:val="2"/>
          </w:tcPr>
          <w:p w14:paraId="7877E5C7"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6</w:t>
            </w:r>
          </w:p>
        </w:tc>
        <w:tc>
          <w:tcPr>
            <w:tcW w:w="2609" w:type="dxa"/>
          </w:tcPr>
          <w:p w14:paraId="2AB7031F"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Yahya Badr al-Din al-Houthi</w:t>
            </w:r>
            <w:r w:rsidRPr="00B91FAE">
              <w:rPr>
                <w:rStyle w:val="FootnoteReference"/>
                <w:rFonts w:asciiTheme="majorBidi" w:hAnsiTheme="majorBidi" w:cstheme="majorBidi"/>
                <w:sz w:val="20"/>
                <w:szCs w:val="20"/>
              </w:rPr>
              <w:footnoteReference w:id="1609"/>
            </w:r>
          </w:p>
          <w:p w14:paraId="49FF919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يحي بدرالدين الحوثي</w:t>
            </w:r>
          </w:p>
          <w:p w14:paraId="6C81BCE0" w14:textId="77777777" w:rsidR="00EA7E88" w:rsidRPr="00B91FAE" w:rsidRDefault="00EA7E88" w:rsidP="00162F52">
            <w:pPr>
              <w:rPr>
                <w:rFonts w:asciiTheme="majorBidi" w:hAnsiTheme="majorBidi" w:cstheme="majorBidi"/>
                <w:sz w:val="20"/>
                <w:szCs w:val="20"/>
              </w:rPr>
            </w:pPr>
          </w:p>
        </w:tc>
        <w:tc>
          <w:tcPr>
            <w:tcW w:w="2340" w:type="dxa"/>
          </w:tcPr>
          <w:p w14:paraId="4837C7D9"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education</w:t>
            </w:r>
          </w:p>
        </w:tc>
        <w:tc>
          <w:tcPr>
            <w:tcW w:w="3870" w:type="dxa"/>
          </w:tcPr>
          <w:p w14:paraId="1EFAAE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11F2B5A9"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rPr>
              <w:t>April 2016</w:t>
            </w:r>
          </w:p>
        </w:tc>
      </w:tr>
      <w:tr w:rsidR="00EA7E88" w:rsidRPr="00B91FAE" w14:paraId="634A6B03" w14:textId="77777777" w:rsidTr="00162F52">
        <w:tc>
          <w:tcPr>
            <w:tcW w:w="816" w:type="dxa"/>
            <w:gridSpan w:val="2"/>
          </w:tcPr>
          <w:p w14:paraId="6DAF17B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Pr>
          <w:p w14:paraId="712DD38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Mohammed Nasser al-Atifi</w:t>
            </w:r>
          </w:p>
          <w:p w14:paraId="061881E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محمد ناصر العاطفي</w:t>
            </w:r>
          </w:p>
          <w:p w14:paraId="753BC2F2" w14:textId="77777777" w:rsidR="00EA7E88" w:rsidRPr="00B91FAE" w:rsidRDefault="00EA7E88" w:rsidP="00162F52">
            <w:pPr>
              <w:rPr>
                <w:rFonts w:asciiTheme="majorBidi" w:hAnsiTheme="majorBidi" w:cstheme="majorBidi"/>
                <w:sz w:val="20"/>
                <w:szCs w:val="20"/>
              </w:rPr>
            </w:pPr>
          </w:p>
        </w:tc>
        <w:tc>
          <w:tcPr>
            <w:tcW w:w="2340" w:type="dxa"/>
          </w:tcPr>
          <w:p w14:paraId="10B2A3D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Minister of defence</w:t>
            </w:r>
          </w:p>
        </w:tc>
        <w:tc>
          <w:tcPr>
            <w:tcW w:w="3870" w:type="dxa"/>
          </w:tcPr>
          <w:p w14:paraId="304363F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45EC8C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rPr>
              <w:t>Previously missiles group commander</w:t>
            </w:r>
            <w:r w:rsidRPr="00B91FAE">
              <w:rPr>
                <w:rStyle w:val="FootnoteReference"/>
                <w:rFonts w:asciiTheme="majorBidi" w:hAnsiTheme="majorBidi" w:cstheme="majorBidi"/>
                <w:sz w:val="20"/>
                <w:szCs w:val="20"/>
                <w:lang w:val="en-US"/>
              </w:rPr>
              <w:footnoteReference w:id="1610"/>
            </w:r>
          </w:p>
        </w:tc>
      </w:tr>
      <w:tr w:rsidR="00EA7E88" w:rsidRPr="00B91FAE" w14:paraId="3BB67E54" w14:textId="77777777" w:rsidTr="00162F52">
        <w:tc>
          <w:tcPr>
            <w:tcW w:w="816" w:type="dxa"/>
            <w:gridSpan w:val="2"/>
          </w:tcPr>
          <w:p w14:paraId="38F84CAC"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8</w:t>
            </w:r>
          </w:p>
        </w:tc>
        <w:tc>
          <w:tcPr>
            <w:tcW w:w="2609" w:type="dxa"/>
          </w:tcPr>
          <w:p w14:paraId="28A2429E"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Abu Bakar Abdulaziz al-Ghazali</w:t>
            </w:r>
          </w:p>
          <w:p w14:paraId="73E282F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ابو بكر عبد العزيز الغزالي</w:t>
            </w:r>
          </w:p>
        </w:tc>
        <w:tc>
          <w:tcPr>
            <w:tcW w:w="2340" w:type="dxa"/>
          </w:tcPr>
          <w:p w14:paraId="53C6EFDB" w14:textId="77777777" w:rsidR="00EA7E88" w:rsidRPr="00B91FAE" w:rsidDel="007F1421"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Assistance of Minister of Defence for Technology</w:t>
            </w:r>
            <w:r w:rsidRPr="00B91FAE">
              <w:rPr>
                <w:rStyle w:val="FootnoteReference"/>
                <w:rFonts w:asciiTheme="majorBidi" w:hAnsiTheme="majorBidi" w:cstheme="majorBidi"/>
                <w:sz w:val="20"/>
                <w:szCs w:val="20"/>
              </w:rPr>
              <w:footnoteReference w:id="1611"/>
            </w:r>
          </w:p>
        </w:tc>
        <w:tc>
          <w:tcPr>
            <w:tcW w:w="3870" w:type="dxa"/>
          </w:tcPr>
          <w:p w14:paraId="11EC925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5A6918CB" w14:textId="77777777" w:rsidTr="00162F52">
        <w:tc>
          <w:tcPr>
            <w:tcW w:w="816" w:type="dxa"/>
            <w:gridSpan w:val="2"/>
          </w:tcPr>
          <w:p w14:paraId="63191FE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9</w:t>
            </w:r>
          </w:p>
        </w:tc>
        <w:tc>
          <w:tcPr>
            <w:tcW w:w="2609" w:type="dxa"/>
          </w:tcPr>
          <w:p w14:paraId="55E8B98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Hadi Mohammed al-Kouhlani Abu Ali</w:t>
            </w:r>
          </w:p>
          <w:p w14:paraId="5C22521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ابو علي الكحلاني</w:t>
            </w:r>
          </w:p>
        </w:tc>
        <w:tc>
          <w:tcPr>
            <w:tcW w:w="2340" w:type="dxa"/>
          </w:tcPr>
          <w:p w14:paraId="2BB5668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Assistance of Minister of Defence for Human Resources</w:t>
            </w:r>
            <w:r w:rsidRPr="00B91FAE">
              <w:rPr>
                <w:rStyle w:val="FootnoteReference"/>
                <w:rFonts w:asciiTheme="majorBidi" w:hAnsiTheme="majorBidi" w:cstheme="majorBidi"/>
                <w:sz w:val="20"/>
                <w:szCs w:val="20"/>
              </w:rPr>
              <w:footnoteReference w:id="1612"/>
            </w:r>
            <w:r w:rsidRPr="00B91FAE">
              <w:rPr>
                <w:rFonts w:asciiTheme="majorBidi" w:hAnsiTheme="majorBidi" w:cstheme="majorBidi"/>
                <w:sz w:val="20"/>
                <w:szCs w:val="20"/>
              </w:rPr>
              <w:t xml:space="preserve"> </w:t>
            </w:r>
          </w:p>
          <w:p w14:paraId="692BE94A" w14:textId="77777777" w:rsidR="00EA7E88" w:rsidRPr="00B91FAE" w:rsidRDefault="00EA7E88" w:rsidP="00162F52">
            <w:pPr>
              <w:rPr>
                <w:rFonts w:asciiTheme="majorBidi" w:hAnsiTheme="majorBidi" w:cstheme="majorBidi"/>
                <w:sz w:val="20"/>
                <w:szCs w:val="20"/>
              </w:rPr>
            </w:pPr>
          </w:p>
        </w:tc>
        <w:tc>
          <w:tcPr>
            <w:tcW w:w="3870" w:type="dxa"/>
          </w:tcPr>
          <w:p w14:paraId="54A1B351"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al-Hudaydah</w:t>
            </w:r>
          </w:p>
        </w:tc>
      </w:tr>
      <w:tr w:rsidR="00EA7E88" w:rsidRPr="00B91FAE" w14:paraId="30C1C7F2" w14:textId="77777777" w:rsidTr="00162F52">
        <w:tc>
          <w:tcPr>
            <w:tcW w:w="816" w:type="dxa"/>
            <w:gridSpan w:val="2"/>
          </w:tcPr>
          <w:p w14:paraId="0CE912F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609" w:type="dxa"/>
          </w:tcPr>
          <w:p w14:paraId="6488704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Mohammed Abdulkarim al-Ghumari</w:t>
            </w:r>
          </w:p>
          <w:p w14:paraId="6149487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محمد عبدالكريم الغماري</w:t>
            </w:r>
          </w:p>
          <w:p w14:paraId="536EA951" w14:textId="77777777" w:rsidR="00EA7E88" w:rsidRPr="00B91FAE" w:rsidRDefault="00EA7E88" w:rsidP="00162F52">
            <w:pPr>
              <w:rPr>
                <w:rFonts w:asciiTheme="majorBidi" w:hAnsiTheme="majorBidi" w:cstheme="majorBidi"/>
                <w:sz w:val="20"/>
                <w:szCs w:val="20"/>
              </w:rPr>
            </w:pPr>
          </w:p>
        </w:tc>
        <w:tc>
          <w:tcPr>
            <w:tcW w:w="2340" w:type="dxa"/>
          </w:tcPr>
          <w:p w14:paraId="57627452"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Chief of general staff</w:t>
            </w:r>
          </w:p>
        </w:tc>
        <w:tc>
          <w:tcPr>
            <w:tcW w:w="3870" w:type="dxa"/>
          </w:tcPr>
          <w:p w14:paraId="77155D3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09A597E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13 December 2016</w:t>
            </w:r>
          </w:p>
        </w:tc>
      </w:tr>
      <w:tr w:rsidR="00EA7E88" w:rsidRPr="00B91FAE" w14:paraId="50716C3C" w14:textId="77777777" w:rsidTr="00162F52">
        <w:tc>
          <w:tcPr>
            <w:tcW w:w="816" w:type="dxa"/>
            <w:gridSpan w:val="2"/>
          </w:tcPr>
          <w:p w14:paraId="152063E3"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11</w:t>
            </w:r>
          </w:p>
        </w:tc>
        <w:tc>
          <w:tcPr>
            <w:tcW w:w="2609" w:type="dxa"/>
          </w:tcPr>
          <w:p w14:paraId="16A4AE32"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 xml:space="preserve">Major General Zakaria </w:t>
            </w:r>
            <w:r w:rsidRPr="00A1624A">
              <w:rPr>
                <w:rFonts w:asciiTheme="majorBidi" w:hAnsiTheme="majorBidi" w:cstheme="majorBidi"/>
                <w:sz w:val="20"/>
                <w:szCs w:val="20"/>
                <w:lang w:val="es-ES"/>
              </w:rPr>
              <w:lastRenderedPageBreak/>
              <w:t>Yahya al-Shami</w:t>
            </w:r>
          </w:p>
          <w:p w14:paraId="46BB668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زكريا يحي الشامي</w:t>
            </w:r>
          </w:p>
          <w:p w14:paraId="1E58B231" w14:textId="77777777" w:rsidR="00EA7E88" w:rsidRPr="00B91FAE" w:rsidRDefault="00EA7E88" w:rsidP="00162F52">
            <w:pPr>
              <w:rPr>
                <w:rFonts w:asciiTheme="majorBidi" w:hAnsiTheme="majorBidi" w:cstheme="majorBidi"/>
                <w:sz w:val="20"/>
                <w:szCs w:val="20"/>
              </w:rPr>
            </w:pPr>
          </w:p>
        </w:tc>
        <w:tc>
          <w:tcPr>
            <w:tcW w:w="2340" w:type="dxa"/>
          </w:tcPr>
          <w:p w14:paraId="4BB8CC47"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lastRenderedPageBreak/>
              <w:t xml:space="preserve">Former </w:t>
            </w:r>
            <w:r w:rsidRPr="00B91FAE">
              <w:rPr>
                <w:rFonts w:asciiTheme="majorBidi" w:hAnsiTheme="majorBidi" w:cstheme="majorBidi"/>
                <w:sz w:val="20"/>
                <w:szCs w:val="20"/>
                <w:lang w:val="en-US"/>
              </w:rPr>
              <w:t xml:space="preserve">Deputy chief of </w:t>
            </w:r>
            <w:r w:rsidRPr="00B91FAE">
              <w:rPr>
                <w:rFonts w:asciiTheme="majorBidi" w:hAnsiTheme="majorBidi" w:cstheme="majorBidi"/>
                <w:sz w:val="20"/>
                <w:szCs w:val="20"/>
                <w:lang w:val="en-US"/>
              </w:rPr>
              <w:lastRenderedPageBreak/>
              <w:t>staff</w:t>
            </w:r>
            <w:r w:rsidRPr="00B91FAE">
              <w:rPr>
                <w:rStyle w:val="FootnoteReference"/>
                <w:rFonts w:asciiTheme="majorBidi" w:hAnsiTheme="majorBidi" w:cstheme="majorBidi"/>
                <w:sz w:val="20"/>
                <w:szCs w:val="20"/>
              </w:rPr>
              <w:footnoteReference w:id="1613"/>
            </w:r>
          </w:p>
        </w:tc>
        <w:tc>
          <w:tcPr>
            <w:tcW w:w="3870" w:type="dxa"/>
          </w:tcPr>
          <w:p w14:paraId="0B81AEC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Sana’a</w:t>
            </w:r>
          </w:p>
          <w:p w14:paraId="091A490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On 28 November 201</w:t>
            </w:r>
            <w:r w:rsidRPr="00B91FAE">
              <w:rPr>
                <w:rFonts w:asciiTheme="majorBidi" w:hAnsiTheme="majorBidi" w:cstheme="majorBidi"/>
                <w:sz w:val="20"/>
                <w:szCs w:val="20"/>
                <w:rtl/>
              </w:rPr>
              <w:t>6</w:t>
            </w:r>
            <w:r w:rsidRPr="00B91FAE">
              <w:rPr>
                <w:rFonts w:asciiTheme="majorBidi" w:hAnsiTheme="majorBidi" w:cstheme="majorBidi"/>
                <w:sz w:val="20"/>
                <w:szCs w:val="20"/>
              </w:rPr>
              <w:t xml:space="preserve"> appointed as minister of transportation</w:t>
            </w:r>
            <w:r w:rsidRPr="00B91FAE">
              <w:rPr>
                <w:rStyle w:val="FootnoteReference"/>
                <w:rFonts w:asciiTheme="majorBidi" w:hAnsiTheme="majorBidi" w:cstheme="majorBidi"/>
                <w:sz w:val="20"/>
                <w:szCs w:val="20"/>
              </w:rPr>
              <w:footnoteReference w:id="1614"/>
            </w:r>
          </w:p>
        </w:tc>
      </w:tr>
      <w:tr w:rsidR="00EA7E88" w:rsidRPr="00B91FAE" w14:paraId="137A30BD" w14:textId="77777777" w:rsidTr="00162F52">
        <w:tc>
          <w:tcPr>
            <w:tcW w:w="816" w:type="dxa"/>
            <w:gridSpan w:val="2"/>
          </w:tcPr>
          <w:p w14:paraId="2A5224F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12</w:t>
            </w:r>
          </w:p>
        </w:tc>
        <w:tc>
          <w:tcPr>
            <w:tcW w:w="2609" w:type="dxa"/>
          </w:tcPr>
          <w:p w14:paraId="2C60280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Ali Hamud al-Mushki</w:t>
            </w:r>
          </w:p>
          <w:p w14:paraId="7FEBDB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علي حمود الموشكي</w:t>
            </w:r>
          </w:p>
          <w:p w14:paraId="165454A0" w14:textId="77777777" w:rsidR="00EA7E88" w:rsidRPr="00B91FAE" w:rsidRDefault="00EA7E88" w:rsidP="00162F52">
            <w:pPr>
              <w:rPr>
                <w:rFonts w:asciiTheme="majorBidi" w:hAnsiTheme="majorBidi" w:cstheme="majorBidi"/>
                <w:sz w:val="20"/>
                <w:szCs w:val="20"/>
              </w:rPr>
            </w:pPr>
          </w:p>
        </w:tc>
        <w:tc>
          <w:tcPr>
            <w:tcW w:w="2340" w:type="dxa"/>
          </w:tcPr>
          <w:p w14:paraId="3C3F4216"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D</w:t>
            </w:r>
            <w:r w:rsidRPr="00B91FAE">
              <w:rPr>
                <w:rFonts w:asciiTheme="majorBidi" w:hAnsiTheme="majorBidi" w:cstheme="majorBidi"/>
                <w:sz w:val="20"/>
                <w:szCs w:val="20"/>
                <w:lang w:val="en-US"/>
              </w:rPr>
              <w:t>eputy head general staff</w:t>
            </w:r>
            <w:r w:rsidRPr="00B91FAE">
              <w:rPr>
                <w:rStyle w:val="FootnoteReference"/>
                <w:rFonts w:asciiTheme="majorBidi" w:hAnsiTheme="majorBidi" w:cstheme="majorBidi"/>
                <w:sz w:val="20"/>
                <w:szCs w:val="20"/>
                <w:lang w:val="en-US"/>
              </w:rPr>
              <w:footnoteReference w:id="1615"/>
            </w:r>
          </w:p>
        </w:tc>
        <w:tc>
          <w:tcPr>
            <w:tcW w:w="3870" w:type="dxa"/>
          </w:tcPr>
          <w:p w14:paraId="61D7162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Sana’a</w:t>
            </w:r>
          </w:p>
        </w:tc>
      </w:tr>
      <w:tr w:rsidR="00EA7E88" w:rsidRPr="00B91FAE" w14:paraId="39F285FE" w14:textId="77777777" w:rsidTr="00162F52">
        <w:tc>
          <w:tcPr>
            <w:tcW w:w="816" w:type="dxa"/>
            <w:gridSpan w:val="2"/>
          </w:tcPr>
          <w:p w14:paraId="51AC703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p w14:paraId="5F59D89A" w14:textId="77777777" w:rsidR="00EA7E88" w:rsidRPr="00B91FAE" w:rsidRDefault="00EA7E88" w:rsidP="00162F52">
            <w:pPr>
              <w:jc w:val="center"/>
              <w:rPr>
                <w:rFonts w:asciiTheme="majorBidi" w:hAnsiTheme="majorBidi" w:cstheme="majorBidi"/>
                <w:sz w:val="20"/>
                <w:szCs w:val="20"/>
              </w:rPr>
            </w:pPr>
          </w:p>
        </w:tc>
        <w:tc>
          <w:tcPr>
            <w:tcW w:w="2609" w:type="dxa"/>
          </w:tcPr>
          <w:p w14:paraId="14D777FF"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Abdullah Yahya al-Hakim aka Abu Ali al-Hakim</w:t>
            </w:r>
            <w:r w:rsidRPr="00B91FAE">
              <w:rPr>
                <w:rStyle w:val="FootnoteReference"/>
                <w:rFonts w:asciiTheme="majorBidi" w:hAnsiTheme="majorBidi" w:cstheme="majorBidi"/>
                <w:sz w:val="20"/>
                <w:szCs w:val="20"/>
              </w:rPr>
              <w:footnoteReference w:id="1616"/>
            </w:r>
          </w:p>
          <w:p w14:paraId="2923224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عبدالله يحي الحاكم (ابو علي الحاكم)</w:t>
            </w:r>
          </w:p>
          <w:p w14:paraId="43E6601F" w14:textId="77777777" w:rsidR="00EA7E88" w:rsidRPr="00B91FAE" w:rsidRDefault="00EA7E88" w:rsidP="00162F52">
            <w:pPr>
              <w:rPr>
                <w:rFonts w:asciiTheme="majorBidi" w:hAnsiTheme="majorBidi" w:cstheme="majorBidi"/>
                <w:sz w:val="20"/>
                <w:szCs w:val="20"/>
              </w:rPr>
            </w:pPr>
          </w:p>
        </w:tc>
        <w:tc>
          <w:tcPr>
            <w:tcW w:w="2340" w:type="dxa"/>
          </w:tcPr>
          <w:p w14:paraId="780261C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 xml:space="preserve">Chief of Military Intelligence Staff </w:t>
            </w:r>
            <w:r w:rsidRPr="00B91FAE">
              <w:rPr>
                <w:rStyle w:val="FootnoteReference"/>
                <w:rFonts w:asciiTheme="majorBidi" w:hAnsiTheme="majorBidi" w:cstheme="majorBidi"/>
                <w:sz w:val="20"/>
                <w:szCs w:val="20"/>
                <w:lang w:val="en-US"/>
              </w:rPr>
              <w:footnoteReference w:id="1617"/>
            </w:r>
          </w:p>
          <w:p w14:paraId="0E6EB577" w14:textId="77777777" w:rsidR="00EA7E88" w:rsidRPr="00B91FAE" w:rsidRDefault="00EA7E88" w:rsidP="00162F52">
            <w:pPr>
              <w:rPr>
                <w:rFonts w:asciiTheme="majorBidi" w:hAnsiTheme="majorBidi" w:cstheme="majorBidi"/>
                <w:sz w:val="20"/>
                <w:szCs w:val="20"/>
                <w:lang w:val="en-US"/>
              </w:rPr>
            </w:pPr>
          </w:p>
        </w:tc>
        <w:tc>
          <w:tcPr>
            <w:tcW w:w="3870" w:type="dxa"/>
          </w:tcPr>
          <w:p w14:paraId="48344E8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19B46E2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22 August 2017</w:t>
            </w:r>
          </w:p>
        </w:tc>
      </w:tr>
      <w:tr w:rsidR="00EA7E88" w:rsidRPr="00B91FAE" w14:paraId="31E3F3FB" w14:textId="77777777" w:rsidTr="00162F52">
        <w:tc>
          <w:tcPr>
            <w:tcW w:w="816" w:type="dxa"/>
            <w:gridSpan w:val="2"/>
          </w:tcPr>
          <w:p w14:paraId="280B211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14</w:t>
            </w:r>
          </w:p>
        </w:tc>
        <w:tc>
          <w:tcPr>
            <w:tcW w:w="2609" w:type="dxa"/>
          </w:tcPr>
          <w:p w14:paraId="4E022615"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Brigadier General Ali Abu Haliqa</w:t>
            </w:r>
            <w:r w:rsidRPr="00B91FAE">
              <w:rPr>
                <w:rStyle w:val="FootnoteReference"/>
                <w:rFonts w:asciiTheme="majorBidi" w:hAnsiTheme="majorBidi" w:cstheme="majorBidi"/>
                <w:sz w:val="20"/>
                <w:szCs w:val="20"/>
              </w:rPr>
              <w:footnoteReference w:id="1618"/>
            </w:r>
          </w:p>
          <w:p w14:paraId="437BD79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علي ابو حليقه</w:t>
            </w:r>
          </w:p>
          <w:p w14:paraId="010A54D0" w14:textId="77777777" w:rsidR="00EA7E88" w:rsidRPr="00B91FAE" w:rsidRDefault="00EA7E88" w:rsidP="00162F52">
            <w:pPr>
              <w:rPr>
                <w:rFonts w:asciiTheme="majorBidi" w:hAnsiTheme="majorBidi" w:cstheme="majorBidi"/>
                <w:sz w:val="20"/>
                <w:szCs w:val="20"/>
                <w:rtl/>
                <w:lang w:bidi="ar-JO"/>
              </w:rPr>
            </w:pPr>
          </w:p>
        </w:tc>
        <w:tc>
          <w:tcPr>
            <w:tcW w:w="2340" w:type="dxa"/>
          </w:tcPr>
          <w:p w14:paraId="04644F56"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Military Intelligence Director</w:t>
            </w:r>
          </w:p>
        </w:tc>
        <w:tc>
          <w:tcPr>
            <w:tcW w:w="3870" w:type="dxa"/>
          </w:tcPr>
          <w:p w14:paraId="17444A5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His assistant is Brigadier General Mohammad Zahrah</w:t>
            </w:r>
          </w:p>
        </w:tc>
      </w:tr>
      <w:tr w:rsidR="00EA7E88" w:rsidRPr="00B91FAE" w14:paraId="54BE36B7" w14:textId="77777777" w:rsidTr="00162F52">
        <w:tc>
          <w:tcPr>
            <w:tcW w:w="816" w:type="dxa"/>
            <w:gridSpan w:val="2"/>
          </w:tcPr>
          <w:p w14:paraId="1113A3A2"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15</w:t>
            </w:r>
          </w:p>
        </w:tc>
        <w:tc>
          <w:tcPr>
            <w:tcW w:w="2609" w:type="dxa"/>
          </w:tcPr>
          <w:p w14:paraId="3979336D"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Brigadier General  Amer Ali al-Marani</w:t>
            </w:r>
          </w:p>
          <w:p w14:paraId="79B6B19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عمار علي المراني</w:t>
            </w:r>
          </w:p>
          <w:p w14:paraId="70C6E0C3" w14:textId="77777777" w:rsidR="00EA7E88" w:rsidRPr="00B91FAE" w:rsidRDefault="00EA7E88" w:rsidP="00162F52">
            <w:pPr>
              <w:rPr>
                <w:rFonts w:asciiTheme="majorBidi" w:hAnsiTheme="majorBidi" w:cstheme="majorBidi"/>
                <w:sz w:val="20"/>
                <w:szCs w:val="20"/>
                <w:rtl/>
                <w:lang w:bidi="ar-JO"/>
              </w:rPr>
            </w:pPr>
          </w:p>
        </w:tc>
        <w:tc>
          <w:tcPr>
            <w:tcW w:w="2340" w:type="dxa"/>
          </w:tcPr>
          <w:p w14:paraId="18A997F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intelligence</w:t>
            </w:r>
          </w:p>
          <w:p w14:paraId="3D38CE8E" w14:textId="77777777" w:rsidR="00EA7E88" w:rsidRPr="00B91FAE" w:rsidRDefault="00EA7E88" w:rsidP="00162F52">
            <w:pPr>
              <w:rPr>
                <w:rFonts w:asciiTheme="majorBidi" w:hAnsiTheme="majorBidi" w:cstheme="majorBidi"/>
                <w:sz w:val="20"/>
                <w:szCs w:val="20"/>
                <w:lang w:val="en-US"/>
              </w:rPr>
            </w:pPr>
          </w:p>
        </w:tc>
        <w:tc>
          <w:tcPr>
            <w:tcW w:w="3870" w:type="dxa"/>
          </w:tcPr>
          <w:p w14:paraId="4758EA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Sana’a </w:t>
            </w:r>
          </w:p>
          <w:p w14:paraId="3938D7D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Deputy of military intelligence chief</w:t>
            </w:r>
            <w:r w:rsidRPr="00B91FAE">
              <w:rPr>
                <w:rStyle w:val="FootnoteReference"/>
                <w:rFonts w:asciiTheme="majorBidi" w:hAnsiTheme="majorBidi" w:cstheme="majorBidi"/>
                <w:sz w:val="20"/>
                <w:szCs w:val="20"/>
                <w:lang w:val="en-US"/>
              </w:rPr>
              <w:footnoteReference w:id="1619"/>
            </w:r>
          </w:p>
        </w:tc>
      </w:tr>
      <w:tr w:rsidR="00EA7E88" w:rsidRPr="00B91FAE" w14:paraId="54362D84" w14:textId="77777777" w:rsidTr="00162F52">
        <w:tc>
          <w:tcPr>
            <w:tcW w:w="816" w:type="dxa"/>
            <w:gridSpan w:val="2"/>
          </w:tcPr>
          <w:p w14:paraId="2045E6D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16</w:t>
            </w:r>
          </w:p>
        </w:tc>
        <w:tc>
          <w:tcPr>
            <w:tcW w:w="2609" w:type="dxa"/>
          </w:tcPr>
          <w:p w14:paraId="34B6AB1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Salih Mosfir Alshaer</w:t>
            </w:r>
            <w:r w:rsidRPr="00B91FAE">
              <w:rPr>
                <w:rStyle w:val="FootnoteReference"/>
                <w:rFonts w:asciiTheme="majorBidi" w:hAnsiTheme="majorBidi" w:cstheme="majorBidi"/>
                <w:sz w:val="20"/>
                <w:szCs w:val="20"/>
              </w:rPr>
              <w:footnoteReference w:id="1620"/>
            </w:r>
          </w:p>
          <w:p w14:paraId="5ECD6B8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صالح مسفر الشاعر</w:t>
            </w:r>
          </w:p>
          <w:p w14:paraId="09A36819" w14:textId="77777777" w:rsidR="00EA7E88" w:rsidRPr="00B91FAE" w:rsidRDefault="00EA7E88" w:rsidP="00162F52">
            <w:pPr>
              <w:rPr>
                <w:rFonts w:asciiTheme="majorBidi" w:hAnsiTheme="majorBidi" w:cstheme="majorBidi"/>
                <w:sz w:val="20"/>
                <w:szCs w:val="20"/>
              </w:rPr>
            </w:pPr>
          </w:p>
        </w:tc>
        <w:tc>
          <w:tcPr>
            <w:tcW w:w="2340" w:type="dxa"/>
          </w:tcPr>
          <w:p w14:paraId="5CDD4E3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Logistic Staff</w:t>
            </w:r>
          </w:p>
          <w:p w14:paraId="310D6FBD" w14:textId="77777777" w:rsidR="00EA7E88" w:rsidRPr="00B91FAE" w:rsidRDefault="00EA7E88" w:rsidP="00162F52">
            <w:pPr>
              <w:rPr>
                <w:rFonts w:asciiTheme="majorBidi" w:hAnsiTheme="majorBidi" w:cstheme="majorBidi"/>
                <w:sz w:val="20"/>
                <w:szCs w:val="20"/>
              </w:rPr>
            </w:pPr>
          </w:p>
        </w:tc>
        <w:tc>
          <w:tcPr>
            <w:tcW w:w="3870" w:type="dxa"/>
          </w:tcPr>
          <w:p w14:paraId="6B847981"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Sana’a</w:t>
            </w:r>
          </w:p>
        </w:tc>
      </w:tr>
      <w:tr w:rsidR="00EA7E88" w:rsidRPr="00B91FAE" w14:paraId="4305A0D7" w14:textId="77777777" w:rsidTr="00162F52">
        <w:tc>
          <w:tcPr>
            <w:tcW w:w="816" w:type="dxa"/>
            <w:gridSpan w:val="2"/>
          </w:tcPr>
          <w:p w14:paraId="3D7D114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17</w:t>
            </w:r>
          </w:p>
        </w:tc>
        <w:tc>
          <w:tcPr>
            <w:tcW w:w="2609" w:type="dxa"/>
          </w:tcPr>
          <w:p w14:paraId="020C68A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Major General Muhammad al-Miqdad</w:t>
            </w:r>
          </w:p>
          <w:p w14:paraId="31166C76"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الركن محمد المقداد</w:t>
            </w:r>
          </w:p>
          <w:p w14:paraId="444BB666" w14:textId="77777777" w:rsidR="00EA7E88" w:rsidRPr="00B91FAE" w:rsidRDefault="00EA7E88" w:rsidP="00162F52">
            <w:pPr>
              <w:rPr>
                <w:rFonts w:asciiTheme="majorBidi" w:hAnsiTheme="majorBidi" w:cstheme="majorBidi"/>
                <w:sz w:val="20"/>
                <w:szCs w:val="20"/>
                <w:lang w:bidi="ar-JO"/>
              </w:rPr>
            </w:pPr>
          </w:p>
        </w:tc>
        <w:tc>
          <w:tcPr>
            <w:tcW w:w="2340" w:type="dxa"/>
          </w:tcPr>
          <w:p w14:paraId="27A1352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operations</w:t>
            </w:r>
            <w:r w:rsidRPr="00B91FAE">
              <w:rPr>
                <w:rFonts w:asciiTheme="majorBidi" w:hAnsiTheme="majorBidi" w:cstheme="majorBidi"/>
                <w:sz w:val="20"/>
                <w:szCs w:val="20"/>
                <w:rtl/>
              </w:rPr>
              <w:t xml:space="preserve"> </w:t>
            </w:r>
            <w:r w:rsidRPr="00B91FAE">
              <w:rPr>
                <w:rFonts w:asciiTheme="majorBidi" w:hAnsiTheme="majorBidi" w:cstheme="majorBidi"/>
                <w:sz w:val="20"/>
                <w:szCs w:val="20"/>
              </w:rPr>
              <w:t xml:space="preserve"> Staff</w:t>
            </w:r>
            <w:r w:rsidRPr="00B91FAE">
              <w:rPr>
                <w:rStyle w:val="FootnoteReference"/>
                <w:rFonts w:asciiTheme="majorBidi" w:hAnsiTheme="majorBidi" w:cstheme="majorBidi"/>
                <w:sz w:val="20"/>
                <w:szCs w:val="20"/>
              </w:rPr>
              <w:footnoteReference w:id="1621"/>
            </w:r>
          </w:p>
        </w:tc>
        <w:tc>
          <w:tcPr>
            <w:tcW w:w="3870" w:type="dxa"/>
          </w:tcPr>
          <w:p w14:paraId="6E80172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42D9DE2F" w14:textId="77777777" w:rsidTr="00162F52">
        <w:tc>
          <w:tcPr>
            <w:tcW w:w="816" w:type="dxa"/>
            <w:gridSpan w:val="2"/>
          </w:tcPr>
          <w:p w14:paraId="49F8383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18</w:t>
            </w:r>
          </w:p>
        </w:tc>
        <w:tc>
          <w:tcPr>
            <w:tcW w:w="2609" w:type="dxa"/>
          </w:tcPr>
          <w:p w14:paraId="529257B9"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Yahya Shaalan Al-Ghabeisi</w:t>
            </w:r>
            <w:r w:rsidRPr="00B91FAE">
              <w:rPr>
                <w:rStyle w:val="FootnoteReference"/>
                <w:rFonts w:asciiTheme="majorBidi" w:hAnsiTheme="majorBidi" w:cstheme="majorBidi"/>
                <w:sz w:val="20"/>
                <w:szCs w:val="20"/>
                <w:lang w:bidi="ar-JO"/>
              </w:rPr>
              <w:footnoteReference w:id="1622"/>
            </w:r>
          </w:p>
          <w:p w14:paraId="533C2CB2"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الركن الطيار يحي شعلان الغبيسي</w:t>
            </w:r>
          </w:p>
        </w:tc>
        <w:tc>
          <w:tcPr>
            <w:tcW w:w="2340" w:type="dxa"/>
          </w:tcPr>
          <w:p w14:paraId="468B965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Human Resources Staff</w:t>
            </w:r>
          </w:p>
        </w:tc>
        <w:tc>
          <w:tcPr>
            <w:tcW w:w="3870" w:type="dxa"/>
          </w:tcPr>
          <w:p w14:paraId="74141E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48B415DE" w14:textId="77777777" w:rsidTr="00162F52">
        <w:trPr>
          <w:trHeight w:val="1304"/>
        </w:trPr>
        <w:tc>
          <w:tcPr>
            <w:tcW w:w="816" w:type="dxa"/>
            <w:gridSpan w:val="2"/>
          </w:tcPr>
          <w:p w14:paraId="3B2D960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19</w:t>
            </w:r>
          </w:p>
        </w:tc>
        <w:tc>
          <w:tcPr>
            <w:tcW w:w="2609" w:type="dxa"/>
          </w:tcPr>
          <w:p w14:paraId="5EE0718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Major General Jaber al-Saifi</w:t>
            </w:r>
          </w:p>
          <w:p w14:paraId="6370986B"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جابر الصيفي</w:t>
            </w:r>
            <w:r w:rsidRPr="00B91FAE">
              <w:rPr>
                <w:rFonts w:asciiTheme="majorBidi" w:hAnsiTheme="majorBidi" w:cstheme="majorBidi"/>
                <w:sz w:val="20"/>
                <w:szCs w:val="20"/>
                <w:lang w:bidi="ar-JO"/>
              </w:rPr>
              <w:t xml:space="preserve"> </w:t>
            </w:r>
          </w:p>
        </w:tc>
        <w:tc>
          <w:tcPr>
            <w:tcW w:w="2340" w:type="dxa"/>
          </w:tcPr>
          <w:p w14:paraId="7194202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Chief of Training Staff</w:t>
            </w:r>
          </w:p>
        </w:tc>
        <w:tc>
          <w:tcPr>
            <w:tcW w:w="3870" w:type="dxa"/>
          </w:tcPr>
          <w:p w14:paraId="5AA36059"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Sana’a</w:t>
            </w:r>
          </w:p>
        </w:tc>
      </w:tr>
      <w:tr w:rsidR="00EA7E88" w:rsidRPr="00B91FAE" w14:paraId="43CE48BB" w14:textId="77777777" w:rsidTr="00162F52">
        <w:trPr>
          <w:trHeight w:val="648"/>
        </w:trPr>
        <w:tc>
          <w:tcPr>
            <w:tcW w:w="816" w:type="dxa"/>
            <w:gridSpan w:val="2"/>
          </w:tcPr>
          <w:p w14:paraId="3FB7AF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20</w:t>
            </w:r>
          </w:p>
        </w:tc>
        <w:tc>
          <w:tcPr>
            <w:tcW w:w="2609" w:type="dxa"/>
          </w:tcPr>
          <w:p w14:paraId="04E12B1D"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Mehdi Mqulah</w:t>
            </w:r>
          </w:p>
          <w:p w14:paraId="4D3FBBD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مهدي مقوله</w:t>
            </w:r>
          </w:p>
        </w:tc>
        <w:tc>
          <w:tcPr>
            <w:tcW w:w="2340" w:type="dxa"/>
          </w:tcPr>
          <w:p w14:paraId="211726AA"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General reserve forces</w:t>
            </w:r>
            <w:r w:rsidRPr="00B91FAE">
              <w:rPr>
                <w:rStyle w:val="FootnoteReference"/>
                <w:rFonts w:asciiTheme="majorBidi" w:hAnsiTheme="majorBidi" w:cstheme="majorBidi"/>
                <w:sz w:val="20"/>
                <w:szCs w:val="20"/>
                <w:lang w:val="en-US"/>
              </w:rPr>
              <w:footnoteReference w:id="1623"/>
            </w:r>
          </w:p>
          <w:p w14:paraId="10331AA2" w14:textId="77777777" w:rsidR="00EA7E88" w:rsidRPr="00B91FAE" w:rsidRDefault="00EA7E88" w:rsidP="00162F52">
            <w:pPr>
              <w:rPr>
                <w:rFonts w:asciiTheme="majorBidi" w:hAnsiTheme="majorBidi" w:cstheme="majorBidi"/>
                <w:sz w:val="20"/>
                <w:szCs w:val="20"/>
                <w:lang w:val="en-US"/>
              </w:rPr>
            </w:pPr>
          </w:p>
        </w:tc>
        <w:tc>
          <w:tcPr>
            <w:tcW w:w="3870" w:type="dxa"/>
          </w:tcPr>
          <w:p w14:paraId="13916849"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 xml:space="preserve"> He played a prominent role during the Houthis' occupation of Aden in 2015 .After the killing of President Saleh, he encountered </w:t>
            </w:r>
            <w:r w:rsidRPr="00B91FAE">
              <w:rPr>
                <w:rFonts w:asciiTheme="majorBidi" w:hAnsiTheme="majorBidi" w:cstheme="majorBidi"/>
                <w:sz w:val="20"/>
                <w:szCs w:val="20"/>
                <w:lang w:val="en-US" w:bidi="ar-JO"/>
              </w:rPr>
              <w:lastRenderedPageBreak/>
              <w:t>difficulties with the Houthis</w:t>
            </w:r>
          </w:p>
          <w:p w14:paraId="4C5A6B2C" w14:textId="77777777" w:rsidR="00EA7E88" w:rsidRPr="00B91FAE" w:rsidRDefault="00EA7E88" w:rsidP="00162F52">
            <w:pPr>
              <w:rPr>
                <w:rFonts w:asciiTheme="majorBidi" w:hAnsiTheme="majorBidi" w:cstheme="majorBidi"/>
                <w:sz w:val="20"/>
                <w:szCs w:val="20"/>
                <w:lang w:val="en-US"/>
              </w:rPr>
            </w:pPr>
          </w:p>
        </w:tc>
      </w:tr>
      <w:tr w:rsidR="00EA7E88" w:rsidRPr="00B91FAE" w14:paraId="455CF7EE" w14:textId="77777777" w:rsidTr="00162F52">
        <w:tc>
          <w:tcPr>
            <w:tcW w:w="816" w:type="dxa"/>
            <w:gridSpan w:val="2"/>
          </w:tcPr>
          <w:p w14:paraId="5BC90E4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21</w:t>
            </w:r>
          </w:p>
        </w:tc>
        <w:tc>
          <w:tcPr>
            <w:tcW w:w="2609" w:type="dxa"/>
          </w:tcPr>
          <w:p w14:paraId="4B361D5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Ibrahim Ali al-Shami</w:t>
            </w:r>
          </w:p>
          <w:p w14:paraId="7610D1D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الطيار ابراهيم الشامي</w:t>
            </w:r>
          </w:p>
          <w:p w14:paraId="7E4E541B" w14:textId="77777777" w:rsidR="00EA7E88" w:rsidRPr="00B91FAE" w:rsidRDefault="00EA7E88" w:rsidP="00162F52">
            <w:pPr>
              <w:rPr>
                <w:rFonts w:asciiTheme="majorBidi" w:hAnsiTheme="majorBidi" w:cstheme="majorBidi"/>
                <w:sz w:val="20"/>
                <w:szCs w:val="20"/>
              </w:rPr>
            </w:pPr>
          </w:p>
        </w:tc>
        <w:tc>
          <w:tcPr>
            <w:tcW w:w="2340" w:type="dxa"/>
          </w:tcPr>
          <w:p w14:paraId="1DFD828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Air force &amp; Air Defence Commander</w:t>
            </w:r>
          </w:p>
          <w:p w14:paraId="21852C1E" w14:textId="77777777" w:rsidR="00EA7E88" w:rsidRPr="00B91FAE" w:rsidRDefault="00EA7E88" w:rsidP="00162F52">
            <w:pPr>
              <w:rPr>
                <w:rFonts w:asciiTheme="majorBidi" w:hAnsiTheme="majorBidi" w:cstheme="majorBidi"/>
                <w:sz w:val="20"/>
                <w:szCs w:val="20"/>
              </w:rPr>
            </w:pPr>
          </w:p>
        </w:tc>
        <w:tc>
          <w:tcPr>
            <w:tcW w:w="3870" w:type="dxa"/>
          </w:tcPr>
          <w:p w14:paraId="0CFA41C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Dilamy Base</w:t>
            </w:r>
          </w:p>
          <w:p w14:paraId="77BA690C"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rPr>
              <w:t>Died/killed in January 2019</w:t>
            </w:r>
            <w:r w:rsidRPr="00B91FAE">
              <w:rPr>
                <w:rStyle w:val="FootnoteReference"/>
                <w:rFonts w:asciiTheme="majorBidi" w:hAnsiTheme="majorBidi" w:cstheme="majorBidi"/>
                <w:sz w:val="20"/>
                <w:szCs w:val="20"/>
                <w:lang w:val="en-US"/>
              </w:rPr>
              <w:footnoteReference w:id="1624"/>
            </w:r>
          </w:p>
        </w:tc>
      </w:tr>
      <w:tr w:rsidR="00EA7E88" w:rsidRPr="00B91FAE" w14:paraId="4118AC66" w14:textId="77777777" w:rsidTr="00162F52">
        <w:tc>
          <w:tcPr>
            <w:tcW w:w="816" w:type="dxa"/>
            <w:gridSpan w:val="2"/>
          </w:tcPr>
          <w:p w14:paraId="1AA047F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22</w:t>
            </w:r>
          </w:p>
        </w:tc>
        <w:tc>
          <w:tcPr>
            <w:tcW w:w="2609" w:type="dxa"/>
          </w:tcPr>
          <w:p w14:paraId="11F6AFA5"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Major General Abd al-Khaliq Badr al-Din al-Houthi aka Abu-Yunus</w:t>
            </w:r>
            <w:r w:rsidRPr="00B91FAE">
              <w:rPr>
                <w:rStyle w:val="FootnoteReference"/>
                <w:rFonts w:asciiTheme="majorBidi" w:hAnsiTheme="majorBidi" w:cstheme="majorBidi"/>
                <w:sz w:val="20"/>
                <w:szCs w:val="20"/>
              </w:rPr>
              <w:footnoteReference w:id="1625"/>
            </w:r>
          </w:p>
          <w:p w14:paraId="3FBD14A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عبدالخالق بدر الدين الحوثي (ابو يونس)</w:t>
            </w:r>
          </w:p>
          <w:p w14:paraId="53CDF7A0" w14:textId="77777777" w:rsidR="00EA7E88" w:rsidRPr="00B91FAE" w:rsidRDefault="00EA7E88" w:rsidP="00162F52">
            <w:pPr>
              <w:rPr>
                <w:rFonts w:asciiTheme="majorBidi" w:hAnsiTheme="majorBidi" w:cstheme="majorBidi"/>
                <w:sz w:val="20"/>
                <w:szCs w:val="20"/>
              </w:rPr>
            </w:pPr>
          </w:p>
        </w:tc>
        <w:tc>
          <w:tcPr>
            <w:tcW w:w="2340" w:type="dxa"/>
          </w:tcPr>
          <w:p w14:paraId="1FA18E5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forces</w:t>
            </w:r>
          </w:p>
          <w:p w14:paraId="13DF6C71" w14:textId="77777777" w:rsidR="00EA7E88" w:rsidRPr="00B91FAE" w:rsidRDefault="00EA7E88" w:rsidP="00162F52">
            <w:pPr>
              <w:rPr>
                <w:rFonts w:asciiTheme="majorBidi" w:hAnsiTheme="majorBidi" w:cstheme="majorBidi"/>
                <w:sz w:val="20"/>
                <w:szCs w:val="20"/>
              </w:rPr>
            </w:pPr>
          </w:p>
        </w:tc>
        <w:tc>
          <w:tcPr>
            <w:tcW w:w="3870" w:type="dxa"/>
          </w:tcPr>
          <w:p w14:paraId="7D4FD8A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7B387CC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 front commander</w:t>
            </w:r>
          </w:p>
        </w:tc>
      </w:tr>
      <w:tr w:rsidR="00EA7E88" w:rsidRPr="00B91FAE" w14:paraId="330EDE01" w14:textId="77777777" w:rsidTr="00162F52">
        <w:trPr>
          <w:trHeight w:val="1242"/>
        </w:trPr>
        <w:tc>
          <w:tcPr>
            <w:tcW w:w="816" w:type="dxa"/>
            <w:gridSpan w:val="2"/>
          </w:tcPr>
          <w:p w14:paraId="6A9A9C7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23</w:t>
            </w:r>
          </w:p>
        </w:tc>
        <w:tc>
          <w:tcPr>
            <w:tcW w:w="2609" w:type="dxa"/>
          </w:tcPr>
          <w:p w14:paraId="48728D0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 xml:space="preserve">Major General Muhammad Fadhl </w:t>
            </w:r>
          </w:p>
          <w:p w14:paraId="6D98232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ركن بحري محمد فضل عبدالنبي</w:t>
            </w:r>
          </w:p>
        </w:tc>
        <w:tc>
          <w:tcPr>
            <w:tcW w:w="2340" w:type="dxa"/>
          </w:tcPr>
          <w:p w14:paraId="008A379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Navy and coastal defence commander</w:t>
            </w:r>
            <w:r w:rsidRPr="00B91FAE">
              <w:rPr>
                <w:rStyle w:val="FootnoteReference"/>
                <w:rFonts w:asciiTheme="majorBidi" w:hAnsiTheme="majorBidi" w:cstheme="majorBidi"/>
                <w:sz w:val="20"/>
                <w:szCs w:val="20"/>
              </w:rPr>
              <w:footnoteReference w:id="1626"/>
            </w:r>
          </w:p>
        </w:tc>
        <w:tc>
          <w:tcPr>
            <w:tcW w:w="3870" w:type="dxa"/>
          </w:tcPr>
          <w:p w14:paraId="51833E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533B09B2" w14:textId="77777777" w:rsidTr="00162F52">
        <w:trPr>
          <w:trHeight w:val="1169"/>
        </w:trPr>
        <w:tc>
          <w:tcPr>
            <w:tcW w:w="816" w:type="dxa"/>
            <w:gridSpan w:val="2"/>
          </w:tcPr>
          <w:p w14:paraId="5C67A32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24</w:t>
            </w:r>
          </w:p>
        </w:tc>
        <w:tc>
          <w:tcPr>
            <w:tcW w:w="2609" w:type="dxa"/>
          </w:tcPr>
          <w:p w14:paraId="0EEA0FD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Zakaria al- Mutta’</w:t>
            </w:r>
          </w:p>
          <w:p w14:paraId="446F7A2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العميد زكريا المطاع</w:t>
            </w:r>
          </w:p>
          <w:p w14:paraId="03AF424E" w14:textId="77777777" w:rsidR="00EA7E88" w:rsidRPr="00B91FAE" w:rsidRDefault="00EA7E88" w:rsidP="00162F52">
            <w:pPr>
              <w:rPr>
                <w:rFonts w:asciiTheme="majorBidi" w:hAnsiTheme="majorBidi" w:cstheme="majorBidi"/>
                <w:sz w:val="20"/>
                <w:szCs w:val="20"/>
              </w:rPr>
            </w:pPr>
          </w:p>
        </w:tc>
        <w:tc>
          <w:tcPr>
            <w:tcW w:w="2340" w:type="dxa"/>
          </w:tcPr>
          <w:p w14:paraId="758F6D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commander,</w:t>
            </w:r>
          </w:p>
          <w:p w14:paraId="1A564BF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republican guard commander</w:t>
            </w:r>
          </w:p>
        </w:tc>
        <w:tc>
          <w:tcPr>
            <w:tcW w:w="3870" w:type="dxa"/>
          </w:tcPr>
          <w:p w14:paraId="7BADBD1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Active in many fronts</w:t>
            </w:r>
          </w:p>
        </w:tc>
      </w:tr>
      <w:tr w:rsidR="00EA7E88" w:rsidRPr="00B91FAE" w14:paraId="141E9189" w14:textId="77777777" w:rsidTr="00162F52">
        <w:tc>
          <w:tcPr>
            <w:tcW w:w="816" w:type="dxa"/>
            <w:gridSpan w:val="2"/>
          </w:tcPr>
          <w:p w14:paraId="1AEFC74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25</w:t>
            </w:r>
          </w:p>
        </w:tc>
        <w:tc>
          <w:tcPr>
            <w:tcW w:w="2609" w:type="dxa"/>
          </w:tcPr>
          <w:p w14:paraId="7BBDECC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Mubarak Salih al-Mishin</w:t>
            </w:r>
          </w:p>
          <w:p w14:paraId="4031684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مبارك صالح المحسن</w:t>
            </w:r>
          </w:p>
          <w:p w14:paraId="427A71D7" w14:textId="77777777" w:rsidR="00EA7E88" w:rsidRPr="00B91FAE" w:rsidRDefault="00EA7E88" w:rsidP="00162F52">
            <w:pPr>
              <w:rPr>
                <w:rFonts w:asciiTheme="majorBidi" w:hAnsiTheme="majorBidi" w:cstheme="majorBidi"/>
                <w:sz w:val="20"/>
                <w:szCs w:val="20"/>
              </w:rPr>
            </w:pPr>
          </w:p>
        </w:tc>
        <w:tc>
          <w:tcPr>
            <w:tcW w:w="2340" w:type="dxa"/>
          </w:tcPr>
          <w:p w14:paraId="6E6E1D3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3rd military district commander</w:t>
            </w:r>
          </w:p>
          <w:p w14:paraId="1163DE90" w14:textId="77777777" w:rsidR="00EA7E88" w:rsidRPr="00B91FAE" w:rsidRDefault="00EA7E88" w:rsidP="00162F52">
            <w:pPr>
              <w:rPr>
                <w:rFonts w:asciiTheme="majorBidi" w:hAnsiTheme="majorBidi" w:cstheme="majorBidi"/>
                <w:sz w:val="20"/>
                <w:szCs w:val="20"/>
              </w:rPr>
            </w:pPr>
          </w:p>
        </w:tc>
        <w:tc>
          <w:tcPr>
            <w:tcW w:w="3870" w:type="dxa"/>
          </w:tcPr>
          <w:p w14:paraId="3F5DFF7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Ma’rib</w:t>
            </w:r>
          </w:p>
        </w:tc>
      </w:tr>
      <w:tr w:rsidR="00EA7E88" w:rsidRPr="00B91FAE" w14:paraId="029AB7E1" w14:textId="77777777" w:rsidTr="00162F52">
        <w:tc>
          <w:tcPr>
            <w:tcW w:w="816" w:type="dxa"/>
            <w:gridSpan w:val="2"/>
          </w:tcPr>
          <w:p w14:paraId="73C200A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26</w:t>
            </w:r>
          </w:p>
        </w:tc>
        <w:tc>
          <w:tcPr>
            <w:tcW w:w="2609" w:type="dxa"/>
          </w:tcPr>
          <w:p w14:paraId="74A0A06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Abdulatif Homood Almahdi</w:t>
            </w:r>
          </w:p>
          <w:p w14:paraId="513641B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عبداللطيف حمود المهدي</w:t>
            </w:r>
          </w:p>
        </w:tc>
        <w:tc>
          <w:tcPr>
            <w:tcW w:w="2340" w:type="dxa"/>
          </w:tcPr>
          <w:p w14:paraId="29831F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4th military district commander</w:t>
            </w:r>
            <w:r w:rsidRPr="00B91FAE">
              <w:rPr>
                <w:rStyle w:val="FootnoteReference"/>
                <w:rFonts w:asciiTheme="majorBidi" w:hAnsiTheme="majorBidi" w:cstheme="majorBidi"/>
                <w:sz w:val="20"/>
                <w:szCs w:val="20"/>
              </w:rPr>
              <w:footnoteReference w:id="1627"/>
            </w:r>
          </w:p>
          <w:p w14:paraId="2649654C" w14:textId="77777777" w:rsidR="00EA7E88" w:rsidRPr="00B91FAE" w:rsidRDefault="00EA7E88" w:rsidP="00162F52">
            <w:pPr>
              <w:rPr>
                <w:rFonts w:asciiTheme="majorBidi" w:hAnsiTheme="majorBidi" w:cstheme="majorBidi"/>
                <w:sz w:val="20"/>
                <w:szCs w:val="20"/>
              </w:rPr>
            </w:pPr>
          </w:p>
        </w:tc>
        <w:tc>
          <w:tcPr>
            <w:tcW w:w="3870" w:type="dxa"/>
          </w:tcPr>
          <w:p w14:paraId="68BFD8B8"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Ta’izz</w:t>
            </w:r>
          </w:p>
          <w:p w14:paraId="22E9E8F5"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Pr>
              <w:t>Previously  was Major General Abu Ali al-Hakim</w:t>
            </w:r>
          </w:p>
        </w:tc>
      </w:tr>
      <w:tr w:rsidR="00EA7E88" w:rsidRPr="00B91FAE" w14:paraId="717436B7" w14:textId="77777777" w:rsidTr="00162F52">
        <w:trPr>
          <w:trHeight w:val="1511"/>
        </w:trPr>
        <w:tc>
          <w:tcPr>
            <w:tcW w:w="816" w:type="dxa"/>
            <w:gridSpan w:val="2"/>
          </w:tcPr>
          <w:p w14:paraId="048CE10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27</w:t>
            </w:r>
          </w:p>
        </w:tc>
        <w:tc>
          <w:tcPr>
            <w:tcW w:w="2609" w:type="dxa"/>
          </w:tcPr>
          <w:p w14:paraId="2BA2469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Yusif  Ahssan Ismail al-Madani</w:t>
            </w:r>
          </w:p>
          <w:p w14:paraId="0B7A759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يوسف احسان اسماعيل المداني</w:t>
            </w:r>
          </w:p>
          <w:p w14:paraId="73FE3101" w14:textId="77777777" w:rsidR="00EA7E88" w:rsidRPr="00B91FAE" w:rsidRDefault="00EA7E88" w:rsidP="00162F52">
            <w:pPr>
              <w:rPr>
                <w:rFonts w:asciiTheme="majorBidi" w:hAnsiTheme="majorBidi" w:cstheme="majorBidi"/>
                <w:sz w:val="20"/>
                <w:szCs w:val="20"/>
              </w:rPr>
            </w:pPr>
          </w:p>
        </w:tc>
        <w:tc>
          <w:tcPr>
            <w:tcW w:w="2340" w:type="dxa"/>
          </w:tcPr>
          <w:p w14:paraId="79AAE15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 commander</w:t>
            </w:r>
            <w:r w:rsidRPr="00B91FAE">
              <w:rPr>
                <w:rStyle w:val="FootnoteReference"/>
                <w:rFonts w:asciiTheme="majorBidi" w:hAnsiTheme="majorBidi" w:cstheme="majorBidi"/>
                <w:sz w:val="20"/>
                <w:szCs w:val="20"/>
              </w:rPr>
              <w:footnoteReference w:id="1628"/>
            </w:r>
          </w:p>
          <w:p w14:paraId="2B92E2E1" w14:textId="77777777" w:rsidR="00EA7E88" w:rsidRPr="00B91FAE" w:rsidRDefault="00EA7E88" w:rsidP="00162F52">
            <w:pPr>
              <w:rPr>
                <w:rFonts w:asciiTheme="majorBidi" w:hAnsiTheme="majorBidi" w:cstheme="majorBidi"/>
                <w:sz w:val="20"/>
                <w:szCs w:val="20"/>
              </w:rPr>
            </w:pPr>
          </w:p>
        </w:tc>
        <w:tc>
          <w:tcPr>
            <w:tcW w:w="3870" w:type="dxa"/>
          </w:tcPr>
          <w:p w14:paraId="3D168E5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256010E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Married to daughter of Husayn Badr al-Din al-Houthi</w:t>
            </w:r>
          </w:p>
        </w:tc>
      </w:tr>
      <w:tr w:rsidR="00EA7E88" w:rsidRPr="00B91FAE" w14:paraId="58A84A1B" w14:textId="77777777" w:rsidTr="00162F52">
        <w:tc>
          <w:tcPr>
            <w:tcW w:w="816" w:type="dxa"/>
            <w:gridSpan w:val="2"/>
          </w:tcPr>
          <w:p w14:paraId="1264066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28</w:t>
            </w:r>
          </w:p>
        </w:tc>
        <w:tc>
          <w:tcPr>
            <w:tcW w:w="2609" w:type="dxa"/>
          </w:tcPr>
          <w:p w14:paraId="2256D4C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Abdulqader Ahmad Qassem al-Shami</w:t>
            </w:r>
          </w:p>
          <w:p w14:paraId="782D4F3F"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عبدالقادر احمد قاسم الشامي</w:t>
            </w:r>
          </w:p>
          <w:p w14:paraId="7D46213D" w14:textId="77777777" w:rsidR="00EA7E88" w:rsidRPr="00B91FAE" w:rsidRDefault="00EA7E88" w:rsidP="00162F52">
            <w:pPr>
              <w:rPr>
                <w:rFonts w:asciiTheme="majorBidi" w:hAnsiTheme="majorBidi" w:cstheme="majorBidi"/>
                <w:sz w:val="20"/>
                <w:szCs w:val="20"/>
              </w:rPr>
            </w:pPr>
          </w:p>
        </w:tc>
        <w:tc>
          <w:tcPr>
            <w:tcW w:w="2340" w:type="dxa"/>
          </w:tcPr>
          <w:p w14:paraId="06761D0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political security</w:t>
            </w:r>
          </w:p>
        </w:tc>
        <w:tc>
          <w:tcPr>
            <w:tcW w:w="3870" w:type="dxa"/>
          </w:tcPr>
          <w:p w14:paraId="7C44060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tc>
      </w:tr>
      <w:tr w:rsidR="00EA7E88" w:rsidRPr="00B91FAE" w14:paraId="24CAA627" w14:textId="77777777" w:rsidTr="00162F52">
        <w:tc>
          <w:tcPr>
            <w:tcW w:w="816" w:type="dxa"/>
            <w:gridSpan w:val="2"/>
          </w:tcPr>
          <w:p w14:paraId="4B2FC88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29</w:t>
            </w:r>
          </w:p>
        </w:tc>
        <w:tc>
          <w:tcPr>
            <w:tcW w:w="2609" w:type="dxa"/>
          </w:tcPr>
          <w:p w14:paraId="032D7B6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Abdurab Saleh Jurfan</w:t>
            </w:r>
          </w:p>
          <w:p w14:paraId="02E4D2E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عبدالرب صالح جرفان</w:t>
            </w:r>
          </w:p>
          <w:p w14:paraId="1F7B9448" w14:textId="77777777" w:rsidR="00EA7E88" w:rsidRPr="00B91FAE" w:rsidRDefault="00EA7E88" w:rsidP="00162F52">
            <w:pPr>
              <w:rPr>
                <w:rFonts w:asciiTheme="majorBidi" w:hAnsiTheme="majorBidi" w:cstheme="majorBidi"/>
                <w:sz w:val="20"/>
                <w:szCs w:val="20"/>
              </w:rPr>
            </w:pPr>
          </w:p>
        </w:tc>
        <w:tc>
          <w:tcPr>
            <w:tcW w:w="2340" w:type="dxa"/>
          </w:tcPr>
          <w:p w14:paraId="62F446A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Director  of National Security Bureau</w:t>
            </w:r>
          </w:p>
          <w:p w14:paraId="50471EDA" w14:textId="77777777" w:rsidR="00EA7E88" w:rsidRPr="00B91FAE" w:rsidRDefault="00EA7E88" w:rsidP="00162F52">
            <w:pPr>
              <w:rPr>
                <w:rFonts w:asciiTheme="majorBidi" w:hAnsiTheme="majorBidi" w:cstheme="majorBidi"/>
                <w:sz w:val="20"/>
                <w:szCs w:val="20"/>
              </w:rPr>
            </w:pPr>
          </w:p>
        </w:tc>
        <w:tc>
          <w:tcPr>
            <w:tcW w:w="3870" w:type="dxa"/>
          </w:tcPr>
          <w:p w14:paraId="5377752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28D6187C"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Member of security and military committee</w:t>
            </w:r>
            <w:r w:rsidRPr="00B91FAE">
              <w:rPr>
                <w:rStyle w:val="FootnoteReference"/>
                <w:rFonts w:asciiTheme="majorBidi" w:hAnsiTheme="majorBidi" w:cstheme="majorBidi"/>
                <w:sz w:val="20"/>
                <w:szCs w:val="20"/>
              </w:rPr>
              <w:footnoteReference w:id="1629"/>
            </w:r>
          </w:p>
          <w:p w14:paraId="3876132E"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1BA3AC5C" w14:textId="77777777" w:rsidTr="00162F52">
        <w:tc>
          <w:tcPr>
            <w:tcW w:w="816" w:type="dxa"/>
            <w:gridSpan w:val="2"/>
          </w:tcPr>
          <w:p w14:paraId="0D54E2DD" w14:textId="77777777" w:rsidR="00EA7E88" w:rsidRPr="00B91FAE" w:rsidDel="000A6468"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0</w:t>
            </w:r>
          </w:p>
        </w:tc>
        <w:tc>
          <w:tcPr>
            <w:tcW w:w="2609" w:type="dxa"/>
          </w:tcPr>
          <w:p w14:paraId="0C8FF0B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Fawaz Hussein Qaed Nashwan</w:t>
            </w:r>
          </w:p>
          <w:p w14:paraId="091220F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اللواء فواز حسين قايد نشوان</w:t>
            </w:r>
          </w:p>
          <w:p w14:paraId="1787ECC4" w14:textId="77777777" w:rsidR="00EA7E88" w:rsidRPr="00B91FAE" w:rsidRDefault="00EA7E88" w:rsidP="00162F52">
            <w:pPr>
              <w:rPr>
                <w:rFonts w:asciiTheme="majorBidi" w:hAnsiTheme="majorBidi" w:cstheme="majorBidi"/>
                <w:sz w:val="20"/>
                <w:szCs w:val="20"/>
              </w:rPr>
            </w:pPr>
          </w:p>
        </w:tc>
        <w:tc>
          <w:tcPr>
            <w:tcW w:w="2340" w:type="dxa"/>
          </w:tcPr>
          <w:p w14:paraId="5492DBC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National Security Bureau</w:t>
            </w:r>
          </w:p>
        </w:tc>
        <w:tc>
          <w:tcPr>
            <w:tcW w:w="3870" w:type="dxa"/>
          </w:tcPr>
          <w:p w14:paraId="2106C44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Appointed on 19 February 2019</w:t>
            </w:r>
            <w:r w:rsidRPr="00B91FAE">
              <w:rPr>
                <w:rStyle w:val="FootnoteReference"/>
                <w:rFonts w:asciiTheme="majorBidi" w:hAnsiTheme="majorBidi" w:cstheme="majorBidi"/>
                <w:sz w:val="20"/>
                <w:szCs w:val="20"/>
                <w:lang w:val="en-US"/>
              </w:rPr>
              <w:footnoteReference w:id="1630"/>
            </w:r>
          </w:p>
        </w:tc>
      </w:tr>
      <w:tr w:rsidR="00EA7E88" w:rsidRPr="00B91FAE" w14:paraId="6FB2E9B6" w14:textId="77777777" w:rsidTr="00162F52">
        <w:tc>
          <w:tcPr>
            <w:tcW w:w="816" w:type="dxa"/>
            <w:gridSpan w:val="2"/>
          </w:tcPr>
          <w:p w14:paraId="7118087B" w14:textId="77777777" w:rsidR="00EA7E88" w:rsidRPr="00B91FAE" w:rsidRDefault="00EA7E88" w:rsidP="00162F52">
            <w:pPr>
              <w:jc w:val="center"/>
              <w:rPr>
                <w:rFonts w:asciiTheme="majorBidi" w:hAnsiTheme="majorBidi" w:cstheme="majorBidi"/>
                <w:sz w:val="20"/>
                <w:szCs w:val="20"/>
                <w:rtl/>
                <w:lang w:val="en-US" w:bidi="ar-JO"/>
              </w:rPr>
            </w:pPr>
            <w:r w:rsidRPr="00B91FAE">
              <w:rPr>
                <w:rFonts w:asciiTheme="majorBidi" w:hAnsiTheme="majorBidi" w:cstheme="majorBidi"/>
                <w:sz w:val="20"/>
                <w:szCs w:val="20"/>
              </w:rPr>
              <w:t>31</w:t>
            </w:r>
          </w:p>
        </w:tc>
        <w:tc>
          <w:tcPr>
            <w:tcW w:w="2609" w:type="dxa"/>
          </w:tcPr>
          <w:p w14:paraId="420A4654"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 xml:space="preserve">Mutlaq Amer al-Marani aka </w:t>
            </w:r>
            <w:r w:rsidRPr="00A1624A">
              <w:rPr>
                <w:rFonts w:asciiTheme="majorBidi" w:hAnsiTheme="majorBidi" w:cstheme="majorBidi"/>
                <w:sz w:val="20"/>
                <w:szCs w:val="20"/>
                <w:lang w:val="es-ES"/>
              </w:rPr>
              <w:lastRenderedPageBreak/>
              <w:t>Abu Emad</w:t>
            </w:r>
          </w:p>
          <w:p w14:paraId="1F38D0D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مطلق عامر المراني</w:t>
            </w:r>
          </w:p>
          <w:p w14:paraId="61B1B2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 xml:space="preserve"> </w:t>
            </w:r>
          </w:p>
          <w:p w14:paraId="7906DD00" w14:textId="77777777" w:rsidR="00EA7E88" w:rsidRPr="00B91FAE" w:rsidRDefault="00EA7E88" w:rsidP="00162F52">
            <w:pPr>
              <w:rPr>
                <w:rFonts w:asciiTheme="majorBidi" w:hAnsiTheme="majorBidi" w:cstheme="majorBidi"/>
                <w:sz w:val="20"/>
                <w:szCs w:val="20"/>
              </w:rPr>
            </w:pPr>
          </w:p>
          <w:p w14:paraId="175946E2" w14:textId="77777777" w:rsidR="00EA7E88" w:rsidRPr="00B91FAE" w:rsidRDefault="00EA7E88" w:rsidP="00162F52">
            <w:pPr>
              <w:rPr>
                <w:rFonts w:asciiTheme="majorBidi" w:hAnsiTheme="majorBidi" w:cstheme="majorBidi"/>
                <w:sz w:val="20"/>
                <w:szCs w:val="20"/>
              </w:rPr>
            </w:pPr>
          </w:p>
        </w:tc>
        <w:tc>
          <w:tcPr>
            <w:tcW w:w="2340" w:type="dxa"/>
          </w:tcPr>
          <w:p w14:paraId="5701059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Deputy Director NSB</w:t>
            </w:r>
          </w:p>
        </w:tc>
        <w:tc>
          <w:tcPr>
            <w:tcW w:w="3870" w:type="dxa"/>
          </w:tcPr>
          <w:p w14:paraId="5D3F981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6BBA935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National Security Bureau (‘NSB’)</w:t>
            </w:r>
            <w:r w:rsidRPr="00B91FAE">
              <w:rPr>
                <w:rStyle w:val="FootnoteReference"/>
                <w:rFonts w:asciiTheme="majorBidi" w:hAnsiTheme="majorBidi" w:cstheme="majorBidi"/>
                <w:sz w:val="20"/>
                <w:szCs w:val="20"/>
              </w:rPr>
              <w:footnoteReference w:id="1631"/>
            </w:r>
          </w:p>
        </w:tc>
      </w:tr>
      <w:tr w:rsidR="00EA7E88" w:rsidRPr="00B91FAE" w14:paraId="0F86299D"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5" w:type="dxa"/>
            <w:gridSpan w:val="5"/>
            <w:tcBorders>
              <w:top w:val="nil"/>
              <w:left w:val="nil"/>
              <w:bottom w:val="nil"/>
              <w:right w:val="nil"/>
            </w:tcBorders>
            <w:shd w:val="clear" w:color="auto" w:fill="auto"/>
          </w:tcPr>
          <w:p w14:paraId="3DBCD00C" w14:textId="77777777" w:rsidR="00EA7E88" w:rsidRPr="00B91FAE" w:rsidRDefault="00EA7E88" w:rsidP="00EA7E88">
            <w:pPr>
              <w:pStyle w:val="ListParagraph"/>
              <w:numPr>
                <w:ilvl w:val="1"/>
                <w:numId w:val="32"/>
              </w:numPr>
              <w:spacing w:after="0" w:line="240" w:lineRule="auto"/>
              <w:rPr>
                <w:rFonts w:asciiTheme="majorBidi" w:hAnsiTheme="majorBidi" w:cstheme="majorBidi"/>
                <w:b/>
                <w:bCs/>
                <w:sz w:val="20"/>
                <w:szCs w:val="20"/>
                <w:lang w:val="en-US"/>
              </w:rPr>
            </w:pPr>
            <w:r w:rsidRPr="00B91FAE">
              <w:rPr>
                <w:rFonts w:asciiTheme="majorBidi" w:hAnsiTheme="majorBidi" w:cstheme="majorBidi"/>
                <w:sz w:val="20"/>
                <w:szCs w:val="20"/>
              </w:rPr>
              <w:lastRenderedPageBreak/>
              <w:br w:type="page"/>
            </w:r>
            <w:r w:rsidRPr="00B91FAE">
              <w:rPr>
                <w:rFonts w:asciiTheme="majorBidi" w:hAnsiTheme="majorBidi" w:cstheme="majorBidi"/>
                <w:b/>
                <w:bCs/>
                <w:sz w:val="20"/>
                <w:szCs w:val="20"/>
                <w:lang w:val="en-US"/>
              </w:rPr>
              <w:t>Aden I, Houthi – Saleh Main Actors</w:t>
            </w:r>
          </w:p>
        </w:tc>
      </w:tr>
      <w:tr w:rsidR="00EA7E88" w:rsidRPr="00B91FAE" w14:paraId="12F7ADF1"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single" w:sz="4" w:space="0" w:color="auto"/>
              <w:right w:val="nil"/>
            </w:tcBorders>
            <w:shd w:val="clear" w:color="auto" w:fill="D9D9D9" w:themeFill="background1" w:themeFillShade="D9"/>
          </w:tcPr>
          <w:p w14:paraId="28F729ED"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23" w:type="dxa"/>
            <w:gridSpan w:val="2"/>
            <w:tcBorders>
              <w:top w:val="nil"/>
              <w:left w:val="nil"/>
              <w:bottom w:val="single" w:sz="4" w:space="0" w:color="auto"/>
              <w:right w:val="nil"/>
            </w:tcBorders>
            <w:shd w:val="clear" w:color="auto" w:fill="D9D9D9" w:themeFill="background1" w:themeFillShade="D9"/>
          </w:tcPr>
          <w:p w14:paraId="2D104449"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64188088"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1B07BD59" w14:textId="77777777" w:rsidR="00EA7E88" w:rsidRPr="00B91FAE" w:rsidRDefault="00EA7E88" w:rsidP="00162F52">
            <w:pPr>
              <w:jc w:val="center"/>
              <w:rPr>
                <w:rFonts w:asciiTheme="majorBidi" w:hAnsiTheme="majorBidi" w:cstheme="majorBidi"/>
                <w:b/>
                <w:bCs/>
                <w:i/>
                <w:iCs/>
                <w:sz w:val="20"/>
                <w:szCs w:val="20"/>
                <w:lang w:bidi="ar-JO"/>
              </w:rPr>
            </w:pPr>
            <w:r w:rsidRPr="00B91FAE">
              <w:rPr>
                <w:rFonts w:asciiTheme="majorBidi" w:hAnsiTheme="majorBidi" w:cstheme="majorBidi"/>
                <w:b/>
                <w:bCs/>
                <w:i/>
                <w:iCs/>
                <w:sz w:val="20"/>
                <w:szCs w:val="20"/>
              </w:rPr>
              <w:t>Assessment/remarks</w:t>
            </w:r>
          </w:p>
        </w:tc>
      </w:tr>
      <w:tr w:rsidR="00EA7E88" w:rsidRPr="00B91FAE" w14:paraId="3481A52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81"/>
        </w:trPr>
        <w:tc>
          <w:tcPr>
            <w:tcW w:w="802" w:type="dxa"/>
            <w:tcBorders>
              <w:top w:val="single" w:sz="4" w:space="0" w:color="auto"/>
              <w:left w:val="nil"/>
              <w:bottom w:val="nil"/>
              <w:right w:val="nil"/>
            </w:tcBorders>
            <w:shd w:val="clear" w:color="auto" w:fill="auto"/>
          </w:tcPr>
          <w:p w14:paraId="42D8A94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23" w:type="dxa"/>
            <w:gridSpan w:val="2"/>
            <w:tcBorders>
              <w:top w:val="single" w:sz="4" w:space="0" w:color="auto"/>
              <w:left w:val="nil"/>
              <w:bottom w:val="nil"/>
              <w:right w:val="nil"/>
            </w:tcBorders>
            <w:shd w:val="clear" w:color="auto" w:fill="auto"/>
          </w:tcPr>
          <w:p w14:paraId="0CE2E183"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Ali Abdullah Saleh</w:t>
            </w:r>
          </w:p>
          <w:p w14:paraId="76F21476"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علي عبدالله صالح</w:t>
            </w:r>
          </w:p>
        </w:tc>
        <w:tc>
          <w:tcPr>
            <w:tcW w:w="2340" w:type="dxa"/>
            <w:tcBorders>
              <w:top w:val="single" w:sz="4" w:space="0" w:color="auto"/>
              <w:left w:val="nil"/>
              <w:bottom w:val="nil"/>
              <w:right w:val="nil"/>
            </w:tcBorders>
            <w:shd w:val="clear" w:color="auto" w:fill="auto"/>
          </w:tcPr>
          <w:p w14:paraId="4007E3B6"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Former President </w:t>
            </w:r>
          </w:p>
        </w:tc>
        <w:tc>
          <w:tcPr>
            <w:tcW w:w="3870" w:type="dxa"/>
            <w:tcBorders>
              <w:top w:val="single" w:sz="4" w:space="0" w:color="auto"/>
              <w:left w:val="nil"/>
              <w:bottom w:val="nil"/>
              <w:right w:val="nil"/>
            </w:tcBorders>
            <w:shd w:val="clear" w:color="auto" w:fill="auto"/>
          </w:tcPr>
          <w:p w14:paraId="09B785E0"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Had a network of military and security leaders loyal to him participated in and facilitated the control of Aden</w:t>
            </w:r>
          </w:p>
          <w:p w14:paraId="6097A429"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Planning at strategic level</w:t>
            </w:r>
          </w:p>
        </w:tc>
      </w:tr>
      <w:tr w:rsidR="00EA7E88" w:rsidRPr="00B91FAE" w14:paraId="67E1D79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837"/>
        </w:trPr>
        <w:tc>
          <w:tcPr>
            <w:tcW w:w="802" w:type="dxa"/>
            <w:tcBorders>
              <w:top w:val="nil"/>
              <w:left w:val="nil"/>
              <w:bottom w:val="nil"/>
              <w:right w:val="nil"/>
            </w:tcBorders>
          </w:tcPr>
          <w:p w14:paraId="6CAA282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p w14:paraId="56D34F96" w14:textId="77777777" w:rsidR="00EA7E88" w:rsidRPr="00B91FAE" w:rsidRDefault="00EA7E88" w:rsidP="00162F52">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03A10B3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Badr al-Din al-Houthi</w:t>
            </w:r>
          </w:p>
          <w:p w14:paraId="543892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عبدالملك بدرالدين الحوثي</w:t>
            </w:r>
          </w:p>
        </w:tc>
        <w:tc>
          <w:tcPr>
            <w:tcW w:w="2340" w:type="dxa"/>
            <w:tcBorders>
              <w:top w:val="nil"/>
              <w:left w:val="nil"/>
              <w:bottom w:val="nil"/>
              <w:right w:val="nil"/>
            </w:tcBorders>
          </w:tcPr>
          <w:p w14:paraId="196591E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Leader of the Houthis’</w:t>
            </w:r>
            <w:r w:rsidRPr="00B91FAE">
              <w:rPr>
                <w:rStyle w:val="FootnoteReference"/>
                <w:rFonts w:asciiTheme="majorBidi" w:hAnsiTheme="majorBidi" w:cstheme="majorBidi"/>
                <w:sz w:val="20"/>
                <w:szCs w:val="20"/>
              </w:rPr>
              <w:footnoteReference w:id="1632"/>
            </w:r>
          </w:p>
        </w:tc>
        <w:tc>
          <w:tcPr>
            <w:tcW w:w="3870" w:type="dxa"/>
            <w:tcBorders>
              <w:top w:val="nil"/>
              <w:left w:val="nil"/>
              <w:bottom w:val="nil"/>
              <w:right w:val="nil"/>
            </w:tcBorders>
          </w:tcPr>
          <w:p w14:paraId="689C12C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68A3D4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Political, no military rank</w:t>
            </w:r>
          </w:p>
          <w:p w14:paraId="405DC1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Planning at strategic level</w:t>
            </w:r>
          </w:p>
        </w:tc>
      </w:tr>
      <w:tr w:rsidR="00EA7E88" w:rsidRPr="00B91FAE" w14:paraId="43E9D25A"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5E18226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23" w:type="dxa"/>
            <w:gridSpan w:val="2"/>
            <w:tcBorders>
              <w:top w:val="nil"/>
              <w:left w:val="nil"/>
              <w:bottom w:val="nil"/>
              <w:right w:val="nil"/>
            </w:tcBorders>
            <w:shd w:val="clear" w:color="auto" w:fill="auto"/>
          </w:tcPr>
          <w:p w14:paraId="5EEBC65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val="en-US" w:bidi="ar-JO"/>
              </w:rPr>
              <w:t xml:space="preserve">Major </w:t>
            </w:r>
            <w:r w:rsidRPr="00B91FAE">
              <w:rPr>
                <w:rFonts w:asciiTheme="majorBidi" w:hAnsiTheme="majorBidi" w:cstheme="majorBidi"/>
                <w:sz w:val="20"/>
                <w:szCs w:val="20"/>
                <w:lang w:bidi="ar-JO"/>
              </w:rPr>
              <w:t xml:space="preserve">General Hussein Naji Hadi Khairan </w:t>
            </w:r>
          </w:p>
          <w:p w14:paraId="1625E9E7"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اللواء حسين ناجي هادي خيران</w:t>
            </w:r>
          </w:p>
        </w:tc>
        <w:tc>
          <w:tcPr>
            <w:tcW w:w="2340" w:type="dxa"/>
            <w:tcBorders>
              <w:top w:val="nil"/>
              <w:left w:val="nil"/>
              <w:bottom w:val="nil"/>
              <w:right w:val="nil"/>
            </w:tcBorders>
            <w:shd w:val="clear" w:color="auto" w:fill="auto"/>
          </w:tcPr>
          <w:p w14:paraId="478B100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Chief of General Staff, acting Minister of Defence</w:t>
            </w:r>
            <w:r w:rsidRPr="00B91FAE">
              <w:rPr>
                <w:rStyle w:val="FootnoteReference"/>
                <w:rFonts w:asciiTheme="majorBidi" w:hAnsiTheme="majorBidi" w:cstheme="majorBidi"/>
                <w:sz w:val="20"/>
                <w:szCs w:val="20"/>
                <w:lang w:bidi="ar-JO"/>
              </w:rPr>
              <w:footnoteReference w:id="1633"/>
            </w:r>
          </w:p>
        </w:tc>
        <w:tc>
          <w:tcPr>
            <w:tcW w:w="3870" w:type="dxa"/>
            <w:tcBorders>
              <w:top w:val="nil"/>
              <w:left w:val="nil"/>
              <w:bottom w:val="nil"/>
              <w:right w:val="nil"/>
            </w:tcBorders>
            <w:shd w:val="clear" w:color="auto" w:fill="auto"/>
          </w:tcPr>
          <w:p w14:paraId="3CF26622"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Strategic planning</w:t>
            </w:r>
          </w:p>
          <w:p w14:paraId="3A4509C8"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The Supreme Revolutionary Committee, appointed by the Houthi group, was assigned to the Chief of General Staff, Major General Hussein Naji Hadi Khairan, to serve as Minister of Defence, succeeding General Mahmoud al-Sabihi</w:t>
            </w:r>
          </w:p>
          <w:p w14:paraId="059518EC" w14:textId="77777777" w:rsidR="00EA7E88" w:rsidRPr="00B91FAE" w:rsidRDefault="00EA7E88" w:rsidP="00162F52">
            <w:pPr>
              <w:rPr>
                <w:rFonts w:asciiTheme="majorBidi" w:hAnsiTheme="majorBidi" w:cstheme="majorBidi"/>
                <w:sz w:val="20"/>
                <w:szCs w:val="20"/>
                <w:lang w:val="en-US" w:bidi="ar-JO"/>
              </w:rPr>
            </w:pPr>
          </w:p>
        </w:tc>
      </w:tr>
      <w:tr w:rsidR="00EA7E88" w:rsidRPr="00B91FAE" w14:paraId="14CA191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7C379E82"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4</w:t>
            </w:r>
          </w:p>
        </w:tc>
        <w:tc>
          <w:tcPr>
            <w:tcW w:w="2623" w:type="dxa"/>
            <w:gridSpan w:val="2"/>
            <w:tcBorders>
              <w:top w:val="nil"/>
              <w:left w:val="nil"/>
              <w:bottom w:val="nil"/>
              <w:right w:val="nil"/>
            </w:tcBorders>
          </w:tcPr>
          <w:p w14:paraId="7CC8DCEE" w14:textId="77777777" w:rsidR="00EA7E88" w:rsidRPr="00B91FAE" w:rsidRDefault="00EA7E88" w:rsidP="00162F52">
            <w:pPr>
              <w:rPr>
                <w:rFonts w:asciiTheme="majorBidi" w:hAnsiTheme="majorBidi" w:cstheme="majorBidi"/>
                <w:sz w:val="20"/>
                <w:szCs w:val="20"/>
                <w:rtl/>
                <w:lang w:bidi="ar-JO"/>
              </w:rPr>
            </w:pPr>
            <w:r w:rsidRPr="00A1624A">
              <w:rPr>
                <w:rFonts w:asciiTheme="majorBidi" w:hAnsiTheme="majorBidi" w:cstheme="majorBidi"/>
                <w:sz w:val="20"/>
                <w:szCs w:val="20"/>
                <w:lang w:val="es-ES"/>
              </w:rPr>
              <w:t>Major General Zakaria Yahya al-Shami</w:t>
            </w:r>
          </w:p>
          <w:p w14:paraId="40D09278"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زكريا يحي الشامي</w:t>
            </w:r>
          </w:p>
          <w:p w14:paraId="1C8FD0C0" w14:textId="77777777" w:rsidR="00EA7E88" w:rsidRPr="00B91FAE" w:rsidRDefault="00EA7E88" w:rsidP="00162F52">
            <w:pPr>
              <w:rPr>
                <w:rFonts w:asciiTheme="majorBidi" w:hAnsiTheme="majorBidi" w:cstheme="majorBidi"/>
                <w:sz w:val="20"/>
                <w:szCs w:val="20"/>
                <w:rtl/>
                <w:lang w:bidi="ar-JO"/>
              </w:rPr>
            </w:pPr>
          </w:p>
          <w:p w14:paraId="54481058"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BA7DB74"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Deputy chief of staff</w:t>
            </w:r>
            <w:r w:rsidRPr="00B91FAE">
              <w:rPr>
                <w:rStyle w:val="FootnoteReference"/>
                <w:rFonts w:asciiTheme="majorBidi" w:hAnsiTheme="majorBidi" w:cstheme="majorBidi"/>
                <w:sz w:val="20"/>
                <w:szCs w:val="20"/>
              </w:rPr>
              <w:footnoteReference w:id="1634"/>
            </w:r>
          </w:p>
        </w:tc>
        <w:tc>
          <w:tcPr>
            <w:tcW w:w="3870" w:type="dxa"/>
            <w:tcBorders>
              <w:top w:val="nil"/>
              <w:left w:val="nil"/>
              <w:bottom w:val="nil"/>
              <w:right w:val="nil"/>
            </w:tcBorders>
          </w:tcPr>
          <w:p w14:paraId="219AE90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4EEA7CF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On 28 November 201</w:t>
            </w:r>
            <w:r w:rsidRPr="00B91FAE">
              <w:rPr>
                <w:rFonts w:asciiTheme="majorBidi" w:hAnsiTheme="majorBidi" w:cstheme="majorBidi"/>
                <w:sz w:val="20"/>
                <w:szCs w:val="20"/>
                <w:rtl/>
              </w:rPr>
              <w:t>6</w:t>
            </w:r>
            <w:r w:rsidRPr="00B91FAE">
              <w:rPr>
                <w:rFonts w:asciiTheme="majorBidi" w:hAnsiTheme="majorBidi" w:cstheme="majorBidi"/>
                <w:sz w:val="20"/>
                <w:szCs w:val="20"/>
              </w:rPr>
              <w:t xml:space="preserve"> appointed as Minister of Transportation</w:t>
            </w:r>
            <w:r w:rsidRPr="00B91FAE">
              <w:rPr>
                <w:rStyle w:val="FootnoteReference"/>
                <w:rFonts w:asciiTheme="majorBidi" w:hAnsiTheme="majorBidi" w:cstheme="majorBidi"/>
                <w:sz w:val="20"/>
                <w:szCs w:val="20"/>
              </w:rPr>
              <w:footnoteReference w:id="1635"/>
            </w:r>
          </w:p>
        </w:tc>
      </w:tr>
      <w:tr w:rsidR="00EA7E88" w:rsidRPr="00B91FAE" w14:paraId="40C08EE9"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2831EBD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p w14:paraId="1E305D96" w14:textId="77777777" w:rsidR="00EA7E88" w:rsidRPr="00B91FAE" w:rsidRDefault="00EA7E88" w:rsidP="00162F52">
            <w:pPr>
              <w:jc w:val="center"/>
              <w:rPr>
                <w:rFonts w:asciiTheme="majorBidi" w:hAnsiTheme="majorBidi" w:cstheme="majorBidi"/>
                <w:sz w:val="20"/>
                <w:szCs w:val="20"/>
              </w:rPr>
            </w:pPr>
          </w:p>
        </w:tc>
        <w:tc>
          <w:tcPr>
            <w:tcW w:w="2623" w:type="dxa"/>
            <w:gridSpan w:val="2"/>
            <w:tcBorders>
              <w:top w:val="nil"/>
              <w:left w:val="nil"/>
              <w:bottom w:val="nil"/>
              <w:right w:val="nil"/>
            </w:tcBorders>
          </w:tcPr>
          <w:p w14:paraId="408300DC"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Major General Abdullah Yahya al-Hakim aka Abu Ali al-Hakim</w:t>
            </w:r>
            <w:r w:rsidRPr="00B91FAE">
              <w:rPr>
                <w:rStyle w:val="FootnoteReference"/>
                <w:rFonts w:asciiTheme="majorBidi" w:hAnsiTheme="majorBidi" w:cstheme="majorBidi"/>
                <w:sz w:val="20"/>
                <w:szCs w:val="20"/>
              </w:rPr>
              <w:footnoteReference w:id="1636"/>
            </w:r>
          </w:p>
          <w:p w14:paraId="7CC4C8B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tl/>
                <w:lang w:bidi="ar-JO"/>
              </w:rPr>
              <w:t>عبدالله يحي الحاكم</w:t>
            </w:r>
          </w:p>
          <w:p w14:paraId="2454272A" w14:textId="77777777" w:rsidR="00EA7E88" w:rsidRPr="00B91FAE" w:rsidRDefault="00EA7E88" w:rsidP="00162F52">
            <w:pPr>
              <w:rPr>
                <w:rFonts w:asciiTheme="majorBidi" w:hAnsiTheme="majorBidi" w:cstheme="majorBidi"/>
                <w:sz w:val="20"/>
                <w:szCs w:val="20"/>
                <w:rtl/>
                <w:lang w:bidi="ar-JO"/>
              </w:rPr>
            </w:pPr>
          </w:p>
          <w:p w14:paraId="4B6F2949"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028FA3C0"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 xml:space="preserve">Chief of military intelligence </w:t>
            </w:r>
            <w:r w:rsidRPr="00B91FAE">
              <w:rPr>
                <w:rStyle w:val="FootnoteReference"/>
                <w:rFonts w:asciiTheme="majorBidi" w:hAnsiTheme="majorBidi" w:cstheme="majorBidi"/>
                <w:sz w:val="20"/>
                <w:szCs w:val="20"/>
                <w:lang w:val="en-US"/>
              </w:rPr>
              <w:footnoteReference w:id="1637"/>
            </w:r>
          </w:p>
          <w:p w14:paraId="5B89A223"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4A1E0B0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Sana’a</w:t>
            </w:r>
          </w:p>
          <w:p w14:paraId="7D9B0FF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22 August 2017</w:t>
            </w:r>
          </w:p>
        </w:tc>
      </w:tr>
      <w:tr w:rsidR="00EA7E88" w:rsidRPr="00B91FAE" w14:paraId="07A41D8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36375730" w14:textId="77777777" w:rsidR="00EA7E88" w:rsidRPr="00B91FAE" w:rsidRDefault="00EA7E88" w:rsidP="00162F52">
            <w:pPr>
              <w:jc w:val="center"/>
              <w:rPr>
                <w:rFonts w:asciiTheme="majorBidi" w:hAnsiTheme="majorBidi" w:cstheme="majorBidi"/>
                <w:sz w:val="20"/>
                <w:szCs w:val="20"/>
                <w:rtl/>
              </w:rPr>
            </w:pPr>
            <w:r w:rsidRPr="00B91FAE">
              <w:rPr>
                <w:rFonts w:asciiTheme="majorBidi" w:hAnsiTheme="majorBidi" w:cstheme="majorBidi"/>
                <w:sz w:val="20"/>
                <w:szCs w:val="20"/>
              </w:rPr>
              <w:t>6</w:t>
            </w:r>
          </w:p>
        </w:tc>
        <w:tc>
          <w:tcPr>
            <w:tcW w:w="2623" w:type="dxa"/>
            <w:gridSpan w:val="2"/>
            <w:tcBorders>
              <w:top w:val="nil"/>
              <w:left w:val="nil"/>
              <w:bottom w:val="nil"/>
              <w:right w:val="nil"/>
            </w:tcBorders>
          </w:tcPr>
          <w:p w14:paraId="04189E6A"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Dr. Abdulaziz Al Habtoor</w:t>
            </w:r>
          </w:p>
          <w:p w14:paraId="3F81F10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الدكتور عبدالعزيز الحبتور</w:t>
            </w:r>
          </w:p>
          <w:p w14:paraId="77091719"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32C80DB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Former Aden Governor</w:t>
            </w:r>
          </w:p>
        </w:tc>
        <w:tc>
          <w:tcPr>
            <w:tcW w:w="3870" w:type="dxa"/>
            <w:tcBorders>
              <w:top w:val="nil"/>
              <w:left w:val="nil"/>
              <w:bottom w:val="nil"/>
              <w:right w:val="nil"/>
            </w:tcBorders>
          </w:tcPr>
          <w:p w14:paraId="3FC249FE"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Loyal to Saleh</w:t>
            </w:r>
          </w:p>
          <w:p w14:paraId="1B9D776F"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bidi="ar-JO"/>
              </w:rPr>
              <w:t>He became Prime Minister</w:t>
            </w:r>
          </w:p>
          <w:p w14:paraId="02FB8EDB" w14:textId="77777777" w:rsidR="00EA7E88" w:rsidRPr="00B91FAE" w:rsidRDefault="00EA7E88" w:rsidP="00162F52">
            <w:pPr>
              <w:rPr>
                <w:rFonts w:asciiTheme="majorBidi" w:hAnsiTheme="majorBidi" w:cstheme="majorBidi"/>
                <w:sz w:val="20"/>
                <w:szCs w:val="20"/>
                <w:rtl/>
                <w:lang w:val="en-US" w:bidi="ar-JO"/>
              </w:rPr>
            </w:pPr>
          </w:p>
        </w:tc>
      </w:tr>
      <w:tr w:rsidR="00EA7E88" w:rsidRPr="00B91FAE" w14:paraId="23865AA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tcPr>
          <w:p w14:paraId="3E0CD5A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rPr>
              <w:t>7</w:t>
            </w:r>
          </w:p>
        </w:tc>
        <w:tc>
          <w:tcPr>
            <w:tcW w:w="2623" w:type="dxa"/>
            <w:gridSpan w:val="2"/>
            <w:tcBorders>
              <w:top w:val="nil"/>
              <w:left w:val="nil"/>
              <w:bottom w:val="nil"/>
              <w:right w:val="nil"/>
            </w:tcBorders>
          </w:tcPr>
          <w:p w14:paraId="0D6E2954" w14:textId="77777777" w:rsidR="00EA7E88" w:rsidRPr="00A1624A" w:rsidRDefault="00EA7E88" w:rsidP="00162F52">
            <w:pPr>
              <w:rPr>
                <w:rFonts w:asciiTheme="majorBidi" w:hAnsiTheme="majorBidi" w:cstheme="majorBidi"/>
                <w:sz w:val="20"/>
                <w:szCs w:val="20"/>
                <w:lang w:val="es-ES"/>
              </w:rPr>
            </w:pPr>
            <w:r w:rsidRPr="00A1624A">
              <w:rPr>
                <w:rFonts w:asciiTheme="majorBidi" w:hAnsiTheme="majorBidi" w:cstheme="majorBidi"/>
                <w:sz w:val="20"/>
                <w:szCs w:val="20"/>
                <w:lang w:val="es-ES"/>
              </w:rPr>
              <w:t xml:space="preserve">Major General Abderrazak Al </w:t>
            </w:r>
          </w:p>
          <w:p w14:paraId="56343DC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Marouni</w:t>
            </w:r>
            <w:r w:rsidRPr="00B91FAE">
              <w:rPr>
                <w:rStyle w:val="FootnoteReference"/>
                <w:rFonts w:asciiTheme="majorBidi" w:hAnsiTheme="majorBidi" w:cstheme="majorBidi"/>
                <w:sz w:val="20"/>
                <w:szCs w:val="20"/>
              </w:rPr>
              <w:footnoteReference w:id="1638"/>
            </w:r>
          </w:p>
          <w:p w14:paraId="2D31DE7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lastRenderedPageBreak/>
              <w:t>اللواء عبدالرزاق المروني</w:t>
            </w:r>
          </w:p>
          <w:p w14:paraId="6D3074C3"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76FC4E8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Commander Special Operations Command</w:t>
            </w:r>
          </w:p>
        </w:tc>
        <w:tc>
          <w:tcPr>
            <w:tcW w:w="3870" w:type="dxa"/>
            <w:tcBorders>
              <w:top w:val="nil"/>
              <w:left w:val="nil"/>
              <w:bottom w:val="nil"/>
              <w:right w:val="nil"/>
            </w:tcBorders>
          </w:tcPr>
          <w:p w14:paraId="485C99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On 5 December 2018 replaced by MG Ali Mohammad Ali al-Yassani</w:t>
            </w:r>
            <w:r w:rsidRPr="00B91FAE">
              <w:rPr>
                <w:rStyle w:val="FootnoteReference"/>
                <w:rFonts w:asciiTheme="majorBidi" w:hAnsiTheme="majorBidi" w:cstheme="majorBidi"/>
                <w:sz w:val="20"/>
                <w:szCs w:val="20"/>
              </w:rPr>
              <w:footnoteReference w:id="1639"/>
            </w:r>
          </w:p>
        </w:tc>
      </w:tr>
      <w:tr w:rsidR="00EA7E88" w:rsidRPr="00B91FAE" w14:paraId="0FFAD13B"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7451273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8</w:t>
            </w:r>
          </w:p>
        </w:tc>
        <w:tc>
          <w:tcPr>
            <w:tcW w:w="2623" w:type="dxa"/>
            <w:gridSpan w:val="2"/>
            <w:tcBorders>
              <w:top w:val="nil"/>
              <w:left w:val="nil"/>
              <w:bottom w:val="nil"/>
              <w:right w:val="nil"/>
            </w:tcBorders>
            <w:shd w:val="clear" w:color="auto" w:fill="auto"/>
          </w:tcPr>
          <w:p w14:paraId="685B362F" w14:textId="77777777" w:rsidR="00EA7E88" w:rsidRPr="00B91FAE" w:rsidRDefault="00EA7E88" w:rsidP="00162F52">
            <w:pPr>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Major General Abdul Hafiz al-Saqqaf</w:t>
            </w:r>
            <w:r w:rsidRPr="00B91FAE">
              <w:rPr>
                <w:rStyle w:val="FootnoteReference"/>
                <w:rFonts w:asciiTheme="majorBidi" w:hAnsiTheme="majorBidi" w:cstheme="majorBidi"/>
                <w:sz w:val="20"/>
                <w:szCs w:val="20"/>
                <w:lang w:val="en-US" w:bidi="ar-JO"/>
              </w:rPr>
              <w:footnoteReference w:id="1640"/>
            </w:r>
            <w:r w:rsidRPr="00A1624A">
              <w:rPr>
                <w:rFonts w:asciiTheme="majorBidi" w:hAnsiTheme="majorBidi" w:cstheme="majorBidi"/>
                <w:sz w:val="20"/>
                <w:szCs w:val="20"/>
                <w:lang w:val="es-ES" w:bidi="ar-JO"/>
              </w:rPr>
              <w:t xml:space="preserve"> </w:t>
            </w:r>
          </w:p>
          <w:p w14:paraId="0E3A9FFD"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اللواء عبدالحافظ السقاف</w:t>
            </w:r>
          </w:p>
        </w:tc>
        <w:tc>
          <w:tcPr>
            <w:tcW w:w="2340" w:type="dxa"/>
            <w:tcBorders>
              <w:top w:val="nil"/>
              <w:left w:val="nil"/>
              <w:bottom w:val="nil"/>
              <w:right w:val="nil"/>
            </w:tcBorders>
            <w:shd w:val="clear" w:color="auto" w:fill="auto"/>
          </w:tcPr>
          <w:p w14:paraId="7A186A7F"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Commander of Central Security (Special Security Forces)</w:t>
            </w:r>
          </w:p>
          <w:p w14:paraId="15BA962E" w14:textId="77777777" w:rsidR="00EA7E88" w:rsidRPr="00B91FAE" w:rsidRDefault="00EA7E88" w:rsidP="00162F52">
            <w:pPr>
              <w:rPr>
                <w:rFonts w:asciiTheme="majorBidi" w:hAnsiTheme="majorBidi" w:cstheme="majorBidi"/>
                <w:sz w:val="20"/>
                <w:szCs w:val="20"/>
                <w:lang w:bidi="ar-JO"/>
              </w:rPr>
            </w:pPr>
          </w:p>
        </w:tc>
        <w:tc>
          <w:tcPr>
            <w:tcW w:w="3870" w:type="dxa"/>
            <w:tcBorders>
              <w:top w:val="nil"/>
              <w:left w:val="nil"/>
              <w:bottom w:val="nil"/>
              <w:right w:val="nil"/>
            </w:tcBorders>
            <w:shd w:val="clear" w:color="auto" w:fill="auto"/>
          </w:tcPr>
          <w:p w14:paraId="322028EB"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Escaped to Taizz on 19 March 2015</w:t>
            </w:r>
          </w:p>
          <w:p w14:paraId="16CEA0C8"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Appointed as Security Director in IBB</w:t>
            </w:r>
          </w:p>
        </w:tc>
      </w:tr>
      <w:tr w:rsidR="00EA7E88" w:rsidRPr="00B91FAE" w14:paraId="01AB590C"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69"/>
        </w:trPr>
        <w:tc>
          <w:tcPr>
            <w:tcW w:w="802" w:type="dxa"/>
            <w:tcBorders>
              <w:top w:val="nil"/>
              <w:left w:val="nil"/>
              <w:bottom w:val="nil"/>
              <w:right w:val="nil"/>
            </w:tcBorders>
            <w:shd w:val="clear" w:color="auto" w:fill="auto"/>
          </w:tcPr>
          <w:p w14:paraId="24397D3B"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9</w:t>
            </w:r>
          </w:p>
        </w:tc>
        <w:tc>
          <w:tcPr>
            <w:tcW w:w="2623" w:type="dxa"/>
            <w:gridSpan w:val="2"/>
            <w:tcBorders>
              <w:top w:val="nil"/>
              <w:left w:val="nil"/>
              <w:bottom w:val="nil"/>
              <w:right w:val="nil"/>
            </w:tcBorders>
            <w:shd w:val="clear" w:color="auto" w:fill="auto"/>
          </w:tcPr>
          <w:p w14:paraId="4C860E22"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lang w:val="en-US" w:bidi="ar-JO"/>
              </w:rPr>
              <w:t xml:space="preserve">Major General Mehdi </w:t>
            </w:r>
            <w:r w:rsidRPr="00B91FAE">
              <w:rPr>
                <w:rFonts w:asciiTheme="majorBidi" w:hAnsiTheme="majorBidi" w:cstheme="majorBidi"/>
                <w:sz w:val="20"/>
                <w:szCs w:val="20"/>
              </w:rPr>
              <w:t>Mqulah</w:t>
            </w:r>
          </w:p>
          <w:p w14:paraId="4DD9160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مهدي مقوله</w:t>
            </w:r>
          </w:p>
          <w:p w14:paraId="1C2FD98D"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72B9AE1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31</w:t>
            </w:r>
            <w:r w:rsidRPr="00B91FAE">
              <w:rPr>
                <w:rFonts w:asciiTheme="majorBidi" w:hAnsiTheme="majorBidi" w:cstheme="majorBidi"/>
                <w:sz w:val="20"/>
                <w:szCs w:val="20"/>
                <w:vertAlign w:val="superscript"/>
                <w:lang w:bidi="ar-JO"/>
              </w:rPr>
              <w:t>st</w:t>
            </w:r>
            <w:r w:rsidRPr="00B91FAE">
              <w:rPr>
                <w:rFonts w:asciiTheme="majorBidi" w:hAnsiTheme="majorBidi" w:cstheme="majorBidi"/>
                <w:sz w:val="20"/>
                <w:szCs w:val="20"/>
                <w:lang w:bidi="ar-JO"/>
              </w:rPr>
              <w:t xml:space="preserve"> Brigade commander</w:t>
            </w:r>
          </w:p>
        </w:tc>
        <w:tc>
          <w:tcPr>
            <w:tcW w:w="3870" w:type="dxa"/>
            <w:tcBorders>
              <w:top w:val="nil"/>
              <w:left w:val="nil"/>
              <w:bottom w:val="nil"/>
              <w:right w:val="nil"/>
            </w:tcBorders>
            <w:shd w:val="clear" w:color="auto" w:fill="auto"/>
          </w:tcPr>
          <w:p w14:paraId="5859A211"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val="en-US" w:bidi="ar-JO"/>
              </w:rPr>
              <w:t>After the killing of President Saleh, he encountered problems with the Houthis.</w:t>
            </w:r>
          </w:p>
        </w:tc>
      </w:tr>
      <w:tr w:rsidR="00EA7E88" w:rsidRPr="00B91FAE" w14:paraId="4041DDBC"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2583BFEF"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10</w:t>
            </w:r>
          </w:p>
        </w:tc>
        <w:tc>
          <w:tcPr>
            <w:tcW w:w="2623" w:type="dxa"/>
            <w:gridSpan w:val="2"/>
            <w:tcBorders>
              <w:top w:val="nil"/>
              <w:left w:val="nil"/>
              <w:bottom w:val="nil"/>
              <w:right w:val="nil"/>
            </w:tcBorders>
            <w:shd w:val="clear" w:color="auto" w:fill="auto"/>
          </w:tcPr>
          <w:p w14:paraId="4A66EB7F" w14:textId="77777777" w:rsidR="00EA7E88" w:rsidRPr="00B91FAE" w:rsidRDefault="00EA7E88" w:rsidP="00162F52">
            <w:pPr>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Brigadier General Abdullah Hizam Naji al-Dhaban</w:t>
            </w:r>
            <w:r w:rsidRPr="00B91FAE">
              <w:rPr>
                <w:rStyle w:val="FootnoteReference"/>
                <w:rFonts w:asciiTheme="majorBidi" w:hAnsiTheme="majorBidi" w:cstheme="majorBidi"/>
                <w:sz w:val="20"/>
                <w:szCs w:val="20"/>
                <w:lang w:val="en-US" w:bidi="ar-JO"/>
              </w:rPr>
              <w:footnoteReference w:id="1641"/>
            </w:r>
          </w:p>
          <w:p w14:paraId="69655667"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العميد عبدالله حزم الضبعان</w:t>
            </w:r>
          </w:p>
          <w:p w14:paraId="6FB0A381"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667D6FE4"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33</w:t>
            </w:r>
            <w:r w:rsidRPr="00B91FAE">
              <w:rPr>
                <w:rFonts w:asciiTheme="majorBidi" w:hAnsiTheme="majorBidi" w:cstheme="majorBidi"/>
                <w:sz w:val="20"/>
                <w:szCs w:val="20"/>
                <w:vertAlign w:val="superscript"/>
                <w:lang w:bidi="ar-JO"/>
              </w:rPr>
              <w:t>rd</w:t>
            </w:r>
            <w:r w:rsidRPr="00B91FAE">
              <w:rPr>
                <w:rFonts w:asciiTheme="majorBidi" w:hAnsiTheme="majorBidi" w:cstheme="majorBidi"/>
                <w:sz w:val="20"/>
                <w:szCs w:val="20"/>
                <w:lang w:bidi="ar-JO"/>
              </w:rPr>
              <w:t xml:space="preserve"> Armoured Brigade Commander</w:t>
            </w:r>
          </w:p>
        </w:tc>
        <w:tc>
          <w:tcPr>
            <w:tcW w:w="3870" w:type="dxa"/>
            <w:tcBorders>
              <w:top w:val="nil"/>
              <w:left w:val="nil"/>
              <w:bottom w:val="nil"/>
              <w:right w:val="nil"/>
            </w:tcBorders>
            <w:shd w:val="clear" w:color="auto" w:fill="auto"/>
          </w:tcPr>
          <w:p w14:paraId="753A6A8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Brigade AoR was in al-Dhale’e.</w:t>
            </w:r>
          </w:p>
          <w:p w14:paraId="5D166C34"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 xml:space="preserve">The brigade is handed over to Houthi armed men </w:t>
            </w:r>
          </w:p>
        </w:tc>
      </w:tr>
      <w:tr w:rsidR="00EA7E88" w:rsidRPr="00B91FAE" w14:paraId="09BE4CD3"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39E43CC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623" w:type="dxa"/>
            <w:gridSpan w:val="2"/>
            <w:tcBorders>
              <w:top w:val="nil"/>
              <w:left w:val="nil"/>
              <w:bottom w:val="nil"/>
              <w:right w:val="nil"/>
            </w:tcBorders>
            <w:shd w:val="clear" w:color="auto" w:fill="auto"/>
          </w:tcPr>
          <w:p w14:paraId="03FC8313"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Brigadier Marzouq Al-Sayadi</w:t>
            </w:r>
          </w:p>
          <w:p w14:paraId="093D2F2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العميد مرزوق الصيادي</w:t>
            </w:r>
          </w:p>
          <w:p w14:paraId="0B465D9C" w14:textId="77777777" w:rsidR="00EA7E88" w:rsidRPr="00B91FAE" w:rsidRDefault="00EA7E88" w:rsidP="00162F52">
            <w:pPr>
              <w:rPr>
                <w:rFonts w:asciiTheme="majorBidi" w:hAnsiTheme="majorBidi" w:cstheme="majorBidi"/>
                <w:sz w:val="20"/>
                <w:szCs w:val="20"/>
                <w:rtl/>
                <w:lang w:val="en-US" w:bidi="ar-JO"/>
              </w:rPr>
            </w:pPr>
          </w:p>
        </w:tc>
        <w:tc>
          <w:tcPr>
            <w:tcW w:w="2340" w:type="dxa"/>
            <w:tcBorders>
              <w:top w:val="nil"/>
              <w:left w:val="nil"/>
              <w:bottom w:val="nil"/>
              <w:right w:val="nil"/>
            </w:tcBorders>
            <w:shd w:val="clear" w:color="auto" w:fill="auto"/>
          </w:tcPr>
          <w:p w14:paraId="2581E1D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201</w:t>
            </w:r>
            <w:r w:rsidRPr="00B91FAE">
              <w:rPr>
                <w:rFonts w:asciiTheme="majorBidi" w:hAnsiTheme="majorBidi" w:cstheme="majorBidi"/>
                <w:sz w:val="20"/>
                <w:szCs w:val="20"/>
                <w:vertAlign w:val="superscript"/>
                <w:lang w:bidi="ar-JO"/>
              </w:rPr>
              <w:t xml:space="preserve"> </w:t>
            </w:r>
            <w:r w:rsidRPr="00B91FAE">
              <w:rPr>
                <w:rFonts w:asciiTheme="majorBidi" w:hAnsiTheme="majorBidi" w:cstheme="majorBidi"/>
                <w:sz w:val="20"/>
                <w:szCs w:val="20"/>
                <w:lang w:bidi="ar-JO"/>
              </w:rPr>
              <w:t>Brigade Commander</w:t>
            </w:r>
          </w:p>
        </w:tc>
        <w:tc>
          <w:tcPr>
            <w:tcW w:w="3870" w:type="dxa"/>
            <w:tcBorders>
              <w:top w:val="nil"/>
              <w:left w:val="nil"/>
              <w:bottom w:val="nil"/>
              <w:right w:val="nil"/>
            </w:tcBorders>
            <w:shd w:val="clear" w:color="auto" w:fill="auto"/>
          </w:tcPr>
          <w:p w14:paraId="02C2E455"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Al-Anid base</w:t>
            </w:r>
          </w:p>
        </w:tc>
      </w:tr>
      <w:tr w:rsidR="00EA7E88" w:rsidRPr="00B91FAE" w14:paraId="472860D5" w14:textId="77777777" w:rsidTr="00162F5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2" w:type="dxa"/>
            <w:tcBorders>
              <w:top w:val="nil"/>
              <w:left w:val="nil"/>
              <w:bottom w:val="nil"/>
              <w:right w:val="nil"/>
            </w:tcBorders>
            <w:shd w:val="clear" w:color="auto" w:fill="auto"/>
          </w:tcPr>
          <w:p w14:paraId="6495FA1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623" w:type="dxa"/>
            <w:gridSpan w:val="2"/>
            <w:tcBorders>
              <w:top w:val="nil"/>
              <w:left w:val="nil"/>
              <w:bottom w:val="nil"/>
              <w:right w:val="nil"/>
            </w:tcBorders>
            <w:shd w:val="clear" w:color="auto" w:fill="auto"/>
          </w:tcPr>
          <w:p w14:paraId="68A93BF6"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lang w:val="en-US" w:bidi="ar-JO"/>
              </w:rPr>
              <w:t>Colonel Naji Mohammed Saleh al-Arashi</w:t>
            </w:r>
          </w:p>
          <w:p w14:paraId="3F6E2C93" w14:textId="77777777" w:rsidR="00EA7E88" w:rsidRPr="00B91FAE" w:rsidRDefault="00EA7E88" w:rsidP="00162F52">
            <w:pPr>
              <w:rPr>
                <w:rFonts w:asciiTheme="majorBidi" w:hAnsiTheme="majorBidi" w:cstheme="majorBidi"/>
                <w:sz w:val="20"/>
                <w:szCs w:val="20"/>
                <w:rtl/>
                <w:lang w:val="en-US" w:bidi="ar-JO"/>
              </w:rPr>
            </w:pPr>
            <w:r w:rsidRPr="00B91FAE">
              <w:rPr>
                <w:rFonts w:asciiTheme="majorBidi" w:hAnsiTheme="majorBidi" w:cstheme="majorBidi"/>
                <w:sz w:val="20"/>
                <w:szCs w:val="20"/>
                <w:rtl/>
                <w:lang w:val="en-US" w:bidi="ar-JO"/>
              </w:rPr>
              <w:t>العقيد ناجي محمد صالح العريشي</w:t>
            </w:r>
          </w:p>
        </w:tc>
        <w:tc>
          <w:tcPr>
            <w:tcW w:w="2340" w:type="dxa"/>
            <w:tcBorders>
              <w:top w:val="nil"/>
              <w:left w:val="nil"/>
              <w:bottom w:val="nil"/>
              <w:right w:val="nil"/>
            </w:tcBorders>
            <w:shd w:val="clear" w:color="auto" w:fill="auto"/>
          </w:tcPr>
          <w:p w14:paraId="00B0E5F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201 Brigade Commander</w:t>
            </w:r>
          </w:p>
        </w:tc>
        <w:tc>
          <w:tcPr>
            <w:tcW w:w="3870" w:type="dxa"/>
            <w:tcBorders>
              <w:top w:val="nil"/>
              <w:left w:val="nil"/>
              <w:bottom w:val="nil"/>
              <w:right w:val="nil"/>
            </w:tcBorders>
            <w:shd w:val="clear" w:color="auto" w:fill="auto"/>
          </w:tcPr>
          <w:p w14:paraId="1D71D63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Start 2 April 2015</w:t>
            </w:r>
          </w:p>
          <w:p w14:paraId="333303DF"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Killed in Nov 2017</w:t>
            </w:r>
          </w:p>
        </w:tc>
      </w:tr>
    </w:tbl>
    <w:p w14:paraId="7317B344" w14:textId="77777777" w:rsidR="00EA7E88" w:rsidRPr="00B91FAE" w:rsidRDefault="00EA7E88" w:rsidP="00EA7E88">
      <w:pPr>
        <w:rPr>
          <w:rFonts w:asciiTheme="majorBidi" w:hAnsiTheme="majorBidi" w:cstheme="majorBidi"/>
        </w:rPr>
      </w:pPr>
    </w:p>
    <w:p w14:paraId="6F451ECD" w14:textId="77777777" w:rsidR="00EA7E88" w:rsidRPr="00B91FAE" w:rsidRDefault="00EA7E88" w:rsidP="00EA7E88">
      <w:pPr>
        <w:rPr>
          <w:rFonts w:asciiTheme="majorBidi" w:hAnsiTheme="majorBidi" w:cstheme="majorBidi"/>
        </w:rPr>
      </w:pPr>
    </w:p>
    <w:p w14:paraId="49BB9C47" w14:textId="77777777" w:rsidR="00EA7E88" w:rsidRPr="00B91FAE" w:rsidRDefault="00EA7E88" w:rsidP="00EA7E88">
      <w:pPr>
        <w:rPr>
          <w:rFonts w:asciiTheme="majorBidi" w:hAnsiTheme="majorBidi" w:cstheme="majorBidi"/>
        </w:rPr>
      </w:pPr>
    </w:p>
    <w:tbl>
      <w:tblPr>
        <w:tblStyle w:val="TableGrid1"/>
        <w:tblW w:w="9635" w:type="dxa"/>
        <w:tblInd w:w="-545" w:type="dxa"/>
        <w:tblLook w:val="04A0" w:firstRow="1" w:lastRow="0" w:firstColumn="1" w:lastColumn="0" w:noHBand="0" w:noVBand="1"/>
      </w:tblPr>
      <w:tblGrid>
        <w:gridCol w:w="816"/>
        <w:gridCol w:w="2609"/>
        <w:gridCol w:w="2340"/>
        <w:gridCol w:w="3870"/>
      </w:tblGrid>
      <w:tr w:rsidR="00EA7E88" w:rsidRPr="00B91FAE" w14:paraId="39927F13" w14:textId="77777777" w:rsidTr="00162F52">
        <w:tc>
          <w:tcPr>
            <w:tcW w:w="9635" w:type="dxa"/>
            <w:gridSpan w:val="4"/>
            <w:tcBorders>
              <w:top w:val="nil"/>
              <w:left w:val="nil"/>
              <w:bottom w:val="nil"/>
              <w:right w:val="nil"/>
            </w:tcBorders>
          </w:tcPr>
          <w:p w14:paraId="3D6728BC"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c.    Main Actors in Ta’izz Governorate</w:t>
            </w:r>
          </w:p>
        </w:tc>
      </w:tr>
      <w:tr w:rsidR="00EA7E88" w:rsidRPr="00B91FAE" w14:paraId="70EAB736" w14:textId="77777777" w:rsidTr="00162F52">
        <w:tc>
          <w:tcPr>
            <w:tcW w:w="816" w:type="dxa"/>
            <w:tcBorders>
              <w:top w:val="nil"/>
              <w:left w:val="nil"/>
              <w:bottom w:val="single" w:sz="4" w:space="0" w:color="auto"/>
              <w:right w:val="nil"/>
            </w:tcBorders>
            <w:shd w:val="clear" w:color="auto" w:fill="D9D9D9" w:themeFill="background1" w:themeFillShade="D9"/>
          </w:tcPr>
          <w:p w14:paraId="4421E062"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sz w:val="20"/>
                <w:szCs w:val="20"/>
              </w:rPr>
              <w:br w:type="page"/>
            </w:r>
            <w:r w:rsidRPr="00B91FAE">
              <w:rPr>
                <w:rFonts w:asciiTheme="majorBidi" w:hAnsiTheme="majorBidi" w:cstheme="majorBidi"/>
                <w:b/>
                <w:bCs/>
                <w:i/>
                <w:iCs/>
                <w:sz w:val="20"/>
                <w:szCs w:val="20"/>
              </w:rPr>
              <w:t>Serial</w:t>
            </w:r>
          </w:p>
        </w:tc>
        <w:tc>
          <w:tcPr>
            <w:tcW w:w="2609" w:type="dxa"/>
            <w:tcBorders>
              <w:top w:val="nil"/>
              <w:left w:val="nil"/>
              <w:bottom w:val="single" w:sz="4" w:space="0" w:color="auto"/>
              <w:right w:val="nil"/>
            </w:tcBorders>
            <w:shd w:val="clear" w:color="auto" w:fill="D9D9D9" w:themeFill="background1" w:themeFillShade="D9"/>
          </w:tcPr>
          <w:p w14:paraId="62A9D954"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Name</w:t>
            </w:r>
          </w:p>
        </w:tc>
        <w:tc>
          <w:tcPr>
            <w:tcW w:w="2340" w:type="dxa"/>
            <w:tcBorders>
              <w:top w:val="nil"/>
              <w:left w:val="nil"/>
              <w:bottom w:val="single" w:sz="4" w:space="0" w:color="auto"/>
              <w:right w:val="nil"/>
            </w:tcBorders>
            <w:shd w:val="clear" w:color="auto" w:fill="D9D9D9" w:themeFill="background1" w:themeFillShade="D9"/>
          </w:tcPr>
          <w:p w14:paraId="29036188"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Position</w:t>
            </w:r>
          </w:p>
        </w:tc>
        <w:tc>
          <w:tcPr>
            <w:tcW w:w="3870" w:type="dxa"/>
            <w:tcBorders>
              <w:top w:val="nil"/>
              <w:left w:val="nil"/>
              <w:bottom w:val="single" w:sz="4" w:space="0" w:color="auto"/>
              <w:right w:val="nil"/>
            </w:tcBorders>
            <w:shd w:val="clear" w:color="auto" w:fill="D9D9D9" w:themeFill="background1" w:themeFillShade="D9"/>
          </w:tcPr>
          <w:p w14:paraId="01C1551C" w14:textId="77777777" w:rsidR="00EA7E88" w:rsidRPr="00B91FAE" w:rsidRDefault="00EA7E88" w:rsidP="00162F52">
            <w:pPr>
              <w:jc w:val="center"/>
              <w:rPr>
                <w:rFonts w:asciiTheme="majorBidi" w:hAnsiTheme="majorBidi" w:cstheme="majorBidi"/>
                <w:b/>
                <w:bCs/>
                <w:i/>
                <w:iCs/>
                <w:sz w:val="20"/>
                <w:szCs w:val="20"/>
              </w:rPr>
            </w:pPr>
            <w:r w:rsidRPr="00B91FAE">
              <w:rPr>
                <w:rFonts w:asciiTheme="majorBidi" w:hAnsiTheme="majorBidi" w:cstheme="majorBidi"/>
                <w:b/>
                <w:bCs/>
                <w:i/>
                <w:iCs/>
                <w:sz w:val="20"/>
                <w:szCs w:val="20"/>
              </w:rPr>
              <w:t>Assessment/remarks</w:t>
            </w:r>
          </w:p>
        </w:tc>
      </w:tr>
      <w:tr w:rsidR="00EA7E88" w:rsidRPr="00B91FAE" w14:paraId="75A04AF2" w14:textId="77777777" w:rsidTr="00162F52">
        <w:tc>
          <w:tcPr>
            <w:tcW w:w="816" w:type="dxa"/>
            <w:tcBorders>
              <w:top w:val="single" w:sz="4" w:space="0" w:color="auto"/>
              <w:left w:val="nil"/>
              <w:bottom w:val="nil"/>
              <w:right w:val="nil"/>
            </w:tcBorders>
          </w:tcPr>
          <w:p w14:paraId="77837A9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09" w:type="dxa"/>
            <w:tcBorders>
              <w:top w:val="single" w:sz="4" w:space="0" w:color="auto"/>
              <w:left w:val="nil"/>
              <w:bottom w:val="nil"/>
              <w:right w:val="nil"/>
            </w:tcBorders>
          </w:tcPr>
          <w:p w14:paraId="0A03F4D1" w14:textId="77777777" w:rsidR="00EA7E88" w:rsidRPr="00B91FAE" w:rsidRDefault="00EA7E88" w:rsidP="00162F52">
            <w:pPr>
              <w:spacing w:before="40" w:after="40" w:line="240" w:lineRule="exact"/>
              <w:ind w:right="120"/>
              <w:rPr>
                <w:rFonts w:asciiTheme="majorBidi" w:hAnsiTheme="majorBidi" w:cstheme="majorBidi"/>
                <w:sz w:val="20"/>
                <w:szCs w:val="20"/>
                <w:rtl/>
              </w:rPr>
            </w:pPr>
            <w:r w:rsidRPr="00A1624A">
              <w:rPr>
                <w:rFonts w:asciiTheme="majorBidi" w:hAnsiTheme="majorBidi" w:cstheme="majorBidi"/>
                <w:sz w:val="20"/>
                <w:szCs w:val="20"/>
                <w:lang w:val="es-ES"/>
              </w:rPr>
              <w:t>Major General Abdel al-Lateef Hmoud Yahya al-Mahdi, aka Abu Naser al-Shaith</w:t>
            </w:r>
            <w:r w:rsidRPr="00B91FAE">
              <w:rPr>
                <w:rStyle w:val="FootnoteReference"/>
                <w:rFonts w:asciiTheme="majorBidi" w:hAnsiTheme="majorBidi" w:cstheme="majorBidi"/>
                <w:sz w:val="20"/>
                <w:szCs w:val="20"/>
              </w:rPr>
              <w:footnoteReference w:id="1642"/>
            </w:r>
          </w:p>
          <w:p w14:paraId="54D39B50" w14:textId="77777777" w:rsidR="00EA7E88" w:rsidRPr="00B91FAE" w:rsidRDefault="00EA7E88" w:rsidP="00162F52">
            <w:pPr>
              <w:spacing w:before="40" w:after="40" w:line="240" w:lineRule="exact"/>
              <w:ind w:right="120"/>
              <w:rPr>
                <w:rFonts w:asciiTheme="majorBidi" w:hAnsiTheme="majorBidi" w:cstheme="majorBidi"/>
                <w:sz w:val="20"/>
                <w:szCs w:val="20"/>
              </w:rPr>
            </w:pPr>
            <w:r w:rsidRPr="00B91FAE">
              <w:rPr>
                <w:rFonts w:asciiTheme="majorBidi" w:hAnsiTheme="majorBidi" w:cstheme="majorBidi"/>
                <w:sz w:val="20"/>
                <w:szCs w:val="20"/>
                <w:rtl/>
              </w:rPr>
              <w:t>اللواء عبداللطيف حمود يحي المهدي</w:t>
            </w:r>
          </w:p>
          <w:p w14:paraId="54FA3E67" w14:textId="77777777" w:rsidR="00EA7E88" w:rsidRPr="00B91FAE" w:rsidRDefault="00EA7E88" w:rsidP="00162F52">
            <w:pPr>
              <w:spacing w:before="40" w:after="40" w:line="240" w:lineRule="exact"/>
              <w:ind w:right="120"/>
              <w:rPr>
                <w:rFonts w:asciiTheme="majorBidi" w:hAnsiTheme="majorBidi" w:cstheme="majorBidi"/>
                <w:sz w:val="20"/>
                <w:szCs w:val="20"/>
              </w:rPr>
            </w:pPr>
          </w:p>
        </w:tc>
        <w:tc>
          <w:tcPr>
            <w:tcW w:w="2340" w:type="dxa"/>
            <w:tcBorders>
              <w:top w:val="single" w:sz="4" w:space="0" w:color="auto"/>
              <w:left w:val="nil"/>
              <w:bottom w:val="nil"/>
              <w:right w:val="nil"/>
            </w:tcBorders>
          </w:tcPr>
          <w:p w14:paraId="1F38D64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the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43"/>
            </w:r>
          </w:p>
        </w:tc>
        <w:tc>
          <w:tcPr>
            <w:tcW w:w="3870" w:type="dxa"/>
            <w:tcBorders>
              <w:top w:val="single" w:sz="4" w:space="0" w:color="auto"/>
              <w:left w:val="nil"/>
              <w:bottom w:val="nil"/>
              <w:right w:val="nil"/>
            </w:tcBorders>
          </w:tcPr>
          <w:p w14:paraId="62821C7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48BE36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April 2017, replacing Abdullah Yahya al-Hakim (Abu Ali)</w:t>
            </w:r>
            <w:r w:rsidRPr="00B91FAE">
              <w:rPr>
                <w:rStyle w:val="FootnoteReference"/>
                <w:rFonts w:asciiTheme="majorBidi" w:hAnsiTheme="majorBidi" w:cstheme="majorBidi"/>
                <w:sz w:val="20"/>
                <w:szCs w:val="20"/>
              </w:rPr>
              <w:footnoteReference w:id="1644"/>
            </w:r>
          </w:p>
        </w:tc>
      </w:tr>
      <w:tr w:rsidR="00EA7E88" w:rsidRPr="00B91FAE" w14:paraId="2972B555" w14:textId="77777777" w:rsidTr="00162F52">
        <w:tc>
          <w:tcPr>
            <w:tcW w:w="816" w:type="dxa"/>
            <w:tcBorders>
              <w:top w:val="nil"/>
              <w:left w:val="nil"/>
              <w:bottom w:val="nil"/>
              <w:right w:val="nil"/>
            </w:tcBorders>
          </w:tcPr>
          <w:p w14:paraId="21682645"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2</w:t>
            </w:r>
          </w:p>
        </w:tc>
        <w:tc>
          <w:tcPr>
            <w:tcW w:w="2609" w:type="dxa"/>
            <w:tcBorders>
              <w:top w:val="nil"/>
              <w:left w:val="nil"/>
              <w:bottom w:val="nil"/>
              <w:right w:val="nil"/>
            </w:tcBorders>
          </w:tcPr>
          <w:p w14:paraId="3390DE63"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Ahmad Sharaf al-Din</w:t>
            </w:r>
          </w:p>
          <w:p w14:paraId="57B054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أحمد شرف الدين</w:t>
            </w:r>
          </w:p>
          <w:p w14:paraId="2296747C"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00FF7E2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Assistant of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 commander</w:t>
            </w:r>
            <w:r w:rsidRPr="00B91FAE">
              <w:rPr>
                <w:rStyle w:val="FootnoteReference"/>
                <w:rFonts w:asciiTheme="majorBidi" w:hAnsiTheme="majorBidi" w:cstheme="majorBidi"/>
                <w:sz w:val="20"/>
                <w:szCs w:val="20"/>
              </w:rPr>
              <w:footnoteReference w:id="1645"/>
            </w:r>
          </w:p>
          <w:p w14:paraId="6496A3F5"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21CE46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6C992D44" w14:textId="77777777" w:rsidTr="00162F52">
        <w:tc>
          <w:tcPr>
            <w:tcW w:w="816" w:type="dxa"/>
            <w:tcBorders>
              <w:top w:val="nil"/>
              <w:left w:val="nil"/>
              <w:bottom w:val="nil"/>
              <w:right w:val="nil"/>
            </w:tcBorders>
          </w:tcPr>
          <w:p w14:paraId="30A35207"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09" w:type="dxa"/>
            <w:tcBorders>
              <w:top w:val="nil"/>
              <w:left w:val="nil"/>
              <w:bottom w:val="nil"/>
              <w:right w:val="nil"/>
            </w:tcBorders>
          </w:tcPr>
          <w:p w14:paraId="048EA05A"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Hmoud Ahmad Dahmush</w:t>
            </w:r>
          </w:p>
          <w:p w14:paraId="6EAA4CF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حمود أحمد دهمش</w:t>
            </w:r>
          </w:p>
          <w:p w14:paraId="1656DF38"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1DBE323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Chief of staff, 4</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46"/>
            </w:r>
          </w:p>
          <w:p w14:paraId="2498939D"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C63B3A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7EF90F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val="en-US" w:bidi="ar-JO"/>
              </w:rPr>
              <w:t>April 2017</w:t>
            </w:r>
          </w:p>
        </w:tc>
      </w:tr>
      <w:tr w:rsidR="00EA7E88" w:rsidRPr="00B91FAE" w14:paraId="5A0F4447" w14:textId="77777777" w:rsidTr="00162F52">
        <w:tc>
          <w:tcPr>
            <w:tcW w:w="816" w:type="dxa"/>
            <w:tcBorders>
              <w:top w:val="nil"/>
              <w:left w:val="nil"/>
              <w:bottom w:val="nil"/>
              <w:right w:val="nil"/>
            </w:tcBorders>
          </w:tcPr>
          <w:p w14:paraId="4B6A8C3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Borders>
              <w:top w:val="nil"/>
              <w:left w:val="nil"/>
              <w:bottom w:val="nil"/>
              <w:right w:val="nil"/>
            </w:tcBorders>
          </w:tcPr>
          <w:p w14:paraId="51927718"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Brigadier General Ahmad Abdullah al-Sharafi</w:t>
            </w:r>
          </w:p>
          <w:p w14:paraId="7AEFAE6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العميد أحمد عبدالله الشرفي</w:t>
            </w:r>
          </w:p>
          <w:p w14:paraId="5801B733" w14:textId="77777777" w:rsidR="00EA7E88" w:rsidRPr="00B91FAE" w:rsidRDefault="00EA7E88" w:rsidP="00162F52">
            <w:pPr>
              <w:rPr>
                <w:rFonts w:asciiTheme="majorBidi" w:hAnsiTheme="majorBidi" w:cstheme="majorBidi"/>
                <w:sz w:val="20"/>
                <w:szCs w:val="20"/>
              </w:rPr>
            </w:pPr>
          </w:p>
          <w:p w14:paraId="54DDF206"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19AA97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lastRenderedPageBreak/>
              <w:t>Ta’izz axis commander</w:t>
            </w:r>
            <w:r w:rsidRPr="00B91FAE">
              <w:rPr>
                <w:rStyle w:val="FootnoteReference"/>
                <w:rFonts w:asciiTheme="majorBidi" w:hAnsiTheme="majorBidi" w:cstheme="majorBidi"/>
                <w:sz w:val="20"/>
                <w:szCs w:val="20"/>
              </w:rPr>
              <w:footnoteReference w:id="1647"/>
            </w:r>
          </w:p>
        </w:tc>
        <w:tc>
          <w:tcPr>
            <w:tcW w:w="3870" w:type="dxa"/>
            <w:tcBorders>
              <w:top w:val="nil"/>
              <w:left w:val="nil"/>
              <w:bottom w:val="nil"/>
              <w:right w:val="nil"/>
            </w:tcBorders>
          </w:tcPr>
          <w:p w14:paraId="0565346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1697D69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Replaced </w:t>
            </w:r>
            <w:r w:rsidRPr="00B91FAE">
              <w:rPr>
                <w:rFonts w:asciiTheme="majorBidi" w:hAnsiTheme="majorBidi" w:cstheme="majorBidi"/>
                <w:sz w:val="20"/>
                <w:szCs w:val="20"/>
                <w:shd w:val="clear" w:color="auto" w:fill="FFFFFF" w:themeFill="background1"/>
              </w:rPr>
              <w:t>Abdullah Hizam Naji al-Dhaban</w:t>
            </w:r>
            <w:r w:rsidRPr="00B91FAE">
              <w:rPr>
                <w:rStyle w:val="FootnoteReference"/>
                <w:rFonts w:asciiTheme="majorBidi" w:hAnsiTheme="majorBidi" w:cstheme="majorBidi"/>
                <w:sz w:val="20"/>
                <w:szCs w:val="20"/>
              </w:rPr>
              <w:footnoteReference w:id="1648"/>
            </w:r>
          </w:p>
        </w:tc>
      </w:tr>
      <w:tr w:rsidR="00EA7E88" w:rsidRPr="00B91FAE" w14:paraId="163E7BDB" w14:textId="77777777" w:rsidTr="00162F52">
        <w:tc>
          <w:tcPr>
            <w:tcW w:w="816" w:type="dxa"/>
            <w:tcBorders>
              <w:top w:val="nil"/>
              <w:left w:val="nil"/>
              <w:bottom w:val="nil"/>
              <w:right w:val="nil"/>
            </w:tcBorders>
          </w:tcPr>
          <w:p w14:paraId="16BB3C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Borders>
              <w:top w:val="nil"/>
              <w:left w:val="nil"/>
              <w:bottom w:val="nil"/>
              <w:right w:val="nil"/>
            </w:tcBorders>
          </w:tcPr>
          <w:p w14:paraId="2801334A"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Mansour Ali al-Lakumi, aka Abu Naser al-Jahli</w:t>
            </w:r>
          </w:p>
          <w:p w14:paraId="511971A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منصور علي اللكومي</w:t>
            </w:r>
          </w:p>
          <w:p w14:paraId="5829F05A"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5BF6A0F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general supervisor</w:t>
            </w:r>
            <w:r w:rsidRPr="00B91FAE">
              <w:rPr>
                <w:rStyle w:val="FootnoteReference"/>
                <w:rFonts w:asciiTheme="majorBidi" w:hAnsiTheme="majorBidi" w:cstheme="majorBidi"/>
                <w:sz w:val="20"/>
                <w:szCs w:val="20"/>
              </w:rPr>
              <w:footnoteReference w:id="1649"/>
            </w:r>
          </w:p>
        </w:tc>
        <w:tc>
          <w:tcPr>
            <w:tcW w:w="3870" w:type="dxa"/>
            <w:tcBorders>
              <w:top w:val="nil"/>
              <w:left w:val="nil"/>
              <w:bottom w:val="nil"/>
              <w:right w:val="nil"/>
            </w:tcBorders>
          </w:tcPr>
          <w:p w14:paraId="1F8AB9C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280656D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Since 2014</w:t>
            </w:r>
          </w:p>
        </w:tc>
      </w:tr>
      <w:tr w:rsidR="00EA7E88" w:rsidRPr="00B91FAE" w14:paraId="24DD840E" w14:textId="77777777" w:rsidTr="00162F52">
        <w:tc>
          <w:tcPr>
            <w:tcW w:w="816" w:type="dxa"/>
            <w:tcBorders>
              <w:top w:val="nil"/>
              <w:left w:val="nil"/>
              <w:bottom w:val="nil"/>
              <w:right w:val="nil"/>
            </w:tcBorders>
          </w:tcPr>
          <w:p w14:paraId="76223CC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6</w:t>
            </w:r>
          </w:p>
        </w:tc>
        <w:tc>
          <w:tcPr>
            <w:tcW w:w="2609" w:type="dxa"/>
            <w:tcBorders>
              <w:top w:val="nil"/>
              <w:left w:val="nil"/>
              <w:bottom w:val="nil"/>
              <w:right w:val="nil"/>
            </w:tcBorders>
          </w:tcPr>
          <w:p w14:paraId="1A835FD0"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Abdulmalik Yahya Ali al-Shahari, aka Abu Shehab</w:t>
            </w:r>
          </w:p>
          <w:p w14:paraId="3CFF723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عبدالملك يحي علي الشهري</w:t>
            </w:r>
          </w:p>
          <w:p w14:paraId="2ECDCF5F"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2899411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security supervisor</w:t>
            </w:r>
            <w:r w:rsidRPr="00B91FAE">
              <w:rPr>
                <w:rStyle w:val="FootnoteReference"/>
                <w:rFonts w:asciiTheme="majorBidi" w:hAnsiTheme="majorBidi" w:cstheme="majorBidi"/>
                <w:sz w:val="20"/>
                <w:szCs w:val="20"/>
              </w:rPr>
              <w:footnoteReference w:id="1650"/>
            </w:r>
          </w:p>
        </w:tc>
        <w:tc>
          <w:tcPr>
            <w:tcW w:w="3870" w:type="dxa"/>
            <w:tcBorders>
              <w:top w:val="nil"/>
              <w:left w:val="nil"/>
              <w:bottom w:val="nil"/>
              <w:right w:val="nil"/>
            </w:tcBorders>
          </w:tcPr>
          <w:p w14:paraId="1A63A19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7B3B169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Killed in 2017</w:t>
            </w:r>
            <w:r w:rsidRPr="00B91FAE">
              <w:rPr>
                <w:rStyle w:val="FootnoteReference"/>
                <w:rFonts w:asciiTheme="majorBidi" w:hAnsiTheme="majorBidi" w:cstheme="majorBidi"/>
                <w:sz w:val="20"/>
                <w:szCs w:val="20"/>
              </w:rPr>
              <w:footnoteReference w:id="1651"/>
            </w:r>
          </w:p>
        </w:tc>
      </w:tr>
      <w:tr w:rsidR="00EA7E88" w:rsidRPr="00B91FAE" w14:paraId="34FD644E" w14:textId="77777777" w:rsidTr="00162F52">
        <w:tc>
          <w:tcPr>
            <w:tcW w:w="816" w:type="dxa"/>
            <w:tcBorders>
              <w:top w:val="nil"/>
              <w:left w:val="nil"/>
              <w:bottom w:val="nil"/>
              <w:right w:val="nil"/>
            </w:tcBorders>
          </w:tcPr>
          <w:p w14:paraId="611FDCBC"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Borders>
              <w:top w:val="nil"/>
              <w:left w:val="nil"/>
              <w:bottom w:val="nil"/>
              <w:right w:val="nil"/>
            </w:tcBorders>
          </w:tcPr>
          <w:p w14:paraId="1E63F55C" w14:textId="77777777" w:rsidR="00EA7E88" w:rsidRPr="00B91FAE" w:rsidRDefault="00EA7E88" w:rsidP="00162F52">
            <w:pPr>
              <w:rPr>
                <w:rFonts w:asciiTheme="majorBidi" w:hAnsiTheme="majorBidi" w:cstheme="majorBidi"/>
                <w:sz w:val="20"/>
                <w:szCs w:val="20"/>
                <w:rtl/>
                <w:lang w:val="en-US"/>
              </w:rPr>
            </w:pPr>
            <w:r w:rsidRPr="00B91FAE">
              <w:rPr>
                <w:rFonts w:asciiTheme="majorBidi" w:hAnsiTheme="majorBidi" w:cstheme="majorBidi"/>
                <w:sz w:val="20"/>
                <w:szCs w:val="20"/>
                <w:lang w:val="en-US"/>
              </w:rPr>
              <w:t>Ameen Abdullah al-Baher</w:t>
            </w:r>
          </w:p>
          <w:p w14:paraId="7BC894D3"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tl/>
                <w:lang w:val="en-US"/>
              </w:rPr>
              <w:t>أمين عبدالله البحير</w:t>
            </w:r>
          </w:p>
        </w:tc>
        <w:tc>
          <w:tcPr>
            <w:tcW w:w="2340" w:type="dxa"/>
            <w:tcBorders>
              <w:top w:val="nil"/>
              <w:left w:val="nil"/>
              <w:bottom w:val="nil"/>
              <w:right w:val="nil"/>
            </w:tcBorders>
          </w:tcPr>
          <w:p w14:paraId="59024AA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 of Ta’izz</w:t>
            </w:r>
            <w:r w:rsidRPr="00B91FAE">
              <w:rPr>
                <w:rStyle w:val="FootnoteReference"/>
                <w:rFonts w:asciiTheme="majorBidi" w:hAnsiTheme="majorBidi" w:cstheme="majorBidi"/>
                <w:sz w:val="20"/>
                <w:szCs w:val="20"/>
              </w:rPr>
              <w:footnoteReference w:id="1652"/>
            </w:r>
          </w:p>
        </w:tc>
        <w:tc>
          <w:tcPr>
            <w:tcW w:w="3870" w:type="dxa"/>
            <w:tcBorders>
              <w:top w:val="nil"/>
              <w:left w:val="nil"/>
              <w:bottom w:val="nil"/>
              <w:right w:val="nil"/>
            </w:tcBorders>
          </w:tcPr>
          <w:p w14:paraId="47F6C70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13D3F2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October 2018, replace Abdu Ali al-Janadi who appointed in November 2015</w:t>
            </w:r>
          </w:p>
          <w:p w14:paraId="05AC1063" w14:textId="77777777" w:rsidR="00EA7E88" w:rsidRPr="00B91FAE" w:rsidRDefault="00EA7E88" w:rsidP="00162F52">
            <w:pPr>
              <w:rPr>
                <w:rFonts w:asciiTheme="majorBidi" w:hAnsiTheme="majorBidi" w:cstheme="majorBidi"/>
                <w:sz w:val="20"/>
                <w:szCs w:val="20"/>
              </w:rPr>
            </w:pPr>
          </w:p>
        </w:tc>
      </w:tr>
      <w:tr w:rsidR="00EA7E88" w:rsidRPr="00B91FAE" w14:paraId="298B0B11" w14:textId="77777777" w:rsidTr="00162F52">
        <w:tc>
          <w:tcPr>
            <w:tcW w:w="816" w:type="dxa"/>
            <w:tcBorders>
              <w:top w:val="nil"/>
              <w:left w:val="nil"/>
              <w:bottom w:val="nil"/>
              <w:right w:val="nil"/>
            </w:tcBorders>
          </w:tcPr>
          <w:p w14:paraId="77FDE2F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609" w:type="dxa"/>
            <w:tcBorders>
              <w:top w:val="nil"/>
              <w:left w:val="nil"/>
              <w:bottom w:val="nil"/>
              <w:right w:val="nil"/>
            </w:tcBorders>
          </w:tcPr>
          <w:p w14:paraId="61F92DBE" w14:textId="77777777" w:rsidR="00EA7E88" w:rsidRPr="00B91FAE" w:rsidRDefault="00EA7E88" w:rsidP="00162F52">
            <w:pPr>
              <w:autoSpaceDE w:val="0"/>
              <w:autoSpaceDN w:val="0"/>
              <w:adjustRightInd w:val="0"/>
              <w:rPr>
                <w:rFonts w:asciiTheme="majorBidi" w:hAnsiTheme="majorBidi" w:cstheme="majorBidi"/>
                <w:sz w:val="20"/>
                <w:szCs w:val="20"/>
                <w:rtl/>
              </w:rPr>
            </w:pPr>
            <w:r w:rsidRPr="00A1624A">
              <w:rPr>
                <w:rFonts w:asciiTheme="majorBidi" w:hAnsiTheme="majorBidi" w:cstheme="majorBidi"/>
                <w:sz w:val="20"/>
                <w:szCs w:val="20"/>
                <w:lang w:val="es-ES"/>
              </w:rPr>
              <w:t>Brigadier General Abdel al-Khaliq Mohammed al-Junaid</w:t>
            </w:r>
          </w:p>
          <w:p w14:paraId="2F5CB05C"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العميد عبدالخالق محمد الجنيد</w:t>
            </w:r>
          </w:p>
          <w:p w14:paraId="11E68733"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53DD77D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Director of security</w:t>
            </w:r>
            <w:r w:rsidRPr="00B91FAE">
              <w:rPr>
                <w:rStyle w:val="FootnoteReference"/>
                <w:rFonts w:asciiTheme="majorBidi" w:hAnsiTheme="majorBidi" w:cstheme="majorBidi"/>
                <w:sz w:val="20"/>
                <w:szCs w:val="20"/>
              </w:rPr>
              <w:footnoteReference w:id="1653"/>
            </w:r>
          </w:p>
        </w:tc>
        <w:tc>
          <w:tcPr>
            <w:tcW w:w="3870" w:type="dxa"/>
            <w:tcBorders>
              <w:top w:val="nil"/>
              <w:left w:val="nil"/>
              <w:bottom w:val="nil"/>
              <w:right w:val="nil"/>
            </w:tcBorders>
          </w:tcPr>
          <w:p w14:paraId="724B0B14"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43F503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October 2018, replaced Brigadier Mansoor al-Maiasi</w:t>
            </w:r>
            <w:r w:rsidRPr="00B91FAE">
              <w:rPr>
                <w:rStyle w:val="FootnoteReference"/>
                <w:rFonts w:asciiTheme="majorBidi" w:hAnsiTheme="majorBidi" w:cstheme="majorBidi"/>
                <w:sz w:val="20"/>
                <w:szCs w:val="20"/>
              </w:rPr>
              <w:footnoteReference w:id="1654"/>
            </w:r>
          </w:p>
        </w:tc>
      </w:tr>
      <w:tr w:rsidR="00EA7E88" w:rsidRPr="00B91FAE" w14:paraId="644DD97E" w14:textId="77777777" w:rsidTr="00162F52">
        <w:tc>
          <w:tcPr>
            <w:tcW w:w="816" w:type="dxa"/>
            <w:tcBorders>
              <w:top w:val="nil"/>
              <w:left w:val="nil"/>
              <w:bottom w:val="nil"/>
              <w:right w:val="nil"/>
            </w:tcBorders>
          </w:tcPr>
          <w:p w14:paraId="563449F7"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9</w:t>
            </w:r>
          </w:p>
        </w:tc>
        <w:tc>
          <w:tcPr>
            <w:tcW w:w="2609" w:type="dxa"/>
            <w:tcBorders>
              <w:top w:val="nil"/>
              <w:left w:val="nil"/>
              <w:bottom w:val="nil"/>
              <w:right w:val="nil"/>
            </w:tcBorders>
          </w:tcPr>
          <w:p w14:paraId="2F066AD0"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Abu Wael al-Houbara</w:t>
            </w:r>
          </w:p>
          <w:p w14:paraId="243C7E7D"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ابو وائل الحباري</w:t>
            </w:r>
          </w:p>
        </w:tc>
        <w:tc>
          <w:tcPr>
            <w:tcW w:w="2340" w:type="dxa"/>
            <w:tcBorders>
              <w:top w:val="nil"/>
              <w:left w:val="nil"/>
              <w:bottom w:val="nil"/>
              <w:right w:val="nil"/>
            </w:tcBorders>
          </w:tcPr>
          <w:p w14:paraId="3FCD3B7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Social supervisor</w:t>
            </w:r>
            <w:r w:rsidRPr="00B91FAE">
              <w:rPr>
                <w:rStyle w:val="FootnoteReference"/>
                <w:rFonts w:asciiTheme="majorBidi" w:hAnsiTheme="majorBidi" w:cstheme="majorBidi"/>
                <w:sz w:val="20"/>
                <w:szCs w:val="20"/>
              </w:rPr>
              <w:footnoteReference w:id="1655"/>
            </w:r>
          </w:p>
          <w:p w14:paraId="3F6FAEC2" w14:textId="77777777" w:rsidR="00EA7E88" w:rsidRPr="00B91FAE" w:rsidRDefault="00EA7E88" w:rsidP="00162F52">
            <w:pPr>
              <w:rPr>
                <w:rFonts w:asciiTheme="majorBidi" w:hAnsiTheme="majorBidi" w:cstheme="majorBidi"/>
                <w:sz w:val="20"/>
                <w:szCs w:val="20"/>
                <w:rtl/>
                <w:lang w:bidi="ar-JO"/>
              </w:rPr>
            </w:pPr>
          </w:p>
        </w:tc>
        <w:tc>
          <w:tcPr>
            <w:tcW w:w="3870" w:type="dxa"/>
            <w:tcBorders>
              <w:top w:val="nil"/>
              <w:left w:val="nil"/>
              <w:bottom w:val="nil"/>
              <w:right w:val="nil"/>
            </w:tcBorders>
          </w:tcPr>
          <w:p w14:paraId="3A90107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43D52DE1" w14:textId="77777777" w:rsidR="00EA7E88" w:rsidRPr="00B91FAE" w:rsidRDefault="00EA7E88" w:rsidP="00162F52">
            <w:pPr>
              <w:rPr>
                <w:rFonts w:asciiTheme="majorBidi" w:hAnsiTheme="majorBidi" w:cstheme="majorBidi"/>
                <w:sz w:val="20"/>
                <w:szCs w:val="20"/>
              </w:rPr>
            </w:pPr>
          </w:p>
        </w:tc>
      </w:tr>
      <w:tr w:rsidR="00EA7E88" w:rsidRPr="00B91FAE" w14:paraId="47376D52" w14:textId="77777777" w:rsidTr="00162F52">
        <w:tc>
          <w:tcPr>
            <w:tcW w:w="816" w:type="dxa"/>
            <w:tcBorders>
              <w:top w:val="nil"/>
              <w:left w:val="nil"/>
              <w:bottom w:val="nil"/>
              <w:right w:val="nil"/>
            </w:tcBorders>
          </w:tcPr>
          <w:p w14:paraId="199D9EED"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10</w:t>
            </w:r>
          </w:p>
        </w:tc>
        <w:tc>
          <w:tcPr>
            <w:tcW w:w="2609" w:type="dxa"/>
            <w:tcBorders>
              <w:top w:val="nil"/>
              <w:left w:val="nil"/>
              <w:bottom w:val="nil"/>
              <w:right w:val="nil"/>
            </w:tcBorders>
          </w:tcPr>
          <w:p w14:paraId="4EE6B001"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Ibrahim Amer</w:t>
            </w:r>
          </w:p>
          <w:p w14:paraId="02FB0244"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إبراهيم عامر</w:t>
            </w:r>
          </w:p>
        </w:tc>
        <w:tc>
          <w:tcPr>
            <w:tcW w:w="2340" w:type="dxa"/>
            <w:tcBorders>
              <w:top w:val="nil"/>
              <w:left w:val="nil"/>
              <w:bottom w:val="nil"/>
              <w:right w:val="nil"/>
            </w:tcBorders>
          </w:tcPr>
          <w:p w14:paraId="72928D6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Ansar Allah's educational officer in Taiz</w:t>
            </w:r>
            <w:r w:rsidRPr="00B91FAE">
              <w:rPr>
                <w:rStyle w:val="FootnoteReference"/>
                <w:rFonts w:asciiTheme="majorBidi" w:hAnsiTheme="majorBidi" w:cstheme="majorBidi"/>
                <w:sz w:val="20"/>
                <w:szCs w:val="20"/>
              </w:rPr>
              <w:footnoteReference w:id="1656"/>
            </w:r>
          </w:p>
          <w:p w14:paraId="7B47395A" w14:textId="77777777" w:rsidR="00EA7E88" w:rsidRPr="00B91FAE" w:rsidRDefault="00EA7E88" w:rsidP="00162F52">
            <w:pPr>
              <w:rPr>
                <w:rFonts w:asciiTheme="majorBidi" w:hAnsiTheme="majorBidi" w:cstheme="majorBidi"/>
                <w:sz w:val="20"/>
                <w:szCs w:val="20"/>
                <w:lang w:val="en-US"/>
              </w:rPr>
            </w:pPr>
          </w:p>
        </w:tc>
        <w:tc>
          <w:tcPr>
            <w:tcW w:w="3870" w:type="dxa"/>
            <w:tcBorders>
              <w:top w:val="nil"/>
              <w:left w:val="nil"/>
              <w:bottom w:val="nil"/>
              <w:right w:val="nil"/>
            </w:tcBorders>
          </w:tcPr>
          <w:p w14:paraId="7670248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1D39BB03" w14:textId="77777777" w:rsidTr="00162F52">
        <w:tc>
          <w:tcPr>
            <w:tcW w:w="816" w:type="dxa"/>
            <w:tcBorders>
              <w:top w:val="nil"/>
              <w:left w:val="nil"/>
              <w:bottom w:val="nil"/>
              <w:right w:val="nil"/>
            </w:tcBorders>
          </w:tcPr>
          <w:p w14:paraId="3469C7DE" w14:textId="77777777" w:rsidR="00EA7E88" w:rsidRPr="00B91FAE" w:rsidRDefault="00EA7E88" w:rsidP="00162F52">
            <w:pPr>
              <w:jc w:val="center"/>
              <w:rPr>
                <w:rFonts w:asciiTheme="majorBidi" w:hAnsiTheme="majorBidi" w:cstheme="majorBidi"/>
                <w:sz w:val="20"/>
                <w:szCs w:val="20"/>
                <w:lang w:val="en-US"/>
              </w:rPr>
            </w:pPr>
            <w:r w:rsidRPr="00B91FAE">
              <w:rPr>
                <w:rFonts w:asciiTheme="majorBidi" w:hAnsiTheme="majorBidi" w:cstheme="majorBidi"/>
                <w:sz w:val="20"/>
                <w:szCs w:val="20"/>
                <w:lang w:val="en-US"/>
              </w:rPr>
              <w:t>11</w:t>
            </w:r>
          </w:p>
        </w:tc>
        <w:tc>
          <w:tcPr>
            <w:tcW w:w="2609" w:type="dxa"/>
            <w:tcBorders>
              <w:top w:val="nil"/>
              <w:left w:val="nil"/>
              <w:bottom w:val="nil"/>
              <w:right w:val="nil"/>
            </w:tcBorders>
          </w:tcPr>
          <w:p w14:paraId="59256AC3"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Amin Hamidan</w:t>
            </w:r>
          </w:p>
          <w:p w14:paraId="0B7D8FE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أمين حميدان</w:t>
            </w:r>
          </w:p>
        </w:tc>
        <w:tc>
          <w:tcPr>
            <w:tcW w:w="2340" w:type="dxa"/>
            <w:tcBorders>
              <w:top w:val="nil"/>
              <w:left w:val="nil"/>
              <w:bottom w:val="nil"/>
              <w:right w:val="nil"/>
            </w:tcBorders>
          </w:tcPr>
          <w:p w14:paraId="6B05B12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 Province's deputy, supervisor of Taizz coastal districts</w:t>
            </w:r>
            <w:r w:rsidRPr="00B91FAE">
              <w:rPr>
                <w:rStyle w:val="FootnoteReference"/>
                <w:rFonts w:asciiTheme="majorBidi" w:hAnsiTheme="majorBidi" w:cstheme="majorBidi"/>
                <w:sz w:val="20"/>
                <w:szCs w:val="20"/>
              </w:rPr>
              <w:footnoteReference w:id="1657"/>
            </w:r>
            <w:r w:rsidRPr="00B91FAE">
              <w:rPr>
                <w:rFonts w:asciiTheme="majorBidi" w:hAnsiTheme="majorBidi" w:cstheme="majorBidi"/>
                <w:sz w:val="20"/>
                <w:szCs w:val="20"/>
              </w:rPr>
              <w:t xml:space="preserve"> </w:t>
            </w:r>
          </w:p>
          <w:p w14:paraId="546A467D"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0C1F061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tc>
      </w:tr>
      <w:tr w:rsidR="00EA7E88" w:rsidRPr="00B91FAE" w14:paraId="10E95187" w14:textId="77777777" w:rsidTr="00162F52">
        <w:tc>
          <w:tcPr>
            <w:tcW w:w="816" w:type="dxa"/>
            <w:tcBorders>
              <w:top w:val="nil"/>
              <w:left w:val="nil"/>
              <w:bottom w:val="nil"/>
              <w:right w:val="nil"/>
            </w:tcBorders>
          </w:tcPr>
          <w:p w14:paraId="4AC811F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12</w:t>
            </w:r>
          </w:p>
        </w:tc>
        <w:tc>
          <w:tcPr>
            <w:tcW w:w="2609" w:type="dxa"/>
            <w:tcBorders>
              <w:top w:val="nil"/>
              <w:left w:val="nil"/>
              <w:bottom w:val="nil"/>
              <w:right w:val="nil"/>
            </w:tcBorders>
          </w:tcPr>
          <w:p w14:paraId="7866338D" w14:textId="77777777" w:rsidR="00EA7E88" w:rsidRPr="00B91FAE" w:rsidRDefault="00EA7E88" w:rsidP="00162F52">
            <w:pPr>
              <w:autoSpaceDE w:val="0"/>
              <w:autoSpaceDN w:val="0"/>
              <w:adjustRightInd w:val="0"/>
              <w:rPr>
                <w:rFonts w:asciiTheme="majorBidi" w:hAnsiTheme="majorBidi" w:cstheme="majorBidi"/>
                <w:sz w:val="20"/>
                <w:szCs w:val="20"/>
                <w:rtl/>
                <w:lang w:val="en-US" w:bidi="ar-JO"/>
              </w:rPr>
            </w:pPr>
            <w:r w:rsidRPr="00A1624A">
              <w:rPr>
                <w:rFonts w:asciiTheme="majorBidi" w:hAnsiTheme="majorBidi" w:cstheme="majorBidi"/>
                <w:sz w:val="20"/>
                <w:szCs w:val="20"/>
                <w:lang w:val="es-ES" w:bidi="ar-JO"/>
              </w:rPr>
              <w:t>Ali Hamdan Al-Hamel aka Abu Ali</w:t>
            </w:r>
          </w:p>
          <w:p w14:paraId="03D4ADF9" w14:textId="77777777" w:rsidR="00EA7E88" w:rsidRPr="00B91FAE" w:rsidRDefault="00EA7E88" w:rsidP="00162F52">
            <w:pPr>
              <w:autoSpaceDE w:val="0"/>
              <w:autoSpaceDN w:val="0"/>
              <w:adjustRightInd w:val="0"/>
              <w:rPr>
                <w:rFonts w:asciiTheme="majorBidi" w:hAnsiTheme="majorBidi" w:cstheme="majorBidi"/>
                <w:sz w:val="20"/>
                <w:szCs w:val="20"/>
                <w:lang w:val="en-US" w:bidi="ar-JO"/>
              </w:rPr>
            </w:pPr>
            <w:r w:rsidRPr="00B91FAE">
              <w:rPr>
                <w:rFonts w:asciiTheme="majorBidi" w:hAnsiTheme="majorBidi" w:cstheme="majorBidi"/>
                <w:sz w:val="20"/>
                <w:szCs w:val="20"/>
                <w:rtl/>
                <w:lang w:val="en-US" w:bidi="ar-JO"/>
              </w:rPr>
              <w:t>علي حمدان الهميل المكنى ابو علي</w:t>
            </w:r>
          </w:p>
          <w:p w14:paraId="1122E5C7" w14:textId="77777777" w:rsidR="00EA7E88" w:rsidRPr="00B91FAE" w:rsidRDefault="00EA7E88" w:rsidP="00162F52">
            <w:pPr>
              <w:autoSpaceDE w:val="0"/>
              <w:autoSpaceDN w:val="0"/>
              <w:adjustRightInd w:val="0"/>
              <w:rPr>
                <w:rFonts w:asciiTheme="majorBidi" w:hAnsiTheme="majorBidi" w:cstheme="majorBidi"/>
                <w:sz w:val="20"/>
                <w:szCs w:val="20"/>
                <w:lang w:val="en-US" w:bidi="ar-JO"/>
              </w:rPr>
            </w:pPr>
          </w:p>
        </w:tc>
        <w:tc>
          <w:tcPr>
            <w:tcW w:w="2340" w:type="dxa"/>
            <w:tcBorders>
              <w:top w:val="nil"/>
              <w:left w:val="nil"/>
              <w:bottom w:val="nil"/>
              <w:right w:val="nil"/>
            </w:tcBorders>
          </w:tcPr>
          <w:p w14:paraId="02D5BF3D"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Supervisor, al-Saleh prison</w:t>
            </w:r>
            <w:r w:rsidRPr="00B91FAE">
              <w:rPr>
                <w:rStyle w:val="FootnoteReference"/>
                <w:rFonts w:asciiTheme="majorBidi" w:hAnsiTheme="majorBidi" w:cstheme="majorBidi"/>
                <w:sz w:val="20"/>
                <w:szCs w:val="20"/>
              </w:rPr>
              <w:footnoteReference w:id="1658"/>
            </w:r>
          </w:p>
        </w:tc>
        <w:tc>
          <w:tcPr>
            <w:tcW w:w="3870" w:type="dxa"/>
            <w:tcBorders>
              <w:top w:val="nil"/>
              <w:left w:val="nil"/>
              <w:bottom w:val="nil"/>
              <w:right w:val="nil"/>
            </w:tcBorders>
          </w:tcPr>
          <w:p w14:paraId="5D16469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AA03C33" w14:textId="77777777" w:rsidR="00EA7E88" w:rsidRPr="00B91FAE" w:rsidRDefault="00EA7E88" w:rsidP="00162F52">
            <w:pPr>
              <w:adjustRightInd w:val="0"/>
              <w:spacing w:before="40" w:after="40"/>
              <w:rPr>
                <w:rFonts w:asciiTheme="majorBidi" w:hAnsiTheme="majorBidi" w:cstheme="majorBidi"/>
                <w:sz w:val="20"/>
                <w:szCs w:val="20"/>
                <w:lang w:val="en-US"/>
              </w:rPr>
            </w:pPr>
            <w:r w:rsidRPr="00B91FAE">
              <w:rPr>
                <w:rFonts w:asciiTheme="majorBidi" w:hAnsiTheme="majorBidi" w:cstheme="majorBidi"/>
                <w:sz w:val="20"/>
                <w:szCs w:val="20"/>
              </w:rPr>
              <w:t>Directly in charge of the National Security Bureau at al-Saleh prison</w:t>
            </w:r>
            <w:r w:rsidRPr="00B91FAE">
              <w:rPr>
                <w:rStyle w:val="FootnoteReference"/>
                <w:rFonts w:asciiTheme="majorBidi" w:hAnsiTheme="majorBidi" w:cstheme="majorBidi"/>
                <w:sz w:val="20"/>
                <w:szCs w:val="20"/>
              </w:rPr>
              <w:footnoteReference w:id="1659"/>
            </w:r>
          </w:p>
          <w:p w14:paraId="3032335D" w14:textId="77777777" w:rsidR="00EA7E88" w:rsidRPr="00B91FAE" w:rsidRDefault="00EA7E88" w:rsidP="00162F52">
            <w:pPr>
              <w:rPr>
                <w:rFonts w:asciiTheme="majorBidi" w:hAnsiTheme="majorBidi" w:cstheme="majorBidi"/>
                <w:sz w:val="20"/>
                <w:szCs w:val="20"/>
              </w:rPr>
            </w:pPr>
          </w:p>
        </w:tc>
      </w:tr>
      <w:tr w:rsidR="00EA7E88" w:rsidRPr="00B91FAE" w14:paraId="7C3AB6EB" w14:textId="77777777" w:rsidTr="00162F52">
        <w:tc>
          <w:tcPr>
            <w:tcW w:w="816" w:type="dxa"/>
            <w:tcBorders>
              <w:top w:val="nil"/>
              <w:left w:val="nil"/>
              <w:bottom w:val="nil"/>
              <w:right w:val="nil"/>
            </w:tcBorders>
          </w:tcPr>
          <w:p w14:paraId="61E95A3E"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13</w:t>
            </w:r>
          </w:p>
        </w:tc>
        <w:tc>
          <w:tcPr>
            <w:tcW w:w="2609" w:type="dxa"/>
            <w:tcBorders>
              <w:top w:val="nil"/>
              <w:left w:val="nil"/>
              <w:bottom w:val="nil"/>
              <w:right w:val="nil"/>
            </w:tcBorders>
          </w:tcPr>
          <w:p w14:paraId="5037F130" w14:textId="77777777" w:rsidR="00EA7E88" w:rsidRPr="00B91FAE" w:rsidRDefault="00EA7E88" w:rsidP="00162F52">
            <w:pPr>
              <w:autoSpaceDE w:val="0"/>
              <w:autoSpaceDN w:val="0"/>
              <w:adjustRightInd w:val="0"/>
              <w:rPr>
                <w:rFonts w:asciiTheme="majorBidi" w:hAnsiTheme="majorBidi" w:cstheme="majorBidi"/>
                <w:sz w:val="20"/>
                <w:szCs w:val="20"/>
                <w:rtl/>
                <w:lang w:val="en-US"/>
              </w:rPr>
            </w:pPr>
            <w:r w:rsidRPr="00B91FAE">
              <w:rPr>
                <w:rFonts w:asciiTheme="majorBidi" w:hAnsiTheme="majorBidi" w:cstheme="majorBidi"/>
                <w:sz w:val="20"/>
                <w:szCs w:val="20"/>
                <w:lang w:val="en-US"/>
              </w:rPr>
              <w:t>Najib Qaed al-Najdin</w:t>
            </w:r>
            <w:r w:rsidRPr="00B91FAE">
              <w:rPr>
                <w:rStyle w:val="FootnoteReference"/>
                <w:rFonts w:asciiTheme="majorBidi" w:hAnsiTheme="majorBidi" w:cstheme="majorBidi"/>
                <w:sz w:val="20"/>
                <w:szCs w:val="20"/>
                <w:lang w:val="en-US"/>
              </w:rPr>
              <w:footnoteReference w:id="1660"/>
            </w:r>
          </w:p>
          <w:p w14:paraId="0D2C9129" w14:textId="77777777" w:rsidR="00EA7E88" w:rsidRPr="00B91FAE" w:rsidRDefault="00EA7E88" w:rsidP="00162F52">
            <w:pPr>
              <w:autoSpaceDE w:val="0"/>
              <w:autoSpaceDN w:val="0"/>
              <w:adjustRightInd w:val="0"/>
              <w:rPr>
                <w:rFonts w:asciiTheme="majorBidi" w:hAnsiTheme="majorBidi" w:cstheme="majorBidi"/>
                <w:sz w:val="20"/>
                <w:szCs w:val="20"/>
                <w:lang w:val="en-US"/>
              </w:rPr>
            </w:pPr>
            <w:r w:rsidRPr="00B91FAE">
              <w:rPr>
                <w:rFonts w:asciiTheme="majorBidi" w:hAnsiTheme="majorBidi" w:cstheme="majorBidi"/>
                <w:sz w:val="20"/>
                <w:szCs w:val="20"/>
                <w:rtl/>
                <w:lang w:val="en-US"/>
              </w:rPr>
              <w:t>نجيب قايد النجدين</w:t>
            </w:r>
          </w:p>
          <w:p w14:paraId="01C999C1" w14:textId="77777777" w:rsidR="00EA7E88" w:rsidRPr="00B91FAE" w:rsidRDefault="00EA7E88" w:rsidP="00162F52">
            <w:pPr>
              <w:autoSpaceDE w:val="0"/>
              <w:autoSpaceDN w:val="0"/>
              <w:adjustRightInd w:val="0"/>
              <w:rPr>
                <w:rFonts w:asciiTheme="majorBidi" w:hAnsiTheme="majorBidi" w:cstheme="majorBidi"/>
                <w:sz w:val="20"/>
                <w:szCs w:val="20"/>
                <w:lang w:val="en-US"/>
              </w:rPr>
            </w:pPr>
          </w:p>
        </w:tc>
        <w:tc>
          <w:tcPr>
            <w:tcW w:w="2340" w:type="dxa"/>
            <w:tcBorders>
              <w:top w:val="nil"/>
              <w:left w:val="nil"/>
              <w:bottom w:val="nil"/>
              <w:right w:val="nil"/>
            </w:tcBorders>
          </w:tcPr>
          <w:p w14:paraId="2E1C3C02"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w:t>
            </w:r>
          </w:p>
        </w:tc>
        <w:tc>
          <w:tcPr>
            <w:tcW w:w="3870" w:type="dxa"/>
            <w:tcBorders>
              <w:top w:val="nil"/>
              <w:left w:val="nil"/>
              <w:bottom w:val="nil"/>
              <w:right w:val="nil"/>
            </w:tcBorders>
          </w:tcPr>
          <w:p w14:paraId="0C36E9B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31B15C9D" w14:textId="77777777" w:rsidR="00EA7E88" w:rsidRPr="00B91FAE" w:rsidRDefault="00EA7E88" w:rsidP="00162F52">
            <w:pPr>
              <w:rPr>
                <w:rFonts w:asciiTheme="majorBidi" w:hAnsiTheme="majorBidi" w:cstheme="majorBidi"/>
                <w:sz w:val="20"/>
                <w:szCs w:val="20"/>
              </w:rPr>
            </w:pPr>
          </w:p>
        </w:tc>
      </w:tr>
      <w:tr w:rsidR="00EA7E88" w:rsidRPr="00B91FAE" w14:paraId="66EA9D98" w14:textId="77777777" w:rsidTr="00162F52">
        <w:tc>
          <w:tcPr>
            <w:tcW w:w="816" w:type="dxa"/>
            <w:tcBorders>
              <w:top w:val="nil"/>
              <w:left w:val="nil"/>
              <w:bottom w:val="nil"/>
              <w:right w:val="nil"/>
            </w:tcBorders>
          </w:tcPr>
          <w:p w14:paraId="738844F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 xml:space="preserve">          14</w:t>
            </w:r>
          </w:p>
        </w:tc>
        <w:tc>
          <w:tcPr>
            <w:tcW w:w="2609" w:type="dxa"/>
            <w:tcBorders>
              <w:top w:val="nil"/>
              <w:left w:val="nil"/>
              <w:bottom w:val="nil"/>
              <w:right w:val="nil"/>
            </w:tcBorders>
          </w:tcPr>
          <w:p w14:paraId="4DC996DC" w14:textId="77777777" w:rsidR="00EA7E88" w:rsidRPr="00B91FAE" w:rsidRDefault="00EA7E88" w:rsidP="00162F52">
            <w:pPr>
              <w:autoSpaceDE w:val="0"/>
              <w:autoSpaceDN w:val="0"/>
              <w:adjustRightInd w:val="0"/>
              <w:rPr>
                <w:rFonts w:asciiTheme="majorBidi" w:hAnsiTheme="majorBidi" w:cstheme="majorBidi"/>
                <w:sz w:val="20"/>
                <w:szCs w:val="20"/>
                <w:rtl/>
              </w:rPr>
            </w:pPr>
            <w:r w:rsidRPr="00B91FAE">
              <w:rPr>
                <w:rFonts w:asciiTheme="majorBidi" w:hAnsiTheme="majorBidi" w:cstheme="majorBidi"/>
                <w:sz w:val="20"/>
                <w:szCs w:val="20"/>
              </w:rPr>
              <w:t>Sheikh Mohammed Abdullah Nayef</w:t>
            </w:r>
            <w:r w:rsidRPr="00B91FAE">
              <w:rPr>
                <w:rStyle w:val="FootnoteReference"/>
                <w:rFonts w:asciiTheme="majorBidi" w:hAnsiTheme="majorBidi" w:cstheme="majorBidi"/>
                <w:sz w:val="20"/>
                <w:szCs w:val="20"/>
              </w:rPr>
              <w:footnoteReference w:id="1661"/>
            </w:r>
          </w:p>
          <w:p w14:paraId="49AD5083" w14:textId="77777777" w:rsidR="00EA7E88" w:rsidRPr="00B91FAE" w:rsidRDefault="00EA7E88" w:rsidP="00162F52">
            <w:pPr>
              <w:autoSpaceDE w:val="0"/>
              <w:autoSpaceDN w:val="0"/>
              <w:adjustRightInd w:val="0"/>
              <w:rPr>
                <w:rFonts w:asciiTheme="majorBidi" w:hAnsiTheme="majorBidi" w:cstheme="majorBidi"/>
                <w:sz w:val="20"/>
                <w:szCs w:val="20"/>
              </w:rPr>
            </w:pPr>
            <w:r w:rsidRPr="00B91FAE">
              <w:rPr>
                <w:rFonts w:asciiTheme="majorBidi" w:hAnsiTheme="majorBidi" w:cstheme="majorBidi"/>
                <w:sz w:val="20"/>
                <w:szCs w:val="20"/>
                <w:rtl/>
              </w:rPr>
              <w:t>الشيخ محمد عبدالله نايف</w:t>
            </w:r>
          </w:p>
          <w:p w14:paraId="18F67C39" w14:textId="77777777" w:rsidR="00EA7E88" w:rsidRPr="00B91FAE" w:rsidRDefault="00EA7E88" w:rsidP="00162F52">
            <w:pPr>
              <w:autoSpaceDE w:val="0"/>
              <w:autoSpaceDN w:val="0"/>
              <w:adjustRightInd w:val="0"/>
              <w:rPr>
                <w:rFonts w:asciiTheme="majorBidi" w:hAnsiTheme="majorBidi" w:cstheme="majorBidi"/>
                <w:sz w:val="20"/>
                <w:szCs w:val="20"/>
              </w:rPr>
            </w:pPr>
          </w:p>
        </w:tc>
        <w:tc>
          <w:tcPr>
            <w:tcW w:w="2340" w:type="dxa"/>
            <w:tcBorders>
              <w:top w:val="nil"/>
              <w:left w:val="nil"/>
              <w:bottom w:val="nil"/>
              <w:right w:val="nil"/>
            </w:tcBorders>
          </w:tcPr>
          <w:p w14:paraId="430846E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w:t>
            </w:r>
          </w:p>
        </w:tc>
        <w:tc>
          <w:tcPr>
            <w:tcW w:w="3870" w:type="dxa"/>
            <w:tcBorders>
              <w:top w:val="nil"/>
              <w:left w:val="nil"/>
              <w:bottom w:val="nil"/>
              <w:right w:val="nil"/>
            </w:tcBorders>
          </w:tcPr>
          <w:p w14:paraId="2F944470"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w:t>
            </w:r>
          </w:p>
          <w:p w14:paraId="66124B9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 on his tribe</w:t>
            </w:r>
          </w:p>
        </w:tc>
      </w:tr>
      <w:tr w:rsidR="00EA7E88" w:rsidRPr="00B91FAE" w14:paraId="24D5590C" w14:textId="77777777" w:rsidTr="00162F52">
        <w:trPr>
          <w:trHeight w:val="1710"/>
        </w:trPr>
        <w:tc>
          <w:tcPr>
            <w:tcW w:w="816" w:type="dxa"/>
            <w:tcBorders>
              <w:top w:val="nil"/>
              <w:left w:val="nil"/>
              <w:bottom w:val="nil"/>
              <w:right w:val="nil"/>
            </w:tcBorders>
          </w:tcPr>
          <w:p w14:paraId="51ACC3D5"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15</w:t>
            </w:r>
          </w:p>
        </w:tc>
        <w:tc>
          <w:tcPr>
            <w:tcW w:w="2609" w:type="dxa"/>
            <w:tcBorders>
              <w:top w:val="nil"/>
              <w:left w:val="nil"/>
              <w:bottom w:val="nil"/>
              <w:right w:val="nil"/>
            </w:tcBorders>
          </w:tcPr>
          <w:p w14:paraId="6BE1A6A1"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Abdulwali al-Jabari</w:t>
            </w:r>
          </w:p>
          <w:p w14:paraId="4AC2700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الشيخ عبدالولي عبده حسن الجابري</w:t>
            </w:r>
          </w:p>
        </w:tc>
        <w:tc>
          <w:tcPr>
            <w:tcW w:w="2340" w:type="dxa"/>
            <w:tcBorders>
              <w:top w:val="nil"/>
              <w:left w:val="nil"/>
              <w:bottom w:val="nil"/>
              <w:right w:val="nil"/>
            </w:tcBorders>
          </w:tcPr>
          <w:p w14:paraId="20510BB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Influence, GPC</w:t>
            </w:r>
            <w:r w:rsidRPr="00B91FAE">
              <w:rPr>
                <w:rStyle w:val="FootnoteReference"/>
                <w:rFonts w:asciiTheme="majorBidi" w:hAnsiTheme="majorBidi" w:cstheme="majorBidi"/>
                <w:sz w:val="20"/>
                <w:szCs w:val="20"/>
              </w:rPr>
              <w:footnoteReference w:id="1662"/>
            </w:r>
          </w:p>
        </w:tc>
        <w:tc>
          <w:tcPr>
            <w:tcW w:w="3870" w:type="dxa"/>
            <w:tcBorders>
              <w:top w:val="nil"/>
              <w:left w:val="nil"/>
              <w:bottom w:val="nil"/>
              <w:right w:val="nil"/>
            </w:tcBorders>
          </w:tcPr>
          <w:p w14:paraId="603B74B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He was previously the head of the GPC party in Ta’izz</w:t>
            </w:r>
          </w:p>
          <w:p w14:paraId="63FABA99" w14:textId="77777777" w:rsidR="00EA7E88" w:rsidRPr="00B91FAE" w:rsidRDefault="00EA7E88" w:rsidP="00162F52">
            <w:pPr>
              <w:rPr>
                <w:rFonts w:asciiTheme="majorBidi" w:hAnsiTheme="majorBidi" w:cstheme="majorBidi"/>
                <w:sz w:val="20"/>
                <w:szCs w:val="20"/>
              </w:rPr>
            </w:pPr>
          </w:p>
        </w:tc>
      </w:tr>
      <w:tr w:rsidR="00EA7E88" w:rsidRPr="00B91FAE" w14:paraId="5955F467" w14:textId="77777777" w:rsidTr="00162F52">
        <w:tc>
          <w:tcPr>
            <w:tcW w:w="816" w:type="dxa"/>
            <w:tcBorders>
              <w:top w:val="nil"/>
              <w:left w:val="nil"/>
              <w:bottom w:val="nil"/>
              <w:right w:val="nil"/>
            </w:tcBorders>
          </w:tcPr>
          <w:p w14:paraId="27C5F68E" w14:textId="77777777" w:rsidR="00EA7E88" w:rsidRPr="00B91FAE" w:rsidRDefault="00EA7E88" w:rsidP="00162F52">
            <w:pPr>
              <w:jc w:val="center"/>
              <w:rPr>
                <w:rFonts w:asciiTheme="majorBidi" w:hAnsiTheme="majorBidi" w:cstheme="majorBidi"/>
                <w:sz w:val="20"/>
                <w:szCs w:val="20"/>
                <w:rtl/>
                <w:lang w:bidi="ar-JO"/>
              </w:rPr>
            </w:pPr>
            <w:r w:rsidRPr="00B91FAE">
              <w:rPr>
                <w:rFonts w:asciiTheme="majorBidi" w:hAnsiTheme="majorBidi" w:cstheme="majorBidi"/>
                <w:sz w:val="20"/>
                <w:szCs w:val="20"/>
              </w:rPr>
              <w:t>16</w:t>
            </w:r>
          </w:p>
        </w:tc>
        <w:tc>
          <w:tcPr>
            <w:tcW w:w="2609" w:type="dxa"/>
            <w:tcBorders>
              <w:top w:val="nil"/>
              <w:left w:val="nil"/>
              <w:bottom w:val="nil"/>
              <w:right w:val="nil"/>
            </w:tcBorders>
          </w:tcPr>
          <w:p w14:paraId="70906D37"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Harith al-Azi</w:t>
            </w:r>
            <w:r w:rsidRPr="00B91FAE">
              <w:rPr>
                <w:rStyle w:val="FootnoteReference"/>
                <w:rFonts w:asciiTheme="majorBidi" w:hAnsiTheme="majorBidi" w:cstheme="majorBidi"/>
                <w:sz w:val="20"/>
                <w:szCs w:val="20"/>
              </w:rPr>
              <w:footnoteReference w:id="1663"/>
            </w:r>
          </w:p>
          <w:p w14:paraId="6FBAC9B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حارث العزي</w:t>
            </w:r>
          </w:p>
        </w:tc>
        <w:tc>
          <w:tcPr>
            <w:tcW w:w="2340" w:type="dxa"/>
            <w:tcBorders>
              <w:top w:val="nil"/>
              <w:left w:val="nil"/>
              <w:bottom w:val="nil"/>
              <w:right w:val="nil"/>
            </w:tcBorders>
          </w:tcPr>
          <w:p w14:paraId="6BD88F1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Ta’izz security directorate</w:t>
            </w:r>
          </w:p>
          <w:p w14:paraId="6DF69F66"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294E0CD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In 2014, he was one of the resistance figures in Ta’izz and fought with al-Qaeda. In 2016 al-Qaeda announced that he is no longer with them. Then, he joined Abu al-Abbas Battalions. At the beginning of 2019 he defected from the Abu al- Abbas and joined the Houthis and was appointed as deputy security director of IBB</w:t>
            </w:r>
          </w:p>
          <w:p w14:paraId="325010B1" w14:textId="77777777" w:rsidR="00EA7E88" w:rsidRPr="00B91FAE" w:rsidRDefault="00EA7E88" w:rsidP="00162F52">
            <w:pPr>
              <w:rPr>
                <w:rFonts w:asciiTheme="majorBidi" w:hAnsiTheme="majorBidi" w:cstheme="majorBidi"/>
                <w:sz w:val="20"/>
                <w:szCs w:val="20"/>
              </w:rPr>
            </w:pPr>
          </w:p>
          <w:p w14:paraId="449D15B1" w14:textId="77777777" w:rsidR="00EA7E88" w:rsidRPr="00B91FAE" w:rsidRDefault="00EA7E88" w:rsidP="00162F52">
            <w:pPr>
              <w:rPr>
                <w:rFonts w:asciiTheme="majorBidi" w:hAnsiTheme="majorBidi" w:cstheme="majorBidi"/>
                <w:sz w:val="20"/>
                <w:szCs w:val="20"/>
              </w:rPr>
            </w:pPr>
          </w:p>
        </w:tc>
      </w:tr>
      <w:tr w:rsidR="00EA7E88" w:rsidRPr="00B91FAE" w14:paraId="59B1B45C" w14:textId="77777777" w:rsidTr="00162F52">
        <w:tc>
          <w:tcPr>
            <w:tcW w:w="9635" w:type="dxa"/>
            <w:gridSpan w:val="4"/>
            <w:tcBorders>
              <w:top w:val="nil"/>
              <w:left w:val="nil"/>
              <w:bottom w:val="nil"/>
              <w:right w:val="nil"/>
            </w:tcBorders>
          </w:tcPr>
          <w:p w14:paraId="518DE9BC" w14:textId="77777777" w:rsidR="00EA7E88" w:rsidRPr="00B91FAE" w:rsidRDefault="00EA7E88" w:rsidP="00162F52">
            <w:pPr>
              <w:pStyle w:val="ListParagraph"/>
              <w:spacing w:after="0" w:line="240" w:lineRule="auto"/>
              <w:ind w:left="1080"/>
              <w:rPr>
                <w:rFonts w:asciiTheme="majorBidi" w:hAnsiTheme="majorBidi" w:cstheme="majorBidi"/>
                <w:sz w:val="20"/>
                <w:szCs w:val="20"/>
              </w:rPr>
            </w:pPr>
          </w:p>
          <w:p w14:paraId="4C4CB4BA" w14:textId="77777777" w:rsidR="00EA7E88" w:rsidRPr="00B91FAE" w:rsidRDefault="00EA7E88" w:rsidP="00162F52">
            <w:pPr>
              <w:pStyle w:val="ListParagraph"/>
              <w:spacing w:after="0" w:line="240" w:lineRule="auto"/>
              <w:ind w:left="1080"/>
              <w:rPr>
                <w:rFonts w:asciiTheme="majorBidi" w:hAnsiTheme="majorBidi" w:cstheme="majorBidi"/>
                <w:sz w:val="20"/>
                <w:szCs w:val="20"/>
              </w:rPr>
            </w:pPr>
          </w:p>
          <w:p w14:paraId="35BE1ED5" w14:textId="77777777" w:rsidR="00EA7E88" w:rsidRPr="00B91FAE" w:rsidRDefault="00EA7E88" w:rsidP="00EA7E88">
            <w:pPr>
              <w:pStyle w:val="ListParagraph"/>
              <w:numPr>
                <w:ilvl w:val="0"/>
                <w:numId w:val="33"/>
              </w:numPr>
              <w:spacing w:after="0" w:line="240" w:lineRule="auto"/>
              <w:rPr>
                <w:rFonts w:asciiTheme="majorBidi" w:hAnsiTheme="majorBidi" w:cstheme="majorBidi"/>
                <w:sz w:val="20"/>
                <w:szCs w:val="20"/>
              </w:rPr>
            </w:pPr>
            <w:r w:rsidRPr="00B91FAE">
              <w:rPr>
                <w:rFonts w:asciiTheme="majorBidi" w:hAnsiTheme="majorBidi" w:cstheme="majorBidi"/>
                <w:b/>
                <w:bCs/>
                <w:sz w:val="20"/>
                <w:szCs w:val="20"/>
              </w:rPr>
              <w:t>Main Actors in al-Hudaydah Governorate</w:t>
            </w:r>
          </w:p>
        </w:tc>
      </w:tr>
      <w:tr w:rsidR="00EA7E88" w:rsidRPr="00B91FAE" w14:paraId="79607A6E" w14:textId="77777777" w:rsidTr="00162F52">
        <w:tc>
          <w:tcPr>
            <w:tcW w:w="816" w:type="dxa"/>
            <w:tcBorders>
              <w:top w:val="nil"/>
              <w:left w:val="nil"/>
              <w:bottom w:val="nil"/>
              <w:right w:val="nil"/>
            </w:tcBorders>
            <w:shd w:val="clear" w:color="auto" w:fill="BFBFBF" w:themeFill="background1" w:themeFillShade="BF"/>
          </w:tcPr>
          <w:p w14:paraId="1161053E"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Serial</w:t>
            </w:r>
          </w:p>
        </w:tc>
        <w:tc>
          <w:tcPr>
            <w:tcW w:w="2609" w:type="dxa"/>
            <w:tcBorders>
              <w:top w:val="nil"/>
              <w:left w:val="nil"/>
              <w:bottom w:val="nil"/>
              <w:right w:val="nil"/>
            </w:tcBorders>
            <w:shd w:val="clear" w:color="auto" w:fill="BFBFBF" w:themeFill="background1" w:themeFillShade="BF"/>
          </w:tcPr>
          <w:p w14:paraId="5212CA81"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Name</w:t>
            </w:r>
          </w:p>
        </w:tc>
        <w:tc>
          <w:tcPr>
            <w:tcW w:w="2340" w:type="dxa"/>
            <w:tcBorders>
              <w:top w:val="nil"/>
              <w:left w:val="nil"/>
              <w:bottom w:val="nil"/>
              <w:right w:val="nil"/>
            </w:tcBorders>
            <w:shd w:val="clear" w:color="auto" w:fill="BFBFBF" w:themeFill="background1" w:themeFillShade="BF"/>
          </w:tcPr>
          <w:p w14:paraId="35EF8C6F"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Position</w:t>
            </w:r>
          </w:p>
        </w:tc>
        <w:tc>
          <w:tcPr>
            <w:tcW w:w="3870" w:type="dxa"/>
            <w:tcBorders>
              <w:top w:val="nil"/>
              <w:left w:val="nil"/>
              <w:bottom w:val="nil"/>
              <w:right w:val="nil"/>
            </w:tcBorders>
            <w:shd w:val="clear" w:color="auto" w:fill="BFBFBF" w:themeFill="background1" w:themeFillShade="BF"/>
          </w:tcPr>
          <w:p w14:paraId="41EB426F" w14:textId="77777777" w:rsidR="00EA7E88" w:rsidRPr="00B91FAE" w:rsidRDefault="00EA7E88" w:rsidP="00162F52">
            <w:pPr>
              <w:rPr>
                <w:rFonts w:asciiTheme="majorBidi" w:hAnsiTheme="majorBidi" w:cstheme="majorBidi"/>
                <w:b/>
                <w:bCs/>
                <w:sz w:val="20"/>
                <w:szCs w:val="20"/>
              </w:rPr>
            </w:pPr>
            <w:r w:rsidRPr="00B91FAE">
              <w:rPr>
                <w:rFonts w:asciiTheme="majorBidi" w:hAnsiTheme="majorBidi" w:cstheme="majorBidi"/>
                <w:b/>
                <w:bCs/>
                <w:sz w:val="20"/>
                <w:szCs w:val="20"/>
              </w:rPr>
              <w:t>Assessment</w:t>
            </w:r>
          </w:p>
        </w:tc>
      </w:tr>
      <w:tr w:rsidR="00EA7E88" w:rsidRPr="00B91FAE" w14:paraId="6134985F" w14:textId="77777777" w:rsidTr="00162F52">
        <w:tc>
          <w:tcPr>
            <w:tcW w:w="816" w:type="dxa"/>
            <w:tcBorders>
              <w:top w:val="nil"/>
              <w:left w:val="nil"/>
              <w:bottom w:val="nil"/>
              <w:right w:val="nil"/>
            </w:tcBorders>
          </w:tcPr>
          <w:p w14:paraId="0545D39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w:t>
            </w:r>
          </w:p>
        </w:tc>
        <w:tc>
          <w:tcPr>
            <w:tcW w:w="2609" w:type="dxa"/>
            <w:tcBorders>
              <w:top w:val="nil"/>
              <w:left w:val="nil"/>
              <w:bottom w:val="nil"/>
              <w:right w:val="nil"/>
            </w:tcBorders>
          </w:tcPr>
          <w:p w14:paraId="62D1E9B1"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rPr>
              <w:t>Major General Abdulqalik Badr al-din al-Houthi</w:t>
            </w:r>
            <w:r w:rsidRPr="00B91FAE">
              <w:rPr>
                <w:rStyle w:val="FootnoteReference"/>
                <w:rFonts w:asciiTheme="majorBidi" w:hAnsiTheme="majorBidi" w:cstheme="majorBidi"/>
                <w:sz w:val="20"/>
                <w:szCs w:val="20"/>
              </w:rPr>
              <w:footnoteReference w:id="1664"/>
            </w:r>
          </w:p>
          <w:p w14:paraId="29FF15DA"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اللواء عبدالخالق بدرالدين الحوثي</w:t>
            </w:r>
          </w:p>
        </w:tc>
        <w:tc>
          <w:tcPr>
            <w:tcW w:w="2340" w:type="dxa"/>
            <w:tcBorders>
              <w:top w:val="nil"/>
              <w:left w:val="nil"/>
              <w:bottom w:val="nil"/>
              <w:right w:val="nil"/>
            </w:tcBorders>
          </w:tcPr>
          <w:p w14:paraId="39F60AE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Commander of Special Forces</w:t>
            </w:r>
            <w:r w:rsidRPr="00B91FAE">
              <w:rPr>
                <w:rStyle w:val="FootnoteReference"/>
                <w:rFonts w:asciiTheme="majorBidi" w:hAnsiTheme="majorBidi" w:cstheme="majorBidi"/>
                <w:sz w:val="20"/>
                <w:szCs w:val="20"/>
              </w:rPr>
              <w:t xml:space="preserve"> </w:t>
            </w:r>
            <w:r w:rsidRPr="00B91FAE">
              <w:rPr>
                <w:rFonts w:asciiTheme="majorBidi" w:hAnsiTheme="majorBidi" w:cstheme="majorBidi"/>
                <w:sz w:val="20"/>
                <w:szCs w:val="20"/>
              </w:rPr>
              <w:t>and  Republican Guard</w:t>
            </w:r>
            <w:r w:rsidRPr="00B91FAE">
              <w:rPr>
                <w:rStyle w:val="FootnoteReference"/>
                <w:rFonts w:asciiTheme="majorBidi" w:hAnsiTheme="majorBidi" w:cstheme="majorBidi"/>
                <w:sz w:val="20"/>
                <w:szCs w:val="20"/>
              </w:rPr>
              <w:footnoteReference w:id="1665"/>
            </w:r>
            <w:r w:rsidRPr="00B91FAE">
              <w:rPr>
                <w:rFonts w:asciiTheme="majorBidi" w:hAnsiTheme="majorBidi" w:cstheme="majorBidi"/>
                <w:sz w:val="20"/>
                <w:szCs w:val="20"/>
              </w:rPr>
              <w:t xml:space="preserve"> </w:t>
            </w:r>
          </w:p>
          <w:p w14:paraId="2F0D67C2"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30525285"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498CBDAA" w14:textId="77777777" w:rsidTr="00162F52">
        <w:tc>
          <w:tcPr>
            <w:tcW w:w="816" w:type="dxa"/>
            <w:tcBorders>
              <w:top w:val="nil"/>
              <w:left w:val="nil"/>
              <w:bottom w:val="nil"/>
              <w:right w:val="nil"/>
            </w:tcBorders>
          </w:tcPr>
          <w:p w14:paraId="39C66F78"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2</w:t>
            </w:r>
          </w:p>
        </w:tc>
        <w:tc>
          <w:tcPr>
            <w:tcW w:w="2609" w:type="dxa"/>
            <w:tcBorders>
              <w:top w:val="nil"/>
              <w:left w:val="nil"/>
              <w:bottom w:val="nil"/>
              <w:right w:val="nil"/>
            </w:tcBorders>
          </w:tcPr>
          <w:p w14:paraId="0CAF2B35"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Major General Yusif al-Madani</w:t>
            </w:r>
          </w:p>
          <w:p w14:paraId="3719573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اللواء يوسف المداني</w:t>
            </w:r>
          </w:p>
          <w:p w14:paraId="62338CFB"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EB45545" w14:textId="77777777" w:rsidR="00EA7E88" w:rsidRPr="00B91FAE" w:rsidRDefault="00EA7E88" w:rsidP="00162F52">
            <w:pPr>
              <w:rPr>
                <w:rFonts w:asciiTheme="majorBidi" w:hAnsiTheme="majorBidi" w:cstheme="majorBidi"/>
                <w:sz w:val="20"/>
                <w:szCs w:val="20"/>
                <w:lang w:val="en-US" w:bidi="ar-JO"/>
              </w:rPr>
            </w:pPr>
            <w:r w:rsidRPr="00B91FAE">
              <w:rPr>
                <w:rFonts w:asciiTheme="majorBidi" w:hAnsiTheme="majorBidi" w:cstheme="majorBidi"/>
                <w:sz w:val="20"/>
                <w:szCs w:val="20"/>
                <w:lang w:bidi="ar-JO"/>
              </w:rPr>
              <w:t>5th  military district commander</w:t>
            </w:r>
            <w:r w:rsidRPr="00B91FAE">
              <w:rPr>
                <w:rStyle w:val="FootnoteReference"/>
                <w:rFonts w:asciiTheme="majorBidi" w:hAnsiTheme="majorBidi" w:cstheme="majorBidi"/>
                <w:sz w:val="20"/>
                <w:szCs w:val="20"/>
                <w:lang w:bidi="ar-JO"/>
              </w:rPr>
              <w:footnoteReference w:id="1666"/>
            </w:r>
          </w:p>
          <w:p w14:paraId="17381AF9" w14:textId="77777777" w:rsidR="00EA7E88" w:rsidRPr="00B91FAE" w:rsidRDefault="00EA7E88" w:rsidP="00162F52">
            <w:pPr>
              <w:rPr>
                <w:rFonts w:asciiTheme="majorBidi" w:hAnsiTheme="majorBidi" w:cstheme="majorBidi"/>
                <w:sz w:val="20"/>
                <w:szCs w:val="20"/>
                <w:rtl/>
                <w:lang w:bidi="ar-JO"/>
              </w:rPr>
            </w:pPr>
          </w:p>
        </w:tc>
        <w:tc>
          <w:tcPr>
            <w:tcW w:w="3870" w:type="dxa"/>
            <w:tcBorders>
              <w:top w:val="nil"/>
              <w:left w:val="nil"/>
              <w:bottom w:val="nil"/>
              <w:right w:val="nil"/>
            </w:tcBorders>
          </w:tcPr>
          <w:p w14:paraId="5E6F934E"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7972F0C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April 2017</w:t>
            </w:r>
          </w:p>
        </w:tc>
      </w:tr>
      <w:tr w:rsidR="00EA7E88" w:rsidRPr="00B91FAE" w14:paraId="17BBACE5" w14:textId="77777777" w:rsidTr="00162F52">
        <w:tc>
          <w:tcPr>
            <w:tcW w:w="816" w:type="dxa"/>
            <w:tcBorders>
              <w:top w:val="nil"/>
              <w:left w:val="nil"/>
              <w:bottom w:val="nil"/>
              <w:right w:val="nil"/>
            </w:tcBorders>
          </w:tcPr>
          <w:p w14:paraId="375510D4"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3</w:t>
            </w:r>
          </w:p>
        </w:tc>
        <w:tc>
          <w:tcPr>
            <w:tcW w:w="2609" w:type="dxa"/>
            <w:tcBorders>
              <w:top w:val="nil"/>
              <w:left w:val="nil"/>
              <w:bottom w:val="nil"/>
              <w:right w:val="nil"/>
            </w:tcBorders>
          </w:tcPr>
          <w:p w14:paraId="55736856"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Hadi Mohammed al-Kouhlani Abu Ali</w:t>
            </w:r>
          </w:p>
          <w:p w14:paraId="4776847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هادي محمد الكحلاني الملقب ابو علي</w:t>
            </w:r>
          </w:p>
        </w:tc>
        <w:tc>
          <w:tcPr>
            <w:tcW w:w="2340" w:type="dxa"/>
            <w:tcBorders>
              <w:top w:val="nil"/>
              <w:left w:val="nil"/>
              <w:bottom w:val="nil"/>
              <w:right w:val="nil"/>
            </w:tcBorders>
          </w:tcPr>
          <w:p w14:paraId="28C5495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security supervisor</w:t>
            </w:r>
            <w:r w:rsidRPr="00B91FAE">
              <w:rPr>
                <w:rStyle w:val="FootnoteReference"/>
                <w:rFonts w:asciiTheme="majorBidi" w:hAnsiTheme="majorBidi" w:cstheme="majorBidi"/>
                <w:sz w:val="20"/>
                <w:szCs w:val="20"/>
              </w:rPr>
              <w:footnoteReference w:id="1667"/>
            </w:r>
          </w:p>
        </w:tc>
        <w:tc>
          <w:tcPr>
            <w:tcW w:w="3870" w:type="dxa"/>
            <w:tcBorders>
              <w:top w:val="nil"/>
              <w:left w:val="nil"/>
              <w:bottom w:val="nil"/>
              <w:right w:val="nil"/>
            </w:tcBorders>
          </w:tcPr>
          <w:p w14:paraId="339B3C3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6562BB6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al-Kouhlani is alleged to be the former bodyguard and protection officer of Abdul Malik al-Houthi</w:t>
            </w:r>
          </w:p>
        </w:tc>
      </w:tr>
      <w:tr w:rsidR="00EA7E88" w:rsidRPr="00B91FAE" w14:paraId="116B09E8" w14:textId="77777777" w:rsidTr="00162F52">
        <w:tc>
          <w:tcPr>
            <w:tcW w:w="816" w:type="dxa"/>
            <w:tcBorders>
              <w:top w:val="nil"/>
              <w:left w:val="nil"/>
              <w:bottom w:val="nil"/>
              <w:right w:val="nil"/>
            </w:tcBorders>
          </w:tcPr>
          <w:p w14:paraId="15E47E33"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4</w:t>
            </w:r>
          </w:p>
        </w:tc>
        <w:tc>
          <w:tcPr>
            <w:tcW w:w="2609" w:type="dxa"/>
            <w:tcBorders>
              <w:top w:val="nil"/>
              <w:left w:val="nil"/>
              <w:bottom w:val="nil"/>
              <w:right w:val="nil"/>
            </w:tcBorders>
          </w:tcPr>
          <w:p w14:paraId="79CA160F"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Brigadier General  Ali Ibrahim al-Mutawakel</w:t>
            </w:r>
            <w:r w:rsidRPr="00B91FAE">
              <w:rPr>
                <w:rStyle w:val="FootnoteReference"/>
                <w:rFonts w:asciiTheme="majorBidi" w:hAnsiTheme="majorBidi" w:cstheme="majorBidi"/>
                <w:sz w:val="20"/>
                <w:szCs w:val="20"/>
              </w:rPr>
              <w:footnoteReference w:id="1668"/>
            </w:r>
          </w:p>
          <w:p w14:paraId="58BD2BBE"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العميد علي ابراهيم المتوكل</w:t>
            </w:r>
          </w:p>
          <w:p w14:paraId="6C44003F"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07CA642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Military leader</w:t>
            </w:r>
          </w:p>
        </w:tc>
        <w:tc>
          <w:tcPr>
            <w:tcW w:w="3870" w:type="dxa"/>
            <w:tcBorders>
              <w:top w:val="nil"/>
              <w:left w:val="nil"/>
              <w:bottom w:val="nil"/>
              <w:right w:val="nil"/>
            </w:tcBorders>
          </w:tcPr>
          <w:p w14:paraId="7A70078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 airport.</w:t>
            </w:r>
          </w:p>
          <w:p w14:paraId="36DE8397"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likely killed in June 2018</w:t>
            </w:r>
          </w:p>
        </w:tc>
      </w:tr>
      <w:tr w:rsidR="00EA7E88" w:rsidRPr="00B91FAE" w14:paraId="4FA1A171" w14:textId="77777777" w:rsidTr="00162F52">
        <w:tc>
          <w:tcPr>
            <w:tcW w:w="816" w:type="dxa"/>
            <w:tcBorders>
              <w:top w:val="nil"/>
              <w:left w:val="nil"/>
              <w:bottom w:val="nil"/>
              <w:right w:val="nil"/>
            </w:tcBorders>
          </w:tcPr>
          <w:p w14:paraId="5267B8C9"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5</w:t>
            </w:r>
          </w:p>
        </w:tc>
        <w:tc>
          <w:tcPr>
            <w:tcW w:w="2609" w:type="dxa"/>
            <w:tcBorders>
              <w:top w:val="nil"/>
              <w:left w:val="nil"/>
              <w:bottom w:val="nil"/>
              <w:right w:val="nil"/>
            </w:tcBorders>
          </w:tcPr>
          <w:p w14:paraId="7028D700" w14:textId="77777777" w:rsidR="00EA7E88" w:rsidRPr="00B91FAE" w:rsidRDefault="00EA7E88" w:rsidP="00162F52">
            <w:pPr>
              <w:rPr>
                <w:rFonts w:asciiTheme="majorBidi" w:hAnsiTheme="majorBidi" w:cstheme="majorBidi"/>
                <w:sz w:val="20"/>
                <w:szCs w:val="20"/>
                <w:rtl/>
              </w:rPr>
            </w:pPr>
            <w:r w:rsidRPr="00A1624A">
              <w:rPr>
                <w:rFonts w:asciiTheme="majorBidi" w:hAnsiTheme="majorBidi" w:cstheme="majorBidi"/>
                <w:sz w:val="20"/>
                <w:szCs w:val="20"/>
                <w:lang w:val="es-ES"/>
              </w:rPr>
              <w:t>Ali Hassan al-Marani, aka Abu Muntather</w:t>
            </w:r>
            <w:r w:rsidRPr="00B91FAE">
              <w:rPr>
                <w:rStyle w:val="FootnoteReference"/>
                <w:rFonts w:asciiTheme="majorBidi" w:hAnsiTheme="majorBidi" w:cstheme="majorBidi"/>
                <w:sz w:val="20"/>
                <w:szCs w:val="20"/>
              </w:rPr>
              <w:footnoteReference w:id="1669"/>
            </w:r>
            <w:r w:rsidRPr="00A1624A">
              <w:rPr>
                <w:rFonts w:asciiTheme="majorBidi" w:hAnsiTheme="majorBidi" w:cstheme="majorBidi"/>
                <w:sz w:val="20"/>
                <w:szCs w:val="20"/>
                <w:lang w:val="es-ES"/>
              </w:rPr>
              <w:t xml:space="preserve"> </w:t>
            </w:r>
          </w:p>
          <w:p w14:paraId="69CD0EF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tl/>
              </w:rPr>
              <w:t>علي حسن المراني الملقب ابو منتظ</w:t>
            </w:r>
          </w:p>
          <w:p w14:paraId="7AC4E0A4"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tl/>
              </w:rPr>
              <w:t>ر</w:t>
            </w:r>
          </w:p>
          <w:p w14:paraId="6DEAE085" w14:textId="77777777" w:rsidR="00EA7E88" w:rsidRPr="00B91FAE" w:rsidRDefault="00EA7E88" w:rsidP="00162F52">
            <w:pPr>
              <w:rPr>
                <w:rFonts w:asciiTheme="majorBidi" w:hAnsiTheme="majorBidi" w:cstheme="majorBidi"/>
                <w:sz w:val="20"/>
                <w:szCs w:val="20"/>
              </w:rPr>
            </w:pPr>
          </w:p>
        </w:tc>
        <w:tc>
          <w:tcPr>
            <w:tcW w:w="2340" w:type="dxa"/>
            <w:tcBorders>
              <w:top w:val="nil"/>
              <w:left w:val="nil"/>
              <w:bottom w:val="nil"/>
              <w:right w:val="nil"/>
            </w:tcBorders>
          </w:tcPr>
          <w:p w14:paraId="66B452B6"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Supervisor</w:t>
            </w:r>
          </w:p>
        </w:tc>
        <w:tc>
          <w:tcPr>
            <w:tcW w:w="3870" w:type="dxa"/>
            <w:tcBorders>
              <w:top w:val="nil"/>
              <w:left w:val="nil"/>
              <w:bottom w:val="nil"/>
              <w:right w:val="nil"/>
            </w:tcBorders>
          </w:tcPr>
          <w:p w14:paraId="2ED60ED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West coast</w:t>
            </w:r>
          </w:p>
          <w:p w14:paraId="65036E0C"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Likely killed in June 2018</w:t>
            </w:r>
          </w:p>
        </w:tc>
      </w:tr>
      <w:tr w:rsidR="00EA7E88" w:rsidRPr="00B91FAE" w14:paraId="0C2F0336" w14:textId="77777777" w:rsidTr="00162F52">
        <w:tc>
          <w:tcPr>
            <w:tcW w:w="816" w:type="dxa"/>
            <w:tcBorders>
              <w:top w:val="nil"/>
              <w:left w:val="nil"/>
              <w:bottom w:val="nil"/>
              <w:right w:val="nil"/>
            </w:tcBorders>
          </w:tcPr>
          <w:p w14:paraId="06BB5926"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lastRenderedPageBreak/>
              <w:t>6</w:t>
            </w:r>
          </w:p>
        </w:tc>
        <w:tc>
          <w:tcPr>
            <w:tcW w:w="2609" w:type="dxa"/>
            <w:tcBorders>
              <w:top w:val="nil"/>
              <w:left w:val="nil"/>
              <w:bottom w:val="nil"/>
              <w:right w:val="nil"/>
            </w:tcBorders>
          </w:tcPr>
          <w:p w14:paraId="5C57CC43"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Hamair Ibrahim Arij aka Ibrahim Adhabo</w:t>
            </w:r>
            <w:r w:rsidRPr="00B91FAE">
              <w:rPr>
                <w:rStyle w:val="FootnoteReference"/>
                <w:rFonts w:asciiTheme="majorBidi" w:hAnsiTheme="majorBidi" w:cstheme="majorBidi"/>
                <w:sz w:val="20"/>
                <w:szCs w:val="20"/>
              </w:rPr>
              <w:footnoteReference w:id="1670"/>
            </w:r>
          </w:p>
          <w:p w14:paraId="2F440ECB"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rtl/>
                <w:lang w:val="en-US"/>
              </w:rPr>
              <w:t>حمير إبراهيم عريك والملقب (ابراهيم عذابو)</w:t>
            </w:r>
          </w:p>
          <w:p w14:paraId="60F83D2A" w14:textId="77777777" w:rsidR="00EA7E88" w:rsidRPr="00B91FAE" w:rsidRDefault="00EA7E88" w:rsidP="00162F52">
            <w:pPr>
              <w:rPr>
                <w:rFonts w:asciiTheme="majorBidi" w:hAnsiTheme="majorBidi" w:cstheme="majorBidi"/>
                <w:sz w:val="20"/>
                <w:szCs w:val="20"/>
                <w:lang w:val="en-US"/>
              </w:rPr>
            </w:pPr>
          </w:p>
        </w:tc>
        <w:tc>
          <w:tcPr>
            <w:tcW w:w="2340" w:type="dxa"/>
            <w:tcBorders>
              <w:top w:val="nil"/>
              <w:left w:val="nil"/>
              <w:bottom w:val="nil"/>
              <w:right w:val="nil"/>
            </w:tcBorders>
          </w:tcPr>
          <w:p w14:paraId="2E4F4FAC" w14:textId="77777777" w:rsidR="00EA7E88" w:rsidRPr="00B91FAE" w:rsidRDefault="00EA7E88" w:rsidP="00162F52">
            <w:pPr>
              <w:rPr>
                <w:rFonts w:asciiTheme="majorBidi" w:hAnsiTheme="majorBidi" w:cstheme="majorBidi"/>
                <w:sz w:val="20"/>
                <w:szCs w:val="20"/>
                <w:lang w:val="en-US"/>
              </w:rPr>
            </w:pPr>
            <w:r w:rsidRPr="00B91FAE">
              <w:rPr>
                <w:rFonts w:asciiTheme="majorBidi" w:hAnsiTheme="majorBidi" w:cstheme="majorBidi"/>
                <w:sz w:val="20"/>
                <w:szCs w:val="20"/>
                <w:lang w:val="en-US"/>
              </w:rPr>
              <w:t>Houthi leader</w:t>
            </w:r>
          </w:p>
        </w:tc>
        <w:tc>
          <w:tcPr>
            <w:tcW w:w="3870" w:type="dxa"/>
            <w:tcBorders>
              <w:top w:val="nil"/>
              <w:left w:val="nil"/>
              <w:bottom w:val="nil"/>
              <w:right w:val="nil"/>
            </w:tcBorders>
          </w:tcPr>
          <w:p w14:paraId="33B0440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tc>
      </w:tr>
      <w:tr w:rsidR="00EA7E88" w:rsidRPr="00B91FAE" w14:paraId="4D420E18" w14:textId="77777777" w:rsidTr="00162F52">
        <w:tc>
          <w:tcPr>
            <w:tcW w:w="816" w:type="dxa"/>
            <w:tcBorders>
              <w:top w:val="nil"/>
              <w:left w:val="nil"/>
              <w:bottom w:val="nil"/>
              <w:right w:val="nil"/>
            </w:tcBorders>
          </w:tcPr>
          <w:p w14:paraId="029ADE5A"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7</w:t>
            </w:r>
          </w:p>
        </w:tc>
        <w:tc>
          <w:tcPr>
            <w:tcW w:w="2609" w:type="dxa"/>
            <w:tcBorders>
              <w:top w:val="nil"/>
              <w:left w:val="nil"/>
              <w:bottom w:val="nil"/>
              <w:right w:val="nil"/>
            </w:tcBorders>
          </w:tcPr>
          <w:p w14:paraId="0A50CAD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Mohammed Ayash Qahim</w:t>
            </w:r>
          </w:p>
          <w:p w14:paraId="58831B3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محمد عياش قحيم</w:t>
            </w:r>
          </w:p>
          <w:p w14:paraId="38B6D2ED" w14:textId="77777777" w:rsidR="00EA7E88" w:rsidRPr="00B91FAE" w:rsidRDefault="00EA7E88" w:rsidP="00162F52">
            <w:pPr>
              <w:rPr>
                <w:rFonts w:asciiTheme="majorBidi" w:hAnsiTheme="majorBidi" w:cstheme="majorBidi"/>
                <w:sz w:val="20"/>
                <w:szCs w:val="20"/>
                <w:lang w:bidi="ar-JO"/>
              </w:rPr>
            </w:pPr>
          </w:p>
          <w:p w14:paraId="58C69820" w14:textId="77777777" w:rsidR="00EA7E88" w:rsidRPr="00B91FAE" w:rsidRDefault="00EA7E88" w:rsidP="00162F52">
            <w:pPr>
              <w:rPr>
                <w:rFonts w:asciiTheme="majorBidi" w:hAnsiTheme="majorBidi" w:cstheme="majorBidi"/>
                <w:sz w:val="20"/>
                <w:szCs w:val="20"/>
                <w:lang w:bidi="ar-JO"/>
              </w:rPr>
            </w:pPr>
          </w:p>
          <w:p w14:paraId="55C6EF25" w14:textId="77777777" w:rsidR="00EA7E88" w:rsidRPr="00B91FAE" w:rsidRDefault="00EA7E88" w:rsidP="00162F52">
            <w:pPr>
              <w:rPr>
                <w:rFonts w:asciiTheme="majorBidi" w:hAnsiTheme="majorBidi" w:cstheme="majorBidi"/>
                <w:sz w:val="20"/>
                <w:szCs w:val="20"/>
                <w:lang w:bidi="ar-JO"/>
              </w:rPr>
            </w:pPr>
          </w:p>
          <w:p w14:paraId="4BD15162" w14:textId="77777777" w:rsidR="00EA7E88" w:rsidRPr="00B91FAE" w:rsidRDefault="00EA7E88" w:rsidP="00162F52">
            <w:pPr>
              <w:rPr>
                <w:rFonts w:asciiTheme="majorBidi" w:hAnsiTheme="majorBidi" w:cstheme="majorBidi"/>
                <w:sz w:val="20"/>
                <w:szCs w:val="20"/>
                <w:rtl/>
                <w:lang w:bidi="ar-JO"/>
              </w:rPr>
            </w:pPr>
          </w:p>
        </w:tc>
        <w:tc>
          <w:tcPr>
            <w:tcW w:w="2340" w:type="dxa"/>
            <w:tcBorders>
              <w:top w:val="nil"/>
              <w:left w:val="nil"/>
              <w:bottom w:val="nil"/>
              <w:right w:val="nil"/>
            </w:tcBorders>
          </w:tcPr>
          <w:p w14:paraId="382BE881"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Governor</w:t>
            </w:r>
          </w:p>
        </w:tc>
        <w:tc>
          <w:tcPr>
            <w:tcW w:w="3870" w:type="dxa"/>
            <w:tcBorders>
              <w:top w:val="nil"/>
              <w:left w:val="nil"/>
              <w:bottom w:val="nil"/>
              <w:right w:val="nil"/>
            </w:tcBorders>
          </w:tcPr>
          <w:p w14:paraId="078376C8"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Al-Hudaydah</w:t>
            </w:r>
          </w:p>
          <w:p w14:paraId="597088EF"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Replaced al-Hassan Haij</w:t>
            </w:r>
            <w:r w:rsidRPr="00B91FAE">
              <w:rPr>
                <w:rStyle w:val="FootnoteReference"/>
                <w:rFonts w:asciiTheme="majorBidi" w:hAnsiTheme="majorBidi" w:cstheme="majorBidi"/>
                <w:sz w:val="20"/>
                <w:szCs w:val="20"/>
              </w:rPr>
              <w:footnoteReference w:id="1671"/>
            </w:r>
          </w:p>
        </w:tc>
      </w:tr>
      <w:tr w:rsidR="00EA7E88" w:rsidRPr="00B91FAE" w14:paraId="4699179F" w14:textId="77777777" w:rsidTr="00162F52">
        <w:tc>
          <w:tcPr>
            <w:tcW w:w="816" w:type="dxa"/>
            <w:tcBorders>
              <w:top w:val="nil"/>
              <w:left w:val="nil"/>
              <w:bottom w:val="nil"/>
              <w:right w:val="nil"/>
            </w:tcBorders>
          </w:tcPr>
          <w:p w14:paraId="7A237D51"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8</w:t>
            </w:r>
          </w:p>
        </w:tc>
        <w:tc>
          <w:tcPr>
            <w:tcW w:w="2609" w:type="dxa"/>
            <w:tcBorders>
              <w:top w:val="nil"/>
              <w:left w:val="nil"/>
              <w:bottom w:val="nil"/>
              <w:right w:val="nil"/>
            </w:tcBorders>
          </w:tcPr>
          <w:p w14:paraId="3E8B7B05" w14:textId="77777777" w:rsidR="00EA7E88" w:rsidRPr="00B91FAE" w:rsidRDefault="00EA7E88" w:rsidP="00162F52">
            <w:pPr>
              <w:rPr>
                <w:rFonts w:asciiTheme="majorBidi" w:hAnsiTheme="majorBidi" w:cstheme="majorBidi"/>
                <w:sz w:val="20"/>
                <w:szCs w:val="20"/>
                <w:rtl/>
                <w:lang w:bidi="ar-JO"/>
              </w:rPr>
            </w:pPr>
            <w:r w:rsidRPr="00B91FAE">
              <w:rPr>
                <w:rFonts w:asciiTheme="majorBidi" w:hAnsiTheme="majorBidi" w:cstheme="majorBidi"/>
                <w:sz w:val="20"/>
                <w:szCs w:val="20"/>
                <w:lang w:bidi="ar-JO"/>
              </w:rPr>
              <w:t>Major General Said Muhammad al-Hariri</w:t>
            </w:r>
          </w:p>
          <w:p w14:paraId="07FB4C8E"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 xml:space="preserve">سعيد محمد الحريري </w:t>
            </w:r>
          </w:p>
          <w:p w14:paraId="4EB49FFA" w14:textId="77777777" w:rsidR="00EA7E88" w:rsidRPr="00B91FAE" w:rsidRDefault="00EA7E88" w:rsidP="00162F52">
            <w:pPr>
              <w:rPr>
                <w:rFonts w:asciiTheme="majorBidi" w:hAnsiTheme="majorBidi" w:cstheme="majorBidi"/>
                <w:sz w:val="20"/>
                <w:szCs w:val="20"/>
                <w:lang w:bidi="ar-JO"/>
              </w:rPr>
            </w:pPr>
          </w:p>
          <w:p w14:paraId="026A2319" w14:textId="77777777" w:rsidR="00EA7E88" w:rsidRPr="00B91FAE" w:rsidRDefault="00EA7E88" w:rsidP="00162F52">
            <w:pPr>
              <w:rPr>
                <w:rFonts w:asciiTheme="majorBidi" w:hAnsiTheme="majorBidi" w:cstheme="majorBidi"/>
                <w:color w:val="FF0000"/>
                <w:sz w:val="20"/>
                <w:szCs w:val="20"/>
                <w:lang w:bidi="ar-JO"/>
              </w:rPr>
            </w:pPr>
          </w:p>
        </w:tc>
        <w:tc>
          <w:tcPr>
            <w:tcW w:w="2340" w:type="dxa"/>
            <w:tcBorders>
              <w:top w:val="nil"/>
              <w:left w:val="nil"/>
              <w:bottom w:val="nil"/>
              <w:right w:val="nil"/>
            </w:tcBorders>
          </w:tcPr>
          <w:p w14:paraId="3CD1316D" w14:textId="77777777" w:rsidR="00EA7E88" w:rsidRPr="00B91FAE" w:rsidRDefault="00EA7E88" w:rsidP="00162F52">
            <w:pPr>
              <w:rPr>
                <w:rFonts w:asciiTheme="majorBidi" w:hAnsiTheme="majorBidi" w:cstheme="majorBidi"/>
                <w:color w:val="FF0000"/>
                <w:sz w:val="20"/>
                <w:szCs w:val="20"/>
              </w:rPr>
            </w:pPr>
            <w:r w:rsidRPr="00B91FAE">
              <w:rPr>
                <w:rFonts w:asciiTheme="majorBidi" w:hAnsiTheme="majorBidi" w:cstheme="majorBidi"/>
                <w:sz w:val="20"/>
                <w:szCs w:val="20"/>
              </w:rPr>
              <w:t>5</w:t>
            </w:r>
            <w:r w:rsidRPr="00B91FAE">
              <w:rPr>
                <w:rFonts w:asciiTheme="majorBidi" w:hAnsiTheme="majorBidi" w:cstheme="majorBidi"/>
                <w:sz w:val="20"/>
                <w:szCs w:val="20"/>
                <w:vertAlign w:val="superscript"/>
              </w:rPr>
              <w:t>th</w:t>
            </w:r>
            <w:r w:rsidRPr="00B91FAE">
              <w:rPr>
                <w:rFonts w:asciiTheme="majorBidi" w:hAnsiTheme="majorBidi" w:cstheme="majorBidi"/>
                <w:sz w:val="20"/>
                <w:szCs w:val="20"/>
              </w:rPr>
              <w:t xml:space="preserve"> military district</w:t>
            </w:r>
            <w:r w:rsidRPr="00B91FAE">
              <w:rPr>
                <w:rStyle w:val="FootnoteReference"/>
                <w:rFonts w:asciiTheme="majorBidi" w:hAnsiTheme="majorBidi" w:cstheme="majorBidi"/>
                <w:sz w:val="20"/>
                <w:szCs w:val="20"/>
              </w:rPr>
              <w:footnoteReference w:id="1672"/>
            </w:r>
          </w:p>
        </w:tc>
        <w:tc>
          <w:tcPr>
            <w:tcW w:w="3870" w:type="dxa"/>
            <w:tcBorders>
              <w:top w:val="nil"/>
              <w:left w:val="nil"/>
              <w:bottom w:val="nil"/>
              <w:right w:val="nil"/>
            </w:tcBorders>
          </w:tcPr>
          <w:p w14:paraId="4061F70B" w14:textId="77777777" w:rsidR="00EA7E88" w:rsidRPr="00B91FAE" w:rsidRDefault="00EA7E88" w:rsidP="00162F52">
            <w:pPr>
              <w:rPr>
                <w:rFonts w:asciiTheme="majorBidi" w:hAnsiTheme="majorBidi" w:cstheme="majorBidi"/>
                <w:sz w:val="20"/>
                <w:szCs w:val="20"/>
                <w:rtl/>
              </w:rPr>
            </w:pPr>
            <w:r w:rsidRPr="00B91FAE">
              <w:rPr>
                <w:rFonts w:asciiTheme="majorBidi" w:hAnsiTheme="majorBidi" w:cstheme="majorBidi"/>
                <w:sz w:val="20"/>
                <w:szCs w:val="20"/>
              </w:rPr>
              <w:t>Al-Hudaydah</w:t>
            </w:r>
          </w:p>
          <w:p w14:paraId="094F46AD"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Now fighting in al-Dhale’e</w:t>
            </w:r>
          </w:p>
          <w:p w14:paraId="415720FB"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Also responsible for military intelligence </w:t>
            </w:r>
          </w:p>
        </w:tc>
      </w:tr>
      <w:tr w:rsidR="00EA7E88" w:rsidRPr="00B91FAE" w14:paraId="1C82E346" w14:textId="77777777" w:rsidTr="00162F52">
        <w:tc>
          <w:tcPr>
            <w:tcW w:w="816" w:type="dxa"/>
            <w:tcBorders>
              <w:top w:val="nil"/>
              <w:left w:val="nil"/>
              <w:bottom w:val="nil"/>
              <w:right w:val="nil"/>
            </w:tcBorders>
          </w:tcPr>
          <w:p w14:paraId="7A2C11D0"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tl/>
              </w:rPr>
              <w:t>9</w:t>
            </w:r>
          </w:p>
        </w:tc>
        <w:tc>
          <w:tcPr>
            <w:tcW w:w="2609" w:type="dxa"/>
            <w:tcBorders>
              <w:top w:val="nil"/>
              <w:left w:val="nil"/>
              <w:bottom w:val="nil"/>
              <w:right w:val="nil"/>
            </w:tcBorders>
          </w:tcPr>
          <w:p w14:paraId="07B45DB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Brigadier General Riad Salah Baldhi</w:t>
            </w:r>
          </w:p>
          <w:p w14:paraId="2D7BE06A"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rtl/>
                <w:lang w:bidi="ar-JO"/>
              </w:rPr>
              <w:t>العميد رياض صلاح بالذي</w:t>
            </w:r>
          </w:p>
          <w:p w14:paraId="045D1F6C" w14:textId="77777777" w:rsidR="00EA7E88" w:rsidRPr="00B91FAE" w:rsidRDefault="00EA7E88" w:rsidP="00162F52">
            <w:pPr>
              <w:rPr>
                <w:rFonts w:asciiTheme="majorBidi" w:hAnsiTheme="majorBidi" w:cstheme="majorBidi"/>
                <w:sz w:val="20"/>
                <w:szCs w:val="20"/>
                <w:lang w:bidi="ar-JO"/>
              </w:rPr>
            </w:pPr>
          </w:p>
          <w:p w14:paraId="038B2EB5" w14:textId="77777777" w:rsidR="00EA7E88" w:rsidRPr="00B91FAE" w:rsidRDefault="00EA7E88" w:rsidP="00162F52">
            <w:pPr>
              <w:rPr>
                <w:rFonts w:asciiTheme="majorBidi" w:hAnsiTheme="majorBidi" w:cstheme="majorBidi"/>
                <w:sz w:val="20"/>
                <w:szCs w:val="20"/>
                <w:lang w:bidi="ar-JO"/>
              </w:rPr>
            </w:pPr>
          </w:p>
          <w:p w14:paraId="0D8B7946" w14:textId="77777777" w:rsidR="00EA7E88" w:rsidRPr="00B91FAE" w:rsidRDefault="00EA7E88" w:rsidP="00162F52">
            <w:pPr>
              <w:rPr>
                <w:rFonts w:asciiTheme="majorBidi" w:hAnsiTheme="majorBidi" w:cstheme="majorBidi"/>
                <w:sz w:val="20"/>
                <w:szCs w:val="20"/>
                <w:lang w:bidi="ar-JO"/>
              </w:rPr>
            </w:pPr>
          </w:p>
          <w:p w14:paraId="3AB829A7"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 </w:t>
            </w:r>
          </w:p>
        </w:tc>
        <w:tc>
          <w:tcPr>
            <w:tcW w:w="2340" w:type="dxa"/>
            <w:tcBorders>
              <w:top w:val="nil"/>
              <w:left w:val="nil"/>
              <w:bottom w:val="nil"/>
              <w:right w:val="nil"/>
            </w:tcBorders>
          </w:tcPr>
          <w:p w14:paraId="4622C07D"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Director of Military Intelligence</w:t>
            </w:r>
            <w:r w:rsidRPr="00B91FAE">
              <w:rPr>
                <w:rStyle w:val="FootnoteReference"/>
                <w:rFonts w:asciiTheme="majorBidi" w:hAnsiTheme="majorBidi" w:cstheme="majorBidi"/>
                <w:sz w:val="20"/>
                <w:szCs w:val="20"/>
                <w:lang w:bidi="ar-JO"/>
              </w:rPr>
              <w:footnoteReference w:id="1673"/>
            </w:r>
          </w:p>
        </w:tc>
        <w:tc>
          <w:tcPr>
            <w:tcW w:w="3870" w:type="dxa"/>
            <w:tcBorders>
              <w:top w:val="nil"/>
              <w:left w:val="nil"/>
              <w:bottom w:val="nil"/>
              <w:right w:val="nil"/>
            </w:tcBorders>
          </w:tcPr>
          <w:p w14:paraId="3E3F4690" w14:textId="77777777" w:rsidR="00EA7E88" w:rsidRPr="00B91FAE" w:rsidRDefault="00EA7E88" w:rsidP="00162F52">
            <w:pPr>
              <w:rPr>
                <w:rFonts w:asciiTheme="majorBidi" w:hAnsiTheme="majorBidi" w:cstheme="majorBidi"/>
                <w:sz w:val="20"/>
                <w:szCs w:val="20"/>
              </w:rPr>
            </w:pPr>
          </w:p>
        </w:tc>
      </w:tr>
      <w:tr w:rsidR="00EA7E88" w:rsidRPr="00B91FAE" w14:paraId="687086BA" w14:textId="77777777" w:rsidTr="00162F52">
        <w:tc>
          <w:tcPr>
            <w:tcW w:w="816" w:type="dxa"/>
            <w:tcBorders>
              <w:top w:val="nil"/>
              <w:left w:val="nil"/>
              <w:bottom w:val="nil"/>
              <w:right w:val="nil"/>
            </w:tcBorders>
          </w:tcPr>
          <w:p w14:paraId="6455A98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10</w:t>
            </w:r>
          </w:p>
        </w:tc>
        <w:tc>
          <w:tcPr>
            <w:tcW w:w="2609" w:type="dxa"/>
            <w:tcBorders>
              <w:top w:val="nil"/>
              <w:left w:val="nil"/>
              <w:bottom w:val="nil"/>
              <w:right w:val="nil"/>
            </w:tcBorders>
          </w:tcPr>
          <w:p w14:paraId="45567E1C"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Khaled al-Jaaq</w:t>
            </w:r>
            <w:r w:rsidRPr="00B91FAE">
              <w:rPr>
                <w:rStyle w:val="FootnoteReference"/>
                <w:rFonts w:asciiTheme="majorBidi" w:hAnsiTheme="majorBidi" w:cstheme="majorBidi"/>
                <w:sz w:val="20"/>
                <w:szCs w:val="20"/>
                <w:lang w:bidi="ar-JO"/>
              </w:rPr>
              <w:footnoteReference w:id="1674"/>
            </w:r>
          </w:p>
        </w:tc>
        <w:tc>
          <w:tcPr>
            <w:tcW w:w="2340" w:type="dxa"/>
            <w:tcBorders>
              <w:top w:val="nil"/>
              <w:left w:val="nil"/>
              <w:bottom w:val="nil"/>
              <w:right w:val="nil"/>
            </w:tcBorders>
          </w:tcPr>
          <w:p w14:paraId="2230C3A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Manager of the military intelligence detention facility</w:t>
            </w:r>
          </w:p>
          <w:p w14:paraId="43CDA798" w14:textId="77777777" w:rsidR="00EA7E88" w:rsidRPr="00B91FAE" w:rsidRDefault="00EA7E88" w:rsidP="00162F52">
            <w:pPr>
              <w:rPr>
                <w:rFonts w:asciiTheme="majorBidi" w:hAnsiTheme="majorBidi" w:cstheme="majorBidi"/>
                <w:sz w:val="20"/>
                <w:szCs w:val="20"/>
              </w:rPr>
            </w:pPr>
          </w:p>
        </w:tc>
        <w:tc>
          <w:tcPr>
            <w:tcW w:w="3870" w:type="dxa"/>
            <w:tcBorders>
              <w:top w:val="nil"/>
              <w:left w:val="nil"/>
              <w:bottom w:val="nil"/>
              <w:right w:val="nil"/>
            </w:tcBorders>
          </w:tcPr>
          <w:p w14:paraId="43A33D39"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rPr>
              <w:t xml:space="preserve">Al-Hudaydah </w:t>
            </w:r>
          </w:p>
        </w:tc>
      </w:tr>
      <w:tr w:rsidR="00EA7E88" w:rsidRPr="00B91FAE" w14:paraId="3A500721" w14:textId="77777777" w:rsidTr="00162F52">
        <w:tc>
          <w:tcPr>
            <w:tcW w:w="816" w:type="dxa"/>
            <w:tcBorders>
              <w:top w:val="nil"/>
              <w:left w:val="nil"/>
              <w:bottom w:val="nil"/>
              <w:right w:val="nil"/>
            </w:tcBorders>
          </w:tcPr>
          <w:p w14:paraId="3FED714D" w14:textId="77777777" w:rsidR="00EA7E88" w:rsidRPr="00B91FAE" w:rsidRDefault="00EA7E88" w:rsidP="00162F52">
            <w:pPr>
              <w:jc w:val="center"/>
              <w:rPr>
                <w:rFonts w:asciiTheme="majorBidi" w:hAnsiTheme="majorBidi" w:cstheme="majorBidi"/>
                <w:sz w:val="20"/>
                <w:szCs w:val="20"/>
              </w:rPr>
            </w:pPr>
            <w:r w:rsidRPr="00B91FAE">
              <w:rPr>
                <w:rFonts w:asciiTheme="majorBidi" w:hAnsiTheme="majorBidi" w:cstheme="majorBidi"/>
                <w:sz w:val="20"/>
                <w:szCs w:val="20"/>
              </w:rPr>
              <w:t>11</w:t>
            </w:r>
          </w:p>
        </w:tc>
        <w:tc>
          <w:tcPr>
            <w:tcW w:w="2609" w:type="dxa"/>
            <w:tcBorders>
              <w:top w:val="nil"/>
              <w:left w:val="nil"/>
              <w:bottom w:val="nil"/>
              <w:right w:val="nil"/>
            </w:tcBorders>
          </w:tcPr>
          <w:p w14:paraId="132067C0"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Abdul Lateef Alsharafee, aka Abu Akra </w:t>
            </w:r>
            <w:r w:rsidRPr="00B91FAE">
              <w:rPr>
                <w:rStyle w:val="FootnoteReference"/>
                <w:rFonts w:asciiTheme="majorBidi" w:hAnsiTheme="majorBidi" w:cstheme="majorBidi"/>
                <w:sz w:val="20"/>
                <w:szCs w:val="20"/>
                <w:lang w:bidi="ar-JO"/>
              </w:rPr>
              <w:footnoteReference w:id="1675"/>
            </w:r>
          </w:p>
        </w:tc>
        <w:tc>
          <w:tcPr>
            <w:tcW w:w="2340" w:type="dxa"/>
            <w:tcBorders>
              <w:top w:val="nil"/>
              <w:left w:val="nil"/>
              <w:bottom w:val="nil"/>
              <w:right w:val="nil"/>
            </w:tcBorders>
          </w:tcPr>
          <w:p w14:paraId="5D38DCE2" w14:textId="77777777" w:rsidR="00EA7E88" w:rsidRPr="00B91FAE" w:rsidRDefault="00EA7E88" w:rsidP="00162F52">
            <w:pPr>
              <w:rPr>
                <w:rFonts w:asciiTheme="majorBidi" w:hAnsiTheme="majorBidi" w:cstheme="majorBidi"/>
                <w:sz w:val="20"/>
                <w:szCs w:val="20"/>
                <w:lang w:bidi="ar-JO"/>
              </w:rPr>
            </w:pPr>
            <w:r w:rsidRPr="00B91FAE">
              <w:rPr>
                <w:rFonts w:asciiTheme="majorBidi" w:hAnsiTheme="majorBidi" w:cstheme="majorBidi"/>
                <w:sz w:val="20"/>
                <w:szCs w:val="20"/>
                <w:lang w:bidi="ar-JO"/>
              </w:rPr>
              <w:t xml:space="preserve">Supervisor of Hunesh detention facility </w:t>
            </w:r>
          </w:p>
        </w:tc>
        <w:tc>
          <w:tcPr>
            <w:tcW w:w="3870" w:type="dxa"/>
            <w:tcBorders>
              <w:top w:val="nil"/>
              <w:left w:val="nil"/>
              <w:bottom w:val="nil"/>
              <w:right w:val="nil"/>
            </w:tcBorders>
          </w:tcPr>
          <w:p w14:paraId="697EA36A" w14:textId="77777777" w:rsidR="00EA7E88" w:rsidRPr="00B91FAE" w:rsidRDefault="00EA7E88" w:rsidP="00162F52">
            <w:pPr>
              <w:rPr>
                <w:rFonts w:asciiTheme="majorBidi" w:hAnsiTheme="majorBidi" w:cstheme="majorBidi"/>
                <w:sz w:val="20"/>
                <w:szCs w:val="20"/>
              </w:rPr>
            </w:pPr>
            <w:r w:rsidRPr="00B91FAE">
              <w:rPr>
                <w:rFonts w:asciiTheme="majorBidi" w:hAnsiTheme="majorBidi" w:cstheme="majorBidi"/>
                <w:sz w:val="20"/>
                <w:szCs w:val="20"/>
                <w:lang w:bidi="ar-JO"/>
              </w:rPr>
              <w:t>Al- Hudaydah</w:t>
            </w:r>
          </w:p>
        </w:tc>
      </w:tr>
    </w:tbl>
    <w:p w14:paraId="2B2E4CDD" w14:textId="77777777" w:rsidR="00EA7E88" w:rsidRPr="00B91FAE" w:rsidRDefault="00EA7E88" w:rsidP="00EA7E88">
      <w:pPr>
        <w:rPr>
          <w:rtl/>
        </w:rPr>
      </w:pPr>
    </w:p>
    <w:p w14:paraId="2A4785E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2C00E2C6" w14:textId="77777777" w:rsidR="00EA7E88" w:rsidRPr="00B91FAE" w:rsidRDefault="00EA7E88" w:rsidP="00EA7E88">
      <w:pPr>
        <w:suppressAutoHyphens w:val="0"/>
        <w:spacing w:line="240" w:lineRule="auto"/>
        <w:ind w:left="-993"/>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2F48C8C">
          <v:shape id="_x0000_i1026" type="#_x0000_t75" style="width:577.5pt;height:621pt" o:ole="">
            <v:imagedata r:id="rId26" o:title="" croptop="463f" cropbottom="649f" cropleft="4264f" cropright="1576f"/>
          </v:shape>
          <o:OLEObject Type="Embed" ProgID="FoxitReader.Document" ShapeID="_x0000_i1026" DrawAspect="Content" ObjectID="_1629606225" r:id="rId27"/>
        </w:object>
      </w:r>
    </w:p>
    <w:p w14:paraId="390899B3"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19FD44B7"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2441EE6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1063E207"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noProof/>
          <w:sz w:val="16"/>
          <w:szCs w:val="16"/>
          <w:lang w:eastAsia="en-GB"/>
        </w:rPr>
        <w:lastRenderedPageBreak/>
        <mc:AlternateContent>
          <mc:Choice Requires="wps">
            <w:drawing>
              <wp:anchor distT="0" distB="0" distL="114300" distR="114300" simplePos="0" relativeHeight="251697152" behindDoc="0" locked="0" layoutInCell="1" allowOverlap="1" wp14:anchorId="6EB69481" wp14:editId="6D6C03A2">
                <wp:simplePos x="0" y="0"/>
                <wp:positionH relativeFrom="column">
                  <wp:posOffset>0</wp:posOffset>
                </wp:positionH>
                <wp:positionV relativeFrom="paragraph">
                  <wp:posOffset>-62230</wp:posOffset>
                </wp:positionV>
                <wp:extent cx="5448300" cy="314325"/>
                <wp:effectExtent l="0" t="0" r="0" b="9525"/>
                <wp:wrapNone/>
                <wp:docPr id="121" name="Rectangle 121"/>
                <wp:cNvGraphicFramePr/>
                <a:graphic xmlns:a="http://schemas.openxmlformats.org/drawingml/2006/main">
                  <a:graphicData uri="http://schemas.microsoft.com/office/word/2010/wordprocessingShape">
                    <wps:wsp>
                      <wps:cNvSpPr/>
                      <wps:spPr>
                        <a:xfrm>
                          <a:off x="0" y="0"/>
                          <a:ext cx="5448300" cy="314325"/>
                        </a:xfrm>
                        <a:prstGeom prst="rect">
                          <a:avLst/>
                        </a:prstGeom>
                        <a:solidFill>
                          <a:schemeClr val="bg1"/>
                        </a:solidFill>
                        <a:ln w="12700" cap="flat" cmpd="sng" algn="ctr">
                          <a:noFill/>
                          <a:prstDash val="solid"/>
                          <a:miter lim="800000"/>
                        </a:ln>
                        <a:effectLst/>
                      </wps:spPr>
                      <wps:txbx>
                        <w:txbxContent>
                          <w:p w14:paraId="3A38D151" w14:textId="77777777" w:rsidR="00A1624A" w:rsidRPr="003B54A6" w:rsidRDefault="00A1624A" w:rsidP="00EA7E88">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69481" id="Rectangle 121" o:spid="_x0000_s1026" style="position:absolute;left:0;text-align:left;margin-left:0;margin-top:-4.9pt;width:429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" fillcolor="white [3212]" stroked="f" strokeweight="1pt">
                <v:textbox>
                  <w:txbxContent>
                    <w:p w14:paraId="3A38D151" w14:textId="77777777" w:rsidR="00A1624A" w:rsidRPr="003B54A6" w:rsidRDefault="00A1624A" w:rsidP="00EA7E88">
                      <w:pPr>
                        <w:rPr>
                          <w:rFonts w:asciiTheme="majorBidi" w:hAnsiTheme="majorBidi" w:cstheme="majorBidi"/>
                          <w:sz w:val="28"/>
                          <w:szCs w:val="28"/>
                          <w:lang w:val="en-US"/>
                        </w:rPr>
                      </w:pPr>
                      <w:r>
                        <w:rPr>
                          <w:rFonts w:asciiTheme="majorBidi" w:hAnsiTheme="majorBidi" w:cstheme="majorBidi"/>
                          <w:sz w:val="28"/>
                          <w:szCs w:val="28"/>
                          <w:lang w:val="en-US"/>
                        </w:rPr>
                        <w:t>Appendix 2</w:t>
                      </w:r>
                      <w:r>
                        <w:rPr>
                          <w:rFonts w:asciiTheme="majorBidi" w:hAnsiTheme="majorBidi" w:cstheme="majorBidi"/>
                          <w:sz w:val="28"/>
                          <w:szCs w:val="28"/>
                          <w:lang w:val="en-US"/>
                        </w:rPr>
                        <w:tab/>
                      </w:r>
                      <w:r>
                        <w:rPr>
                          <w:rFonts w:asciiTheme="majorBidi" w:hAnsiTheme="majorBidi" w:cstheme="majorBidi"/>
                          <w:sz w:val="28"/>
                          <w:szCs w:val="28"/>
                          <w:lang w:val="en-US"/>
                        </w:rPr>
                        <w:tab/>
                        <w:t xml:space="preserve">    Government of Yemen Security Apparatus</w:t>
                      </w:r>
                    </w:p>
                  </w:txbxContent>
                </v:textbox>
              </v:rect>
            </w:pict>
          </mc:Fallback>
        </mc:AlternateContent>
      </w:r>
    </w:p>
    <w:p w14:paraId="62E2DCA4"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05344" behindDoc="0" locked="0" layoutInCell="1" allowOverlap="1" wp14:anchorId="63D457E8" wp14:editId="643D5B6F">
                <wp:simplePos x="0" y="0"/>
                <wp:positionH relativeFrom="column">
                  <wp:posOffset>-85725</wp:posOffset>
                </wp:positionH>
                <wp:positionV relativeFrom="paragraph">
                  <wp:posOffset>7591425</wp:posOffset>
                </wp:positionV>
                <wp:extent cx="1292411" cy="475615"/>
                <wp:effectExtent l="0" t="0" r="22225" b="19685"/>
                <wp:wrapNone/>
                <wp:docPr id="222" name="Rectangle 222"/>
                <wp:cNvGraphicFramePr/>
                <a:graphic xmlns:a="http://schemas.openxmlformats.org/drawingml/2006/main">
                  <a:graphicData uri="http://schemas.microsoft.com/office/word/2010/wordprocessingShape">
                    <wps:wsp>
                      <wps:cNvSpPr/>
                      <wps:spPr>
                        <a:xfrm>
                          <a:off x="0" y="0"/>
                          <a:ext cx="1292411" cy="47561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1401D43" w14:textId="77777777" w:rsidR="00A1624A" w:rsidRPr="00A62EF0" w:rsidRDefault="00A1624A" w:rsidP="00EA7E88">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D457E8" id="Rectangle 222" o:spid="_x0000_s1027" style="position:absolute;margin-left:-6.75pt;margin-top:597.75pt;width:101.75pt;height:37.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" fillcolor="#1f4e79" strokecolor="#41719c" strokeweight="1pt">
                <v:textbox>
                  <w:txbxContent>
                    <w:p w14:paraId="41401D43" w14:textId="77777777" w:rsidR="00A1624A" w:rsidRPr="00A62EF0" w:rsidRDefault="00A1624A" w:rsidP="00EA7E88">
                      <w:pPr>
                        <w:jc w:val="center"/>
                        <w:rPr>
                          <w:rFonts w:asciiTheme="majorBidi" w:hAnsiTheme="majorBidi" w:cstheme="majorBidi"/>
                          <w:b/>
                          <w:bCs/>
                          <w:color w:val="FFFFFF" w:themeColor="background1"/>
                          <w:sz w:val="14"/>
                          <w:szCs w:val="14"/>
                          <w:lang w:val="en-US"/>
                        </w:rPr>
                      </w:pPr>
                      <w:r w:rsidRPr="00A62EF0">
                        <w:rPr>
                          <w:rFonts w:asciiTheme="majorBidi" w:hAnsiTheme="majorBidi" w:cstheme="majorBidi"/>
                          <w:color w:val="FFFFFF" w:themeColor="background1"/>
                          <w:sz w:val="14"/>
                          <w:szCs w:val="14"/>
                          <w:lang w:val="en-US"/>
                        </w:rPr>
                        <w:t>Mahra General Security Director, Col</w:t>
                      </w:r>
                      <w:r>
                        <w:rPr>
                          <w:rFonts w:asciiTheme="majorBidi" w:hAnsiTheme="majorBidi" w:cstheme="majorBidi"/>
                          <w:color w:val="FFFFFF" w:themeColor="background1"/>
                          <w:sz w:val="14"/>
                          <w:szCs w:val="14"/>
                          <w:lang w:val="en-US"/>
                        </w:rPr>
                        <w:t>.</w:t>
                      </w:r>
                      <w:r w:rsidRPr="00A62EF0">
                        <w:rPr>
                          <w:rFonts w:asciiTheme="majorBidi" w:hAnsiTheme="majorBidi" w:cstheme="majorBidi"/>
                          <w:color w:val="FFFFFF" w:themeColor="background1"/>
                          <w:sz w:val="14"/>
                          <w:szCs w:val="14"/>
                          <w:lang w:val="en-US"/>
                        </w:rPr>
                        <w:t xml:space="preserve"> Mufti Suhail al-Samouda</w:t>
                      </w:r>
                      <w:r w:rsidRPr="00A62EF0">
                        <w:rPr>
                          <w:rFonts w:asciiTheme="majorBidi" w:hAnsiTheme="majorBidi" w:cstheme="majorBidi"/>
                          <w:b/>
                          <w:bCs/>
                          <w:color w:val="FFFFFF" w:themeColor="background1"/>
                          <w:sz w:val="14"/>
                          <w:szCs w:val="14"/>
                          <w:lang w:val="en-US"/>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1488" behindDoc="0" locked="0" layoutInCell="1" allowOverlap="1" wp14:anchorId="20E9B0B4" wp14:editId="402CBB23">
                <wp:simplePos x="0" y="0"/>
                <wp:positionH relativeFrom="column">
                  <wp:posOffset>-85725</wp:posOffset>
                </wp:positionH>
                <wp:positionV relativeFrom="paragraph">
                  <wp:posOffset>6867525</wp:posOffset>
                </wp:positionV>
                <wp:extent cx="1335728" cy="480060"/>
                <wp:effectExtent l="0" t="0" r="17145" b="15240"/>
                <wp:wrapNone/>
                <wp:docPr id="249" name="Rectangle 249"/>
                <wp:cNvGraphicFramePr/>
                <a:graphic xmlns:a="http://schemas.openxmlformats.org/drawingml/2006/main">
                  <a:graphicData uri="http://schemas.microsoft.com/office/word/2010/wordprocessingShape">
                    <wps:wsp>
                      <wps:cNvSpPr/>
                      <wps:spPr>
                        <a:xfrm>
                          <a:off x="0" y="0"/>
                          <a:ext cx="1335728" cy="48006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C722A15" w14:textId="77777777" w:rsidR="00A1624A" w:rsidRPr="00416EA0" w:rsidRDefault="00A1624A" w:rsidP="00EA7E88">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9B0B4" id="Rectangle 249" o:spid="_x0000_s1028" style="position:absolute;margin-left:-6.75pt;margin-top:540.75pt;width:105.2pt;height:37.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" fillcolor="#1f4e79" strokecolor="#41719c" strokeweight="1pt">
                <v:textbox>
                  <w:txbxContent>
                    <w:p w14:paraId="0C722A15" w14:textId="77777777" w:rsidR="00A1624A" w:rsidRPr="00416EA0" w:rsidRDefault="00A1624A" w:rsidP="00EA7E88">
                      <w:pPr>
                        <w:jc w:val="center"/>
                        <w:rPr>
                          <w:rFonts w:asciiTheme="majorBidi" w:hAnsiTheme="majorBidi" w:cstheme="majorBidi"/>
                          <w:color w:val="FFFFFF" w:themeColor="background1"/>
                          <w:sz w:val="13"/>
                          <w:szCs w:val="13"/>
                          <w:lang w:val="en-US"/>
                        </w:rPr>
                      </w:pPr>
                      <w:r w:rsidRPr="00416EA0">
                        <w:rPr>
                          <w:rFonts w:asciiTheme="majorBidi" w:hAnsiTheme="majorBidi" w:cstheme="majorBidi"/>
                          <w:color w:val="FFFFFF" w:themeColor="background1"/>
                          <w:sz w:val="13"/>
                          <w:szCs w:val="13"/>
                          <w:lang w:val="en-US"/>
                        </w:rPr>
                        <w:t>Hadramout</w:t>
                      </w:r>
                      <w:r w:rsidRPr="00416EA0">
                        <w:rPr>
                          <w:rFonts w:asciiTheme="majorBidi" w:hAnsiTheme="majorBidi" w:cstheme="majorBidi"/>
                          <w:color w:val="FFFFFF" w:themeColor="background1"/>
                          <w:sz w:val="13"/>
                          <w:szCs w:val="13"/>
                        </w:rPr>
                        <w:t xml:space="preserve">\ Valley </w:t>
                      </w:r>
                      <w:r w:rsidRPr="00416EA0">
                        <w:rPr>
                          <w:rFonts w:asciiTheme="majorBidi" w:hAnsiTheme="majorBidi" w:cstheme="majorBidi"/>
                          <w:color w:val="FFFFFF" w:themeColor="background1"/>
                          <w:sz w:val="13"/>
                          <w:szCs w:val="13"/>
                          <w:lang w:val="en-US"/>
                        </w:rPr>
                        <w:t>General Security Director,  BG Mubark al-A’utha</w:t>
                      </w:r>
                      <w:r w:rsidRPr="00416EA0">
                        <w:rPr>
                          <w:rFonts w:asciiTheme="majorBidi" w:hAnsiTheme="majorBidi" w:cstheme="majorBidi"/>
                          <w:color w:val="FFFFFF" w:themeColor="background1"/>
                          <w:sz w:val="13"/>
                          <w:szCs w:val="13"/>
                        </w:rPr>
                        <w:t>b</w:t>
                      </w:r>
                      <w:r w:rsidRPr="00416EA0">
                        <w:rPr>
                          <w:rFonts w:asciiTheme="majorBidi" w:hAnsiTheme="majorBidi" w:cstheme="majorBidi"/>
                          <w:color w:val="FFFFFF" w:themeColor="background1"/>
                          <w:sz w:val="13"/>
                          <w:szCs w:val="13"/>
                          <w:lang w:val="en-US"/>
                        </w:rPr>
                        <w:t>ani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3296" behindDoc="0" locked="0" layoutInCell="1" allowOverlap="1" wp14:anchorId="0F140E13" wp14:editId="0F6CB902">
                <wp:simplePos x="0" y="0"/>
                <wp:positionH relativeFrom="column">
                  <wp:posOffset>-85726</wp:posOffset>
                </wp:positionH>
                <wp:positionV relativeFrom="paragraph">
                  <wp:posOffset>6124575</wp:posOffset>
                </wp:positionV>
                <wp:extent cx="1326277" cy="476885"/>
                <wp:effectExtent l="0" t="0" r="26670" b="18415"/>
                <wp:wrapNone/>
                <wp:docPr id="221" name="Rectangle 221"/>
                <wp:cNvGraphicFramePr/>
                <a:graphic xmlns:a="http://schemas.openxmlformats.org/drawingml/2006/main">
                  <a:graphicData uri="http://schemas.microsoft.com/office/word/2010/wordprocessingShape">
                    <wps:wsp>
                      <wps:cNvSpPr/>
                      <wps:spPr>
                        <a:xfrm>
                          <a:off x="0" y="0"/>
                          <a:ext cx="1326277"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20925D0" w14:textId="77777777" w:rsidR="00A1624A" w:rsidRPr="00A62EF0" w:rsidRDefault="00A1624A" w:rsidP="00EA7E88">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40E13" id="Rectangle 221" o:spid="_x0000_s1029" style="position:absolute;margin-left:-6.75pt;margin-top:482.25pt;width:104.45pt;height:37.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" fillcolor="#1f4e79" strokecolor="#41719c" strokeweight="1pt">
                <v:textbox>
                  <w:txbxContent>
                    <w:p w14:paraId="320925D0" w14:textId="77777777" w:rsidR="00A1624A" w:rsidRPr="00A62EF0" w:rsidRDefault="00A1624A" w:rsidP="00EA7E88">
                      <w:pPr>
                        <w:jc w:val="center"/>
                        <w:rPr>
                          <w:rFonts w:asciiTheme="majorBidi" w:hAnsiTheme="majorBidi" w:cstheme="majorBidi"/>
                          <w:color w:val="FFFFFF" w:themeColor="background1"/>
                          <w:sz w:val="14"/>
                          <w:szCs w:val="14"/>
                          <w:lang w:val="en-US"/>
                        </w:rPr>
                      </w:pPr>
                      <w:r w:rsidRPr="00A62EF0">
                        <w:rPr>
                          <w:rFonts w:asciiTheme="majorBidi" w:hAnsiTheme="majorBidi" w:cstheme="majorBidi"/>
                          <w:color w:val="FFFFFF" w:themeColor="background1"/>
                          <w:sz w:val="14"/>
                          <w:szCs w:val="14"/>
                          <w:lang w:val="en-US"/>
                        </w:rPr>
                        <w:t>Hadramout</w:t>
                      </w:r>
                      <w:r w:rsidRPr="00A62EF0">
                        <w:rPr>
                          <w:rFonts w:asciiTheme="majorBidi" w:hAnsiTheme="majorBidi" w:cstheme="majorBidi"/>
                          <w:color w:val="FFFFFF" w:themeColor="background1"/>
                          <w:sz w:val="14"/>
                          <w:szCs w:val="14"/>
                        </w:rPr>
                        <w:t>\ coast</w:t>
                      </w:r>
                      <w:r w:rsidRPr="00A62EF0">
                        <w:rPr>
                          <w:rFonts w:asciiTheme="majorBidi" w:hAnsiTheme="majorBidi" w:cstheme="majorBidi"/>
                          <w:color w:val="FFFFFF" w:themeColor="background1"/>
                          <w:sz w:val="14"/>
                          <w:szCs w:val="14"/>
                          <w:lang w:val="en-US"/>
                        </w:rPr>
                        <w:t xml:space="preserve"> General Security Director,  BG Muneer al-Tamimi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2272" behindDoc="0" locked="0" layoutInCell="1" allowOverlap="1" wp14:anchorId="59024DDA" wp14:editId="48719304">
                <wp:simplePos x="0" y="0"/>
                <wp:positionH relativeFrom="column">
                  <wp:posOffset>-95250</wp:posOffset>
                </wp:positionH>
                <wp:positionV relativeFrom="paragraph">
                  <wp:posOffset>5400675</wp:posOffset>
                </wp:positionV>
                <wp:extent cx="1305800" cy="460375"/>
                <wp:effectExtent l="0" t="0" r="27940" b="15875"/>
                <wp:wrapNone/>
                <wp:docPr id="220" name="Rectangle 220"/>
                <wp:cNvGraphicFramePr/>
                <a:graphic xmlns:a="http://schemas.openxmlformats.org/drawingml/2006/main">
                  <a:graphicData uri="http://schemas.microsoft.com/office/word/2010/wordprocessingShape">
                    <wps:wsp>
                      <wps:cNvSpPr/>
                      <wps:spPr>
                        <a:xfrm>
                          <a:off x="0" y="0"/>
                          <a:ext cx="1305800" cy="4603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69687C2" w14:textId="77777777" w:rsidR="00A1624A" w:rsidRPr="003B344F" w:rsidRDefault="00A1624A" w:rsidP="00EA7E88">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024DDA" id="Rectangle 220" o:spid="_x0000_s1030" style="position:absolute;margin-left:-7.5pt;margin-top:425.25pt;width:102.8pt;height:36.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" fillcolor="#1f4e79" strokecolor="#41719c" strokeweight="1pt">
                <v:textbox>
                  <w:txbxContent>
                    <w:p w14:paraId="269687C2" w14:textId="77777777" w:rsidR="00A1624A" w:rsidRPr="003B344F" w:rsidRDefault="00A1624A" w:rsidP="00EA7E88">
                      <w:pPr>
                        <w:jc w:val="center"/>
                        <w:rPr>
                          <w:rFonts w:asciiTheme="majorBidi" w:hAnsiTheme="majorBidi" w:cstheme="majorBidi"/>
                          <w:color w:val="FFFFFF" w:themeColor="background1"/>
                          <w:sz w:val="14"/>
                          <w:szCs w:val="14"/>
                          <w:lang w:val="en-US"/>
                        </w:rPr>
                      </w:pPr>
                      <w:r w:rsidRPr="003B344F">
                        <w:rPr>
                          <w:rFonts w:asciiTheme="majorBidi" w:hAnsiTheme="majorBidi" w:cstheme="majorBidi"/>
                          <w:color w:val="FFFFFF" w:themeColor="background1"/>
                          <w:sz w:val="14"/>
                          <w:szCs w:val="14"/>
                          <w:lang w:val="en-US"/>
                        </w:rPr>
                        <w:t xml:space="preserve">Shabwah General Security Director, </w:t>
                      </w:r>
                      <w:r>
                        <w:rPr>
                          <w:rFonts w:asciiTheme="majorBidi" w:hAnsiTheme="majorBidi" w:cstheme="majorBidi"/>
                          <w:color w:val="FFFFFF" w:themeColor="background1"/>
                          <w:sz w:val="14"/>
                          <w:szCs w:val="14"/>
                          <w:lang w:val="en-US"/>
                        </w:rPr>
                        <w:t>BG</w:t>
                      </w:r>
                      <w:r w:rsidRPr="003B344F">
                        <w:rPr>
                          <w:rFonts w:asciiTheme="majorBidi" w:hAnsiTheme="majorBidi" w:cstheme="majorBidi"/>
                          <w:color w:val="FFFFFF" w:themeColor="background1"/>
                          <w:sz w:val="14"/>
                          <w:szCs w:val="14"/>
                          <w:lang w:val="en-US"/>
                        </w:rPr>
                        <w:t xml:space="preserve"> Awad al</w:t>
                      </w:r>
                      <w:r>
                        <w:rPr>
                          <w:rFonts w:asciiTheme="majorBidi" w:hAnsiTheme="majorBidi" w:cstheme="majorBidi"/>
                          <w:color w:val="FFFFFF" w:themeColor="background1"/>
                          <w:sz w:val="14"/>
                          <w:szCs w:val="14"/>
                          <w:lang w:val="en-US"/>
                        </w:rPr>
                        <w:t>-</w:t>
                      </w:r>
                      <w:r w:rsidRPr="003B344F">
                        <w:rPr>
                          <w:rFonts w:asciiTheme="majorBidi" w:hAnsiTheme="majorBidi" w:cstheme="majorBidi"/>
                          <w:color w:val="FFFFFF" w:themeColor="background1"/>
                          <w:sz w:val="14"/>
                          <w:szCs w:val="14"/>
                          <w:lang w:val="en-US"/>
                        </w:rPr>
                        <w:t>Dahbool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1248" behindDoc="0" locked="0" layoutInCell="1" allowOverlap="1" wp14:anchorId="4821CCBB" wp14:editId="53B7F853">
                <wp:simplePos x="0" y="0"/>
                <wp:positionH relativeFrom="column">
                  <wp:posOffset>-95250</wp:posOffset>
                </wp:positionH>
                <wp:positionV relativeFrom="paragraph">
                  <wp:posOffset>4676775</wp:posOffset>
                </wp:positionV>
                <wp:extent cx="1339666" cy="473710"/>
                <wp:effectExtent l="0" t="0" r="13335" b="21590"/>
                <wp:wrapNone/>
                <wp:docPr id="219" name="Rectangle 219"/>
                <wp:cNvGraphicFramePr/>
                <a:graphic xmlns:a="http://schemas.openxmlformats.org/drawingml/2006/main">
                  <a:graphicData uri="http://schemas.microsoft.com/office/word/2010/wordprocessingShape">
                    <wps:wsp>
                      <wps:cNvSpPr/>
                      <wps:spPr>
                        <a:xfrm>
                          <a:off x="0" y="0"/>
                          <a:ext cx="1339666" cy="47371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4880607"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1CCBB" id="Rectangle 219" o:spid="_x0000_s1031" style="position:absolute;margin-left:-7.5pt;margin-top:368.25pt;width:105.5pt;height:37.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" fillcolor="#1f4e79" strokecolor="#41719c" strokeweight="1pt">
                <v:textbox>
                  <w:txbxContent>
                    <w:p w14:paraId="54880607"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Taiz General Security Director</w:t>
                      </w:r>
                      <w:r w:rsidRPr="003B344F">
                        <w:rPr>
                          <w:rFonts w:asciiTheme="majorBidi" w:hAnsiTheme="majorBidi" w:cstheme="majorBidi"/>
                          <w:color w:val="FFFFFF" w:themeColor="background1"/>
                          <w:sz w:val="14"/>
                          <w:szCs w:val="14"/>
                        </w:rPr>
                        <w:t>, BG Mansour Abd al-Rab al-Akhali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0224" behindDoc="0" locked="0" layoutInCell="1" allowOverlap="1" wp14:anchorId="53BE728D" wp14:editId="4C3D625D">
                <wp:simplePos x="0" y="0"/>
                <wp:positionH relativeFrom="column">
                  <wp:posOffset>-95251</wp:posOffset>
                </wp:positionH>
                <wp:positionV relativeFrom="paragraph">
                  <wp:posOffset>3933825</wp:posOffset>
                </wp:positionV>
                <wp:extent cx="1263271" cy="476885"/>
                <wp:effectExtent l="0" t="0" r="13335" b="18415"/>
                <wp:wrapNone/>
                <wp:docPr id="218" name="Rectangle 218"/>
                <wp:cNvGraphicFramePr/>
                <a:graphic xmlns:a="http://schemas.openxmlformats.org/drawingml/2006/main">
                  <a:graphicData uri="http://schemas.microsoft.com/office/word/2010/wordprocessingShape">
                    <wps:wsp>
                      <wps:cNvSpPr/>
                      <wps:spPr>
                        <a:xfrm>
                          <a:off x="0" y="0"/>
                          <a:ext cx="1263271" cy="47688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34A9380" w14:textId="77777777" w:rsidR="00A1624A" w:rsidRPr="00D8323A" w:rsidRDefault="00A1624A" w:rsidP="00EA7E88">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E728D" id="Rectangle 218" o:spid="_x0000_s1032" style="position:absolute;margin-left:-7.5pt;margin-top:309.75pt;width:99.45pt;height:37.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" fillcolor="#1f4e79" strokecolor="#41719c" strokeweight="1pt">
                <v:textbox>
                  <w:txbxContent>
                    <w:p w14:paraId="434A9380" w14:textId="77777777" w:rsidR="00A1624A" w:rsidRPr="00D8323A" w:rsidRDefault="00A1624A" w:rsidP="00EA7E88">
                      <w:pPr>
                        <w:jc w:val="center"/>
                        <w:rPr>
                          <w:rFonts w:asciiTheme="majorBidi" w:hAnsiTheme="majorBidi" w:cstheme="majorBidi"/>
                          <w:color w:val="FFFFFF" w:themeColor="background1"/>
                          <w:sz w:val="14"/>
                          <w:szCs w:val="14"/>
                          <w:lang w:val="en-US"/>
                        </w:rPr>
                      </w:pPr>
                      <w:r w:rsidRPr="00D8323A">
                        <w:rPr>
                          <w:rFonts w:asciiTheme="majorBidi" w:hAnsiTheme="majorBidi" w:cstheme="majorBidi"/>
                          <w:color w:val="FFFFFF" w:themeColor="background1"/>
                          <w:sz w:val="14"/>
                          <w:szCs w:val="14"/>
                          <w:lang w:val="en-US"/>
                        </w:rPr>
                        <w:t xml:space="preserve">Abyan General Security Director, </w:t>
                      </w:r>
                      <w:r w:rsidRPr="00D8323A">
                        <w:rPr>
                          <w:rFonts w:asciiTheme="majorBidi" w:hAnsiTheme="majorBidi" w:cstheme="majorBidi"/>
                          <w:color w:val="FFFFFF" w:themeColor="background1"/>
                          <w:sz w:val="14"/>
                          <w:szCs w:val="14"/>
                        </w:rPr>
                        <w:t xml:space="preserve">Col. </w:t>
                      </w:r>
                      <w:r>
                        <w:rPr>
                          <w:rFonts w:asciiTheme="majorBidi" w:hAnsiTheme="majorBidi" w:cstheme="majorBidi"/>
                          <w:color w:val="FFFFFF" w:themeColor="background1"/>
                          <w:sz w:val="14"/>
                          <w:szCs w:val="14"/>
                        </w:rPr>
                        <w:t xml:space="preserve"> Abu Mashal al-Kazmi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9440" behindDoc="0" locked="0" layoutInCell="1" allowOverlap="1" wp14:anchorId="69F36D23" wp14:editId="3AAED260">
                <wp:simplePos x="0" y="0"/>
                <wp:positionH relativeFrom="column">
                  <wp:posOffset>1590674</wp:posOffset>
                </wp:positionH>
                <wp:positionV relativeFrom="paragraph">
                  <wp:posOffset>4676775</wp:posOffset>
                </wp:positionV>
                <wp:extent cx="1255395" cy="476250"/>
                <wp:effectExtent l="0" t="0" r="20955" b="19050"/>
                <wp:wrapNone/>
                <wp:docPr id="238" name="Rectangle 23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6E1C6AC"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36D23" id="Rectangle 238" o:spid="_x0000_s1033" style="position:absolute;margin-left:125.25pt;margin-top:368.25pt;width:98.85pt;height:3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" fillcolor="#1f4e79" strokecolor="#41719c" strokeweight="1pt">
                <v:textbox>
                  <w:txbxContent>
                    <w:p w14:paraId="46E1C6AC"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1</w:t>
                      </w:r>
                      <w:r w:rsidRPr="005157C8">
                        <w:rPr>
                          <w:rFonts w:asciiTheme="majorBidi" w:hAnsiTheme="majorBidi" w:cstheme="majorBidi"/>
                          <w:color w:val="FFFFFF" w:themeColor="background1"/>
                          <w:sz w:val="16"/>
                          <w:szCs w:val="16"/>
                          <w:vertAlign w:val="superscript"/>
                          <w:lang w:val="en-US"/>
                        </w:rPr>
                        <w:t>st</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 Saleh Mohammad Timis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8416" behindDoc="0" locked="0" layoutInCell="1" allowOverlap="1" wp14:anchorId="5FC96D9D" wp14:editId="4D7EF77A">
                <wp:simplePos x="0" y="0"/>
                <wp:positionH relativeFrom="column">
                  <wp:posOffset>1590674</wp:posOffset>
                </wp:positionH>
                <wp:positionV relativeFrom="paragraph">
                  <wp:posOffset>5400675</wp:posOffset>
                </wp:positionV>
                <wp:extent cx="1255395" cy="476250"/>
                <wp:effectExtent l="0" t="0" r="20955" b="19050"/>
                <wp:wrapNone/>
                <wp:docPr id="239" name="Rectangle 239"/>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753554B" w14:textId="77777777" w:rsidR="00A1624A" w:rsidRPr="003051D9" w:rsidRDefault="00A1624A" w:rsidP="00EA7E88">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96D9D" id="Rectangle 239" o:spid="_x0000_s1034" style="position:absolute;margin-left:125.25pt;margin-top:425.25pt;width:98.85pt;height: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" fillcolor="#1f4e79" strokecolor="#41719c" strokeweight="1pt">
                <v:textbox>
                  <w:txbxContent>
                    <w:p w14:paraId="4753554B" w14:textId="77777777" w:rsidR="00A1624A" w:rsidRPr="003051D9" w:rsidRDefault="00A1624A" w:rsidP="00EA7E88">
                      <w:pPr>
                        <w:jc w:val="center"/>
                        <w:rPr>
                          <w:rFonts w:asciiTheme="majorBidi" w:hAnsiTheme="majorBidi" w:cstheme="majorBidi"/>
                          <w:color w:val="FFFFFF" w:themeColor="background1"/>
                          <w:sz w:val="14"/>
                          <w:szCs w:val="14"/>
                        </w:rPr>
                      </w:pPr>
                      <w:r>
                        <w:rPr>
                          <w:rFonts w:asciiTheme="majorBidi" w:hAnsiTheme="majorBidi" w:cstheme="majorBidi"/>
                          <w:color w:val="FFFFFF" w:themeColor="background1"/>
                          <w:sz w:val="16"/>
                          <w:szCs w:val="16"/>
                        </w:rPr>
                        <w:t>2</w:t>
                      </w:r>
                      <w:r w:rsidRPr="005157C8">
                        <w:rPr>
                          <w:rFonts w:asciiTheme="majorBidi" w:hAnsiTheme="majorBidi" w:cstheme="majorBidi"/>
                          <w:color w:val="FFFFFF" w:themeColor="background1"/>
                          <w:sz w:val="16"/>
                          <w:szCs w:val="16"/>
                          <w:vertAlign w:val="superscript"/>
                        </w:rPr>
                        <w:t>nd</w:t>
                      </w:r>
                      <w:r>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6"/>
                          <w:szCs w:val="16"/>
                        </w:rPr>
                        <w:t>Military District</w:t>
                      </w:r>
                      <w:r>
                        <w:rPr>
                          <w:rFonts w:asciiTheme="majorBidi" w:hAnsiTheme="majorBidi" w:cstheme="majorBidi"/>
                          <w:color w:val="FFFFFF" w:themeColor="background1"/>
                          <w:sz w:val="16"/>
                          <w:szCs w:val="16"/>
                        </w:rPr>
                        <w:t>,</w:t>
                      </w:r>
                      <w:r w:rsidRPr="003051D9">
                        <w:t xml:space="preserve"> </w:t>
                      </w:r>
                      <w:r>
                        <w:rPr>
                          <w:rFonts w:asciiTheme="majorBidi" w:hAnsiTheme="majorBidi" w:cstheme="majorBidi"/>
                          <w:color w:val="FFFFFF" w:themeColor="background1"/>
                          <w:sz w:val="16"/>
                          <w:szCs w:val="16"/>
                        </w:rPr>
                        <w:t xml:space="preserve">MG </w:t>
                      </w:r>
                      <w:r w:rsidRPr="003051D9">
                        <w:rPr>
                          <w:rFonts w:asciiTheme="majorBidi" w:hAnsiTheme="majorBidi" w:cstheme="majorBidi"/>
                          <w:color w:val="FFFFFF" w:themeColor="background1"/>
                          <w:sz w:val="16"/>
                          <w:szCs w:val="16"/>
                        </w:rPr>
                        <w:t xml:space="preserve"> </w:t>
                      </w:r>
                      <w:r w:rsidRPr="003051D9">
                        <w:rPr>
                          <w:rFonts w:asciiTheme="majorBidi" w:hAnsiTheme="majorBidi" w:cstheme="majorBidi"/>
                          <w:color w:val="FFFFFF" w:themeColor="background1"/>
                          <w:sz w:val="14"/>
                          <w:szCs w:val="14"/>
                        </w:rPr>
                        <w:t xml:space="preserve">Faraj Salamin al-Bahasani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10464" behindDoc="0" locked="0" layoutInCell="1" allowOverlap="1" wp14:anchorId="1AE8DC30" wp14:editId="7253E13F">
                <wp:simplePos x="0" y="0"/>
                <wp:positionH relativeFrom="column">
                  <wp:posOffset>1600199</wp:posOffset>
                </wp:positionH>
                <wp:positionV relativeFrom="paragraph">
                  <wp:posOffset>6124575</wp:posOffset>
                </wp:positionV>
                <wp:extent cx="1255395" cy="476250"/>
                <wp:effectExtent l="0" t="0" r="20955" b="19050"/>
                <wp:wrapNone/>
                <wp:docPr id="240" name="Rectangle 240"/>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92C815B"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E8DC30" id="Rectangle 240" o:spid="_x0000_s1035" style="position:absolute;margin-left:126pt;margin-top:482.25pt;width:98.85pt;height: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" fillcolor="#1f4e79" strokecolor="#41719c" strokeweight="1pt">
                <v:textbox>
                  <w:txbxContent>
                    <w:p w14:paraId="792C815B" w14:textId="77777777" w:rsidR="00A1624A" w:rsidRPr="00020167"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3</w:t>
                      </w:r>
                      <w:r w:rsidRPr="005157C8">
                        <w:rPr>
                          <w:rFonts w:asciiTheme="majorBidi" w:hAnsiTheme="majorBidi" w:cstheme="majorBidi"/>
                          <w:color w:val="FFFFFF" w:themeColor="background1"/>
                          <w:sz w:val="16"/>
                          <w:szCs w:val="16"/>
                          <w:vertAlign w:val="superscript"/>
                          <w:lang w:val="en-US"/>
                        </w:rPr>
                        <w:t>rd</w:t>
                      </w:r>
                      <w:r>
                        <w:rPr>
                          <w:rFonts w:asciiTheme="majorBidi" w:hAnsiTheme="majorBidi" w:cstheme="majorBidi"/>
                          <w:color w:val="FFFFFF" w:themeColor="background1"/>
                          <w:sz w:val="16"/>
                          <w:szCs w:val="16"/>
                          <w:lang w:val="en-US"/>
                        </w:rPr>
                        <w:t xml:space="preserve"> </w:t>
                      </w:r>
                      <w:r w:rsidRPr="00020167">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020167">
                        <w:rPr>
                          <w:rFonts w:asciiTheme="majorBidi" w:hAnsiTheme="majorBidi" w:cstheme="majorBidi"/>
                          <w:color w:val="FFFFFF" w:themeColor="background1"/>
                          <w:sz w:val="16"/>
                          <w:szCs w:val="16"/>
                          <w:lang w:val="en-US"/>
                        </w:rPr>
                        <w:t>Faisal Ali Qaid Hassan</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7392" behindDoc="0" locked="0" layoutInCell="1" allowOverlap="1" wp14:anchorId="16F5167D" wp14:editId="536C82C4">
                <wp:simplePos x="0" y="0"/>
                <wp:positionH relativeFrom="column">
                  <wp:posOffset>1609724</wp:posOffset>
                </wp:positionH>
                <wp:positionV relativeFrom="paragraph">
                  <wp:posOffset>6867525</wp:posOffset>
                </wp:positionV>
                <wp:extent cx="1255395" cy="476250"/>
                <wp:effectExtent l="0" t="0" r="20955" b="19050"/>
                <wp:wrapNone/>
                <wp:docPr id="241" name="Rectangle 241"/>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6D97404" w14:textId="77777777" w:rsidR="00A1624A" w:rsidRPr="00AC11A9"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5167D" id="Rectangle 241" o:spid="_x0000_s1036" style="position:absolute;margin-left:126.75pt;margin-top:540.75pt;width:98.85pt;height:3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eUkjAIAAEs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" fillcolor="#1f4e79" strokecolor="#41719c" strokeweight="1pt">
                <v:textbox>
                  <w:txbxContent>
                    <w:p w14:paraId="26D97404" w14:textId="77777777" w:rsidR="00A1624A" w:rsidRPr="00AC11A9"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4</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AC11A9">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MG</w:t>
                      </w:r>
                      <w:r w:rsidRPr="00AC11A9">
                        <w:t xml:space="preserve"> </w:t>
                      </w:r>
                      <w:r w:rsidRPr="00AC11A9">
                        <w:rPr>
                          <w:rFonts w:asciiTheme="majorBidi" w:hAnsiTheme="majorBidi" w:cstheme="majorBidi"/>
                          <w:color w:val="FFFFFF" w:themeColor="background1"/>
                          <w:sz w:val="16"/>
                          <w:szCs w:val="16"/>
                          <w:lang w:val="en-US"/>
                        </w:rPr>
                        <w:t>Fadhl Hasan</w:t>
                      </w:r>
                      <w:r>
                        <w:rPr>
                          <w:rFonts w:asciiTheme="majorBidi" w:hAnsiTheme="majorBidi" w:cstheme="majorBidi"/>
                          <w:color w:val="FFFFFF" w:themeColor="background1"/>
                          <w:sz w:val="16"/>
                          <w:szCs w:val="16"/>
                          <w:lang w:val="en-US"/>
                        </w:rPr>
                        <w:t xml:space="preserve">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06368" behindDoc="0" locked="0" layoutInCell="1" allowOverlap="1" wp14:anchorId="04E16C61" wp14:editId="57076A2D">
                <wp:simplePos x="0" y="0"/>
                <wp:positionH relativeFrom="column">
                  <wp:posOffset>1485900</wp:posOffset>
                </wp:positionH>
                <wp:positionV relativeFrom="paragraph">
                  <wp:posOffset>2477770</wp:posOffset>
                </wp:positionV>
                <wp:extent cx="1360170" cy="499746"/>
                <wp:effectExtent l="0" t="0" r="11430" b="14605"/>
                <wp:wrapNone/>
                <wp:docPr id="223" name="Rectangle 223"/>
                <wp:cNvGraphicFramePr/>
                <a:graphic xmlns:a="http://schemas.openxmlformats.org/drawingml/2006/main">
                  <a:graphicData uri="http://schemas.microsoft.com/office/word/2010/wordprocessingShape">
                    <wps:wsp>
                      <wps:cNvSpPr/>
                      <wps:spPr>
                        <a:xfrm>
                          <a:off x="0" y="0"/>
                          <a:ext cx="1360170" cy="499746"/>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308A578" w14:textId="77777777" w:rsidR="00A1624A" w:rsidRPr="000456B4" w:rsidRDefault="00A1624A" w:rsidP="00EA7E88">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7DC09B1F" w14:textId="77777777" w:rsidR="00A1624A" w:rsidRPr="000456B4"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E16C61" id="Rectangle 223" o:spid="_x0000_s1037" style="position:absolute;margin-left:117pt;margin-top:195.1pt;width:107.1pt;height:39.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" fillcolor="#1f4e79" strokecolor="#41719c" strokeweight="1pt">
                <v:textbox>
                  <w:txbxContent>
                    <w:p w14:paraId="0308A578" w14:textId="77777777" w:rsidR="00A1624A" w:rsidRPr="000456B4" w:rsidRDefault="00A1624A" w:rsidP="00EA7E88">
                      <w:pPr>
                        <w:jc w:val="center"/>
                        <w:rPr>
                          <w:rFonts w:asciiTheme="majorBidi" w:hAnsiTheme="majorBidi" w:cstheme="majorBidi"/>
                          <w:color w:val="FFFFFF" w:themeColor="background1"/>
                          <w:sz w:val="16"/>
                          <w:szCs w:val="16"/>
                          <w:lang w:val="en-US"/>
                        </w:rPr>
                      </w:pPr>
                      <w:r w:rsidRPr="000456B4">
                        <w:rPr>
                          <w:rFonts w:asciiTheme="majorBidi" w:hAnsiTheme="majorBidi" w:cstheme="majorBidi"/>
                          <w:color w:val="FFFFFF" w:themeColor="background1"/>
                          <w:sz w:val="16"/>
                          <w:szCs w:val="16"/>
                          <w:lang w:val="en-US"/>
                        </w:rPr>
                        <w:t xml:space="preserve">Chief of General Staff, MG Abdullah al-Nakhai </w:t>
                      </w:r>
                    </w:p>
                    <w:p w14:paraId="7DC09B1F" w14:textId="77777777" w:rsidR="00A1624A" w:rsidRPr="000456B4"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8176" behindDoc="0" locked="0" layoutInCell="1" allowOverlap="1" wp14:anchorId="52812F3E" wp14:editId="40FE30C5">
                <wp:simplePos x="0" y="0"/>
                <wp:positionH relativeFrom="column">
                  <wp:posOffset>-133350</wp:posOffset>
                </wp:positionH>
                <wp:positionV relativeFrom="paragraph">
                  <wp:posOffset>2477546</wp:posOffset>
                </wp:positionV>
                <wp:extent cx="1374140" cy="489398"/>
                <wp:effectExtent l="0" t="0" r="16510" b="25400"/>
                <wp:wrapNone/>
                <wp:docPr id="56" name="Rectangle 56"/>
                <wp:cNvGraphicFramePr/>
                <a:graphic xmlns:a="http://schemas.openxmlformats.org/drawingml/2006/main">
                  <a:graphicData uri="http://schemas.microsoft.com/office/word/2010/wordprocessingShape">
                    <wps:wsp>
                      <wps:cNvSpPr/>
                      <wps:spPr>
                        <a:xfrm>
                          <a:off x="0" y="0"/>
                          <a:ext cx="1374140" cy="489398"/>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1864F4E" w14:textId="77777777" w:rsidR="00A1624A" w:rsidRPr="001952AC" w:rsidRDefault="00A1624A" w:rsidP="00EA7E88">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812F3E" id="Rectangle 56" o:spid="_x0000_s1038" style="position:absolute;margin-left:-10.5pt;margin-top:195.1pt;width:108.2pt;height:3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" fillcolor="#1f4e79" strokecolor="#41719c" strokeweight="1pt">
                <v:textbox>
                  <w:txbxContent>
                    <w:p w14:paraId="21864F4E" w14:textId="77777777" w:rsidR="00A1624A" w:rsidRPr="001952AC" w:rsidRDefault="00A1624A" w:rsidP="00EA7E88">
                      <w:pPr>
                        <w:jc w:val="center"/>
                        <w:rPr>
                          <w:rFonts w:asciiTheme="majorBidi" w:hAnsiTheme="majorBidi" w:cstheme="majorBidi"/>
                          <w:color w:val="FFFFFF" w:themeColor="background1"/>
                          <w:sz w:val="14"/>
                          <w:szCs w:val="14"/>
                          <w:lang w:val="en-US"/>
                        </w:rPr>
                      </w:pPr>
                      <w:r w:rsidRPr="001952AC">
                        <w:rPr>
                          <w:rFonts w:asciiTheme="majorBidi" w:hAnsiTheme="majorBidi" w:cstheme="majorBidi"/>
                          <w:color w:val="FFFFFF" w:themeColor="background1"/>
                          <w:sz w:val="14"/>
                          <w:szCs w:val="14"/>
                          <w:lang w:val="en-US"/>
                        </w:rPr>
                        <w:t xml:space="preserve">Aden General Security Director, </w:t>
                      </w:r>
                      <w:r>
                        <w:rPr>
                          <w:rFonts w:asciiTheme="majorBidi" w:hAnsiTheme="majorBidi" w:cstheme="majorBidi"/>
                          <w:color w:val="FFFFFF" w:themeColor="background1"/>
                          <w:sz w:val="14"/>
                          <w:szCs w:val="14"/>
                          <w:lang w:val="en-US"/>
                        </w:rPr>
                        <w:t>MG</w:t>
                      </w:r>
                      <w:r w:rsidRPr="001952AC">
                        <w:rPr>
                          <w:rFonts w:asciiTheme="majorBidi" w:hAnsiTheme="majorBidi" w:cstheme="majorBidi"/>
                          <w:color w:val="FFFFFF" w:themeColor="background1"/>
                          <w:sz w:val="14"/>
                          <w:szCs w:val="14"/>
                          <w:lang w:val="en-US"/>
                        </w:rPr>
                        <w:t xml:space="preserve"> Shallal Ali Shaya’</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6608" behindDoc="0" locked="0" layoutInCell="1" allowOverlap="1" wp14:anchorId="72A1C7D6" wp14:editId="437C4784">
                <wp:simplePos x="0" y="0"/>
                <wp:positionH relativeFrom="column">
                  <wp:posOffset>3775710</wp:posOffset>
                </wp:positionH>
                <wp:positionV relativeFrom="paragraph">
                  <wp:posOffset>1285240</wp:posOffset>
                </wp:positionV>
                <wp:extent cx="0" cy="344170"/>
                <wp:effectExtent l="76200" t="0" r="76200" b="55880"/>
                <wp:wrapNone/>
                <wp:docPr id="54" name="Straight Arrow Connector 54"/>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54A6CCF" id="_x0000_t32" coordsize="21600,21600" o:spt="32" o:oned="t" path="m,l21600,21600e" filled="f">
                <v:path arrowok="t" fillok="f" o:connecttype="none"/>
                <o:lock v:ext="edit" shapetype="t"/>
              </v:shapetype>
              <v:shape id="Straight Arrow Connector 54" o:spid="_x0000_s1026" type="#_x0000_t32" style="position:absolute;margin-left:297.3pt;margin-top:101.2pt;width:0;height:27.1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4560" behindDoc="0" locked="0" layoutInCell="1" allowOverlap="1" wp14:anchorId="11D066A7" wp14:editId="02FEC407">
                <wp:simplePos x="0" y="0"/>
                <wp:positionH relativeFrom="column">
                  <wp:posOffset>2211070</wp:posOffset>
                </wp:positionH>
                <wp:positionV relativeFrom="paragraph">
                  <wp:posOffset>1285240</wp:posOffset>
                </wp:positionV>
                <wp:extent cx="0" cy="344170"/>
                <wp:effectExtent l="76200" t="0" r="76200" b="55880"/>
                <wp:wrapNone/>
                <wp:docPr id="53" name="Straight Arrow Connector 53"/>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1E7A37" id="Straight Arrow Connector 53" o:spid="_x0000_s1026" type="#_x0000_t32" style="position:absolute;margin-left:174.1pt;margin-top:101.2pt;width:0;height:27.1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7632" behindDoc="0" locked="0" layoutInCell="1" allowOverlap="1" wp14:anchorId="02B2EC3B" wp14:editId="251D42F1">
                <wp:simplePos x="0" y="0"/>
                <wp:positionH relativeFrom="column">
                  <wp:posOffset>5423535</wp:posOffset>
                </wp:positionH>
                <wp:positionV relativeFrom="paragraph">
                  <wp:posOffset>1285240</wp:posOffset>
                </wp:positionV>
                <wp:extent cx="0" cy="344170"/>
                <wp:effectExtent l="76200" t="0" r="76200" b="55880"/>
                <wp:wrapNone/>
                <wp:docPr id="55" name="Straight Arrow Connector 55"/>
                <wp:cNvGraphicFramePr/>
                <a:graphic xmlns:a="http://schemas.openxmlformats.org/drawingml/2006/main">
                  <a:graphicData uri="http://schemas.microsoft.com/office/word/2010/wordprocessingShape">
                    <wps:wsp>
                      <wps:cNvCnPr/>
                      <wps:spPr>
                        <a:xfrm>
                          <a:off x="0" y="0"/>
                          <a:ext cx="0" cy="3441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E803B9" id="Straight Arrow Connector 55" o:spid="_x0000_s1026" type="#_x0000_t32" style="position:absolute;margin-left:427.05pt;margin-top:101.2pt;width:0;height:27.1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2512" behindDoc="0" locked="0" layoutInCell="1" allowOverlap="1" wp14:anchorId="6E9DE82B" wp14:editId="3AE09CE7">
                <wp:simplePos x="0" y="0"/>
                <wp:positionH relativeFrom="column">
                  <wp:posOffset>474980</wp:posOffset>
                </wp:positionH>
                <wp:positionV relativeFrom="paragraph">
                  <wp:posOffset>1290320</wp:posOffset>
                </wp:positionV>
                <wp:extent cx="4939665" cy="0"/>
                <wp:effectExtent l="0" t="0" r="32385" b="19050"/>
                <wp:wrapNone/>
                <wp:docPr id="49" name="Straight Connector 49"/>
                <wp:cNvGraphicFramePr/>
                <a:graphic xmlns:a="http://schemas.openxmlformats.org/drawingml/2006/main">
                  <a:graphicData uri="http://schemas.microsoft.com/office/word/2010/wordprocessingShape">
                    <wps:wsp>
                      <wps:cNvCnPr/>
                      <wps:spPr>
                        <a:xfrm>
                          <a:off x="0" y="0"/>
                          <a:ext cx="493966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80CBF" id="Straight Connector 49"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37.4pt,101.6pt" to="426.3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3536" behindDoc="0" locked="0" layoutInCell="1" allowOverlap="1" wp14:anchorId="55F01751" wp14:editId="76BB709D">
                <wp:simplePos x="0" y="0"/>
                <wp:positionH relativeFrom="column">
                  <wp:posOffset>494030</wp:posOffset>
                </wp:positionH>
                <wp:positionV relativeFrom="paragraph">
                  <wp:posOffset>1285240</wp:posOffset>
                </wp:positionV>
                <wp:extent cx="0" cy="332105"/>
                <wp:effectExtent l="76200" t="0" r="76200" b="48895"/>
                <wp:wrapNone/>
                <wp:docPr id="52" name="Straight Arrow Connector 52"/>
                <wp:cNvGraphicFramePr/>
                <a:graphic xmlns:a="http://schemas.openxmlformats.org/drawingml/2006/main">
                  <a:graphicData uri="http://schemas.microsoft.com/office/word/2010/wordprocessingShape">
                    <wps:wsp>
                      <wps:cNvCnPr/>
                      <wps:spPr>
                        <a:xfrm>
                          <a:off x="0" y="0"/>
                          <a:ext cx="0" cy="3321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0ACEA7" id="Straight Arrow Connector 52" o:spid="_x0000_s1026" type="#_x0000_t32" style="position:absolute;margin-left:38.9pt;margin-top:101.2pt;width:0;height:26.1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9680" behindDoc="0" locked="0" layoutInCell="1" allowOverlap="1" wp14:anchorId="0FDC3059" wp14:editId="0D377CCF">
                <wp:simplePos x="0" y="0"/>
                <wp:positionH relativeFrom="column">
                  <wp:posOffset>3634740</wp:posOffset>
                </wp:positionH>
                <wp:positionV relativeFrom="paragraph">
                  <wp:posOffset>2148650</wp:posOffset>
                </wp:positionV>
                <wp:extent cx="0" cy="344170"/>
                <wp:effectExtent l="76200" t="0" r="76200" b="55880"/>
                <wp:wrapNone/>
                <wp:docPr id="228" name="Straight Arrow Connector 228"/>
                <wp:cNvGraphicFramePr/>
                <a:graphic xmlns:a="http://schemas.openxmlformats.org/drawingml/2006/main">
                  <a:graphicData uri="http://schemas.microsoft.com/office/word/2010/wordprocessingShape">
                    <wps:wsp>
                      <wps:cNvCnPr/>
                      <wps:spPr>
                        <a:xfrm>
                          <a:off x="0" y="0"/>
                          <a:ext cx="0" cy="34417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18F4A63" id="Straight Arrow Connector 228" o:spid="_x0000_s1026" type="#_x0000_t32" style="position:absolute;margin-left:286.2pt;margin-top:169.2pt;width:0;height:27.1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" strokecolor="#5b9bd5" strokeweight=".5pt">
                <v:stroke endarrow="block" joinstyle="miter"/>
              </v:shape>
            </w:pict>
          </mc:Fallback>
        </mc:AlternateContent>
      </w:r>
      <w:r w:rsidRPr="00B91FAE">
        <w:rPr>
          <w:noProof/>
          <w:sz w:val="24"/>
          <w:szCs w:val="24"/>
          <w:lang w:eastAsia="en-GB"/>
        </w:rPr>
        <mc:AlternateContent>
          <mc:Choice Requires="wps">
            <w:drawing>
              <wp:anchor distT="0" distB="0" distL="114300" distR="114300" simplePos="0" relativeHeight="251718656" behindDoc="0" locked="0" layoutInCell="1" allowOverlap="1" wp14:anchorId="24BBC6B3" wp14:editId="52C28F07">
                <wp:simplePos x="0" y="0"/>
                <wp:positionH relativeFrom="column">
                  <wp:posOffset>3124200</wp:posOffset>
                </wp:positionH>
                <wp:positionV relativeFrom="paragraph">
                  <wp:posOffset>2476501</wp:posOffset>
                </wp:positionV>
                <wp:extent cx="1291736" cy="476250"/>
                <wp:effectExtent l="0" t="0" r="22860" b="19050"/>
                <wp:wrapNone/>
                <wp:docPr id="227" name="Rectangle 227"/>
                <wp:cNvGraphicFramePr/>
                <a:graphic xmlns:a="http://schemas.openxmlformats.org/drawingml/2006/main">
                  <a:graphicData uri="http://schemas.microsoft.com/office/word/2010/wordprocessingShape">
                    <wps:wsp>
                      <wps:cNvSpPr/>
                      <wps:spPr>
                        <a:xfrm>
                          <a:off x="0" y="0"/>
                          <a:ext cx="1291736"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7D7E1B5C"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NSB/ Aden</w:t>
                            </w:r>
                          </w:p>
                          <w:p w14:paraId="69EC9C4B"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BG Haidarah al-Ahtal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BBC6B3" id="Rectangle 227" o:spid="_x0000_s1039" style="position:absolute;margin-left:246pt;margin-top:195pt;width:101.7pt;height: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" fillcolor="#1f4e79" strokecolor="#41719c" strokeweight="1pt">
                <v:stroke joinstyle="round"/>
                <v:textbox>
                  <w:txbxContent>
                    <w:p w14:paraId="7D7E1B5C"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NSB/ Aden</w:t>
                      </w:r>
                    </w:p>
                    <w:p w14:paraId="69EC9C4B" w14:textId="77777777" w:rsidR="00A1624A" w:rsidRPr="00A1624A" w:rsidRDefault="00A1624A" w:rsidP="00EA7E88">
                      <w:pPr>
                        <w:jc w:val="center"/>
                        <w:rPr>
                          <w:color w:val="FFFFFF" w:themeColor="background1"/>
                          <w:sz w:val="16"/>
                          <w:szCs w:val="16"/>
                          <w:lang w:val="es-ES" w:bidi="ar-JO"/>
                        </w:rPr>
                      </w:pPr>
                      <w:r w:rsidRPr="00A1624A">
                        <w:rPr>
                          <w:color w:val="FFFFFF" w:themeColor="background1"/>
                          <w:sz w:val="16"/>
                          <w:szCs w:val="16"/>
                          <w:lang w:val="es-ES" w:bidi="ar-JO"/>
                        </w:rPr>
                        <w:t>BG Haidarah al-Ahtal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7936" behindDoc="0" locked="0" layoutInCell="1" allowOverlap="1" wp14:anchorId="0CF5DCC2" wp14:editId="4F22B074">
                <wp:simplePos x="0" y="0"/>
                <wp:positionH relativeFrom="column">
                  <wp:posOffset>-217805</wp:posOffset>
                </wp:positionH>
                <wp:positionV relativeFrom="paragraph">
                  <wp:posOffset>2070735</wp:posOffset>
                </wp:positionV>
                <wp:extent cx="0" cy="5758815"/>
                <wp:effectExtent l="0" t="0" r="19050" b="32385"/>
                <wp:wrapNone/>
                <wp:docPr id="251" name="Straight Connector 251"/>
                <wp:cNvGraphicFramePr/>
                <a:graphic xmlns:a="http://schemas.openxmlformats.org/drawingml/2006/main">
                  <a:graphicData uri="http://schemas.microsoft.com/office/word/2010/wordprocessingShape">
                    <wps:wsp>
                      <wps:cNvCnPr/>
                      <wps:spPr>
                        <a:xfrm>
                          <a:off x="0" y="0"/>
                          <a:ext cx="0" cy="57588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AF1F9A2" id="Straight Connector 251" o:spid="_x0000_s1026" style="position:absolute;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15pt,163.05pt" to="-17.15pt,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7456" behindDoc="0" locked="0" layoutInCell="1" allowOverlap="1" wp14:anchorId="00D831E7" wp14:editId="00FF23A5">
                <wp:simplePos x="0" y="0"/>
                <wp:positionH relativeFrom="column">
                  <wp:posOffset>-219075</wp:posOffset>
                </wp:positionH>
                <wp:positionV relativeFrom="paragraph">
                  <wp:posOffset>1609725</wp:posOffset>
                </wp:positionV>
                <wp:extent cx="1447800" cy="568325"/>
                <wp:effectExtent l="0" t="0" r="19050" b="22225"/>
                <wp:wrapNone/>
                <wp:docPr id="98" name="Rectangle 98"/>
                <wp:cNvGraphicFramePr/>
                <a:graphic xmlns:a="http://schemas.openxmlformats.org/drawingml/2006/main">
                  <a:graphicData uri="http://schemas.microsoft.com/office/word/2010/wordprocessingShape">
                    <wps:wsp>
                      <wps:cNvSpPr/>
                      <wps:spPr>
                        <a:xfrm>
                          <a:off x="0" y="0"/>
                          <a:ext cx="1447800" cy="568325"/>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4820C724" w14:textId="77777777" w:rsidR="00A1624A" w:rsidRPr="00751913" w:rsidRDefault="00A1624A" w:rsidP="00EA7E88">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831E7" id="Rectangle 98" o:spid="_x0000_s1040" style="position:absolute;margin-left:-17.25pt;margin-top:126.75pt;width:114pt;height:4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" fillcolor="#1f4e79" strokecolor="#41719c" strokeweight="1pt">
                <v:stroke joinstyle="round"/>
                <v:textbox>
                  <w:txbxContent>
                    <w:p w14:paraId="4820C724" w14:textId="77777777" w:rsidR="00A1624A" w:rsidRPr="00751913" w:rsidRDefault="00A1624A" w:rsidP="00EA7E88">
                      <w:pPr>
                        <w:jc w:val="center"/>
                        <w:rPr>
                          <w:rFonts w:asciiTheme="majorBidi" w:hAnsiTheme="majorBidi" w:cstheme="majorBidi"/>
                          <w:color w:val="FFFFFF" w:themeColor="background1"/>
                          <w:sz w:val="16"/>
                          <w:szCs w:val="16"/>
                          <w:lang w:bidi="ar-JO"/>
                        </w:rPr>
                      </w:pPr>
                      <w:r w:rsidRPr="00751913">
                        <w:rPr>
                          <w:rFonts w:asciiTheme="majorBidi" w:hAnsiTheme="majorBidi" w:cstheme="majorBidi"/>
                          <w:color w:val="FFFFFF" w:themeColor="background1"/>
                          <w:sz w:val="16"/>
                          <w:szCs w:val="16"/>
                          <w:lang w:bidi="ar-JO"/>
                        </w:rPr>
                        <w:t>Minister of Interior Ahmad al-Misri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15584" behindDoc="0" locked="0" layoutInCell="1" allowOverlap="1" wp14:anchorId="5707114F" wp14:editId="452FFB05">
                <wp:simplePos x="0" y="0"/>
                <wp:positionH relativeFrom="column">
                  <wp:posOffset>5305615</wp:posOffset>
                </wp:positionH>
                <wp:positionV relativeFrom="paragraph">
                  <wp:posOffset>2188845</wp:posOffset>
                </wp:positionV>
                <wp:extent cx="0" cy="259963"/>
                <wp:effectExtent l="76200" t="0" r="57150" b="64135"/>
                <wp:wrapNone/>
                <wp:docPr id="58" name="Straight Arrow Connector 58"/>
                <wp:cNvGraphicFramePr/>
                <a:graphic xmlns:a="http://schemas.openxmlformats.org/drawingml/2006/main">
                  <a:graphicData uri="http://schemas.microsoft.com/office/word/2010/wordprocessingShape">
                    <wps:wsp>
                      <wps:cNvCnPr/>
                      <wps:spPr>
                        <a:xfrm>
                          <a:off x="0" y="0"/>
                          <a:ext cx="0" cy="2599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864103" id="Straight Arrow Connector 58" o:spid="_x0000_s1026" type="#_x0000_t32" style="position:absolute;margin-left:417.75pt;margin-top:172.35pt;width:0;height:20.4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04320" behindDoc="0" locked="0" layoutInCell="1" allowOverlap="1" wp14:anchorId="5CBDCEF3" wp14:editId="78B91BD6">
                <wp:simplePos x="0" y="0"/>
                <wp:positionH relativeFrom="column">
                  <wp:posOffset>2934129</wp:posOffset>
                </wp:positionH>
                <wp:positionV relativeFrom="paragraph">
                  <wp:posOffset>1036122</wp:posOffset>
                </wp:positionV>
                <wp:extent cx="0" cy="249382"/>
                <wp:effectExtent l="0" t="0" r="19050" b="36830"/>
                <wp:wrapNone/>
                <wp:docPr id="51" name="Straight Connector 51"/>
                <wp:cNvGraphicFramePr/>
                <a:graphic xmlns:a="http://schemas.openxmlformats.org/drawingml/2006/main">
                  <a:graphicData uri="http://schemas.microsoft.com/office/word/2010/wordprocessingShape">
                    <wps:wsp>
                      <wps:cNvCnPr/>
                      <wps:spPr>
                        <a:xfrm>
                          <a:off x="0" y="0"/>
                          <a:ext cx="0" cy="24938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A480E6" id="Straight Connector 51"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231.05pt,81.6pt" to="231.05pt,10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59264" behindDoc="0" locked="0" layoutInCell="1" allowOverlap="1" wp14:anchorId="706DDF98" wp14:editId="4227B7FD">
                <wp:simplePos x="0" y="0"/>
                <wp:positionH relativeFrom="column">
                  <wp:posOffset>1090303</wp:posOffset>
                </wp:positionH>
                <wp:positionV relativeFrom="paragraph">
                  <wp:posOffset>121722</wp:posOffset>
                </wp:positionV>
                <wp:extent cx="3639820" cy="902525"/>
                <wp:effectExtent l="0" t="0" r="17780" b="12065"/>
                <wp:wrapNone/>
                <wp:docPr id="242" name="Rectangle 242"/>
                <wp:cNvGraphicFramePr/>
                <a:graphic xmlns:a="http://schemas.openxmlformats.org/drawingml/2006/main">
                  <a:graphicData uri="http://schemas.microsoft.com/office/word/2010/wordprocessingShape">
                    <wps:wsp>
                      <wps:cNvSpPr/>
                      <wps:spPr>
                        <a:xfrm>
                          <a:off x="0" y="0"/>
                          <a:ext cx="3639820" cy="902525"/>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AE8267" w14:textId="77777777" w:rsidR="00A1624A" w:rsidRPr="000456B4" w:rsidRDefault="00A1624A" w:rsidP="00EA7E88">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DDF98" id="Rectangle 242" o:spid="_x0000_s1041" style="position:absolute;margin-left:85.85pt;margin-top:9.6pt;width:286.6pt;height:7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" fillcolor="#1f4d78 [1604]" strokecolor="#1f4d78 [1604]" strokeweight="1pt">
                <v:textbox>
                  <w:txbxContent>
                    <w:p w14:paraId="74AE8267" w14:textId="77777777" w:rsidR="00A1624A" w:rsidRPr="000456B4" w:rsidRDefault="00A1624A" w:rsidP="00EA7E88">
                      <w:pPr>
                        <w:jc w:val="center"/>
                        <w:rPr>
                          <w:rFonts w:asciiTheme="majorBidi" w:hAnsiTheme="majorBidi" w:cstheme="majorBidi"/>
                          <w:sz w:val="28"/>
                          <w:szCs w:val="28"/>
                        </w:rPr>
                      </w:pPr>
                      <w:r w:rsidRPr="000456B4">
                        <w:rPr>
                          <w:rFonts w:asciiTheme="majorBidi" w:hAnsiTheme="majorBidi" w:cstheme="majorBidi"/>
                          <w:sz w:val="24"/>
                          <w:szCs w:val="24"/>
                          <w:lang w:val="en-US"/>
                        </w:rPr>
                        <w:t>President, Abd Rabbuh Mansour Hadi, the Supreme Commander of the Armed Forces</w:t>
                      </w:r>
                      <w:r>
                        <w:rPr>
                          <w:rFonts w:asciiTheme="majorBidi" w:hAnsiTheme="majorBidi" w:cstheme="majorBidi"/>
                          <w:sz w:val="24"/>
                          <w:szCs w:val="24"/>
                          <w:lang w:val="en-US"/>
                        </w:rPr>
                        <w:t xml:space="preserve">, </w:t>
                      </w:r>
                      <w:r w:rsidRPr="000456B4">
                        <w:rPr>
                          <w:rFonts w:asciiTheme="majorBidi" w:hAnsiTheme="majorBidi" w:cstheme="majorBidi"/>
                          <w:sz w:val="24"/>
                          <w:szCs w:val="24"/>
                          <w:lang w:val="en-US"/>
                        </w:rPr>
                        <w:t>the</w:t>
                      </w:r>
                      <w:r w:rsidRPr="000456B4">
                        <w:rPr>
                          <w:rFonts w:asciiTheme="majorBidi" w:hAnsiTheme="majorBidi" w:cstheme="majorBidi"/>
                          <w:color w:val="FFFFFF" w:themeColor="background1"/>
                          <w:sz w:val="24"/>
                          <w:szCs w:val="24"/>
                          <w:lang w:val="en-US"/>
                        </w:rPr>
                        <w:t xml:space="preserve"> Chairman of the National Defen</w:t>
                      </w:r>
                      <w:r>
                        <w:rPr>
                          <w:rFonts w:asciiTheme="majorBidi" w:hAnsiTheme="majorBidi" w:cstheme="majorBidi"/>
                          <w:color w:val="FFFFFF" w:themeColor="background1"/>
                          <w:sz w:val="24"/>
                          <w:szCs w:val="24"/>
                          <w:lang w:val="en-US"/>
                        </w:rPr>
                        <w:t>c</w:t>
                      </w:r>
                      <w:r w:rsidRPr="000456B4">
                        <w:rPr>
                          <w:rFonts w:asciiTheme="majorBidi" w:hAnsiTheme="majorBidi" w:cstheme="majorBidi"/>
                          <w:color w:val="FFFFFF" w:themeColor="background1"/>
                          <w:sz w:val="24"/>
                          <w:szCs w:val="24"/>
                          <w:lang w:val="en-US"/>
                        </w:rPr>
                        <w:t>e Council</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9200" behindDoc="0" locked="0" layoutInCell="1" allowOverlap="1" wp14:anchorId="08CA42CD" wp14:editId="52715670">
                <wp:simplePos x="0" y="0"/>
                <wp:positionH relativeFrom="column">
                  <wp:posOffset>4762500</wp:posOffset>
                </wp:positionH>
                <wp:positionV relativeFrom="paragraph">
                  <wp:posOffset>2447926</wp:posOffset>
                </wp:positionV>
                <wp:extent cx="1257300" cy="47625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1257300" cy="476250"/>
                        </a:xfrm>
                        <a:prstGeom prst="rect">
                          <a:avLst/>
                        </a:prstGeom>
                        <a:solidFill>
                          <a:srgbClr val="5B9BD5">
                            <a:lumMod val="50000"/>
                          </a:srgbClr>
                        </a:solidFill>
                        <a:ln w="12700" cap="flat" cmpd="sng" algn="ctr">
                          <a:solidFill>
                            <a:srgbClr val="5B9BD5">
                              <a:shade val="50000"/>
                            </a:srgbClr>
                          </a:solidFill>
                          <a:prstDash val="solid"/>
                          <a:round/>
                        </a:ln>
                        <a:effectLst/>
                      </wps:spPr>
                      <wps:txbx>
                        <w:txbxContent>
                          <w:p w14:paraId="1A08B784" w14:textId="77777777" w:rsidR="00A1624A"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5B750BA2" w14:textId="77777777" w:rsidR="00A1624A" w:rsidRPr="00751913"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A42CD" id="Rectangle 48" o:spid="_x0000_s1042" style="position:absolute;margin-left:375pt;margin-top:192.75pt;width:99pt;height: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" fillcolor="#1f4e79" strokecolor="#41719c" strokeweight="1pt">
                <v:stroke joinstyle="round"/>
                <v:textbox>
                  <w:txbxContent>
                    <w:p w14:paraId="1A08B784" w14:textId="77777777" w:rsidR="00A1624A"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PSO/Aden</w:t>
                      </w:r>
                    </w:p>
                    <w:p w14:paraId="5B750BA2" w14:textId="77777777" w:rsidR="00A1624A" w:rsidRPr="00751913" w:rsidRDefault="00A1624A" w:rsidP="00EA7E88">
                      <w:pPr>
                        <w:jc w:val="center"/>
                        <w:rPr>
                          <w:rFonts w:asciiTheme="majorBidi" w:hAnsiTheme="majorBidi" w:cstheme="majorBidi"/>
                          <w:color w:val="FFFFFF" w:themeColor="background1"/>
                          <w:sz w:val="16"/>
                          <w:szCs w:val="16"/>
                          <w:lang w:val="en-US" w:bidi="ar-JO"/>
                        </w:rPr>
                      </w:pPr>
                      <w:r>
                        <w:rPr>
                          <w:rFonts w:asciiTheme="majorBidi" w:hAnsiTheme="majorBidi" w:cstheme="majorBidi"/>
                          <w:color w:val="FFFFFF" w:themeColor="background1"/>
                          <w:sz w:val="16"/>
                          <w:szCs w:val="16"/>
                          <w:lang w:val="en-US" w:bidi="ar-JO"/>
                        </w:rPr>
                        <w:t>BG Qaed Moh’d Musaad</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8480" behindDoc="0" locked="0" layoutInCell="1" allowOverlap="1" wp14:anchorId="610DE7B8" wp14:editId="6D7F604C">
                <wp:simplePos x="0" y="0"/>
                <wp:positionH relativeFrom="column">
                  <wp:posOffset>4743450</wp:posOffset>
                </wp:positionH>
                <wp:positionV relativeFrom="paragraph">
                  <wp:posOffset>1628775</wp:posOffset>
                </wp:positionV>
                <wp:extent cx="1343672" cy="559435"/>
                <wp:effectExtent l="0" t="0" r="27940" b="12065"/>
                <wp:wrapNone/>
                <wp:docPr id="150" name="Rectangle 150"/>
                <wp:cNvGraphicFramePr/>
                <a:graphic xmlns:a="http://schemas.openxmlformats.org/drawingml/2006/main">
                  <a:graphicData uri="http://schemas.microsoft.com/office/word/2010/wordprocessingShape">
                    <wps:wsp>
                      <wps:cNvSpPr/>
                      <wps:spPr>
                        <a:xfrm>
                          <a:off x="0" y="0"/>
                          <a:ext cx="1343672" cy="55943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8824E4C"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6A02A521" w14:textId="77777777" w:rsidR="00A1624A" w:rsidRPr="0075191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DE7B8" id="Rectangle 150" o:spid="_x0000_s1043" style="position:absolute;margin-left:373.5pt;margin-top:128.25pt;width:105.8pt;height:44.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" fillcolor="#1f4e79" strokecolor="#41719c" strokeweight="1pt">
                <v:textbox>
                  <w:txbxContent>
                    <w:p w14:paraId="68824E4C"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Political Security</w:t>
                      </w:r>
                    </w:p>
                    <w:p w14:paraId="6A02A521" w14:textId="77777777" w:rsidR="00A1624A" w:rsidRPr="0075191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Abdo Al-Hadifi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9504" behindDoc="0" locked="0" layoutInCell="1" allowOverlap="1" wp14:anchorId="4A9E3760" wp14:editId="32BF29C7">
                <wp:simplePos x="0" y="0"/>
                <wp:positionH relativeFrom="column">
                  <wp:posOffset>3124200</wp:posOffset>
                </wp:positionH>
                <wp:positionV relativeFrom="paragraph">
                  <wp:posOffset>1619250</wp:posOffset>
                </wp:positionV>
                <wp:extent cx="1343672" cy="558165"/>
                <wp:effectExtent l="0" t="0" r="27940" b="13335"/>
                <wp:wrapNone/>
                <wp:docPr id="159" name="Rectangle 159"/>
                <wp:cNvGraphicFramePr/>
                <a:graphic xmlns:a="http://schemas.openxmlformats.org/drawingml/2006/main">
                  <a:graphicData uri="http://schemas.microsoft.com/office/word/2010/wordprocessingShape">
                    <wps:wsp>
                      <wps:cNvSpPr/>
                      <wps:spPr>
                        <a:xfrm>
                          <a:off x="0" y="0"/>
                          <a:ext cx="1343672" cy="55816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36CD75D"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618EE4B3"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41E896AC" w14:textId="77777777" w:rsidR="00A1624A" w:rsidRPr="00751913"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E3760" id="Rectangle 159" o:spid="_x0000_s1044" style="position:absolute;margin-left:246pt;margin-top:127.5pt;width:105.8pt;height:4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" fillcolor="#1f4e79" strokecolor="#41719c" strokeweight="1pt">
                <v:textbox>
                  <w:txbxContent>
                    <w:p w14:paraId="636CD75D"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val="en-US"/>
                        </w:rPr>
                        <w:t>National Security</w:t>
                      </w:r>
                    </w:p>
                    <w:p w14:paraId="618EE4B3" w14:textId="77777777" w:rsidR="00A1624A" w:rsidRPr="00751913" w:rsidRDefault="00A1624A" w:rsidP="00EA7E88">
                      <w:pPr>
                        <w:spacing w:line="240" w:lineRule="auto"/>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MG</w:t>
                      </w:r>
                      <w:r w:rsidRPr="00751913">
                        <w:rPr>
                          <w:rFonts w:asciiTheme="majorBidi" w:hAnsiTheme="majorBidi" w:cstheme="majorBidi"/>
                          <w:color w:val="FFFFFF" w:themeColor="background1"/>
                          <w:sz w:val="16"/>
                          <w:szCs w:val="16"/>
                          <w:lang w:val="en-US"/>
                        </w:rPr>
                        <w:t xml:space="preserve">  Ahmed Al-Musabi</w:t>
                      </w:r>
                    </w:p>
                    <w:p w14:paraId="41E896AC" w14:textId="77777777" w:rsidR="00A1624A" w:rsidRPr="00751913"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6128" behindDoc="0" locked="0" layoutInCell="1" allowOverlap="1" wp14:anchorId="6AB29134" wp14:editId="5F7976E4">
                <wp:simplePos x="0" y="0"/>
                <wp:positionH relativeFrom="column">
                  <wp:posOffset>-217805</wp:posOffset>
                </wp:positionH>
                <wp:positionV relativeFrom="paragraph">
                  <wp:posOffset>7808282</wp:posOffset>
                </wp:positionV>
                <wp:extent cx="108585" cy="0"/>
                <wp:effectExtent l="0" t="76200" r="24765" b="95250"/>
                <wp:wrapNone/>
                <wp:docPr id="35" name="Straight Arrow Connector 35"/>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4AE54BC" id="Straight Arrow Connector 35" o:spid="_x0000_s1026" type="#_x0000_t32" style="position:absolute;margin-left:-17.15pt;margin-top:614.85pt;width:8.55pt;height:0;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5104" behindDoc="0" locked="0" layoutInCell="1" allowOverlap="1" wp14:anchorId="51D30476" wp14:editId="275EF178">
                <wp:simplePos x="0" y="0"/>
                <wp:positionH relativeFrom="column">
                  <wp:posOffset>-233045</wp:posOffset>
                </wp:positionH>
                <wp:positionV relativeFrom="paragraph">
                  <wp:posOffset>7092628</wp:posOffset>
                </wp:positionV>
                <wp:extent cx="108585" cy="0"/>
                <wp:effectExtent l="0" t="76200" r="24765" b="95250"/>
                <wp:wrapNone/>
                <wp:docPr id="34" name="Straight Arrow Connector 34"/>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6F5F498" id="Straight Arrow Connector 34" o:spid="_x0000_s1026" type="#_x0000_t32" style="position:absolute;margin-left:-18.35pt;margin-top:558.45pt;width:8.55pt;height:0;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4080" behindDoc="0" locked="0" layoutInCell="1" allowOverlap="1" wp14:anchorId="006250D4" wp14:editId="56C38C63">
                <wp:simplePos x="0" y="0"/>
                <wp:positionH relativeFrom="column">
                  <wp:posOffset>-228278</wp:posOffset>
                </wp:positionH>
                <wp:positionV relativeFrom="paragraph">
                  <wp:posOffset>6344920</wp:posOffset>
                </wp:positionV>
                <wp:extent cx="108585" cy="0"/>
                <wp:effectExtent l="0" t="76200" r="24765" b="95250"/>
                <wp:wrapNone/>
                <wp:docPr id="33" name="Straight Arrow Connector 33"/>
                <wp:cNvGraphicFramePr/>
                <a:graphic xmlns:a="http://schemas.openxmlformats.org/drawingml/2006/main">
                  <a:graphicData uri="http://schemas.microsoft.com/office/word/2010/wordprocessingShape">
                    <wps:wsp>
                      <wps:cNvCnPr/>
                      <wps:spPr>
                        <a:xfrm>
                          <a:off x="0" y="0"/>
                          <a:ext cx="1085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E242296" id="Straight Arrow Connector 33" o:spid="_x0000_s1026" type="#_x0000_t32" style="position:absolute;margin-left:-17.95pt;margin-top:499.6pt;width:8.55pt;height:0;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3056" behindDoc="0" locked="0" layoutInCell="1" allowOverlap="1" wp14:anchorId="26ED94B9" wp14:editId="036F4E82">
                <wp:simplePos x="0" y="0"/>
                <wp:positionH relativeFrom="column">
                  <wp:posOffset>-225103</wp:posOffset>
                </wp:positionH>
                <wp:positionV relativeFrom="paragraph">
                  <wp:posOffset>5623560</wp:posOffset>
                </wp:positionV>
                <wp:extent cx="109182" cy="0"/>
                <wp:effectExtent l="0" t="76200" r="24765" b="95250"/>
                <wp:wrapNone/>
                <wp:docPr id="32" name="Straight Arrow Connector 32"/>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3477C3E" id="Straight Arrow Connector 32" o:spid="_x0000_s1026" type="#_x0000_t32" style="position:absolute;margin-left:-17.7pt;margin-top:442.8pt;width:8.6pt;height:0;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xJ4QEAAKU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2032" behindDoc="0" locked="0" layoutInCell="1" allowOverlap="1" wp14:anchorId="602387C6" wp14:editId="4E1C99C2">
                <wp:simplePos x="0" y="0"/>
                <wp:positionH relativeFrom="column">
                  <wp:posOffset>-228278</wp:posOffset>
                </wp:positionH>
                <wp:positionV relativeFrom="paragraph">
                  <wp:posOffset>4895215</wp:posOffset>
                </wp:positionV>
                <wp:extent cx="109182" cy="0"/>
                <wp:effectExtent l="0" t="76200" r="24765" b="95250"/>
                <wp:wrapNone/>
                <wp:docPr id="255" name="Straight Arrow Connector 255"/>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D65A85E" id="Straight Arrow Connector 255" o:spid="_x0000_s1026" type="#_x0000_t32" style="position:absolute;margin-left:-17.95pt;margin-top:385.45pt;width:8.6pt;height:0;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91008" behindDoc="0" locked="0" layoutInCell="1" allowOverlap="1" wp14:anchorId="3A4397B8" wp14:editId="4E204B6E">
                <wp:simplePos x="0" y="0"/>
                <wp:positionH relativeFrom="column">
                  <wp:posOffset>-227330</wp:posOffset>
                </wp:positionH>
                <wp:positionV relativeFrom="paragraph">
                  <wp:posOffset>4142418</wp:posOffset>
                </wp:positionV>
                <wp:extent cx="109182" cy="0"/>
                <wp:effectExtent l="0" t="76200" r="24765" b="95250"/>
                <wp:wrapNone/>
                <wp:docPr id="254" name="Straight Arrow Connector 254"/>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A9D0C13" id="Straight Arrow Connector 254" o:spid="_x0000_s1026" type="#_x0000_t32" style="position:absolute;margin-left:-17.9pt;margin-top:326.15pt;width:8.6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9984" behindDoc="0" locked="0" layoutInCell="1" allowOverlap="1" wp14:anchorId="47FA8FC8" wp14:editId="726AB6CE">
                <wp:simplePos x="0" y="0"/>
                <wp:positionH relativeFrom="column">
                  <wp:posOffset>-228287</wp:posOffset>
                </wp:positionH>
                <wp:positionV relativeFrom="paragraph">
                  <wp:posOffset>3385820</wp:posOffset>
                </wp:positionV>
                <wp:extent cx="109182" cy="0"/>
                <wp:effectExtent l="0" t="76200" r="24765" b="95250"/>
                <wp:wrapNone/>
                <wp:docPr id="253" name="Straight Arrow Connector 253"/>
                <wp:cNvGraphicFramePr/>
                <a:graphic xmlns:a="http://schemas.openxmlformats.org/drawingml/2006/main">
                  <a:graphicData uri="http://schemas.microsoft.com/office/word/2010/wordprocessingShape">
                    <wps:wsp>
                      <wps:cNvCnPr/>
                      <wps:spPr>
                        <a:xfrm>
                          <a:off x="0" y="0"/>
                          <a:ext cx="109182"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77CC1DC" id="Straight Arrow Connector 253" o:spid="_x0000_s1026" type="#_x0000_t32" style="position:absolute;margin-left:-18pt;margin-top:266.6pt;width:8.6pt;height:0;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88960" behindDoc="0" locked="0" layoutInCell="1" allowOverlap="1" wp14:anchorId="02F40429" wp14:editId="66504E2B">
                <wp:simplePos x="0" y="0"/>
                <wp:positionH relativeFrom="column">
                  <wp:posOffset>-229453</wp:posOffset>
                </wp:positionH>
                <wp:positionV relativeFrom="paragraph">
                  <wp:posOffset>2644254</wp:posOffset>
                </wp:positionV>
                <wp:extent cx="109182" cy="0"/>
                <wp:effectExtent l="0" t="76200" r="24765" b="95250"/>
                <wp:wrapNone/>
                <wp:docPr id="252" name="Straight Arrow Connector 252"/>
                <wp:cNvGraphicFramePr/>
                <a:graphic xmlns:a="http://schemas.openxmlformats.org/drawingml/2006/main">
                  <a:graphicData uri="http://schemas.microsoft.com/office/word/2010/wordprocessingShape">
                    <wps:wsp>
                      <wps:cNvCnPr/>
                      <wps:spPr>
                        <a:xfrm>
                          <a:off x="0" y="0"/>
                          <a:ext cx="10918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AD2BAB" id="Straight Arrow Connector 252" o:spid="_x0000_s1026" type="#_x0000_t32" style="position:absolute;margin-left:-18.05pt;margin-top:208.2pt;width:8.6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70528" behindDoc="0" locked="0" layoutInCell="1" allowOverlap="1" wp14:anchorId="31D3A715" wp14:editId="1FBDAAD8">
                <wp:simplePos x="0" y="0"/>
                <wp:positionH relativeFrom="column">
                  <wp:posOffset>-133350</wp:posOffset>
                </wp:positionH>
                <wp:positionV relativeFrom="paragraph">
                  <wp:posOffset>3162300</wp:posOffset>
                </wp:positionV>
                <wp:extent cx="1380323" cy="487680"/>
                <wp:effectExtent l="0" t="0" r="10795" b="26670"/>
                <wp:wrapSquare wrapText="bothSides"/>
                <wp:docPr id="217" name="Rectangle 217"/>
                <wp:cNvGraphicFramePr/>
                <a:graphic xmlns:a="http://schemas.openxmlformats.org/drawingml/2006/main">
                  <a:graphicData uri="http://schemas.microsoft.com/office/word/2010/wordprocessingShape">
                    <wps:wsp>
                      <wps:cNvSpPr/>
                      <wps:spPr>
                        <a:xfrm>
                          <a:off x="0" y="0"/>
                          <a:ext cx="1380323" cy="48768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231FF5D"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3A715" id="Rectangle 217" o:spid="_x0000_s1045" style="position:absolute;margin-left:-10.5pt;margin-top:249pt;width:108.7pt;height:38.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" fillcolor="#1f4e79" strokecolor="#41719c" strokeweight="1pt">
                <v:textbox>
                  <w:txbxContent>
                    <w:p w14:paraId="1231FF5D" w14:textId="77777777" w:rsidR="00A1624A" w:rsidRPr="003B344F" w:rsidRDefault="00A1624A" w:rsidP="00EA7E88">
                      <w:pPr>
                        <w:jc w:val="center"/>
                        <w:rPr>
                          <w:rFonts w:asciiTheme="majorBidi" w:hAnsiTheme="majorBidi" w:cstheme="majorBidi"/>
                          <w:color w:val="FFFFFF" w:themeColor="background1"/>
                          <w:sz w:val="14"/>
                          <w:szCs w:val="14"/>
                        </w:rPr>
                      </w:pPr>
                      <w:r w:rsidRPr="003B344F">
                        <w:rPr>
                          <w:rFonts w:asciiTheme="majorBidi" w:hAnsiTheme="majorBidi" w:cstheme="majorBidi"/>
                          <w:color w:val="FFFFFF" w:themeColor="background1"/>
                          <w:sz w:val="14"/>
                          <w:szCs w:val="14"/>
                          <w:lang w:val="en-US"/>
                        </w:rPr>
                        <w:t>Lahj General Security Director</w:t>
                      </w:r>
                      <w:r w:rsidRPr="003B344F">
                        <w:rPr>
                          <w:rFonts w:asciiTheme="majorBidi" w:hAnsiTheme="majorBidi" w:cstheme="majorBidi"/>
                          <w:color w:val="FFFFFF" w:themeColor="background1"/>
                          <w:sz w:val="14"/>
                          <w:szCs w:val="14"/>
                        </w:rPr>
                        <w:t xml:space="preserve">, </w:t>
                      </w:r>
                      <w:r>
                        <w:rPr>
                          <w:rFonts w:asciiTheme="majorBidi" w:hAnsiTheme="majorBidi" w:cstheme="majorBidi"/>
                          <w:color w:val="FFFFFF" w:themeColor="background1"/>
                          <w:sz w:val="14"/>
                          <w:szCs w:val="14"/>
                        </w:rPr>
                        <w:t>BG</w:t>
                      </w:r>
                      <w:r w:rsidRPr="003B344F">
                        <w:rPr>
                          <w:rFonts w:asciiTheme="majorBidi" w:hAnsiTheme="majorBidi" w:cstheme="majorBidi"/>
                          <w:color w:val="FFFFFF" w:themeColor="background1"/>
                          <w:sz w:val="14"/>
                          <w:szCs w:val="14"/>
                        </w:rPr>
                        <w:t xml:space="preserve"> Saleh al-Sayyed</w:t>
                      </w:r>
                    </w:p>
                  </w:txbxContent>
                </v:textbox>
                <w10:wrap type="square"/>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6912" behindDoc="0" locked="0" layoutInCell="1" allowOverlap="1" wp14:anchorId="4A4FEE9E" wp14:editId="77820E8B">
                <wp:simplePos x="0" y="0"/>
                <wp:positionH relativeFrom="column">
                  <wp:posOffset>1514475</wp:posOffset>
                </wp:positionH>
                <wp:positionV relativeFrom="paragraph">
                  <wp:posOffset>7829550</wp:posOffset>
                </wp:positionV>
                <wp:extent cx="66675" cy="0"/>
                <wp:effectExtent l="19050" t="76200" r="9525" b="95250"/>
                <wp:wrapNone/>
                <wp:docPr id="25" name="Straight Arrow Connector 25"/>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4AA4981" id="Straight Arrow Connector 25" o:spid="_x0000_s1026" type="#_x0000_t32" style="position:absolute;margin-left:119.25pt;margin-top:616.5pt;width:5.2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5888" behindDoc="0" locked="0" layoutInCell="1" allowOverlap="1" wp14:anchorId="5374E0F5" wp14:editId="45E6F796">
                <wp:simplePos x="0" y="0"/>
                <wp:positionH relativeFrom="column">
                  <wp:posOffset>1514475</wp:posOffset>
                </wp:positionH>
                <wp:positionV relativeFrom="paragraph">
                  <wp:posOffset>7105650</wp:posOffset>
                </wp:positionV>
                <wp:extent cx="66675" cy="0"/>
                <wp:effectExtent l="19050" t="76200" r="9525" b="95250"/>
                <wp:wrapNone/>
                <wp:docPr id="24" name="Straight Arrow Connector 24"/>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E422A95" id="Straight Arrow Connector 24" o:spid="_x0000_s1026" type="#_x0000_t32" style="position:absolute;margin-left:119.25pt;margin-top:559.5pt;width:5.25pt;height:0;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4864" behindDoc="0" locked="0" layoutInCell="1" allowOverlap="1" wp14:anchorId="48B51480" wp14:editId="65E058A0">
                <wp:simplePos x="0" y="0"/>
                <wp:positionH relativeFrom="column">
                  <wp:posOffset>2038350</wp:posOffset>
                </wp:positionH>
                <wp:positionV relativeFrom="paragraph">
                  <wp:posOffset>2129155</wp:posOffset>
                </wp:positionV>
                <wp:extent cx="0" cy="309245"/>
                <wp:effectExtent l="76200" t="0" r="57150" b="52705"/>
                <wp:wrapNone/>
                <wp:docPr id="23" name="Straight Arrow Connector 23"/>
                <wp:cNvGraphicFramePr/>
                <a:graphic xmlns:a="http://schemas.openxmlformats.org/drawingml/2006/main">
                  <a:graphicData uri="http://schemas.microsoft.com/office/word/2010/wordprocessingShape">
                    <wps:wsp>
                      <wps:cNvCnPr/>
                      <wps:spPr>
                        <a:xfrm>
                          <a:off x="0" y="0"/>
                          <a:ext cx="0" cy="309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FDD2D2" id="Straight Arrow Connector 23" o:spid="_x0000_s1026" type="#_x0000_t32" style="position:absolute;margin-left:160.5pt;margin-top:167.65pt;width:0;height:24.3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3840" behindDoc="0" locked="0" layoutInCell="1" allowOverlap="1" wp14:anchorId="6AB4E211" wp14:editId="38518E41">
                <wp:simplePos x="0" y="0"/>
                <wp:positionH relativeFrom="column">
                  <wp:posOffset>1514475</wp:posOffset>
                </wp:positionH>
                <wp:positionV relativeFrom="paragraph">
                  <wp:posOffset>6362700</wp:posOffset>
                </wp:positionV>
                <wp:extent cx="66675" cy="0"/>
                <wp:effectExtent l="19050" t="76200" r="9525" b="95250"/>
                <wp:wrapNone/>
                <wp:docPr id="22" name="Straight Arrow Connector 22"/>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1882F4C" id="Straight Arrow Connector 22" o:spid="_x0000_s1026" type="#_x0000_t32" style="position:absolute;margin-left:119.25pt;margin-top:501pt;width:5.25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DU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S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2816" behindDoc="0" locked="0" layoutInCell="1" allowOverlap="1" wp14:anchorId="2BCB128E" wp14:editId="28939B3E">
                <wp:simplePos x="0" y="0"/>
                <wp:positionH relativeFrom="column">
                  <wp:posOffset>1514475</wp:posOffset>
                </wp:positionH>
                <wp:positionV relativeFrom="paragraph">
                  <wp:posOffset>8562975</wp:posOffset>
                </wp:positionV>
                <wp:extent cx="66675" cy="0"/>
                <wp:effectExtent l="19050" t="76200" r="9525" b="95250"/>
                <wp:wrapNone/>
                <wp:docPr id="21" name="Straight Arrow Connector 21"/>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A45E83C" id="Straight Arrow Connector 21" o:spid="_x0000_s1026" type="#_x0000_t32" style="position:absolute;margin-left:119.25pt;margin-top:674.25pt;width:5.2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1792" behindDoc="0" locked="0" layoutInCell="1" allowOverlap="1" wp14:anchorId="41B76234" wp14:editId="333F4613">
                <wp:simplePos x="0" y="0"/>
                <wp:positionH relativeFrom="column">
                  <wp:posOffset>1524000</wp:posOffset>
                </wp:positionH>
                <wp:positionV relativeFrom="paragraph">
                  <wp:posOffset>5638800</wp:posOffset>
                </wp:positionV>
                <wp:extent cx="66675" cy="0"/>
                <wp:effectExtent l="19050" t="76200" r="9525" b="95250"/>
                <wp:wrapNone/>
                <wp:docPr id="20" name="Straight Arrow Connector 20"/>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74C5AC0" id="Straight Arrow Connector 20" o:spid="_x0000_s1026" type="#_x0000_t32" style="position:absolute;margin-left:120pt;margin-top:444pt;width:5.25pt;height:0;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80768" behindDoc="0" locked="0" layoutInCell="1" allowOverlap="1" wp14:anchorId="1D7010EF" wp14:editId="6F4665FB">
                <wp:simplePos x="0" y="0"/>
                <wp:positionH relativeFrom="column">
                  <wp:posOffset>1504950</wp:posOffset>
                </wp:positionH>
                <wp:positionV relativeFrom="paragraph">
                  <wp:posOffset>9286875</wp:posOffset>
                </wp:positionV>
                <wp:extent cx="66675" cy="0"/>
                <wp:effectExtent l="19050" t="76200" r="9525" b="95250"/>
                <wp:wrapNone/>
                <wp:docPr id="19" name="Straight Arrow Connector 19"/>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DAC7D5E" id="Straight Arrow Connector 19" o:spid="_x0000_s1026" type="#_x0000_t32" style="position:absolute;margin-left:118.5pt;margin-top:731.25pt;width:5.25pt;height:0;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9744" behindDoc="0" locked="0" layoutInCell="1" allowOverlap="1" wp14:anchorId="7AC3411F" wp14:editId="2FA634AE">
                <wp:simplePos x="0" y="0"/>
                <wp:positionH relativeFrom="column">
                  <wp:posOffset>1514475</wp:posOffset>
                </wp:positionH>
                <wp:positionV relativeFrom="paragraph">
                  <wp:posOffset>4914900</wp:posOffset>
                </wp:positionV>
                <wp:extent cx="66675" cy="0"/>
                <wp:effectExtent l="19050" t="76200" r="9525" b="95250"/>
                <wp:wrapNone/>
                <wp:docPr id="18" name="Straight Arrow Connector 18"/>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B18CB78" id="Straight Arrow Connector 18" o:spid="_x0000_s1026" type="#_x0000_t32" style="position:absolute;margin-left:119.25pt;margin-top:387pt;width:5.25pt;height:0;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7696" behindDoc="0" locked="0" layoutInCell="1" allowOverlap="1" wp14:anchorId="163FB8C7" wp14:editId="25A05B4C">
                <wp:simplePos x="0" y="0"/>
                <wp:positionH relativeFrom="column">
                  <wp:posOffset>1514475</wp:posOffset>
                </wp:positionH>
                <wp:positionV relativeFrom="paragraph">
                  <wp:posOffset>3371850</wp:posOffset>
                </wp:positionV>
                <wp:extent cx="66675" cy="0"/>
                <wp:effectExtent l="19050" t="76200" r="9525" b="95250"/>
                <wp:wrapNone/>
                <wp:docPr id="243" name="Straight Arrow Connector 243"/>
                <wp:cNvGraphicFramePr/>
                <a:graphic xmlns:a="http://schemas.openxmlformats.org/drawingml/2006/main">
                  <a:graphicData uri="http://schemas.microsoft.com/office/word/2010/wordprocessingShape">
                    <wps:wsp>
                      <wps:cNvCnPr/>
                      <wps:spPr>
                        <a:xfrm>
                          <a:off x="0" y="0"/>
                          <a:ext cx="666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762A16" id="Straight Arrow Connector 243" o:spid="_x0000_s1026" type="#_x0000_t32" style="position:absolute;margin-left:119.25pt;margin-top:265.5pt;width:5.25pt;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8720" behindDoc="0" locked="0" layoutInCell="1" allowOverlap="1" wp14:anchorId="13DB4482" wp14:editId="5DDFF728">
                <wp:simplePos x="0" y="0"/>
                <wp:positionH relativeFrom="column">
                  <wp:posOffset>1514475</wp:posOffset>
                </wp:positionH>
                <wp:positionV relativeFrom="paragraph">
                  <wp:posOffset>4181475</wp:posOffset>
                </wp:positionV>
                <wp:extent cx="66675" cy="0"/>
                <wp:effectExtent l="19050" t="76200" r="9525" b="95250"/>
                <wp:wrapNone/>
                <wp:docPr id="17" name="Straight Arrow Connector 17"/>
                <wp:cNvGraphicFramePr/>
                <a:graphic xmlns:a="http://schemas.openxmlformats.org/drawingml/2006/main">
                  <a:graphicData uri="http://schemas.microsoft.com/office/word/2010/wordprocessingShape">
                    <wps:wsp>
                      <wps:cNvCnPr/>
                      <wps:spPr>
                        <a:xfrm>
                          <a:off x="0" y="0"/>
                          <a:ext cx="666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7794860" id="Straight Arrow Connector 17" o:spid="_x0000_s1026" type="#_x0000_t32" style="position:absolute;margin-left:119.25pt;margin-top:329.25pt;width:5.2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6672" behindDoc="0" locked="0" layoutInCell="1" allowOverlap="1" wp14:anchorId="7419A1C1" wp14:editId="165F5C5B">
                <wp:simplePos x="0" y="0"/>
                <wp:positionH relativeFrom="column">
                  <wp:posOffset>1485900</wp:posOffset>
                </wp:positionH>
                <wp:positionV relativeFrom="paragraph">
                  <wp:posOffset>2901314</wp:posOffset>
                </wp:positionV>
                <wp:extent cx="0" cy="6395085"/>
                <wp:effectExtent l="0" t="0" r="19050" b="24765"/>
                <wp:wrapNone/>
                <wp:docPr id="244" name="Straight Connector 244"/>
                <wp:cNvGraphicFramePr/>
                <a:graphic xmlns:a="http://schemas.openxmlformats.org/drawingml/2006/main">
                  <a:graphicData uri="http://schemas.microsoft.com/office/word/2010/wordprocessingShape">
                    <wps:wsp>
                      <wps:cNvCnPr/>
                      <wps:spPr>
                        <a:xfrm>
                          <a:off x="0" y="0"/>
                          <a:ext cx="0" cy="63950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07E160" id="Straight Connector 24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117pt,228.45pt" to="117pt,7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3600" behindDoc="0" locked="0" layoutInCell="1" allowOverlap="1" wp14:anchorId="6366D09E" wp14:editId="7A5E3B20">
                <wp:simplePos x="0" y="0"/>
                <wp:positionH relativeFrom="column">
                  <wp:posOffset>1571624</wp:posOffset>
                </wp:positionH>
                <wp:positionV relativeFrom="paragraph">
                  <wp:posOffset>7591425</wp:posOffset>
                </wp:positionV>
                <wp:extent cx="1255395" cy="476250"/>
                <wp:effectExtent l="0" t="0" r="20955" b="19050"/>
                <wp:wrapNone/>
                <wp:docPr id="8" name="Rectangle 8"/>
                <wp:cNvGraphicFramePr/>
                <a:graphic xmlns:a="http://schemas.openxmlformats.org/drawingml/2006/main">
                  <a:graphicData uri="http://schemas.microsoft.com/office/word/2010/wordprocessingShape">
                    <wps:wsp>
                      <wps:cNvSpPr/>
                      <wps:spPr>
                        <a:xfrm>
                          <a:off x="0" y="0"/>
                          <a:ext cx="1255395" cy="4762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E93A651" w14:textId="77777777" w:rsidR="00A1624A" w:rsidRPr="008B7DF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6D09E" id="Rectangle 8" o:spid="_x0000_s1046" style="position:absolute;margin-left:123.75pt;margin-top:597.75pt;width:98.85pt;height:3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" fillcolor="#1f4e79" strokecolor="#41719c" strokeweight="1pt">
                <v:textbox>
                  <w:txbxContent>
                    <w:p w14:paraId="5E93A651" w14:textId="77777777" w:rsidR="00A1624A" w:rsidRPr="008B7DF3"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5</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8B7DF3">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lang w:val="en-US"/>
                        </w:rPr>
                        <w:t xml:space="preserve">, MG </w:t>
                      </w:r>
                      <w:r w:rsidRPr="008B7DF3">
                        <w:rPr>
                          <w:rFonts w:asciiTheme="majorBidi" w:hAnsiTheme="majorBidi" w:cstheme="majorBidi"/>
                          <w:color w:val="FFFFFF" w:themeColor="background1"/>
                          <w:sz w:val="16"/>
                          <w:szCs w:val="16"/>
                          <w:lang w:val="en-US"/>
                        </w:rPr>
                        <w:t>Yahya Hussien Salah</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660288" behindDoc="0" locked="0" layoutInCell="1" allowOverlap="1" wp14:anchorId="0C0F32E3" wp14:editId="3E1FF679">
                <wp:simplePos x="0" y="0"/>
                <wp:positionH relativeFrom="column">
                  <wp:posOffset>1552575</wp:posOffset>
                </wp:positionH>
                <wp:positionV relativeFrom="paragraph">
                  <wp:posOffset>1619250</wp:posOffset>
                </wp:positionV>
                <wp:extent cx="1343672" cy="558754"/>
                <wp:effectExtent l="0" t="0" r="27940" b="13335"/>
                <wp:wrapNone/>
                <wp:docPr id="247" name="Rectangle 247"/>
                <wp:cNvGraphicFramePr/>
                <a:graphic xmlns:a="http://schemas.openxmlformats.org/drawingml/2006/main">
                  <a:graphicData uri="http://schemas.microsoft.com/office/word/2010/wordprocessingShape">
                    <wps:wsp>
                      <wps:cNvSpPr/>
                      <wps:spPr>
                        <a:xfrm>
                          <a:off x="0" y="0"/>
                          <a:ext cx="1343672" cy="558754"/>
                        </a:xfrm>
                        <a:prstGeom prst="rect">
                          <a:avLst/>
                        </a:prstGeom>
                        <a:solidFill>
                          <a:schemeClr val="accent1">
                            <a:lumMod val="50000"/>
                          </a:schemeClr>
                        </a:solidFill>
                        <a:ln w="12700" cap="flat" cmpd="sng" algn="ctr">
                          <a:solidFill>
                            <a:srgbClr val="5B9BD5">
                              <a:shade val="50000"/>
                            </a:srgbClr>
                          </a:solidFill>
                          <a:prstDash val="solid"/>
                          <a:miter lim="800000"/>
                        </a:ln>
                        <a:effectLst/>
                      </wps:spPr>
                      <wps:txbx>
                        <w:txbxContent>
                          <w:p w14:paraId="48286ADF"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F32E3" id="Rectangle 247" o:spid="_x0000_s1047" style="position:absolute;margin-left:122.25pt;margin-top:127.5pt;width:105.8pt;height: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" fillcolor="#1f4d78 [1604]" strokecolor="#41719c" strokeweight="1pt">
                <v:textbox>
                  <w:txbxContent>
                    <w:p w14:paraId="48286ADF" w14:textId="77777777" w:rsidR="00A1624A" w:rsidRPr="00751913" w:rsidRDefault="00A1624A" w:rsidP="00EA7E88">
                      <w:pPr>
                        <w:jc w:val="center"/>
                        <w:rPr>
                          <w:rFonts w:asciiTheme="majorBidi" w:hAnsiTheme="majorBidi" w:cstheme="majorBidi"/>
                          <w:color w:val="FFFFFF" w:themeColor="background1"/>
                          <w:sz w:val="16"/>
                          <w:szCs w:val="16"/>
                          <w:lang w:val="en-US"/>
                        </w:rPr>
                      </w:pPr>
                      <w:r w:rsidRPr="00751913">
                        <w:rPr>
                          <w:rFonts w:asciiTheme="majorBidi" w:hAnsiTheme="majorBidi" w:cstheme="majorBidi"/>
                          <w:color w:val="FFFFFF" w:themeColor="background1"/>
                          <w:sz w:val="16"/>
                          <w:szCs w:val="16"/>
                          <w:lang w:bidi="ar-LB"/>
                        </w:rPr>
                        <w:t xml:space="preserve">Minister of Defence </w:t>
                      </w:r>
                      <w:r>
                        <w:rPr>
                          <w:rFonts w:asciiTheme="majorBidi" w:hAnsiTheme="majorBidi" w:cstheme="majorBidi"/>
                          <w:color w:val="FFFFFF" w:themeColor="background1"/>
                          <w:sz w:val="16"/>
                          <w:szCs w:val="16"/>
                          <w:lang w:bidi="ar-LB"/>
                        </w:rPr>
                        <w:t>MG</w:t>
                      </w:r>
                      <w:r w:rsidRPr="00751913">
                        <w:rPr>
                          <w:rFonts w:asciiTheme="majorBidi" w:hAnsiTheme="majorBidi" w:cstheme="majorBidi"/>
                          <w:color w:val="FFFFFF" w:themeColor="background1"/>
                          <w:sz w:val="16"/>
                          <w:szCs w:val="16"/>
                          <w:lang w:val="en" w:bidi="ar-LB"/>
                        </w:rPr>
                        <w:t xml:space="preserve"> Muhammad al-Maqdashi</w:t>
                      </w:r>
                    </w:p>
                  </w:txbxContent>
                </v:textbox>
              </v:rect>
            </w:pict>
          </mc:Fallback>
        </mc:AlternateContent>
      </w:r>
      <w:r w:rsidRPr="00B91FAE">
        <w:rPr>
          <w:spacing w:val="4"/>
          <w:w w:val="103"/>
        </w:rPr>
        <w:t xml:space="preserve"> </w:t>
      </w:r>
      <w:r w:rsidRPr="00B91FAE">
        <w:rPr>
          <w:rFonts w:asciiTheme="majorBidi" w:hAnsiTheme="majorBidi" w:cstheme="majorBidi"/>
          <w:noProof/>
          <w:lang w:eastAsia="en-GB"/>
        </w:rPr>
        <mc:AlternateContent>
          <mc:Choice Requires="wps">
            <w:drawing>
              <wp:anchor distT="0" distB="0" distL="114300" distR="114300" simplePos="0" relativeHeight="251661312" behindDoc="0" locked="0" layoutInCell="1" allowOverlap="1" wp14:anchorId="6B3F48C9" wp14:editId="75D83623">
                <wp:simplePos x="0" y="0"/>
                <wp:positionH relativeFrom="column">
                  <wp:posOffset>6474460</wp:posOffset>
                </wp:positionH>
                <wp:positionV relativeFrom="paragraph">
                  <wp:posOffset>18564225</wp:posOffset>
                </wp:positionV>
                <wp:extent cx="0" cy="170180"/>
                <wp:effectExtent l="76200" t="0" r="57150" b="58420"/>
                <wp:wrapNone/>
                <wp:docPr id="182" name="Straight Arrow Connector 182"/>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3E2F365" id="Straight Arrow Connector 182" o:spid="_x0000_s1026" type="#_x0000_t32" style="position:absolute;margin-left:509.8pt;margin-top:1461.75pt;width:0;height:13.4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APXCBp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2336" behindDoc="0" locked="0" layoutInCell="1" allowOverlap="1" wp14:anchorId="02A1C4F2" wp14:editId="130D1E81">
                <wp:simplePos x="0" y="0"/>
                <wp:positionH relativeFrom="column">
                  <wp:posOffset>7590790</wp:posOffset>
                </wp:positionH>
                <wp:positionV relativeFrom="paragraph">
                  <wp:posOffset>18557875</wp:posOffset>
                </wp:positionV>
                <wp:extent cx="0" cy="170180"/>
                <wp:effectExtent l="76200" t="0" r="57150" b="58420"/>
                <wp:wrapNone/>
                <wp:docPr id="183" name="Straight Arrow Connector 183"/>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2A9DC7B" id="Straight Arrow Connector 183" o:spid="_x0000_s1026" type="#_x0000_t32" style="position:absolute;margin-left:597.7pt;margin-top:1461.25pt;width:0;height:13.4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uGU6QEAALwDAAAOAAAAZHJzL2Uyb0RvYy54bWysU8tu2zAQvBfoPxC817JSpD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3360" behindDoc="0" locked="0" layoutInCell="1" allowOverlap="1" wp14:anchorId="7958033E" wp14:editId="40816433">
                <wp:simplePos x="0" y="0"/>
                <wp:positionH relativeFrom="column">
                  <wp:posOffset>8695055</wp:posOffset>
                </wp:positionH>
                <wp:positionV relativeFrom="paragraph">
                  <wp:posOffset>18566130</wp:posOffset>
                </wp:positionV>
                <wp:extent cx="0" cy="170180"/>
                <wp:effectExtent l="76200" t="0" r="57150" b="58420"/>
                <wp:wrapNone/>
                <wp:docPr id="184" name="Straight Arrow Connector 184"/>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1952722E" id="Straight Arrow Connector 184" o:spid="_x0000_s1026" type="#_x0000_t32" style="position:absolute;margin-left:684.65pt;margin-top:1461.9pt;width:0;height:13.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kCTUI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4384" behindDoc="0" locked="0" layoutInCell="1" allowOverlap="1" wp14:anchorId="3EEDC9FA" wp14:editId="436A404E">
                <wp:simplePos x="0" y="0"/>
                <wp:positionH relativeFrom="column">
                  <wp:posOffset>9753600</wp:posOffset>
                </wp:positionH>
                <wp:positionV relativeFrom="paragraph">
                  <wp:posOffset>18565495</wp:posOffset>
                </wp:positionV>
                <wp:extent cx="0" cy="170180"/>
                <wp:effectExtent l="76200" t="0" r="57150" b="58420"/>
                <wp:wrapNone/>
                <wp:docPr id="185" name="Straight Arrow Connector 18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2C1314C" id="Straight Arrow Connector 185" o:spid="_x0000_s1026" type="#_x0000_t32" style="position:absolute;margin-left:768pt;margin-top:1461.85pt;width:0;height:13.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5408" behindDoc="0" locked="0" layoutInCell="1" allowOverlap="1" wp14:anchorId="5E31CAEC" wp14:editId="3742B0BA">
                <wp:simplePos x="0" y="0"/>
                <wp:positionH relativeFrom="column">
                  <wp:posOffset>10869295</wp:posOffset>
                </wp:positionH>
                <wp:positionV relativeFrom="paragraph">
                  <wp:posOffset>18557875</wp:posOffset>
                </wp:positionV>
                <wp:extent cx="0" cy="170180"/>
                <wp:effectExtent l="76200" t="0" r="57150" b="58420"/>
                <wp:wrapNone/>
                <wp:docPr id="186" name="Straight Arrow Connector 18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116FDAA5" id="Straight Arrow Connector 186" o:spid="_x0000_s1026" type="#_x0000_t32" style="position:absolute;margin-left:855.85pt;margin-top:1461.25pt;width:0;height:13.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9OsYo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66432" behindDoc="0" locked="0" layoutInCell="1" allowOverlap="1" wp14:anchorId="1482A61E" wp14:editId="732B7881">
                <wp:simplePos x="0" y="0"/>
                <wp:positionH relativeFrom="column">
                  <wp:posOffset>12060555</wp:posOffset>
                </wp:positionH>
                <wp:positionV relativeFrom="paragraph">
                  <wp:posOffset>18567304</wp:posOffset>
                </wp:positionV>
                <wp:extent cx="0" cy="170180"/>
                <wp:effectExtent l="76200" t="0" r="57150" b="58420"/>
                <wp:wrapNone/>
                <wp:docPr id="187" name="Straight Arrow Connector 18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07B5C12" id="Straight Arrow Connector 187" o:spid="_x0000_s1026" type="#_x0000_t32" style="position:absolute;margin-left:949.65pt;margin-top:1462pt;width:0;height:13.4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DEgB9X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p>
    <w:p w14:paraId="34375EF6"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noProof/>
          <w:lang w:eastAsia="en-GB"/>
        </w:rPr>
        <mc:AlternateContent>
          <mc:Choice Requires="wps">
            <w:drawing>
              <wp:anchor distT="0" distB="0" distL="114300" distR="114300" simplePos="0" relativeHeight="251672576" behindDoc="0" locked="0" layoutInCell="1" allowOverlap="1" wp14:anchorId="65BAE220" wp14:editId="4D81C9CE">
                <wp:simplePos x="0" y="0"/>
                <wp:positionH relativeFrom="column">
                  <wp:posOffset>1589661</wp:posOffset>
                </wp:positionH>
                <wp:positionV relativeFrom="paragraph">
                  <wp:posOffset>3780345</wp:posOffset>
                </wp:positionV>
                <wp:extent cx="1255395" cy="558140"/>
                <wp:effectExtent l="0" t="0" r="20955" b="13970"/>
                <wp:wrapNone/>
                <wp:docPr id="225" name="Rectangle 225"/>
                <wp:cNvGraphicFramePr/>
                <a:graphic xmlns:a="http://schemas.openxmlformats.org/drawingml/2006/main">
                  <a:graphicData uri="http://schemas.microsoft.com/office/word/2010/wordprocessingShape">
                    <wps:wsp>
                      <wps:cNvSpPr/>
                      <wps:spPr>
                        <a:xfrm>
                          <a:off x="0" y="0"/>
                          <a:ext cx="1255395" cy="5581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EC65735" w14:textId="77777777" w:rsidR="00A1624A" w:rsidRPr="00A628E1" w:rsidRDefault="00A1624A" w:rsidP="00EA7E88">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BAE220" id="Rectangle 225" o:spid="_x0000_s1048" style="position:absolute;left:0;text-align:left;margin-left:125.15pt;margin-top:297.65pt;width:98.85pt;height:43.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" fillcolor="#1f4e79" strokecolor="#41719c" strokeweight="1pt">
                <v:textbox>
                  <w:txbxContent>
                    <w:p w14:paraId="6EC65735" w14:textId="77777777" w:rsidR="00A1624A" w:rsidRPr="00A628E1" w:rsidRDefault="00A1624A" w:rsidP="00EA7E88">
                      <w:pPr>
                        <w:jc w:val="center"/>
                        <w:rPr>
                          <w:rFonts w:asciiTheme="majorBidi" w:hAnsiTheme="majorBidi" w:cstheme="majorBidi"/>
                          <w:color w:val="FFFFFF" w:themeColor="background1"/>
                          <w:sz w:val="16"/>
                          <w:szCs w:val="16"/>
                          <w:lang w:val="en-US"/>
                        </w:rPr>
                      </w:pPr>
                      <w:r w:rsidRPr="00A628E1">
                        <w:rPr>
                          <w:rFonts w:asciiTheme="majorBidi" w:hAnsiTheme="majorBidi" w:cstheme="majorBidi"/>
                          <w:color w:val="FFFFFF" w:themeColor="background1"/>
                          <w:sz w:val="16"/>
                          <w:szCs w:val="16"/>
                          <w:lang w:val="en-US"/>
                        </w:rPr>
                        <w:t xml:space="preserve">Chief of Mil. Intelligence Staff, </w:t>
                      </w:r>
                      <w:r>
                        <w:rPr>
                          <w:rFonts w:asciiTheme="majorBidi" w:hAnsiTheme="majorBidi" w:cstheme="majorBidi"/>
                          <w:color w:val="FFFFFF" w:themeColor="background1"/>
                          <w:sz w:val="16"/>
                          <w:szCs w:val="16"/>
                          <w:lang w:val="en-US"/>
                        </w:rPr>
                        <w:t>MG</w:t>
                      </w:r>
                      <w:r w:rsidRPr="00A628E1">
                        <w:rPr>
                          <w:rFonts w:asciiTheme="majorBidi" w:hAnsiTheme="majorBidi" w:cstheme="majorBidi"/>
                          <w:color w:val="FFFFFF" w:themeColor="background1"/>
                          <w:sz w:val="16"/>
                          <w:szCs w:val="16"/>
                          <w:lang w:val="en-US"/>
                        </w:rPr>
                        <w:t>. Ahmad Musen Salem al-Yafa’ay</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1552" behindDoc="0" locked="0" layoutInCell="1" allowOverlap="1" wp14:anchorId="0727B80F" wp14:editId="19CCD139">
                <wp:simplePos x="0" y="0"/>
                <wp:positionH relativeFrom="column">
                  <wp:posOffset>1593602</wp:posOffset>
                </wp:positionH>
                <wp:positionV relativeFrom="paragraph">
                  <wp:posOffset>3008630</wp:posOffset>
                </wp:positionV>
                <wp:extent cx="1293495" cy="564542"/>
                <wp:effectExtent l="0" t="0" r="20955" b="26035"/>
                <wp:wrapNone/>
                <wp:docPr id="224" name="Rectangle 224"/>
                <wp:cNvGraphicFramePr/>
                <a:graphic xmlns:a="http://schemas.openxmlformats.org/drawingml/2006/main">
                  <a:graphicData uri="http://schemas.microsoft.com/office/word/2010/wordprocessingShape">
                    <wps:wsp>
                      <wps:cNvSpPr/>
                      <wps:spPr>
                        <a:xfrm>
                          <a:off x="0" y="0"/>
                          <a:ext cx="1293495" cy="56454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C810CC1" w14:textId="77777777" w:rsidR="00A1624A" w:rsidRPr="00C507E8" w:rsidRDefault="00A1624A" w:rsidP="00EA7E88">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5DD31CA2" w14:textId="77777777" w:rsidR="00A1624A" w:rsidRPr="00C507E8" w:rsidRDefault="00A1624A" w:rsidP="00EA7E88">
                            <w:pPr>
                              <w:jc w:val="center"/>
                              <w:rPr>
                                <w:rFonts w:asciiTheme="majorBidi" w:hAnsiTheme="majorBidi" w:cstheme="majorBidi"/>
                                <w:color w:val="FFFFFF" w:themeColor="background1"/>
                                <w:sz w:val="16"/>
                                <w:szCs w:val="16"/>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7B80F" id="Rectangle 224" o:spid="_x0000_s1049" style="position:absolute;left:0;text-align:left;margin-left:125.5pt;margin-top:236.9pt;width:101.85pt;height:44.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" fillcolor="#1f4e79" strokecolor="#41719c" strokeweight="1pt">
                <v:textbox>
                  <w:txbxContent>
                    <w:p w14:paraId="5C810CC1" w14:textId="77777777" w:rsidR="00A1624A" w:rsidRPr="00C507E8" w:rsidRDefault="00A1624A" w:rsidP="00EA7E88">
                      <w:pPr>
                        <w:jc w:val="center"/>
                        <w:rPr>
                          <w:rFonts w:asciiTheme="majorBidi" w:hAnsiTheme="majorBidi" w:cstheme="majorBidi"/>
                          <w:color w:val="FFFFFF" w:themeColor="background1"/>
                          <w:sz w:val="16"/>
                          <w:szCs w:val="16"/>
                        </w:rPr>
                      </w:pPr>
                      <w:r w:rsidRPr="00C507E8">
                        <w:rPr>
                          <w:rFonts w:asciiTheme="majorBidi" w:hAnsiTheme="majorBidi" w:cstheme="majorBidi"/>
                          <w:color w:val="FFFFFF" w:themeColor="background1"/>
                          <w:sz w:val="16"/>
                          <w:szCs w:val="16"/>
                          <w:lang w:val="en" w:bidi="ar-LB"/>
                        </w:rPr>
                        <w:t>Deputy Chief of General Staff</w:t>
                      </w:r>
                      <w:r>
                        <w:rPr>
                          <w:rFonts w:asciiTheme="majorBidi" w:hAnsiTheme="majorBidi" w:cstheme="majorBidi"/>
                          <w:color w:val="FFFFFF" w:themeColor="background1"/>
                          <w:sz w:val="16"/>
                          <w:szCs w:val="16"/>
                          <w:lang w:val="en" w:bidi="ar-LB"/>
                        </w:rPr>
                        <w:t xml:space="preserve">, MG </w:t>
                      </w:r>
                      <w:r w:rsidRPr="00C507E8">
                        <w:rPr>
                          <w:rFonts w:asciiTheme="majorBidi" w:hAnsiTheme="majorBidi" w:cstheme="majorBidi"/>
                          <w:color w:val="FFFFFF" w:themeColor="background1"/>
                          <w:sz w:val="16"/>
                          <w:szCs w:val="16"/>
                          <w:lang w:val="en" w:bidi="ar-LB"/>
                        </w:rPr>
                        <w:t>Saleh al-Zindani</w:t>
                      </w:r>
                    </w:p>
                    <w:p w14:paraId="5DD31CA2" w14:textId="77777777" w:rsidR="00A1624A" w:rsidRPr="00C507E8" w:rsidRDefault="00A1624A" w:rsidP="00EA7E88">
                      <w:pPr>
                        <w:jc w:val="center"/>
                        <w:rPr>
                          <w:rFonts w:asciiTheme="majorBidi" w:hAnsiTheme="majorBidi" w:cstheme="majorBidi"/>
                          <w:color w:val="FFFFFF" w:themeColor="background1"/>
                          <w:sz w:val="16"/>
                          <w:szCs w:val="16"/>
                          <w:lang w:val="en-US"/>
                        </w:rPr>
                      </w:pP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5648" behindDoc="0" locked="0" layoutInCell="1" allowOverlap="1" wp14:anchorId="61832CE8" wp14:editId="005E98C7">
                <wp:simplePos x="0" y="0"/>
                <wp:positionH relativeFrom="column">
                  <wp:posOffset>1561934</wp:posOffset>
                </wp:positionH>
                <wp:positionV relativeFrom="paragraph">
                  <wp:posOffset>8097851</wp:posOffset>
                </wp:positionV>
                <wp:extent cx="1255395" cy="547812"/>
                <wp:effectExtent l="0" t="0" r="20955" b="24130"/>
                <wp:wrapNone/>
                <wp:docPr id="246" name="Rectangle 246"/>
                <wp:cNvGraphicFramePr/>
                <a:graphic xmlns:a="http://schemas.openxmlformats.org/drawingml/2006/main">
                  <a:graphicData uri="http://schemas.microsoft.com/office/word/2010/wordprocessingShape">
                    <wps:wsp>
                      <wps:cNvSpPr/>
                      <wps:spPr>
                        <a:xfrm>
                          <a:off x="0" y="0"/>
                          <a:ext cx="1255395"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42FFB37" w14:textId="77777777" w:rsidR="00A1624A" w:rsidRPr="005157C8" w:rsidRDefault="00A1624A" w:rsidP="00EA7E88">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32CE8" id="Rectangle 246" o:spid="_x0000_s1050" style="position:absolute;left:0;text-align:left;margin-left:123pt;margin-top:637.65pt;width:98.85pt;height:43.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" fillcolor="#1f4e79" strokecolor="#41719c" strokeweight="1pt">
                <v:textbox>
                  <w:txbxContent>
                    <w:p w14:paraId="642FFB37" w14:textId="77777777" w:rsidR="00A1624A" w:rsidRPr="005157C8" w:rsidRDefault="00A1624A" w:rsidP="00EA7E88">
                      <w:pPr>
                        <w:jc w:val="center"/>
                        <w:rPr>
                          <w:rFonts w:asciiTheme="majorBidi" w:hAnsiTheme="majorBidi" w:cstheme="majorBidi"/>
                          <w:color w:val="FFFFFF" w:themeColor="background1"/>
                          <w:sz w:val="16"/>
                          <w:szCs w:val="16"/>
                        </w:rPr>
                      </w:pPr>
                      <w:r>
                        <w:rPr>
                          <w:rFonts w:asciiTheme="majorBidi" w:hAnsiTheme="majorBidi" w:cstheme="majorBidi"/>
                          <w:color w:val="FFFFFF" w:themeColor="background1"/>
                          <w:sz w:val="16"/>
                          <w:szCs w:val="16"/>
                          <w:lang w:val="en-US"/>
                        </w:rPr>
                        <w:t>6</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w:t>
                      </w:r>
                      <w:r w:rsidRPr="005157C8">
                        <w:rPr>
                          <w:rFonts w:asciiTheme="majorBidi" w:hAnsiTheme="majorBidi" w:cstheme="majorBidi"/>
                          <w:color w:val="FFFFFF" w:themeColor="background1"/>
                          <w:sz w:val="16"/>
                          <w:szCs w:val="16"/>
                          <w:lang w:val="en-US"/>
                        </w:rPr>
                        <w:t>Military District</w:t>
                      </w:r>
                      <w:r>
                        <w:rPr>
                          <w:rFonts w:asciiTheme="majorBidi" w:hAnsiTheme="majorBidi" w:cstheme="majorBidi"/>
                          <w:color w:val="FFFFFF" w:themeColor="background1"/>
                          <w:sz w:val="16"/>
                          <w:szCs w:val="16"/>
                        </w:rPr>
                        <w:t xml:space="preserve">, MG </w:t>
                      </w:r>
                      <w:r w:rsidRPr="005157C8">
                        <w:rPr>
                          <w:rFonts w:asciiTheme="majorBidi" w:hAnsiTheme="majorBidi" w:cstheme="majorBidi"/>
                          <w:color w:val="FFFFFF" w:themeColor="background1"/>
                          <w:sz w:val="16"/>
                          <w:szCs w:val="16"/>
                        </w:rPr>
                        <w:t>Hashem Abdallah al-Ahmar</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674624" behindDoc="0" locked="0" layoutInCell="1" allowOverlap="1" wp14:anchorId="4817AB43" wp14:editId="4F12002F">
                <wp:simplePos x="0" y="0"/>
                <wp:positionH relativeFrom="column">
                  <wp:posOffset>1561934</wp:posOffset>
                </wp:positionH>
                <wp:positionV relativeFrom="paragraph">
                  <wp:posOffset>8702150</wp:posOffset>
                </wp:positionV>
                <wp:extent cx="1012190" cy="547812"/>
                <wp:effectExtent l="0" t="0" r="16510" b="24130"/>
                <wp:wrapNone/>
                <wp:docPr id="245" name="Rectangle 245"/>
                <wp:cNvGraphicFramePr/>
                <a:graphic xmlns:a="http://schemas.openxmlformats.org/drawingml/2006/main">
                  <a:graphicData uri="http://schemas.microsoft.com/office/word/2010/wordprocessingShape">
                    <wps:wsp>
                      <wps:cNvSpPr/>
                      <wps:spPr>
                        <a:xfrm>
                          <a:off x="0" y="0"/>
                          <a:ext cx="1012190" cy="547812"/>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E4077B3" w14:textId="77777777" w:rsidR="00A1624A" w:rsidRPr="00A628E1"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17AB43" id="Rectangle 245" o:spid="_x0000_s1051" style="position:absolute;left:0;text-align:left;margin-left:123pt;margin-top:685.2pt;width:79.7pt;height:43.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" fillcolor="#1f4e79" strokecolor="#41719c" strokeweight="1pt">
                <v:textbox>
                  <w:txbxContent>
                    <w:p w14:paraId="6E4077B3" w14:textId="77777777" w:rsidR="00A1624A" w:rsidRPr="00A628E1" w:rsidRDefault="00A1624A" w:rsidP="00EA7E88">
                      <w:pPr>
                        <w:jc w:val="center"/>
                        <w:rPr>
                          <w:rFonts w:asciiTheme="majorBidi" w:hAnsiTheme="majorBidi" w:cstheme="majorBidi"/>
                          <w:color w:val="FFFFFF" w:themeColor="background1"/>
                          <w:sz w:val="16"/>
                          <w:szCs w:val="16"/>
                          <w:lang w:val="en-US"/>
                        </w:rPr>
                      </w:pPr>
                      <w:r>
                        <w:rPr>
                          <w:rFonts w:asciiTheme="majorBidi" w:hAnsiTheme="majorBidi" w:cstheme="majorBidi"/>
                          <w:color w:val="FFFFFF" w:themeColor="background1"/>
                          <w:sz w:val="16"/>
                          <w:szCs w:val="16"/>
                          <w:lang w:val="en-US"/>
                        </w:rPr>
                        <w:t>7</w:t>
                      </w:r>
                      <w:r w:rsidRPr="005157C8">
                        <w:rPr>
                          <w:rFonts w:asciiTheme="majorBidi" w:hAnsiTheme="majorBidi" w:cstheme="majorBidi"/>
                          <w:color w:val="FFFFFF" w:themeColor="background1"/>
                          <w:sz w:val="16"/>
                          <w:szCs w:val="16"/>
                          <w:vertAlign w:val="superscript"/>
                          <w:lang w:val="en-US"/>
                        </w:rPr>
                        <w:t>th</w:t>
                      </w:r>
                      <w:r>
                        <w:rPr>
                          <w:rFonts w:asciiTheme="majorBidi" w:hAnsiTheme="majorBidi" w:cstheme="majorBidi"/>
                          <w:color w:val="FFFFFF" w:themeColor="background1"/>
                          <w:sz w:val="16"/>
                          <w:szCs w:val="16"/>
                          <w:lang w:val="en-US"/>
                        </w:rPr>
                        <w:t xml:space="preserve"> Military District, MG</w:t>
                      </w:r>
                      <w:r w:rsidRPr="005157C8">
                        <w:t xml:space="preserve"> </w:t>
                      </w:r>
                      <w:r w:rsidRPr="005157C8">
                        <w:rPr>
                          <w:rFonts w:asciiTheme="majorBidi" w:hAnsiTheme="majorBidi" w:cstheme="majorBidi"/>
                          <w:color w:val="FFFFFF" w:themeColor="background1"/>
                          <w:sz w:val="16"/>
                          <w:szCs w:val="16"/>
                          <w:lang w:val="en-US"/>
                        </w:rPr>
                        <w:t>Mohsen Ahmed Mohammed al-Khabi</w:t>
                      </w:r>
                      <w:r>
                        <w:rPr>
                          <w:rFonts w:asciiTheme="majorBidi" w:hAnsiTheme="majorBidi" w:cstheme="majorBidi"/>
                          <w:color w:val="FFFFFF" w:themeColor="background1"/>
                          <w:sz w:val="16"/>
                          <w:szCs w:val="16"/>
                          <w:lang w:val="en-US"/>
                        </w:rPr>
                        <w:t xml:space="preserve"> </w:t>
                      </w:r>
                    </w:p>
                  </w:txbxContent>
                </v:textbox>
              </v:rect>
            </w:pict>
          </mc:Fallback>
        </mc:AlternateContent>
      </w:r>
      <w:r w:rsidRPr="00B91FAE">
        <w:rPr>
          <w:rFonts w:asciiTheme="majorBidi" w:hAnsiTheme="majorBidi" w:cstheme="majorBidi"/>
          <w:b/>
          <w:bCs/>
          <w:sz w:val="28"/>
          <w:szCs w:val="28"/>
        </w:rPr>
        <w:br w:type="page"/>
      </w:r>
    </w:p>
    <w:p w14:paraId="4B42E5F9" w14:textId="77777777" w:rsidR="00EA7E88" w:rsidRPr="00B91FAE" w:rsidRDefault="00EA7E88" w:rsidP="00EA7E88">
      <w:pPr>
        <w:suppressAutoHyphens w:val="0"/>
        <w:spacing w:line="240" w:lineRule="auto"/>
        <w:ind w:left="-709"/>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AC0A982">
          <v:shape id="_x0000_i1027" type="#_x0000_t75" style="width:553.5pt;height:577.5pt" o:ole="">
            <v:imagedata r:id="rId28" o:title="" croptop="2298f" cropbottom="4228f" cropleft="5147f" cropright="3677f"/>
          </v:shape>
          <o:OLEObject Type="Embed" ProgID="FoxitReader.Document" ShapeID="_x0000_i1027" DrawAspect="Content" ObjectID="_1629606226" r:id="rId29"/>
        </w:object>
      </w:r>
    </w:p>
    <w:p w14:paraId="607D5CCB"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p>
    <w:p w14:paraId="445DC1B2" w14:textId="77777777" w:rsidR="00EA7E88" w:rsidRPr="00B91FAE" w:rsidRDefault="00EA7E88" w:rsidP="00EA7E88">
      <w:pPr>
        <w:suppressAutoHyphens w:val="0"/>
        <w:spacing w:line="240" w:lineRule="auto"/>
        <w:ind w:left="-709"/>
        <w:rPr>
          <w:rFonts w:asciiTheme="majorBidi" w:hAnsiTheme="majorBidi" w:cstheme="majorBidi"/>
          <w:b/>
          <w:bCs/>
          <w:sz w:val="28"/>
          <w:szCs w:val="28"/>
        </w:rPr>
      </w:pPr>
      <w:r w:rsidRPr="00B91FAE">
        <w:rPr>
          <w:rFonts w:asciiTheme="majorBidi" w:hAnsiTheme="majorBidi" w:cstheme="majorBidi"/>
          <w:b/>
          <w:bCs/>
          <w:sz w:val="28"/>
          <w:szCs w:val="28"/>
        </w:rPr>
        <w:br w:type="page"/>
      </w:r>
    </w:p>
    <w:p w14:paraId="5BDC9D5C" w14:textId="77777777" w:rsidR="00EA7E88" w:rsidRPr="00B91FAE" w:rsidRDefault="00EA7E88" w:rsidP="00EA7E88">
      <w:pPr>
        <w:jc w:val="center"/>
        <w:rPr>
          <w:lang w:val="es-ES"/>
        </w:rPr>
      </w:pPr>
      <w:r w:rsidRPr="00B91FAE">
        <w:rPr>
          <w:rFonts w:asciiTheme="majorBidi" w:hAnsiTheme="majorBidi" w:cstheme="majorBidi"/>
          <w:noProof/>
          <w:sz w:val="28"/>
          <w:szCs w:val="28"/>
          <w:lang w:eastAsia="en-GB"/>
        </w:rPr>
        <w:lastRenderedPageBreak/>
        <mc:AlternateContent>
          <mc:Choice Requires="wps">
            <w:drawing>
              <wp:anchor distT="0" distB="0" distL="114300" distR="114300" simplePos="0" relativeHeight="251752448" behindDoc="0" locked="0" layoutInCell="1" allowOverlap="1" wp14:anchorId="009DE0F2" wp14:editId="43CB5D89">
                <wp:simplePos x="0" y="0"/>
                <wp:positionH relativeFrom="column">
                  <wp:posOffset>1079500</wp:posOffset>
                </wp:positionH>
                <wp:positionV relativeFrom="paragraph">
                  <wp:posOffset>10795</wp:posOffset>
                </wp:positionV>
                <wp:extent cx="3639185" cy="575945"/>
                <wp:effectExtent l="0" t="0" r="0" b="0"/>
                <wp:wrapSquare wrapText="bothSides"/>
                <wp:docPr id="10" name="Rectangle 10"/>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520A4E2E"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DE0F2" id="Rectangle 10" o:spid="_x0000_s1052" style="position:absolute;left:0;text-align:left;margin-left:85pt;margin-top:.85pt;width:286.55pt;height:45.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" filled="f" stroked="f" strokeweight="1pt">
                <v:textbox>
                  <w:txbxContent>
                    <w:p w14:paraId="520A4E2E"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 xml:space="preserve">Security </w:t>
                      </w:r>
                      <w:r>
                        <w:rPr>
                          <w:sz w:val="28"/>
                          <w:szCs w:val="28"/>
                          <w:lang w:val="en-US"/>
                        </w:rPr>
                        <w:t>Mechanisms</w:t>
                      </w:r>
                    </w:p>
                  </w:txbxContent>
                </v:textbox>
                <w10:wrap type="square"/>
              </v:rect>
            </w:pict>
          </mc:Fallback>
        </mc:AlternateContent>
      </w:r>
    </w:p>
    <w:p w14:paraId="398DA824" w14:textId="77777777" w:rsidR="00EA7E88" w:rsidRPr="00A1624A" w:rsidRDefault="00EA7E88" w:rsidP="00EA7E88">
      <w:pPr>
        <w:spacing w:after="120"/>
        <w:rPr>
          <w:sz w:val="28"/>
          <w:szCs w:val="28"/>
          <w:lang w:val="en-US"/>
        </w:rPr>
      </w:pPr>
      <w:r w:rsidRPr="00A1624A">
        <w:rPr>
          <w:sz w:val="28"/>
          <w:szCs w:val="28"/>
          <w:lang w:val="en-US"/>
        </w:rPr>
        <w:t>Appendix 4</w:t>
      </w:r>
    </w:p>
    <w:p w14:paraId="0A783F21" w14:textId="77777777" w:rsidR="00EA7E88" w:rsidRPr="00A1624A" w:rsidRDefault="00EA7E88" w:rsidP="00EA7E88">
      <w:pPr>
        <w:spacing w:after="120"/>
        <w:rPr>
          <w:lang w:val="en-US"/>
        </w:rPr>
      </w:pPr>
    </w:p>
    <w:p w14:paraId="421A847E" w14:textId="6284C552" w:rsidR="00EA7E88" w:rsidRPr="00B91FAE" w:rsidRDefault="00EA7E88" w:rsidP="00EA7E88">
      <w:pPr>
        <w:spacing w:after="120"/>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40160" behindDoc="0" locked="0" layoutInCell="1" allowOverlap="1" wp14:anchorId="4D018D65" wp14:editId="2F7528DD">
                <wp:simplePos x="0" y="0"/>
                <wp:positionH relativeFrom="column">
                  <wp:posOffset>-104775</wp:posOffset>
                </wp:positionH>
                <wp:positionV relativeFrom="paragraph">
                  <wp:posOffset>152400</wp:posOffset>
                </wp:positionV>
                <wp:extent cx="2714625" cy="724535"/>
                <wp:effectExtent l="0" t="0" r="28575" b="18415"/>
                <wp:wrapSquare wrapText="bothSides"/>
                <wp:docPr id="363" name="Rectangle 363"/>
                <wp:cNvGraphicFramePr/>
                <a:graphic xmlns:a="http://schemas.openxmlformats.org/drawingml/2006/main">
                  <a:graphicData uri="http://schemas.microsoft.com/office/word/2010/wordprocessingShape">
                    <wps:wsp>
                      <wps:cNvSpPr/>
                      <wps:spPr>
                        <a:xfrm>
                          <a:off x="0" y="0"/>
                          <a:ext cx="2714625" cy="724535"/>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7DBCDBB7"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18D65" id="Rectangle 363" o:spid="_x0000_s1053" style="position:absolute;margin-left:-8.25pt;margin-top:12pt;width:213.75pt;height:57.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" fillcolor="#3864b3" strokecolor="#41719c" strokeweight="1pt">
                <v:fill color2="#2c4f8c" rotate="t" focusposition=".5,.5" focussize="" colors="0 #3864b3;15073f #3864b3;45220f #2f5597;63570f #2c4f8c" focus="100%" type="gradientRadial"/>
                <v:textbox>
                  <w:txbxContent>
                    <w:p w14:paraId="7DBCDBB7"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B91FAE">
        <w:rPr>
          <w:rFonts w:eastAsia="Calibri"/>
        </w:rPr>
        <w:t xml:space="preserve"> </w:t>
      </w:r>
    </w:p>
    <w:p w14:paraId="0E59B5C3" w14:textId="1DF37E22" w:rsidR="00EA7E88" w:rsidRPr="00B91FAE" w:rsidRDefault="00102DF7" w:rsidP="00EA7E88">
      <w:pPr>
        <w:rPr>
          <w:rFonts w:asciiTheme="majorBidi" w:hAnsiTheme="majorBidi" w:cstheme="majorBidi"/>
        </w:rPr>
      </w:pPr>
      <w:r w:rsidRPr="00B91FAE">
        <w:rPr>
          <w:noProof/>
          <w:lang w:eastAsia="en-GB"/>
        </w:rPr>
        <mc:AlternateContent>
          <mc:Choice Requires="wps">
            <w:drawing>
              <wp:anchor distT="0" distB="0" distL="114300" distR="114300" simplePos="0" relativeHeight="251762688" behindDoc="0" locked="0" layoutInCell="1" allowOverlap="1" wp14:anchorId="681EA9EF" wp14:editId="65A35B80">
                <wp:simplePos x="0" y="0"/>
                <wp:positionH relativeFrom="margin">
                  <wp:align>center</wp:align>
                </wp:positionH>
                <wp:positionV relativeFrom="paragraph">
                  <wp:posOffset>55880</wp:posOffset>
                </wp:positionV>
                <wp:extent cx="400050" cy="278296"/>
                <wp:effectExtent l="0" t="0" r="0" b="0"/>
                <wp:wrapNone/>
                <wp:docPr id="229" name="Rectangle 229"/>
                <wp:cNvGraphicFramePr/>
                <a:graphic xmlns:a="http://schemas.openxmlformats.org/drawingml/2006/main">
                  <a:graphicData uri="http://schemas.microsoft.com/office/word/2010/wordprocessingShape">
                    <wps:wsp>
                      <wps:cNvSpPr/>
                      <wps:spPr>
                        <a:xfrm>
                          <a:off x="0" y="0"/>
                          <a:ext cx="400050" cy="278296"/>
                        </a:xfrm>
                        <a:prstGeom prst="rect">
                          <a:avLst/>
                        </a:prstGeom>
                        <a:noFill/>
                        <a:ln w="12700" cap="flat" cmpd="sng" algn="ctr">
                          <a:noFill/>
                          <a:prstDash val="solid"/>
                          <a:miter lim="800000"/>
                        </a:ln>
                        <a:effectLst/>
                      </wps:spPr>
                      <wps:txbx>
                        <w:txbxContent>
                          <w:p w14:paraId="041D429A" w14:textId="77777777" w:rsidR="00A1624A" w:rsidRPr="00274D50" w:rsidRDefault="00A1624A" w:rsidP="00EA7E88">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EA9EF" id="Rectangle 229" o:spid="_x0000_s1054" style="position:absolute;margin-left:0;margin-top:4.4pt;width:31.5pt;height:21.9pt;z-index:251762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" filled="f" stroked="f" strokeweight="1pt">
                <v:textbox>
                  <w:txbxContent>
                    <w:p w14:paraId="041D429A" w14:textId="77777777" w:rsidR="00A1624A" w:rsidRPr="00274D50" w:rsidRDefault="00A1624A" w:rsidP="00EA7E88">
                      <w:pPr>
                        <w:jc w:val="center"/>
                        <w:rPr>
                          <w:color w:val="000000" w:themeColor="text1"/>
                          <w:lang w:val="en-US"/>
                        </w:rPr>
                      </w:pPr>
                      <w:r>
                        <w:rPr>
                          <w:color w:val="000000" w:themeColor="text1"/>
                          <w:lang w:val="en-US"/>
                        </w:rPr>
                        <w:t>(</w:t>
                      </w:r>
                      <w:r w:rsidRPr="00274D50">
                        <w:rPr>
                          <w:color w:val="000000" w:themeColor="text1"/>
                          <w:lang w:val="en-US"/>
                        </w:rPr>
                        <w:t>1</w:t>
                      </w:r>
                      <w:r>
                        <w:rPr>
                          <w:color w:val="000000" w:themeColor="text1"/>
                          <w:lang w:val="en-US"/>
                        </w:rPr>
                        <w:t>)</w:t>
                      </w:r>
                    </w:p>
                  </w:txbxContent>
                </v:textbox>
                <w10:wrap anchorx="margin"/>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6544" behindDoc="0" locked="0" layoutInCell="1" allowOverlap="1" wp14:anchorId="6BD01E65" wp14:editId="173B729D">
                <wp:simplePos x="0" y="0"/>
                <wp:positionH relativeFrom="margin">
                  <wp:align>right</wp:align>
                </wp:positionH>
                <wp:positionV relativeFrom="paragraph">
                  <wp:posOffset>15875</wp:posOffset>
                </wp:positionV>
                <wp:extent cx="2714625" cy="739775"/>
                <wp:effectExtent l="0" t="0" r="28575" b="22225"/>
                <wp:wrapNone/>
                <wp:docPr id="364" name="Rectangle 364"/>
                <wp:cNvGraphicFramePr/>
                <a:graphic xmlns:a="http://schemas.openxmlformats.org/drawingml/2006/main">
                  <a:graphicData uri="http://schemas.microsoft.com/office/word/2010/wordprocessingShape">
                    <wps:wsp>
                      <wps:cNvSpPr/>
                      <wps:spPr>
                        <a:xfrm>
                          <a:off x="0" y="0"/>
                          <a:ext cx="2714625" cy="739775"/>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1ACFAD20" w14:textId="77777777" w:rsidR="00A1624A" w:rsidRPr="007F7C80" w:rsidRDefault="00A1624A" w:rsidP="00EA7E88">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D01E65" id="Rectangle 364" o:spid="_x0000_s1055" style="position:absolute;margin-left:162.55pt;margin-top:1.25pt;width:213.75pt;height:58.25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" fillcolor="#ea6b14" strokecolor="#41719c" strokeweight="1pt">
                <v:fill color2="#b85410" rotate="t" focusposition=".5,.5" focussize="" colors="0 #ea6b14;15073f #ea6b14;45220f #c55a11;63570f #b85410" focus="100%" type="gradientRadial"/>
                <v:textbox>
                  <w:txbxContent>
                    <w:p w14:paraId="1ACFAD20" w14:textId="77777777" w:rsidR="00A1624A" w:rsidRPr="007F7C80" w:rsidRDefault="00A1624A" w:rsidP="00EA7E88">
                      <w:pPr>
                        <w:jc w:val="center"/>
                        <w:rPr>
                          <w:rFonts w:asciiTheme="majorBidi" w:hAnsiTheme="majorBidi" w:cstheme="majorBidi"/>
                          <w:color w:val="FFFFFF" w:themeColor="background1"/>
                          <w:sz w:val="24"/>
                          <w:szCs w:val="24"/>
                          <w:lang w:val="en-US"/>
                        </w:rPr>
                      </w:pPr>
                      <w:r w:rsidRPr="007F7C80">
                        <w:rPr>
                          <w:rFonts w:asciiTheme="majorBidi" w:hAnsiTheme="majorBidi" w:cstheme="majorBidi"/>
                          <w:color w:val="FFFFFF" w:themeColor="background1"/>
                          <w:sz w:val="24"/>
                          <w:szCs w:val="24"/>
                          <w:lang w:val="en-US"/>
                        </w:rPr>
                        <w:t>Ali Abdullah Saleh</w:t>
                      </w:r>
                      <w:r>
                        <w:rPr>
                          <w:rFonts w:asciiTheme="majorBidi" w:hAnsiTheme="majorBidi" w:cstheme="majorBidi"/>
                          <w:color w:val="FFFFFF" w:themeColor="background1"/>
                          <w:sz w:val="24"/>
                          <w:szCs w:val="24"/>
                          <w:lang w:val="en-US"/>
                        </w:rPr>
                        <w:t xml:space="preserve"> (deceased)</w:t>
                      </w:r>
                    </w:p>
                  </w:txbxContent>
                </v:textbox>
                <w10:wrap anchorx="margin"/>
              </v:rect>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2752" behindDoc="0" locked="0" layoutInCell="1" allowOverlap="1" wp14:anchorId="2FB994FD" wp14:editId="7D958D71">
                <wp:simplePos x="0" y="0"/>
                <wp:positionH relativeFrom="column">
                  <wp:posOffset>6474460</wp:posOffset>
                </wp:positionH>
                <wp:positionV relativeFrom="paragraph">
                  <wp:posOffset>18564225</wp:posOffset>
                </wp:positionV>
                <wp:extent cx="0" cy="170180"/>
                <wp:effectExtent l="76200" t="0" r="57150" b="58420"/>
                <wp:wrapNone/>
                <wp:docPr id="365" name="Straight Arrow Connector 365"/>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6784206" id="Straight Arrow Connector 365" o:spid="_x0000_s1026" type="#_x0000_t32" style="position:absolute;margin-left:509.8pt;margin-top:1461.75pt;width:0;height:13.4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7hc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4800" behindDoc="0" locked="0" layoutInCell="1" allowOverlap="1" wp14:anchorId="6D601897" wp14:editId="1A9C5277">
                <wp:simplePos x="0" y="0"/>
                <wp:positionH relativeFrom="column">
                  <wp:posOffset>7590790</wp:posOffset>
                </wp:positionH>
                <wp:positionV relativeFrom="paragraph">
                  <wp:posOffset>18557875</wp:posOffset>
                </wp:positionV>
                <wp:extent cx="0" cy="170180"/>
                <wp:effectExtent l="76200" t="0" r="57150" b="58420"/>
                <wp:wrapNone/>
                <wp:docPr id="366" name="Straight Arrow Connector 36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7D42C7A" id="Straight Arrow Connector 366" o:spid="_x0000_s1026" type="#_x0000_t32" style="position:absolute;margin-left:597.7pt;margin-top:1461.25pt;width:0;height:13.4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bNqKge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5824" behindDoc="0" locked="0" layoutInCell="1" allowOverlap="1" wp14:anchorId="7A147193" wp14:editId="7D560624">
                <wp:simplePos x="0" y="0"/>
                <wp:positionH relativeFrom="column">
                  <wp:posOffset>8695055</wp:posOffset>
                </wp:positionH>
                <wp:positionV relativeFrom="paragraph">
                  <wp:posOffset>18566130</wp:posOffset>
                </wp:positionV>
                <wp:extent cx="0" cy="170180"/>
                <wp:effectExtent l="76200" t="0" r="57150" b="58420"/>
                <wp:wrapNone/>
                <wp:docPr id="367" name="Straight Arrow Connector 36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5C72CF8" id="Straight Arrow Connector 367" o:spid="_x0000_s1026" type="#_x0000_t32" style="position:absolute;margin-left:684.65pt;margin-top:1461.9pt;width:0;height:13.4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7872" behindDoc="0" locked="0" layoutInCell="1" allowOverlap="1" wp14:anchorId="68368917" wp14:editId="0F36147F">
                <wp:simplePos x="0" y="0"/>
                <wp:positionH relativeFrom="column">
                  <wp:posOffset>9753600</wp:posOffset>
                </wp:positionH>
                <wp:positionV relativeFrom="paragraph">
                  <wp:posOffset>18565495</wp:posOffset>
                </wp:positionV>
                <wp:extent cx="0" cy="170180"/>
                <wp:effectExtent l="76200" t="0" r="57150" b="58420"/>
                <wp:wrapNone/>
                <wp:docPr id="368" name="Straight Arrow Connector 36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7B076A65" id="Straight Arrow Connector 368" o:spid="_x0000_s1026" type="#_x0000_t32" style="position:absolute;margin-left:768pt;margin-top:1461.85pt;width:0;height:13.4pt;z-index:25172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DjQlNj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28896" behindDoc="0" locked="0" layoutInCell="1" allowOverlap="1" wp14:anchorId="28BCF726" wp14:editId="74622A51">
                <wp:simplePos x="0" y="0"/>
                <wp:positionH relativeFrom="column">
                  <wp:posOffset>10869295</wp:posOffset>
                </wp:positionH>
                <wp:positionV relativeFrom="paragraph">
                  <wp:posOffset>18557875</wp:posOffset>
                </wp:positionV>
                <wp:extent cx="0" cy="170180"/>
                <wp:effectExtent l="76200" t="0" r="57150" b="58420"/>
                <wp:wrapNone/>
                <wp:docPr id="369" name="Straight Arrow Connector 36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2764C82B" id="Straight Arrow Connector 369" o:spid="_x0000_s1026" type="#_x0000_t32" style="position:absolute;margin-left:855.85pt;margin-top:1461.25pt;width:0;height:13.4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" strokecolor="windowText" strokeweight="1.25pt">
                <v:stroke endarrow="block" joinstyle="miter"/>
              </v:shape>
            </w:pict>
          </mc:Fallback>
        </mc:AlternateContent>
      </w:r>
      <w:r w:rsidR="00EA7E88" w:rsidRPr="00B91FAE">
        <w:rPr>
          <w:rFonts w:asciiTheme="majorBidi" w:hAnsiTheme="majorBidi" w:cstheme="majorBidi"/>
          <w:noProof/>
          <w:lang w:eastAsia="en-GB"/>
        </w:rPr>
        <mc:AlternateContent>
          <mc:Choice Requires="wps">
            <w:drawing>
              <wp:anchor distT="0" distB="0" distL="114300" distR="114300" simplePos="0" relativeHeight="251730944" behindDoc="0" locked="0" layoutInCell="1" allowOverlap="1" wp14:anchorId="74FE6A7F" wp14:editId="5F487AC1">
                <wp:simplePos x="0" y="0"/>
                <wp:positionH relativeFrom="column">
                  <wp:posOffset>12060555</wp:posOffset>
                </wp:positionH>
                <wp:positionV relativeFrom="paragraph">
                  <wp:posOffset>18567304</wp:posOffset>
                </wp:positionV>
                <wp:extent cx="0" cy="170180"/>
                <wp:effectExtent l="76200" t="0" r="57150" b="58420"/>
                <wp:wrapNone/>
                <wp:docPr id="370" name="Straight Arrow Connector 37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665FFC7B" id="Straight Arrow Connector 370" o:spid="_x0000_s1026" type="#_x0000_t32" style="position:absolute;margin-left:949.65pt;margin-top:1462pt;width:0;height:13.4pt;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JaBbAT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00EA7E88" w:rsidRPr="00B91FAE">
        <w:rPr>
          <w:rFonts w:asciiTheme="majorBidi" w:hAnsiTheme="majorBidi" w:cstheme="majorBidi"/>
        </w:rPr>
        <w:t xml:space="preserve">                        </w:t>
      </w:r>
    </w:p>
    <w:p w14:paraId="229EA11B" w14:textId="769AFCEA" w:rsidR="00EA7E88" w:rsidRPr="00B91FAE" w:rsidRDefault="00EA7E88" w:rsidP="00EA7E88">
      <w:pPr>
        <w:rPr>
          <w:rFonts w:asciiTheme="majorBidi" w:hAnsiTheme="majorBidi" w:cstheme="majorBidi"/>
        </w:rPr>
      </w:pPr>
    </w:p>
    <w:p w14:paraId="3A97432E" w14:textId="32E59040" w:rsidR="00EA7E88" w:rsidRPr="00B91FAE" w:rsidRDefault="00102DF7"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766784" behindDoc="0" locked="0" layoutInCell="1" allowOverlap="1" wp14:anchorId="38A6272A" wp14:editId="4C3C9FEC">
                <wp:simplePos x="0" y="0"/>
                <wp:positionH relativeFrom="margin">
                  <wp:align>center</wp:align>
                </wp:positionH>
                <wp:positionV relativeFrom="paragraph">
                  <wp:posOffset>84455</wp:posOffset>
                </wp:positionV>
                <wp:extent cx="6823" cy="1023582"/>
                <wp:effectExtent l="0" t="0" r="31750" b="24765"/>
                <wp:wrapNone/>
                <wp:docPr id="371" name="Straight Connector 371"/>
                <wp:cNvGraphicFramePr/>
                <a:graphic xmlns:a="http://schemas.openxmlformats.org/drawingml/2006/main">
                  <a:graphicData uri="http://schemas.microsoft.com/office/word/2010/wordprocessingShape">
                    <wps:wsp>
                      <wps:cNvCnPr/>
                      <wps:spPr>
                        <a:xfrm>
                          <a:off x="0" y="0"/>
                          <a:ext cx="6823" cy="1023582"/>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0C614CE3" id="Straight Connector 371" o:spid="_x0000_s1026" style="position:absolute;z-index:251766784;visibility:visible;mso-wrap-style:square;mso-wrap-distance-left:9pt;mso-wrap-distance-top:0;mso-wrap-distance-right:9pt;mso-wrap-distance-bottom:0;mso-position-horizontal:center;mso-position-horizontal-relative:margin;mso-position-vertical:absolute;mso-position-vertical-relative:text" from="0,6.65pt" to=".55pt,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" strokecolor="#5b9bd5" strokeweight=".5pt">
                <v:stroke joinstyle="miter"/>
                <w10:wrap anchorx="margin"/>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4736" behindDoc="0" locked="0" layoutInCell="1" allowOverlap="1" wp14:anchorId="7A9A1840" wp14:editId="78AD96C4">
                <wp:simplePos x="0" y="0"/>
                <wp:positionH relativeFrom="margin">
                  <wp:align>center</wp:align>
                </wp:positionH>
                <wp:positionV relativeFrom="paragraph">
                  <wp:posOffset>85090</wp:posOffset>
                </wp:positionV>
                <wp:extent cx="923925" cy="47625"/>
                <wp:effectExtent l="19050" t="19050" r="47625" b="47625"/>
                <wp:wrapNone/>
                <wp:docPr id="230" name="Left-Right Arrow 230"/>
                <wp:cNvGraphicFramePr/>
                <a:graphic xmlns:a="http://schemas.openxmlformats.org/drawingml/2006/main">
                  <a:graphicData uri="http://schemas.microsoft.com/office/word/2010/wordprocessingShape">
                    <wps:wsp>
                      <wps:cNvSpPr/>
                      <wps:spPr>
                        <a:xfrm>
                          <a:off x="0" y="0"/>
                          <a:ext cx="923925" cy="47625"/>
                        </a:xfrm>
                        <a:prstGeom prst="lef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4800039"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230" o:spid="_x0000_s1026" type="#_x0000_t69" style="position:absolute;margin-left:0;margin-top:6.7pt;width:72.75pt;height:3.75pt;z-index:2517647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" adj="557" fillcolor="#5b9bd5" strokecolor="#41719c" strokeweight="1pt">
                <w10:wrap anchorx="margin"/>
              </v:shape>
            </w:pict>
          </mc:Fallback>
        </mc:AlternateContent>
      </w:r>
    </w:p>
    <w:p w14:paraId="57F9024B" w14:textId="77777777" w:rsidR="00EA7E88" w:rsidRPr="00B91FAE" w:rsidRDefault="00EA7E88" w:rsidP="00EA7E88">
      <w:pPr>
        <w:rPr>
          <w:rFonts w:asciiTheme="majorBidi" w:hAnsiTheme="majorBidi" w:cstheme="majorBidi"/>
        </w:rPr>
      </w:pPr>
    </w:p>
    <w:p w14:paraId="06D9D523" w14:textId="77777777" w:rsidR="00EA7E88" w:rsidRPr="00B91FAE" w:rsidRDefault="00EA7E88" w:rsidP="00EA7E88">
      <w:pPr>
        <w:rPr>
          <w:rFonts w:asciiTheme="majorBidi" w:hAnsiTheme="majorBidi" w:cstheme="majorBidi"/>
        </w:rPr>
      </w:pPr>
    </w:p>
    <w:p w14:paraId="6DD243AE"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34016" behindDoc="0" locked="0" layoutInCell="1" allowOverlap="1" wp14:anchorId="07553A29" wp14:editId="6BA4FDED">
                <wp:simplePos x="0" y="0"/>
                <wp:positionH relativeFrom="column">
                  <wp:posOffset>-19050</wp:posOffset>
                </wp:positionH>
                <wp:positionV relativeFrom="paragraph">
                  <wp:posOffset>171450</wp:posOffset>
                </wp:positionV>
                <wp:extent cx="2571750" cy="866140"/>
                <wp:effectExtent l="0" t="0" r="19050" b="10160"/>
                <wp:wrapNone/>
                <wp:docPr id="108" name="Rectangle 108"/>
                <wp:cNvGraphicFramePr/>
                <a:graphic xmlns:a="http://schemas.openxmlformats.org/drawingml/2006/main">
                  <a:graphicData uri="http://schemas.microsoft.com/office/word/2010/wordprocessingShape">
                    <wps:wsp>
                      <wps:cNvSpPr/>
                      <wps:spPr>
                        <a:xfrm>
                          <a:off x="0" y="0"/>
                          <a:ext cx="2571750" cy="86614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599B3AEE" w14:textId="77777777" w:rsidR="00A1624A" w:rsidRPr="00B225F7"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3330AA3B"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6CFF773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53A29" id="Rectangle 108" o:spid="_x0000_s1056" style="position:absolute;margin-left:-1.5pt;margin-top:13.5pt;width:202.5pt;height:68.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" fillcolor="#3864b3" strokecolor="#41719c" strokeweight="1pt">
                <v:fill color2="#2c4f8c" rotate="t" focusposition=".5,.5" focussize="" colors="0 #3864b3;15073f #3864b3;45220f #2f5597;63570f #2c4f8c" focus="100%" type="gradientRadial"/>
                <v:textbox>
                  <w:txbxContent>
                    <w:p w14:paraId="599B3AEE" w14:textId="77777777" w:rsidR="00A1624A" w:rsidRPr="00B225F7"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r w:rsidRPr="00B225F7">
                        <w:rPr>
                          <w:rFonts w:asciiTheme="majorBidi" w:hAnsiTheme="majorBidi" w:cstheme="majorBidi"/>
                          <w:color w:val="000000" w:themeColor="text1"/>
                          <w:sz w:val="24"/>
                          <w:szCs w:val="24"/>
                        </w:rPr>
                        <w:t>(3)</w:t>
                      </w:r>
                    </w:p>
                    <w:p w14:paraId="3330AA3B"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 xml:space="preserve"> Saleh al-Samad </w:t>
                      </w:r>
                      <w:r>
                        <w:rPr>
                          <w:rFonts w:asciiTheme="majorBidi" w:hAnsiTheme="majorBidi" w:cstheme="majorBidi"/>
                          <w:color w:val="FFFFFF" w:themeColor="background1"/>
                        </w:rPr>
                        <w:t>16 Aug 2016 –19 April 2018</w:t>
                      </w:r>
                    </w:p>
                    <w:p w14:paraId="6CFF773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Since </w:t>
                      </w:r>
                      <w:r>
                        <w:rPr>
                          <w:rFonts w:asciiTheme="majorBidi" w:hAnsiTheme="majorBidi" w:cstheme="majorBidi" w:hint="cs"/>
                          <w:color w:val="FFFFFF" w:themeColor="background1"/>
                          <w:rtl/>
                        </w:rPr>
                        <w:t>23</w:t>
                      </w:r>
                      <w:r>
                        <w:rPr>
                          <w:rFonts w:asciiTheme="majorBidi" w:hAnsiTheme="majorBidi" w:cstheme="majorBidi"/>
                          <w:color w:val="FFFFFF" w:themeColor="background1"/>
                        </w:rPr>
                        <w:t xml:space="preserve"> April 2018 - Present</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4496" behindDoc="0" locked="0" layoutInCell="1" allowOverlap="1" wp14:anchorId="33AE4E6E" wp14:editId="4103AA00">
                <wp:simplePos x="0" y="0"/>
                <wp:positionH relativeFrom="column">
                  <wp:posOffset>3432971</wp:posOffset>
                </wp:positionH>
                <wp:positionV relativeFrom="paragraph">
                  <wp:posOffset>71755</wp:posOffset>
                </wp:positionV>
                <wp:extent cx="2762250" cy="800100"/>
                <wp:effectExtent l="0" t="0" r="19050" b="19050"/>
                <wp:wrapSquare wrapText="bothSides"/>
                <wp:docPr id="15" name="Rectangle 15"/>
                <wp:cNvGraphicFramePr/>
                <a:graphic xmlns:a="http://schemas.openxmlformats.org/drawingml/2006/main">
                  <a:graphicData uri="http://schemas.microsoft.com/office/word/2010/wordprocessingShape">
                    <wps:wsp>
                      <wps:cNvSpPr/>
                      <wps:spPr>
                        <a:xfrm>
                          <a:off x="0" y="0"/>
                          <a:ext cx="2762250" cy="800100"/>
                        </a:xfrm>
                        <a:prstGeom prst="rect">
                          <a:avLst/>
                        </a:prstGeom>
                        <a:gradFill flip="none" rotWithShape="1">
                          <a:gsLst>
                            <a:gs pos="0">
                              <a:srgbClr val="ED7D31">
                                <a:lumMod val="89000"/>
                              </a:srgbClr>
                            </a:gs>
                            <a:gs pos="23000">
                              <a:srgbClr val="ED7D31">
                                <a:lumMod val="89000"/>
                              </a:srgbClr>
                            </a:gs>
                            <a:gs pos="69000">
                              <a:srgbClr val="ED7D31">
                                <a:lumMod val="75000"/>
                              </a:srgbClr>
                            </a:gs>
                            <a:gs pos="97000">
                              <a:srgbClr val="ED7D31">
                                <a:lumMod val="70000"/>
                              </a:srgbClr>
                            </a:gs>
                          </a:gsLst>
                          <a:path path="circle">
                            <a:fillToRect l="50000" t="50000" r="50000" b="50000"/>
                          </a:path>
                          <a:tileRect/>
                        </a:gradFill>
                        <a:ln w="12700" cap="flat" cmpd="sng" algn="ctr">
                          <a:solidFill>
                            <a:srgbClr val="5B9BD5">
                              <a:shade val="50000"/>
                            </a:srgbClr>
                          </a:solidFill>
                          <a:prstDash val="solid"/>
                          <a:miter lim="800000"/>
                        </a:ln>
                        <a:effectLst>
                          <a:softEdge rad="76200"/>
                        </a:effectLst>
                      </wps:spPr>
                      <wps:txbx>
                        <w:txbxContent>
                          <w:p w14:paraId="364EA91E"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02BAA697"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4D95954B" w14:textId="77777777" w:rsidR="00A1624A" w:rsidRPr="0069515C" w:rsidRDefault="00A1624A" w:rsidP="00EA7E88">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AE4E6E" id="Rectangle 15" o:spid="_x0000_s1057" style="position:absolute;margin-left:270.3pt;margin-top:5.65pt;width:217.5pt;height: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" fillcolor="#ea6b14" strokecolor="#41719c" strokeweight="1pt">
                <v:fill color2="#b85410" rotate="t" focusposition=".5,.5" focussize="" colors="0 #ea6b14;15073f #ea6b14;45220f #c55a11;63570f #b85410" focus="100%" type="gradientRadial"/>
                <v:textbox>
                  <w:txbxContent>
                    <w:p w14:paraId="364EA91E"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Supreme Revolution</w:t>
                      </w:r>
                      <w:r>
                        <w:rPr>
                          <w:rFonts w:asciiTheme="majorBidi" w:hAnsiTheme="majorBidi" w:cstheme="majorBidi"/>
                          <w:color w:val="FFFFFF" w:themeColor="background1"/>
                          <w:sz w:val="24"/>
                          <w:szCs w:val="24"/>
                        </w:rPr>
                        <w:t>ary</w:t>
                      </w:r>
                      <w:r w:rsidRPr="00CF54BF">
                        <w:rPr>
                          <w:rFonts w:asciiTheme="majorBidi" w:hAnsiTheme="majorBidi" w:cstheme="majorBidi"/>
                          <w:color w:val="FFFFFF" w:themeColor="background1"/>
                          <w:sz w:val="24"/>
                          <w:szCs w:val="24"/>
                        </w:rPr>
                        <w:t xml:space="preserve"> Committee</w:t>
                      </w:r>
                      <w:r>
                        <w:rPr>
                          <w:rFonts w:asciiTheme="majorBidi" w:hAnsiTheme="majorBidi" w:cstheme="majorBidi"/>
                          <w:color w:val="FFFFFF" w:themeColor="background1"/>
                          <w:sz w:val="24"/>
                          <w:szCs w:val="24"/>
                        </w:rPr>
                        <w:t xml:space="preserve"> </w:t>
                      </w:r>
                      <w:r w:rsidRPr="00274D50">
                        <w:rPr>
                          <w:rFonts w:asciiTheme="majorBidi" w:hAnsiTheme="majorBidi" w:cstheme="majorBidi"/>
                          <w:color w:val="000000" w:themeColor="text1"/>
                          <w:sz w:val="24"/>
                          <w:szCs w:val="24"/>
                        </w:rPr>
                        <w:t>(2)</w:t>
                      </w:r>
                    </w:p>
                    <w:p w14:paraId="02BAA697" w14:textId="77777777" w:rsidR="00A1624A" w:rsidRPr="007F7C80" w:rsidRDefault="00A1624A" w:rsidP="00EA7E88">
                      <w:pPr>
                        <w:jc w:val="center"/>
                        <w:rPr>
                          <w:rFonts w:asciiTheme="majorBidi" w:hAnsiTheme="majorBidi" w:cstheme="majorBidi"/>
                          <w:color w:val="FFFFFF" w:themeColor="background1"/>
                        </w:rPr>
                      </w:pPr>
                      <w:r w:rsidRPr="007F7C80">
                        <w:rPr>
                          <w:rFonts w:asciiTheme="majorBidi" w:hAnsiTheme="majorBidi" w:cstheme="majorBidi"/>
                          <w:color w:val="FFFFFF" w:themeColor="background1"/>
                        </w:rPr>
                        <w:t>Mohammed Ali al Houth</w:t>
                      </w:r>
                      <w:r>
                        <w:rPr>
                          <w:rFonts w:asciiTheme="majorBidi" w:hAnsiTheme="majorBidi" w:cstheme="majorBidi"/>
                          <w:color w:val="FFFFFF" w:themeColor="background1"/>
                        </w:rPr>
                        <w:t>i</w:t>
                      </w:r>
                    </w:p>
                    <w:p w14:paraId="4D95954B" w14:textId="77777777" w:rsidR="00A1624A" w:rsidRPr="0069515C" w:rsidRDefault="00A1624A" w:rsidP="00EA7E88">
                      <w:pPr>
                        <w:jc w:val="center"/>
                        <w:rPr>
                          <w:lang w:val="en-US"/>
                        </w:rPr>
                      </w:pPr>
                      <w:r>
                        <w:rPr>
                          <w:rFonts w:asciiTheme="majorBidi" w:hAnsiTheme="majorBidi" w:cstheme="majorBidi"/>
                          <w:color w:val="FFFFFF" w:themeColor="background1"/>
                        </w:rPr>
                        <w:t>6 Feb 2015 -</w:t>
                      </w:r>
                      <w:r w:rsidRPr="007F7C80">
                        <w:rPr>
                          <w:rFonts w:asciiTheme="majorBidi" w:hAnsiTheme="majorBidi" w:cstheme="majorBidi"/>
                          <w:color w:val="FFFFFF" w:themeColor="background1"/>
                        </w:rPr>
                        <w:t xml:space="preserve"> </w:t>
                      </w:r>
                      <w:r w:rsidRPr="0069515C">
                        <w:rPr>
                          <w:rFonts w:asciiTheme="majorBidi" w:hAnsiTheme="majorBidi" w:cstheme="majorBidi"/>
                          <w:color w:val="FFFFFF" w:themeColor="background1"/>
                        </w:rPr>
                        <w:t xml:space="preserve">16 Aug 2016 </w:t>
                      </w:r>
                    </w:p>
                  </w:txbxContent>
                </v:textbox>
                <w10:wrap type="square"/>
              </v:rect>
            </w:pict>
          </mc:Fallback>
        </mc:AlternateContent>
      </w:r>
    </w:p>
    <w:p w14:paraId="367B4B3E" w14:textId="77777777" w:rsidR="00EA7E88" w:rsidRPr="00B91FAE" w:rsidRDefault="00EA7E88" w:rsidP="00EA7E88">
      <w:pPr>
        <w:rPr>
          <w:rFonts w:asciiTheme="majorBidi" w:hAnsiTheme="majorBidi" w:cstheme="majorBidi"/>
        </w:rPr>
      </w:pPr>
    </w:p>
    <w:p w14:paraId="33026C0E" w14:textId="77777777" w:rsidR="00EA7E88" w:rsidRPr="00B91FAE" w:rsidRDefault="00EA7E88"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767808" behindDoc="0" locked="0" layoutInCell="1" allowOverlap="1" wp14:anchorId="449DAC40" wp14:editId="6FE5DC74">
                <wp:simplePos x="0" y="0"/>
                <wp:positionH relativeFrom="column">
                  <wp:posOffset>3030441</wp:posOffset>
                </wp:positionH>
                <wp:positionV relativeFrom="paragraph">
                  <wp:posOffset>114300</wp:posOffset>
                </wp:positionV>
                <wp:extent cx="474022" cy="6824"/>
                <wp:effectExtent l="0" t="57150" r="40640" b="88900"/>
                <wp:wrapNone/>
                <wp:docPr id="372" name="Straight Arrow Connector 372"/>
                <wp:cNvGraphicFramePr/>
                <a:graphic xmlns:a="http://schemas.openxmlformats.org/drawingml/2006/main">
                  <a:graphicData uri="http://schemas.microsoft.com/office/word/2010/wordprocessingShape">
                    <wps:wsp>
                      <wps:cNvCnPr/>
                      <wps:spPr>
                        <a:xfrm>
                          <a:off x="0" y="0"/>
                          <a:ext cx="474022" cy="6824"/>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F7B73AA" id="Straight Arrow Connector 372" o:spid="_x0000_s1026" type="#_x0000_t32" style="position:absolute;margin-left:238.6pt;margin-top:9pt;width:37.3pt;height:.55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" strokecolor="#5b9bd5" strokeweight=".5pt">
                <v:stroke endarrow="block" joinstyle="miter"/>
              </v:shape>
            </w:pict>
          </mc:Fallback>
        </mc:AlternateContent>
      </w:r>
    </w:p>
    <w:p w14:paraId="7EF82974" w14:textId="77777777" w:rsidR="00EA7E88" w:rsidRPr="00B91FAE" w:rsidRDefault="00EA7E88" w:rsidP="00EA7E88">
      <w:r w:rsidRPr="00B91FAE">
        <w:rPr>
          <w:rFonts w:asciiTheme="majorBidi" w:hAnsiTheme="majorBidi" w:cstheme="majorBidi"/>
          <w:noProof/>
          <w:lang w:eastAsia="en-GB"/>
        </w:rPr>
        <mc:AlternateContent>
          <mc:Choice Requires="wps">
            <w:drawing>
              <wp:anchor distT="0" distB="0" distL="114300" distR="114300" simplePos="0" relativeHeight="251769856" behindDoc="0" locked="0" layoutInCell="1" allowOverlap="1" wp14:anchorId="604739BC" wp14:editId="277EDB35">
                <wp:simplePos x="0" y="0"/>
                <wp:positionH relativeFrom="column">
                  <wp:posOffset>2584920</wp:posOffset>
                </wp:positionH>
                <wp:positionV relativeFrom="paragraph">
                  <wp:posOffset>81280</wp:posOffset>
                </wp:positionV>
                <wp:extent cx="450376" cy="0"/>
                <wp:effectExtent l="38100" t="76200" r="0" b="95250"/>
                <wp:wrapNone/>
                <wp:docPr id="373" name="Straight Arrow Connector 373"/>
                <wp:cNvGraphicFramePr/>
                <a:graphic xmlns:a="http://schemas.openxmlformats.org/drawingml/2006/main">
                  <a:graphicData uri="http://schemas.microsoft.com/office/word/2010/wordprocessingShape">
                    <wps:wsp>
                      <wps:cNvCnPr/>
                      <wps:spPr>
                        <a:xfrm flipH="1">
                          <a:off x="0" y="0"/>
                          <a:ext cx="450376"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62DA0E63" id="Straight Arrow Connector 373" o:spid="_x0000_s1026" type="#_x0000_t32" style="position:absolute;margin-left:203.55pt;margin-top:6.4pt;width:35.45pt;height:0;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" strokecolor="#5b9bd5" strokeweight=".5pt">
                <v:stroke endarrow="block" joinstyle="miter"/>
              </v:shape>
            </w:pict>
          </mc:Fallback>
        </mc:AlternateContent>
      </w:r>
    </w:p>
    <w:p w14:paraId="115B3537" w14:textId="77777777" w:rsidR="00EA7E88" w:rsidRPr="00B91FAE" w:rsidRDefault="00EA7E88" w:rsidP="00EA7E88">
      <w:pPr>
        <w:suppressAutoHyphens w:val="0"/>
        <w:spacing w:after="160" w:line="259" w:lineRule="auto"/>
        <w:rPr>
          <w:rFonts w:asciiTheme="majorBidi" w:hAnsiTheme="majorBidi" w:cstheme="majorBidi"/>
          <w:lang w:bidi="ar-JO"/>
        </w:rPr>
      </w:pPr>
      <w:r w:rsidRPr="00B91FAE">
        <w:rPr>
          <w:rFonts w:asciiTheme="majorBidi" w:hAnsiTheme="majorBidi" w:cstheme="majorBidi"/>
          <w:noProof/>
          <w:lang w:eastAsia="en-GB"/>
        </w:rPr>
        <mc:AlternateContent>
          <mc:Choice Requires="wps">
            <w:drawing>
              <wp:anchor distT="0" distB="0" distL="114300" distR="114300" simplePos="0" relativeHeight="251729920" behindDoc="0" locked="0" layoutInCell="1" allowOverlap="1" wp14:anchorId="48AC4809" wp14:editId="14545B90">
                <wp:simplePos x="0" y="0"/>
                <wp:positionH relativeFrom="column">
                  <wp:posOffset>-243840</wp:posOffset>
                </wp:positionH>
                <wp:positionV relativeFrom="paragraph">
                  <wp:posOffset>6293485</wp:posOffset>
                </wp:positionV>
                <wp:extent cx="1348105" cy="409575"/>
                <wp:effectExtent l="0" t="0" r="23495" b="28575"/>
                <wp:wrapNone/>
                <wp:docPr id="226" name="Rectangle 226"/>
                <wp:cNvGraphicFramePr/>
                <a:graphic xmlns:a="http://schemas.openxmlformats.org/drawingml/2006/main">
                  <a:graphicData uri="http://schemas.microsoft.com/office/word/2010/wordprocessingShape">
                    <wps:wsp>
                      <wps:cNvSpPr/>
                      <wps:spPr>
                        <a:xfrm>
                          <a:off x="0" y="0"/>
                          <a:ext cx="1348105" cy="4095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BB8E0A5" w14:textId="77777777" w:rsidR="00A1624A" w:rsidRPr="004C6E88" w:rsidRDefault="00A1624A" w:rsidP="00EA7E88">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4E8EC46D" w14:textId="77777777" w:rsidR="00A1624A" w:rsidRPr="004C6E8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C4809" id="Rectangle 226" o:spid="_x0000_s1058" style="position:absolute;margin-left:-19.2pt;margin-top:495.55pt;width:106.15pt;height:32.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" fillcolor="#1f4e79" strokecolor="#41719c" strokeweight="1pt">
                <v:textbox>
                  <w:txbxContent>
                    <w:p w14:paraId="0BB8E0A5" w14:textId="77777777" w:rsidR="00A1624A" w:rsidRPr="004C6E88" w:rsidRDefault="00A1624A" w:rsidP="00EA7E88">
                      <w:pPr>
                        <w:spacing w:after="120"/>
                        <w:jc w:val="center"/>
                        <w:rPr>
                          <w:color w:val="FFFFFF" w:themeColor="background1"/>
                        </w:rPr>
                      </w:pPr>
                      <w:r w:rsidRPr="004C6E88">
                        <w:rPr>
                          <w:rFonts w:asciiTheme="majorBidi" w:hAnsiTheme="majorBidi" w:cstheme="majorBidi"/>
                          <w:color w:val="FFFFFF" w:themeColor="background1"/>
                          <w:lang w:val="en-US"/>
                        </w:rPr>
                        <w:t>Intelligence Director</w:t>
                      </w:r>
                      <w:r w:rsidRPr="004C6E88">
                        <w:rPr>
                          <w:color w:val="FFFFFF" w:themeColor="background1"/>
                        </w:rPr>
                        <w:t xml:space="preserve"> </w:t>
                      </w:r>
                      <w:r>
                        <w:rPr>
                          <w:color w:val="FFFFFF" w:themeColor="background1"/>
                        </w:rPr>
                        <w:t>BG</w:t>
                      </w:r>
                      <w:r w:rsidRPr="00283BF6">
                        <w:rPr>
                          <w:color w:val="FFFFFF" w:themeColor="background1"/>
                        </w:rPr>
                        <w:t xml:space="preserve"> Ali Abu Haliqa</w:t>
                      </w:r>
                    </w:p>
                    <w:p w14:paraId="4E8EC46D" w14:textId="77777777" w:rsidR="00A1624A" w:rsidRPr="004C6E8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2208" behindDoc="0" locked="0" layoutInCell="1" allowOverlap="1" wp14:anchorId="03495212" wp14:editId="2EDE3D34">
                <wp:simplePos x="0" y="0"/>
                <wp:positionH relativeFrom="column">
                  <wp:posOffset>3842385</wp:posOffset>
                </wp:positionH>
                <wp:positionV relativeFrom="paragraph">
                  <wp:posOffset>6350635</wp:posOffset>
                </wp:positionV>
                <wp:extent cx="1529715" cy="542925"/>
                <wp:effectExtent l="0" t="0" r="13335" b="28575"/>
                <wp:wrapNone/>
                <wp:docPr id="26" name="Rectangle 26"/>
                <wp:cNvGraphicFramePr/>
                <a:graphic xmlns:a="http://schemas.openxmlformats.org/drawingml/2006/main">
                  <a:graphicData uri="http://schemas.microsoft.com/office/word/2010/wordprocessingShape">
                    <wps:wsp>
                      <wps:cNvSpPr/>
                      <wps:spPr>
                        <a:xfrm>
                          <a:off x="0" y="0"/>
                          <a:ext cx="1529715" cy="5429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A6F3202"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36DE3E5C"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95212" id="Rectangle 26" o:spid="_x0000_s1059" style="position:absolute;margin-left:302.55pt;margin-top:500.05pt;width:120.45pt;height:42.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" fillcolor="#1f4e79" strokecolor="#41719c" strokeweight="1pt">
                <v:textbox>
                  <w:txbxContent>
                    <w:p w14:paraId="1A6F3202"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 xml:space="preserve">PSO Deputy </w:t>
                      </w:r>
                    </w:p>
                    <w:p w14:paraId="36DE3E5C" w14:textId="77777777" w:rsidR="00A1624A" w:rsidRPr="00CB4684" w:rsidRDefault="00A1624A" w:rsidP="00EA7E88">
                      <w:pPr>
                        <w:jc w:val="center"/>
                        <w:rPr>
                          <w:rFonts w:asciiTheme="majorBidi" w:hAnsiTheme="majorBidi" w:cstheme="majorBidi"/>
                          <w:color w:val="FFFFFF" w:themeColor="background1"/>
                          <w:lang w:val="en-US"/>
                        </w:rPr>
                      </w:pPr>
                      <w:r w:rsidRPr="00CB4684">
                        <w:rPr>
                          <w:rFonts w:asciiTheme="majorBidi" w:hAnsiTheme="majorBidi" w:cstheme="majorBidi"/>
                          <w:color w:val="FFFFFF" w:themeColor="background1"/>
                          <w:lang w:val="en-US"/>
                        </w:rPr>
                        <w:t>Mohamed Dhaifallah Abu Kathem</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8592" behindDoc="0" locked="0" layoutInCell="1" allowOverlap="1" wp14:anchorId="1EDEC45E" wp14:editId="632017C6">
                <wp:simplePos x="0" y="0"/>
                <wp:positionH relativeFrom="column">
                  <wp:posOffset>4584700</wp:posOffset>
                </wp:positionH>
                <wp:positionV relativeFrom="paragraph">
                  <wp:posOffset>6024880</wp:posOffset>
                </wp:positionV>
                <wp:extent cx="0" cy="224155"/>
                <wp:effectExtent l="76200" t="0" r="57150" b="61595"/>
                <wp:wrapNone/>
                <wp:docPr id="392" name="Straight Arrow Connector 39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7817066F" id="Straight Arrow Connector 392" o:spid="_x0000_s1026" type="#_x0000_t32" style="position:absolute;margin-left:361pt;margin-top:474.4pt;width:0;height:17.6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20704" behindDoc="0" locked="0" layoutInCell="1" allowOverlap="1" wp14:anchorId="613CE7A9" wp14:editId="78902B56">
                <wp:simplePos x="0" y="0"/>
                <wp:positionH relativeFrom="column">
                  <wp:posOffset>3842385</wp:posOffset>
                </wp:positionH>
                <wp:positionV relativeFrom="paragraph">
                  <wp:posOffset>5512435</wp:posOffset>
                </wp:positionV>
                <wp:extent cx="1539240" cy="504825"/>
                <wp:effectExtent l="0" t="0" r="22860" b="28575"/>
                <wp:wrapNone/>
                <wp:docPr id="393" name="Rectangle 393"/>
                <wp:cNvGraphicFramePr/>
                <a:graphic xmlns:a="http://schemas.openxmlformats.org/drawingml/2006/main">
                  <a:graphicData uri="http://schemas.microsoft.com/office/word/2010/wordprocessingShape">
                    <wps:wsp>
                      <wps:cNvSpPr/>
                      <wps:spPr>
                        <a:xfrm>
                          <a:off x="0" y="0"/>
                          <a:ext cx="1539240" cy="5048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035584A"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2988F529"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631FD6A" w14:textId="77777777" w:rsidR="00A1624A" w:rsidRPr="00CB4684" w:rsidRDefault="00A1624A" w:rsidP="00EA7E88">
                            <w:pPr>
                              <w:jc w:val="center"/>
                              <w:rPr>
                                <w:rFonts w:asciiTheme="majorBidi" w:hAnsiTheme="majorBidi" w:cstheme="majorBidi"/>
                                <w:color w:val="FFFFFF" w:themeColor="background1"/>
                              </w:rPr>
                            </w:pPr>
                          </w:p>
                          <w:p w14:paraId="46D384FA" w14:textId="77777777" w:rsidR="00A1624A" w:rsidRPr="00CB4684"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CE7A9" id="Rectangle 393" o:spid="_x0000_s1060" style="position:absolute;margin-left:302.55pt;margin-top:434.05pt;width:121.2pt;height:39.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" fillcolor="#1f4e79" strokecolor="#41719c" strokeweight="1pt">
                <v:textbox>
                  <w:txbxContent>
                    <w:p w14:paraId="5035584A"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r w:rsidRPr="009623F1">
                        <w:rPr>
                          <w:rFonts w:asciiTheme="majorBidi" w:hAnsiTheme="majorBidi" w:cstheme="majorBidi"/>
                          <w:lang w:bidi="ar-JO"/>
                        </w:rPr>
                        <w:t>(9)</w:t>
                      </w:r>
                    </w:p>
                    <w:p w14:paraId="2988F529"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0631FD6A" w14:textId="77777777" w:rsidR="00A1624A" w:rsidRPr="00CB4684" w:rsidRDefault="00A1624A" w:rsidP="00EA7E88">
                      <w:pPr>
                        <w:jc w:val="center"/>
                        <w:rPr>
                          <w:rFonts w:asciiTheme="majorBidi" w:hAnsiTheme="majorBidi" w:cstheme="majorBidi"/>
                          <w:color w:val="FFFFFF" w:themeColor="background1"/>
                        </w:rPr>
                      </w:pPr>
                    </w:p>
                    <w:p w14:paraId="46D384FA" w14:textId="77777777" w:rsidR="00A1624A" w:rsidRPr="00CB4684"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2144" behindDoc="0" locked="0" layoutInCell="1" allowOverlap="1" wp14:anchorId="4DDB867D" wp14:editId="79C35A2D">
                <wp:simplePos x="0" y="0"/>
                <wp:positionH relativeFrom="column">
                  <wp:posOffset>5739130</wp:posOffset>
                </wp:positionH>
                <wp:positionV relativeFrom="paragraph">
                  <wp:posOffset>5226050</wp:posOffset>
                </wp:positionV>
                <wp:extent cx="460375" cy="0"/>
                <wp:effectExtent l="38100" t="76200" r="0" b="95250"/>
                <wp:wrapNone/>
                <wp:docPr id="374" name="Straight Arrow Connector 374"/>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2370EB3" id="Straight Arrow Connector 374" o:spid="_x0000_s1026" type="#_x0000_t32" style="position:absolute;margin-left:451.9pt;margin-top:411.5pt;width:36.25pt;height:0;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1120" behindDoc="0" locked="0" layoutInCell="1" allowOverlap="1" wp14:anchorId="56675859" wp14:editId="55B52CAA">
                <wp:simplePos x="0" y="0"/>
                <wp:positionH relativeFrom="column">
                  <wp:posOffset>5748655</wp:posOffset>
                </wp:positionH>
                <wp:positionV relativeFrom="paragraph">
                  <wp:posOffset>4648200</wp:posOffset>
                </wp:positionV>
                <wp:extent cx="442595" cy="0"/>
                <wp:effectExtent l="38100" t="76200" r="0" b="95250"/>
                <wp:wrapNone/>
                <wp:docPr id="250" name="Straight Arrow Connector 250"/>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30A8376" id="Straight Arrow Connector 250" o:spid="_x0000_s1026" type="#_x0000_t32" style="position:absolute;margin-left:452.65pt;margin-top:366pt;width:34.85pt;height:0;flip:x;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0096" behindDoc="0" locked="0" layoutInCell="1" allowOverlap="1" wp14:anchorId="227F69E6" wp14:editId="0D0E64DD">
                <wp:simplePos x="0" y="0"/>
                <wp:positionH relativeFrom="column">
                  <wp:posOffset>3581400</wp:posOffset>
                </wp:positionH>
                <wp:positionV relativeFrom="paragraph">
                  <wp:posOffset>5162550</wp:posOffset>
                </wp:positionV>
                <wp:extent cx="335280" cy="0"/>
                <wp:effectExtent l="38100" t="76200" r="0" b="95250"/>
                <wp:wrapNone/>
                <wp:docPr id="375" name="Straight Arrow Connector 375"/>
                <wp:cNvGraphicFramePr/>
                <a:graphic xmlns:a="http://schemas.openxmlformats.org/drawingml/2006/main">
                  <a:graphicData uri="http://schemas.microsoft.com/office/word/2010/wordprocessingShape">
                    <wps:wsp>
                      <wps:cNvCnPr/>
                      <wps:spPr>
                        <a:xfrm flipH="1">
                          <a:off x="0" y="0"/>
                          <a:ext cx="335280"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FB64638" id="Straight Arrow Connector 375" o:spid="_x0000_s1026" type="#_x0000_t32" style="position:absolute;margin-left:282pt;margin-top:406.5pt;width:26.4pt;height:0;flip:x;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9072" behindDoc="0" locked="0" layoutInCell="1" allowOverlap="1" wp14:anchorId="7C40309F" wp14:editId="459648C2">
                <wp:simplePos x="0" y="0"/>
                <wp:positionH relativeFrom="column">
                  <wp:posOffset>3567430</wp:posOffset>
                </wp:positionH>
                <wp:positionV relativeFrom="paragraph">
                  <wp:posOffset>4648200</wp:posOffset>
                </wp:positionV>
                <wp:extent cx="344805" cy="0"/>
                <wp:effectExtent l="38100" t="76200" r="0" b="95250"/>
                <wp:wrapNone/>
                <wp:docPr id="248" name="Straight Arrow Connector 248"/>
                <wp:cNvGraphicFramePr/>
                <a:graphic xmlns:a="http://schemas.openxmlformats.org/drawingml/2006/main">
                  <a:graphicData uri="http://schemas.microsoft.com/office/word/2010/wordprocessingShape">
                    <wps:wsp>
                      <wps:cNvCnPr/>
                      <wps:spPr>
                        <a:xfrm flipH="1">
                          <a:off x="0" y="0"/>
                          <a:ext cx="34480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816435E" id="Straight Arrow Connector 248" o:spid="_x0000_s1026" type="#_x0000_t32" style="position:absolute;margin-left:280.9pt;margin-top:366pt;width:27.15pt;height:0;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8048" behindDoc="0" locked="0" layoutInCell="1" allowOverlap="1" wp14:anchorId="31722434" wp14:editId="02E39DAF">
                <wp:simplePos x="0" y="0"/>
                <wp:positionH relativeFrom="column">
                  <wp:posOffset>3636010</wp:posOffset>
                </wp:positionH>
                <wp:positionV relativeFrom="paragraph">
                  <wp:posOffset>3933825</wp:posOffset>
                </wp:positionV>
                <wp:extent cx="273685" cy="0"/>
                <wp:effectExtent l="38100" t="76200" r="0" b="95250"/>
                <wp:wrapNone/>
                <wp:docPr id="376" name="Straight Arrow Connector 376"/>
                <wp:cNvGraphicFramePr/>
                <a:graphic xmlns:a="http://schemas.openxmlformats.org/drawingml/2006/main">
                  <a:graphicData uri="http://schemas.microsoft.com/office/word/2010/wordprocessingShape">
                    <wps:wsp>
                      <wps:cNvCnPr/>
                      <wps:spPr>
                        <a:xfrm flipH="1">
                          <a:off x="0" y="0"/>
                          <a:ext cx="2736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8B9D168" id="Straight Arrow Connector 376" o:spid="_x0000_s1026" type="#_x0000_t32" style="position:absolute;margin-left:286.3pt;margin-top:309.75pt;width:21.55pt;height:0;flip:x;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7024" behindDoc="0" locked="0" layoutInCell="1" allowOverlap="1" wp14:anchorId="7124FE4A" wp14:editId="333C542C">
                <wp:simplePos x="0" y="0"/>
                <wp:positionH relativeFrom="column">
                  <wp:posOffset>3909695</wp:posOffset>
                </wp:positionH>
                <wp:positionV relativeFrom="paragraph">
                  <wp:posOffset>3305174</wp:posOffset>
                </wp:positionV>
                <wp:extent cx="0" cy="1857375"/>
                <wp:effectExtent l="0" t="0" r="19050" b="28575"/>
                <wp:wrapNone/>
                <wp:docPr id="377" name="Straight Connector 377"/>
                <wp:cNvGraphicFramePr/>
                <a:graphic xmlns:a="http://schemas.openxmlformats.org/drawingml/2006/main">
                  <a:graphicData uri="http://schemas.microsoft.com/office/word/2010/wordprocessingShape">
                    <wps:wsp>
                      <wps:cNvCnPr/>
                      <wps:spPr>
                        <a:xfrm>
                          <a:off x="0" y="0"/>
                          <a:ext cx="0" cy="1857375"/>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9C6BB43" id="Straight Connector 377" o:spid="_x0000_s1026" style="position:absolute;z-index:251777024;visibility:visible;mso-wrap-style:square;mso-wrap-distance-left:9pt;mso-wrap-distance-top:0;mso-wrap-distance-right:9pt;mso-wrap-distance-bottom:0;mso-position-horizontal:absolute;mso-position-horizontal-relative:text;mso-position-vertical:absolute;mso-position-vertical-relative:text" from="307.85pt,260.25pt" to="307.85pt,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" strokecolor="#5b9bd5"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2928" behindDoc="0" locked="0" layoutInCell="1" allowOverlap="1" wp14:anchorId="2C75ED22" wp14:editId="43170053">
                <wp:simplePos x="0" y="0"/>
                <wp:positionH relativeFrom="column">
                  <wp:posOffset>4048125</wp:posOffset>
                </wp:positionH>
                <wp:positionV relativeFrom="paragraph">
                  <wp:posOffset>2828290</wp:posOffset>
                </wp:positionV>
                <wp:extent cx="0" cy="2695575"/>
                <wp:effectExtent l="76200" t="0" r="57150" b="47625"/>
                <wp:wrapNone/>
                <wp:docPr id="378" name="Straight Arrow Connector 378"/>
                <wp:cNvGraphicFramePr/>
                <a:graphic xmlns:a="http://schemas.openxmlformats.org/drawingml/2006/main">
                  <a:graphicData uri="http://schemas.microsoft.com/office/word/2010/wordprocessingShape">
                    <wps:wsp>
                      <wps:cNvCnPr/>
                      <wps:spPr>
                        <a:xfrm>
                          <a:off x="0" y="0"/>
                          <a:ext cx="0" cy="26955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366C3D6D" id="Straight Arrow Connector 378" o:spid="_x0000_s1026" type="#_x0000_t32" style="position:absolute;margin-left:318.75pt;margin-top:222.7pt;width:0;height:212.2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6000" behindDoc="0" locked="0" layoutInCell="1" allowOverlap="1" wp14:anchorId="64745B39" wp14:editId="5EDC8933">
                <wp:simplePos x="0" y="0"/>
                <wp:positionH relativeFrom="column">
                  <wp:posOffset>3909695</wp:posOffset>
                </wp:positionH>
                <wp:positionV relativeFrom="paragraph">
                  <wp:posOffset>2819400</wp:posOffset>
                </wp:positionV>
                <wp:extent cx="138430" cy="0"/>
                <wp:effectExtent l="0" t="0" r="13970" b="19050"/>
                <wp:wrapNone/>
                <wp:docPr id="379" name="Straight Connector 379"/>
                <wp:cNvGraphicFramePr/>
                <a:graphic xmlns:a="http://schemas.openxmlformats.org/drawingml/2006/main">
                  <a:graphicData uri="http://schemas.microsoft.com/office/word/2010/wordprocessingShape">
                    <wps:wsp>
                      <wps:cNvCnPr/>
                      <wps:spPr>
                        <a:xfrm flipH="1">
                          <a:off x="0" y="0"/>
                          <a:ext cx="13843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524EF688" id="Straight Connector 379" o:spid="_x0000_s1026" style="position:absolute;flip:x;z-index:251776000;visibility:visible;mso-wrap-style:square;mso-wrap-distance-left:9pt;mso-wrap-distance-top:0;mso-wrap-distance-right:9pt;mso-wrap-distance-bottom:0;mso-position-horizontal:absolute;mso-position-horizontal-relative:text;mso-position-vertical:absolute;mso-position-vertical-relative:text" from="307.85pt,222pt" to="318.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" strokecolor="#5b9bd5"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0880" behindDoc="0" locked="0" layoutInCell="1" allowOverlap="1" wp14:anchorId="4D884E28" wp14:editId="012B2C34">
                <wp:simplePos x="0" y="0"/>
                <wp:positionH relativeFrom="column">
                  <wp:posOffset>4543425</wp:posOffset>
                </wp:positionH>
                <wp:positionV relativeFrom="paragraph">
                  <wp:posOffset>4961890</wp:posOffset>
                </wp:positionV>
                <wp:extent cx="1205230" cy="419100"/>
                <wp:effectExtent l="0" t="0" r="13970" b="19050"/>
                <wp:wrapNone/>
                <wp:docPr id="380" name="Rectangle 38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36A863FD"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884E28" id="Rectangle 380" o:spid="_x0000_s1061" style="position:absolute;margin-left:357.75pt;margin-top:390.7pt;width:94.9pt;height:3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I+z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" fillcolor="#5b9bd5" strokecolor="#41719c" strokeweight="1pt">
                <v:textbox>
                  <w:txbxContent>
                    <w:p w14:paraId="36A863FD"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8832" behindDoc="0" locked="0" layoutInCell="1" allowOverlap="1" wp14:anchorId="704B67EE" wp14:editId="17DF19A3">
                <wp:simplePos x="0" y="0"/>
                <wp:positionH relativeFrom="column">
                  <wp:posOffset>4533900</wp:posOffset>
                </wp:positionH>
                <wp:positionV relativeFrom="paragraph">
                  <wp:posOffset>4447540</wp:posOffset>
                </wp:positionV>
                <wp:extent cx="1205230" cy="419100"/>
                <wp:effectExtent l="0" t="0" r="13970" b="19050"/>
                <wp:wrapNone/>
                <wp:docPr id="234" name="Rectangle 234"/>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1AD9ABF4"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4B67EE" id="Rectangle 234" o:spid="_x0000_s1062" style="position:absolute;margin-left:357pt;margin-top:350.2pt;width:94.9pt;height:3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FIl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" fillcolor="#5b9bd5" strokecolor="#41719c" strokeweight="1pt">
                <v:textbox>
                  <w:txbxContent>
                    <w:p w14:paraId="1AD9ABF4"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36064" behindDoc="0" locked="0" layoutInCell="1" allowOverlap="1" wp14:anchorId="64E7511D" wp14:editId="191FA9A4">
                <wp:simplePos x="0" y="0"/>
                <wp:positionH relativeFrom="column">
                  <wp:posOffset>2371725</wp:posOffset>
                </wp:positionH>
                <wp:positionV relativeFrom="paragraph">
                  <wp:posOffset>4972051</wp:posOffset>
                </wp:positionV>
                <wp:extent cx="1209675" cy="400050"/>
                <wp:effectExtent l="0" t="0" r="28575" b="19050"/>
                <wp:wrapNone/>
                <wp:docPr id="381" name="Rectangle 381"/>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2D121B15"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E7511D" id="Rectangle 381" o:spid="_x0000_s1063" style="position:absolute;margin-left:186.75pt;margin-top:391.5pt;width:95.25pt;height:3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" fillcolor="#5b9bd5" strokecolor="#41719c" strokeweight="1pt">
                <v:textbox>
                  <w:txbxContent>
                    <w:p w14:paraId="2D121B15"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32992" behindDoc="0" locked="0" layoutInCell="1" allowOverlap="1" wp14:anchorId="6EBBC5D4" wp14:editId="34A13A45">
                <wp:simplePos x="0" y="0"/>
                <wp:positionH relativeFrom="column">
                  <wp:posOffset>2362200</wp:posOffset>
                </wp:positionH>
                <wp:positionV relativeFrom="paragraph">
                  <wp:posOffset>4438650</wp:posOffset>
                </wp:positionV>
                <wp:extent cx="1205230" cy="419100"/>
                <wp:effectExtent l="0" t="0" r="13970" b="19050"/>
                <wp:wrapNone/>
                <wp:docPr id="382" name="Rectangle 382"/>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362260F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BBC5D4" id="Rectangle 382" o:spid="_x0000_s1064" style="position:absolute;margin-left:186pt;margin-top:349.5pt;width:94.9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" fillcolor="#5b9bd5" strokecolor="#41719c" strokeweight="1pt">
                <v:textbox>
                  <w:txbxContent>
                    <w:p w14:paraId="362260F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65760" behindDoc="0" locked="0" layoutInCell="1" allowOverlap="1" wp14:anchorId="28454468" wp14:editId="045E0D5F">
                <wp:simplePos x="0" y="0"/>
                <wp:positionH relativeFrom="column">
                  <wp:posOffset>5777865</wp:posOffset>
                </wp:positionH>
                <wp:positionV relativeFrom="paragraph">
                  <wp:posOffset>3933825</wp:posOffset>
                </wp:positionV>
                <wp:extent cx="413385" cy="0"/>
                <wp:effectExtent l="38100" t="76200" r="0" b="95250"/>
                <wp:wrapNone/>
                <wp:docPr id="233" name="Straight Arrow Connector 233"/>
                <wp:cNvGraphicFramePr/>
                <a:graphic xmlns:a="http://schemas.openxmlformats.org/drawingml/2006/main">
                  <a:graphicData uri="http://schemas.microsoft.com/office/word/2010/wordprocessingShape">
                    <wps:wsp>
                      <wps:cNvCnPr/>
                      <wps:spPr>
                        <a:xfrm flipH="1">
                          <a:off x="0" y="0"/>
                          <a:ext cx="413385" cy="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D697F66" id="Straight Arrow Connector 233" o:spid="_x0000_s1026" type="#_x0000_t32" style="position:absolute;margin-left:454.95pt;margin-top:309.75pt;width:32.55pt;height:0;flip:x;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8112" behindDoc="0" locked="0" layoutInCell="1" allowOverlap="1" wp14:anchorId="2733A2D8" wp14:editId="02FB0E31">
                <wp:simplePos x="0" y="0"/>
                <wp:positionH relativeFrom="column">
                  <wp:posOffset>4438650</wp:posOffset>
                </wp:positionH>
                <wp:positionV relativeFrom="paragraph">
                  <wp:posOffset>3642995</wp:posOffset>
                </wp:positionV>
                <wp:extent cx="1339215" cy="633730"/>
                <wp:effectExtent l="0" t="0" r="13335" b="13970"/>
                <wp:wrapNone/>
                <wp:docPr id="383" name="Rectangle 383"/>
                <wp:cNvGraphicFramePr/>
                <a:graphic xmlns:a="http://schemas.openxmlformats.org/drawingml/2006/main">
                  <a:graphicData uri="http://schemas.microsoft.com/office/word/2010/wordprocessingShape">
                    <wps:wsp>
                      <wps:cNvSpPr/>
                      <wps:spPr>
                        <a:xfrm>
                          <a:off x="0" y="0"/>
                          <a:ext cx="1339215" cy="6337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CFDA798"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3A2D8" id="Rectangle 383" o:spid="_x0000_s1065" style="position:absolute;margin-left:349.5pt;margin-top:286.85pt;width:105.45pt;height:4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" fillcolor="#1f4e79" strokecolor="#41719c" strokeweight="1pt">
                <v:textbox>
                  <w:txbxContent>
                    <w:p w14:paraId="3CFDA798"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7088" behindDoc="0" locked="0" layoutInCell="1" allowOverlap="1" wp14:anchorId="745C197B" wp14:editId="0C4A7FEC">
                <wp:simplePos x="0" y="0"/>
                <wp:positionH relativeFrom="column">
                  <wp:posOffset>2295525</wp:posOffset>
                </wp:positionH>
                <wp:positionV relativeFrom="paragraph">
                  <wp:posOffset>3638550</wp:posOffset>
                </wp:positionV>
                <wp:extent cx="1340485" cy="674370"/>
                <wp:effectExtent l="0" t="0" r="12065" b="11430"/>
                <wp:wrapNone/>
                <wp:docPr id="384" name="Rectangle 384"/>
                <wp:cNvGraphicFramePr/>
                <a:graphic xmlns:a="http://schemas.openxmlformats.org/drawingml/2006/main">
                  <a:graphicData uri="http://schemas.microsoft.com/office/word/2010/wordprocessingShape">
                    <wps:wsp>
                      <wps:cNvSpPr/>
                      <wps:spPr>
                        <a:xfrm>
                          <a:off x="0" y="0"/>
                          <a:ext cx="134048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013CEE6B"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99334BF" w14:textId="77777777" w:rsidR="00A1624A" w:rsidRPr="00352564" w:rsidRDefault="00A1624A" w:rsidP="00EA7E88">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3F5B4DDE"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C197B" id="Rectangle 384" o:spid="_x0000_s1066" style="position:absolute;margin-left:180.75pt;margin-top:286.5pt;width:105.55pt;height:53.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" fillcolor="#1f4e79" strokecolor="#41719c" strokeweight="1pt">
                <v:textbox>
                  <w:txbxContent>
                    <w:p w14:paraId="013CEE6B"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99334BF" w14:textId="77777777" w:rsidR="00A1624A" w:rsidRPr="00352564" w:rsidRDefault="00A1624A" w:rsidP="00EA7E88">
                      <w:pPr>
                        <w:jc w:val="center"/>
                        <w:rPr>
                          <w:rFonts w:asciiTheme="majorBidi" w:hAnsiTheme="majorBidi" w:cstheme="majorBidi"/>
                          <w:color w:val="FFFFFF" w:themeColor="background1"/>
                          <w:sz w:val="16"/>
                          <w:szCs w:val="16"/>
                          <w:lang w:val="en-US"/>
                        </w:rPr>
                      </w:pPr>
                      <w:r w:rsidRPr="00352564">
                        <w:rPr>
                          <w:rFonts w:asciiTheme="majorBidi" w:hAnsiTheme="majorBidi" w:cstheme="majorBidi"/>
                          <w:color w:val="FFFFFF" w:themeColor="background1"/>
                          <w:sz w:val="16"/>
                          <w:szCs w:val="16"/>
                          <w:lang w:val="en-US"/>
                        </w:rPr>
                        <w:t>Motlaq Amer Almarrani (Abu Emad )</w:t>
                      </w:r>
                    </w:p>
                    <w:p w14:paraId="3F5B4DDE"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63712" behindDoc="0" locked="0" layoutInCell="1" allowOverlap="1" wp14:anchorId="211A2B12" wp14:editId="03F31D12">
                <wp:simplePos x="0" y="0"/>
                <wp:positionH relativeFrom="column">
                  <wp:posOffset>2967355</wp:posOffset>
                </wp:positionH>
                <wp:positionV relativeFrom="paragraph">
                  <wp:posOffset>3305175</wp:posOffset>
                </wp:positionV>
                <wp:extent cx="0" cy="333375"/>
                <wp:effectExtent l="76200" t="0" r="76200" b="47625"/>
                <wp:wrapNone/>
                <wp:docPr id="29" name="Straight Arrow Connector 29"/>
                <wp:cNvGraphicFramePr/>
                <a:graphic xmlns:a="http://schemas.openxmlformats.org/drawingml/2006/main">
                  <a:graphicData uri="http://schemas.microsoft.com/office/word/2010/wordprocessingShape">
                    <wps:wsp>
                      <wps:cNvCnPr/>
                      <wps:spPr>
                        <a:xfrm>
                          <a:off x="0" y="0"/>
                          <a:ext cx="0" cy="33337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2F76315" id="Straight Arrow Connector 29" o:spid="_x0000_s1026" type="#_x0000_t32" style="position:absolute;margin-left:233.65pt;margin-top:260.25pt;width:0;height:26.2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0640" behindDoc="0" locked="0" layoutInCell="1" allowOverlap="1" wp14:anchorId="20AEF29D" wp14:editId="729E37EA">
                <wp:simplePos x="0" y="0"/>
                <wp:positionH relativeFrom="column">
                  <wp:posOffset>445135</wp:posOffset>
                </wp:positionH>
                <wp:positionV relativeFrom="paragraph">
                  <wp:posOffset>4224655</wp:posOffset>
                </wp:positionV>
                <wp:extent cx="0" cy="223520"/>
                <wp:effectExtent l="76200" t="0" r="57150" b="62230"/>
                <wp:wrapNone/>
                <wp:docPr id="385" name="Straight Arrow Connector 385"/>
                <wp:cNvGraphicFramePr/>
                <a:graphic xmlns:a="http://schemas.openxmlformats.org/drawingml/2006/main">
                  <a:graphicData uri="http://schemas.microsoft.com/office/word/2010/wordprocessingShape">
                    <wps:wsp>
                      <wps:cNvCnPr/>
                      <wps:spPr>
                        <a:xfrm>
                          <a:off x="0" y="0"/>
                          <a:ext cx="0" cy="223520"/>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2325297" id="Straight Arrow Connector 385" o:spid="_x0000_s1026" type="#_x0000_t32" style="position:absolute;margin-left:35.05pt;margin-top:332.65pt;width:0;height:17.6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3232" behindDoc="0" locked="0" layoutInCell="1" allowOverlap="1" wp14:anchorId="3AD405C4" wp14:editId="72EE107C">
                <wp:simplePos x="0" y="0"/>
                <wp:positionH relativeFrom="column">
                  <wp:posOffset>459105</wp:posOffset>
                </wp:positionH>
                <wp:positionV relativeFrom="paragraph">
                  <wp:posOffset>3292475</wp:posOffset>
                </wp:positionV>
                <wp:extent cx="0" cy="224155"/>
                <wp:effectExtent l="76200" t="0" r="57150" b="61595"/>
                <wp:wrapNone/>
                <wp:docPr id="262" name="Straight Arrow Connector 262"/>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83F8A68" id="Straight Arrow Connector 262" o:spid="_x0000_s1026" type="#_x0000_t32" style="position:absolute;margin-left:36.15pt;margin-top:259.25pt;width:0;height:17.65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9136" behindDoc="0" locked="0" layoutInCell="1" allowOverlap="1" wp14:anchorId="31FB4E8C" wp14:editId="1101211C">
                <wp:simplePos x="0" y="0"/>
                <wp:positionH relativeFrom="column">
                  <wp:posOffset>-257175</wp:posOffset>
                </wp:positionH>
                <wp:positionV relativeFrom="paragraph">
                  <wp:posOffset>3519805</wp:posOffset>
                </wp:positionV>
                <wp:extent cx="1419225" cy="688340"/>
                <wp:effectExtent l="0" t="0" r="28575" b="16510"/>
                <wp:wrapNone/>
                <wp:docPr id="386" name="Rectangle 386"/>
                <wp:cNvGraphicFramePr/>
                <a:graphic xmlns:a="http://schemas.openxmlformats.org/drawingml/2006/main">
                  <a:graphicData uri="http://schemas.microsoft.com/office/word/2010/wordprocessingShape">
                    <wps:wsp>
                      <wps:cNvSpPr/>
                      <wps:spPr>
                        <a:xfrm>
                          <a:off x="0" y="0"/>
                          <a:ext cx="1419225"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C010203"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7DB71251" w14:textId="77777777" w:rsidR="00A1624A" w:rsidRPr="00444FB3"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FB4E8C" id="Rectangle 386" o:spid="_x0000_s1067" style="position:absolute;margin-left:-20.25pt;margin-top:277.15pt;width:111.75pt;height:5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" fillcolor="#1f4e79" strokecolor="#41719c" strokeweight="1pt">
                <v:textbox>
                  <w:txbxContent>
                    <w:p w14:paraId="6C010203"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7DB71251" w14:textId="77777777" w:rsidR="00A1624A" w:rsidRPr="00444FB3"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US"/>
                        </w:rPr>
                        <w:t>MG</w:t>
                      </w:r>
                      <w:r w:rsidRPr="00444FB3">
                        <w:rPr>
                          <w:rFonts w:asciiTheme="majorBidi" w:hAnsiTheme="majorBidi" w:cstheme="majorBidi"/>
                          <w:color w:val="FFFFFF" w:themeColor="background1"/>
                          <w:sz w:val="18"/>
                          <w:szCs w:val="18"/>
                          <w:lang w:val="en-US"/>
                        </w:rPr>
                        <w:t xml:space="preserve"> Mohammed Abdulkarim al-Ghumari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23776" behindDoc="0" locked="0" layoutInCell="1" allowOverlap="1" wp14:anchorId="735FF740" wp14:editId="439D4869">
                <wp:simplePos x="0" y="0"/>
                <wp:positionH relativeFrom="column">
                  <wp:posOffset>-219075</wp:posOffset>
                </wp:positionH>
                <wp:positionV relativeFrom="paragraph">
                  <wp:posOffset>4448175</wp:posOffset>
                </wp:positionV>
                <wp:extent cx="1329055" cy="704850"/>
                <wp:effectExtent l="0" t="0" r="23495" b="19050"/>
                <wp:wrapNone/>
                <wp:docPr id="387" name="Rectangle 387"/>
                <wp:cNvGraphicFramePr/>
                <a:graphic xmlns:a="http://schemas.openxmlformats.org/drawingml/2006/main">
                  <a:graphicData uri="http://schemas.microsoft.com/office/word/2010/wordprocessingShape">
                    <wps:wsp>
                      <wps:cNvSpPr/>
                      <wps:spPr>
                        <a:xfrm>
                          <a:off x="0" y="0"/>
                          <a:ext cx="1329055"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60A7310"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09ED36E9"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FF740" id="Rectangle 387" o:spid="_x0000_s1068" style="position:absolute;margin-left:-17.25pt;margin-top:350.25pt;width:104.65pt;height:5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" fillcolor="#1f4e79" strokecolor="#41719c" strokeweight="1pt">
                <v:textbox>
                  <w:txbxContent>
                    <w:p w14:paraId="760A7310"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09ED36E9"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7328" behindDoc="0" locked="0" layoutInCell="1" allowOverlap="1" wp14:anchorId="03EFCF39" wp14:editId="21ED607A">
                <wp:simplePos x="0" y="0"/>
                <wp:positionH relativeFrom="column">
                  <wp:posOffset>437515</wp:posOffset>
                </wp:positionH>
                <wp:positionV relativeFrom="paragraph">
                  <wp:posOffset>5164455</wp:posOffset>
                </wp:positionV>
                <wp:extent cx="0" cy="224155"/>
                <wp:effectExtent l="76200" t="0" r="57150" b="61595"/>
                <wp:wrapNone/>
                <wp:docPr id="264" name="Straight Arrow Connector 264"/>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18075F2E" id="Straight Arrow Connector 264" o:spid="_x0000_s1026" type="#_x0000_t32" style="position:absolute;margin-left:34.45pt;margin-top:406.65pt;width:0;height:17.6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ru4QEAAKcDAAAOAAAAZHJzL2Uyb0RvYy54bWysU8tu2zAQvBfoPxC815LV2E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26848" behindDoc="0" locked="0" layoutInCell="1" allowOverlap="1" wp14:anchorId="2A9AE696" wp14:editId="138CE029">
                <wp:simplePos x="0" y="0"/>
                <wp:positionH relativeFrom="column">
                  <wp:posOffset>-219075</wp:posOffset>
                </wp:positionH>
                <wp:positionV relativeFrom="paragraph">
                  <wp:posOffset>5368925</wp:posOffset>
                </wp:positionV>
                <wp:extent cx="1329055" cy="684530"/>
                <wp:effectExtent l="0" t="0" r="23495" b="20320"/>
                <wp:wrapNone/>
                <wp:docPr id="388" name="Rectangle 388"/>
                <wp:cNvGraphicFramePr/>
                <a:graphic xmlns:a="http://schemas.openxmlformats.org/drawingml/2006/main">
                  <a:graphicData uri="http://schemas.microsoft.com/office/word/2010/wordprocessingShape">
                    <wps:wsp>
                      <wps:cNvSpPr/>
                      <wps:spPr>
                        <a:xfrm>
                          <a:off x="0" y="0"/>
                          <a:ext cx="1329055"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41965274" w14:textId="77777777" w:rsidR="00A1624A" w:rsidRPr="005B77EE"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AE696" id="Rectangle 388" o:spid="_x0000_s1069" style="position:absolute;margin-left:-17.25pt;margin-top:422.75pt;width:104.65pt;height:53.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" fillcolor="#1f4e79" strokecolor="#41719c" strokeweight="1pt">
                <v:textbox>
                  <w:txbxContent>
                    <w:p w14:paraId="41965274" w14:textId="77777777" w:rsidR="00A1624A" w:rsidRPr="005B77EE"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lang w:val="en-US"/>
                        </w:rPr>
                        <w:t xml:space="preserve">Chief of Mil. Intelligence </w:t>
                      </w:r>
                      <w:r>
                        <w:rPr>
                          <w:rFonts w:asciiTheme="majorBidi" w:hAnsiTheme="majorBidi" w:cstheme="majorBidi"/>
                          <w:color w:val="FFFFFF" w:themeColor="background1"/>
                          <w:sz w:val="18"/>
                          <w:szCs w:val="18"/>
                          <w:lang w:val="en-US"/>
                        </w:rPr>
                        <w:t>MG</w:t>
                      </w:r>
                      <w:r w:rsidRPr="005B77EE">
                        <w:rPr>
                          <w:rFonts w:asciiTheme="majorBidi" w:hAnsiTheme="majorBidi" w:cstheme="majorBidi"/>
                          <w:color w:val="FFFFFF" w:themeColor="background1"/>
                          <w:sz w:val="18"/>
                          <w:szCs w:val="18"/>
                          <w:lang w:val="en-US"/>
                        </w:rPr>
                        <w:t xml:space="preserve"> Abdullah Yahya al-Hakim ( Abu Ali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4256" behindDoc="0" locked="0" layoutInCell="1" allowOverlap="1" wp14:anchorId="1E804C4E" wp14:editId="3AFC03C9">
                <wp:simplePos x="0" y="0"/>
                <wp:positionH relativeFrom="column">
                  <wp:posOffset>436245</wp:posOffset>
                </wp:positionH>
                <wp:positionV relativeFrom="paragraph">
                  <wp:posOffset>6065520</wp:posOffset>
                </wp:positionV>
                <wp:extent cx="0" cy="224155"/>
                <wp:effectExtent l="76200" t="0" r="57150" b="61595"/>
                <wp:wrapNone/>
                <wp:docPr id="263" name="Straight Arrow Connector 26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29E51D50" id="Straight Arrow Connector 263" o:spid="_x0000_s1026" type="#_x0000_t32" style="position:absolute;margin-left:34.35pt;margin-top:477.6pt;width:0;height:17.65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0400" behindDoc="0" locked="0" layoutInCell="1" allowOverlap="1" wp14:anchorId="7129F961" wp14:editId="7250E364">
                <wp:simplePos x="0" y="0"/>
                <wp:positionH relativeFrom="column">
                  <wp:posOffset>1167765</wp:posOffset>
                </wp:positionH>
                <wp:positionV relativeFrom="paragraph">
                  <wp:posOffset>3933825</wp:posOffset>
                </wp:positionV>
                <wp:extent cx="343535" cy="0"/>
                <wp:effectExtent l="38100" t="76200" r="0" b="95250"/>
                <wp:wrapNone/>
                <wp:docPr id="389" name="Straight Arrow Connector 389"/>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5E96ADAA" id="Straight Arrow Connector 389" o:spid="_x0000_s1026" type="#_x0000_t32" style="position:absolute;margin-left:91.95pt;margin-top:309.75pt;width:27.05pt;height:0;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" strokecolor="#5b9bd5" strokeweight=".5pt">
                <v:stroke dashstyle="dashDot"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1424" behindDoc="0" locked="0" layoutInCell="1" allowOverlap="1" wp14:anchorId="24305590" wp14:editId="6D4F2DE2">
                <wp:simplePos x="0" y="0"/>
                <wp:positionH relativeFrom="column">
                  <wp:posOffset>2324100</wp:posOffset>
                </wp:positionH>
                <wp:positionV relativeFrom="paragraph">
                  <wp:posOffset>438151</wp:posOffset>
                </wp:positionV>
                <wp:extent cx="45719" cy="171450"/>
                <wp:effectExtent l="19050" t="0" r="31115" b="38100"/>
                <wp:wrapNone/>
                <wp:docPr id="235" name="Down Arrow 235"/>
                <wp:cNvGraphicFramePr/>
                <a:graphic xmlns:a="http://schemas.openxmlformats.org/drawingml/2006/main">
                  <a:graphicData uri="http://schemas.microsoft.com/office/word/2010/wordprocessingShape">
                    <wps:wsp>
                      <wps:cNvSpPr/>
                      <wps:spPr>
                        <a:xfrm>
                          <a:off x="0" y="0"/>
                          <a:ext cx="45719" cy="1714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C436F5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5" o:spid="_x0000_s1026" type="#_x0000_t67" style="position:absolute;margin-left:183pt;margin-top:34.5pt;width:3.6pt;height:13.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" adj="18720"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5520" behindDoc="0" locked="0" layoutInCell="1" allowOverlap="1" wp14:anchorId="11A01643" wp14:editId="4582D631">
                <wp:simplePos x="0" y="0"/>
                <wp:positionH relativeFrom="column">
                  <wp:posOffset>2942591</wp:posOffset>
                </wp:positionH>
                <wp:positionV relativeFrom="paragraph">
                  <wp:posOffset>1104900</wp:posOffset>
                </wp:positionV>
                <wp:extent cx="45719" cy="199390"/>
                <wp:effectExtent l="19050" t="0" r="31115" b="29210"/>
                <wp:wrapNone/>
                <wp:docPr id="390" name="Down Arrow 390"/>
                <wp:cNvGraphicFramePr/>
                <a:graphic xmlns:a="http://schemas.openxmlformats.org/drawingml/2006/main">
                  <a:graphicData uri="http://schemas.microsoft.com/office/word/2010/wordprocessingShape">
                    <wps:wsp>
                      <wps:cNvSpPr/>
                      <wps:spPr>
                        <a:xfrm>
                          <a:off x="0" y="0"/>
                          <a:ext cx="45719" cy="19939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6A800D4" id="Down Arrow 390" o:spid="_x0000_s1026" type="#_x0000_t67" style="position:absolute;margin-left:231.7pt;margin-top:87pt;width:3.6pt;height:15.7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" adj="19124"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3472" behindDoc="0" locked="0" layoutInCell="1" allowOverlap="1" wp14:anchorId="475FE513" wp14:editId="44E3EA7C">
                <wp:simplePos x="0" y="0"/>
                <wp:positionH relativeFrom="column">
                  <wp:posOffset>1619250</wp:posOffset>
                </wp:positionH>
                <wp:positionV relativeFrom="paragraph">
                  <wp:posOffset>609600</wp:posOffset>
                </wp:positionV>
                <wp:extent cx="2717165" cy="495300"/>
                <wp:effectExtent l="0" t="0" r="26035" b="19050"/>
                <wp:wrapNone/>
                <wp:docPr id="391" name="Rectangle 391"/>
                <wp:cNvGraphicFramePr/>
                <a:graphic xmlns:a="http://schemas.openxmlformats.org/drawingml/2006/main">
                  <a:graphicData uri="http://schemas.microsoft.com/office/word/2010/wordprocessingShape">
                    <wps:wsp>
                      <wps:cNvSpPr/>
                      <wps:spPr>
                        <a:xfrm>
                          <a:off x="0" y="0"/>
                          <a:ext cx="2717165" cy="49530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8D3C79E" w14:textId="77777777" w:rsidR="00A1624A" w:rsidRPr="00CF54BF" w:rsidRDefault="00A1624A" w:rsidP="00EA7E88">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F9DBC83" w14:textId="77777777" w:rsidR="00A1624A" w:rsidRPr="00B225F7" w:rsidRDefault="00A1624A" w:rsidP="00EA7E88">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FE513" id="Rectangle 391" o:spid="_x0000_s1070" style="position:absolute;margin-left:127.5pt;margin-top:48pt;width:213.95pt;height:3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" fillcolor="#3864b3" strokecolor="#41719c" strokeweight="1pt">
                <v:fill color2="#2c4f8c" rotate="t" focusposition=".5,.5" focussize="" colors="0 #3864b3;15073f #3864b3;45220f #2f5597;63570f #2c4f8c" focus="100%" type="gradientRadial"/>
                <v:textbox>
                  <w:txbxContent>
                    <w:p w14:paraId="18D3C79E" w14:textId="77777777" w:rsidR="00A1624A" w:rsidRPr="00CF54BF" w:rsidRDefault="00A1624A" w:rsidP="00EA7E88">
                      <w:pPr>
                        <w:jc w:val="center"/>
                        <w:rPr>
                          <w:rFonts w:asciiTheme="majorBidi" w:hAnsiTheme="majorBidi" w:cstheme="majorBidi"/>
                          <w:color w:val="FFFFFF" w:themeColor="background1"/>
                          <w:sz w:val="24"/>
                          <w:szCs w:val="24"/>
                        </w:rPr>
                      </w:pPr>
                      <w:r>
                        <w:rPr>
                          <w:rFonts w:asciiTheme="majorBidi" w:hAnsiTheme="majorBidi" w:cstheme="majorBidi"/>
                          <w:color w:val="FFFFFF" w:themeColor="background1"/>
                          <w:sz w:val="24"/>
                          <w:szCs w:val="24"/>
                        </w:rPr>
                        <w:t xml:space="preserve">Supreme </w:t>
                      </w:r>
                      <w:r w:rsidRPr="00CF54BF">
                        <w:rPr>
                          <w:rFonts w:asciiTheme="majorBidi" w:hAnsiTheme="majorBidi" w:cstheme="majorBidi"/>
                          <w:color w:val="FFFFFF" w:themeColor="background1"/>
                          <w:sz w:val="24"/>
                          <w:szCs w:val="24"/>
                        </w:rPr>
                        <w:t>Security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(4)</w:t>
                      </w:r>
                    </w:p>
                    <w:p w14:paraId="0F9DBC83" w14:textId="77777777" w:rsidR="00A1624A" w:rsidRPr="00B225F7" w:rsidRDefault="00A1624A" w:rsidP="00EA7E88">
                      <w:pPr>
                        <w:jc w:val="center"/>
                        <w:rPr>
                          <w:rFonts w:asciiTheme="majorBidi" w:hAnsiTheme="majorBidi" w:cstheme="majorBidi"/>
                        </w:rPr>
                      </w:pPr>
                      <w:r>
                        <w:rPr>
                          <w:rFonts w:asciiTheme="majorBidi" w:hAnsiTheme="majorBidi" w:cstheme="majorBidi"/>
                          <w:color w:val="FFFFFF" w:themeColor="background1"/>
                        </w:rPr>
                        <w:t>7 Feb 2016 -</w:t>
                      </w:r>
                      <w:r w:rsidRPr="0069515C">
                        <w:rPr>
                          <w:rFonts w:asciiTheme="majorBidi" w:hAnsiTheme="majorBidi" w:cstheme="majorBidi"/>
                          <w:color w:val="FFFFFF" w:themeColor="background1"/>
                        </w:rPr>
                        <w:t xml:space="preserve"> 20 Aug. 2016</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74976" behindDoc="0" locked="0" layoutInCell="1" allowOverlap="1" wp14:anchorId="76A7760E" wp14:editId="1168DD37">
                <wp:simplePos x="0" y="0"/>
                <wp:positionH relativeFrom="column">
                  <wp:posOffset>4162768</wp:posOffset>
                </wp:positionH>
                <wp:positionV relativeFrom="paragraph">
                  <wp:posOffset>1896745</wp:posOffset>
                </wp:positionV>
                <wp:extent cx="45719" cy="3593706"/>
                <wp:effectExtent l="19050" t="0" r="31115" b="45085"/>
                <wp:wrapNone/>
                <wp:docPr id="237" name="Down Arrow 237"/>
                <wp:cNvGraphicFramePr/>
                <a:graphic xmlns:a="http://schemas.openxmlformats.org/drawingml/2006/main">
                  <a:graphicData uri="http://schemas.microsoft.com/office/word/2010/wordprocessingShape">
                    <wps:wsp>
                      <wps:cNvSpPr/>
                      <wps:spPr>
                        <a:xfrm>
                          <a:off x="0" y="0"/>
                          <a:ext cx="45719" cy="3593706"/>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9B7E1E" id="Down Arrow 237" o:spid="_x0000_s1026" type="#_x0000_t67" style="position:absolute;margin-left:327.8pt;margin-top:149.35pt;width:3.6pt;height:282.9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" adj="21463"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73952" behindDoc="0" locked="0" layoutInCell="1" allowOverlap="1" wp14:anchorId="7EFB50A2" wp14:editId="0A5145E6">
                <wp:simplePos x="0" y="0"/>
                <wp:positionH relativeFrom="column">
                  <wp:posOffset>6190735</wp:posOffset>
                </wp:positionH>
                <wp:positionV relativeFrom="paragraph">
                  <wp:posOffset>2955325</wp:posOffset>
                </wp:positionV>
                <wp:extent cx="8616" cy="2273644"/>
                <wp:effectExtent l="0" t="0" r="29845" b="31750"/>
                <wp:wrapNone/>
                <wp:docPr id="394" name="Straight Connector 394"/>
                <wp:cNvGraphicFramePr/>
                <a:graphic xmlns:a="http://schemas.openxmlformats.org/drawingml/2006/main">
                  <a:graphicData uri="http://schemas.microsoft.com/office/word/2010/wordprocessingShape">
                    <wps:wsp>
                      <wps:cNvCnPr/>
                      <wps:spPr>
                        <a:xfrm>
                          <a:off x="0" y="0"/>
                          <a:ext cx="8616" cy="2273644"/>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90852D" id="Straight Connector 394"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45pt,232.7pt" to="488.15pt,4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" strokecolor="#5b9bd5"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7568" behindDoc="0" locked="0" layoutInCell="1" allowOverlap="1" wp14:anchorId="6AF34385" wp14:editId="117243A6">
                <wp:simplePos x="0" y="0"/>
                <wp:positionH relativeFrom="column">
                  <wp:posOffset>1507524</wp:posOffset>
                </wp:positionH>
                <wp:positionV relativeFrom="paragraph">
                  <wp:posOffset>2213919</wp:posOffset>
                </wp:positionV>
                <wp:extent cx="0" cy="3459892"/>
                <wp:effectExtent l="0" t="0" r="19050" b="0"/>
                <wp:wrapNone/>
                <wp:docPr id="395" name="Straight Connector 395"/>
                <wp:cNvGraphicFramePr/>
                <a:graphic xmlns:a="http://schemas.openxmlformats.org/drawingml/2006/main">
                  <a:graphicData uri="http://schemas.microsoft.com/office/word/2010/wordprocessingShape">
                    <wps:wsp>
                      <wps:cNvCnPr/>
                      <wps:spPr>
                        <a:xfrm>
                          <a:off x="0" y="0"/>
                          <a:ext cx="0" cy="3459892"/>
                        </a:xfrm>
                        <a:prstGeom prst="line">
                          <a:avLst/>
                        </a:prstGeom>
                        <a:noFill/>
                        <a:ln w="6350" cap="flat" cmpd="sng" algn="ctr">
                          <a:solidFill>
                            <a:srgbClr val="5B9BD5"/>
                          </a:solidFill>
                          <a:prstDash val="dashDot"/>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9AEA00" id="Straight Connector 395"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7pt,174.3pt" to="118.7pt,4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" strokecolor="#5b9bd5" strokeweight=".5pt">
                <v:stroke dashstyle="dashDot"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59616" behindDoc="0" locked="0" layoutInCell="1" allowOverlap="1" wp14:anchorId="6799F45F" wp14:editId="1840BBC7">
                <wp:simplePos x="0" y="0"/>
                <wp:positionH relativeFrom="column">
                  <wp:posOffset>1149350</wp:posOffset>
                </wp:positionH>
                <wp:positionV relativeFrom="paragraph">
                  <wp:posOffset>5668988</wp:posOffset>
                </wp:positionV>
                <wp:extent cx="343535" cy="0"/>
                <wp:effectExtent l="38100" t="76200" r="0" b="95250"/>
                <wp:wrapNone/>
                <wp:docPr id="396" name="Straight Arrow Connector 396"/>
                <wp:cNvGraphicFramePr/>
                <a:graphic xmlns:a="http://schemas.openxmlformats.org/drawingml/2006/main">
                  <a:graphicData uri="http://schemas.microsoft.com/office/word/2010/wordprocessingShape">
                    <wps:wsp>
                      <wps:cNvCnPr/>
                      <wps:spPr>
                        <a:xfrm flipH="1">
                          <a:off x="0" y="0"/>
                          <a:ext cx="343535" cy="0"/>
                        </a:xfrm>
                        <a:prstGeom prst="straightConnector1">
                          <a:avLst/>
                        </a:prstGeom>
                        <a:noFill/>
                        <a:ln w="6350" cap="flat" cmpd="sng" algn="ctr">
                          <a:solidFill>
                            <a:srgbClr val="5B9BD5"/>
                          </a:solidFill>
                          <a:prstDash val="dashDot"/>
                          <a:miter lim="800000"/>
                          <a:tailEnd type="triangle"/>
                        </a:ln>
                        <a:effectLst/>
                      </wps:spPr>
                      <wps:bodyPr/>
                    </wps:wsp>
                  </a:graphicData>
                </a:graphic>
              </wp:anchor>
            </w:drawing>
          </mc:Choice>
          <mc:Fallback>
            <w:pict>
              <v:shape w14:anchorId="00015E40" id="Straight Arrow Connector 396" o:spid="_x0000_s1026" type="#_x0000_t32" style="position:absolute;margin-left:90.5pt;margin-top:446.4pt;width:27.0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" strokecolor="#5b9bd5" strokeweight=".5pt">
                <v:stroke dashstyle="dashDot"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61664" behindDoc="0" locked="0" layoutInCell="1" allowOverlap="1" wp14:anchorId="06707DEA" wp14:editId="249B2B76">
                <wp:simplePos x="0" y="0"/>
                <wp:positionH relativeFrom="column">
                  <wp:posOffset>4867275</wp:posOffset>
                </wp:positionH>
                <wp:positionV relativeFrom="paragraph">
                  <wp:posOffset>8410575</wp:posOffset>
                </wp:positionV>
                <wp:extent cx="1282700" cy="476250"/>
                <wp:effectExtent l="0" t="0" r="12700" b="19050"/>
                <wp:wrapNone/>
                <wp:docPr id="397" name="Rounded Rectangle 397"/>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3DB4B37A"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585623FD"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707DEA" id="Rounded Rectangle 397" o:spid="_x0000_s1071" style="position:absolute;margin-left:383.25pt;margin-top:662.25pt;width:101pt;height:3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ObtT8KNAgAANgUAAA4AAAAAAAAAAAAAAAAALgIAAGRycy9lMm9Eb2MueG1sUEsBAi0A&#10;FAAGAAgAAAAhAPn+lqneAAAADQEAAA8AAAAAAAAAAAAAAAAA5wQAAGRycy9kb3ducmV2LnhtbFBL&#10;BQYAAAAABAAEAPMAAADyBQAAAAA=&#10;" fillcolor="#5b9bd5" strokecolor="#41719c" strokeweight="1pt">
                <v:stroke joinstyle="miter"/>
                <v:textbox>
                  <w:txbxContent>
                    <w:p w14:paraId="3DB4B37A"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585623FD"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71904" behindDoc="0" locked="0" layoutInCell="1" allowOverlap="1" wp14:anchorId="6FDF2335" wp14:editId="5E56A42F">
                <wp:simplePos x="0" y="0"/>
                <wp:positionH relativeFrom="column">
                  <wp:posOffset>5937250</wp:posOffset>
                </wp:positionH>
                <wp:positionV relativeFrom="paragraph">
                  <wp:posOffset>2952750</wp:posOffset>
                </wp:positionV>
                <wp:extent cx="254000" cy="0"/>
                <wp:effectExtent l="0" t="0" r="31750" b="19050"/>
                <wp:wrapNone/>
                <wp:docPr id="27" name="Straight Connector 27"/>
                <wp:cNvGraphicFramePr/>
                <a:graphic xmlns:a="http://schemas.openxmlformats.org/drawingml/2006/main">
                  <a:graphicData uri="http://schemas.microsoft.com/office/word/2010/wordprocessingShape">
                    <wps:wsp>
                      <wps:cNvCnPr/>
                      <wps:spPr>
                        <a:xfrm>
                          <a:off x="0" y="0"/>
                          <a:ext cx="254000" cy="0"/>
                        </a:xfrm>
                        <a:prstGeom prst="line">
                          <a:avLst/>
                        </a:prstGeom>
                        <a:noFill/>
                        <a:ln w="6350" cap="flat" cmpd="sng" algn="ctr">
                          <a:solidFill>
                            <a:srgbClr val="5B9BD5"/>
                          </a:solidFill>
                          <a:prstDash val="solid"/>
                          <a:miter lim="800000"/>
                        </a:ln>
                        <a:effectLst/>
                      </wps:spPr>
                      <wps:bodyPr/>
                    </wps:wsp>
                  </a:graphicData>
                </a:graphic>
              </wp:anchor>
            </w:drawing>
          </mc:Choice>
          <mc:Fallback>
            <w:pict>
              <v:line w14:anchorId="6C1E9F1E" id="Straight Connector 27" o:spid="_x0000_s1026" style="position:absolute;z-index:251771904;visibility:visible;mso-wrap-style:square;mso-wrap-distance-left:9pt;mso-wrap-distance-top:0;mso-wrap-distance-right:9pt;mso-wrap-distance-bottom:0;mso-position-horizontal:absolute;mso-position-horizontal-relative:text;mso-position-vertical:absolute;mso-position-vertical-relative:text" from="467.5pt,232.5pt" to="487.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" strokecolor="#5b9bd5"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1968" behindDoc="0" locked="0" layoutInCell="1" allowOverlap="1" wp14:anchorId="3CE589B3" wp14:editId="4CE05DB6">
                <wp:simplePos x="0" y="0"/>
                <wp:positionH relativeFrom="column">
                  <wp:posOffset>4267835</wp:posOffset>
                </wp:positionH>
                <wp:positionV relativeFrom="paragraph">
                  <wp:posOffset>2543175</wp:posOffset>
                </wp:positionV>
                <wp:extent cx="1670050" cy="752475"/>
                <wp:effectExtent l="0" t="0" r="25400" b="28575"/>
                <wp:wrapNone/>
                <wp:docPr id="398" name="Rectangle 398"/>
                <wp:cNvGraphicFramePr/>
                <a:graphic xmlns:a="http://schemas.openxmlformats.org/drawingml/2006/main">
                  <a:graphicData uri="http://schemas.microsoft.com/office/word/2010/wordprocessingShape">
                    <wps:wsp>
                      <wps:cNvSpPr/>
                      <wps:spPr>
                        <a:xfrm>
                          <a:off x="0" y="0"/>
                          <a:ext cx="1670050"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round/>
                        </a:ln>
                        <a:effectLst/>
                      </wps:spPr>
                      <wps:txbx>
                        <w:txbxContent>
                          <w:p w14:paraId="177A989D" w14:textId="77777777" w:rsidR="00A1624A" w:rsidRPr="00C73173" w:rsidRDefault="00A1624A" w:rsidP="00EA7E88">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553D7369" w14:textId="77777777" w:rsidR="00A1624A" w:rsidRPr="00C73173" w:rsidRDefault="00A1624A" w:rsidP="00EA7E88">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589B3" id="Rectangle 398" o:spid="_x0000_s1072" style="position:absolute;margin-left:336.05pt;margin-top:200.25pt;width:131.5pt;height:59.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" fillcolor="#2a4b86" strokecolor="#41719c" strokeweight="1pt">
                <v:fill color2="#8faadc" rotate="t" angle="180" colors="0 #2a4b86;31457f #4a76c6;1 #8faadc" focus="100%" type="gradient"/>
                <v:stroke joinstyle="round"/>
                <v:textbox>
                  <w:txbxContent>
                    <w:p w14:paraId="177A989D" w14:textId="77777777" w:rsidR="00A1624A" w:rsidRPr="00C73173" w:rsidRDefault="00A1624A" w:rsidP="00EA7E88">
                      <w:pPr>
                        <w:jc w:val="center"/>
                        <w:rPr>
                          <w:rFonts w:asciiTheme="majorBidi" w:hAnsiTheme="majorBidi" w:cstheme="majorBidi"/>
                          <w:color w:val="FFFFFF" w:themeColor="background1"/>
                          <w:lang w:bidi="ar-JO"/>
                        </w:rPr>
                      </w:pPr>
                      <w:r w:rsidRPr="00C73173">
                        <w:rPr>
                          <w:rFonts w:asciiTheme="majorBidi" w:hAnsiTheme="majorBidi" w:cstheme="majorBidi"/>
                          <w:color w:val="FFFFFF" w:themeColor="background1"/>
                          <w:lang w:bidi="ar-JO"/>
                        </w:rPr>
                        <w:t xml:space="preserve">Minister of Interior </w:t>
                      </w:r>
                      <w:r w:rsidRPr="00C73173">
                        <w:rPr>
                          <w:rFonts w:asciiTheme="majorBidi" w:hAnsiTheme="majorBidi" w:cstheme="majorBidi"/>
                          <w:lang w:bidi="ar-JO"/>
                        </w:rPr>
                        <w:t xml:space="preserve">(8) </w:t>
                      </w:r>
                    </w:p>
                    <w:p w14:paraId="553D7369" w14:textId="77777777" w:rsidR="00A1624A" w:rsidRPr="00C73173" w:rsidRDefault="00A1624A" w:rsidP="00EA7E88">
                      <w:pPr>
                        <w:jc w:val="center"/>
                        <w:rPr>
                          <w:rFonts w:asciiTheme="majorBidi" w:hAnsiTheme="majorBidi" w:cstheme="majorBidi"/>
                          <w:color w:val="FFFFFF" w:themeColor="background1"/>
                          <w:lang w:bidi="ar-JO"/>
                        </w:rPr>
                      </w:pPr>
                      <w:r w:rsidRPr="00BC2798">
                        <w:rPr>
                          <w:rFonts w:eastAsia="Calibri"/>
                          <w:color w:val="FFFFFF" w:themeColor="background1"/>
                          <w:lang w:val="en-US"/>
                        </w:rPr>
                        <w:t>Abdulkarim Ammer Aldain  al-Houthi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35040" behindDoc="0" locked="0" layoutInCell="1" allowOverlap="1" wp14:anchorId="5677E61C" wp14:editId="50C39597">
                <wp:simplePos x="0" y="0"/>
                <wp:positionH relativeFrom="column">
                  <wp:posOffset>2047875</wp:posOffset>
                </wp:positionH>
                <wp:positionV relativeFrom="paragraph">
                  <wp:posOffset>2485390</wp:posOffset>
                </wp:positionV>
                <wp:extent cx="1861820" cy="809625"/>
                <wp:effectExtent l="0" t="0" r="24130" b="28575"/>
                <wp:wrapNone/>
                <wp:docPr id="399" name="Rectangle 399"/>
                <wp:cNvGraphicFramePr/>
                <a:graphic xmlns:a="http://schemas.openxmlformats.org/drawingml/2006/main">
                  <a:graphicData uri="http://schemas.microsoft.com/office/word/2010/wordprocessingShape">
                    <wps:wsp>
                      <wps:cNvSpPr/>
                      <wps:spPr>
                        <a:xfrm>
                          <a:off x="0" y="0"/>
                          <a:ext cx="1861820" cy="80962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4AA8236B"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2F639298" w14:textId="77777777" w:rsidR="00A1624A" w:rsidRPr="00283BF6" w:rsidRDefault="00A1624A" w:rsidP="00EA7E88">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19FB9914"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642C4F28" w14:textId="77777777" w:rsidR="00A1624A" w:rsidRPr="00E2276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7E61C" id="Rectangle 399" o:spid="_x0000_s1073" style="position:absolute;margin-left:161.25pt;margin-top:195.7pt;width:146.6pt;height:6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" fillcolor="#2a4b86" strokecolor="#41719c" strokeweight="1pt">
                <v:fill color2="#8faadc" rotate="t" angle="180" colors="0 #2a4b86;31457f #4a76c6;1 #8faadc" focus="100%" type="gradient"/>
                <v:textbox>
                  <w:txbxContent>
                    <w:p w14:paraId="4AA8236B"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r w:rsidRPr="00E22768">
                        <w:rPr>
                          <w:rFonts w:asciiTheme="majorBidi" w:hAnsiTheme="majorBidi" w:cstheme="majorBidi"/>
                          <w:lang w:val="en-US"/>
                        </w:rPr>
                        <w:t>(7)</w:t>
                      </w:r>
                    </w:p>
                    <w:p w14:paraId="2F639298" w14:textId="77777777" w:rsidR="00A1624A" w:rsidRPr="00283BF6" w:rsidRDefault="00A1624A" w:rsidP="00EA7E88">
                      <w:pPr>
                        <w:jc w:val="center"/>
                        <w:rPr>
                          <w:rFonts w:asciiTheme="majorBidi" w:hAnsiTheme="majorBidi" w:cstheme="majorBidi"/>
                          <w:color w:val="FFFFFF" w:themeColor="background1"/>
                          <w:sz w:val="18"/>
                          <w:szCs w:val="18"/>
                        </w:rPr>
                      </w:pPr>
                      <w:r>
                        <w:rPr>
                          <w:rFonts w:asciiTheme="majorBidi" w:hAnsiTheme="majorBidi" w:cstheme="majorBidi"/>
                          <w:color w:val="FFFFFF" w:themeColor="background1"/>
                          <w:sz w:val="18"/>
                          <w:szCs w:val="18"/>
                        </w:rPr>
                        <w:t>MG</w:t>
                      </w:r>
                      <w:r w:rsidRPr="00283BF6">
                        <w:rPr>
                          <w:rFonts w:asciiTheme="majorBidi" w:hAnsiTheme="majorBidi" w:cstheme="majorBidi"/>
                          <w:color w:val="FFFFFF" w:themeColor="background1"/>
                          <w:sz w:val="18"/>
                          <w:szCs w:val="18"/>
                        </w:rPr>
                        <w:t xml:space="preserve">  Abdurrab Jurfan</w:t>
                      </w:r>
                    </w:p>
                    <w:p w14:paraId="19FB9914"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 xml:space="preserve"> 0n 18 Feb 2019 replaced by MG Fawaz Hussien Qaid Nashwan</w:t>
                      </w:r>
                    </w:p>
                    <w:p w14:paraId="642C4F28" w14:textId="77777777" w:rsidR="00A1624A" w:rsidRPr="00E2276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21728" behindDoc="0" locked="0" layoutInCell="1" allowOverlap="1" wp14:anchorId="7A4E9E64" wp14:editId="351F48AE">
                <wp:simplePos x="0" y="0"/>
                <wp:positionH relativeFrom="column">
                  <wp:posOffset>-342900</wp:posOffset>
                </wp:positionH>
                <wp:positionV relativeFrom="paragraph">
                  <wp:posOffset>2543174</wp:posOffset>
                </wp:positionV>
                <wp:extent cx="1679575" cy="752475"/>
                <wp:effectExtent l="0" t="0" r="15875" b="28575"/>
                <wp:wrapNone/>
                <wp:docPr id="400" name="Rectangle 400"/>
                <wp:cNvGraphicFramePr/>
                <a:graphic xmlns:a="http://schemas.openxmlformats.org/drawingml/2006/main">
                  <a:graphicData uri="http://schemas.microsoft.com/office/word/2010/wordprocessingShape">
                    <wps:wsp>
                      <wps:cNvSpPr/>
                      <wps:spPr>
                        <a:xfrm>
                          <a:off x="0" y="0"/>
                          <a:ext cx="1679575" cy="752475"/>
                        </a:xfrm>
                        <a:prstGeom prst="rect">
                          <a:avLst/>
                        </a:prstGeom>
                        <a:gradFill flip="none" rotWithShape="1">
                          <a:gsLst>
                            <a:gs pos="0">
                              <a:srgbClr val="4472C4">
                                <a:lumMod val="67000"/>
                              </a:srgbClr>
                            </a:gs>
                            <a:gs pos="48000">
                              <a:srgbClr val="4472C4">
                                <a:lumMod val="97000"/>
                                <a:lumOff val="3000"/>
                              </a:srgbClr>
                            </a:gs>
                            <a:gs pos="100000">
                              <a:srgbClr val="4472C4">
                                <a:lumMod val="60000"/>
                                <a:lumOff val="40000"/>
                              </a:srgbClr>
                            </a:gs>
                          </a:gsLst>
                          <a:lin ang="16200000" scaled="1"/>
                          <a:tileRect/>
                        </a:gradFill>
                        <a:ln w="12700" cap="flat" cmpd="sng" algn="ctr">
                          <a:solidFill>
                            <a:srgbClr val="5B9BD5">
                              <a:shade val="50000"/>
                            </a:srgbClr>
                          </a:solidFill>
                          <a:prstDash val="solid"/>
                          <a:miter lim="800000"/>
                        </a:ln>
                        <a:effectLst/>
                      </wps:spPr>
                      <wps:txbx>
                        <w:txbxContent>
                          <w:p w14:paraId="0F8D1A3C"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33341663"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E9E64" id="Rectangle 400" o:spid="_x0000_s1074" style="position:absolute;margin-left:-27pt;margin-top:200.25pt;width:132.25pt;height:59.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" fillcolor="#2a4b86" strokecolor="#41719c" strokeweight="1pt">
                <v:fill color2="#8faadc" rotate="t" angle="180" colors="0 #2a4b86;31457f #4a76c6;1 #8faadc" focus="100%" type="gradient"/>
                <v:textbox>
                  <w:txbxContent>
                    <w:p w14:paraId="0F8D1A3C"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9623F1">
                        <w:rPr>
                          <w:rFonts w:asciiTheme="majorBidi" w:hAnsiTheme="majorBidi" w:cstheme="majorBidi"/>
                          <w:sz w:val="16"/>
                          <w:szCs w:val="16"/>
                          <w:lang w:bidi="ar-LB"/>
                        </w:rPr>
                        <w:t xml:space="preserve">(6) </w:t>
                      </w:r>
                      <w:r w:rsidRPr="00FB31DC">
                        <w:rPr>
                          <w:rFonts w:asciiTheme="majorBidi" w:hAnsiTheme="majorBidi" w:cstheme="majorBidi"/>
                          <w:color w:val="FFFFFF" w:themeColor="background1"/>
                          <w:sz w:val="24"/>
                          <w:szCs w:val="24"/>
                        </w:rPr>
                        <w:t>MG Mohammed Nasser al-Atifi</w:t>
                      </w:r>
                    </w:p>
                    <w:p w14:paraId="33341663"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5280" behindDoc="0" locked="0" layoutInCell="1" allowOverlap="1" wp14:anchorId="0C3419D9" wp14:editId="45D05D1E">
                <wp:simplePos x="0" y="0"/>
                <wp:positionH relativeFrom="column">
                  <wp:posOffset>2950210</wp:posOffset>
                </wp:positionH>
                <wp:positionV relativeFrom="paragraph">
                  <wp:posOffset>1896745</wp:posOffset>
                </wp:positionV>
                <wp:extent cx="45719" cy="589915"/>
                <wp:effectExtent l="19050" t="0" r="31115" b="38735"/>
                <wp:wrapNone/>
                <wp:docPr id="401" name="Down Arrow 401"/>
                <wp:cNvGraphicFramePr/>
                <a:graphic xmlns:a="http://schemas.openxmlformats.org/drawingml/2006/main">
                  <a:graphicData uri="http://schemas.microsoft.com/office/word/2010/wordprocessingShape">
                    <wps:wsp>
                      <wps:cNvSpPr/>
                      <wps:spPr>
                        <a:xfrm flipH="1">
                          <a:off x="0" y="0"/>
                          <a:ext cx="45719" cy="589915"/>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DD5AB" id="Down Arrow 401" o:spid="_x0000_s1026" type="#_x0000_t67" style="position:absolute;margin-left:232.3pt;margin-top:149.35pt;width:3.6pt;height:46.45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" adj="20763"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1184" behindDoc="0" locked="0" layoutInCell="1" allowOverlap="1" wp14:anchorId="65912615" wp14:editId="0C6ED9D6">
                <wp:simplePos x="0" y="0"/>
                <wp:positionH relativeFrom="column">
                  <wp:posOffset>1621790</wp:posOffset>
                </wp:positionH>
                <wp:positionV relativeFrom="paragraph">
                  <wp:posOffset>1321435</wp:posOffset>
                </wp:positionV>
                <wp:extent cx="2717165" cy="572770"/>
                <wp:effectExtent l="0" t="0" r="26035" b="17780"/>
                <wp:wrapNone/>
                <wp:docPr id="402" name="Rectangle 402"/>
                <wp:cNvGraphicFramePr/>
                <a:graphic xmlns:a="http://schemas.openxmlformats.org/drawingml/2006/main">
                  <a:graphicData uri="http://schemas.microsoft.com/office/word/2010/wordprocessingShape">
                    <wps:wsp>
                      <wps:cNvSpPr/>
                      <wps:spPr>
                        <a:xfrm>
                          <a:off x="0" y="0"/>
                          <a:ext cx="2717165" cy="572770"/>
                        </a:xfrm>
                        <a:prstGeom prst="rect">
                          <a:avLst/>
                        </a:prstGeom>
                        <a:gradFill flip="none" rotWithShape="1">
                          <a:gsLst>
                            <a:gs pos="0">
                              <a:srgbClr val="4472C4">
                                <a:lumMod val="89000"/>
                              </a:srgbClr>
                            </a:gs>
                            <a:gs pos="23000">
                              <a:srgbClr val="4472C4">
                                <a:lumMod val="89000"/>
                              </a:srgbClr>
                            </a:gs>
                            <a:gs pos="69000">
                              <a:srgbClr val="4472C4">
                                <a:lumMod val="75000"/>
                              </a:srgbClr>
                            </a:gs>
                            <a:gs pos="97000">
                              <a:srgbClr val="4472C4">
                                <a:lumMod val="70000"/>
                              </a:srgb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FB9C7A5"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52CB92B" w14:textId="77777777" w:rsidR="00A1624A" w:rsidRPr="00B225F7" w:rsidRDefault="00A1624A" w:rsidP="00EA7E88">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12615" id="Rectangle 402" o:spid="_x0000_s1075" style="position:absolute;margin-left:127.7pt;margin-top:104.05pt;width:213.95pt;height:45.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" fillcolor="#3864b3" strokecolor="#41719c" strokeweight="1pt">
                <v:fill color2="#2c4f8c" rotate="t" focusposition=".5,.5" focussize="" colors="0 #3864b3;15073f #3864b3;45220f #2f5597;63570f #2c4f8c" focus="100%" type="gradientRadial"/>
                <v:textbox>
                  <w:txbxContent>
                    <w:p w14:paraId="1FB9C7A5" w14:textId="77777777" w:rsidR="00A1624A" w:rsidRPr="00CF54BF" w:rsidRDefault="00A1624A" w:rsidP="00EA7E88">
                      <w:pPr>
                        <w:jc w:val="center"/>
                        <w:rPr>
                          <w:rFonts w:asciiTheme="majorBidi" w:hAnsiTheme="majorBidi" w:cstheme="majorBidi"/>
                          <w:color w:val="FFFFFF" w:themeColor="background1"/>
                          <w:sz w:val="24"/>
                          <w:szCs w:val="24"/>
                        </w:rPr>
                      </w:pPr>
                      <w:r w:rsidRPr="00CF54BF">
                        <w:rPr>
                          <w:rFonts w:asciiTheme="majorBidi" w:hAnsiTheme="majorBidi" w:cstheme="majorBidi"/>
                          <w:color w:val="FFFFFF" w:themeColor="background1"/>
                          <w:sz w:val="24"/>
                          <w:szCs w:val="24"/>
                        </w:rPr>
                        <w:t>Security and Military Committee</w:t>
                      </w:r>
                      <w:r>
                        <w:rPr>
                          <w:rFonts w:asciiTheme="majorBidi" w:hAnsiTheme="majorBidi" w:cstheme="majorBidi"/>
                          <w:color w:val="FFFFFF" w:themeColor="background1"/>
                          <w:sz w:val="24"/>
                          <w:szCs w:val="24"/>
                        </w:rPr>
                        <w:t xml:space="preserve"> </w:t>
                      </w:r>
                      <w:r w:rsidRPr="00B225F7">
                        <w:rPr>
                          <w:rFonts w:asciiTheme="majorBidi" w:hAnsiTheme="majorBidi" w:cstheme="majorBidi"/>
                          <w:sz w:val="24"/>
                          <w:szCs w:val="24"/>
                        </w:rPr>
                        <w:t>(</w:t>
                      </w:r>
                      <w:r>
                        <w:rPr>
                          <w:rFonts w:asciiTheme="majorBidi" w:hAnsiTheme="majorBidi" w:cstheme="majorBidi"/>
                          <w:sz w:val="24"/>
                          <w:szCs w:val="24"/>
                        </w:rPr>
                        <w:t>5</w:t>
                      </w:r>
                      <w:r w:rsidRPr="00B225F7">
                        <w:rPr>
                          <w:rFonts w:asciiTheme="majorBidi" w:hAnsiTheme="majorBidi" w:cstheme="majorBidi"/>
                          <w:sz w:val="24"/>
                          <w:szCs w:val="24"/>
                        </w:rPr>
                        <w:t>)</w:t>
                      </w:r>
                    </w:p>
                    <w:p w14:paraId="352CB92B" w14:textId="77777777" w:rsidR="00A1624A" w:rsidRPr="00B225F7" w:rsidRDefault="00A1624A" w:rsidP="00EA7E88">
                      <w:pPr>
                        <w:jc w:val="center"/>
                        <w:rPr>
                          <w:rFonts w:asciiTheme="majorBidi" w:hAnsiTheme="majorBidi" w:cstheme="majorBidi"/>
                        </w:rPr>
                      </w:pPr>
                      <w:r w:rsidRPr="0069515C">
                        <w:rPr>
                          <w:rFonts w:asciiTheme="majorBidi" w:hAnsiTheme="majorBidi" w:cstheme="majorBidi"/>
                          <w:color w:val="FFFFFF" w:themeColor="background1"/>
                        </w:rPr>
                        <w:t>Since 20 Aug. 2016</w:t>
                      </w:r>
                      <w:r>
                        <w:rPr>
                          <w:rFonts w:asciiTheme="majorBidi" w:hAnsiTheme="majorBidi" w:cstheme="majorBidi"/>
                          <w:color w:val="FFFFFF" w:themeColor="background1"/>
                        </w:rPr>
                        <w:t xml:space="preserve"> - Present</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6304" behindDoc="0" locked="0" layoutInCell="1" allowOverlap="1" wp14:anchorId="13A790EE" wp14:editId="1E6FB80E">
                <wp:simplePos x="0" y="0"/>
                <wp:positionH relativeFrom="column">
                  <wp:posOffset>468630</wp:posOffset>
                </wp:positionH>
                <wp:positionV relativeFrom="paragraph">
                  <wp:posOffset>2207260</wp:posOffset>
                </wp:positionV>
                <wp:extent cx="4617720" cy="7620"/>
                <wp:effectExtent l="19050" t="19050" r="30480" b="30480"/>
                <wp:wrapNone/>
                <wp:docPr id="403" name="Straight Connector 403"/>
                <wp:cNvGraphicFramePr/>
                <a:graphic xmlns:a="http://schemas.openxmlformats.org/drawingml/2006/main">
                  <a:graphicData uri="http://schemas.microsoft.com/office/word/2010/wordprocessingShape">
                    <wps:wsp>
                      <wps:cNvCnPr/>
                      <wps:spPr>
                        <a:xfrm flipV="1">
                          <a:off x="0" y="0"/>
                          <a:ext cx="4617720" cy="7620"/>
                        </a:xfrm>
                        <a:prstGeom prst="line">
                          <a:avLst/>
                        </a:prstGeom>
                        <a:noFill/>
                        <a:ln w="31750" cap="flat" cmpd="sng" algn="ctr">
                          <a:solidFill>
                            <a:srgbClr val="5B9BD5"/>
                          </a:solidFill>
                          <a:prstDash val="solid"/>
                          <a:miter lim="800000"/>
                        </a:ln>
                        <a:effectLst/>
                      </wps:spPr>
                      <wps:bodyPr/>
                    </wps:wsp>
                  </a:graphicData>
                </a:graphic>
              </wp:anchor>
            </w:drawing>
          </mc:Choice>
          <mc:Fallback>
            <w:pict>
              <v:line w14:anchorId="5835C42E" id="Straight Connector 403"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36.9pt,173.8pt" to="400.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" strokecolor="#5b9bd5" strokeweight="2.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8352" behindDoc="0" locked="0" layoutInCell="1" allowOverlap="1" wp14:anchorId="3EF4B067" wp14:editId="4C20258D">
                <wp:simplePos x="0" y="0"/>
                <wp:positionH relativeFrom="column">
                  <wp:posOffset>468630</wp:posOffset>
                </wp:positionH>
                <wp:positionV relativeFrom="paragraph">
                  <wp:posOffset>2207895</wp:posOffset>
                </wp:positionV>
                <wp:extent cx="45085" cy="337820"/>
                <wp:effectExtent l="19050" t="0" r="31115" b="43180"/>
                <wp:wrapNone/>
                <wp:docPr id="256" name="Down Arrow 256"/>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3244B0" id="Down Arrow 256" o:spid="_x0000_s1026" type="#_x0000_t67" style="position:absolute;margin-left:36.9pt;margin-top:173.85pt;width:3.55pt;height:26.6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" adj="20159"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49376" behindDoc="0" locked="0" layoutInCell="1" allowOverlap="1" wp14:anchorId="084D6CAA" wp14:editId="1D4E7274">
                <wp:simplePos x="0" y="0"/>
                <wp:positionH relativeFrom="column">
                  <wp:posOffset>5073015</wp:posOffset>
                </wp:positionH>
                <wp:positionV relativeFrom="paragraph">
                  <wp:posOffset>2214880</wp:posOffset>
                </wp:positionV>
                <wp:extent cx="45085" cy="337820"/>
                <wp:effectExtent l="19050" t="0" r="31115" b="43180"/>
                <wp:wrapNone/>
                <wp:docPr id="257" name="Down Arrow 257"/>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758C38" id="Down Arrow 257" o:spid="_x0000_s1026" type="#_x0000_t67" style="position:absolute;margin-left:399.45pt;margin-top:174.4pt;width:3.55pt;height:26.6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" adj="20159" fillcolor="#5b9bd5" strokecolor="#41719c" strokeweight="1pt"/>
            </w:pict>
          </mc:Fallback>
        </mc:AlternateContent>
      </w:r>
      <w:r w:rsidRPr="00B91FAE">
        <w:rPr>
          <w:rFonts w:asciiTheme="majorBidi" w:hAnsiTheme="majorBidi" w:cstheme="majorBidi"/>
          <w:lang w:bidi="ar-JO"/>
        </w:rPr>
        <w:br w:type="page"/>
      </w:r>
    </w:p>
    <w:p w14:paraId="73152C02" w14:textId="77777777" w:rsidR="00EA7E88" w:rsidRPr="00B91FAE" w:rsidRDefault="00EA7E88" w:rsidP="00EA7E88">
      <w:pPr>
        <w:spacing w:line="240" w:lineRule="exact"/>
        <w:jc w:val="center"/>
        <w:rPr>
          <w:rFonts w:asciiTheme="majorBidi" w:eastAsiaTheme="minorHAnsi" w:hAnsiTheme="majorBidi" w:cstheme="majorBidi"/>
          <w:spacing w:val="4"/>
          <w:w w:val="103"/>
          <w:kern w:val="14"/>
          <w:lang w:val="en-US"/>
        </w:rPr>
      </w:pPr>
      <w:r w:rsidRPr="00B91FAE">
        <w:rPr>
          <w:rFonts w:asciiTheme="majorBidi" w:eastAsiaTheme="minorHAnsi" w:hAnsiTheme="majorBidi" w:cstheme="majorBidi"/>
          <w:spacing w:val="4"/>
          <w:w w:val="103"/>
          <w:kern w:val="14"/>
          <w:lang w:val="en-US"/>
        </w:rPr>
        <w:lastRenderedPageBreak/>
        <w:t>De Facto Authorities Security Apparatus</w:t>
      </w:r>
    </w:p>
    <w:p w14:paraId="0E464F4D" w14:textId="77777777" w:rsidR="00EA7E88" w:rsidRPr="00B91FAE" w:rsidRDefault="00EA7E88" w:rsidP="00EA7E88">
      <w:pPr>
        <w:spacing w:line="240" w:lineRule="exact"/>
        <w:jc w:val="center"/>
        <w:rPr>
          <w:rFonts w:asciiTheme="majorBidi" w:eastAsiaTheme="minorHAnsi" w:hAnsiTheme="majorBidi" w:cstheme="majorBidi"/>
          <w:spacing w:val="4"/>
          <w:w w:val="103"/>
          <w:kern w:val="14"/>
          <w:lang w:val="en-US"/>
        </w:rPr>
      </w:pPr>
    </w:p>
    <w:p w14:paraId="3A5CF924" w14:textId="77777777" w:rsidR="00EA7E88" w:rsidRPr="00B91FAE" w:rsidRDefault="00EA7E88" w:rsidP="00EA7E88">
      <w:pPr>
        <w:numPr>
          <w:ilvl w:val="0"/>
          <w:numId w:val="35"/>
        </w:numPr>
        <w:suppressAutoHyphens w:val="0"/>
        <w:spacing w:line="259" w:lineRule="auto"/>
        <w:ind w:left="0" w:firstLine="0"/>
        <w:contextualSpacing/>
        <w:rPr>
          <w:rFonts w:asciiTheme="majorBidi" w:eastAsiaTheme="minorHAnsi" w:hAnsiTheme="majorBidi" w:cstheme="majorBidi"/>
          <w:b/>
          <w:bCs/>
        </w:rPr>
      </w:pPr>
      <w:r w:rsidRPr="00B91FAE">
        <w:rPr>
          <w:rFonts w:asciiTheme="majorBidi" w:eastAsiaTheme="minorHAnsi" w:hAnsiTheme="majorBidi" w:cstheme="majorBidi"/>
          <w:b/>
          <w:bCs/>
        </w:rPr>
        <w:t>Houthi/Saleh Alliances</w:t>
      </w:r>
      <w:r w:rsidRPr="00B91FAE">
        <w:rPr>
          <w:rFonts w:asciiTheme="majorBidi" w:eastAsiaTheme="minorHAnsi" w:hAnsiTheme="majorBidi" w:cstheme="majorBidi"/>
        </w:rPr>
        <w:t>. The alliance continued during the period of 21 September 2014 – 4 December 2017 and ended when the Houthis killed Saleh on 4</w:t>
      </w:r>
      <w:r w:rsidRPr="00B91FAE">
        <w:rPr>
          <w:rFonts w:asciiTheme="majorBidi" w:eastAsiaTheme="minorHAnsi" w:hAnsiTheme="majorBidi" w:cstheme="majorBidi"/>
          <w:vertAlign w:val="superscript"/>
        </w:rPr>
        <w:t>th</w:t>
      </w:r>
      <w:r w:rsidRPr="00B91FAE">
        <w:rPr>
          <w:rFonts w:asciiTheme="majorBidi" w:eastAsiaTheme="minorHAnsi" w:hAnsiTheme="majorBidi" w:cstheme="majorBidi"/>
        </w:rPr>
        <w:t xml:space="preserve"> of December 2017.</w:t>
      </w:r>
    </w:p>
    <w:p w14:paraId="1BCEAE73" w14:textId="77777777" w:rsidR="00EA7E88" w:rsidRPr="00B91FAE" w:rsidRDefault="00EA7E88" w:rsidP="00EA7E88">
      <w:pPr>
        <w:tabs>
          <w:tab w:val="left" w:pos="540"/>
        </w:tabs>
        <w:suppressAutoHyphens w:val="0"/>
        <w:spacing w:line="259" w:lineRule="auto"/>
        <w:ind w:left="720"/>
        <w:contextualSpacing/>
        <w:rPr>
          <w:rFonts w:asciiTheme="majorBidi" w:eastAsiaTheme="minorHAnsi" w:hAnsiTheme="majorBidi" w:cstheme="majorBidi"/>
          <w:b/>
          <w:bCs/>
        </w:rPr>
      </w:pPr>
    </w:p>
    <w:p w14:paraId="6307397B"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Theme="minorHAnsi" w:hAnsiTheme="majorBidi" w:cstheme="majorBidi"/>
          <w:b/>
          <w:bCs/>
          <w:lang w:val="en-US"/>
        </w:rPr>
        <w:t xml:space="preserve">The Supreme Revolutionary Committee.  </w:t>
      </w:r>
      <w:r w:rsidRPr="00B91FAE">
        <w:rPr>
          <w:rFonts w:asciiTheme="majorBidi" w:eastAsia="Calibri" w:hAnsiTheme="majorBidi" w:cstheme="majorBidi"/>
        </w:rPr>
        <w:t xml:space="preserve">On 6 February 2015, Ansar Allah issued a constitutional declaration to establish a new body, the </w:t>
      </w:r>
      <w:r w:rsidRPr="00B91FAE">
        <w:rPr>
          <w:rFonts w:asciiTheme="majorBidi" w:eastAsia="Calibri" w:hAnsiTheme="majorBidi" w:cstheme="majorBidi"/>
          <w:b/>
          <w:bCs/>
        </w:rPr>
        <w:t>Supreme</w:t>
      </w:r>
      <w:r w:rsidRPr="00B91FAE">
        <w:rPr>
          <w:rFonts w:asciiTheme="majorBidi" w:eastAsia="Calibri" w:hAnsiTheme="majorBidi" w:cstheme="majorBidi"/>
        </w:rPr>
        <w:t xml:space="preserve"> </w:t>
      </w:r>
      <w:r w:rsidRPr="00B91FAE">
        <w:rPr>
          <w:rFonts w:asciiTheme="majorBidi" w:eastAsia="Calibri" w:hAnsiTheme="majorBidi" w:cstheme="majorBidi"/>
          <w:b/>
          <w:bCs/>
        </w:rPr>
        <w:t>Revolutionary Committee</w:t>
      </w:r>
      <w:r w:rsidRPr="00B91FAE">
        <w:rPr>
          <w:rFonts w:asciiTheme="majorBidi" w:eastAsia="Calibri" w:hAnsiTheme="majorBidi" w:cstheme="majorBidi"/>
        </w:rPr>
        <w:t xml:space="preserve">, as the highest authority in charge of State affairs. This committee acting </w:t>
      </w:r>
      <w:r w:rsidRPr="00B91FAE">
        <w:rPr>
          <w:rFonts w:asciiTheme="majorBidi" w:eastAsiaTheme="minorHAnsi" w:hAnsiTheme="majorBidi" w:cstheme="majorBidi"/>
        </w:rPr>
        <w:t>under the direction and guidance of Abdulmalik al-Houthi.</w:t>
      </w:r>
      <w:r w:rsidRPr="00B91FAE">
        <w:rPr>
          <w:rFonts w:asciiTheme="majorBidi" w:eastAsiaTheme="minorHAnsi" w:hAnsiTheme="majorBidi" w:cstheme="majorBidi"/>
          <w:vertAlign w:val="superscript"/>
        </w:rPr>
        <w:footnoteReference w:id="1676"/>
      </w:r>
      <w:r w:rsidRPr="00B91FAE">
        <w:rPr>
          <w:rFonts w:asciiTheme="majorBidi" w:eastAsia="Calibri" w:hAnsiTheme="majorBidi" w:cstheme="majorBidi"/>
        </w:rPr>
        <w:t xml:space="preserve"> </w:t>
      </w:r>
      <w:r w:rsidRPr="00B91FAE">
        <w:rPr>
          <w:rFonts w:asciiTheme="majorBidi" w:eastAsia="Calibri" w:hAnsiTheme="majorBidi" w:cstheme="majorBidi"/>
          <w:b/>
          <w:bCs/>
        </w:rPr>
        <w:t>The Supreme Revolutionary Committee</w:t>
      </w:r>
      <w:r w:rsidRPr="00B91FAE">
        <w:rPr>
          <w:rFonts w:asciiTheme="majorBidi" w:eastAsia="Calibri" w:hAnsiTheme="majorBidi" w:cstheme="majorBidi"/>
        </w:rPr>
        <w:t xml:space="preserve"> was established by Ansar Allah following the Constitutional Declaration of 6 February 2015, to act as an executive body after the resignation of President Hadi and the Bahah Government. Mohamed Ali Al Houthi heads the Supreme Revolutionary Committee. On 6 February 2015, the Supreme Revolutionary Committee nominated 18 members to serve in the Security Commission, up to 20 Aug 2016.</w:t>
      </w:r>
      <w:r w:rsidRPr="00B91FAE">
        <w:rPr>
          <w:rFonts w:asciiTheme="majorBidi" w:eastAsiaTheme="minorHAnsi" w:hAnsiTheme="majorBidi" w:cstheme="majorBidi"/>
          <w:spacing w:val="4"/>
          <w:w w:val="103"/>
          <w:kern w:val="14"/>
          <w:lang w:val="en"/>
        </w:rPr>
        <w:t xml:space="preserve"> </w:t>
      </w:r>
    </w:p>
    <w:p w14:paraId="27351D5E" w14:textId="77777777" w:rsidR="00EA7E88" w:rsidRPr="00B91FAE" w:rsidRDefault="00EA7E88" w:rsidP="00EA7E88">
      <w:pPr>
        <w:suppressAutoHyphens w:val="0"/>
        <w:spacing w:line="259" w:lineRule="auto"/>
        <w:contextualSpacing/>
        <w:rPr>
          <w:rFonts w:asciiTheme="majorBidi" w:eastAsia="Calibri" w:hAnsiTheme="majorBidi" w:cstheme="majorBidi"/>
        </w:rPr>
      </w:pPr>
      <w:r w:rsidRPr="00B91FAE">
        <w:rPr>
          <w:rFonts w:asciiTheme="majorBidi" w:eastAsia="Calibri" w:hAnsiTheme="majorBidi" w:cstheme="majorBidi"/>
        </w:rPr>
        <w:t xml:space="preserve">On 15 August 2016, the Supreme Revolutionary Committee partially handed power to the </w:t>
      </w:r>
      <w:hyperlink r:id="rId30" w:history="1">
        <w:r w:rsidRPr="00B91FAE">
          <w:rPr>
            <w:rFonts w:asciiTheme="majorBidi" w:eastAsia="Calibri" w:hAnsiTheme="majorBidi" w:cstheme="majorBidi"/>
          </w:rPr>
          <w:t>Supreme Political Council</w:t>
        </w:r>
      </w:hyperlink>
      <w:r w:rsidRPr="00B91FAE">
        <w:rPr>
          <w:rFonts w:asciiTheme="majorBidi" w:eastAsia="Calibri" w:hAnsiTheme="majorBidi" w:cstheme="majorBidi" w:hint="cs"/>
          <w:rtl/>
        </w:rPr>
        <w:t>.</w:t>
      </w:r>
    </w:p>
    <w:p w14:paraId="3BB47863" w14:textId="77777777" w:rsidR="00EA7E88" w:rsidRPr="00B91FAE" w:rsidRDefault="00EA7E88" w:rsidP="00EA7E88">
      <w:pPr>
        <w:suppressAutoHyphens w:val="0"/>
        <w:spacing w:after="160" w:line="259" w:lineRule="auto"/>
        <w:ind w:left="720"/>
        <w:contextualSpacing/>
        <w:rPr>
          <w:rFonts w:asciiTheme="majorBidi" w:eastAsia="MS ????" w:hAnsiTheme="majorBidi" w:cstheme="majorBidi"/>
          <w:bCs/>
        </w:rPr>
      </w:pPr>
    </w:p>
    <w:p w14:paraId="157B549F"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Theme="minorHAnsi" w:hAnsiTheme="majorBidi" w:cstheme="majorBidi"/>
          <w:b/>
          <w:bCs/>
          <w:lang w:val="en-US"/>
        </w:rPr>
        <w:t xml:space="preserve">Supreme Political Council. </w:t>
      </w:r>
      <w:r w:rsidRPr="00B91FAE">
        <w:rPr>
          <w:rFonts w:asciiTheme="majorBidi" w:eastAsia="Calibri" w:hAnsiTheme="majorBidi" w:cstheme="majorBidi"/>
        </w:rPr>
        <w:t>On 28 July 2016, Ali Abdullah Saleh agreed to a power-sharing agreement with Abdulmalik al-Houthi. A Sana’a-based 10-member supreme political council, with five members each nominated by Saleh and the Houthis, was established on the same day, and issued its first “governmental” decree. It has since acted as a de facto government, appointing governors and officials. Headed by Saleh Ali Muhammad al-Samad until 19 April 2018 then replaced by Mahdi al Mashat.</w:t>
      </w:r>
      <w:r w:rsidRPr="00B91FAE">
        <w:rPr>
          <w:rFonts w:asciiTheme="majorBidi" w:eastAsia="Calibri" w:hAnsiTheme="majorBidi" w:cstheme="majorBidi"/>
          <w:vertAlign w:val="superscript"/>
        </w:rPr>
        <w:footnoteReference w:id="1677"/>
      </w:r>
      <w:r w:rsidRPr="00B91FAE">
        <w:rPr>
          <w:rFonts w:asciiTheme="majorBidi" w:eastAsia="Calibri" w:hAnsiTheme="majorBidi" w:cstheme="majorBidi"/>
        </w:rPr>
        <w:t xml:space="preserve"> On 15 August 2016, the Supreme Revolutionary Committee partially handed power to the </w:t>
      </w:r>
      <w:hyperlink r:id="rId31" w:tooltip="Supreme Political Council" w:history="1">
        <w:r w:rsidRPr="00B91FAE">
          <w:rPr>
            <w:rFonts w:asciiTheme="majorBidi" w:eastAsia="Calibri" w:hAnsiTheme="majorBidi" w:cstheme="majorBidi"/>
          </w:rPr>
          <w:t>Supreme Political Council</w:t>
        </w:r>
      </w:hyperlink>
      <w:r w:rsidRPr="00B91FAE">
        <w:rPr>
          <w:rFonts w:asciiTheme="majorBidi" w:eastAsia="Calibri" w:hAnsiTheme="majorBidi" w:cstheme="majorBidi"/>
          <w:vertAlign w:val="superscript"/>
        </w:rPr>
        <w:footnoteReference w:id="1678"/>
      </w:r>
      <w:r w:rsidRPr="00B91FAE">
        <w:rPr>
          <w:rFonts w:asciiTheme="majorBidi" w:eastAsia="Calibri" w:hAnsiTheme="majorBidi" w:cstheme="majorBidi"/>
        </w:rPr>
        <w:t>. On 17 March 2019, The Supreme Political Council added two new members, Mohamed Ali Al Houthi and Ahmed Ghalib Al Rahwa, to fill vacant seats.</w:t>
      </w:r>
      <w:r w:rsidRPr="00B91FAE">
        <w:rPr>
          <w:rFonts w:asciiTheme="majorBidi" w:eastAsia="Calibri" w:hAnsiTheme="majorBidi" w:cstheme="majorBidi"/>
          <w:vertAlign w:val="superscript"/>
        </w:rPr>
        <w:footnoteReference w:id="1679"/>
      </w:r>
      <w:r w:rsidRPr="00B91FAE">
        <w:rPr>
          <w:rFonts w:asciiTheme="majorBidi" w:eastAsia="Calibri" w:hAnsiTheme="majorBidi" w:cstheme="majorBidi"/>
        </w:rPr>
        <w:t xml:space="preserve"> On 4 August 2019, the Supreme Political Council decided to extent  the Mashat presidency period until 24 August 2020, the Council today consists of the following</w:t>
      </w:r>
      <w:r w:rsidRPr="00B91FAE">
        <w:rPr>
          <w:rFonts w:asciiTheme="majorBidi" w:eastAsia="Calibri" w:hAnsiTheme="majorBidi" w:cstheme="majorBidi"/>
          <w:vertAlign w:val="superscript"/>
        </w:rPr>
        <w:footnoteReference w:id="1680"/>
      </w:r>
      <w:r w:rsidRPr="00B91FAE">
        <w:rPr>
          <w:rFonts w:asciiTheme="majorBidi" w:eastAsia="Calibri" w:hAnsiTheme="majorBidi" w:cstheme="majorBidi"/>
        </w:rPr>
        <w:t>:</w:t>
      </w:r>
    </w:p>
    <w:p w14:paraId="376A0565"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Mahdi Mohammed Hussein Al-Mashat</w:t>
      </w:r>
      <w:r w:rsidRPr="00B91FAE">
        <w:rPr>
          <w:rFonts w:asciiTheme="majorBidi" w:eastAsia="Calibri" w:hAnsiTheme="majorBidi" w:cstheme="majorBidi" w:hint="cs"/>
          <w:rtl/>
          <w:lang w:bidi="ar-JO"/>
        </w:rPr>
        <w:t xml:space="preserve">مهدي محمد حسين المشاط </w:t>
      </w:r>
    </w:p>
    <w:p w14:paraId="795DBEEB"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Sheikh Sadiq Amin Hassan Abu Ras</w:t>
      </w:r>
      <w:r w:rsidRPr="00B91FAE">
        <w:rPr>
          <w:rFonts w:asciiTheme="majorBidi" w:eastAsia="Calibri" w:hAnsiTheme="majorBidi" w:cstheme="majorBidi" w:hint="cs"/>
          <w:rtl/>
        </w:rPr>
        <w:t xml:space="preserve">الشيخ صادق أمين حسن أبو راس </w:t>
      </w:r>
    </w:p>
    <w:p w14:paraId="1C72254D"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Mohammed Ali al-Houthi</w:t>
      </w:r>
      <w:r w:rsidRPr="00B91FAE">
        <w:rPr>
          <w:rFonts w:asciiTheme="majorBidi" w:eastAsia="Calibri" w:hAnsiTheme="majorBidi" w:cstheme="majorBidi" w:hint="cs"/>
          <w:rtl/>
        </w:rPr>
        <w:t xml:space="preserve">محمد علي الحوثي </w:t>
      </w:r>
    </w:p>
    <w:p w14:paraId="620DAC0D"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Major General Mubarak Saleh Al-Mashn al-Zaidi</w:t>
      </w:r>
      <w:r w:rsidRPr="00B91FAE">
        <w:rPr>
          <w:rFonts w:asciiTheme="majorBidi" w:eastAsia="Calibri" w:hAnsiTheme="majorBidi" w:cstheme="majorBidi" w:hint="cs"/>
          <w:rtl/>
        </w:rPr>
        <w:t xml:space="preserve">اللواء مبارك صالح المشن الزايدي </w:t>
      </w:r>
    </w:p>
    <w:p w14:paraId="418E4796"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Sheikh Jaber Abdullah Ghaleb Al-Wahbani</w:t>
      </w:r>
      <w:r w:rsidRPr="00B91FAE">
        <w:rPr>
          <w:rFonts w:asciiTheme="majorBidi" w:eastAsia="Calibri" w:hAnsiTheme="majorBidi" w:cstheme="majorBidi" w:hint="cs"/>
          <w:rtl/>
        </w:rPr>
        <w:t xml:space="preserve">السيخ جابر عبدالله غالب الوهباني </w:t>
      </w:r>
    </w:p>
    <w:p w14:paraId="0A5D2FAB"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Mohammed Saleh Mabkhout al-Nuaimi</w:t>
      </w:r>
      <w:r w:rsidRPr="00B91FAE">
        <w:rPr>
          <w:rFonts w:asciiTheme="majorBidi" w:eastAsia="Calibri" w:hAnsiTheme="majorBidi" w:cstheme="majorBidi" w:hint="cs"/>
          <w:rtl/>
        </w:rPr>
        <w:t xml:space="preserve"> محمد صالح مبخوت النعيمي </w:t>
      </w:r>
    </w:p>
    <w:p w14:paraId="33FA755C"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Sultan Ahmad Abdolrab Alsamai</w:t>
      </w:r>
      <w:r w:rsidRPr="00B91FAE">
        <w:rPr>
          <w:rFonts w:asciiTheme="majorBidi" w:eastAsia="Calibri" w:hAnsiTheme="majorBidi" w:cstheme="majorBidi" w:hint="cs"/>
          <w:rtl/>
        </w:rPr>
        <w:t xml:space="preserve"> سلطان أحمد عبد الرب السامعي </w:t>
      </w:r>
    </w:p>
    <w:p w14:paraId="2A7513C7"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Khaled Saeed Mohammed Al-Dini</w:t>
      </w:r>
      <w:r w:rsidRPr="00B91FAE">
        <w:rPr>
          <w:rFonts w:asciiTheme="majorBidi" w:eastAsia="Calibri" w:hAnsiTheme="majorBidi" w:cstheme="majorBidi" w:hint="cs"/>
          <w:rtl/>
        </w:rPr>
        <w:t xml:space="preserve">خالد سعيد محمد الديني </w:t>
      </w:r>
    </w:p>
    <w:p w14:paraId="68848C76" w14:textId="77777777" w:rsidR="00EA7E88" w:rsidRPr="00B91FAE" w:rsidRDefault="00EA7E88" w:rsidP="00EA7E88">
      <w:pPr>
        <w:numPr>
          <w:ilvl w:val="0"/>
          <w:numId w:val="36"/>
        </w:numPr>
        <w:tabs>
          <w:tab w:val="left" w:pos="709"/>
        </w:tabs>
        <w:suppressAutoHyphens w:val="0"/>
        <w:spacing w:after="160" w:line="240" w:lineRule="auto"/>
        <w:ind w:right="120"/>
        <w:contextualSpacing/>
        <w:jc w:val="both"/>
        <w:rPr>
          <w:rFonts w:asciiTheme="majorBidi" w:eastAsia="Calibri" w:hAnsiTheme="majorBidi" w:cstheme="majorBidi"/>
        </w:rPr>
      </w:pPr>
      <w:r w:rsidRPr="00B91FAE">
        <w:rPr>
          <w:rFonts w:asciiTheme="majorBidi" w:eastAsia="Calibri" w:hAnsiTheme="majorBidi" w:cstheme="majorBidi"/>
        </w:rPr>
        <w:t>Ahmed Ghaleb Al-Rahwi</w:t>
      </w:r>
      <w:r w:rsidRPr="00B91FAE">
        <w:rPr>
          <w:rFonts w:asciiTheme="majorBidi" w:eastAsia="Calibri" w:hAnsiTheme="majorBidi" w:cstheme="majorBidi" w:hint="cs"/>
          <w:rtl/>
        </w:rPr>
        <w:t xml:space="preserve"> الاستاذ أحمد غالب الرهوي </w:t>
      </w:r>
    </w:p>
    <w:p w14:paraId="400D7C89" w14:textId="77777777" w:rsidR="00EA7E88" w:rsidRPr="00B91FAE" w:rsidRDefault="00EA7E88" w:rsidP="00EA7E88">
      <w:pPr>
        <w:tabs>
          <w:tab w:val="left" w:pos="709"/>
        </w:tabs>
        <w:suppressAutoHyphens w:val="0"/>
        <w:spacing w:after="160" w:line="240" w:lineRule="auto"/>
        <w:ind w:left="720" w:right="120"/>
        <w:contextualSpacing/>
        <w:jc w:val="both"/>
        <w:rPr>
          <w:rFonts w:asciiTheme="majorBidi" w:eastAsia="Calibri" w:hAnsiTheme="majorBidi" w:cstheme="majorBidi"/>
          <w:lang w:val="en-US"/>
        </w:rPr>
      </w:pPr>
    </w:p>
    <w:p w14:paraId="606F5C4C" w14:textId="77777777" w:rsidR="00EA7E88" w:rsidRPr="00B91FAE" w:rsidRDefault="00EA7E88" w:rsidP="00EA7E88">
      <w:pPr>
        <w:numPr>
          <w:ilvl w:val="0"/>
          <w:numId w:val="35"/>
        </w:numPr>
        <w:suppressAutoHyphens w:val="0"/>
        <w:spacing w:line="259" w:lineRule="auto"/>
        <w:ind w:left="0" w:firstLine="0"/>
        <w:contextualSpacing/>
        <w:rPr>
          <w:rFonts w:asciiTheme="majorBidi" w:eastAsia="Calibri" w:hAnsiTheme="majorBidi" w:cstheme="majorBidi"/>
        </w:rPr>
      </w:pPr>
      <w:r w:rsidRPr="00B91FAE">
        <w:rPr>
          <w:rFonts w:asciiTheme="majorBidi" w:eastAsia="MS ????" w:hAnsiTheme="majorBidi" w:cstheme="majorBidi"/>
          <w:b/>
        </w:rPr>
        <w:t>Supreme Security Committee</w:t>
      </w:r>
      <w:r w:rsidRPr="00B91FAE">
        <w:rPr>
          <w:rFonts w:asciiTheme="majorBidi" w:eastAsia="MS ????" w:hAnsiTheme="majorBidi" w:cstheme="majorBidi"/>
          <w:bCs/>
        </w:rPr>
        <w:t xml:space="preserve">. </w:t>
      </w:r>
      <w:r w:rsidRPr="00B91FAE">
        <w:rPr>
          <w:rFonts w:asciiTheme="majorBidi" w:eastAsia="Calibri" w:hAnsiTheme="majorBidi" w:cstheme="majorBidi"/>
        </w:rPr>
        <w:t>The Houthis established a Supreme Security Committee on 7 February 2016, which initially comprised 17 members</w:t>
      </w:r>
      <w:r w:rsidRPr="00B91FAE">
        <w:rPr>
          <w:rFonts w:asciiTheme="majorBidi" w:eastAsia="Calibri" w:hAnsiTheme="majorBidi" w:cstheme="majorBidi"/>
          <w:vertAlign w:val="superscript"/>
        </w:rPr>
        <w:footnoteReference w:id="1681"/>
      </w:r>
      <w:r w:rsidRPr="00B91FAE">
        <w:rPr>
          <w:rFonts w:asciiTheme="majorBidi" w:eastAsia="Calibri" w:hAnsiTheme="majorBidi" w:cstheme="majorBidi"/>
        </w:rPr>
        <w:t xml:space="preserve">.  On 20 August 2016 it handed power to new committee, which is the Security and Military Committee. </w:t>
      </w:r>
    </w:p>
    <w:p w14:paraId="2B34C938" w14:textId="77777777" w:rsidR="00EA7E88" w:rsidRPr="00B91FAE" w:rsidRDefault="00EA7E88" w:rsidP="00EA7E88">
      <w:pPr>
        <w:spacing w:line="240" w:lineRule="exact"/>
        <w:ind w:right="120"/>
        <w:rPr>
          <w:rFonts w:asciiTheme="majorBidi" w:eastAsiaTheme="minorHAnsi" w:hAnsiTheme="majorBidi" w:cstheme="majorBidi"/>
          <w:spacing w:val="4"/>
          <w:w w:val="103"/>
          <w:kern w:val="14"/>
          <w:lang w:val="en-US"/>
        </w:rPr>
      </w:pPr>
    </w:p>
    <w:p w14:paraId="23183B9E" w14:textId="77777777" w:rsidR="00EA7E88" w:rsidRPr="00B91FAE" w:rsidRDefault="00EA7E88" w:rsidP="00EA7E88">
      <w:pPr>
        <w:numPr>
          <w:ilvl w:val="0"/>
          <w:numId w:val="35"/>
        </w:numPr>
        <w:suppressAutoHyphens w:val="0"/>
        <w:spacing w:line="259" w:lineRule="auto"/>
        <w:ind w:left="0" w:right="120" w:firstLine="0"/>
        <w:contextualSpacing/>
        <w:rPr>
          <w:rFonts w:asciiTheme="majorBidi" w:eastAsiaTheme="minorHAnsi" w:hAnsiTheme="majorBidi" w:cstheme="majorBidi"/>
          <w:b/>
          <w:bCs/>
        </w:rPr>
      </w:pPr>
      <w:r w:rsidRPr="00B91FAE">
        <w:rPr>
          <w:rFonts w:asciiTheme="majorBidi" w:eastAsia="MS ????" w:hAnsiTheme="majorBidi" w:cstheme="majorBidi"/>
          <w:b/>
        </w:rPr>
        <w:t>Security and Military Committee</w:t>
      </w:r>
      <w:r w:rsidRPr="00B91FAE">
        <w:rPr>
          <w:rFonts w:asciiTheme="majorBidi" w:eastAsia="MS ????" w:hAnsiTheme="majorBidi" w:cstheme="majorBidi"/>
          <w:bCs/>
        </w:rPr>
        <w:t xml:space="preserve">. </w:t>
      </w:r>
      <w:r w:rsidRPr="00B91FAE">
        <w:rPr>
          <w:rFonts w:asciiTheme="majorBidi" w:eastAsia="Calibri" w:hAnsiTheme="majorBidi" w:cstheme="majorBidi"/>
        </w:rPr>
        <w:t xml:space="preserve">On 20 August 2016, the Supreme Political Council (SPC) appointed a Security and Military Committee to replace the Supreme Security Committee. </w:t>
      </w:r>
    </w:p>
    <w:p w14:paraId="73B3E0CE" w14:textId="77777777" w:rsidR="00EA7E88" w:rsidRPr="00B91FAE" w:rsidRDefault="00EA7E88" w:rsidP="00EA7E88">
      <w:pPr>
        <w:suppressAutoHyphens w:val="0"/>
        <w:spacing w:line="259" w:lineRule="auto"/>
        <w:ind w:right="120"/>
        <w:contextualSpacing/>
        <w:rPr>
          <w:rFonts w:asciiTheme="majorBidi" w:eastAsiaTheme="minorHAnsi" w:hAnsiTheme="majorBidi" w:cstheme="majorBidi"/>
          <w:b/>
          <w:bCs/>
        </w:rPr>
      </w:pPr>
    </w:p>
    <w:p w14:paraId="56C438D1" w14:textId="77777777" w:rsidR="00EA7E88" w:rsidRPr="00B91FAE" w:rsidRDefault="00EA7E88" w:rsidP="00EA7E88">
      <w:pPr>
        <w:numPr>
          <w:ilvl w:val="0"/>
          <w:numId w:val="35"/>
        </w:numPr>
        <w:suppressAutoHyphens w:val="0"/>
        <w:spacing w:after="120" w:line="259" w:lineRule="auto"/>
        <w:ind w:left="0" w:firstLine="0"/>
        <w:contextualSpacing/>
        <w:rPr>
          <w:rFonts w:asciiTheme="majorBidi" w:eastAsiaTheme="minorHAnsi" w:hAnsiTheme="majorBidi" w:cstheme="majorBidi"/>
          <w:lang w:val="en-US"/>
        </w:rPr>
      </w:pPr>
      <w:r w:rsidRPr="00B91FAE">
        <w:rPr>
          <w:rFonts w:asciiTheme="majorBidi" w:eastAsiaTheme="minorHAnsi" w:hAnsiTheme="majorBidi" w:cstheme="majorBidi"/>
          <w:b/>
          <w:bCs/>
        </w:rPr>
        <w:t xml:space="preserve">Minister of Defence. </w:t>
      </w:r>
      <w:r w:rsidRPr="00B91FAE">
        <w:rPr>
          <w:rFonts w:asciiTheme="majorBidi" w:eastAsiaTheme="minorHAnsi" w:hAnsiTheme="majorBidi" w:cstheme="majorBidi"/>
        </w:rPr>
        <w:t>Major General Mohamed Nasser Ahmed al-A’tifi, an officer from the Hadr subtribe of Khawlan, was appointed as Missile group commander by President Hadi in 2013. After the Houthis took control of Sana’a, Abdulmalik al-Houthi has praised the force for its creativity and Major General al</w:t>
      </w:r>
      <w:r w:rsidRPr="00B91FAE">
        <w:rPr>
          <w:rFonts w:asciiTheme="majorBidi" w:eastAsiaTheme="minorHAnsi" w:hAnsiTheme="majorBidi" w:cstheme="majorBidi"/>
        </w:rPr>
        <w:noBreakHyphen/>
        <w:t xml:space="preserve">A’tifi was appointed as Minister of Defence on 28 November 2016. </w:t>
      </w:r>
    </w:p>
    <w:p w14:paraId="40C49F0A" w14:textId="77777777" w:rsidR="00EA7E88" w:rsidRPr="00B91FAE" w:rsidRDefault="00EA7E88" w:rsidP="00EA7E88">
      <w:pPr>
        <w:tabs>
          <w:tab w:val="left" w:pos="540"/>
        </w:tabs>
        <w:spacing w:line="240" w:lineRule="exact"/>
        <w:rPr>
          <w:rFonts w:asciiTheme="majorBidi" w:eastAsiaTheme="minorHAnsi" w:hAnsiTheme="majorBidi" w:cstheme="majorBidi"/>
          <w:spacing w:val="4"/>
          <w:w w:val="103"/>
          <w:kern w:val="14"/>
          <w:lang w:val="en-US"/>
        </w:rPr>
      </w:pPr>
    </w:p>
    <w:p w14:paraId="521618CD" w14:textId="77777777" w:rsidR="00EA7E88" w:rsidRPr="00B91FAE" w:rsidRDefault="00EA7E88" w:rsidP="00EA7E88">
      <w:pPr>
        <w:numPr>
          <w:ilvl w:val="0"/>
          <w:numId w:val="35"/>
        </w:numPr>
        <w:suppressAutoHyphens w:val="0"/>
        <w:spacing w:after="120" w:line="259" w:lineRule="auto"/>
        <w:ind w:left="0" w:firstLine="0"/>
        <w:contextualSpacing/>
        <w:rPr>
          <w:rFonts w:asciiTheme="majorBidi" w:eastAsiaTheme="minorHAnsi" w:hAnsiTheme="majorBidi" w:cstheme="majorBidi"/>
          <w:spacing w:val="4"/>
          <w:w w:val="103"/>
          <w:kern w:val="14"/>
        </w:rPr>
      </w:pPr>
      <w:r w:rsidRPr="00B91FAE">
        <w:rPr>
          <w:rFonts w:asciiTheme="majorBidi" w:eastAsiaTheme="minorHAnsi" w:hAnsiTheme="majorBidi" w:cstheme="majorBidi"/>
          <w:b/>
          <w:bCs/>
          <w:spacing w:val="4"/>
          <w:w w:val="103"/>
          <w:kern w:val="14"/>
        </w:rPr>
        <w:t>The National Security Bureau. NSB</w:t>
      </w:r>
      <w:r w:rsidRPr="00B91FAE">
        <w:rPr>
          <w:rFonts w:asciiTheme="majorBidi" w:eastAsiaTheme="minorHAnsi" w:hAnsiTheme="majorBidi" w:cstheme="majorBidi"/>
          <w:spacing w:val="4"/>
          <w:w w:val="103"/>
          <w:kern w:val="14"/>
        </w:rPr>
        <w:t xml:space="preserve"> is the most powerful intelligence service in Yemen under the Houthis</w:t>
      </w:r>
      <w:r w:rsidRPr="00B91FAE">
        <w:rPr>
          <w:rFonts w:asciiTheme="majorBidi" w:eastAsiaTheme="minorHAnsi" w:hAnsiTheme="majorBidi" w:cstheme="majorBidi"/>
          <w:spacing w:val="4"/>
          <w:w w:val="103"/>
          <w:kern w:val="14"/>
          <w:vertAlign w:val="superscript"/>
        </w:rPr>
        <w:footnoteReference w:id="1682"/>
      </w:r>
      <w:r w:rsidRPr="00B91FAE">
        <w:rPr>
          <w:rFonts w:asciiTheme="majorBidi" w:eastAsiaTheme="minorHAnsi" w:hAnsiTheme="majorBidi" w:cstheme="majorBidi"/>
          <w:spacing w:val="4"/>
          <w:w w:val="103"/>
          <w:kern w:val="14"/>
        </w:rPr>
        <w:t>. It was originally formed in 2002. Ali Abdullah Saleh swiftly co-opted the new organization by making his nephew, Ammar Muhammad Abdullah Saleh, principal deputy in the Bureau, a position that he held until President Hadi removed him in 2012. When the National Security Bureau came under the control of the Houthis, Abdulrabb Saleh Ahmed Jarfan was appointed as head of the NSB. He also appointed to the Supreme Security Council for the Houthis in February 2015.</w:t>
      </w:r>
      <w:r w:rsidRPr="00B91FAE">
        <w:rPr>
          <w:rFonts w:asciiTheme="majorBidi" w:eastAsiaTheme="minorHAnsi" w:hAnsiTheme="majorBidi" w:cstheme="majorBidi"/>
          <w:spacing w:val="4"/>
          <w:w w:val="103"/>
          <w:kern w:val="14"/>
          <w:vertAlign w:val="superscript"/>
        </w:rPr>
        <w:footnoteReference w:id="1683"/>
      </w:r>
      <w:r w:rsidRPr="00B91FAE">
        <w:rPr>
          <w:rFonts w:asciiTheme="majorBidi" w:eastAsiaTheme="minorHAnsi" w:hAnsiTheme="majorBidi" w:cstheme="majorBidi"/>
          <w:spacing w:val="4"/>
          <w:w w:val="103"/>
          <w:kern w:val="14"/>
        </w:rPr>
        <w:t xml:space="preserve"> On 20 August 2016, he was similarly appointed to the Military and Security Committee.</w:t>
      </w:r>
      <w:r w:rsidRPr="00B91FAE">
        <w:rPr>
          <w:rFonts w:asciiTheme="majorBidi" w:eastAsiaTheme="minorHAnsi" w:hAnsiTheme="majorBidi" w:cstheme="majorBidi"/>
          <w:spacing w:val="4"/>
          <w:w w:val="103"/>
          <w:kern w:val="14"/>
          <w:vertAlign w:val="superscript"/>
        </w:rPr>
        <w:footnoteReference w:id="1684"/>
      </w:r>
      <w:r w:rsidRPr="00B91FAE">
        <w:rPr>
          <w:rFonts w:asciiTheme="majorBidi" w:eastAsiaTheme="minorHAnsi" w:hAnsiTheme="majorBidi" w:cstheme="majorBidi"/>
          <w:spacing w:val="4"/>
          <w:w w:val="103"/>
          <w:kern w:val="14"/>
        </w:rPr>
        <w:t xml:space="preserve"> </w:t>
      </w:r>
      <w:r w:rsidRPr="00B91FAE">
        <w:rPr>
          <w:rFonts w:asciiTheme="majorBidi" w:eastAsiaTheme="minorHAnsi" w:hAnsiTheme="majorBidi" w:cstheme="majorBidi"/>
          <w:b/>
          <w:bCs/>
          <w:spacing w:val="4"/>
          <w:w w:val="103"/>
          <w:kern w:val="14"/>
        </w:rPr>
        <w:t>Abdulrabb Saleh Ahmed Jarfan</w:t>
      </w:r>
      <w:r w:rsidRPr="00B91FAE">
        <w:rPr>
          <w:rFonts w:asciiTheme="majorBidi" w:eastAsiaTheme="minorHAnsi" w:hAnsiTheme="majorBidi" w:cstheme="majorBidi"/>
          <w:spacing w:val="4"/>
          <w:w w:val="103"/>
          <w:kern w:val="14"/>
        </w:rPr>
        <w:t>, also known as Abu Taha has emerged as the highest Houthi authority in charge of the intelligence services. Since early 2015, he has acted as the head of the National Security Bureau and has significant influence over all other Yemeni intelligence and investigation services under the control of the Houthis involved in allegations of violations of international humanitarian law. The Yemeni intelligence and security services also include the Political Security Organization and the Central Security Forces (also known as the Special Security Force)</w:t>
      </w:r>
      <w:r w:rsidRPr="00B91FAE">
        <w:rPr>
          <w:rFonts w:asciiTheme="majorBidi" w:eastAsiaTheme="minorHAnsi" w:hAnsiTheme="majorBidi" w:cstheme="majorBidi"/>
          <w:spacing w:val="4"/>
          <w:w w:val="103"/>
          <w:kern w:val="14"/>
          <w:vertAlign w:val="superscript"/>
        </w:rPr>
        <w:footnoteReference w:id="1685"/>
      </w:r>
      <w:r w:rsidRPr="00B91FAE">
        <w:rPr>
          <w:rFonts w:asciiTheme="majorBidi" w:eastAsiaTheme="minorHAnsi" w:hAnsiTheme="majorBidi" w:cstheme="majorBidi"/>
          <w:spacing w:val="4"/>
          <w:w w:val="103"/>
          <w:kern w:val="14"/>
        </w:rPr>
        <w:t>. 0n 18 Feb 2019 he was replaced by MG Fawaz Hussien Qaid Nashwan</w:t>
      </w:r>
      <w:r w:rsidRPr="00B91FAE">
        <w:rPr>
          <w:rFonts w:asciiTheme="majorBidi" w:eastAsiaTheme="minorHAnsi" w:hAnsiTheme="majorBidi" w:cstheme="majorBidi"/>
          <w:spacing w:val="4"/>
          <w:w w:val="103"/>
          <w:kern w:val="14"/>
          <w:vertAlign w:val="superscript"/>
        </w:rPr>
        <w:footnoteReference w:id="1686"/>
      </w:r>
      <w:r w:rsidRPr="00B91FAE">
        <w:rPr>
          <w:rFonts w:asciiTheme="majorBidi" w:eastAsiaTheme="minorHAnsi" w:hAnsiTheme="majorBidi" w:cstheme="majorBidi"/>
          <w:spacing w:val="4"/>
          <w:w w:val="103"/>
          <w:kern w:val="14"/>
        </w:rPr>
        <w:t>.</w:t>
      </w:r>
    </w:p>
    <w:p w14:paraId="34C245F8" w14:textId="77777777" w:rsidR="00EA7E88" w:rsidRPr="00B91FAE" w:rsidRDefault="00EA7E88" w:rsidP="00EA7E88">
      <w:pPr>
        <w:numPr>
          <w:ilvl w:val="0"/>
          <w:numId w:val="34"/>
        </w:numPr>
        <w:suppressAutoHyphens w:val="0"/>
        <w:spacing w:after="160" w:line="259" w:lineRule="auto"/>
        <w:contextualSpacing/>
        <w:jc w:val="center"/>
        <w:rPr>
          <w:rFonts w:asciiTheme="majorBidi" w:eastAsiaTheme="minorHAnsi" w:hAnsiTheme="majorBidi" w:cstheme="majorBidi"/>
          <w:color w:val="FFFFFF" w:themeColor="background1"/>
          <w:lang w:bidi="ar-JO"/>
        </w:rPr>
      </w:pPr>
      <w:r w:rsidRPr="00B91FAE">
        <w:rPr>
          <w:rFonts w:asciiTheme="majorBidi" w:eastAsiaTheme="minorHAnsi" w:hAnsiTheme="majorBidi" w:cstheme="majorBidi"/>
          <w:color w:val="FFFFFF" w:themeColor="background1"/>
          <w:lang w:bidi="ar-JO"/>
        </w:rPr>
        <w:t xml:space="preserve">Minister of Interior </w:t>
      </w:r>
    </w:p>
    <w:p w14:paraId="1C02F83D" w14:textId="77777777" w:rsidR="00EA7E88" w:rsidRPr="00B91FAE" w:rsidRDefault="00EA7E88" w:rsidP="00EA7E88">
      <w:pPr>
        <w:numPr>
          <w:ilvl w:val="0"/>
          <w:numId w:val="35"/>
        </w:numPr>
        <w:tabs>
          <w:tab w:val="left" w:pos="540"/>
          <w:tab w:val="left" w:pos="1060"/>
        </w:tabs>
        <w:suppressAutoHyphens w:val="0"/>
        <w:spacing w:after="120" w:line="259" w:lineRule="auto"/>
        <w:ind w:left="0" w:firstLine="0"/>
        <w:contextualSpacing/>
        <w:rPr>
          <w:rFonts w:asciiTheme="majorBidi" w:eastAsiaTheme="minorHAnsi" w:hAnsiTheme="majorBidi" w:cstheme="majorBidi"/>
        </w:rPr>
      </w:pPr>
      <w:r w:rsidRPr="00B91FAE">
        <w:rPr>
          <w:rFonts w:asciiTheme="majorBidi" w:eastAsiaTheme="minorHAnsi" w:hAnsiTheme="majorBidi" w:cstheme="majorBidi"/>
          <w:b/>
          <w:bCs/>
        </w:rPr>
        <w:t>Minister of Interior</w:t>
      </w:r>
      <w:r w:rsidRPr="00B91FAE">
        <w:rPr>
          <w:rFonts w:asciiTheme="majorBidi" w:eastAsiaTheme="minorHAnsi" w:hAnsiTheme="majorBidi" w:cstheme="majorBidi"/>
        </w:rPr>
        <w:t>. On 13 December 2017, Major General Abdel Kareem al-Maory was appointed as Misister of Interior.</w:t>
      </w:r>
      <w:r w:rsidRPr="00B91FAE">
        <w:rPr>
          <w:rFonts w:asciiTheme="majorBidi" w:eastAsiaTheme="minorHAnsi" w:hAnsiTheme="majorBidi" w:cstheme="majorBidi"/>
          <w:vertAlign w:val="superscript"/>
        </w:rPr>
        <w:footnoteReference w:id="1687"/>
      </w:r>
      <w:r w:rsidRPr="00B91FAE">
        <w:rPr>
          <w:rFonts w:asciiTheme="majorBidi" w:eastAsiaTheme="minorHAnsi" w:hAnsiTheme="majorBidi" w:cstheme="majorBidi"/>
          <w:rtl/>
        </w:rPr>
        <w:t xml:space="preserve"> </w:t>
      </w:r>
      <w:r w:rsidRPr="00B91FAE">
        <w:rPr>
          <w:rFonts w:asciiTheme="majorBidi" w:eastAsiaTheme="minorHAnsi" w:hAnsiTheme="majorBidi" w:cstheme="majorBidi"/>
        </w:rPr>
        <w:t xml:space="preserve"> He replaced Major General Muhammed Abdullah al-Qwsee,</w:t>
      </w:r>
      <w:r w:rsidRPr="00B91FAE">
        <w:rPr>
          <w:rFonts w:asciiTheme="majorBidi" w:eastAsiaTheme="minorHAnsi" w:hAnsiTheme="majorBidi" w:cstheme="majorBidi"/>
          <w:vertAlign w:val="superscript"/>
          <w:lang w:bidi="ar-JO"/>
        </w:rPr>
        <w:footnoteReference w:id="1688"/>
      </w:r>
      <w:r w:rsidRPr="00B91FAE">
        <w:rPr>
          <w:rFonts w:asciiTheme="majorBidi" w:eastAsiaTheme="minorHAnsi" w:hAnsiTheme="majorBidi" w:cstheme="majorBidi"/>
        </w:rPr>
        <w:t xml:space="preserve"> who was appointed as Minister of Interior on 28 November 2016 by Supreme Political Committee Decree 56 (2016)</w:t>
      </w:r>
      <w:r w:rsidRPr="00B91FAE">
        <w:rPr>
          <w:rFonts w:asciiTheme="majorBidi" w:eastAsiaTheme="minorHAnsi" w:hAnsiTheme="majorBidi" w:cstheme="majorBidi"/>
          <w:vertAlign w:val="superscript"/>
        </w:rPr>
        <w:footnoteReference w:id="1689"/>
      </w:r>
      <w:r w:rsidRPr="00B91FAE">
        <w:rPr>
          <w:rFonts w:asciiTheme="majorBidi" w:eastAsiaTheme="minorHAnsi" w:hAnsiTheme="majorBidi" w:cstheme="majorBidi"/>
        </w:rPr>
        <w:t>.</w:t>
      </w:r>
      <w:r w:rsidRPr="00B91FAE">
        <w:rPr>
          <w:rFonts w:asciiTheme="majorBidi" w:eastAsiaTheme="minorHAnsi" w:hAnsiTheme="majorBidi" w:cstheme="majorBidi"/>
          <w:b/>
          <w:bCs/>
          <w:lang w:val="en"/>
        </w:rPr>
        <w:t xml:space="preserve"> </w:t>
      </w:r>
      <w:r w:rsidRPr="00B91FAE">
        <w:rPr>
          <w:rFonts w:asciiTheme="majorBidi" w:eastAsiaTheme="minorHAnsi" w:hAnsiTheme="majorBidi" w:cstheme="majorBidi"/>
        </w:rPr>
        <w:t xml:space="preserve"> On 5 May 2019,  President of the Supreme Political Council Mahdi al-Mashat issued Decree 90 (2019), appointing Abdulkarim Ammer Aldain al-Houthi as Minister of Interior</w:t>
      </w:r>
      <w:r w:rsidRPr="00B91FAE">
        <w:rPr>
          <w:rFonts w:asciiTheme="majorBidi" w:eastAsiaTheme="minorHAnsi" w:hAnsiTheme="majorBidi" w:cstheme="majorBidi"/>
          <w:b/>
          <w:bCs/>
          <w:lang w:val="en"/>
        </w:rPr>
        <w:t xml:space="preserve"> </w:t>
      </w:r>
    </w:p>
    <w:p w14:paraId="38F9F807" w14:textId="77777777" w:rsidR="00EA7E88" w:rsidRPr="00B91FAE" w:rsidRDefault="00EA7E88" w:rsidP="00EA7E88">
      <w:pPr>
        <w:tabs>
          <w:tab w:val="left" w:pos="540"/>
          <w:tab w:val="left" w:pos="1060"/>
        </w:tabs>
        <w:suppressAutoHyphens w:val="0"/>
        <w:spacing w:after="120" w:line="259" w:lineRule="auto"/>
        <w:contextualSpacing/>
        <w:rPr>
          <w:rFonts w:asciiTheme="majorBidi" w:eastAsiaTheme="minorHAnsi" w:hAnsiTheme="majorBidi" w:cstheme="majorBidi"/>
        </w:rPr>
      </w:pPr>
    </w:p>
    <w:p w14:paraId="68AD0366" w14:textId="77777777" w:rsidR="00EA7E88" w:rsidRPr="00B91FAE" w:rsidRDefault="00EA7E88" w:rsidP="00EA7E88">
      <w:pPr>
        <w:numPr>
          <w:ilvl w:val="0"/>
          <w:numId w:val="35"/>
        </w:numPr>
        <w:tabs>
          <w:tab w:val="left" w:pos="0"/>
          <w:tab w:val="left" w:pos="540"/>
          <w:tab w:val="left" w:pos="1060"/>
        </w:tabs>
        <w:suppressAutoHyphens w:val="0"/>
        <w:spacing w:after="120" w:line="259" w:lineRule="auto"/>
        <w:ind w:left="0" w:firstLine="0"/>
        <w:contextualSpacing/>
        <w:rPr>
          <w:rFonts w:asciiTheme="majorBidi" w:eastAsiaTheme="minorHAnsi" w:hAnsiTheme="majorBidi" w:cstheme="majorBidi"/>
        </w:rPr>
      </w:pPr>
      <w:r w:rsidRPr="00B91FAE">
        <w:rPr>
          <w:rFonts w:asciiTheme="majorBidi" w:eastAsiaTheme="minorHAnsi" w:hAnsiTheme="majorBidi" w:cstheme="majorBidi"/>
          <w:b/>
          <w:bCs/>
        </w:rPr>
        <w:t>Political Security Organization</w:t>
      </w:r>
      <w:r w:rsidRPr="00B91FAE">
        <w:rPr>
          <w:rFonts w:asciiTheme="majorBidi" w:eastAsiaTheme="minorHAnsi" w:hAnsiTheme="majorBidi" w:cstheme="majorBidi"/>
        </w:rPr>
        <w:t>. It is Yemen’s internal intelligence service, established by Resolution 121 of 1992 under the name of the Central Political Security Agency. Its powers of detention and detention are derived from this decision and not by any other law, and its detention centres are not official detention centres, as enshrined in the Yemeni Constitution. the political security apparatus is directly accountable to the President. On 1 January 2018, Major General Abdulqader Ahmad Qassem Al Shami, who was working as an acting director for this organization from the beginning of the conflict was appointed as a director of the Political Security Organization</w:t>
      </w:r>
      <w:r w:rsidRPr="00B91FAE">
        <w:rPr>
          <w:rFonts w:asciiTheme="majorBidi" w:eastAsiaTheme="minorHAnsi" w:hAnsiTheme="majorBidi" w:cstheme="majorBidi"/>
          <w:vertAlign w:val="superscript"/>
        </w:rPr>
        <w:footnoteReference w:id="1690"/>
      </w:r>
      <w:r w:rsidRPr="00B91FAE">
        <w:rPr>
          <w:rFonts w:asciiTheme="majorBidi" w:eastAsiaTheme="minorHAnsi" w:hAnsiTheme="majorBidi" w:cstheme="majorBidi"/>
        </w:rPr>
        <w:t>.</w:t>
      </w:r>
    </w:p>
    <w:p w14:paraId="50685E9C" w14:textId="77777777" w:rsidR="00EA7E88" w:rsidRPr="00A1624A" w:rsidRDefault="00EA7E88" w:rsidP="00EA7E88">
      <w:pPr>
        <w:jc w:val="center"/>
        <w:rPr>
          <w:lang w:val="en-US"/>
        </w:rPr>
      </w:pPr>
      <w:r w:rsidRPr="00B91FAE">
        <w:rPr>
          <w:rFonts w:asciiTheme="majorBidi" w:hAnsiTheme="majorBidi" w:cstheme="majorBidi"/>
          <w:b/>
          <w:bCs/>
          <w:sz w:val="28"/>
          <w:szCs w:val="28"/>
        </w:rPr>
        <w:br w:type="page"/>
      </w:r>
    </w:p>
    <w:p w14:paraId="4F02587E" w14:textId="77777777" w:rsidR="00EA7E88" w:rsidRPr="00A1624A" w:rsidRDefault="00EA7E88" w:rsidP="00EA7E88">
      <w:pPr>
        <w:spacing w:after="120"/>
        <w:rPr>
          <w:lang w:val="en-US"/>
        </w:rPr>
      </w:pPr>
      <w:r w:rsidRPr="00B91FAE">
        <w:rPr>
          <w:rFonts w:asciiTheme="majorBidi" w:hAnsiTheme="majorBidi" w:cstheme="majorBidi"/>
          <w:noProof/>
          <w:sz w:val="16"/>
          <w:szCs w:val="16"/>
          <w:lang w:eastAsia="en-GB"/>
        </w:rPr>
        <w:lastRenderedPageBreak/>
        <mc:AlternateContent>
          <mc:Choice Requires="wps">
            <w:drawing>
              <wp:anchor distT="0" distB="0" distL="114300" distR="114300" simplePos="0" relativeHeight="251811840" behindDoc="0" locked="0" layoutInCell="1" allowOverlap="1" wp14:anchorId="6589848F" wp14:editId="67AF5988">
                <wp:simplePos x="0" y="0"/>
                <wp:positionH relativeFrom="column">
                  <wp:posOffset>1136650</wp:posOffset>
                </wp:positionH>
                <wp:positionV relativeFrom="paragraph">
                  <wp:posOffset>96520</wp:posOffset>
                </wp:positionV>
                <wp:extent cx="3639185" cy="575945"/>
                <wp:effectExtent l="0" t="0" r="0" b="0"/>
                <wp:wrapSquare wrapText="bothSides"/>
                <wp:docPr id="404" name="Rectangle 404"/>
                <wp:cNvGraphicFramePr/>
                <a:graphic xmlns:a="http://schemas.openxmlformats.org/drawingml/2006/main">
                  <a:graphicData uri="http://schemas.microsoft.com/office/word/2010/wordprocessingShape">
                    <wps:wsp>
                      <wps:cNvSpPr/>
                      <wps:spPr>
                        <a:xfrm>
                          <a:off x="0" y="0"/>
                          <a:ext cx="3639185" cy="575945"/>
                        </a:xfrm>
                        <a:prstGeom prst="rect">
                          <a:avLst/>
                        </a:prstGeom>
                        <a:noFill/>
                        <a:ln w="12700" cap="flat" cmpd="sng" algn="ctr">
                          <a:noFill/>
                          <a:prstDash val="solid"/>
                          <a:miter lim="800000"/>
                        </a:ln>
                        <a:effectLst/>
                      </wps:spPr>
                      <wps:txbx>
                        <w:txbxContent>
                          <w:p w14:paraId="17AD7ACC"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9848F" id="Rectangle 404" o:spid="_x0000_s1076" style="position:absolute;margin-left:89.5pt;margin-top:7.6pt;width:286.55pt;height:45.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" filled="f" stroked="f" strokeweight="1pt">
                <v:textbox>
                  <w:txbxContent>
                    <w:p w14:paraId="17AD7ACC" w14:textId="77777777" w:rsidR="00A1624A" w:rsidRPr="00EB2536" w:rsidRDefault="00A1624A" w:rsidP="00EA7E88">
                      <w:pPr>
                        <w:jc w:val="center"/>
                        <w:rPr>
                          <w:sz w:val="28"/>
                          <w:szCs w:val="28"/>
                          <w:lang w:val="en-US"/>
                        </w:rPr>
                      </w:pPr>
                      <w:r w:rsidRPr="00EB2536">
                        <w:rPr>
                          <w:sz w:val="28"/>
                          <w:szCs w:val="28"/>
                          <w:lang w:val="en-US"/>
                        </w:rPr>
                        <w:t xml:space="preserve">De Facto </w:t>
                      </w:r>
                      <w:r>
                        <w:rPr>
                          <w:sz w:val="28"/>
                          <w:szCs w:val="28"/>
                          <w:lang w:val="en-US"/>
                        </w:rPr>
                        <w:t xml:space="preserve">Authorities </w:t>
                      </w:r>
                      <w:r w:rsidRPr="00EB2536">
                        <w:rPr>
                          <w:sz w:val="28"/>
                          <w:szCs w:val="28"/>
                          <w:lang w:val="en-US"/>
                        </w:rPr>
                        <w:t>Security Apparatus</w:t>
                      </w:r>
                    </w:p>
                  </w:txbxContent>
                </v:textbox>
                <w10:wrap type="square"/>
              </v:rect>
            </w:pict>
          </mc:Fallback>
        </mc:AlternateContent>
      </w:r>
    </w:p>
    <w:p w14:paraId="2809C11A" w14:textId="77777777" w:rsidR="00EA7E88" w:rsidRPr="00A1624A" w:rsidRDefault="00EA7E88" w:rsidP="00EA7E88">
      <w:pPr>
        <w:spacing w:after="120"/>
        <w:rPr>
          <w:lang w:val="en-US"/>
        </w:rPr>
      </w:pPr>
    </w:p>
    <w:p w14:paraId="1941C86E" w14:textId="77777777" w:rsidR="00EA7E88" w:rsidRPr="00B91FAE" w:rsidRDefault="00EA7E88" w:rsidP="00EA7E88">
      <w:pPr>
        <w:spacing w:after="120"/>
      </w:pPr>
      <w:r w:rsidRPr="00B91FAE">
        <w:rPr>
          <w:rFonts w:eastAsia="Calibri"/>
        </w:rPr>
        <w:t xml:space="preserve"> </w:t>
      </w:r>
    </w:p>
    <w:p w14:paraId="0BB2F077"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99552" behindDoc="0" locked="0" layoutInCell="1" allowOverlap="1" wp14:anchorId="4D0AB2B6" wp14:editId="2E76D712">
                <wp:simplePos x="0" y="0"/>
                <wp:positionH relativeFrom="column">
                  <wp:posOffset>1733550</wp:posOffset>
                </wp:positionH>
                <wp:positionV relativeFrom="paragraph">
                  <wp:posOffset>47625</wp:posOffset>
                </wp:positionV>
                <wp:extent cx="1876425" cy="733425"/>
                <wp:effectExtent l="0" t="0" r="28575" b="28575"/>
                <wp:wrapSquare wrapText="bothSides"/>
                <wp:docPr id="405" name="Rectangle 405"/>
                <wp:cNvGraphicFramePr/>
                <a:graphic xmlns:a="http://schemas.openxmlformats.org/drawingml/2006/main">
                  <a:graphicData uri="http://schemas.microsoft.com/office/word/2010/wordprocessingShape">
                    <wps:wsp>
                      <wps:cNvSpPr/>
                      <wps:spPr>
                        <a:xfrm>
                          <a:off x="0" y="0"/>
                          <a:ext cx="1876425" cy="7334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effectLst>
                          <a:softEdge rad="762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3254BF"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AB2B6" id="Rectangle 405" o:spid="_x0000_s1077" style="position:absolute;margin-left:136.5pt;margin-top:3.75pt;width:147.75pt;height:57.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" fillcolor="#3863b1 [2856]" strokecolor="#1f4d78 [1604]" strokeweight="1pt">
                <v:fill color2="#2c4e8b [2248]" rotate="t" focusposition=".5,.5" focussize="" colors="0 #3864b3;15073f #3864b3;45220f #2f5597;63570f #2c4f8c" focus="100%" type="gradientRadial"/>
                <v:textbox>
                  <w:txbxContent>
                    <w:p w14:paraId="153254BF" w14:textId="77777777" w:rsidR="00A1624A" w:rsidRPr="007F7C80" w:rsidRDefault="00A1624A" w:rsidP="00EA7E88">
                      <w:pPr>
                        <w:jc w:val="center"/>
                        <w:rPr>
                          <w:color w:val="FFFFFF" w:themeColor="background1"/>
                        </w:rPr>
                      </w:pPr>
                      <w:r w:rsidRPr="007F7C80">
                        <w:rPr>
                          <w:rFonts w:asciiTheme="majorBidi" w:hAnsiTheme="majorBidi" w:cstheme="majorBidi"/>
                          <w:color w:val="FFFFFF" w:themeColor="background1"/>
                          <w:sz w:val="24"/>
                          <w:szCs w:val="24"/>
                        </w:rPr>
                        <w:t>Abdulmalik Bader Aldain al-Houthi</w:t>
                      </w:r>
                    </w:p>
                  </w:txbxContent>
                </v:textbox>
                <w10:wrap type="square"/>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4192" behindDoc="0" locked="0" layoutInCell="1" allowOverlap="1" wp14:anchorId="2025970C" wp14:editId="5D20621A">
                <wp:simplePos x="0" y="0"/>
                <wp:positionH relativeFrom="column">
                  <wp:posOffset>6474460</wp:posOffset>
                </wp:positionH>
                <wp:positionV relativeFrom="paragraph">
                  <wp:posOffset>18564225</wp:posOffset>
                </wp:positionV>
                <wp:extent cx="0" cy="170180"/>
                <wp:effectExtent l="76200" t="0" r="57150" b="58420"/>
                <wp:wrapNone/>
                <wp:docPr id="406" name="Straight Arrow Connector 406"/>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0E7EF9A9" id="Straight Arrow Connector 406" o:spid="_x0000_s1026" type="#_x0000_t32" style="position:absolute;margin-left:509.8pt;margin-top:1461.75pt;width:0;height:13.4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5216" behindDoc="0" locked="0" layoutInCell="1" allowOverlap="1" wp14:anchorId="3E6068DF" wp14:editId="13A3FC4B">
                <wp:simplePos x="0" y="0"/>
                <wp:positionH relativeFrom="column">
                  <wp:posOffset>7590790</wp:posOffset>
                </wp:positionH>
                <wp:positionV relativeFrom="paragraph">
                  <wp:posOffset>18557875</wp:posOffset>
                </wp:positionV>
                <wp:extent cx="0" cy="170180"/>
                <wp:effectExtent l="76200" t="0" r="57150" b="58420"/>
                <wp:wrapNone/>
                <wp:docPr id="407" name="Straight Arrow Connector 407"/>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587429E0" id="Straight Arrow Connector 407" o:spid="_x0000_s1026" type="#_x0000_t32" style="position:absolute;margin-left:597.7pt;margin-top:1461.25pt;width:0;height:13.4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6240" behindDoc="0" locked="0" layoutInCell="1" allowOverlap="1" wp14:anchorId="15129573" wp14:editId="04FC2C35">
                <wp:simplePos x="0" y="0"/>
                <wp:positionH relativeFrom="column">
                  <wp:posOffset>8695055</wp:posOffset>
                </wp:positionH>
                <wp:positionV relativeFrom="paragraph">
                  <wp:posOffset>18566130</wp:posOffset>
                </wp:positionV>
                <wp:extent cx="0" cy="170180"/>
                <wp:effectExtent l="76200" t="0" r="57150" b="58420"/>
                <wp:wrapNone/>
                <wp:docPr id="408" name="Straight Arrow Connector 408"/>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485B68DD" id="Straight Arrow Connector 408" o:spid="_x0000_s1026" type="#_x0000_t32" style="position:absolute;margin-left:684.65pt;margin-top:1461.9pt;width:0;height:13.4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7264" behindDoc="0" locked="0" layoutInCell="1" allowOverlap="1" wp14:anchorId="59388F0C" wp14:editId="69D49620">
                <wp:simplePos x="0" y="0"/>
                <wp:positionH relativeFrom="column">
                  <wp:posOffset>9753600</wp:posOffset>
                </wp:positionH>
                <wp:positionV relativeFrom="paragraph">
                  <wp:posOffset>18565495</wp:posOffset>
                </wp:positionV>
                <wp:extent cx="0" cy="170180"/>
                <wp:effectExtent l="76200" t="0" r="57150" b="58420"/>
                <wp:wrapNone/>
                <wp:docPr id="409" name="Straight Arrow Connector 409"/>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FB66704" id="Straight Arrow Connector 409" o:spid="_x0000_s1026" type="#_x0000_t32" style="position:absolute;margin-left:768pt;margin-top:1461.85pt;width:0;height:13.4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8288" behindDoc="0" locked="0" layoutInCell="1" allowOverlap="1" wp14:anchorId="1B903081" wp14:editId="05A18767">
                <wp:simplePos x="0" y="0"/>
                <wp:positionH relativeFrom="column">
                  <wp:posOffset>10869295</wp:posOffset>
                </wp:positionH>
                <wp:positionV relativeFrom="paragraph">
                  <wp:posOffset>18557875</wp:posOffset>
                </wp:positionV>
                <wp:extent cx="0" cy="170180"/>
                <wp:effectExtent l="76200" t="0" r="57150" b="58420"/>
                <wp:wrapNone/>
                <wp:docPr id="410" name="Straight Arrow Connector 410"/>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3D69D8A6" id="Straight Arrow Connector 410" o:spid="_x0000_s1026" type="#_x0000_t32" style="position:absolute;margin-left:855.85pt;margin-top:1461.25pt;width:0;height:13.4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" strokecolor="windowText" strokeweight="1.2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89312" behindDoc="0" locked="0" layoutInCell="1" allowOverlap="1" wp14:anchorId="20D43949" wp14:editId="08A66836">
                <wp:simplePos x="0" y="0"/>
                <wp:positionH relativeFrom="column">
                  <wp:posOffset>12060555</wp:posOffset>
                </wp:positionH>
                <wp:positionV relativeFrom="paragraph">
                  <wp:posOffset>18567304</wp:posOffset>
                </wp:positionV>
                <wp:extent cx="0" cy="170180"/>
                <wp:effectExtent l="76200" t="0" r="57150" b="58420"/>
                <wp:wrapNone/>
                <wp:docPr id="411" name="Straight Arrow Connector 411"/>
                <wp:cNvGraphicFramePr/>
                <a:graphic xmlns:a="http://schemas.openxmlformats.org/drawingml/2006/main">
                  <a:graphicData uri="http://schemas.microsoft.com/office/word/2010/wordprocessingShape">
                    <wps:wsp>
                      <wps:cNvCnPr/>
                      <wps:spPr>
                        <a:xfrm>
                          <a:off x="0" y="0"/>
                          <a:ext cx="0" cy="170180"/>
                        </a:xfrm>
                        <a:prstGeom prst="straightConnector1">
                          <a:avLst/>
                        </a:prstGeom>
                        <a:noFill/>
                        <a:ln w="15875" cap="flat" cmpd="sng" algn="ctr">
                          <a:solidFill>
                            <a:sysClr val="windowText" lastClr="000000"/>
                          </a:solidFill>
                          <a:prstDash val="solid"/>
                          <a:miter lim="800000"/>
                          <a:tailEnd type="triangle"/>
                        </a:ln>
                        <a:effectLst/>
                      </wps:spPr>
                      <wps:bodyPr/>
                    </wps:wsp>
                  </a:graphicData>
                </a:graphic>
              </wp:anchor>
            </w:drawing>
          </mc:Choice>
          <mc:Fallback>
            <w:pict>
              <v:shape w14:anchorId="102D6F62" id="Straight Arrow Connector 411" o:spid="_x0000_s1026" type="#_x0000_t32" style="position:absolute;margin-left:949.65pt;margin-top:1462pt;width:0;height:13.4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" strokecolor="windowText" strokeweight="1.25pt">
                <v:stroke endarrow="block" joinstyle="miter"/>
              </v:shape>
            </w:pict>
          </mc:Fallback>
        </mc:AlternateContent>
      </w:r>
      <w:r w:rsidRPr="00B91FAE">
        <w:rPr>
          <w:rFonts w:asciiTheme="majorBidi" w:hAnsiTheme="majorBidi" w:cstheme="majorBidi"/>
        </w:rPr>
        <w:t xml:space="preserve">                        </w:t>
      </w:r>
    </w:p>
    <w:p w14:paraId="6ABFCA2A" w14:textId="77777777" w:rsidR="00EA7E88" w:rsidRPr="00B91FAE" w:rsidRDefault="00EA7E88" w:rsidP="00EA7E88">
      <w:pPr>
        <w:rPr>
          <w:rFonts w:asciiTheme="majorBidi" w:hAnsiTheme="majorBidi" w:cstheme="majorBidi"/>
        </w:rPr>
      </w:pPr>
    </w:p>
    <w:p w14:paraId="5ABB8B4B" w14:textId="77777777" w:rsidR="00EA7E88" w:rsidRPr="00B91FAE" w:rsidRDefault="00EA7E88" w:rsidP="00EA7E88">
      <w:pPr>
        <w:rPr>
          <w:rFonts w:asciiTheme="majorBidi" w:hAnsiTheme="majorBidi" w:cstheme="majorBidi"/>
        </w:rPr>
      </w:pPr>
    </w:p>
    <w:p w14:paraId="67DB9482" w14:textId="77777777" w:rsidR="00EA7E88" w:rsidRPr="00B91FAE" w:rsidRDefault="00EA7E88" w:rsidP="00EA7E88">
      <w:pPr>
        <w:rPr>
          <w:rFonts w:asciiTheme="majorBidi" w:hAnsiTheme="majorBidi" w:cstheme="majorBidi"/>
        </w:rPr>
      </w:pPr>
    </w:p>
    <w:p w14:paraId="6DDD3E61" w14:textId="77777777" w:rsidR="00EA7E88" w:rsidRPr="00B91FAE" w:rsidRDefault="00EA7E88" w:rsidP="00EA7E88">
      <w:pPr>
        <w:rPr>
          <w:rFonts w:asciiTheme="majorBidi" w:hAnsiTheme="majorBidi" w:cstheme="majorBidi"/>
        </w:rPr>
      </w:pPr>
      <w:r w:rsidRPr="00B91FAE">
        <w:rPr>
          <w:rFonts w:asciiTheme="majorBidi" w:hAnsiTheme="majorBidi" w:cstheme="majorBidi"/>
          <w:noProof/>
          <w:lang w:eastAsia="en-GB"/>
        </w:rPr>
        <mc:AlternateContent>
          <mc:Choice Requires="wps">
            <w:drawing>
              <wp:anchor distT="0" distB="0" distL="114300" distR="114300" simplePos="0" relativeHeight="251824128" behindDoc="0" locked="0" layoutInCell="1" allowOverlap="1" wp14:anchorId="72F8860D" wp14:editId="433BA7E5">
                <wp:simplePos x="0" y="0"/>
                <wp:positionH relativeFrom="column">
                  <wp:posOffset>2695575</wp:posOffset>
                </wp:positionH>
                <wp:positionV relativeFrom="paragraph">
                  <wp:posOffset>94615</wp:posOffset>
                </wp:positionV>
                <wp:extent cx="9525" cy="400685"/>
                <wp:effectExtent l="76200" t="0" r="66675" b="56515"/>
                <wp:wrapNone/>
                <wp:docPr id="412" name="Straight Arrow Connector 412"/>
                <wp:cNvGraphicFramePr/>
                <a:graphic xmlns:a="http://schemas.openxmlformats.org/drawingml/2006/main">
                  <a:graphicData uri="http://schemas.microsoft.com/office/word/2010/wordprocessingShape">
                    <wps:wsp>
                      <wps:cNvCnPr/>
                      <wps:spPr>
                        <a:xfrm flipH="1">
                          <a:off x="0" y="0"/>
                          <a:ext cx="9525" cy="4006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A47CA5" id="Straight Arrow Connector 412" o:spid="_x0000_s1026" type="#_x0000_t32" style="position:absolute;margin-left:212.25pt;margin-top:7.45pt;width:.75pt;height:31.55pt;flip:x;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" strokecolor="#5b9bd5 [3204]" strokeweight=".5pt">
                <v:stroke endarrow="block" joinstyle="miter"/>
              </v:shape>
            </w:pict>
          </mc:Fallback>
        </mc:AlternateContent>
      </w:r>
    </w:p>
    <w:p w14:paraId="5BAEF271" w14:textId="77777777" w:rsidR="00EA7E88" w:rsidRPr="00B91FAE" w:rsidRDefault="00EA7E88" w:rsidP="00EA7E88">
      <w:pPr>
        <w:rPr>
          <w:rFonts w:asciiTheme="majorBidi" w:hAnsiTheme="majorBidi" w:cstheme="majorBidi"/>
        </w:rPr>
      </w:pPr>
    </w:p>
    <w:p w14:paraId="6197C5C5" w14:textId="77777777" w:rsidR="00EA7E88" w:rsidRPr="00B91FAE" w:rsidRDefault="00EA7E88" w:rsidP="00EA7E88">
      <w:pPr>
        <w:rPr>
          <w:rFonts w:asciiTheme="majorBidi" w:hAnsiTheme="majorBidi" w:cstheme="majorBidi"/>
        </w:rPr>
      </w:pPr>
    </w:p>
    <w:p w14:paraId="168B05EA" w14:textId="77777777" w:rsidR="00EA7E88" w:rsidRPr="00B91FAE" w:rsidRDefault="00EA7E88" w:rsidP="00EA7E88">
      <w:pPr>
        <w:rPr>
          <w:rFonts w:asciiTheme="majorBidi" w:hAnsiTheme="majorBidi" w:cstheme="majorBidi"/>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791360" behindDoc="0" locked="0" layoutInCell="1" allowOverlap="1" wp14:anchorId="62A4C9BE" wp14:editId="66DC57C9">
                <wp:simplePos x="0" y="0"/>
                <wp:positionH relativeFrom="column">
                  <wp:posOffset>1813560</wp:posOffset>
                </wp:positionH>
                <wp:positionV relativeFrom="paragraph">
                  <wp:posOffset>34290</wp:posOffset>
                </wp:positionV>
                <wp:extent cx="1771650" cy="619125"/>
                <wp:effectExtent l="0" t="0" r="19050" b="28575"/>
                <wp:wrapSquare wrapText="bothSides"/>
                <wp:docPr id="413" name="Rectangle 413"/>
                <wp:cNvGraphicFramePr/>
                <a:graphic xmlns:a="http://schemas.openxmlformats.org/drawingml/2006/main">
                  <a:graphicData uri="http://schemas.microsoft.com/office/word/2010/wordprocessingShape">
                    <wps:wsp>
                      <wps:cNvSpPr/>
                      <wps:spPr>
                        <a:xfrm>
                          <a:off x="0" y="0"/>
                          <a:ext cx="1771650" cy="619125"/>
                        </a:xfrm>
                        <a:prstGeom prst="rect">
                          <a:avLst/>
                        </a:prstGeom>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ln w="12700" cap="flat" cmpd="sng" algn="ctr">
                          <a:solidFill>
                            <a:srgbClr val="5B9BD5">
                              <a:shade val="50000"/>
                            </a:srgbClr>
                          </a:solidFill>
                          <a:prstDash val="solid"/>
                          <a:miter lim="800000"/>
                        </a:ln>
                        <a:effectLst/>
                      </wps:spPr>
                      <wps:txbx>
                        <w:txbxContent>
                          <w:p w14:paraId="15715C1D" w14:textId="77777777" w:rsidR="00A1624A" w:rsidRPr="00CC0BA4"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38E77E4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4C9BE" id="Rectangle 413" o:spid="_x0000_s1078" style="position:absolute;margin-left:142.8pt;margin-top:2.7pt;width:139.5pt;height:48.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" fillcolor="#3863b1 [2856]" strokecolor="#41719c" strokeweight="1pt">
                <v:fill color2="#2c4e8b [2248]" rotate="t" focusposition=".5,.5" focussize="" colors="0 #3864b3;15073f #3864b3;45220f #2f5597;63570f #2c4f8c" focus="100%" type="gradientRadial"/>
                <v:textbox>
                  <w:txbxContent>
                    <w:p w14:paraId="15715C1D" w14:textId="77777777" w:rsidR="00A1624A" w:rsidRPr="00CC0BA4" w:rsidRDefault="00A1624A" w:rsidP="00EA7E88">
                      <w:pPr>
                        <w:jc w:val="center"/>
                        <w:rPr>
                          <w:rFonts w:asciiTheme="majorBidi" w:hAnsiTheme="majorBidi" w:cstheme="majorBidi"/>
                          <w:color w:val="000000" w:themeColor="text1"/>
                          <w:sz w:val="24"/>
                          <w:szCs w:val="24"/>
                        </w:rPr>
                      </w:pPr>
                      <w:r w:rsidRPr="00CF54BF">
                        <w:rPr>
                          <w:rFonts w:asciiTheme="majorBidi" w:hAnsiTheme="majorBidi" w:cstheme="majorBidi"/>
                          <w:color w:val="FFFFFF" w:themeColor="background1"/>
                          <w:sz w:val="24"/>
                          <w:szCs w:val="24"/>
                        </w:rPr>
                        <w:t>Supreme Political Council</w:t>
                      </w:r>
                      <w:r>
                        <w:rPr>
                          <w:rFonts w:asciiTheme="majorBidi" w:hAnsiTheme="majorBidi" w:cstheme="majorBidi"/>
                          <w:color w:val="FFFFFF" w:themeColor="background1"/>
                          <w:sz w:val="24"/>
                          <w:szCs w:val="24"/>
                        </w:rPr>
                        <w:t xml:space="preserve"> </w:t>
                      </w:r>
                    </w:p>
                    <w:p w14:paraId="38E77E4E" w14:textId="77777777" w:rsidR="00A1624A" w:rsidRPr="007F7C80" w:rsidRDefault="00A1624A" w:rsidP="00EA7E88">
                      <w:pPr>
                        <w:jc w:val="center"/>
                        <w:rPr>
                          <w:rFonts w:asciiTheme="majorBidi" w:hAnsiTheme="majorBidi" w:cstheme="majorBidi"/>
                          <w:color w:val="FFFFFF" w:themeColor="background1"/>
                          <w:sz w:val="18"/>
                          <w:szCs w:val="18"/>
                        </w:rPr>
                      </w:pPr>
                      <w:r w:rsidRPr="007F7C80">
                        <w:rPr>
                          <w:rFonts w:asciiTheme="majorBidi" w:hAnsiTheme="majorBidi" w:cstheme="majorBidi"/>
                          <w:color w:val="FFFFFF" w:themeColor="background1"/>
                        </w:rPr>
                        <w:t xml:space="preserve">Mahdi al-Mashat </w:t>
                      </w:r>
                    </w:p>
                  </w:txbxContent>
                </v:textbox>
                <w10:wrap type="square"/>
              </v:rect>
            </w:pict>
          </mc:Fallback>
        </mc:AlternateContent>
      </w:r>
    </w:p>
    <w:p w14:paraId="6E6E9256" w14:textId="77777777" w:rsidR="00EA7E88" w:rsidRPr="00B91FAE" w:rsidRDefault="00EA7E88" w:rsidP="00EA7E88"/>
    <w:p w14:paraId="22F0CD27" w14:textId="77777777" w:rsidR="00EA7E88" w:rsidRPr="00B91FAE" w:rsidRDefault="00EA7E88" w:rsidP="00EA7E88">
      <w:pPr>
        <w:suppressAutoHyphens w:val="0"/>
        <w:spacing w:after="160" w:line="259" w:lineRule="auto"/>
        <w:rPr>
          <w:rFonts w:asciiTheme="majorBidi" w:hAnsiTheme="majorBidi" w:cstheme="majorBidi"/>
          <w:lang w:bidi="ar-JO"/>
        </w:rPr>
      </w:pPr>
      <w:r w:rsidRPr="00B91FAE">
        <w:rPr>
          <w:rFonts w:asciiTheme="majorBidi" w:hAnsiTheme="majorBidi" w:cstheme="majorBidi"/>
          <w:noProof/>
          <w:sz w:val="16"/>
          <w:szCs w:val="16"/>
          <w:lang w:eastAsia="en-GB"/>
        </w:rPr>
        <mc:AlternateContent>
          <mc:Choice Requires="wps">
            <w:drawing>
              <wp:anchor distT="0" distB="0" distL="114300" distR="114300" simplePos="0" relativeHeight="251814912" behindDoc="0" locked="0" layoutInCell="1" allowOverlap="1" wp14:anchorId="2E20AB16" wp14:editId="36504881">
                <wp:simplePos x="0" y="0"/>
                <wp:positionH relativeFrom="column">
                  <wp:posOffset>5800725</wp:posOffset>
                </wp:positionH>
                <wp:positionV relativeFrom="paragraph">
                  <wp:posOffset>1266825</wp:posOffset>
                </wp:positionV>
                <wp:extent cx="444500" cy="0"/>
                <wp:effectExtent l="0" t="0" r="31750" b="19050"/>
                <wp:wrapNone/>
                <wp:docPr id="414" name="Straight Connector 414"/>
                <wp:cNvGraphicFramePr/>
                <a:graphic xmlns:a="http://schemas.openxmlformats.org/drawingml/2006/main">
                  <a:graphicData uri="http://schemas.microsoft.com/office/word/2010/wordprocessingShape">
                    <wps:wsp>
                      <wps:cNvCnPr/>
                      <wps:spPr>
                        <a:xfrm>
                          <a:off x="0" y="0"/>
                          <a:ext cx="444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D6DD8D" id="Straight Connector 414" o:spid="_x0000_s1026" style="position:absolute;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75pt,99.75pt" to="491.7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1600" behindDoc="0" locked="0" layoutInCell="1" allowOverlap="1" wp14:anchorId="40FA4AB7" wp14:editId="5D111DC1">
                <wp:simplePos x="0" y="0"/>
                <wp:positionH relativeFrom="column">
                  <wp:posOffset>4339590</wp:posOffset>
                </wp:positionH>
                <wp:positionV relativeFrom="paragraph">
                  <wp:posOffset>1943100</wp:posOffset>
                </wp:positionV>
                <wp:extent cx="1492885" cy="619125"/>
                <wp:effectExtent l="0" t="0" r="12065" b="28575"/>
                <wp:wrapNone/>
                <wp:docPr id="415" name="Rectangle 415"/>
                <wp:cNvGraphicFramePr/>
                <a:graphic xmlns:a="http://schemas.openxmlformats.org/drawingml/2006/main">
                  <a:graphicData uri="http://schemas.microsoft.com/office/word/2010/wordprocessingShape">
                    <wps:wsp>
                      <wps:cNvSpPr/>
                      <wps:spPr>
                        <a:xfrm>
                          <a:off x="0" y="0"/>
                          <a:ext cx="1492885" cy="61912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F83BD0C"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A4AB7" id="Rectangle 415" o:spid="_x0000_s1079" style="position:absolute;margin-left:341.7pt;margin-top:153pt;width:117.55pt;height:48.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" fillcolor="#1f4e79" strokecolor="#41719c" strokeweight="1pt">
                <v:textbox>
                  <w:txbxContent>
                    <w:p w14:paraId="2F83BD0C" w14:textId="77777777" w:rsidR="00A1624A" w:rsidRPr="00A1624A" w:rsidRDefault="00A1624A" w:rsidP="00EA7E88">
                      <w:pPr>
                        <w:jc w:val="center"/>
                        <w:rPr>
                          <w:rFonts w:asciiTheme="majorBidi" w:hAnsiTheme="majorBidi" w:cstheme="majorBidi"/>
                          <w:color w:val="FFFFFF" w:themeColor="background1"/>
                          <w:lang w:val="es-ES"/>
                        </w:rPr>
                      </w:pPr>
                      <w:r w:rsidRPr="00A1624A">
                        <w:rPr>
                          <w:rFonts w:asciiTheme="majorBidi" w:hAnsiTheme="majorBidi" w:cstheme="majorBidi"/>
                          <w:color w:val="FFFFFF" w:themeColor="background1"/>
                          <w:lang w:val="es-ES"/>
                        </w:rPr>
                        <w:t>MG Abdelhakim al –Khaywani al Karar</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0336" behindDoc="0" locked="0" layoutInCell="1" allowOverlap="1" wp14:anchorId="74AF55B1" wp14:editId="05776CAD">
                <wp:simplePos x="0" y="0"/>
                <wp:positionH relativeFrom="column">
                  <wp:posOffset>4312920</wp:posOffset>
                </wp:positionH>
                <wp:positionV relativeFrom="paragraph">
                  <wp:posOffset>923925</wp:posOffset>
                </wp:positionV>
                <wp:extent cx="1478915" cy="704850"/>
                <wp:effectExtent l="0" t="0" r="26035" b="19050"/>
                <wp:wrapNone/>
                <wp:docPr id="416" name="Rectangle 416"/>
                <wp:cNvGraphicFramePr/>
                <a:graphic xmlns:a="http://schemas.openxmlformats.org/drawingml/2006/main">
                  <a:graphicData uri="http://schemas.microsoft.com/office/word/2010/wordprocessingShape">
                    <wps:wsp>
                      <wps:cNvSpPr/>
                      <wps:spPr>
                        <a:xfrm>
                          <a:off x="0" y="0"/>
                          <a:ext cx="1478915" cy="70485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round/>
                        </a:ln>
                        <a:effectLst/>
                      </wps:spPr>
                      <wps:txbx>
                        <w:txbxContent>
                          <w:p w14:paraId="2D3D2925"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1E603800"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AF55B1" id="Rectangle 416" o:spid="_x0000_s1080" style="position:absolute;margin-left:339.6pt;margin-top:72.75pt;width:116.45pt;height:5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" fillcolor="#2a4a85 [2152]" strokecolor="#41719c" strokeweight="1pt">
                <v:fill color2="#8eaadb [1944]" rotate="t" angle="180" colors="0 #2a4b86;31457f #4a76c6;1 #8faadc" focus="100%" type="gradient"/>
                <v:stroke joinstyle="round"/>
                <v:textbox>
                  <w:txbxContent>
                    <w:p w14:paraId="2D3D2925"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asciiTheme="majorBidi" w:hAnsiTheme="majorBidi" w:cstheme="majorBidi"/>
                          <w:color w:val="FFFFFF" w:themeColor="background1"/>
                          <w:sz w:val="18"/>
                          <w:szCs w:val="18"/>
                          <w:lang w:bidi="ar-JO"/>
                        </w:rPr>
                        <w:t xml:space="preserve">Minister of Interior </w:t>
                      </w:r>
                    </w:p>
                    <w:p w14:paraId="1E603800" w14:textId="77777777" w:rsidR="00A1624A" w:rsidRPr="00EC3BE3" w:rsidRDefault="00A1624A" w:rsidP="00EA7E88">
                      <w:pPr>
                        <w:jc w:val="center"/>
                        <w:rPr>
                          <w:rFonts w:asciiTheme="majorBidi" w:hAnsiTheme="majorBidi" w:cstheme="majorBidi"/>
                          <w:color w:val="FFFFFF" w:themeColor="background1"/>
                          <w:sz w:val="18"/>
                          <w:szCs w:val="18"/>
                          <w:lang w:bidi="ar-JO"/>
                        </w:rPr>
                      </w:pPr>
                      <w:r w:rsidRPr="00EC3BE3">
                        <w:rPr>
                          <w:rFonts w:eastAsia="Calibri"/>
                          <w:color w:val="FFFFFF" w:themeColor="background1"/>
                          <w:sz w:val="18"/>
                          <w:szCs w:val="18"/>
                          <w:lang w:val="en-US"/>
                        </w:rPr>
                        <w:t>Abdulkarim Ammer Aldain  al-Houthi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26176" behindDoc="0" locked="0" layoutInCell="1" allowOverlap="1" wp14:anchorId="5190E89C" wp14:editId="3F38989D">
                <wp:simplePos x="0" y="0"/>
                <wp:positionH relativeFrom="column">
                  <wp:posOffset>3441065</wp:posOffset>
                </wp:positionH>
                <wp:positionV relativeFrom="paragraph">
                  <wp:posOffset>1266825</wp:posOffset>
                </wp:positionV>
                <wp:extent cx="397510" cy="0"/>
                <wp:effectExtent l="0" t="0" r="21590" b="19050"/>
                <wp:wrapNone/>
                <wp:docPr id="28" name="Straight Connector 28"/>
                <wp:cNvGraphicFramePr/>
                <a:graphic xmlns:a="http://schemas.openxmlformats.org/drawingml/2006/main">
                  <a:graphicData uri="http://schemas.microsoft.com/office/word/2010/wordprocessingShape">
                    <wps:wsp>
                      <wps:cNvCnPr/>
                      <wps:spPr>
                        <a:xfrm flipH="1">
                          <a:off x="0" y="0"/>
                          <a:ext cx="3975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459CD3" id="Straight Connector 28" o:spid="_x0000_s1026" style="position:absolute;flip:x;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0.95pt,99.75pt" to="302.25pt,9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" strokecolor="#5b9bd5 [3204]" strokeweight=".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0576" behindDoc="0" locked="0" layoutInCell="1" allowOverlap="1" wp14:anchorId="7943A71B" wp14:editId="336EC27A">
                <wp:simplePos x="0" y="0"/>
                <wp:positionH relativeFrom="column">
                  <wp:posOffset>1917700</wp:posOffset>
                </wp:positionH>
                <wp:positionV relativeFrom="paragraph">
                  <wp:posOffset>1905000</wp:posOffset>
                </wp:positionV>
                <wp:extent cx="1517015" cy="674370"/>
                <wp:effectExtent l="0" t="0" r="26035" b="11430"/>
                <wp:wrapNone/>
                <wp:docPr id="417" name="Rectangle 417"/>
                <wp:cNvGraphicFramePr/>
                <a:graphic xmlns:a="http://schemas.openxmlformats.org/drawingml/2006/main">
                  <a:graphicData uri="http://schemas.microsoft.com/office/word/2010/wordprocessingShape">
                    <wps:wsp>
                      <wps:cNvSpPr/>
                      <wps:spPr>
                        <a:xfrm>
                          <a:off x="0" y="0"/>
                          <a:ext cx="1517015" cy="67437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EE11A14"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CB27D9C" w14:textId="77777777" w:rsidR="00A1624A" w:rsidRPr="005C79B5" w:rsidRDefault="00A1624A" w:rsidP="00EA7E88">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06898565"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3A71B" id="Rectangle 417" o:spid="_x0000_s1081" style="position:absolute;margin-left:151pt;margin-top:150pt;width:119.45pt;height:53.1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" fillcolor="#1f4e79" strokecolor="#41719c" strokeweight="1pt">
                <v:textbox>
                  <w:txbxContent>
                    <w:p w14:paraId="7EE11A14"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NSB Deputy</w:t>
                      </w:r>
                    </w:p>
                    <w:p w14:paraId="1CB27D9C" w14:textId="77777777" w:rsidR="00A1624A" w:rsidRPr="005C79B5" w:rsidRDefault="00A1624A" w:rsidP="00EA7E88">
                      <w:pPr>
                        <w:jc w:val="center"/>
                        <w:rPr>
                          <w:rFonts w:asciiTheme="majorBidi" w:hAnsiTheme="majorBidi" w:cstheme="majorBidi"/>
                          <w:color w:val="FFFFFF" w:themeColor="background1"/>
                          <w:sz w:val="14"/>
                          <w:szCs w:val="14"/>
                          <w:lang w:val="en-US"/>
                        </w:rPr>
                      </w:pPr>
                      <w:r w:rsidRPr="005C79B5">
                        <w:rPr>
                          <w:rFonts w:asciiTheme="majorBidi" w:hAnsiTheme="majorBidi" w:cstheme="majorBidi"/>
                          <w:color w:val="FFFFFF" w:themeColor="background1"/>
                          <w:sz w:val="14"/>
                          <w:szCs w:val="14"/>
                          <w:lang w:val="en-US"/>
                        </w:rPr>
                        <w:t>Motlaq Amer Almarrani (Abu Emad )</w:t>
                      </w:r>
                    </w:p>
                    <w:p w14:paraId="06898565" w14:textId="77777777" w:rsidR="00A1624A" w:rsidRPr="004C6E88" w:rsidRDefault="00A1624A" w:rsidP="00EA7E88">
                      <w:pPr>
                        <w:jc w:val="center"/>
                        <w:rPr>
                          <w:rFonts w:asciiTheme="majorBidi" w:hAnsiTheme="majorBidi" w:cstheme="majorBidi"/>
                          <w:color w:val="FFFFFF" w:themeColor="background1"/>
                          <w:sz w:val="18"/>
                          <w:szCs w:val="18"/>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2384" behindDoc="0" locked="0" layoutInCell="1" allowOverlap="1" wp14:anchorId="3B278BFA" wp14:editId="7731BE7F">
                <wp:simplePos x="0" y="0"/>
                <wp:positionH relativeFrom="column">
                  <wp:posOffset>1960245</wp:posOffset>
                </wp:positionH>
                <wp:positionV relativeFrom="paragraph">
                  <wp:posOffset>914400</wp:posOffset>
                </wp:positionV>
                <wp:extent cx="1478915" cy="723900"/>
                <wp:effectExtent l="0" t="0" r="26035" b="19050"/>
                <wp:wrapNone/>
                <wp:docPr id="418" name="Rectangle 418"/>
                <wp:cNvGraphicFramePr/>
                <a:graphic xmlns:a="http://schemas.openxmlformats.org/drawingml/2006/main">
                  <a:graphicData uri="http://schemas.microsoft.com/office/word/2010/wordprocessingShape">
                    <wps:wsp>
                      <wps:cNvSpPr/>
                      <wps:spPr>
                        <a:xfrm>
                          <a:off x="0" y="0"/>
                          <a:ext cx="1478915" cy="723900"/>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78C85DAE"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39BED3A6"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68CA4F75" w14:textId="77777777" w:rsidR="00A1624A" w:rsidRPr="00E2276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78BFA" id="Rectangle 418" o:spid="_x0000_s1082" style="position:absolute;margin-left:154.35pt;margin-top:1in;width:116.45pt;height:5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" fillcolor="#2a4a85 [2152]" strokecolor="#41719c" strokeweight="1pt">
                <v:fill color2="#8eaadb [1944]" rotate="t" angle="180" colors="0 #2a4b86;31457f #4a76c6;1 #8faadc" focus="100%" type="gradient"/>
                <v:textbox>
                  <w:txbxContent>
                    <w:p w14:paraId="78C85DAE" w14:textId="77777777" w:rsidR="00A1624A" w:rsidRPr="00E22768" w:rsidRDefault="00A1624A" w:rsidP="00EA7E88">
                      <w:pPr>
                        <w:jc w:val="center"/>
                        <w:rPr>
                          <w:rFonts w:asciiTheme="majorBidi" w:hAnsiTheme="majorBidi" w:cstheme="majorBidi"/>
                          <w:lang w:val="en-US"/>
                        </w:rPr>
                      </w:pPr>
                      <w:r w:rsidRPr="00E22768">
                        <w:rPr>
                          <w:rFonts w:asciiTheme="majorBidi" w:hAnsiTheme="majorBidi" w:cstheme="majorBidi"/>
                          <w:color w:val="FFFFFF" w:themeColor="background1"/>
                          <w:lang w:val="en-US"/>
                        </w:rPr>
                        <w:t xml:space="preserve">National Security Bureau </w:t>
                      </w:r>
                    </w:p>
                    <w:p w14:paraId="39BED3A6" w14:textId="77777777" w:rsidR="00A1624A" w:rsidRPr="00283BF6" w:rsidRDefault="00A1624A" w:rsidP="00EA7E88">
                      <w:pPr>
                        <w:jc w:val="center"/>
                        <w:rPr>
                          <w:rFonts w:asciiTheme="majorBidi" w:hAnsiTheme="majorBidi" w:cstheme="majorBidi"/>
                          <w:color w:val="FFFFFF" w:themeColor="background1"/>
                          <w:sz w:val="18"/>
                          <w:szCs w:val="18"/>
                          <w:lang w:val="en-US"/>
                        </w:rPr>
                      </w:pPr>
                      <w:r w:rsidRPr="00283BF6">
                        <w:rPr>
                          <w:rFonts w:asciiTheme="majorBidi" w:hAnsiTheme="majorBidi" w:cstheme="majorBidi"/>
                          <w:color w:val="FFFFFF" w:themeColor="background1"/>
                          <w:sz w:val="18"/>
                          <w:szCs w:val="18"/>
                        </w:rPr>
                        <w:t>MG Fawaz Hussien Qaid Nashwan</w:t>
                      </w:r>
                    </w:p>
                    <w:p w14:paraId="68CA4F75" w14:textId="77777777" w:rsidR="00A1624A" w:rsidRPr="00E2276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31296" behindDoc="0" locked="0" layoutInCell="1" allowOverlap="1" wp14:anchorId="4A6615AF" wp14:editId="495AA4AE">
                <wp:simplePos x="0" y="0"/>
                <wp:positionH relativeFrom="column">
                  <wp:posOffset>971550</wp:posOffset>
                </wp:positionH>
                <wp:positionV relativeFrom="paragraph">
                  <wp:posOffset>4010025</wp:posOffset>
                </wp:positionV>
                <wp:extent cx="104775" cy="0"/>
                <wp:effectExtent l="38100" t="76200" r="9525" b="95250"/>
                <wp:wrapNone/>
                <wp:docPr id="419" name="Straight Arrow Connector 419"/>
                <wp:cNvGraphicFramePr/>
                <a:graphic xmlns:a="http://schemas.openxmlformats.org/drawingml/2006/main">
                  <a:graphicData uri="http://schemas.microsoft.com/office/word/2010/wordprocessingShape">
                    <wps:wsp>
                      <wps:cNvCnPr/>
                      <wps:spPr>
                        <a:xfrm flipH="1">
                          <a:off x="0" y="0"/>
                          <a:ext cx="1047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B7B2AB" id="Straight Arrow Connector 419" o:spid="_x0000_s1026" type="#_x0000_t32" style="position:absolute;margin-left:76.5pt;margin-top:315.75pt;width:8.25pt;height:0;flip:x;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2864" behindDoc="0" locked="0" layoutInCell="1" allowOverlap="1" wp14:anchorId="356C7357" wp14:editId="1C919910">
                <wp:simplePos x="0" y="0"/>
                <wp:positionH relativeFrom="column">
                  <wp:posOffset>1066800</wp:posOffset>
                </wp:positionH>
                <wp:positionV relativeFrom="paragraph">
                  <wp:posOffset>1657350</wp:posOffset>
                </wp:positionV>
                <wp:extent cx="9525" cy="2352675"/>
                <wp:effectExtent l="0" t="0" r="28575" b="28575"/>
                <wp:wrapNone/>
                <wp:docPr id="420" name="Straight Connector 420"/>
                <wp:cNvGraphicFramePr/>
                <a:graphic xmlns:a="http://schemas.openxmlformats.org/drawingml/2006/main">
                  <a:graphicData uri="http://schemas.microsoft.com/office/word/2010/wordprocessingShape">
                    <wps:wsp>
                      <wps:cNvCnPr/>
                      <wps:spPr>
                        <a:xfrm>
                          <a:off x="0" y="0"/>
                          <a:ext cx="9525" cy="2352675"/>
                        </a:xfrm>
                        <a:prstGeom prst="line">
                          <a:avLst/>
                        </a:prstGeom>
                        <a:ln>
                          <a:prstDash val="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720CB4" id="Straight Connector 420"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pt,130.5pt" to="84.75pt,3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" strokecolor="#5b9bd5 [3204]" strokeweight=".5pt">
                <v:stroke dashstyle="dashDot"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9792" behindDoc="0" locked="0" layoutInCell="1" allowOverlap="1" wp14:anchorId="18A9C718" wp14:editId="444793BF">
                <wp:simplePos x="0" y="0"/>
                <wp:positionH relativeFrom="column">
                  <wp:posOffset>312420</wp:posOffset>
                </wp:positionH>
                <wp:positionV relativeFrom="paragraph">
                  <wp:posOffset>4408170</wp:posOffset>
                </wp:positionV>
                <wp:extent cx="0" cy="224155"/>
                <wp:effectExtent l="76200" t="0" r="57150" b="61595"/>
                <wp:wrapNone/>
                <wp:docPr id="421" name="Straight Arrow Connector 421"/>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570C0807" id="Straight Arrow Connector 421" o:spid="_x0000_s1026" type="#_x0000_t32" style="position:absolute;margin-left:24.6pt;margin-top:347.1pt;width:0;height:17.65pt;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6480" behindDoc="0" locked="0" layoutInCell="1" allowOverlap="1" wp14:anchorId="08FBF0CA" wp14:editId="44512629">
                <wp:simplePos x="0" y="0"/>
                <wp:positionH relativeFrom="column">
                  <wp:posOffset>-333375</wp:posOffset>
                </wp:positionH>
                <wp:positionV relativeFrom="paragraph">
                  <wp:posOffset>4629150</wp:posOffset>
                </wp:positionV>
                <wp:extent cx="1304926" cy="676275"/>
                <wp:effectExtent l="0" t="0" r="28575" b="28575"/>
                <wp:wrapNone/>
                <wp:docPr id="422" name="Rectangle 422"/>
                <wp:cNvGraphicFramePr/>
                <a:graphic xmlns:a="http://schemas.openxmlformats.org/drawingml/2006/main">
                  <a:graphicData uri="http://schemas.microsoft.com/office/word/2010/wordprocessingShape">
                    <wps:wsp>
                      <wps:cNvSpPr/>
                      <wps:spPr>
                        <a:xfrm>
                          <a:off x="0" y="0"/>
                          <a:ext cx="1304926" cy="6762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12485BB" w14:textId="77777777" w:rsidR="00A1624A" w:rsidRPr="006604D8" w:rsidRDefault="00A1624A" w:rsidP="00EA7E88">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412B1978" w14:textId="77777777" w:rsidR="00A1624A" w:rsidRPr="006604D8"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BF0CA" id="Rectangle 422" o:spid="_x0000_s1083" style="position:absolute;margin-left:-26.25pt;margin-top:364.5pt;width:102.75pt;height:53.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" fillcolor="#1f4e79" strokecolor="#41719c" strokeweight="1pt">
                <v:textbox>
                  <w:txbxContent>
                    <w:p w14:paraId="112485BB" w14:textId="77777777" w:rsidR="00A1624A" w:rsidRPr="006604D8" w:rsidRDefault="00A1624A" w:rsidP="00EA7E88">
                      <w:pPr>
                        <w:spacing w:after="120"/>
                        <w:jc w:val="center"/>
                        <w:rPr>
                          <w:color w:val="FFFFFF" w:themeColor="background1"/>
                        </w:rPr>
                      </w:pPr>
                      <w:r w:rsidRPr="006604D8">
                        <w:rPr>
                          <w:rFonts w:asciiTheme="majorBidi" w:hAnsiTheme="majorBidi" w:cstheme="majorBidi"/>
                          <w:color w:val="FFFFFF" w:themeColor="background1"/>
                          <w:lang w:val="en-US"/>
                        </w:rPr>
                        <w:t>Intelligence Director</w:t>
                      </w:r>
                      <w:r w:rsidRPr="006604D8">
                        <w:rPr>
                          <w:color w:val="FFFFFF" w:themeColor="background1"/>
                        </w:rPr>
                        <w:t xml:space="preserve"> </w:t>
                      </w:r>
                      <w:r>
                        <w:rPr>
                          <w:color w:val="FFFFFF" w:themeColor="background1"/>
                          <w:sz w:val="18"/>
                          <w:szCs w:val="18"/>
                        </w:rPr>
                        <w:t>BG</w:t>
                      </w:r>
                      <w:r w:rsidRPr="006604D8">
                        <w:rPr>
                          <w:color w:val="FFFFFF" w:themeColor="background1"/>
                          <w:sz w:val="18"/>
                          <w:szCs w:val="18"/>
                        </w:rPr>
                        <w:t xml:space="preserve"> Ali Abu Haliqa</w:t>
                      </w:r>
                    </w:p>
                    <w:p w14:paraId="412B1978" w14:textId="77777777" w:rsidR="00A1624A" w:rsidRPr="006604D8"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0816" behindDoc="0" locked="0" layoutInCell="1" allowOverlap="1" wp14:anchorId="7831D63F" wp14:editId="2AF5298C">
                <wp:simplePos x="0" y="0"/>
                <wp:positionH relativeFrom="column">
                  <wp:posOffset>313690</wp:posOffset>
                </wp:positionH>
                <wp:positionV relativeFrom="paragraph">
                  <wp:posOffset>3507105</wp:posOffset>
                </wp:positionV>
                <wp:extent cx="0" cy="224155"/>
                <wp:effectExtent l="76200" t="0" r="57150" b="61595"/>
                <wp:wrapNone/>
                <wp:docPr id="423" name="Straight Arrow Connector 423"/>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08B58904" id="Straight Arrow Connector 423" o:spid="_x0000_s1026" type="#_x0000_t32" style="position:absolute;margin-left:24.7pt;margin-top:276.15pt;width:0;height:17.65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" strokecolor="#5b9bd5"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5456" behindDoc="0" locked="0" layoutInCell="1" allowOverlap="1" wp14:anchorId="1A47A0AD" wp14:editId="48EBC4E5">
                <wp:simplePos x="0" y="0"/>
                <wp:positionH relativeFrom="column">
                  <wp:posOffset>-334588</wp:posOffset>
                </wp:positionH>
                <wp:positionV relativeFrom="paragraph">
                  <wp:posOffset>3724275</wp:posOffset>
                </wp:positionV>
                <wp:extent cx="1288302" cy="684530"/>
                <wp:effectExtent l="0" t="0" r="26670" b="20320"/>
                <wp:wrapNone/>
                <wp:docPr id="424" name="Rectangle 424"/>
                <wp:cNvGraphicFramePr/>
                <a:graphic xmlns:a="http://schemas.openxmlformats.org/drawingml/2006/main">
                  <a:graphicData uri="http://schemas.microsoft.com/office/word/2010/wordprocessingShape">
                    <wps:wsp>
                      <wps:cNvSpPr/>
                      <wps:spPr>
                        <a:xfrm>
                          <a:off x="0" y="0"/>
                          <a:ext cx="1288302" cy="68453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2DEF6257" w14:textId="77777777" w:rsidR="00A1624A" w:rsidRPr="00F011F8" w:rsidRDefault="00A1624A" w:rsidP="00EA7E88">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7A0AD" id="Rectangle 424" o:spid="_x0000_s1084" style="position:absolute;margin-left:-26.35pt;margin-top:293.25pt;width:101.45pt;height:53.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" fillcolor="#1f4e79" strokecolor="#41719c" strokeweight="1pt">
                <v:textbox>
                  <w:txbxContent>
                    <w:p w14:paraId="2DEF6257" w14:textId="77777777" w:rsidR="00A1624A" w:rsidRPr="00F011F8" w:rsidRDefault="00A1624A" w:rsidP="00EA7E88">
                      <w:pPr>
                        <w:jc w:val="center"/>
                        <w:rPr>
                          <w:rFonts w:asciiTheme="majorBidi" w:hAnsiTheme="majorBidi" w:cstheme="majorBidi"/>
                          <w:color w:val="FFFFFF" w:themeColor="background1"/>
                          <w:sz w:val="14"/>
                          <w:szCs w:val="14"/>
                          <w:lang w:val="en-US"/>
                        </w:rPr>
                      </w:pPr>
                      <w:r w:rsidRPr="00F011F8">
                        <w:rPr>
                          <w:rFonts w:asciiTheme="majorBidi" w:hAnsiTheme="majorBidi" w:cstheme="majorBidi"/>
                          <w:color w:val="FFFFFF" w:themeColor="background1"/>
                          <w:sz w:val="16"/>
                          <w:szCs w:val="16"/>
                          <w:lang w:val="en-US"/>
                        </w:rPr>
                        <w:t xml:space="preserve">Chief of Mil. Intelligence </w:t>
                      </w:r>
                      <w:r>
                        <w:rPr>
                          <w:rFonts w:asciiTheme="majorBidi" w:hAnsiTheme="majorBidi" w:cstheme="majorBidi"/>
                          <w:color w:val="FFFFFF" w:themeColor="background1"/>
                          <w:sz w:val="14"/>
                          <w:szCs w:val="14"/>
                          <w:lang w:val="en-US"/>
                        </w:rPr>
                        <w:t>MG</w:t>
                      </w:r>
                      <w:r w:rsidRPr="00F011F8">
                        <w:rPr>
                          <w:rFonts w:asciiTheme="majorBidi" w:hAnsiTheme="majorBidi" w:cstheme="majorBidi"/>
                          <w:color w:val="FFFFFF" w:themeColor="background1"/>
                          <w:sz w:val="14"/>
                          <w:szCs w:val="14"/>
                          <w:lang w:val="en-US"/>
                        </w:rPr>
                        <w:t xml:space="preserve"> Abdullah Yahya al-Hakim ( Abu Ali )</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9008" behindDoc="0" locked="0" layoutInCell="1" allowOverlap="1" wp14:anchorId="17ED59F0" wp14:editId="07A01060">
                <wp:simplePos x="0" y="0"/>
                <wp:positionH relativeFrom="column">
                  <wp:posOffset>309245</wp:posOffset>
                </wp:positionH>
                <wp:positionV relativeFrom="paragraph">
                  <wp:posOffset>2557780</wp:posOffset>
                </wp:positionV>
                <wp:extent cx="0" cy="223520"/>
                <wp:effectExtent l="76200" t="0" r="57150" b="62230"/>
                <wp:wrapNone/>
                <wp:docPr id="425" name="Straight Arrow Connector 425"/>
                <wp:cNvGraphicFramePr/>
                <a:graphic xmlns:a="http://schemas.openxmlformats.org/drawingml/2006/main">
                  <a:graphicData uri="http://schemas.microsoft.com/office/word/2010/wordprocessingShape">
                    <wps:wsp>
                      <wps:cNvCnPr/>
                      <wps:spPr>
                        <a:xfrm>
                          <a:off x="0" y="0"/>
                          <a:ext cx="0" cy="2235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E37FA" id="Straight Arrow Connector 425" o:spid="_x0000_s1026" type="#_x0000_t32" style="position:absolute;margin-left:24.35pt;margin-top:201.4pt;width:0;height:17.6pt;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4432" behindDoc="0" locked="0" layoutInCell="1" allowOverlap="1" wp14:anchorId="22A0F198" wp14:editId="136108F9">
                <wp:simplePos x="0" y="0"/>
                <wp:positionH relativeFrom="column">
                  <wp:posOffset>-335802</wp:posOffset>
                </wp:positionH>
                <wp:positionV relativeFrom="paragraph">
                  <wp:posOffset>2800350</wp:posOffset>
                </wp:positionV>
                <wp:extent cx="1271680" cy="704850"/>
                <wp:effectExtent l="0" t="0" r="24130" b="19050"/>
                <wp:wrapNone/>
                <wp:docPr id="426" name="Rectangle 426"/>
                <wp:cNvGraphicFramePr/>
                <a:graphic xmlns:a="http://schemas.openxmlformats.org/drawingml/2006/main">
                  <a:graphicData uri="http://schemas.microsoft.com/office/word/2010/wordprocessingShape">
                    <wps:wsp>
                      <wps:cNvSpPr/>
                      <wps:spPr>
                        <a:xfrm>
                          <a:off x="0" y="0"/>
                          <a:ext cx="1271680" cy="70485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33912697"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62823C68"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0F198" id="Rectangle 426" o:spid="_x0000_s1085" style="position:absolute;margin-left:-26.45pt;margin-top:220.5pt;width:100.15pt;height:5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" fillcolor="#1f4e79" strokecolor="#41719c" strokeweight="1pt">
                <v:textbox>
                  <w:txbxContent>
                    <w:p w14:paraId="33912697" w14:textId="77777777" w:rsidR="00A1624A" w:rsidRPr="004C6E88" w:rsidRDefault="00A1624A" w:rsidP="00EA7E88">
                      <w:pPr>
                        <w:jc w:val="center"/>
                        <w:rPr>
                          <w:rFonts w:asciiTheme="majorBidi" w:hAnsiTheme="majorBidi" w:cstheme="majorBidi"/>
                          <w:color w:val="FFFFFF" w:themeColor="background1"/>
                          <w:lang w:val="en" w:bidi="ar-LB"/>
                        </w:rPr>
                      </w:pPr>
                      <w:r w:rsidRPr="004C6E88">
                        <w:rPr>
                          <w:rFonts w:asciiTheme="majorBidi" w:hAnsiTheme="majorBidi" w:cstheme="majorBidi"/>
                          <w:color w:val="FFFFFF" w:themeColor="background1"/>
                          <w:lang w:val="en" w:bidi="ar-LB"/>
                        </w:rPr>
                        <w:t>Deputy Chief of General Staff</w:t>
                      </w:r>
                    </w:p>
                    <w:p w14:paraId="62823C68" w14:textId="77777777" w:rsidR="00A1624A" w:rsidRPr="005B77EE" w:rsidRDefault="00A1624A" w:rsidP="00EA7E88">
                      <w:pPr>
                        <w:jc w:val="center"/>
                        <w:rPr>
                          <w:rFonts w:asciiTheme="majorBidi" w:hAnsiTheme="majorBidi" w:cstheme="majorBidi"/>
                          <w:color w:val="FFFFFF" w:themeColor="background1"/>
                          <w:sz w:val="18"/>
                          <w:szCs w:val="18"/>
                          <w:lang w:val="en-US"/>
                        </w:rPr>
                      </w:pPr>
                      <w:r>
                        <w:rPr>
                          <w:rFonts w:asciiTheme="majorBidi" w:hAnsiTheme="majorBidi" w:cstheme="majorBidi"/>
                          <w:color w:val="FFFFFF" w:themeColor="background1"/>
                          <w:sz w:val="18"/>
                          <w:szCs w:val="18"/>
                          <w:lang w:val="en" w:bidi="ar-LB"/>
                        </w:rPr>
                        <w:t>MG</w:t>
                      </w:r>
                      <w:r w:rsidRPr="005B77EE">
                        <w:rPr>
                          <w:rFonts w:asciiTheme="majorBidi" w:hAnsiTheme="majorBidi" w:cstheme="majorBidi"/>
                          <w:color w:val="FFFFFF" w:themeColor="background1"/>
                          <w:sz w:val="18"/>
                          <w:szCs w:val="18"/>
                          <w:lang w:val="en" w:bidi="ar-LB"/>
                        </w:rPr>
                        <w:t xml:space="preserve"> Ali Hamud al-Mushki</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8768" behindDoc="0" locked="0" layoutInCell="1" allowOverlap="1" wp14:anchorId="0CA1E724" wp14:editId="3A2D09C6">
                <wp:simplePos x="0" y="0"/>
                <wp:positionH relativeFrom="column">
                  <wp:posOffset>306705</wp:posOffset>
                </wp:positionH>
                <wp:positionV relativeFrom="paragraph">
                  <wp:posOffset>1654175</wp:posOffset>
                </wp:positionV>
                <wp:extent cx="0" cy="224155"/>
                <wp:effectExtent l="76200" t="0" r="57150" b="61595"/>
                <wp:wrapNone/>
                <wp:docPr id="427" name="Straight Arrow Connector 427"/>
                <wp:cNvGraphicFramePr/>
                <a:graphic xmlns:a="http://schemas.openxmlformats.org/drawingml/2006/main">
                  <a:graphicData uri="http://schemas.microsoft.com/office/word/2010/wordprocessingShape">
                    <wps:wsp>
                      <wps:cNvCnPr/>
                      <wps:spPr>
                        <a:xfrm>
                          <a:off x="0" y="0"/>
                          <a:ext cx="0" cy="2241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EC59B3" id="Straight Arrow Connector 427" o:spid="_x0000_s1026" type="#_x0000_t32" style="position:absolute;margin-left:24.15pt;margin-top:130.25pt;width:0;height:17.65pt;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2624" behindDoc="0" locked="0" layoutInCell="1" allowOverlap="1" wp14:anchorId="6CDCC585" wp14:editId="6C92824A">
                <wp:simplePos x="0" y="0"/>
                <wp:positionH relativeFrom="column">
                  <wp:posOffset>-335802</wp:posOffset>
                </wp:positionH>
                <wp:positionV relativeFrom="paragraph">
                  <wp:posOffset>1885950</wp:posOffset>
                </wp:positionV>
                <wp:extent cx="1271680" cy="688340"/>
                <wp:effectExtent l="0" t="0" r="24130" b="16510"/>
                <wp:wrapNone/>
                <wp:docPr id="428" name="Rectangle 428"/>
                <wp:cNvGraphicFramePr/>
                <a:graphic xmlns:a="http://schemas.openxmlformats.org/drawingml/2006/main">
                  <a:graphicData uri="http://schemas.microsoft.com/office/word/2010/wordprocessingShape">
                    <wps:wsp>
                      <wps:cNvSpPr/>
                      <wps:spPr>
                        <a:xfrm>
                          <a:off x="0" y="0"/>
                          <a:ext cx="1271680" cy="68834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6F7D348F"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315655D3" w14:textId="77777777" w:rsidR="00A1624A" w:rsidRPr="00E85538" w:rsidRDefault="00A1624A" w:rsidP="00EA7E88">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CC585" id="Rectangle 428" o:spid="_x0000_s1086" style="position:absolute;margin-left:-26.45pt;margin-top:148.5pt;width:100.15pt;height:54.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" fillcolor="#1f4e79" strokecolor="#41719c" strokeweight="1pt">
                <v:textbox>
                  <w:txbxContent>
                    <w:p w14:paraId="6F7D348F" w14:textId="77777777" w:rsidR="00A1624A" w:rsidRPr="004C6E88" w:rsidRDefault="00A1624A" w:rsidP="00EA7E88">
                      <w:pPr>
                        <w:jc w:val="center"/>
                        <w:rPr>
                          <w:rFonts w:asciiTheme="majorBidi" w:hAnsiTheme="majorBidi" w:cstheme="majorBidi"/>
                          <w:color w:val="FFFFFF" w:themeColor="background1"/>
                          <w:lang w:val="en-US"/>
                        </w:rPr>
                      </w:pPr>
                      <w:r w:rsidRPr="004C6E88">
                        <w:rPr>
                          <w:rFonts w:asciiTheme="majorBidi" w:hAnsiTheme="majorBidi" w:cstheme="majorBidi"/>
                          <w:color w:val="FFFFFF" w:themeColor="background1"/>
                          <w:lang w:val="en-US"/>
                        </w:rPr>
                        <w:t>Chief of General Staff</w:t>
                      </w:r>
                    </w:p>
                    <w:p w14:paraId="315655D3" w14:textId="77777777" w:rsidR="00A1624A" w:rsidRPr="00E85538" w:rsidRDefault="00A1624A" w:rsidP="00EA7E88">
                      <w:pPr>
                        <w:jc w:val="center"/>
                        <w:rPr>
                          <w:rFonts w:asciiTheme="majorBidi" w:hAnsiTheme="majorBidi" w:cstheme="majorBidi"/>
                          <w:color w:val="FFFFFF" w:themeColor="background1"/>
                          <w:sz w:val="14"/>
                          <w:szCs w:val="14"/>
                          <w:lang w:val="en-US"/>
                        </w:rPr>
                      </w:pPr>
                      <w:r>
                        <w:rPr>
                          <w:rFonts w:asciiTheme="majorBidi" w:hAnsiTheme="majorBidi" w:cstheme="majorBidi"/>
                          <w:color w:val="FFFFFF" w:themeColor="background1"/>
                          <w:sz w:val="14"/>
                          <w:szCs w:val="14"/>
                          <w:lang w:val="en-US"/>
                        </w:rPr>
                        <w:t>MG</w:t>
                      </w:r>
                      <w:r w:rsidRPr="00E85538">
                        <w:rPr>
                          <w:rFonts w:asciiTheme="majorBidi" w:hAnsiTheme="majorBidi" w:cstheme="majorBidi"/>
                          <w:color w:val="FFFFFF" w:themeColor="background1"/>
                          <w:sz w:val="14"/>
                          <w:szCs w:val="14"/>
                          <w:lang w:val="en-US"/>
                        </w:rPr>
                        <w:t xml:space="preserve"> Mohammed Abdulkarim al-Ghumari</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6960" behindDoc="0" locked="0" layoutInCell="1" allowOverlap="1" wp14:anchorId="4B9D3E34" wp14:editId="6A682B54">
                <wp:simplePos x="0" y="0"/>
                <wp:positionH relativeFrom="column">
                  <wp:posOffset>4038600</wp:posOffset>
                </wp:positionH>
                <wp:positionV relativeFrom="paragraph">
                  <wp:posOffset>561975</wp:posOffset>
                </wp:positionV>
                <wp:extent cx="45719" cy="3648075"/>
                <wp:effectExtent l="19050" t="0" r="31115" b="47625"/>
                <wp:wrapNone/>
                <wp:docPr id="429" name="Down Arrow 429"/>
                <wp:cNvGraphicFramePr/>
                <a:graphic xmlns:a="http://schemas.openxmlformats.org/drawingml/2006/main">
                  <a:graphicData uri="http://schemas.microsoft.com/office/word/2010/wordprocessingShape">
                    <wps:wsp>
                      <wps:cNvSpPr/>
                      <wps:spPr>
                        <a:xfrm>
                          <a:off x="0" y="0"/>
                          <a:ext cx="45719" cy="36480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4FB85A" id="Down Arrow 429" o:spid="_x0000_s1026" type="#_x0000_t67" style="position:absolute;margin-left:318pt;margin-top:44.25pt;width:3.6pt;height:287.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" adj="21465" fillcolor="#5b9bd5 [3204]" strokecolor="#1f4d78 [1604]" strokeweight="1p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1056" behindDoc="0" locked="0" layoutInCell="1" allowOverlap="1" wp14:anchorId="39531892" wp14:editId="43E277D3">
                <wp:simplePos x="0" y="0"/>
                <wp:positionH relativeFrom="column">
                  <wp:posOffset>4619625</wp:posOffset>
                </wp:positionH>
                <wp:positionV relativeFrom="paragraph">
                  <wp:posOffset>3552190</wp:posOffset>
                </wp:positionV>
                <wp:extent cx="1205230" cy="419100"/>
                <wp:effectExtent l="0" t="0" r="13970" b="19050"/>
                <wp:wrapNone/>
                <wp:docPr id="430" name="Rectangle 430"/>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6D51D22"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31892" id="Rectangle 430" o:spid="_x0000_s1087" style="position:absolute;margin-left:363.75pt;margin-top:279.7pt;width:94.9pt;height:3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" fillcolor="#5b9bd5" strokecolor="#41719c" strokeweight="1pt">
                <v:textbox>
                  <w:txbxContent>
                    <w:p w14:paraId="76D51D22"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 xml:space="preserve">Detention </w:t>
                      </w:r>
                      <w:r>
                        <w:rPr>
                          <w:rFonts w:asciiTheme="majorBidi" w:hAnsiTheme="majorBidi" w:cstheme="majorBidi"/>
                          <w:color w:val="FFFFFF" w:themeColor="background1"/>
                          <w:sz w:val="18"/>
                          <w:szCs w:val="18"/>
                          <w:lang w:val="en-US"/>
                        </w:rPr>
                        <w:t>Centers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3104" behindDoc="0" locked="0" layoutInCell="1" allowOverlap="1" wp14:anchorId="621BAADF" wp14:editId="5A772951">
                <wp:simplePos x="0" y="0"/>
                <wp:positionH relativeFrom="column">
                  <wp:posOffset>5796280</wp:posOffset>
                </wp:positionH>
                <wp:positionV relativeFrom="paragraph">
                  <wp:posOffset>3749675</wp:posOffset>
                </wp:positionV>
                <wp:extent cx="460375" cy="0"/>
                <wp:effectExtent l="38100" t="76200" r="0" b="95250"/>
                <wp:wrapNone/>
                <wp:docPr id="431" name="Straight Arrow Connector 431"/>
                <wp:cNvGraphicFramePr/>
                <a:graphic xmlns:a="http://schemas.openxmlformats.org/drawingml/2006/main">
                  <a:graphicData uri="http://schemas.microsoft.com/office/word/2010/wordprocessingShape">
                    <wps:wsp>
                      <wps:cNvCnPr/>
                      <wps:spPr>
                        <a:xfrm flipH="1">
                          <a:off x="0" y="0"/>
                          <a:ext cx="4603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A65891" id="Straight Arrow Connector 431" o:spid="_x0000_s1026" type="#_x0000_t32" style="position:absolute;margin-left:456.4pt;margin-top:295.25pt;width:36.25pt;height:0;flip:x;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5936" behindDoc="0" locked="0" layoutInCell="1" allowOverlap="1" wp14:anchorId="2878EF61" wp14:editId="428425BE">
                <wp:simplePos x="0" y="0"/>
                <wp:positionH relativeFrom="column">
                  <wp:posOffset>6238875</wp:posOffset>
                </wp:positionH>
                <wp:positionV relativeFrom="paragraph">
                  <wp:posOffset>1266824</wp:posOffset>
                </wp:positionV>
                <wp:extent cx="8255" cy="2486025"/>
                <wp:effectExtent l="0" t="0" r="29845" b="28575"/>
                <wp:wrapNone/>
                <wp:docPr id="432" name="Straight Connector 432"/>
                <wp:cNvGraphicFramePr/>
                <a:graphic xmlns:a="http://schemas.openxmlformats.org/drawingml/2006/main">
                  <a:graphicData uri="http://schemas.microsoft.com/office/word/2010/wordprocessingShape">
                    <wps:wsp>
                      <wps:cNvCnPr/>
                      <wps:spPr>
                        <a:xfrm>
                          <a:off x="0" y="0"/>
                          <a:ext cx="8255" cy="2486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7D5057" id="Straight Connector 432"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1.25pt,99.75pt" to="491.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0032" behindDoc="0" locked="0" layoutInCell="1" allowOverlap="1" wp14:anchorId="62A8CB21" wp14:editId="00859A6B">
                <wp:simplePos x="0" y="0"/>
                <wp:positionH relativeFrom="column">
                  <wp:posOffset>4610100</wp:posOffset>
                </wp:positionH>
                <wp:positionV relativeFrom="paragraph">
                  <wp:posOffset>2837815</wp:posOffset>
                </wp:positionV>
                <wp:extent cx="1205230" cy="419100"/>
                <wp:effectExtent l="0" t="0" r="13970" b="19050"/>
                <wp:wrapNone/>
                <wp:docPr id="433" name="Rectangle 433"/>
                <wp:cNvGraphicFramePr/>
                <a:graphic xmlns:a="http://schemas.openxmlformats.org/drawingml/2006/main">
                  <a:graphicData uri="http://schemas.microsoft.com/office/word/2010/wordprocessingShape">
                    <wps:wsp>
                      <wps:cNvSpPr/>
                      <wps:spPr>
                        <a:xfrm>
                          <a:off x="0" y="0"/>
                          <a:ext cx="1205230" cy="419100"/>
                        </a:xfrm>
                        <a:prstGeom prst="rect">
                          <a:avLst/>
                        </a:prstGeom>
                        <a:solidFill>
                          <a:srgbClr val="5B9BD5"/>
                        </a:solidFill>
                        <a:ln w="12700" cap="flat" cmpd="sng" algn="ctr">
                          <a:solidFill>
                            <a:srgbClr val="5B9BD5">
                              <a:shade val="50000"/>
                            </a:srgbClr>
                          </a:solidFill>
                          <a:prstDash val="solid"/>
                          <a:miter lim="800000"/>
                        </a:ln>
                        <a:effectLst/>
                      </wps:spPr>
                      <wps:txbx>
                        <w:txbxContent>
                          <w:p w14:paraId="68044AB1"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8CB21" id="Rectangle 433" o:spid="_x0000_s1088" style="position:absolute;margin-left:363pt;margin-top:223.45pt;width:94.9pt;height:33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" fillcolor="#5b9bd5" strokecolor="#41719c" strokeweight="1pt">
                <v:textbox>
                  <w:txbxContent>
                    <w:p w14:paraId="68044AB1" w14:textId="77777777" w:rsidR="00A1624A" w:rsidRPr="004C6E88" w:rsidRDefault="00A1624A" w:rsidP="00EA7E88">
                      <w:pPr>
                        <w:jc w:val="center"/>
                        <w:rPr>
                          <w:rFonts w:asciiTheme="majorBidi" w:hAnsiTheme="majorBidi" w:cstheme="majorBidi"/>
                          <w:color w:val="FFFFFF" w:themeColor="background1"/>
                          <w:sz w:val="18"/>
                          <w:szCs w:val="18"/>
                          <w:lang w:val="en-US"/>
                        </w:rPr>
                      </w:pPr>
                      <w:r>
                        <w:rPr>
                          <w:color w:val="FFFFFF" w:themeColor="background1"/>
                          <w:sz w:val="18"/>
                          <w:szCs w:val="18"/>
                          <w:lang w:val="en-US"/>
                        </w:rPr>
                        <w:t>Central Prisons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2080" behindDoc="0" locked="0" layoutInCell="1" allowOverlap="1" wp14:anchorId="20819DCA" wp14:editId="278F1A96">
                <wp:simplePos x="0" y="0"/>
                <wp:positionH relativeFrom="column">
                  <wp:posOffset>5805805</wp:posOffset>
                </wp:positionH>
                <wp:positionV relativeFrom="paragraph">
                  <wp:posOffset>3038475</wp:posOffset>
                </wp:positionV>
                <wp:extent cx="442595" cy="0"/>
                <wp:effectExtent l="38100" t="76200" r="0" b="95250"/>
                <wp:wrapNone/>
                <wp:docPr id="434" name="Straight Arrow Connector 434"/>
                <wp:cNvGraphicFramePr/>
                <a:graphic xmlns:a="http://schemas.openxmlformats.org/drawingml/2006/main">
                  <a:graphicData uri="http://schemas.microsoft.com/office/word/2010/wordprocessingShape">
                    <wps:wsp>
                      <wps:cNvCnPr/>
                      <wps:spPr>
                        <a:xfrm flipH="1">
                          <a:off x="0" y="0"/>
                          <a:ext cx="44259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8ECBE9" id="Straight Arrow Connector 434" o:spid="_x0000_s1026" type="#_x0000_t32" style="position:absolute;margin-left:457.15pt;margin-top:239.25pt;width:34.85pt;height:0;flip:x;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30272" behindDoc="0" locked="0" layoutInCell="1" allowOverlap="1" wp14:anchorId="37FBC76B" wp14:editId="511E2AAD">
                <wp:simplePos x="0" y="0"/>
                <wp:positionH relativeFrom="column">
                  <wp:posOffset>3333750</wp:posOffset>
                </wp:positionH>
                <wp:positionV relativeFrom="paragraph">
                  <wp:posOffset>3829050</wp:posOffset>
                </wp:positionV>
                <wp:extent cx="509270" cy="0"/>
                <wp:effectExtent l="38100" t="76200" r="0" b="95250"/>
                <wp:wrapNone/>
                <wp:docPr id="435" name="Straight Arrow Connector 435"/>
                <wp:cNvGraphicFramePr/>
                <a:graphic xmlns:a="http://schemas.openxmlformats.org/drawingml/2006/main">
                  <a:graphicData uri="http://schemas.microsoft.com/office/word/2010/wordprocessingShape">
                    <wps:wsp>
                      <wps:cNvCnPr/>
                      <wps:spPr>
                        <a:xfrm flipH="1">
                          <a:off x="0" y="0"/>
                          <a:ext cx="50927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E1C8506" id="Straight Arrow Connector 435" o:spid="_x0000_s1026" type="#_x0000_t32" style="position:absolute;margin-left:262.5pt;margin-top:301.5pt;width:40.1pt;height:0;flip:x;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9248" behindDoc="0" locked="0" layoutInCell="1" allowOverlap="1" wp14:anchorId="0D580611" wp14:editId="04ED7E24">
                <wp:simplePos x="0" y="0"/>
                <wp:positionH relativeFrom="column">
                  <wp:posOffset>3310255</wp:posOffset>
                </wp:positionH>
                <wp:positionV relativeFrom="paragraph">
                  <wp:posOffset>3095625</wp:posOffset>
                </wp:positionV>
                <wp:extent cx="528320" cy="0"/>
                <wp:effectExtent l="38100" t="76200" r="0" b="95250"/>
                <wp:wrapNone/>
                <wp:docPr id="436" name="Straight Arrow Connector 436"/>
                <wp:cNvGraphicFramePr/>
                <a:graphic xmlns:a="http://schemas.openxmlformats.org/drawingml/2006/main">
                  <a:graphicData uri="http://schemas.microsoft.com/office/word/2010/wordprocessingShape">
                    <wps:wsp>
                      <wps:cNvCnPr/>
                      <wps:spPr>
                        <a:xfrm flipH="1">
                          <a:off x="0" y="0"/>
                          <a:ext cx="5283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AB4C69" id="Straight Arrow Connector 436" o:spid="_x0000_s1026" type="#_x0000_t32" style="position:absolute;margin-left:260.65pt;margin-top:243.75pt;width:41.6pt;height:0;flip:x;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8224" behindDoc="0" locked="0" layoutInCell="1" allowOverlap="1" wp14:anchorId="260CD4E4" wp14:editId="554FEFF1">
                <wp:simplePos x="0" y="0"/>
                <wp:positionH relativeFrom="column">
                  <wp:posOffset>3838575</wp:posOffset>
                </wp:positionH>
                <wp:positionV relativeFrom="paragraph">
                  <wp:posOffset>1266824</wp:posOffset>
                </wp:positionV>
                <wp:extent cx="0" cy="2562225"/>
                <wp:effectExtent l="0" t="0" r="19050" b="28575"/>
                <wp:wrapNone/>
                <wp:docPr id="437" name="Straight Connector 437"/>
                <wp:cNvGraphicFramePr/>
                <a:graphic xmlns:a="http://schemas.openxmlformats.org/drawingml/2006/main">
                  <a:graphicData uri="http://schemas.microsoft.com/office/word/2010/wordprocessingShape">
                    <wps:wsp>
                      <wps:cNvCnPr/>
                      <wps:spPr>
                        <a:xfrm>
                          <a:off x="0" y="0"/>
                          <a:ext cx="0" cy="256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373817" id="Straight Connector 437"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302.25pt,99.75pt" to="302.25pt,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" strokecolor="#5b9bd5 [3204]" strokeweight=".5pt">
                <v:stroke joinstyle="miter"/>
              </v:lin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27200" behindDoc="0" locked="0" layoutInCell="1" allowOverlap="1" wp14:anchorId="76B4C478" wp14:editId="0FE21A38">
                <wp:simplePos x="0" y="0"/>
                <wp:positionH relativeFrom="column">
                  <wp:posOffset>5083810</wp:posOffset>
                </wp:positionH>
                <wp:positionV relativeFrom="paragraph">
                  <wp:posOffset>1619250</wp:posOffset>
                </wp:positionV>
                <wp:extent cx="0" cy="323850"/>
                <wp:effectExtent l="76200" t="0" r="76200" b="57150"/>
                <wp:wrapNone/>
                <wp:docPr id="236" name="Straight Arrow Connector 236"/>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006C26" id="Straight Arrow Connector 236" o:spid="_x0000_s1026" type="#_x0000_t32" style="position:absolute;margin-left:400.3pt;margin-top:127.5pt;width:0;height:25.5pt;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" strokecolor="#5b9bd5 [3204]"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7744" behindDoc="0" locked="0" layoutInCell="1" allowOverlap="1" wp14:anchorId="70149C19" wp14:editId="61B56F67">
                <wp:simplePos x="0" y="0"/>
                <wp:positionH relativeFrom="column">
                  <wp:posOffset>5034915</wp:posOffset>
                </wp:positionH>
                <wp:positionV relativeFrom="paragraph">
                  <wp:posOffset>557530</wp:posOffset>
                </wp:positionV>
                <wp:extent cx="45085" cy="337820"/>
                <wp:effectExtent l="19050" t="0" r="31115" b="43180"/>
                <wp:wrapNone/>
                <wp:docPr id="438" name="Down Arrow 438"/>
                <wp:cNvGraphicFramePr/>
                <a:graphic xmlns:a="http://schemas.openxmlformats.org/drawingml/2006/main">
                  <a:graphicData uri="http://schemas.microsoft.com/office/word/2010/wordprocessingShape">
                    <wps:wsp>
                      <wps:cNvSpPr/>
                      <wps:spPr>
                        <a:xfrm>
                          <a:off x="0" y="0"/>
                          <a:ext cx="45085" cy="33782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57AB75" id="Down Arrow 438" o:spid="_x0000_s1026" type="#_x0000_t67" style="position:absolute;margin-left:396.45pt;margin-top:43.9pt;width:3.55pt;height:26.6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" adj="20159" fillcolor="#5b9bd5" strokecolor="#41719c"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3648" behindDoc="0" locked="0" layoutInCell="1" allowOverlap="1" wp14:anchorId="087FBA3B" wp14:editId="27182DEB">
                <wp:simplePos x="0" y="0"/>
                <wp:positionH relativeFrom="column">
                  <wp:posOffset>3314700</wp:posOffset>
                </wp:positionH>
                <wp:positionV relativeFrom="paragraph">
                  <wp:posOffset>5029199</wp:posOffset>
                </wp:positionV>
                <wp:extent cx="1333500" cy="690245"/>
                <wp:effectExtent l="0" t="0" r="19050" b="14605"/>
                <wp:wrapNone/>
                <wp:docPr id="439" name="Rectangle 439"/>
                <wp:cNvGraphicFramePr/>
                <a:graphic xmlns:a="http://schemas.openxmlformats.org/drawingml/2006/main">
                  <a:graphicData uri="http://schemas.microsoft.com/office/word/2010/wordprocessingShape">
                    <wps:wsp>
                      <wps:cNvSpPr/>
                      <wps:spPr>
                        <a:xfrm>
                          <a:off x="0" y="0"/>
                          <a:ext cx="1333500" cy="69024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5F82EF83"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D2B5D0A"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FBA3B" id="Rectangle 439" o:spid="_x0000_s1089" style="position:absolute;margin-left:261pt;margin-top:396pt;width:105pt;height:54.3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" fillcolor="#1f4e79" strokecolor="#41719c" strokeweight="1pt">
                <v:textbox>
                  <w:txbxContent>
                    <w:p w14:paraId="5F82EF83"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 xml:space="preserve">PSO Deputy </w:t>
                      </w:r>
                    </w:p>
                    <w:p w14:paraId="3D2B5D0A" w14:textId="77777777" w:rsidR="00A1624A" w:rsidRPr="00754A8E" w:rsidRDefault="00A1624A" w:rsidP="00EA7E88">
                      <w:pPr>
                        <w:jc w:val="center"/>
                        <w:rPr>
                          <w:rFonts w:asciiTheme="majorBidi" w:hAnsiTheme="majorBidi" w:cstheme="majorBidi"/>
                          <w:color w:val="FFFFFF" w:themeColor="background1"/>
                          <w:sz w:val="18"/>
                          <w:szCs w:val="18"/>
                          <w:lang w:val="en-US"/>
                        </w:rPr>
                      </w:pPr>
                      <w:r w:rsidRPr="00754A8E">
                        <w:rPr>
                          <w:rFonts w:asciiTheme="majorBidi" w:hAnsiTheme="majorBidi" w:cstheme="majorBidi"/>
                          <w:color w:val="FFFFFF" w:themeColor="background1"/>
                          <w:sz w:val="18"/>
                          <w:szCs w:val="18"/>
                          <w:lang w:val="en-US"/>
                        </w:rPr>
                        <w:t>Mohamed Dhaifallah Abu Kathem</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17984" behindDoc="0" locked="0" layoutInCell="1" allowOverlap="1" wp14:anchorId="65A66AF5" wp14:editId="3C6229FF">
                <wp:simplePos x="0" y="0"/>
                <wp:positionH relativeFrom="column">
                  <wp:posOffset>4089400</wp:posOffset>
                </wp:positionH>
                <wp:positionV relativeFrom="paragraph">
                  <wp:posOffset>4796155</wp:posOffset>
                </wp:positionV>
                <wp:extent cx="0" cy="224155"/>
                <wp:effectExtent l="76200" t="0" r="57150" b="61595"/>
                <wp:wrapNone/>
                <wp:docPr id="440" name="Straight Arrow Connector 440"/>
                <wp:cNvGraphicFramePr/>
                <a:graphic xmlns:a="http://schemas.openxmlformats.org/drawingml/2006/main">
                  <a:graphicData uri="http://schemas.microsoft.com/office/word/2010/wordprocessingShape">
                    <wps:wsp>
                      <wps:cNvCnPr/>
                      <wps:spPr>
                        <a:xfrm>
                          <a:off x="0" y="0"/>
                          <a:ext cx="0" cy="224155"/>
                        </a:xfrm>
                        <a:prstGeom prst="straightConnector1">
                          <a:avLst/>
                        </a:prstGeom>
                        <a:noFill/>
                        <a:ln w="6350" cap="flat" cmpd="sng" algn="ctr">
                          <a:solidFill>
                            <a:srgbClr val="5B9BD5"/>
                          </a:solidFill>
                          <a:prstDash val="solid"/>
                          <a:miter lim="800000"/>
                          <a:tailEnd type="triangle"/>
                        </a:ln>
                        <a:effectLst/>
                      </wps:spPr>
                      <wps:bodyPr/>
                    </wps:wsp>
                  </a:graphicData>
                </a:graphic>
              </wp:anchor>
            </w:drawing>
          </mc:Choice>
          <mc:Fallback>
            <w:pict>
              <v:shape w14:anchorId="49BD4CC0" id="Straight Arrow Connector 440" o:spid="_x0000_s1026" type="#_x0000_t32" style="position:absolute;margin-left:322pt;margin-top:377.65pt;width:0;height:17.65pt;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" strokecolor="#5b9bd5" strokeweight=".5pt">
                <v:stroke endarrow="block" joinstyle="miter"/>
              </v:shap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93408" behindDoc="0" locked="0" layoutInCell="1" allowOverlap="1" wp14:anchorId="1CF1F22E" wp14:editId="08E4A0B0">
                <wp:simplePos x="0" y="0"/>
                <wp:positionH relativeFrom="column">
                  <wp:posOffset>3295650</wp:posOffset>
                </wp:positionH>
                <wp:positionV relativeFrom="paragraph">
                  <wp:posOffset>4200525</wp:posOffset>
                </wp:positionV>
                <wp:extent cx="1352550" cy="600075"/>
                <wp:effectExtent l="0" t="0" r="19050" b="28575"/>
                <wp:wrapNone/>
                <wp:docPr id="441" name="Rectangle 441"/>
                <wp:cNvGraphicFramePr/>
                <a:graphic xmlns:a="http://schemas.openxmlformats.org/drawingml/2006/main">
                  <a:graphicData uri="http://schemas.microsoft.com/office/word/2010/wordprocessingShape">
                    <wps:wsp>
                      <wps:cNvSpPr/>
                      <wps:spPr>
                        <a:xfrm>
                          <a:off x="0" y="0"/>
                          <a:ext cx="1352550" cy="600075"/>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7F70FFEB"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2D16CB4A"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5E81A588" w14:textId="77777777" w:rsidR="00A1624A" w:rsidRPr="00CB4684" w:rsidRDefault="00A1624A" w:rsidP="00EA7E88">
                            <w:pPr>
                              <w:jc w:val="center"/>
                              <w:rPr>
                                <w:rFonts w:asciiTheme="majorBidi" w:hAnsiTheme="majorBidi" w:cstheme="majorBidi"/>
                                <w:color w:val="FFFFFF" w:themeColor="background1"/>
                              </w:rPr>
                            </w:pPr>
                          </w:p>
                          <w:p w14:paraId="2EB82F78" w14:textId="77777777" w:rsidR="00A1624A" w:rsidRPr="00CB4684" w:rsidRDefault="00A1624A" w:rsidP="00EA7E88">
                            <w:pPr>
                              <w:jc w:val="center"/>
                              <w:rPr>
                                <w:rFonts w:asciiTheme="majorBidi" w:hAnsiTheme="majorBidi" w:cstheme="majorBidi"/>
                                <w:color w:val="FFFFFF" w:themeColor="background1"/>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1F22E" id="Rectangle 441" o:spid="_x0000_s1090" style="position:absolute;margin-left:259.5pt;margin-top:330.75pt;width:106.5pt;height:47.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" fillcolor="#1f4e79" strokecolor="#41719c" strokeweight="1pt">
                <v:textbox>
                  <w:txbxContent>
                    <w:p w14:paraId="7F70FFEB" w14:textId="77777777" w:rsidR="00A1624A" w:rsidRPr="009623F1" w:rsidRDefault="00A1624A" w:rsidP="00EA7E88">
                      <w:pPr>
                        <w:jc w:val="center"/>
                        <w:rPr>
                          <w:rFonts w:asciiTheme="majorBidi" w:hAnsiTheme="majorBidi" w:cstheme="majorBidi"/>
                          <w:lang w:bidi="ar-JO"/>
                        </w:rPr>
                      </w:pPr>
                      <w:r w:rsidRPr="009623F1">
                        <w:rPr>
                          <w:rFonts w:asciiTheme="majorBidi" w:hAnsiTheme="majorBidi" w:cstheme="majorBidi"/>
                          <w:color w:val="FFFFFF" w:themeColor="background1"/>
                          <w:sz w:val="18"/>
                          <w:szCs w:val="18"/>
                          <w:lang w:val="en-US"/>
                        </w:rPr>
                        <w:t xml:space="preserve">Political Security Org. </w:t>
                      </w:r>
                    </w:p>
                    <w:p w14:paraId="2D16CB4A" w14:textId="77777777" w:rsidR="00A1624A" w:rsidRPr="009623F1" w:rsidRDefault="00A1624A" w:rsidP="00EA7E88">
                      <w:pPr>
                        <w:suppressAutoHyphens w:val="0"/>
                        <w:spacing w:after="160" w:line="259" w:lineRule="auto"/>
                        <w:jc w:val="center"/>
                        <w:rPr>
                          <w:rFonts w:asciiTheme="majorBidi" w:hAnsiTheme="majorBidi" w:cstheme="majorBidi"/>
                          <w:color w:val="FFFFFF" w:themeColor="background1"/>
                          <w:sz w:val="18"/>
                          <w:szCs w:val="18"/>
                        </w:rPr>
                      </w:pPr>
                      <w:r w:rsidRPr="009623F1">
                        <w:rPr>
                          <w:rFonts w:asciiTheme="majorBidi" w:hAnsiTheme="majorBidi" w:cstheme="majorBidi"/>
                          <w:color w:val="FFFFFF" w:themeColor="background1"/>
                          <w:sz w:val="18"/>
                          <w:szCs w:val="18"/>
                        </w:rPr>
                        <w:t>MG Abdulqader Ahmad Qassem Al Shami</w:t>
                      </w:r>
                    </w:p>
                    <w:p w14:paraId="5E81A588" w14:textId="77777777" w:rsidR="00A1624A" w:rsidRPr="00CB4684" w:rsidRDefault="00A1624A" w:rsidP="00EA7E88">
                      <w:pPr>
                        <w:jc w:val="center"/>
                        <w:rPr>
                          <w:rFonts w:asciiTheme="majorBidi" w:hAnsiTheme="majorBidi" w:cstheme="majorBidi"/>
                          <w:color w:val="FFFFFF" w:themeColor="background1"/>
                        </w:rPr>
                      </w:pPr>
                    </w:p>
                    <w:p w14:paraId="2EB82F78" w14:textId="77777777" w:rsidR="00A1624A" w:rsidRPr="00CB4684" w:rsidRDefault="00A1624A" w:rsidP="00EA7E88">
                      <w:pPr>
                        <w:jc w:val="center"/>
                        <w:rPr>
                          <w:rFonts w:asciiTheme="majorBidi" w:hAnsiTheme="majorBidi" w:cstheme="majorBidi"/>
                          <w:color w:val="FFFFFF" w:themeColor="background1"/>
                          <w:lang w:val="en-US"/>
                        </w:rPr>
                      </w:pP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25152" behindDoc="0" locked="0" layoutInCell="1" allowOverlap="1" wp14:anchorId="45F52879" wp14:editId="691E8E0F">
                <wp:simplePos x="0" y="0"/>
                <wp:positionH relativeFrom="column">
                  <wp:posOffset>2667000</wp:posOffset>
                </wp:positionH>
                <wp:positionV relativeFrom="paragraph">
                  <wp:posOffset>1628775</wp:posOffset>
                </wp:positionV>
                <wp:extent cx="0" cy="276225"/>
                <wp:effectExtent l="76200" t="0" r="57150" b="47625"/>
                <wp:wrapNone/>
                <wp:docPr id="442" name="Straight Arrow Connector 442"/>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F1A9DC" id="Straight Arrow Connector 442" o:spid="_x0000_s1026" type="#_x0000_t32" style="position:absolute;margin-left:210pt;margin-top:128.25pt;width:0;height:21.75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" strokecolor="#5b9bd5 [3204]" strokeweight=".5pt">
                <v:stroke endarrow="block" joinstyle="miter"/>
              </v:shape>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7504" behindDoc="0" locked="0" layoutInCell="1" allowOverlap="1" wp14:anchorId="543CC910" wp14:editId="3AFA4F11">
                <wp:simplePos x="0" y="0"/>
                <wp:positionH relativeFrom="column">
                  <wp:posOffset>2105025</wp:posOffset>
                </wp:positionH>
                <wp:positionV relativeFrom="paragraph">
                  <wp:posOffset>2895600</wp:posOffset>
                </wp:positionV>
                <wp:extent cx="1205230" cy="419100"/>
                <wp:effectExtent l="0" t="0" r="13970" b="19050"/>
                <wp:wrapNone/>
                <wp:docPr id="443" name="Rectangle 443"/>
                <wp:cNvGraphicFramePr/>
                <a:graphic xmlns:a="http://schemas.openxmlformats.org/drawingml/2006/main">
                  <a:graphicData uri="http://schemas.microsoft.com/office/word/2010/wordprocessingShape">
                    <wps:wsp>
                      <wps:cNvSpPr/>
                      <wps:spPr>
                        <a:xfrm>
                          <a:off x="0" y="0"/>
                          <a:ext cx="1205230" cy="4191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40EE96A3"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3CC910" id="Rectangle 443" o:spid="_x0000_s1091" style="position:absolute;margin-left:165.75pt;margin-top:228pt;width:94.9pt;height:3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" fillcolor="#5b9bd5 [3204]" strokecolor="#1f4d78 [1604]" strokeweight="1pt">
                <v:textbox>
                  <w:txbxContent>
                    <w:p w14:paraId="40EE96A3"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color w:val="FFFFFF" w:themeColor="background1"/>
                          <w:sz w:val="18"/>
                          <w:szCs w:val="18"/>
                          <w:lang w:val="en-US"/>
                        </w:rPr>
                        <w:t>NS</w:t>
                      </w:r>
                      <w:r>
                        <w:rPr>
                          <w:color w:val="FFFFFF" w:themeColor="background1"/>
                          <w:sz w:val="18"/>
                          <w:szCs w:val="18"/>
                          <w:lang w:val="en-US"/>
                        </w:rPr>
                        <w:t>B</w:t>
                      </w:r>
                      <w:r w:rsidRPr="004C6E88">
                        <w:rPr>
                          <w:color w:val="FFFFFF" w:themeColor="background1"/>
                          <w:sz w:val="18"/>
                          <w:szCs w:val="18"/>
                          <w:lang w:val="en-US"/>
                        </w:rPr>
                        <w:t xml:space="preserve"> </w:t>
                      </w:r>
                      <w:r w:rsidRPr="004C6E88">
                        <w:rPr>
                          <w:rFonts w:asciiTheme="majorBidi" w:hAnsiTheme="majorBidi" w:cstheme="majorBidi"/>
                          <w:color w:val="FFFFFF" w:themeColor="background1"/>
                          <w:sz w:val="18"/>
                          <w:szCs w:val="18"/>
                          <w:lang w:val="en-US"/>
                        </w:rPr>
                        <w:t>Official Detention Facilities</w:t>
                      </w:r>
                    </w:p>
                  </w:txbxContent>
                </v:textbox>
              </v:rec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798528" behindDoc="0" locked="0" layoutInCell="1" allowOverlap="1" wp14:anchorId="2FB81A5D" wp14:editId="44D83DCC">
                <wp:simplePos x="0" y="0"/>
                <wp:positionH relativeFrom="column">
                  <wp:posOffset>2124075</wp:posOffset>
                </wp:positionH>
                <wp:positionV relativeFrom="paragraph">
                  <wp:posOffset>3638550</wp:posOffset>
                </wp:positionV>
                <wp:extent cx="1209675" cy="400050"/>
                <wp:effectExtent l="0" t="0" r="28575" b="19050"/>
                <wp:wrapNone/>
                <wp:docPr id="444" name="Rectangle 444"/>
                <wp:cNvGraphicFramePr/>
                <a:graphic xmlns:a="http://schemas.openxmlformats.org/drawingml/2006/main">
                  <a:graphicData uri="http://schemas.microsoft.com/office/word/2010/wordprocessingShape">
                    <wps:wsp>
                      <wps:cNvSpPr/>
                      <wps:spPr>
                        <a:xfrm>
                          <a:off x="0" y="0"/>
                          <a:ext cx="1209675" cy="400050"/>
                        </a:xfrm>
                        <a:prstGeom prst="rect">
                          <a:avLst/>
                        </a:prstGeom>
                        <a:solidFill>
                          <a:srgbClr val="5B9BD5"/>
                        </a:solidFill>
                        <a:ln w="12700" cap="flat" cmpd="sng" algn="ctr">
                          <a:solidFill>
                            <a:srgbClr val="5B9BD5">
                              <a:shade val="50000"/>
                            </a:srgbClr>
                          </a:solidFill>
                          <a:prstDash val="solid"/>
                          <a:miter lim="800000"/>
                        </a:ln>
                        <a:effectLst/>
                      </wps:spPr>
                      <wps:txbx>
                        <w:txbxContent>
                          <w:p w14:paraId="0AE1F40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81A5D" id="Rectangle 444" o:spid="_x0000_s1092" style="position:absolute;margin-left:167.25pt;margin-top:286.5pt;width:95.25pt;height:3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" fillcolor="#5b9bd5" strokecolor="#41719c" strokeweight="1pt">
                <v:textbox>
                  <w:txbxContent>
                    <w:p w14:paraId="0AE1F400" w14:textId="77777777" w:rsidR="00A1624A" w:rsidRPr="004C6E88" w:rsidRDefault="00A1624A" w:rsidP="00EA7E88">
                      <w:pPr>
                        <w:jc w:val="center"/>
                        <w:rPr>
                          <w:rFonts w:asciiTheme="majorBidi" w:hAnsiTheme="majorBidi" w:cstheme="majorBidi"/>
                          <w:color w:val="FFFFFF" w:themeColor="background1"/>
                          <w:sz w:val="18"/>
                          <w:szCs w:val="18"/>
                          <w:lang w:val="en-US"/>
                        </w:rPr>
                      </w:pPr>
                      <w:r w:rsidRPr="004C6E88">
                        <w:rPr>
                          <w:rFonts w:asciiTheme="majorBidi" w:hAnsiTheme="majorBidi" w:cstheme="majorBidi"/>
                          <w:color w:val="FFFFFF" w:themeColor="background1"/>
                          <w:sz w:val="18"/>
                          <w:szCs w:val="18"/>
                          <w:lang w:val="en-US"/>
                        </w:rPr>
                        <w:t>Unregistered Detention Facilities</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783168" behindDoc="0" locked="0" layoutInCell="1" allowOverlap="1" wp14:anchorId="36C7970C" wp14:editId="21FA7C55">
                <wp:simplePos x="0" y="0"/>
                <wp:positionH relativeFrom="column">
                  <wp:posOffset>-495300</wp:posOffset>
                </wp:positionH>
                <wp:positionV relativeFrom="paragraph">
                  <wp:posOffset>914400</wp:posOffset>
                </wp:positionV>
                <wp:extent cx="1562100" cy="7524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562100" cy="752475"/>
                        </a:xfrm>
                        <a:prstGeom prst="rect">
                          <a:avLst/>
                        </a:prstGeom>
                        <a:gradFill flip="none" rotWithShape="1">
                          <a:gsLst>
                            <a:gs pos="0">
                              <a:schemeClr val="accent5">
                                <a:lumMod val="67000"/>
                              </a:schemeClr>
                            </a:gs>
                            <a:gs pos="48000">
                              <a:schemeClr val="accent5">
                                <a:lumMod val="97000"/>
                                <a:lumOff val="3000"/>
                              </a:schemeClr>
                            </a:gs>
                            <a:gs pos="100000">
                              <a:schemeClr val="accent5">
                                <a:lumMod val="60000"/>
                                <a:lumOff val="40000"/>
                              </a:schemeClr>
                            </a:gs>
                          </a:gsLst>
                          <a:lin ang="16200000" scaled="1"/>
                          <a:tileRect/>
                        </a:gradFill>
                        <a:ln w="12700" cap="flat" cmpd="sng" algn="ctr">
                          <a:solidFill>
                            <a:srgbClr val="5B9BD5">
                              <a:shade val="50000"/>
                            </a:srgbClr>
                          </a:solidFill>
                          <a:prstDash val="solid"/>
                          <a:miter lim="800000"/>
                        </a:ln>
                        <a:effectLst/>
                      </wps:spPr>
                      <wps:txbx>
                        <w:txbxContent>
                          <w:p w14:paraId="3CF9D10A"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56D54B44"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C7970C" id="Rectangle 445" o:spid="_x0000_s1093" style="position:absolute;margin-left:-39pt;margin-top:1in;width:123pt;height:59.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" fillcolor="#2a4a85 [2152]" strokecolor="#41719c" strokeweight="1pt">
                <v:fill color2="#8eaadb [1944]" rotate="t" angle="180" colors="0 #2a4b86;31457f #4a76c6;1 #8faadc" focus="100%" type="gradient"/>
                <v:textbox>
                  <w:txbxContent>
                    <w:p w14:paraId="3CF9D10A" w14:textId="77777777" w:rsidR="00A1624A" w:rsidRPr="00FB31DC" w:rsidRDefault="00A1624A" w:rsidP="00EA7E88">
                      <w:pPr>
                        <w:jc w:val="center"/>
                        <w:rPr>
                          <w:rFonts w:asciiTheme="majorBidi" w:hAnsiTheme="majorBidi" w:cstheme="majorBidi"/>
                          <w:color w:val="FFFFFF" w:themeColor="background1"/>
                          <w:sz w:val="24"/>
                          <w:szCs w:val="24"/>
                        </w:rPr>
                      </w:pPr>
                      <w:r w:rsidRPr="00FB31DC">
                        <w:rPr>
                          <w:rFonts w:asciiTheme="majorBidi" w:hAnsiTheme="majorBidi" w:cstheme="majorBidi"/>
                          <w:color w:val="FFFFFF" w:themeColor="background1"/>
                          <w:sz w:val="24"/>
                          <w:szCs w:val="24"/>
                          <w:lang w:bidi="ar-LB"/>
                        </w:rPr>
                        <w:t xml:space="preserve">Minister of Defence </w:t>
                      </w:r>
                      <w:r w:rsidRPr="00FB31DC">
                        <w:rPr>
                          <w:rFonts w:asciiTheme="majorBidi" w:hAnsiTheme="majorBidi" w:cstheme="majorBidi"/>
                          <w:color w:val="FFFFFF" w:themeColor="background1"/>
                          <w:sz w:val="24"/>
                          <w:szCs w:val="24"/>
                        </w:rPr>
                        <w:t>MG Mohammed Nasser al-Atifi</w:t>
                      </w:r>
                    </w:p>
                    <w:p w14:paraId="56D54B44" w14:textId="77777777" w:rsidR="00A1624A" w:rsidRPr="00EB2536" w:rsidRDefault="00A1624A" w:rsidP="00EA7E88">
                      <w:pPr>
                        <w:jc w:val="center"/>
                        <w:rPr>
                          <w:rFonts w:asciiTheme="majorBidi" w:hAnsiTheme="majorBidi" w:cstheme="majorBidi"/>
                          <w:color w:val="FFFFFF" w:themeColor="background1"/>
                          <w:sz w:val="16"/>
                          <w:szCs w:val="16"/>
                          <w:lang w:val="en-US"/>
                        </w:rPr>
                      </w:pPr>
                      <w:r w:rsidRPr="00EB2536">
                        <w:rPr>
                          <w:rFonts w:asciiTheme="majorBidi" w:hAnsiTheme="majorBidi" w:cstheme="majorBidi"/>
                          <w:color w:val="FFFFFF" w:themeColor="background1"/>
                          <w:sz w:val="16"/>
                          <w:szCs w:val="16"/>
                          <w:lang w:bidi="ar-LB"/>
                        </w:rPr>
                        <w:t xml:space="preserve"> </w:t>
                      </w:r>
                    </w:p>
                  </w:txbxContent>
                </v:textbox>
              </v:rec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6720" behindDoc="0" locked="0" layoutInCell="1" allowOverlap="1" wp14:anchorId="21807B9C" wp14:editId="5912C206">
                <wp:simplePos x="0" y="0"/>
                <wp:positionH relativeFrom="column">
                  <wp:posOffset>468630</wp:posOffset>
                </wp:positionH>
                <wp:positionV relativeFrom="paragraph">
                  <wp:posOffset>569595</wp:posOffset>
                </wp:positionV>
                <wp:extent cx="45085" cy="337820"/>
                <wp:effectExtent l="19050" t="0" r="31115" b="43180"/>
                <wp:wrapNone/>
                <wp:docPr id="446" name="Down Arrow 446"/>
                <wp:cNvGraphicFramePr/>
                <a:graphic xmlns:a="http://schemas.openxmlformats.org/drawingml/2006/main">
                  <a:graphicData uri="http://schemas.microsoft.com/office/word/2010/wordprocessingShape">
                    <wps:wsp>
                      <wps:cNvSpPr/>
                      <wps:spPr>
                        <a:xfrm>
                          <a:off x="0" y="0"/>
                          <a:ext cx="45085" cy="33782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88D09C" id="Down Arrow 446" o:spid="_x0000_s1026" type="#_x0000_t67" style="position:absolute;margin-left:36.9pt;margin-top:44.85pt;width:3.55pt;height:26.6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" adj="20159" fillcolor="#5b9bd5 [3204]" strokecolor="#1f4d78 [1604]" strokeweight="1pt"/>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5696" behindDoc="0" locked="0" layoutInCell="1" allowOverlap="1" wp14:anchorId="3FAA3C6B" wp14:editId="00DC9F5B">
                <wp:simplePos x="0" y="0"/>
                <wp:positionH relativeFrom="column">
                  <wp:posOffset>468630</wp:posOffset>
                </wp:positionH>
                <wp:positionV relativeFrom="paragraph">
                  <wp:posOffset>549910</wp:posOffset>
                </wp:positionV>
                <wp:extent cx="4617720" cy="7620"/>
                <wp:effectExtent l="19050" t="19050" r="30480" b="30480"/>
                <wp:wrapNone/>
                <wp:docPr id="447" name="Straight Connector 447"/>
                <wp:cNvGraphicFramePr/>
                <a:graphic xmlns:a="http://schemas.openxmlformats.org/drawingml/2006/main">
                  <a:graphicData uri="http://schemas.microsoft.com/office/word/2010/wordprocessingShape">
                    <wps:wsp>
                      <wps:cNvCnPr/>
                      <wps:spPr>
                        <a:xfrm flipV="1">
                          <a:off x="0" y="0"/>
                          <a:ext cx="4617720" cy="7620"/>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A22C68" id="Straight Connector 447" o:spid="_x0000_s1026" style="position:absolute;flip:y;z-index:251805696;visibility:visible;mso-wrap-style:square;mso-wrap-distance-left:9pt;mso-wrap-distance-top:0;mso-wrap-distance-right:9pt;mso-wrap-distance-bottom:0;mso-position-horizontal:absolute;mso-position-horizontal-relative:text;mso-position-vertical:absolute;mso-position-vertical-relative:text" from="36.9pt,43.3pt" to="400.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" strokecolor="#5b9bd5 [3204]" strokeweight="2.5pt">
                <v:stroke joinstyle="miter"/>
              </v:line>
            </w:pict>
          </mc:Fallback>
        </mc:AlternateContent>
      </w:r>
      <w:r w:rsidRPr="00B91FAE">
        <w:rPr>
          <w:rFonts w:asciiTheme="majorBidi" w:hAnsiTheme="majorBidi" w:cstheme="majorBidi"/>
          <w:noProof/>
          <w:sz w:val="16"/>
          <w:szCs w:val="16"/>
          <w:lang w:eastAsia="en-GB"/>
        </w:rPr>
        <mc:AlternateContent>
          <mc:Choice Requires="wps">
            <w:drawing>
              <wp:anchor distT="0" distB="0" distL="114300" distR="114300" simplePos="0" relativeHeight="251804672" behindDoc="0" locked="0" layoutInCell="1" allowOverlap="1" wp14:anchorId="2ADA084D" wp14:editId="097D4C31">
                <wp:simplePos x="0" y="0"/>
                <wp:positionH relativeFrom="column">
                  <wp:posOffset>2664460</wp:posOffset>
                </wp:positionH>
                <wp:positionV relativeFrom="paragraph">
                  <wp:posOffset>306070</wp:posOffset>
                </wp:positionV>
                <wp:extent cx="45085" cy="589915"/>
                <wp:effectExtent l="19050" t="0" r="31115" b="38735"/>
                <wp:wrapNone/>
                <wp:docPr id="448" name="Down Arrow 448"/>
                <wp:cNvGraphicFramePr/>
                <a:graphic xmlns:a="http://schemas.openxmlformats.org/drawingml/2006/main">
                  <a:graphicData uri="http://schemas.microsoft.com/office/word/2010/wordprocessingShape">
                    <wps:wsp>
                      <wps:cNvSpPr/>
                      <wps:spPr>
                        <a:xfrm flipH="1">
                          <a:off x="0" y="0"/>
                          <a:ext cx="45085" cy="58991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C4B0E" id="Down Arrow 448" o:spid="_x0000_s1026" type="#_x0000_t67" style="position:absolute;margin-left:209.8pt;margin-top:24.1pt;width:3.55pt;height:46.45pt;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" adj="20775" fillcolor="#5b9bd5 [3204]" strokecolor="#1f4d78 [1604]" strokeweight="1pt"/>
            </w:pict>
          </mc:Fallback>
        </mc:AlternateContent>
      </w:r>
      <w:r w:rsidRPr="00B91FAE">
        <w:rPr>
          <w:rFonts w:asciiTheme="majorBidi" w:hAnsiTheme="majorBidi" w:cstheme="majorBidi"/>
          <w:noProof/>
          <w:lang w:eastAsia="en-GB"/>
        </w:rPr>
        <mc:AlternateContent>
          <mc:Choice Requires="wps">
            <w:drawing>
              <wp:anchor distT="0" distB="0" distL="114300" distR="114300" simplePos="0" relativeHeight="251813888" behindDoc="0" locked="0" layoutInCell="1" allowOverlap="1" wp14:anchorId="26E0A717" wp14:editId="1376F0CB">
                <wp:simplePos x="0" y="0"/>
                <wp:positionH relativeFrom="column">
                  <wp:posOffset>4867275</wp:posOffset>
                </wp:positionH>
                <wp:positionV relativeFrom="paragraph">
                  <wp:posOffset>8410575</wp:posOffset>
                </wp:positionV>
                <wp:extent cx="1282700" cy="476250"/>
                <wp:effectExtent l="0" t="0" r="12700" b="19050"/>
                <wp:wrapNone/>
                <wp:docPr id="449" name="Rounded Rectangle 449"/>
                <wp:cNvGraphicFramePr/>
                <a:graphic xmlns:a="http://schemas.openxmlformats.org/drawingml/2006/main">
                  <a:graphicData uri="http://schemas.microsoft.com/office/word/2010/wordprocessingShape">
                    <wps:wsp>
                      <wps:cNvSpPr/>
                      <wps:spPr>
                        <a:xfrm>
                          <a:off x="0" y="0"/>
                          <a:ext cx="1282700" cy="476250"/>
                        </a:xfrm>
                        <a:prstGeom prst="roundRect">
                          <a:avLst/>
                        </a:prstGeom>
                        <a:solidFill>
                          <a:srgbClr val="5B9BD5"/>
                        </a:solidFill>
                        <a:ln w="12700" cap="flat" cmpd="sng" algn="ctr">
                          <a:solidFill>
                            <a:srgbClr val="5B9BD5">
                              <a:shade val="50000"/>
                            </a:srgbClr>
                          </a:solidFill>
                          <a:prstDash val="solid"/>
                          <a:miter lim="800000"/>
                        </a:ln>
                        <a:effectLst/>
                      </wps:spPr>
                      <wps:txbx>
                        <w:txbxContent>
                          <w:p w14:paraId="7B31AFE0"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3C3530F1"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E0A717" id="Rounded Rectangle 449" o:spid="_x0000_s1094" style="position:absolute;margin-left:383.25pt;margin-top:662.25pt;width:101pt;height:3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" fillcolor="#5b9bd5" strokecolor="#41719c" strokeweight="1pt">
                <v:stroke joinstyle="miter"/>
                <v:textbox>
                  <w:txbxContent>
                    <w:p w14:paraId="7B31AFE0" w14:textId="77777777" w:rsidR="00A1624A" w:rsidRPr="00CB4684" w:rsidRDefault="00A1624A" w:rsidP="00EA7E88">
                      <w:pPr>
                        <w:jc w:val="center"/>
                        <w:rPr>
                          <w:color w:val="FFFFFF" w:themeColor="background1"/>
                          <w:lang w:val="en-US"/>
                        </w:rPr>
                      </w:pPr>
                      <w:r w:rsidRPr="00CB4684">
                        <w:rPr>
                          <w:color w:val="FFFFFF" w:themeColor="background1"/>
                          <w:lang w:val="en-US"/>
                        </w:rPr>
                        <w:t>PSO Detention Center</w:t>
                      </w:r>
                    </w:p>
                    <w:p w14:paraId="3C3530F1" w14:textId="77777777" w:rsidR="00A1624A" w:rsidRPr="00CB4684" w:rsidRDefault="00A1624A" w:rsidP="00EA7E88">
                      <w:pPr>
                        <w:jc w:val="center"/>
                        <w:rPr>
                          <w:color w:val="FFFFFF" w:themeColor="background1"/>
                          <w:rtl/>
                          <w:lang w:val="en-US" w:bidi="ar-JO"/>
                        </w:rPr>
                      </w:pPr>
                      <w:r w:rsidRPr="00CB4684">
                        <w:rPr>
                          <w:color w:val="FFFFFF" w:themeColor="background1"/>
                          <w:lang w:val="en-US"/>
                        </w:rPr>
                        <w:t>MG Al Shami</w:t>
                      </w:r>
                    </w:p>
                  </w:txbxContent>
                </v:textbox>
              </v:roundrect>
            </w:pict>
          </mc:Fallback>
        </mc:AlternateContent>
      </w:r>
    </w:p>
    <w:p w14:paraId="0AFB17D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21CA2F51" w14:textId="77777777" w:rsidR="004639AE" w:rsidRDefault="004639AE" w:rsidP="004639AE">
      <w:pPr>
        <w:pStyle w:val="Heading2"/>
        <w:rPr>
          <w:b/>
          <w:bCs/>
          <w:sz w:val="28"/>
          <w:szCs w:val="28"/>
        </w:rPr>
      </w:pPr>
      <w:bookmarkStart w:id="41" w:name="_Toc18155916"/>
      <w:r>
        <w:rPr>
          <w:b/>
          <w:bCs/>
          <w:sz w:val="28"/>
          <w:szCs w:val="28"/>
        </w:rPr>
        <w:lastRenderedPageBreak/>
        <w:t>Annex II</w:t>
      </w:r>
    </w:p>
    <w:p w14:paraId="6486003A" w14:textId="1F34C26A" w:rsidR="004639AE" w:rsidRPr="004639AE" w:rsidRDefault="004639AE" w:rsidP="004639AE">
      <w:pPr>
        <w:pStyle w:val="H1G"/>
      </w:pPr>
      <w:r>
        <w:rPr>
          <w:bCs/>
          <w:sz w:val="28"/>
          <w:szCs w:val="28"/>
        </w:rPr>
        <w:tab/>
      </w:r>
      <w:r>
        <w:rPr>
          <w:bCs/>
          <w:sz w:val="28"/>
          <w:szCs w:val="28"/>
        </w:rPr>
        <w:tab/>
      </w:r>
      <w:bookmarkEnd w:id="41"/>
      <w:r w:rsidRPr="004639AE">
        <w:t>S</w:t>
      </w:r>
      <w:r w:rsidRPr="004639AE">
        <w:rPr>
          <w:rStyle w:val="H1GChar"/>
          <w:b/>
        </w:rPr>
        <w:t>elected communications with parties related to access restrictions</w:t>
      </w:r>
    </w:p>
    <w:p w14:paraId="1618DADF"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C33A11D">
          <v:shape id="_x0000_i1028" type="#_x0000_t75" style="width:505.5pt;height:505.5pt" o:ole="">
            <v:imagedata r:id="rId32" o:title=""/>
          </v:shape>
          <o:OLEObject Type="Embed" ProgID="FoxitReader.Document" ShapeID="_x0000_i1028" DrawAspect="Content" ObjectID="_1629606227" r:id="rId33"/>
        </w:object>
      </w:r>
    </w:p>
    <w:p w14:paraId="529155CE"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2C95B3E7"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06236642" w14:textId="77777777" w:rsidR="00EA7E88" w:rsidRPr="00B91FAE" w:rsidRDefault="00EA7E88" w:rsidP="00EA7E88">
      <w:pPr>
        <w:suppressAutoHyphens w:val="0"/>
        <w:spacing w:line="240" w:lineRule="auto"/>
        <w:ind w:left="-567"/>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3B8BAEB">
          <v:shape id="_x0000_i1029" type="#_x0000_t75" style="width:502.5pt;height:502.5pt" o:ole="">
            <v:imagedata r:id="rId34" o:title=""/>
          </v:shape>
          <o:OLEObject Type="Embed" ProgID="FoxitReader.Document" ShapeID="_x0000_i1029" DrawAspect="Content" ObjectID="_1629606228" r:id="rId35"/>
        </w:object>
      </w:r>
    </w:p>
    <w:p w14:paraId="1716B471"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5D150AF2"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0B51D317" w14:textId="77777777" w:rsidR="00EA7E88" w:rsidRPr="00B91FAE" w:rsidRDefault="00EA7E88" w:rsidP="00EA7E88">
      <w:pPr>
        <w:suppressAutoHyphens w:val="0"/>
        <w:spacing w:line="240" w:lineRule="auto"/>
        <w:ind w:left="-567" w:right="1134"/>
        <w:rPr>
          <w:rFonts w:asciiTheme="majorBidi" w:hAnsiTheme="majorBidi" w:cstheme="majorBidi"/>
          <w:b/>
          <w:bCs/>
          <w:sz w:val="28"/>
          <w:szCs w:val="28"/>
        </w:rPr>
      </w:pPr>
    </w:p>
    <w:p w14:paraId="5D1BBF6B" w14:textId="77777777" w:rsidR="00EA7E88" w:rsidRPr="00B91FAE" w:rsidRDefault="00EA7E88" w:rsidP="00EA7E88">
      <w:pPr>
        <w:suppressAutoHyphens w:val="0"/>
        <w:spacing w:line="240" w:lineRule="auto"/>
        <w:ind w:left="-284" w:right="1134"/>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30E773B5">
          <v:shape id="_x0000_i1030" type="#_x0000_t75" style="width:498pt;height:498pt" o:ole="">
            <v:imagedata r:id="rId36" o:title=""/>
          </v:shape>
          <o:OLEObject Type="Embed" ProgID="FoxitReader.Document" ShapeID="_x0000_i1030" DrawAspect="Content" ObjectID="_1629606229" r:id="rId37"/>
        </w:object>
      </w:r>
    </w:p>
    <w:p w14:paraId="0C8B5034"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r w:rsidRPr="00B91FAE">
        <w:rPr>
          <w:rFonts w:asciiTheme="majorBidi" w:hAnsiTheme="majorBidi" w:cstheme="majorBidi"/>
          <w:b/>
          <w:bCs/>
          <w:sz w:val="28"/>
          <w:szCs w:val="28"/>
        </w:rPr>
        <w:object w:dxaOrig="4320" w:dyaOrig="4320" w14:anchorId="3A4EB248">
          <v:shape id="_x0000_i1031" type="#_x0000_t75" style="width:480.75pt;height:480.75pt" o:ole="">
            <v:imagedata r:id="rId38" o:title=""/>
          </v:shape>
          <o:OLEObject Type="Embed" ProgID="FoxitReader.Document" ShapeID="_x0000_i1031" DrawAspect="Content" ObjectID="_1629606230" r:id="rId39"/>
        </w:object>
      </w:r>
      <w:r w:rsidRPr="00B91FAE">
        <w:rPr>
          <w:rFonts w:asciiTheme="majorBidi" w:hAnsiTheme="majorBidi" w:cstheme="majorBidi"/>
          <w:b/>
          <w:bCs/>
          <w:sz w:val="28"/>
          <w:szCs w:val="28"/>
        </w:rPr>
        <w:br w:type="page"/>
      </w:r>
    </w:p>
    <w:p w14:paraId="579096AF"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781A5197">
          <v:shape id="_x0000_i1032" type="#_x0000_t75" style="width:483.75pt;height:483.75pt" o:ole="">
            <v:imagedata r:id="rId40" o:title=""/>
          </v:shape>
          <o:OLEObject Type="Embed" ProgID="FoxitReader.Document" ShapeID="_x0000_i1032" DrawAspect="Content" ObjectID="_1629606231" r:id="rId41"/>
        </w:object>
      </w:r>
      <w:r w:rsidRPr="00B91FAE">
        <w:rPr>
          <w:rFonts w:asciiTheme="majorBidi" w:hAnsiTheme="majorBidi" w:cstheme="majorBidi"/>
          <w:b/>
          <w:bCs/>
          <w:sz w:val="28"/>
          <w:szCs w:val="28"/>
        </w:rPr>
        <w:br w:type="page"/>
      </w:r>
    </w:p>
    <w:p w14:paraId="60F18F77"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E19A48B"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8CA39F2"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711DBD6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4B8FB1A">
          <v:shape id="_x0000_i1033" type="#_x0000_t75" style="width:481.5pt;height:481.5pt" o:ole="">
            <v:imagedata r:id="rId42" o:title=""/>
          </v:shape>
          <o:OLEObject Type="Embed" ProgID="FoxitReader.Document" ShapeID="_x0000_i1033" DrawAspect="Content" ObjectID="_1629606232" r:id="rId43"/>
        </w:object>
      </w:r>
    </w:p>
    <w:p w14:paraId="1CF7CCA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6972A0A5"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785E7FD">
          <v:shape id="_x0000_i1034" type="#_x0000_t75" style="width:481.5pt;height:481.5pt" o:ole="">
            <v:imagedata r:id="rId44" o:title=""/>
          </v:shape>
          <o:OLEObject Type="Embed" ProgID="FoxitReader.Document" ShapeID="_x0000_i1034" DrawAspect="Content" ObjectID="_1629606233" r:id="rId45"/>
        </w:object>
      </w:r>
      <w:r w:rsidRPr="00B91FAE">
        <w:rPr>
          <w:rFonts w:asciiTheme="majorBidi" w:hAnsiTheme="majorBidi" w:cstheme="majorBidi"/>
          <w:b/>
          <w:bCs/>
          <w:sz w:val="28"/>
          <w:szCs w:val="28"/>
        </w:rPr>
        <w:br w:type="page"/>
      </w:r>
    </w:p>
    <w:p w14:paraId="6D89B773"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574FAAFD"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65FA1A0"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3DC83850"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1721C30F">
          <v:shape id="_x0000_i1035" type="#_x0000_t75" style="width:481.5pt;height:481.5pt" o:ole="">
            <v:imagedata r:id="rId46" o:title=""/>
          </v:shape>
          <o:OLEObject Type="Embed" ProgID="FoxitReader.Document" ShapeID="_x0000_i1035" DrawAspect="Content" ObjectID="_1629606234" r:id="rId47"/>
        </w:object>
      </w:r>
      <w:r w:rsidRPr="00B91FAE">
        <w:rPr>
          <w:rFonts w:asciiTheme="majorBidi" w:hAnsiTheme="majorBidi" w:cstheme="majorBidi"/>
          <w:b/>
          <w:bCs/>
          <w:sz w:val="28"/>
          <w:szCs w:val="28"/>
        </w:rPr>
        <w:br w:type="page"/>
      </w:r>
    </w:p>
    <w:p w14:paraId="45252FF3"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3EAD63C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0544CA61">
          <v:shape id="_x0000_i1036" type="#_x0000_t75" style="width:481.5pt;height:481.5pt" o:ole="">
            <v:imagedata r:id="rId48" o:title=""/>
          </v:shape>
          <o:OLEObject Type="Embed" ProgID="FoxitReader.Document" ShapeID="_x0000_i1036" DrawAspect="Content" ObjectID="_1629606235" r:id="rId49"/>
        </w:object>
      </w:r>
      <w:r w:rsidRPr="00B91FAE">
        <w:rPr>
          <w:rFonts w:asciiTheme="majorBidi" w:hAnsiTheme="majorBidi" w:cstheme="majorBidi"/>
          <w:b/>
          <w:bCs/>
          <w:sz w:val="28"/>
          <w:szCs w:val="28"/>
        </w:rPr>
        <w:br w:type="page"/>
      </w:r>
    </w:p>
    <w:p w14:paraId="1CD9B5B7"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671D00F3" w14:textId="77777777" w:rsidR="00EA7E88" w:rsidRPr="00B91FAE" w:rsidRDefault="00EA7E88" w:rsidP="00EA7E88">
      <w:pPr>
        <w:suppressAutoHyphens w:val="0"/>
        <w:spacing w:line="240" w:lineRule="auto"/>
        <w:ind w:left="-426"/>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3B1499FF">
          <v:shape id="_x0000_i1037" type="#_x0000_t75" style="width:513.75pt;height:513.75pt" o:ole="">
            <v:imagedata r:id="rId50" o:title=""/>
          </v:shape>
          <o:OLEObject Type="Embed" ProgID="FoxitReader.Document" ShapeID="_x0000_i1037" DrawAspect="Content" ObjectID="_1629606236" r:id="rId51"/>
        </w:object>
      </w:r>
      <w:r w:rsidRPr="00B91FAE">
        <w:rPr>
          <w:rFonts w:asciiTheme="majorBidi" w:hAnsiTheme="majorBidi" w:cstheme="majorBidi"/>
          <w:b/>
          <w:bCs/>
          <w:sz w:val="28"/>
          <w:szCs w:val="28"/>
        </w:rPr>
        <w:t xml:space="preserve"> </w:t>
      </w:r>
      <w:r w:rsidRPr="00B91FAE">
        <w:rPr>
          <w:rFonts w:asciiTheme="majorBidi" w:hAnsiTheme="majorBidi" w:cstheme="majorBidi"/>
          <w:b/>
          <w:bCs/>
          <w:sz w:val="28"/>
          <w:szCs w:val="28"/>
        </w:rPr>
        <w:br w:type="page"/>
      </w:r>
    </w:p>
    <w:p w14:paraId="5EBA5174"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2CD3AD8D" w14:textId="77777777" w:rsidR="00EA7E88" w:rsidRPr="00B91FAE" w:rsidRDefault="00EA7E88" w:rsidP="00EA7E88">
      <w:pPr>
        <w:suppressAutoHyphens w:val="0"/>
        <w:spacing w:line="240" w:lineRule="auto"/>
        <w:rPr>
          <w:rFonts w:asciiTheme="majorBidi" w:hAnsiTheme="majorBidi" w:cstheme="majorBidi"/>
          <w:b/>
          <w:bCs/>
          <w:sz w:val="28"/>
          <w:szCs w:val="28"/>
        </w:rPr>
      </w:pPr>
    </w:p>
    <w:p w14:paraId="4FB5CEF7"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0648C4D">
          <v:shape id="_x0000_i1038" type="#_x0000_t75" style="width:480.75pt;height:480.75pt" o:ole="">
            <v:imagedata r:id="rId52" o:title=""/>
          </v:shape>
          <o:OLEObject Type="Embed" ProgID="FoxitReader.Document" ShapeID="_x0000_i1038" DrawAspect="Content" ObjectID="_1629606237" r:id="rId53"/>
        </w:object>
      </w:r>
      <w:r w:rsidRPr="00B91FAE">
        <w:rPr>
          <w:rFonts w:asciiTheme="majorBidi" w:hAnsiTheme="majorBidi" w:cstheme="majorBidi"/>
          <w:b/>
          <w:bCs/>
          <w:sz w:val="28"/>
          <w:szCs w:val="28"/>
        </w:rPr>
        <w:br w:type="page"/>
      </w:r>
      <w:r w:rsidRPr="00B91FAE">
        <w:rPr>
          <w:rFonts w:asciiTheme="majorBidi" w:hAnsiTheme="majorBidi" w:cstheme="majorBidi"/>
          <w:b/>
          <w:bCs/>
          <w:sz w:val="28"/>
          <w:szCs w:val="28"/>
        </w:rPr>
        <w:object w:dxaOrig="4320" w:dyaOrig="4320" w14:anchorId="4C673672">
          <v:shape id="_x0000_i1039" type="#_x0000_t75" style="width:480.75pt;height:480.75pt" o:ole="">
            <v:imagedata r:id="rId54" o:title=""/>
          </v:shape>
          <o:OLEObject Type="Embed" ProgID="FoxitReader.Document" ShapeID="_x0000_i1039" DrawAspect="Content" ObjectID="_1629606238" r:id="rId55"/>
        </w:object>
      </w:r>
    </w:p>
    <w:p w14:paraId="0CD1C448"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br w:type="page"/>
      </w:r>
    </w:p>
    <w:p w14:paraId="6663BCDF" w14:textId="77777777" w:rsidR="00EA7E88" w:rsidRPr="00B91FAE" w:rsidRDefault="00EA7E88" w:rsidP="00EA7E88">
      <w:pPr>
        <w:suppressAutoHyphens w:val="0"/>
        <w:spacing w:line="240" w:lineRule="auto"/>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2EA09067">
          <v:shape id="_x0000_i1040" type="#_x0000_t75" style="width:478.5pt;height:478.5pt" o:ole="">
            <v:imagedata r:id="rId56" o:title=""/>
          </v:shape>
          <o:OLEObject Type="Embed" ProgID="FoxitReader.Document" ShapeID="_x0000_i1040" DrawAspect="Content" ObjectID="_1629606239" r:id="rId57"/>
        </w:object>
      </w:r>
      <w:r w:rsidRPr="00B91FAE">
        <w:rPr>
          <w:rFonts w:asciiTheme="majorBidi" w:hAnsiTheme="majorBidi" w:cstheme="majorBidi"/>
          <w:b/>
          <w:bCs/>
          <w:sz w:val="28"/>
          <w:szCs w:val="28"/>
        </w:rPr>
        <w:br w:type="page"/>
      </w:r>
    </w:p>
    <w:p w14:paraId="1B519221" w14:textId="77777777" w:rsidR="00EA7E88" w:rsidRPr="00B91FAE" w:rsidRDefault="00EA7E88" w:rsidP="00EA7E88">
      <w:pPr>
        <w:suppressAutoHyphens w:val="0"/>
        <w:spacing w:line="240" w:lineRule="auto"/>
        <w:jc w:val="center"/>
        <w:rPr>
          <w:rFonts w:asciiTheme="majorBidi" w:hAnsiTheme="majorBidi" w:cstheme="majorBidi"/>
          <w:b/>
          <w:bCs/>
          <w:sz w:val="28"/>
          <w:szCs w:val="28"/>
        </w:rPr>
      </w:pPr>
      <w:r w:rsidRPr="00B91FAE">
        <w:rPr>
          <w:rFonts w:asciiTheme="majorBidi" w:hAnsiTheme="majorBidi" w:cstheme="majorBidi"/>
          <w:b/>
          <w:bCs/>
          <w:sz w:val="28"/>
          <w:szCs w:val="28"/>
        </w:rPr>
        <w:object w:dxaOrig="4320" w:dyaOrig="4320" w14:anchorId="60D082DA">
          <v:shape id="_x0000_i1041" type="#_x0000_t75" style="width:486pt;height:486pt" o:ole="">
            <v:imagedata r:id="rId58" o:title=""/>
          </v:shape>
          <o:OLEObject Type="Embed" ProgID="FoxitReader.Document" ShapeID="_x0000_i1041" DrawAspect="Content" ObjectID="_1629606240" r:id="rId59"/>
        </w:object>
      </w:r>
      <w:r w:rsidRPr="00B91FAE">
        <w:rPr>
          <w:rFonts w:asciiTheme="majorBidi" w:hAnsiTheme="majorBidi" w:cstheme="majorBidi"/>
          <w:b/>
          <w:bCs/>
          <w:sz w:val="28"/>
          <w:szCs w:val="28"/>
        </w:rPr>
        <w:br w:type="page"/>
      </w:r>
    </w:p>
    <w:p w14:paraId="3FC0BEBB" w14:textId="77777777" w:rsidR="004639AE" w:rsidRDefault="004639AE" w:rsidP="004639AE">
      <w:pPr>
        <w:pStyle w:val="Heading2"/>
        <w:rPr>
          <w:b/>
          <w:bCs/>
          <w:sz w:val="28"/>
          <w:szCs w:val="28"/>
        </w:rPr>
      </w:pPr>
      <w:bookmarkStart w:id="42" w:name="_Toc18155917"/>
      <w:r>
        <w:rPr>
          <w:b/>
          <w:bCs/>
          <w:sz w:val="28"/>
          <w:szCs w:val="28"/>
        </w:rPr>
        <w:lastRenderedPageBreak/>
        <w:t>Annex III</w:t>
      </w:r>
    </w:p>
    <w:p w14:paraId="6061EE50" w14:textId="77777777" w:rsidR="004639AE" w:rsidRPr="008E3AB8" w:rsidRDefault="004639AE" w:rsidP="004639AE">
      <w:pPr>
        <w:pStyle w:val="H1G"/>
      </w:pPr>
      <w:r>
        <w:tab/>
      </w:r>
      <w:r>
        <w:tab/>
      </w:r>
      <w:r w:rsidRPr="008E3AB8">
        <w:t>Maps of Yemen</w:t>
      </w:r>
      <w:bookmarkEnd w:id="42"/>
    </w:p>
    <w:p w14:paraId="165ED0FC" w14:textId="77777777" w:rsidR="00EA7E88" w:rsidRPr="00B91FAE" w:rsidRDefault="00EA7E88" w:rsidP="00EA7E88">
      <w:r w:rsidRPr="00B91FAE">
        <w:rPr>
          <w:noProof/>
          <w:lang w:eastAsia="en-GB"/>
        </w:rPr>
        <w:drawing>
          <wp:inline distT="0" distB="0" distL="0" distR="0" wp14:anchorId="550045E4" wp14:editId="06862F7C">
            <wp:extent cx="6120765" cy="4412115"/>
            <wp:effectExtent l="0" t="0" r="0" b="7620"/>
            <wp:docPr id="450" name="Picture 450" descr="S:\Shared Documents\GEE Round 2 10-2018 to 09-2019\Report\Annexes\Maps for Report\In Black and White\YEMEN_COUNTRY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Shared Documents\GEE Round 2 10-2018 to 09-2019\Report\Annexes\Maps for Report\In Black and White\YEMEN_COUNTRY_MAP.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765" cy="4412115"/>
                    </a:xfrm>
                    <a:prstGeom prst="rect">
                      <a:avLst/>
                    </a:prstGeom>
                    <a:noFill/>
                    <a:ln>
                      <a:noFill/>
                    </a:ln>
                  </pic:spPr>
                </pic:pic>
              </a:graphicData>
            </a:graphic>
          </wp:inline>
        </w:drawing>
      </w:r>
    </w:p>
    <w:p w14:paraId="4E841017" w14:textId="5DF9DA4F" w:rsidR="00EA7E88" w:rsidRPr="00B91FAE" w:rsidRDefault="00EA7E88" w:rsidP="00EA7E88">
      <w:pPr>
        <w:pStyle w:val="H1G"/>
      </w:pPr>
      <w:r w:rsidRPr="00B91FAE">
        <w:br w:type="page"/>
      </w:r>
      <w:r w:rsidR="003F0C30" w:rsidRPr="008E3AB8">
        <w:lastRenderedPageBreak/>
        <w:t>Aden Governorate</w:t>
      </w:r>
    </w:p>
    <w:p w14:paraId="3B6A1334" w14:textId="77777777" w:rsidR="00EA7E88" w:rsidRPr="00B91FAE" w:rsidRDefault="00EA7E88" w:rsidP="00EA7E88">
      <w:r w:rsidRPr="00B91FAE">
        <w:rPr>
          <w:noProof/>
          <w:lang w:eastAsia="en-GB"/>
        </w:rPr>
        <w:drawing>
          <wp:inline distT="0" distB="0" distL="0" distR="0" wp14:anchorId="64D85633" wp14:editId="5A6FDE88">
            <wp:extent cx="6115685" cy="3848100"/>
            <wp:effectExtent l="0" t="0" r="0" b="0"/>
            <wp:docPr id="451" name="Picture 451" descr="imageedit_2_935621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edit_2_935621830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15685" cy="3848100"/>
                    </a:xfrm>
                    <a:prstGeom prst="rect">
                      <a:avLst/>
                    </a:prstGeom>
                    <a:noFill/>
                    <a:ln>
                      <a:noFill/>
                    </a:ln>
                  </pic:spPr>
                </pic:pic>
              </a:graphicData>
            </a:graphic>
          </wp:inline>
        </w:drawing>
      </w:r>
    </w:p>
    <w:p w14:paraId="6F6F8B5A" w14:textId="77777777" w:rsidR="00EA7E88" w:rsidRPr="00B91FAE" w:rsidRDefault="00EA7E88" w:rsidP="00EA7E88">
      <w:pPr>
        <w:pStyle w:val="H1G"/>
      </w:pPr>
      <w:r w:rsidRPr="00B91FAE">
        <w:t>Sana’a Governorate</w:t>
      </w:r>
    </w:p>
    <w:p w14:paraId="2541F741" w14:textId="77777777" w:rsidR="00EA7E88" w:rsidRPr="00B91FAE" w:rsidRDefault="00EA7E88" w:rsidP="00EA7E88">
      <w:r w:rsidRPr="00B91FAE">
        <w:rPr>
          <w:noProof/>
          <w:lang w:eastAsia="en-GB"/>
        </w:rPr>
        <w:drawing>
          <wp:inline distT="0" distB="0" distL="0" distR="0" wp14:anchorId="10B8F8DA" wp14:editId="232F76D3">
            <wp:extent cx="6120765" cy="3836897"/>
            <wp:effectExtent l="0" t="0" r="0" b="0"/>
            <wp:docPr id="452" name="Picture 452" descr="C:\Users\OHCHR-User\AppData\Local\Microsoft\Windows\INetCache\Content.Word\imageedit_1_37813408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HCHR-User\AppData\Local\Microsoft\Windows\INetCache\Content.Word\imageedit_1_3781340859.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765" cy="3836897"/>
                    </a:xfrm>
                    <a:prstGeom prst="rect">
                      <a:avLst/>
                    </a:prstGeom>
                    <a:noFill/>
                    <a:ln>
                      <a:noFill/>
                    </a:ln>
                  </pic:spPr>
                </pic:pic>
              </a:graphicData>
            </a:graphic>
          </wp:inline>
        </w:drawing>
      </w:r>
    </w:p>
    <w:p w14:paraId="6EB74051" w14:textId="77777777" w:rsidR="00EA7E88" w:rsidRPr="00B91FAE" w:rsidRDefault="00EA7E88" w:rsidP="00EA7E88">
      <w:pPr>
        <w:pStyle w:val="H1G"/>
      </w:pPr>
      <w:r w:rsidRPr="00B91FAE">
        <w:lastRenderedPageBreak/>
        <w:t>Sa’dah, Hajjah, and Al-Jawf governorates</w:t>
      </w:r>
    </w:p>
    <w:p w14:paraId="072B5D1D" w14:textId="77777777" w:rsidR="00EA7E88" w:rsidRPr="00B91FAE" w:rsidRDefault="00EA7E88" w:rsidP="00EA7E88">
      <w:r w:rsidRPr="00B91FAE">
        <w:rPr>
          <w:noProof/>
          <w:lang w:eastAsia="en-GB"/>
        </w:rPr>
        <w:drawing>
          <wp:inline distT="0" distB="0" distL="0" distR="0" wp14:anchorId="6EEE35E5" wp14:editId="439689B4">
            <wp:extent cx="6120765" cy="3834641"/>
            <wp:effectExtent l="0" t="0" r="0" b="0"/>
            <wp:docPr id="453" name="Picture 453" descr="S:\Shared Documents\GEE Round 2 10-2018 to 09-2019\Report\Annexes\Maps for Report\In Black and White\imageedit_1_3498131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Shared Documents\GEE Round 2 10-2018 to 09-2019\Report\Annexes\Maps for Report\In Black and White\imageedit_1_349813126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3834641"/>
                    </a:xfrm>
                    <a:prstGeom prst="rect">
                      <a:avLst/>
                    </a:prstGeom>
                    <a:noFill/>
                    <a:ln>
                      <a:noFill/>
                    </a:ln>
                  </pic:spPr>
                </pic:pic>
              </a:graphicData>
            </a:graphic>
          </wp:inline>
        </w:drawing>
      </w:r>
    </w:p>
    <w:p w14:paraId="259FD46A" w14:textId="77777777" w:rsidR="00EA7E88" w:rsidRPr="00B91FAE" w:rsidRDefault="00EA7E88" w:rsidP="00EA7E88">
      <w:pPr>
        <w:pStyle w:val="H1G"/>
      </w:pPr>
      <w:r w:rsidRPr="00B91FAE">
        <w:t>Ta’izz Governorate</w:t>
      </w:r>
    </w:p>
    <w:p w14:paraId="7FA4A6CB" w14:textId="77777777" w:rsidR="00EA7E88" w:rsidRPr="00B91FAE" w:rsidRDefault="00EA7E88" w:rsidP="00EA7E88">
      <w:r w:rsidRPr="00B91FAE">
        <w:rPr>
          <w:noProof/>
          <w:lang w:eastAsia="en-GB"/>
        </w:rPr>
        <w:drawing>
          <wp:inline distT="0" distB="0" distL="0" distR="0" wp14:anchorId="012D8D72" wp14:editId="4B97F3BA">
            <wp:extent cx="6120765" cy="3857548"/>
            <wp:effectExtent l="0" t="0" r="0" b="0"/>
            <wp:docPr id="454" name="Picture 454" descr="S:\Shared Documents\GEE Round 2 10-2018 to 09-2019\Report\Annexes\Maps for Report\In Black and White\imageedit_1_2237784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Shared Documents\GEE Round 2 10-2018 to 09-2019\Report\Annexes\Maps for Report\In Black and White\imageedit_1_2237784650.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765" cy="3857548"/>
                    </a:xfrm>
                    <a:prstGeom prst="rect">
                      <a:avLst/>
                    </a:prstGeom>
                    <a:noFill/>
                    <a:ln>
                      <a:noFill/>
                    </a:ln>
                  </pic:spPr>
                </pic:pic>
              </a:graphicData>
            </a:graphic>
          </wp:inline>
        </w:drawing>
      </w:r>
    </w:p>
    <w:p w14:paraId="6A9FB41A" w14:textId="77777777" w:rsidR="00EA7E88" w:rsidRPr="00B91FAE" w:rsidRDefault="00EA7E88" w:rsidP="00EA7E88">
      <w:pPr>
        <w:pStyle w:val="H1G"/>
      </w:pPr>
      <w:r w:rsidRPr="00B91FAE">
        <w:lastRenderedPageBreak/>
        <w:t>Al-Hudaydah Governorate</w:t>
      </w:r>
    </w:p>
    <w:p w14:paraId="0BCD3B1D" w14:textId="77777777" w:rsidR="00EA7E88" w:rsidRDefault="00EA7E88" w:rsidP="00EA7E88">
      <w:pPr>
        <w:rPr>
          <w:rFonts w:asciiTheme="majorBidi" w:hAnsiTheme="majorBidi" w:cstheme="majorBidi"/>
          <w:b/>
          <w:bCs/>
        </w:rPr>
      </w:pPr>
      <w:r w:rsidRPr="00B91FAE">
        <w:rPr>
          <w:noProof/>
          <w:lang w:eastAsia="en-GB"/>
        </w:rPr>
        <w:drawing>
          <wp:inline distT="0" distB="0" distL="0" distR="0" wp14:anchorId="1F6E11F2" wp14:editId="5CB33B04">
            <wp:extent cx="5782310" cy="7970520"/>
            <wp:effectExtent l="0" t="0" r="8890" b="0"/>
            <wp:docPr id="455" name="Picture 455" descr="imageedit_1_91727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edit_1_91727401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82310" cy="7970520"/>
                    </a:xfrm>
                    <a:prstGeom prst="rect">
                      <a:avLst/>
                    </a:prstGeom>
                    <a:noFill/>
                    <a:ln>
                      <a:noFill/>
                    </a:ln>
                  </pic:spPr>
                </pic:pic>
              </a:graphicData>
            </a:graphic>
          </wp:inline>
        </w:drawing>
      </w:r>
    </w:p>
    <w:p w14:paraId="180E289C" w14:textId="2C4C53D0" w:rsidR="0058299A" w:rsidRPr="004E0F34" w:rsidRDefault="004E0F34" w:rsidP="004E0F34">
      <w:pPr>
        <w:spacing w:before="240"/>
        <w:ind w:left="1134" w:right="1134"/>
        <w:jc w:val="center"/>
        <w:rPr>
          <w:rFonts w:asciiTheme="majorBidi" w:hAnsiTheme="majorBidi" w:cstheme="majorBidi"/>
          <w:u w:val="single"/>
        </w:rPr>
      </w:pP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r>
        <w:rPr>
          <w:rFonts w:asciiTheme="majorBidi" w:hAnsiTheme="majorBidi" w:cstheme="majorBidi"/>
          <w:u w:val="single"/>
        </w:rPr>
        <w:tab/>
      </w:r>
    </w:p>
    <w:sectPr w:rsidR="0058299A" w:rsidRPr="004E0F34" w:rsidSect="00993F0E">
      <w:headerReference w:type="even" r:id="rId66"/>
      <w:headerReference w:type="default" r:id="rId67"/>
      <w:footerReference w:type="even" r:id="rId68"/>
      <w:footerReference w:type="default" r:id="rId69"/>
      <w:headerReference w:type="first" r:id="rId70"/>
      <w:footerReference w:type="first" r:id="rId71"/>
      <w:endnotePr>
        <w:numFmt w:val="decimal"/>
      </w:endnotePr>
      <w:pgSz w:w="11907" w:h="16840" w:code="9"/>
      <w:pgMar w:top="851" w:right="1134" w:bottom="567"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C2860D" w14:textId="77777777" w:rsidR="00A1624A" w:rsidRDefault="00A1624A"/>
  </w:endnote>
  <w:endnote w:type="continuationSeparator" w:id="0">
    <w:p w14:paraId="7E83F238" w14:textId="77777777" w:rsidR="00A1624A" w:rsidRDefault="00A1624A"/>
  </w:endnote>
  <w:endnote w:type="continuationNotice" w:id="1">
    <w:p w14:paraId="6CF0B7F2" w14:textId="77777777" w:rsidR="00A1624A" w:rsidRDefault="00A162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altName w:val="Times New Roman"/>
    <w:charset w:val="00"/>
    <w:family w:val="roman"/>
    <w:pitch w:val="variable"/>
    <w:sig w:usb0="00000000" w:usb1="80000000" w:usb2="00000008" w:usb3="00000000" w:csb0="0000004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MS Gothic"/>
    <w:charset w:val="00"/>
    <w:family w:val="auto"/>
    <w:pitch w:val="variable"/>
    <w:sig w:usb0="E0002AEF" w:usb1="C0007841" w:usb2="00000009" w:usb3="00000000" w:csb0="000001FF" w:csb1="00000000"/>
  </w:font>
  <w:font w:name="Amnesty Trade Gothic">
    <w:altName w:val="Corbel"/>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implified Arabic">
    <w:altName w:val="Times New Roman"/>
    <w:charset w:val="00"/>
    <w:family w:val="roman"/>
    <w:pitch w:val="variable"/>
    <w:sig w:usb0="00000000" w:usb1="80000000" w:usb2="00000008" w:usb3="00000000" w:csb0="00000041"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00004FF" w:usb2="0000000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39T30Lfz">
    <w:altName w:val="Symbol"/>
    <w:charset w:val="02"/>
    <w:family w:val="auto"/>
    <w:pitch w:val="variable"/>
    <w:sig w:usb0="00000000" w:usb1="10000000" w:usb2="00000000" w:usb3="00000000" w:csb0="8000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833B31" w14:textId="0C6D24FC" w:rsidR="00A1624A" w:rsidRPr="00214526" w:rsidRDefault="00A1624A" w:rsidP="00A1624A">
    <w:pPr>
      <w:pStyle w:val="Footer"/>
      <w:tabs>
        <w:tab w:val="right" w:pos="9638"/>
      </w:tabs>
      <w:jc w:val="right"/>
    </w:pPr>
    <w:r w:rsidRPr="00214526">
      <w:rPr>
        <w:b/>
        <w:sz w:val="18"/>
      </w:rPr>
      <w:fldChar w:fldCharType="begin"/>
    </w:r>
    <w:r w:rsidRPr="00214526">
      <w:rPr>
        <w:b/>
        <w:sz w:val="18"/>
      </w:rPr>
      <w:instrText xml:space="preserve"> PAGE  \* MERGEFORMAT </w:instrText>
    </w:r>
    <w:r w:rsidRPr="00214526">
      <w:rPr>
        <w:b/>
        <w:sz w:val="18"/>
      </w:rPr>
      <w:fldChar w:fldCharType="separate"/>
    </w:r>
    <w:r w:rsidR="0068660E">
      <w:rPr>
        <w:b/>
        <w:noProof/>
        <w:sz w:val="18"/>
      </w:rPr>
      <w:t>2</w:t>
    </w:r>
    <w:r w:rsidRPr="00214526">
      <w:rPr>
        <w:b/>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C1EA7" w14:textId="61BEC8A4" w:rsidR="00A1624A" w:rsidRPr="00214526" w:rsidRDefault="00A1624A" w:rsidP="005C44D2">
    <w:pPr>
      <w:pStyle w:val="Footer"/>
      <w:tabs>
        <w:tab w:val="right" w:pos="9638"/>
      </w:tabs>
      <w:rPr>
        <w:b/>
        <w:sz w:val="18"/>
      </w:rPr>
    </w:pPr>
    <w:r w:rsidRPr="00214526">
      <w:rPr>
        <w:b/>
        <w:sz w:val="18"/>
      </w:rPr>
      <w:fldChar w:fldCharType="begin"/>
    </w:r>
    <w:r w:rsidRPr="00214526">
      <w:rPr>
        <w:b/>
        <w:sz w:val="18"/>
      </w:rPr>
      <w:instrText xml:space="preserve"> PAGE  \* MERGEFORMAT </w:instrText>
    </w:r>
    <w:r w:rsidRPr="00214526">
      <w:rPr>
        <w:b/>
        <w:sz w:val="18"/>
      </w:rPr>
      <w:fldChar w:fldCharType="separate"/>
    </w:r>
    <w:r w:rsidR="0068660E">
      <w:rPr>
        <w:b/>
        <w:noProof/>
        <w:sz w:val="18"/>
      </w:rPr>
      <w:t>3</w:t>
    </w:r>
    <w:r w:rsidRPr="00214526">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DD6BE" w14:textId="276060CD" w:rsidR="00A1624A" w:rsidRDefault="00A1624A" w:rsidP="004E0F34">
    <w:pPr>
      <w:ind w:firstLine="284"/>
      <w:rPr>
        <w:rStyle w:val="FootnoteTextChar"/>
      </w:rPr>
    </w:pPr>
    <w:r w:rsidRPr="004E0F34">
      <w:rPr>
        <w:bCs/>
      </w:rPr>
      <w:t>*</w:t>
    </w:r>
    <w:r>
      <w:rPr>
        <w:bCs/>
      </w:rPr>
      <w:tab/>
    </w:r>
    <w:r w:rsidRPr="004E0F34">
      <w:rPr>
        <w:rStyle w:val="FootnoteTextChar"/>
      </w:rPr>
      <w:t xml:space="preserve">The information in this report should be read in conjunction with the Report of the Group of Eminent International and </w:t>
    </w:r>
    <w:r>
      <w:rPr>
        <w:rStyle w:val="FootnoteTextChar"/>
      </w:rPr>
      <w:tab/>
    </w:r>
    <w:r w:rsidRPr="004E0F34">
      <w:rPr>
        <w:rStyle w:val="FootnoteTextChar"/>
      </w:rPr>
      <w:t xml:space="preserve">Regional Experts as submitted to the United Nations High Commissioner for Human Rights (A/HRC/42/17). </w:t>
    </w:r>
  </w:p>
  <w:p w14:paraId="376E6281" w14:textId="74ADDC60" w:rsidR="00FE4B26" w:rsidRDefault="00FE4B26" w:rsidP="004E0F34">
    <w:pPr>
      <w:ind w:firstLine="284"/>
      <w:rPr>
        <w:rStyle w:val="FootnoteTextChar"/>
      </w:rPr>
    </w:pPr>
  </w:p>
  <w:p w14:paraId="20A563CF" w14:textId="77777777" w:rsidR="00FE4B26" w:rsidRDefault="00FE4B26" w:rsidP="00FE4B26">
    <w:pPr>
      <w:pStyle w:val="Footer"/>
      <w:spacing w:before="360"/>
      <w:jc w:val="right"/>
      <w:rPr>
        <w:sz w:val="20"/>
      </w:rPr>
    </w:pPr>
    <w:r>
      <w:rPr>
        <w:sz w:val="20"/>
      </w:rPr>
      <w:t>GE.19-15009</w:t>
    </w:r>
    <w:r>
      <w:rPr>
        <w:noProof/>
        <w:lang w:eastAsia="en-GB"/>
      </w:rPr>
      <w:drawing>
        <wp:anchor distT="0" distB="0" distL="114300" distR="114300" simplePos="0" relativeHeight="251660288" behindDoc="1" locked="1" layoutInCell="0" allowOverlap="1" wp14:anchorId="155AB732" wp14:editId="5432C165">
          <wp:simplePos x="0" y="0"/>
          <wp:positionH relativeFrom="margin">
            <wp:posOffset>706755</wp:posOffset>
          </wp:positionH>
          <wp:positionV relativeFrom="page">
            <wp:posOffset>9901555</wp:posOffset>
          </wp:positionV>
          <wp:extent cx="1162800" cy="324000"/>
          <wp:effectExtent l="0" t="0" r="0" b="0"/>
          <wp:wrapTight wrapText="bothSides">
            <wp:wrapPolygon edited="0">
              <wp:start x="0" y="0"/>
              <wp:lineTo x="0" y="20329"/>
              <wp:lineTo x="21234" y="20329"/>
              <wp:lineTo x="21234" y="0"/>
              <wp:lineTo x="0" y="0"/>
            </wp:wrapPolygon>
          </wp:wrapTight>
          <wp:docPr id="11" name="Picture 11" descr="PleaseRecycle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easeRecycleArabic"/>
                  <pic:cNvPicPr>
                    <a:picLocks noChangeAspect="1" noChangeArrowheads="1"/>
                  </pic:cNvPicPr>
                </pic:nvPicPr>
                <pic:blipFill rotWithShape="1">
                  <a:blip r:embed="rId1">
                    <a:extLst>
                      <a:ext uri="{28A0092B-C50C-407E-A947-70E740481C1C}">
                        <a14:useLocalDpi xmlns:a14="http://schemas.microsoft.com/office/drawing/2010/main" val="0"/>
                      </a:ext>
                    </a:extLst>
                  </a:blip>
                  <a:srcRect t="4566" b="4566"/>
                  <a:stretch/>
                </pic:blipFill>
                <pic:spPr bwMode="auto">
                  <a:xfrm>
                    <a:off x="0" y="0"/>
                    <a:ext cx="116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0286">
      <w:rPr>
        <w:sz w:val="20"/>
      </w:rPr>
      <w:t>(A)</w:t>
    </w:r>
  </w:p>
  <w:p w14:paraId="03F2D179" w14:textId="77777777" w:rsidR="00FE4B26" w:rsidRPr="00681575" w:rsidRDefault="00FE4B26" w:rsidP="00FE4B26">
    <w:pPr>
      <w:pStyle w:val="Footer"/>
      <w:jc w:val="right"/>
      <w:rPr>
        <w:rFonts w:ascii="C39T30Lfz" w:hAnsi="C39T30Lfz"/>
        <w:sz w:val="56"/>
      </w:rPr>
    </w:pP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sz w:val="56"/>
      </w:rPr>
      <w:t></w:t>
    </w:r>
    <w:r>
      <w:rPr>
        <w:rFonts w:ascii="C39T30Lfz" w:hAnsi="C39T30Lfz"/>
        <w:noProof/>
        <w:sz w:val="56"/>
        <w:lang w:eastAsia="en-GB"/>
      </w:rPr>
      <w:drawing>
        <wp:anchor distT="0" distB="0" distL="114300" distR="114300" simplePos="0" relativeHeight="251659264" behindDoc="0" locked="0" layoutInCell="1" allowOverlap="1" wp14:anchorId="3A321D6D" wp14:editId="2F9FC15B">
          <wp:simplePos x="0" y="0"/>
          <wp:positionH relativeFrom="page">
            <wp:posOffset>719455</wp:posOffset>
          </wp:positionH>
          <wp:positionV relativeFrom="page">
            <wp:posOffset>9611995</wp:posOffset>
          </wp:positionV>
          <wp:extent cx="561975" cy="561975"/>
          <wp:effectExtent l="0" t="0" r="952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
                  <a:stretch>
                    <a:fillRect/>
                  </a:stretch>
                </pic:blipFill>
                <pic:spPr>
                  <a:xfrm>
                    <a:off x="0" y="0"/>
                    <a:ext cx="561975" cy="561975"/>
                  </a:xfrm>
                  <a:prstGeom prst="rect">
                    <a:avLst/>
                  </a:prstGeom>
                </pic:spPr>
              </pic:pic>
            </a:graphicData>
          </a:graphic>
        </wp:anchor>
      </w:drawing>
    </w:r>
  </w:p>
  <w:p w14:paraId="4CEC4F27" w14:textId="77777777" w:rsidR="00FE4B26" w:rsidRPr="004E0F34" w:rsidRDefault="00FE4B26" w:rsidP="004E0F34">
    <w:pPr>
      <w:ind w:firstLine="284"/>
      <w:rPr>
        <w:rStyle w:val="FootnoteTextCha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B64B41" w14:textId="77777777" w:rsidR="00A1624A" w:rsidRPr="000B175B" w:rsidRDefault="00A1624A" w:rsidP="005C44D2">
      <w:pPr>
        <w:tabs>
          <w:tab w:val="right" w:pos="2155"/>
        </w:tabs>
        <w:bidi/>
        <w:spacing w:after="80"/>
        <w:ind w:left="680"/>
        <w:rPr>
          <w:u w:val="single"/>
        </w:rPr>
      </w:pPr>
      <w:r>
        <w:rPr>
          <w:u w:val="single"/>
        </w:rPr>
        <w:tab/>
      </w:r>
    </w:p>
  </w:footnote>
  <w:footnote w:type="continuationSeparator" w:id="0">
    <w:p w14:paraId="5B9944B1" w14:textId="77777777" w:rsidR="00A1624A" w:rsidRPr="00FC68B7" w:rsidRDefault="00A1624A" w:rsidP="00FC68B7">
      <w:pPr>
        <w:tabs>
          <w:tab w:val="left" w:pos="2155"/>
        </w:tabs>
        <w:spacing w:after="80"/>
        <w:ind w:left="680"/>
        <w:rPr>
          <w:u w:val="single"/>
        </w:rPr>
      </w:pPr>
      <w:r>
        <w:rPr>
          <w:u w:val="single"/>
        </w:rPr>
        <w:tab/>
      </w:r>
    </w:p>
  </w:footnote>
  <w:footnote w:type="continuationNotice" w:id="1">
    <w:p w14:paraId="23074E44" w14:textId="77777777" w:rsidR="00A1624A" w:rsidRDefault="00A1624A"/>
  </w:footnote>
  <w:footnote w:id="2">
    <w:p w14:paraId="6FAE6E1D" w14:textId="2B50923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YE"/>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الإسم الرسمي </w:t>
      </w:r>
      <w:r w:rsidRPr="00474265">
        <w:rPr>
          <w:rFonts w:ascii="Traditional Arabic" w:hAnsi="Traditional Arabic" w:cs="Traditional Arabic"/>
          <w:sz w:val="22"/>
          <w:szCs w:val="22"/>
          <w:rtl/>
          <w:lang w:bidi="ar-YE"/>
        </w:rPr>
        <w:t xml:space="preserve">هو </w:t>
      </w:r>
      <w:r w:rsidRPr="00474265">
        <w:rPr>
          <w:rFonts w:ascii="Traditional Arabic" w:hAnsi="Traditional Arabic" w:cs="Traditional Arabic"/>
          <w:i/>
          <w:iCs/>
          <w:sz w:val="22"/>
          <w:szCs w:val="22"/>
          <w:rtl/>
          <w:lang w:bidi="ar-YE"/>
        </w:rPr>
        <w:t>اللجنة الوطنية للتحقيق في إدعاءات إنتهاكات حقوق الإنسان</w:t>
      </w:r>
      <w:r w:rsidRPr="00474265">
        <w:rPr>
          <w:rFonts w:ascii="Traditional Arabic" w:hAnsi="Traditional Arabic" w:cs="Traditional Arabic"/>
          <w:sz w:val="22"/>
          <w:szCs w:val="22"/>
          <w:rtl/>
          <w:lang w:bidi="ar-YE"/>
        </w:rPr>
        <w:t xml:space="preserve"> </w:t>
      </w:r>
    </w:p>
    <w:p w14:paraId="37049AC6" w14:textId="4808B955" w:rsidR="00A1624A" w:rsidRPr="008A43F3" w:rsidRDefault="00A1624A" w:rsidP="00B81240">
      <w:pPr>
        <w:pStyle w:val="FootnoteText"/>
        <w:tabs>
          <w:tab w:val="clear" w:pos="1021"/>
        </w:tabs>
        <w:bidi/>
        <w:ind w:left="0" w:firstLine="0"/>
        <w:jc w:val="both"/>
        <w:rPr>
          <w:i/>
          <w:iCs/>
          <w:rtl/>
          <w:lang w:bidi="ar-JO"/>
        </w:rPr>
      </w:pPr>
    </w:p>
  </w:footnote>
  <w:footnote w:id="3">
    <w:p w14:paraId="70D60861" w14:textId="1E464F2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ك</w:t>
      </w:r>
      <w:r w:rsidRPr="00474265">
        <w:rPr>
          <w:rFonts w:ascii="Traditional Arabic" w:hAnsi="Traditional Arabic" w:cs="Traditional Arabic"/>
          <w:sz w:val="22"/>
          <w:szCs w:val="22"/>
          <w:rtl/>
          <w:lang w:bidi="ar-YE"/>
        </w:rPr>
        <w:t xml:space="preserve">ما فعل </w:t>
      </w:r>
      <w:r w:rsidRPr="00474265">
        <w:rPr>
          <w:rFonts w:ascii="Traditional Arabic" w:hAnsi="Traditional Arabic" w:cs="Traditional Arabic"/>
          <w:sz w:val="22"/>
          <w:szCs w:val="22"/>
          <w:rtl/>
        </w:rPr>
        <w:t xml:space="preserve">العام الماضي، </w:t>
      </w:r>
      <w:r w:rsidRPr="00474265">
        <w:rPr>
          <w:rStyle w:val="tlid-translation"/>
          <w:rFonts w:ascii="Traditional Arabic" w:hAnsi="Traditional Arabic" w:cs="Traditional Arabic"/>
          <w:sz w:val="22"/>
          <w:szCs w:val="22"/>
          <w:rtl/>
        </w:rPr>
        <w:t>يستخدم فريق الخبراء في هذا التقرير مصطلح "سلطات الأمر الواقع" للإشارة إلى السلطات الموجودة في صنعاء، حيث ان أنصار الله كحركة سياسية هي الجهة الفاعلة الرئيسية (بدعم من الرئيس السابق صالح حتى</w:t>
      </w:r>
      <w:r w:rsidRPr="00973954">
        <w:rPr>
          <w:rStyle w:val="tlid-translation"/>
          <w:rFonts w:ascii="Traditional Arabic" w:hAnsi="Traditional Arabic" w:cs="Traditional Arabic"/>
          <w:sz w:val="26"/>
          <w:szCs w:val="26"/>
          <w:rtl/>
        </w:rPr>
        <w:t xml:space="preserve"> </w:t>
      </w:r>
      <w:r w:rsidRPr="00474265">
        <w:rPr>
          <w:rStyle w:val="tlid-translation"/>
          <w:rFonts w:ascii="Traditional Arabic" w:hAnsi="Traditional Arabic" w:cs="Traditional Arabic"/>
          <w:sz w:val="22"/>
          <w:szCs w:val="22"/>
          <w:rtl/>
        </w:rPr>
        <w:t>مقتله في كانون الأول/ ديسمبر 2017. يتم دعم سلطات الأمر الواقع من قبل جماعة مسلحة، يشار إليها باسم "الحوثي"، والتي تتضمن اللجان الشعبية التابعة لها. قبل وفاة الرئيس صالح، كان يشار إلى هذه الجماعات المسلحة باسم مقاتلي "الحوثي - صالح"</w:t>
      </w:r>
      <w:r w:rsidRPr="00474265">
        <w:rPr>
          <w:rStyle w:val="tlid-translation"/>
          <w:rFonts w:ascii="Traditional Arabic" w:hAnsi="Traditional Arabic" w:cs="Traditional Arabic"/>
          <w:sz w:val="22"/>
          <w:szCs w:val="22"/>
          <w:lang w:bidi="ar"/>
        </w:rPr>
        <w:t>.</w:t>
      </w:r>
    </w:p>
  </w:footnote>
  <w:footnote w:id="4">
    <w:p w14:paraId="4927AB99" w14:textId="37ABF81A"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انظر مكتب الأمم المتحدة للمفوض السامي لحقوق الإنسان، وبعثات تقصي الحقائق بشأن القانون الدولي لحقوق الإنسان والقانون الدولي الإنساني - التوجيه والممارسة، 2015.</w:t>
      </w:r>
      <w:r w:rsidRPr="000E1CBF">
        <w:rPr>
          <w:rStyle w:val="tlid-translation"/>
          <w:rFonts w:hint="cs"/>
          <w:sz w:val="20"/>
          <w:rtl/>
        </w:rPr>
        <w:t xml:space="preserve"> </w:t>
      </w:r>
    </w:p>
  </w:footnote>
  <w:footnote w:id="5">
    <w:p w14:paraId="3CAA99AA" w14:textId="7DDA6DD4"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نشرة الأمين العام عن حساسية المعلومات وتصنيفها ومعالجتها</w:t>
      </w:r>
      <w:r w:rsidRPr="00474265">
        <w:rPr>
          <w:rStyle w:val="tlid-translation"/>
          <w:rFonts w:ascii="Traditional Arabic" w:hAnsi="Traditional Arabic" w:cs="Traditional Arabic"/>
          <w:sz w:val="26"/>
          <w:szCs w:val="26"/>
          <w:rtl/>
        </w:rPr>
        <w:t xml:space="preserve"> </w:t>
      </w:r>
      <w:r w:rsidRPr="00474265">
        <w:rPr>
          <w:rFonts w:ascii="Traditional Arabic" w:hAnsi="Traditional Arabic" w:cs="Traditional Arabic"/>
          <w:sz w:val="20"/>
        </w:rPr>
        <w:t>ST/SGB/2007/6</w:t>
      </w:r>
    </w:p>
  </w:footnote>
  <w:footnote w:id="6">
    <w:p w14:paraId="16A4A1BA" w14:textId="3E90965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tl/>
        </w:rPr>
        <w:t xml:space="preserve"> يونوسات</w:t>
      </w:r>
      <w:r w:rsidRPr="00474265">
        <w:rPr>
          <w:rStyle w:val="preferred"/>
          <w:rFonts w:ascii="Traditional Arabic" w:hAnsi="Traditional Arabic" w:cs="Traditional Arabic"/>
          <w:sz w:val="22"/>
          <w:szCs w:val="22"/>
          <w:rtl/>
        </w:rPr>
        <w:t xml:space="preserve"> هو البرنامج التشغيلي للتطبيقات الساتلية لمعهد الأمم المتحدة للتدريب والبحث (اليونيتار)</w:t>
      </w:r>
      <w:r w:rsidRPr="00474265">
        <w:rPr>
          <w:rFonts w:ascii="Traditional Arabic" w:hAnsi="Traditional Arabic" w:cs="Traditional Arabic"/>
          <w:sz w:val="22"/>
          <w:szCs w:val="22"/>
          <w:shd w:val="clear" w:color="auto" w:fill="FFFFFF"/>
        </w:rPr>
        <w:t>.</w:t>
      </w:r>
    </w:p>
  </w:footnote>
  <w:footnote w:id="7">
    <w:p w14:paraId="3BC59FDF" w14:textId="66EC321A"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"قائمة المسائل" أُرسلت إلى أطراف النزاع في العامين 2018 و2019 ويمكن الاطلاع على ردود أطراف النزاع عبر موقع فريق الخبراء البارزين: </w:t>
      </w:r>
      <w:r w:rsidRPr="00474265">
        <w:rPr>
          <w:rFonts w:asciiTheme="majorBidi" w:hAnsiTheme="majorBidi" w:cstheme="majorBidi"/>
          <w:sz w:val="20"/>
        </w:rPr>
        <w:t>http://www.ohchr.org/en/HRBodies/HRC/YemenGEE/</w:t>
      </w:r>
    </w:p>
  </w:footnote>
  <w:footnote w:id="8">
    <w:p w14:paraId="77E20A6F" w14:textId="2EDDF14F"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عند إنشاء التحالف في آذار/ مارس 2015 كان يتضمن </w:t>
      </w:r>
      <w:r w:rsidRPr="00474265">
        <w:rPr>
          <w:rStyle w:val="tlid-translation"/>
          <w:rFonts w:ascii="Traditional Arabic" w:hAnsi="Traditional Arabic" w:cs="Traditional Arabic"/>
          <w:sz w:val="22"/>
          <w:szCs w:val="22"/>
          <w:rtl/>
        </w:rPr>
        <w:t>البحرين ومصر والأردن والكويت والمغرب وقطر والسنغال والسودان والإمارات العربية المتحدة. انسحبت قطر من التحالف في حزيران/ يونيو 2017 وانسحب المغرب، وفق تقارير، في شباط/ فبراير 2019.</w:t>
      </w:r>
      <w:r w:rsidRPr="000E1CBF">
        <w:rPr>
          <w:rStyle w:val="tlid-translation"/>
          <w:rFonts w:hint="cs"/>
          <w:sz w:val="20"/>
          <w:rtl/>
        </w:rPr>
        <w:t xml:space="preserve"> </w:t>
      </w:r>
    </w:p>
  </w:footnote>
  <w:footnote w:id="9">
    <w:p w14:paraId="2D92BB01" w14:textId="79DBEC07" w:rsidR="00A1624A" w:rsidRPr="000E1CBF" w:rsidRDefault="00A1624A" w:rsidP="00B81240">
      <w:pPr>
        <w:pStyle w:val="FootnoteText"/>
        <w:tabs>
          <w:tab w:val="clear" w:pos="1021"/>
        </w:tabs>
        <w:bidi/>
        <w:ind w:left="851" w:firstLine="0"/>
        <w:jc w:val="both"/>
        <w:rPr>
          <w:sz w:val="20"/>
        </w:rPr>
      </w:pPr>
      <w:r w:rsidRPr="000E1CBF">
        <w:rPr>
          <w:rStyle w:val="FootnoteReference"/>
          <w:sz w:val="20"/>
        </w:rPr>
        <w:footnoteRef/>
      </w:r>
      <w:r w:rsidRPr="000E1CBF">
        <w:rPr>
          <w:sz w:val="20"/>
        </w:rPr>
        <w:t xml:space="preserve"> </w:t>
      </w:r>
      <w:r w:rsidRPr="000E1CBF">
        <w:rPr>
          <w:rFonts w:hint="cs"/>
          <w:sz w:val="20"/>
          <w:rtl/>
        </w:rPr>
        <w:t>أنظر</w:t>
      </w:r>
      <w:r w:rsidRPr="000E1CBF">
        <w:rPr>
          <w:sz w:val="20"/>
        </w:rPr>
        <w:t xml:space="preserve"> A/HRC/36/33 (2017)</w:t>
      </w:r>
      <w:r w:rsidRPr="000E1CBF">
        <w:rPr>
          <w:rFonts w:hint="cs"/>
          <w:sz w:val="20"/>
          <w:rtl/>
        </w:rPr>
        <w:t>و</w:t>
      </w:r>
      <w:r w:rsidRPr="000E1CBF">
        <w:rPr>
          <w:sz w:val="20"/>
        </w:rPr>
        <w:t xml:space="preserve"> A/HRC/33/38 (2016)</w:t>
      </w:r>
      <w:r w:rsidRPr="000E1CBF">
        <w:rPr>
          <w:rFonts w:hint="cs"/>
          <w:sz w:val="20"/>
          <w:rtl/>
        </w:rPr>
        <w:t>و</w:t>
      </w:r>
      <w:r w:rsidRPr="000E1CBF">
        <w:rPr>
          <w:sz w:val="20"/>
        </w:rPr>
        <w:t xml:space="preserve"> A/HRC/30/31 (2015) </w:t>
      </w:r>
    </w:p>
  </w:footnote>
  <w:footnote w:id="10">
    <w:p w14:paraId="13BC230B" w14:textId="10557AE1" w:rsidR="00A1624A" w:rsidRPr="00F95472" w:rsidRDefault="00A1624A" w:rsidP="00B81240">
      <w:pPr>
        <w:pStyle w:val="FootnoteText"/>
        <w:tabs>
          <w:tab w:val="clear" w:pos="1021"/>
        </w:tabs>
        <w:bidi/>
        <w:ind w:left="851" w:firstLine="0"/>
        <w:jc w:val="both"/>
        <w:rPr>
          <w:szCs w:val="18"/>
          <w:lang w:val="en-US"/>
        </w:rPr>
      </w:pPr>
      <w:r w:rsidRPr="000E1CBF">
        <w:rPr>
          <w:rStyle w:val="FootnoteReference"/>
          <w:sz w:val="20"/>
        </w:rPr>
        <w:footnoteRef/>
      </w:r>
      <w:r w:rsidRPr="000E1CBF">
        <w:rPr>
          <w:sz w:val="20"/>
        </w:rPr>
        <w:t>A/HRC/RES/36/31</w:t>
      </w:r>
      <w:r w:rsidRPr="000E1CBF">
        <w:rPr>
          <w:rFonts w:hint="cs"/>
          <w:sz w:val="20"/>
          <w:rtl/>
        </w:rPr>
        <w:t xml:space="preserve"> الفقرة 12 (أ)</w:t>
      </w:r>
    </w:p>
  </w:footnote>
  <w:footnote w:id="11">
    <w:p w14:paraId="3CE779A5" w14:textId="7FD086F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على الأقل في النزاعات المسلحة الدولية، تستند القواعد إلى المساواة بين المتحاربين.</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في النزاعات المسلحة غير الدولية، لا يوجد أي أساس سياسي لتأكيد هذه المساواة.</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في حين أن القتال قد يبدو في كثير من الأحيان وكأنه قتال في نزاع مسلح دولي، فإن وضع المقاتلين كمجرمين في القانون المحلي له مجموعة متنوعة من العواقب على قواعد</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النزاعات المسلحة غير الدولية، بما في ذلك احتمال تنفيذها وتطبيقها من قبل</w:t>
      </w:r>
      <w:r w:rsidRPr="00474265">
        <w:rPr>
          <w:rStyle w:val="tlid-translation"/>
          <w:rFonts w:ascii="Traditional Arabic" w:hAnsi="Traditional Arabic" w:cs="Traditional Arabic"/>
          <w:sz w:val="22"/>
          <w:szCs w:val="22"/>
          <w:rtl/>
          <w:lang w:bidi="ar"/>
        </w:rPr>
        <w:t xml:space="preserve"> </w:t>
      </w:r>
      <w:r w:rsidRPr="00474265">
        <w:rPr>
          <w:rStyle w:val="tlid-translation"/>
          <w:rFonts w:ascii="Traditional Arabic" w:hAnsi="Traditional Arabic" w:cs="Traditional Arabic"/>
          <w:sz w:val="22"/>
          <w:szCs w:val="22"/>
          <w:rtl/>
        </w:rPr>
        <w:t>الجهات الفاعلة غير الحكومية</w:t>
      </w:r>
      <w:r w:rsidRPr="00474265">
        <w:rPr>
          <w:rStyle w:val="tlid-translation"/>
          <w:rFonts w:ascii="Traditional Arabic" w:hAnsi="Traditional Arabic" w:cs="Traditional Arabic"/>
          <w:sz w:val="22"/>
          <w:szCs w:val="22"/>
          <w:lang w:bidi="ar"/>
        </w:rPr>
        <w:t>.</w:t>
      </w:r>
    </w:p>
  </w:footnote>
  <w:footnote w:id="12">
    <w:p w14:paraId="40D8DBE7" w14:textId="6A9BC9F4"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أنظر المادة 1، البروتوكول الإضافي الثاني</w:t>
      </w:r>
    </w:p>
  </w:footnote>
  <w:footnote w:id="13">
    <w:p w14:paraId="5E29E635" w14:textId="1D76AFB7" w:rsidR="00A1624A" w:rsidRPr="00910A89" w:rsidRDefault="00A1624A" w:rsidP="00B81240">
      <w:pPr>
        <w:pStyle w:val="FootnoteText"/>
        <w:tabs>
          <w:tab w:val="clear" w:pos="1021"/>
        </w:tabs>
        <w:bidi/>
        <w:ind w:left="851" w:firstLine="0"/>
        <w:jc w:val="both"/>
        <w:rPr>
          <w:rFonts w:asciiTheme="majorBidi" w:hAnsiTheme="majorBidi" w:cstheme="majorBidi"/>
          <w:sz w:val="20"/>
          <w:rtl/>
          <w:lang w:bidi="ar-JO"/>
        </w:rPr>
      </w:pPr>
      <w:r w:rsidRPr="00910A89">
        <w:rPr>
          <w:rStyle w:val="FootnoteReference"/>
          <w:rFonts w:asciiTheme="majorBidi" w:hAnsiTheme="majorBidi" w:cstheme="majorBidi"/>
          <w:sz w:val="20"/>
        </w:rPr>
        <w:footnoteRef/>
      </w:r>
      <w:r w:rsidRPr="00910A89">
        <w:rPr>
          <w:rFonts w:asciiTheme="majorBidi" w:hAnsiTheme="majorBidi" w:cstheme="majorBidi"/>
          <w:sz w:val="20"/>
        </w:rPr>
        <w:t>See e.g. Françoise Bouchet-Saulnier, “The Practical Guide to Humanitarian Law”, MSF, December 2013, on Non-State Armed Groups, p. 438 ff.</w:t>
      </w:r>
    </w:p>
  </w:footnote>
  <w:footnote w:id="14">
    <w:p w14:paraId="48882ADA" w14:textId="7BFF6825"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31 أيار/ مايو 2019، رسالة من سلطات الأمر الواقع ردًا على السؤال رقم 15</w:t>
      </w:r>
      <w:r w:rsidRPr="00474265">
        <w:rPr>
          <w:rFonts w:ascii="Traditional Arabic" w:hAnsi="Traditional Arabic" w:cs="Traditional Arabic"/>
          <w:sz w:val="22"/>
          <w:szCs w:val="22"/>
        </w:rPr>
        <w:t>.</w:t>
      </w:r>
    </w:p>
  </w:footnote>
  <w:footnote w:id="15">
    <w:p w14:paraId="4061AB26" w14:textId="6FFF25BB" w:rsidR="00A1624A" w:rsidRDefault="00A1624A" w:rsidP="00B81240">
      <w:pPr>
        <w:pStyle w:val="FootnoteText"/>
        <w:tabs>
          <w:tab w:val="clear" w:pos="1021"/>
        </w:tabs>
        <w:bidi/>
        <w:ind w:left="851" w:firstLine="0"/>
        <w:jc w:val="both"/>
        <w:rPr>
          <w:sz w:val="20"/>
        </w:rPr>
      </w:pPr>
      <w:r w:rsidRPr="000E1CBF">
        <w:rPr>
          <w:rStyle w:val="FootnoteReference"/>
          <w:sz w:val="20"/>
        </w:rPr>
        <w:footnoteRef/>
      </w:r>
      <w:r w:rsidRPr="00112A0A">
        <w:t>Jean-Marie Henckaerts and Louise Doswald-Beck, “Customary International Humanitarian Law,”, ICRC/Cambridge, 2005</w:t>
      </w:r>
    </w:p>
    <w:p w14:paraId="2D312C87" w14:textId="19067CB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Fonts w:ascii="Traditional Arabic" w:hAnsi="Traditional Arabic" w:cs="Traditional Arabic"/>
          <w:sz w:val="22"/>
          <w:szCs w:val="22"/>
          <w:rtl/>
        </w:rPr>
        <w:t>(</w:t>
      </w:r>
      <w:r w:rsidRPr="00474265">
        <w:rPr>
          <w:rStyle w:val="tlid-translation"/>
          <w:rFonts w:ascii="Traditional Arabic" w:hAnsi="Traditional Arabic" w:cs="Traditional Arabic"/>
          <w:sz w:val="22"/>
          <w:szCs w:val="22"/>
          <w:rtl/>
        </w:rPr>
        <w:t xml:space="preserve">سيتم ذكرها لاحقًا كـ"دراسة اللجنة الدولية للصليب الأحمر حول القانون الدولي الإنساني العرفي").  </w:t>
      </w:r>
      <w:r w:rsidRPr="00474265">
        <w:rPr>
          <w:rFonts w:ascii="Traditional Arabic" w:hAnsi="Traditional Arabic" w:cs="Traditional Arabic"/>
          <w:sz w:val="22"/>
          <w:szCs w:val="22"/>
        </w:rPr>
        <w:t xml:space="preserve"> </w:t>
      </w:r>
    </w:p>
  </w:footnote>
  <w:footnote w:id="16">
    <w:p w14:paraId="7BD1EEDC" w14:textId="32D672EC" w:rsidR="00A1624A" w:rsidRPr="00474265" w:rsidRDefault="00A1624A" w:rsidP="00B81240">
      <w:pPr>
        <w:pStyle w:val="FootnoteText"/>
        <w:tabs>
          <w:tab w:val="clear" w:pos="1021"/>
        </w:tabs>
        <w:bidi/>
        <w:ind w:left="851" w:firstLine="0"/>
        <w:jc w:val="both"/>
        <w:rPr>
          <w:rFonts w:ascii="Traditional Arabic" w:hAnsi="Traditional Arabic" w:cs="Traditional Arabic"/>
          <w:sz w:val="26"/>
          <w:szCs w:val="26"/>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عندما تشير الهوامش إلى دراسة اللجنة الدولية للصليب الأحمر حول القانون الدولي الإنساني العرفي، ينبغي أن تؤخذ على أنها تشير إلى السلطات القانونية المختلفة المذكورة في التعليق على القواعد الفردية</w:t>
      </w:r>
      <w:r w:rsidRPr="00474265">
        <w:rPr>
          <w:rStyle w:val="tlid-translation"/>
          <w:rFonts w:ascii="Traditional Arabic" w:hAnsi="Traditional Arabic" w:cs="Traditional Arabic"/>
          <w:sz w:val="22"/>
          <w:szCs w:val="22"/>
          <w:lang w:bidi="ar"/>
        </w:rPr>
        <w:t>.</w:t>
      </w:r>
    </w:p>
  </w:footnote>
  <w:footnote w:id="17">
    <w:p w14:paraId="2284C722" w14:textId="75BB840D"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انظر التعليق حول المادة 1 من معاهدات جنيف، أنظر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144.  </w:t>
      </w:r>
    </w:p>
  </w:footnote>
  <w:footnote w:id="18">
    <w:p w14:paraId="6653F034" w14:textId="3ACEF0F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محكمة العدل الدولية، </w:t>
      </w:r>
      <w:r w:rsidRPr="00474265">
        <w:rPr>
          <w:rFonts w:ascii="Traditional Arabic" w:hAnsi="Traditional Arabic" w:cs="Traditional Arabic"/>
          <w:i/>
          <w:iCs/>
          <w:sz w:val="22"/>
          <w:szCs w:val="22"/>
          <w:rtl/>
        </w:rPr>
        <w:t>مشروعية التهديد أو استخدام الأسلحة النووية</w:t>
      </w:r>
      <w:r w:rsidRPr="00474265">
        <w:rPr>
          <w:rFonts w:ascii="Traditional Arabic" w:hAnsi="Traditional Arabic" w:cs="Traditional Arabic"/>
          <w:sz w:val="22"/>
          <w:szCs w:val="22"/>
          <w:rtl/>
        </w:rPr>
        <w:t>، فتوى 8 تموز/ يوليو 1996، تقارير محكمة العدل الدولية 1996، الفقرة 25</w:t>
      </w:r>
    </w:p>
  </w:footnote>
  <w:footnote w:id="19">
    <w:p w14:paraId="3D32E849" w14:textId="09E38F12" w:rsidR="00A1624A" w:rsidRPr="000E1CBF" w:rsidRDefault="00A1624A" w:rsidP="00B81240">
      <w:pPr>
        <w:pStyle w:val="FootnoteText"/>
        <w:tabs>
          <w:tab w:val="clear" w:pos="1021"/>
        </w:tabs>
        <w:bidi/>
        <w:ind w:left="851" w:firstLine="0"/>
        <w:rPr>
          <w:sz w:val="20"/>
          <w:lang w:bidi="ar"/>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tl/>
        </w:rPr>
        <w:t xml:space="preserve"> محكمة العدل الدولية، </w:t>
      </w:r>
      <w:r w:rsidRPr="00474265">
        <w:rPr>
          <w:rFonts w:ascii="Traditional Arabic" w:hAnsi="Traditional Arabic" w:cs="Traditional Arabic"/>
          <w:i/>
          <w:iCs/>
          <w:sz w:val="22"/>
          <w:szCs w:val="22"/>
          <w:rtl/>
        </w:rPr>
        <w:t xml:space="preserve">الآثار القانونية لبناء جدار في الأراضي الفلسطينية المحتلة، </w:t>
      </w:r>
      <w:r w:rsidRPr="00474265">
        <w:rPr>
          <w:rFonts w:ascii="Traditional Arabic" w:hAnsi="Traditional Arabic" w:cs="Traditional Arabic"/>
          <w:sz w:val="22"/>
          <w:szCs w:val="22"/>
          <w:rtl/>
        </w:rPr>
        <w:t>فتوى 9 تموز/ يوليو 2004، تقارير محكمة العدل الدولية 2004، الفقرة 106.</w:t>
      </w:r>
      <w:r w:rsidRPr="000E1CBF">
        <w:rPr>
          <w:rFonts w:asciiTheme="majorBidi" w:hAnsiTheme="majorBidi" w:cstheme="majorBidi" w:hint="cs"/>
          <w:sz w:val="20"/>
          <w:rtl/>
        </w:rPr>
        <w:t xml:space="preserve"> </w:t>
      </w:r>
    </w:p>
  </w:footnote>
  <w:footnote w:id="20">
    <w:p w14:paraId="433E5ABB" w14:textId="77777777" w:rsidR="00A1624A" w:rsidRDefault="00A1624A" w:rsidP="00B81240">
      <w:pPr>
        <w:pStyle w:val="FootnoteText"/>
        <w:tabs>
          <w:tab w:val="clear" w:pos="1021"/>
        </w:tabs>
        <w:bidi/>
        <w:ind w:left="851" w:firstLine="0"/>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أنظر الموقع الإلكتروني لمفوضية الأمم المتحدة السامية لحقوق الإنسان حول حالة تصديق اليمن</w:t>
      </w:r>
      <w:r w:rsidRPr="000E1CBF">
        <w:rPr>
          <w:rFonts w:hint="cs"/>
          <w:sz w:val="20"/>
          <w:rtl/>
        </w:rPr>
        <w:t xml:space="preserve"> </w:t>
      </w:r>
      <w:r w:rsidRPr="000E1CBF">
        <w:rPr>
          <w:sz w:val="20"/>
          <w:lang w:val="en-US"/>
        </w:rPr>
        <w:t xml:space="preserve"> </w:t>
      </w:r>
    </w:p>
    <w:p w14:paraId="349550DF" w14:textId="57506BA4" w:rsidR="00A1624A" w:rsidRPr="000E1CBF" w:rsidRDefault="00A1624A" w:rsidP="00B81240">
      <w:pPr>
        <w:pStyle w:val="FootnoteText"/>
        <w:tabs>
          <w:tab w:val="clear" w:pos="1021"/>
        </w:tabs>
        <w:bidi/>
        <w:ind w:left="851" w:firstLine="0"/>
        <w:rPr>
          <w:sz w:val="20"/>
          <w:lang w:val="en-US"/>
        </w:rPr>
      </w:pPr>
      <w:r w:rsidRPr="000E1CBF">
        <w:rPr>
          <w:sz w:val="20"/>
          <w:lang w:val="en-US"/>
        </w:rPr>
        <w:t>(</w:t>
      </w:r>
      <w:hyperlink r:id="rId1" w:history="1">
        <w:r w:rsidRPr="000E1CBF">
          <w:rPr>
            <w:rStyle w:val="Hyperlink"/>
            <w:sz w:val="20"/>
          </w:rPr>
          <w:t>https://tbinternet.ohchr.org/_layouts/15/TreatyBodyExternal/Treaty.aspx?CountryID=193&amp;Lang=EN</w:t>
        </w:r>
      </w:hyperlink>
      <w:r w:rsidRPr="000E1CBF">
        <w:rPr>
          <w:sz w:val="20"/>
        </w:rPr>
        <w:t>)</w:t>
      </w:r>
    </w:p>
  </w:footnote>
  <w:footnote w:id="21">
    <w:p w14:paraId="2978F2A7" w14:textId="429868C9" w:rsidR="00A1624A" w:rsidRPr="00474265" w:rsidRDefault="00A1624A" w:rsidP="00B81240">
      <w:pPr>
        <w:pStyle w:val="FootnoteText"/>
        <w:tabs>
          <w:tab w:val="clear" w:pos="1021"/>
        </w:tabs>
        <w:bidi/>
        <w:ind w:left="851" w:firstLine="0"/>
        <w:rPr>
          <w:rFonts w:ascii="Traditional Arabic" w:hAnsi="Traditional Arabic" w:cs="Traditional Arabic"/>
          <w:sz w:val="20"/>
          <w:rtl/>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Style w:val="tlid-translation"/>
          <w:rFonts w:ascii="Traditional Arabic" w:hAnsi="Traditional Arabic" w:cs="Traditional Arabic"/>
          <w:sz w:val="20"/>
          <w:rtl/>
        </w:rPr>
        <w:t>وقع اليمن على نظام روما الأساسي في 28 كانون الأول/ ديسمبر 2000، لكنه لم يصدق عليه قط.</w:t>
      </w:r>
    </w:p>
  </w:footnote>
  <w:footnote w:id="22">
    <w:p w14:paraId="412FCE8B" w14:textId="0B10604E" w:rsidR="00A1624A" w:rsidRPr="00474265" w:rsidRDefault="00A1624A" w:rsidP="00B81240">
      <w:pPr>
        <w:pStyle w:val="FootnoteText"/>
        <w:tabs>
          <w:tab w:val="clear" w:pos="1021"/>
        </w:tabs>
        <w:bidi/>
        <w:ind w:left="851" w:firstLine="0"/>
        <w:rPr>
          <w:rFonts w:ascii="Traditional Arabic" w:hAnsi="Traditional Arabic" w:cs="Traditional Arabic"/>
          <w:sz w:val="20"/>
          <w:rtl/>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Style w:val="tlid-translation"/>
          <w:rFonts w:ascii="Traditional Arabic" w:hAnsi="Traditional Arabic" w:cs="Traditional Arabic"/>
          <w:sz w:val="20"/>
          <w:rtl/>
        </w:rPr>
        <w:t>الأردن والسنغال هما الدولتين الوحيدتين الطرفين في نظام روما الأساسي من بين الدول الأعضاء في التحالف.</w:t>
      </w:r>
      <w:r w:rsidRPr="00474265">
        <w:rPr>
          <w:rFonts w:ascii="Traditional Arabic" w:hAnsi="Traditional Arabic" w:cs="Traditional Arabic"/>
          <w:sz w:val="20"/>
        </w:rPr>
        <w:t xml:space="preserve"> </w:t>
      </w:r>
    </w:p>
  </w:footnote>
  <w:footnote w:id="23">
    <w:p w14:paraId="41CD5EA5" w14:textId="7C6787D0" w:rsidR="00A1624A" w:rsidRPr="00474265" w:rsidRDefault="00A1624A" w:rsidP="00B81240">
      <w:pPr>
        <w:pStyle w:val="FootnoteText"/>
        <w:tabs>
          <w:tab w:val="clear" w:pos="1021"/>
        </w:tabs>
        <w:bidi/>
        <w:ind w:left="851" w:firstLine="0"/>
        <w:rPr>
          <w:rFonts w:ascii="Traditional Arabic" w:hAnsi="Traditional Arabic" w:cs="Traditional Arabic"/>
          <w:sz w:val="20"/>
          <w:rtl/>
          <w:lang w:bidi="ar-JO"/>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 xml:space="preserve">دراسة اللجنة الدولية للصليب الأحمر حول القانون الدولي الإنساني العرفي، القاعدة 151. </w:t>
      </w:r>
    </w:p>
  </w:footnote>
  <w:footnote w:id="24">
    <w:p w14:paraId="4AE0CDC2" w14:textId="37CCD947" w:rsidR="00A1624A" w:rsidRPr="00474265" w:rsidRDefault="00A1624A" w:rsidP="00B81240">
      <w:pPr>
        <w:pStyle w:val="FootnoteText"/>
        <w:tabs>
          <w:tab w:val="clear" w:pos="1021"/>
        </w:tabs>
        <w:bidi/>
        <w:ind w:left="851" w:firstLine="0"/>
        <w:rPr>
          <w:rFonts w:ascii="Traditional Arabic" w:hAnsi="Traditional Arabic" w:cs="Traditional Arabic"/>
          <w:rtl/>
          <w:lang w:bidi="ar-JO"/>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دراسة اللجنة الدولية للصليب الأحمر حول القانون الدولي الإنساني العرفي، القاعدة 156.</w:t>
      </w:r>
      <w:r w:rsidRPr="00474265">
        <w:rPr>
          <w:rStyle w:val="tlid-translation"/>
          <w:rFonts w:ascii="Traditional Arabic" w:hAnsi="Traditional Arabic" w:cs="Traditional Arabic"/>
          <w:rtl/>
        </w:rPr>
        <w:t xml:space="preserve"> </w:t>
      </w:r>
    </w:p>
  </w:footnote>
  <w:footnote w:id="25">
    <w:p w14:paraId="608F0021" w14:textId="40B21F67"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0"/>
        </w:rPr>
        <w:footnoteRef/>
      </w:r>
      <w:r w:rsidRPr="00474265">
        <w:rPr>
          <w:rFonts w:ascii="Traditional Arabic" w:hAnsi="Traditional Arabic" w:cs="Traditional Arabic"/>
          <w:sz w:val="20"/>
        </w:rPr>
        <w:t xml:space="preserve"> </w:t>
      </w:r>
      <w:r w:rsidRPr="00474265">
        <w:rPr>
          <w:rFonts w:ascii="Traditional Arabic" w:hAnsi="Traditional Arabic" w:cs="Traditional Arabic"/>
          <w:sz w:val="20"/>
          <w:rtl/>
        </w:rPr>
        <w:t xml:space="preserve">أنظر </w:t>
      </w:r>
      <w:r w:rsidRPr="00474265">
        <w:rPr>
          <w:rStyle w:val="tlid-translation"/>
          <w:rFonts w:ascii="Traditional Arabic" w:hAnsi="Traditional Arabic" w:cs="Traditional Arabic"/>
          <w:sz w:val="20"/>
          <w:rtl/>
        </w:rPr>
        <w:t xml:space="preserve">دراسة اللجنة الدولية للصليب الأحمر حول القانون الدولي الإنساني العرفي، القواعد 151-153. </w:t>
      </w:r>
    </w:p>
  </w:footnote>
  <w:footnote w:id="26">
    <w:p w14:paraId="3C375235" w14:textId="04D1FD0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على سبيل المثال، القواعد المتعلقة بقوانين وأعراف الحرب البرية، المضمنة في الملحق 4 في ما يخص احترام قوانين وأعراف الحرب البرية، لاهاي 1907. </w:t>
      </w:r>
    </w:p>
  </w:footnote>
  <w:footnote w:id="27">
    <w:p w14:paraId="50E96E80" w14:textId="23C61E29"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بعض</w:t>
      </w:r>
      <w:r w:rsidRPr="00474265">
        <w:rPr>
          <w:rStyle w:val="tlid-translation"/>
          <w:rFonts w:ascii="Traditional Arabic" w:hAnsi="Traditional Arabic" w:cs="Traditional Arabic"/>
          <w:sz w:val="22"/>
          <w:szCs w:val="22"/>
          <w:rtl/>
        </w:rPr>
        <w:t xml:space="preserve"> أفراد القوات المسلحة، مثل أفراد الخدمات الطبية و</w:t>
      </w:r>
      <w:r>
        <w:rPr>
          <w:rStyle w:val="tlid-translation"/>
          <w:rFonts w:ascii="Traditional Arabic" w:hAnsi="Traditional Arabic" w:cs="Traditional Arabic" w:hint="cs"/>
          <w:sz w:val="22"/>
          <w:szCs w:val="22"/>
          <w:rtl/>
        </w:rPr>
        <w:t>رجال الدين العسكريين</w:t>
      </w:r>
      <w:r w:rsidRPr="00474265">
        <w:rPr>
          <w:rStyle w:val="tlid-translation"/>
          <w:rFonts w:ascii="Traditional Arabic" w:hAnsi="Traditional Arabic" w:cs="Traditional Arabic"/>
          <w:sz w:val="22"/>
          <w:szCs w:val="22"/>
          <w:rtl/>
        </w:rPr>
        <w:t>، هم أفراد في القوات (على سبيل المثال، يرتدون الزي العسكري ولديهم رتب) لكن لا يُسمح لهم بالمشاركة في القتال.لا يمكن استهدافهم بشرط ألا يشاركوا في القتال، ولكن يكونوا عرضة للخطر بسبب مواقعهم. يمكن للعاملين الطبيين العسكريين حمل أسلحة صغيرة للدفاع عن مرضاهم.</w:t>
      </w:r>
      <w:r w:rsidRPr="00474265">
        <w:rPr>
          <w:rStyle w:val="tlid-translation"/>
          <w:rFonts w:ascii="Traditional Arabic" w:hAnsi="Traditional Arabic" w:cs="Traditional Arabic"/>
          <w:sz w:val="22"/>
          <w:szCs w:val="22"/>
          <w:lang w:bidi="ar"/>
        </w:rPr>
        <w:t xml:space="preserve"> </w:t>
      </w:r>
      <w:r w:rsidRPr="00474265">
        <w:rPr>
          <w:rStyle w:val="tlid-translation"/>
          <w:rFonts w:ascii="Traditional Arabic" w:hAnsi="Traditional Arabic" w:cs="Traditional Arabic"/>
          <w:sz w:val="22"/>
          <w:szCs w:val="22"/>
          <w:rtl/>
        </w:rPr>
        <w:t>انظر دراسة اللجنة الدولية للصليب الأحمر حول القانون الدولي الإنساني العرفي، القاعدة 3.</w:t>
      </w:r>
      <w:r w:rsidRPr="000E1CBF">
        <w:rPr>
          <w:rStyle w:val="tlid-translation"/>
          <w:rFonts w:hint="cs"/>
          <w:sz w:val="20"/>
          <w:rtl/>
        </w:rPr>
        <w:t xml:space="preserve"> </w:t>
      </w:r>
    </w:p>
  </w:footnote>
  <w:footnote w:id="28">
    <w:p w14:paraId="2640F773" w14:textId="1C0ED01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النشاط العسكري لا يقتصر على مجرد إطلاق النار من الأسلحة، إنما يشمل أيضًا، على سبيل المثال، جمع الإمدادات العسكرية</w:t>
      </w:r>
      <w:r w:rsidRPr="00474265">
        <w:rPr>
          <w:rStyle w:val="tlid-translation"/>
          <w:rFonts w:ascii="Traditional Arabic" w:hAnsi="Traditional Arabic" w:cs="Traditional Arabic"/>
          <w:sz w:val="22"/>
          <w:szCs w:val="22"/>
          <w:lang w:bidi="ar"/>
        </w:rPr>
        <w:t>.</w:t>
      </w:r>
    </w:p>
  </w:footnote>
  <w:footnote w:id="29">
    <w:p w14:paraId="2561AD2D" w14:textId="5DCA65C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اتفاقية لاهاي الرابعة لعام 1907 الخاصة باحترام قوانين وأعراف الحرب البرية، الأنظمة المرفقة، الفقرة 1، انظر في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4. </w:t>
      </w:r>
    </w:p>
  </w:footnote>
  <w:footnote w:id="30">
    <w:p w14:paraId="1D85165F" w14:textId="1A09014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هذا نتيجة عدم إعطاء صفة المقاتلين ضمن النزاع المسلح غير الدولي. </w:t>
      </w:r>
    </w:p>
  </w:footnote>
  <w:footnote w:id="31">
    <w:p w14:paraId="15B7F9D4" w14:textId="1EED57C9"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 و5 و6. </w:t>
      </w:r>
    </w:p>
  </w:footnote>
  <w:footnote w:id="32">
    <w:p w14:paraId="3FE43206" w14:textId="7846C602"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اللجنة الدولية للصليب الأحمر، التوجيه التفسيري حول مفهوم المشاركة المباشرة في الأعمال العدائية بموجب القانون الدولي الإنساني، أيار/ مايو 2009</w:t>
      </w:r>
      <w:r w:rsidRPr="00474265">
        <w:rPr>
          <w:rStyle w:val="tlid-translation"/>
          <w:rFonts w:ascii="Traditional Arabic" w:hAnsi="Traditional Arabic" w:cs="Traditional Arabic"/>
          <w:sz w:val="22"/>
          <w:szCs w:val="22"/>
          <w:lang w:bidi="ar"/>
        </w:rPr>
        <w:t>.</w:t>
      </w:r>
    </w:p>
  </w:footnote>
  <w:footnote w:id="33">
    <w:p w14:paraId="3FBBE7B5" w14:textId="7555EBFE"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بشكل عام إلى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6. </w:t>
      </w:r>
    </w:p>
  </w:footnote>
  <w:footnote w:id="34">
    <w:p w14:paraId="199F9E88" w14:textId="71D1A9C5"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لا يقتصر الهدف على الأعيان مثل المباني والمركبات. يمكنه، على سبيل المثال أن يكون مساحة من أرض.  </w:t>
      </w:r>
    </w:p>
  </w:footnote>
  <w:footnote w:id="35">
    <w:p w14:paraId="1B918839" w14:textId="0FD2FDD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7. </w:t>
      </w:r>
    </w:p>
  </w:footnote>
  <w:footnote w:id="36">
    <w:p w14:paraId="53277CAE" w14:textId="196FC6DD"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8.  </w:t>
      </w:r>
    </w:p>
  </w:footnote>
  <w:footnote w:id="37">
    <w:p w14:paraId="2CE70D5B" w14:textId="0A02ADB9"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وزارة الدفاع دليل قانون الحرب (كما تم تعديله) </w:t>
      </w:r>
      <w:r w:rsidRPr="00474265">
        <w:rPr>
          <w:rFonts w:ascii="Traditional Arabic" w:hAnsi="Traditional Arabic" w:cs="Traditional Arabic"/>
          <w:sz w:val="22"/>
          <w:szCs w:val="22"/>
          <w:lang w:val="en-US"/>
        </w:rPr>
        <w:t>5.6.6.2</w:t>
      </w:r>
      <w:r w:rsidRPr="00474265">
        <w:rPr>
          <w:rFonts w:ascii="Traditional Arabic" w:hAnsi="Traditional Arabic" w:cs="Traditional Arabic"/>
          <w:sz w:val="22"/>
          <w:szCs w:val="22"/>
          <w:rtl/>
          <w:lang w:val="en-US"/>
        </w:rPr>
        <w:t xml:space="preserve"> (سابقًا </w:t>
      </w:r>
      <w:r w:rsidRPr="00474265">
        <w:rPr>
          <w:rFonts w:ascii="Traditional Arabic" w:hAnsi="Traditional Arabic" w:cs="Traditional Arabic"/>
          <w:sz w:val="22"/>
          <w:szCs w:val="22"/>
          <w:lang w:val="en-US"/>
        </w:rPr>
        <w:t>5.7.6.2</w:t>
      </w:r>
      <w:r w:rsidRPr="00474265">
        <w:rPr>
          <w:rFonts w:ascii="Traditional Arabic" w:hAnsi="Traditional Arabic" w:cs="Traditional Arabic"/>
          <w:sz w:val="22"/>
          <w:szCs w:val="22"/>
          <w:rtl/>
          <w:lang w:val="en-US"/>
        </w:rPr>
        <w:t>)</w:t>
      </w:r>
    </w:p>
  </w:footnote>
  <w:footnote w:id="38">
    <w:p w14:paraId="36F83659" w14:textId="55C1884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يساهم </w:t>
      </w:r>
      <w:r w:rsidRPr="00474265">
        <w:rPr>
          <w:rStyle w:val="tlid-translation"/>
          <w:rFonts w:ascii="Traditional Arabic" w:hAnsi="Traditional Arabic" w:cs="Traditional Arabic"/>
          <w:sz w:val="22"/>
          <w:szCs w:val="22"/>
          <w:rtl/>
        </w:rPr>
        <w:t>بيع النفط أو الغاز على سبيل المثال، ماديًا في الخزينة العامة، إنما لا يبدو وأن أي مصنع صغير في ذات ملكية خاصة ينتج الأدوية وغيرها من المنتجات الصيدلانية يمكنه فعل ذلك، حتى لو كان يصدّر بعض المنتجات</w:t>
      </w:r>
      <w:r w:rsidRPr="00474265">
        <w:rPr>
          <w:rStyle w:val="tlid-translation"/>
          <w:rFonts w:ascii="Traditional Arabic" w:hAnsi="Traditional Arabic" w:cs="Traditional Arabic"/>
          <w:sz w:val="22"/>
          <w:szCs w:val="22"/>
          <w:lang w:bidi="ar"/>
        </w:rPr>
        <w:t>.</w:t>
      </w:r>
    </w:p>
  </w:footnote>
  <w:footnote w:id="39">
    <w:p w14:paraId="6B49C973" w14:textId="3B103E9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على سبيل المثال، محطة إذاعية أو تلفزيونية لا تُستخدم لنقل الرسائل إلى القوات المسلحة ولكن تُستخدم برامجها عمومًا لتشجيع الدعم الحكومي</w:t>
      </w:r>
      <w:r w:rsidRPr="00474265">
        <w:rPr>
          <w:rStyle w:val="tlid-translation"/>
          <w:rFonts w:ascii="Traditional Arabic" w:hAnsi="Traditional Arabic" w:cs="Traditional Arabic"/>
          <w:sz w:val="22"/>
          <w:szCs w:val="22"/>
          <w:lang w:bidi="ar"/>
        </w:rPr>
        <w:t>.</w:t>
      </w:r>
      <w:r w:rsidRPr="00474265">
        <w:rPr>
          <w:rStyle w:val="tlid-translation"/>
          <w:rFonts w:ascii="Traditional Arabic" w:hAnsi="Traditional Arabic" w:cs="Traditional Arabic"/>
          <w:sz w:val="22"/>
          <w:szCs w:val="22"/>
          <w:rtl/>
        </w:rPr>
        <w:t xml:space="preserve"> تم لاعتراف بالدعاية كنشاط حكومي عادي ضمن محاكمة فريتش؛ حكم المحكمة العسكرية الدولية في نورمبرغ، </w:t>
      </w:r>
      <w:r w:rsidRPr="00474265">
        <w:rPr>
          <w:rFonts w:asciiTheme="majorBidi" w:hAnsiTheme="majorBidi" w:cstheme="majorBidi"/>
          <w:sz w:val="20"/>
          <w:lang w:val="en-US"/>
        </w:rPr>
        <w:t xml:space="preserve">41 AJIL </w:t>
      </w:r>
      <w:r w:rsidRPr="00474265">
        <w:rPr>
          <w:rFonts w:ascii="Traditional Arabic" w:hAnsi="Traditional Arabic" w:cs="Traditional Arabic"/>
          <w:sz w:val="22"/>
          <w:szCs w:val="22"/>
          <w:lang w:val="en-US"/>
        </w:rPr>
        <w:t>(1947)</w:t>
      </w:r>
      <w:r w:rsidRPr="00474265">
        <w:rPr>
          <w:rFonts w:ascii="Traditional Arabic" w:hAnsi="Traditional Arabic" w:cs="Traditional Arabic"/>
          <w:sz w:val="22"/>
          <w:szCs w:val="22"/>
          <w:rtl/>
          <w:lang w:val="en-US"/>
        </w:rPr>
        <w:t xml:space="preserve">، صفحة 172 و328. بعد حملة قوات شمال الأطلسي ضد كوسوفو، </w:t>
      </w:r>
      <w:r w:rsidRPr="00474265">
        <w:rPr>
          <w:rStyle w:val="preferred"/>
          <w:rFonts w:ascii="Traditional Arabic" w:hAnsi="Traditional Arabic" w:cs="Traditional Arabic"/>
          <w:sz w:val="22"/>
          <w:szCs w:val="22"/>
          <w:rtl/>
        </w:rPr>
        <w:t xml:space="preserve">أسّس </w:t>
      </w:r>
      <w:r w:rsidRPr="00474265">
        <w:rPr>
          <w:rFonts w:ascii="Traditional Arabic" w:hAnsi="Traditional Arabic" w:cs="Traditional Arabic"/>
          <w:sz w:val="22"/>
          <w:szCs w:val="22"/>
          <w:rtl/>
          <w:lang w:val="en-US"/>
        </w:rPr>
        <w:t xml:space="preserve">المدعي في </w:t>
      </w:r>
      <w:r w:rsidRPr="00474265">
        <w:rPr>
          <w:rStyle w:val="preferred"/>
          <w:rFonts w:ascii="Traditional Arabic" w:hAnsi="Traditional Arabic" w:cs="Traditional Arabic"/>
          <w:sz w:val="22"/>
          <w:szCs w:val="22"/>
          <w:rtl/>
        </w:rPr>
        <w:t>المحكمة الجنائية الدولية الخاصة بيوغوسلافيا السابقة فريق للتحقيق في حملة القصف الخاصة ب</w:t>
      </w:r>
      <w:r w:rsidRPr="00474265">
        <w:rPr>
          <w:rFonts w:ascii="Traditional Arabic" w:hAnsi="Traditional Arabic" w:cs="Traditional Arabic"/>
          <w:sz w:val="22"/>
          <w:szCs w:val="22"/>
          <w:rtl/>
          <w:lang w:val="en-US"/>
        </w:rPr>
        <w:t xml:space="preserve">قوات شمال الأطلسي ضد جمهورية يوغوسلافيا الإتحادية، بحسب اللجنة، في الفقرة 76: إذا حدث الهجوم... لأن المحطة كانت جزءًا من الآلة الدعائية، يكون الأساس القانوني أكثر إثارة للجدل. </w:t>
      </w:r>
      <w:r w:rsidRPr="00474265">
        <w:rPr>
          <w:rStyle w:val="tlid-translation"/>
          <w:rFonts w:ascii="Traditional Arabic" w:hAnsi="Traditional Arabic" w:cs="Traditional Arabic"/>
          <w:sz w:val="22"/>
          <w:szCs w:val="22"/>
          <w:rtl/>
        </w:rPr>
        <w:t>قد يساعد تعطيل الدعاية الحكومية في تقويض معنويات السكان والقوات المسلحة، لكن تبرير هجوم على منشأة مدنية على هذه الأسس وحده قد لا يفي بمعايير "المساهمة الفعالة في العمل العسكري" و"الميزة العسكرية المحددة" التي تتطلبها البروتوكولات الإضافية...</w:t>
      </w:r>
      <w:r w:rsidRPr="00474265">
        <w:rPr>
          <w:rStyle w:val="tlid-translation"/>
          <w:rFonts w:ascii="Traditional Arabic" w:hAnsi="Traditional Arabic" w:cs="Traditional Arabic"/>
          <w:sz w:val="22"/>
          <w:szCs w:val="22"/>
          <w:lang w:bidi="ar"/>
        </w:rPr>
        <w:t>"</w:t>
      </w:r>
    </w:p>
  </w:footnote>
  <w:footnote w:id="40">
    <w:p w14:paraId="5EDA92B3" w14:textId="7C08FB3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يجب أن تؤخذ مسألة التناسب في الحسبان – وهذا موضّح أدناه. يجب التذكير، فقط لأن الهدف يمكن مهاجمته قانونيًا، هذا لا يعني أنه من الحكمة العسكرية مهاجمته. القانون ليس بديلًا عن ممارسة القرار العملياتي. </w:t>
      </w:r>
    </w:p>
  </w:footnote>
  <w:footnote w:id="41">
    <w:p w14:paraId="2AD62897" w14:textId="738245D6"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يوجد مثل هذا الافتراض في قانون المعاهدات في النزاعات المسلحة الدولية: البروتوكول الإضافي الأول لسنة 1977، الفقرة 52(3). أنظر بشكل عام إلى مناقشة القاعدة 10 ضمن دراسة اللجنة الدولية للصليب الأحمر حول القانون الدولي الإنساني العرفي.</w:t>
      </w:r>
      <w:r w:rsidRPr="000E1CBF">
        <w:rPr>
          <w:rStyle w:val="tlid-translation"/>
          <w:rFonts w:hint="cs"/>
          <w:sz w:val="20"/>
          <w:rtl/>
        </w:rPr>
        <w:t xml:space="preserve"> </w:t>
      </w:r>
    </w:p>
  </w:footnote>
  <w:footnote w:id="42">
    <w:p w14:paraId="380598FD" w14:textId="6B4FA43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25-30 </w:t>
      </w:r>
    </w:p>
  </w:footnote>
  <w:footnote w:id="43">
    <w:p w14:paraId="796E4D77" w14:textId="403C1F4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القواعد 31-33 و38-41. </w:t>
      </w:r>
    </w:p>
  </w:footnote>
  <w:footnote w:id="44">
    <w:p w14:paraId="1FBAE15C" w14:textId="4F4734A8"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القواعد 35-37. </w:t>
      </w:r>
    </w:p>
  </w:footnote>
  <w:footnote w:id="45">
    <w:p w14:paraId="70D98083" w14:textId="678F1B0C"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ضمن النزاع المسلح، يُعتبر كل طرف مهاجم ومدافع على حد سواء، بناءًا على السياق. </w:t>
      </w:r>
      <w:r w:rsidRPr="00474265">
        <w:rPr>
          <w:rStyle w:val="tlid-translation"/>
          <w:rFonts w:ascii="Traditional Arabic" w:hAnsi="Traditional Arabic" w:cs="Traditional Arabic"/>
          <w:sz w:val="22"/>
          <w:szCs w:val="22"/>
          <w:rtl/>
        </w:rPr>
        <w:t>استخدام الهجوم والدفاع لا يتعلق بالطرف الذي بدأ النزاع المسلح ولكنه يشير إلى دوره في الحالة المعينة قيد النظر</w:t>
      </w:r>
      <w:r w:rsidRPr="00474265">
        <w:rPr>
          <w:rStyle w:val="tlid-translation"/>
          <w:rFonts w:ascii="Traditional Arabic" w:hAnsi="Traditional Arabic" w:cs="Traditional Arabic"/>
          <w:sz w:val="22"/>
          <w:szCs w:val="22"/>
          <w:lang w:bidi="ar"/>
        </w:rPr>
        <w:t>.</w:t>
      </w:r>
      <w:r w:rsidRPr="00474265">
        <w:rPr>
          <w:rFonts w:ascii="Traditional Arabic" w:hAnsi="Traditional Arabic" w:cs="Traditional Arabic"/>
          <w:sz w:val="22"/>
          <w:szCs w:val="22"/>
          <w:rtl/>
        </w:rPr>
        <w:t xml:space="preserve"> </w:t>
      </w:r>
    </w:p>
  </w:footnote>
  <w:footnote w:id="46">
    <w:p w14:paraId="63241846" w14:textId="3B4FF16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أنظر بشكل عام دراسة اللجنة الدولية للصليب الأحمر حول القانون الدولي الإنساني العرفي</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القاعدة 22. </w:t>
      </w:r>
    </w:p>
  </w:footnote>
  <w:footnote w:id="47">
    <w:p w14:paraId="7AC42AD7" w14:textId="0C68953F"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23. </w:t>
      </w:r>
    </w:p>
  </w:footnote>
  <w:footnote w:id="48">
    <w:p w14:paraId="52AC6C25" w14:textId="576AA5F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24. </w:t>
      </w:r>
    </w:p>
  </w:footnote>
  <w:footnote w:id="49">
    <w:p w14:paraId="3BBDB2F7" w14:textId="7955A470"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يوجد ظروف حين يكون موقع الهدف العسكري </w:t>
      </w:r>
      <w:r w:rsidRPr="00474265">
        <w:rPr>
          <w:rStyle w:val="tlid-translation"/>
          <w:rFonts w:ascii="Traditional Arabic" w:hAnsi="Traditional Arabic" w:cs="Traditional Arabic"/>
          <w:sz w:val="22"/>
          <w:szCs w:val="22"/>
          <w:rtl/>
        </w:rPr>
        <w:t>فيها مسألة اختيار متعمد كما حدث أثناء حرب الخليج العام 1991، عندما كانت طائرة عسكرية عراقية متمركزة وسط آثارًا تاريخية</w:t>
      </w:r>
      <w:r w:rsidRPr="00474265">
        <w:rPr>
          <w:rStyle w:val="tlid-translation"/>
          <w:rFonts w:ascii="Traditional Arabic" w:hAnsi="Traditional Arabic" w:cs="Traditional Arabic"/>
          <w:sz w:val="22"/>
          <w:szCs w:val="22"/>
          <w:lang w:bidi="ar"/>
        </w:rPr>
        <w:t>.</w:t>
      </w:r>
    </w:p>
  </w:footnote>
  <w:footnote w:id="50">
    <w:p w14:paraId="6D7FD318" w14:textId="43A0F05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أنظر بشكل عام دراسة اللجنة الدولية للصليب الأحمر حول القانون الدولي الإنساني العرفي</w:t>
      </w:r>
      <w:r w:rsidRPr="00474265">
        <w:rPr>
          <w:rFonts w:ascii="Traditional Arabic" w:hAnsi="Traditional Arabic" w:cs="Traditional Arabic"/>
          <w:sz w:val="22"/>
          <w:szCs w:val="22"/>
          <w:rtl/>
        </w:rPr>
        <w:t xml:space="preserve">، </w:t>
      </w:r>
      <w:r w:rsidRPr="00474265">
        <w:rPr>
          <w:rStyle w:val="tlid-translation"/>
          <w:rFonts w:ascii="Traditional Arabic" w:hAnsi="Traditional Arabic" w:cs="Traditional Arabic"/>
          <w:sz w:val="22"/>
          <w:szCs w:val="22"/>
          <w:rtl/>
        </w:rPr>
        <w:t xml:space="preserve">القاعدة 11.  </w:t>
      </w:r>
    </w:p>
  </w:footnote>
  <w:footnote w:id="51">
    <w:p w14:paraId="5BD22AA4" w14:textId="11CD21B6"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 القاعدة 12.  </w:t>
      </w:r>
    </w:p>
  </w:footnote>
  <w:footnote w:id="52">
    <w:p w14:paraId="28BAB736" w14:textId="706CE94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  </w:t>
      </w:r>
    </w:p>
  </w:footnote>
  <w:footnote w:id="53">
    <w:p w14:paraId="38A212BA" w14:textId="567CF897"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19.</w:t>
      </w:r>
    </w:p>
  </w:footnote>
  <w:footnote w:id="54">
    <w:p w14:paraId="38CC41AC" w14:textId="21CCA8B0"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Style w:val="tlid-translation"/>
          <w:rFonts w:ascii="Traditional Arabic" w:hAnsi="Traditional Arabic" w:cs="Traditional Arabic"/>
          <w:sz w:val="22"/>
          <w:szCs w:val="22"/>
          <w:rtl/>
        </w:rPr>
        <w:t xml:space="preserve"> دراسة اللجنة الدولية للصليب الأحمر حول القانون الدولي الإنساني العرفي، القاعدة</w:t>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16.</w:t>
      </w:r>
    </w:p>
  </w:footnote>
  <w:footnote w:id="55">
    <w:p w14:paraId="3BE577DB" w14:textId="2DDD4F9E" w:rsidR="00A1624A" w:rsidRPr="008460BF" w:rsidRDefault="00A1624A" w:rsidP="00B81240">
      <w:pPr>
        <w:pStyle w:val="FootnoteText"/>
        <w:tabs>
          <w:tab w:val="clear" w:pos="1021"/>
        </w:tabs>
        <w:bidi/>
        <w:ind w:left="851" w:firstLine="0"/>
        <w:jc w:val="both"/>
        <w:rPr>
          <w:rtl/>
          <w:lang w:bidi="ar-JO"/>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20</w:t>
      </w:r>
    </w:p>
  </w:footnote>
  <w:footnote w:id="56">
    <w:p w14:paraId="0F0035C2" w14:textId="4519D0E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المرجع نفسه، المجلد 2، الجزء 1، الفصل </w:t>
      </w:r>
      <w:r w:rsidRPr="00474265">
        <w:rPr>
          <w:rFonts w:ascii="Traditional Arabic" w:hAnsi="Traditional Arabic" w:cs="Traditional Arabic"/>
          <w:sz w:val="22"/>
          <w:szCs w:val="22"/>
          <w:lang w:val="en-US"/>
        </w:rPr>
        <w:t>5F</w:t>
      </w:r>
      <w:r w:rsidRPr="00474265">
        <w:rPr>
          <w:rFonts w:ascii="Traditional Arabic" w:hAnsi="Traditional Arabic" w:cs="Traditional Arabic"/>
          <w:sz w:val="22"/>
          <w:szCs w:val="22"/>
          <w:rtl/>
          <w:lang w:val="en-US"/>
        </w:rPr>
        <w:t xml:space="preserve"> </w:t>
      </w:r>
    </w:p>
  </w:footnote>
  <w:footnote w:id="57">
    <w:p w14:paraId="6CA20F1E" w14:textId="79F678E9"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70</w:t>
      </w:r>
      <w:r w:rsidRPr="00474265">
        <w:rPr>
          <w:rFonts w:ascii="Traditional Arabic" w:hAnsi="Traditional Arabic" w:cs="Traditional Arabic"/>
          <w:sz w:val="22"/>
          <w:szCs w:val="22"/>
          <w:lang w:val="en-US"/>
        </w:rPr>
        <w:t>.</w:t>
      </w:r>
    </w:p>
  </w:footnote>
  <w:footnote w:id="58">
    <w:p w14:paraId="202AF10E" w14:textId="5A31562C" w:rsidR="00A1624A" w:rsidRPr="004B44CF" w:rsidRDefault="00A1624A" w:rsidP="00B81240">
      <w:pPr>
        <w:pStyle w:val="FootnoteText"/>
        <w:tabs>
          <w:tab w:val="clear" w:pos="1021"/>
        </w:tabs>
        <w:bidi/>
        <w:ind w:left="851" w:firstLine="0"/>
        <w:jc w:val="both"/>
        <w:rPr>
          <w:szCs w:val="18"/>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71.</w:t>
      </w:r>
    </w:p>
  </w:footnote>
  <w:footnote w:id="59">
    <w:p w14:paraId="2A6E6301" w14:textId="47A94EC1" w:rsidR="00A1624A" w:rsidRPr="000E1CBF" w:rsidRDefault="00A1624A" w:rsidP="00B81240">
      <w:pPr>
        <w:pStyle w:val="FootnoteText"/>
        <w:tabs>
          <w:tab w:val="clear" w:pos="1021"/>
        </w:tabs>
        <w:bidi/>
        <w:ind w:left="851" w:firstLine="0"/>
        <w:jc w:val="both"/>
        <w:rPr>
          <w:sz w:val="20"/>
          <w:lang w:val="en-US"/>
        </w:rPr>
      </w:pPr>
      <w:r w:rsidRPr="000E1CBF">
        <w:rPr>
          <w:rStyle w:val="FootnoteReference"/>
          <w:sz w:val="20"/>
        </w:rPr>
        <w:footnoteRef/>
      </w:r>
      <w:r w:rsidRPr="000E1CBF">
        <w:rPr>
          <w:sz w:val="20"/>
        </w:rPr>
        <w:t xml:space="preserve"> </w:t>
      </w:r>
      <w:r w:rsidRPr="000E1CBF">
        <w:rPr>
          <w:sz w:val="20"/>
          <w:lang w:val="en-US"/>
        </w:rPr>
        <w:t>A/HRC/39/43</w:t>
      </w:r>
      <w:r w:rsidRPr="000E1CBF">
        <w:rPr>
          <w:rFonts w:hint="cs"/>
          <w:sz w:val="20"/>
          <w:rtl/>
          <w:lang w:val="en-US"/>
        </w:rPr>
        <w:t xml:space="preserve">، الفقرة 13 </w:t>
      </w:r>
    </w:p>
  </w:footnote>
  <w:footnote w:id="60">
    <w:p w14:paraId="786DE21F" w14:textId="2BAF1585" w:rsidR="00A1624A" w:rsidRPr="00474265"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lang w:bidi="ar"/>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 xml:space="preserve">أنظر على سبيل المثال </w:t>
      </w:r>
      <w:r w:rsidRPr="00474265">
        <w:rPr>
          <w:rStyle w:val="tlid-translation"/>
          <w:rFonts w:ascii="Traditional Arabic" w:hAnsi="Traditional Arabic" w:cs="Traditional Arabic"/>
          <w:sz w:val="22"/>
          <w:szCs w:val="22"/>
          <w:rtl/>
        </w:rPr>
        <w:t xml:space="preserve">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موجز الأكاديمية رقم 7، كانون الأول/ ديسمبر</w:t>
      </w:r>
      <w:r w:rsidRPr="00474265">
        <w:rPr>
          <w:rStyle w:val="tlid-translation"/>
          <w:rFonts w:ascii="Traditional Arabic" w:hAnsi="Traditional Arabic" w:cs="Traditional Arabic"/>
          <w:sz w:val="22"/>
          <w:szCs w:val="22"/>
          <w:rtl/>
          <w:lang w:bidi="ar"/>
        </w:rPr>
        <w:t xml:space="preserve"> 2016</w:t>
      </w:r>
      <w:r w:rsidRPr="00474265">
        <w:rPr>
          <w:rStyle w:val="tlid-translation"/>
          <w:rFonts w:ascii="Traditional Arabic" w:hAnsi="Traditional Arabic" w:cs="Traditional Arabic"/>
          <w:sz w:val="22"/>
          <w:szCs w:val="22"/>
          <w:rtl/>
        </w:rPr>
        <w:t xml:space="preserve">، </w:t>
      </w:r>
    </w:p>
    <w:p w14:paraId="0E389A04" w14:textId="77777777" w:rsidR="00A1624A" w:rsidRPr="000E1CBF" w:rsidRDefault="00A1624A" w:rsidP="00B81240">
      <w:pPr>
        <w:pStyle w:val="FootnoteText"/>
        <w:tabs>
          <w:tab w:val="clear" w:pos="1021"/>
        </w:tabs>
        <w:bidi/>
        <w:ind w:left="851" w:firstLine="0"/>
        <w:jc w:val="both"/>
        <w:rPr>
          <w:sz w:val="20"/>
          <w:rtl/>
        </w:rPr>
      </w:pPr>
      <w:r w:rsidRPr="000E1CBF">
        <w:rPr>
          <w:sz w:val="20"/>
        </w:rPr>
        <w:t>(</w:t>
      </w:r>
      <w:hyperlink r:id="rId2" w:history="1">
        <w:r w:rsidRPr="000E1CBF">
          <w:rPr>
            <w:rStyle w:val="Hyperlink"/>
            <w:sz w:val="20"/>
          </w:rPr>
          <w:t>https://www.geneva-academy.ch/joomlatools-files/docman-files/InBrief7_web.pdf</w:t>
        </w:r>
      </w:hyperlink>
      <w:r w:rsidRPr="000E1CBF">
        <w:rPr>
          <w:sz w:val="20"/>
        </w:rPr>
        <w:t>)</w:t>
      </w:r>
    </w:p>
    <w:p w14:paraId="67D8EAB0" w14:textId="50AE2CB5" w:rsidR="00A1624A" w:rsidRPr="00E3747A" w:rsidRDefault="00A1624A" w:rsidP="00B81240">
      <w:pPr>
        <w:pStyle w:val="FootnoteText"/>
        <w:tabs>
          <w:tab w:val="clear" w:pos="1021"/>
        </w:tabs>
        <w:bidi/>
        <w:ind w:left="851" w:firstLine="0"/>
        <w:jc w:val="both"/>
        <w:rPr>
          <w:sz w:val="20"/>
          <w:lang w:val="en-US"/>
        </w:rPr>
      </w:pPr>
      <w:r w:rsidRPr="00E3747A">
        <w:rPr>
          <w:sz w:val="20"/>
        </w:rPr>
        <w:t xml:space="preserve">Casey-Maslen, G. Giacca, Dr. A. Bellal, </w:t>
      </w:r>
      <w:r w:rsidRPr="00E3747A">
        <w:rPr>
          <w:i/>
          <w:sz w:val="20"/>
        </w:rPr>
        <w:t xml:space="preserve">International law and armed non-State actors in Afghanistan, </w:t>
      </w:r>
      <w:r w:rsidRPr="00E3747A">
        <w:rPr>
          <w:sz w:val="20"/>
        </w:rPr>
        <w:t>International Review of the Red Cross, 31 March 2011 (</w:t>
      </w:r>
      <w:hyperlink r:id="rId3" w:history="1">
        <w:r w:rsidRPr="00E3747A">
          <w:rPr>
            <w:rStyle w:val="Hyperlink"/>
            <w:sz w:val="20"/>
          </w:rPr>
          <w:t>https://www.icrc.org/en/international-review/article/international-law-and-armed-non-state-actors-afghanistan</w:t>
        </w:r>
      </w:hyperlink>
      <w:r w:rsidRPr="00E3747A">
        <w:rPr>
          <w:sz w:val="20"/>
        </w:rPr>
        <w:t>),</w:t>
      </w:r>
      <w:r w:rsidRPr="00E3747A">
        <w:rPr>
          <w:sz w:val="20"/>
          <w:lang w:val="en-US"/>
        </w:rPr>
        <w:t xml:space="preserve"> p.67.</w:t>
      </w:r>
    </w:p>
  </w:footnote>
  <w:footnote w:id="61">
    <w:p w14:paraId="07B04D2A" w14:textId="11BD68E7" w:rsidR="00A1624A" w:rsidRPr="000E1CBF" w:rsidRDefault="00A1624A" w:rsidP="00B81240">
      <w:pPr>
        <w:pStyle w:val="FootnoteText"/>
        <w:tabs>
          <w:tab w:val="clear" w:pos="1021"/>
        </w:tabs>
        <w:bidi/>
        <w:ind w:left="851" w:firstLine="0"/>
        <w:jc w:val="both"/>
        <w:rPr>
          <w:sz w:val="20"/>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rtl/>
        </w:rPr>
        <w:t>استنتاج ملاحظات لجنة حقوق الإنسان حول جمهورية مولدوفا، 4 تشرين الثاني/ نوفمبر 2009، الفقرة 5</w:t>
      </w:r>
      <w:r w:rsidRPr="000E1CBF">
        <w:rPr>
          <w:rFonts w:hint="cs"/>
          <w:sz w:val="20"/>
          <w:rtl/>
        </w:rPr>
        <w:t xml:space="preserve"> </w:t>
      </w:r>
      <w:r w:rsidRPr="000E1CBF">
        <w:rPr>
          <w:sz w:val="20"/>
        </w:rPr>
        <w:t>(CCPR/C/MDA/CO/2)</w:t>
      </w:r>
      <w:r w:rsidRPr="000E1CBF">
        <w:rPr>
          <w:rFonts w:hint="cs"/>
          <w:sz w:val="20"/>
          <w:rtl/>
        </w:rPr>
        <w:t xml:space="preserve">. </w:t>
      </w:r>
    </w:p>
  </w:footnote>
  <w:footnote w:id="62">
    <w:p w14:paraId="0DC1A44A" w14:textId="350A9871"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موجز الأكاديمية رقم 7، كانون الأول/ ديسمبر</w:t>
      </w:r>
      <w:r w:rsidRPr="00474265">
        <w:rPr>
          <w:rStyle w:val="tlid-translation"/>
          <w:rFonts w:ascii="Traditional Arabic" w:hAnsi="Traditional Arabic" w:cs="Traditional Arabic"/>
          <w:sz w:val="22"/>
          <w:szCs w:val="22"/>
          <w:rtl/>
          <w:lang w:bidi="ar"/>
        </w:rPr>
        <w:t xml:space="preserve"> 2016 </w:t>
      </w:r>
    </w:p>
    <w:p w14:paraId="611A0B21" w14:textId="442E00E3"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E1CBF">
        <w:rPr>
          <w:sz w:val="20"/>
        </w:rPr>
        <w:t xml:space="preserve"> (</w:t>
      </w:r>
      <w:hyperlink r:id="rId4" w:history="1">
        <w:r w:rsidRPr="000E1CBF">
          <w:rPr>
            <w:rStyle w:val="Hyperlink"/>
            <w:sz w:val="20"/>
          </w:rPr>
          <w:t>https://www.geneva-academy.ch/joomlatools-files/docman-files/InBrief7_web.pdf</w:t>
        </w:r>
      </w:hyperlink>
      <w:r w:rsidRPr="000E1CBF">
        <w:rPr>
          <w:sz w:val="20"/>
        </w:rPr>
        <w:t xml:space="preserve">), </w:t>
      </w:r>
      <w:r w:rsidRPr="00474265">
        <w:rPr>
          <w:rFonts w:ascii="Traditional Arabic" w:hAnsi="Traditional Arabic" w:cs="Traditional Arabic"/>
          <w:sz w:val="22"/>
          <w:szCs w:val="22"/>
          <w:rtl/>
        </w:rPr>
        <w:t>ص.15</w:t>
      </w:r>
    </w:p>
  </w:footnote>
  <w:footnote w:id="63">
    <w:p w14:paraId="679E5DC0" w14:textId="12E5ED8E"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انظر المذكرة المشتركة المؤرخة 8 آب/ أغسطس 2018 والموجهة إلى فريق الخبراء من حكومة اليمن والمملكة العربية السعودية والإمارات العربية المتحدة</w:t>
      </w:r>
    </w:p>
  </w:footnote>
  <w:footnote w:id="64">
    <w:p w14:paraId="417F8D87" w14:textId="28B3AF09" w:rsidR="00A1624A" w:rsidRPr="000E1CBF" w:rsidRDefault="00A1624A" w:rsidP="00B81240">
      <w:pPr>
        <w:pStyle w:val="FootnoteText"/>
        <w:tabs>
          <w:tab w:val="clear" w:pos="1021"/>
        </w:tabs>
        <w:bidi/>
        <w:ind w:left="851" w:firstLine="0"/>
        <w:jc w:val="both"/>
        <w:rPr>
          <w:sz w:val="20"/>
          <w:lang w:val="en-US"/>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Fonts w:ascii="Traditional Arabic" w:hAnsi="Traditional Arabic" w:cs="Traditional Arabic"/>
          <w:sz w:val="22"/>
          <w:szCs w:val="22"/>
          <w:lang w:val="en-US"/>
        </w:rPr>
        <w:t>A/HRC/39/43</w:t>
      </w:r>
      <w:r w:rsidRPr="00474265">
        <w:rPr>
          <w:rFonts w:ascii="Traditional Arabic" w:hAnsi="Traditional Arabic" w:cs="Traditional Arabic"/>
          <w:sz w:val="22"/>
          <w:szCs w:val="22"/>
          <w:rtl/>
          <w:lang w:val="en-US"/>
        </w:rPr>
        <w:t>الفقرة 14</w:t>
      </w:r>
    </w:p>
  </w:footnote>
  <w:footnote w:id="65">
    <w:p w14:paraId="62980D39" w14:textId="44D00C1B" w:rsidR="00A1624A" w:rsidRPr="0047426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474265">
        <w:rPr>
          <w:rStyle w:val="FootnoteReference"/>
          <w:rFonts w:ascii="Traditional Arabic" w:hAnsi="Traditional Arabic" w:cs="Traditional Arabic"/>
          <w:sz w:val="22"/>
          <w:szCs w:val="22"/>
        </w:rPr>
        <w:footnoteRef/>
      </w:r>
      <w:r w:rsidRPr="00474265">
        <w:rPr>
          <w:rFonts w:ascii="Traditional Arabic" w:hAnsi="Traditional Arabic" w:cs="Traditional Arabic"/>
          <w:sz w:val="22"/>
          <w:szCs w:val="22"/>
        </w:rPr>
        <w:t xml:space="preserve"> </w:t>
      </w:r>
      <w:r w:rsidRPr="00474265">
        <w:rPr>
          <w:rStyle w:val="tlid-translation"/>
          <w:rFonts w:ascii="Traditional Arabic" w:hAnsi="Traditional Arabic" w:cs="Traditional Arabic"/>
          <w:sz w:val="22"/>
          <w:szCs w:val="22"/>
          <w:rtl/>
        </w:rPr>
        <w:t xml:space="preserve">فيما يتعلق بإلتزامات حقوق الإنسان لسلطات </w:t>
      </w:r>
      <w:r w:rsidRPr="00474265">
        <w:rPr>
          <w:rStyle w:val="tlid-translation"/>
          <w:rFonts w:ascii="Traditional Arabic" w:hAnsi="Traditional Arabic" w:cs="Traditional Arabic"/>
          <w:i/>
          <w:iCs/>
          <w:sz w:val="22"/>
          <w:szCs w:val="22"/>
          <w:rtl/>
        </w:rPr>
        <w:t>الأمر الواقع</w:t>
      </w:r>
      <w:r w:rsidRPr="00474265">
        <w:rPr>
          <w:rStyle w:val="tlid-translation"/>
          <w:rFonts w:ascii="Traditional Arabic" w:hAnsi="Traditional Arabic" w:cs="Traditional Arabic"/>
          <w:sz w:val="22"/>
          <w:szCs w:val="22"/>
          <w:rtl/>
        </w:rPr>
        <w:t xml:space="preserve"> غير الحكومية والممارسات ذات الصلة للأجهزة والهيئات التابعة للأمم المتحدة، أنظر أكاديمية القانون الدولي الإنساني وحقوق الإنسان في جنيف، </w:t>
      </w:r>
      <w:r w:rsidRPr="00474265">
        <w:rPr>
          <w:rStyle w:val="tlid-translation"/>
          <w:rFonts w:ascii="Traditional Arabic" w:hAnsi="Traditional Arabic" w:cs="Traditional Arabic"/>
          <w:i/>
          <w:iCs/>
          <w:sz w:val="22"/>
          <w:szCs w:val="22"/>
          <w:rtl/>
        </w:rPr>
        <w:t>إلتزامات حقوق الإنسان للجهات الناشطة المسلحة من غير الدول: استكشاف ممارسات مجلس حقوق الإنسان التابع للأمم المتحدة</w:t>
      </w:r>
      <w:r w:rsidRPr="00474265">
        <w:rPr>
          <w:rStyle w:val="tlid-translation"/>
          <w:rFonts w:ascii="Traditional Arabic" w:hAnsi="Traditional Arabic" w:cs="Traditional Arabic"/>
          <w:sz w:val="22"/>
          <w:szCs w:val="22"/>
          <w:rtl/>
        </w:rPr>
        <w:t>، إلتزامات حقوق الإنسان للجهات الفاعلة المسلحة من غير الدول: استكشاف</w:t>
      </w:r>
      <w:r w:rsidRPr="00474265">
        <w:rPr>
          <w:rStyle w:val="tlid-translation"/>
          <w:rFonts w:ascii="Traditional Arabic" w:hAnsi="Traditional Arabic" w:cs="Traditional Arabic"/>
          <w:sz w:val="22"/>
          <w:szCs w:val="22"/>
          <w:rtl/>
          <w:lang w:bidi="ar"/>
        </w:rPr>
        <w:t xml:space="preserve"> </w:t>
      </w:r>
      <w:r w:rsidRPr="00474265">
        <w:rPr>
          <w:rStyle w:val="tlid-translation"/>
          <w:rFonts w:ascii="Traditional Arabic" w:hAnsi="Traditional Arabic" w:cs="Traditional Arabic"/>
          <w:sz w:val="22"/>
          <w:szCs w:val="22"/>
          <w:rtl/>
        </w:rPr>
        <w:t xml:space="preserve">ممارسة مجلس حقوق الإنسان التابع للأمم المتحدة، موجز الأكاديمية رقم 7 ، كانون الأول/ ديسمبر 2016 </w:t>
      </w:r>
    </w:p>
    <w:p w14:paraId="55655AC5" w14:textId="00127C4F" w:rsidR="00A1624A" w:rsidRPr="000E1CBF" w:rsidRDefault="00A1624A" w:rsidP="00B81240">
      <w:pPr>
        <w:pStyle w:val="FootnoteText"/>
        <w:tabs>
          <w:tab w:val="clear" w:pos="1021"/>
        </w:tabs>
        <w:bidi/>
        <w:spacing w:line="240" w:lineRule="auto"/>
        <w:ind w:left="850" w:right="1138" w:firstLine="0"/>
        <w:jc w:val="both"/>
        <w:rPr>
          <w:sz w:val="20"/>
          <w:lang w:val="en-US"/>
        </w:rPr>
      </w:pPr>
      <w:r w:rsidRPr="000E1CBF">
        <w:rPr>
          <w:sz w:val="20"/>
        </w:rPr>
        <w:t xml:space="preserve"> (</w:t>
      </w:r>
      <w:hyperlink r:id="rId5" w:history="1">
        <w:r w:rsidRPr="000E1CBF">
          <w:rPr>
            <w:rStyle w:val="Hyperlink"/>
            <w:sz w:val="20"/>
          </w:rPr>
          <w:t>https://www.geneva-academy.ch/joomlatools-files/docman-files/InBrief7_web.pdf</w:t>
        </w:r>
      </w:hyperlink>
      <w:r w:rsidRPr="000E1CBF">
        <w:rPr>
          <w:sz w:val="20"/>
        </w:rPr>
        <w:t>), p. 26-27.</w:t>
      </w:r>
    </w:p>
  </w:footnote>
  <w:footnote w:id="66">
    <w:p w14:paraId="2C581288" w14:textId="57F6777D" w:rsidR="00A1624A" w:rsidRPr="00CC550C" w:rsidRDefault="00A1624A" w:rsidP="00B81240">
      <w:pPr>
        <w:pStyle w:val="Heading2"/>
        <w:shd w:val="clear" w:color="auto" w:fill="FFFFFF"/>
        <w:bidi/>
        <w:ind w:left="851" w:right="1134"/>
        <w:jc w:val="both"/>
        <w:textAlignment w:val="baseline"/>
        <w:rPr>
          <w:rFonts w:asciiTheme="majorBidi" w:hAnsiTheme="majorBidi" w:cstheme="majorBidi"/>
          <w:b/>
        </w:rPr>
      </w:pPr>
      <w:r w:rsidRPr="00E3747A">
        <w:rPr>
          <w:rStyle w:val="FootnoteReference"/>
          <w:rFonts w:eastAsiaTheme="minorHAnsi"/>
          <w:sz w:val="20"/>
        </w:rPr>
        <w:footnoteRef/>
      </w:r>
      <w:r w:rsidRPr="00E3747A">
        <w:rPr>
          <w:rStyle w:val="FootnoteReference"/>
          <w:rFonts w:eastAsiaTheme="minorHAnsi"/>
          <w:sz w:val="20"/>
        </w:rPr>
        <w:t xml:space="preserve"> </w:t>
      </w:r>
      <w:r w:rsidRPr="00E3747A">
        <w:rPr>
          <w:rFonts w:eastAsiaTheme="minorHAnsi"/>
        </w:rPr>
        <w:t xml:space="preserve">Andrew Clapham, </w:t>
      </w:r>
      <w:r w:rsidRPr="00E3747A">
        <w:rPr>
          <w:rFonts w:eastAsiaTheme="minorHAnsi"/>
          <w:i/>
        </w:rPr>
        <w:t xml:space="preserve">Human Rights Obligations of non-State actors, </w:t>
      </w:r>
      <w:r w:rsidRPr="00E3747A">
        <w:rPr>
          <w:rFonts w:eastAsiaTheme="minorHAnsi"/>
        </w:rPr>
        <w:t xml:space="preserve">2006; Daragh Murray, </w:t>
      </w:r>
      <w:hyperlink r:id="rId6" w:history="1">
        <w:r w:rsidRPr="00E3747A">
          <w:rPr>
            <w:rFonts w:eastAsiaTheme="minorHAnsi"/>
            <w:i/>
          </w:rPr>
          <w:t>Human Rights Obligations of Non-State Armed Groups</w:t>
        </w:r>
      </w:hyperlink>
      <w:r w:rsidRPr="00E3747A">
        <w:rPr>
          <w:rFonts w:eastAsiaTheme="minorHAnsi"/>
        </w:rPr>
        <w:t xml:space="preserve">, Hart Publishing, May 2016 (see </w:t>
      </w:r>
      <w:hyperlink r:id="rId7" w:history="1">
        <w:r w:rsidRPr="00E3747A">
          <w:rPr>
            <w:rStyle w:val="Hyperlink"/>
            <w:rFonts w:eastAsiaTheme="minorHAnsi"/>
          </w:rPr>
          <w:t>https://www.ejiltalk.org/book-discussion-introducing-daragh-murrays-human-rights-obligations-of-non-state-armed-groups-2/</w:t>
        </w:r>
      </w:hyperlink>
      <w:r w:rsidRPr="00E3747A">
        <w:t xml:space="preserve">); Geneva Academy of International Humanitarian Law and Human Rights, </w:t>
      </w:r>
      <w:r w:rsidRPr="00E3747A">
        <w:rPr>
          <w:i/>
        </w:rPr>
        <w:t>Human Rights Obligations of Armed Non-State Actors: An Exploration of the Practice of the UN Human Rights Council</w:t>
      </w:r>
      <w:r w:rsidRPr="00E3747A">
        <w:t>, Academy In-Brief No. 7, December 2016 (</w:t>
      </w:r>
      <w:hyperlink r:id="rId8" w:history="1">
        <w:r w:rsidRPr="00E3747A">
          <w:rPr>
            <w:rStyle w:val="Hyperlink"/>
          </w:rPr>
          <w:t>https://www.geneva-academy.ch/joomlatools-files/docman-files/InBrief7_web.pdf</w:t>
        </w:r>
      </w:hyperlink>
      <w:r w:rsidRPr="00E3747A">
        <w:t xml:space="preserve">), p. 18-21; S. Casey-Maslen, G. Giacca, Dr. A. Bellal, </w:t>
      </w:r>
      <w:r w:rsidRPr="00E3747A">
        <w:rPr>
          <w:i/>
        </w:rPr>
        <w:t xml:space="preserve">International law and armed non-State actors in Afghanistan, </w:t>
      </w:r>
      <w:r w:rsidRPr="00E3747A">
        <w:t>International Review of the Red Cross, 31 March 2011 (</w:t>
      </w:r>
      <w:hyperlink r:id="rId9" w:history="1">
        <w:r w:rsidRPr="00E3747A">
          <w:rPr>
            <w:rStyle w:val="Hyperlink"/>
          </w:rPr>
          <w:t>https://www.icrc.org/en/international-review/article/international-law-and-armed-non-state-actors-afghanistan</w:t>
        </w:r>
      </w:hyperlink>
      <w:r w:rsidRPr="00E3747A">
        <w:t>),</w:t>
      </w:r>
      <w:r w:rsidRPr="00E3747A">
        <w:rPr>
          <w:lang w:val="en-US"/>
        </w:rPr>
        <w:t xml:space="preserve"> p. 23, with references to </w:t>
      </w:r>
      <w:r w:rsidRPr="00E3747A">
        <w:t xml:space="preserve">Nigel Rodley, ‘Can armed opposition groups violate human rights?’, in Kathleen E. Mahoney and Paul Mahoney (eds), </w:t>
      </w:r>
      <w:r w:rsidRPr="00E3747A">
        <w:rPr>
          <w:i/>
        </w:rPr>
        <w:t>Human Rights in the Twenty-first Century</w:t>
      </w:r>
      <w:r w:rsidRPr="00E3747A">
        <w:t>, Martinus Nijhoff, The Hague, 1993, p. 300; and Liesbeth Zegveld, The Accountability of Armed Opposition Groups in International Law, Cambridge Studies in International and Comparative Law, Cambridge University Press, Cambridge, 2002, p. 14</w:t>
      </w:r>
      <w:r w:rsidRPr="00CC550C">
        <w:rPr>
          <w:rFonts w:asciiTheme="majorBidi" w:hAnsiTheme="majorBidi" w:cstheme="majorBidi"/>
        </w:rPr>
        <w:t>9.</w:t>
      </w:r>
    </w:p>
  </w:footnote>
  <w:footnote w:id="67">
    <w:p w14:paraId="49CBB283" w14:textId="3571F947" w:rsidR="00A1624A" w:rsidRPr="000E1CBF" w:rsidRDefault="00A1624A" w:rsidP="00B81240">
      <w:pPr>
        <w:pStyle w:val="FootnoteText"/>
        <w:tabs>
          <w:tab w:val="clear" w:pos="1021"/>
        </w:tabs>
        <w:bidi/>
        <w:spacing w:line="240" w:lineRule="auto"/>
        <w:ind w:left="850" w:right="1138" w:firstLine="0"/>
        <w:jc w:val="both"/>
        <w:rPr>
          <w:sz w:val="20"/>
          <w:lang w:val="en-US"/>
        </w:rPr>
      </w:pPr>
      <w:r w:rsidRPr="00CC550C">
        <w:rPr>
          <w:rStyle w:val="FootnoteReference"/>
          <w:rFonts w:asciiTheme="majorBidi" w:hAnsiTheme="majorBidi" w:cstheme="majorBidi"/>
          <w:sz w:val="20"/>
        </w:rPr>
        <w:footnoteRef/>
      </w:r>
      <w:r w:rsidRPr="00CC550C">
        <w:rPr>
          <w:rFonts w:asciiTheme="majorBidi" w:hAnsiTheme="majorBidi" w:cstheme="majorBidi"/>
          <w:sz w:val="20"/>
        </w:rPr>
        <w:t xml:space="preserve"> </w:t>
      </w:r>
      <w:r w:rsidRPr="00CC550C">
        <w:rPr>
          <w:rFonts w:asciiTheme="majorBidi" w:hAnsiTheme="majorBidi" w:cstheme="majorBidi"/>
          <w:sz w:val="20"/>
          <w:rtl/>
        </w:rPr>
        <w:t xml:space="preserve"> </w:t>
      </w:r>
      <w:r w:rsidRPr="00CC550C">
        <w:rPr>
          <w:rFonts w:asciiTheme="majorBidi" w:hAnsiTheme="majorBidi" w:cstheme="majorBidi"/>
          <w:sz w:val="20"/>
          <w:lang w:val="en-US"/>
        </w:rPr>
        <w:t xml:space="preserve">Francoise Bouchet-Saulnier, MSF, </w:t>
      </w:r>
      <w:r w:rsidRPr="00CC550C">
        <w:rPr>
          <w:rFonts w:asciiTheme="majorBidi" w:hAnsiTheme="majorBidi" w:cstheme="majorBidi"/>
          <w:i/>
          <w:sz w:val="20"/>
          <w:lang w:val="en-US"/>
        </w:rPr>
        <w:t>The Practical Guide to Humanitarian Law</w:t>
      </w:r>
      <w:r w:rsidRPr="00CC550C">
        <w:rPr>
          <w:rFonts w:asciiTheme="majorBidi" w:hAnsiTheme="majorBidi" w:cstheme="majorBidi"/>
          <w:sz w:val="20"/>
          <w:lang w:val="en-US"/>
        </w:rPr>
        <w:t>, under “Non-State Armed Groups”</w:t>
      </w:r>
      <w:r w:rsidRPr="00CC550C">
        <w:rPr>
          <w:rFonts w:asciiTheme="majorBidi" w:hAnsiTheme="majorBidi" w:cstheme="majorBidi"/>
          <w:sz w:val="20"/>
          <w:rtl/>
          <w:lang w:val="en-US" w:bidi="ar-JO"/>
        </w:rPr>
        <w:t xml:space="preserve">  </w:t>
      </w:r>
      <w:r w:rsidRPr="00CC550C">
        <w:rPr>
          <w:rFonts w:asciiTheme="majorBidi" w:hAnsiTheme="majorBidi" w:cstheme="majorBidi"/>
          <w:sz w:val="20"/>
          <w:lang w:val="en-US"/>
        </w:rPr>
        <w:t>(</w:t>
      </w:r>
      <w:hyperlink r:id="rId10" w:history="1">
        <w:r w:rsidRPr="00CC550C">
          <w:rPr>
            <w:rStyle w:val="Hyperlink"/>
            <w:rFonts w:asciiTheme="majorBidi" w:hAnsiTheme="majorBidi" w:cstheme="majorBidi"/>
            <w:sz w:val="20"/>
          </w:rPr>
          <w:t>https://guide-humanitarian-law.org/content/article/3/non-state-armed-groups/</w:t>
        </w:r>
      </w:hyperlink>
      <w:r w:rsidRPr="00CC550C">
        <w:rPr>
          <w:rFonts w:asciiTheme="majorBidi" w:hAnsiTheme="majorBidi" w:cstheme="majorBidi"/>
          <w:sz w:val="20"/>
        </w:rPr>
        <w:t xml:space="preserve">). </w:t>
      </w:r>
      <w:r w:rsidRPr="00CC550C">
        <w:rPr>
          <w:rFonts w:asciiTheme="majorBidi" w:hAnsiTheme="majorBidi" w:cstheme="majorBidi"/>
          <w:sz w:val="20"/>
          <w:lang w:val="en-US"/>
        </w:rPr>
        <w:t xml:space="preserve"> </w:t>
      </w:r>
    </w:p>
  </w:footnote>
  <w:footnote w:id="68">
    <w:p w14:paraId="268C33E4" w14:textId="1DAC16B9" w:rsidR="00A1624A" w:rsidRPr="000E1CBF" w:rsidRDefault="00A1624A" w:rsidP="00B81240">
      <w:pPr>
        <w:pStyle w:val="FootnoteText"/>
        <w:tabs>
          <w:tab w:val="clear" w:pos="1021"/>
        </w:tabs>
        <w:bidi/>
        <w:spacing w:line="168" w:lineRule="auto"/>
        <w:ind w:left="850" w:right="1138" w:firstLine="0"/>
        <w:jc w:val="both"/>
        <w:rPr>
          <w:sz w:val="20"/>
          <w:lang w:val="en-US"/>
        </w:rPr>
      </w:pPr>
      <w:r w:rsidRPr="000E1CBF">
        <w:rPr>
          <w:rStyle w:val="FootnoteReference"/>
          <w:sz w:val="20"/>
        </w:rPr>
        <w:footnoteRef/>
      </w:r>
      <w:r w:rsidRPr="000E1CBF">
        <w:rPr>
          <w:sz w:val="20"/>
        </w:rPr>
        <w:t xml:space="preserve"> </w:t>
      </w:r>
      <w:r w:rsidRPr="00474265">
        <w:rPr>
          <w:rStyle w:val="tlid-translation"/>
          <w:rFonts w:ascii="Traditional Arabic" w:hAnsi="Traditional Arabic" w:cs="Traditional Arabic"/>
          <w:sz w:val="22"/>
          <w:szCs w:val="22"/>
          <w:rtl/>
        </w:rPr>
        <w:t>في بعض الحالات، أعلنت الجماعات المسلحة من غير الدول إلتزامها بالقانون الدولي لحقوق الإنسان، وربما أيضا لكسب الشرعية</w:t>
      </w:r>
      <w:r w:rsidRPr="00474265">
        <w:rPr>
          <w:rStyle w:val="tlid-translation"/>
          <w:rFonts w:ascii="Traditional Arabic" w:hAnsi="Traditional Arabic" w:cs="Traditional Arabic"/>
          <w:sz w:val="22"/>
          <w:szCs w:val="22"/>
          <w:lang w:bidi="ar"/>
        </w:rPr>
        <w:t>.</w:t>
      </w:r>
    </w:p>
  </w:footnote>
  <w:footnote w:id="69">
    <w:p w14:paraId="6BAF85AC" w14:textId="551E3299"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فتوى محكمة العدل الدولية بشأن الجدار، الفقرة 109. </w:t>
      </w:r>
    </w:p>
  </w:footnote>
  <w:footnote w:id="70">
    <w:p w14:paraId="5C6C780D" w14:textId="7F751150" w:rsidR="00A1624A" w:rsidRPr="00E3747A" w:rsidRDefault="00A1624A" w:rsidP="00B81240">
      <w:pPr>
        <w:pStyle w:val="Heading2"/>
        <w:shd w:val="clear" w:color="auto" w:fill="FFFFFF"/>
        <w:bidi/>
        <w:ind w:left="851" w:right="1134"/>
        <w:jc w:val="both"/>
        <w:textAlignment w:val="baseline"/>
        <w:rPr>
          <w:rFonts w:ascii="Traditional Arabic" w:hAnsi="Traditional Arabic" w:cs="Traditional Arabic"/>
          <w:sz w:val="22"/>
          <w:szCs w:val="22"/>
          <w:rtl/>
        </w:rPr>
      </w:pPr>
      <w:r>
        <w:rPr>
          <w:rStyle w:val="FootnoteReference"/>
        </w:rPr>
        <w:footnoteRef/>
      </w:r>
      <w:r>
        <w:t xml:space="preserve"> </w:t>
      </w:r>
      <w:r w:rsidRPr="009F21C2">
        <w:t>S. Casey-Maslen, G. Giacca, Dr. A. Bellal, International law and armed non-State actors in Afghanistan, International Review of the Red Cross, 31 March 2011</w:t>
      </w:r>
    </w:p>
    <w:p w14:paraId="47A7FB24" w14:textId="1D2FA5A5" w:rsidR="00A1624A" w:rsidRPr="00CC550C" w:rsidRDefault="00A1624A" w:rsidP="00B81240">
      <w:pPr>
        <w:pStyle w:val="Heading2"/>
        <w:shd w:val="clear" w:color="auto" w:fill="FFFFFF"/>
        <w:bidi/>
        <w:ind w:left="851" w:right="1134"/>
        <w:jc w:val="both"/>
        <w:textAlignment w:val="baseline"/>
        <w:rPr>
          <w:rtl/>
        </w:rPr>
      </w:pPr>
      <w:r w:rsidRPr="00EA7E94">
        <w:rPr>
          <w:rFonts w:hint="cs"/>
          <w:rtl/>
        </w:rPr>
        <w:t xml:space="preserve"> </w:t>
      </w:r>
      <w:r w:rsidRPr="00EA7E94">
        <w:t>(</w:t>
      </w:r>
      <w:hyperlink r:id="rId11" w:history="1">
        <w:r w:rsidRPr="00EA7E94">
          <w:rPr>
            <w:rStyle w:val="Hyperlink"/>
          </w:rPr>
          <w:t>https://www.icrc.org/en/international-review/article/international-law-and-armed-non-state-actors-afghanistan</w:t>
        </w:r>
      </w:hyperlink>
      <w:r w:rsidRPr="00EA7E94">
        <w:t>)</w:t>
      </w:r>
      <w:r w:rsidRPr="00E3747A">
        <w:rPr>
          <w:rFonts w:ascii="Traditional Arabic" w:hAnsi="Traditional Arabic" w:cs="Traditional Arabic"/>
          <w:sz w:val="22"/>
          <w:szCs w:val="22"/>
          <w:rtl/>
        </w:rPr>
        <w:t xml:space="preserve">  </w:t>
      </w:r>
      <w:r w:rsidRPr="009F21C2">
        <w:t>p. 18 (with references)</w:t>
      </w:r>
      <w:r>
        <w:rPr>
          <w:lang w:val="en-US"/>
        </w:rPr>
        <w:t>.</w:t>
      </w:r>
    </w:p>
  </w:footnote>
  <w:footnote w:id="71">
    <w:p w14:paraId="39EC505A" w14:textId="77777777"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لتحليل الإنتخابات البرلمانية اليمنية لسنة 1993، أنظر على سبيل المثال</w:t>
      </w:r>
    </w:p>
    <w:p w14:paraId="3484895C" w14:textId="7EECEAE7" w:rsidR="00A1624A" w:rsidRPr="001F4CB4" w:rsidRDefault="00A1624A" w:rsidP="00B81240">
      <w:pPr>
        <w:pStyle w:val="FootnoteText"/>
        <w:tabs>
          <w:tab w:val="clear" w:pos="1021"/>
        </w:tabs>
        <w:bidi/>
        <w:ind w:left="851" w:firstLine="0"/>
        <w:jc w:val="both"/>
        <w:rPr>
          <w:sz w:val="20"/>
        </w:rPr>
      </w:pPr>
      <w:r w:rsidRPr="001F4CB4">
        <w:rPr>
          <w:rFonts w:hint="cs"/>
          <w:sz w:val="20"/>
          <w:rtl/>
        </w:rPr>
        <w:t xml:space="preserve"> </w:t>
      </w:r>
      <w:hyperlink r:id="rId12" w:history="1">
        <w:r w:rsidRPr="001F4CB4">
          <w:rPr>
            <w:rStyle w:val="Hyperlink"/>
            <w:sz w:val="20"/>
          </w:rPr>
          <w:t>http://www.aiys.org/no-33-1993/156-campaign-politics-and-coalition-building-the-1993-parliamentary-elections.html</w:t>
        </w:r>
      </w:hyperlink>
      <w:r w:rsidRPr="001F4CB4">
        <w:rPr>
          <w:rFonts w:hint="cs"/>
          <w:sz w:val="20"/>
          <w:rtl/>
        </w:rPr>
        <w:t xml:space="preserve"> </w:t>
      </w:r>
    </w:p>
  </w:footnote>
  <w:footnote w:id="72">
    <w:p w14:paraId="30778511" w14:textId="13C3549E"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أعلن القادة الجنوبيون عن قيام </w:t>
      </w:r>
      <w:r w:rsidRPr="00E3747A">
        <w:rPr>
          <w:rStyle w:val="tlid-translation"/>
          <w:rFonts w:ascii="Traditional Arabic" w:hAnsi="Traditional Arabic" w:cs="Traditional Arabic"/>
          <w:sz w:val="22"/>
          <w:szCs w:val="22"/>
          <w:rtl/>
        </w:rPr>
        <w:t>جمهورية اليمن الديمقراطية في 21 أيار/ مايو 1994، لكنها عجزت عن الحصول على اعتراف دولي</w:t>
      </w:r>
      <w:r w:rsidRPr="00E3747A">
        <w:rPr>
          <w:rStyle w:val="tlid-translation"/>
          <w:rFonts w:ascii="Traditional Arabic" w:hAnsi="Traditional Arabic" w:cs="Traditional Arabic"/>
          <w:sz w:val="22"/>
          <w:szCs w:val="22"/>
          <w:lang w:bidi="ar"/>
        </w:rPr>
        <w:t>.</w:t>
      </w:r>
    </w:p>
  </w:footnote>
  <w:footnote w:id="73">
    <w:p w14:paraId="229CD7D1" w14:textId="0DD66C1D" w:rsidR="00A1624A" w:rsidRPr="00020508" w:rsidRDefault="00A1624A" w:rsidP="00B81240">
      <w:pPr>
        <w:pStyle w:val="FootnoteText"/>
        <w:tabs>
          <w:tab w:val="clear" w:pos="1021"/>
        </w:tabs>
        <w:bidi/>
        <w:ind w:left="851" w:firstLine="0"/>
        <w:jc w:val="both"/>
        <w:rPr>
          <w:sz w:val="20"/>
        </w:rPr>
      </w:pPr>
      <w:r w:rsidRPr="00020508">
        <w:rPr>
          <w:rStyle w:val="FootnoteReference"/>
          <w:sz w:val="20"/>
        </w:rPr>
        <w:footnoteRef/>
      </w:r>
      <w:r w:rsidRPr="00020508">
        <w:rPr>
          <w:sz w:val="20"/>
        </w:rPr>
        <w:t xml:space="preserve"> </w:t>
      </w:r>
      <w:r w:rsidRPr="00B44939">
        <w:rPr>
          <w:szCs w:val="18"/>
        </w:rPr>
        <w:t>Peter Salisbury, “Yemen: Stemming the Rise of a Chaos State”, Chatham House Research Paper, May 2016, p. 8.</w:t>
      </w:r>
    </w:p>
  </w:footnote>
  <w:footnote w:id="74">
    <w:p w14:paraId="5A59C715" w14:textId="7301EB2B"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tl/>
        </w:rPr>
        <w:t xml:space="preserve"> المرجع نفسه، تأسيس جمهورية اليمن (كما تم التعديل في 29 أيلول/ سبتمبر 1994) ومتوفر على الرابط: </w:t>
      </w:r>
    </w:p>
    <w:p w14:paraId="08BAE760" w14:textId="70474B9C" w:rsidR="00A1624A" w:rsidRPr="00020508" w:rsidRDefault="0068660E" w:rsidP="00B81240">
      <w:pPr>
        <w:pStyle w:val="FootnoteText"/>
        <w:tabs>
          <w:tab w:val="clear" w:pos="1021"/>
        </w:tabs>
        <w:bidi/>
        <w:ind w:left="851" w:firstLine="0"/>
        <w:jc w:val="both"/>
        <w:rPr>
          <w:sz w:val="20"/>
        </w:rPr>
      </w:pPr>
      <w:hyperlink r:id="rId13" w:history="1">
        <w:r w:rsidR="00A1624A" w:rsidRPr="00020508">
          <w:rPr>
            <w:rStyle w:val="Hyperlink"/>
            <w:sz w:val="20"/>
          </w:rPr>
          <w:t>http://www.track.unodc.org/LegalLibrary/LegalResources/Yemen/Laws/Constitution%20(1994)%20(ENG).pdf</w:t>
        </w:r>
      </w:hyperlink>
      <w:r w:rsidR="00A1624A" w:rsidRPr="00020508">
        <w:rPr>
          <w:sz w:val="20"/>
        </w:rPr>
        <w:t xml:space="preserve">.  </w:t>
      </w:r>
    </w:p>
  </w:footnote>
  <w:footnote w:id="75">
    <w:p w14:paraId="19C3DEA0" w14:textId="1D0C5259" w:rsidR="00A1624A" w:rsidRPr="00B44939" w:rsidRDefault="00A1624A" w:rsidP="00B81240">
      <w:pPr>
        <w:pStyle w:val="FootnoteText"/>
        <w:tabs>
          <w:tab w:val="clear" w:pos="1021"/>
        </w:tabs>
        <w:bidi/>
        <w:ind w:left="851" w:firstLine="0"/>
        <w:jc w:val="both"/>
        <w:rPr>
          <w:szCs w:val="18"/>
        </w:rPr>
      </w:pPr>
      <w:r w:rsidRPr="00020508">
        <w:rPr>
          <w:rStyle w:val="FootnoteReference"/>
          <w:sz w:val="20"/>
        </w:rPr>
        <w:footnoteRef/>
      </w:r>
      <w:r w:rsidRPr="00020508">
        <w:rPr>
          <w:sz w:val="20"/>
        </w:rPr>
        <w:t xml:space="preserve"> Peter Salisbury</w:t>
      </w:r>
      <w:r w:rsidRPr="00020508">
        <w:rPr>
          <w:rFonts w:hint="cs"/>
          <w:sz w:val="20"/>
          <w:rtl/>
        </w:rPr>
        <w:t xml:space="preserve">، </w:t>
      </w:r>
      <w:r w:rsidRPr="00020508">
        <w:rPr>
          <w:sz w:val="20"/>
        </w:rPr>
        <w:t>‘Yemen’s Southern Powder Keg’</w:t>
      </w:r>
      <w:r w:rsidRPr="00020508">
        <w:rPr>
          <w:rFonts w:hint="cs"/>
          <w:sz w:val="20"/>
          <w:rtl/>
        </w:rPr>
        <w:t xml:space="preserve">، </w:t>
      </w:r>
      <w:r w:rsidRPr="00020508">
        <w:rPr>
          <w:sz w:val="20"/>
        </w:rPr>
        <w:t>Chatham House Research Paper</w:t>
      </w:r>
      <w:r>
        <w:rPr>
          <w:sz w:val="20"/>
        </w:rPr>
        <w:t>,</w:t>
      </w:r>
      <w:r w:rsidRPr="00CC550C">
        <w:rPr>
          <w:szCs w:val="18"/>
        </w:rPr>
        <w:t xml:space="preserve"> </w:t>
      </w:r>
      <w:r w:rsidRPr="00B44939">
        <w:rPr>
          <w:szCs w:val="18"/>
        </w:rPr>
        <w:t>March 2018, p. 10.</w:t>
      </w:r>
    </w:p>
  </w:footnote>
  <w:footnote w:id="76">
    <w:p w14:paraId="3909D650" w14:textId="6C63DA36"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 xml:space="preserve">المرجع نفسه. </w:t>
      </w:r>
    </w:p>
  </w:footnote>
  <w:footnote w:id="77">
    <w:p w14:paraId="4480EE71" w14:textId="4380AB14" w:rsidR="00A1624A" w:rsidRPr="00020508" w:rsidRDefault="00A1624A" w:rsidP="00B81240">
      <w:pPr>
        <w:pStyle w:val="FootnoteText"/>
        <w:tabs>
          <w:tab w:val="clear" w:pos="1021"/>
        </w:tabs>
        <w:bidi/>
        <w:ind w:left="851" w:firstLine="0"/>
        <w:jc w:val="both"/>
        <w:rPr>
          <w:sz w:val="20"/>
        </w:rPr>
      </w:pPr>
      <w:r w:rsidRPr="00020508">
        <w:rPr>
          <w:rStyle w:val="FootnoteReference"/>
          <w:sz w:val="20"/>
        </w:rPr>
        <w:footnoteRef/>
      </w:r>
      <w:r w:rsidRPr="00020508">
        <w:rPr>
          <w:sz w:val="20"/>
        </w:rPr>
        <w:t xml:space="preserve"> Brandt</w:t>
      </w:r>
      <w:r w:rsidRPr="00020508">
        <w:rPr>
          <w:rFonts w:hint="cs"/>
          <w:sz w:val="20"/>
          <w:rtl/>
        </w:rPr>
        <w:t xml:space="preserve">، </w:t>
      </w:r>
      <w:r w:rsidRPr="00020508">
        <w:rPr>
          <w:sz w:val="20"/>
        </w:rPr>
        <w:t>M. Tribes and Politics in Yemen: A History of the Houthi Conflict</w:t>
      </w:r>
      <w:r w:rsidRPr="00020508">
        <w:rPr>
          <w:rFonts w:hint="cs"/>
          <w:sz w:val="20"/>
          <w:rtl/>
        </w:rPr>
        <w:t xml:space="preserve">، </w:t>
      </w:r>
      <w:r w:rsidRPr="00020508">
        <w:rPr>
          <w:sz w:val="20"/>
        </w:rPr>
        <w:t>Oxford University Press</w:t>
      </w:r>
      <w:r w:rsidRPr="00020508">
        <w:rPr>
          <w:rFonts w:hint="cs"/>
          <w:sz w:val="20"/>
          <w:rtl/>
        </w:rPr>
        <w:t xml:space="preserve"> </w:t>
      </w:r>
      <w:r w:rsidRPr="00B44939">
        <w:rPr>
          <w:szCs w:val="18"/>
        </w:rPr>
        <w:t>2017, p. 116.</w:t>
      </w:r>
    </w:p>
  </w:footnote>
  <w:footnote w:id="78">
    <w:p w14:paraId="05CDB338" w14:textId="522DBD25"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المرجع نفسه، ص. 117</w:t>
      </w:r>
    </w:p>
  </w:footnote>
  <w:footnote w:id="79">
    <w:p w14:paraId="7D1566FE" w14:textId="52DA5A58" w:rsidR="00A1624A" w:rsidRPr="00020508" w:rsidRDefault="00A1624A" w:rsidP="00B81240">
      <w:pPr>
        <w:pStyle w:val="FootnoteText"/>
        <w:tabs>
          <w:tab w:val="clear" w:pos="1021"/>
        </w:tabs>
        <w:bidi/>
        <w:ind w:left="851" w:firstLine="0"/>
        <w:jc w:val="both"/>
        <w:rPr>
          <w:sz w:val="20"/>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Fonts w:ascii="Traditional Arabic" w:hAnsi="Traditional Arabic" w:cs="Traditional Arabic"/>
          <w:sz w:val="22"/>
          <w:szCs w:val="22"/>
          <w:rtl/>
        </w:rPr>
        <w:t>المرجع نفسه، ص. 157-164.</w:t>
      </w:r>
      <w:r w:rsidRPr="00020508">
        <w:rPr>
          <w:rFonts w:hint="cs"/>
          <w:sz w:val="20"/>
          <w:rtl/>
        </w:rPr>
        <w:t xml:space="preserve"> </w:t>
      </w:r>
      <w:r w:rsidRPr="00020508">
        <w:rPr>
          <w:sz w:val="20"/>
        </w:rPr>
        <w:t xml:space="preserve"> </w:t>
      </w:r>
    </w:p>
  </w:footnote>
  <w:footnote w:id="80">
    <w:p w14:paraId="2318E241" w14:textId="2E0FAC32"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3747A">
        <w:rPr>
          <w:rStyle w:val="FootnoteReference"/>
          <w:rFonts w:ascii="Traditional Arabic" w:hAnsi="Traditional Arabic" w:cs="Traditional Arabic"/>
          <w:sz w:val="22"/>
          <w:szCs w:val="22"/>
        </w:rPr>
        <w:footnoteRef/>
      </w:r>
      <w:r>
        <w:rPr>
          <w:rFonts w:ascii="Traditional Arabic" w:hAnsi="Traditional Arabic" w:cs="Traditional Arabic" w:hint="cs"/>
          <w:sz w:val="22"/>
          <w:szCs w:val="22"/>
          <w:rtl/>
          <w:lang w:bidi="ar-YE"/>
        </w:rPr>
        <w:t xml:space="preserve"> </w:t>
      </w:r>
      <w:r w:rsidRPr="00E3747A">
        <w:rPr>
          <w:rFonts w:ascii="Traditional Arabic" w:hAnsi="Traditional Arabic" w:cs="Traditional Arabic"/>
          <w:sz w:val="22"/>
          <w:szCs w:val="22"/>
          <w:rtl/>
          <w:lang w:bidi="ar-YE"/>
        </w:rPr>
        <w:t xml:space="preserve">يُستخدم في هذا التقرير مصطلح "الحوثيون" و"مقاتلو الحوثي" و"حركة الحوثيين" في الإشارة إلى الجماعة المسلحة ويُستخدم مصطلح "أنصار الله" في الإشارة إلى القيادة السياسية التي تمثل الحوثيين والتي تمارس سلطة </w:t>
      </w:r>
      <w:r w:rsidRPr="00E3747A">
        <w:rPr>
          <w:rFonts w:ascii="Traditional Arabic" w:hAnsi="Traditional Arabic" w:cs="Traditional Arabic"/>
          <w:i/>
          <w:iCs/>
          <w:sz w:val="22"/>
          <w:szCs w:val="22"/>
          <w:rtl/>
          <w:lang w:bidi="ar-YE"/>
        </w:rPr>
        <w:t>الأمر الواقع</w:t>
      </w:r>
      <w:r w:rsidRPr="00E3747A">
        <w:rPr>
          <w:rFonts w:ascii="Traditional Arabic" w:hAnsi="Traditional Arabic" w:cs="Traditional Arabic"/>
          <w:sz w:val="22"/>
          <w:szCs w:val="22"/>
          <w:rtl/>
          <w:lang w:bidi="ar-YE"/>
        </w:rPr>
        <w:t xml:space="preserve"> على أجزاء من اليمن. </w:t>
      </w:r>
      <w:r w:rsidRPr="00EA32F5">
        <w:rPr>
          <w:rFonts w:ascii="Traditional Arabic" w:hAnsi="Traditional Arabic" w:cs="Traditional Arabic"/>
          <w:w w:val="90"/>
          <w:sz w:val="22"/>
          <w:szCs w:val="22"/>
          <w:rtl/>
          <w:lang w:bidi="ar-YE"/>
        </w:rPr>
        <w:t xml:space="preserve">أنظر الهامش 2 والملحق </w:t>
      </w:r>
      <w:r w:rsidRPr="00EA32F5">
        <w:rPr>
          <w:rFonts w:asciiTheme="majorBidi" w:hAnsiTheme="majorBidi" w:cstheme="majorBidi"/>
          <w:w w:val="90"/>
          <w:sz w:val="20"/>
          <w:rtl/>
          <w:lang w:bidi="ar-YE"/>
        </w:rPr>
        <w:t>1</w:t>
      </w:r>
      <w:r w:rsidRPr="00EA32F5">
        <w:rPr>
          <w:rFonts w:ascii="Traditional Arabic" w:hAnsi="Traditional Arabic" w:cs="Traditional Arabic"/>
          <w:w w:val="90"/>
          <w:sz w:val="22"/>
          <w:szCs w:val="22"/>
          <w:rtl/>
          <w:lang w:bidi="ar-YE"/>
        </w:rPr>
        <w:t>.</w:t>
      </w:r>
      <w:r w:rsidRPr="00E3747A">
        <w:rPr>
          <w:rFonts w:ascii="Traditional Arabic" w:hAnsi="Traditional Arabic" w:cs="Traditional Arabic"/>
          <w:sz w:val="22"/>
          <w:szCs w:val="22"/>
          <w:rtl/>
          <w:lang w:bidi="ar-YE"/>
        </w:rPr>
        <w:t xml:space="preserve">  </w:t>
      </w:r>
    </w:p>
  </w:footnote>
  <w:footnote w:id="81">
    <w:p w14:paraId="43D9EF9F" w14:textId="10DCF1E1" w:rsidR="00A1624A" w:rsidRPr="00E3747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C550C">
        <w:rPr>
          <w:rStyle w:val="FootnoteReference"/>
          <w:sz w:val="20"/>
        </w:rPr>
        <w:footnoteRef/>
      </w:r>
      <w:r w:rsidRPr="00CC550C">
        <w:rPr>
          <w:sz w:val="20"/>
        </w:rPr>
        <w:t xml:space="preserve"> Thomas May Juneau</w:t>
      </w:r>
      <w:r w:rsidRPr="00CC550C">
        <w:rPr>
          <w:rFonts w:hint="cs"/>
          <w:sz w:val="20"/>
          <w:rtl/>
        </w:rPr>
        <w:t xml:space="preserve">، </w:t>
      </w:r>
      <w:r w:rsidRPr="00CC550C">
        <w:rPr>
          <w:sz w:val="20"/>
        </w:rPr>
        <w:t>“Iran's policy towards the Houthis in Yemen: a limited return on a modest investment”</w:t>
      </w:r>
      <w:r w:rsidRPr="00CC550C">
        <w:rPr>
          <w:rFonts w:hint="cs"/>
          <w:sz w:val="20"/>
          <w:rtl/>
        </w:rPr>
        <w:t xml:space="preserve">، </w:t>
      </w:r>
      <w:r w:rsidRPr="00CC550C">
        <w:rPr>
          <w:sz w:val="20"/>
        </w:rPr>
        <w:t>International Affairs</w:t>
      </w:r>
      <w:r w:rsidRPr="00CC550C">
        <w:rPr>
          <w:rFonts w:ascii="Traditional Arabic" w:hAnsi="Traditional Arabic" w:cs="Traditional Arabic"/>
          <w:sz w:val="20"/>
        </w:rPr>
        <w:t xml:space="preserve"> </w:t>
      </w:r>
      <w:r w:rsidRPr="00CC550C">
        <w:rPr>
          <w:sz w:val="20"/>
        </w:rPr>
        <w:t>Vol. 92, Issue 3, May 2016, pp. 647–663. See also Bruce Riedel, ‘Who are the Houthis, and why are we at war with them?’, Brookings Institute, 18 December 2017.</w:t>
      </w:r>
    </w:p>
  </w:footnote>
  <w:footnote w:id="82">
    <w:p w14:paraId="78B8E86F" w14:textId="6A87BA5D" w:rsidR="00A1624A" w:rsidRPr="0039737A" w:rsidRDefault="00A1624A" w:rsidP="00B81240">
      <w:pPr>
        <w:pStyle w:val="FootnoteText"/>
        <w:tabs>
          <w:tab w:val="clear" w:pos="1021"/>
        </w:tabs>
        <w:bidi/>
        <w:ind w:left="851" w:firstLine="0"/>
        <w:jc w:val="both"/>
        <w:rPr>
          <w:sz w:val="20"/>
        </w:rPr>
      </w:pPr>
      <w:r w:rsidRPr="00E3747A">
        <w:rPr>
          <w:rStyle w:val="FootnoteReference"/>
          <w:rFonts w:ascii="Traditional Arabic" w:hAnsi="Traditional Arabic" w:cs="Traditional Arabic"/>
          <w:sz w:val="22"/>
          <w:szCs w:val="22"/>
        </w:rPr>
        <w:footnoteRef/>
      </w:r>
      <w:r w:rsidRPr="00E3747A">
        <w:rPr>
          <w:rFonts w:ascii="Traditional Arabic" w:hAnsi="Traditional Arabic" w:cs="Traditional Arabic"/>
          <w:sz w:val="22"/>
          <w:szCs w:val="22"/>
        </w:rPr>
        <w:t xml:space="preserve"> </w:t>
      </w:r>
      <w:r w:rsidRPr="00E3747A">
        <w:rPr>
          <w:rStyle w:val="preferred"/>
          <w:rFonts w:ascii="Traditional Arabic" w:hAnsi="Traditional Arabic" w:cs="Traditional Arabic"/>
          <w:sz w:val="22"/>
          <w:szCs w:val="22"/>
          <w:rtl/>
        </w:rPr>
        <w:t>مجلس العلاقات الخارجية، "القاعدة في شبه الجزيرة العربية"، 19 حزيران/ يونيو 2015.</w:t>
      </w:r>
      <w:r w:rsidRPr="0039737A">
        <w:rPr>
          <w:rStyle w:val="preferred"/>
          <w:rFonts w:hint="cs"/>
          <w:sz w:val="20"/>
          <w:rtl/>
        </w:rPr>
        <w:t xml:space="preserve"> </w:t>
      </w:r>
    </w:p>
  </w:footnote>
  <w:footnote w:id="83">
    <w:p w14:paraId="6A40DD18" w14:textId="7AAF5876"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Style w:val="tlid-translation"/>
          <w:rFonts w:ascii="Traditional Arabic" w:hAnsi="Traditional Arabic" w:cs="Traditional Arabic"/>
          <w:sz w:val="22"/>
          <w:szCs w:val="22"/>
          <w:rtl/>
        </w:rPr>
        <w:t>كانت الفرقة المدرعة الأولى المتمركزة خارج صنعاء أقوى وحدة عسكرية في البلاد حينها</w:t>
      </w:r>
      <w:r w:rsidRPr="00EA32F5">
        <w:rPr>
          <w:rStyle w:val="tlid-translation"/>
          <w:rFonts w:ascii="Traditional Arabic" w:hAnsi="Traditional Arabic" w:cs="Traditional Arabic"/>
          <w:sz w:val="22"/>
          <w:szCs w:val="22"/>
          <w:rtl/>
          <w:lang w:bidi="ar-YE"/>
        </w:rPr>
        <w:t xml:space="preserve">. </w:t>
      </w:r>
      <w:r w:rsidRPr="00EA32F5">
        <w:rPr>
          <w:rStyle w:val="tlid-translation"/>
          <w:rFonts w:ascii="Traditional Arabic" w:hAnsi="Traditional Arabic" w:cs="Traditional Arabic"/>
          <w:sz w:val="22"/>
          <w:szCs w:val="22"/>
          <w:rtl/>
        </w:rPr>
        <w:t>خلال الاحتجاجات ضد صالح في العام 2011، انضم علي محسن وفرقته إلى المتظاهرين</w:t>
      </w:r>
      <w:r w:rsidRPr="00EA32F5">
        <w:rPr>
          <w:rStyle w:val="tlid-translation"/>
          <w:rFonts w:ascii="Traditional Arabic" w:hAnsi="Traditional Arabic" w:cs="Traditional Arabic"/>
          <w:sz w:val="22"/>
          <w:szCs w:val="22"/>
          <w:lang w:bidi="ar"/>
        </w:rPr>
        <w:t>.</w:t>
      </w:r>
    </w:p>
  </w:footnote>
  <w:footnote w:id="84">
    <w:p w14:paraId="210CB515" w14:textId="3B54C73B" w:rsidR="00A1624A" w:rsidRPr="00EA32F5" w:rsidRDefault="00A1624A" w:rsidP="00B81240">
      <w:pPr>
        <w:pStyle w:val="FootnoteText"/>
        <w:tabs>
          <w:tab w:val="clear" w:pos="1021"/>
        </w:tabs>
        <w:bidi/>
        <w:ind w:left="851" w:firstLine="0"/>
        <w:jc w:val="both"/>
        <w:rPr>
          <w:rFonts w:ascii="Traditional Arabic" w:hAnsi="Traditional Arabic" w:cs="Traditional Arabic"/>
          <w:sz w:val="20"/>
          <w:rtl/>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Fonts w:ascii="Traditional Arabic" w:hAnsi="Traditional Arabic" w:cs="Traditional Arabic"/>
          <w:sz w:val="22"/>
          <w:szCs w:val="22"/>
          <w:rtl/>
        </w:rPr>
        <w:t xml:space="preserve">المرسوم الرئاسي  اليمني 104، 19 كانون الأول/ ديسمبر 2012، متوفر على الرابط: </w:t>
      </w:r>
    </w:p>
    <w:p w14:paraId="50537FDE" w14:textId="77777777" w:rsidR="00A1624A" w:rsidRPr="00EA32F5" w:rsidRDefault="0068660E" w:rsidP="00B81240">
      <w:pPr>
        <w:pStyle w:val="FootnoteText"/>
        <w:tabs>
          <w:tab w:val="clear" w:pos="1021"/>
        </w:tabs>
        <w:bidi/>
        <w:ind w:left="851" w:firstLine="0"/>
        <w:jc w:val="both"/>
        <w:rPr>
          <w:sz w:val="20"/>
          <w:rtl/>
        </w:rPr>
      </w:pPr>
      <w:hyperlink r:id="rId14" w:history="1">
        <w:r w:rsidR="00A1624A" w:rsidRPr="00EA32F5">
          <w:rPr>
            <w:rStyle w:val="Hyperlink"/>
            <w:sz w:val="20"/>
          </w:rPr>
          <w:t>http://www.sabanews.net/ar/news292153.htm</w:t>
        </w:r>
      </w:hyperlink>
      <w:r w:rsidR="00A1624A" w:rsidRPr="00EA32F5">
        <w:rPr>
          <w:sz w:val="20"/>
        </w:rPr>
        <w:t xml:space="preserve">; </w:t>
      </w:r>
    </w:p>
    <w:p w14:paraId="2955A881" w14:textId="500D87C8" w:rsidR="00A1624A" w:rsidRPr="00EA32F5" w:rsidRDefault="00A1624A" w:rsidP="00B81240">
      <w:pPr>
        <w:pStyle w:val="FootnoteText"/>
        <w:tabs>
          <w:tab w:val="clear" w:pos="1021"/>
        </w:tabs>
        <w:bidi/>
        <w:ind w:left="851" w:firstLine="0"/>
        <w:jc w:val="both"/>
        <w:rPr>
          <w:sz w:val="20"/>
        </w:rPr>
      </w:pPr>
      <w:r w:rsidRPr="00EA32F5">
        <w:rPr>
          <w:sz w:val="20"/>
        </w:rPr>
        <w:t xml:space="preserve">See also Zoltan Barany, Center for Strategic International Studies, “The Challenges of Building a National Army in Yemen”, 14 July 2016, available at:  </w:t>
      </w:r>
      <w:hyperlink r:id="rId15" w:history="1">
        <w:r w:rsidRPr="00EA32F5">
          <w:rPr>
            <w:rStyle w:val="Hyperlink"/>
            <w:sz w:val="20"/>
          </w:rPr>
          <w:t>https://csis-prod.s3.amazonaws.com/s3fs-public/publication/160718_Challenges_Yemen_National_Army.pdf</w:t>
        </w:r>
      </w:hyperlink>
      <w:r w:rsidRPr="00EA32F5">
        <w:rPr>
          <w:sz w:val="20"/>
        </w:rPr>
        <w:t xml:space="preserve"> ; see also </w:t>
      </w:r>
      <w:hyperlink r:id="rId16" w:history="1">
        <w:r w:rsidRPr="00EA32F5">
          <w:rPr>
            <w:rStyle w:val="Hyperlink"/>
            <w:sz w:val="20"/>
          </w:rPr>
          <w:t>https://www.bbc.com/news/world-middle-east-22096125</w:t>
        </w:r>
      </w:hyperlink>
      <w:r w:rsidRPr="00EA32F5">
        <w:rPr>
          <w:sz w:val="20"/>
        </w:rPr>
        <w:t>,</w:t>
      </w:r>
    </w:p>
  </w:footnote>
  <w:footnote w:id="85">
    <w:p w14:paraId="54965C64" w14:textId="19824870" w:rsidR="00A1624A" w:rsidRPr="00EA32F5" w:rsidRDefault="00A1624A" w:rsidP="00B81240">
      <w:pPr>
        <w:pStyle w:val="FootnoteText"/>
        <w:tabs>
          <w:tab w:val="clear" w:pos="1021"/>
        </w:tabs>
        <w:bidi/>
        <w:ind w:left="851" w:firstLine="0"/>
        <w:jc w:val="both"/>
        <w:rPr>
          <w:sz w:val="20"/>
        </w:rPr>
      </w:pPr>
      <w:r w:rsidRPr="00EA32F5">
        <w:rPr>
          <w:rStyle w:val="FootnoteReference"/>
          <w:sz w:val="20"/>
        </w:rPr>
        <w:footnoteRef/>
      </w:r>
      <w:r w:rsidRPr="00EA32F5">
        <w:rPr>
          <w:sz w:val="20"/>
        </w:rPr>
        <w:t xml:space="preserve"> https://www.un.org/press/en/2012/sga1365.doc.htm</w:t>
      </w:r>
    </w:p>
  </w:footnote>
  <w:footnote w:id="86">
    <w:p w14:paraId="311528E6" w14:textId="38601955" w:rsidR="00A1624A" w:rsidRPr="00EA32F5" w:rsidRDefault="00A1624A" w:rsidP="00B81240">
      <w:pPr>
        <w:pStyle w:val="FootnoteText"/>
        <w:tabs>
          <w:tab w:val="clear" w:pos="1021"/>
        </w:tabs>
        <w:bidi/>
        <w:ind w:left="851" w:firstLine="0"/>
        <w:jc w:val="both"/>
        <w:rPr>
          <w:sz w:val="20"/>
          <w:lang w:val="en-US"/>
        </w:rPr>
      </w:pPr>
      <w:r w:rsidRPr="00EA32F5">
        <w:rPr>
          <w:rStyle w:val="FootnoteReference"/>
          <w:sz w:val="20"/>
        </w:rPr>
        <w:footnoteRef/>
      </w:r>
      <w:r w:rsidRPr="00EA32F5">
        <w:rPr>
          <w:sz w:val="20"/>
        </w:rPr>
        <w:t xml:space="preserve"> </w:t>
      </w:r>
      <w:r w:rsidRPr="00EA32F5">
        <w:rPr>
          <w:rFonts w:hint="cs"/>
          <w:sz w:val="20"/>
          <w:rtl/>
        </w:rPr>
        <w:t xml:space="preserve"> </w:t>
      </w:r>
      <w:r w:rsidRPr="00EA32F5">
        <w:rPr>
          <w:sz w:val="20"/>
        </w:rPr>
        <w:t>Stephen W. Day, “The ‘Non Conclusion’ of Yemen’s National Dialogue,” Foreign Policy, 27 January 2014; for additional discussion on Yemen’s NDC see Erica Gaston, “Process Lessons Learned in Yemen’s National Dialogue,” United States Institute of Peace, February 2014.</w:t>
      </w:r>
    </w:p>
  </w:footnote>
  <w:footnote w:id="87">
    <w:p w14:paraId="13CECAA3" w14:textId="77777777" w:rsidR="00A1624A" w:rsidRPr="00B44939" w:rsidRDefault="00A1624A" w:rsidP="00B81240">
      <w:pPr>
        <w:pStyle w:val="FootnoteText"/>
        <w:tabs>
          <w:tab w:val="clear" w:pos="1021"/>
        </w:tabs>
        <w:bidi/>
        <w:ind w:left="851" w:firstLine="0"/>
        <w:jc w:val="both"/>
        <w:rPr>
          <w:szCs w:val="18"/>
        </w:rPr>
      </w:pPr>
      <w:r w:rsidRPr="00EA32F5">
        <w:rPr>
          <w:rStyle w:val="FootnoteReference"/>
          <w:sz w:val="20"/>
        </w:rPr>
        <w:footnoteRef/>
      </w:r>
      <w:r w:rsidRPr="00EA32F5">
        <w:rPr>
          <w:sz w:val="20"/>
        </w:rPr>
        <w:t xml:space="preserve"> See </w:t>
      </w:r>
      <w:hyperlink r:id="rId17" w:history="1">
        <w:r w:rsidRPr="00EA32F5">
          <w:rPr>
            <w:rStyle w:val="Hyperlink"/>
            <w:sz w:val="20"/>
          </w:rPr>
          <w:t>http://www.ndc.ye/default.aspx</w:t>
        </w:r>
      </w:hyperlink>
    </w:p>
  </w:footnote>
  <w:footnote w:id="88">
    <w:p w14:paraId="72D43465" w14:textId="34D21476" w:rsidR="00A1624A" w:rsidRPr="005F0E7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F0E73">
        <w:rPr>
          <w:rStyle w:val="FootnoteReference"/>
          <w:rFonts w:ascii="Traditional Arabic" w:hAnsi="Traditional Arabic" w:cs="Traditional Arabic"/>
          <w:sz w:val="22"/>
          <w:szCs w:val="22"/>
        </w:rPr>
        <w:footnoteRef/>
      </w:r>
      <w:r w:rsidRPr="005F0E73">
        <w:rPr>
          <w:rFonts w:ascii="Traditional Arabic" w:hAnsi="Traditional Arabic" w:cs="Traditional Arabic"/>
          <w:sz w:val="22"/>
          <w:szCs w:val="22"/>
        </w:rPr>
        <w:t xml:space="preserve"> </w:t>
      </w:r>
      <w:r w:rsidRPr="005F0E73">
        <w:rPr>
          <w:rFonts w:ascii="Traditional Arabic" w:hAnsi="Traditional Arabic" w:cs="Traditional Arabic"/>
          <w:sz w:val="22"/>
          <w:szCs w:val="22"/>
          <w:rtl/>
          <w:lang w:bidi="ar-YE"/>
        </w:rPr>
        <w:t xml:space="preserve">تقرير مفوض الأمم المتحدة السامي، حالة حقوق الإنسان في اليمن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rPr>
        <w:t>، 7 أيلول/ سبتمبر 2015، (</w:t>
      </w:r>
      <w:r w:rsidRPr="005F0E73">
        <w:rPr>
          <w:rStyle w:val="tlid-translation"/>
          <w:rFonts w:ascii="Traditional Arabic" w:hAnsi="Traditional Arabic" w:cs="Traditional Arabic"/>
          <w:sz w:val="22"/>
          <w:szCs w:val="22"/>
          <w:rtl/>
        </w:rPr>
        <w:t xml:space="preserve">سيتم ذكرها لاحقًا بـ"تقرير الأمم المتحدة بشأن حقوق الإنسان في اليمن 2015" -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lang w:bidi="ar-YE"/>
        </w:rPr>
        <w:t>)، ص.3-4.</w:t>
      </w:r>
    </w:p>
  </w:footnote>
  <w:footnote w:id="89">
    <w:p w14:paraId="7187098A" w14:textId="541E3088" w:rsidR="00A1624A" w:rsidRPr="005F0E7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F0E73">
        <w:rPr>
          <w:rStyle w:val="FootnoteReference"/>
          <w:rFonts w:ascii="Traditional Arabic" w:hAnsi="Traditional Arabic" w:cs="Traditional Arabic"/>
          <w:sz w:val="22"/>
          <w:szCs w:val="22"/>
        </w:rPr>
        <w:footnoteRef/>
      </w:r>
      <w:r w:rsidRPr="005F0E73">
        <w:rPr>
          <w:rFonts w:ascii="Traditional Arabic" w:hAnsi="Traditional Arabic" w:cs="Traditional Arabic"/>
          <w:sz w:val="22"/>
          <w:szCs w:val="22"/>
        </w:rPr>
        <w:t xml:space="preserve"> </w:t>
      </w:r>
      <w:r w:rsidRPr="005F0E73">
        <w:rPr>
          <w:rStyle w:val="tlid-translation"/>
          <w:rFonts w:ascii="Traditional Arabic" w:hAnsi="Traditional Arabic" w:cs="Traditional Arabic"/>
          <w:sz w:val="22"/>
          <w:szCs w:val="22"/>
          <w:rtl/>
        </w:rPr>
        <w:t xml:space="preserve">"تقرير الأمم المتحدة بشأن حقوق الإنسان في اليمن 2015" - </w:t>
      </w:r>
      <w:r w:rsidRPr="005F0E73">
        <w:rPr>
          <w:rFonts w:ascii="Traditional Arabic" w:hAnsi="Traditional Arabic" w:cs="Traditional Arabic"/>
          <w:sz w:val="22"/>
          <w:szCs w:val="22"/>
        </w:rPr>
        <w:t>A/HRC/30/31</w:t>
      </w:r>
      <w:r w:rsidRPr="005F0E73">
        <w:rPr>
          <w:rFonts w:ascii="Traditional Arabic" w:hAnsi="Traditional Arabic" w:cs="Traditional Arabic"/>
          <w:sz w:val="22"/>
          <w:szCs w:val="22"/>
          <w:rtl/>
        </w:rPr>
        <w:t>، ص.5.</w:t>
      </w:r>
    </w:p>
  </w:footnote>
  <w:footnote w:id="90">
    <w:p w14:paraId="42044D4D" w14:textId="77777777" w:rsidR="00A1624A" w:rsidRPr="0099686C" w:rsidRDefault="00A1624A" w:rsidP="00B81240">
      <w:pPr>
        <w:pStyle w:val="FootnoteText"/>
        <w:tabs>
          <w:tab w:val="clear" w:pos="1021"/>
        </w:tabs>
        <w:bidi/>
        <w:ind w:left="851" w:firstLine="0"/>
        <w:jc w:val="both"/>
        <w:rPr>
          <w:sz w:val="20"/>
          <w:lang w:val="en-US"/>
        </w:rPr>
      </w:pPr>
      <w:r w:rsidRPr="0099686C">
        <w:rPr>
          <w:rStyle w:val="FootnoteReference"/>
          <w:sz w:val="20"/>
        </w:rPr>
        <w:footnoteRef/>
      </w:r>
      <w:r w:rsidRPr="0099686C">
        <w:rPr>
          <w:sz w:val="20"/>
        </w:rPr>
        <w:t xml:space="preserve"> </w:t>
      </w:r>
      <w:hyperlink r:id="rId18" w:history="1">
        <w:r w:rsidRPr="0099686C">
          <w:rPr>
            <w:rStyle w:val="Hyperlink"/>
            <w:sz w:val="20"/>
          </w:rPr>
          <w:t>https://obamawhitehouse.archives.gov/the-press-office/2015/03/25/statement-nsc-spokesperson-bernadette-meehan-situation-yemen</w:t>
        </w:r>
      </w:hyperlink>
    </w:p>
  </w:footnote>
  <w:footnote w:id="91">
    <w:p w14:paraId="7D474A8E" w14:textId="77B0E293"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Style w:val="tlid-translation"/>
          <w:rFonts w:ascii="Traditional Arabic" w:hAnsi="Traditional Arabic" w:cs="Traditional Arabic"/>
          <w:sz w:val="22"/>
          <w:szCs w:val="22"/>
          <w:rtl/>
        </w:rPr>
        <w:t xml:space="preserve">"تقرير الأمم المتحدة بشأن حقوق الإنسان في اليمن 2015" - </w:t>
      </w:r>
      <w:r w:rsidRPr="00EA32F5">
        <w:rPr>
          <w:rFonts w:ascii="Traditional Arabic" w:hAnsi="Traditional Arabic" w:cs="Traditional Arabic"/>
          <w:sz w:val="22"/>
          <w:szCs w:val="22"/>
        </w:rPr>
        <w:t>A/HRC/30/31</w:t>
      </w:r>
      <w:r w:rsidRPr="00EA32F5">
        <w:rPr>
          <w:rFonts w:ascii="Traditional Arabic" w:hAnsi="Traditional Arabic" w:cs="Traditional Arabic"/>
          <w:sz w:val="22"/>
          <w:szCs w:val="22"/>
          <w:rtl/>
        </w:rPr>
        <w:t>، ص.5.</w:t>
      </w:r>
    </w:p>
  </w:footnote>
  <w:footnote w:id="92">
    <w:p w14:paraId="08E06D0C" w14:textId="4ED7121B" w:rsidR="00A1624A" w:rsidRPr="00182ACC" w:rsidRDefault="00A1624A" w:rsidP="00B81240">
      <w:pPr>
        <w:pStyle w:val="FootnoteText"/>
        <w:tabs>
          <w:tab w:val="clear" w:pos="1021"/>
        </w:tabs>
        <w:bidi/>
        <w:ind w:left="851" w:firstLine="0"/>
        <w:jc w:val="both"/>
        <w:rPr>
          <w:rStyle w:val="Hyperlink"/>
          <w:sz w:val="20"/>
          <w:rtl/>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tl/>
        </w:rPr>
        <w:t xml:space="preserve"> أنظر على سبيل المثال</w:t>
      </w:r>
      <w:r w:rsidRPr="00182ACC">
        <w:rPr>
          <w:rFonts w:hint="cs"/>
          <w:sz w:val="20"/>
          <w:rtl/>
        </w:rPr>
        <w:t xml:space="preserve"> </w:t>
      </w:r>
      <w:hyperlink r:id="rId19" w:history="1">
        <w:r w:rsidRPr="00182ACC">
          <w:rPr>
            <w:rStyle w:val="Hyperlink"/>
            <w:sz w:val="20"/>
          </w:rPr>
          <w:t>https://twitter.com/ochayemen/status/820702897335922688</w:t>
        </w:r>
      </w:hyperlink>
    </w:p>
    <w:p w14:paraId="72BBEDC4" w14:textId="5FB945C3" w:rsidR="00A1624A" w:rsidRPr="00182ACC" w:rsidRDefault="0068660E" w:rsidP="00B81240">
      <w:pPr>
        <w:pStyle w:val="FootnoteText"/>
        <w:tabs>
          <w:tab w:val="clear" w:pos="1021"/>
        </w:tabs>
        <w:bidi/>
        <w:ind w:left="851" w:firstLine="0"/>
        <w:jc w:val="both"/>
        <w:rPr>
          <w:rStyle w:val="Hyperlink"/>
          <w:sz w:val="20"/>
          <w:rtl/>
        </w:rPr>
      </w:pPr>
      <w:hyperlink r:id="rId20" w:history="1">
        <w:r w:rsidR="00A1624A" w:rsidRPr="00182ACC">
          <w:rPr>
            <w:rStyle w:val="Hyperlink"/>
            <w:sz w:val="20"/>
          </w:rPr>
          <w:t>https://www.nrc.no/news/2017/august/yemen-airport-closure-killed-more-people-than-airstrikes/</w:t>
        </w:r>
      </w:hyperlink>
    </w:p>
    <w:p w14:paraId="4D6BA1B8" w14:textId="20B8B93F" w:rsidR="00A1624A" w:rsidRPr="00182ACC" w:rsidRDefault="0068660E" w:rsidP="00B81240">
      <w:pPr>
        <w:pStyle w:val="FootnoteText"/>
        <w:tabs>
          <w:tab w:val="clear" w:pos="1021"/>
        </w:tabs>
        <w:bidi/>
        <w:ind w:left="851" w:firstLine="0"/>
        <w:jc w:val="both"/>
        <w:rPr>
          <w:sz w:val="20"/>
        </w:rPr>
      </w:pPr>
      <w:hyperlink r:id="rId21" w:history="1">
        <w:r w:rsidR="00A1624A" w:rsidRPr="00182ACC">
          <w:rPr>
            <w:rStyle w:val="Hyperlink"/>
            <w:sz w:val="20"/>
          </w:rPr>
          <w:t>https://www.reuters.com/article/us-yemen-security-airport/aid-groups-say-yemen-airport-closure-hinders-aid-traps-patients-idUSKBN1AP11M</w:t>
        </w:r>
      </w:hyperlink>
    </w:p>
  </w:footnote>
  <w:footnote w:id="93">
    <w:p w14:paraId="27F17481" w14:textId="65742FB3" w:rsidR="00A1624A" w:rsidRPr="00182ACC" w:rsidRDefault="00A1624A" w:rsidP="00B81240">
      <w:pPr>
        <w:pStyle w:val="FootnoteText"/>
        <w:tabs>
          <w:tab w:val="clear" w:pos="1021"/>
        </w:tabs>
        <w:bidi/>
        <w:ind w:left="851" w:firstLine="0"/>
        <w:jc w:val="both"/>
        <w:rPr>
          <w:sz w:val="20"/>
        </w:rPr>
      </w:pPr>
      <w:r w:rsidRPr="00182ACC">
        <w:rPr>
          <w:rStyle w:val="FootnoteReference"/>
          <w:sz w:val="20"/>
        </w:rPr>
        <w:footnoteRef/>
      </w:r>
      <w:r w:rsidRPr="00182ACC">
        <w:rPr>
          <w:sz w:val="20"/>
        </w:rPr>
        <w:t xml:space="preserve"> </w:t>
      </w:r>
      <w:hyperlink r:id="rId22" w:history="1">
        <w:r w:rsidRPr="00182ACC">
          <w:rPr>
            <w:rStyle w:val="Hyperlink"/>
            <w:sz w:val="20"/>
          </w:rPr>
          <w:t>https://www.reuters.com/article/us-yemen-security-investigation/body-set-up-by-saudi-led-forces-probes-hits-on-yemen-school-hospital-idUSKCN10R28O</w:t>
        </w:r>
      </w:hyperlink>
    </w:p>
  </w:footnote>
  <w:footnote w:id="94">
    <w:p w14:paraId="38B81252" w14:textId="33BDDA2D" w:rsidR="00A1624A" w:rsidRPr="00EA32F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A32F5">
        <w:rPr>
          <w:rStyle w:val="FootnoteReference"/>
          <w:rFonts w:ascii="Traditional Arabic" w:hAnsi="Traditional Arabic" w:cs="Traditional Arabic"/>
          <w:sz w:val="22"/>
          <w:szCs w:val="22"/>
        </w:rPr>
        <w:footnoteRef/>
      </w:r>
      <w:r w:rsidRPr="00EA32F5">
        <w:rPr>
          <w:rFonts w:ascii="Traditional Arabic" w:hAnsi="Traditional Arabic" w:cs="Traditional Arabic"/>
          <w:sz w:val="22"/>
          <w:szCs w:val="22"/>
        </w:rPr>
        <w:t xml:space="preserve"> </w:t>
      </w:r>
      <w:r w:rsidRPr="00EA32F5">
        <w:rPr>
          <w:rFonts w:ascii="Traditional Arabic" w:hAnsi="Traditional Arabic" w:cs="Traditional Arabic"/>
          <w:sz w:val="22"/>
          <w:szCs w:val="22"/>
          <w:rtl/>
        </w:rPr>
        <w:t>مركز صنعاء للدراسات الإستراتيجية، "</w:t>
      </w:r>
      <w:r w:rsidRPr="00EA32F5">
        <w:rPr>
          <w:rStyle w:val="Emphasis"/>
          <w:rFonts w:ascii="Traditional Arabic" w:hAnsi="Traditional Arabic" w:cs="Traditional Arabic"/>
          <w:i w:val="0"/>
          <w:iCs w:val="0"/>
          <w:sz w:val="22"/>
          <w:szCs w:val="22"/>
          <w:rtl/>
        </w:rPr>
        <w:t xml:space="preserve"> الفيدرالية</w:t>
      </w:r>
      <w:r w:rsidRPr="00EA32F5">
        <w:rPr>
          <w:rFonts w:ascii="Traditional Arabic" w:hAnsi="Traditional Arabic" w:cs="Traditional Arabic"/>
          <w:sz w:val="22"/>
          <w:szCs w:val="22"/>
          <w:rtl/>
        </w:rPr>
        <w:t xml:space="preserve"> في اليمن: محفّز للحرب، الواقع الحاضر والمستقبل الحتمي،" شباط/ فبراير 2019، ص.20. </w:t>
      </w:r>
    </w:p>
  </w:footnote>
  <w:footnote w:id="95">
    <w:p w14:paraId="6E841B06" w14:textId="4D6C2010" w:rsidR="00A1624A" w:rsidRPr="00B44939" w:rsidRDefault="00A1624A" w:rsidP="00B81240">
      <w:pPr>
        <w:pStyle w:val="FootnoteText"/>
        <w:tabs>
          <w:tab w:val="clear" w:pos="1021"/>
        </w:tabs>
        <w:bidi/>
        <w:ind w:left="851" w:firstLine="0"/>
        <w:jc w:val="both"/>
        <w:rPr>
          <w:szCs w:val="18"/>
        </w:rPr>
      </w:pPr>
      <w:r w:rsidRPr="00B44939">
        <w:rPr>
          <w:rStyle w:val="FootnoteReference"/>
          <w:szCs w:val="18"/>
        </w:rPr>
        <w:footnoteRef/>
      </w:r>
      <w:r w:rsidRPr="00B44939">
        <w:rPr>
          <w:szCs w:val="18"/>
        </w:rPr>
        <w:t xml:space="preserve"> </w:t>
      </w:r>
      <w:r>
        <w:rPr>
          <w:rFonts w:hint="cs"/>
          <w:szCs w:val="18"/>
          <w:rtl/>
        </w:rPr>
        <w:t xml:space="preserve"> </w:t>
      </w:r>
      <w:r w:rsidRPr="00B44939">
        <w:rPr>
          <w:szCs w:val="18"/>
        </w:rPr>
        <w:t>https://www.nytimes.com/2017/11/04/world/middleeast/missile-saudi-arabia-riyadh.html</w:t>
      </w:r>
    </w:p>
  </w:footnote>
  <w:footnote w:id="96">
    <w:p w14:paraId="19ED6F18" w14:textId="59FCBE4B" w:rsidR="00A1624A" w:rsidRPr="0099686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Pr>
        <w:t xml:space="preserve"> </w:t>
      </w:r>
      <w:r w:rsidRPr="0099686C">
        <w:rPr>
          <w:rFonts w:ascii="Traditional Arabic" w:hAnsi="Traditional Arabic" w:cs="Traditional Arabic"/>
          <w:sz w:val="22"/>
          <w:szCs w:val="22"/>
          <w:rtl/>
          <w:lang w:bidi="ar-YE"/>
        </w:rPr>
        <w:t xml:space="preserve"> </w:t>
      </w:r>
      <w:r w:rsidRPr="0099686C">
        <w:rPr>
          <w:rStyle w:val="preferred"/>
          <w:rFonts w:ascii="Traditional Arabic" w:hAnsi="Traditional Arabic" w:cs="Traditional Arabic"/>
          <w:sz w:val="22"/>
          <w:szCs w:val="22"/>
          <w:rtl/>
        </w:rPr>
        <w:t xml:space="preserve">مكتب الامم المتحدة لتنسيق الشؤون الإنسانية الحصار في اليمن </w:t>
      </w:r>
      <w:r w:rsidRPr="0099686C">
        <w:rPr>
          <w:rFonts w:ascii="Traditional Arabic" w:hAnsi="Traditional Arabic" w:cs="Traditional Arabic"/>
          <w:sz w:val="22"/>
          <w:szCs w:val="22"/>
          <w:rtl/>
        </w:rPr>
        <w:t xml:space="preserve">يشرح في 17 تشرين الثاني/ نوفمبر 2017 أنه لا يزال حصار اليمن </w:t>
      </w:r>
      <w:r w:rsidRPr="0099686C">
        <w:rPr>
          <w:rStyle w:val="tlid-translation"/>
          <w:rFonts w:ascii="Traditional Arabic" w:hAnsi="Traditional Arabic" w:cs="Traditional Arabic"/>
          <w:sz w:val="22"/>
          <w:szCs w:val="22"/>
          <w:rtl/>
        </w:rPr>
        <w:t>يعوق الجهود الإنسانية بشدة للوصول إلى ملايين المحتاجين.</w:t>
      </w:r>
    </w:p>
  </w:footnote>
  <w:footnote w:id="97">
    <w:p w14:paraId="64645156" w14:textId="0F300E30" w:rsidR="00A1624A" w:rsidRDefault="00A1624A" w:rsidP="00B81240">
      <w:pPr>
        <w:pStyle w:val="FootnoteText"/>
        <w:tabs>
          <w:tab w:val="clear" w:pos="1021"/>
        </w:tabs>
        <w:bidi/>
        <w:ind w:left="851" w:firstLine="0"/>
        <w:jc w:val="both"/>
        <w:rPr>
          <w:rFonts w:ascii="Traditional Arabic" w:hAnsi="Traditional Arabic" w:cs="Traditional Arabic"/>
          <w:sz w:val="22"/>
          <w:szCs w:val="22"/>
          <w:lang w:bidi="ar-YE"/>
        </w:rPr>
      </w:pPr>
      <w:r w:rsidRPr="0099686C">
        <w:rPr>
          <w:rStyle w:val="FootnoteReference"/>
          <w:rFonts w:ascii="Traditional Arabic" w:hAnsi="Traditional Arabic" w:cs="Traditional Arabic"/>
          <w:sz w:val="22"/>
          <w:szCs w:val="22"/>
        </w:rPr>
        <w:footnoteRef/>
      </w:r>
      <w:r w:rsidRPr="0099686C">
        <w:rPr>
          <w:rFonts w:ascii="Traditional Arabic" w:hAnsi="Traditional Arabic" w:cs="Traditional Arabic"/>
          <w:sz w:val="22"/>
          <w:szCs w:val="22"/>
        </w:rPr>
        <w:t xml:space="preserve"> </w:t>
      </w:r>
      <w:r w:rsidRPr="0099686C">
        <w:rPr>
          <w:rFonts w:ascii="Traditional Arabic" w:hAnsi="Traditional Arabic" w:cs="Traditional Arabic"/>
          <w:sz w:val="22"/>
          <w:szCs w:val="22"/>
          <w:rtl/>
          <w:lang w:bidi="ar-YE"/>
        </w:rPr>
        <w:t>لمزيد من النقاش، أنظر</w:t>
      </w:r>
    </w:p>
    <w:p w14:paraId="419CF25F" w14:textId="0628CE45" w:rsidR="00A1624A" w:rsidRPr="00B44939" w:rsidRDefault="00A1624A" w:rsidP="00B81240">
      <w:pPr>
        <w:pStyle w:val="FootnoteText"/>
        <w:tabs>
          <w:tab w:val="clear" w:pos="1021"/>
        </w:tabs>
        <w:bidi/>
        <w:ind w:left="851" w:firstLine="0"/>
        <w:jc w:val="both"/>
        <w:rPr>
          <w:szCs w:val="18"/>
        </w:rPr>
      </w:pPr>
      <w:r w:rsidRPr="00AC5E0C">
        <w:rPr>
          <w:szCs w:val="18"/>
        </w:rPr>
        <w:t>Crisis Group, “Collapse of the Houthi-Saleh Alliance and the Future of Yemen’s War”, 11 January 2018</w:t>
      </w:r>
    </w:p>
  </w:footnote>
  <w:footnote w:id="98">
    <w:p w14:paraId="4B0C8C03" w14:textId="592577B3" w:rsidR="00A1624A" w:rsidRPr="00EA32F5"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32F5">
        <w:rPr>
          <w:rStyle w:val="FootnoteReference"/>
          <w:rFonts w:ascii="Traditional Arabic" w:hAnsi="Traditional Arabic" w:cs="Traditional Arabic"/>
          <w:noProof/>
          <w:sz w:val="22"/>
          <w:szCs w:val="22"/>
        </w:rPr>
        <w:footnoteRef/>
      </w:r>
      <w:r w:rsidRPr="00EA32F5">
        <w:rPr>
          <w:rFonts w:ascii="Traditional Arabic" w:hAnsi="Traditional Arabic" w:cs="Traditional Arabic"/>
          <w:noProof/>
          <w:sz w:val="22"/>
          <w:szCs w:val="22"/>
        </w:rPr>
        <w:t xml:space="preserve"> </w:t>
      </w:r>
      <w:r w:rsidRPr="00EA32F5">
        <w:rPr>
          <w:rFonts w:ascii="Traditional Arabic" w:hAnsi="Traditional Arabic" w:cs="Traditional Arabic"/>
          <w:noProof/>
          <w:sz w:val="22"/>
          <w:szCs w:val="22"/>
          <w:rtl/>
        </w:rPr>
        <w:t xml:space="preserve">أنظر الملحق 1 لمزيد من المعلومات.  </w:t>
      </w:r>
    </w:p>
  </w:footnote>
  <w:footnote w:id="99">
    <w:p w14:paraId="111D9975" w14:textId="741F64C8" w:rsidR="00A1624A" w:rsidRPr="005E72A0"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tl/>
        </w:rPr>
        <w:t xml:space="preserve"> تقييم الضرر في عدن، يونوسات- </w:t>
      </w:r>
      <w:r w:rsidRPr="005E72A0">
        <w:rPr>
          <w:rStyle w:val="preferred"/>
          <w:rFonts w:ascii="Traditional Arabic" w:hAnsi="Traditional Arabic" w:cs="Traditional Arabic"/>
          <w:sz w:val="22"/>
          <w:szCs w:val="22"/>
          <w:rtl/>
        </w:rPr>
        <w:t xml:space="preserve">يونيتار، </w:t>
      </w:r>
      <w:r w:rsidRPr="005E72A0">
        <w:rPr>
          <w:rFonts w:ascii="Traditional Arabic" w:hAnsi="Traditional Arabic" w:cs="Traditional Arabic"/>
          <w:sz w:val="22"/>
          <w:szCs w:val="22"/>
          <w:rtl/>
        </w:rPr>
        <w:t xml:space="preserve">21 آب/ أغسطس 2015، متوفرة على الرابط: </w:t>
      </w:r>
    </w:p>
    <w:p w14:paraId="6BD4C666" w14:textId="5101A77F"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sz w:val="20"/>
        </w:rPr>
        <w:t>https://reliefweb.int/sites/reliefweb.int/files/resources/UNOSAT_A3_Landscape_Aden_20150821.pdf</w:t>
      </w:r>
    </w:p>
  </w:footnote>
  <w:footnote w:id="100">
    <w:p w14:paraId="2748EE0D" w14:textId="77777777" w:rsidR="00A1624A" w:rsidRPr="00A64F51" w:rsidRDefault="00A1624A" w:rsidP="00B81240">
      <w:pPr>
        <w:pStyle w:val="FootnoteText"/>
        <w:tabs>
          <w:tab w:val="clear" w:pos="1021"/>
        </w:tabs>
        <w:bidi/>
        <w:ind w:left="851" w:firstLine="0"/>
        <w:jc w:val="both"/>
        <w:rPr>
          <w:sz w:val="20"/>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مكتب الأمم المتحدة لتنسيق الشؤون الإنسانية:</w:t>
      </w:r>
      <w:r w:rsidRPr="00A64F51">
        <w:rPr>
          <w:rStyle w:val="preferred"/>
          <w:rFonts w:hint="cs"/>
          <w:sz w:val="20"/>
          <w:rtl/>
        </w:rPr>
        <w:t xml:space="preserve"> </w:t>
      </w:r>
      <w:r w:rsidRPr="00A64F51">
        <w:rPr>
          <w:szCs w:val="18"/>
        </w:rPr>
        <w:t>Yemen: Humanitarian Emergency Situation Report No</w:t>
      </w:r>
      <w:r w:rsidRPr="00A64F51">
        <w:rPr>
          <w:sz w:val="20"/>
        </w:rPr>
        <w:t>. 16,</w:t>
      </w:r>
    </w:p>
    <w:p w14:paraId="5CCC23ED" w14:textId="17F4D981"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BF6804">
        <w:t xml:space="preserve"> </w:t>
      </w:r>
      <w:r w:rsidRPr="00A64F51">
        <w:rPr>
          <w:rFonts w:hint="cs"/>
          <w:sz w:val="20"/>
          <w:rtl/>
        </w:rPr>
        <w:t xml:space="preserve"> </w:t>
      </w:r>
      <w:r w:rsidRPr="005E72A0">
        <w:rPr>
          <w:rStyle w:val="preferred"/>
          <w:rFonts w:ascii="Traditional Arabic" w:hAnsi="Traditional Arabic" w:cs="Traditional Arabic"/>
          <w:sz w:val="22"/>
          <w:szCs w:val="22"/>
          <w:rtl/>
        </w:rPr>
        <w:t xml:space="preserve">20 تموز/ يوليو 2015 </w:t>
      </w:r>
    </w:p>
  </w:footnote>
  <w:footnote w:id="101">
    <w:p w14:paraId="1E8B1217" w14:textId="3DC904C3"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 xml:space="preserve">مكتب الأمم المتحدة لتنسيق الشؤون الإنسانية: </w:t>
      </w:r>
      <w:r w:rsidRPr="005E72A0">
        <w:rPr>
          <w:rFonts w:ascii="Traditional Arabic" w:hAnsi="Traditional Arabic" w:cs="Traditional Arabic"/>
          <w:noProof/>
          <w:sz w:val="22"/>
          <w:szCs w:val="22"/>
          <w:lang w:val="fr-FR"/>
        </w:rPr>
        <w:t xml:space="preserve">Humanitarian Needs Overview, 2016 </w:t>
      </w:r>
      <w:r w:rsidRPr="005E72A0">
        <w:rPr>
          <w:rFonts w:ascii="Traditional Arabic" w:hAnsi="Traditional Arabic" w:cs="Traditional Arabic"/>
          <w:noProof/>
          <w:sz w:val="22"/>
          <w:szCs w:val="22"/>
          <w:rtl/>
          <w:lang w:val="fr-FR"/>
        </w:rPr>
        <w:t xml:space="preserve"> ص. 28</w:t>
      </w:r>
    </w:p>
  </w:footnote>
  <w:footnote w:id="102">
    <w:p w14:paraId="5841D1C6" w14:textId="2275C136"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Style w:val="preferred"/>
          <w:rFonts w:ascii="Traditional Arabic" w:hAnsi="Traditional Arabic" w:cs="Traditional Arabic"/>
          <w:sz w:val="22"/>
          <w:szCs w:val="22"/>
          <w:rtl/>
        </w:rPr>
        <w:t xml:space="preserve">مكتب الأمم المتحدة لتنسيق الشؤون الإنسانية: </w:t>
      </w:r>
      <w:r w:rsidRPr="005E72A0">
        <w:rPr>
          <w:rFonts w:ascii="Traditional Arabic" w:hAnsi="Traditional Arabic" w:cs="Traditional Arabic"/>
          <w:noProof/>
          <w:sz w:val="22"/>
          <w:szCs w:val="22"/>
          <w:lang w:val="fr-FR"/>
        </w:rPr>
        <w:t>Humanitarian Needs Overview, 2016</w:t>
      </w:r>
      <w:r w:rsidRPr="005E72A0">
        <w:rPr>
          <w:rFonts w:ascii="Traditional Arabic" w:hAnsi="Traditional Arabic" w:cs="Traditional Arabic"/>
          <w:noProof/>
          <w:sz w:val="22"/>
          <w:szCs w:val="22"/>
          <w:rtl/>
          <w:lang w:val="fr-FR"/>
        </w:rPr>
        <w:t xml:space="preserve"> ص. 51 </w:t>
      </w:r>
    </w:p>
  </w:footnote>
  <w:footnote w:id="103">
    <w:p w14:paraId="70197577" w14:textId="5A64465C"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sz w:val="22"/>
          <w:szCs w:val="22"/>
        </w:rPr>
        <w:t xml:space="preserve"> </w:t>
      </w:r>
      <w:r w:rsidRPr="005E72A0">
        <w:rPr>
          <w:rFonts w:ascii="Traditional Arabic" w:hAnsi="Traditional Arabic" w:cs="Traditional Arabic"/>
          <w:sz w:val="22"/>
          <w:szCs w:val="22"/>
          <w:rtl/>
        </w:rPr>
        <w:t xml:space="preserve"> تقرير اليونيسف السنوي بشأن اليمن، 2015</w:t>
      </w:r>
    </w:p>
  </w:footnote>
  <w:footnote w:id="104">
    <w:p w14:paraId="1BBC3C96" w14:textId="75BA7696"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tl/>
        </w:rPr>
        <w:t xml:space="preserve"> مصادر سريّة في الملف.</w:t>
      </w:r>
    </w:p>
  </w:footnote>
  <w:footnote w:id="105">
    <w:p w14:paraId="52ECFC07" w14:textId="77777777" w:rsidR="00A1624A" w:rsidRPr="005E72A0"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tl/>
        </w:rPr>
        <w:t xml:space="preserve"> </w:t>
      </w:r>
      <w:r w:rsidRPr="005E72A0">
        <w:rPr>
          <w:rStyle w:val="tlid-translation"/>
          <w:rFonts w:ascii="Traditional Arabic" w:hAnsi="Traditional Arabic" w:cs="Traditional Arabic"/>
          <w:sz w:val="22"/>
          <w:szCs w:val="22"/>
          <w:rtl/>
        </w:rPr>
        <w:t>تقرير مركز دراسات الرأي العام والبحوث الاجتماعية عن انتهاكات حقوق الإنسان في الجنوب "التي ارتكبتها الميليشيات الحوثية وقوات الجيش اليمني الموالية للرئيس السابق علي عبد الله صالح" ، آب/ أغسطس 2015. منظمة العفو الدولية</w:t>
      </w:r>
    </w:p>
    <w:p w14:paraId="7D574FAD" w14:textId="7787EFE4" w:rsidR="00A1624A" w:rsidRDefault="00A1624A" w:rsidP="00B81240">
      <w:pPr>
        <w:pStyle w:val="FootnoteText"/>
        <w:tabs>
          <w:tab w:val="clear" w:pos="1021"/>
        </w:tabs>
        <w:bidi/>
        <w:ind w:left="851" w:firstLine="0"/>
        <w:jc w:val="both"/>
        <w:rPr>
          <w:rFonts w:asciiTheme="majorBidi" w:hAnsiTheme="majorBidi" w:cstheme="majorBidi"/>
          <w:noProof/>
          <w:szCs w:val="18"/>
          <w:rtl/>
        </w:rPr>
      </w:pPr>
      <w:r w:rsidRPr="00D91547">
        <w:rPr>
          <w:rFonts w:asciiTheme="majorBidi" w:hAnsiTheme="majorBidi" w:cstheme="majorBidi"/>
          <w:noProof/>
          <w:szCs w:val="18"/>
        </w:rPr>
        <w:t>“Yemen: Eyewitness accounts indicate Houthis attacked civilians and medical workers in Aden”</w:t>
      </w:r>
    </w:p>
    <w:p w14:paraId="5BB476CA" w14:textId="77777777"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Fonts w:ascii="Traditional Arabic" w:hAnsi="Traditional Arabic" w:cs="Traditional Arabic"/>
          <w:noProof/>
          <w:sz w:val="22"/>
          <w:szCs w:val="22"/>
          <w:rtl/>
        </w:rPr>
        <w:t>13 أيار/ مايو 2015 متوفر في الرابط:</w:t>
      </w:r>
    </w:p>
    <w:p w14:paraId="1CE0CF57" w14:textId="358573B3"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Pr>
          <w:rFonts w:asciiTheme="majorBidi" w:hAnsiTheme="majorBidi" w:cstheme="majorBidi" w:hint="cs"/>
          <w:noProof/>
          <w:szCs w:val="18"/>
          <w:rtl/>
        </w:rPr>
        <w:t xml:space="preserve"> </w:t>
      </w:r>
      <w:hyperlink r:id="rId23" w:history="1">
        <w:r w:rsidRPr="007A72B5">
          <w:rPr>
            <w:rStyle w:val="Hyperlink"/>
            <w:rFonts w:asciiTheme="majorBidi" w:hAnsiTheme="majorBidi" w:cstheme="majorBidi"/>
            <w:noProof/>
            <w:szCs w:val="18"/>
          </w:rPr>
          <w:t>https://www.amnesty.org/en/latest/news/2015/05/yemen-eyewitness-accounts-indicate-huthis-attacked-civilians-and-medical-workers-in-aden/</w:t>
        </w:r>
      </w:hyperlink>
    </w:p>
  </w:footnote>
  <w:footnote w:id="106">
    <w:p w14:paraId="777EEFA1" w14:textId="26ED682A" w:rsidR="00A1624A" w:rsidRPr="005E72A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5E72A0">
        <w:rPr>
          <w:rStyle w:val="FootnoteReference"/>
          <w:rFonts w:ascii="Traditional Arabic" w:hAnsi="Traditional Arabic" w:cs="Traditional Arabic"/>
          <w:noProof/>
          <w:sz w:val="22"/>
          <w:szCs w:val="22"/>
        </w:rPr>
        <w:footnoteRef/>
      </w:r>
      <w:r w:rsidRPr="005E72A0">
        <w:rPr>
          <w:rFonts w:ascii="Traditional Arabic" w:hAnsi="Traditional Arabic" w:cs="Traditional Arabic"/>
          <w:noProof/>
          <w:sz w:val="22"/>
          <w:szCs w:val="22"/>
        </w:rPr>
        <w:t xml:space="preserve"> </w:t>
      </w:r>
      <w:r w:rsidRPr="005E72A0">
        <w:rPr>
          <w:rFonts w:ascii="Traditional Arabic" w:hAnsi="Traditional Arabic" w:cs="Traditional Arabic"/>
          <w:noProof/>
          <w:sz w:val="22"/>
          <w:szCs w:val="22"/>
          <w:rtl/>
        </w:rPr>
        <w:t>مصادر سريّة في الملف</w:t>
      </w:r>
      <w:r w:rsidRPr="005E72A0">
        <w:rPr>
          <w:rFonts w:ascii="Traditional Arabic" w:hAnsi="Traditional Arabic" w:cs="Traditional Arabic"/>
          <w:noProof/>
          <w:sz w:val="22"/>
          <w:szCs w:val="22"/>
        </w:rPr>
        <w:t>.</w:t>
      </w:r>
    </w:p>
  </w:footnote>
  <w:footnote w:id="107">
    <w:p w14:paraId="5BBBE813" w14:textId="4967EBAD"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08">
    <w:p w14:paraId="7A9A970E" w14:textId="3D8B8D62"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Pr>
          <w:rFonts w:ascii="Traditional Arabic" w:hAnsi="Traditional Arabic" w:cs="Traditional Arabic" w:hint="cs"/>
          <w:noProof/>
          <w:sz w:val="22"/>
          <w:szCs w:val="22"/>
          <w:rtl/>
        </w:rPr>
        <w:t xml:space="preserve"> </w:t>
      </w:r>
      <w:r w:rsidRPr="00CF24C7">
        <w:rPr>
          <w:rFonts w:ascii="Traditional Arabic" w:hAnsi="Traditional Arabic" w:cs="Traditional Arabic"/>
          <w:noProof/>
          <w:sz w:val="22"/>
          <w:szCs w:val="22"/>
          <w:rtl/>
        </w:rPr>
        <w:t xml:space="preserve">منظمة العفو الدولية </w:t>
      </w:r>
    </w:p>
    <w:p w14:paraId="01D559F6" w14:textId="72882007" w:rsidR="00A1624A" w:rsidRDefault="00A1624A" w:rsidP="00B81240">
      <w:pPr>
        <w:pStyle w:val="FootnoteText"/>
        <w:tabs>
          <w:tab w:val="clear" w:pos="1021"/>
        </w:tabs>
        <w:bidi/>
        <w:ind w:left="851" w:firstLine="0"/>
        <w:jc w:val="both"/>
        <w:rPr>
          <w:rFonts w:asciiTheme="majorBidi" w:hAnsiTheme="majorBidi" w:cstheme="majorBidi"/>
          <w:noProof/>
          <w:szCs w:val="18"/>
          <w:rtl/>
        </w:rPr>
      </w:pPr>
      <w:r w:rsidRPr="007C6A6E">
        <w:rPr>
          <w:rFonts w:asciiTheme="majorBidi" w:hAnsiTheme="majorBidi" w:cstheme="majorBidi"/>
          <w:noProof/>
          <w:szCs w:val="18"/>
        </w:rPr>
        <w:t xml:space="preserve"> “Yemen: Eyewitness accounts indicate Houthis attacked civilians and medical workers in Aden” </w:t>
      </w:r>
    </w:p>
    <w:p w14:paraId="6B41AF4A" w14:textId="29E8C6AA" w:rsidR="00A1624A" w:rsidRPr="006242B7"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6242B7">
        <w:rPr>
          <w:rFonts w:ascii="Traditional Arabic" w:hAnsi="Traditional Arabic" w:cs="Traditional Arabic"/>
          <w:noProof/>
          <w:sz w:val="22"/>
          <w:szCs w:val="22"/>
          <w:rtl/>
        </w:rPr>
        <w:t>13 أيار/ مايو 2015</w:t>
      </w:r>
    </w:p>
    <w:p w14:paraId="52C31304" w14:textId="0085248F"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7C6A6E">
        <w:rPr>
          <w:rFonts w:asciiTheme="majorBidi" w:hAnsiTheme="majorBidi" w:cstheme="majorBidi"/>
          <w:noProof/>
          <w:szCs w:val="18"/>
        </w:rPr>
        <w:t>https://www.amnesty.org/en/latest/news/2015/05/yemen-eyewitness-accounts-indicate-huthis-attacked-civilians-and-medical-workers-in-aden/.</w:t>
      </w:r>
    </w:p>
  </w:footnote>
  <w:footnote w:id="109">
    <w:p w14:paraId="20BD72CC" w14:textId="34B87F67"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0">
    <w:p w14:paraId="1EE9B6A1" w14:textId="3C1816A4"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1">
    <w:p w14:paraId="07101303" w14:textId="3D9064E2"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sidRPr="00CF24C7">
        <w:rPr>
          <w:rFonts w:ascii="Traditional Arabic" w:hAnsi="Traditional Arabic" w:cs="Traditional Arabic"/>
          <w:noProof/>
          <w:sz w:val="22"/>
          <w:szCs w:val="22"/>
        </w:rPr>
        <w:t xml:space="preserve"> </w:t>
      </w:r>
    </w:p>
  </w:footnote>
  <w:footnote w:id="112">
    <w:p w14:paraId="0EB6095F" w14:textId="7764457E" w:rsidR="00A1624A" w:rsidRPr="00CF24C7"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CF24C7">
        <w:rPr>
          <w:rStyle w:val="FootnoteReference"/>
          <w:rFonts w:ascii="Traditional Arabic" w:hAnsi="Traditional Arabic" w:cs="Traditional Arabic"/>
          <w:sz w:val="22"/>
          <w:szCs w:val="22"/>
        </w:rPr>
        <w:footnoteRef/>
      </w:r>
      <w:r w:rsidRPr="00CF24C7">
        <w:rPr>
          <w:rFonts w:ascii="Traditional Arabic" w:hAnsi="Traditional Arabic" w:cs="Traditional Arabic"/>
          <w:sz w:val="22"/>
          <w:szCs w:val="22"/>
        </w:rPr>
        <w:t xml:space="preserve"> </w:t>
      </w:r>
      <w:r w:rsidRPr="00CF24C7">
        <w:rPr>
          <w:rFonts w:ascii="Traditional Arabic" w:hAnsi="Traditional Arabic" w:cs="Traditional Arabic"/>
          <w:noProof/>
          <w:sz w:val="22"/>
          <w:szCs w:val="22"/>
          <w:rtl/>
        </w:rPr>
        <w:t>مصادر سريّة في الملف.</w:t>
      </w:r>
    </w:p>
  </w:footnote>
  <w:footnote w:id="113">
    <w:p w14:paraId="78924C96" w14:textId="63C1A8CD"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r w:rsidRPr="00CF24C7">
        <w:rPr>
          <w:rFonts w:ascii="Traditional Arabic" w:hAnsi="Traditional Arabic" w:cs="Traditional Arabic"/>
          <w:noProof/>
          <w:sz w:val="22"/>
          <w:szCs w:val="22"/>
        </w:rPr>
        <w:t xml:space="preserve"> </w:t>
      </w:r>
    </w:p>
  </w:footnote>
  <w:footnote w:id="114">
    <w:p w14:paraId="1F9116D9" w14:textId="5BE8549A" w:rsidR="00A1624A" w:rsidRPr="00CF24C7"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CF24C7">
        <w:rPr>
          <w:rStyle w:val="FootnoteReference"/>
          <w:rFonts w:ascii="Traditional Arabic" w:hAnsi="Traditional Arabic" w:cs="Traditional Arabic"/>
          <w:noProof/>
          <w:sz w:val="22"/>
          <w:szCs w:val="22"/>
        </w:rPr>
        <w:footnoteRef/>
      </w:r>
      <w:r w:rsidRPr="00CF24C7">
        <w:rPr>
          <w:rFonts w:ascii="Traditional Arabic" w:hAnsi="Traditional Arabic" w:cs="Traditional Arabic"/>
          <w:noProof/>
          <w:sz w:val="22"/>
          <w:szCs w:val="22"/>
        </w:rPr>
        <w:t xml:space="preserve"> </w:t>
      </w:r>
      <w:r w:rsidRPr="00CF24C7">
        <w:rPr>
          <w:rFonts w:ascii="Traditional Arabic" w:hAnsi="Traditional Arabic" w:cs="Traditional Arabic"/>
          <w:noProof/>
          <w:sz w:val="22"/>
          <w:szCs w:val="22"/>
          <w:rtl/>
        </w:rPr>
        <w:t>مصادر سريّة في الملف.</w:t>
      </w:r>
    </w:p>
  </w:footnote>
  <w:footnote w:id="115">
    <w:p w14:paraId="544A7E53" w14:textId="49E96FDF"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 أنظر أيضًا هيومن رايتس واتش تموز/ يوليو 2015</w:t>
      </w:r>
    </w:p>
    <w:p w14:paraId="2BBC2530" w14:textId="59D761A8"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7C6A6E">
        <w:rPr>
          <w:rFonts w:asciiTheme="majorBidi" w:hAnsiTheme="majorBidi" w:cstheme="majorBidi"/>
          <w:noProof/>
          <w:szCs w:val="18"/>
        </w:rPr>
        <w:t>“Yemen, Houthi artillery kills dozens in Aden”</w:t>
      </w:r>
      <w:r>
        <w:rPr>
          <w:rFonts w:asciiTheme="majorBidi" w:hAnsiTheme="majorBidi" w:cstheme="majorBidi" w:hint="cs"/>
          <w:noProof/>
          <w:szCs w:val="18"/>
          <w:rtl/>
        </w:rPr>
        <w:t xml:space="preserve"> </w:t>
      </w:r>
      <w:r w:rsidRPr="00A64F51">
        <w:rPr>
          <w:rFonts w:asciiTheme="majorBidi" w:hAnsiTheme="majorBidi" w:cstheme="majorBidi" w:hint="cs"/>
          <w:noProof/>
          <w:sz w:val="20"/>
          <w:rtl/>
        </w:rPr>
        <w:t xml:space="preserve">، </w:t>
      </w:r>
      <w:hyperlink r:id="rId24" w:history="1">
        <w:r w:rsidRPr="00A64F51">
          <w:rPr>
            <w:rStyle w:val="Hyperlink"/>
            <w:rFonts w:asciiTheme="majorBidi" w:hAnsiTheme="majorBidi" w:cstheme="majorBidi"/>
            <w:noProof/>
            <w:sz w:val="20"/>
          </w:rPr>
          <w:t>https://www.hrw.org/news/2015/07/29/yemen-houthi-artillery-kills-dozens-aden</w:t>
        </w:r>
      </w:hyperlink>
    </w:p>
    <w:p w14:paraId="209D7CFE" w14:textId="382BEAF4"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D14005">
        <w:rPr>
          <w:rFonts w:ascii="Traditional Arabic" w:hAnsi="Traditional Arabic" w:cs="Traditional Arabic"/>
          <w:noProof/>
          <w:sz w:val="22"/>
          <w:szCs w:val="22"/>
          <w:rtl/>
        </w:rPr>
        <w:t>أنظر كذلك:</w:t>
      </w:r>
    </w:p>
    <w:p w14:paraId="1C263C28" w14:textId="39B4D8E9"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hint="cs"/>
          <w:noProof/>
          <w:sz w:val="20"/>
          <w:rtl/>
        </w:rPr>
        <w:t xml:space="preserve"> </w:t>
      </w:r>
      <w:hyperlink r:id="rId25" w:history="1">
        <w:r w:rsidRPr="00A64F51">
          <w:rPr>
            <w:rStyle w:val="Hyperlink"/>
            <w:rFonts w:asciiTheme="majorBidi" w:hAnsiTheme="majorBidi" w:cstheme="majorBidi"/>
            <w:noProof/>
            <w:sz w:val="20"/>
          </w:rPr>
          <w:t>https://www.aljazeera.com/news/2015/06/yemen-houthis-attack-oil-refinery-aden-150627152313777.html</w:t>
        </w:r>
      </w:hyperlink>
    </w:p>
  </w:footnote>
  <w:footnote w:id="116">
    <w:p w14:paraId="01DE7C4A" w14:textId="0851A811"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Fonts w:ascii="Traditional Arabic" w:hAnsi="Traditional Arabic" w:cs="Traditional Arabic"/>
          <w:noProof/>
          <w:sz w:val="22"/>
          <w:szCs w:val="22"/>
          <w:rtl/>
        </w:rPr>
        <w:t xml:space="preserve">مصادر سريّة في الملف. </w:t>
      </w:r>
    </w:p>
  </w:footnote>
  <w:footnote w:id="117">
    <w:p w14:paraId="4F52C75F" w14:textId="18DA7E0B"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Style w:val="tlid-translation"/>
          <w:rFonts w:ascii="Traditional Arabic" w:hAnsi="Traditional Arabic" w:cs="Traditional Arabic"/>
          <w:sz w:val="22"/>
          <w:szCs w:val="22"/>
          <w:rtl/>
        </w:rPr>
        <w:t xml:space="preserve">في الحالة الثاني: هجمات صاروخية على مصفاة نفط عدن </w:t>
      </w:r>
    </w:p>
  </w:footnote>
  <w:footnote w:id="118">
    <w:p w14:paraId="4B80A2F8" w14:textId="77777777"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sz w:val="22"/>
          <w:szCs w:val="22"/>
        </w:rPr>
        <w:footnoteRef/>
      </w:r>
      <w:r w:rsidRPr="00D14005">
        <w:rPr>
          <w:rFonts w:ascii="Traditional Arabic" w:hAnsi="Traditional Arabic" w:cs="Traditional Arabic"/>
          <w:sz w:val="22"/>
          <w:szCs w:val="22"/>
        </w:rPr>
        <w:t xml:space="preserve"> </w:t>
      </w:r>
      <w:r w:rsidRPr="00D14005">
        <w:rPr>
          <w:rFonts w:ascii="Traditional Arabic" w:hAnsi="Traditional Arabic" w:cs="Traditional Arabic"/>
          <w:sz w:val="22"/>
          <w:szCs w:val="22"/>
          <w:rtl/>
        </w:rPr>
        <w:t>مصادر سريّة في الملف. أنظر كذلك</w:t>
      </w:r>
    </w:p>
    <w:p w14:paraId="5F1E1291" w14:textId="1E129F94" w:rsidR="00A1624A" w:rsidRPr="00A64F51" w:rsidRDefault="00A1624A" w:rsidP="00B81240">
      <w:pPr>
        <w:pStyle w:val="FootnoteText"/>
        <w:tabs>
          <w:tab w:val="clear" w:pos="1021"/>
        </w:tabs>
        <w:bidi/>
        <w:ind w:left="851" w:firstLine="0"/>
        <w:jc w:val="both"/>
        <w:rPr>
          <w:rFonts w:asciiTheme="majorBidi" w:hAnsiTheme="majorBidi" w:cstheme="majorBidi"/>
          <w:sz w:val="20"/>
          <w:rtl/>
        </w:rPr>
      </w:pPr>
      <w:r w:rsidRPr="00A64F51">
        <w:rPr>
          <w:rFonts w:asciiTheme="majorBidi" w:hAnsiTheme="majorBidi" w:cstheme="majorBidi" w:hint="cs"/>
          <w:sz w:val="20"/>
          <w:rtl/>
        </w:rPr>
        <w:t xml:space="preserve"> </w:t>
      </w:r>
      <w:r w:rsidRPr="00A64F51">
        <w:rPr>
          <w:rFonts w:asciiTheme="majorBidi" w:hAnsiTheme="majorBidi" w:cstheme="majorBidi"/>
          <w:sz w:val="20"/>
        </w:rPr>
        <w:t>Centre for Public Opinion Studies and Social Research</w:t>
      </w:r>
    </w:p>
    <w:p w14:paraId="3D242747" w14:textId="458983DE"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A64F51">
        <w:rPr>
          <w:rFonts w:asciiTheme="majorBidi" w:hAnsiTheme="majorBidi" w:cstheme="majorBidi"/>
          <w:sz w:val="20"/>
        </w:rPr>
        <w:t>“Report on the Human Rights Violations in the South Committed by Houthi Militias and Forces of the Yemeni Army Loyal to the Former President Ali Abdullah Saleh”</w:t>
      </w:r>
      <w:r>
        <w:rPr>
          <w:rFonts w:asciiTheme="majorBidi" w:hAnsiTheme="majorBidi" w:cstheme="majorBidi"/>
          <w:sz w:val="20"/>
        </w:rPr>
        <w:t xml:space="preserve"> </w:t>
      </w:r>
      <w:r w:rsidRPr="00D14005">
        <w:rPr>
          <w:rFonts w:ascii="Traditional Arabic" w:hAnsi="Traditional Arabic" w:cs="Traditional Arabic"/>
          <w:sz w:val="22"/>
          <w:szCs w:val="22"/>
          <w:rtl/>
        </w:rPr>
        <w:t>آب/ أغسطس 2015</w:t>
      </w:r>
    </w:p>
  </w:footnote>
  <w:footnote w:id="119">
    <w:p w14:paraId="35B772F6" w14:textId="4B695500" w:rsidR="00A1624A" w:rsidRPr="00D14005"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w:t>
      </w:r>
      <w:r w:rsidRPr="00D14005" w:rsidDel="00852D80">
        <w:rPr>
          <w:rFonts w:ascii="Traditional Arabic" w:hAnsi="Traditional Arabic" w:cs="Traditional Arabic"/>
          <w:noProof/>
          <w:sz w:val="22"/>
          <w:szCs w:val="22"/>
        </w:rPr>
        <w:t xml:space="preserve"> </w:t>
      </w:r>
    </w:p>
  </w:footnote>
  <w:footnote w:id="120">
    <w:p w14:paraId="63474650" w14:textId="5C239CFE"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w:t>
      </w:r>
      <w:r w:rsidRPr="00D14005">
        <w:rPr>
          <w:rFonts w:ascii="Traditional Arabic" w:hAnsi="Traditional Arabic" w:cs="Traditional Arabic"/>
          <w:noProof/>
          <w:sz w:val="22"/>
          <w:szCs w:val="22"/>
        </w:rPr>
        <w:t>.</w:t>
      </w:r>
    </w:p>
  </w:footnote>
  <w:footnote w:id="121">
    <w:p w14:paraId="406167D2" w14:textId="1B833283" w:rsidR="00A1624A" w:rsidRPr="00D140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sz w:val="22"/>
          <w:szCs w:val="22"/>
          <w:rtl/>
        </w:rPr>
        <w:t>مصادر سريّة في الملف</w:t>
      </w:r>
      <w:r w:rsidRPr="00D14005">
        <w:rPr>
          <w:rFonts w:ascii="Traditional Arabic" w:hAnsi="Traditional Arabic" w:cs="Traditional Arabic"/>
          <w:sz w:val="22"/>
          <w:szCs w:val="22"/>
        </w:rPr>
        <w:t xml:space="preserve">. </w:t>
      </w:r>
    </w:p>
  </w:footnote>
  <w:footnote w:id="122">
    <w:p w14:paraId="73D8A752" w14:textId="654B58D7" w:rsidR="00A1624A" w:rsidRPr="00A64F51" w:rsidRDefault="00A1624A" w:rsidP="00B81240">
      <w:pPr>
        <w:pStyle w:val="FootnoteText"/>
        <w:tabs>
          <w:tab w:val="clear" w:pos="1021"/>
        </w:tabs>
        <w:bidi/>
        <w:ind w:left="851" w:firstLine="0"/>
        <w:jc w:val="both"/>
        <w:rPr>
          <w:rFonts w:asciiTheme="majorBidi" w:hAnsiTheme="majorBidi" w:cstheme="majorBidi"/>
          <w:sz w:val="20"/>
        </w:rPr>
      </w:pPr>
      <w:r w:rsidRPr="00D14005">
        <w:rPr>
          <w:rStyle w:val="FootnoteReference"/>
          <w:rFonts w:ascii="Traditional Arabic" w:hAnsi="Traditional Arabic" w:cs="Traditional Arabic"/>
          <w:noProof/>
          <w:sz w:val="22"/>
          <w:szCs w:val="22"/>
        </w:rPr>
        <w:footnoteRef/>
      </w:r>
      <w:r w:rsidRPr="00D14005">
        <w:rPr>
          <w:rFonts w:ascii="Traditional Arabic" w:hAnsi="Traditional Arabic" w:cs="Traditional Arabic"/>
          <w:noProof/>
          <w:sz w:val="22"/>
          <w:szCs w:val="22"/>
        </w:rPr>
        <w:t xml:space="preserve"> </w:t>
      </w:r>
      <w:r w:rsidRPr="00D14005">
        <w:rPr>
          <w:rFonts w:ascii="Traditional Arabic" w:hAnsi="Traditional Arabic" w:cs="Traditional Arabic"/>
          <w:noProof/>
          <w:sz w:val="22"/>
          <w:szCs w:val="22"/>
          <w:rtl/>
        </w:rPr>
        <w:t>مصادر سريّة في الملف. كان إسمه مصنع الطوب، أو "مصنع الحجر الأحمر."</w:t>
      </w:r>
    </w:p>
  </w:footnote>
  <w:footnote w:id="123">
    <w:p w14:paraId="5997F24B" w14:textId="1EB32A5B"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tl/>
        </w:rPr>
        <w:t xml:space="preserve"> مصادر سريّة في الملف.</w:t>
      </w:r>
      <w:r w:rsidRPr="00071ACB">
        <w:rPr>
          <w:rFonts w:ascii="Traditional Arabic" w:hAnsi="Traditional Arabic" w:cs="Traditional Arabic"/>
          <w:noProof/>
          <w:sz w:val="22"/>
          <w:szCs w:val="22"/>
        </w:rPr>
        <w:t xml:space="preserve"> </w:t>
      </w:r>
    </w:p>
  </w:footnote>
  <w:footnote w:id="124">
    <w:p w14:paraId="35370AAD" w14:textId="53DDBBAD"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r w:rsidRPr="00071ACB">
        <w:rPr>
          <w:rFonts w:ascii="Traditional Arabic" w:hAnsi="Traditional Arabic" w:cs="Traditional Arabic"/>
          <w:noProof/>
          <w:sz w:val="22"/>
          <w:szCs w:val="22"/>
        </w:rPr>
        <w:t xml:space="preserve"> </w:t>
      </w:r>
    </w:p>
  </w:footnote>
  <w:footnote w:id="125">
    <w:p w14:paraId="1BA16A1D" w14:textId="46346E1B"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6">
    <w:p w14:paraId="3C3C48C8" w14:textId="664052FF"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7">
    <w:p w14:paraId="6FC0E6B6" w14:textId="03981744"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8">
    <w:p w14:paraId="565FCDF3" w14:textId="57DAF679"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29">
    <w:p w14:paraId="1AC3DD9F" w14:textId="6246C24F"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 أنظر أيضًا تقرير مفوضية الأمم المتحدة لحقوق الإنسان بشأن اليمن سنة 2015 وتقرير هيومن رايتس واتش:</w:t>
      </w:r>
    </w:p>
    <w:p w14:paraId="6130A3AE" w14:textId="1A8E2216"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noProof/>
          <w:sz w:val="20"/>
        </w:rPr>
        <w:t>Yemen: Houthi Artillery Kills Dozens in Aden</w:t>
      </w:r>
    </w:p>
    <w:p w14:paraId="346CCA9B" w14:textId="4FAA8176"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noProof/>
          <w:sz w:val="20"/>
        </w:rPr>
        <w:t>https://www.hrw.org/news/2015/07/29/yemen-houthi-artillery-kills-dozens-aden.</w:t>
      </w:r>
    </w:p>
  </w:footnote>
  <w:footnote w:id="130">
    <w:p w14:paraId="43F71FDD" w14:textId="6B5C9398"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Style w:val="FootnoteReference"/>
          <w:rFonts w:asciiTheme="majorBidi" w:hAnsiTheme="majorBidi" w:cstheme="majorBidi"/>
          <w:noProof/>
          <w:sz w:val="20"/>
        </w:rPr>
        <w:footnoteRef/>
      </w:r>
      <w:r w:rsidRPr="00A64F51">
        <w:rPr>
          <w:rFonts w:asciiTheme="majorBidi" w:hAnsiTheme="majorBidi" w:cstheme="majorBidi"/>
          <w:noProof/>
          <w:sz w:val="20"/>
        </w:rPr>
        <w:t xml:space="preserve"> </w:t>
      </w:r>
      <w:r w:rsidRPr="00071ACB">
        <w:rPr>
          <w:rFonts w:ascii="Traditional Arabic" w:hAnsi="Traditional Arabic" w:cs="Traditional Arabic"/>
          <w:noProof/>
          <w:sz w:val="22"/>
          <w:szCs w:val="22"/>
          <w:rtl/>
        </w:rPr>
        <w:t>مصادر سريّة في الملف. منظمة العفو الدولية</w:t>
      </w:r>
      <w:r w:rsidRPr="00A64F51">
        <w:rPr>
          <w:rFonts w:asciiTheme="majorBidi" w:hAnsiTheme="majorBidi" w:hint="cs"/>
          <w:noProof/>
          <w:sz w:val="20"/>
          <w:rtl/>
        </w:rPr>
        <w:t xml:space="preserve"> </w:t>
      </w:r>
      <w:r w:rsidRPr="00A64F51">
        <w:rPr>
          <w:rFonts w:asciiTheme="majorBidi" w:hAnsiTheme="majorBidi" w:cstheme="majorBidi"/>
          <w:noProof/>
          <w:sz w:val="20"/>
        </w:rPr>
        <w:t>Nowhere safe for civilians, 2015</w:t>
      </w:r>
    </w:p>
    <w:p w14:paraId="4CA5624B" w14:textId="4E839637"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A64F51">
        <w:rPr>
          <w:rFonts w:asciiTheme="majorBidi" w:hAnsiTheme="majorBidi" w:cstheme="majorBidi"/>
          <w:noProof/>
          <w:sz w:val="20"/>
        </w:rPr>
        <w:t xml:space="preserve">https://reliefweb.int/sites/reliefweb.int/files/resources/MDE3122912015ENGLISH.pdf. </w:t>
      </w:r>
    </w:p>
  </w:footnote>
  <w:footnote w:id="131">
    <w:p w14:paraId="7FB8A3BF" w14:textId="6220CFB7"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2">
    <w:p w14:paraId="696EC1AF" w14:textId="2B35DD9A"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3">
    <w:p w14:paraId="5909349C" w14:textId="529D2D88"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4">
    <w:p w14:paraId="51341CF0" w14:textId="2A4224C3"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5">
    <w:p w14:paraId="5746FBFA" w14:textId="68403F1E"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r w:rsidRPr="00071ACB">
        <w:rPr>
          <w:rFonts w:ascii="Traditional Arabic" w:hAnsi="Traditional Arabic" w:cs="Traditional Arabic"/>
          <w:noProof/>
          <w:sz w:val="22"/>
          <w:szCs w:val="22"/>
        </w:rPr>
        <w:t>.</w:t>
      </w:r>
    </w:p>
  </w:footnote>
  <w:footnote w:id="136">
    <w:p w14:paraId="593D8906" w14:textId="551506E7" w:rsidR="00A1624A" w:rsidRPr="00071ACB"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071ACB">
        <w:rPr>
          <w:rStyle w:val="FootnoteReference"/>
          <w:rFonts w:ascii="Traditional Arabic" w:hAnsi="Traditional Arabic" w:cs="Traditional Arabic"/>
          <w:noProof/>
          <w:sz w:val="22"/>
          <w:szCs w:val="22"/>
        </w:rPr>
        <w:footnoteRef/>
      </w:r>
      <w:r w:rsidRPr="00071ACB">
        <w:rPr>
          <w:rFonts w:ascii="Traditional Arabic" w:hAnsi="Traditional Arabic" w:cs="Traditional Arabic"/>
          <w:noProof/>
          <w:sz w:val="22"/>
          <w:szCs w:val="22"/>
        </w:rPr>
        <w:t xml:space="preserve"> </w:t>
      </w:r>
      <w:r w:rsidRPr="00071ACB">
        <w:rPr>
          <w:rFonts w:ascii="Traditional Arabic" w:hAnsi="Traditional Arabic" w:cs="Traditional Arabic"/>
          <w:noProof/>
          <w:sz w:val="22"/>
          <w:szCs w:val="22"/>
          <w:rtl/>
        </w:rPr>
        <w:t>مصادر سريّة في الملف.</w:t>
      </w:r>
    </w:p>
  </w:footnote>
  <w:footnote w:id="137">
    <w:p w14:paraId="5847E816" w14:textId="25D8B960"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القواعد 11-12. أنظر أيضًا المادة 13، البروتوكول الإضافي الثاني</w:t>
      </w:r>
    </w:p>
  </w:footnote>
  <w:footnote w:id="138">
    <w:p w14:paraId="599F7972" w14:textId="36AA3AF0"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12.</w:t>
      </w:r>
    </w:p>
  </w:footnote>
  <w:footnote w:id="139">
    <w:p w14:paraId="5602E201" w14:textId="58324034"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15.</w:t>
      </w:r>
    </w:p>
  </w:footnote>
  <w:footnote w:id="140">
    <w:p w14:paraId="47A5272A" w14:textId="55207138" w:rsidR="00A1624A" w:rsidRPr="00071AC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156.</w:t>
      </w:r>
    </w:p>
  </w:footnote>
  <w:footnote w:id="141">
    <w:p w14:paraId="25DC5831" w14:textId="076C80D2" w:rsidR="00A1624A" w:rsidRPr="00A64F51" w:rsidRDefault="00A1624A" w:rsidP="00B81240">
      <w:pPr>
        <w:pStyle w:val="FootnoteText"/>
        <w:tabs>
          <w:tab w:val="clear" w:pos="1021"/>
        </w:tabs>
        <w:bidi/>
        <w:ind w:left="851" w:firstLine="0"/>
        <w:jc w:val="both"/>
        <w:rPr>
          <w:sz w:val="20"/>
          <w:lang w:val="en-US"/>
        </w:rPr>
      </w:pPr>
      <w:r w:rsidRPr="00071ACB">
        <w:rPr>
          <w:rStyle w:val="FootnoteReference"/>
          <w:rFonts w:ascii="Traditional Arabic" w:hAnsi="Traditional Arabic" w:cs="Traditional Arabic"/>
          <w:sz w:val="22"/>
          <w:szCs w:val="22"/>
        </w:rPr>
        <w:footnoteRef/>
      </w:r>
      <w:r w:rsidRPr="00071ACB">
        <w:rPr>
          <w:rFonts w:ascii="Traditional Arabic" w:hAnsi="Traditional Arabic" w:cs="Traditional Arabic"/>
          <w:sz w:val="22"/>
          <w:szCs w:val="22"/>
        </w:rPr>
        <w:t xml:space="preserve"> </w:t>
      </w:r>
      <w:r w:rsidRPr="00071ACB">
        <w:rPr>
          <w:rFonts w:ascii="Traditional Arabic" w:hAnsi="Traditional Arabic" w:cs="Traditional Arabic"/>
          <w:sz w:val="22"/>
          <w:szCs w:val="22"/>
          <w:rtl/>
        </w:rPr>
        <w:t xml:space="preserve">المادة 9(2) </w:t>
      </w:r>
      <w:r w:rsidRPr="00071AC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071ACB">
        <w:rPr>
          <w:rFonts w:ascii="Traditional Arabic" w:hAnsi="Traditional Arabic" w:cs="Traditional Arabic"/>
          <w:sz w:val="22"/>
          <w:szCs w:val="22"/>
          <w:rtl/>
        </w:rPr>
        <w:t xml:space="preserve">، </w:t>
      </w:r>
      <w:r w:rsidRPr="00071ACB">
        <w:rPr>
          <w:rStyle w:val="tlid-translation"/>
          <w:rFonts w:ascii="Traditional Arabic" w:hAnsi="Traditional Arabic" w:cs="Traditional Arabic"/>
          <w:sz w:val="22"/>
          <w:szCs w:val="22"/>
          <w:rtl/>
        </w:rPr>
        <w:t>القاعدة 25.</w:t>
      </w:r>
    </w:p>
  </w:footnote>
  <w:footnote w:id="142">
    <w:p w14:paraId="36F377CF" w14:textId="7813F98A" w:rsidR="00A1624A" w:rsidRPr="00EA17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A1798">
        <w:rPr>
          <w:rStyle w:val="FootnoteReference"/>
          <w:rFonts w:ascii="Traditional Arabic" w:hAnsi="Traditional Arabic" w:cs="Traditional Arabic"/>
          <w:sz w:val="22"/>
          <w:szCs w:val="22"/>
        </w:rPr>
        <w:footnoteRef/>
      </w:r>
      <w:r w:rsidRPr="00EA1798">
        <w:rPr>
          <w:rFonts w:ascii="Traditional Arabic" w:hAnsi="Traditional Arabic" w:cs="Traditional Arabic"/>
          <w:sz w:val="22"/>
          <w:szCs w:val="22"/>
        </w:rPr>
        <w:t xml:space="preserve"> </w:t>
      </w:r>
      <w:r w:rsidRPr="00EA1798">
        <w:rPr>
          <w:rFonts w:ascii="Traditional Arabic" w:hAnsi="Traditional Arabic" w:cs="Traditional Arabic"/>
          <w:sz w:val="22"/>
          <w:szCs w:val="22"/>
          <w:rtl/>
        </w:rPr>
        <w:t>مصادر سريّة في الملف.</w:t>
      </w:r>
    </w:p>
  </w:footnote>
  <w:footnote w:id="143">
    <w:p w14:paraId="5D80A8F3" w14:textId="52A01532"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4">
    <w:p w14:paraId="2BDE69DD" w14:textId="63BA9BF7"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5">
    <w:p w14:paraId="4924AD06" w14:textId="7B2EE347" w:rsidR="00A1624A" w:rsidRPr="009C6CD1" w:rsidRDefault="00A1624A" w:rsidP="00B81240">
      <w:pPr>
        <w:pStyle w:val="FootnoteText"/>
        <w:tabs>
          <w:tab w:val="clear" w:pos="1021"/>
        </w:tabs>
        <w:bidi/>
        <w:ind w:left="851" w:firstLine="0"/>
        <w:jc w:val="both"/>
        <w:rPr>
          <w:rFonts w:asciiTheme="majorBidi" w:hAnsiTheme="majorBidi" w:cstheme="majorBidi"/>
          <w:noProof/>
          <w:szCs w:val="18"/>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46">
    <w:p w14:paraId="1F0E88B0" w14:textId="6A0A022D" w:rsidR="00A1624A" w:rsidRPr="00EA1798" w:rsidRDefault="00A1624A" w:rsidP="00B81240">
      <w:pPr>
        <w:pStyle w:val="FootnoteText"/>
        <w:tabs>
          <w:tab w:val="clear" w:pos="1021"/>
        </w:tabs>
        <w:bidi/>
        <w:spacing w:line="168" w:lineRule="auto"/>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فصل </w:t>
      </w:r>
      <w:r w:rsidRPr="00EA1798">
        <w:rPr>
          <w:rFonts w:ascii="Traditional Arabic" w:hAnsi="Traditional Arabic" w:cs="Traditional Arabic"/>
          <w:sz w:val="22"/>
          <w:szCs w:val="22"/>
          <w:rtl/>
        </w:rPr>
        <w:t xml:space="preserve">مجمّع القطيع الصحي. </w:t>
      </w:r>
    </w:p>
  </w:footnote>
  <w:footnote w:id="147">
    <w:p w14:paraId="0B9E82AF" w14:textId="56D86620" w:rsidR="00A1624A" w:rsidRPr="00EA1798" w:rsidRDefault="00A1624A" w:rsidP="00B81240">
      <w:pPr>
        <w:pStyle w:val="FootnoteText"/>
        <w:tabs>
          <w:tab w:val="clear" w:pos="1021"/>
        </w:tabs>
        <w:bidi/>
        <w:spacing w:line="168" w:lineRule="auto"/>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tl/>
        </w:rPr>
        <w:t xml:space="preserve"> مصادر سريّة في الملف.</w:t>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أيضًا </w:t>
      </w:r>
      <w:r>
        <w:rPr>
          <w:rFonts w:ascii="Traditional Arabic" w:hAnsi="Traditional Arabic" w:cs="Traditional Arabic" w:hint="cs"/>
          <w:noProof/>
          <w:sz w:val="22"/>
          <w:szCs w:val="22"/>
          <w:rtl/>
          <w:lang w:bidi="ar-JO"/>
        </w:rPr>
        <w:t>القسم الخاص ب</w:t>
      </w:r>
      <w:r w:rsidRPr="00EA1798">
        <w:rPr>
          <w:rFonts w:ascii="Traditional Arabic" w:hAnsi="Traditional Arabic" w:cs="Traditional Arabic"/>
          <w:noProof/>
          <w:sz w:val="22"/>
          <w:szCs w:val="22"/>
          <w:rtl/>
        </w:rPr>
        <w:t xml:space="preserve">الهجوم على </w:t>
      </w:r>
      <w:r w:rsidRPr="00EA1798">
        <w:rPr>
          <w:rFonts w:ascii="Traditional Arabic" w:hAnsi="Traditional Arabic" w:cs="Traditional Arabic"/>
          <w:sz w:val="22"/>
          <w:szCs w:val="22"/>
          <w:rtl/>
        </w:rPr>
        <w:t xml:space="preserve">مجمّع القطيع الصحي. </w:t>
      </w:r>
    </w:p>
  </w:footnote>
  <w:footnote w:id="148">
    <w:p w14:paraId="5B0836A2" w14:textId="46C537AB" w:rsidR="00A1624A" w:rsidRPr="00EA1798" w:rsidRDefault="00A1624A" w:rsidP="00B81240">
      <w:pPr>
        <w:pStyle w:val="FootnoteText"/>
        <w:tabs>
          <w:tab w:val="clear" w:pos="1021"/>
        </w:tabs>
        <w:bidi/>
        <w:spacing w:line="168" w:lineRule="auto"/>
        <w:ind w:left="850" w:right="1138"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 xml:space="preserve">أنظر أيضًا الفصل عن الهجوم على الأحياء السكنية في دار سعد. </w:t>
      </w:r>
    </w:p>
  </w:footnote>
  <w:footnote w:id="149">
    <w:p w14:paraId="6524D47E" w14:textId="040F5439" w:rsidR="00A1624A" w:rsidRPr="00EA1798" w:rsidRDefault="00A1624A" w:rsidP="00B81240">
      <w:pPr>
        <w:pStyle w:val="FootnoteText"/>
        <w:tabs>
          <w:tab w:val="clear" w:pos="1021"/>
        </w:tabs>
        <w:bidi/>
        <w:spacing w:line="168" w:lineRule="auto"/>
        <w:ind w:left="850" w:right="1138"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0">
    <w:p w14:paraId="50F8D857" w14:textId="5382AFBF"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1">
    <w:p w14:paraId="75905107" w14:textId="67F530AF"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2">
    <w:p w14:paraId="3C816810" w14:textId="46B71923"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3">
    <w:p w14:paraId="4B8204A7" w14:textId="376EFAB0" w:rsidR="00A1624A" w:rsidRPr="00EA1798"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4">
    <w:p w14:paraId="55F96883" w14:textId="0C0F1950" w:rsidR="00A1624A" w:rsidRPr="009C6CD1" w:rsidRDefault="00A1624A" w:rsidP="00B81240">
      <w:pPr>
        <w:pStyle w:val="FootnoteText"/>
        <w:tabs>
          <w:tab w:val="clear" w:pos="1021"/>
        </w:tabs>
        <w:bidi/>
        <w:ind w:left="851" w:firstLine="0"/>
        <w:jc w:val="both"/>
        <w:rPr>
          <w:rFonts w:asciiTheme="majorBidi" w:hAnsiTheme="majorBidi" w:cstheme="majorBidi"/>
          <w:noProof/>
          <w:szCs w:val="18"/>
        </w:rPr>
      </w:pPr>
      <w:r w:rsidRPr="00EA1798">
        <w:rPr>
          <w:rStyle w:val="FootnoteReference"/>
          <w:rFonts w:ascii="Traditional Arabic" w:hAnsi="Traditional Arabic" w:cs="Traditional Arabic"/>
          <w:noProof/>
          <w:sz w:val="22"/>
          <w:szCs w:val="22"/>
        </w:rPr>
        <w:footnoteRef/>
      </w:r>
      <w:r w:rsidRPr="00EA1798">
        <w:rPr>
          <w:rFonts w:ascii="Traditional Arabic" w:hAnsi="Traditional Arabic" w:cs="Traditional Arabic"/>
          <w:noProof/>
          <w:sz w:val="22"/>
          <w:szCs w:val="22"/>
        </w:rPr>
        <w:t xml:space="preserve"> </w:t>
      </w:r>
      <w:r w:rsidRPr="00EA1798">
        <w:rPr>
          <w:rFonts w:ascii="Traditional Arabic" w:hAnsi="Traditional Arabic" w:cs="Traditional Arabic"/>
          <w:noProof/>
          <w:sz w:val="22"/>
          <w:szCs w:val="22"/>
          <w:rtl/>
        </w:rPr>
        <w:t>مصادر سريّة في الملف.</w:t>
      </w:r>
    </w:p>
  </w:footnote>
  <w:footnote w:id="155">
    <w:p w14:paraId="5C2B4E5E" w14:textId="289BF0CC"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أيضًا صفحة الفايسبوك </w:t>
      </w:r>
      <w:r w:rsidRPr="00171341">
        <w:rPr>
          <w:rFonts w:ascii="Traditional Arabic" w:hAnsi="Traditional Arabic" w:cs="Traditional Arabic"/>
          <w:noProof/>
          <w:sz w:val="22"/>
          <w:szCs w:val="22"/>
        </w:rPr>
        <w:t>Aden City</w:t>
      </w:r>
      <w:r w:rsidRPr="00171341">
        <w:rPr>
          <w:rFonts w:ascii="Traditional Arabic" w:hAnsi="Traditional Arabic" w:cs="Traditional Arabic"/>
          <w:noProof/>
          <w:sz w:val="22"/>
          <w:szCs w:val="22"/>
          <w:rtl/>
        </w:rPr>
        <w:t xml:space="preserve">. </w:t>
      </w:r>
    </w:p>
  </w:footnote>
  <w:footnote w:id="156">
    <w:p w14:paraId="046A51C1" w14:textId="5B9727B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57">
    <w:p w14:paraId="7DC3337D" w14:textId="5F07B74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المادة 8 2</w:t>
      </w:r>
      <w:r w:rsidRPr="00171341">
        <w:rPr>
          <w:rFonts w:ascii="Traditional Arabic" w:hAnsi="Traditional Arabic" w:cs="Traditional Arabic"/>
          <w:sz w:val="22"/>
          <w:szCs w:val="22"/>
          <w:lang w:val="en-US"/>
        </w:rPr>
        <w:t>(e)(i)</w:t>
      </w:r>
      <w:r w:rsidRPr="00171341">
        <w:rPr>
          <w:rFonts w:ascii="Traditional Arabic" w:hAnsi="Traditional Arabic" w:cs="Traditional Arabic"/>
          <w:sz w:val="22"/>
          <w:szCs w:val="22"/>
          <w:rtl/>
          <w:lang w:val="en-US"/>
        </w:rPr>
        <w:t xml:space="preserve"> نظام روما الأساسي.</w:t>
      </w:r>
    </w:p>
  </w:footnote>
  <w:footnote w:id="158">
    <w:p w14:paraId="449B2D08" w14:textId="3D45E665" w:rsidR="00A1624A" w:rsidRPr="00BF454F" w:rsidRDefault="00A1624A" w:rsidP="00B81240">
      <w:pPr>
        <w:pStyle w:val="FootnoteText"/>
        <w:tabs>
          <w:tab w:val="clear" w:pos="1021"/>
        </w:tabs>
        <w:bidi/>
        <w:ind w:left="851" w:firstLine="0"/>
        <w:jc w:val="both"/>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71341">
        <w:rPr>
          <w:rFonts w:ascii="Traditional Arabic" w:hAnsi="Traditional Arabic" w:cs="Traditional Arabic"/>
          <w:sz w:val="22"/>
          <w:szCs w:val="22"/>
          <w:rtl/>
        </w:rPr>
        <w:t xml:space="preserve">، </w:t>
      </w:r>
      <w:r w:rsidRPr="00171341">
        <w:rPr>
          <w:rStyle w:val="tlid-translation"/>
          <w:rFonts w:ascii="Traditional Arabic" w:hAnsi="Traditional Arabic" w:cs="Traditional Arabic"/>
          <w:sz w:val="22"/>
          <w:szCs w:val="22"/>
          <w:rtl/>
        </w:rPr>
        <w:t>القاعدة  156.</w:t>
      </w:r>
    </w:p>
  </w:footnote>
  <w:footnote w:id="159">
    <w:p w14:paraId="101B7808" w14:textId="74B5D09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0">
    <w:p w14:paraId="0AF207D3" w14:textId="7777777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 أنظر أيضًا</w:t>
      </w:r>
    </w:p>
    <w:p w14:paraId="2CB8EB93" w14:textId="79CE6B23"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hint="cs"/>
          <w:noProof/>
          <w:sz w:val="20"/>
          <w:rtl/>
        </w:rPr>
        <w:t xml:space="preserve"> </w:t>
      </w:r>
      <w:r w:rsidRPr="00A64F51">
        <w:rPr>
          <w:rFonts w:asciiTheme="majorBidi" w:hAnsiTheme="majorBidi" w:cstheme="majorBidi"/>
          <w:noProof/>
          <w:sz w:val="20"/>
        </w:rPr>
        <w:t>Centre for Public Opinion Studies and Social Research (Madar)</w:t>
      </w:r>
      <w:r w:rsidRPr="00A64F51">
        <w:rPr>
          <w:rFonts w:asciiTheme="majorBidi" w:hAnsiTheme="majorBidi" w:cstheme="majorBidi" w:hint="cs"/>
          <w:noProof/>
          <w:sz w:val="20"/>
          <w:rtl/>
        </w:rPr>
        <w:t xml:space="preserve"> </w:t>
      </w:r>
    </w:p>
    <w:p w14:paraId="79B58EA3" w14:textId="63FEB44E" w:rsidR="00A1624A" w:rsidRPr="00A64F51" w:rsidRDefault="00A1624A" w:rsidP="00B81240">
      <w:pPr>
        <w:pStyle w:val="FootnoteText"/>
        <w:tabs>
          <w:tab w:val="clear" w:pos="1021"/>
        </w:tabs>
        <w:bidi/>
        <w:ind w:left="851" w:firstLine="0"/>
        <w:jc w:val="both"/>
        <w:rPr>
          <w:rFonts w:asciiTheme="majorBidi" w:hAnsiTheme="majorBidi" w:cstheme="majorBidi"/>
          <w:noProof/>
          <w:sz w:val="20"/>
          <w:rtl/>
        </w:rPr>
      </w:pPr>
      <w:r w:rsidRPr="00A64F51">
        <w:rPr>
          <w:rFonts w:asciiTheme="majorBidi" w:hAnsiTheme="majorBidi" w:cstheme="majorBidi"/>
          <w:noProof/>
          <w:sz w:val="20"/>
        </w:rPr>
        <w:t>“Report on the Human Rights Violations in the South Committed by the Houthi, Militias and Forces of the Yemeni Army Loyal to the Former President Ali Abdullah Saleh”</w:t>
      </w:r>
      <w:r>
        <w:rPr>
          <w:rFonts w:asciiTheme="majorBidi" w:hAnsiTheme="majorBidi" w:cstheme="majorBidi" w:hint="cs"/>
          <w:noProof/>
          <w:sz w:val="20"/>
          <w:rtl/>
        </w:rPr>
        <w:t xml:space="preserve"> </w:t>
      </w:r>
      <w:r w:rsidRPr="00171341">
        <w:rPr>
          <w:rFonts w:ascii="Traditional Arabic" w:hAnsi="Traditional Arabic" w:cs="Traditional Arabic"/>
          <w:noProof/>
          <w:sz w:val="22"/>
          <w:szCs w:val="22"/>
          <w:rtl/>
        </w:rPr>
        <w:t xml:space="preserve"> عدن، 2015 </w:t>
      </w:r>
    </w:p>
    <w:p w14:paraId="75136028" w14:textId="427F0DBB"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p>
  </w:footnote>
  <w:footnote w:id="161">
    <w:p w14:paraId="035CE1CF" w14:textId="6AB07DB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2">
    <w:p w14:paraId="1D4F7EAB" w14:textId="7BFEC09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3">
    <w:p w14:paraId="623332D0" w14:textId="30CE5B2A"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مصادر سريّة في الملف.</w:t>
      </w:r>
    </w:p>
  </w:footnote>
  <w:footnote w:id="164">
    <w:p w14:paraId="22064850" w14:textId="36434064" w:rsidR="00A1624A" w:rsidRPr="00A64F51"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5">
    <w:p w14:paraId="6610F037" w14:textId="4CE8DB15"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6">
    <w:p w14:paraId="32DC4EF0" w14:textId="3EA8A7C3"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67">
    <w:p w14:paraId="48CD28AD" w14:textId="098A3BB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68">
    <w:p w14:paraId="019E4660" w14:textId="3E1CA92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69">
    <w:p w14:paraId="50005B33" w14:textId="226B12C4"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0">
    <w:p w14:paraId="38B78A08" w14:textId="24BAC14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1">
    <w:p w14:paraId="7437369C" w14:textId="3E34B05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2">
    <w:p w14:paraId="0536F97C" w14:textId="00EB998E"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3">
    <w:p w14:paraId="290DB26F" w14:textId="7D4E37BC"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4">
    <w:p w14:paraId="0D83227F" w14:textId="3ACE605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5">
    <w:p w14:paraId="7ACF1143" w14:textId="1B51129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6">
    <w:p w14:paraId="74D64134" w14:textId="07E4A9C7"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7">
    <w:p w14:paraId="5A90707C" w14:textId="4A230817"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8">
    <w:p w14:paraId="723823FA" w14:textId="636127ED"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r w:rsidRPr="00171341">
        <w:rPr>
          <w:rFonts w:ascii="Traditional Arabic" w:hAnsi="Traditional Arabic" w:cs="Traditional Arabic"/>
          <w:noProof/>
          <w:sz w:val="22"/>
          <w:szCs w:val="22"/>
        </w:rPr>
        <w:t>.</w:t>
      </w:r>
    </w:p>
  </w:footnote>
  <w:footnote w:id="179">
    <w:p w14:paraId="6050626F" w14:textId="3FA1D424"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أيضًا: </w:t>
      </w:r>
    </w:p>
    <w:p w14:paraId="3957FAAA" w14:textId="77777777" w:rsidR="00A1624A" w:rsidRPr="00D66929" w:rsidRDefault="00A1624A" w:rsidP="00B81240">
      <w:pPr>
        <w:pStyle w:val="FootnoteText"/>
        <w:tabs>
          <w:tab w:val="clear" w:pos="1021"/>
        </w:tabs>
        <w:bidi/>
        <w:ind w:left="851" w:firstLine="0"/>
        <w:jc w:val="both"/>
        <w:rPr>
          <w:rFonts w:asciiTheme="majorBidi" w:hAnsiTheme="majorBidi" w:cstheme="majorBidi"/>
          <w:noProof/>
          <w:sz w:val="20"/>
          <w:rtl/>
        </w:rPr>
      </w:pPr>
      <w:r w:rsidRPr="00D66929">
        <w:rPr>
          <w:rFonts w:asciiTheme="majorBidi" w:hAnsiTheme="majorBidi" w:cstheme="majorBidi"/>
          <w:noProof/>
          <w:sz w:val="20"/>
        </w:rPr>
        <w:t>Centre for Public Opinion Studies and Social Research (Madar)</w:t>
      </w:r>
    </w:p>
    <w:p w14:paraId="37C384D2" w14:textId="1A72CD76"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D66929">
        <w:rPr>
          <w:rFonts w:asciiTheme="majorBidi" w:hAnsiTheme="majorBidi" w:cstheme="majorBidi"/>
          <w:noProof/>
          <w:sz w:val="20"/>
        </w:rPr>
        <w:t xml:space="preserve"> “Report on the Human Rights Violations in the South Committed by the Houthi, Militias and Forces of the Yemeni Army Loyal to the Former President Ali Abdullah Saleh”</w:t>
      </w:r>
      <w:r w:rsidRPr="00A64F51">
        <w:rPr>
          <w:rFonts w:asciiTheme="majorBidi" w:hAnsiTheme="majorBidi" w:cstheme="majorBidi" w:hint="cs"/>
          <w:noProof/>
          <w:sz w:val="20"/>
          <w:rtl/>
        </w:rPr>
        <w:t xml:space="preserve"> </w:t>
      </w:r>
      <w:r>
        <w:rPr>
          <w:rFonts w:asciiTheme="majorBidi" w:hAnsiTheme="majorBidi" w:cstheme="majorBidi" w:hint="cs"/>
          <w:noProof/>
          <w:sz w:val="20"/>
          <w:rtl/>
        </w:rPr>
        <w:t xml:space="preserve">.عدن، 2015 </w:t>
      </w:r>
    </w:p>
  </w:footnote>
  <w:footnote w:id="180">
    <w:p w14:paraId="62CB3BA3" w14:textId="273009E3"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1">
    <w:p w14:paraId="29BBC3C4" w14:textId="188D418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2">
    <w:p w14:paraId="23521118" w14:textId="0B623FE6" w:rsidR="00A1624A" w:rsidRPr="00D66929"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3">
    <w:p w14:paraId="542F39B0" w14:textId="18678B17"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مصادر سريّة في الملف</w:t>
      </w:r>
      <w:r w:rsidRPr="00171341">
        <w:rPr>
          <w:rFonts w:ascii="Traditional Arabic" w:hAnsi="Traditional Arabic" w:cs="Traditional Arabic"/>
          <w:sz w:val="22"/>
          <w:szCs w:val="22"/>
        </w:rPr>
        <w:t>.</w:t>
      </w:r>
      <w:r w:rsidRPr="00171341">
        <w:rPr>
          <w:rFonts w:ascii="Traditional Arabic" w:hAnsi="Traditional Arabic" w:cs="Traditional Arabic"/>
          <w:sz w:val="22"/>
          <w:szCs w:val="22"/>
          <w:rtl/>
        </w:rPr>
        <w:t xml:space="preserve"> أنظر أيضًا: </w:t>
      </w:r>
    </w:p>
    <w:p w14:paraId="4E600EC1" w14:textId="36CF212C" w:rsidR="00A1624A" w:rsidRDefault="00A1624A" w:rsidP="00B81240">
      <w:pPr>
        <w:pStyle w:val="FootnoteText"/>
        <w:tabs>
          <w:tab w:val="clear" w:pos="1021"/>
        </w:tabs>
        <w:bidi/>
        <w:ind w:left="851" w:firstLine="0"/>
        <w:jc w:val="both"/>
        <w:rPr>
          <w:rtl/>
          <w:lang w:bidi="ar-JO"/>
        </w:rPr>
      </w:pPr>
      <w:r w:rsidRPr="00954EDA">
        <w:rPr>
          <w:sz w:val="20"/>
        </w:rPr>
        <w:t xml:space="preserve">Human Rights Watch, Yemen: Fighting damages hospital” April 2015. Available at: </w:t>
      </w:r>
      <w:r w:rsidRPr="000F31A7">
        <w:t>https://www.hrw.org/news/2015/04/17/yemen-fighting-damages-hospital.</w:t>
      </w:r>
    </w:p>
  </w:footnote>
  <w:footnote w:id="184">
    <w:p w14:paraId="1E6685DC" w14:textId="6ACA945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5">
    <w:p w14:paraId="5763A34B" w14:textId="66EC113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w:t>
      </w:r>
    </w:p>
    <w:p w14:paraId="66739BD8" w14:textId="4FB5ED1D"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0F31A7">
        <w:rPr>
          <w:rFonts w:asciiTheme="majorBidi" w:hAnsiTheme="majorBidi" w:cstheme="majorBidi"/>
          <w:noProof/>
          <w:szCs w:val="18"/>
        </w:rPr>
        <w:t xml:space="preserve"> “Report on the Human Rights Violations in the South Committed by the Houthi Militias and Forces of the Yemeni Army Loyal to the Former President Ali Abdullah Saleh”, Centre for Public Opinion Studies and Social Research (Madar), Aden 2015</w:t>
      </w:r>
      <w:r>
        <w:rPr>
          <w:rFonts w:asciiTheme="majorBidi" w:hAnsiTheme="majorBidi" w:cstheme="majorBidi"/>
          <w:noProof/>
          <w:szCs w:val="18"/>
        </w:rPr>
        <w:t>.</w:t>
      </w:r>
    </w:p>
  </w:footnote>
  <w:footnote w:id="186">
    <w:p w14:paraId="7C2E8BE0" w14:textId="6D8CF8D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7">
    <w:p w14:paraId="20B90B7C" w14:textId="7AE56C98"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8">
    <w:p w14:paraId="75FA584E" w14:textId="19D052A1" w:rsidR="00A1624A" w:rsidRPr="000F31A7" w:rsidRDefault="00A1624A" w:rsidP="00B81240">
      <w:pPr>
        <w:pStyle w:val="FootnoteText"/>
        <w:tabs>
          <w:tab w:val="clear" w:pos="1021"/>
        </w:tabs>
        <w:bidi/>
        <w:ind w:left="851" w:firstLine="0"/>
        <w:jc w:val="both"/>
        <w:rPr>
          <w:rFonts w:asciiTheme="majorBidi" w:hAnsiTheme="majorBidi" w:cstheme="majorBidi"/>
          <w:noProof/>
          <w:szCs w:val="18"/>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89">
    <w:p w14:paraId="201A9463" w14:textId="4ACF9992"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0">
    <w:p w14:paraId="36BB4ABE" w14:textId="772981D1"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1">
    <w:p w14:paraId="710AAAC3" w14:textId="6571396B"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 أنظر أيضًا:</w:t>
      </w:r>
    </w:p>
    <w:p w14:paraId="1178E389" w14:textId="4B41B266"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0F31A7">
        <w:rPr>
          <w:rFonts w:asciiTheme="majorBidi" w:hAnsiTheme="majorBidi" w:cstheme="majorBidi"/>
          <w:noProof/>
          <w:szCs w:val="18"/>
        </w:rPr>
        <w:t>Also see: Centre for Public Opinion Studies and Social Research (Madar), “Report on the Human Rights Violations in the South Committed by the Houthi, Militias and Forces of the Yemeni Army Loyal to the Former President Ali Abdullah Saleh”, Aden 2015.</w:t>
      </w:r>
    </w:p>
  </w:footnote>
  <w:footnote w:id="192">
    <w:p w14:paraId="65BDBF81" w14:textId="3B02D167"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9 (1) البروتوكول الإضافي الثاني.</w:t>
      </w:r>
    </w:p>
  </w:footnote>
  <w:footnote w:id="193">
    <w:p w14:paraId="3B68B5AB" w14:textId="52939E0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11 (1) البروتوكول الإضافي الثاني.</w:t>
      </w:r>
    </w:p>
  </w:footnote>
  <w:footnote w:id="194">
    <w:p w14:paraId="3B0E39FD" w14:textId="7102711A"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xml:space="preserve">الفقرة 8 2 </w:t>
      </w:r>
      <w:r w:rsidRPr="00171341">
        <w:rPr>
          <w:rFonts w:ascii="Traditional Arabic" w:hAnsi="Traditional Arabic" w:cs="Traditional Arabic"/>
          <w:sz w:val="22"/>
          <w:szCs w:val="22"/>
          <w:lang w:val="en-US"/>
        </w:rPr>
        <w:t>(e)(ii)</w:t>
      </w:r>
      <w:r w:rsidRPr="00171341">
        <w:rPr>
          <w:rFonts w:ascii="Traditional Arabic" w:hAnsi="Traditional Arabic" w:cs="Traditional Arabic"/>
          <w:sz w:val="22"/>
          <w:szCs w:val="22"/>
          <w:rtl/>
          <w:lang w:val="en-US"/>
        </w:rPr>
        <w:t xml:space="preserve"> </w:t>
      </w:r>
      <w:r w:rsidRPr="00171341">
        <w:rPr>
          <w:rFonts w:ascii="Traditional Arabic" w:hAnsi="Traditional Arabic" w:cs="Traditional Arabic"/>
          <w:sz w:val="22"/>
          <w:szCs w:val="22"/>
          <w:rtl/>
        </w:rPr>
        <w:t>نظام روما الأساسي.</w:t>
      </w:r>
    </w:p>
  </w:footnote>
  <w:footnote w:id="195">
    <w:p w14:paraId="2BD362B9" w14:textId="2EBED7E0" w:rsidR="00A1624A" w:rsidRPr="00CB4F98" w:rsidRDefault="00A1624A" w:rsidP="00B81240">
      <w:pPr>
        <w:pStyle w:val="FootnoteText"/>
        <w:tabs>
          <w:tab w:val="clear" w:pos="1021"/>
        </w:tabs>
        <w:bidi/>
        <w:ind w:left="851" w:firstLine="0"/>
        <w:jc w:val="both"/>
        <w:rPr>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7 (1) البروتوكول الإضافي الثاني.</w:t>
      </w:r>
    </w:p>
  </w:footnote>
  <w:footnote w:id="196">
    <w:p w14:paraId="677F1571" w14:textId="6C239D10"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7">
    <w:p w14:paraId="11667FC6" w14:textId="015C1A2A"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8">
    <w:p w14:paraId="24407BBD" w14:textId="29461D81"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199">
    <w:p w14:paraId="58D7CCF6" w14:textId="54856AE8" w:rsidR="00A1624A" w:rsidRPr="006B7A17"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0">
    <w:p w14:paraId="69DEE842" w14:textId="5C9212A9"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 xml:space="preserve">مصادر سريّة في الملف. أنظر أعلاه في ما يخص تقييد العناية الصحية. </w:t>
      </w:r>
    </w:p>
  </w:footnote>
  <w:footnote w:id="201">
    <w:p w14:paraId="27812596" w14:textId="74BB99E8"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القاعدة 8.</w:t>
      </w:r>
    </w:p>
  </w:footnote>
  <w:footnote w:id="202">
    <w:p w14:paraId="2BFBCC9D" w14:textId="3ED8ECDF" w:rsidR="00A1624A" w:rsidRPr="0017134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 xml:space="preserve">الفقرة </w:t>
      </w:r>
      <w:r w:rsidRPr="00171341">
        <w:rPr>
          <w:rFonts w:ascii="Traditional Arabic" w:hAnsi="Traditional Arabic" w:cs="Traditional Arabic"/>
          <w:sz w:val="22"/>
          <w:szCs w:val="22"/>
        </w:rPr>
        <w:t>8 2.(e)(xii)</w:t>
      </w:r>
      <w:r w:rsidRPr="00171341">
        <w:rPr>
          <w:rFonts w:ascii="Traditional Arabic" w:hAnsi="Traditional Arabic" w:cs="Traditional Arabic"/>
          <w:sz w:val="22"/>
          <w:szCs w:val="22"/>
          <w:rtl/>
        </w:rPr>
        <w:t xml:space="preserve"> نظام روما الأساسي، أنظر </w:t>
      </w:r>
      <w:r w:rsidRPr="00171341">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7. </w:t>
      </w:r>
    </w:p>
  </w:footnote>
  <w:footnote w:id="203">
    <w:p w14:paraId="75E576A7" w14:textId="4BF76D57" w:rsidR="00A1624A" w:rsidRPr="006C7802" w:rsidRDefault="00A1624A" w:rsidP="00B81240">
      <w:pPr>
        <w:pStyle w:val="FootnoteText"/>
        <w:tabs>
          <w:tab w:val="clear" w:pos="1021"/>
        </w:tabs>
        <w:bidi/>
        <w:ind w:left="851" w:firstLine="0"/>
        <w:jc w:val="both"/>
      </w:pPr>
      <w:r w:rsidRPr="00171341">
        <w:rPr>
          <w:rStyle w:val="FootnoteReference"/>
          <w:rFonts w:ascii="Traditional Arabic" w:hAnsi="Traditional Arabic" w:cs="Traditional Arabic"/>
          <w:sz w:val="22"/>
          <w:szCs w:val="22"/>
        </w:rPr>
        <w:footnoteRef/>
      </w:r>
      <w:r w:rsidRPr="00171341">
        <w:rPr>
          <w:rFonts w:ascii="Traditional Arabic" w:hAnsi="Traditional Arabic" w:cs="Traditional Arabic"/>
          <w:sz w:val="22"/>
          <w:szCs w:val="22"/>
        </w:rPr>
        <w:t xml:space="preserve"> </w:t>
      </w:r>
      <w:r w:rsidRPr="00171341">
        <w:rPr>
          <w:rFonts w:ascii="Traditional Arabic" w:hAnsi="Traditional Arabic" w:cs="Traditional Arabic"/>
          <w:sz w:val="22"/>
          <w:szCs w:val="22"/>
          <w:rtl/>
        </w:rPr>
        <w:t>الفقرة 14 البروتوكول الإضافي الثاني.</w:t>
      </w:r>
    </w:p>
  </w:footnote>
  <w:footnote w:id="204">
    <w:p w14:paraId="7F05D9C7" w14:textId="3AD324DD"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7C6A6E">
        <w:rPr>
          <w:rStyle w:val="FootnoteReference"/>
          <w:rFonts w:asciiTheme="majorBidi" w:hAnsiTheme="majorBidi" w:cstheme="majorBidi"/>
          <w:noProof/>
          <w:szCs w:val="18"/>
        </w:rPr>
        <w:footnoteRef/>
      </w:r>
      <w:r>
        <w:rPr>
          <w:rFonts w:asciiTheme="majorBidi" w:hAnsiTheme="majorBidi" w:cstheme="majorBidi" w:hint="cs"/>
          <w:noProof/>
          <w:szCs w:val="18"/>
          <w:rtl/>
        </w:rPr>
        <w:t xml:space="preserve"> </w:t>
      </w:r>
      <w:r w:rsidRPr="007C6A6E">
        <w:rPr>
          <w:rFonts w:asciiTheme="majorBidi" w:hAnsiTheme="majorBidi" w:cstheme="majorBidi"/>
          <w:noProof/>
          <w:szCs w:val="18"/>
        </w:rPr>
        <w:t>Aden Times, The end of a 104-year-old educational edifice in Aden, 7 April 2016.</w:t>
      </w:r>
    </w:p>
  </w:footnote>
  <w:footnote w:id="205">
    <w:p w14:paraId="1E80A3E7" w14:textId="2B23E9FF" w:rsidR="00A1624A" w:rsidRPr="0017134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6">
    <w:p w14:paraId="481C8B17" w14:textId="44277987" w:rsidR="00A1624A" w:rsidRPr="00F84DFE" w:rsidRDefault="00A1624A" w:rsidP="00B81240">
      <w:pPr>
        <w:pStyle w:val="FootnoteText"/>
        <w:tabs>
          <w:tab w:val="clear" w:pos="1021"/>
        </w:tabs>
        <w:bidi/>
        <w:ind w:left="851" w:firstLine="0"/>
        <w:jc w:val="both"/>
        <w:rPr>
          <w:rFonts w:asciiTheme="majorBidi" w:hAnsiTheme="majorBidi" w:cstheme="majorBidi"/>
          <w:noProof/>
          <w:sz w:val="20"/>
        </w:rPr>
      </w:pPr>
      <w:r w:rsidRPr="00171341">
        <w:rPr>
          <w:rStyle w:val="FootnoteReference"/>
          <w:rFonts w:ascii="Traditional Arabic" w:hAnsi="Traditional Arabic" w:cs="Traditional Arabic"/>
          <w:noProof/>
          <w:sz w:val="22"/>
          <w:szCs w:val="22"/>
        </w:rPr>
        <w:footnoteRef/>
      </w:r>
      <w:r w:rsidRPr="00171341">
        <w:rPr>
          <w:rFonts w:ascii="Traditional Arabic" w:hAnsi="Traditional Arabic" w:cs="Traditional Arabic"/>
          <w:noProof/>
          <w:sz w:val="22"/>
          <w:szCs w:val="22"/>
        </w:rPr>
        <w:t xml:space="preserve"> </w:t>
      </w:r>
      <w:r w:rsidRPr="00171341">
        <w:rPr>
          <w:rFonts w:ascii="Traditional Arabic" w:hAnsi="Traditional Arabic" w:cs="Traditional Arabic"/>
          <w:noProof/>
          <w:sz w:val="22"/>
          <w:szCs w:val="22"/>
          <w:rtl/>
        </w:rPr>
        <w:t>مصادر سريّة في الملف.</w:t>
      </w:r>
    </w:p>
  </w:footnote>
  <w:footnote w:id="207">
    <w:p w14:paraId="0A10D7B6" w14:textId="123A2E58"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08">
    <w:p w14:paraId="4330193D" w14:textId="22728BAC"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09">
    <w:p w14:paraId="274514E0" w14:textId="4B7DAE1E"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0">
    <w:p w14:paraId="203E9571" w14:textId="304F760B"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1">
    <w:p w14:paraId="1BF7CF25" w14:textId="663E1587"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Style w:val="preferred"/>
          <w:rFonts w:ascii="Traditional Arabic" w:hAnsi="Traditional Arabic" w:cs="Traditional Arabic"/>
          <w:sz w:val="22"/>
          <w:szCs w:val="22"/>
          <w:rtl/>
        </w:rPr>
        <w:t xml:space="preserve">تقييم أضرار مبني على صور ساتلية من </w:t>
      </w:r>
      <w:r w:rsidRPr="00EA5B1C">
        <w:rPr>
          <w:rFonts w:ascii="Traditional Arabic" w:hAnsi="Traditional Arabic" w:cs="Traditional Arabic"/>
          <w:sz w:val="22"/>
          <w:szCs w:val="22"/>
          <w:rtl/>
        </w:rPr>
        <w:t xml:space="preserve">يونوسات- </w:t>
      </w:r>
      <w:r w:rsidRPr="00EA5B1C">
        <w:rPr>
          <w:rStyle w:val="preferred"/>
          <w:rFonts w:ascii="Traditional Arabic" w:hAnsi="Traditional Arabic" w:cs="Traditional Arabic"/>
          <w:sz w:val="22"/>
          <w:szCs w:val="22"/>
          <w:rtl/>
        </w:rPr>
        <w:t>يونيتار للعديد من الحوادث في عدن، اليمن بين 14 و16 تموز/ يوليو 2015. أنظر تقييم الأضرار أدناه.</w:t>
      </w:r>
    </w:p>
  </w:footnote>
  <w:footnote w:id="212">
    <w:p w14:paraId="0CD26FAC" w14:textId="21D40C7B"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3">
    <w:p w14:paraId="0012D9ED" w14:textId="68E1741D"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4">
    <w:p w14:paraId="6E3F14AA" w14:textId="23650A8C"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5">
    <w:p w14:paraId="0508A71D" w14:textId="5F704650"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tl/>
        </w:rPr>
        <w:t xml:space="preserve"> مصادر سريّة في الملف.</w:t>
      </w:r>
    </w:p>
  </w:footnote>
  <w:footnote w:id="216">
    <w:p w14:paraId="37FFAD45" w14:textId="385F7C7F"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tl/>
        </w:rPr>
        <w:t xml:space="preserve"> مصادر سريّة في الملف.</w:t>
      </w:r>
    </w:p>
  </w:footnote>
  <w:footnote w:id="217">
    <w:p w14:paraId="66A71092" w14:textId="1A1D9A5D" w:rsidR="00A1624A" w:rsidRPr="00EA5B1C"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8">
    <w:p w14:paraId="3233AF72" w14:textId="0EBA5472"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EA5B1C">
        <w:rPr>
          <w:rStyle w:val="FootnoteReference"/>
          <w:rFonts w:ascii="Traditional Arabic" w:hAnsi="Traditional Arabic" w:cs="Traditional Arabic"/>
          <w:noProof/>
          <w:sz w:val="22"/>
          <w:szCs w:val="22"/>
        </w:rPr>
        <w:footnoteRef/>
      </w:r>
      <w:r w:rsidRPr="00EA5B1C">
        <w:rPr>
          <w:rFonts w:ascii="Traditional Arabic" w:hAnsi="Traditional Arabic" w:cs="Traditional Arabic"/>
          <w:noProof/>
          <w:sz w:val="22"/>
          <w:szCs w:val="22"/>
        </w:rPr>
        <w:t xml:space="preserve"> </w:t>
      </w:r>
      <w:r w:rsidRPr="00EA5B1C">
        <w:rPr>
          <w:rFonts w:ascii="Traditional Arabic" w:hAnsi="Traditional Arabic" w:cs="Traditional Arabic"/>
          <w:noProof/>
          <w:sz w:val="22"/>
          <w:szCs w:val="22"/>
          <w:rtl/>
        </w:rPr>
        <w:t>مصادر سريّة في الملف.</w:t>
      </w:r>
    </w:p>
  </w:footnote>
  <w:footnote w:id="219">
    <w:p w14:paraId="03DE6C4E" w14:textId="6A7B6E98"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0">
    <w:p w14:paraId="06ED8F2E" w14:textId="07DA1B80"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1">
    <w:p w14:paraId="629A9CF1" w14:textId="24F40BEC" w:rsidR="00A1624A" w:rsidRPr="00E445C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E445C0">
        <w:rPr>
          <w:rStyle w:val="FootnoteReference"/>
          <w:rFonts w:ascii="Traditional Arabic" w:hAnsi="Traditional Arabic" w:cs="Traditional Arabic"/>
          <w:noProof/>
          <w:sz w:val="22"/>
          <w:szCs w:val="22"/>
        </w:rPr>
        <w:footnoteRef/>
      </w:r>
      <w:r w:rsidRPr="00E445C0">
        <w:rPr>
          <w:rFonts w:ascii="Traditional Arabic" w:hAnsi="Traditional Arabic" w:cs="Traditional Arabic"/>
          <w:noProof/>
          <w:sz w:val="22"/>
          <w:szCs w:val="22"/>
        </w:rPr>
        <w:t xml:space="preserve"> </w:t>
      </w:r>
      <w:r w:rsidRPr="00E445C0">
        <w:rPr>
          <w:rFonts w:ascii="Traditional Arabic" w:hAnsi="Traditional Arabic" w:cs="Traditional Arabic"/>
          <w:noProof/>
          <w:sz w:val="22"/>
          <w:szCs w:val="22"/>
          <w:rtl/>
        </w:rPr>
        <w:t>مصادر سريّة في الملف.</w:t>
      </w:r>
    </w:p>
  </w:footnote>
  <w:footnote w:id="222">
    <w:p w14:paraId="569FBA65" w14:textId="4DF8AAB1"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Fonts w:ascii="Traditional Arabic" w:hAnsi="Traditional Arabic" w:cs="Traditional Arabic"/>
          <w:sz w:val="22"/>
          <w:szCs w:val="22"/>
          <w:rtl/>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القاعدة 22</w:t>
      </w:r>
      <w:r w:rsidRPr="00E445C0">
        <w:rPr>
          <w:rFonts w:ascii="Traditional Arabic" w:hAnsi="Traditional Arabic" w:cs="Traditional Arabic"/>
          <w:sz w:val="22"/>
          <w:szCs w:val="22"/>
          <w:rtl/>
        </w:rPr>
        <w:t xml:space="preserve"> </w:t>
      </w:r>
    </w:p>
  </w:footnote>
  <w:footnote w:id="223">
    <w:p w14:paraId="66BB76D7" w14:textId="68F708CF"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 xml:space="preserve">القاعدة 23، أنظر أيضًا الفقرة 13 (1) </w:t>
      </w:r>
      <w:r w:rsidRPr="00E445C0">
        <w:rPr>
          <w:rFonts w:ascii="Traditional Arabic" w:hAnsi="Traditional Arabic" w:cs="Traditional Arabic"/>
          <w:sz w:val="22"/>
          <w:szCs w:val="22"/>
          <w:rtl/>
        </w:rPr>
        <w:t xml:space="preserve">البروتوكول الإضافي الثاني. </w:t>
      </w:r>
    </w:p>
  </w:footnote>
  <w:footnote w:id="224">
    <w:p w14:paraId="6083C375" w14:textId="0676F4C4" w:rsidR="00A1624A" w:rsidRPr="00E445C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E445C0">
        <w:rPr>
          <w:rFonts w:ascii="Traditional Arabic" w:hAnsi="Traditional Arabic" w:cs="Traditional Arabic"/>
          <w:sz w:val="22"/>
          <w:szCs w:val="22"/>
        </w:rPr>
        <w:t xml:space="preserve"> </w:t>
      </w:r>
      <w:r w:rsidRPr="00E445C0">
        <w:rPr>
          <w:rStyle w:val="tlid-translation"/>
          <w:rFonts w:ascii="Traditional Arabic" w:hAnsi="Traditional Arabic" w:cs="Traditional Arabic"/>
          <w:sz w:val="22"/>
          <w:szCs w:val="22"/>
          <w:rtl/>
        </w:rPr>
        <w:t xml:space="preserve">القواعد 38-40. </w:t>
      </w:r>
    </w:p>
  </w:footnote>
  <w:footnote w:id="225">
    <w:p w14:paraId="39EE4DA6" w14:textId="77B8674D" w:rsidR="00A1624A" w:rsidRPr="005006A1" w:rsidRDefault="00A1624A" w:rsidP="00B81240">
      <w:pPr>
        <w:pStyle w:val="FootnoteText"/>
        <w:tabs>
          <w:tab w:val="clear" w:pos="1021"/>
        </w:tabs>
        <w:bidi/>
        <w:spacing w:line="240" w:lineRule="auto"/>
        <w:ind w:left="851" w:firstLine="0"/>
        <w:jc w:val="both"/>
        <w:rPr>
          <w:szCs w:val="18"/>
        </w:rPr>
      </w:pPr>
      <w:r w:rsidRPr="00E445C0">
        <w:rPr>
          <w:rStyle w:val="FootnoteReference"/>
          <w:rFonts w:ascii="Traditional Arabic" w:hAnsi="Traditional Arabic" w:cs="Traditional Arabic"/>
          <w:sz w:val="22"/>
          <w:szCs w:val="22"/>
        </w:rPr>
        <w:footnoteRef/>
      </w:r>
      <w:r w:rsidRPr="00E445C0">
        <w:rPr>
          <w:rFonts w:ascii="Traditional Arabic" w:hAnsi="Traditional Arabic" w:cs="Traditional Arabic"/>
          <w:sz w:val="22"/>
          <w:szCs w:val="22"/>
        </w:rPr>
        <w:t xml:space="preserve"> </w:t>
      </w:r>
      <w:r w:rsidRPr="00E445C0">
        <w:rPr>
          <w:rFonts w:ascii="Traditional Arabic" w:hAnsi="Traditional Arabic" w:cs="Traditional Arabic"/>
          <w:sz w:val="22"/>
          <w:szCs w:val="22"/>
          <w:rtl/>
        </w:rPr>
        <w:t>أنظر الفقرة 4(3)(</w:t>
      </w:r>
      <w:r w:rsidRPr="00E445C0">
        <w:rPr>
          <w:rFonts w:ascii="Traditional Arabic" w:hAnsi="Traditional Arabic" w:cs="Traditional Arabic"/>
          <w:sz w:val="22"/>
          <w:szCs w:val="22"/>
          <w:lang w:val="en-US"/>
        </w:rPr>
        <w:t>a</w:t>
      </w:r>
      <w:r w:rsidRPr="00E445C0">
        <w:rPr>
          <w:rFonts w:ascii="Traditional Arabic" w:hAnsi="Traditional Arabic" w:cs="Traditional Arabic"/>
          <w:sz w:val="22"/>
          <w:szCs w:val="22"/>
          <w:rtl/>
          <w:lang w:val="en-US" w:bidi="ar-YE"/>
        </w:rPr>
        <w:t xml:space="preserve">) </w:t>
      </w:r>
      <w:r w:rsidRPr="00E445C0">
        <w:rPr>
          <w:rFonts w:ascii="Traditional Arabic" w:hAnsi="Traditional Arabic" w:cs="Traditional Arabic"/>
          <w:sz w:val="22"/>
          <w:szCs w:val="22"/>
          <w:rtl/>
        </w:rPr>
        <w:t xml:space="preserve">البروتوكول الإضافي الثاني، أنظر الفقرة 13 </w:t>
      </w:r>
      <w:r w:rsidRPr="00E445C0">
        <w:rPr>
          <w:rFonts w:ascii="Traditional Arabic" w:hAnsi="Traditional Arabic" w:cs="Traditional Arabic"/>
          <w:sz w:val="22"/>
          <w:szCs w:val="22"/>
        </w:rPr>
        <w:t>ICESCR</w:t>
      </w:r>
      <w:r w:rsidRPr="00E445C0">
        <w:rPr>
          <w:rFonts w:ascii="Traditional Arabic" w:hAnsi="Traditional Arabic" w:cs="Traditional Arabic"/>
          <w:sz w:val="22"/>
          <w:szCs w:val="22"/>
          <w:rtl/>
        </w:rPr>
        <w:t>.</w:t>
      </w:r>
      <w:r>
        <w:rPr>
          <w:rFonts w:hint="cs"/>
          <w:szCs w:val="18"/>
          <w:rtl/>
        </w:rPr>
        <w:t xml:space="preserve"> </w:t>
      </w:r>
    </w:p>
  </w:footnote>
  <w:footnote w:id="226">
    <w:p w14:paraId="0625B399" w14:textId="728F9EA0"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27">
    <w:p w14:paraId="578CA048" w14:textId="77777777" w:rsidR="00A1624A" w:rsidRPr="00AA7B28" w:rsidRDefault="00A1624A" w:rsidP="00B81240">
      <w:pPr>
        <w:pStyle w:val="FootnoteText"/>
        <w:tabs>
          <w:tab w:val="clear" w:pos="1021"/>
        </w:tabs>
        <w:bidi/>
        <w:ind w:left="851" w:firstLine="0"/>
        <w:jc w:val="both"/>
        <w:rPr>
          <w:rFonts w:asciiTheme="majorBidi" w:hAnsiTheme="majorBidi" w:cstheme="majorBidi"/>
          <w:noProof/>
          <w:sz w:val="20"/>
          <w:rtl/>
        </w:rPr>
      </w:pPr>
      <w:r w:rsidRPr="00AA7B28">
        <w:rPr>
          <w:rStyle w:val="FootnoteReference"/>
          <w:rFonts w:asciiTheme="majorBidi" w:hAnsiTheme="majorBidi" w:cstheme="majorBidi"/>
          <w:noProof/>
          <w:sz w:val="20"/>
        </w:rPr>
        <w:footnoteRef/>
      </w:r>
      <w:r w:rsidRPr="00AA7B28">
        <w:rPr>
          <w:sz w:val="20"/>
        </w:rPr>
        <w:t xml:space="preserve"> </w:t>
      </w:r>
      <w:r w:rsidRPr="00AA7B28">
        <w:rPr>
          <w:rFonts w:asciiTheme="majorBidi" w:hAnsiTheme="majorBidi" w:cstheme="majorBidi"/>
          <w:noProof/>
          <w:sz w:val="20"/>
        </w:rPr>
        <w:t xml:space="preserve">Amnesty International, Public Statement, 16 January 2017. </w:t>
      </w:r>
    </w:p>
    <w:p w14:paraId="3E755169" w14:textId="1D9DFEDF" w:rsidR="00A1624A" w:rsidRDefault="00A1624A" w:rsidP="00B81240">
      <w:pPr>
        <w:pStyle w:val="FootnoteText"/>
        <w:tabs>
          <w:tab w:val="clear" w:pos="1021"/>
        </w:tabs>
        <w:bidi/>
        <w:ind w:left="851" w:firstLine="0"/>
        <w:jc w:val="both"/>
        <w:rPr>
          <w:rFonts w:asciiTheme="majorBidi" w:hAnsiTheme="majorBidi" w:cstheme="majorBidi"/>
          <w:noProof/>
          <w:sz w:val="20"/>
          <w:lang w:val="en-US"/>
        </w:rPr>
      </w:pPr>
      <w:r w:rsidRPr="00AA7B28">
        <w:rPr>
          <w:rFonts w:asciiTheme="majorBidi" w:hAnsiTheme="majorBidi" w:cstheme="majorBidi"/>
          <w:noProof/>
          <w:sz w:val="20"/>
        </w:rPr>
        <w:t>Available at:https://www.amnesty.org/download/Documents/MDE3154942017ENGLISH.pdf; see also: OCHA et Action on Armed Violence: State of crisis: ex</w:t>
      </w:r>
      <w:r>
        <w:rPr>
          <w:rFonts w:asciiTheme="majorBidi" w:hAnsiTheme="majorBidi" w:cstheme="majorBidi"/>
          <w:noProof/>
          <w:sz w:val="20"/>
        </w:rPr>
        <w:t>plosive weapons in Yemen, 2015.</w:t>
      </w:r>
      <w:r>
        <w:rPr>
          <w:rFonts w:asciiTheme="majorBidi" w:hAnsiTheme="majorBidi" w:cstheme="majorBidi" w:hint="cs"/>
          <w:noProof/>
          <w:sz w:val="20"/>
          <w:rtl/>
        </w:rPr>
        <w:t xml:space="preserve"> </w:t>
      </w:r>
      <w:r w:rsidRPr="00AA7B28">
        <w:rPr>
          <w:rFonts w:asciiTheme="majorBidi" w:hAnsiTheme="majorBidi" w:cstheme="majorBidi"/>
          <w:noProof/>
          <w:sz w:val="20"/>
        </w:rPr>
        <w:t xml:space="preserve">Available </w:t>
      </w:r>
      <w:r>
        <w:rPr>
          <w:rFonts w:asciiTheme="majorBidi" w:hAnsiTheme="majorBidi" w:cstheme="majorBidi"/>
          <w:noProof/>
          <w:sz w:val="20"/>
          <w:lang w:val="en-US"/>
        </w:rPr>
        <w:t>at:</w:t>
      </w:r>
    </w:p>
    <w:p w14:paraId="6F67A356" w14:textId="00E07857" w:rsidR="00A1624A" w:rsidRPr="00B74E4B" w:rsidRDefault="00A1624A" w:rsidP="00B81240">
      <w:pPr>
        <w:pStyle w:val="FootnoteText"/>
        <w:tabs>
          <w:tab w:val="clear" w:pos="1021"/>
        </w:tabs>
        <w:bidi/>
        <w:ind w:left="851" w:firstLine="0"/>
        <w:jc w:val="both"/>
        <w:rPr>
          <w:rFonts w:asciiTheme="majorBidi" w:hAnsiTheme="majorBidi" w:cstheme="majorBidi"/>
          <w:noProof/>
          <w:szCs w:val="18"/>
        </w:rPr>
      </w:pPr>
      <w:r>
        <w:rPr>
          <w:rFonts w:asciiTheme="majorBidi" w:hAnsiTheme="majorBidi" w:cstheme="majorBidi"/>
          <w:noProof/>
          <w:sz w:val="20"/>
          <w:lang w:val="en-US"/>
        </w:rPr>
        <w:t xml:space="preserve"> </w:t>
      </w:r>
      <w:r w:rsidRPr="00AA7B28">
        <w:rPr>
          <w:rFonts w:asciiTheme="majorBidi" w:hAnsiTheme="majorBidi" w:cstheme="majorBidi"/>
          <w:noProof/>
          <w:sz w:val="20"/>
        </w:rPr>
        <w:t>https://www.unocha.org/sites/dms/Documents/Yemen%20EWIPA%20report.pdf;</w:t>
      </w:r>
    </w:p>
  </w:footnote>
  <w:footnote w:id="228">
    <w:p w14:paraId="75F20144" w14:textId="418751D2"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29">
    <w:p w14:paraId="6027849D" w14:textId="3DD3B1DD"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30">
    <w:p w14:paraId="67175F10" w14:textId="05565FE3"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footnote>
  <w:footnote w:id="231">
    <w:p w14:paraId="06A6D576" w14:textId="1A8411A1"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2">
    <w:p w14:paraId="1BEBBA44" w14:textId="7D9C73B7" w:rsidR="00A1624A" w:rsidRDefault="00A1624A" w:rsidP="00B81240">
      <w:pPr>
        <w:pStyle w:val="FootnoteText"/>
        <w:tabs>
          <w:tab w:val="clear" w:pos="1021"/>
        </w:tabs>
        <w:bidi/>
        <w:ind w:left="851" w:firstLine="0"/>
        <w:jc w:val="both"/>
        <w:rPr>
          <w:rtl/>
          <w:lang w:bidi="ar-JO"/>
        </w:rPr>
      </w:pPr>
      <w:r w:rsidRPr="008E6721">
        <w:rPr>
          <w:rStyle w:val="FootnoteReference"/>
          <w:rFonts w:ascii="Traditional Arabic" w:hAnsi="Traditional Arabic" w:cs="Traditional Arabic"/>
          <w:sz w:val="22"/>
          <w:szCs w:val="22"/>
        </w:rPr>
        <w:footnoteRef/>
      </w:r>
      <w:r w:rsidRPr="008E6721">
        <w:rPr>
          <w:rFonts w:ascii="Traditional Arabic" w:hAnsi="Traditional Arabic" w:cs="Traditional Arabic"/>
          <w:sz w:val="22"/>
          <w:szCs w:val="22"/>
        </w:rPr>
        <w:t xml:space="preserve"> </w:t>
      </w:r>
      <w:r w:rsidRPr="008E6721">
        <w:rPr>
          <w:rFonts w:ascii="Traditional Arabic" w:hAnsi="Traditional Arabic" w:cs="Traditional Arabic"/>
          <w:noProof/>
          <w:sz w:val="22"/>
          <w:szCs w:val="22"/>
          <w:rtl/>
        </w:rPr>
        <w:t>مصادر سريّة في الملف.</w:t>
      </w:r>
    </w:p>
  </w:footnote>
  <w:footnote w:id="233">
    <w:p w14:paraId="491B7F8D" w14:textId="04685B9D"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4">
    <w:p w14:paraId="3EF923C2" w14:textId="6222D9C1"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5">
    <w:p w14:paraId="76DD93A7" w14:textId="0D68BB80"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footnote>
  <w:footnote w:id="236">
    <w:p w14:paraId="2D766721" w14:textId="4CB4F980" w:rsidR="00A1624A" w:rsidRPr="007A3AA1" w:rsidRDefault="00A1624A" w:rsidP="00B81240">
      <w:pPr>
        <w:pStyle w:val="FootnoteText"/>
        <w:tabs>
          <w:tab w:val="clear" w:pos="1021"/>
        </w:tabs>
        <w:bidi/>
        <w:ind w:left="851" w:firstLine="0"/>
        <w:jc w:val="both"/>
        <w:rPr>
          <w:rFonts w:asciiTheme="majorBidi" w:hAnsiTheme="majorBidi" w:cstheme="majorBidi"/>
          <w:noProof/>
          <w:szCs w:val="18"/>
          <w:lang w:val="fr-FR"/>
        </w:rPr>
      </w:pPr>
      <w:r w:rsidRPr="007C6A6E">
        <w:rPr>
          <w:rStyle w:val="FootnoteReference"/>
          <w:rFonts w:asciiTheme="majorBidi" w:hAnsiTheme="majorBidi" w:cstheme="majorBidi"/>
          <w:noProof/>
          <w:szCs w:val="18"/>
        </w:rPr>
        <w:footnoteRef/>
      </w:r>
      <w:r w:rsidRPr="007A3AA1">
        <w:rPr>
          <w:rFonts w:asciiTheme="majorBidi" w:hAnsiTheme="majorBidi" w:cstheme="majorBidi"/>
          <w:noProof/>
          <w:szCs w:val="18"/>
          <w:lang w:val="fr-FR"/>
        </w:rPr>
        <w:t xml:space="preserve"> </w:t>
      </w:r>
      <w:r w:rsidRPr="00EE3E94">
        <w:rPr>
          <w:rFonts w:asciiTheme="majorBidi" w:hAnsiTheme="majorBidi" w:cstheme="majorBidi"/>
          <w:noProof/>
          <w:szCs w:val="18"/>
          <w:lang w:val="fr-FR"/>
        </w:rPr>
        <w:t>https://www.spa.gov.sa/viewstory.php?lang=ch&amp;newsid=1774060</w:t>
      </w:r>
    </w:p>
  </w:footnote>
  <w:footnote w:id="237">
    <w:p w14:paraId="1F5D5432" w14:textId="77777777" w:rsidR="00A1624A" w:rsidRPr="0036085D" w:rsidRDefault="00A1624A" w:rsidP="00B81240">
      <w:pPr>
        <w:pStyle w:val="FootnoteText"/>
        <w:tabs>
          <w:tab w:val="clear" w:pos="1021"/>
        </w:tabs>
        <w:bidi/>
        <w:ind w:left="851" w:firstLine="0"/>
        <w:jc w:val="both"/>
        <w:rPr>
          <w:rFonts w:ascii="Traditional Arabic" w:hAnsi="Traditional Arabic" w:cs="Traditional Arabic"/>
          <w:noProof/>
          <w:sz w:val="22"/>
          <w:szCs w:val="22"/>
          <w:lang w:val="fr-FR"/>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lang w:val="fr-FR"/>
        </w:rPr>
        <w:t xml:space="preserve"> </w:t>
      </w:r>
      <w:r w:rsidRPr="008E6721">
        <w:rPr>
          <w:rFonts w:ascii="Traditional Arabic" w:hAnsi="Traditional Arabic" w:cs="Traditional Arabic"/>
          <w:noProof/>
          <w:sz w:val="22"/>
          <w:szCs w:val="22"/>
          <w:rtl/>
        </w:rPr>
        <w:t>مصادر سريّة في الملف.</w:t>
      </w:r>
    </w:p>
    <w:p w14:paraId="0D35B04D" w14:textId="73577AD4" w:rsidR="00A1624A" w:rsidRDefault="00A1624A" w:rsidP="00B81240">
      <w:pPr>
        <w:pStyle w:val="FootnoteText"/>
        <w:tabs>
          <w:tab w:val="clear" w:pos="1021"/>
        </w:tabs>
        <w:bidi/>
        <w:ind w:left="851" w:firstLine="0"/>
        <w:jc w:val="both"/>
        <w:rPr>
          <w:rFonts w:asciiTheme="majorBidi" w:hAnsiTheme="majorBidi" w:cstheme="majorBidi"/>
          <w:noProof/>
          <w:szCs w:val="18"/>
          <w:rtl/>
          <w:lang w:val="fr-FR"/>
        </w:rPr>
      </w:pPr>
      <w:r>
        <w:rPr>
          <w:rFonts w:asciiTheme="majorBidi" w:hAnsiTheme="majorBidi" w:hint="cs"/>
          <w:noProof/>
          <w:sz w:val="20"/>
          <w:rtl/>
        </w:rPr>
        <w:t xml:space="preserve"> </w:t>
      </w:r>
      <w:r w:rsidRPr="00E10E6E">
        <w:rPr>
          <w:rFonts w:asciiTheme="majorBidi" w:hAnsiTheme="majorBidi" w:cstheme="majorBidi"/>
          <w:noProof/>
          <w:szCs w:val="18"/>
          <w:lang w:val="fr-FR"/>
        </w:rPr>
        <w:t xml:space="preserve">Aden Times, JIAT and National Commission of Inquiry visit victims in Lahij, 1 </w:t>
      </w:r>
      <w:r>
        <w:rPr>
          <w:rFonts w:asciiTheme="majorBidi" w:hAnsiTheme="majorBidi" w:cstheme="majorBidi"/>
          <w:noProof/>
          <w:szCs w:val="18"/>
          <w:lang w:val="fr-FR"/>
        </w:rPr>
        <w:tab/>
      </w:r>
      <w:r w:rsidRPr="008E6721">
        <w:rPr>
          <w:rFonts w:ascii="Traditional Arabic" w:hAnsi="Traditional Arabic" w:cs="Traditional Arabic"/>
          <w:noProof/>
          <w:sz w:val="22"/>
          <w:szCs w:val="22"/>
          <w:rtl/>
          <w:lang w:val="fr-FR"/>
        </w:rPr>
        <w:t xml:space="preserve">1 كانون الثاني، 2019 </w:t>
      </w:r>
    </w:p>
    <w:p w14:paraId="325F2166" w14:textId="01910D0A" w:rsidR="00A1624A" w:rsidRPr="00AF572E" w:rsidRDefault="00A1624A" w:rsidP="00B81240">
      <w:pPr>
        <w:pStyle w:val="FootnoteText"/>
        <w:tabs>
          <w:tab w:val="clear" w:pos="1021"/>
        </w:tabs>
        <w:bidi/>
        <w:ind w:left="851" w:firstLine="0"/>
        <w:jc w:val="both"/>
        <w:rPr>
          <w:rFonts w:asciiTheme="majorBidi" w:hAnsiTheme="majorBidi" w:cstheme="majorBidi"/>
          <w:noProof/>
          <w:szCs w:val="18"/>
          <w:lang w:val="fr-FR"/>
        </w:rPr>
      </w:pPr>
      <w:r w:rsidRPr="00E10E6E">
        <w:rPr>
          <w:rFonts w:asciiTheme="majorBidi" w:hAnsiTheme="majorBidi" w:cstheme="majorBidi"/>
          <w:noProof/>
          <w:szCs w:val="18"/>
          <w:lang w:val="fr-FR"/>
        </w:rPr>
        <w:t>http://aden-tm.net/NDetails.aspx?contid=67875.</w:t>
      </w:r>
    </w:p>
  </w:footnote>
  <w:footnote w:id="238">
    <w:p w14:paraId="028B26D4" w14:textId="3E6BBBEC"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8E6721">
        <w:rPr>
          <w:rStyle w:val="FootnoteReference"/>
          <w:rFonts w:ascii="Traditional Arabic" w:hAnsi="Traditional Arabic" w:cs="Traditional Arabic"/>
          <w:noProof/>
          <w:sz w:val="22"/>
          <w:szCs w:val="22"/>
        </w:rPr>
        <w:footnoteRef/>
      </w:r>
      <w:r w:rsidRPr="008E6721">
        <w:rPr>
          <w:rFonts w:ascii="Traditional Arabic" w:hAnsi="Traditional Arabic" w:cs="Traditional Arabic"/>
          <w:noProof/>
          <w:sz w:val="22"/>
          <w:szCs w:val="22"/>
        </w:rPr>
        <w:t xml:space="preserve"> </w:t>
      </w:r>
      <w:r w:rsidRPr="008E6721">
        <w:rPr>
          <w:rFonts w:ascii="Traditional Arabic" w:hAnsi="Traditional Arabic" w:cs="Traditional Arabic"/>
          <w:noProof/>
          <w:sz w:val="22"/>
          <w:szCs w:val="22"/>
          <w:rtl/>
        </w:rPr>
        <w:t>مصادر سريّة في الملف.</w:t>
      </w:r>
    </w:p>
    <w:p w14:paraId="08F50781" w14:textId="1D4DD41E" w:rsidR="00A1624A" w:rsidRPr="008E6721" w:rsidRDefault="00A1624A" w:rsidP="00B81240">
      <w:pPr>
        <w:pStyle w:val="FootnoteText"/>
        <w:tabs>
          <w:tab w:val="clear" w:pos="1021"/>
        </w:tabs>
        <w:bidi/>
        <w:ind w:left="851" w:firstLine="0"/>
        <w:jc w:val="both"/>
        <w:rPr>
          <w:rFonts w:ascii="Traditional Arabic" w:hAnsi="Traditional Arabic" w:cs="Traditional Arabic"/>
          <w:noProof/>
          <w:sz w:val="22"/>
          <w:szCs w:val="22"/>
          <w:rtl/>
        </w:rPr>
      </w:pPr>
      <w:r w:rsidRPr="008E6721">
        <w:rPr>
          <w:rFonts w:ascii="Traditional Arabic" w:hAnsi="Traditional Arabic" w:cs="Traditional Arabic"/>
          <w:noProof/>
          <w:sz w:val="22"/>
          <w:szCs w:val="22"/>
          <w:rtl/>
        </w:rPr>
        <w:t xml:space="preserve">أنظر أيضًا: </w:t>
      </w:r>
    </w:p>
    <w:p w14:paraId="069119AE" w14:textId="1E7EFE78"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8E6721">
        <w:rPr>
          <w:rFonts w:asciiTheme="majorBidi" w:hAnsiTheme="majorBidi" w:cstheme="majorBidi"/>
          <w:noProof/>
          <w:szCs w:val="18"/>
        </w:rPr>
        <w:t>See also: Mwatana for Human Rights, The Degradation of History, Violations Committed by the Warring Parties against Yemen’s Cultural Property, November 2018; A/HRC/33/38, Situation of human rights in Yemen, Report of the United Nations High Commissioner for Human Rights.</w:t>
      </w:r>
    </w:p>
  </w:footnote>
  <w:footnote w:id="239">
    <w:p w14:paraId="0792D09A" w14:textId="76EC1886"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0">
    <w:p w14:paraId="265953C0" w14:textId="635E4504" w:rsidR="00A1624A" w:rsidRPr="005B0148"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1">
    <w:p w14:paraId="4BEEC23E" w14:textId="67BB4A93" w:rsidR="00A1624A" w:rsidRPr="005B0148" w:rsidRDefault="00A1624A" w:rsidP="00B81240">
      <w:pPr>
        <w:pStyle w:val="FootnoteText"/>
        <w:tabs>
          <w:tab w:val="clear" w:pos="1021"/>
        </w:tabs>
        <w:bidi/>
        <w:ind w:left="851" w:firstLine="0"/>
        <w:jc w:val="both"/>
        <w:rPr>
          <w:rFonts w:asciiTheme="majorBidi" w:hAnsiTheme="majorBidi" w:cstheme="majorBidi"/>
          <w:noProof/>
          <w:sz w:val="20"/>
        </w:rPr>
      </w:pPr>
      <w:r w:rsidRPr="005B0148">
        <w:rPr>
          <w:rStyle w:val="FootnoteReference"/>
          <w:rFonts w:asciiTheme="majorBidi" w:hAnsiTheme="majorBidi" w:cstheme="majorBidi"/>
          <w:noProof/>
          <w:sz w:val="20"/>
        </w:rPr>
        <w:footnoteRef/>
      </w:r>
      <w:r w:rsidRPr="005B0148">
        <w:rPr>
          <w:rFonts w:asciiTheme="majorBidi" w:hAnsiTheme="majorBidi" w:cstheme="majorBidi"/>
          <w:noProof/>
          <w:sz w:val="20"/>
        </w:rPr>
        <w:t xml:space="preserve"> https://www.spa.gov.sa/viewfullstory.php?lang=en&amp;newsid=1785164.</w:t>
      </w:r>
    </w:p>
  </w:footnote>
  <w:footnote w:id="242">
    <w:p w14:paraId="219EA808" w14:textId="7BC2C24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3">
    <w:p w14:paraId="5EA0F6C6" w14:textId="1F86BC13"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البروتوكول الإضافي الثاني،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القواعد 1 إلى 10 بالتحديد.</w:t>
      </w:r>
    </w:p>
  </w:footnote>
  <w:footnote w:id="244">
    <w:p w14:paraId="6027E8CA" w14:textId="50A619E6"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xml:space="preserve">، القاعدة 14. </w:t>
      </w:r>
    </w:p>
  </w:footnote>
  <w:footnote w:id="245">
    <w:p w14:paraId="761A6592" w14:textId="32C642DB" w:rsidR="00A1624A" w:rsidRPr="006D09D1" w:rsidRDefault="00A1624A" w:rsidP="00B81240">
      <w:pPr>
        <w:pStyle w:val="FootnoteText"/>
        <w:tabs>
          <w:tab w:val="clear" w:pos="1021"/>
        </w:tabs>
        <w:bidi/>
        <w:ind w:left="851" w:firstLine="0"/>
        <w:jc w:val="both"/>
        <w:rPr>
          <w:szCs w:val="18"/>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القاعدة 15.</w:t>
      </w:r>
    </w:p>
  </w:footnote>
  <w:footnote w:id="246">
    <w:p w14:paraId="6DB78A39" w14:textId="3368EC23"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القاعدة 156.</w:t>
      </w:r>
    </w:p>
  </w:footnote>
  <w:footnote w:id="247">
    <w:p w14:paraId="353E9409" w14:textId="5BA64F4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8">
    <w:p w14:paraId="3CC1E354" w14:textId="086A1A28"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49">
    <w:p w14:paraId="753AE0FC" w14:textId="62D9064C"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0">
    <w:p w14:paraId="6ED60AB8" w14:textId="6689EF90"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1">
    <w:p w14:paraId="246639B2" w14:textId="62EA4CFE" w:rsidR="00A1624A" w:rsidRPr="000E21F9"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2">
    <w:p w14:paraId="00C01718" w14:textId="5D0313E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3">
    <w:p w14:paraId="64429463" w14:textId="42CCD8FF"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4">
    <w:p w14:paraId="69437B4C" w14:textId="556D83A5"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55">
    <w:p w14:paraId="5CDDF60A" w14:textId="77BDCDE1"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w:t>
      </w:r>
      <w:r w:rsidRPr="00111D30">
        <w:rPr>
          <w:rFonts w:ascii="Traditional Arabic" w:hAnsi="Traditional Arabic" w:cs="Traditional Arabic"/>
          <w:sz w:val="22"/>
          <w:szCs w:val="22"/>
        </w:rPr>
        <w:t>6(1)</w:t>
      </w:r>
      <w:r w:rsidRPr="00111D30">
        <w:rPr>
          <w:rFonts w:ascii="Traditional Arabic" w:hAnsi="Traditional Arabic" w:cs="Traditional Arabic"/>
          <w:sz w:val="22"/>
          <w:szCs w:val="22"/>
          <w:rtl/>
        </w:rPr>
        <w:t xml:space="preserve"> </w:t>
      </w:r>
      <w:r w:rsidRPr="00111D30">
        <w:rPr>
          <w:rStyle w:val="preferred"/>
          <w:rFonts w:ascii="Traditional Arabic" w:hAnsi="Traditional Arabic" w:cs="Traditional Arabic"/>
          <w:sz w:val="22"/>
          <w:szCs w:val="22"/>
          <w:rtl/>
        </w:rPr>
        <w:t>العهد الدولي للحقوق المدنية والسياسية</w:t>
      </w:r>
    </w:p>
  </w:footnote>
  <w:footnote w:id="256">
    <w:p w14:paraId="4A34B8E5" w14:textId="2B54D825" w:rsidR="00A1624A" w:rsidRPr="00111D30" w:rsidRDefault="00A1624A" w:rsidP="00B81240">
      <w:pPr>
        <w:bidi/>
        <w:ind w:left="819"/>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3 المشتركة في معاهدات جنيف، الفقرة </w:t>
      </w:r>
      <w:r w:rsidRPr="00111D30">
        <w:rPr>
          <w:rFonts w:ascii="Traditional Arabic" w:hAnsi="Traditional Arabic" w:cs="Traditional Arabic"/>
          <w:sz w:val="22"/>
          <w:szCs w:val="22"/>
        </w:rPr>
        <w:t>4(2)(a)</w:t>
      </w:r>
      <w:r w:rsidRPr="00111D30">
        <w:rPr>
          <w:rFonts w:ascii="Traditional Arabic" w:hAnsi="Traditional Arabic" w:cs="Traditional Arabic"/>
          <w:sz w:val="22"/>
          <w:szCs w:val="22"/>
          <w:rtl/>
        </w:rPr>
        <w:t xml:space="preserve">، البروتوكول الإضافي الثاني،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111D30">
        <w:rPr>
          <w:rFonts w:ascii="Traditional Arabic" w:hAnsi="Traditional Arabic" w:cs="Traditional Arabic"/>
          <w:sz w:val="22"/>
          <w:szCs w:val="22"/>
          <w:rtl/>
        </w:rPr>
        <w:t xml:space="preserve">، </w:t>
      </w:r>
      <w:r w:rsidRPr="00111D30">
        <w:rPr>
          <w:rStyle w:val="tlid-translation"/>
          <w:rFonts w:ascii="Traditional Arabic" w:hAnsi="Traditional Arabic" w:cs="Traditional Arabic"/>
          <w:sz w:val="22"/>
          <w:szCs w:val="22"/>
          <w:rtl/>
        </w:rPr>
        <w:t xml:space="preserve">القاعدة 89. </w:t>
      </w:r>
    </w:p>
  </w:footnote>
  <w:footnote w:id="257">
    <w:p w14:paraId="63A60C2B" w14:textId="57BEDA6C" w:rsidR="00A1624A" w:rsidRPr="00E1522B" w:rsidRDefault="00A1624A" w:rsidP="00B81240">
      <w:pPr>
        <w:pStyle w:val="FootnoteText"/>
        <w:tabs>
          <w:tab w:val="clear" w:pos="1021"/>
        </w:tabs>
        <w:bidi/>
        <w:ind w:left="851" w:firstLine="0"/>
        <w:jc w:val="both"/>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 xml:space="preserve">الفقرة </w:t>
      </w:r>
      <w:r w:rsidRPr="00111D30">
        <w:rPr>
          <w:rFonts w:ascii="Traditional Arabic" w:hAnsi="Traditional Arabic" w:cs="Traditional Arabic"/>
          <w:sz w:val="22"/>
          <w:szCs w:val="22"/>
        </w:rPr>
        <w:t>8 2.(c)(i)</w:t>
      </w:r>
      <w:r w:rsidRPr="00111D30">
        <w:rPr>
          <w:rFonts w:ascii="Traditional Arabic" w:hAnsi="Traditional Arabic" w:cs="Traditional Arabic"/>
          <w:sz w:val="22"/>
          <w:szCs w:val="22"/>
          <w:rtl/>
        </w:rPr>
        <w:t xml:space="preserve"> </w:t>
      </w:r>
      <w:r w:rsidRPr="00111D30">
        <w:rPr>
          <w:rStyle w:val="ar"/>
          <w:rFonts w:ascii="Traditional Arabic" w:hAnsi="Traditional Arabic" w:cs="Traditional Arabic"/>
          <w:sz w:val="22"/>
          <w:szCs w:val="22"/>
          <w:rtl/>
        </w:rPr>
        <w:t>نظام روما الأساسي</w:t>
      </w:r>
    </w:p>
  </w:footnote>
  <w:footnote w:id="258">
    <w:p w14:paraId="742DCBCC" w14:textId="7562C477" w:rsidR="00A1624A" w:rsidRPr="00111D30" w:rsidRDefault="00A1624A" w:rsidP="00B81240">
      <w:pPr>
        <w:pStyle w:val="FootnoteText"/>
        <w:tabs>
          <w:tab w:val="clear" w:pos="1021"/>
        </w:tabs>
        <w:bidi/>
        <w:spacing w:line="240" w:lineRule="auto"/>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 xml:space="preserve">هيومن رايتس واتش: الحوثيون استخدموا الألغام الأرضية في عدن، أيلول/ سبتمبر 2015. </w:t>
      </w:r>
    </w:p>
  </w:footnote>
  <w:footnote w:id="259">
    <w:p w14:paraId="1BF04CD2" w14:textId="39366158"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0">
    <w:p w14:paraId="6CBFC391" w14:textId="0C7B267C" w:rsidR="00A1624A" w:rsidRPr="00BC56D7" w:rsidRDefault="00A1624A" w:rsidP="00B81240">
      <w:pPr>
        <w:pStyle w:val="FootnoteText"/>
        <w:tabs>
          <w:tab w:val="clear" w:pos="1021"/>
        </w:tabs>
        <w:bidi/>
        <w:ind w:left="851" w:firstLine="0"/>
        <w:jc w:val="both"/>
        <w:rPr>
          <w:rFonts w:asciiTheme="majorBidi" w:hAnsiTheme="majorBidi" w:cstheme="majorBidi"/>
          <w:noProof/>
          <w:sz w:val="20"/>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1">
    <w:p w14:paraId="13BE831F" w14:textId="6B18AE5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2">
    <w:p w14:paraId="0EB8F00A" w14:textId="658F63A0"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3">
    <w:p w14:paraId="67DD76D0" w14:textId="4C155A71"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4">
    <w:p w14:paraId="3623F8D5" w14:textId="4886D7DF"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5">
    <w:p w14:paraId="1D0DD31B" w14:textId="0EEA1843"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6">
    <w:p w14:paraId="3668707A" w14:textId="3D5C6AFC"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7">
    <w:p w14:paraId="5FAFBE9A" w14:textId="56763B36" w:rsidR="00A1624A" w:rsidRPr="007C6A6E" w:rsidRDefault="00A1624A" w:rsidP="00B81240">
      <w:pPr>
        <w:pStyle w:val="FootnoteText"/>
        <w:tabs>
          <w:tab w:val="clear" w:pos="1021"/>
        </w:tabs>
        <w:bidi/>
        <w:ind w:left="851" w:firstLine="0"/>
        <w:jc w:val="both"/>
        <w:rPr>
          <w:rFonts w:asciiTheme="majorBidi" w:hAnsiTheme="majorBidi" w:cstheme="majorBidi"/>
          <w:noProof/>
          <w:szCs w:val="18"/>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68">
    <w:p w14:paraId="74300251" w14:textId="0BE63446"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 xml:space="preserve">الموقع: </w:t>
      </w:r>
      <w:r w:rsidRPr="00111D30">
        <w:rPr>
          <w:rFonts w:ascii="Traditional Arabic" w:hAnsi="Traditional Arabic" w:cs="Traditional Arabic"/>
          <w:noProof/>
          <w:sz w:val="22"/>
          <w:szCs w:val="22"/>
        </w:rPr>
        <w:t>13 23 02 .03 N 44 28 20 . 67 E</w:t>
      </w:r>
    </w:p>
  </w:footnote>
  <w:footnote w:id="269">
    <w:p w14:paraId="70D5DE99" w14:textId="321C09A5" w:rsidR="00A1624A" w:rsidRPr="00111D30" w:rsidRDefault="00A1624A" w:rsidP="00B81240">
      <w:pPr>
        <w:pStyle w:val="FootnoteText"/>
        <w:tabs>
          <w:tab w:val="clear" w:pos="1021"/>
        </w:tabs>
        <w:bidi/>
        <w:ind w:left="851" w:firstLine="0"/>
        <w:jc w:val="both"/>
        <w:rPr>
          <w:rFonts w:ascii="Traditional Arabic" w:hAnsi="Traditional Arabic" w:cs="Traditional Arabic"/>
          <w:noProof/>
          <w:sz w:val="22"/>
          <w:szCs w:val="22"/>
        </w:rPr>
      </w:pPr>
      <w:r w:rsidRPr="00111D30">
        <w:rPr>
          <w:rStyle w:val="FootnoteReference"/>
          <w:rFonts w:ascii="Traditional Arabic" w:hAnsi="Traditional Arabic" w:cs="Traditional Arabic"/>
          <w:noProof/>
          <w:sz w:val="22"/>
          <w:szCs w:val="22"/>
        </w:rPr>
        <w:footnoteRef/>
      </w:r>
      <w:r w:rsidRPr="00111D30">
        <w:rPr>
          <w:rFonts w:ascii="Traditional Arabic" w:hAnsi="Traditional Arabic" w:cs="Traditional Arabic"/>
          <w:noProof/>
          <w:sz w:val="22"/>
          <w:szCs w:val="22"/>
        </w:rPr>
        <w:t xml:space="preserve"> </w:t>
      </w:r>
      <w:r w:rsidRPr="00111D30">
        <w:rPr>
          <w:rFonts w:ascii="Traditional Arabic" w:hAnsi="Traditional Arabic" w:cs="Traditional Arabic"/>
          <w:noProof/>
          <w:sz w:val="22"/>
          <w:szCs w:val="22"/>
          <w:rtl/>
        </w:rPr>
        <w:t>مصادر سريّة في الملف.</w:t>
      </w:r>
    </w:p>
  </w:footnote>
  <w:footnote w:id="270">
    <w:p w14:paraId="57C9997A" w14:textId="3BBEB1C3" w:rsidR="00A1624A" w:rsidRPr="0050500A" w:rsidRDefault="00A1624A" w:rsidP="00B81240">
      <w:pPr>
        <w:pStyle w:val="FootnoteText"/>
        <w:tabs>
          <w:tab w:val="clear" w:pos="1021"/>
        </w:tabs>
        <w:bidi/>
        <w:ind w:left="851" w:firstLine="0"/>
        <w:jc w:val="both"/>
        <w:rPr>
          <w:sz w:val="20"/>
          <w:lang w:val="en-US"/>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81.</w:t>
      </w:r>
      <w:r w:rsidRPr="0050500A">
        <w:rPr>
          <w:rStyle w:val="tlid-translation"/>
          <w:rFonts w:hint="cs"/>
          <w:sz w:val="20"/>
          <w:rtl/>
        </w:rPr>
        <w:t xml:space="preserve"> </w:t>
      </w:r>
    </w:p>
  </w:footnote>
  <w:footnote w:id="271">
    <w:p w14:paraId="03F8AA39" w14:textId="5CB3DAF4"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2">
    <w:p w14:paraId="75A6EF19" w14:textId="7F5D6100" w:rsidR="00A1624A" w:rsidRPr="0050500A" w:rsidRDefault="00A1624A" w:rsidP="00B81240">
      <w:pPr>
        <w:pStyle w:val="FootnoteText"/>
        <w:tabs>
          <w:tab w:val="clear" w:pos="1021"/>
        </w:tabs>
        <w:bidi/>
        <w:ind w:left="851" w:firstLine="0"/>
        <w:jc w:val="both"/>
        <w:rPr>
          <w:sz w:val="20"/>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3">
    <w:p w14:paraId="202F7A3C" w14:textId="3C0123C7"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4">
    <w:p w14:paraId="587115DB" w14:textId="0A837304"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5">
    <w:p w14:paraId="05604608" w14:textId="6BBC5BBE" w:rsidR="00A1624A" w:rsidRPr="00111D3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Fonts w:ascii="Traditional Arabic" w:hAnsi="Traditional Arabic" w:cs="Traditional Arabic"/>
          <w:sz w:val="22"/>
          <w:szCs w:val="22"/>
          <w:rtl/>
        </w:rPr>
        <w:t>مصادر سريّة في الملف.</w:t>
      </w:r>
    </w:p>
  </w:footnote>
  <w:footnote w:id="276">
    <w:p w14:paraId="6590245C" w14:textId="21E5ED5D" w:rsidR="00A1624A" w:rsidRPr="00111D30" w:rsidRDefault="00A1624A" w:rsidP="00B81240">
      <w:pPr>
        <w:pStyle w:val="FootnoteText"/>
        <w:tabs>
          <w:tab w:val="clear" w:pos="1021"/>
        </w:tabs>
        <w:bidi/>
        <w:spacing w:line="168" w:lineRule="auto"/>
        <w:ind w:left="850" w:right="1138" w:firstLine="0"/>
        <w:jc w:val="both"/>
        <w:rPr>
          <w:rFonts w:ascii="Traditional Arabic" w:hAnsi="Traditional Arabic" w:cs="Traditional Arabic"/>
          <w:sz w:val="22"/>
          <w:szCs w:val="22"/>
          <w:rtl/>
        </w:rPr>
      </w:pPr>
      <w:r w:rsidRPr="00111D30">
        <w:rPr>
          <w:rStyle w:val="FootnoteReference"/>
          <w:rFonts w:ascii="Traditional Arabic" w:hAnsi="Traditional Arabic" w:cs="Traditional Arabic"/>
          <w:sz w:val="22"/>
          <w:szCs w:val="22"/>
        </w:rPr>
        <w:footnoteRef/>
      </w:r>
      <w:r w:rsidRPr="00111D30">
        <w:rPr>
          <w:rFonts w:ascii="Traditional Arabic" w:hAnsi="Traditional Arabic" w:cs="Traditional Arabic"/>
          <w:sz w:val="22"/>
          <w:szCs w:val="22"/>
        </w:rPr>
        <w:t xml:space="preserve"> </w:t>
      </w:r>
      <w:r w:rsidRPr="00111D30">
        <w:rPr>
          <w:rStyle w:val="tlid-translation"/>
          <w:rFonts w:ascii="Traditional Arabic" w:hAnsi="Traditional Arabic" w:cs="Traditional Arabic"/>
          <w:sz w:val="22"/>
          <w:szCs w:val="22"/>
          <w:rtl/>
        </w:rPr>
        <w:t>تقرير شامل في الملف، جمعه فريق الخبراء ويحتوي على شهادات ذات صلة مكتوبة وعبر الفيديو على وسائل التواصل الاجتماعي أو موقع</w:t>
      </w:r>
      <w:r w:rsidRPr="00111D30">
        <w:rPr>
          <w:rStyle w:val="tlid-translation"/>
          <w:rFonts w:ascii="Traditional Arabic" w:hAnsi="Traditional Arabic" w:cs="Traditional Arabic"/>
          <w:sz w:val="22"/>
          <w:szCs w:val="22"/>
          <w:lang w:bidi="ar"/>
        </w:rPr>
        <w:t xml:space="preserve"> </w:t>
      </w:r>
      <w:r w:rsidRPr="00111D30">
        <w:rPr>
          <w:rStyle w:val="tlid-translation"/>
          <w:rFonts w:ascii="Traditional Arabic" w:hAnsi="Traditional Arabic" w:cs="Traditional Arabic"/>
          <w:sz w:val="22"/>
          <w:szCs w:val="22"/>
          <w:rtl/>
        </w:rPr>
        <w:t xml:space="preserve"> المجلس الجنوبي الإنتقالي الإلكتروني أو منافذ إعلامية موثوق </w:t>
      </w:r>
      <w:r>
        <w:rPr>
          <w:rStyle w:val="tlid-translation"/>
          <w:rFonts w:ascii="Traditional Arabic" w:hAnsi="Traditional Arabic" w:cs="Traditional Arabic" w:hint="cs"/>
          <w:sz w:val="22"/>
          <w:szCs w:val="22"/>
          <w:rtl/>
        </w:rPr>
        <w:t xml:space="preserve">حول نشاطات </w:t>
      </w:r>
      <w:r w:rsidRPr="00111D30">
        <w:rPr>
          <w:rStyle w:val="tlid-translation"/>
          <w:rFonts w:ascii="Traditional Arabic" w:hAnsi="Traditional Arabic" w:cs="Traditional Arabic"/>
          <w:sz w:val="22"/>
          <w:szCs w:val="22"/>
          <w:rtl/>
        </w:rPr>
        <w:t xml:space="preserve">الشيخ هاني بن بريك واللواء عيدروس الزبيدي واللواء شلال علي شايع ومتحدثي المجلس الجنوبي الإنتقالي بين العام </w:t>
      </w:r>
      <w:r w:rsidRPr="00111D30">
        <w:rPr>
          <w:rStyle w:val="tlid-translation"/>
          <w:rFonts w:ascii="Traditional Arabic" w:hAnsi="Traditional Arabic" w:cs="Traditional Arabic"/>
          <w:sz w:val="22"/>
          <w:szCs w:val="22"/>
          <w:rtl/>
          <w:lang w:bidi="ar"/>
        </w:rPr>
        <w:t xml:space="preserve">2015 </w:t>
      </w:r>
      <w:r w:rsidRPr="00111D30">
        <w:rPr>
          <w:rStyle w:val="tlid-translation"/>
          <w:rFonts w:ascii="Traditional Arabic" w:hAnsi="Traditional Arabic" w:cs="Traditional Arabic"/>
          <w:sz w:val="22"/>
          <w:szCs w:val="22"/>
          <w:rtl/>
        </w:rPr>
        <w:t>وتموز</w:t>
      </w:r>
      <w:r w:rsidRPr="00111D30">
        <w:rPr>
          <w:rStyle w:val="tlid-translation"/>
          <w:rFonts w:ascii="Traditional Arabic" w:hAnsi="Traditional Arabic" w:cs="Traditional Arabic"/>
          <w:sz w:val="22"/>
          <w:szCs w:val="22"/>
          <w:rtl/>
          <w:lang w:bidi="ar"/>
        </w:rPr>
        <w:t xml:space="preserve">/ </w:t>
      </w:r>
      <w:r w:rsidRPr="00111D30">
        <w:rPr>
          <w:rStyle w:val="tlid-translation"/>
          <w:rFonts w:ascii="Traditional Arabic" w:hAnsi="Traditional Arabic" w:cs="Traditional Arabic"/>
          <w:sz w:val="22"/>
          <w:szCs w:val="22"/>
          <w:rtl/>
        </w:rPr>
        <w:t xml:space="preserve">يوليو </w:t>
      </w:r>
      <w:r w:rsidRPr="00111D30">
        <w:rPr>
          <w:rStyle w:val="tlid-translation"/>
          <w:rFonts w:ascii="Traditional Arabic" w:hAnsi="Traditional Arabic" w:cs="Traditional Arabic"/>
          <w:sz w:val="22"/>
          <w:szCs w:val="22"/>
          <w:rtl/>
          <w:lang w:bidi="ar"/>
        </w:rPr>
        <w:t xml:space="preserve">2019. </w:t>
      </w:r>
    </w:p>
    <w:p w14:paraId="596B61B8" w14:textId="791053A8" w:rsidR="00A1624A" w:rsidRPr="00271038" w:rsidRDefault="00A1624A" w:rsidP="00B81240">
      <w:pPr>
        <w:pStyle w:val="FootnoteText"/>
        <w:tabs>
          <w:tab w:val="clear" w:pos="1021"/>
        </w:tabs>
        <w:bidi/>
        <w:ind w:left="851" w:firstLine="0"/>
        <w:jc w:val="both"/>
        <w:rPr>
          <w:szCs w:val="18"/>
          <w:lang w:val="en-US"/>
        </w:rPr>
      </w:pPr>
      <w:r w:rsidRPr="00271038">
        <w:rPr>
          <w:szCs w:val="18"/>
        </w:rPr>
        <w:t>See for example https://www.youtube.com/watch?v=Wz-4UsInABY. https://www.youtube.com/watch?v=83SkH0d8TYY. https://www.youtube.com/watch?v=SSfLlGz41a4&amp;feature=youtu.be. https://www.al-arabi.com/s/17280</w:t>
      </w:r>
    </w:p>
  </w:footnote>
  <w:footnote w:id="277">
    <w:p w14:paraId="5479C85B" w14:textId="552C9DFE"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المرجع نفسه</w:t>
      </w:r>
    </w:p>
  </w:footnote>
  <w:footnote w:id="278">
    <w:p w14:paraId="52D24681" w14:textId="4F115100" w:rsidR="00A1624A" w:rsidRPr="00271038" w:rsidRDefault="00A1624A" w:rsidP="00B81240">
      <w:pPr>
        <w:pStyle w:val="FootnoteText"/>
        <w:tabs>
          <w:tab w:val="clear" w:pos="1021"/>
        </w:tabs>
        <w:bidi/>
        <w:ind w:left="851" w:firstLine="0"/>
        <w:jc w:val="both"/>
        <w:rPr>
          <w:rFonts w:asciiTheme="minorHAnsi" w:hAnsiTheme="minorHAnsi" w:cstheme="minorBidi"/>
          <w:szCs w:val="18"/>
          <w:rtl/>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lang w:bidi="ar-JO"/>
        </w:rPr>
        <w:t>تم إيقاف بير أحمد 1 وكان البديل بير أحمر 2 في تشرين الثاني/ نوفمبر 2017 وتم نقل جميع السجناء إلى هناك. في الماضي، كان كل من الحكومة وسلطات السجون يطلقون على هذا المرفق إسمي بير أحمد 2 وبير أحمد المنصورة بلوك ب في إشارة إلى السجن المركزي الذي يبعد بعض المسافة في المنصورة. لاحظ فريق الخبراء أن بير أحمد 2 يقع خارج سلطة الحكومة ونظام العدالة الجنائي، وبالتالي، سيُشار إليه بإسم بير أحمد 2.</w:t>
      </w:r>
      <w:r>
        <w:rPr>
          <w:rFonts w:hint="cs"/>
          <w:szCs w:val="18"/>
          <w:rtl/>
          <w:lang w:bidi="ar-JO"/>
        </w:rPr>
        <w:t xml:space="preserve"> </w:t>
      </w:r>
    </w:p>
  </w:footnote>
  <w:footnote w:id="279">
    <w:p w14:paraId="67E7A2EB" w14:textId="4EA006E2"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0">
    <w:p w14:paraId="3C620C54" w14:textId="3659395E"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1">
    <w:p w14:paraId="187FCF21" w14:textId="643DF079"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p>
  </w:footnote>
  <w:footnote w:id="282">
    <w:p w14:paraId="7A39EBF1" w14:textId="3933B5F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tl/>
        </w:rPr>
        <w:t xml:space="preserve"> مصادر سريّة في الملف</w:t>
      </w:r>
      <w:r w:rsidRPr="00234D2D">
        <w:rPr>
          <w:rFonts w:ascii="Traditional Arabic" w:hAnsi="Traditional Arabic" w:cs="Traditional Arabic"/>
          <w:sz w:val="22"/>
          <w:szCs w:val="22"/>
        </w:rPr>
        <w:t>.</w:t>
      </w:r>
    </w:p>
  </w:footnote>
  <w:footnote w:id="283">
    <w:p w14:paraId="1B1D7D48" w14:textId="0C28CC7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 xml:space="preserve">الموقع: </w:t>
      </w:r>
      <w:r w:rsidRPr="00234D2D">
        <w:rPr>
          <w:rFonts w:ascii="Traditional Arabic" w:hAnsi="Traditional Arabic" w:cs="Traditional Arabic"/>
          <w:sz w:val="22"/>
          <w:szCs w:val="22"/>
        </w:rPr>
        <w:t>12.814607, 44.891368</w:t>
      </w:r>
    </w:p>
  </w:footnote>
  <w:footnote w:id="284">
    <w:p w14:paraId="555BE907" w14:textId="26B88DEF"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أنظر أيضًا الأمم المتحدة، فريق الخبراء المعني باليمن التابع لمجلس الأمن، 26 كانون الثاني، يناير 2018، </w:t>
      </w:r>
      <w:r w:rsidRPr="00234D2D">
        <w:rPr>
          <w:rFonts w:ascii="Traditional Arabic" w:hAnsi="Traditional Arabic" w:cs="Traditional Arabic"/>
          <w:sz w:val="22"/>
          <w:szCs w:val="22"/>
        </w:rPr>
        <w:t>S/2018/68</w:t>
      </w:r>
    </w:p>
  </w:footnote>
  <w:footnote w:id="285">
    <w:p w14:paraId="527F101F" w14:textId="791C2F2D" w:rsidR="00A1624A" w:rsidRDefault="00A1624A" w:rsidP="00B81240">
      <w:pPr>
        <w:pStyle w:val="FootnoteText"/>
        <w:tabs>
          <w:tab w:val="clear" w:pos="1021"/>
        </w:tabs>
        <w:bidi/>
        <w:ind w:left="851" w:firstLine="0"/>
        <w:jc w:val="both"/>
        <w:rPr>
          <w:rtl/>
          <w:lang w:bidi="ar-JO"/>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86">
    <w:p w14:paraId="39ED7892" w14:textId="4B008030"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87">
    <w:p w14:paraId="66375340" w14:textId="3A5D09A7"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 xml:space="preserve">الموقع: </w:t>
      </w:r>
      <w:r w:rsidRPr="00234D2D">
        <w:rPr>
          <w:rFonts w:ascii="Traditional Arabic" w:hAnsi="Traditional Arabic" w:cs="Traditional Arabic"/>
          <w:sz w:val="22"/>
          <w:szCs w:val="22"/>
        </w:rPr>
        <w:t>12.835020 44.885707</w:t>
      </w:r>
    </w:p>
  </w:footnote>
  <w:footnote w:id="288">
    <w:p w14:paraId="7381B2C3" w14:textId="2F8B2543"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أنظر أيضًا </w:t>
      </w:r>
      <w:r w:rsidRPr="00234D2D">
        <w:rPr>
          <w:rFonts w:ascii="Traditional Arabic" w:hAnsi="Traditional Arabic" w:cs="Traditional Arabic"/>
          <w:sz w:val="22"/>
          <w:szCs w:val="22"/>
        </w:rPr>
        <w:t>S/2018/68</w:t>
      </w:r>
      <w:r w:rsidRPr="00234D2D">
        <w:rPr>
          <w:rFonts w:ascii="Traditional Arabic" w:hAnsi="Traditional Arabic" w:cs="Traditional Arabic"/>
          <w:sz w:val="22"/>
          <w:szCs w:val="22"/>
          <w:rtl/>
        </w:rPr>
        <w:t>.</w:t>
      </w:r>
      <w:r>
        <w:rPr>
          <w:rFonts w:asciiTheme="majorBidi" w:hAnsiTheme="majorBidi" w:cstheme="majorBidi" w:hint="cs"/>
          <w:szCs w:val="18"/>
          <w:rtl/>
        </w:rPr>
        <w:t xml:space="preserve"> </w:t>
      </w:r>
    </w:p>
  </w:footnote>
  <w:footnote w:id="289">
    <w:p w14:paraId="51B3CDFD" w14:textId="55AC6F32"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0">
    <w:p w14:paraId="79F23328" w14:textId="5331F080"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1">
    <w:p w14:paraId="5BA173F9" w14:textId="56335F63"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2">
    <w:p w14:paraId="5BEB0DC4" w14:textId="249DD15B"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p>
  </w:footnote>
  <w:footnote w:id="293">
    <w:p w14:paraId="637C1123" w14:textId="4BE7D2FD" w:rsidR="00A1624A" w:rsidRPr="00234D2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A/HRC/39/43</w:t>
      </w:r>
    </w:p>
  </w:footnote>
  <w:footnote w:id="294">
    <w:p w14:paraId="29AA4C00" w14:textId="231C51D9" w:rsidR="00A1624A" w:rsidRPr="00271038" w:rsidRDefault="00A1624A" w:rsidP="00B81240">
      <w:pPr>
        <w:pStyle w:val="FootnoteText"/>
        <w:tabs>
          <w:tab w:val="clear" w:pos="1021"/>
        </w:tabs>
        <w:bidi/>
        <w:ind w:left="851" w:firstLine="0"/>
        <w:jc w:val="both"/>
        <w:rPr>
          <w:rFonts w:asciiTheme="majorBidi" w:hAnsiTheme="majorBidi" w:cstheme="majorBidi"/>
          <w:szCs w:val="18"/>
        </w:rPr>
      </w:pPr>
      <w:r w:rsidRPr="00234D2D">
        <w:rPr>
          <w:rStyle w:val="FootnoteReference"/>
          <w:rFonts w:ascii="Traditional Arabic" w:hAnsi="Traditional Arabic" w:cs="Traditional Arabic"/>
          <w:sz w:val="22"/>
          <w:szCs w:val="22"/>
        </w:rPr>
        <w:footnoteRef/>
      </w:r>
      <w:r w:rsidRPr="00234D2D">
        <w:rPr>
          <w:rFonts w:ascii="Traditional Arabic" w:hAnsi="Traditional Arabic" w:cs="Traditional Arabic"/>
          <w:sz w:val="22"/>
          <w:szCs w:val="22"/>
        </w:rPr>
        <w:t xml:space="preserve"> </w:t>
      </w:r>
      <w:r w:rsidRPr="00234D2D">
        <w:rPr>
          <w:rFonts w:ascii="Traditional Arabic" w:hAnsi="Traditional Arabic" w:cs="Traditional Arabic"/>
          <w:sz w:val="22"/>
          <w:szCs w:val="22"/>
          <w:rtl/>
        </w:rPr>
        <w:t>مصادر سريّة في الملف</w:t>
      </w:r>
      <w:r w:rsidRPr="00234D2D">
        <w:rPr>
          <w:rFonts w:ascii="Traditional Arabic" w:hAnsi="Traditional Arabic" w:cs="Traditional Arabic"/>
          <w:sz w:val="22"/>
          <w:szCs w:val="22"/>
        </w:rPr>
        <w:t>.</w:t>
      </w:r>
      <w:r w:rsidRPr="00234D2D">
        <w:rPr>
          <w:rFonts w:ascii="Traditional Arabic" w:hAnsi="Traditional Arabic" w:cs="Traditional Arabic"/>
          <w:sz w:val="22"/>
          <w:szCs w:val="22"/>
          <w:rtl/>
        </w:rPr>
        <w:t xml:space="preserve"> لمزيد من التفاصيل، أنظر الفصل الرابع أدناه.</w:t>
      </w:r>
      <w:r>
        <w:rPr>
          <w:rFonts w:asciiTheme="majorBidi" w:hAnsiTheme="majorBidi" w:cstheme="majorBidi" w:hint="cs"/>
          <w:sz w:val="20"/>
          <w:rtl/>
        </w:rPr>
        <w:t xml:space="preserve"> </w:t>
      </w:r>
    </w:p>
  </w:footnote>
  <w:footnote w:id="295">
    <w:p w14:paraId="05325F24" w14:textId="09C33C5F"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6">
    <w:p w14:paraId="787891F6" w14:textId="40AD8FA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7">
    <w:p w14:paraId="448478D0" w14:textId="3C094FB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8">
    <w:p w14:paraId="291B9383" w14:textId="7D5F370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299">
    <w:p w14:paraId="21F6DB2A" w14:textId="4EEA4E10"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0">
    <w:p w14:paraId="1642942E" w14:textId="37C5D76F"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1">
    <w:p w14:paraId="133B6BDA" w14:textId="37B66FC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2">
    <w:p w14:paraId="69A53414" w14:textId="4AFE86E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3">
    <w:p w14:paraId="01CBD1B7" w14:textId="67EB967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4">
    <w:p w14:paraId="033902EB" w14:textId="1BF444EB"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5">
    <w:p w14:paraId="3D31B602" w14:textId="48B5CB1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6">
    <w:p w14:paraId="6BD93381" w14:textId="015B8BF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7">
    <w:p w14:paraId="0699C61E" w14:textId="2780AB8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8">
    <w:p w14:paraId="2EC81F9C" w14:textId="21808146" w:rsidR="00A1624A" w:rsidRPr="00271038" w:rsidRDefault="00A1624A" w:rsidP="00B81240">
      <w:pPr>
        <w:pStyle w:val="FootnoteText"/>
        <w:tabs>
          <w:tab w:val="clear" w:pos="1021"/>
        </w:tabs>
        <w:bidi/>
        <w:ind w:left="851" w:firstLine="0"/>
        <w:jc w:val="both"/>
        <w:rPr>
          <w:szCs w:val="18"/>
          <w:rtl/>
          <w:lang w:bidi="ar-JO"/>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09">
    <w:p w14:paraId="6F53D84D" w14:textId="0315327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Style w:val="3ll06"/>
          <w:rFonts w:ascii="Traditional Arabic" w:hAnsi="Traditional Arabic" w:cs="Traditional Arabic"/>
          <w:bCs/>
          <w:sz w:val="22"/>
          <w:szCs w:val="22"/>
        </w:rPr>
        <w:t>14.523733, 46.828889</w:t>
      </w:r>
      <w:r w:rsidRPr="00B1160A">
        <w:rPr>
          <w:rFonts w:ascii="Traditional Arabic" w:hAnsi="Traditional Arabic" w:cs="Traditional Arabic"/>
          <w:bCs/>
          <w:sz w:val="22"/>
          <w:szCs w:val="22"/>
        </w:rPr>
        <w:t xml:space="preserve"> </w:t>
      </w:r>
    </w:p>
  </w:footnote>
  <w:footnote w:id="310">
    <w:p w14:paraId="7E9DF0F0" w14:textId="22384A63"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Fonts w:ascii="Traditional Arabic" w:hAnsi="Traditional Arabic" w:cs="Traditional Arabic"/>
          <w:bCs/>
          <w:sz w:val="22"/>
          <w:szCs w:val="22"/>
          <w:lang w:eastAsia="en-GB"/>
        </w:rPr>
        <w:t>14.347418, 47.430408</w:t>
      </w:r>
      <w:r w:rsidRPr="00B1160A">
        <w:rPr>
          <w:rFonts w:ascii="Traditional Arabic" w:hAnsi="Traditional Arabic" w:cs="Traditional Arabic"/>
          <w:bCs/>
          <w:sz w:val="22"/>
          <w:szCs w:val="22"/>
        </w:rPr>
        <w:t xml:space="preserve"> </w:t>
      </w:r>
    </w:p>
  </w:footnote>
  <w:footnote w:id="311">
    <w:p w14:paraId="0C3127D8" w14:textId="2FEAB9F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2">
    <w:p w14:paraId="54D2384C" w14:textId="3C76ECA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3">
    <w:p w14:paraId="1FC6A99B" w14:textId="0627BE9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4">
    <w:p w14:paraId="23656BAA" w14:textId="77FD5C3B"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5">
    <w:p w14:paraId="04E00FC2" w14:textId="274DC6FE"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6">
    <w:p w14:paraId="22C94564" w14:textId="5C974A9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7">
    <w:p w14:paraId="1E77E4D9" w14:textId="49782813"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 xml:space="preserve">الموقع </w:t>
      </w:r>
      <w:r w:rsidRPr="00B1160A">
        <w:rPr>
          <w:rFonts w:ascii="Traditional Arabic" w:hAnsi="Traditional Arabic" w:cs="Traditional Arabic"/>
          <w:sz w:val="22"/>
          <w:szCs w:val="22"/>
          <w:lang w:val="en-AU"/>
        </w:rPr>
        <w:t>15°56'53.2"N, 48°48'47.4"E</w:t>
      </w:r>
    </w:p>
  </w:footnote>
  <w:footnote w:id="318">
    <w:p w14:paraId="7893124D" w14:textId="3E3AED4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19">
    <w:p w14:paraId="3D31FA07" w14:textId="06F67FC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0">
    <w:p w14:paraId="26AC4192" w14:textId="2949FD5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Style w:val="preferred"/>
          <w:rFonts w:ascii="Traditional Arabic" w:hAnsi="Traditional Arabic" w:cs="Traditional Arabic"/>
          <w:sz w:val="22"/>
          <w:szCs w:val="22"/>
          <w:rtl/>
        </w:rPr>
        <w:t xml:space="preserve">أنظر الصورة أدناه. تقييم أضرار مبني على صور ساتلية من </w:t>
      </w:r>
      <w:r w:rsidRPr="00B1160A">
        <w:rPr>
          <w:rFonts w:ascii="Traditional Arabic" w:hAnsi="Traditional Arabic" w:cs="Traditional Arabic"/>
          <w:sz w:val="22"/>
          <w:szCs w:val="22"/>
          <w:rtl/>
        </w:rPr>
        <w:t xml:space="preserve">يونوسات- </w:t>
      </w:r>
      <w:r w:rsidRPr="00B1160A">
        <w:rPr>
          <w:rStyle w:val="preferred"/>
          <w:rFonts w:ascii="Traditional Arabic" w:hAnsi="Traditional Arabic" w:cs="Traditional Arabic"/>
          <w:sz w:val="22"/>
          <w:szCs w:val="22"/>
          <w:rtl/>
        </w:rPr>
        <w:t xml:space="preserve">يونيتار للعديد من الحوادث في عدن، اليمن، 31 كانون الثاني/ يناير 2019. </w:t>
      </w:r>
    </w:p>
  </w:footnote>
  <w:footnote w:id="321">
    <w:p w14:paraId="4151A14E" w14:textId="381D5E2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2">
    <w:p w14:paraId="73A6011A" w14:textId="5C5E4DEA" w:rsidR="00A1624A" w:rsidRPr="00403084" w:rsidRDefault="00A1624A" w:rsidP="00B81240">
      <w:pPr>
        <w:pStyle w:val="FootnoteText"/>
        <w:tabs>
          <w:tab w:val="clear" w:pos="1021"/>
        </w:tabs>
        <w:bidi/>
        <w:ind w:left="851" w:firstLine="0"/>
        <w:jc w:val="both"/>
        <w:rPr>
          <w:rFonts w:asciiTheme="majorBidi" w:hAnsiTheme="majorBidi" w:cstheme="majorBidi"/>
          <w:sz w:val="20"/>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3">
    <w:p w14:paraId="4285457F" w14:textId="3AA07B7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4">
    <w:p w14:paraId="0DC7E724" w14:textId="729FCBC5"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5">
    <w:p w14:paraId="48FB06ED" w14:textId="3DB79243"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6">
    <w:p w14:paraId="61458A70" w14:textId="508660F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7">
    <w:p w14:paraId="43DCCA72" w14:textId="0A88AC52"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8">
    <w:p w14:paraId="084F5680" w14:textId="6ABB6946"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29">
    <w:p w14:paraId="66B6333B" w14:textId="0A1EA4F4"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0">
    <w:p w14:paraId="76D84A41" w14:textId="4A82A571"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1">
    <w:p w14:paraId="62A58810" w14:textId="659D72C9"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2">
    <w:p w14:paraId="0361AFBF" w14:textId="58288417" w:rsidR="00A1624A" w:rsidRPr="00B1160A"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3">
    <w:p w14:paraId="559FF55F" w14:textId="5871330B" w:rsidR="00A1624A" w:rsidRPr="00271038" w:rsidRDefault="00A1624A" w:rsidP="00B81240">
      <w:pPr>
        <w:pStyle w:val="FootnoteText"/>
        <w:tabs>
          <w:tab w:val="clear" w:pos="1021"/>
        </w:tabs>
        <w:bidi/>
        <w:ind w:left="851" w:firstLine="0"/>
        <w:jc w:val="both"/>
        <w:rPr>
          <w:rFonts w:asciiTheme="majorBidi" w:hAnsiTheme="majorBidi" w:cstheme="majorBidi"/>
          <w:szCs w:val="18"/>
          <w:lang w:val="en-US"/>
        </w:rPr>
      </w:pPr>
      <w:r w:rsidRPr="00B1160A">
        <w:rPr>
          <w:rStyle w:val="FootnoteReference"/>
          <w:rFonts w:ascii="Traditional Arabic" w:hAnsi="Traditional Arabic" w:cs="Traditional Arabic"/>
          <w:sz w:val="22"/>
          <w:szCs w:val="22"/>
        </w:rPr>
        <w:footnoteRef/>
      </w:r>
      <w:r w:rsidRPr="00B1160A">
        <w:rPr>
          <w:rFonts w:ascii="Traditional Arabic" w:hAnsi="Traditional Arabic" w:cs="Traditional Arabic"/>
          <w:sz w:val="22"/>
          <w:szCs w:val="22"/>
        </w:rPr>
        <w:t xml:space="preserve"> </w:t>
      </w:r>
      <w:r w:rsidRPr="00B1160A">
        <w:rPr>
          <w:rFonts w:ascii="Traditional Arabic" w:hAnsi="Traditional Arabic" w:cs="Traditional Arabic"/>
          <w:sz w:val="22"/>
          <w:szCs w:val="22"/>
          <w:rtl/>
        </w:rPr>
        <w:t>مصادر سريّة في الملف</w:t>
      </w:r>
      <w:r w:rsidRPr="00B1160A">
        <w:rPr>
          <w:rFonts w:ascii="Traditional Arabic" w:hAnsi="Traditional Arabic" w:cs="Traditional Arabic"/>
          <w:sz w:val="22"/>
          <w:szCs w:val="22"/>
        </w:rPr>
        <w:t>.</w:t>
      </w:r>
    </w:p>
  </w:footnote>
  <w:footnote w:id="334">
    <w:p w14:paraId="7495262F" w14:textId="2CE72D76"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 xml:space="preserve">الموقع: </w:t>
      </w:r>
      <w:r w:rsidRPr="00CF3156">
        <w:rPr>
          <w:rFonts w:ascii="Traditional Arabic" w:hAnsi="Traditional Arabic" w:cs="Traditional Arabic"/>
          <w:sz w:val="22"/>
          <w:szCs w:val="22"/>
        </w:rPr>
        <w:t>13.069222, 42.661138</w:t>
      </w:r>
    </w:p>
  </w:footnote>
  <w:footnote w:id="335">
    <w:p w14:paraId="18E6CFC3" w14:textId="36A57BB5"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lang w:bidi="ar-JO"/>
        </w:rPr>
        <w:t xml:space="preserve">تقرير </w:t>
      </w:r>
      <w:r w:rsidRPr="00CF3156">
        <w:rPr>
          <w:rFonts w:ascii="Traditional Arabic" w:hAnsi="Traditional Arabic" w:cs="Traditional Arabic"/>
          <w:sz w:val="22"/>
          <w:szCs w:val="22"/>
          <w:rtl/>
        </w:rPr>
        <w:t xml:space="preserve">يونوسات- </w:t>
      </w:r>
      <w:r w:rsidRPr="00CF3156">
        <w:rPr>
          <w:rStyle w:val="preferred"/>
          <w:rFonts w:ascii="Traditional Arabic" w:hAnsi="Traditional Arabic" w:cs="Traditional Arabic"/>
          <w:sz w:val="22"/>
          <w:szCs w:val="22"/>
          <w:rtl/>
        </w:rPr>
        <w:t xml:space="preserve">يونيتار 21 آذار/ مارس 2019 في الملف. </w:t>
      </w:r>
    </w:p>
  </w:footnote>
  <w:footnote w:id="336">
    <w:p w14:paraId="69BD3AE3" w14:textId="28D4F3C2"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r w:rsidRPr="00CF3156">
        <w:rPr>
          <w:rFonts w:ascii="Traditional Arabic" w:hAnsi="Traditional Arabic" w:cs="Traditional Arabic"/>
          <w:sz w:val="22"/>
          <w:szCs w:val="22"/>
          <w:rtl/>
        </w:rPr>
        <w:t xml:space="preserve"> الموقع: </w:t>
      </w:r>
      <w:r w:rsidRPr="00CF3156">
        <w:rPr>
          <w:rFonts w:ascii="Traditional Arabic" w:hAnsi="Traditional Arabic" w:cs="Traditional Arabic"/>
          <w:bCs/>
          <w:sz w:val="22"/>
          <w:szCs w:val="22"/>
        </w:rPr>
        <w:t>13.065720187 42.660530913</w:t>
      </w:r>
      <w:r w:rsidRPr="00CF3156">
        <w:rPr>
          <w:rFonts w:ascii="Traditional Arabic" w:hAnsi="Traditional Arabic" w:cs="Traditional Arabic"/>
          <w:bCs/>
          <w:sz w:val="22"/>
          <w:szCs w:val="22"/>
          <w:rtl/>
        </w:rPr>
        <w:t xml:space="preserve">. </w:t>
      </w:r>
    </w:p>
  </w:footnote>
  <w:footnote w:id="337">
    <w:p w14:paraId="7F913705" w14:textId="5B2F72F1"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p>
    <w:p w14:paraId="1B890882" w14:textId="48A22A37" w:rsidR="00A1624A" w:rsidRPr="00CF3156" w:rsidRDefault="00A1624A" w:rsidP="00B81240">
      <w:pPr>
        <w:pStyle w:val="FootnoteText"/>
        <w:tabs>
          <w:tab w:val="clear" w:pos="1021"/>
        </w:tabs>
        <w:bidi/>
        <w:ind w:left="851" w:firstLine="0"/>
        <w:jc w:val="both"/>
        <w:rPr>
          <w:rFonts w:asciiTheme="majorBidi" w:hAnsiTheme="majorBidi" w:cstheme="majorBidi"/>
          <w:sz w:val="20"/>
        </w:rPr>
      </w:pPr>
      <w:r w:rsidRPr="00CF3156">
        <w:rPr>
          <w:rFonts w:asciiTheme="majorBidi" w:hAnsiTheme="majorBidi" w:cstheme="majorBidi"/>
          <w:sz w:val="20"/>
        </w:rPr>
        <w:t>The Washington Institute “Gulf coalition Operations in Yemen” 2016.</w:t>
      </w:r>
    </w:p>
  </w:footnote>
  <w:footnote w:id="338">
    <w:p w14:paraId="7318283C" w14:textId="03FD2AE0"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39">
    <w:p w14:paraId="00CC6ACE" w14:textId="2D0A8530"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40">
    <w:p w14:paraId="3D2A0E9E" w14:textId="51E5B681"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footnote>
  <w:footnote w:id="341">
    <w:p w14:paraId="4B2E555D" w14:textId="4FC525CD" w:rsidR="00A1624A" w:rsidRPr="00CF315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CF3156">
        <w:rPr>
          <w:rFonts w:ascii="Traditional Arabic" w:hAnsi="Traditional Arabic" w:cs="Traditional Arabic"/>
          <w:sz w:val="22"/>
          <w:szCs w:val="22"/>
        </w:rPr>
        <w:t>.</w:t>
      </w:r>
    </w:p>
    <w:p w14:paraId="60CB912A" w14:textId="6B223693" w:rsidR="00A1624A" w:rsidRPr="00B11B62" w:rsidRDefault="00A1624A" w:rsidP="00B81240">
      <w:pPr>
        <w:pStyle w:val="FootnoteText"/>
        <w:tabs>
          <w:tab w:val="clear" w:pos="1021"/>
        </w:tabs>
        <w:bidi/>
        <w:ind w:left="851" w:firstLine="0"/>
        <w:jc w:val="both"/>
        <w:rPr>
          <w:szCs w:val="18"/>
          <w:rtl/>
          <w:lang w:bidi="ar-JO"/>
        </w:rPr>
      </w:pPr>
      <w:r w:rsidRPr="00CF3156">
        <w:rPr>
          <w:rStyle w:val="FootnoteReference"/>
          <w:rFonts w:ascii="Traditional Arabic" w:hAnsi="Traditional Arabic" w:cs="Traditional Arabic"/>
          <w:sz w:val="22"/>
          <w:szCs w:val="22"/>
        </w:rPr>
        <w:footnoteRef/>
      </w:r>
      <w:r w:rsidRPr="00CF3156">
        <w:rPr>
          <w:rFonts w:ascii="Traditional Arabic" w:hAnsi="Traditional Arabic" w:cs="Traditional Arabic"/>
          <w:sz w:val="22"/>
          <w:szCs w:val="22"/>
        </w:rPr>
        <w:t xml:space="preserve"> </w:t>
      </w:r>
      <w:r w:rsidRPr="00CF3156">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342">
    <w:p w14:paraId="67A62B75" w14:textId="693DF8A8" w:rsidR="00A1624A" w:rsidRPr="00CF3156" w:rsidRDefault="00A1624A" w:rsidP="00B81240">
      <w:pPr>
        <w:pStyle w:val="FootnoteText"/>
        <w:tabs>
          <w:tab w:val="clear" w:pos="1021"/>
        </w:tabs>
        <w:bidi/>
        <w:ind w:left="851" w:firstLine="0"/>
        <w:jc w:val="both"/>
        <w:rPr>
          <w:rFonts w:asciiTheme="majorBidi" w:hAnsiTheme="majorBidi" w:cstheme="majorBidi"/>
          <w:sz w:val="20"/>
        </w:rPr>
      </w:pPr>
      <w:r w:rsidRPr="00CF3156">
        <w:rPr>
          <w:rStyle w:val="FootnoteReference"/>
          <w:rFonts w:asciiTheme="majorBidi" w:hAnsiTheme="majorBidi" w:cstheme="majorBidi"/>
          <w:sz w:val="20"/>
        </w:rPr>
        <w:footnoteRef/>
      </w:r>
      <w:r w:rsidRPr="00CF3156">
        <w:rPr>
          <w:rFonts w:asciiTheme="majorBidi" w:hAnsiTheme="majorBidi" w:cstheme="majorBidi"/>
          <w:sz w:val="20"/>
        </w:rPr>
        <w:t xml:space="preserve"> Associated Press “Inside Yemen’s Secret Prisons” 2017.  Human Rights Watch “United Arab Emirates Backs Abusive Local Forces” 2017.</w:t>
      </w:r>
    </w:p>
  </w:footnote>
  <w:footnote w:id="343">
    <w:p w14:paraId="6CDE1DF7" w14:textId="3DC82742" w:rsidR="00A1624A" w:rsidRPr="005C271D" w:rsidRDefault="00A1624A" w:rsidP="00B81240">
      <w:pPr>
        <w:pStyle w:val="FootnoteText"/>
        <w:tabs>
          <w:tab w:val="clear" w:pos="1021"/>
        </w:tabs>
        <w:bidi/>
        <w:ind w:left="851" w:firstLine="0"/>
        <w:jc w:val="both"/>
        <w:rPr>
          <w:sz w:val="20"/>
        </w:rPr>
      </w:pPr>
      <w:r w:rsidRPr="005C271D">
        <w:rPr>
          <w:rStyle w:val="FootnoteReference"/>
          <w:sz w:val="20"/>
        </w:rPr>
        <w:footnoteRef/>
      </w:r>
      <w:r w:rsidRPr="005C271D">
        <w:rPr>
          <w:sz w:val="20"/>
        </w:rPr>
        <w:t xml:space="preserve"> </w:t>
      </w:r>
      <w:r w:rsidRPr="00B40830">
        <w:rPr>
          <w:rFonts w:ascii="Traditional Arabic" w:hAnsi="Traditional Arabic" w:cs="Traditional Arabic"/>
          <w:sz w:val="22"/>
          <w:szCs w:val="22"/>
          <w:rtl/>
        </w:rPr>
        <w:t xml:space="preserve">المادة 9 من </w:t>
      </w:r>
      <w:r w:rsidRPr="00B40830">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B40830">
        <w:rPr>
          <w:rFonts w:ascii="Traditional Arabic" w:hAnsi="Traditional Arabic" w:cs="Traditional Arabic"/>
          <w:sz w:val="22"/>
          <w:szCs w:val="22"/>
          <w:lang w:val="en-US"/>
        </w:rPr>
        <w:t>(CED)</w:t>
      </w:r>
      <w:r w:rsidRPr="00B40830">
        <w:rPr>
          <w:rStyle w:val="preferred"/>
          <w:rFonts w:ascii="Traditional Arabic" w:hAnsi="Traditional Arabic" w:cs="Traditional Arabic"/>
          <w:sz w:val="22"/>
          <w:szCs w:val="22"/>
          <w:rtl/>
        </w:rPr>
        <w:t>، و</w:t>
      </w:r>
      <w:r>
        <w:rPr>
          <w:rStyle w:val="preferred"/>
          <w:rFonts w:ascii="Traditional Arabic" w:hAnsi="Traditional Arabic" w:cs="Traditional Arabic" w:hint="cs"/>
          <w:sz w:val="22"/>
          <w:szCs w:val="22"/>
          <w:rtl/>
        </w:rPr>
        <w:t xml:space="preserve">أنظر </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98</w:t>
      </w:r>
      <w:r>
        <w:rPr>
          <w:rStyle w:val="tlid-translation"/>
          <w:rFonts w:ascii="Traditional Arabic" w:hAnsi="Traditional Arabic" w:cs="Traditional Arabic" w:hint="cs"/>
          <w:sz w:val="22"/>
          <w:szCs w:val="22"/>
          <w:rtl/>
        </w:rPr>
        <w:t>.</w:t>
      </w:r>
    </w:p>
  </w:footnote>
  <w:footnote w:id="344">
    <w:p w14:paraId="20306D3E" w14:textId="29EDE5EE" w:rsidR="00A1624A" w:rsidRPr="003C51DA" w:rsidRDefault="00A1624A" w:rsidP="00B81240">
      <w:pPr>
        <w:pStyle w:val="FootnoteText"/>
        <w:tabs>
          <w:tab w:val="clear" w:pos="1021"/>
        </w:tabs>
        <w:bidi/>
        <w:ind w:left="851" w:firstLine="0"/>
        <w:jc w:val="both"/>
        <w:rPr>
          <w:color w:val="FF0000"/>
          <w:szCs w:val="18"/>
        </w:rPr>
      </w:pPr>
      <w:r w:rsidRPr="006C235D">
        <w:rPr>
          <w:rStyle w:val="FootnoteReference"/>
          <w:sz w:val="20"/>
        </w:rPr>
        <w:footnoteRef/>
      </w:r>
      <w:r w:rsidRPr="006C235D">
        <w:rPr>
          <w:sz w:val="20"/>
        </w:rPr>
        <w:t xml:space="preserve"> </w:t>
      </w:r>
      <w:r w:rsidRPr="00B40830">
        <w:rPr>
          <w:rFonts w:ascii="Traditional Arabic" w:hAnsi="Traditional Arabic" w:cs="Traditional Arabic"/>
          <w:sz w:val="22"/>
          <w:szCs w:val="22"/>
          <w:rtl/>
        </w:rPr>
        <w:t xml:space="preserve">المادة 9 </w:t>
      </w:r>
      <w:r>
        <w:rPr>
          <w:rFonts w:ascii="Traditional Arabic" w:hAnsi="Traditional Arabic" w:cs="Traditional Arabic" w:hint="cs"/>
          <w:sz w:val="22"/>
          <w:szCs w:val="22"/>
          <w:rtl/>
        </w:rPr>
        <w:t xml:space="preserve">و14 </w:t>
      </w:r>
      <w:r w:rsidRPr="00B40830">
        <w:rPr>
          <w:rFonts w:ascii="Traditional Arabic" w:hAnsi="Traditional Arabic" w:cs="Traditional Arabic"/>
          <w:sz w:val="22"/>
          <w:szCs w:val="22"/>
          <w:rtl/>
        </w:rPr>
        <w:t xml:space="preserve">من </w:t>
      </w:r>
      <w:r w:rsidRPr="00B40830">
        <w:rPr>
          <w:rStyle w:val="preferred"/>
          <w:rFonts w:ascii="Traditional Arabic" w:hAnsi="Traditional Arabic" w:cs="Traditional Arabic"/>
          <w:sz w:val="22"/>
          <w:szCs w:val="22"/>
          <w:rtl/>
        </w:rPr>
        <w:t>العهد الدولي الخاص بالحقوق المدنية والسياسية</w:t>
      </w:r>
      <w:r>
        <w:rPr>
          <w:rStyle w:val="preferred"/>
          <w:rFonts w:ascii="Traditional Arabic" w:hAnsi="Traditional Arabic" w:cs="Traditional Arabic" w:hint="cs"/>
          <w:sz w:val="22"/>
          <w:szCs w:val="22"/>
          <w:rtl/>
        </w:rPr>
        <w:t>،</w:t>
      </w:r>
      <w:r w:rsidRPr="00B40830">
        <w:rPr>
          <w:rStyle w:val="preferred"/>
          <w:rFonts w:ascii="Traditional Arabic" w:hAnsi="Traditional Arabic" w:cs="Traditional Arabic"/>
          <w:sz w:val="22"/>
          <w:szCs w:val="22"/>
          <w:rtl/>
        </w:rPr>
        <w:t xml:space="preserve"> والمادة</w:t>
      </w:r>
      <w:r>
        <w:rPr>
          <w:rStyle w:val="preferred"/>
          <w:rFonts w:ascii="Traditional Arabic" w:hAnsi="Traditional Arabic" w:cs="Traditional Arabic" w:hint="cs"/>
          <w:sz w:val="22"/>
          <w:szCs w:val="22"/>
          <w:rtl/>
        </w:rPr>
        <w:t xml:space="preserve"> 3 المشتركة من اتفاقيات جنيف والمادة 4 من </w:t>
      </w:r>
      <w:r w:rsidRPr="0096042B">
        <w:rPr>
          <w:rFonts w:ascii="Traditional Arabic" w:hAnsi="Traditional Arabic" w:cs="Traditional Arabic"/>
          <w:sz w:val="22"/>
          <w:szCs w:val="22"/>
          <w:rtl/>
          <w:lang w:bidi="ar-JO"/>
        </w:rPr>
        <w:t>البروتوكول الإضافي الثاني</w:t>
      </w:r>
      <w:r w:rsidRPr="00B40830">
        <w:rPr>
          <w:rStyle w:val="preferred"/>
          <w:rFonts w:ascii="Traditional Arabic" w:hAnsi="Traditional Arabic" w:cs="Traditional Arabic"/>
          <w:sz w:val="22"/>
          <w:szCs w:val="22"/>
          <w:rtl/>
        </w:rPr>
        <w:t>، و</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w:t>
      </w:r>
      <w:r>
        <w:rPr>
          <w:rStyle w:val="tlid-translation"/>
          <w:rFonts w:ascii="Traditional Arabic" w:hAnsi="Traditional Arabic" w:cs="Traditional Arabic" w:hint="cs"/>
          <w:sz w:val="22"/>
          <w:szCs w:val="22"/>
          <w:rtl/>
        </w:rPr>
        <w:t xml:space="preserve">9. </w:t>
      </w:r>
    </w:p>
  </w:footnote>
  <w:footnote w:id="345">
    <w:p w14:paraId="16C8D75D" w14:textId="7F85DAE0" w:rsidR="00A1624A" w:rsidRDefault="00A1624A" w:rsidP="00B81240">
      <w:pPr>
        <w:pStyle w:val="FootnoteText"/>
        <w:tabs>
          <w:tab w:val="clear" w:pos="1021"/>
        </w:tabs>
        <w:bidi/>
        <w:ind w:left="851" w:firstLine="0"/>
        <w:jc w:val="both"/>
        <w:rPr>
          <w:szCs w:val="18"/>
          <w:rtl/>
          <w:lang w:bidi="ar-JO"/>
        </w:rPr>
      </w:pPr>
      <w:r>
        <w:rPr>
          <w:rStyle w:val="FootnoteReference"/>
          <w:szCs w:val="18"/>
        </w:rPr>
        <w:footnoteRef/>
      </w:r>
      <w:r>
        <w:rPr>
          <w:szCs w:val="18"/>
        </w:rPr>
        <w:tab/>
      </w:r>
      <w:r w:rsidRPr="005C271D">
        <w:rPr>
          <w:rFonts w:ascii="Traditional Arabic" w:hAnsi="Traditional Arabic" w:cs="Traditional Arabic"/>
          <w:sz w:val="22"/>
          <w:szCs w:val="22"/>
          <w:rtl/>
        </w:rPr>
        <w:t xml:space="preserve">المادة 9 و14 من </w:t>
      </w:r>
      <w:r w:rsidRPr="005C271D">
        <w:rPr>
          <w:rStyle w:val="preferred"/>
          <w:rFonts w:ascii="Traditional Arabic" w:hAnsi="Traditional Arabic" w:cs="Traditional Arabic"/>
          <w:sz w:val="22"/>
          <w:szCs w:val="22"/>
          <w:rtl/>
        </w:rPr>
        <w:t xml:space="preserve">العهد الدولي الخاص بالحقوق المدنية والسياسية، أنظر أيضًا التعليق العام للجنة المعنية بحقوق الإنسان رقم 35 (2011) حول حرية وأمان الأشخاص. مجموعة المبادىء المتعلقة بحماية جميع الأشخاص الذين يتعرضون لأي شكل من أشكال الاحتجاز أو السجن </w:t>
      </w:r>
      <w:r w:rsidRPr="005C271D">
        <w:rPr>
          <w:rFonts w:ascii="Traditional Arabic" w:hAnsi="Traditional Arabic" w:cs="Traditional Arabic"/>
          <w:sz w:val="22"/>
          <w:szCs w:val="22"/>
        </w:rPr>
        <w:t xml:space="preserve"> (A/RES/43/173)</w:t>
      </w:r>
      <w:r w:rsidRPr="005C271D">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C271D">
        <w:rPr>
          <w:rStyle w:val="tlid-translation"/>
          <w:rFonts w:ascii="Traditional Arabic" w:hAnsi="Traditional Arabic" w:cs="Traditional Arabic"/>
          <w:sz w:val="22"/>
          <w:szCs w:val="22"/>
          <w:rtl/>
        </w:rPr>
        <w:t>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w:t>
      </w:r>
    </w:p>
    <w:p w14:paraId="7CDB9533" w14:textId="6F5D67B6" w:rsidR="00A1624A" w:rsidRPr="005C271D" w:rsidRDefault="00A1624A" w:rsidP="00B81240">
      <w:pPr>
        <w:pStyle w:val="FootnoteText"/>
        <w:tabs>
          <w:tab w:val="clear" w:pos="1021"/>
        </w:tabs>
        <w:bidi/>
        <w:ind w:left="851" w:firstLine="0"/>
        <w:jc w:val="both"/>
        <w:rPr>
          <w:sz w:val="20"/>
        </w:rPr>
      </w:pPr>
      <w:r w:rsidRPr="005C271D">
        <w:rPr>
          <w:sz w:val="20"/>
        </w:rPr>
        <w:t xml:space="preserve"> (see Methods of work of the Working Group on Arbitrary Detention, A/HRC/36/38). </w:t>
      </w:r>
    </w:p>
  </w:footnote>
  <w:footnote w:id="346">
    <w:p w14:paraId="0EF7AFC7" w14:textId="6A8F970E" w:rsidR="00A1624A" w:rsidRPr="005C271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C271D">
        <w:rPr>
          <w:rStyle w:val="FootnoteReference"/>
          <w:rFonts w:ascii="Traditional Arabic" w:hAnsi="Traditional Arabic" w:cs="Traditional Arabic"/>
          <w:sz w:val="22"/>
          <w:szCs w:val="22"/>
        </w:rPr>
        <w:footnoteRef/>
      </w:r>
      <w:r w:rsidRPr="005C271D">
        <w:rPr>
          <w:rFonts w:ascii="Traditional Arabic" w:hAnsi="Traditional Arabic" w:cs="Traditional Arabic"/>
          <w:sz w:val="22"/>
          <w:szCs w:val="22"/>
        </w:rPr>
        <w:t xml:space="preserve"> </w:t>
      </w:r>
      <w:r w:rsidRPr="005C271D">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100</w:t>
      </w:r>
    </w:p>
  </w:footnote>
  <w:footnote w:id="347">
    <w:p w14:paraId="4F1F2EA6" w14:textId="5ADD4F6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7، </w:t>
      </w:r>
      <w:r w:rsidRPr="00B350A5">
        <w:rPr>
          <w:rStyle w:val="preferred"/>
          <w:rFonts w:ascii="Traditional Arabic" w:hAnsi="Traditional Arabic" w:cs="Traditional Arabic"/>
          <w:sz w:val="22"/>
          <w:szCs w:val="22"/>
          <w:rtl/>
        </w:rPr>
        <w:t xml:space="preserve">العهد الدولي للحقوق المدنية والسياسية، أنظر </w:t>
      </w:r>
      <w:r w:rsidRPr="00B350A5">
        <w:rPr>
          <w:rStyle w:val="preferred"/>
          <w:rFonts w:ascii="Traditional Arabic" w:hAnsi="Traditional Arabic" w:cs="Traditional Arabic"/>
          <w:sz w:val="22"/>
          <w:szCs w:val="22"/>
          <w:cs/>
        </w:rPr>
        <w:t>‎‎</w:t>
      </w:r>
      <w:r w:rsidRPr="00B350A5">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معاهدة جنيف، الفقرة 4، </w:t>
      </w:r>
      <w:r w:rsidRPr="00B350A5">
        <w:rPr>
          <w:rFonts w:ascii="Traditional Arabic" w:hAnsi="Traditional Arabic" w:cs="Traditional Arabic"/>
          <w:sz w:val="22"/>
          <w:szCs w:val="22"/>
          <w:rtl/>
        </w:rPr>
        <w:t xml:space="preserve">البروتوكول الإضافي الثاني، </w:t>
      </w:r>
      <w:r w:rsidRPr="00B350A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90</w:t>
      </w:r>
      <w:r w:rsidRPr="00B350A5">
        <w:rPr>
          <w:rStyle w:val="preferred"/>
          <w:rFonts w:ascii="Traditional Arabic" w:hAnsi="Traditional Arabic" w:cs="Traditional Arabic"/>
          <w:sz w:val="22"/>
          <w:szCs w:val="22"/>
          <w:rtl/>
        </w:rPr>
        <w:t xml:space="preserve">، أنظر الفقرة 8 2 </w:t>
      </w:r>
      <w:r w:rsidRPr="00B350A5">
        <w:rPr>
          <w:rFonts w:ascii="Traditional Arabic" w:hAnsi="Traditional Arabic" w:cs="Traditional Arabic"/>
          <w:sz w:val="22"/>
          <w:szCs w:val="22"/>
          <w:rtl/>
        </w:rPr>
        <w:t xml:space="preserve"> </w:t>
      </w:r>
      <w:r w:rsidRPr="00B350A5">
        <w:rPr>
          <w:rFonts w:ascii="Traditional Arabic" w:hAnsi="Traditional Arabic" w:cs="Traditional Arabic"/>
          <w:sz w:val="22"/>
          <w:szCs w:val="22"/>
        </w:rPr>
        <w:t>(c)(i) and (ii)</w:t>
      </w:r>
      <w:r w:rsidRPr="00B350A5">
        <w:rPr>
          <w:rFonts w:ascii="Traditional Arabic" w:hAnsi="Traditional Arabic" w:cs="Traditional Arabic"/>
          <w:sz w:val="22"/>
          <w:szCs w:val="22"/>
          <w:rtl/>
        </w:rPr>
        <w:t xml:space="preserve"> </w:t>
      </w:r>
      <w:r w:rsidRPr="00B350A5">
        <w:rPr>
          <w:rStyle w:val="ar"/>
          <w:rFonts w:ascii="Traditional Arabic" w:hAnsi="Traditional Arabic" w:cs="Traditional Arabic"/>
          <w:sz w:val="22"/>
          <w:szCs w:val="22"/>
          <w:rtl/>
        </w:rPr>
        <w:t>نظام روما الأساسي.</w:t>
      </w:r>
    </w:p>
  </w:footnote>
  <w:footnote w:id="348">
    <w:p w14:paraId="7A4D6979" w14:textId="4B0F3EB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7، </w:t>
      </w:r>
      <w:r w:rsidRPr="00B350A5">
        <w:rPr>
          <w:rStyle w:val="preferred"/>
          <w:rFonts w:ascii="Traditional Arabic" w:hAnsi="Traditional Arabic" w:cs="Traditional Arabic"/>
          <w:sz w:val="22"/>
          <w:szCs w:val="22"/>
          <w:rtl/>
        </w:rPr>
        <w:t xml:space="preserve">العهد الدولي للحقوق المدنية والسياسية، الفقرة 3 المشتركة في معاهدة جنيف، الفقرة 4، </w:t>
      </w:r>
      <w:r w:rsidRPr="00B350A5">
        <w:rPr>
          <w:rFonts w:ascii="Traditional Arabic" w:hAnsi="Traditional Arabic" w:cs="Traditional Arabic"/>
          <w:sz w:val="22"/>
          <w:szCs w:val="22"/>
          <w:rtl/>
        </w:rPr>
        <w:t xml:space="preserve">البروتوكول الإضافي الثاني، </w:t>
      </w:r>
      <w:r w:rsidRPr="00B350A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93. </w:t>
      </w:r>
    </w:p>
  </w:footnote>
  <w:footnote w:id="349">
    <w:p w14:paraId="7961D805" w14:textId="47C85EAE" w:rsidR="00A1624A" w:rsidRPr="008B187E" w:rsidRDefault="00A1624A" w:rsidP="00B81240">
      <w:pPr>
        <w:pStyle w:val="FootnoteText"/>
        <w:tabs>
          <w:tab w:val="clear" w:pos="1021"/>
        </w:tabs>
        <w:bidi/>
        <w:ind w:left="851" w:firstLine="0"/>
        <w:jc w:val="both"/>
        <w:rPr>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الفقرة </w:t>
      </w:r>
      <w:r w:rsidRPr="00B350A5">
        <w:rPr>
          <w:rFonts w:ascii="Traditional Arabic" w:hAnsi="Traditional Arabic" w:cs="Traditional Arabic"/>
          <w:sz w:val="22"/>
          <w:szCs w:val="22"/>
        </w:rPr>
        <w:t>8 2.(e)(vi)</w:t>
      </w:r>
      <w:r w:rsidRPr="00B350A5">
        <w:rPr>
          <w:rFonts w:ascii="Traditional Arabic" w:hAnsi="Traditional Arabic" w:cs="Traditional Arabic"/>
          <w:sz w:val="22"/>
          <w:szCs w:val="22"/>
          <w:rtl/>
        </w:rPr>
        <w:t xml:space="preserve"> </w:t>
      </w:r>
      <w:r w:rsidRPr="00B350A5">
        <w:rPr>
          <w:rStyle w:val="ar"/>
          <w:rFonts w:ascii="Traditional Arabic" w:hAnsi="Traditional Arabic" w:cs="Traditional Arabic"/>
          <w:sz w:val="22"/>
          <w:szCs w:val="22"/>
          <w:rtl/>
        </w:rPr>
        <w:t>نظام روما الأساسي</w:t>
      </w:r>
    </w:p>
  </w:footnote>
  <w:footnote w:id="350">
    <w:p w14:paraId="7D6088D5" w14:textId="12FE004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 xml:space="preserve">أجرى فريق الخبراء 48 مقابلة، 33 منها مع ضحايا وشهود، كما تحقق من 8 مصادر ثانوية وقابل 3 شهود كانوا أعضاء سابقين في الحزام الأمني أو المقاومة والذين حاولت الإمارات العربية المتحدة الضغط عليهم للقيام بعمليات اغتيال لصالحها، كما أجرى فريق الخبراء مقابلات مع 5 ضحايا تم تهديدهم بالقتل من الأطراف المعنية. تحقق فريق الخبراء من 78 دليلًا منفصلًا تضمنت الموقع </w:t>
      </w:r>
      <w:r w:rsidRPr="00B350A5">
        <w:rPr>
          <w:rStyle w:val="tlid-translation"/>
          <w:rFonts w:ascii="Traditional Arabic" w:hAnsi="Traditional Arabic" w:cs="Traditional Arabic"/>
          <w:sz w:val="22"/>
          <w:szCs w:val="22"/>
          <w:rtl/>
        </w:rPr>
        <w:t>وأدلة فوتوغرافية ووثائق بالإضافة إلى مواد مفتوحة المصدر وتقارير وفيديوهات وتسجيلات وكتابات وأيضً</w:t>
      </w:r>
      <w:r>
        <w:rPr>
          <w:rStyle w:val="tlid-translation"/>
          <w:rFonts w:ascii="Traditional Arabic" w:hAnsi="Traditional Arabic" w:cs="Traditional Arabic" w:hint="cs"/>
          <w:sz w:val="22"/>
          <w:szCs w:val="22"/>
          <w:rtl/>
        </w:rPr>
        <w:t>ا</w:t>
      </w:r>
      <w:r w:rsidRPr="00B350A5">
        <w:rPr>
          <w:rStyle w:val="tlid-translation"/>
          <w:rFonts w:ascii="Traditional Arabic" w:hAnsi="Traditional Arabic" w:cs="Traditional Arabic"/>
          <w:sz w:val="22"/>
          <w:szCs w:val="22"/>
          <w:rtl/>
        </w:rPr>
        <w:t xml:space="preserve"> تسجيلات الفيديو للبيانات العامة ذات الصلة والبيانات العامة الأخرى المكتوبة التي أدلى بها المجلس الانتقالي الجنوبي وقيادة الحزام الأمني.</w:t>
      </w:r>
      <w:r w:rsidRPr="00B350A5">
        <w:rPr>
          <w:rStyle w:val="tlid-translation"/>
          <w:rFonts w:ascii="Traditional Arabic" w:hAnsi="Traditional Arabic" w:cs="Traditional Arabic"/>
          <w:sz w:val="22"/>
          <w:szCs w:val="22"/>
          <w:lang w:bidi="ar"/>
        </w:rPr>
        <w:t xml:space="preserve"> </w:t>
      </w:r>
      <w:r w:rsidRPr="00B350A5">
        <w:rPr>
          <w:rStyle w:val="tlid-translation"/>
          <w:rFonts w:ascii="Traditional Arabic" w:hAnsi="Traditional Arabic" w:cs="Traditional Arabic"/>
          <w:sz w:val="22"/>
          <w:szCs w:val="22"/>
          <w:rtl/>
        </w:rPr>
        <w:t>كما تلقى الفريق أدلة على عدد من محاولات الاغتيالات والتهديدات</w:t>
      </w:r>
      <w:r w:rsidRPr="00B350A5">
        <w:rPr>
          <w:rStyle w:val="tlid-translation"/>
          <w:rFonts w:ascii="Traditional Arabic" w:hAnsi="Traditional Arabic" w:cs="Traditional Arabic"/>
          <w:sz w:val="22"/>
          <w:szCs w:val="22"/>
          <w:lang w:bidi="ar"/>
        </w:rPr>
        <w:t>.</w:t>
      </w:r>
    </w:p>
  </w:footnote>
  <w:footnote w:id="351">
    <w:p w14:paraId="188C20D8" w14:textId="251751AF"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2">
    <w:p w14:paraId="6D8E72E2" w14:textId="4C33EF2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3">
    <w:p w14:paraId="26CD7F16" w14:textId="567A77E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4">
    <w:p w14:paraId="359C13AB" w14:textId="34A03E4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r w:rsidRPr="00B350A5">
        <w:rPr>
          <w:rFonts w:ascii="Traditional Arabic" w:hAnsi="Traditional Arabic" w:cs="Traditional Arabic"/>
          <w:sz w:val="22"/>
          <w:szCs w:val="22"/>
          <w:rtl/>
        </w:rPr>
        <w:t xml:space="preserve"> تقرير مفصل في الملف. </w:t>
      </w:r>
    </w:p>
  </w:footnote>
  <w:footnote w:id="355">
    <w:p w14:paraId="08B089EF" w14:textId="20085D5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56">
    <w:p w14:paraId="69599A72" w14:textId="75B773A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7">
    <w:p w14:paraId="145D386F" w14:textId="2EED296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58">
    <w:p w14:paraId="061A4C93" w14:textId="49E9AB4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59">
    <w:p w14:paraId="5EF3D92A" w14:textId="026D0424"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60">
    <w:p w14:paraId="1F4B226B" w14:textId="35044BB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61">
    <w:p w14:paraId="7901FB1F" w14:textId="167BA6B5"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2">
    <w:p w14:paraId="5DBD8DA2" w14:textId="4FAE51D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3">
    <w:p w14:paraId="1C02FC65" w14:textId="17FBAEF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r w:rsidRPr="00B350A5">
        <w:rPr>
          <w:rFonts w:ascii="Traditional Arabic" w:hAnsi="Traditional Arabic" w:cs="Traditional Arabic"/>
          <w:sz w:val="22"/>
          <w:szCs w:val="22"/>
          <w:rtl/>
        </w:rPr>
        <w:t xml:space="preserve"> أنظر أيضًا: </w:t>
      </w:r>
    </w:p>
    <w:p w14:paraId="4BEF6348" w14:textId="3B73D7E0"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sidRPr="00D654DF">
        <w:rPr>
          <w:rFonts w:asciiTheme="majorBidi" w:hAnsiTheme="majorBidi" w:cstheme="majorBidi"/>
          <w:szCs w:val="18"/>
        </w:rPr>
        <w:t>https://www.washingtonpost.com/world/middle_east/who-is-killing-yemens-clerics-mystery-murders-are-sending-a-chill-through-the-mosques/2018/08/27/10b7da3c-ce0f-49e2-ad8e-d4adf05ef885_story.html?noredirect=on</w:t>
      </w:r>
    </w:p>
  </w:footnote>
  <w:footnote w:id="364">
    <w:p w14:paraId="39C09C6B" w14:textId="48247D00"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5">
    <w:p w14:paraId="2D3D97DA" w14:textId="387D2A43"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6">
    <w:p w14:paraId="2EF75E03" w14:textId="51D5B918"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7">
    <w:p w14:paraId="62DE6E6E" w14:textId="33401DDB"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8">
    <w:p w14:paraId="0A3F6DE5" w14:textId="317CCE7D" w:rsidR="00A1624A" w:rsidRPr="00D654DF" w:rsidRDefault="00A1624A" w:rsidP="00B81240">
      <w:pPr>
        <w:pStyle w:val="FootnoteText"/>
        <w:tabs>
          <w:tab w:val="clear" w:pos="1021"/>
        </w:tabs>
        <w:bidi/>
        <w:ind w:left="851" w:firstLine="0"/>
        <w:jc w:val="both"/>
        <w:rPr>
          <w:rFonts w:asciiTheme="majorBidi" w:hAnsiTheme="majorBidi" w:cstheme="majorBidi"/>
          <w:szCs w:val="18"/>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69">
    <w:p w14:paraId="3E67AE4D" w14:textId="3CDDCFE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70">
    <w:p w14:paraId="2A969E16" w14:textId="7175F13C"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تقرير مفصل في الملف.</w:t>
      </w:r>
    </w:p>
  </w:footnote>
  <w:footnote w:id="371">
    <w:p w14:paraId="6F3B6ADC" w14:textId="100E11B2"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72">
    <w:p w14:paraId="557F74F4" w14:textId="4E038D89" w:rsidR="00A1624A" w:rsidRPr="00B67CA3" w:rsidRDefault="00A1624A" w:rsidP="00B81240">
      <w:pPr>
        <w:pStyle w:val="FootnoteText"/>
        <w:tabs>
          <w:tab w:val="clear" w:pos="1021"/>
        </w:tabs>
        <w:bidi/>
        <w:ind w:left="851" w:firstLine="0"/>
        <w:jc w:val="both"/>
        <w:rPr>
          <w:rFonts w:asciiTheme="majorBidi" w:hAnsiTheme="majorBidi" w:cstheme="majorBidi"/>
          <w:sz w:val="20"/>
          <w:lang w:val="en-US"/>
        </w:rPr>
      </w:pPr>
      <w:r w:rsidRPr="00B67CA3">
        <w:rPr>
          <w:rStyle w:val="FootnoteReference"/>
          <w:rFonts w:asciiTheme="majorBidi" w:hAnsiTheme="majorBidi" w:cstheme="majorBidi"/>
          <w:sz w:val="20"/>
        </w:rPr>
        <w:footnoteRef/>
      </w:r>
      <w:r w:rsidRPr="00B67CA3">
        <w:rPr>
          <w:rFonts w:asciiTheme="majorBidi" w:hAnsiTheme="majorBidi" w:cstheme="majorBidi"/>
          <w:sz w:val="20"/>
        </w:rPr>
        <w:t>https://twitter.com/saleh_binali/status/1150776072499290113/photo/1; https://almasdaronline.com/articles/169695</w:t>
      </w:r>
    </w:p>
  </w:footnote>
  <w:footnote w:id="373">
    <w:p w14:paraId="15B69860" w14:textId="65FB7B66" w:rsidR="00A1624A" w:rsidRPr="00B350A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350A5">
        <w:rPr>
          <w:rStyle w:val="FootnoteReference"/>
          <w:rFonts w:ascii="Traditional Arabic" w:hAnsi="Traditional Arabic" w:cs="Traditional Arabic"/>
          <w:sz w:val="22"/>
          <w:szCs w:val="22"/>
        </w:rPr>
        <w:footnoteRef/>
      </w:r>
      <w:r w:rsidRPr="00B350A5">
        <w:rPr>
          <w:rFonts w:ascii="Traditional Arabic" w:hAnsi="Traditional Arabic" w:cs="Traditional Arabic"/>
          <w:sz w:val="22"/>
          <w:szCs w:val="22"/>
          <w:rtl/>
          <w:lang w:val="en-US"/>
        </w:rPr>
        <w:t xml:space="preserve"> </w:t>
      </w:r>
      <w:r w:rsidRPr="00B350A5">
        <w:rPr>
          <w:rFonts w:ascii="Traditional Arabic" w:hAnsi="Traditional Arabic" w:cs="Traditional Arabic"/>
          <w:sz w:val="22"/>
          <w:szCs w:val="22"/>
          <w:rtl/>
        </w:rPr>
        <w:t>مصادر سريّة في الملف</w:t>
      </w:r>
      <w:r w:rsidRPr="00B350A5">
        <w:rPr>
          <w:rFonts w:ascii="Traditional Arabic" w:hAnsi="Traditional Arabic" w:cs="Traditional Arabic"/>
          <w:sz w:val="22"/>
          <w:szCs w:val="22"/>
        </w:rPr>
        <w:t>.</w:t>
      </w:r>
    </w:p>
  </w:footnote>
  <w:footnote w:id="374">
    <w:p w14:paraId="1900454A" w14:textId="6604947C"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5">
    <w:p w14:paraId="62A0D220" w14:textId="65B4BE52"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6">
    <w:p w14:paraId="48C876C4" w14:textId="189A34C8"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7">
    <w:p w14:paraId="4D812AD3" w14:textId="1F6F59BD"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8">
    <w:p w14:paraId="6F54B086" w14:textId="21992A32"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79">
    <w:p w14:paraId="1F04F6A6" w14:textId="51C94700"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0">
    <w:p w14:paraId="4DAABB5B" w14:textId="58CE0243"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1">
    <w:p w14:paraId="1BBE84F7" w14:textId="36BC0915"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2">
    <w:p w14:paraId="76FFC760" w14:textId="190F1B61"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3">
    <w:p w14:paraId="4D90B14C" w14:textId="6BC44C9C"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4">
    <w:p w14:paraId="055349B9" w14:textId="733BCF30"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5">
    <w:p w14:paraId="57B7879E" w14:textId="4231DB9F"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6">
    <w:p w14:paraId="6F9040F4" w14:textId="77777777" w:rsidR="00A1624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r w:rsidRPr="0063010B">
        <w:rPr>
          <w:rFonts w:ascii="Traditional Arabic" w:hAnsi="Traditional Arabic" w:cs="Traditional Arabic"/>
          <w:sz w:val="22"/>
          <w:szCs w:val="22"/>
          <w:rtl/>
        </w:rPr>
        <w:t xml:space="preserve"> أنظر أيضًا</w:t>
      </w:r>
    </w:p>
    <w:p w14:paraId="36DA8E7E" w14:textId="3CC869D1" w:rsidR="00A1624A" w:rsidRPr="00D654DF" w:rsidRDefault="00A1624A" w:rsidP="00B81240">
      <w:pPr>
        <w:pStyle w:val="FootnoteText"/>
        <w:tabs>
          <w:tab w:val="clear" w:pos="1021"/>
        </w:tabs>
        <w:bidi/>
        <w:ind w:left="851" w:firstLine="0"/>
        <w:jc w:val="both"/>
        <w:rPr>
          <w:rFonts w:asciiTheme="majorBidi" w:hAnsiTheme="majorBidi" w:cstheme="majorBidi"/>
          <w:szCs w:val="18"/>
          <w:lang w:val="en-US"/>
        </w:rPr>
      </w:pPr>
      <w:r>
        <w:rPr>
          <w:rFonts w:asciiTheme="majorBidi" w:hAnsiTheme="majorBidi" w:cstheme="majorBidi" w:hint="cs"/>
          <w:sz w:val="20"/>
          <w:rtl/>
        </w:rPr>
        <w:t xml:space="preserve"> </w:t>
      </w:r>
      <w:r w:rsidRPr="00D654DF">
        <w:rPr>
          <w:rFonts w:asciiTheme="majorBidi" w:hAnsiTheme="majorBidi" w:cstheme="majorBidi"/>
          <w:szCs w:val="18"/>
        </w:rPr>
        <w:t>https://sanaacenter.org/publ</w:t>
      </w:r>
      <w:r>
        <w:rPr>
          <w:rFonts w:asciiTheme="majorBidi" w:hAnsiTheme="majorBidi" w:cstheme="majorBidi"/>
          <w:szCs w:val="18"/>
        </w:rPr>
        <w:t xml:space="preserve">ications/the-yemen-review/6620 </w:t>
      </w:r>
      <w:r w:rsidRPr="00D654DF">
        <w:rPr>
          <w:rFonts w:asciiTheme="majorBidi" w:hAnsiTheme="majorBidi" w:cstheme="majorBidi"/>
          <w:szCs w:val="18"/>
        </w:rPr>
        <w:t xml:space="preserve">https://apnews.com/cb514ded6f284e81b3776575db3ebcd2.  </w:t>
      </w:r>
      <w:hyperlink r:id="rId26" w:history="1">
        <w:r w:rsidRPr="00612227">
          <w:rPr>
            <w:rStyle w:val="Hyperlink"/>
            <w:rFonts w:asciiTheme="majorBidi" w:hAnsiTheme="majorBidi" w:cstheme="majorBidi"/>
            <w:szCs w:val="18"/>
          </w:rPr>
          <w:t>https://www.middleeastmonitor.com/20171028-yemeni-salafist-imam-killed-in-aden/</w:t>
        </w:r>
      </w:hyperlink>
      <w:r w:rsidRPr="00612227">
        <w:rPr>
          <w:rFonts w:asciiTheme="majorBidi" w:hAnsiTheme="majorBidi" w:cstheme="majorBidi"/>
          <w:szCs w:val="18"/>
        </w:rPr>
        <w:t xml:space="preserve"> </w:t>
      </w:r>
      <w:r w:rsidRPr="00D654DF">
        <w:rPr>
          <w:rFonts w:asciiTheme="majorBidi" w:hAnsiTheme="majorBidi" w:cstheme="majorBidi"/>
          <w:szCs w:val="18"/>
        </w:rPr>
        <w:t xml:space="preserve"> </w:t>
      </w:r>
    </w:p>
  </w:footnote>
  <w:footnote w:id="387">
    <w:p w14:paraId="7999464C" w14:textId="05768D1D"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8">
    <w:p w14:paraId="082AB93D" w14:textId="4E3E16BA" w:rsidR="00A1624A" w:rsidRPr="0063010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89">
    <w:p w14:paraId="6A1114BA" w14:textId="6F3521FB" w:rsidR="00A1624A" w:rsidRPr="002765F5" w:rsidRDefault="00A1624A" w:rsidP="00B81240">
      <w:pPr>
        <w:pStyle w:val="FootnoteText"/>
        <w:tabs>
          <w:tab w:val="clear" w:pos="1021"/>
        </w:tabs>
        <w:bidi/>
        <w:ind w:left="851" w:firstLine="0"/>
        <w:jc w:val="both"/>
        <w:rPr>
          <w:rFonts w:asciiTheme="majorBidi" w:hAnsiTheme="majorBidi" w:cstheme="majorBidi"/>
          <w:sz w:val="20"/>
        </w:rPr>
      </w:pPr>
      <w:r w:rsidRPr="0063010B">
        <w:rPr>
          <w:rStyle w:val="FootnoteReference"/>
          <w:rFonts w:ascii="Traditional Arabic" w:hAnsi="Traditional Arabic" w:cs="Traditional Arabic"/>
          <w:sz w:val="22"/>
          <w:szCs w:val="22"/>
        </w:rPr>
        <w:footnoteRef/>
      </w:r>
      <w:r w:rsidRPr="0063010B">
        <w:rPr>
          <w:rFonts w:ascii="Traditional Arabic" w:hAnsi="Traditional Arabic" w:cs="Traditional Arabic"/>
          <w:sz w:val="22"/>
          <w:szCs w:val="22"/>
        </w:rPr>
        <w:t xml:space="preserve"> </w:t>
      </w:r>
      <w:r w:rsidRPr="0063010B">
        <w:rPr>
          <w:rFonts w:ascii="Traditional Arabic" w:hAnsi="Traditional Arabic" w:cs="Traditional Arabic"/>
          <w:sz w:val="22"/>
          <w:szCs w:val="22"/>
          <w:rtl/>
        </w:rPr>
        <w:t>مصادر سريّة في الملف</w:t>
      </w:r>
      <w:r w:rsidRPr="0063010B">
        <w:rPr>
          <w:rFonts w:ascii="Traditional Arabic" w:hAnsi="Traditional Arabic" w:cs="Traditional Arabic"/>
          <w:sz w:val="22"/>
          <w:szCs w:val="22"/>
        </w:rPr>
        <w:t>.</w:t>
      </w:r>
    </w:p>
  </w:footnote>
  <w:footnote w:id="390">
    <w:p w14:paraId="2C550CEC" w14:textId="4EC5F178"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1">
    <w:p w14:paraId="55DD7C0B" w14:textId="747FE54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أنظر على سبيل المثال الحالة 2 أدناه.</w:t>
      </w:r>
    </w:p>
  </w:footnote>
  <w:footnote w:id="392">
    <w:p w14:paraId="2CECA8AF" w14:textId="6A157DAF"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3">
    <w:p w14:paraId="0E1010A0" w14:textId="7506D2B2"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4">
    <w:p w14:paraId="195A95CE" w14:textId="4FE5FBCE"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5">
    <w:p w14:paraId="4331C4D8" w14:textId="56BE438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6">
    <w:p w14:paraId="67597778" w14:textId="53B35A52" w:rsidR="00A1624A" w:rsidRPr="00D654DF" w:rsidRDefault="00A1624A" w:rsidP="00B81240">
      <w:pPr>
        <w:pStyle w:val="FootnoteText"/>
        <w:tabs>
          <w:tab w:val="clear" w:pos="1021"/>
        </w:tabs>
        <w:bidi/>
        <w:ind w:left="851" w:firstLine="0"/>
        <w:jc w:val="both"/>
        <w:rPr>
          <w:rFonts w:asciiTheme="majorBidi" w:hAnsiTheme="majorBidi" w:cstheme="majorBidi"/>
          <w:szCs w:val="18"/>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7">
    <w:p w14:paraId="6E493119" w14:textId="496613A0"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8">
    <w:p w14:paraId="08ED8B9D" w14:textId="438EF0C4"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مصادر سريّة في الملف</w:t>
      </w:r>
      <w:r w:rsidRPr="00BC1DD2">
        <w:rPr>
          <w:rFonts w:ascii="Traditional Arabic" w:hAnsi="Traditional Arabic" w:cs="Traditional Arabic"/>
          <w:sz w:val="22"/>
          <w:szCs w:val="22"/>
        </w:rPr>
        <w:t>.</w:t>
      </w:r>
    </w:p>
  </w:footnote>
  <w:footnote w:id="399">
    <w:p w14:paraId="1C11BF82" w14:textId="12E01E55"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tl/>
        </w:rPr>
        <w:t xml:space="preserve"> مصادر سريّة في الملف</w:t>
      </w:r>
      <w:r w:rsidRPr="00BC1DD2">
        <w:rPr>
          <w:rFonts w:ascii="Traditional Arabic" w:hAnsi="Traditional Arabic" w:cs="Traditional Arabic"/>
          <w:sz w:val="22"/>
          <w:szCs w:val="22"/>
        </w:rPr>
        <w:t>.</w:t>
      </w:r>
      <w:r w:rsidRPr="00BC1DD2">
        <w:rPr>
          <w:rFonts w:ascii="Traditional Arabic" w:hAnsi="Traditional Arabic" w:cs="Traditional Arabic"/>
          <w:sz w:val="22"/>
          <w:szCs w:val="22"/>
          <w:rtl/>
        </w:rPr>
        <w:t xml:space="preserve"> أنظر أيضًا </w:t>
      </w:r>
      <w:r w:rsidRPr="00BC1DD2">
        <w:rPr>
          <w:rFonts w:ascii="Traditional Arabic" w:hAnsi="Traditional Arabic" w:cs="Traditional Arabic"/>
          <w:sz w:val="22"/>
          <w:szCs w:val="22"/>
        </w:rPr>
        <w:t xml:space="preserve">https://almasdaronline.com/articles/165069 </w:t>
      </w:r>
    </w:p>
  </w:footnote>
  <w:footnote w:id="400">
    <w:p w14:paraId="6FEC9DEA" w14:textId="7255DC5C"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w:t>
      </w:r>
      <w:r w:rsidRPr="00BC1DD2">
        <w:rPr>
          <w:rFonts w:ascii="Traditional Arabic" w:hAnsi="Traditional Arabic" w:cs="Traditional Arabic"/>
          <w:sz w:val="22"/>
          <w:szCs w:val="22"/>
        </w:rPr>
        <w:t>6(1)</w:t>
      </w:r>
      <w:r w:rsidRPr="00BC1DD2">
        <w:rPr>
          <w:rFonts w:ascii="Traditional Arabic" w:hAnsi="Traditional Arabic" w:cs="Traditional Arabic"/>
          <w:sz w:val="22"/>
          <w:szCs w:val="22"/>
          <w:rtl/>
        </w:rPr>
        <w:t xml:space="preserve"> </w:t>
      </w:r>
      <w:r w:rsidRPr="00BC1DD2">
        <w:rPr>
          <w:rStyle w:val="preferred"/>
          <w:rFonts w:ascii="Traditional Arabic" w:hAnsi="Traditional Arabic" w:cs="Traditional Arabic"/>
          <w:sz w:val="22"/>
          <w:szCs w:val="22"/>
          <w:rtl/>
        </w:rPr>
        <w:t xml:space="preserve">العهد الدولي للحقوق المدنية والسياسية. </w:t>
      </w:r>
    </w:p>
  </w:footnote>
  <w:footnote w:id="401">
    <w:p w14:paraId="637302FB" w14:textId="0E6030C3" w:rsidR="00A1624A" w:rsidRPr="00BC1DD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3 المشتركة لمعاهدات جنيف، الفقرة </w:t>
      </w:r>
      <w:r w:rsidRPr="00BC1DD2">
        <w:rPr>
          <w:rFonts w:ascii="Traditional Arabic" w:hAnsi="Traditional Arabic" w:cs="Traditional Arabic"/>
          <w:sz w:val="22"/>
          <w:szCs w:val="22"/>
        </w:rPr>
        <w:t>4(2)(a)</w:t>
      </w:r>
      <w:r w:rsidRPr="00BC1DD2">
        <w:rPr>
          <w:rFonts w:ascii="Traditional Arabic" w:hAnsi="Traditional Arabic" w:cs="Traditional Arabic"/>
          <w:sz w:val="22"/>
          <w:szCs w:val="22"/>
          <w:rtl/>
        </w:rPr>
        <w:t xml:space="preserve"> البروتوكول الإضافي الثاني، </w:t>
      </w:r>
      <w:r w:rsidRPr="00BC1DD2">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89. </w:t>
      </w:r>
    </w:p>
  </w:footnote>
  <w:footnote w:id="402">
    <w:p w14:paraId="4E464374" w14:textId="2521C875" w:rsidR="00A1624A" w:rsidRDefault="00A1624A" w:rsidP="00B81240">
      <w:pPr>
        <w:pStyle w:val="FootnoteText"/>
        <w:tabs>
          <w:tab w:val="clear" w:pos="1021"/>
        </w:tabs>
        <w:bidi/>
        <w:ind w:left="851" w:firstLine="0"/>
        <w:jc w:val="both"/>
      </w:pPr>
      <w:r w:rsidRPr="00BC1DD2">
        <w:rPr>
          <w:rStyle w:val="FootnoteReference"/>
          <w:rFonts w:ascii="Traditional Arabic" w:hAnsi="Traditional Arabic" w:cs="Traditional Arabic"/>
          <w:sz w:val="22"/>
          <w:szCs w:val="22"/>
        </w:rPr>
        <w:footnoteRef/>
      </w:r>
      <w:r w:rsidRPr="00BC1DD2">
        <w:rPr>
          <w:rFonts w:ascii="Traditional Arabic" w:hAnsi="Traditional Arabic" w:cs="Traditional Arabic"/>
          <w:sz w:val="22"/>
          <w:szCs w:val="22"/>
        </w:rPr>
        <w:t xml:space="preserve"> </w:t>
      </w:r>
      <w:r w:rsidRPr="00BC1DD2">
        <w:rPr>
          <w:rFonts w:ascii="Traditional Arabic" w:hAnsi="Traditional Arabic" w:cs="Traditional Arabic"/>
          <w:sz w:val="22"/>
          <w:szCs w:val="22"/>
          <w:rtl/>
        </w:rPr>
        <w:t xml:space="preserve">الفقرة </w:t>
      </w:r>
      <w:r w:rsidRPr="00BC1DD2">
        <w:rPr>
          <w:rFonts w:ascii="Traditional Arabic" w:hAnsi="Traditional Arabic" w:cs="Traditional Arabic"/>
          <w:sz w:val="22"/>
          <w:szCs w:val="22"/>
        </w:rPr>
        <w:t>8 2.(c)(i)</w:t>
      </w:r>
      <w:r w:rsidRPr="00BC1DD2">
        <w:rPr>
          <w:rFonts w:ascii="Traditional Arabic" w:hAnsi="Traditional Arabic" w:cs="Traditional Arabic"/>
          <w:sz w:val="22"/>
          <w:szCs w:val="22"/>
          <w:rtl/>
        </w:rPr>
        <w:t xml:space="preserve"> </w:t>
      </w:r>
      <w:r w:rsidRPr="00BC1DD2">
        <w:rPr>
          <w:rStyle w:val="ar"/>
          <w:rFonts w:ascii="Traditional Arabic" w:hAnsi="Traditional Arabic" w:cs="Traditional Arabic"/>
          <w:sz w:val="22"/>
          <w:szCs w:val="22"/>
          <w:rtl/>
        </w:rPr>
        <w:t>نظام روما الأساسي</w:t>
      </w:r>
    </w:p>
  </w:footnote>
  <w:footnote w:id="403">
    <w:p w14:paraId="7896A509" w14:textId="6A2683E0"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r w:rsidRPr="008E1B0D">
        <w:rPr>
          <w:rFonts w:ascii="Traditional Arabic" w:hAnsi="Traditional Arabic" w:cs="Traditional Arabic"/>
          <w:sz w:val="22"/>
          <w:szCs w:val="22"/>
          <w:rtl/>
        </w:rPr>
        <w:t xml:space="preserve"> أنظر أيضًا ملخص </w:t>
      </w:r>
      <w:r w:rsidRPr="008E1B0D">
        <w:rPr>
          <w:rFonts w:ascii="Traditional Arabic" w:hAnsi="Traditional Arabic" w:cs="Traditional Arabic"/>
          <w:sz w:val="22"/>
          <w:szCs w:val="22"/>
        </w:rPr>
        <w:t>A/HRC/39/43</w:t>
      </w:r>
      <w:r w:rsidRPr="008E1B0D">
        <w:rPr>
          <w:rFonts w:ascii="Traditional Arabic" w:hAnsi="Traditional Arabic" w:cs="Traditional Arabic"/>
          <w:sz w:val="22"/>
          <w:szCs w:val="22"/>
          <w:rtl/>
        </w:rPr>
        <w:t xml:space="preserve">. </w:t>
      </w:r>
    </w:p>
  </w:footnote>
  <w:footnote w:id="404">
    <w:p w14:paraId="464639B0" w14:textId="11AEF347"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5">
    <w:p w14:paraId="0F1FF2AD" w14:textId="074870C1" w:rsidR="00A1624A" w:rsidRPr="008E1B0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6">
    <w:p w14:paraId="57AD933D" w14:textId="73240B6E" w:rsidR="00A1624A" w:rsidRPr="00C74C29" w:rsidRDefault="00A1624A" w:rsidP="00B81240">
      <w:pPr>
        <w:pStyle w:val="FootnoteText"/>
        <w:tabs>
          <w:tab w:val="clear" w:pos="1021"/>
        </w:tabs>
        <w:bidi/>
        <w:ind w:left="851" w:firstLine="0"/>
        <w:jc w:val="both"/>
        <w:rPr>
          <w:rFonts w:asciiTheme="majorBidi" w:hAnsiTheme="majorBidi" w:cstheme="majorBidi"/>
          <w:szCs w:val="18"/>
          <w:lang w:val="en-US"/>
        </w:rPr>
      </w:pPr>
      <w:r w:rsidRPr="008E1B0D">
        <w:rPr>
          <w:rStyle w:val="FootnoteReference"/>
          <w:rFonts w:ascii="Traditional Arabic" w:hAnsi="Traditional Arabic" w:cs="Traditional Arabic"/>
          <w:sz w:val="22"/>
          <w:szCs w:val="22"/>
        </w:rPr>
        <w:footnoteRef/>
      </w:r>
      <w:r w:rsidRPr="008E1B0D">
        <w:rPr>
          <w:rFonts w:ascii="Traditional Arabic" w:hAnsi="Traditional Arabic" w:cs="Traditional Arabic"/>
          <w:sz w:val="22"/>
          <w:szCs w:val="22"/>
        </w:rPr>
        <w:t xml:space="preserve"> </w:t>
      </w:r>
      <w:r w:rsidRPr="008E1B0D">
        <w:rPr>
          <w:rFonts w:ascii="Traditional Arabic" w:hAnsi="Traditional Arabic" w:cs="Traditional Arabic"/>
          <w:sz w:val="22"/>
          <w:szCs w:val="22"/>
          <w:rtl/>
        </w:rPr>
        <w:t>مصادر سريّة في الملف</w:t>
      </w:r>
      <w:r w:rsidRPr="008E1B0D">
        <w:rPr>
          <w:rFonts w:ascii="Traditional Arabic" w:hAnsi="Traditional Arabic" w:cs="Traditional Arabic"/>
          <w:sz w:val="22"/>
          <w:szCs w:val="22"/>
        </w:rPr>
        <w:t>.</w:t>
      </w:r>
    </w:p>
  </w:footnote>
  <w:footnote w:id="407">
    <w:p w14:paraId="38F6746F" w14:textId="6540C4BD"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08">
    <w:p w14:paraId="61DDA807" w14:textId="2522B8FC"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09">
    <w:p w14:paraId="0F840F5B" w14:textId="5B64297D"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0">
    <w:p w14:paraId="584DBE5E" w14:textId="6EA22538" w:rsidR="00A1624A" w:rsidRPr="00C74C29" w:rsidRDefault="00A1624A" w:rsidP="00B81240">
      <w:pPr>
        <w:pStyle w:val="FootnoteText"/>
        <w:tabs>
          <w:tab w:val="clear" w:pos="1021"/>
        </w:tabs>
        <w:bidi/>
        <w:ind w:left="851" w:firstLine="0"/>
        <w:jc w:val="both"/>
        <w:rPr>
          <w:rFonts w:asciiTheme="majorBidi" w:hAnsiTheme="majorBidi" w:cstheme="majorBidi"/>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1">
    <w:p w14:paraId="398D11B6" w14:textId="009977F8"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lang w:val="en-US"/>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r w:rsidRPr="00B67CA3">
        <w:rPr>
          <w:rFonts w:ascii="Traditional Arabic" w:hAnsi="Traditional Arabic" w:cs="Traditional Arabic"/>
          <w:sz w:val="22"/>
          <w:szCs w:val="22"/>
          <w:rtl/>
        </w:rPr>
        <w:t xml:space="preserve"> أنظر كذلك: </w:t>
      </w:r>
      <w:r w:rsidRPr="00B67CA3">
        <w:rPr>
          <w:rFonts w:ascii="Traditional Arabic" w:hAnsi="Traditional Arabic" w:cs="Traditional Arabic"/>
          <w:sz w:val="22"/>
          <w:szCs w:val="22"/>
          <w:lang w:val="en-US"/>
        </w:rPr>
        <w:t>www.stcaden.com.</w:t>
      </w:r>
    </w:p>
  </w:footnote>
  <w:footnote w:id="412">
    <w:p w14:paraId="73ED4CBB" w14:textId="19D81D7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Style w:val="preferred"/>
          <w:rFonts w:ascii="Traditional Arabic" w:hAnsi="Traditional Arabic" w:cs="Traditional Arabic"/>
          <w:sz w:val="22"/>
          <w:szCs w:val="22"/>
          <w:rtl/>
        </w:rPr>
        <w:t xml:space="preserve">العهد الدولي للحقوق المدنية والسياسية، الفقرة 19، أنظر أيضًا التعليق العام على لجنة حقوق الإنسان رقم 34، الفقرات 21-36. </w:t>
      </w:r>
    </w:p>
  </w:footnote>
  <w:footnote w:id="413">
    <w:p w14:paraId="71A58510" w14:textId="1C983788"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4">
    <w:p w14:paraId="75EE9CA3" w14:textId="4656F32C"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5">
    <w:p w14:paraId="09FB359D" w14:textId="12E28675" w:rsidR="00A1624A" w:rsidRDefault="00A1624A" w:rsidP="00B81240">
      <w:pPr>
        <w:pStyle w:val="FootnoteText"/>
        <w:tabs>
          <w:tab w:val="clear" w:pos="1021"/>
        </w:tabs>
        <w:bidi/>
        <w:ind w:left="851" w:firstLine="0"/>
        <w:jc w:val="both"/>
        <w:rPr>
          <w:rFonts w:asciiTheme="majorBidi" w:hAnsiTheme="majorBidi" w:cstheme="majorBidi"/>
          <w:sz w:val="20"/>
          <w:rtl/>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r w:rsidRPr="00B67CA3">
        <w:rPr>
          <w:rFonts w:ascii="Traditional Arabic" w:hAnsi="Traditional Arabic" w:cs="Traditional Arabic"/>
          <w:sz w:val="22"/>
          <w:szCs w:val="22"/>
          <w:rtl/>
        </w:rPr>
        <w:t xml:space="preserve"> </w:t>
      </w:r>
      <w:r w:rsidRPr="00B67CA3">
        <w:rPr>
          <w:rFonts w:asciiTheme="majorBidi" w:hAnsiTheme="majorBidi" w:cstheme="majorBidi"/>
          <w:sz w:val="20"/>
        </w:rPr>
        <w:t xml:space="preserve">Health of Migrants Held by SLC at Risk (9/5/19)  </w:t>
      </w:r>
    </w:p>
    <w:p w14:paraId="5DFC13B9" w14:textId="2BFFA8CB" w:rsidR="00A1624A" w:rsidRPr="00B67CA3" w:rsidRDefault="00A1624A" w:rsidP="00B81240">
      <w:pPr>
        <w:pStyle w:val="FootnoteText"/>
        <w:tabs>
          <w:tab w:val="clear" w:pos="1021"/>
        </w:tabs>
        <w:bidi/>
        <w:ind w:left="851" w:firstLine="0"/>
        <w:jc w:val="both"/>
        <w:rPr>
          <w:rFonts w:asciiTheme="majorBidi" w:hAnsiTheme="majorBidi" w:cstheme="majorBidi"/>
          <w:sz w:val="20"/>
          <w:lang w:val="en-US"/>
        </w:rPr>
      </w:pPr>
      <w:r w:rsidRPr="00B67CA3">
        <w:rPr>
          <w:rFonts w:asciiTheme="majorBidi" w:hAnsiTheme="majorBidi" w:cstheme="majorBidi"/>
          <w:sz w:val="20"/>
        </w:rPr>
        <w:t>https://www.middleeastmonitor.com/20190509-iom-health-of-migrants-held-by-saudi-coalition-in-yemen-at-risk MEM.</w:t>
      </w:r>
    </w:p>
  </w:footnote>
  <w:footnote w:id="416">
    <w:p w14:paraId="2A8D7973" w14:textId="1088155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7">
    <w:p w14:paraId="1078F112" w14:textId="2CD08770"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p>
  </w:footnote>
  <w:footnote w:id="418">
    <w:p w14:paraId="0AC4ED2D" w14:textId="6507A58F"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19">
    <w:p w14:paraId="3FCB7C36" w14:textId="789F2C0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0">
    <w:p w14:paraId="7C690B8A" w14:textId="3B20219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زوج وأخ ناجي</w:t>
      </w:r>
      <w:r>
        <w:rPr>
          <w:rFonts w:ascii="Traditional Arabic" w:hAnsi="Traditional Arabic" w:cs="Traditional Arabic" w:hint="cs"/>
          <w:sz w:val="22"/>
          <w:szCs w:val="22"/>
          <w:rtl/>
        </w:rPr>
        <w:t>ة</w:t>
      </w:r>
      <w:r w:rsidRPr="00B67CA3">
        <w:rPr>
          <w:rFonts w:ascii="Traditional Arabic" w:hAnsi="Traditional Arabic" w:cs="Traditional Arabic"/>
          <w:sz w:val="22"/>
          <w:szCs w:val="22"/>
          <w:rtl/>
        </w:rPr>
        <w:t xml:space="preserve"> من الإغتصاب. </w:t>
      </w:r>
    </w:p>
  </w:footnote>
  <w:footnote w:id="421">
    <w:p w14:paraId="64ECAADC" w14:textId="4EBCB731" w:rsidR="00A1624A" w:rsidRPr="00F40F2F" w:rsidRDefault="00A1624A" w:rsidP="00B81240">
      <w:pPr>
        <w:pStyle w:val="FootnoteText"/>
        <w:tabs>
          <w:tab w:val="clear" w:pos="1021"/>
        </w:tabs>
        <w:bidi/>
        <w:ind w:left="851" w:firstLine="0"/>
        <w:jc w:val="both"/>
        <w:rPr>
          <w:rFonts w:asciiTheme="majorBidi" w:hAnsiTheme="majorBidi" w:cstheme="majorBidi"/>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2">
    <w:p w14:paraId="6663B254" w14:textId="27B6BF4F"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3">
    <w:p w14:paraId="19BD3CC0" w14:textId="0EC6B9F9"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4">
    <w:p w14:paraId="4DFBADCC" w14:textId="3CB976EE"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مصادر سريّة في الملف</w:t>
      </w:r>
      <w:r w:rsidRPr="00B67CA3">
        <w:rPr>
          <w:rFonts w:ascii="Traditional Arabic" w:hAnsi="Traditional Arabic" w:cs="Traditional Arabic"/>
          <w:sz w:val="22"/>
          <w:szCs w:val="22"/>
        </w:rPr>
        <w:t>.</w:t>
      </w:r>
    </w:p>
  </w:footnote>
  <w:footnote w:id="425">
    <w:p w14:paraId="0BD04B60" w14:textId="08E05BD4"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7، </w:t>
      </w:r>
      <w:r w:rsidRPr="00B67CA3">
        <w:rPr>
          <w:rStyle w:val="preferred"/>
          <w:rFonts w:ascii="Traditional Arabic" w:hAnsi="Traditional Arabic" w:cs="Traditional Arabic"/>
          <w:sz w:val="22"/>
          <w:szCs w:val="22"/>
          <w:rtl/>
        </w:rPr>
        <w:t xml:space="preserve">العهد الدولي للحقوق المدنية والسياسية، الفقرة 4، </w:t>
      </w:r>
      <w:r w:rsidRPr="00B67CA3">
        <w:rPr>
          <w:rFonts w:ascii="Traditional Arabic" w:hAnsi="Traditional Arabic" w:cs="Traditional Arabic"/>
          <w:sz w:val="22"/>
          <w:szCs w:val="22"/>
          <w:rtl/>
        </w:rPr>
        <w:t xml:space="preserve">البروتوكول الإضافي الثاني، </w:t>
      </w:r>
      <w:r w:rsidRPr="00B67CA3">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93. </w:t>
      </w:r>
    </w:p>
  </w:footnote>
  <w:footnote w:id="426">
    <w:p w14:paraId="50E84923" w14:textId="195F61A0"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w:t>
      </w:r>
      <w:r w:rsidRPr="00B67CA3">
        <w:rPr>
          <w:rFonts w:ascii="Traditional Arabic" w:hAnsi="Traditional Arabic" w:cs="Traditional Arabic"/>
          <w:sz w:val="22"/>
          <w:szCs w:val="22"/>
        </w:rPr>
        <w:t>8 2.(e)(vi)</w:t>
      </w:r>
      <w:r w:rsidRPr="00B67CA3">
        <w:rPr>
          <w:rFonts w:ascii="Traditional Arabic" w:hAnsi="Traditional Arabic" w:cs="Traditional Arabic"/>
          <w:sz w:val="22"/>
          <w:szCs w:val="22"/>
          <w:rtl/>
        </w:rPr>
        <w:t xml:space="preserve"> </w:t>
      </w:r>
      <w:r w:rsidRPr="00B67CA3">
        <w:rPr>
          <w:rStyle w:val="ar"/>
          <w:rFonts w:ascii="Traditional Arabic" w:hAnsi="Traditional Arabic" w:cs="Traditional Arabic"/>
          <w:sz w:val="22"/>
          <w:szCs w:val="22"/>
          <w:rtl/>
        </w:rPr>
        <w:t xml:space="preserve">نظام روما الأساسي. </w:t>
      </w:r>
    </w:p>
  </w:footnote>
  <w:footnote w:id="427">
    <w:p w14:paraId="7A4AA472" w14:textId="5C50B846"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96. </w:t>
      </w:r>
    </w:p>
  </w:footnote>
  <w:footnote w:id="428">
    <w:p w14:paraId="1C93965D" w14:textId="13B924E8" w:rsidR="00A1624A" w:rsidRPr="00F40F2F" w:rsidRDefault="00A1624A" w:rsidP="00B81240">
      <w:pPr>
        <w:pStyle w:val="FootnoteText"/>
        <w:tabs>
          <w:tab w:val="clear" w:pos="1021"/>
        </w:tabs>
        <w:bidi/>
        <w:ind w:left="851" w:firstLine="0"/>
        <w:jc w:val="both"/>
        <w:rPr>
          <w:szCs w:val="18"/>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 xml:space="preserve">الفقرة </w:t>
      </w:r>
      <w:r w:rsidRPr="00B67CA3">
        <w:rPr>
          <w:rFonts w:ascii="Traditional Arabic" w:hAnsi="Traditional Arabic" w:cs="Traditional Arabic"/>
          <w:sz w:val="22"/>
          <w:szCs w:val="22"/>
        </w:rPr>
        <w:t>9(1)</w:t>
      </w:r>
      <w:r w:rsidRPr="00B67CA3">
        <w:rPr>
          <w:rFonts w:ascii="Traditional Arabic" w:hAnsi="Traditional Arabic" w:cs="Traditional Arabic"/>
          <w:sz w:val="22"/>
          <w:szCs w:val="22"/>
          <w:rtl/>
        </w:rPr>
        <w:t xml:space="preserve">، </w:t>
      </w:r>
      <w:r w:rsidRPr="00B67CA3">
        <w:rPr>
          <w:rStyle w:val="preferred"/>
          <w:rFonts w:ascii="Traditional Arabic" w:hAnsi="Traditional Arabic" w:cs="Traditional Arabic"/>
          <w:sz w:val="22"/>
          <w:szCs w:val="22"/>
          <w:rtl/>
        </w:rPr>
        <w:t xml:space="preserve">العهد الدولي للحقوق المدنية والسياسية، الفقرة 3 المشتركة في معاهدات جنيف الفقرة  </w:t>
      </w:r>
      <w:r w:rsidRPr="00B67CA3">
        <w:rPr>
          <w:rFonts w:ascii="Traditional Arabic" w:hAnsi="Traditional Arabic" w:cs="Traditional Arabic"/>
          <w:sz w:val="22"/>
          <w:szCs w:val="22"/>
        </w:rPr>
        <w:t>4(2)(c)</w:t>
      </w:r>
      <w:r w:rsidRPr="00B67CA3">
        <w:rPr>
          <w:rFonts w:ascii="Traditional Arabic" w:hAnsi="Traditional Arabic" w:cs="Traditional Arabic"/>
          <w:sz w:val="22"/>
          <w:szCs w:val="22"/>
          <w:rtl/>
        </w:rPr>
        <w:t xml:space="preserve">، البروتوكول الإضافي الثاني الفقرة </w:t>
      </w:r>
      <w:r w:rsidRPr="00B67CA3">
        <w:rPr>
          <w:rFonts w:ascii="Traditional Arabic" w:hAnsi="Traditional Arabic" w:cs="Traditional Arabic"/>
          <w:sz w:val="22"/>
          <w:szCs w:val="22"/>
          <w:lang w:val="en-US"/>
        </w:rPr>
        <w:t>8 2.(c)(iii)</w:t>
      </w:r>
      <w:r w:rsidRPr="00B67CA3">
        <w:rPr>
          <w:rFonts w:ascii="Traditional Arabic" w:hAnsi="Traditional Arabic" w:cs="Traditional Arabic"/>
          <w:sz w:val="22"/>
          <w:szCs w:val="22"/>
          <w:rtl/>
          <w:lang w:val="en-US"/>
        </w:rPr>
        <w:t xml:space="preserve"> </w:t>
      </w:r>
      <w:r w:rsidRPr="00B67CA3">
        <w:rPr>
          <w:rStyle w:val="ar"/>
          <w:rFonts w:ascii="Traditional Arabic" w:hAnsi="Traditional Arabic" w:cs="Traditional Arabic"/>
          <w:sz w:val="22"/>
          <w:szCs w:val="22"/>
          <w:rtl/>
        </w:rPr>
        <w:t>نظام روما الأساسي.</w:t>
      </w:r>
      <w:r>
        <w:rPr>
          <w:rStyle w:val="ar"/>
          <w:rFonts w:hint="cs"/>
          <w:rtl/>
        </w:rPr>
        <w:t xml:space="preserve"> </w:t>
      </w:r>
    </w:p>
  </w:footnote>
  <w:footnote w:id="429">
    <w:p w14:paraId="43FBF655" w14:textId="77777777"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hyperlink r:id="rId27" w:history="1">
        <w:r>
          <w:rPr>
            <w:rStyle w:val="Hyperlink"/>
            <w:szCs w:val="18"/>
          </w:rPr>
          <w:t>https://www.acleddata.com/2018/12/07/yemens-urban-battlegrounds-violence-and-politics-in-sanaa-aden-taizz-and-hodeidah/</w:t>
        </w:r>
      </w:hyperlink>
      <w:r>
        <w:rPr>
          <w:szCs w:val="18"/>
        </w:rPr>
        <w:t xml:space="preserve"> </w:t>
      </w:r>
    </w:p>
  </w:footnote>
  <w:footnote w:id="430">
    <w:p w14:paraId="3425F29F" w14:textId="77777777"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Pr>
          <w:szCs w:val="18"/>
          <w:lang w:val="en-US"/>
        </w:rPr>
        <w:t xml:space="preserve">Statement of Understanding on Ta’izz, available at </w:t>
      </w:r>
      <w:hyperlink r:id="rId28" w:history="1">
        <w:r>
          <w:rPr>
            <w:rStyle w:val="Hyperlink"/>
            <w:szCs w:val="18"/>
          </w:rPr>
          <w:t>https://osesgy.unmissions.org/sites/default/files/taiz_agreement_0.pdf</w:t>
        </w:r>
      </w:hyperlink>
      <w:r>
        <w:rPr>
          <w:szCs w:val="18"/>
        </w:rPr>
        <w:t xml:space="preserve"> </w:t>
      </w:r>
    </w:p>
  </w:footnote>
  <w:footnote w:id="431">
    <w:p w14:paraId="2ED98C23" w14:textId="6B5AC30A" w:rsidR="00A1624A" w:rsidRPr="00B67CA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B67CA3">
        <w:rPr>
          <w:rStyle w:val="FootnoteReference"/>
          <w:rFonts w:ascii="Traditional Arabic" w:hAnsi="Traditional Arabic" w:cs="Traditional Arabic"/>
          <w:sz w:val="22"/>
          <w:szCs w:val="22"/>
        </w:rPr>
        <w:footnoteRef/>
      </w:r>
      <w:r w:rsidRPr="00B67CA3">
        <w:rPr>
          <w:rFonts w:ascii="Traditional Arabic" w:hAnsi="Traditional Arabic" w:cs="Traditional Arabic"/>
          <w:sz w:val="22"/>
          <w:szCs w:val="22"/>
        </w:rPr>
        <w:t xml:space="preserve"> </w:t>
      </w:r>
      <w:r w:rsidRPr="00B67CA3">
        <w:rPr>
          <w:rFonts w:ascii="Traditional Arabic" w:hAnsi="Traditional Arabic" w:cs="Traditional Arabic"/>
          <w:sz w:val="22"/>
          <w:szCs w:val="22"/>
          <w:rtl/>
        </w:rPr>
        <w:t>تأسست المقاومة الشعبية في تعز (</w:t>
      </w:r>
      <w:r w:rsidRPr="00B67CA3">
        <w:rPr>
          <w:rStyle w:val="tlid-translation"/>
          <w:rFonts w:ascii="Traditional Arabic" w:hAnsi="Traditional Arabic" w:cs="Traditional Arabic"/>
          <w:sz w:val="22"/>
          <w:szCs w:val="22"/>
          <w:rtl/>
        </w:rPr>
        <w:t xml:space="preserve">سيتم ذكرها لاحقًا بـ"المقاومة" فقط) في نيسان/ أبريل 2015 بنفس الوقت حين كانت مجموعات المقاومة تتأسّس في أجزاء أخرى من البلاد. تكوّنت المقاومة عند إنشائها في تعز من المقاتلين المنضمّين إلى حزب الإصلاح والسلفيّين (كتيبة أبو العبّاس) بالإضافة إلى المواطنين العاديين من المدينة.    </w:t>
      </w:r>
    </w:p>
  </w:footnote>
  <w:footnote w:id="432">
    <w:p w14:paraId="6AE1F467" w14:textId="635F8CD6" w:rsidR="00A1624A" w:rsidRDefault="00A1624A" w:rsidP="00B81240">
      <w:pPr>
        <w:pStyle w:val="FootnoteText"/>
        <w:tabs>
          <w:tab w:val="clear" w:pos="1021"/>
        </w:tabs>
        <w:bidi/>
        <w:ind w:left="851" w:firstLine="0"/>
        <w:jc w:val="both"/>
        <w:rPr>
          <w:szCs w:val="18"/>
          <w:highlight w:val="lightGray"/>
        </w:rPr>
      </w:pPr>
      <w:r w:rsidRPr="00F40F2F">
        <w:rPr>
          <w:rStyle w:val="FootnoteReference"/>
          <w:szCs w:val="18"/>
        </w:rPr>
        <w:footnoteRef/>
      </w:r>
      <w:r>
        <w:t xml:space="preserve"> </w:t>
      </w:r>
      <w:r>
        <w:rPr>
          <w:szCs w:val="18"/>
        </w:rPr>
        <w:t>United Nations, Letter dated 22 January 2016 from the Panel of Experts on Yemen established pursuant to Security Council resolution 2140 (2014) addressed to the President of the Security Council S/2016/73, 26 January 2016, Annex 49, p.age 142, S/2016/73.</w:t>
      </w:r>
    </w:p>
  </w:footnote>
  <w:footnote w:id="433">
    <w:p w14:paraId="29E1A194" w14:textId="274914B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المرجع نفسه، الفقرة 68.</w:t>
      </w:r>
    </w:p>
  </w:footnote>
  <w:footnote w:id="434">
    <w:p w14:paraId="7969FD83" w14:textId="27BF047F"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5">
    <w:p w14:paraId="722F9295" w14:textId="2FE26AA2"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6">
    <w:p w14:paraId="2617520B" w14:textId="565E1468"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37">
    <w:p w14:paraId="67B349D5" w14:textId="4E1C4BDE"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على سبيل المثال، تم تعطيل الخدمات في المستشفيات (أنظر الفصل الإنساني) والمدارس (أنظر فصل حماية الأطفال) نتيجة القصف.</w:t>
      </w:r>
    </w:p>
  </w:footnote>
  <w:footnote w:id="438">
    <w:p w14:paraId="6424686A" w14:textId="62E70E81"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الموقعين </w:t>
      </w:r>
      <w:r w:rsidRPr="00DB17C5">
        <w:rPr>
          <w:rFonts w:ascii="Traditional Arabic" w:hAnsi="Traditional Arabic" w:cs="Traditional Arabic"/>
          <w:sz w:val="22"/>
          <w:szCs w:val="22"/>
        </w:rPr>
        <w:t xml:space="preserve">13.574276, 44.009821 </w:t>
      </w:r>
      <w:r w:rsidRPr="00DB17C5">
        <w:rPr>
          <w:rFonts w:ascii="Traditional Arabic" w:hAnsi="Traditional Arabic" w:cs="Traditional Arabic"/>
          <w:sz w:val="22"/>
          <w:szCs w:val="22"/>
          <w:rtl/>
        </w:rPr>
        <w:t>و</w:t>
      </w:r>
      <w:r w:rsidRPr="00DB17C5">
        <w:rPr>
          <w:rFonts w:ascii="Traditional Arabic" w:hAnsi="Traditional Arabic" w:cs="Traditional Arabic"/>
          <w:sz w:val="22"/>
          <w:szCs w:val="22"/>
        </w:rPr>
        <w:t xml:space="preserve"> 13.573866, 44.013612.</w:t>
      </w:r>
    </w:p>
  </w:footnote>
  <w:footnote w:id="439">
    <w:p w14:paraId="63C683E5" w14:textId="72375240"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الموقع: </w:t>
      </w:r>
      <w:r w:rsidRPr="00DB17C5">
        <w:rPr>
          <w:rFonts w:ascii="Traditional Arabic" w:hAnsi="Traditional Arabic" w:cs="Traditional Arabic"/>
          <w:sz w:val="22"/>
          <w:szCs w:val="22"/>
        </w:rPr>
        <w:t>13.577855, 44.013218.</w:t>
      </w:r>
    </w:p>
  </w:footnote>
  <w:footnote w:id="440">
    <w:p w14:paraId="51BEDCC7" w14:textId="5F96F0DB"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1">
    <w:p w14:paraId="2228B069" w14:textId="6AD281F6"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2">
    <w:p w14:paraId="0E047820" w14:textId="665ED962"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3">
    <w:p w14:paraId="5C811E25" w14:textId="72EC7599"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4">
    <w:p w14:paraId="194E9363" w14:textId="311402C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tl/>
        </w:rPr>
        <w:t xml:space="preserve"> الموقع </w:t>
      </w:r>
      <w:r w:rsidRPr="00DB17C5">
        <w:rPr>
          <w:rFonts w:ascii="Traditional Arabic" w:hAnsi="Traditional Arabic" w:cs="Traditional Arabic"/>
          <w:sz w:val="22"/>
          <w:szCs w:val="22"/>
        </w:rPr>
        <w:t>13.581469, 44.019166</w:t>
      </w:r>
      <w:r w:rsidRPr="00DB17C5">
        <w:rPr>
          <w:rFonts w:ascii="Traditional Arabic" w:hAnsi="Traditional Arabic" w:cs="Traditional Arabic"/>
          <w:sz w:val="22"/>
          <w:szCs w:val="22"/>
          <w:rtl/>
        </w:rPr>
        <w:t xml:space="preserve"> يقرب حوالي خمسين مترًا من موقع الضربة. </w:t>
      </w:r>
    </w:p>
  </w:footnote>
  <w:footnote w:id="445">
    <w:p w14:paraId="017EC404" w14:textId="3EB4F52D" w:rsidR="00A1624A" w:rsidRDefault="00A1624A" w:rsidP="00B81240">
      <w:pPr>
        <w:pStyle w:val="FootnoteText"/>
        <w:tabs>
          <w:tab w:val="clear" w:pos="1021"/>
        </w:tabs>
        <w:bidi/>
        <w:ind w:left="851" w:firstLine="0"/>
        <w:jc w:val="both"/>
        <w:rPr>
          <w:szCs w:val="18"/>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6">
    <w:p w14:paraId="7732722A" w14:textId="33284AC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7">
    <w:p w14:paraId="6552B59C" w14:textId="0EF1037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8">
    <w:p w14:paraId="310E0CE5" w14:textId="1738DE7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49">
    <w:p w14:paraId="03118443" w14:textId="1E395069"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بقيادة عدنان رزيق.</w:t>
      </w:r>
      <w:r>
        <w:rPr>
          <w:rFonts w:hint="cs"/>
          <w:szCs w:val="18"/>
          <w:rtl/>
        </w:rPr>
        <w:t xml:space="preserve"> </w:t>
      </w:r>
    </w:p>
  </w:footnote>
  <w:footnote w:id="450">
    <w:p w14:paraId="520BB45D" w14:textId="7777777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highlight w:val="lightGray"/>
          <w:lang w:val="en-US"/>
        </w:rPr>
      </w:pPr>
      <w:r w:rsidRPr="00F40F2F">
        <w:rPr>
          <w:rStyle w:val="FootnoteReference"/>
          <w:szCs w:val="18"/>
        </w:rPr>
        <w:footnoteRef/>
      </w:r>
      <w:r w:rsidRPr="00F40F2F">
        <w:rPr>
          <w:szCs w:val="18"/>
        </w:rPr>
        <w:t xml:space="preserve"> </w:t>
      </w:r>
      <w:r>
        <w:t xml:space="preserve"> </w:t>
      </w:r>
      <w:r>
        <w:rPr>
          <w:szCs w:val="18"/>
          <w:lang w:val="en-US"/>
        </w:rPr>
        <w:t>Mwatana, “Chapters from Hell, Violations of the International Human Rights Law the armed ground conflict in Taiz”, 6 November 2016, p.50.</w:t>
      </w:r>
    </w:p>
  </w:footnote>
  <w:footnote w:id="451">
    <w:p w14:paraId="26132C34" w14:textId="5404FCA5"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lang w:val="en-US"/>
        </w:rPr>
        <w:t xml:space="preserve">المرجع نفسه، ص. 50. </w:t>
      </w:r>
    </w:p>
  </w:footnote>
  <w:footnote w:id="452">
    <w:p w14:paraId="48939E42" w14:textId="427B19A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3">
    <w:p w14:paraId="622B1BDF" w14:textId="41826835"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4">
    <w:p w14:paraId="2AD9284F" w14:textId="102E75BB" w:rsidR="00A1624A" w:rsidRDefault="00A1624A" w:rsidP="00B81240">
      <w:pPr>
        <w:pStyle w:val="FootnoteText"/>
        <w:tabs>
          <w:tab w:val="clear" w:pos="1021"/>
        </w:tabs>
        <w:bidi/>
        <w:ind w:left="851" w:firstLine="0"/>
        <w:jc w:val="both"/>
        <w:rPr>
          <w:szCs w:val="18"/>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5">
    <w:p w14:paraId="67EC208F" w14:textId="77777777" w:rsidR="00A1624A" w:rsidRDefault="00A1624A" w:rsidP="00B81240">
      <w:pPr>
        <w:pStyle w:val="FootnoteText"/>
        <w:tabs>
          <w:tab w:val="clear" w:pos="1021"/>
        </w:tabs>
        <w:bidi/>
        <w:ind w:left="851" w:firstLine="0"/>
        <w:jc w:val="both"/>
        <w:rPr>
          <w:szCs w:val="18"/>
          <w:lang w:val="en-US"/>
        </w:rPr>
      </w:pPr>
      <w:r w:rsidRPr="00F40F2F">
        <w:rPr>
          <w:rStyle w:val="FootnoteReference"/>
          <w:szCs w:val="18"/>
        </w:rPr>
        <w:footnoteRef/>
      </w:r>
      <w:r w:rsidRPr="00F40F2F">
        <w:rPr>
          <w:szCs w:val="18"/>
        </w:rPr>
        <w:t xml:space="preserve">  </w:t>
      </w:r>
      <w:hyperlink r:id="rId29" w:history="1">
        <w:r w:rsidRPr="00F40F2F">
          <w:rPr>
            <w:rStyle w:val="Hyperlink"/>
            <w:szCs w:val="18"/>
          </w:rPr>
          <w:t>https://www.youtube.com/watch?v=TMRN95YcGkY</w:t>
        </w:r>
      </w:hyperlink>
      <w:r w:rsidRPr="00F40F2F">
        <w:rPr>
          <w:szCs w:val="18"/>
        </w:rPr>
        <w:t xml:space="preserve"> (Last Accessed on 17 July 2019).</w:t>
      </w:r>
      <w:r>
        <w:rPr>
          <w:szCs w:val="18"/>
        </w:rPr>
        <w:t xml:space="preserve"> </w:t>
      </w:r>
    </w:p>
  </w:footnote>
  <w:footnote w:id="456">
    <w:p w14:paraId="68AA0130" w14:textId="2115902C"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57">
    <w:p w14:paraId="5CFC7636" w14:textId="4BA404E8"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لجنة حماية الصحفيين، "مقتل صحافي يمني في تعز،" 17 شباط/ فبراير 2016. </w:t>
      </w:r>
    </w:p>
  </w:footnote>
  <w:footnote w:id="458">
    <w:p w14:paraId="5C4FE569" w14:textId="105EB78F"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 xml:space="preserve">الفقرة </w:t>
      </w:r>
      <w:r w:rsidRPr="00DB17C5">
        <w:rPr>
          <w:rFonts w:ascii="Traditional Arabic" w:hAnsi="Traditional Arabic" w:cs="Traditional Arabic"/>
          <w:sz w:val="22"/>
          <w:szCs w:val="22"/>
          <w:lang w:val="en-US"/>
        </w:rPr>
        <w:t>8 2.(e)(i)</w:t>
      </w:r>
      <w:r w:rsidRPr="00DB17C5">
        <w:rPr>
          <w:rFonts w:ascii="Traditional Arabic" w:hAnsi="Traditional Arabic" w:cs="Traditional Arabic"/>
          <w:sz w:val="22"/>
          <w:szCs w:val="22"/>
          <w:rtl/>
          <w:lang w:val="en-US"/>
        </w:rPr>
        <w:t xml:space="preserve"> </w:t>
      </w:r>
      <w:r w:rsidRPr="00DB17C5">
        <w:rPr>
          <w:rStyle w:val="ar"/>
          <w:rFonts w:ascii="Traditional Arabic" w:hAnsi="Traditional Arabic" w:cs="Traditional Arabic"/>
          <w:sz w:val="22"/>
          <w:szCs w:val="22"/>
          <w:rtl/>
        </w:rPr>
        <w:t xml:space="preserve">نظام روما الأساسي. </w:t>
      </w:r>
    </w:p>
  </w:footnote>
  <w:footnote w:id="459">
    <w:p w14:paraId="0020C74A" w14:textId="39476D1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DB17C5">
        <w:rPr>
          <w:rFonts w:ascii="Traditional Arabic" w:hAnsi="Traditional Arabic" w:cs="Traditional Arabic"/>
          <w:sz w:val="22"/>
          <w:szCs w:val="22"/>
          <w:rtl/>
        </w:rPr>
        <w:t xml:space="preserve">، القواعد 11-12، أنظر أيضًا الفقرة 13، البروتوكول الإضافي الثاني. </w:t>
      </w:r>
    </w:p>
  </w:footnote>
  <w:footnote w:id="460">
    <w:p w14:paraId="048A02B5" w14:textId="7A7DEF4F"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xml:space="preserve">، القاعدة 12. </w:t>
      </w:r>
    </w:p>
  </w:footnote>
  <w:footnote w:id="461">
    <w:p w14:paraId="3D967C4C" w14:textId="4F8458AA"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القاعدة 156.</w:t>
      </w:r>
    </w:p>
  </w:footnote>
  <w:footnote w:id="462">
    <w:p w14:paraId="66C2F754" w14:textId="29C9DF0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تقرير اللجنة الدولية للصليب الأحمر</w:t>
      </w:r>
    </w:p>
    <w:p w14:paraId="512B4DB4" w14:textId="0B6742A5" w:rsidR="00A1624A" w:rsidRDefault="00A1624A" w:rsidP="00B81240">
      <w:pPr>
        <w:pStyle w:val="FootnoteText"/>
        <w:tabs>
          <w:tab w:val="clear" w:pos="1021"/>
        </w:tabs>
        <w:bidi/>
        <w:ind w:left="851" w:firstLine="0"/>
        <w:jc w:val="both"/>
        <w:rPr>
          <w:szCs w:val="18"/>
        </w:rPr>
      </w:pPr>
      <w:r w:rsidRPr="00F40F2F">
        <w:rPr>
          <w:szCs w:val="18"/>
        </w:rPr>
        <w:t>“International Humanitarian Law and the challenges of contemporary armed conflicts: Report, October 2011”, p.42, available at www.icrc.org/eng/assets/files/red-cross-crescent-movement/31st-international-conference/31-int-conference-ihl-challenges-report-11-5-1-2-en.pdf.</w:t>
      </w:r>
      <w:r>
        <w:rPr>
          <w:szCs w:val="18"/>
        </w:rPr>
        <w:t xml:space="preserve">  </w:t>
      </w:r>
    </w:p>
  </w:footnote>
  <w:footnote w:id="463">
    <w:p w14:paraId="737E2DE2" w14:textId="165183A7"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تقرير اللجنة الدولية للصليب الأحمر</w:t>
      </w:r>
    </w:p>
    <w:p w14:paraId="0550E123" w14:textId="13D77574" w:rsidR="00A1624A" w:rsidRPr="006970E6" w:rsidRDefault="00A1624A" w:rsidP="00B81240">
      <w:pPr>
        <w:pStyle w:val="FootnoteText"/>
        <w:tabs>
          <w:tab w:val="clear" w:pos="1021"/>
        </w:tabs>
        <w:bidi/>
        <w:ind w:left="851" w:firstLine="0"/>
        <w:jc w:val="both"/>
        <w:rPr>
          <w:sz w:val="20"/>
        </w:rPr>
      </w:pPr>
      <w:r w:rsidRPr="006970E6">
        <w:rPr>
          <w:sz w:val="20"/>
        </w:rPr>
        <w:t xml:space="preserve"> </w:t>
      </w:r>
      <w:r w:rsidRPr="006970E6">
        <w:rPr>
          <w:sz w:val="20"/>
          <w:lang w:val="en-US"/>
        </w:rPr>
        <w:t xml:space="preserve">“International humanitarian law and the challenges of contemporary armed conflicts”, Document Prepared by the ICRC, Geneva, October 2015,  </w:t>
      </w:r>
      <w:r w:rsidRPr="006970E6">
        <w:rPr>
          <w:sz w:val="20"/>
        </w:rPr>
        <w:t>(</w:t>
      </w:r>
      <w:r w:rsidRPr="006970E6">
        <w:rPr>
          <w:bCs/>
          <w:sz w:val="20"/>
        </w:rPr>
        <w:t>32IC/15/11) for the 32</w:t>
      </w:r>
      <w:r w:rsidRPr="006970E6">
        <w:rPr>
          <w:bCs/>
          <w:sz w:val="20"/>
          <w:vertAlign w:val="superscript"/>
        </w:rPr>
        <w:t>nd</w:t>
      </w:r>
      <w:r w:rsidRPr="006970E6">
        <w:rPr>
          <w:bCs/>
          <w:sz w:val="20"/>
        </w:rPr>
        <w:t xml:space="preserve"> International Conference of the Red Cross and Red Crescent, 8-10 December 2015, </w:t>
      </w:r>
      <w:r w:rsidRPr="006970E6">
        <w:rPr>
          <w:sz w:val="20"/>
          <w:lang w:val="en-US"/>
        </w:rPr>
        <w:t>Section VII, The use of explosive weapons in populated areas, p.49 and 50.</w:t>
      </w:r>
    </w:p>
  </w:footnote>
  <w:footnote w:id="464">
    <w:p w14:paraId="5ECEDDB1" w14:textId="4F35F260" w:rsidR="00A1624A" w:rsidRPr="00DB17C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DB17C5">
        <w:rPr>
          <w:rFonts w:ascii="Traditional Arabic" w:hAnsi="Traditional Arabic" w:cs="Traditional Arabic"/>
          <w:sz w:val="22"/>
          <w:szCs w:val="22"/>
          <w:rtl/>
        </w:rPr>
        <w:t>، القاعدة 156.</w:t>
      </w:r>
    </w:p>
  </w:footnote>
  <w:footnote w:id="465">
    <w:p w14:paraId="411BB953" w14:textId="3E5D87F0" w:rsidR="00A1624A" w:rsidRDefault="00A1624A" w:rsidP="00B81240">
      <w:pPr>
        <w:pStyle w:val="FootnoteText"/>
        <w:tabs>
          <w:tab w:val="clear" w:pos="1021"/>
        </w:tabs>
        <w:bidi/>
        <w:ind w:left="851" w:firstLine="0"/>
        <w:jc w:val="both"/>
        <w:rPr>
          <w:szCs w:val="18"/>
        </w:rPr>
      </w:pPr>
      <w:r w:rsidRPr="00DB17C5">
        <w:rPr>
          <w:rStyle w:val="FootnoteReference"/>
          <w:rFonts w:ascii="Traditional Arabic" w:hAnsi="Traditional Arabic" w:cs="Traditional Arabic"/>
          <w:sz w:val="22"/>
          <w:szCs w:val="22"/>
        </w:rPr>
        <w:footnoteRef/>
      </w:r>
      <w:r w:rsidRPr="00DB17C5">
        <w:rPr>
          <w:rFonts w:ascii="Traditional Arabic" w:hAnsi="Traditional Arabic" w:cs="Traditional Arabic"/>
          <w:sz w:val="22"/>
          <w:szCs w:val="22"/>
        </w:rPr>
        <w:t xml:space="preserve">  </w:t>
      </w:r>
      <w:r w:rsidRPr="00DB17C5">
        <w:rPr>
          <w:rFonts w:ascii="Traditional Arabic" w:hAnsi="Traditional Arabic" w:cs="Traditional Arabic"/>
          <w:sz w:val="22"/>
          <w:szCs w:val="22"/>
          <w:rtl/>
        </w:rPr>
        <w:t>مصادر سريّة في الملف</w:t>
      </w:r>
      <w:r w:rsidRPr="00DB17C5">
        <w:rPr>
          <w:rFonts w:ascii="Traditional Arabic" w:hAnsi="Traditional Arabic" w:cs="Traditional Arabic"/>
          <w:sz w:val="22"/>
          <w:szCs w:val="22"/>
        </w:rPr>
        <w:t>.</w:t>
      </w:r>
    </w:p>
  </w:footnote>
  <w:footnote w:id="466">
    <w:p w14:paraId="5FA17FD0" w14:textId="17F997A5" w:rsidR="00A1624A" w:rsidRDefault="00A1624A" w:rsidP="00B81240">
      <w:pPr>
        <w:pStyle w:val="FootnoteText"/>
        <w:tabs>
          <w:tab w:val="clear" w:pos="1021"/>
        </w:tabs>
        <w:bidi/>
        <w:ind w:left="851" w:firstLine="0"/>
        <w:jc w:val="both"/>
        <w:rPr>
          <w:szCs w:val="18"/>
        </w:rPr>
      </w:pPr>
      <w:r>
        <w:rPr>
          <w:rStyle w:val="FootnoteReference"/>
          <w:szCs w:val="18"/>
        </w:rPr>
        <w:footnoteRef/>
      </w:r>
      <w:r>
        <w:t xml:space="preserve"> </w:t>
      </w:r>
      <w:r>
        <w:rPr>
          <w:szCs w:val="18"/>
        </w:rPr>
        <w:t xml:space="preserve"> </w:t>
      </w:r>
      <w:r w:rsidRPr="006970E6">
        <w:rPr>
          <w:sz w:val="20"/>
        </w:rPr>
        <w:t>Mwatana, “Chapters from Hell”, p. 33.</w:t>
      </w:r>
    </w:p>
  </w:footnote>
  <w:footnote w:id="467">
    <w:p w14:paraId="51B14686" w14:textId="76A8F334"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68">
    <w:p w14:paraId="18EB551B" w14:textId="0B68E067"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69">
    <w:p w14:paraId="172C98CB" w14:textId="2BFDBAE9"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0">
    <w:p w14:paraId="24EE6F20" w14:textId="2C668F8A"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1">
    <w:p w14:paraId="6A29EE1F" w14:textId="408B100D" w:rsidR="00A1624A" w:rsidRDefault="00A1624A" w:rsidP="00B81240">
      <w:pPr>
        <w:pStyle w:val="FootnoteText"/>
        <w:tabs>
          <w:tab w:val="clear" w:pos="1021"/>
        </w:tabs>
        <w:bidi/>
        <w:ind w:left="851" w:firstLine="0"/>
        <w:jc w:val="both"/>
        <w:rPr>
          <w:szCs w:val="18"/>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2">
    <w:p w14:paraId="65A110BF" w14:textId="0ED46C47" w:rsidR="00A1624A" w:rsidRPr="006970E6" w:rsidRDefault="00A1624A" w:rsidP="00B81240">
      <w:pPr>
        <w:pStyle w:val="FootnoteText"/>
        <w:tabs>
          <w:tab w:val="clear" w:pos="1021"/>
        </w:tabs>
        <w:bidi/>
        <w:ind w:left="851" w:firstLine="0"/>
        <w:jc w:val="both"/>
        <w:rPr>
          <w:sz w:val="20"/>
          <w:lang w:val="en-US"/>
        </w:rPr>
      </w:pPr>
      <w:r w:rsidRPr="006970E6">
        <w:rPr>
          <w:rStyle w:val="FootnoteReference"/>
          <w:sz w:val="20"/>
        </w:rPr>
        <w:footnoteRef/>
      </w:r>
      <w:r w:rsidRPr="006970E6">
        <w:rPr>
          <w:sz w:val="20"/>
        </w:rPr>
        <w:t xml:space="preserve">  </w:t>
      </w:r>
      <w:hyperlink r:id="rId30" w:history="1">
        <w:r w:rsidRPr="006970E6">
          <w:rPr>
            <w:rStyle w:val="Hyperlink"/>
            <w:sz w:val="20"/>
          </w:rPr>
          <w:t>https://www.youtube.com/watch?v=ftTuj3x93mI</w:t>
        </w:r>
      </w:hyperlink>
      <w:r w:rsidRPr="006970E6">
        <w:rPr>
          <w:rStyle w:val="Hyperlink"/>
          <w:sz w:val="20"/>
        </w:rPr>
        <w:t>.</w:t>
      </w:r>
      <w:r w:rsidRPr="006970E6">
        <w:rPr>
          <w:sz w:val="20"/>
        </w:rPr>
        <w:t xml:space="preserve"> </w:t>
      </w:r>
    </w:p>
  </w:footnote>
  <w:footnote w:id="473">
    <w:p w14:paraId="2472B751" w14:textId="1AC23AA7"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4">
    <w:p w14:paraId="4A0DD1F1" w14:textId="4306137C" w:rsidR="00A1624A" w:rsidRPr="00EC7A43" w:rsidRDefault="00A1624A" w:rsidP="00B81240">
      <w:pPr>
        <w:pStyle w:val="FootnoteText"/>
        <w:shd w:val="clear" w:color="auto" w:fill="FFFFFF" w:themeFill="background1"/>
        <w:tabs>
          <w:tab w:val="clear" w:pos="1021"/>
        </w:tabs>
        <w:bidi/>
        <w:ind w:left="851" w:firstLine="0"/>
        <w:jc w:val="both"/>
        <w:rPr>
          <w:rFonts w:ascii="Traditional Arabic" w:hAnsi="Traditional Arabic" w:cs="Traditional Arabic"/>
          <w:sz w:val="22"/>
          <w:szCs w:val="22"/>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A/HRC/39/43</w:t>
      </w:r>
      <w:r>
        <w:rPr>
          <w:rFonts w:ascii="Traditional Arabic" w:hAnsi="Traditional Arabic" w:cs="Traditional Arabic" w:hint="cs"/>
          <w:sz w:val="22"/>
          <w:szCs w:val="22"/>
          <w:rtl/>
        </w:rPr>
        <w:t xml:space="preserve"> الفقرة 31</w:t>
      </w:r>
    </w:p>
  </w:footnote>
  <w:footnote w:id="475">
    <w:p w14:paraId="0F3BF015" w14:textId="02A2FBD5"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tl/>
        </w:rPr>
        <w:t xml:space="preserve"> وفقًا لمشروع البيانات اليمني، </w:t>
      </w:r>
      <w:r w:rsidRPr="006970E6">
        <w:rPr>
          <w:rStyle w:val="tlid-translation"/>
          <w:rFonts w:ascii="Traditional Arabic" w:hAnsi="Traditional Arabic" w:cs="Traditional Arabic"/>
          <w:sz w:val="22"/>
          <w:szCs w:val="22"/>
          <w:rtl/>
        </w:rPr>
        <w:t>بين آذار / مارس وكانون الأول / ديسمبر 2015، تم تنفيذ 697 غارة جوية في محافظة تعز. في العام 2016، تم تنفيذ 728 غارة جوية في محافظة تعز. في العام 2017، تم تنفيذ 1034 غارة جوية في محافظة تعز. في العام 2018، تم تنفيذ 173 غارة جوية في تعز</w:t>
      </w:r>
      <w:r w:rsidRPr="006970E6">
        <w:rPr>
          <w:rStyle w:val="tlid-translation"/>
          <w:rFonts w:ascii="Traditional Arabic" w:hAnsi="Traditional Arabic" w:cs="Traditional Arabic"/>
          <w:sz w:val="22"/>
          <w:szCs w:val="22"/>
          <w:lang w:bidi="ar"/>
        </w:rPr>
        <w:t>.</w:t>
      </w:r>
      <w:r w:rsidRPr="006970E6">
        <w:rPr>
          <w:rStyle w:val="tlid-translation"/>
          <w:rFonts w:ascii="Traditional Arabic" w:hAnsi="Traditional Arabic" w:cs="Traditional Arabic"/>
          <w:sz w:val="22"/>
          <w:szCs w:val="22"/>
          <w:rtl/>
          <w:lang w:bidi="ar"/>
        </w:rPr>
        <w:t xml:space="preserve"> </w:t>
      </w:r>
      <w:r w:rsidRPr="006970E6">
        <w:rPr>
          <w:rStyle w:val="tlid-translation"/>
          <w:rFonts w:ascii="Traditional Arabic" w:hAnsi="Traditional Arabic" w:cs="Traditional Arabic"/>
          <w:sz w:val="22"/>
          <w:szCs w:val="22"/>
          <w:rtl/>
        </w:rPr>
        <w:t xml:space="preserve">في العام 2019، وحتى نهاية تموز/ يوليو، تم تنفيذ 24 غارة جوية في محافظة تعز. في المجموع، تم تنفيذ 2656 غارة جوية في محافظة تعز من آذار/ مارس 2015 حتى نهاية تموز/ يوليو 2019. مشروع </w:t>
      </w:r>
      <w:r w:rsidRPr="006970E6">
        <w:rPr>
          <w:rFonts w:ascii="Traditional Arabic" w:hAnsi="Traditional Arabic" w:cs="Traditional Arabic"/>
          <w:sz w:val="22"/>
          <w:szCs w:val="22"/>
          <w:rtl/>
        </w:rPr>
        <w:t>البيانات اليمني</w:t>
      </w:r>
      <w:r w:rsidRPr="006970E6">
        <w:rPr>
          <w:rStyle w:val="tlid-translation"/>
          <w:rFonts w:ascii="Traditional Arabic" w:hAnsi="Traditional Arabic" w:cs="Traditional Arabic"/>
          <w:sz w:val="22"/>
          <w:szCs w:val="22"/>
          <w:rtl/>
        </w:rPr>
        <w:t xml:space="preserve"> هو مشروع لجمع البيانات مفتوحة المصدر ويتتبع الخسائر في صفوف المدنيين جرّاء النزاع المسلح في اليمن. ويصف نفسه بأنه مشروع مستقل لجمع البيانات يهدف إلى جمع ونشر البيانات المتعلقة بسير الحرب في اليمن بهدف زيادة الشفافية وتعزيز مساءلة الجهات الفاعلة المعنية. يقال إنه يتلقى تمويلًا من مؤسسات المجتمع المفتوح وجمعية </w:t>
      </w:r>
      <w:r w:rsidRPr="006970E6">
        <w:rPr>
          <w:rFonts w:ascii="Traditional Arabic" w:hAnsi="Traditional Arabic" w:cs="Traditional Arabic"/>
          <w:sz w:val="22"/>
          <w:szCs w:val="22"/>
        </w:rPr>
        <w:t xml:space="preserve">Joseph Rowntree </w:t>
      </w:r>
      <w:r w:rsidRPr="006970E6">
        <w:rPr>
          <w:rFonts w:ascii="Traditional Arabic" w:hAnsi="Traditional Arabic" w:cs="Traditional Arabic"/>
          <w:sz w:val="22"/>
          <w:szCs w:val="22"/>
          <w:rtl/>
        </w:rPr>
        <w:t xml:space="preserve"> </w:t>
      </w:r>
      <w:r w:rsidRPr="006970E6">
        <w:rPr>
          <w:rStyle w:val="tlid-translation"/>
          <w:rFonts w:ascii="Traditional Arabic" w:hAnsi="Traditional Arabic" w:cs="Traditional Arabic"/>
          <w:sz w:val="22"/>
          <w:szCs w:val="22"/>
          <w:rtl/>
        </w:rPr>
        <w:t>الخيرية و</w:t>
      </w:r>
      <w:r w:rsidRPr="006970E6">
        <w:rPr>
          <w:rFonts w:ascii="Traditional Arabic" w:hAnsi="Traditional Arabic" w:cs="Traditional Arabic"/>
          <w:sz w:val="22"/>
          <w:szCs w:val="22"/>
        </w:rPr>
        <w:t>Charitable Trust</w:t>
      </w:r>
      <w:r w:rsidRPr="006970E6">
        <w:rPr>
          <w:rFonts w:ascii="Traditional Arabic" w:hAnsi="Traditional Arabic" w:cs="Traditional Arabic"/>
          <w:sz w:val="22"/>
          <w:szCs w:val="22"/>
          <w:rtl/>
        </w:rPr>
        <w:t xml:space="preserve">. </w:t>
      </w:r>
      <w:r w:rsidRPr="006970E6">
        <w:rPr>
          <w:rStyle w:val="tlid-translation"/>
          <w:rFonts w:ascii="Traditional Arabic" w:hAnsi="Traditional Arabic" w:cs="Traditional Arabic"/>
          <w:sz w:val="22"/>
          <w:szCs w:val="22"/>
          <w:rtl/>
        </w:rPr>
        <w:t xml:space="preserve">يعتمد أيضًا على المساهمات المجانية للمتطوعين. يتم وصف طرق جمع البيانات الخاصة به على النحو التالي: يتم جمع البيانات من خلال المصادر المفتوحة والتأكد من مراجعها عبر استخدام مجموعة واسعة من المعلومات تشمل وكالات الأنباء المحلية والدولية وتقارير وسائل الإعلام، حسابات وسائل التواصل الاجتماعية بما فيهاتويتر وفايسبوك ويوتيوب وفيديويات أخرى وواتسآب، تقارير من المنظمات غير الحكومية الدولية والوطنية، السجلات الرسمية من السلطات المحلية، وتقارير مجموعات حقوق الإنسان الدولية. أنظر </w:t>
      </w:r>
      <w:r w:rsidRPr="006970E6">
        <w:rPr>
          <w:rFonts w:ascii="Traditional Arabic" w:hAnsi="Traditional Arabic" w:cs="Traditional Arabic"/>
          <w:sz w:val="22"/>
          <w:szCs w:val="22"/>
        </w:rPr>
        <w:t>https://yemendataproject.org/data.html</w:t>
      </w:r>
    </w:p>
  </w:footnote>
  <w:footnote w:id="476">
    <w:p w14:paraId="09760DD4" w14:textId="11520991"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heme="majorBidi" w:hAnsiTheme="majorBidi" w:cstheme="majorBidi"/>
          <w:sz w:val="20"/>
        </w:rPr>
        <w:t>OCHA, Yemen Humanitarian Update Covering 19 - 25 February 2018,</w:t>
      </w:r>
      <w:r w:rsidRPr="006970E6">
        <w:rPr>
          <w:rFonts w:ascii="Traditional Arabic" w:hAnsi="Traditional Arabic" w:cs="Traditional Arabic"/>
          <w:sz w:val="22"/>
          <w:szCs w:val="22"/>
        </w:rPr>
        <w:t xml:space="preserve"> </w:t>
      </w:r>
    </w:p>
  </w:footnote>
  <w:footnote w:id="477">
    <w:p w14:paraId="10FD3A56" w14:textId="35CAA436"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8">
    <w:p w14:paraId="5DB3B12F" w14:textId="44FCBAD0" w:rsidR="00A1624A" w:rsidRPr="006970E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79">
    <w:p w14:paraId="51A13DE7" w14:textId="06BD741F" w:rsidR="00A1624A" w:rsidRDefault="00A1624A" w:rsidP="00B81240">
      <w:pPr>
        <w:pStyle w:val="FootnoteText"/>
        <w:tabs>
          <w:tab w:val="clear" w:pos="1021"/>
        </w:tabs>
        <w:bidi/>
        <w:ind w:left="851" w:firstLine="0"/>
        <w:jc w:val="both"/>
        <w:rPr>
          <w:szCs w:val="18"/>
        </w:rPr>
      </w:pPr>
      <w:r w:rsidRPr="006970E6">
        <w:rPr>
          <w:rStyle w:val="FootnoteReference"/>
          <w:rFonts w:ascii="Traditional Arabic" w:hAnsi="Traditional Arabic" w:cs="Traditional Arabic"/>
          <w:sz w:val="22"/>
          <w:szCs w:val="22"/>
        </w:rPr>
        <w:footnoteRef/>
      </w:r>
      <w:r w:rsidRPr="006970E6">
        <w:rPr>
          <w:rFonts w:ascii="Traditional Arabic" w:hAnsi="Traditional Arabic" w:cs="Traditional Arabic"/>
          <w:sz w:val="22"/>
          <w:szCs w:val="22"/>
        </w:rPr>
        <w:t xml:space="preserve"> </w:t>
      </w:r>
      <w:r w:rsidRPr="006970E6">
        <w:rPr>
          <w:rFonts w:ascii="Traditional Arabic" w:hAnsi="Traditional Arabic" w:cs="Traditional Arabic"/>
          <w:sz w:val="22"/>
          <w:szCs w:val="22"/>
          <w:rtl/>
        </w:rPr>
        <w:t>مصادر سريّة في الملف</w:t>
      </w:r>
      <w:r w:rsidRPr="006970E6">
        <w:rPr>
          <w:rFonts w:ascii="Traditional Arabic" w:hAnsi="Traditional Arabic" w:cs="Traditional Arabic"/>
          <w:sz w:val="22"/>
          <w:szCs w:val="22"/>
        </w:rPr>
        <w:t>.</w:t>
      </w:r>
    </w:p>
  </w:footnote>
  <w:footnote w:id="480">
    <w:p w14:paraId="31D09AFD" w14:textId="770233D0" w:rsidR="00A1624A" w:rsidRPr="00446364" w:rsidRDefault="00A1624A" w:rsidP="00B81240">
      <w:pPr>
        <w:pStyle w:val="FootnoteText"/>
        <w:tabs>
          <w:tab w:val="clear" w:pos="1021"/>
        </w:tabs>
        <w:bidi/>
        <w:ind w:left="851" w:firstLine="0"/>
        <w:jc w:val="both"/>
        <w:rPr>
          <w:sz w:val="20"/>
        </w:rPr>
      </w:pPr>
      <w:r w:rsidRPr="00446364">
        <w:rPr>
          <w:rStyle w:val="FootnoteReference"/>
          <w:sz w:val="20"/>
        </w:rPr>
        <w:footnoteRef/>
      </w:r>
      <w:r w:rsidRPr="00446364">
        <w:rPr>
          <w:sz w:val="20"/>
        </w:rPr>
        <w:t xml:space="preserve"> http://sanaacenter.org/publications/the-yemen-review/6620. </w:t>
      </w:r>
    </w:p>
  </w:footnote>
  <w:footnote w:id="481">
    <w:p w14:paraId="2AD6AE1C" w14:textId="7751DF2F"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 xml:space="preserve">خلال هذه الأحداث، تلقى فريق الخبراء تقارير عن حرق مستشفى ومنازل مجاورة واختطافات وإعدام بإجراءات موجزة. </w:t>
      </w:r>
    </w:p>
  </w:footnote>
  <w:footnote w:id="482">
    <w:p w14:paraId="08E2259E" w14:textId="65A0C328"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3">
    <w:p w14:paraId="6734D3AA" w14:textId="2A00D171"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4">
    <w:p w14:paraId="70A920CF" w14:textId="42AA444A" w:rsidR="00A1624A" w:rsidRPr="00446364"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5">
    <w:p w14:paraId="235C8F4D" w14:textId="243FAC04" w:rsidR="00A1624A" w:rsidRDefault="00A1624A" w:rsidP="00B81240">
      <w:pPr>
        <w:pStyle w:val="FootnoteText"/>
        <w:tabs>
          <w:tab w:val="clear" w:pos="1021"/>
        </w:tabs>
        <w:bidi/>
        <w:ind w:left="851" w:firstLine="0"/>
        <w:jc w:val="both"/>
        <w:rPr>
          <w:szCs w:val="18"/>
          <w:lang w:val="en-US"/>
        </w:rPr>
      </w:pPr>
      <w:r w:rsidRPr="00446364">
        <w:rPr>
          <w:rStyle w:val="FootnoteReference"/>
          <w:rFonts w:ascii="Traditional Arabic" w:hAnsi="Traditional Arabic" w:cs="Traditional Arabic"/>
          <w:sz w:val="22"/>
          <w:szCs w:val="22"/>
        </w:rPr>
        <w:footnoteRef/>
      </w:r>
      <w:r w:rsidRPr="00446364">
        <w:rPr>
          <w:rFonts w:ascii="Traditional Arabic" w:hAnsi="Traditional Arabic" w:cs="Traditional Arabic"/>
          <w:sz w:val="22"/>
          <w:szCs w:val="22"/>
        </w:rPr>
        <w:t xml:space="preserve">  </w:t>
      </w:r>
      <w:r w:rsidRPr="00446364">
        <w:rPr>
          <w:rFonts w:ascii="Traditional Arabic" w:hAnsi="Traditional Arabic" w:cs="Traditional Arabic"/>
          <w:sz w:val="22"/>
          <w:szCs w:val="22"/>
          <w:rtl/>
        </w:rPr>
        <w:t>مصادر سريّة في الملف</w:t>
      </w:r>
      <w:r w:rsidRPr="00446364">
        <w:rPr>
          <w:rFonts w:ascii="Traditional Arabic" w:hAnsi="Traditional Arabic" w:cs="Traditional Arabic"/>
          <w:sz w:val="22"/>
          <w:szCs w:val="22"/>
        </w:rPr>
        <w:t>.</w:t>
      </w:r>
    </w:p>
  </w:footnote>
  <w:footnote w:id="486">
    <w:p w14:paraId="30F2383E" w14:textId="003ECD3F"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7">
    <w:p w14:paraId="57647000" w14:textId="32D3530C"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8">
    <w:p w14:paraId="432982CC" w14:textId="466D6A77"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lang w:val="en-US"/>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89">
    <w:p w14:paraId="2A8B9AF0" w14:textId="2A50EC28"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0">
    <w:p w14:paraId="48C39FF6" w14:textId="7B70E865"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1">
    <w:p w14:paraId="13DC71BE" w14:textId="006E01A2"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2">
    <w:p w14:paraId="0B04438B" w14:textId="51143937"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تشير تقارير أخرى إلى إطلاق الصواريخ من قرية البرح، مديرية مقبنة. مصادر سريّة في الملف</w:t>
      </w:r>
      <w:r w:rsidRPr="001D3023">
        <w:rPr>
          <w:rFonts w:ascii="Traditional Arabic" w:hAnsi="Traditional Arabic" w:cs="Traditional Arabic"/>
          <w:sz w:val="22"/>
          <w:szCs w:val="22"/>
        </w:rPr>
        <w:t>.</w:t>
      </w:r>
      <w:r w:rsidRPr="001D3023">
        <w:rPr>
          <w:rFonts w:ascii="Traditional Arabic" w:hAnsi="Traditional Arabic" w:cs="Traditional Arabic"/>
          <w:sz w:val="22"/>
          <w:szCs w:val="22"/>
          <w:rtl/>
        </w:rPr>
        <w:t xml:space="preserve"> </w:t>
      </w:r>
    </w:p>
  </w:footnote>
  <w:footnote w:id="493">
    <w:p w14:paraId="3D9FE3D8" w14:textId="29288A21"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4">
    <w:p w14:paraId="39F49FB9" w14:textId="5DD6114C"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5">
    <w:p w14:paraId="78A05645" w14:textId="3732111E"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6">
    <w:p w14:paraId="3A1A7BA5" w14:textId="0EEE9646"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7">
    <w:p w14:paraId="2506360B" w14:textId="1A167BCB"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8">
    <w:p w14:paraId="7A541A4F" w14:textId="70B2750B"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499">
    <w:p w14:paraId="0782527F" w14:textId="2503C46E"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0">
    <w:p w14:paraId="2DA3871D" w14:textId="6090CCD0"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1">
    <w:p w14:paraId="7583271E" w14:textId="26DE1502"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2">
    <w:p w14:paraId="4380A3F5" w14:textId="4A2EC194"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3">
    <w:p w14:paraId="391EC3CC" w14:textId="1D4B7EC3"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4">
    <w:p w14:paraId="6C4A421F" w14:textId="30E3FA98"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05">
    <w:p w14:paraId="77D7975E" w14:textId="2FBF437F"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 xml:space="preserve">الفقرة </w:t>
      </w:r>
      <w:r w:rsidRPr="001D3023">
        <w:rPr>
          <w:rFonts w:ascii="Traditional Arabic" w:hAnsi="Traditional Arabic" w:cs="Traditional Arabic"/>
          <w:sz w:val="22"/>
          <w:szCs w:val="22"/>
          <w:lang w:val="en-US"/>
        </w:rPr>
        <w:t>8 2.(e)(i)</w:t>
      </w:r>
      <w:r w:rsidRPr="001D3023">
        <w:rPr>
          <w:rFonts w:ascii="Traditional Arabic" w:hAnsi="Traditional Arabic" w:cs="Traditional Arabic"/>
          <w:sz w:val="22"/>
          <w:szCs w:val="22"/>
          <w:rtl/>
          <w:lang w:val="en-US"/>
        </w:rPr>
        <w:t xml:space="preserve"> </w:t>
      </w:r>
      <w:r w:rsidRPr="001D3023">
        <w:rPr>
          <w:rStyle w:val="ar"/>
          <w:rFonts w:ascii="Traditional Arabic" w:hAnsi="Traditional Arabic" w:cs="Traditional Arabic"/>
          <w:sz w:val="22"/>
          <w:szCs w:val="22"/>
          <w:rtl/>
        </w:rPr>
        <w:t xml:space="preserve">نظام روما الأساسي. </w:t>
      </w:r>
    </w:p>
  </w:footnote>
  <w:footnote w:id="506">
    <w:p w14:paraId="24D6F7F2" w14:textId="2B0409E3"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 xml:space="preserve">الفقرة </w:t>
      </w:r>
      <w:r w:rsidRPr="001D3023">
        <w:rPr>
          <w:rFonts w:ascii="Traditional Arabic" w:hAnsi="Traditional Arabic" w:cs="Traditional Arabic"/>
          <w:sz w:val="22"/>
          <w:szCs w:val="22"/>
        </w:rPr>
        <w:t>13(2)</w:t>
      </w:r>
      <w:r w:rsidRPr="001D3023">
        <w:rPr>
          <w:rFonts w:ascii="Traditional Arabic" w:hAnsi="Traditional Arabic" w:cs="Traditional Arabic"/>
          <w:sz w:val="22"/>
          <w:szCs w:val="22"/>
          <w:rtl/>
        </w:rPr>
        <w:t xml:space="preserve"> البروتوكول الإضافي الثاني، </w:t>
      </w:r>
      <w:r w:rsidRPr="001D302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11-12. </w:t>
      </w:r>
    </w:p>
  </w:footnote>
  <w:footnote w:id="507">
    <w:p w14:paraId="65F2D00F" w14:textId="03A93D38"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12. </w:t>
      </w:r>
    </w:p>
  </w:footnote>
  <w:footnote w:id="508">
    <w:p w14:paraId="2F24C4CA" w14:textId="40828900" w:rsidR="00A1624A" w:rsidRDefault="00A1624A" w:rsidP="00B81240">
      <w:pPr>
        <w:pStyle w:val="FootnoteText"/>
        <w:tabs>
          <w:tab w:val="clear" w:pos="1021"/>
        </w:tabs>
        <w:bidi/>
        <w:ind w:left="851" w:firstLine="0"/>
        <w:jc w:val="both"/>
        <w:rPr>
          <w:szCs w:val="18"/>
          <w:lang w:val="en-US"/>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156.</w:t>
      </w:r>
      <w:r>
        <w:rPr>
          <w:rStyle w:val="tlid-translation"/>
          <w:rFonts w:hint="cs"/>
          <w:rtl/>
        </w:rPr>
        <w:t xml:space="preserve"> </w:t>
      </w:r>
    </w:p>
  </w:footnote>
  <w:footnote w:id="509">
    <w:p w14:paraId="309E3E18" w14:textId="381A4E29" w:rsidR="00A1624A" w:rsidRPr="001D302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10">
    <w:p w14:paraId="41C0E7D9" w14:textId="437172FE" w:rsidR="00A1624A" w:rsidRDefault="00A1624A" w:rsidP="00B81240">
      <w:pPr>
        <w:pStyle w:val="FootnoteText"/>
        <w:tabs>
          <w:tab w:val="clear" w:pos="1021"/>
        </w:tabs>
        <w:bidi/>
        <w:ind w:left="851" w:firstLine="0"/>
        <w:jc w:val="both"/>
      </w:pPr>
      <w:r w:rsidRPr="001D3023">
        <w:rPr>
          <w:rStyle w:val="FootnoteReference"/>
          <w:rFonts w:ascii="Traditional Arabic" w:hAnsi="Traditional Arabic" w:cs="Traditional Arabic"/>
          <w:sz w:val="22"/>
          <w:szCs w:val="22"/>
        </w:rPr>
        <w:footnoteRef/>
      </w:r>
      <w:r w:rsidRPr="001D3023">
        <w:rPr>
          <w:rFonts w:ascii="Traditional Arabic" w:hAnsi="Traditional Arabic" w:cs="Traditional Arabic"/>
          <w:sz w:val="22"/>
          <w:szCs w:val="22"/>
        </w:rPr>
        <w:t xml:space="preserve"> </w:t>
      </w:r>
      <w:r w:rsidRPr="001D3023">
        <w:rPr>
          <w:rFonts w:ascii="Traditional Arabic" w:hAnsi="Traditional Arabic" w:cs="Traditional Arabic"/>
          <w:sz w:val="22"/>
          <w:szCs w:val="22"/>
          <w:rtl/>
        </w:rPr>
        <w:t>مصادر سريّة في الملف</w:t>
      </w:r>
      <w:r w:rsidRPr="001D3023">
        <w:rPr>
          <w:rFonts w:ascii="Traditional Arabic" w:hAnsi="Traditional Arabic" w:cs="Traditional Arabic"/>
          <w:sz w:val="22"/>
          <w:szCs w:val="22"/>
        </w:rPr>
        <w:t>.</w:t>
      </w:r>
    </w:p>
  </w:footnote>
  <w:footnote w:id="511">
    <w:p w14:paraId="208B5477" w14:textId="118BD5DA" w:rsidR="00A1624A" w:rsidRPr="006842B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Fonts w:ascii="Traditional Arabic" w:hAnsi="Traditional Arabic" w:cs="Traditional Arabic"/>
          <w:sz w:val="22"/>
          <w:szCs w:val="22"/>
          <w:rtl/>
        </w:rPr>
        <w:t>مصادر سريّة في الملف</w:t>
      </w:r>
      <w:r w:rsidRPr="006842B4">
        <w:rPr>
          <w:rFonts w:ascii="Traditional Arabic" w:hAnsi="Traditional Arabic" w:cs="Traditional Arabic"/>
          <w:sz w:val="22"/>
          <w:szCs w:val="22"/>
        </w:rPr>
        <w:t>.</w:t>
      </w:r>
    </w:p>
  </w:footnote>
  <w:footnote w:id="512">
    <w:p w14:paraId="1C340A89" w14:textId="5281289A" w:rsidR="00A1624A" w:rsidRPr="006842B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Fonts w:ascii="Traditional Arabic" w:hAnsi="Traditional Arabic" w:cs="Traditional Arabic"/>
          <w:sz w:val="22"/>
          <w:szCs w:val="22"/>
          <w:rtl/>
        </w:rPr>
        <w:t>مصادر سريّة في الملف</w:t>
      </w:r>
      <w:r w:rsidRPr="006842B4">
        <w:rPr>
          <w:rFonts w:ascii="Traditional Arabic" w:hAnsi="Traditional Arabic" w:cs="Traditional Arabic"/>
          <w:sz w:val="22"/>
          <w:szCs w:val="22"/>
        </w:rPr>
        <w:t>.</w:t>
      </w:r>
    </w:p>
  </w:footnote>
  <w:footnote w:id="513">
    <w:p w14:paraId="1384F12E" w14:textId="4E044722" w:rsidR="00A1624A" w:rsidRPr="00E149C8" w:rsidRDefault="00A1624A" w:rsidP="00B81240">
      <w:pPr>
        <w:pStyle w:val="FootnoteText"/>
        <w:tabs>
          <w:tab w:val="clear" w:pos="1021"/>
        </w:tabs>
        <w:bidi/>
        <w:ind w:left="851" w:firstLine="0"/>
        <w:jc w:val="both"/>
        <w:rPr>
          <w:sz w:val="20"/>
          <w:lang w:bidi="ar-JO"/>
        </w:rPr>
      </w:pPr>
      <w:r w:rsidRPr="006842B4">
        <w:rPr>
          <w:rStyle w:val="FootnoteReference"/>
          <w:rFonts w:ascii="Traditional Arabic" w:hAnsi="Traditional Arabic" w:cs="Traditional Arabic"/>
          <w:sz w:val="22"/>
          <w:szCs w:val="22"/>
        </w:rPr>
        <w:footnoteRef/>
      </w:r>
      <w:r w:rsidRPr="006842B4">
        <w:rPr>
          <w:rFonts w:ascii="Traditional Arabic" w:hAnsi="Traditional Arabic" w:cs="Traditional Arabic"/>
          <w:sz w:val="22"/>
          <w:szCs w:val="22"/>
        </w:rPr>
        <w:t xml:space="preserve"> </w:t>
      </w:r>
      <w:r w:rsidRPr="006842B4">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81.</w:t>
      </w:r>
      <w:r w:rsidRPr="00E149C8">
        <w:rPr>
          <w:rStyle w:val="tlid-translation"/>
          <w:rFonts w:hint="cs"/>
          <w:sz w:val="20"/>
          <w:rtl/>
        </w:rPr>
        <w:t xml:space="preserve"> </w:t>
      </w:r>
    </w:p>
  </w:footnote>
  <w:footnote w:id="514">
    <w:p w14:paraId="6E252928" w14:textId="214B4788"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 xml:space="preserve">بيان من مصدر سري، في الملف مع فريق الخبراء البارزين. </w:t>
      </w:r>
    </w:p>
  </w:footnote>
  <w:footnote w:id="515">
    <w:p w14:paraId="22A8CD42" w14:textId="3BC816DD"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6">
    <w:p w14:paraId="40D71BD7" w14:textId="24D2DB0D"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7">
    <w:p w14:paraId="1753F028" w14:textId="409DDEAA" w:rsidR="00A1624A" w:rsidRPr="00BE746A"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8">
    <w:p w14:paraId="0A30FB56" w14:textId="58F1B9D1" w:rsidR="00A1624A" w:rsidRDefault="00A1624A" w:rsidP="00B81240">
      <w:pPr>
        <w:pStyle w:val="FootnoteText"/>
        <w:tabs>
          <w:tab w:val="clear" w:pos="1021"/>
        </w:tabs>
        <w:bidi/>
        <w:ind w:left="851" w:firstLine="0"/>
        <w:jc w:val="both"/>
        <w:rPr>
          <w:szCs w:val="18"/>
        </w:rPr>
      </w:pPr>
      <w:r w:rsidRPr="00BE746A">
        <w:rPr>
          <w:rStyle w:val="FootnoteReference"/>
          <w:rFonts w:ascii="Traditional Arabic" w:hAnsi="Traditional Arabic" w:cs="Traditional Arabic"/>
          <w:sz w:val="22"/>
          <w:szCs w:val="22"/>
        </w:rPr>
        <w:footnoteRef/>
      </w:r>
      <w:r w:rsidRPr="00BE746A">
        <w:rPr>
          <w:rFonts w:ascii="Traditional Arabic" w:hAnsi="Traditional Arabic" w:cs="Traditional Arabic"/>
          <w:sz w:val="22"/>
          <w:szCs w:val="22"/>
        </w:rPr>
        <w:t xml:space="preserve">  </w:t>
      </w:r>
      <w:r w:rsidRPr="00BE746A">
        <w:rPr>
          <w:rFonts w:ascii="Traditional Arabic" w:hAnsi="Traditional Arabic" w:cs="Traditional Arabic"/>
          <w:sz w:val="22"/>
          <w:szCs w:val="22"/>
          <w:rtl/>
        </w:rPr>
        <w:t>مصادر سريّة في الملف</w:t>
      </w:r>
      <w:r w:rsidRPr="00BE746A">
        <w:rPr>
          <w:rFonts w:ascii="Traditional Arabic" w:hAnsi="Traditional Arabic" w:cs="Traditional Arabic"/>
          <w:sz w:val="22"/>
          <w:szCs w:val="22"/>
        </w:rPr>
        <w:t>.</w:t>
      </w:r>
    </w:p>
  </w:footnote>
  <w:footnote w:id="519">
    <w:p w14:paraId="1426CCB0" w14:textId="5F3D8C0C"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0">
    <w:p w14:paraId="2F87497D" w14:textId="6FA02E54"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OCHA, </w:t>
      </w:r>
      <w:r>
        <w:rPr>
          <w:szCs w:val="18"/>
          <w:lang w:val="en-US"/>
        </w:rPr>
        <w:t xml:space="preserve">Statement of the Humanitarian Coordinator for Yemen, Johannes Van Der Klauuw, on the dire situation in Taizz City, 24 October 2015, available at </w:t>
      </w:r>
      <w:hyperlink r:id="rId31" w:history="1">
        <w:r>
          <w:rPr>
            <w:rStyle w:val="Hyperlink"/>
            <w:szCs w:val="18"/>
          </w:rPr>
          <w:t>https://reliefweb.int/sites/reliefweb.int/files/resources/humantarian_coordinator_for_yemen_statement_on_situation_in_taizz_-_en_-_24._october_2015.pdf</w:t>
        </w:r>
      </w:hyperlink>
      <w:r>
        <w:rPr>
          <w:rStyle w:val="Hyperlink"/>
          <w:szCs w:val="18"/>
        </w:rPr>
        <w:t>.</w:t>
      </w:r>
    </w:p>
  </w:footnote>
  <w:footnote w:id="521">
    <w:p w14:paraId="741B1A2C" w14:textId="6D207861"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Pr>
          <w:rFonts w:hint="cs"/>
          <w:szCs w:val="18"/>
          <w:rtl/>
          <w:lang w:val="en-US"/>
        </w:rPr>
        <w:t xml:space="preserve">المرجع نفسه. </w:t>
      </w:r>
    </w:p>
  </w:footnote>
  <w:footnote w:id="522">
    <w:p w14:paraId="4EC7FB0D" w14:textId="2B60C0BB"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3">
    <w:p w14:paraId="68F6FF4E" w14:textId="158EBD00"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4">
    <w:p w14:paraId="66AD4E84" w14:textId="566E4C98"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lang w:val="en-US"/>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25">
    <w:p w14:paraId="21AA0F79" w14:textId="57D576AD"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6">
    <w:p w14:paraId="14204F8E" w14:textId="295031FE"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7">
    <w:p w14:paraId="3698AFB6" w14:textId="770D342A"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8">
    <w:p w14:paraId="1A99AAA4" w14:textId="35D73D0B" w:rsidR="00A1624A" w:rsidRPr="006149F8"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29">
    <w:p w14:paraId="14342109" w14:textId="1B81DEA0" w:rsidR="00A1624A" w:rsidRDefault="00A1624A" w:rsidP="00B81240">
      <w:pPr>
        <w:pStyle w:val="FootnoteText"/>
        <w:tabs>
          <w:tab w:val="clear" w:pos="1021"/>
        </w:tabs>
        <w:bidi/>
        <w:ind w:left="851" w:firstLine="0"/>
        <w:jc w:val="both"/>
        <w:rPr>
          <w:szCs w:val="18"/>
        </w:rPr>
      </w:pPr>
      <w:r w:rsidRPr="006149F8">
        <w:rPr>
          <w:rStyle w:val="FootnoteReference"/>
          <w:rFonts w:ascii="Traditional Arabic" w:hAnsi="Traditional Arabic" w:cs="Traditional Arabic"/>
          <w:sz w:val="22"/>
          <w:szCs w:val="22"/>
        </w:rPr>
        <w:footnoteRef/>
      </w:r>
      <w:r w:rsidRPr="006149F8">
        <w:rPr>
          <w:rFonts w:ascii="Traditional Arabic" w:hAnsi="Traditional Arabic" w:cs="Traditional Arabic"/>
          <w:sz w:val="22"/>
          <w:szCs w:val="22"/>
        </w:rPr>
        <w:t xml:space="preserve"> </w:t>
      </w:r>
      <w:r w:rsidRPr="006149F8">
        <w:rPr>
          <w:rFonts w:ascii="Traditional Arabic" w:hAnsi="Traditional Arabic" w:cs="Traditional Arabic"/>
          <w:sz w:val="22"/>
          <w:szCs w:val="22"/>
          <w:rtl/>
        </w:rPr>
        <w:t>مصادر سريّة في الملف</w:t>
      </w:r>
      <w:r w:rsidRPr="006149F8">
        <w:rPr>
          <w:rFonts w:ascii="Traditional Arabic" w:hAnsi="Traditional Arabic" w:cs="Traditional Arabic"/>
          <w:sz w:val="22"/>
          <w:szCs w:val="22"/>
        </w:rPr>
        <w:t>.</w:t>
      </w:r>
    </w:p>
  </w:footnote>
  <w:footnote w:id="530">
    <w:p w14:paraId="2EE40660" w14:textId="24A3C257" w:rsidR="00A1624A" w:rsidRDefault="00A1624A" w:rsidP="00B81240">
      <w:pPr>
        <w:pStyle w:val="FootnoteText"/>
        <w:tabs>
          <w:tab w:val="clear" w:pos="1021"/>
        </w:tabs>
        <w:bidi/>
        <w:ind w:left="851" w:firstLine="0"/>
        <w:jc w:val="both"/>
        <w:rPr>
          <w:szCs w:val="18"/>
          <w:lang w:val="en-US"/>
        </w:rPr>
      </w:pPr>
      <w:r w:rsidRPr="000E6F8E">
        <w:rPr>
          <w:rStyle w:val="FootnoteReference"/>
          <w:rFonts w:ascii="Traditional Arabic" w:hAnsi="Traditional Arabic" w:cs="Traditional Arabic"/>
          <w:sz w:val="22"/>
          <w:szCs w:val="22"/>
        </w:rPr>
        <w:footnoteRef/>
      </w:r>
      <w:r w:rsidRPr="000E6F8E">
        <w:rPr>
          <w:rFonts w:ascii="Traditional Arabic" w:hAnsi="Traditional Arabic" w:cs="Traditional Arabic"/>
          <w:sz w:val="22"/>
          <w:szCs w:val="22"/>
        </w:rPr>
        <w:t xml:space="preserve"> </w:t>
      </w:r>
      <w:r w:rsidRPr="000E6F8E">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531">
    <w:p w14:paraId="7CD55BE0" w14:textId="2D96AB36" w:rsidR="00A1624A" w:rsidRDefault="00A1624A" w:rsidP="00B81240">
      <w:pPr>
        <w:bidi/>
        <w:ind w:left="851" w:right="1134"/>
        <w:jc w:val="both"/>
        <w:rPr>
          <w:sz w:val="18"/>
          <w:szCs w:val="18"/>
        </w:rPr>
      </w:pPr>
      <w:r>
        <w:rPr>
          <w:rStyle w:val="FootnoteReference"/>
          <w:szCs w:val="18"/>
        </w:rPr>
        <w:footnoteRef/>
      </w:r>
      <w:r>
        <w:rPr>
          <w:sz w:val="18"/>
          <w:szCs w:val="18"/>
        </w:rPr>
        <w:t xml:space="preserve"> Médecins Sans Frontières, “Yemen: Healthcare under siege in Taiz”, 30 January 2017, p. 26.  </w:t>
      </w:r>
    </w:p>
  </w:footnote>
  <w:footnote w:id="532">
    <w:p w14:paraId="203299C3" w14:textId="6AD7BDAE" w:rsidR="00A1624A" w:rsidRPr="000E6F8E"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E6F8E">
        <w:rPr>
          <w:rStyle w:val="FootnoteReference"/>
          <w:rFonts w:ascii="Traditional Arabic" w:hAnsi="Traditional Arabic" w:cs="Traditional Arabic"/>
          <w:sz w:val="22"/>
          <w:szCs w:val="22"/>
        </w:rPr>
        <w:footnoteRef/>
      </w:r>
      <w:r w:rsidRPr="000E6F8E">
        <w:rPr>
          <w:rFonts w:ascii="Traditional Arabic" w:hAnsi="Traditional Arabic" w:cs="Traditional Arabic"/>
          <w:sz w:val="22"/>
          <w:szCs w:val="22"/>
        </w:rPr>
        <w:t xml:space="preserve"> </w:t>
      </w:r>
      <w:r w:rsidRPr="000E6F8E">
        <w:rPr>
          <w:rFonts w:ascii="Traditional Arabic" w:hAnsi="Traditional Arabic" w:cs="Traditional Arabic"/>
          <w:sz w:val="22"/>
          <w:szCs w:val="22"/>
          <w:rtl/>
        </w:rPr>
        <w:t>مصادر سريّة في الملف</w:t>
      </w:r>
      <w:r w:rsidRPr="000E6F8E">
        <w:rPr>
          <w:rFonts w:ascii="Traditional Arabic" w:hAnsi="Traditional Arabic" w:cs="Traditional Arabic"/>
          <w:sz w:val="22"/>
          <w:szCs w:val="22"/>
        </w:rPr>
        <w:t>.</w:t>
      </w:r>
    </w:p>
  </w:footnote>
  <w:footnote w:id="533">
    <w:p w14:paraId="50418B35" w14:textId="7BFE4831"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Médecins Sans Frontières, “Complicated Delivery: The Yemeni Mothers and Children Dying Without Medical Care”, 24 April 2019.</w:t>
      </w:r>
    </w:p>
  </w:footnote>
  <w:footnote w:id="534">
    <w:p w14:paraId="7D864106" w14:textId="4F5EE6B3"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5">
    <w:p w14:paraId="22797C0B" w14:textId="479DCAD0"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6">
    <w:p w14:paraId="29986506" w14:textId="0703DA29"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مصادر سريّة في الملف</w:t>
      </w:r>
      <w:r w:rsidRPr="00D71765">
        <w:rPr>
          <w:rFonts w:ascii="Traditional Arabic" w:hAnsi="Traditional Arabic" w:cs="Traditional Arabic"/>
          <w:sz w:val="22"/>
          <w:szCs w:val="22"/>
        </w:rPr>
        <w:t>.</w:t>
      </w:r>
    </w:p>
  </w:footnote>
  <w:footnote w:id="537">
    <w:p w14:paraId="56686567" w14:textId="522329A4" w:rsidR="00A1624A" w:rsidRPr="00D7176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 xml:space="preserve">لمزيد من المعلومات حول وضع "المهمشين" أنظر الفصل حول المجتمعات الضعيفة. </w:t>
      </w:r>
    </w:p>
  </w:footnote>
  <w:footnote w:id="538">
    <w:p w14:paraId="7E071288" w14:textId="30080CCB" w:rsidR="00A1624A" w:rsidRPr="007C30AB" w:rsidRDefault="00A1624A" w:rsidP="00B81240">
      <w:pPr>
        <w:pStyle w:val="FootnoteText"/>
        <w:tabs>
          <w:tab w:val="clear" w:pos="1021"/>
        </w:tabs>
        <w:bidi/>
        <w:ind w:left="851" w:firstLine="0"/>
        <w:jc w:val="both"/>
        <w:rPr>
          <w:sz w:val="20"/>
        </w:rPr>
      </w:pPr>
      <w:r w:rsidRPr="00D71765">
        <w:rPr>
          <w:rStyle w:val="FootnoteReference"/>
          <w:rFonts w:ascii="Traditional Arabic" w:hAnsi="Traditional Arabic" w:cs="Traditional Arabic"/>
          <w:sz w:val="22"/>
          <w:szCs w:val="22"/>
        </w:rPr>
        <w:footnoteRef/>
      </w:r>
      <w:r w:rsidRPr="00D71765">
        <w:rPr>
          <w:rFonts w:ascii="Traditional Arabic" w:hAnsi="Traditional Arabic" w:cs="Traditional Arabic"/>
          <w:sz w:val="22"/>
          <w:szCs w:val="22"/>
        </w:rPr>
        <w:t xml:space="preserve"> </w:t>
      </w:r>
      <w:r w:rsidRPr="00D71765">
        <w:rPr>
          <w:rFonts w:ascii="Traditional Arabic" w:hAnsi="Traditional Arabic" w:cs="Traditional Arabic"/>
          <w:sz w:val="22"/>
          <w:szCs w:val="22"/>
          <w:rtl/>
        </w:rPr>
        <w:t>شهادة من مصدر سرّي، لم يتم مشاركة الهوية لأسباب تتعلق بالحماية.</w:t>
      </w:r>
    </w:p>
  </w:footnote>
  <w:footnote w:id="539">
    <w:p w14:paraId="705EDDBF" w14:textId="278BED56"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مصطلح حصار ليس له تعريف في القانون الدولي</w:t>
      </w:r>
      <w:r w:rsidRPr="00852CE7">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852CE7">
        <w:rPr>
          <w:rStyle w:val="tlid-translation"/>
          <w:rFonts w:ascii="Traditional Arabic" w:hAnsi="Traditional Arabic" w:cs="Traditional Arabic"/>
          <w:sz w:val="22"/>
          <w:szCs w:val="22"/>
          <w:rtl/>
          <w:lang w:bidi="ar"/>
        </w:rPr>
        <w:t xml:space="preserve"> </w:t>
      </w:r>
      <w:r w:rsidRPr="00852CE7">
        <w:rPr>
          <w:rStyle w:val="tlid-translation"/>
          <w:rFonts w:ascii="Traditional Arabic" w:hAnsi="Traditional Arabic" w:cs="Traditional Arabic"/>
          <w:sz w:val="22"/>
          <w:szCs w:val="22"/>
          <w:rtl/>
        </w:rPr>
        <w:t xml:space="preserve">وقانون حقوق الإنسان المتعلق بالحصار العسكري كأسلوب قتال، كانون الثاني، يناير 2017. </w:t>
      </w:r>
    </w:p>
  </w:footnote>
  <w:footnote w:id="540">
    <w:p w14:paraId="026DC96C" w14:textId="73A5E906"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 xml:space="preserve">المادة 14 من </w:t>
      </w:r>
      <w:r w:rsidRPr="00852CE7">
        <w:rPr>
          <w:rStyle w:val="tlid-translation"/>
          <w:rFonts w:ascii="Traditional Arabic" w:hAnsi="Traditional Arabic" w:cs="Traditional Arabic"/>
          <w:sz w:val="22"/>
          <w:szCs w:val="22"/>
          <w:rtl/>
        </w:rPr>
        <w:t>البروتوكول الإضافي الثاني، أنظر أيضًا دراسة اللجنة الدولية للصليب الأحمر حول القانون الدولي الإنساني العرفي، القاعدة 53.</w:t>
      </w:r>
    </w:p>
  </w:footnote>
  <w:footnote w:id="541">
    <w:p w14:paraId="48D4F067" w14:textId="4CA375FE"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 xml:space="preserve">المادة 11 </w:t>
      </w:r>
      <w:r w:rsidRPr="00852CE7">
        <w:rPr>
          <w:rStyle w:val="preferred"/>
          <w:rFonts w:ascii="Traditional Arabic" w:hAnsi="Traditional Arabic" w:cs="Traditional Arabic"/>
          <w:sz w:val="22"/>
          <w:szCs w:val="22"/>
          <w:cs/>
        </w:rPr>
        <w:t>‎</w:t>
      </w:r>
      <w:r w:rsidRPr="00852CE7">
        <w:rPr>
          <w:rStyle w:val="preferred"/>
          <w:rFonts w:ascii="Traditional Arabic" w:hAnsi="Traditional Arabic" w:cs="Traditional Arabic"/>
          <w:sz w:val="22"/>
          <w:szCs w:val="22"/>
          <w:rtl/>
        </w:rPr>
        <w:t xml:space="preserve">العهد الدولي الخاص بالحقوق المدنية والسياسية‏‏، المواد 11-12 </w:t>
      </w:r>
      <w:r w:rsidRPr="00852CE7">
        <w:rPr>
          <w:rStyle w:val="preferred"/>
          <w:rFonts w:ascii="Traditional Arabic" w:hAnsi="Traditional Arabic" w:cs="Traditional Arabic"/>
          <w:sz w:val="22"/>
          <w:szCs w:val="22"/>
          <w:cs/>
        </w:rPr>
        <w:t>‎‎</w:t>
      </w:r>
      <w:r w:rsidRPr="00852CE7">
        <w:rPr>
          <w:rStyle w:val="preferred"/>
          <w:rFonts w:ascii="Traditional Arabic" w:hAnsi="Traditional Arabic" w:cs="Traditional Arabic"/>
          <w:sz w:val="22"/>
          <w:szCs w:val="22"/>
          <w:rtl/>
          <w:cs/>
        </w:rPr>
        <w:t xml:space="preserve">من </w:t>
      </w:r>
      <w:r w:rsidRPr="00852CE7">
        <w:rPr>
          <w:rStyle w:val="preferred"/>
          <w:rFonts w:ascii="Traditional Arabic" w:hAnsi="Traditional Arabic" w:cs="Traditional Arabic"/>
          <w:sz w:val="22"/>
          <w:szCs w:val="22"/>
          <w:rtl/>
        </w:rPr>
        <w:t>العهد الدولي الخاص بالحقوق الاقتصادية والاجتماعية والثقافية</w:t>
      </w:r>
    </w:p>
  </w:footnote>
  <w:footnote w:id="542">
    <w:p w14:paraId="432DF9D1" w14:textId="72E2949B" w:rsidR="00A1624A" w:rsidRPr="00852CE7"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Fonts w:ascii="Traditional Arabic" w:hAnsi="Traditional Arabic" w:cs="Traditional Arabic"/>
          <w:sz w:val="22"/>
          <w:szCs w:val="22"/>
          <w:rtl/>
        </w:rPr>
        <w:t>الفقرة 14 و</w:t>
      </w:r>
      <w:r w:rsidRPr="00852CE7">
        <w:rPr>
          <w:rFonts w:ascii="Traditional Arabic" w:hAnsi="Traditional Arabic" w:cs="Traditional Arabic"/>
          <w:sz w:val="22"/>
          <w:szCs w:val="22"/>
        </w:rPr>
        <w:t>4(2)(b)</w:t>
      </w:r>
      <w:r w:rsidRPr="00852CE7">
        <w:rPr>
          <w:rFonts w:ascii="Traditional Arabic" w:hAnsi="Traditional Arabic" w:cs="Traditional Arabic"/>
          <w:sz w:val="22"/>
          <w:szCs w:val="22"/>
          <w:rtl/>
        </w:rPr>
        <w:t xml:space="preserve">، البروتوكول الإضافي الثاني. </w:t>
      </w:r>
    </w:p>
  </w:footnote>
  <w:footnote w:id="543">
    <w:p w14:paraId="2C1773CB" w14:textId="31519155" w:rsidR="00A1624A" w:rsidRDefault="00A1624A" w:rsidP="00B81240">
      <w:pPr>
        <w:pStyle w:val="FootnoteText"/>
        <w:tabs>
          <w:tab w:val="clear" w:pos="1021"/>
        </w:tabs>
        <w:bidi/>
        <w:ind w:left="851" w:firstLine="0"/>
        <w:jc w:val="both"/>
        <w:rPr>
          <w:szCs w:val="18"/>
        </w:rPr>
      </w:pPr>
      <w:r w:rsidRPr="00852CE7">
        <w:rPr>
          <w:rStyle w:val="FootnoteReference"/>
          <w:rFonts w:ascii="Traditional Arabic" w:hAnsi="Traditional Arabic" w:cs="Traditional Arabic"/>
          <w:sz w:val="22"/>
          <w:szCs w:val="22"/>
        </w:rPr>
        <w:footnoteRef/>
      </w:r>
      <w:r w:rsidRPr="00852CE7">
        <w:rPr>
          <w:rFonts w:ascii="Traditional Arabic" w:hAnsi="Traditional Arabic" w:cs="Traditional Arabic"/>
          <w:sz w:val="22"/>
          <w:szCs w:val="22"/>
        </w:rPr>
        <w:t xml:space="preserve"> </w:t>
      </w:r>
      <w:r w:rsidRPr="00852CE7">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156. </w:t>
      </w:r>
    </w:p>
  </w:footnote>
  <w:footnote w:id="544">
    <w:p w14:paraId="1AC1EB18" w14:textId="4845ED0C" w:rsidR="00A1624A" w:rsidRDefault="00A1624A" w:rsidP="00B81240">
      <w:pPr>
        <w:pStyle w:val="FootnoteText"/>
        <w:tabs>
          <w:tab w:val="clear" w:pos="1021"/>
        </w:tabs>
        <w:bidi/>
        <w:ind w:left="851" w:firstLine="0"/>
        <w:jc w:val="both"/>
        <w:rPr>
          <w:sz w:val="20"/>
          <w:lang w:val="en-US"/>
        </w:rPr>
      </w:pPr>
      <w:r>
        <w:rPr>
          <w:rStyle w:val="FootnoteReference"/>
          <w:szCs w:val="18"/>
        </w:rPr>
        <w:footnoteRef/>
      </w:r>
      <w:r>
        <w:rPr>
          <w:szCs w:val="18"/>
        </w:rPr>
        <w:t xml:space="preserve"> </w:t>
      </w:r>
      <w:r>
        <w:rPr>
          <w:rFonts w:hint="cs"/>
          <w:szCs w:val="18"/>
          <w:rtl/>
        </w:rPr>
        <w:t xml:space="preserve">يشير فريق الخبراء غلى أنه تم كتابة هذا الفصل من دون أي مساهمة من </w:t>
      </w:r>
      <w:r>
        <w:rPr>
          <w:rStyle w:val="tlid-translation"/>
          <w:rFonts w:hint="cs"/>
          <w:rtl/>
        </w:rPr>
        <w:t xml:space="preserve">اللجنة الدولية للصليب الأحمر. </w:t>
      </w:r>
    </w:p>
  </w:footnote>
  <w:footnote w:id="545">
    <w:p w14:paraId="1C64C1FA" w14:textId="09E77791"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6">
    <w:p w14:paraId="60724785" w14:textId="4785AD87"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7">
    <w:p w14:paraId="1B2E9FE5" w14:textId="3676C66B" w:rsidR="00A1624A" w:rsidRDefault="00A1624A" w:rsidP="00B81240">
      <w:pPr>
        <w:pStyle w:val="FootnoteText"/>
        <w:tabs>
          <w:tab w:val="clear" w:pos="1021"/>
        </w:tabs>
        <w:bidi/>
        <w:ind w:left="851" w:firstLine="0"/>
        <w:jc w:val="both"/>
        <w:rPr>
          <w:szCs w:val="18"/>
          <w:lang w:val="en-US"/>
        </w:rPr>
      </w:pPr>
      <w:r>
        <w:rPr>
          <w:rStyle w:val="FootnoteReference"/>
          <w:szCs w:val="18"/>
        </w:rPr>
        <w:footnoteRef/>
      </w:r>
      <w:r>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548">
    <w:p w14:paraId="66B8E137" w14:textId="3DF60109"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49">
    <w:p w14:paraId="5DA4F0B1" w14:textId="2DFC6DF8"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0">
    <w:p w14:paraId="1BB29DDB" w14:textId="184C32B5"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1">
    <w:p w14:paraId="2E5E8F16" w14:textId="21354681"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2">
    <w:p w14:paraId="7CA3FF21" w14:textId="023890D9"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31.</w:t>
      </w:r>
      <w:r>
        <w:rPr>
          <w:rStyle w:val="tlid-translation"/>
          <w:rFonts w:hint="cs"/>
          <w:rtl/>
        </w:rPr>
        <w:t xml:space="preserve"> </w:t>
      </w:r>
    </w:p>
  </w:footnote>
  <w:footnote w:id="553">
    <w:p w14:paraId="3A7F8169" w14:textId="760F3E79"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الفقرة 18، </w:t>
      </w:r>
      <w:r w:rsidRPr="00787636">
        <w:rPr>
          <w:rFonts w:ascii="Traditional Arabic" w:hAnsi="Traditional Arabic" w:cs="Traditional Arabic"/>
          <w:sz w:val="22"/>
          <w:szCs w:val="22"/>
          <w:rtl/>
        </w:rPr>
        <w:t xml:space="preserve">البروتوكول الإضافي الثاني. </w:t>
      </w:r>
    </w:p>
  </w:footnote>
  <w:footnote w:id="554">
    <w:p w14:paraId="48946CB0" w14:textId="161A9C8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 xml:space="preserve">الفقرة </w:t>
      </w:r>
      <w:r w:rsidRPr="00787636">
        <w:rPr>
          <w:rFonts w:ascii="Traditional Arabic" w:hAnsi="Traditional Arabic" w:cs="Traditional Arabic"/>
          <w:sz w:val="22"/>
          <w:szCs w:val="22"/>
          <w:lang w:val="en-US"/>
        </w:rPr>
        <w:t>icle 8 2. (e)(iii)</w:t>
      </w:r>
      <w:r w:rsidRPr="00787636">
        <w:rPr>
          <w:rFonts w:ascii="Traditional Arabic" w:hAnsi="Traditional Arabic" w:cs="Traditional Arabic"/>
          <w:sz w:val="22"/>
          <w:szCs w:val="22"/>
          <w:rtl/>
          <w:lang w:val="en-US"/>
        </w:rPr>
        <w:t xml:space="preserve"> </w:t>
      </w:r>
      <w:r w:rsidRPr="00787636">
        <w:rPr>
          <w:rStyle w:val="ar"/>
          <w:rFonts w:ascii="Traditional Arabic" w:hAnsi="Traditional Arabic" w:cs="Traditional Arabic"/>
          <w:sz w:val="22"/>
          <w:szCs w:val="22"/>
          <w:rtl/>
        </w:rPr>
        <w:t xml:space="preserve">نظام روما الأساسي. </w:t>
      </w:r>
    </w:p>
  </w:footnote>
  <w:footnote w:id="555">
    <w:p w14:paraId="011A8A16" w14:textId="5AB60E07"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556">
    <w:p w14:paraId="723021EA" w14:textId="0CAC5114"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7">
    <w:p w14:paraId="3B92097E" w14:textId="67BED5AC"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8">
    <w:p w14:paraId="6C82F2F9" w14:textId="544A408C"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59">
    <w:p w14:paraId="76B0303E" w14:textId="0B0DF8A7"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0">
    <w:p w14:paraId="6037A90B" w14:textId="3967319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1">
    <w:p w14:paraId="525CE1D6" w14:textId="748DB6BB" w:rsidR="00A1624A" w:rsidRPr="00787636" w:rsidRDefault="00A1624A" w:rsidP="00B81240">
      <w:pPr>
        <w:pStyle w:val="FootnoteText"/>
        <w:tabs>
          <w:tab w:val="clear" w:pos="1021"/>
        </w:tabs>
        <w:bidi/>
        <w:ind w:left="851" w:firstLine="0"/>
        <w:jc w:val="both"/>
        <w:rPr>
          <w:rFonts w:ascii="Traditional Arabic" w:hAnsi="Traditional Arabic" w:cs="Traditional Arabic"/>
          <w:b/>
          <w:bCs/>
          <w:i/>
          <w:iCs/>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2">
    <w:p w14:paraId="5050BC96" w14:textId="74E0F412"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3">
    <w:p w14:paraId="445FAB45" w14:textId="51C8790F"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lang w:val="en-US"/>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4">
    <w:p w14:paraId="253A5BAC" w14:textId="3B560BA3"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5">
    <w:p w14:paraId="4ADB94A6" w14:textId="0A50347D"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6">
    <w:p w14:paraId="64E282DD" w14:textId="182D4324"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7">
    <w:p w14:paraId="60C33AF7" w14:textId="3F3AAC5B"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 xml:space="preserve">تلقى فريق الخبراء </w:t>
      </w:r>
      <w:r w:rsidRPr="00787636">
        <w:rPr>
          <w:rStyle w:val="tlid-translation"/>
          <w:rFonts w:ascii="Traditional Arabic" w:hAnsi="Traditional Arabic" w:cs="Traditional Arabic"/>
          <w:sz w:val="22"/>
          <w:szCs w:val="22"/>
          <w:rtl/>
        </w:rPr>
        <w:t>العديد من التقارير من معتقلين سابقين في مناطق مختلفة خاضعة لسيطرة سلطات الأمر الواقع تشير إلى أن هذه السلطات كانت تخاطب المحتجزين أثناء الاستجواب والتعذيب على أنهم "داعش"، بغض النظر عن معتقداتهم السياسية أو الدينية بل على أساس اعتبارهم معارضين</w:t>
      </w:r>
      <w:r w:rsidRPr="00787636">
        <w:rPr>
          <w:rStyle w:val="tlid-translation"/>
          <w:rFonts w:ascii="Traditional Arabic" w:hAnsi="Traditional Arabic" w:cs="Traditional Arabic"/>
          <w:sz w:val="22"/>
          <w:szCs w:val="22"/>
          <w:lang w:bidi="ar"/>
        </w:rPr>
        <w:t>.</w:t>
      </w:r>
      <w:r w:rsidRPr="00787636">
        <w:rPr>
          <w:rFonts w:ascii="Traditional Arabic" w:hAnsi="Traditional Arabic" w:cs="Traditional Arabic"/>
          <w:sz w:val="22"/>
          <w:szCs w:val="22"/>
        </w:rPr>
        <w:t xml:space="preserve">  </w:t>
      </w:r>
    </w:p>
  </w:footnote>
  <w:footnote w:id="568">
    <w:p w14:paraId="3CB9F809" w14:textId="06372BD5" w:rsidR="00A1624A" w:rsidRDefault="00A1624A" w:rsidP="00B81240">
      <w:pPr>
        <w:pStyle w:val="FootnoteText"/>
        <w:tabs>
          <w:tab w:val="clear" w:pos="1021"/>
        </w:tabs>
        <w:bidi/>
        <w:ind w:left="851" w:firstLine="0"/>
        <w:jc w:val="both"/>
        <w:rPr>
          <w:szCs w:val="18"/>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69">
    <w:p w14:paraId="456D5719" w14:textId="53F04E71" w:rsidR="00A1624A" w:rsidRDefault="00A1624A" w:rsidP="00B81240">
      <w:pPr>
        <w:pStyle w:val="FootnoteText"/>
        <w:tabs>
          <w:tab w:val="clear" w:pos="1021"/>
        </w:tabs>
        <w:bidi/>
        <w:ind w:left="851" w:firstLine="0"/>
        <w:jc w:val="both"/>
        <w:rPr>
          <w:szCs w:val="18"/>
        </w:rPr>
      </w:pPr>
      <w:r>
        <w:rPr>
          <w:rStyle w:val="FootnoteReference"/>
          <w:szCs w:val="18"/>
        </w:rPr>
        <w:footnoteRef/>
      </w:r>
      <w:r>
        <w:rPr>
          <w:szCs w:val="18"/>
        </w:rPr>
        <w:t xml:space="preserve"> https://womenpress.org/en/womenpress-news/yemeni-journalist-dies-just-days-after-release-by-houthis.html.</w:t>
      </w:r>
    </w:p>
  </w:footnote>
  <w:footnote w:id="570">
    <w:p w14:paraId="0EB32E28" w14:textId="4D185182" w:rsidR="00A1624A" w:rsidRPr="0078763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71">
    <w:p w14:paraId="0AFE605E" w14:textId="6CC80F7B" w:rsidR="00A1624A" w:rsidRDefault="00A1624A" w:rsidP="00B81240">
      <w:pPr>
        <w:pStyle w:val="FootnoteText"/>
        <w:tabs>
          <w:tab w:val="clear" w:pos="1021"/>
        </w:tabs>
        <w:bidi/>
        <w:ind w:left="851" w:firstLine="0"/>
        <w:jc w:val="both"/>
        <w:rPr>
          <w:szCs w:val="18"/>
          <w:lang w:val="en-US"/>
        </w:rPr>
      </w:pPr>
      <w:r w:rsidRPr="00787636">
        <w:rPr>
          <w:rStyle w:val="FootnoteReference"/>
          <w:rFonts w:ascii="Traditional Arabic" w:hAnsi="Traditional Arabic" w:cs="Traditional Arabic"/>
          <w:sz w:val="22"/>
          <w:szCs w:val="22"/>
        </w:rPr>
        <w:footnoteRef/>
      </w:r>
      <w:r w:rsidRPr="00787636">
        <w:rPr>
          <w:rFonts w:ascii="Traditional Arabic" w:hAnsi="Traditional Arabic" w:cs="Traditional Arabic"/>
          <w:sz w:val="22"/>
          <w:szCs w:val="22"/>
        </w:rPr>
        <w:t xml:space="preserve">  </w:t>
      </w:r>
      <w:r w:rsidRPr="00787636">
        <w:rPr>
          <w:rFonts w:ascii="Traditional Arabic" w:hAnsi="Traditional Arabic" w:cs="Traditional Arabic"/>
          <w:sz w:val="22"/>
          <w:szCs w:val="22"/>
          <w:rtl/>
        </w:rPr>
        <w:t>مصادر سريّة في الملف</w:t>
      </w:r>
      <w:r w:rsidRPr="00787636">
        <w:rPr>
          <w:rFonts w:ascii="Traditional Arabic" w:hAnsi="Traditional Arabic" w:cs="Traditional Arabic"/>
          <w:sz w:val="22"/>
          <w:szCs w:val="22"/>
        </w:rPr>
        <w:t>.</w:t>
      </w:r>
    </w:p>
  </w:footnote>
  <w:footnote w:id="572">
    <w:p w14:paraId="5BC3B397" w14:textId="4DE9ABCA"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tl/>
          <w:lang w:val="en-US"/>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p>
  </w:footnote>
  <w:footnote w:id="573">
    <w:p w14:paraId="7DCD7F98" w14:textId="778AB393"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r w:rsidRPr="007E1C66">
        <w:rPr>
          <w:rFonts w:ascii="Traditional Arabic" w:hAnsi="Traditional Arabic" w:cs="Traditional Arabic"/>
          <w:sz w:val="22"/>
          <w:szCs w:val="22"/>
          <w:rtl/>
        </w:rPr>
        <w:t xml:space="preserve"> </w:t>
      </w:r>
    </w:p>
  </w:footnote>
  <w:footnote w:id="574">
    <w:p w14:paraId="4FA4DEF5" w14:textId="2DDF9C0C"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من </w:t>
      </w:r>
      <w:r w:rsidRPr="007E1C66">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7E1C66">
        <w:rPr>
          <w:rFonts w:ascii="Traditional Arabic" w:hAnsi="Traditional Arabic" w:cs="Traditional Arabic"/>
          <w:sz w:val="22"/>
          <w:szCs w:val="22"/>
          <w:lang w:val="en-US"/>
        </w:rPr>
        <w:t>(CED)</w:t>
      </w:r>
      <w:r w:rsidRPr="007E1C66">
        <w:rPr>
          <w:rStyle w:val="preferred"/>
          <w:rFonts w:ascii="Traditional Arabic" w:hAnsi="Traditional Arabic" w:cs="Traditional Arabic"/>
          <w:sz w:val="22"/>
          <w:szCs w:val="22"/>
          <w:rtl/>
        </w:rPr>
        <w:t>، و</w:t>
      </w:r>
      <w:r w:rsidRPr="007E1C66">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7E1C66">
        <w:rPr>
          <w:rFonts w:ascii="Traditional Arabic" w:hAnsi="Traditional Arabic" w:cs="Traditional Arabic"/>
          <w:sz w:val="22"/>
          <w:szCs w:val="22"/>
          <w:rtl/>
        </w:rPr>
        <w:t xml:space="preserve">، </w:t>
      </w:r>
      <w:r w:rsidRPr="007E1C66">
        <w:rPr>
          <w:rStyle w:val="tlid-translation"/>
          <w:rFonts w:ascii="Traditional Arabic" w:hAnsi="Traditional Arabic" w:cs="Traditional Arabic"/>
          <w:sz w:val="22"/>
          <w:szCs w:val="22"/>
          <w:rtl/>
        </w:rPr>
        <w:t xml:space="preserve">القاعدة 98. </w:t>
      </w:r>
      <w:r w:rsidRPr="007E1C66">
        <w:rPr>
          <w:rFonts w:ascii="Traditional Arabic" w:hAnsi="Traditional Arabic" w:cs="Traditional Arabic"/>
          <w:sz w:val="22"/>
          <w:szCs w:val="22"/>
          <w:lang w:val="en-US"/>
        </w:rPr>
        <w:t xml:space="preserve">  </w:t>
      </w:r>
    </w:p>
  </w:footnote>
  <w:footnote w:id="575">
    <w:p w14:paraId="030A36D9" w14:textId="07553D49"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و14 من </w:t>
      </w:r>
      <w:r w:rsidRPr="007E1C66">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معاهدات جنيف والمادة 4 من </w:t>
      </w:r>
      <w:r w:rsidRPr="007E1C66">
        <w:rPr>
          <w:rStyle w:val="tlid-translation"/>
          <w:rFonts w:ascii="Traditional Arabic" w:hAnsi="Traditional Arabic" w:cs="Traditional Arabic"/>
          <w:sz w:val="22"/>
          <w:szCs w:val="22"/>
          <w:rtl/>
        </w:rPr>
        <w:t xml:space="preserve">البروتوكول الإضافي الثاني، دراسة اللجنة الدولية للصليب الأحمر حول القانون الدولي الإنساني العرفي، القاعدة 99. </w:t>
      </w:r>
    </w:p>
  </w:footnote>
  <w:footnote w:id="576">
    <w:p w14:paraId="648A9D8B" w14:textId="5F3ADAEB"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 xml:space="preserve">المادة 9 من </w:t>
      </w:r>
      <w:r w:rsidRPr="007E1C66">
        <w:rPr>
          <w:rStyle w:val="preferred"/>
          <w:rFonts w:ascii="Traditional Arabic" w:hAnsi="Traditional Arabic" w:cs="Traditional Arabic"/>
          <w:sz w:val="22"/>
          <w:szCs w:val="22"/>
          <w:rtl/>
        </w:rPr>
        <w:t xml:space="preserve">العهد الدولي الخاص بالحقوق المدنية والسياسية، أنظر أيضًا التعليق العام للجنة المعنية بحقوق الإنسان رقم 35 (2011) حول حرية وأمان الأشخاص. مجموعة المبادىء المتعلقة بحماية جميع الأشخاص الذين يتعرضون لأي شكل من أشكال الاحتجاز أو السجن </w:t>
      </w:r>
      <w:r w:rsidRPr="007E1C66">
        <w:rPr>
          <w:rFonts w:ascii="Traditional Arabic" w:hAnsi="Traditional Arabic" w:cs="Traditional Arabic"/>
          <w:sz w:val="22"/>
          <w:szCs w:val="22"/>
        </w:rPr>
        <w:t xml:space="preserve"> (A/RES/43/173)</w:t>
      </w:r>
      <w:r w:rsidRPr="007E1C66">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7E1C66">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39E6CE24" w14:textId="6C5B27CF" w:rsidR="00A1624A" w:rsidRDefault="00A1624A" w:rsidP="00B81240">
      <w:pPr>
        <w:pStyle w:val="FootnoteText"/>
        <w:tabs>
          <w:tab w:val="clear" w:pos="1021"/>
        </w:tabs>
        <w:bidi/>
        <w:ind w:left="851" w:firstLine="0"/>
        <w:jc w:val="both"/>
        <w:rPr>
          <w:szCs w:val="18"/>
        </w:rPr>
      </w:pPr>
      <w:r>
        <w:rPr>
          <w:szCs w:val="18"/>
        </w:rPr>
        <w:t xml:space="preserve"> (see Methods of work of the Working Group on Arbitrary Detention, A/HRC/36/38). </w:t>
      </w:r>
    </w:p>
  </w:footnote>
  <w:footnote w:id="577">
    <w:p w14:paraId="667F1478" w14:textId="00E937EF"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578">
    <w:p w14:paraId="7A7C8F37" w14:textId="09016D49"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Style w:val="tlid-translation"/>
          <w:rFonts w:ascii="Traditional Arabic" w:hAnsi="Traditional Arabic" w:cs="Traditional Arabic"/>
          <w:sz w:val="22"/>
          <w:szCs w:val="22"/>
          <w:rtl/>
        </w:rPr>
        <w:t xml:space="preserve">تقرير الأمم المتحدة بشأن حقوق الإنسان في اليمن 2015 - </w:t>
      </w:r>
      <w:r w:rsidRPr="007E1C66">
        <w:rPr>
          <w:rFonts w:ascii="Traditional Arabic" w:hAnsi="Traditional Arabic" w:cs="Traditional Arabic"/>
          <w:sz w:val="22"/>
          <w:szCs w:val="22"/>
        </w:rPr>
        <w:t>A/HRC/30/31</w:t>
      </w:r>
      <w:r w:rsidRPr="007E1C66">
        <w:rPr>
          <w:rFonts w:ascii="Traditional Arabic" w:hAnsi="Traditional Arabic" w:cs="Traditional Arabic"/>
          <w:sz w:val="22"/>
          <w:szCs w:val="22"/>
          <w:rtl/>
        </w:rPr>
        <w:t xml:space="preserve"> ص. 4</w:t>
      </w:r>
    </w:p>
  </w:footnote>
  <w:footnote w:id="579">
    <w:p w14:paraId="178F2D97" w14:textId="7709E375" w:rsidR="00A1624A" w:rsidRPr="007E1C66"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p>
  </w:footnote>
  <w:footnote w:id="580">
    <w:p w14:paraId="6AD4B007" w14:textId="30A9FDE4" w:rsidR="00A1624A" w:rsidRPr="00CB0671" w:rsidRDefault="00A1624A" w:rsidP="00B81240">
      <w:pPr>
        <w:pStyle w:val="FootnoteText"/>
        <w:tabs>
          <w:tab w:val="clear" w:pos="1021"/>
        </w:tabs>
        <w:bidi/>
        <w:ind w:left="851" w:firstLine="0"/>
        <w:jc w:val="both"/>
        <w:rPr>
          <w:rFonts w:asciiTheme="majorBidi" w:hAnsiTheme="majorBidi" w:cstheme="majorBidi"/>
          <w:szCs w:val="18"/>
        </w:rPr>
      </w:pPr>
      <w:r w:rsidRPr="007E1C66">
        <w:rPr>
          <w:rStyle w:val="FootnoteReference"/>
          <w:rFonts w:ascii="Traditional Arabic" w:hAnsi="Traditional Arabic" w:cs="Traditional Arabic"/>
          <w:sz w:val="22"/>
          <w:szCs w:val="22"/>
        </w:rPr>
        <w:footnoteRef/>
      </w:r>
      <w:r w:rsidRPr="007E1C66">
        <w:rPr>
          <w:rFonts w:ascii="Traditional Arabic" w:hAnsi="Traditional Arabic" w:cs="Traditional Arabic"/>
          <w:sz w:val="22"/>
          <w:szCs w:val="22"/>
        </w:rPr>
        <w:t xml:space="preserve"> </w:t>
      </w:r>
      <w:r w:rsidRPr="007E1C66">
        <w:rPr>
          <w:rFonts w:ascii="Traditional Arabic" w:hAnsi="Traditional Arabic" w:cs="Traditional Arabic"/>
          <w:sz w:val="22"/>
          <w:szCs w:val="22"/>
          <w:rtl/>
        </w:rPr>
        <w:t>مصادر سريّة في الملف</w:t>
      </w:r>
      <w:r w:rsidRPr="007E1C66">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581">
    <w:p w14:paraId="7C71E2E4" w14:textId="01D1BBDA"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2">
    <w:p w14:paraId="6556452B" w14:textId="0313B503" w:rsidR="00A1624A" w:rsidRPr="00950566" w:rsidRDefault="00A1624A" w:rsidP="00B81240">
      <w:pPr>
        <w:pStyle w:val="FootnoteText"/>
        <w:tabs>
          <w:tab w:val="clear" w:pos="1021"/>
        </w:tabs>
        <w:bidi/>
        <w:ind w:left="851" w:firstLine="0"/>
        <w:jc w:val="both"/>
        <w:rPr>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لمزيد من التفاصيل أنظر الفصل المتعلق بالتحليل الجنساني والعنف القائم على النوع الجنساني، الجزء حول تأثير النزاع معايير النوع الجنساني.</w:t>
      </w:r>
    </w:p>
  </w:footnote>
  <w:footnote w:id="583">
    <w:p w14:paraId="381A49D4" w14:textId="038151C8"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4">
    <w:p w14:paraId="638F0D60" w14:textId="5689FA48" w:rsidR="00A1624A" w:rsidRPr="00470F9F" w:rsidRDefault="00A1624A" w:rsidP="00B81240">
      <w:pPr>
        <w:pStyle w:val="FootnoteText"/>
        <w:tabs>
          <w:tab w:val="clear" w:pos="1021"/>
        </w:tabs>
        <w:bidi/>
        <w:ind w:left="851" w:firstLine="0"/>
        <w:jc w:val="both"/>
        <w:rPr>
          <w:rFonts w:asciiTheme="majorBidi" w:hAnsiTheme="majorBidi" w:cstheme="majorBidi"/>
          <w:sz w:val="20"/>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tl/>
        </w:rPr>
        <w:t xml:space="preserve"> أنظر أدناه قضايا الصحافيين العشرة و36 محتجزًا وفردًا من الطائفة البهائية. لمزيد من التفاصيل حول قضايا البهائيّين، أنظر الفصول حول الأقليات.</w:t>
      </w:r>
      <w:r w:rsidRPr="00470F9F">
        <w:rPr>
          <w:rFonts w:asciiTheme="majorBidi" w:hAnsiTheme="majorBidi" w:cstheme="majorBidi" w:hint="cs"/>
          <w:sz w:val="20"/>
          <w:rtl/>
        </w:rPr>
        <w:t xml:space="preserve"> </w:t>
      </w:r>
    </w:p>
  </w:footnote>
  <w:footnote w:id="585">
    <w:p w14:paraId="02010108" w14:textId="08136AF0"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6">
    <w:p w14:paraId="7B914B9F" w14:textId="43E84B31"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 xml:space="preserve">لمزيد من التفاصيل، أنظر الخريطة في الصفحة السابقة. </w:t>
      </w:r>
    </w:p>
  </w:footnote>
  <w:footnote w:id="587">
    <w:p w14:paraId="100F0A0E" w14:textId="29E0B669"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8">
    <w:p w14:paraId="2C0165DF" w14:textId="214890F6" w:rsidR="00A1624A" w:rsidRDefault="00A1624A" w:rsidP="00B81240">
      <w:pPr>
        <w:pStyle w:val="FootnoteText"/>
        <w:tabs>
          <w:tab w:val="clear" w:pos="1021"/>
        </w:tabs>
        <w:bidi/>
        <w:ind w:left="851" w:firstLine="0"/>
        <w:jc w:val="both"/>
        <w:rPr>
          <w:rFonts w:asciiTheme="majorBidi" w:hAnsiTheme="majorBidi" w:cstheme="majorBidi"/>
          <w:szCs w:val="18"/>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89">
    <w:p w14:paraId="4CADEAFC" w14:textId="1DC83287" w:rsidR="00A1624A" w:rsidRPr="00E05D05" w:rsidRDefault="00A1624A" w:rsidP="00B81240">
      <w:pPr>
        <w:pStyle w:val="FootnoteText"/>
        <w:tabs>
          <w:tab w:val="clear" w:pos="1021"/>
        </w:tabs>
        <w:bidi/>
        <w:ind w:left="851" w:firstLine="0"/>
        <w:jc w:val="both"/>
        <w:rPr>
          <w:rFonts w:asciiTheme="majorBidi" w:hAnsiTheme="majorBidi" w:cstheme="majorBidi"/>
          <w:sz w:val="20"/>
          <w:lang w:val="en-US"/>
        </w:rPr>
      </w:pPr>
      <w:r w:rsidRPr="00E05D05">
        <w:rPr>
          <w:rStyle w:val="FootnoteReference"/>
          <w:rFonts w:asciiTheme="majorBidi" w:hAnsiTheme="majorBidi" w:cstheme="majorBidi"/>
          <w:sz w:val="20"/>
        </w:rPr>
        <w:footnoteRef/>
      </w:r>
      <w:r w:rsidRPr="00E05D05">
        <w:rPr>
          <w:rFonts w:asciiTheme="majorBidi" w:hAnsiTheme="majorBidi" w:cstheme="majorBidi"/>
          <w:sz w:val="20"/>
        </w:rPr>
        <w:t xml:space="preserve"> Amnesty International, “Yemeni academic held incommunicado: Youssef al-Bawab”, 18 April 2019, available at https://www.amnesty.org/en/documents/mde31/0224/2019/en/.   </w:t>
      </w:r>
    </w:p>
  </w:footnote>
  <w:footnote w:id="590">
    <w:p w14:paraId="471CB09F" w14:textId="424C2B25"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1">
    <w:p w14:paraId="32B08CE5" w14:textId="1ACB7C22"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2">
    <w:p w14:paraId="398B816C" w14:textId="643B8F8F"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3">
    <w:p w14:paraId="0162F7C8" w14:textId="0512BB6C" w:rsidR="00A1624A" w:rsidRDefault="00A1624A" w:rsidP="00B81240">
      <w:pPr>
        <w:pStyle w:val="FootnoteText"/>
        <w:tabs>
          <w:tab w:val="clear" w:pos="1021"/>
        </w:tabs>
        <w:bidi/>
        <w:ind w:left="851" w:firstLine="0"/>
        <w:jc w:val="both"/>
        <w:rPr>
          <w:rtl/>
          <w:lang w:bidi="ar-JO"/>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لمزيد من التفاصيل حول استهداف المنتمين للمؤتمر الشعبي العام 2017-2019، أنظر الفصل أدناه.</w:t>
      </w:r>
      <w:r>
        <w:rPr>
          <w:rFonts w:hint="cs"/>
          <w:rtl/>
        </w:rPr>
        <w:t xml:space="preserve"> </w:t>
      </w:r>
    </w:p>
  </w:footnote>
  <w:footnote w:id="594">
    <w:p w14:paraId="3A19EB75" w14:textId="7006B9EC" w:rsidR="00A1624A" w:rsidRPr="00E05D05" w:rsidRDefault="00A1624A" w:rsidP="00B81240">
      <w:pPr>
        <w:pStyle w:val="FootnoteText"/>
        <w:tabs>
          <w:tab w:val="clear" w:pos="1021"/>
        </w:tabs>
        <w:bidi/>
        <w:ind w:left="851" w:firstLine="0"/>
        <w:jc w:val="both"/>
        <w:rPr>
          <w:rFonts w:asciiTheme="majorBidi" w:hAnsiTheme="majorBidi" w:cstheme="majorBidi"/>
          <w:sz w:val="20"/>
        </w:rPr>
      </w:pPr>
      <w:r w:rsidRPr="00E05D05">
        <w:rPr>
          <w:rStyle w:val="FootnoteReference"/>
          <w:rFonts w:asciiTheme="majorBidi" w:hAnsiTheme="majorBidi" w:cstheme="majorBidi"/>
          <w:sz w:val="20"/>
        </w:rPr>
        <w:footnoteRef/>
      </w:r>
      <w:r w:rsidRPr="00E05D05">
        <w:rPr>
          <w:rFonts w:asciiTheme="majorBidi" w:hAnsiTheme="majorBidi" w:cstheme="majorBidi"/>
          <w:sz w:val="20"/>
        </w:rPr>
        <w:t xml:space="preserve"> United Nations, Report of the United Nations High Commissioner for Human Rights on the Situation of human rights in Yemen, 13 September 2017, A/HRC/36/33(hereinafter ‘UN Human Rights Yemen Report 2017 - A/HRC/36/33’), p14.</w:t>
      </w:r>
    </w:p>
  </w:footnote>
  <w:footnote w:id="595">
    <w:p w14:paraId="0F6ABF2C" w14:textId="21E418EC"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tl/>
        </w:rPr>
        <w:t xml:space="preserve"> مصادر سريّة في الملف</w:t>
      </w:r>
      <w:r w:rsidRPr="00E05D05">
        <w:rPr>
          <w:rFonts w:ascii="Traditional Arabic" w:hAnsi="Traditional Arabic" w:cs="Traditional Arabic"/>
          <w:sz w:val="22"/>
          <w:szCs w:val="22"/>
        </w:rPr>
        <w:t>.</w:t>
      </w:r>
    </w:p>
  </w:footnote>
  <w:footnote w:id="596">
    <w:p w14:paraId="3C125424" w14:textId="61F86A07"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Style w:val="tlid-translation"/>
          <w:rFonts w:ascii="Traditional Arabic" w:hAnsi="Traditional Arabic" w:cs="Traditional Arabic"/>
          <w:sz w:val="22"/>
          <w:szCs w:val="22"/>
          <w:rtl/>
        </w:rPr>
        <w:t xml:space="preserve">تقرير الأمم المتحدة بشأن حقوق الإنسان في اليمن 2017 - </w:t>
      </w:r>
      <w:r w:rsidRPr="00E05D05">
        <w:rPr>
          <w:rFonts w:ascii="Traditional Arabic" w:hAnsi="Traditional Arabic" w:cs="Traditional Arabic"/>
          <w:sz w:val="22"/>
          <w:szCs w:val="22"/>
        </w:rPr>
        <w:t>A/HRC/36/33</w:t>
      </w:r>
      <w:r w:rsidRPr="00E05D05">
        <w:rPr>
          <w:rFonts w:ascii="Traditional Arabic" w:hAnsi="Traditional Arabic" w:cs="Traditional Arabic"/>
          <w:sz w:val="22"/>
          <w:szCs w:val="22"/>
          <w:rtl/>
        </w:rPr>
        <w:t xml:space="preserve"> ص. 14.</w:t>
      </w:r>
    </w:p>
  </w:footnote>
  <w:footnote w:id="597">
    <w:p w14:paraId="2632AC71" w14:textId="4CDCBEAE" w:rsidR="00A1624A" w:rsidRPr="00E05D05" w:rsidRDefault="00A1624A" w:rsidP="00B81240">
      <w:pPr>
        <w:pStyle w:val="FootnoteText"/>
        <w:tabs>
          <w:tab w:val="clear" w:pos="1021"/>
        </w:tabs>
        <w:bidi/>
        <w:ind w:left="851" w:firstLine="0"/>
        <w:jc w:val="both"/>
        <w:rPr>
          <w:rFonts w:ascii="Traditional Arabic" w:hAnsi="Traditional Arabic" w:cs="Traditional Arabic"/>
          <w:b/>
          <w:bCs/>
          <w:sz w:val="22"/>
          <w:szCs w:val="22"/>
          <w:lang w:val="en-US"/>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8">
    <w:p w14:paraId="010E29D8" w14:textId="77B25807" w:rsidR="00A1624A" w:rsidRPr="00E05D0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599">
    <w:p w14:paraId="1767FF30" w14:textId="10C65EA2" w:rsidR="00A1624A" w:rsidRDefault="00A1624A" w:rsidP="00B81240">
      <w:pPr>
        <w:pStyle w:val="FootnoteText"/>
        <w:tabs>
          <w:tab w:val="clear" w:pos="1021"/>
        </w:tabs>
        <w:bidi/>
        <w:ind w:left="851" w:firstLine="0"/>
        <w:jc w:val="both"/>
        <w:rPr>
          <w:rFonts w:asciiTheme="majorBidi" w:hAnsiTheme="majorBidi" w:cstheme="majorBidi"/>
          <w:szCs w:val="18"/>
        </w:rPr>
      </w:pPr>
      <w:r w:rsidRPr="00E05D05">
        <w:rPr>
          <w:rStyle w:val="FootnoteReference"/>
          <w:rFonts w:ascii="Traditional Arabic" w:hAnsi="Traditional Arabic" w:cs="Traditional Arabic"/>
          <w:sz w:val="22"/>
          <w:szCs w:val="22"/>
        </w:rPr>
        <w:footnoteRef/>
      </w:r>
      <w:r w:rsidRPr="00E05D05">
        <w:rPr>
          <w:rFonts w:ascii="Traditional Arabic" w:hAnsi="Traditional Arabic" w:cs="Traditional Arabic"/>
          <w:sz w:val="22"/>
          <w:szCs w:val="22"/>
        </w:rPr>
        <w:t xml:space="preserve"> </w:t>
      </w:r>
      <w:r w:rsidRPr="00E05D05">
        <w:rPr>
          <w:rFonts w:ascii="Traditional Arabic" w:hAnsi="Traditional Arabic" w:cs="Traditional Arabic"/>
          <w:sz w:val="22"/>
          <w:szCs w:val="22"/>
          <w:rtl/>
        </w:rPr>
        <w:t>مصادر سريّة في الملف</w:t>
      </w:r>
      <w:r w:rsidRPr="00E05D05">
        <w:rPr>
          <w:rFonts w:ascii="Traditional Arabic" w:hAnsi="Traditional Arabic" w:cs="Traditional Arabic"/>
          <w:sz w:val="22"/>
          <w:szCs w:val="22"/>
        </w:rPr>
        <w:t>.</w:t>
      </w:r>
    </w:p>
  </w:footnote>
  <w:footnote w:id="600">
    <w:p w14:paraId="7F311770" w14:textId="090CBD3E"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1">
    <w:p w14:paraId="0BB5A55D" w14:textId="4713AF25"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2">
    <w:p w14:paraId="5295A65B" w14:textId="4B9D2218"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lang w:bidi="ar-JO"/>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3">
    <w:p w14:paraId="521BD0C7" w14:textId="1870C210" w:rsidR="00A1624A" w:rsidRDefault="00A1624A" w:rsidP="00B81240">
      <w:pPr>
        <w:pStyle w:val="FootnoteText"/>
        <w:tabs>
          <w:tab w:val="clear" w:pos="1021"/>
        </w:tabs>
        <w:bidi/>
        <w:ind w:left="851" w:firstLine="0"/>
        <w:jc w:val="both"/>
        <w:rPr>
          <w:rFonts w:asciiTheme="majorBidi" w:hAnsiTheme="majorBidi" w:cstheme="majorBidi"/>
          <w:szCs w:val="18"/>
          <w:rtl/>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4">
    <w:p w14:paraId="1025510A" w14:textId="52A9BBFC" w:rsidR="00A1624A" w:rsidRPr="00EC7A4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5">
    <w:p w14:paraId="02A2B1F2" w14:textId="3F85CB60" w:rsidR="00A1624A" w:rsidRPr="00EC7A43" w:rsidRDefault="00A1624A" w:rsidP="00B81240">
      <w:pPr>
        <w:bidi/>
        <w:ind w:left="851" w:right="1134"/>
        <w:jc w:val="both"/>
        <w:rPr>
          <w:rFonts w:ascii="Traditional Arabic" w:hAnsi="Traditional Arabic" w:cs="Traditional Arabic"/>
          <w:sz w:val="22"/>
          <w:szCs w:val="22"/>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tl/>
          <w:lang w:val="en-US"/>
        </w:rPr>
        <w:t xml:space="preserve"> </w:t>
      </w:r>
      <w:r w:rsidRPr="00EC7A43">
        <w:rPr>
          <w:rFonts w:ascii="Traditional Arabic" w:hAnsi="Traditional Arabic" w:cs="Traditional Arabic"/>
          <w:sz w:val="22"/>
          <w:szCs w:val="22"/>
          <w:lang w:val="en-US"/>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6">
    <w:p w14:paraId="36914511" w14:textId="4AF89F1C"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EC7A43">
        <w:rPr>
          <w:rStyle w:val="FootnoteReference"/>
          <w:rFonts w:ascii="Traditional Arabic" w:hAnsi="Traditional Arabic" w:cs="Traditional Arabic"/>
          <w:sz w:val="22"/>
          <w:szCs w:val="22"/>
        </w:rPr>
        <w:footnoteRef/>
      </w:r>
      <w:r w:rsidRPr="00EC7A43">
        <w:rPr>
          <w:rFonts w:ascii="Traditional Arabic" w:hAnsi="Traditional Arabic" w:cs="Traditional Arabic"/>
          <w:sz w:val="22"/>
          <w:szCs w:val="22"/>
        </w:rPr>
        <w:t xml:space="preserve"> </w:t>
      </w:r>
      <w:r w:rsidRPr="00EC7A43">
        <w:rPr>
          <w:rFonts w:ascii="Traditional Arabic" w:hAnsi="Traditional Arabic" w:cs="Traditional Arabic"/>
          <w:sz w:val="22"/>
          <w:szCs w:val="22"/>
          <w:rtl/>
        </w:rPr>
        <w:t>مصادر سريّة في الملف</w:t>
      </w:r>
      <w:r w:rsidRPr="00EC7A43">
        <w:rPr>
          <w:rFonts w:ascii="Traditional Arabic" w:hAnsi="Traditional Arabic" w:cs="Traditional Arabic"/>
          <w:sz w:val="22"/>
          <w:szCs w:val="22"/>
        </w:rPr>
        <w:t>.</w:t>
      </w:r>
    </w:p>
  </w:footnote>
  <w:footnote w:id="607">
    <w:p w14:paraId="7E1360D6" w14:textId="298866FF"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lang w:val="en-US"/>
        </w:rPr>
        <w:t xml:space="preserve"> </w:t>
      </w:r>
      <w:r w:rsidRPr="00387593">
        <w:rPr>
          <w:rStyle w:val="tlid-translation"/>
          <w:rFonts w:ascii="Traditional Arabic" w:hAnsi="Traditional Arabic" w:cs="Traditional Arabic"/>
          <w:sz w:val="22"/>
          <w:szCs w:val="22"/>
          <w:rtl/>
        </w:rPr>
        <w:t xml:space="preserve">تقرير الأمم المتحدة بشأن حقوق الإنسان في اليمن 2017 - </w:t>
      </w:r>
      <w:r w:rsidRPr="00387593">
        <w:rPr>
          <w:rFonts w:ascii="Traditional Arabic" w:hAnsi="Traditional Arabic" w:cs="Traditional Arabic"/>
          <w:sz w:val="22"/>
          <w:szCs w:val="22"/>
          <w:lang w:val="en-US"/>
        </w:rPr>
        <w:t>A/HRC/36/33</w:t>
      </w:r>
      <w:r w:rsidRPr="00387593">
        <w:rPr>
          <w:rFonts w:ascii="Traditional Arabic" w:hAnsi="Traditional Arabic" w:cs="Traditional Arabic"/>
          <w:sz w:val="22"/>
          <w:szCs w:val="22"/>
          <w:rtl/>
          <w:lang w:val="en-US"/>
        </w:rPr>
        <w:t xml:space="preserve"> ص.14. </w:t>
      </w:r>
    </w:p>
  </w:footnote>
  <w:footnote w:id="608">
    <w:p w14:paraId="4876E369" w14:textId="7D34ADB9"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Fonts w:ascii="Traditional Arabic" w:hAnsi="Traditional Arabic" w:cs="Traditional Arabic"/>
          <w:sz w:val="22"/>
          <w:szCs w:val="22"/>
          <w:vertAlign w:val="superscript"/>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09">
    <w:p w14:paraId="13FEFBC1" w14:textId="368CF35B"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0">
    <w:p w14:paraId="5E6CA7E1" w14:textId="67EA5322" w:rsidR="00A1624A" w:rsidRDefault="00A1624A" w:rsidP="00B81240">
      <w:pPr>
        <w:pStyle w:val="FootnoteText"/>
        <w:tabs>
          <w:tab w:val="clear" w:pos="1021"/>
        </w:tabs>
        <w:bidi/>
        <w:ind w:left="851" w:firstLine="0"/>
        <w:jc w:val="both"/>
        <w:rPr>
          <w:rFonts w:asciiTheme="majorBidi" w:hAnsiTheme="majorBidi" w:cstheme="majorBidi"/>
          <w:szCs w:val="18"/>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لمزيد من التفاصيل، أنظر فصل الحياة في المناطق تحت سيطرة سلطات الأمر الواقع، الفصل حول استهداف المنتسبين إلى المؤتمر الشعبي العام2017-2019.</w:t>
      </w:r>
      <w:r>
        <w:rPr>
          <w:rFonts w:asciiTheme="majorBidi" w:hAnsiTheme="majorBidi" w:cstheme="majorBidi" w:hint="cs"/>
          <w:szCs w:val="18"/>
          <w:rtl/>
        </w:rPr>
        <w:t xml:space="preserve"> </w:t>
      </w:r>
    </w:p>
  </w:footnote>
  <w:footnote w:id="611">
    <w:p w14:paraId="09714DE4" w14:textId="5E3752AC" w:rsidR="00A1624A" w:rsidRPr="00387593" w:rsidRDefault="00A1624A" w:rsidP="00B81240">
      <w:pPr>
        <w:bidi/>
        <w:spacing w:line="240" w:lineRule="auto"/>
        <w:ind w:left="851" w:right="1134"/>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 xml:space="preserve">لمزيد من التفاصيل، أنظر الفصل حول تأثير النزاع على معايير النوع الجنساني. </w:t>
      </w:r>
    </w:p>
  </w:footnote>
  <w:footnote w:id="612">
    <w:p w14:paraId="5AC5CD90" w14:textId="5DE74596"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3">
    <w:p w14:paraId="716BEDD1" w14:textId="2344DE08"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لمزيد من التفاصيل أنظر فصل الحياة في المناطق تحت سيطرة سلطات الأمر الواقع، الفصل حول استهداف المنتسبين إلى المؤتمر الشعبي العام2017-2019.</w:t>
      </w:r>
    </w:p>
  </w:footnote>
  <w:footnote w:id="614">
    <w:p w14:paraId="548F6954" w14:textId="468C432F" w:rsidR="00A1624A" w:rsidRPr="006E4E4F" w:rsidRDefault="00A1624A" w:rsidP="00B81240">
      <w:pPr>
        <w:pStyle w:val="FootnoteText"/>
        <w:tabs>
          <w:tab w:val="clear" w:pos="1021"/>
        </w:tabs>
        <w:bidi/>
        <w:ind w:left="851" w:firstLine="0"/>
        <w:jc w:val="both"/>
        <w:rPr>
          <w:rFonts w:asciiTheme="majorBidi" w:hAnsiTheme="majorBidi" w:cstheme="majorBidi"/>
          <w:szCs w:val="18"/>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5">
    <w:p w14:paraId="1CC8A5D7" w14:textId="30F6250E"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r w:rsidRPr="00387593">
        <w:rPr>
          <w:rFonts w:ascii="Traditional Arabic" w:hAnsi="Traditional Arabic" w:cs="Traditional Arabic"/>
          <w:sz w:val="22"/>
          <w:szCs w:val="22"/>
          <w:rtl/>
        </w:rPr>
        <w:t xml:space="preserve"> </w:t>
      </w:r>
    </w:p>
  </w:footnote>
  <w:footnote w:id="616">
    <w:p w14:paraId="588EF947" w14:textId="17F993FD"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7">
    <w:p w14:paraId="4E5D2AFC" w14:textId="5F944618"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8">
    <w:p w14:paraId="6746F02B" w14:textId="1E1204E3" w:rsidR="00A1624A" w:rsidRPr="00387593"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19">
    <w:p w14:paraId="27788DAB" w14:textId="53E93FA1"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387593">
        <w:rPr>
          <w:rStyle w:val="FootnoteReference"/>
          <w:rFonts w:ascii="Traditional Arabic" w:hAnsi="Traditional Arabic" w:cs="Traditional Arabic"/>
          <w:sz w:val="22"/>
          <w:szCs w:val="22"/>
        </w:rPr>
        <w:footnoteRef/>
      </w:r>
      <w:r w:rsidRPr="00387593">
        <w:rPr>
          <w:rFonts w:ascii="Traditional Arabic" w:hAnsi="Traditional Arabic" w:cs="Traditional Arabic"/>
          <w:sz w:val="22"/>
          <w:szCs w:val="22"/>
        </w:rPr>
        <w:t xml:space="preserve"> </w:t>
      </w:r>
      <w:r w:rsidRPr="00387593">
        <w:rPr>
          <w:rFonts w:ascii="Traditional Arabic" w:hAnsi="Traditional Arabic" w:cs="Traditional Arabic"/>
          <w:sz w:val="22"/>
          <w:szCs w:val="22"/>
          <w:rtl/>
        </w:rPr>
        <w:t>مصادر سريّة في الملف</w:t>
      </w:r>
      <w:r w:rsidRPr="00387593">
        <w:rPr>
          <w:rFonts w:ascii="Traditional Arabic" w:hAnsi="Traditional Arabic" w:cs="Traditional Arabic"/>
          <w:sz w:val="22"/>
          <w:szCs w:val="22"/>
        </w:rPr>
        <w:t>.</w:t>
      </w:r>
    </w:p>
  </w:footnote>
  <w:footnote w:id="620">
    <w:p w14:paraId="56DFB01D" w14:textId="0DC8A871" w:rsidR="00A1624A" w:rsidRDefault="00A1624A" w:rsidP="00B81240">
      <w:pPr>
        <w:bidi/>
        <w:spacing w:line="240" w:lineRule="auto"/>
        <w:ind w:left="851" w:right="1134"/>
        <w:jc w:val="both"/>
        <w:rPr>
          <w:rFonts w:asciiTheme="majorBidi" w:hAnsiTheme="majorBidi" w:cstheme="majorBidi"/>
          <w:bCs/>
          <w:sz w:val="18"/>
          <w:szCs w:val="18"/>
          <w:lang w:val="en-US"/>
        </w:rPr>
      </w:pPr>
      <w:r>
        <w:rPr>
          <w:rStyle w:val="FootnoteReference"/>
          <w:rFonts w:asciiTheme="majorBidi" w:hAnsiTheme="majorBidi" w:cstheme="majorBidi"/>
          <w:szCs w:val="18"/>
        </w:rPr>
        <w:footnoteRef/>
      </w:r>
      <w:r>
        <w:rPr>
          <w:rFonts w:asciiTheme="majorBidi" w:hAnsiTheme="majorBidi" w:cstheme="majorBidi"/>
          <w:sz w:val="18"/>
          <w:szCs w:val="18"/>
        </w:rPr>
        <w:t xml:space="preserve"> </w:t>
      </w:r>
      <w:r w:rsidRPr="00D1106B">
        <w:rPr>
          <w:rFonts w:asciiTheme="majorBidi" w:hAnsiTheme="majorBidi"/>
          <w:rtl/>
        </w:rPr>
        <w:t>مصادر سريّة في الملف</w:t>
      </w:r>
      <w:r w:rsidRPr="00D1106B">
        <w:rPr>
          <w:rFonts w:asciiTheme="majorBidi" w:hAnsiTheme="majorBidi" w:cstheme="majorBidi"/>
        </w:rPr>
        <w:t>.</w:t>
      </w:r>
    </w:p>
    <w:p w14:paraId="5E741DF4" w14:textId="5DFC192D" w:rsidR="00A1624A" w:rsidRDefault="00A1624A" w:rsidP="00B81240">
      <w:pPr>
        <w:bidi/>
        <w:spacing w:line="240" w:lineRule="auto"/>
        <w:ind w:left="851" w:right="1134"/>
        <w:jc w:val="both"/>
        <w:rPr>
          <w:rFonts w:asciiTheme="majorBidi" w:hAnsiTheme="majorBidi" w:cstheme="majorBidi"/>
          <w:bCs/>
          <w:sz w:val="18"/>
          <w:szCs w:val="18"/>
          <w:lang w:val="en-US"/>
        </w:rPr>
      </w:pPr>
    </w:p>
  </w:footnote>
  <w:footnote w:id="621">
    <w:p w14:paraId="27ADF62E" w14:textId="1F662141"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tl/>
          <w:lang w:val="en-US"/>
        </w:rPr>
        <w:t xml:space="preserve"> لمزيد من التفاصيل حول وضع البهائيين، يمكن الاطلاع على فصل تأثير النزاع على الأقليات. </w:t>
      </w:r>
    </w:p>
  </w:footnote>
  <w:footnote w:id="622">
    <w:p w14:paraId="57CA02B3" w14:textId="1F2F59F1"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bidi="ar-JO"/>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3">
    <w:p w14:paraId="7BD66B82" w14:textId="0D737A02"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4">
    <w:p w14:paraId="6BE75C4D" w14:textId="5090B525"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مصادر سريّة في الملف</w:t>
      </w:r>
      <w:r w:rsidRPr="00F35C15">
        <w:rPr>
          <w:rFonts w:ascii="Traditional Arabic" w:hAnsi="Traditional Arabic" w:cs="Traditional Arabic"/>
          <w:sz w:val="22"/>
          <w:szCs w:val="22"/>
        </w:rPr>
        <w:t>.</w:t>
      </w:r>
    </w:p>
  </w:footnote>
  <w:footnote w:id="625">
    <w:p w14:paraId="25CCDC67" w14:textId="77777777" w:rsidR="00A1624A" w:rsidRPr="00F35C15" w:rsidRDefault="00A1624A" w:rsidP="00B81240">
      <w:pPr>
        <w:pStyle w:val="FootnoteText"/>
        <w:tabs>
          <w:tab w:val="clear" w:pos="1021"/>
        </w:tabs>
        <w:bidi/>
        <w:ind w:left="851" w:firstLine="0"/>
        <w:jc w:val="both"/>
        <w:rPr>
          <w:rFonts w:asciiTheme="majorBidi" w:hAnsiTheme="majorBidi" w:cstheme="majorBidi"/>
          <w:sz w:val="20"/>
        </w:rPr>
      </w:pPr>
      <w:r w:rsidRPr="00F35C15">
        <w:rPr>
          <w:rStyle w:val="FootnoteReference"/>
          <w:rFonts w:asciiTheme="majorBidi" w:hAnsiTheme="majorBidi" w:cstheme="majorBidi"/>
          <w:sz w:val="20"/>
        </w:rPr>
        <w:footnoteRef/>
      </w:r>
      <w:r w:rsidRPr="00F35C15">
        <w:rPr>
          <w:rFonts w:asciiTheme="majorBidi" w:hAnsiTheme="majorBidi" w:cstheme="majorBidi"/>
          <w:sz w:val="20"/>
        </w:rPr>
        <w:t xml:space="preserve"> </w:t>
      </w:r>
      <w:r w:rsidRPr="00F35C15">
        <w:rPr>
          <w:rFonts w:asciiTheme="majorBidi" w:hAnsiTheme="majorBidi" w:cstheme="majorBidi"/>
          <w:sz w:val="20"/>
          <w:lang w:val="en-US"/>
        </w:rPr>
        <w:t>International</w:t>
      </w:r>
      <w:r w:rsidRPr="00F35C15">
        <w:rPr>
          <w:rFonts w:asciiTheme="majorBidi" w:hAnsiTheme="majorBidi" w:cstheme="majorBidi"/>
          <w:sz w:val="20"/>
        </w:rPr>
        <w:t xml:space="preserve"> Covenant on Civil and Political Rights (ICCPR), art. 19; see also Human Rights Committee general comment No. 34, paras. 21–36.</w:t>
      </w:r>
    </w:p>
  </w:footnote>
  <w:footnote w:id="626">
    <w:p w14:paraId="3F301A95" w14:textId="7458E6CA"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tl/>
        </w:rPr>
        <w:t xml:space="preserve"> الفقرة </w:t>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21، </w:t>
      </w:r>
      <w:r w:rsidRPr="00F35C15">
        <w:rPr>
          <w:rStyle w:val="preferred"/>
          <w:rFonts w:ascii="Traditional Arabic" w:hAnsi="Traditional Arabic" w:cs="Traditional Arabic"/>
          <w:sz w:val="22"/>
          <w:szCs w:val="22"/>
          <w:rtl/>
        </w:rPr>
        <w:t xml:space="preserve">العهد الدولي للحقوق المدنية والسياسية. </w:t>
      </w:r>
    </w:p>
  </w:footnote>
  <w:footnote w:id="627">
    <w:p w14:paraId="3378A4B1" w14:textId="760F883E" w:rsidR="00A1624A" w:rsidRPr="00F35C15"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الفقرة 22، </w:t>
      </w:r>
      <w:r w:rsidRPr="00F35C15">
        <w:rPr>
          <w:rStyle w:val="preferred"/>
          <w:rFonts w:ascii="Traditional Arabic" w:hAnsi="Traditional Arabic" w:cs="Traditional Arabic"/>
          <w:sz w:val="22"/>
          <w:szCs w:val="22"/>
          <w:rtl/>
        </w:rPr>
        <w:t>العهد الدولي للحقوق المدنية والسياسية.</w:t>
      </w:r>
    </w:p>
  </w:footnote>
  <w:footnote w:id="628">
    <w:p w14:paraId="3652D69E" w14:textId="71660D75"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F35C15">
        <w:rPr>
          <w:rStyle w:val="FootnoteReference"/>
          <w:rFonts w:ascii="Traditional Arabic" w:hAnsi="Traditional Arabic" w:cs="Traditional Arabic"/>
          <w:sz w:val="22"/>
          <w:szCs w:val="22"/>
        </w:rPr>
        <w:footnoteRef/>
      </w:r>
      <w:r w:rsidRPr="00F35C15">
        <w:rPr>
          <w:rFonts w:ascii="Traditional Arabic" w:hAnsi="Traditional Arabic" w:cs="Traditional Arabic"/>
          <w:sz w:val="22"/>
          <w:szCs w:val="22"/>
        </w:rPr>
        <w:t xml:space="preserve"> </w:t>
      </w:r>
      <w:r w:rsidRPr="00F35C15">
        <w:rPr>
          <w:rFonts w:ascii="Traditional Arabic" w:hAnsi="Traditional Arabic" w:cs="Traditional Arabic"/>
          <w:sz w:val="22"/>
          <w:szCs w:val="22"/>
          <w:rtl/>
        </w:rPr>
        <w:t xml:space="preserve">الفقرة 18، </w:t>
      </w:r>
      <w:r w:rsidRPr="00F35C15">
        <w:rPr>
          <w:rStyle w:val="preferred"/>
          <w:rFonts w:ascii="Traditional Arabic" w:hAnsi="Traditional Arabic" w:cs="Traditional Arabic"/>
          <w:sz w:val="22"/>
          <w:szCs w:val="22"/>
          <w:rtl/>
        </w:rPr>
        <w:t>العهد الدولي للحقوق المدنية والسياسية.</w:t>
      </w:r>
      <w:r>
        <w:rPr>
          <w:rStyle w:val="preferred"/>
          <w:rFonts w:hint="cs"/>
          <w:rtl/>
        </w:rPr>
        <w:t xml:space="preserve"> </w:t>
      </w:r>
    </w:p>
  </w:footnote>
  <w:footnote w:id="629">
    <w:p w14:paraId="23004DB5" w14:textId="77777777" w:rsidR="00A1624A"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Fonts w:asciiTheme="majorBidi" w:hAnsiTheme="majorBidi" w:cstheme="majorBidi"/>
          <w:szCs w:val="18"/>
        </w:rPr>
        <w:footnoteRef/>
      </w:r>
      <w:r>
        <w:rPr>
          <w:rFonts w:asciiTheme="majorBidi" w:hAnsiTheme="majorBidi" w:cstheme="majorBidi"/>
          <w:szCs w:val="18"/>
        </w:rPr>
        <w:t xml:space="preserve"> Principles </w:t>
      </w:r>
      <w:r>
        <w:rPr>
          <w:rFonts w:asciiTheme="majorBidi" w:hAnsiTheme="majorBidi" w:cstheme="majorBidi"/>
          <w:szCs w:val="18"/>
          <w:lang w:val="en-US"/>
        </w:rPr>
        <w:t>12</w:t>
      </w:r>
      <w:r>
        <w:rPr>
          <w:rFonts w:asciiTheme="majorBidi" w:hAnsiTheme="majorBidi" w:cstheme="majorBidi"/>
          <w:szCs w:val="18"/>
        </w:rPr>
        <w:t xml:space="preserve"> and 13, Basic Principles on the Use of Force and Firearms by Law Enforcement Officials, 1990.</w:t>
      </w:r>
    </w:p>
  </w:footnote>
  <w:footnote w:id="630">
    <w:p w14:paraId="5DB1D837" w14:textId="216C8124" w:rsidR="00A1624A" w:rsidRPr="00DC012F"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C012F">
        <w:rPr>
          <w:rStyle w:val="FootnoteReference"/>
          <w:rFonts w:ascii="Traditional Arabic" w:hAnsi="Traditional Arabic" w:cs="Traditional Arabic"/>
          <w:sz w:val="22"/>
          <w:szCs w:val="22"/>
        </w:rPr>
        <w:footnoteRef/>
      </w:r>
      <w:r w:rsidRPr="00DC012F">
        <w:rPr>
          <w:rFonts w:ascii="Traditional Arabic" w:hAnsi="Traditional Arabic" w:cs="Traditional Arabic"/>
          <w:sz w:val="22"/>
          <w:szCs w:val="22"/>
        </w:rPr>
        <w:t xml:space="preserve"> </w:t>
      </w:r>
      <w:r w:rsidRPr="00DC012F">
        <w:rPr>
          <w:rFonts w:ascii="Traditional Arabic" w:hAnsi="Traditional Arabic" w:cs="Traditional Arabic"/>
          <w:sz w:val="22"/>
          <w:szCs w:val="22"/>
          <w:rtl/>
        </w:rPr>
        <w:t xml:space="preserve">المادة 7 من </w:t>
      </w:r>
      <w:r w:rsidRPr="00DC012F">
        <w:rPr>
          <w:rStyle w:val="preferred"/>
          <w:rFonts w:ascii="Traditional Arabic" w:hAnsi="Traditional Arabic" w:cs="Traditional Arabic"/>
          <w:sz w:val="22"/>
          <w:szCs w:val="22"/>
          <w:rtl/>
        </w:rPr>
        <w:t>العهد الدولي الخاص بالحقوق المدنية والسياسية، أنظر إتفاقية مناهضة التع</w:t>
      </w:r>
      <w:r w:rsidRPr="00DC012F">
        <w:rPr>
          <w:rStyle w:val="preferred"/>
          <w:rFonts w:ascii="Traditional Arabic" w:hAnsi="Traditional Arabic" w:cs="Traditional Arabic"/>
          <w:sz w:val="22"/>
          <w:szCs w:val="22"/>
          <w:rtl/>
          <w:lang w:bidi="ar-JO"/>
        </w:rPr>
        <w:t>ذ</w:t>
      </w:r>
      <w:r w:rsidRPr="00DC012F">
        <w:rPr>
          <w:rStyle w:val="preferred"/>
          <w:rFonts w:ascii="Traditional Arabic" w:hAnsi="Traditional Arabic" w:cs="Traditional Arabic"/>
          <w:sz w:val="22"/>
          <w:szCs w:val="22"/>
          <w:rtl/>
        </w:rPr>
        <w:t xml:space="preserve">يب وغيره من ضروب المعاملة أو العقوبة القاسية أو اللاإنسانية أو المهينة‏، الفقرة 3 المشتركة في معاهدة جنيف، الفقرة 4 من </w:t>
      </w:r>
      <w:r w:rsidRPr="00DC012F">
        <w:rPr>
          <w:rFonts w:ascii="Traditional Arabic" w:hAnsi="Traditional Arabic" w:cs="Traditional Arabic"/>
          <w:sz w:val="22"/>
          <w:szCs w:val="22"/>
          <w:rtl/>
        </w:rPr>
        <w:t xml:space="preserve">البروتوكول الإضافي الثاني، </w:t>
      </w:r>
      <w:r w:rsidRPr="00DC012F">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90.</w:t>
      </w:r>
    </w:p>
  </w:footnote>
  <w:footnote w:id="631">
    <w:p w14:paraId="0AC0B06B" w14:textId="3BE735EA" w:rsidR="00A1624A" w:rsidRPr="00DC012F" w:rsidRDefault="00A1624A" w:rsidP="00B81240">
      <w:pPr>
        <w:pStyle w:val="FootnoteText"/>
        <w:tabs>
          <w:tab w:val="clear" w:pos="1021"/>
        </w:tabs>
        <w:bidi/>
        <w:ind w:left="851" w:firstLine="0"/>
        <w:jc w:val="both"/>
        <w:rPr>
          <w:rStyle w:val="ar"/>
          <w:rFonts w:ascii="Traditional Arabic" w:hAnsi="Traditional Arabic" w:cs="Traditional Arabic"/>
          <w:sz w:val="22"/>
          <w:szCs w:val="22"/>
          <w:rtl/>
        </w:rPr>
      </w:pPr>
      <w:r w:rsidRPr="00DC012F">
        <w:rPr>
          <w:rStyle w:val="FootnoteReference"/>
          <w:rFonts w:ascii="Traditional Arabic" w:hAnsi="Traditional Arabic" w:cs="Traditional Arabic"/>
          <w:sz w:val="22"/>
          <w:szCs w:val="22"/>
        </w:rPr>
        <w:footnoteRef/>
      </w:r>
      <w:r w:rsidRPr="00DC012F">
        <w:rPr>
          <w:rFonts w:ascii="Traditional Arabic" w:hAnsi="Traditional Arabic" w:cs="Traditional Arabic"/>
          <w:sz w:val="22"/>
          <w:szCs w:val="22"/>
        </w:rPr>
        <w:t xml:space="preserve"> </w:t>
      </w:r>
      <w:r w:rsidRPr="00DC012F">
        <w:rPr>
          <w:rFonts w:ascii="Traditional Arabic" w:hAnsi="Traditional Arabic" w:cs="Traditional Arabic"/>
          <w:sz w:val="22"/>
          <w:szCs w:val="22"/>
          <w:rtl/>
        </w:rPr>
        <w:t xml:space="preserve">الفقرة </w:t>
      </w:r>
      <w:r w:rsidRPr="00DC012F">
        <w:rPr>
          <w:rFonts w:ascii="Traditional Arabic" w:hAnsi="Traditional Arabic" w:cs="Traditional Arabic"/>
          <w:sz w:val="22"/>
          <w:szCs w:val="22"/>
        </w:rPr>
        <w:t>8 2.(c)(iii)</w:t>
      </w:r>
      <w:r w:rsidRPr="00DC012F">
        <w:rPr>
          <w:rFonts w:ascii="Traditional Arabic" w:hAnsi="Traditional Arabic" w:cs="Traditional Arabic"/>
          <w:sz w:val="22"/>
          <w:szCs w:val="22"/>
          <w:rtl/>
        </w:rPr>
        <w:t xml:space="preserve"> </w:t>
      </w:r>
      <w:r w:rsidRPr="00DC012F">
        <w:rPr>
          <w:rStyle w:val="ar"/>
          <w:rFonts w:ascii="Traditional Arabic" w:hAnsi="Traditional Arabic" w:cs="Traditional Arabic"/>
          <w:sz w:val="22"/>
          <w:szCs w:val="22"/>
          <w:rtl/>
        </w:rPr>
        <w:t xml:space="preserve">نظام روما الأساسي. </w:t>
      </w:r>
    </w:p>
    <w:p w14:paraId="300C21E2" w14:textId="4267C335" w:rsidR="00A1624A" w:rsidRDefault="00A1624A" w:rsidP="00B81240">
      <w:pPr>
        <w:pStyle w:val="FootnoteText"/>
        <w:tabs>
          <w:tab w:val="clear" w:pos="1021"/>
        </w:tabs>
        <w:bidi/>
        <w:ind w:left="851" w:firstLine="0"/>
        <w:jc w:val="both"/>
        <w:rPr>
          <w:rFonts w:asciiTheme="majorBidi" w:hAnsiTheme="majorBidi" w:cstheme="majorBidi"/>
          <w:szCs w:val="18"/>
        </w:rPr>
      </w:pPr>
    </w:p>
  </w:footnote>
  <w:footnote w:id="632">
    <w:p w14:paraId="1D3CA4B5" w14:textId="6F73E69F"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Style w:val="preferred"/>
          <w:rFonts w:ascii="Traditional Arabic" w:hAnsi="Traditional Arabic" w:cs="Traditional Arabic"/>
          <w:sz w:val="22"/>
          <w:szCs w:val="22"/>
          <w:rtl/>
        </w:rPr>
        <w:t xml:space="preserve">العهد الدولي للحقوق المدنية والسياسية. </w:t>
      </w:r>
    </w:p>
  </w:footnote>
  <w:footnote w:id="633">
    <w:p w14:paraId="180939C7" w14:textId="4FAD631E" w:rsidR="00A1624A" w:rsidRPr="0042259C" w:rsidRDefault="00A1624A" w:rsidP="00B81240">
      <w:pPr>
        <w:pStyle w:val="FootnoteText"/>
        <w:tabs>
          <w:tab w:val="clear" w:pos="1021"/>
        </w:tabs>
        <w:bidi/>
        <w:ind w:left="851" w:firstLine="0"/>
        <w:jc w:val="both"/>
        <w:rPr>
          <w:rStyle w:val="preferred"/>
          <w:rFonts w:ascii="Traditional Arabic" w:hAnsi="Traditional Arabic" w:cs="Traditional Arabic"/>
          <w:sz w:val="22"/>
          <w:szCs w:val="22"/>
          <w:rtl/>
        </w:rPr>
      </w:pPr>
      <w:r w:rsidRPr="0042259C">
        <w:rPr>
          <w:rFonts w:ascii="Traditional Arabic" w:hAnsi="Traditional Arabic" w:cs="Traditional Arabic"/>
          <w:sz w:val="22"/>
          <w:szCs w:val="22"/>
        </w:rPr>
        <w:tab/>
      </w: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المادة 9 و14 من </w:t>
      </w:r>
      <w:r w:rsidRPr="0042259C">
        <w:rPr>
          <w:rStyle w:val="preferred"/>
          <w:rFonts w:ascii="Traditional Arabic" w:hAnsi="Traditional Arabic" w:cs="Traditional Arabic"/>
          <w:sz w:val="22"/>
          <w:szCs w:val="22"/>
          <w:rtl/>
        </w:rPr>
        <w:t xml:space="preserve">العهد الدولي الخاص بالحقوق المدنية والسياسية واللجنة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42259C">
        <w:rPr>
          <w:rFonts w:ascii="Traditional Arabic" w:hAnsi="Traditional Arabic" w:cs="Traditional Arabic"/>
          <w:sz w:val="22"/>
          <w:szCs w:val="22"/>
        </w:rPr>
        <w:t>(A/RES/43/173)</w:t>
      </w:r>
      <w:r w:rsidRPr="0042259C">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42259C">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3A877132" w14:textId="60A79AAA" w:rsidR="00A1624A" w:rsidRPr="0042259C" w:rsidRDefault="00A1624A" w:rsidP="00B81240">
      <w:pPr>
        <w:pStyle w:val="BalloonText"/>
        <w:bidi/>
        <w:ind w:left="851" w:right="1134"/>
        <w:jc w:val="both"/>
        <w:rPr>
          <w:rFonts w:asciiTheme="majorBidi" w:hAnsiTheme="majorBidi" w:cstheme="majorBidi"/>
          <w:sz w:val="20"/>
          <w:szCs w:val="20"/>
        </w:rPr>
      </w:pPr>
      <w:r w:rsidRPr="0042259C">
        <w:rPr>
          <w:rFonts w:asciiTheme="majorBidi" w:hAnsiTheme="majorBidi" w:cstheme="majorBidi"/>
          <w:sz w:val="20"/>
          <w:szCs w:val="20"/>
        </w:rPr>
        <w:t xml:space="preserve"> (see Methods of work of the Working Group on Arbitrary Detention, A/HRC/36/38).</w:t>
      </w:r>
    </w:p>
  </w:footnote>
  <w:footnote w:id="634">
    <w:p w14:paraId="790E62E7" w14:textId="583F039F"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rPr>
        <w:t>(2)</w:t>
      </w:r>
      <w:r w:rsidRPr="0042259C">
        <w:rPr>
          <w:rFonts w:ascii="Traditional Arabic" w:hAnsi="Traditional Arabic" w:cs="Traditional Arabic"/>
          <w:sz w:val="22"/>
          <w:szCs w:val="22"/>
          <w:rtl/>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5">
    <w:p w14:paraId="37F52CA8" w14:textId="1C62669D"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rPr>
        <w:t>(3)</w:t>
      </w:r>
      <w:r w:rsidRPr="0042259C">
        <w:rPr>
          <w:rFonts w:ascii="Traditional Arabic" w:hAnsi="Traditional Arabic" w:cs="Traditional Arabic"/>
          <w:sz w:val="22"/>
          <w:szCs w:val="22"/>
          <w:rtl/>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6">
    <w:p w14:paraId="53BF02DF" w14:textId="10DF65E9" w:rsidR="00A1624A" w:rsidRPr="0042259C"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الفقرة 9 </w:t>
      </w:r>
      <w:r w:rsidRPr="0042259C">
        <w:rPr>
          <w:rFonts w:ascii="Traditional Arabic" w:hAnsi="Traditional Arabic" w:cs="Traditional Arabic"/>
          <w:sz w:val="22"/>
          <w:szCs w:val="22"/>
          <w:lang w:val="en-US"/>
        </w:rPr>
        <w:t>(4)</w:t>
      </w:r>
      <w:r w:rsidRPr="0042259C">
        <w:rPr>
          <w:rFonts w:ascii="Traditional Arabic" w:hAnsi="Traditional Arabic" w:cs="Traditional Arabic"/>
          <w:sz w:val="22"/>
          <w:szCs w:val="22"/>
          <w:rtl/>
          <w:lang w:val="en-US"/>
        </w:rPr>
        <w:t xml:space="preserve"> </w:t>
      </w:r>
      <w:r w:rsidRPr="0042259C">
        <w:rPr>
          <w:rStyle w:val="preferred"/>
          <w:rFonts w:ascii="Traditional Arabic" w:hAnsi="Traditional Arabic" w:cs="Traditional Arabic"/>
          <w:sz w:val="22"/>
          <w:szCs w:val="22"/>
          <w:rtl/>
        </w:rPr>
        <w:t>العهد الدولي للحقوق المدنية والسياسية.</w:t>
      </w:r>
    </w:p>
  </w:footnote>
  <w:footnote w:id="637">
    <w:p w14:paraId="61DDF6AF" w14:textId="3081E5FF" w:rsidR="00A1624A" w:rsidRPr="00C55368" w:rsidRDefault="00A1624A" w:rsidP="00B81240">
      <w:pPr>
        <w:pStyle w:val="FootnoteText"/>
        <w:tabs>
          <w:tab w:val="clear" w:pos="1021"/>
        </w:tabs>
        <w:bidi/>
        <w:ind w:left="851" w:firstLine="0"/>
        <w:jc w:val="both"/>
        <w:rPr>
          <w:rFonts w:asciiTheme="majorBidi" w:hAnsiTheme="majorBidi" w:cstheme="majorBidi"/>
          <w:szCs w:val="18"/>
          <w:lang w:val="en-US"/>
        </w:rPr>
      </w:pPr>
      <w:r w:rsidRPr="0042259C">
        <w:rPr>
          <w:rStyle w:val="FootnoteReference"/>
          <w:rFonts w:ascii="Traditional Arabic" w:hAnsi="Traditional Arabic" w:cs="Traditional Arabic"/>
          <w:sz w:val="22"/>
          <w:szCs w:val="22"/>
        </w:rPr>
        <w:footnoteRef/>
      </w:r>
      <w:r w:rsidRPr="0042259C">
        <w:rPr>
          <w:rFonts w:ascii="Traditional Arabic" w:hAnsi="Traditional Arabic" w:cs="Traditional Arabic"/>
          <w:sz w:val="22"/>
          <w:szCs w:val="22"/>
        </w:rPr>
        <w:t xml:space="preserve"> </w:t>
      </w:r>
      <w:r w:rsidRPr="0042259C">
        <w:rPr>
          <w:rFonts w:ascii="Traditional Arabic" w:hAnsi="Traditional Arabic" w:cs="Traditional Arabic"/>
          <w:sz w:val="22"/>
          <w:szCs w:val="22"/>
          <w:rtl/>
        </w:rPr>
        <w:t xml:space="preserve"> </w:t>
      </w:r>
      <w:r w:rsidRPr="0042259C">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القواعد 99 و100.</w:t>
      </w:r>
      <w:r>
        <w:rPr>
          <w:rStyle w:val="tlid-translation"/>
          <w:rFonts w:hint="cs"/>
          <w:rtl/>
        </w:rPr>
        <w:t xml:space="preserve"> </w:t>
      </w:r>
    </w:p>
  </w:footnote>
  <w:footnote w:id="638">
    <w:p w14:paraId="1B4D70F7" w14:textId="1A88FE57" w:rsidR="00A1624A" w:rsidRPr="0042259C" w:rsidRDefault="00A1624A" w:rsidP="00B81240">
      <w:pPr>
        <w:pStyle w:val="FootnoteText"/>
        <w:tabs>
          <w:tab w:val="clear" w:pos="1021"/>
        </w:tabs>
        <w:bidi/>
        <w:ind w:left="851" w:firstLine="0"/>
        <w:jc w:val="both"/>
        <w:rPr>
          <w:rFonts w:asciiTheme="majorBidi" w:hAnsiTheme="majorBidi" w:cstheme="majorBidi"/>
          <w:sz w:val="20"/>
        </w:rPr>
      </w:pPr>
      <w:r w:rsidRPr="0042259C">
        <w:rPr>
          <w:rFonts w:asciiTheme="majorBidi" w:hAnsiTheme="majorBidi" w:cstheme="majorBidi"/>
          <w:sz w:val="20"/>
        </w:rPr>
        <w:tab/>
      </w:r>
      <w:r w:rsidRPr="0042259C">
        <w:rPr>
          <w:rStyle w:val="FootnoteReference"/>
          <w:rFonts w:asciiTheme="majorBidi" w:hAnsiTheme="majorBidi" w:cstheme="majorBidi"/>
          <w:sz w:val="20"/>
        </w:rPr>
        <w:footnoteRef/>
      </w:r>
      <w:r w:rsidRPr="0042259C">
        <w:rPr>
          <w:rFonts w:asciiTheme="majorBidi" w:hAnsiTheme="majorBidi" w:cstheme="majorBidi"/>
          <w:sz w:val="20"/>
        </w:rPr>
        <w:t xml:space="preserve"> See Methods of work of the Working Group on Arbitrary Detention, A/HRC/36/38). </w:t>
      </w:r>
    </w:p>
  </w:footnote>
  <w:footnote w:id="639">
    <w:p w14:paraId="04F381F6" w14:textId="35A6D458" w:rsidR="00A1624A" w:rsidRDefault="00A1624A" w:rsidP="00B81240">
      <w:pPr>
        <w:pStyle w:val="FootnoteText"/>
        <w:tabs>
          <w:tab w:val="clear" w:pos="1021"/>
        </w:tabs>
        <w:bidi/>
        <w:ind w:left="851" w:firstLine="0"/>
        <w:jc w:val="both"/>
        <w:rPr>
          <w:rFonts w:asciiTheme="majorBidi" w:hAnsiTheme="majorBidi" w:cstheme="majorBidi"/>
          <w:szCs w:val="18"/>
        </w:rPr>
      </w:pPr>
      <w:r w:rsidRPr="00C55368">
        <w:rPr>
          <w:rStyle w:val="FootnoteReference"/>
          <w:rFonts w:asciiTheme="majorBidi" w:hAnsiTheme="majorBidi" w:cstheme="majorBidi"/>
          <w:szCs w:val="18"/>
        </w:rPr>
        <w:footnoteRef/>
      </w:r>
      <w:r w:rsidRPr="00C55368">
        <w:rPr>
          <w:rFonts w:asciiTheme="majorBidi" w:hAnsiTheme="majorBidi" w:cstheme="majorBidi"/>
          <w:szCs w:val="18"/>
        </w:rPr>
        <w:t xml:space="preserve"> </w:t>
      </w:r>
      <w:r w:rsidRPr="00B40830">
        <w:rPr>
          <w:rFonts w:ascii="Traditional Arabic" w:hAnsi="Traditional Arabic" w:cs="Traditional Arabic"/>
          <w:sz w:val="22"/>
          <w:szCs w:val="22"/>
          <w:rtl/>
        </w:rPr>
        <w:t xml:space="preserve">المادة 9 من </w:t>
      </w:r>
      <w:r w:rsidRPr="00B40830">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B40830">
        <w:rPr>
          <w:rFonts w:ascii="Traditional Arabic" w:hAnsi="Traditional Arabic" w:cs="Traditional Arabic"/>
          <w:sz w:val="22"/>
          <w:szCs w:val="22"/>
          <w:lang w:val="en-US"/>
        </w:rPr>
        <w:t>(CED)</w:t>
      </w:r>
      <w:r w:rsidRPr="00B40830">
        <w:rPr>
          <w:rStyle w:val="preferred"/>
          <w:rFonts w:ascii="Traditional Arabic" w:hAnsi="Traditional Arabic" w:cs="Traditional Arabic"/>
          <w:sz w:val="22"/>
          <w:szCs w:val="22"/>
          <w:rtl/>
        </w:rPr>
        <w:t xml:space="preserve">، </w:t>
      </w:r>
      <w:r>
        <w:rPr>
          <w:rStyle w:val="preferred"/>
          <w:rFonts w:ascii="Traditional Arabic" w:hAnsi="Traditional Arabic" w:cs="Traditional Arabic" w:hint="cs"/>
          <w:sz w:val="22"/>
          <w:szCs w:val="22"/>
          <w:rtl/>
        </w:rPr>
        <w:t xml:space="preserve">أنظر </w:t>
      </w:r>
      <w:r w:rsidRPr="00B40830">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B40830">
        <w:rPr>
          <w:rFonts w:ascii="Traditional Arabic" w:hAnsi="Traditional Arabic" w:cs="Traditional Arabic"/>
          <w:sz w:val="22"/>
          <w:szCs w:val="22"/>
          <w:rtl/>
        </w:rPr>
        <w:t xml:space="preserve">، </w:t>
      </w:r>
      <w:r w:rsidRPr="00B40830">
        <w:rPr>
          <w:rStyle w:val="tlid-translation"/>
          <w:rFonts w:ascii="Traditional Arabic" w:hAnsi="Traditional Arabic" w:cs="Traditional Arabic"/>
          <w:sz w:val="22"/>
          <w:szCs w:val="22"/>
          <w:rtl/>
        </w:rPr>
        <w:t>القاعدة 98</w:t>
      </w:r>
      <w:r>
        <w:rPr>
          <w:rStyle w:val="tlid-translation"/>
          <w:rFonts w:ascii="Traditional Arabic" w:hAnsi="Traditional Arabic" w:cs="Traditional Arabic" w:hint="cs"/>
          <w:sz w:val="22"/>
          <w:szCs w:val="22"/>
          <w:rtl/>
        </w:rPr>
        <w:t>.</w:t>
      </w:r>
      <w:r>
        <w:rPr>
          <w:rFonts w:asciiTheme="majorBidi" w:hAnsiTheme="majorBidi" w:cstheme="majorBidi"/>
          <w:szCs w:val="18"/>
          <w:lang w:val="en-US"/>
        </w:rPr>
        <w:t xml:space="preserve">  </w:t>
      </w:r>
    </w:p>
  </w:footnote>
  <w:footnote w:id="640">
    <w:p w14:paraId="0CCD5FC3" w14:textId="1294DBA2" w:rsidR="00A1624A" w:rsidRPr="00C671DD" w:rsidRDefault="00A1624A" w:rsidP="00B81240">
      <w:pPr>
        <w:bidi/>
        <w:spacing w:line="240" w:lineRule="auto"/>
        <w:ind w:left="851" w:right="1134"/>
        <w:jc w:val="both"/>
        <w:rPr>
          <w:rFonts w:ascii="Traditional Arabic" w:hAnsi="Traditional Arabic" w:cs="Traditional Arabic"/>
          <w:b/>
          <w:bCs/>
          <w:sz w:val="22"/>
          <w:szCs w:val="22"/>
          <w:u w:val="single"/>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1">
    <w:p w14:paraId="3DDF6174" w14:textId="2010C92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2">
    <w:p w14:paraId="3DAA8006" w14:textId="1BE10294"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3">
    <w:p w14:paraId="50FE3AB3" w14:textId="31BEFEA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4">
    <w:p w14:paraId="441EBAAC" w14:textId="2DB266E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5">
    <w:p w14:paraId="69EC238F" w14:textId="002AFF1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6">
    <w:p w14:paraId="231D254E" w14:textId="24A32F40"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7">
    <w:p w14:paraId="302CDA95" w14:textId="5D744B72" w:rsidR="00A1624A" w:rsidRPr="00A200B3" w:rsidRDefault="00A1624A" w:rsidP="00B81240">
      <w:pPr>
        <w:pStyle w:val="FootnoteText"/>
        <w:tabs>
          <w:tab w:val="clear" w:pos="1021"/>
        </w:tabs>
        <w:bidi/>
        <w:ind w:left="851" w:firstLine="0"/>
        <w:jc w:val="both"/>
        <w:rPr>
          <w:rFonts w:asciiTheme="majorBidi" w:hAnsiTheme="majorBidi" w:cstheme="majorBidi"/>
          <w:szCs w:val="18"/>
          <w:rtl/>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tl/>
          <w:lang w:val="en-US"/>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8">
    <w:p w14:paraId="43CA5747" w14:textId="6FB8198F"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49">
    <w:p w14:paraId="44830DC4" w14:textId="1EE72937"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0">
    <w:p w14:paraId="72B40346" w14:textId="5537CBD5"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1">
    <w:p w14:paraId="7EEE83EB" w14:textId="72CD4CA2"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 xml:space="preserve">لمزيد من التفاصيل، يمكن زيارة الفصل المتعلق بتأثير النزاع على الأطفال والفصل المتعلق بإنتهاكات الحق في حرية وأمان الأفراد والحماية من العنف. </w:t>
      </w:r>
    </w:p>
  </w:footnote>
  <w:footnote w:id="652">
    <w:p w14:paraId="1F47D95E" w14:textId="32E5F43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Style w:val="tlid-translation"/>
          <w:rFonts w:ascii="Traditional Arabic" w:hAnsi="Traditional Arabic" w:cs="Traditional Arabic"/>
          <w:sz w:val="22"/>
          <w:szCs w:val="22"/>
          <w:rtl/>
        </w:rPr>
        <w:t xml:space="preserve">تقرير الأمم المتحدة بشأن حقوق الإنسان في اليمن 2017 - </w:t>
      </w:r>
      <w:r w:rsidRPr="00C671DD">
        <w:rPr>
          <w:rFonts w:ascii="Traditional Arabic" w:hAnsi="Traditional Arabic" w:cs="Traditional Arabic"/>
          <w:sz w:val="22"/>
          <w:szCs w:val="22"/>
        </w:rPr>
        <w:t>A/HRC/36/33</w:t>
      </w:r>
      <w:r w:rsidRPr="00C671DD">
        <w:rPr>
          <w:rFonts w:ascii="Traditional Arabic" w:hAnsi="Traditional Arabic" w:cs="Traditional Arabic"/>
          <w:sz w:val="22"/>
          <w:szCs w:val="22"/>
          <w:rtl/>
        </w:rPr>
        <w:t xml:space="preserve"> ص. 13.</w:t>
      </w:r>
    </w:p>
  </w:footnote>
  <w:footnote w:id="653">
    <w:p w14:paraId="226A9C87" w14:textId="66052AAB"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r w:rsidRPr="00C671DD">
        <w:rPr>
          <w:rFonts w:ascii="Traditional Arabic" w:hAnsi="Traditional Arabic" w:cs="Traditional Arabic"/>
          <w:sz w:val="22"/>
          <w:szCs w:val="22"/>
          <w:rtl/>
        </w:rPr>
        <w:t xml:space="preserve"> </w:t>
      </w:r>
    </w:p>
  </w:footnote>
  <w:footnote w:id="654">
    <w:p w14:paraId="6F03B56A" w14:textId="650A7938" w:rsidR="00A1624A" w:rsidRDefault="00A1624A" w:rsidP="00B81240">
      <w:pPr>
        <w:pStyle w:val="FootnoteText"/>
        <w:tabs>
          <w:tab w:val="clear" w:pos="1021"/>
        </w:tabs>
        <w:bidi/>
        <w:ind w:left="851" w:firstLine="0"/>
        <w:jc w:val="both"/>
        <w:rPr>
          <w:rFonts w:asciiTheme="majorBidi" w:hAnsiTheme="majorBidi" w:cstheme="majorBidi"/>
          <w:szCs w:val="18"/>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5">
    <w:p w14:paraId="7C53A38F" w14:textId="3E174C6C"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tl/>
        </w:rPr>
        <w:t xml:space="preserve"> مصادر سريّة في الملف</w:t>
      </w:r>
      <w:r w:rsidRPr="00C671DD">
        <w:rPr>
          <w:rFonts w:ascii="Traditional Arabic" w:hAnsi="Traditional Arabic" w:cs="Traditional Arabic"/>
          <w:sz w:val="22"/>
          <w:szCs w:val="22"/>
        </w:rPr>
        <w:t>.</w:t>
      </w:r>
    </w:p>
  </w:footnote>
  <w:footnote w:id="656">
    <w:p w14:paraId="2FB68F20" w14:textId="289571A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7">
    <w:p w14:paraId="099D80F1" w14:textId="3412B283"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8">
    <w:p w14:paraId="7A684782" w14:textId="7C1AFDB9"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59">
    <w:p w14:paraId="0D8C3BA5" w14:textId="4753BBE1" w:rsidR="00A1624A" w:rsidRPr="00C671DD"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60">
    <w:p w14:paraId="57D8CE54" w14:textId="58A0BAF9"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sidRPr="00C671DD">
        <w:rPr>
          <w:rStyle w:val="FootnoteReference"/>
          <w:rFonts w:ascii="Traditional Arabic" w:hAnsi="Traditional Arabic" w:cs="Traditional Arabic"/>
          <w:sz w:val="22"/>
          <w:szCs w:val="22"/>
        </w:rPr>
        <w:footnoteRef/>
      </w:r>
      <w:r w:rsidRPr="00C671DD">
        <w:rPr>
          <w:rFonts w:ascii="Traditional Arabic" w:hAnsi="Traditional Arabic" w:cs="Traditional Arabic"/>
          <w:sz w:val="22"/>
          <w:szCs w:val="22"/>
        </w:rPr>
        <w:t xml:space="preserve"> </w:t>
      </w:r>
      <w:r w:rsidRPr="00C671DD">
        <w:rPr>
          <w:rFonts w:ascii="Traditional Arabic" w:hAnsi="Traditional Arabic" w:cs="Traditional Arabic"/>
          <w:sz w:val="22"/>
          <w:szCs w:val="22"/>
          <w:rtl/>
        </w:rPr>
        <w:t>مصادر سريّة في الملف</w:t>
      </w:r>
      <w:r w:rsidRPr="00C671DD">
        <w:rPr>
          <w:rFonts w:ascii="Traditional Arabic" w:hAnsi="Traditional Arabic" w:cs="Traditional Arabic"/>
          <w:sz w:val="22"/>
          <w:szCs w:val="22"/>
        </w:rPr>
        <w:t>.</w:t>
      </w:r>
    </w:p>
  </w:footnote>
  <w:footnote w:id="661">
    <w:p w14:paraId="33705EDB" w14:textId="7136BA73"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2">
    <w:p w14:paraId="78F3D870" w14:textId="72711F81"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3">
    <w:p w14:paraId="3DC33B92" w14:textId="453D2D97"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4">
    <w:p w14:paraId="05D125B0" w14:textId="61C0CA64" w:rsidR="00A1624A" w:rsidRPr="00E41EE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E41EE7">
        <w:rPr>
          <w:rStyle w:val="FootnoteReference"/>
          <w:rFonts w:ascii="Traditional Arabic" w:hAnsi="Traditional Arabic" w:cs="Traditional Arabic"/>
          <w:sz w:val="22"/>
          <w:szCs w:val="22"/>
        </w:rPr>
        <w:footnoteRef/>
      </w:r>
      <w:r w:rsidRPr="00E41EE7">
        <w:rPr>
          <w:rFonts w:ascii="Traditional Arabic" w:hAnsi="Traditional Arabic" w:cs="Traditional Arabic"/>
          <w:sz w:val="22"/>
          <w:szCs w:val="22"/>
          <w:rtl/>
        </w:rPr>
        <w:t xml:space="preserve"> </w:t>
      </w:r>
      <w:r w:rsidRPr="00E41EE7">
        <w:rPr>
          <w:rFonts w:ascii="Traditional Arabic" w:hAnsi="Traditional Arabic" w:cs="Traditional Arabic"/>
          <w:sz w:val="22"/>
          <w:szCs w:val="22"/>
          <w:rtl/>
          <w:lang w:val="en-US"/>
        </w:rPr>
        <w:t xml:space="preserve"> </w:t>
      </w:r>
      <w:r w:rsidRPr="00E41EE7">
        <w:rPr>
          <w:rFonts w:ascii="Traditional Arabic" w:hAnsi="Traditional Arabic" w:cs="Traditional Arabic"/>
          <w:sz w:val="22"/>
          <w:szCs w:val="22"/>
          <w:rtl/>
        </w:rPr>
        <w:t>مصادر سريّة في الملف</w:t>
      </w:r>
      <w:r w:rsidRPr="00E41EE7">
        <w:rPr>
          <w:rFonts w:ascii="Traditional Arabic" w:hAnsi="Traditional Arabic" w:cs="Traditional Arabic"/>
          <w:sz w:val="22"/>
          <w:szCs w:val="22"/>
        </w:rPr>
        <w:t>.</w:t>
      </w:r>
    </w:p>
  </w:footnote>
  <w:footnote w:id="665">
    <w:p w14:paraId="439F75A7" w14:textId="296BF616" w:rsidR="00A1624A" w:rsidRDefault="00A1624A" w:rsidP="00B81240">
      <w:pPr>
        <w:pStyle w:val="CommentText"/>
        <w:bidi/>
        <w:spacing w:after="0"/>
        <w:ind w:left="851" w:right="1134"/>
        <w:jc w:val="both"/>
        <w:rPr>
          <w:rFonts w:asciiTheme="majorBidi" w:hAnsiTheme="majorBidi" w:cstheme="majorBidi"/>
          <w:sz w:val="18"/>
          <w:szCs w:val="18"/>
        </w:rPr>
      </w:pPr>
      <w:r w:rsidRPr="00E41EE7">
        <w:rPr>
          <w:rStyle w:val="FootnoteReference"/>
          <w:rFonts w:ascii="Traditional Arabic" w:hAnsi="Traditional Arabic" w:cs="Traditional Arabic"/>
          <w:sz w:val="22"/>
        </w:rPr>
        <w:footnoteRef/>
      </w:r>
      <w:r w:rsidRPr="00E41EE7">
        <w:rPr>
          <w:rFonts w:ascii="Traditional Arabic" w:hAnsi="Traditional Arabic" w:cs="Traditional Arabic"/>
        </w:rPr>
        <w:t xml:space="preserve"> </w:t>
      </w:r>
      <w:r w:rsidRPr="00E41EE7">
        <w:rPr>
          <w:rFonts w:ascii="Traditional Arabic" w:hAnsi="Traditional Arabic" w:cs="Traditional Arabic"/>
          <w:rtl/>
        </w:rPr>
        <w:t>مصادر سريّة في الملف</w:t>
      </w:r>
      <w:r w:rsidRPr="00E41EE7">
        <w:rPr>
          <w:rFonts w:ascii="Traditional Arabic" w:hAnsi="Traditional Arabic" w:cs="Traditional Arabic"/>
        </w:rPr>
        <w:t>.</w:t>
      </w:r>
    </w:p>
  </w:footnote>
  <w:footnote w:id="666">
    <w:p w14:paraId="577161A8" w14:textId="04152386"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B3802">
        <w:rPr>
          <w:rStyle w:val="FootnoteReference"/>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67">
    <w:p w14:paraId="33BC49A4" w14:textId="5BC3545B" w:rsidR="00A1624A"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Fonts w:asciiTheme="majorBidi" w:hAnsiTheme="majorBidi" w:cstheme="majorBidi"/>
          <w:szCs w:val="18"/>
        </w:rPr>
        <w:footnoteRef/>
      </w:r>
      <w:r>
        <w:rPr>
          <w:rFonts w:asciiTheme="majorBidi" w:hAnsiTheme="majorBidi" w:cstheme="majorBidi"/>
          <w:szCs w:val="18"/>
        </w:rPr>
        <w:t xml:space="preserve"> </w:t>
      </w:r>
      <w:r w:rsidRPr="009242EB">
        <w:rPr>
          <w:rFonts w:ascii="Traditional Arabic" w:hAnsi="Traditional Arabic" w:cs="Traditional Arabic"/>
          <w:sz w:val="22"/>
          <w:szCs w:val="22"/>
          <w:rtl/>
        </w:rPr>
        <w:t xml:space="preserve">المادة 7 من </w:t>
      </w:r>
      <w:r w:rsidRPr="009242EB">
        <w:rPr>
          <w:rStyle w:val="preferred"/>
          <w:rFonts w:ascii="Traditional Arabic" w:hAnsi="Traditional Arabic" w:cs="Traditional Arabic"/>
          <w:sz w:val="22"/>
          <w:szCs w:val="22"/>
          <w:rtl/>
        </w:rPr>
        <w:t xml:space="preserve">العهد الدولي الخاص بالحقوق المدنية والسياسية، أنظر </w:t>
      </w:r>
      <w:r w:rsidRPr="009242EB">
        <w:rPr>
          <w:rStyle w:val="preferred"/>
          <w:rFonts w:ascii="Traditional Arabic" w:hAnsi="Traditional Arabic" w:cs="Traditional Arabic"/>
          <w:sz w:val="22"/>
          <w:szCs w:val="22"/>
          <w:cs/>
        </w:rPr>
        <w:t>‎‎</w:t>
      </w:r>
      <w:r w:rsidRPr="009242EB">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معاهدات جنيف، الفقرة 4 من </w:t>
      </w:r>
      <w:r w:rsidRPr="009242E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9242EB">
        <w:rPr>
          <w:rFonts w:ascii="Traditional Arabic" w:hAnsi="Traditional Arabic" w:cs="Traditional Arabic"/>
          <w:sz w:val="22"/>
          <w:szCs w:val="22"/>
          <w:rtl/>
        </w:rPr>
        <w:t xml:space="preserve">، </w:t>
      </w:r>
      <w:r w:rsidRPr="009242EB">
        <w:rPr>
          <w:rStyle w:val="tlid-translation"/>
          <w:rFonts w:ascii="Traditional Arabic" w:hAnsi="Traditional Arabic" w:cs="Traditional Arabic"/>
          <w:sz w:val="22"/>
          <w:szCs w:val="22"/>
          <w:rtl/>
        </w:rPr>
        <w:t>القاعدة 90.</w:t>
      </w:r>
    </w:p>
  </w:footnote>
  <w:footnote w:id="668">
    <w:p w14:paraId="5961E9B9" w14:textId="32E35C7C" w:rsidR="00A1624A" w:rsidRDefault="00A1624A" w:rsidP="00B81240">
      <w:pPr>
        <w:pStyle w:val="FootnoteText"/>
        <w:tabs>
          <w:tab w:val="clear" w:pos="1021"/>
        </w:tabs>
        <w:bidi/>
        <w:ind w:left="851" w:firstLine="0"/>
        <w:jc w:val="both"/>
        <w:rPr>
          <w:rFonts w:asciiTheme="majorBidi" w:hAnsiTheme="majorBidi" w:cstheme="majorBidi"/>
          <w:szCs w:val="18"/>
          <w:lang w:val="en-US"/>
        </w:rPr>
      </w:pPr>
      <w:r>
        <w:rPr>
          <w:rStyle w:val="FootnoteReference"/>
          <w:rFonts w:asciiTheme="majorBidi" w:hAnsiTheme="majorBidi" w:cstheme="majorBidi"/>
          <w:szCs w:val="18"/>
        </w:rPr>
        <w:footnoteRef/>
      </w:r>
      <w:r>
        <w:rPr>
          <w:rFonts w:asciiTheme="majorBidi" w:hAnsiTheme="majorBidi" w:cstheme="majorBidi"/>
          <w:szCs w:val="18"/>
        </w:rPr>
        <w:t xml:space="preserve"> </w:t>
      </w:r>
      <w:r w:rsidRPr="009242EB">
        <w:rPr>
          <w:rFonts w:ascii="Traditional Arabic" w:hAnsi="Traditional Arabic" w:cs="Traditional Arabic"/>
          <w:sz w:val="22"/>
          <w:szCs w:val="22"/>
          <w:rtl/>
        </w:rPr>
        <w:t xml:space="preserve">المادة 7 من </w:t>
      </w:r>
      <w:r w:rsidRPr="009242EB">
        <w:rPr>
          <w:rStyle w:val="preferred"/>
          <w:rFonts w:ascii="Traditional Arabic" w:hAnsi="Traditional Arabic" w:cs="Traditional Arabic"/>
          <w:sz w:val="22"/>
          <w:szCs w:val="22"/>
          <w:rtl/>
        </w:rPr>
        <w:t xml:space="preserve">العهد الدولي الخاص بالحقوق المدنية والسياسية، الفقرة 3 المشتركة في معاهدات جنيف، الفقرة 4 من </w:t>
      </w:r>
      <w:r w:rsidRPr="009242EB">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9242EB">
        <w:rPr>
          <w:rFonts w:ascii="Traditional Arabic" w:hAnsi="Traditional Arabic" w:cs="Traditional Arabic"/>
          <w:sz w:val="22"/>
          <w:szCs w:val="22"/>
          <w:rtl/>
        </w:rPr>
        <w:t xml:space="preserve">، </w:t>
      </w:r>
      <w:r w:rsidRPr="009242EB">
        <w:rPr>
          <w:rStyle w:val="tlid-translation"/>
          <w:rFonts w:ascii="Traditional Arabic" w:hAnsi="Traditional Arabic" w:cs="Traditional Arabic"/>
          <w:sz w:val="22"/>
          <w:szCs w:val="22"/>
          <w:rtl/>
        </w:rPr>
        <w:t>القاعدة 9</w:t>
      </w:r>
      <w:r>
        <w:rPr>
          <w:rStyle w:val="tlid-translation"/>
          <w:rFonts w:ascii="Traditional Arabic" w:hAnsi="Traditional Arabic" w:cs="Traditional Arabic" w:hint="cs"/>
          <w:sz w:val="22"/>
          <w:szCs w:val="22"/>
          <w:rtl/>
        </w:rPr>
        <w:t>3</w:t>
      </w:r>
      <w:r w:rsidRPr="009242EB">
        <w:rPr>
          <w:rStyle w:val="tlid-translation"/>
          <w:rFonts w:ascii="Traditional Arabic" w:hAnsi="Traditional Arabic" w:cs="Traditional Arabic"/>
          <w:sz w:val="22"/>
          <w:szCs w:val="22"/>
          <w:rtl/>
        </w:rPr>
        <w:t>.</w:t>
      </w:r>
    </w:p>
  </w:footnote>
  <w:footnote w:id="669">
    <w:p w14:paraId="1C50538C" w14:textId="3748B882"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B3802">
        <w:rPr>
          <w:rStyle w:val="FootnoteReference"/>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 xml:space="preserve">الفقرة </w:t>
      </w:r>
      <w:r w:rsidRPr="00AB3802">
        <w:rPr>
          <w:rFonts w:ascii="Traditional Arabic" w:hAnsi="Traditional Arabic" w:cs="Traditional Arabic"/>
          <w:sz w:val="22"/>
          <w:szCs w:val="22"/>
        </w:rPr>
        <w:t>8 2.(c)(i)</w:t>
      </w:r>
      <w:r w:rsidRPr="00AB3802">
        <w:rPr>
          <w:rFonts w:ascii="Traditional Arabic" w:hAnsi="Traditional Arabic" w:cs="Traditional Arabic"/>
          <w:sz w:val="22"/>
          <w:szCs w:val="22"/>
          <w:rtl/>
        </w:rPr>
        <w:t xml:space="preserve"> و</w:t>
      </w:r>
      <w:r w:rsidRPr="00AB3802">
        <w:rPr>
          <w:rFonts w:ascii="Traditional Arabic" w:hAnsi="Traditional Arabic" w:cs="Traditional Arabic"/>
          <w:sz w:val="22"/>
          <w:szCs w:val="22"/>
        </w:rPr>
        <w:t xml:space="preserve"> (ii)</w:t>
      </w:r>
      <w:r w:rsidRPr="00AB3802">
        <w:rPr>
          <w:rFonts w:ascii="Traditional Arabic" w:hAnsi="Traditional Arabic" w:cs="Traditional Arabic"/>
          <w:sz w:val="22"/>
          <w:szCs w:val="22"/>
          <w:rtl/>
        </w:rPr>
        <w:t xml:space="preserve">والفقرة </w:t>
      </w:r>
      <w:r w:rsidRPr="00AB3802">
        <w:rPr>
          <w:rFonts w:ascii="Traditional Arabic" w:hAnsi="Traditional Arabic" w:cs="Traditional Arabic"/>
          <w:sz w:val="22"/>
          <w:szCs w:val="22"/>
        </w:rPr>
        <w:t>8 2.(e)(vi)</w:t>
      </w:r>
      <w:r w:rsidRPr="00AB3802">
        <w:rPr>
          <w:rFonts w:ascii="Traditional Arabic" w:hAnsi="Traditional Arabic" w:cs="Traditional Arabic"/>
          <w:sz w:val="22"/>
          <w:szCs w:val="22"/>
          <w:rtl/>
        </w:rPr>
        <w:t xml:space="preserve"> </w:t>
      </w:r>
      <w:r w:rsidRPr="00AB3802">
        <w:rPr>
          <w:rStyle w:val="ar"/>
          <w:rFonts w:ascii="Traditional Arabic" w:hAnsi="Traditional Arabic" w:cs="Traditional Arabic"/>
          <w:sz w:val="22"/>
          <w:szCs w:val="22"/>
          <w:rtl/>
        </w:rPr>
        <w:t>نظام روما الأساسي.</w:t>
      </w:r>
      <w:r w:rsidRPr="00AB3802">
        <w:rPr>
          <w:rStyle w:val="HChGChar"/>
          <w:rFonts w:ascii="Traditional Arabic" w:hAnsi="Traditional Arabic" w:cs="Traditional Arabic"/>
          <w:sz w:val="22"/>
          <w:szCs w:val="22"/>
          <w:rtl/>
        </w:rPr>
        <w:t xml:space="preserve"> </w:t>
      </w:r>
    </w:p>
  </w:footnote>
  <w:footnote w:id="670">
    <w:p w14:paraId="50A1E691" w14:textId="3D4CB4DF"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1">
    <w:p w14:paraId="6E17382B" w14:textId="64F200FD"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2">
    <w:p w14:paraId="0BD2AE41" w14:textId="026F4237"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vertAlign w:val="superscript"/>
          <w:rtl/>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3">
    <w:p w14:paraId="2C73A4FE" w14:textId="44588D72"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4">
    <w:p w14:paraId="6B8D72A5" w14:textId="2CAA3469"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5">
    <w:p w14:paraId="2C7423FF" w14:textId="4A5910E3"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lang w:val="en-US"/>
        </w:rPr>
        <w:footnoteRef/>
      </w:r>
      <w:r w:rsidRPr="00AB3802">
        <w:rPr>
          <w:rFonts w:ascii="Traditional Arabic" w:hAnsi="Traditional Arabic" w:cs="Traditional Arabic"/>
          <w:sz w:val="22"/>
          <w:szCs w:val="22"/>
          <w:lang w:val="en-US"/>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6">
    <w:p w14:paraId="7E95B171" w14:textId="0A30F0F7" w:rsidR="00A1624A" w:rsidRPr="00AB380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AB3802">
        <w:rPr>
          <w:rFonts w:ascii="Traditional Arabic" w:hAnsi="Traditional Arabic" w:cs="Traditional Arabic"/>
          <w:sz w:val="22"/>
          <w:szCs w:val="22"/>
        </w:rPr>
        <w:footnoteRef/>
      </w:r>
      <w:r w:rsidRPr="00AB3802">
        <w:rPr>
          <w:rFonts w:ascii="Traditional Arabic" w:hAnsi="Traditional Arabic" w:cs="Traditional Arabic"/>
          <w:sz w:val="22"/>
          <w:szCs w:val="22"/>
          <w:vertAlign w:val="superscript"/>
          <w:rtl/>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7">
    <w:p w14:paraId="4769D4D7" w14:textId="42891FED" w:rsidR="00A1624A" w:rsidRPr="00192614" w:rsidRDefault="00A1624A" w:rsidP="00B81240">
      <w:pPr>
        <w:pStyle w:val="FootnoteText"/>
        <w:tabs>
          <w:tab w:val="clear" w:pos="1021"/>
        </w:tabs>
        <w:bidi/>
        <w:ind w:left="851" w:firstLine="0"/>
        <w:jc w:val="both"/>
        <w:rPr>
          <w:rFonts w:asciiTheme="majorBidi" w:hAnsiTheme="majorBidi" w:cstheme="majorBidi"/>
          <w:szCs w:val="18"/>
        </w:rPr>
      </w:pPr>
      <w:r w:rsidRPr="00AB3802">
        <w:rPr>
          <w:rFonts w:ascii="Traditional Arabic" w:hAnsi="Traditional Arabic" w:cs="Traditional Arabic"/>
          <w:sz w:val="22"/>
          <w:szCs w:val="22"/>
        </w:rPr>
        <w:footnoteRef/>
      </w:r>
      <w:r w:rsidRPr="00AB3802">
        <w:rPr>
          <w:rFonts w:ascii="Traditional Arabic" w:hAnsi="Traditional Arabic" w:cs="Traditional Arabic"/>
          <w:sz w:val="22"/>
          <w:szCs w:val="22"/>
        </w:rPr>
        <w:t xml:space="preserve"> </w:t>
      </w:r>
      <w:r w:rsidRPr="00AB3802">
        <w:rPr>
          <w:rFonts w:ascii="Traditional Arabic" w:hAnsi="Traditional Arabic" w:cs="Traditional Arabic"/>
          <w:sz w:val="22"/>
          <w:szCs w:val="22"/>
          <w:rtl/>
        </w:rPr>
        <w:t>مصادر سريّة في الملف</w:t>
      </w:r>
      <w:r w:rsidRPr="00AB3802">
        <w:rPr>
          <w:rFonts w:ascii="Traditional Arabic" w:hAnsi="Traditional Arabic" w:cs="Traditional Arabic"/>
          <w:sz w:val="22"/>
          <w:szCs w:val="22"/>
        </w:rPr>
        <w:t>.</w:t>
      </w:r>
    </w:p>
  </w:footnote>
  <w:footnote w:id="678">
    <w:p w14:paraId="61845C6B" w14:textId="6BAA7020" w:rsidR="00A1624A" w:rsidRPr="00192614"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6841B6">
        <w:rPr>
          <w:rFonts w:ascii="Traditional Arabic" w:hAnsi="Traditional Arabic" w:cs="Traditional Arabic"/>
          <w:sz w:val="22"/>
          <w:szCs w:val="22"/>
        </w:rPr>
        <w:footnoteRef/>
      </w:r>
      <w:r w:rsidRPr="006841B6">
        <w:rPr>
          <w:rFonts w:ascii="Traditional Arabic" w:hAnsi="Traditional Arabic" w:cs="Traditional Arabic"/>
          <w:sz w:val="22"/>
          <w:szCs w:val="22"/>
        </w:rPr>
        <w:t xml:space="preserve"> </w:t>
      </w:r>
      <w:r w:rsidRPr="006841B6">
        <w:rPr>
          <w:rFonts w:ascii="Traditional Arabic" w:hAnsi="Traditional Arabic" w:cs="Traditional Arabic"/>
          <w:sz w:val="22"/>
          <w:szCs w:val="22"/>
          <w:rtl/>
        </w:rPr>
        <w:t>أنظر</w:t>
      </w:r>
      <w:r w:rsidRPr="006841B6">
        <w:rPr>
          <w:rFonts w:ascii="Traditional Arabic" w:hAnsi="Traditional Arabic" w:cs="Traditional Arabic" w:hint="cs"/>
          <w:sz w:val="22"/>
          <w:szCs w:val="22"/>
          <w:rtl/>
        </w:rPr>
        <w:t xml:space="preserve"> </w:t>
      </w:r>
      <w:r w:rsidRPr="006841B6">
        <w:rPr>
          <w:rFonts w:ascii="Traditional Arabic" w:eastAsiaTheme="minorHAnsi" w:hAnsi="Traditional Arabic" w:cs="Traditional Arabic" w:hint="cs"/>
          <w:sz w:val="22"/>
          <w:szCs w:val="22"/>
          <w:rtl/>
        </w:rPr>
        <w:t>خلايا النحل</w:t>
      </w:r>
      <w:r>
        <w:rPr>
          <w:rFonts w:ascii="Traditional Arabic" w:eastAsiaTheme="minorHAnsi" w:hAnsi="Traditional Arabic" w:cs="Traditional Arabic" w:hint="cs"/>
          <w:sz w:val="22"/>
          <w:szCs w:val="22"/>
          <w:rtl/>
        </w:rPr>
        <w:t xml:space="preserve"> </w:t>
      </w:r>
      <w:r>
        <w:rPr>
          <w:rFonts w:hint="cs"/>
          <w:rtl/>
        </w:rPr>
        <w:t xml:space="preserve"> </w:t>
      </w:r>
      <w:r w:rsidRPr="00192614">
        <w:rPr>
          <w:rFonts w:asciiTheme="majorBidi" w:hAnsiTheme="majorBidi" w:cstheme="majorBidi"/>
          <w:color w:val="000000" w:themeColor="text1"/>
          <w:szCs w:val="18"/>
        </w:rPr>
        <w:t>https://www.yemendataproject.org/</w:t>
      </w:r>
    </w:p>
  </w:footnote>
  <w:footnote w:id="679">
    <w:p w14:paraId="2DDA6963" w14:textId="2512F41B" w:rsidR="00A1624A" w:rsidRPr="006841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841B6">
        <w:rPr>
          <w:rStyle w:val="FootnoteReference"/>
          <w:rFonts w:ascii="Traditional Arabic" w:hAnsi="Traditional Arabic" w:cs="Traditional Arabic"/>
          <w:color w:val="000000" w:themeColor="text1"/>
          <w:sz w:val="22"/>
          <w:szCs w:val="22"/>
        </w:rPr>
        <w:footnoteRef/>
      </w:r>
      <w:r w:rsidRPr="006841B6">
        <w:rPr>
          <w:rFonts w:ascii="Traditional Arabic" w:hAnsi="Traditional Arabic" w:cs="Traditional Arabic"/>
          <w:color w:val="000000" w:themeColor="text1"/>
          <w:sz w:val="22"/>
          <w:szCs w:val="22"/>
        </w:rPr>
        <w:t xml:space="preserve"> </w:t>
      </w:r>
      <w:r w:rsidRPr="006841B6">
        <w:rPr>
          <w:rFonts w:ascii="Traditional Arabic" w:hAnsi="Traditional Arabic" w:cs="Traditional Arabic"/>
          <w:sz w:val="22"/>
          <w:szCs w:val="22"/>
          <w:rtl/>
        </w:rPr>
        <w:t>مصادر سريّة في الملف</w:t>
      </w:r>
      <w:r w:rsidRPr="006841B6">
        <w:rPr>
          <w:rFonts w:ascii="Traditional Arabic" w:hAnsi="Traditional Arabic" w:cs="Traditional Arabic"/>
          <w:sz w:val="22"/>
          <w:szCs w:val="22"/>
        </w:rPr>
        <w:t>.</w:t>
      </w:r>
    </w:p>
  </w:footnote>
  <w:footnote w:id="680">
    <w:p w14:paraId="6EDC588F" w14:textId="5643CA51" w:rsidR="00A1624A" w:rsidRPr="006841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tl/>
        </w:rPr>
      </w:pPr>
      <w:r w:rsidRPr="006841B6">
        <w:rPr>
          <w:rStyle w:val="FootnoteReference"/>
          <w:rFonts w:ascii="Traditional Arabic" w:hAnsi="Traditional Arabic" w:cs="Traditional Arabic"/>
          <w:color w:val="000000" w:themeColor="text1"/>
          <w:sz w:val="22"/>
          <w:szCs w:val="22"/>
        </w:rPr>
        <w:footnoteRef/>
      </w:r>
      <w:r w:rsidRPr="006841B6">
        <w:rPr>
          <w:rFonts w:ascii="Traditional Arabic" w:hAnsi="Traditional Arabic" w:cs="Traditional Arabic"/>
          <w:color w:val="000000" w:themeColor="text1"/>
          <w:sz w:val="22"/>
          <w:szCs w:val="22"/>
        </w:rPr>
        <w:t xml:space="preserve"> </w:t>
      </w:r>
      <w:r w:rsidRPr="006841B6">
        <w:rPr>
          <w:rFonts w:ascii="Traditional Arabic" w:hAnsi="Traditional Arabic" w:cs="Traditional Arabic"/>
          <w:color w:val="000000" w:themeColor="text1"/>
          <w:sz w:val="22"/>
          <w:szCs w:val="22"/>
          <w:rtl/>
        </w:rPr>
        <w:t>بيان الفريق المشترك لتقييم الحوادث في 17 كانون الثاني/ يناير 2019 على الروابط</w:t>
      </w:r>
    </w:p>
    <w:p w14:paraId="1B4974A9" w14:textId="77777777" w:rsidR="00A1624A" w:rsidRDefault="0068660E" w:rsidP="00B81240">
      <w:pPr>
        <w:pStyle w:val="FootnoteText"/>
        <w:tabs>
          <w:tab w:val="clear" w:pos="1021"/>
        </w:tabs>
        <w:bidi/>
        <w:ind w:left="851" w:firstLine="0"/>
        <w:jc w:val="both"/>
        <w:rPr>
          <w:rFonts w:asciiTheme="majorBidi" w:hAnsiTheme="majorBidi" w:cstheme="majorBidi"/>
          <w:color w:val="000000" w:themeColor="text1"/>
          <w:szCs w:val="18"/>
          <w:rtl/>
        </w:rPr>
      </w:pPr>
      <w:hyperlink r:id="rId32" w:history="1">
        <w:r w:rsidR="00A1624A" w:rsidRPr="00BC1C0D">
          <w:rPr>
            <w:rStyle w:val="Hyperlink"/>
            <w:rFonts w:asciiTheme="majorBidi" w:hAnsiTheme="majorBidi" w:cstheme="majorBidi"/>
            <w:color w:val="000000" w:themeColor="text1"/>
            <w:szCs w:val="18"/>
          </w:rPr>
          <w:t>http://www.alriyadhdaily.com/article/812807e44f9a47ddbfe1bbd99be1cd0c</w:t>
        </w:r>
      </w:hyperlink>
      <w:r w:rsidR="00A1624A" w:rsidRPr="00BC1C0D">
        <w:rPr>
          <w:rFonts w:asciiTheme="majorBidi" w:hAnsiTheme="majorBidi" w:cstheme="majorBidi"/>
          <w:color w:val="000000" w:themeColor="text1"/>
          <w:szCs w:val="18"/>
        </w:rPr>
        <w:t xml:space="preserve"> </w:t>
      </w:r>
    </w:p>
    <w:p w14:paraId="2F09BFC0" w14:textId="295AA770" w:rsidR="00A1624A" w:rsidRPr="00BC1C0D" w:rsidRDefault="0068660E" w:rsidP="00B81240">
      <w:pPr>
        <w:pStyle w:val="FootnoteText"/>
        <w:tabs>
          <w:tab w:val="clear" w:pos="1021"/>
        </w:tabs>
        <w:bidi/>
        <w:ind w:left="851" w:firstLine="0"/>
        <w:jc w:val="both"/>
        <w:rPr>
          <w:rFonts w:asciiTheme="majorBidi" w:hAnsiTheme="majorBidi" w:cstheme="majorBidi"/>
          <w:color w:val="000000" w:themeColor="text1"/>
          <w:szCs w:val="18"/>
        </w:rPr>
      </w:pPr>
      <w:hyperlink r:id="rId33" w:history="1">
        <w:r w:rsidR="00A1624A" w:rsidRPr="00BC1C0D">
          <w:rPr>
            <w:rStyle w:val="Hyperlink"/>
            <w:rFonts w:asciiTheme="majorBidi" w:hAnsiTheme="majorBidi" w:cstheme="majorBidi"/>
            <w:color w:val="000000" w:themeColor="text1"/>
            <w:szCs w:val="18"/>
          </w:rPr>
          <w:t>https://www.msf.org/report-bombing-msf-facility-unacceptable-and-contradictory-abs-yemen</w:t>
        </w:r>
      </w:hyperlink>
    </w:p>
  </w:footnote>
  <w:footnote w:id="681">
    <w:p w14:paraId="240DF8DA" w14:textId="6D96CD2E" w:rsidR="00A1624A" w:rsidRPr="009025B6"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9025B6">
        <w:rPr>
          <w:rStyle w:val="FootnoteReference"/>
          <w:rFonts w:ascii="Traditional Arabic" w:hAnsi="Traditional Arabic" w:cs="Traditional Arabic"/>
          <w:color w:val="000000" w:themeColor="text1"/>
          <w:sz w:val="22"/>
          <w:szCs w:val="22"/>
        </w:rPr>
        <w:footnoteRef/>
      </w:r>
      <w:r w:rsidRPr="009025B6">
        <w:rPr>
          <w:rFonts w:ascii="Traditional Arabic" w:hAnsi="Traditional Arabic" w:cs="Traditional Arabic"/>
          <w:color w:val="000000" w:themeColor="text1"/>
          <w:sz w:val="22"/>
          <w:szCs w:val="22"/>
        </w:rPr>
        <w:t xml:space="preserve"> </w:t>
      </w:r>
      <w:r w:rsidRPr="009025B6">
        <w:rPr>
          <w:rFonts w:ascii="Traditional Arabic" w:hAnsi="Traditional Arabic" w:cs="Traditional Arabic"/>
          <w:sz w:val="22"/>
          <w:szCs w:val="22"/>
          <w:rtl/>
        </w:rPr>
        <w:t>مصادر سريّة في الملف</w:t>
      </w:r>
      <w:r w:rsidRPr="009025B6">
        <w:rPr>
          <w:rFonts w:ascii="Traditional Arabic" w:hAnsi="Traditional Arabic" w:cs="Traditional Arabic"/>
          <w:sz w:val="22"/>
          <w:szCs w:val="22"/>
        </w:rPr>
        <w:t>.</w:t>
      </w:r>
    </w:p>
  </w:footnote>
  <w:footnote w:id="682">
    <w:p w14:paraId="47107D57" w14:textId="19BE07AA"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9025B6">
        <w:rPr>
          <w:rStyle w:val="FootnoteReference"/>
          <w:rFonts w:ascii="Traditional Arabic" w:hAnsi="Traditional Arabic" w:cs="Traditional Arabic"/>
          <w:color w:val="000000" w:themeColor="text1"/>
          <w:sz w:val="22"/>
          <w:szCs w:val="22"/>
        </w:rPr>
        <w:footnoteRef/>
      </w:r>
      <w:r w:rsidRPr="009025B6">
        <w:rPr>
          <w:rFonts w:ascii="Traditional Arabic" w:hAnsi="Traditional Arabic" w:cs="Traditional Arabic"/>
          <w:color w:val="000000" w:themeColor="text1"/>
          <w:sz w:val="22"/>
          <w:szCs w:val="22"/>
        </w:rPr>
        <w:t xml:space="preserve"> </w:t>
      </w:r>
      <w:r w:rsidRPr="009025B6">
        <w:rPr>
          <w:rFonts w:ascii="Traditional Arabic" w:hAnsi="Traditional Arabic" w:cs="Traditional Arabic"/>
          <w:sz w:val="22"/>
          <w:szCs w:val="22"/>
          <w:rtl/>
        </w:rPr>
        <w:t>مصادر سريّة في الملف</w:t>
      </w:r>
      <w:r w:rsidRPr="009025B6">
        <w:rPr>
          <w:rFonts w:ascii="Traditional Arabic" w:hAnsi="Traditional Arabic" w:cs="Traditional Arabic"/>
          <w:sz w:val="22"/>
          <w:szCs w:val="22"/>
        </w:rPr>
        <w:t>.</w:t>
      </w:r>
    </w:p>
  </w:footnote>
  <w:footnote w:id="683">
    <w:p w14:paraId="5EA54AA5" w14:textId="315C0373" w:rsidR="00A1624A" w:rsidRPr="009025B6"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9025B6">
        <w:rPr>
          <w:rStyle w:val="FootnoteReference"/>
          <w:rFonts w:asciiTheme="majorBidi" w:hAnsiTheme="majorBidi" w:cstheme="majorBidi"/>
          <w:color w:val="000000" w:themeColor="text1"/>
          <w:sz w:val="20"/>
        </w:rPr>
        <w:footnoteRef/>
      </w:r>
      <w:r w:rsidRPr="009025B6">
        <w:rPr>
          <w:rFonts w:asciiTheme="majorBidi" w:hAnsiTheme="majorBidi" w:cstheme="majorBidi"/>
          <w:color w:val="000000" w:themeColor="text1"/>
          <w:sz w:val="20"/>
        </w:rPr>
        <w:t xml:space="preserve"> Médecins Sans Frontières, “Yemen: Airstrike hits MSF cholera treatment centre in Abs”, 12 June 2018, available at https://www.doctorswithoutborders.org/what-we-do/news-stories/story/yemen-airstrike-hits-msf-cholera-treatment-center-abs  </w:t>
      </w:r>
    </w:p>
  </w:footnote>
  <w:footnote w:id="684">
    <w:p w14:paraId="062D8632" w14:textId="75BAF2D5"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9025B6">
        <w:rPr>
          <w:rStyle w:val="FootnoteReference"/>
          <w:rFonts w:asciiTheme="majorBidi" w:hAnsiTheme="majorBidi" w:cstheme="majorBidi"/>
          <w:color w:val="000000" w:themeColor="text1"/>
          <w:sz w:val="20"/>
        </w:rPr>
        <w:footnoteRef/>
      </w:r>
      <w:r w:rsidRPr="009025B6">
        <w:rPr>
          <w:rFonts w:asciiTheme="majorBidi" w:hAnsiTheme="majorBidi" w:cstheme="majorBidi"/>
          <w:color w:val="000000" w:themeColor="text1"/>
          <w:sz w:val="20"/>
        </w:rPr>
        <w:t xml:space="preserve"> </w:t>
      </w:r>
      <w:hyperlink r:id="rId34" w:history="1">
        <w:r w:rsidRPr="009025B6">
          <w:rPr>
            <w:rStyle w:val="Hyperlink"/>
            <w:rFonts w:asciiTheme="majorBidi" w:hAnsiTheme="majorBidi" w:cstheme="majorBidi"/>
            <w:sz w:val="20"/>
          </w:rPr>
          <w:t>www.spa.gov.sa/1875235</w:t>
        </w:r>
      </w:hyperlink>
      <w:r>
        <w:rPr>
          <w:rFonts w:asciiTheme="majorBidi" w:hAnsiTheme="majorBidi" w:cstheme="majorBidi"/>
          <w:color w:val="000000" w:themeColor="text1"/>
          <w:szCs w:val="18"/>
        </w:rPr>
        <w:t xml:space="preserve"> </w:t>
      </w:r>
      <w:r w:rsidRPr="00BC1C0D">
        <w:rPr>
          <w:rFonts w:asciiTheme="majorBidi" w:hAnsiTheme="majorBidi" w:cstheme="majorBidi"/>
          <w:color w:val="000000" w:themeColor="text1"/>
          <w:szCs w:val="18"/>
        </w:rPr>
        <w:t xml:space="preserve"> </w:t>
      </w:r>
    </w:p>
  </w:footnote>
  <w:footnote w:id="685">
    <w:p w14:paraId="11007A2E" w14:textId="44AD1EC0" w:rsidR="00A1624A" w:rsidRPr="007F26B1" w:rsidRDefault="00A1624A" w:rsidP="00B81240">
      <w:pPr>
        <w:pStyle w:val="FootnoteText"/>
        <w:tabs>
          <w:tab w:val="clear" w:pos="1021"/>
        </w:tabs>
        <w:bidi/>
        <w:ind w:left="851" w:firstLine="0"/>
        <w:rPr>
          <w:lang w:val="en-US"/>
        </w:rPr>
      </w:pPr>
      <w:r>
        <w:rPr>
          <w:rStyle w:val="FootnoteReference"/>
        </w:rPr>
        <w:footnoteRef/>
      </w:r>
      <w:r>
        <w:t xml:space="preserve"> </w:t>
      </w:r>
      <w:r w:rsidRPr="00AD4803">
        <w:rPr>
          <w:rFonts w:asciiTheme="majorBidi" w:hAnsiTheme="majorBidi" w:cstheme="majorBidi"/>
          <w:color w:val="000000" w:themeColor="text1"/>
          <w:szCs w:val="18"/>
        </w:rPr>
        <w:t>http://www.alriyadhdaily.com/article/812807e44f9a47ddbfe1bbd99be1cd0c</w:t>
      </w:r>
    </w:p>
  </w:footnote>
  <w:footnote w:id="686">
    <w:p w14:paraId="557865B6" w14:textId="300F4476" w:rsidR="00A1624A" w:rsidRPr="00AD4803" w:rsidRDefault="00A1624A" w:rsidP="00B81240">
      <w:pPr>
        <w:pStyle w:val="FootnoteText"/>
        <w:tabs>
          <w:tab w:val="clear" w:pos="1021"/>
        </w:tabs>
        <w:bidi/>
        <w:ind w:left="851" w:firstLine="0"/>
        <w:jc w:val="both"/>
      </w:pPr>
      <w:r>
        <w:rPr>
          <w:rStyle w:val="FootnoteReference"/>
        </w:rPr>
        <w:footnoteRef/>
      </w:r>
      <w:r>
        <w:t xml:space="preserve"> </w:t>
      </w:r>
      <w:r w:rsidRPr="00116F33">
        <w:t>United Nations, Report of the Secretary-General on Children and armed conflict in Yemen, 3 June 2019, S/2019/453</w:t>
      </w:r>
    </w:p>
  </w:footnote>
  <w:footnote w:id="687">
    <w:p w14:paraId="3F3564EA" w14:textId="5EDAADAA"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OHCHR, “Press briefing notes on Yemen civilian casualties”, 10 August 2019, available at https://www.ohchr.org/EN/NewsEvents/Pages/DisplayNews.aspx?NewsID=23439&amp;LangID=E</w:t>
      </w:r>
    </w:p>
  </w:footnote>
  <w:footnote w:id="688">
    <w:p w14:paraId="7E6D2CC9" w14:textId="2180A6E1"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https://edition.cnn.com/videos/world/2018/08/13/yemen-school-bus-strike-elbagir-vpx.cnn</w:t>
      </w:r>
    </w:p>
  </w:footnote>
  <w:footnote w:id="689">
    <w:p w14:paraId="3D5C1BAC" w14:textId="34B47AF9"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690">
    <w:p w14:paraId="119E6AAE" w14:textId="5BCB4DE9"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 xml:space="preserve"> https://twitter.com/ksamissionun/status/1028444736024141825</w:t>
      </w:r>
    </w:p>
  </w:footnote>
  <w:footnote w:id="691">
    <w:p w14:paraId="056F5CD9" w14:textId="2034AD76"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Pr>
          <w:rFonts w:asciiTheme="majorBidi" w:hAnsiTheme="majorBidi" w:cstheme="majorBidi"/>
          <w:color w:val="000000" w:themeColor="text1"/>
          <w:szCs w:val="18"/>
        </w:rPr>
        <w:t xml:space="preserve"> </w:t>
      </w:r>
      <w:r w:rsidRPr="00116F33">
        <w:rPr>
          <w:rFonts w:asciiTheme="majorBidi" w:hAnsiTheme="majorBidi" w:cstheme="majorBidi"/>
          <w:color w:val="000000" w:themeColor="text1"/>
          <w:szCs w:val="18"/>
        </w:rPr>
        <w:t>https://www.youtube.com/watch?v=p7MC71eD-UI&amp;feature=youtu.be</w:t>
      </w:r>
    </w:p>
  </w:footnote>
  <w:footnote w:id="692">
    <w:p w14:paraId="1C4996D3" w14:textId="58898C7D" w:rsidR="00A1624A" w:rsidRPr="0082480A" w:rsidRDefault="00A1624A" w:rsidP="00B81240">
      <w:pPr>
        <w:pStyle w:val="FootnoteText"/>
        <w:tabs>
          <w:tab w:val="clear" w:pos="1021"/>
        </w:tabs>
        <w:bidi/>
        <w:ind w:left="851" w:firstLine="0"/>
        <w:jc w:val="both"/>
        <w:rPr>
          <w:sz w:val="20"/>
        </w:rPr>
      </w:pPr>
      <w:r w:rsidRPr="0082480A">
        <w:rPr>
          <w:rStyle w:val="FootnoteReference"/>
          <w:sz w:val="20"/>
        </w:rPr>
        <w:footnoteRef/>
      </w:r>
      <w:r w:rsidRPr="0082480A">
        <w:rPr>
          <w:sz w:val="20"/>
        </w:rPr>
        <w:t xml:space="preserve"> https://www.youtube.com/watch?v=p7MC71eD-UI&amp;feature=youtu.be</w:t>
      </w:r>
    </w:p>
  </w:footnote>
  <w:footnote w:id="693">
    <w:p w14:paraId="4E2BD3A6" w14:textId="776BB198" w:rsidR="00A1624A" w:rsidRPr="0082480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color w:val="000000" w:themeColor="text1"/>
          <w:sz w:val="22"/>
          <w:szCs w:val="22"/>
          <w:rtl/>
        </w:rPr>
        <w:t xml:space="preserve">يود فريق الخبراء الملاحظة أنه تم كتابة هذا الفصل من دون أي مساهمة من </w:t>
      </w:r>
      <w:r w:rsidRPr="0082480A">
        <w:rPr>
          <w:rFonts w:ascii="Traditional Arabic" w:hAnsi="Traditional Arabic" w:cs="Traditional Arabic"/>
          <w:color w:val="000000" w:themeColor="text1"/>
          <w:sz w:val="22"/>
          <w:szCs w:val="22"/>
          <w:rtl/>
          <w:lang w:bidi="ar-YE"/>
        </w:rPr>
        <w:t xml:space="preserve">منظمة أنقذوا الأطفال. أي ذكر للمنظمة غير الحكومية هو جزء من تصريحات منظمة أنقذوا الأطفال العلنية حول الغارة الجوية. </w:t>
      </w:r>
    </w:p>
  </w:footnote>
  <w:footnote w:id="694">
    <w:p w14:paraId="02636D96" w14:textId="1C7E641B" w:rsidR="00A1624A" w:rsidRPr="0082480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sz w:val="22"/>
          <w:szCs w:val="22"/>
          <w:rtl/>
        </w:rPr>
        <w:t>مصادر سريّة في الملف</w:t>
      </w:r>
      <w:r w:rsidRPr="0082480A">
        <w:rPr>
          <w:rFonts w:ascii="Traditional Arabic" w:hAnsi="Traditional Arabic" w:cs="Traditional Arabic"/>
          <w:sz w:val="22"/>
          <w:szCs w:val="22"/>
        </w:rPr>
        <w:t>.</w:t>
      </w:r>
    </w:p>
  </w:footnote>
  <w:footnote w:id="695">
    <w:p w14:paraId="3B6FC4A5" w14:textId="73A78A84"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82480A">
        <w:rPr>
          <w:rStyle w:val="FootnoteReference"/>
          <w:rFonts w:ascii="Traditional Arabic" w:hAnsi="Traditional Arabic" w:cs="Traditional Arabic"/>
          <w:color w:val="000000" w:themeColor="text1"/>
          <w:sz w:val="22"/>
          <w:szCs w:val="22"/>
        </w:rPr>
        <w:footnoteRef/>
      </w:r>
      <w:r w:rsidRPr="0082480A">
        <w:rPr>
          <w:rFonts w:ascii="Traditional Arabic" w:hAnsi="Traditional Arabic" w:cs="Traditional Arabic"/>
          <w:color w:val="000000" w:themeColor="text1"/>
          <w:sz w:val="22"/>
          <w:szCs w:val="22"/>
        </w:rPr>
        <w:t xml:space="preserve"> </w:t>
      </w:r>
      <w:r w:rsidRPr="0082480A">
        <w:rPr>
          <w:rFonts w:ascii="Traditional Arabic" w:hAnsi="Traditional Arabic" w:cs="Traditional Arabic"/>
          <w:sz w:val="22"/>
          <w:szCs w:val="22"/>
          <w:rtl/>
        </w:rPr>
        <w:t>مصادر سريّة في الملف</w:t>
      </w:r>
      <w:r w:rsidRPr="0082480A">
        <w:rPr>
          <w:rFonts w:ascii="Traditional Arabic" w:hAnsi="Traditional Arabic" w:cs="Traditional Arabic"/>
          <w:sz w:val="22"/>
          <w:szCs w:val="22"/>
        </w:rPr>
        <w:t>.</w:t>
      </w:r>
    </w:p>
  </w:footnote>
  <w:footnote w:id="696">
    <w:p w14:paraId="49D7CDC7" w14:textId="29512F9F"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697">
    <w:p w14:paraId="76FE21FB" w14:textId="2B005888"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 xml:space="preserve">أقل من 50 مترًا وفق منظمة أنقذوا الأطفال، لكن بين 10 إلى 15 مترًا وفق شهود قابلهم فريق الخبراء. </w:t>
      </w:r>
    </w:p>
  </w:footnote>
  <w:footnote w:id="698">
    <w:p w14:paraId="0E6AA075" w14:textId="7B0A75C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أنظر ال</w:t>
      </w:r>
      <w:r w:rsidRPr="002A6A47">
        <w:rPr>
          <w:rStyle w:val="preferred"/>
          <w:rFonts w:ascii="Traditional Arabic" w:hAnsi="Traditional Arabic" w:cs="Traditional Arabic"/>
          <w:sz w:val="22"/>
          <w:szCs w:val="22"/>
          <w:rtl/>
        </w:rPr>
        <w:t xml:space="preserve">صور الساتلية من </w:t>
      </w:r>
      <w:r w:rsidRPr="002A6A47">
        <w:rPr>
          <w:rFonts w:ascii="Traditional Arabic" w:hAnsi="Traditional Arabic" w:cs="Traditional Arabic"/>
          <w:sz w:val="22"/>
          <w:szCs w:val="22"/>
          <w:rtl/>
        </w:rPr>
        <w:t xml:space="preserve">يونوسات- </w:t>
      </w:r>
      <w:r w:rsidRPr="002A6A47">
        <w:rPr>
          <w:rStyle w:val="preferred"/>
          <w:rFonts w:ascii="Traditional Arabic" w:hAnsi="Traditional Arabic" w:cs="Traditional Arabic"/>
          <w:sz w:val="22"/>
          <w:szCs w:val="22"/>
          <w:rtl/>
        </w:rPr>
        <w:t>يونيتار أدناه</w:t>
      </w:r>
    </w:p>
  </w:footnote>
  <w:footnote w:id="699">
    <w:p w14:paraId="2B9A6F2A" w14:textId="218BEFFB"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0">
    <w:p w14:paraId="5EA75CBF" w14:textId="5FD9750A" w:rsidR="00A1624A" w:rsidRPr="00116F33"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1">
    <w:p w14:paraId="559DF7F5" w14:textId="5CAF0F9C" w:rsidR="00A1624A" w:rsidRPr="002A6A47"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2A6A47">
        <w:rPr>
          <w:rStyle w:val="FootnoteReference"/>
          <w:rFonts w:asciiTheme="majorBidi" w:hAnsiTheme="majorBidi" w:cstheme="majorBidi"/>
          <w:color w:val="000000" w:themeColor="text1"/>
          <w:sz w:val="20"/>
        </w:rPr>
        <w:footnoteRef/>
      </w:r>
      <w:r w:rsidRPr="002A6A47">
        <w:rPr>
          <w:rFonts w:asciiTheme="majorBidi" w:hAnsiTheme="majorBidi" w:cstheme="majorBidi"/>
          <w:color w:val="000000" w:themeColor="text1"/>
          <w:sz w:val="20"/>
        </w:rPr>
        <w:t xml:space="preserve"> Save the Children, “Yemen hospital bombing: number of children killed rises to five”,  25 April 2019, available at https://yemen.savethechildren.net/news/yemen-hospital-bombing-number-children-killed-rises-five.</w:t>
      </w:r>
    </w:p>
  </w:footnote>
  <w:footnote w:id="702">
    <w:p w14:paraId="283E536A" w14:textId="4E18D092"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3">
    <w:p w14:paraId="7A12C213" w14:textId="04EE8755" w:rsidR="00A1624A" w:rsidRPr="002A6A47" w:rsidRDefault="00A1624A" w:rsidP="00B81240">
      <w:pPr>
        <w:bidi/>
        <w:spacing w:line="240" w:lineRule="auto"/>
        <w:ind w:left="851" w:right="1134"/>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4">
    <w:p w14:paraId="3CAC586D" w14:textId="08A414F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5">
    <w:p w14:paraId="3AC91B73" w14:textId="62E0E596"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color w:val="000000" w:themeColor="text1"/>
          <w:sz w:val="22"/>
          <w:szCs w:val="22"/>
          <w:rtl/>
        </w:rPr>
        <w:t xml:space="preserve">لمزيد من المعلومات حول حجور، أنظر في فصل الحياة في صنعاء والمناطق الأخرى تحت سيطرة سلطات الأمر الواقع، جزء حجة، النزاع في حجور من كانون الثاني/ يناير حتى آذار/ مارس 2019.  </w:t>
      </w:r>
    </w:p>
  </w:footnote>
  <w:footnote w:id="706">
    <w:p w14:paraId="502EDA0D" w14:textId="4C0E0B7C"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7">
    <w:p w14:paraId="3070054E" w14:textId="5854753F"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8">
    <w:p w14:paraId="0EE4F619" w14:textId="41188D72" w:rsidR="00A1624A" w:rsidRPr="00147B3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09">
    <w:p w14:paraId="00C1E6AA" w14:textId="05DECF94" w:rsidR="00A1624A" w:rsidRPr="002A6A47" w:rsidRDefault="00A1624A" w:rsidP="00B81240">
      <w:pPr>
        <w:bidi/>
        <w:spacing w:line="240" w:lineRule="auto"/>
        <w:ind w:left="851" w:right="1134"/>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0">
    <w:p w14:paraId="29BAC979" w14:textId="06A1F2C5"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1">
    <w:p w14:paraId="7DCFE5E5" w14:textId="49209AEB" w:rsidR="00A1624A" w:rsidRPr="002A6A47"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2">
    <w:p w14:paraId="2BB37DB6" w14:textId="32E89A3F" w:rsidR="00A1624A" w:rsidRPr="00147B3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2A6A47">
        <w:rPr>
          <w:rStyle w:val="FootnoteReference"/>
          <w:rFonts w:ascii="Traditional Arabic" w:hAnsi="Traditional Arabic" w:cs="Traditional Arabic"/>
          <w:color w:val="000000" w:themeColor="text1"/>
          <w:sz w:val="22"/>
          <w:szCs w:val="22"/>
        </w:rPr>
        <w:footnoteRef/>
      </w:r>
      <w:r w:rsidRPr="002A6A47">
        <w:rPr>
          <w:rFonts w:ascii="Traditional Arabic" w:hAnsi="Traditional Arabic" w:cs="Traditional Arabic"/>
          <w:color w:val="000000" w:themeColor="text1"/>
          <w:sz w:val="22"/>
          <w:szCs w:val="22"/>
        </w:rPr>
        <w:t xml:space="preserve"> </w:t>
      </w:r>
      <w:r w:rsidRPr="002A6A47">
        <w:rPr>
          <w:rFonts w:ascii="Traditional Arabic" w:hAnsi="Traditional Arabic" w:cs="Traditional Arabic"/>
          <w:sz w:val="22"/>
          <w:szCs w:val="22"/>
          <w:rtl/>
        </w:rPr>
        <w:t>مصادر سريّة في الملف</w:t>
      </w:r>
      <w:r w:rsidRPr="002A6A47">
        <w:rPr>
          <w:rFonts w:ascii="Traditional Arabic" w:hAnsi="Traditional Arabic" w:cs="Traditional Arabic"/>
          <w:sz w:val="22"/>
          <w:szCs w:val="22"/>
        </w:rPr>
        <w:t>.</w:t>
      </w:r>
    </w:p>
  </w:footnote>
  <w:footnote w:id="713">
    <w:p w14:paraId="1FEA8690" w14:textId="1722666E"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 إلى 10 بالتحديد. أنظر كذلك الفقرة 13 من </w:t>
      </w:r>
      <w:r w:rsidRPr="002A6A47">
        <w:rPr>
          <w:rFonts w:ascii="Traditional Arabic" w:hAnsi="Traditional Arabic" w:cs="Traditional Arabic"/>
          <w:sz w:val="22"/>
          <w:szCs w:val="22"/>
          <w:rtl/>
        </w:rPr>
        <w:t xml:space="preserve">البروتوكول الإضافي الثاني. </w:t>
      </w:r>
      <w:r w:rsidRPr="002A6A47">
        <w:rPr>
          <w:rFonts w:ascii="Traditional Arabic" w:hAnsi="Traditional Arabic" w:cs="Traditional Arabic"/>
          <w:sz w:val="22"/>
          <w:szCs w:val="22"/>
        </w:rPr>
        <w:t xml:space="preserve"> </w:t>
      </w:r>
    </w:p>
  </w:footnote>
  <w:footnote w:id="714">
    <w:p w14:paraId="41FCFB03" w14:textId="1C84F539"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14. </w:t>
      </w:r>
    </w:p>
  </w:footnote>
  <w:footnote w:id="715">
    <w:p w14:paraId="0338F4D1" w14:textId="73380F04"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15.</w:t>
      </w:r>
    </w:p>
  </w:footnote>
  <w:footnote w:id="716">
    <w:p w14:paraId="3B14B9BD" w14:textId="4F038E83"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القواعد 28 و29.</w:t>
      </w:r>
    </w:p>
  </w:footnote>
  <w:footnote w:id="717">
    <w:p w14:paraId="252649E7" w14:textId="2620CE4D"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Fonts w:ascii="Traditional Arabic" w:hAnsi="Traditional Arabic" w:cs="Traditional Arabic"/>
          <w:sz w:val="22"/>
          <w:szCs w:val="22"/>
          <w:rtl/>
        </w:rPr>
        <w:t xml:space="preserve">الفقرة 11، البروتوكول الإضافي الثاني، </w:t>
      </w:r>
      <w:r w:rsidRPr="002A6A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28 و29. </w:t>
      </w:r>
    </w:p>
  </w:footnote>
  <w:footnote w:id="718">
    <w:p w14:paraId="48EDDCEA" w14:textId="044C8F4D" w:rsidR="00A1624A" w:rsidRPr="000860D9" w:rsidRDefault="00A1624A" w:rsidP="00B81240">
      <w:pPr>
        <w:pStyle w:val="FootnoteText"/>
        <w:tabs>
          <w:tab w:val="clear" w:pos="1021"/>
        </w:tabs>
        <w:bidi/>
        <w:ind w:left="851" w:firstLine="0"/>
        <w:jc w:val="both"/>
        <w:rPr>
          <w:rFonts w:asciiTheme="majorBidi" w:hAnsiTheme="majorBidi" w:cstheme="majorBidi"/>
          <w:szCs w:val="18"/>
          <w:lang w:val="en-US"/>
        </w:rPr>
      </w:pPr>
      <w:r w:rsidRPr="002A6A47">
        <w:rPr>
          <w:rStyle w:val="FootnoteReference"/>
          <w:rFonts w:ascii="Traditional Arabic" w:hAnsi="Traditional Arabic" w:cs="Traditional Arabic"/>
          <w:sz w:val="22"/>
          <w:szCs w:val="22"/>
        </w:rPr>
        <w:footnoteRef/>
      </w:r>
      <w:r w:rsidRPr="002A6A47">
        <w:rPr>
          <w:rFonts w:ascii="Traditional Arabic" w:hAnsi="Traditional Arabic" w:cs="Traditional Arabic"/>
          <w:sz w:val="22"/>
          <w:szCs w:val="22"/>
        </w:rPr>
        <w:t xml:space="preserve"> </w:t>
      </w:r>
      <w:r w:rsidRPr="002A6A47">
        <w:rPr>
          <w:rFonts w:ascii="Traditional Arabic" w:hAnsi="Traditional Arabic" w:cs="Traditional Arabic"/>
          <w:sz w:val="22"/>
          <w:szCs w:val="22"/>
          <w:rtl/>
        </w:rPr>
        <w:t xml:space="preserve">الفقرة </w:t>
      </w:r>
      <w:r w:rsidRPr="002A6A47">
        <w:rPr>
          <w:rFonts w:ascii="Traditional Arabic" w:hAnsi="Traditional Arabic" w:cs="Traditional Arabic"/>
          <w:sz w:val="22"/>
          <w:szCs w:val="22"/>
          <w:lang w:val="en-US"/>
        </w:rPr>
        <w:t>8(2)(e)(ii)</w:t>
      </w:r>
      <w:r w:rsidRPr="002A6A47">
        <w:rPr>
          <w:rFonts w:ascii="Traditional Arabic" w:hAnsi="Traditional Arabic" w:cs="Traditional Arabic"/>
          <w:sz w:val="22"/>
          <w:szCs w:val="22"/>
          <w:rtl/>
          <w:lang w:val="en-US"/>
        </w:rPr>
        <w:t xml:space="preserve"> و</w:t>
      </w:r>
      <w:r w:rsidRPr="002A6A47">
        <w:rPr>
          <w:rFonts w:ascii="Traditional Arabic" w:hAnsi="Traditional Arabic" w:cs="Traditional Arabic"/>
          <w:sz w:val="22"/>
          <w:szCs w:val="22"/>
          <w:lang w:val="en-US"/>
        </w:rPr>
        <w:t>(iv)</w:t>
      </w:r>
      <w:r w:rsidRPr="002A6A47">
        <w:rPr>
          <w:rFonts w:ascii="Traditional Arabic" w:hAnsi="Traditional Arabic" w:cs="Traditional Arabic"/>
          <w:sz w:val="22"/>
          <w:szCs w:val="22"/>
          <w:rtl/>
          <w:lang w:val="en-US"/>
        </w:rPr>
        <w:t xml:space="preserve"> من </w:t>
      </w:r>
      <w:r w:rsidRPr="002A6A47">
        <w:rPr>
          <w:rStyle w:val="ar"/>
          <w:rFonts w:ascii="Traditional Arabic" w:hAnsi="Traditional Arabic" w:cs="Traditional Arabic"/>
          <w:sz w:val="22"/>
          <w:szCs w:val="22"/>
          <w:rtl/>
        </w:rPr>
        <w:t>نظام روما الأساسي.</w:t>
      </w:r>
      <w:r>
        <w:rPr>
          <w:rStyle w:val="ar"/>
          <w:rFonts w:hint="cs"/>
          <w:rtl/>
        </w:rPr>
        <w:t xml:space="preserve"> </w:t>
      </w:r>
    </w:p>
  </w:footnote>
  <w:footnote w:id="719">
    <w:p w14:paraId="18236FAA" w14:textId="45966A33" w:rsidR="00A1624A" w:rsidRPr="002A6A47"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2A6A47">
        <w:rPr>
          <w:rStyle w:val="FootnoteReference"/>
          <w:rFonts w:ascii="Traditional Arabic" w:hAnsi="Traditional Arabic" w:cs="Traditional Arabic"/>
          <w:sz w:val="22"/>
          <w:szCs w:val="22"/>
        </w:rPr>
        <w:footnoteRef/>
      </w:r>
      <w:r w:rsidRPr="002A6A47">
        <w:rPr>
          <w:rStyle w:val="tlid-translation"/>
          <w:rFonts w:ascii="Traditional Arabic" w:hAnsi="Traditional Arabic" w:cs="Traditional Arabic"/>
          <w:sz w:val="22"/>
          <w:szCs w:val="22"/>
          <w:rtl/>
        </w:rPr>
        <w:t xml:space="preserve"> أنظر دراسة اللجنة الدولية للصليب الأحمر حول القانون الدولي الإنساني العرفي، القاعدة 156. </w:t>
      </w:r>
      <w:r w:rsidRPr="002A6A47">
        <w:rPr>
          <w:rFonts w:ascii="Traditional Arabic" w:hAnsi="Traditional Arabic" w:cs="Traditional Arabic"/>
          <w:sz w:val="22"/>
          <w:szCs w:val="22"/>
        </w:rPr>
        <w:t xml:space="preserve"> </w:t>
      </w:r>
    </w:p>
  </w:footnote>
  <w:footnote w:id="720">
    <w:p w14:paraId="227F9537" w14:textId="35F35F39"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color w:val="000000" w:themeColor="text1"/>
          <w:sz w:val="22"/>
          <w:szCs w:val="22"/>
          <w:rtl/>
        </w:rPr>
        <w:t xml:space="preserve">لمزيد من التفاصيل حول النزاع في الحديدة، أنظر فصل الحالات الرمزية: معركة الحديدة 2018-2019. </w:t>
      </w:r>
    </w:p>
  </w:footnote>
  <w:footnote w:id="721">
    <w:p w14:paraId="138C2B43" w14:textId="1F1A91DD" w:rsidR="00A1624A" w:rsidRPr="00217A98"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217A98">
        <w:rPr>
          <w:rStyle w:val="FootnoteReference"/>
          <w:rFonts w:asciiTheme="majorBidi" w:hAnsiTheme="majorBidi" w:cstheme="majorBidi"/>
          <w:color w:val="000000" w:themeColor="text1"/>
          <w:sz w:val="20"/>
        </w:rPr>
        <w:footnoteRef/>
      </w:r>
      <w:r w:rsidRPr="00217A98">
        <w:rPr>
          <w:rFonts w:asciiTheme="majorBidi" w:hAnsiTheme="majorBidi" w:cstheme="majorBidi"/>
          <w:color w:val="000000" w:themeColor="text1"/>
          <w:sz w:val="20"/>
        </w:rPr>
        <w:t xml:space="preserve">  Maysaa Shuja Al-Deen, “The Houthi-Tribal Conflict in Yemen”, Carnegie Endowment for International Peace, 23 April 2019.</w:t>
      </w:r>
    </w:p>
  </w:footnote>
  <w:footnote w:id="722">
    <w:p w14:paraId="0364595F" w14:textId="5123CFAF" w:rsidR="00A1624A" w:rsidRPr="00610040"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10040">
        <w:rPr>
          <w:rStyle w:val="FootnoteReference"/>
          <w:rFonts w:ascii="Traditional Arabic" w:hAnsi="Traditional Arabic" w:cs="Traditional Arabic"/>
          <w:sz w:val="22"/>
          <w:szCs w:val="22"/>
        </w:rPr>
        <w:footnoteRef/>
      </w:r>
      <w:r w:rsidRPr="00610040">
        <w:rPr>
          <w:rFonts w:ascii="Traditional Arabic" w:hAnsi="Traditional Arabic" w:cs="Traditional Arabic"/>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3">
    <w:p w14:paraId="3BC5558C" w14:textId="4718842E"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4">
    <w:p w14:paraId="1C6FB301" w14:textId="09888F92"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5">
    <w:p w14:paraId="0432EA5C" w14:textId="3EAE03C9" w:rsidR="00A1624A" w:rsidRPr="00610040"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6">
    <w:p w14:paraId="3055795B" w14:textId="291D91D5"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610040">
        <w:rPr>
          <w:rStyle w:val="FootnoteReference"/>
          <w:rFonts w:ascii="Traditional Arabic" w:hAnsi="Traditional Arabic" w:cs="Traditional Arabic"/>
          <w:color w:val="000000" w:themeColor="text1"/>
          <w:sz w:val="22"/>
          <w:szCs w:val="22"/>
        </w:rPr>
        <w:footnoteRef/>
      </w:r>
      <w:r w:rsidRPr="00610040">
        <w:rPr>
          <w:rFonts w:ascii="Traditional Arabic" w:hAnsi="Traditional Arabic" w:cs="Traditional Arabic"/>
          <w:color w:val="000000" w:themeColor="text1"/>
          <w:sz w:val="22"/>
          <w:szCs w:val="22"/>
        </w:rPr>
        <w:t xml:space="preserve"> </w:t>
      </w:r>
      <w:r w:rsidRPr="00610040">
        <w:rPr>
          <w:rFonts w:ascii="Traditional Arabic" w:hAnsi="Traditional Arabic" w:cs="Traditional Arabic"/>
          <w:sz w:val="22"/>
          <w:szCs w:val="22"/>
          <w:rtl/>
        </w:rPr>
        <w:t>مصادر سريّة في الملف</w:t>
      </w:r>
      <w:r w:rsidRPr="00610040">
        <w:rPr>
          <w:rFonts w:ascii="Traditional Arabic" w:hAnsi="Traditional Arabic" w:cs="Traditional Arabic"/>
          <w:sz w:val="22"/>
          <w:szCs w:val="22"/>
        </w:rPr>
        <w:t>.</w:t>
      </w:r>
    </w:p>
  </w:footnote>
  <w:footnote w:id="727">
    <w:p w14:paraId="5A1D58CC" w14:textId="13C4BC68"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728">
    <w:p w14:paraId="32E4618D" w14:textId="725BC341" w:rsidR="00A1624A" w:rsidRPr="00084951"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BC1C0D">
        <w:rPr>
          <w:rStyle w:val="FootnoteReference"/>
          <w:rFonts w:asciiTheme="majorBidi" w:hAnsiTheme="majorBidi" w:cstheme="majorBidi"/>
          <w:color w:val="000000" w:themeColor="text1"/>
          <w:szCs w:val="18"/>
        </w:rPr>
        <w:footnoteRef/>
      </w:r>
      <w:r w:rsidRPr="00BC1C0D">
        <w:rPr>
          <w:rFonts w:asciiTheme="majorBidi" w:hAnsiTheme="majorBidi" w:cstheme="majorBidi"/>
          <w:color w:val="000000" w:themeColor="text1"/>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729">
    <w:p w14:paraId="7E7F3716" w14:textId="1ED8A3C3"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0">
    <w:p w14:paraId="7171312A" w14:textId="4CA74943"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1">
    <w:p w14:paraId="1E7800EF" w14:textId="077E67E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2">
    <w:p w14:paraId="7CC8A138" w14:textId="70F971D4"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3">
    <w:p w14:paraId="37DDDDBA" w14:textId="4F0C801D"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4">
    <w:p w14:paraId="558FF020" w14:textId="4E061AB9"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5">
    <w:p w14:paraId="0DFBE760" w14:textId="6D9F406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lang w:val="en-US"/>
        </w:rPr>
        <w:t xml:space="preserve"> </w:t>
      </w:r>
      <w:r w:rsidRPr="00505522">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 و11، أنظر كذلك الفقرة 13 من </w:t>
      </w:r>
      <w:r w:rsidRPr="00505522">
        <w:rPr>
          <w:rFonts w:ascii="Traditional Arabic" w:hAnsi="Traditional Arabic" w:cs="Traditional Arabic"/>
          <w:sz w:val="22"/>
          <w:szCs w:val="22"/>
          <w:rtl/>
        </w:rPr>
        <w:t xml:space="preserve">البروتوكول الإضافي الثاني. </w:t>
      </w:r>
    </w:p>
  </w:footnote>
  <w:footnote w:id="736">
    <w:p w14:paraId="13E808FF" w14:textId="5617FEE5"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7">
    <w:p w14:paraId="47ADDE2D" w14:textId="7F189641" w:rsidR="00A1624A" w:rsidRPr="00170082" w:rsidRDefault="00A1624A" w:rsidP="00B81240">
      <w:pPr>
        <w:pStyle w:val="FootnoteText"/>
        <w:tabs>
          <w:tab w:val="clear" w:pos="1021"/>
        </w:tabs>
        <w:bidi/>
        <w:ind w:left="851" w:firstLine="0"/>
        <w:jc w:val="both"/>
        <w:rPr>
          <w:rFonts w:asciiTheme="majorBidi" w:hAnsiTheme="majorBidi" w:cstheme="majorBidi"/>
          <w:color w:val="000000" w:themeColor="text1"/>
          <w:szCs w:val="18"/>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38">
    <w:p w14:paraId="74313F62" w14:textId="01B03199" w:rsidR="00A1624A" w:rsidRPr="00AB06D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39">
    <w:p w14:paraId="2059870B" w14:textId="6F0881D9" w:rsidR="00A1624A" w:rsidRPr="00AB06DA"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40">
    <w:p w14:paraId="259E6EF7" w14:textId="6BDCB1B3"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lang w:val="en-US"/>
        </w:rPr>
      </w:pPr>
      <w:r w:rsidRPr="00AB06DA">
        <w:rPr>
          <w:rStyle w:val="FootnoteReference"/>
          <w:rFonts w:ascii="Traditional Arabic" w:hAnsi="Traditional Arabic" w:cs="Traditional Arabic"/>
          <w:color w:val="000000" w:themeColor="text1"/>
          <w:sz w:val="22"/>
          <w:szCs w:val="22"/>
        </w:rPr>
        <w:footnoteRef/>
      </w:r>
      <w:r w:rsidRPr="00AB06DA">
        <w:rPr>
          <w:rFonts w:ascii="Traditional Arabic" w:hAnsi="Traditional Arabic" w:cs="Traditional Arabic"/>
          <w:color w:val="000000" w:themeColor="text1"/>
          <w:sz w:val="22"/>
          <w:szCs w:val="22"/>
        </w:rPr>
        <w:t xml:space="preserve"> </w:t>
      </w:r>
      <w:r w:rsidRPr="00AB06DA">
        <w:rPr>
          <w:rFonts w:ascii="Traditional Arabic" w:hAnsi="Traditional Arabic" w:cs="Traditional Arabic"/>
          <w:sz w:val="22"/>
          <w:szCs w:val="22"/>
          <w:rtl/>
        </w:rPr>
        <w:t>مصادر سريّة في الملف</w:t>
      </w:r>
      <w:r w:rsidRPr="00AB06DA">
        <w:rPr>
          <w:rFonts w:ascii="Traditional Arabic" w:hAnsi="Traditional Arabic" w:cs="Traditional Arabic"/>
          <w:sz w:val="22"/>
          <w:szCs w:val="22"/>
        </w:rPr>
        <w:t>.</w:t>
      </w:r>
    </w:p>
  </w:footnote>
  <w:footnote w:id="741">
    <w:p w14:paraId="4A13B586" w14:textId="5305217D" w:rsidR="00A1624A" w:rsidRPr="00AB06DA"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AB06DA">
        <w:rPr>
          <w:rStyle w:val="FootnoteReference"/>
          <w:rFonts w:asciiTheme="majorBidi" w:hAnsiTheme="majorBidi" w:cstheme="majorBidi"/>
          <w:color w:val="000000" w:themeColor="text1"/>
          <w:sz w:val="20"/>
        </w:rPr>
        <w:footnoteRef/>
      </w:r>
      <w:r w:rsidRPr="00AB06DA">
        <w:rPr>
          <w:rFonts w:asciiTheme="majorBidi" w:hAnsiTheme="majorBidi" w:cstheme="majorBidi"/>
          <w:color w:val="000000" w:themeColor="text1"/>
          <w:sz w:val="20"/>
        </w:rPr>
        <w:t>UNHCR, Operational Update, 28 June 2019, available at https://reliefweb.int/report/yemen/yemen-unhcr-operational-update-28-june-2019</w:t>
      </w:r>
    </w:p>
  </w:footnote>
  <w:footnote w:id="742">
    <w:p w14:paraId="7127AD91" w14:textId="1C2D8DC2" w:rsidR="00A1624A" w:rsidRPr="00AB06DA" w:rsidRDefault="00A1624A" w:rsidP="00B81240">
      <w:pPr>
        <w:pStyle w:val="FootnoteText"/>
        <w:tabs>
          <w:tab w:val="clear" w:pos="1021"/>
        </w:tabs>
        <w:bidi/>
        <w:ind w:left="851" w:firstLine="0"/>
        <w:jc w:val="both"/>
        <w:rPr>
          <w:rFonts w:asciiTheme="majorBidi" w:hAnsiTheme="majorBidi" w:cstheme="majorBidi"/>
          <w:color w:val="000000" w:themeColor="text1"/>
          <w:sz w:val="20"/>
        </w:rPr>
      </w:pPr>
      <w:r w:rsidRPr="00AB06DA">
        <w:rPr>
          <w:rStyle w:val="FootnoteReference"/>
          <w:rFonts w:asciiTheme="majorBidi" w:hAnsiTheme="majorBidi" w:cstheme="majorBidi"/>
          <w:color w:val="000000" w:themeColor="text1"/>
          <w:sz w:val="20"/>
        </w:rPr>
        <w:footnoteRef/>
      </w:r>
      <w:r w:rsidRPr="00AB06DA">
        <w:rPr>
          <w:rFonts w:asciiTheme="majorBidi" w:hAnsiTheme="majorBidi" w:cstheme="majorBidi"/>
          <w:color w:val="000000" w:themeColor="text1"/>
          <w:sz w:val="20"/>
        </w:rPr>
        <w:t xml:space="preserve"> OCHA, Yemen Humanitarian Update, 22 March- 17 April 2019, available at https://reliefweb.int/report/yemen/yemen-humanitarian-update-covering-22-march-17-april-2019-issue-6-enar</w:t>
      </w:r>
    </w:p>
  </w:footnote>
  <w:footnote w:id="743">
    <w:p w14:paraId="162E34F5" w14:textId="3CC7FCC7" w:rsidR="00A1624A" w:rsidRPr="00505522" w:rsidRDefault="00A1624A" w:rsidP="00B81240">
      <w:pPr>
        <w:pStyle w:val="FootnoteText"/>
        <w:tabs>
          <w:tab w:val="clear" w:pos="1021"/>
        </w:tabs>
        <w:bidi/>
        <w:ind w:left="851" w:firstLine="0"/>
        <w:jc w:val="both"/>
        <w:rPr>
          <w:sz w:val="20"/>
          <w:rtl/>
          <w:lang w:bidi="ar-JO"/>
        </w:rPr>
      </w:pPr>
      <w:r w:rsidRPr="00AB06DA">
        <w:rPr>
          <w:rStyle w:val="FootnoteReference"/>
          <w:sz w:val="20"/>
        </w:rPr>
        <w:footnoteRef/>
      </w:r>
      <w:r w:rsidRPr="00AB06DA">
        <w:rPr>
          <w:sz w:val="20"/>
        </w:rPr>
        <w:t xml:space="preserve"> UN Office of the Resident Coordinator and Humanitarian Coordinator for Yemen, “Scores of innocent         civilians wounded and killed in attacks in Hajjah Governorate”, 11 March 2019, available at https://reliefweb.int/sites/reliefweb.int/files/resources/HC_Statement_Hajjah_11_March_2019.pdf</w:t>
      </w:r>
    </w:p>
  </w:footnote>
  <w:footnote w:id="744">
    <w:p w14:paraId="1A3A965A" w14:textId="2927F8E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5">
    <w:p w14:paraId="54A6CC24" w14:textId="2D22687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6">
    <w:p w14:paraId="1DF26BEE" w14:textId="15BB0E0F"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7">
    <w:p w14:paraId="78233DAF" w14:textId="3400C154"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8">
    <w:p w14:paraId="0B437CD8" w14:textId="3DAA56E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49">
    <w:p w14:paraId="51440E64" w14:textId="159B4DC9"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0">
    <w:p w14:paraId="7201EAD4" w14:textId="2D0AB7E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مصطلح حصار ليس له تعريف في القانون الدولي</w:t>
      </w:r>
      <w:r w:rsidRPr="00505522">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505522">
        <w:rPr>
          <w:rStyle w:val="tlid-translation"/>
          <w:rFonts w:ascii="Traditional Arabic" w:hAnsi="Traditional Arabic" w:cs="Traditional Arabic"/>
          <w:sz w:val="22"/>
          <w:szCs w:val="22"/>
          <w:rtl/>
          <w:lang w:bidi="ar"/>
        </w:rPr>
        <w:t xml:space="preserve"> </w:t>
      </w:r>
      <w:r w:rsidRPr="00505522">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3AE8E832" w14:textId="58F85D27" w:rsidR="00A1624A" w:rsidRPr="00505522" w:rsidRDefault="0068660E" w:rsidP="00B81240">
      <w:pPr>
        <w:pStyle w:val="FootnoteText"/>
        <w:tabs>
          <w:tab w:val="clear" w:pos="1021"/>
        </w:tabs>
        <w:bidi/>
        <w:ind w:left="851" w:firstLine="0"/>
        <w:jc w:val="both"/>
        <w:rPr>
          <w:rFonts w:asciiTheme="majorBidi" w:hAnsiTheme="majorBidi" w:cstheme="majorBidi"/>
          <w:sz w:val="20"/>
        </w:rPr>
      </w:pPr>
      <w:hyperlink r:id="rId35" w:history="1">
        <w:r w:rsidR="00A1624A" w:rsidRPr="00505522">
          <w:rPr>
            <w:rStyle w:val="Hyperlink"/>
            <w:rFonts w:asciiTheme="majorBidi" w:hAnsiTheme="majorBidi" w:cstheme="majorBidi"/>
            <w:sz w:val="20"/>
          </w:rPr>
          <w:t>https://reliefweb.int/sites/reliefweb.int/files/resources/sieges_legal_note_-_final_-_en_1.pdf</w:t>
        </w:r>
      </w:hyperlink>
      <w:r w:rsidR="00A1624A" w:rsidRPr="00505522">
        <w:rPr>
          <w:rFonts w:asciiTheme="majorBidi" w:hAnsiTheme="majorBidi" w:cstheme="majorBidi"/>
          <w:sz w:val="20"/>
        </w:rPr>
        <w:t>)</w:t>
      </w:r>
    </w:p>
  </w:footnote>
  <w:footnote w:id="751">
    <w:p w14:paraId="1420A626" w14:textId="471FBD8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الفقرة 14 من البروتوكول الإضافي الثاني، أنظر أيضًا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الفقرة 53. </w:t>
      </w:r>
    </w:p>
  </w:footnote>
  <w:footnote w:id="752">
    <w:p w14:paraId="4392CD6E" w14:textId="6475C80A" w:rsidR="00A1624A" w:rsidRPr="00D84099" w:rsidRDefault="00A1624A" w:rsidP="00B81240">
      <w:pPr>
        <w:pStyle w:val="FootnoteText"/>
        <w:tabs>
          <w:tab w:val="clear" w:pos="1021"/>
        </w:tabs>
        <w:bidi/>
        <w:ind w:left="851" w:firstLine="0"/>
        <w:jc w:val="both"/>
        <w:rPr>
          <w:sz w:val="20"/>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18 من البروتوكول الإضافي الثاني، 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r w:rsidRPr="00D84099">
        <w:rPr>
          <w:rStyle w:val="tlid-translation"/>
          <w:rFonts w:hint="cs"/>
          <w:sz w:val="20"/>
          <w:rtl/>
        </w:rPr>
        <w:t xml:space="preserve"> </w:t>
      </w:r>
    </w:p>
  </w:footnote>
  <w:footnote w:id="753">
    <w:p w14:paraId="71DFD5B1" w14:textId="3EB2E006"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4">
    <w:p w14:paraId="3315D43F" w14:textId="78C60D1A"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5">
    <w:p w14:paraId="677C52EB" w14:textId="6DC4A17C"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6">
    <w:p w14:paraId="27860000" w14:textId="3CD780D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7">
    <w:p w14:paraId="5ABAD8CA" w14:textId="339CEAEA"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8">
    <w:p w14:paraId="4D1BA096" w14:textId="10421E2C"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59">
    <w:p w14:paraId="37EC8737" w14:textId="20E27377"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0">
    <w:p w14:paraId="080C11F7" w14:textId="676BD1D5"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1">
    <w:p w14:paraId="5219E10F" w14:textId="096BA521"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2">
    <w:p w14:paraId="45DBDC5B" w14:textId="5E7D530E" w:rsidR="00A1624A" w:rsidRPr="00BC1C0D" w:rsidRDefault="00A1624A" w:rsidP="00B81240">
      <w:pPr>
        <w:pStyle w:val="FootnoteText"/>
        <w:tabs>
          <w:tab w:val="clear" w:pos="1021"/>
        </w:tabs>
        <w:bidi/>
        <w:ind w:left="851" w:firstLine="0"/>
        <w:jc w:val="both"/>
        <w:rPr>
          <w:rFonts w:asciiTheme="majorBidi" w:hAnsiTheme="majorBidi" w:cstheme="majorBidi"/>
          <w:color w:val="000000" w:themeColor="text1"/>
          <w:szCs w:val="18"/>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3">
    <w:p w14:paraId="1EA17C15" w14:textId="3D09640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4">
    <w:p w14:paraId="3421F01F" w14:textId="5C5535F2"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5">
    <w:p w14:paraId="15059B79" w14:textId="098C0547" w:rsidR="00A1624A" w:rsidRPr="00505522" w:rsidRDefault="00A1624A" w:rsidP="00B81240">
      <w:pPr>
        <w:pStyle w:val="FootnoteText"/>
        <w:tabs>
          <w:tab w:val="clear" w:pos="1021"/>
        </w:tabs>
        <w:bidi/>
        <w:ind w:left="851" w:firstLine="0"/>
        <w:jc w:val="both"/>
        <w:rPr>
          <w:rFonts w:ascii="Traditional Arabic" w:hAnsi="Traditional Arabic" w:cs="Traditional Arabic"/>
          <w:color w:val="000000" w:themeColor="text1"/>
          <w:sz w:val="22"/>
          <w:szCs w:val="22"/>
          <w:lang w:val="en-US"/>
        </w:rPr>
      </w:pPr>
      <w:r w:rsidRPr="00505522">
        <w:rPr>
          <w:rStyle w:val="FootnoteReference"/>
          <w:rFonts w:ascii="Traditional Arabic" w:hAnsi="Traditional Arabic" w:cs="Traditional Arabic"/>
          <w:color w:val="000000" w:themeColor="text1"/>
          <w:sz w:val="22"/>
          <w:szCs w:val="22"/>
        </w:rPr>
        <w:footnoteRef/>
      </w:r>
      <w:r w:rsidRPr="00505522">
        <w:rPr>
          <w:rFonts w:ascii="Traditional Arabic" w:hAnsi="Traditional Arabic" w:cs="Traditional Arabic"/>
          <w:color w:val="000000" w:themeColor="text1"/>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66">
    <w:p w14:paraId="132A2C01" w14:textId="0EE24908"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505522">
        <w:rPr>
          <w:rFonts w:ascii="Traditional Arabic" w:hAnsi="Traditional Arabic" w:cs="Traditional Arabic"/>
          <w:sz w:val="22"/>
          <w:szCs w:val="22"/>
          <w:lang w:val="en-US"/>
        </w:rPr>
        <w:t>(CED)</w:t>
      </w:r>
      <w:r w:rsidRPr="00505522">
        <w:rPr>
          <w:rStyle w:val="preferred"/>
          <w:rFonts w:ascii="Traditional Arabic" w:hAnsi="Traditional Arabic" w:cs="Traditional Arabic"/>
          <w:sz w:val="22"/>
          <w:szCs w:val="22"/>
          <w:rtl/>
        </w:rPr>
        <w:t xml:space="preserve">، وأنظر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98. </w:t>
      </w:r>
      <w:r w:rsidRPr="00505522">
        <w:rPr>
          <w:rFonts w:ascii="Traditional Arabic" w:hAnsi="Traditional Arabic" w:cs="Traditional Arabic"/>
          <w:sz w:val="22"/>
          <w:szCs w:val="22"/>
          <w:lang w:val="en-US"/>
        </w:rPr>
        <w:t xml:space="preserve">  </w:t>
      </w:r>
    </w:p>
  </w:footnote>
  <w:footnote w:id="767">
    <w:p w14:paraId="53E6DAEF" w14:textId="571C543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اتفاقيات جنيف والمادة 4 من </w:t>
      </w:r>
      <w:r w:rsidRPr="00505522">
        <w:rPr>
          <w:rStyle w:val="tlid-translation"/>
          <w:rFonts w:ascii="Traditional Arabic" w:hAnsi="Traditional Arabic" w:cs="Traditional Arabic"/>
          <w:sz w:val="22"/>
          <w:szCs w:val="22"/>
          <w:rtl/>
        </w:rPr>
        <w:t xml:space="preserve">البروتوكول الإضافي الثاني وأنظر دراسة اللجنة الدولية للصليب الأحمر حول القانون الدولي الإنساني العرفي، القاعدة 99. </w:t>
      </w:r>
    </w:p>
  </w:footnote>
  <w:footnote w:id="768">
    <w:p w14:paraId="0C725178" w14:textId="0F3954B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Fonts w:ascii="Traditional Arabic" w:hAnsi="Traditional Arabic" w:cs="Traditional Arabic"/>
          <w:sz w:val="22"/>
          <w:szCs w:val="22"/>
        </w:rPr>
        <w:tab/>
      </w: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ab/>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505522">
        <w:rPr>
          <w:rFonts w:ascii="Traditional Arabic" w:hAnsi="Traditional Arabic" w:cs="Traditional Arabic"/>
          <w:sz w:val="22"/>
          <w:szCs w:val="22"/>
        </w:rPr>
        <w:t xml:space="preserve"> (A/RES/43/173)</w:t>
      </w:r>
      <w:r w:rsidRPr="00505522">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05522">
        <w:rPr>
          <w:rStyle w:val="tlid-translation"/>
          <w:rFonts w:ascii="Traditional Arabic" w:hAnsi="Traditional Arabic" w:cs="Traditional Arabic"/>
          <w:sz w:val="22"/>
          <w:szCs w:val="22"/>
          <w:rtl/>
        </w:rPr>
        <w:t>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w:t>
      </w:r>
    </w:p>
    <w:p w14:paraId="5A69E1FB" w14:textId="4540CB98" w:rsidR="00A1624A" w:rsidRPr="00505522" w:rsidRDefault="00A1624A" w:rsidP="00B81240">
      <w:pPr>
        <w:pStyle w:val="FootnoteText"/>
        <w:tabs>
          <w:tab w:val="clear" w:pos="1021"/>
        </w:tabs>
        <w:bidi/>
        <w:ind w:left="851" w:firstLine="0"/>
        <w:jc w:val="both"/>
        <w:rPr>
          <w:rFonts w:asciiTheme="majorBidi" w:hAnsiTheme="majorBidi" w:cstheme="majorBidi"/>
          <w:sz w:val="20"/>
        </w:rPr>
      </w:pPr>
      <w:r w:rsidRPr="00505522">
        <w:rPr>
          <w:rFonts w:asciiTheme="majorBidi" w:hAnsiTheme="majorBidi" w:cstheme="majorBidi"/>
          <w:sz w:val="20"/>
        </w:rPr>
        <w:t xml:space="preserve"> (see Methods of work of the Working Group on Arbitrary Detention, A/HRC/36/38). </w:t>
      </w:r>
    </w:p>
  </w:footnote>
  <w:footnote w:id="769">
    <w:p w14:paraId="2B0F4E40" w14:textId="58B424E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770">
    <w:p w14:paraId="0539AE97" w14:textId="38ADF35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7 من </w:t>
      </w:r>
      <w:r w:rsidRPr="00505522">
        <w:rPr>
          <w:rStyle w:val="preferred"/>
          <w:rFonts w:ascii="Traditional Arabic" w:hAnsi="Traditional Arabic" w:cs="Traditional Arabic"/>
          <w:sz w:val="22"/>
          <w:szCs w:val="22"/>
          <w:rtl/>
        </w:rPr>
        <w:t>العهد الدولي الخاص بالحقوق المدنية والسياسية</w:t>
      </w:r>
      <w:r w:rsidRPr="00505522">
        <w:rPr>
          <w:rStyle w:val="preferred"/>
          <w:rFonts w:ascii="Traditional Arabic" w:hAnsi="Traditional Arabic" w:cs="Traditional Arabic"/>
          <w:sz w:val="22"/>
          <w:szCs w:val="22"/>
          <w:rtl/>
          <w:cs/>
        </w:rPr>
        <w:t xml:space="preserve"> ، أنظر</w:t>
      </w:r>
      <w:r w:rsidRPr="00505522">
        <w:rPr>
          <w:rStyle w:val="preferred"/>
          <w:rFonts w:ascii="Traditional Arabic" w:hAnsi="Traditional Arabic" w:cs="Traditional Arabic"/>
          <w:sz w:val="22"/>
          <w:szCs w:val="22"/>
          <w:cs/>
        </w:rPr>
        <w:t>‎‎</w:t>
      </w:r>
      <w:r w:rsidRPr="00505522">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المادة 3 المشتركة من معاهدات جنيف، المادة 4 من </w:t>
      </w:r>
      <w:r w:rsidRPr="00505522">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90. </w:t>
      </w:r>
      <w:r w:rsidRPr="00505522">
        <w:rPr>
          <w:rFonts w:ascii="Traditional Arabic" w:hAnsi="Traditional Arabic" w:cs="Traditional Arabic"/>
          <w:sz w:val="22"/>
          <w:szCs w:val="22"/>
        </w:rPr>
        <w:t xml:space="preserve"> </w:t>
      </w:r>
    </w:p>
  </w:footnote>
  <w:footnote w:id="771">
    <w:p w14:paraId="3A894D58" w14:textId="6589731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2">
    <w:p w14:paraId="577F578D" w14:textId="504AB1B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3">
    <w:p w14:paraId="5804E2BB" w14:textId="5E87C2C2" w:rsidR="00A1624A" w:rsidRPr="00F9476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774">
    <w:p w14:paraId="2C05036D" w14:textId="278FEF9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5">
    <w:p w14:paraId="4A9C4691" w14:textId="4BD0D26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6">
    <w:p w14:paraId="625B6245" w14:textId="7EFA710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الموقع </w:t>
      </w:r>
      <w:r w:rsidRPr="00505522">
        <w:rPr>
          <w:rFonts w:ascii="Traditional Arabic" w:hAnsi="Traditional Arabic" w:cs="Traditional Arabic"/>
          <w:sz w:val="22"/>
          <w:szCs w:val="22"/>
        </w:rPr>
        <w:t>14.695299, 44.342860</w:t>
      </w:r>
    </w:p>
  </w:footnote>
  <w:footnote w:id="777">
    <w:p w14:paraId="2D903FF8" w14:textId="3F9E0EF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8">
    <w:p w14:paraId="3D943A31" w14:textId="31C1615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79">
    <w:p w14:paraId="3EDEDBBA" w14:textId="6F2062F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الموقع </w:t>
      </w:r>
      <w:r w:rsidRPr="00505522">
        <w:rPr>
          <w:rFonts w:ascii="Traditional Arabic" w:hAnsi="Traditional Arabic" w:cs="Traditional Arabic"/>
          <w:sz w:val="22"/>
          <w:szCs w:val="22"/>
        </w:rPr>
        <w:t>14.692139, 44.344778</w:t>
      </w:r>
    </w:p>
  </w:footnote>
  <w:footnote w:id="780">
    <w:p w14:paraId="37748D00" w14:textId="3113BB72" w:rsidR="00A1624A" w:rsidRPr="00B673A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1">
    <w:p w14:paraId="321CCB17" w14:textId="0ECC264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2">
    <w:p w14:paraId="1BEA81BE" w14:textId="3921FA7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3">
    <w:p w14:paraId="329DD646" w14:textId="1D33FFE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4">
    <w:p w14:paraId="3A4CBBA5" w14:textId="54653EF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5">
    <w:p w14:paraId="1CC0AD62" w14:textId="747EF284" w:rsidR="00A1624A" w:rsidRPr="00B673A7"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6">
    <w:p w14:paraId="246FCA4F" w14:textId="3E5CB1C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7">
    <w:p w14:paraId="02F2B42F" w14:textId="1348987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8">
    <w:p w14:paraId="297A7CAB" w14:textId="67FA36C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89">
    <w:p w14:paraId="0B36D725" w14:textId="0327ED6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0">
    <w:p w14:paraId="3B3679EC" w14:textId="6B4219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مصادر سرية، لمزيد من التفاصيل حول استنتاجات فريق الخبراء، أنظر الفصل أعلاه حول القيود على الحريات الأساسية بما في ذلك الإعتقال التعسفي. </w:t>
      </w:r>
    </w:p>
  </w:footnote>
  <w:footnote w:id="791">
    <w:p w14:paraId="03B4CA94" w14:textId="509EA96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2">
    <w:p w14:paraId="08598731" w14:textId="01467D4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3">
    <w:p w14:paraId="07E169BE" w14:textId="183EC52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4">
    <w:p w14:paraId="16647EE3" w14:textId="2B975F2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5">
    <w:p w14:paraId="3611EE53" w14:textId="5BA9B8CC" w:rsidR="00A1624A" w:rsidRPr="00CC0E23"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6">
    <w:p w14:paraId="114BEA0D" w14:textId="14A3A50D"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7">
    <w:p w14:paraId="71008D54" w14:textId="7D4D3BE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8">
    <w:p w14:paraId="691A16FD" w14:textId="18E8AFD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799">
    <w:p w14:paraId="74D276D8" w14:textId="36D8D20A"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r w:rsidRPr="00505522">
        <w:rPr>
          <w:rFonts w:ascii="Traditional Arabic" w:hAnsi="Traditional Arabic" w:cs="Traditional Arabic"/>
          <w:sz w:val="22"/>
          <w:szCs w:val="22"/>
          <w:rtl/>
        </w:rPr>
        <w:t xml:space="preserve"> أنظر أيضًا </w:t>
      </w:r>
    </w:p>
    <w:p w14:paraId="39321FB8" w14:textId="5AA644A6" w:rsidR="00A1624A" w:rsidRPr="00BC0EB3" w:rsidRDefault="0068660E" w:rsidP="00B81240">
      <w:pPr>
        <w:pStyle w:val="FootnoteText"/>
        <w:tabs>
          <w:tab w:val="clear" w:pos="1021"/>
        </w:tabs>
        <w:bidi/>
        <w:ind w:left="851" w:firstLine="0"/>
        <w:jc w:val="both"/>
        <w:rPr>
          <w:rFonts w:asciiTheme="majorBidi" w:hAnsiTheme="majorBidi" w:cstheme="majorBidi"/>
          <w:sz w:val="20"/>
          <w:rtl/>
          <w:lang w:bidi="ar-JO"/>
        </w:rPr>
      </w:pPr>
      <w:hyperlink r:id="rId36" w:history="1">
        <w:r w:rsidR="00A1624A" w:rsidRPr="00BC0EB3">
          <w:rPr>
            <w:rStyle w:val="Hyperlink"/>
            <w:rFonts w:asciiTheme="majorBidi" w:hAnsiTheme="majorBidi" w:cstheme="majorBidi"/>
            <w:sz w:val="20"/>
          </w:rPr>
          <w:t>https://www.thenational.ae/world/mena/houthi-rebels-accused-of-kidnapping-rape-and-murder-1.697102</w:t>
        </w:r>
      </w:hyperlink>
      <w:r w:rsidR="00A1624A" w:rsidRPr="00BC0EB3">
        <w:rPr>
          <w:rFonts w:asciiTheme="majorBidi" w:hAnsiTheme="majorBidi" w:cstheme="majorBidi"/>
          <w:sz w:val="20"/>
        </w:rPr>
        <w:t>.</w:t>
      </w:r>
    </w:p>
  </w:footnote>
  <w:footnote w:id="800">
    <w:p w14:paraId="361343F8" w14:textId="736CAA3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 xml:space="preserve"> 6(1)</w:t>
      </w:r>
      <w:r w:rsidRPr="00505522">
        <w:rPr>
          <w:rStyle w:val="Heading4Char"/>
          <w:rFonts w:ascii="Traditional Arabic" w:hAnsi="Traditional Arabic" w:cs="Traditional Arabic"/>
          <w:sz w:val="22"/>
          <w:szCs w:val="22"/>
          <w:rtl/>
        </w:rPr>
        <w:t xml:space="preserve"> من </w:t>
      </w:r>
      <w:r w:rsidRPr="00505522">
        <w:rPr>
          <w:rStyle w:val="preferred"/>
          <w:rFonts w:ascii="Traditional Arabic" w:hAnsi="Traditional Arabic" w:cs="Traditional Arabic"/>
          <w:sz w:val="22"/>
          <w:szCs w:val="22"/>
          <w:rtl/>
        </w:rPr>
        <w:t>العهد الدولي للحقوق المدنية والسياسية.</w:t>
      </w:r>
    </w:p>
  </w:footnote>
  <w:footnote w:id="801">
    <w:p w14:paraId="61BB4055" w14:textId="6BC6E5A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3 المشتركة من معاهدات جنيف، الفقرة </w:t>
      </w:r>
      <w:r w:rsidRPr="00505522">
        <w:rPr>
          <w:rFonts w:ascii="Traditional Arabic" w:hAnsi="Traditional Arabic" w:cs="Traditional Arabic"/>
          <w:sz w:val="22"/>
          <w:szCs w:val="22"/>
        </w:rPr>
        <w:t>4(2)(a)</w:t>
      </w:r>
      <w:r w:rsidRPr="00505522">
        <w:rPr>
          <w:rFonts w:ascii="Traditional Arabic" w:hAnsi="Traditional Arabic" w:cs="Traditional Arabic"/>
          <w:sz w:val="22"/>
          <w:szCs w:val="22"/>
          <w:rtl/>
        </w:rPr>
        <w:t xml:space="preserve"> من البروتوكول الإضافي الثاني، أنظر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89. </w:t>
      </w:r>
    </w:p>
  </w:footnote>
  <w:footnote w:id="802">
    <w:p w14:paraId="17F8D828" w14:textId="2A713EE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8 2.(c)(i)</w:t>
      </w:r>
      <w:r w:rsidRPr="00505522">
        <w:rPr>
          <w:rFonts w:ascii="Traditional Arabic" w:hAnsi="Traditional Arabic" w:cs="Traditional Arabic"/>
          <w:sz w:val="22"/>
          <w:szCs w:val="22"/>
          <w:rtl/>
        </w:rPr>
        <w:t xml:space="preserve"> </w:t>
      </w:r>
      <w:r w:rsidRPr="00505522">
        <w:rPr>
          <w:rStyle w:val="ar"/>
          <w:rFonts w:ascii="Traditional Arabic" w:hAnsi="Traditional Arabic" w:cs="Traditional Arabic"/>
          <w:sz w:val="22"/>
          <w:szCs w:val="22"/>
          <w:rtl/>
        </w:rPr>
        <w:t xml:space="preserve">نظام روما الأساسي. </w:t>
      </w:r>
    </w:p>
  </w:footnote>
  <w:footnote w:id="803">
    <w:p w14:paraId="010A7C2E" w14:textId="23A7B5D3"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من </w:t>
      </w:r>
      <w:r w:rsidRPr="00505522">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505522">
        <w:rPr>
          <w:rFonts w:ascii="Traditional Arabic" w:hAnsi="Traditional Arabic" w:cs="Traditional Arabic"/>
          <w:sz w:val="22"/>
          <w:szCs w:val="22"/>
          <w:lang w:val="en-US"/>
        </w:rPr>
        <w:t>(CED)</w:t>
      </w:r>
      <w:r w:rsidRPr="00505522">
        <w:rPr>
          <w:rStyle w:val="preferred"/>
          <w:rFonts w:ascii="Traditional Arabic" w:hAnsi="Traditional Arabic" w:cs="Traditional Arabic"/>
          <w:sz w:val="22"/>
          <w:szCs w:val="22"/>
          <w:rtl/>
        </w:rPr>
        <w:t xml:space="preserve">، 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القاعدة 98.</w:t>
      </w:r>
    </w:p>
  </w:footnote>
  <w:footnote w:id="804">
    <w:p w14:paraId="07608D38" w14:textId="3143FAF1"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المادة 3 المشتركة في معاهدات جنيق والمادة 4 من </w:t>
      </w:r>
      <w:r w:rsidRPr="00505522">
        <w:rPr>
          <w:rStyle w:val="tlid-translation"/>
          <w:rFonts w:ascii="Traditional Arabic" w:hAnsi="Traditional Arabic" w:cs="Traditional Arabic"/>
          <w:sz w:val="22"/>
          <w:szCs w:val="22"/>
          <w:rtl/>
        </w:rPr>
        <w:t xml:space="preserve">البروتوكول الإضافي الثاني، </w:t>
      </w:r>
      <w:r w:rsidRPr="00505522">
        <w:rPr>
          <w:rFonts w:ascii="Traditional Arabic" w:hAnsi="Traditional Arabic" w:cs="Traditional Arabic"/>
          <w:sz w:val="22"/>
          <w:szCs w:val="22"/>
          <w:rtl/>
        </w:rPr>
        <w:t xml:space="preserve">أنظر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99.</w:t>
      </w:r>
    </w:p>
  </w:footnote>
  <w:footnote w:id="805">
    <w:p w14:paraId="550FD8F2" w14:textId="5249B72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9 و14 من </w:t>
      </w:r>
      <w:r w:rsidRPr="00505522">
        <w:rPr>
          <w:rStyle w:val="preferred"/>
          <w:rFonts w:ascii="Traditional Arabic" w:hAnsi="Traditional Arabic" w:cs="Traditional Arabic"/>
          <w:sz w:val="22"/>
          <w:szCs w:val="22"/>
          <w:rtl/>
        </w:rPr>
        <w:t xml:space="preserve">العهد الدولي الخاص بالحقوق المدنية والسياسية، أنظر أيضًا 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505522">
        <w:rPr>
          <w:rFonts w:ascii="Traditional Arabic" w:hAnsi="Traditional Arabic" w:cs="Traditional Arabic"/>
          <w:sz w:val="22"/>
          <w:szCs w:val="22"/>
        </w:rPr>
        <w:t xml:space="preserve"> (A/RES/43/173)</w:t>
      </w:r>
      <w:r w:rsidRPr="00505522">
        <w:rPr>
          <w:rFonts w:ascii="Traditional Arabic" w:hAnsi="Traditional Arabic" w:cs="Traditional Arabic"/>
          <w:sz w:val="22"/>
          <w:szCs w:val="22"/>
          <w:rtl/>
        </w:rPr>
        <w:t xml:space="preserve">. لدى الفريق العامل المعني بالاحتجاز التعسفي 5 فئات قانونية متعلقة بالاحتجاز التعسفي: (أ) عندما لا يوجد أساس قانوني للحرمان من الحرية، (ب) عندما يكون الحرمان من الحرية نتيجة ممارسة الحريات الأساسية، (ج) </w:t>
      </w:r>
      <w:r w:rsidRPr="00505522">
        <w:rPr>
          <w:rStyle w:val="tlid-translation"/>
          <w:rFonts w:ascii="Traditional Arabic" w:hAnsi="Traditional Arabic" w:cs="Traditional Arabic"/>
          <w:sz w:val="22"/>
          <w:szCs w:val="22"/>
          <w:rtl/>
        </w:rPr>
        <w:t xml:space="preserve">عندما تكون انتهاكات المعايير المتعلقة بالحق في محاكمة عادلة ذات خطورة تعطى للحرمان من الحرية طابعًا تعسفيًا، (د) عندما يتعرض النازحون للاحتجاز الإداري لمدة طويلة من دون إمكانية المراجعة الإدارية أو القضائية أو الإنصاف، (ه) عندما يعكس الحرمان من الحرية التمييز لا سيما على أساس الأصل أو القومية أو الإثنية أو الأصل الاجتماعي أو اللغة أو الدين أو الرأي السياسي أو أي رأي آخر. </w:t>
      </w:r>
    </w:p>
    <w:p w14:paraId="062ABE2A" w14:textId="1E338192" w:rsidR="00A1624A" w:rsidRPr="00505522" w:rsidRDefault="00A1624A" w:rsidP="00B81240">
      <w:pPr>
        <w:pStyle w:val="FootnoteText"/>
        <w:tabs>
          <w:tab w:val="clear" w:pos="1021"/>
        </w:tabs>
        <w:bidi/>
        <w:ind w:left="851" w:firstLine="0"/>
        <w:jc w:val="both"/>
        <w:rPr>
          <w:rFonts w:asciiTheme="majorBidi" w:hAnsiTheme="majorBidi" w:cstheme="majorBidi"/>
          <w:sz w:val="20"/>
          <w:rtl/>
          <w:lang w:bidi="ar-JO"/>
        </w:rPr>
      </w:pPr>
      <w:r w:rsidRPr="00505522">
        <w:rPr>
          <w:rFonts w:ascii="Traditional Arabic" w:hAnsi="Traditional Arabic" w:cs="Traditional Arabic"/>
          <w:sz w:val="22"/>
          <w:szCs w:val="22"/>
        </w:rPr>
        <w:t xml:space="preserve"> </w:t>
      </w:r>
      <w:r w:rsidRPr="00505522">
        <w:rPr>
          <w:rFonts w:asciiTheme="majorBidi" w:hAnsiTheme="majorBidi" w:cstheme="majorBidi"/>
          <w:sz w:val="20"/>
        </w:rPr>
        <w:t>(see Methods of work of the Working Group on Arbitrary Detention, A/HRC/36/38).</w:t>
      </w:r>
    </w:p>
  </w:footnote>
  <w:footnote w:id="806">
    <w:p w14:paraId="6C0F9F23" w14:textId="0A23A040"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100. </w:t>
      </w:r>
    </w:p>
  </w:footnote>
  <w:footnote w:id="807">
    <w:p w14:paraId="58DCAA75" w14:textId="1BF07B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7 من </w:t>
      </w:r>
      <w:r w:rsidRPr="00505522">
        <w:rPr>
          <w:rStyle w:val="preferred"/>
          <w:rFonts w:ascii="Traditional Arabic" w:hAnsi="Traditional Arabic" w:cs="Traditional Arabic"/>
          <w:sz w:val="22"/>
          <w:szCs w:val="22"/>
          <w:rtl/>
        </w:rPr>
        <w:t xml:space="preserve">العهد الدولي الخاص بالحقوق المدنية والسياسية، أنظر </w:t>
      </w:r>
      <w:r w:rsidRPr="00505522">
        <w:rPr>
          <w:rStyle w:val="preferred"/>
          <w:rFonts w:ascii="Traditional Arabic" w:hAnsi="Traditional Arabic" w:cs="Traditional Arabic"/>
          <w:sz w:val="22"/>
          <w:szCs w:val="22"/>
          <w:cs/>
        </w:rPr>
        <w:t>‎‎</w:t>
      </w:r>
      <w:r w:rsidRPr="00505522">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الفقرة 3 المشتركة في معاهدات جنيف، الفقرة 4 من </w:t>
      </w:r>
      <w:r w:rsidRPr="00505522">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90. </w:t>
      </w:r>
      <w:r w:rsidRPr="00505522">
        <w:rPr>
          <w:rStyle w:val="preferred"/>
          <w:rFonts w:ascii="Traditional Arabic" w:hAnsi="Traditional Arabic" w:cs="Traditional Arabic"/>
          <w:sz w:val="22"/>
          <w:szCs w:val="22"/>
          <w:rtl/>
        </w:rPr>
        <w:t xml:space="preserve"> </w:t>
      </w:r>
    </w:p>
  </w:footnote>
  <w:footnote w:id="808">
    <w:p w14:paraId="559C7B6F" w14:textId="0777D11B"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المادة 7 من </w:t>
      </w:r>
      <w:r w:rsidRPr="00505522">
        <w:rPr>
          <w:rStyle w:val="preferred"/>
          <w:rFonts w:ascii="Traditional Arabic" w:hAnsi="Traditional Arabic" w:cs="Traditional Arabic"/>
          <w:sz w:val="22"/>
          <w:szCs w:val="22"/>
          <w:rtl/>
        </w:rPr>
        <w:t xml:space="preserve">العهد الدولي الخاص بالحقوق المدنية والسياسية، الفقرة 3 المشتركة في معاهدات جنيف، الفقرة 4 من </w:t>
      </w:r>
      <w:r w:rsidRPr="00505522">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القاعدة 93. </w:t>
      </w:r>
    </w:p>
  </w:footnote>
  <w:footnote w:id="809">
    <w:p w14:paraId="07577107" w14:textId="0E7E6F13"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w:t>
      </w:r>
      <w:r w:rsidRPr="00505522">
        <w:rPr>
          <w:rFonts w:ascii="Traditional Arabic" w:hAnsi="Traditional Arabic" w:cs="Traditional Arabic"/>
          <w:sz w:val="22"/>
          <w:szCs w:val="22"/>
        </w:rPr>
        <w:t>8 2.(e)(vi)</w:t>
      </w:r>
      <w:r w:rsidRPr="00505522">
        <w:rPr>
          <w:rFonts w:ascii="Traditional Arabic" w:hAnsi="Traditional Arabic" w:cs="Traditional Arabic"/>
          <w:sz w:val="22"/>
          <w:szCs w:val="22"/>
          <w:rtl/>
        </w:rPr>
        <w:t xml:space="preserve"> </w:t>
      </w:r>
      <w:r w:rsidRPr="00505522">
        <w:rPr>
          <w:rStyle w:val="tlid-translation"/>
          <w:rFonts w:ascii="Traditional Arabic" w:hAnsi="Traditional Arabic" w:cs="Traditional Arabic"/>
          <w:sz w:val="22"/>
          <w:szCs w:val="22"/>
          <w:rtl/>
        </w:rPr>
        <w:t xml:space="preserve">نظام روما الأساسي. </w:t>
      </w:r>
    </w:p>
  </w:footnote>
  <w:footnote w:id="810">
    <w:p w14:paraId="4018483D" w14:textId="7603574A" w:rsidR="00A1624A" w:rsidRPr="00505522" w:rsidRDefault="00A1624A" w:rsidP="00B81240">
      <w:pPr>
        <w:pStyle w:val="FootnoteText"/>
        <w:tabs>
          <w:tab w:val="clear" w:pos="1021"/>
        </w:tabs>
        <w:bidi/>
        <w:ind w:left="851" w:firstLine="0"/>
        <w:jc w:val="both"/>
        <w:rPr>
          <w:sz w:val="20"/>
          <w:rtl/>
          <w:lang w:bidi="ar-JO"/>
        </w:rPr>
      </w:pPr>
      <w:r w:rsidRPr="00505522">
        <w:rPr>
          <w:rStyle w:val="FootnoteReference"/>
          <w:sz w:val="20"/>
        </w:rPr>
        <w:footnoteRef/>
      </w:r>
      <w:r w:rsidRPr="00505522">
        <w:rPr>
          <w:sz w:val="20"/>
        </w:rPr>
        <w:t xml:space="preserve"> Sanaa Centre for Strategic Studies “Starvation, Diplomacy and Ruthless Friends: The Yemen Annual Review 2018” 22 January 2019.</w:t>
      </w:r>
    </w:p>
  </w:footnote>
  <w:footnote w:id="811">
    <w:p w14:paraId="7DDE5813" w14:textId="067F3905" w:rsidR="00A1624A" w:rsidRPr="004553F5" w:rsidRDefault="00A1624A" w:rsidP="00B81240">
      <w:pPr>
        <w:pStyle w:val="FootnoteText"/>
        <w:tabs>
          <w:tab w:val="clear" w:pos="1021"/>
        </w:tabs>
        <w:bidi/>
        <w:ind w:left="851" w:firstLine="0"/>
        <w:jc w:val="both"/>
        <w:rPr>
          <w:rtl/>
          <w:lang w:bidi="ar-JO"/>
        </w:rPr>
      </w:pPr>
      <w:r w:rsidRPr="00505522">
        <w:rPr>
          <w:rStyle w:val="FootnoteReference"/>
          <w:sz w:val="20"/>
        </w:rPr>
        <w:footnoteRef/>
      </w:r>
      <w:r w:rsidRPr="00505522">
        <w:rPr>
          <w:sz w:val="20"/>
        </w:rPr>
        <w:t xml:space="preserve"> IPC Overview and Classification System: Yemen: Acute Food Insecurity Situation December 2018 - January 2019. See: http://www.ipcinfo.org/ipc-country-analysis/details-map/en/c/1151858/</w:t>
      </w:r>
    </w:p>
  </w:footnote>
  <w:footnote w:id="812">
    <w:p w14:paraId="17D323C7" w14:textId="7022157F"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اللجنة الدائمة المشتركة بين الوكالات </w:t>
      </w:r>
      <w:r w:rsidRPr="00505522">
        <w:rPr>
          <w:rStyle w:val="tlid-translation"/>
          <w:rFonts w:ascii="Traditional Arabic" w:hAnsi="Traditional Arabic" w:cs="Traditional Arabic"/>
          <w:sz w:val="22"/>
          <w:szCs w:val="22"/>
          <w:rtl/>
        </w:rPr>
        <w:t xml:space="preserve">هي الآلية الرئيسية للتنسيق المشترك بين الوكالات للمساعدة الإنسانية وأيضًا منتدى فريد من نوعه يشارك فيه الشركاء الإنسانيون الرئيسيون من الأمم المتحدة وغير التابعين للأمم المتحدة. تأسست </w:t>
      </w:r>
      <w:r w:rsidRPr="00505522">
        <w:rPr>
          <w:rFonts w:ascii="Traditional Arabic" w:hAnsi="Traditional Arabic" w:cs="Traditional Arabic"/>
          <w:sz w:val="22"/>
          <w:szCs w:val="22"/>
          <w:rtl/>
        </w:rPr>
        <w:t xml:space="preserve">اللجنة الدائمة المشتركة بين الوكالات </w:t>
      </w:r>
      <w:r w:rsidRPr="00505522">
        <w:rPr>
          <w:rStyle w:val="tlid-translation"/>
          <w:rFonts w:ascii="Traditional Arabic" w:hAnsi="Traditional Arabic" w:cs="Traditional Arabic"/>
          <w:sz w:val="22"/>
          <w:szCs w:val="22"/>
          <w:rtl/>
        </w:rPr>
        <w:t xml:space="preserve">في حزيران/ يونيو 1992 استجابة لقرار الجمعية العامة للأمم المتحدة 46/182 بشأن تعزيز المساعدة الإنسانية. </w:t>
      </w:r>
    </w:p>
  </w:footnote>
  <w:footnote w:id="813">
    <w:p w14:paraId="06EC0D6A" w14:textId="46CD9618"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4">
    <w:p w14:paraId="39A6155D" w14:textId="64A1C029"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اليونيسيف، تقرير الوضع الإنساني، آب/ أغسطس 2018. </w:t>
      </w:r>
    </w:p>
  </w:footnote>
  <w:footnote w:id="815">
    <w:p w14:paraId="7977CA6E" w14:textId="08D4A1C6"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أنظر حالات القصف في 4 أب/ أغسطس و14 أب/ أغسطس و19 تموز/ يوليو. </w:t>
      </w:r>
    </w:p>
  </w:footnote>
  <w:footnote w:id="816">
    <w:p w14:paraId="01525F15" w14:textId="52102E88" w:rsidR="00A1624A" w:rsidRPr="002C5F5B" w:rsidRDefault="00A1624A" w:rsidP="00B81240">
      <w:pPr>
        <w:pStyle w:val="FootnoteText"/>
        <w:tabs>
          <w:tab w:val="clear" w:pos="1021"/>
        </w:tabs>
        <w:bidi/>
        <w:ind w:left="851" w:firstLine="0"/>
        <w:jc w:val="both"/>
        <w:rPr>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لمزيد من التفاصيل حول هذه القضية، أنظر الفصل أدناه حول الوصول.</w:t>
      </w:r>
      <w:r>
        <w:rPr>
          <w:rFonts w:hint="cs"/>
          <w:rtl/>
        </w:rPr>
        <w:t xml:space="preserve"> </w:t>
      </w:r>
    </w:p>
  </w:footnote>
  <w:footnote w:id="817">
    <w:p w14:paraId="6D52C82F" w14:textId="2DF3C15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8">
    <w:p w14:paraId="2DF8B32C" w14:textId="140A5B9E"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p>
  </w:footnote>
  <w:footnote w:id="819">
    <w:p w14:paraId="7FBA1D3D" w14:textId="4ED6919A" w:rsidR="00A1624A" w:rsidRPr="00505522" w:rsidRDefault="00A1624A" w:rsidP="00B81240">
      <w:pPr>
        <w:pStyle w:val="FootnoteText"/>
        <w:tabs>
          <w:tab w:val="clear" w:pos="1021"/>
        </w:tabs>
        <w:bidi/>
        <w:ind w:left="851" w:firstLine="0"/>
        <w:jc w:val="both"/>
        <w:rPr>
          <w:sz w:val="20"/>
          <w:rtl/>
          <w:lang w:val="en-US" w:bidi="ar-JO"/>
        </w:rPr>
      </w:pPr>
      <w:r w:rsidRPr="00505522">
        <w:rPr>
          <w:rStyle w:val="FootnoteReference"/>
          <w:sz w:val="20"/>
        </w:rPr>
        <w:footnoteRef/>
      </w:r>
      <w:r w:rsidRPr="00505522">
        <w:rPr>
          <w:sz w:val="20"/>
        </w:rPr>
        <w:t xml:space="preserve"> WFP “WFP gains access to vital wheat stocks needed for Yemen's hungry people” Available at: https://www1.wfp.org/news/wfp-gains-access-vital-wheat-stocks-needed-yemens-hungry-people</w:t>
      </w:r>
    </w:p>
  </w:footnote>
  <w:footnote w:id="820">
    <w:p w14:paraId="560B8924" w14:textId="67AAAD57"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مصادر سريّة في الملف</w:t>
      </w:r>
      <w:r w:rsidRPr="00505522">
        <w:rPr>
          <w:rFonts w:ascii="Traditional Arabic" w:hAnsi="Traditional Arabic" w:cs="Traditional Arabic"/>
          <w:sz w:val="22"/>
          <w:szCs w:val="22"/>
        </w:rPr>
        <w:t>.</w:t>
      </w:r>
      <w:r w:rsidRPr="00505522">
        <w:rPr>
          <w:rFonts w:ascii="Traditional Arabic" w:hAnsi="Traditional Arabic" w:cs="Traditional Arabic"/>
          <w:sz w:val="22"/>
          <w:szCs w:val="22"/>
          <w:rtl/>
        </w:rPr>
        <w:t xml:space="preserve"> </w:t>
      </w:r>
    </w:p>
  </w:footnote>
  <w:footnote w:id="821">
    <w:p w14:paraId="41368575" w14:textId="535DD16B" w:rsidR="00A1624A" w:rsidRPr="00505522" w:rsidRDefault="00A1624A" w:rsidP="00B81240">
      <w:pPr>
        <w:pStyle w:val="FootnoteText"/>
        <w:tabs>
          <w:tab w:val="clear" w:pos="1021"/>
        </w:tabs>
        <w:bidi/>
        <w:ind w:left="851" w:firstLine="0"/>
        <w:jc w:val="both"/>
        <w:rPr>
          <w:sz w:val="20"/>
        </w:rPr>
      </w:pPr>
      <w:r w:rsidRPr="00505522">
        <w:rPr>
          <w:rStyle w:val="FootnoteReference"/>
          <w:sz w:val="20"/>
        </w:rPr>
        <w:footnoteRef/>
      </w:r>
      <w:r w:rsidRPr="00505522">
        <w:rPr>
          <w:sz w:val="20"/>
        </w:rPr>
        <w:t xml:space="preserve"> WFP, “World Food Programme accesses Yemeni frontline district for first time since conflict began” 31 May 2019. Available at:  https://reliefweb.int/report/yemen/world-food-programme-accesses-yemeni-frontline-district-first-time-conflict-began.</w:t>
      </w:r>
    </w:p>
  </w:footnote>
  <w:footnote w:id="822">
    <w:p w14:paraId="38AFDE33" w14:textId="2EC3B47F" w:rsidR="00A1624A" w:rsidRPr="00505522" w:rsidRDefault="00A1624A" w:rsidP="00B81240">
      <w:pPr>
        <w:pStyle w:val="FootnoteText"/>
        <w:tabs>
          <w:tab w:val="clear" w:pos="1021"/>
        </w:tabs>
        <w:bidi/>
        <w:ind w:left="851" w:firstLine="0"/>
        <w:jc w:val="both"/>
        <w:rPr>
          <w:sz w:val="20"/>
        </w:rPr>
      </w:pPr>
      <w:r w:rsidRPr="00505522">
        <w:rPr>
          <w:rStyle w:val="FootnoteReference"/>
          <w:sz w:val="20"/>
        </w:rPr>
        <w:footnoteRef/>
      </w:r>
      <w:r w:rsidRPr="00505522">
        <w:rPr>
          <w:sz w:val="20"/>
        </w:rPr>
        <w:t xml:space="preserve"> https://twitter.com/camanpour/status/1064583183465775105.</w:t>
      </w:r>
    </w:p>
  </w:footnote>
  <w:footnote w:id="823">
    <w:p w14:paraId="77308064" w14:textId="5CA5F8A3" w:rsidR="00A1624A" w:rsidRPr="00E94899" w:rsidRDefault="00A1624A" w:rsidP="00B81240">
      <w:pPr>
        <w:pStyle w:val="FootnoteText"/>
        <w:tabs>
          <w:tab w:val="clear" w:pos="1021"/>
        </w:tabs>
        <w:bidi/>
        <w:ind w:left="851" w:firstLine="0"/>
        <w:jc w:val="both"/>
      </w:pPr>
      <w:r w:rsidRPr="00505522">
        <w:rPr>
          <w:rStyle w:val="FootnoteReference"/>
          <w:sz w:val="20"/>
        </w:rPr>
        <w:footnoteRef/>
      </w:r>
      <w:r w:rsidRPr="00505522">
        <w:rPr>
          <w:sz w:val="20"/>
        </w:rPr>
        <w:t xml:space="preserve">   UNDP “Red Sear Mills Free of Explosives for the First Time in Eight Months” 15 May 2019. Available at: http://www.ye.undp.org/content/yemen/en/home/stories/red-sea-mills-free-of-explosives-for-the-first-time-in-8-months-.html.</w:t>
      </w:r>
    </w:p>
  </w:footnote>
  <w:footnote w:id="824">
    <w:p w14:paraId="7383C7D4" w14:textId="7CF9C1D2"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مصطلح حصار ليس له تعريف في القانون الدولي</w:t>
      </w:r>
      <w:r w:rsidRPr="00505522">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505522">
        <w:rPr>
          <w:rStyle w:val="tlid-translation"/>
          <w:rFonts w:ascii="Traditional Arabic" w:hAnsi="Traditional Arabic" w:cs="Traditional Arabic"/>
          <w:sz w:val="22"/>
          <w:szCs w:val="22"/>
          <w:rtl/>
          <w:lang w:bidi="ar"/>
        </w:rPr>
        <w:t xml:space="preserve"> </w:t>
      </w:r>
      <w:r w:rsidRPr="00505522">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1AB3E0FB" w14:textId="78C0A285"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Fonts w:ascii="Traditional Arabic" w:hAnsi="Traditional Arabic" w:cs="Traditional Arabic"/>
          <w:sz w:val="22"/>
          <w:szCs w:val="22"/>
        </w:rPr>
        <w:t>https://reliefweb.int/sites/reliefweb.int/files/resources/sieges_legal_note_-_final_-_en_1.pdf</w:t>
      </w:r>
    </w:p>
  </w:footnote>
  <w:footnote w:id="825">
    <w:p w14:paraId="4BFA6281" w14:textId="7176DA64"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14 من البروتوكول الإضافي الثاني، أنظر كذلك </w:t>
      </w:r>
      <w:r w:rsidRPr="0050552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53. </w:t>
      </w:r>
    </w:p>
  </w:footnote>
  <w:footnote w:id="826">
    <w:p w14:paraId="7594A69F" w14:textId="4702DABC" w:rsidR="00A1624A" w:rsidRPr="0050552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الفقرة 14 من البروتوكول الإضافي الثاني، بالإضافة إلى الفقرة 54(2) من البروتوكول الإضافي الأول.</w:t>
      </w:r>
    </w:p>
  </w:footnote>
  <w:footnote w:id="827">
    <w:p w14:paraId="3B747620" w14:textId="53CF08FC" w:rsidR="00A1624A" w:rsidRPr="00E94899" w:rsidRDefault="00A1624A" w:rsidP="00B81240">
      <w:pPr>
        <w:pStyle w:val="FootnoteText"/>
        <w:tabs>
          <w:tab w:val="clear" w:pos="1021"/>
        </w:tabs>
        <w:bidi/>
        <w:ind w:left="851" w:firstLine="0"/>
        <w:jc w:val="both"/>
      </w:pPr>
      <w:r w:rsidRPr="00505522">
        <w:rPr>
          <w:rStyle w:val="FootnoteReference"/>
          <w:rFonts w:ascii="Traditional Arabic" w:hAnsi="Traditional Arabic" w:cs="Traditional Arabic"/>
          <w:sz w:val="22"/>
          <w:szCs w:val="22"/>
        </w:rPr>
        <w:footnoteRef/>
      </w:r>
      <w:r w:rsidRPr="00505522">
        <w:rPr>
          <w:rFonts w:ascii="Traditional Arabic" w:hAnsi="Traditional Arabic" w:cs="Traditional Arabic"/>
          <w:sz w:val="22"/>
          <w:szCs w:val="22"/>
        </w:rPr>
        <w:t xml:space="preserve"> </w:t>
      </w:r>
      <w:r w:rsidRPr="00505522">
        <w:rPr>
          <w:rFonts w:ascii="Traditional Arabic" w:hAnsi="Traditional Arabic" w:cs="Traditional Arabic"/>
          <w:sz w:val="22"/>
          <w:szCs w:val="22"/>
          <w:rtl/>
        </w:rPr>
        <w:t xml:space="preserve">الفقرة 18 (2) من البروتوكول الإضافي الثاني، أنظر كذلك </w:t>
      </w:r>
      <w:r w:rsidRPr="0050552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828">
    <w:p w14:paraId="7366E54C" w14:textId="22138786" w:rsidR="00A1624A" w:rsidRPr="00577347"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77347">
        <w:rPr>
          <w:rStyle w:val="FootnoteReference"/>
          <w:rFonts w:ascii="Traditional Arabic" w:hAnsi="Traditional Arabic" w:cs="Traditional Arabic"/>
          <w:sz w:val="22"/>
          <w:szCs w:val="22"/>
        </w:rPr>
        <w:footnoteRef/>
      </w:r>
      <w:r w:rsidRPr="00577347">
        <w:rPr>
          <w:rFonts w:ascii="Traditional Arabic" w:hAnsi="Traditional Arabic" w:cs="Traditional Arabic"/>
          <w:sz w:val="22"/>
          <w:szCs w:val="22"/>
        </w:rPr>
        <w:t xml:space="preserve"> </w:t>
      </w:r>
      <w:r w:rsidRPr="00577347">
        <w:rPr>
          <w:rFonts w:ascii="Traditional Arabic" w:hAnsi="Traditional Arabic" w:cs="Traditional Arabic"/>
          <w:sz w:val="22"/>
          <w:szCs w:val="22"/>
          <w:rtl/>
        </w:rPr>
        <w:t xml:space="preserve"> </w:t>
      </w:r>
      <w:r w:rsidRPr="00577347">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55، أنظر كذلك الفقرة 71 (3) من </w:t>
      </w:r>
      <w:r w:rsidRPr="00577347">
        <w:rPr>
          <w:rFonts w:ascii="Traditional Arabic" w:hAnsi="Traditional Arabic" w:cs="Traditional Arabic"/>
          <w:sz w:val="22"/>
          <w:szCs w:val="22"/>
          <w:rtl/>
        </w:rPr>
        <w:t xml:space="preserve">البروتوكول الإضافي الأول. أنظر:  </w:t>
      </w:r>
    </w:p>
    <w:p w14:paraId="189A6432" w14:textId="77777777" w:rsidR="00A1624A" w:rsidRDefault="00A1624A" w:rsidP="00B81240">
      <w:pPr>
        <w:pStyle w:val="FootnoteText"/>
        <w:tabs>
          <w:tab w:val="clear" w:pos="1021"/>
        </w:tabs>
        <w:bidi/>
        <w:ind w:left="851" w:firstLine="0"/>
        <w:jc w:val="both"/>
        <w:rPr>
          <w:sz w:val="20"/>
          <w:rtl/>
        </w:rPr>
      </w:pPr>
      <w:r w:rsidRPr="00577347">
        <w:rPr>
          <w:sz w:val="20"/>
        </w:rPr>
        <w:t xml:space="preserve">Oxford Guidance on the Law Relating to Humanitarian Relief Operations in Situations of Armed Conflict, Commissioned by OCHA, October 2016 </w:t>
      </w:r>
    </w:p>
    <w:p w14:paraId="46DC98BC" w14:textId="2AD71702" w:rsidR="00A1624A" w:rsidRPr="00577347" w:rsidRDefault="00A1624A" w:rsidP="00B81240">
      <w:pPr>
        <w:pStyle w:val="FootnoteText"/>
        <w:tabs>
          <w:tab w:val="clear" w:pos="1021"/>
        </w:tabs>
        <w:bidi/>
        <w:ind w:left="851" w:firstLine="0"/>
        <w:jc w:val="both"/>
        <w:rPr>
          <w:sz w:val="20"/>
        </w:rPr>
      </w:pPr>
      <w:r w:rsidRPr="00577347">
        <w:rPr>
          <w:sz w:val="20"/>
        </w:rPr>
        <w:t>(https://www.unocha.org/sites/unocha/files/Oxford%20Guidance%20pdf.pdf).</w:t>
      </w:r>
    </w:p>
  </w:footnote>
  <w:footnote w:id="829">
    <w:p w14:paraId="5041189F" w14:textId="5B38FDF3"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w:t>
      </w:r>
      <w:r w:rsidRPr="00BC0EB3">
        <w:rPr>
          <w:rFonts w:hint="cs"/>
          <w:sz w:val="20"/>
          <w:rtl/>
        </w:rPr>
        <w:t xml:space="preserve">أنظر </w:t>
      </w:r>
      <w:r w:rsidRPr="00BC0EB3">
        <w:rPr>
          <w:sz w:val="20"/>
        </w:rPr>
        <w:t xml:space="preserve"> https://yemendataproject.org/data.html</w:t>
      </w:r>
      <w:r w:rsidRPr="00BC0EB3">
        <w:rPr>
          <w:rFonts w:hint="cs"/>
          <w:sz w:val="20"/>
          <w:rtl/>
        </w:rPr>
        <w:t xml:space="preserve"> </w:t>
      </w:r>
    </w:p>
  </w:footnote>
  <w:footnote w:id="830">
    <w:p w14:paraId="6D539A84" w14:textId="31538719" w:rsidR="00A1624A" w:rsidRPr="00BC0EB3" w:rsidRDefault="00A1624A" w:rsidP="00B81240">
      <w:pPr>
        <w:pStyle w:val="NoSpacing"/>
        <w:bidi/>
        <w:ind w:left="851" w:right="1134"/>
        <w:jc w:val="both"/>
        <w:rPr>
          <w:rFonts w:ascii="Traditional Arabic" w:hAnsi="Traditional Arabic" w:cs="Traditional Arabic"/>
        </w:rPr>
      </w:pPr>
      <w:r w:rsidRPr="00BC0EB3">
        <w:rPr>
          <w:rStyle w:val="FootnoteReference"/>
          <w:rFonts w:ascii="Traditional Arabic" w:hAnsi="Traditional Arabic" w:cs="Traditional Arabic"/>
          <w:sz w:val="22"/>
        </w:rPr>
        <w:footnoteRef/>
      </w:r>
      <w:r w:rsidRPr="00BC0EB3">
        <w:rPr>
          <w:rFonts w:ascii="Traditional Arabic" w:hAnsi="Traditional Arabic" w:cs="Traditional Arabic"/>
        </w:rPr>
        <w:t xml:space="preserve"> </w:t>
      </w:r>
      <w:r w:rsidRPr="00BC0EB3">
        <w:rPr>
          <w:rFonts w:ascii="Traditional Arabic" w:hAnsi="Traditional Arabic" w:cs="Traditional Arabic"/>
          <w:rtl/>
        </w:rPr>
        <w:t xml:space="preserve">الموقع التقريبي: </w:t>
      </w:r>
      <w:r w:rsidRPr="00BC0EB3">
        <w:rPr>
          <w:rFonts w:ascii="Traditional Arabic" w:hAnsi="Traditional Arabic" w:cs="Traditional Arabic"/>
        </w:rPr>
        <w:t>14° 8'17.70"N, 43°22'2.23"E</w:t>
      </w:r>
    </w:p>
  </w:footnote>
  <w:footnote w:id="831">
    <w:p w14:paraId="40CCC163" w14:textId="3973404B"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مصادر سريّة في الملف</w:t>
      </w:r>
      <w:r w:rsidRPr="00BC0EB3">
        <w:rPr>
          <w:rFonts w:ascii="Traditional Arabic" w:hAnsi="Traditional Arabic" w:cs="Traditional Arabic"/>
          <w:sz w:val="22"/>
          <w:szCs w:val="22"/>
        </w:rPr>
        <w:t>.</w:t>
      </w:r>
    </w:p>
  </w:footnote>
  <w:footnote w:id="832">
    <w:p w14:paraId="105DBF73" w14:textId="6630C565" w:rsidR="00A1624A" w:rsidRPr="00F06B5C" w:rsidRDefault="00A1624A" w:rsidP="00B81240">
      <w:pPr>
        <w:pStyle w:val="FootnoteText"/>
        <w:tabs>
          <w:tab w:val="clear" w:pos="1021"/>
        </w:tabs>
        <w:bidi/>
        <w:ind w:left="851" w:firstLine="0"/>
        <w:jc w:val="both"/>
      </w:pPr>
      <w:r>
        <w:rPr>
          <w:rStyle w:val="FootnoteReference"/>
        </w:rPr>
        <w:footnoteRef/>
      </w:r>
      <w:r>
        <w:t xml:space="preserve"> </w:t>
      </w:r>
      <w:r w:rsidRPr="00F06B5C">
        <w:t>https://www.spa.gov.sa/viewstory.php?lang=en&amp;newsid=1852734</w:t>
      </w:r>
    </w:p>
  </w:footnote>
  <w:footnote w:id="833">
    <w:p w14:paraId="5B559ACC" w14:textId="24CF849B" w:rsidR="00A1624A" w:rsidRPr="00F06B5C" w:rsidRDefault="00A1624A" w:rsidP="00B81240">
      <w:pPr>
        <w:pStyle w:val="FootnoteText"/>
        <w:tabs>
          <w:tab w:val="clear" w:pos="1021"/>
        </w:tabs>
        <w:bidi/>
        <w:ind w:left="851" w:firstLine="0"/>
        <w:jc w:val="both"/>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الموقع التقريبي للحادثة:</w:t>
      </w:r>
      <w:r>
        <w:rPr>
          <w:rFonts w:hint="cs"/>
          <w:rtl/>
        </w:rPr>
        <w:t xml:space="preserve">  </w:t>
      </w:r>
      <w:r w:rsidRPr="00F06B5C">
        <w:t>14° 8'26.09"N, 43°30'38.27"E.</w:t>
      </w:r>
    </w:p>
  </w:footnote>
  <w:footnote w:id="834">
    <w:p w14:paraId="2119B7D1" w14:textId="5322C436"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UN Humanitarian Coordinator in Yemen, 14 October 2018, Available at: https://reliefweb.int/report/yemen/attacks-passenger-buses-hodeidah-leave-scores-dead-and-injured-enar</w:t>
      </w:r>
    </w:p>
  </w:footnote>
  <w:footnote w:id="835">
    <w:p w14:paraId="79F3E2EC" w14:textId="30E514D0" w:rsidR="00A1624A" w:rsidRPr="00F06B5C" w:rsidRDefault="00A1624A" w:rsidP="00B81240">
      <w:pPr>
        <w:pStyle w:val="FootnoteText"/>
        <w:tabs>
          <w:tab w:val="clear" w:pos="1021"/>
        </w:tabs>
        <w:bidi/>
        <w:ind w:left="851" w:firstLine="0"/>
        <w:jc w:val="both"/>
      </w:pPr>
      <w:r w:rsidRPr="00BC0EB3">
        <w:rPr>
          <w:rStyle w:val="FootnoteReference"/>
          <w:sz w:val="20"/>
        </w:rPr>
        <w:footnoteRef/>
      </w:r>
      <w:r w:rsidRPr="00BC0EB3">
        <w:rPr>
          <w:sz w:val="20"/>
        </w:rPr>
        <w:t xml:space="preserve"> UN Humanitarian Coordinator in Yemen, 14 October 2018, Available at: https://reliefweb.int/report/yemen/attacks-passenger-buses-hodeidah-leave-scores-dead-and-injured-enar.</w:t>
      </w:r>
    </w:p>
  </w:footnote>
  <w:footnote w:id="836">
    <w:p w14:paraId="739FCFA8" w14:textId="707864E6"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موقع الحادثة: </w:t>
      </w:r>
      <w:r w:rsidRPr="00BC0EB3">
        <w:rPr>
          <w:rFonts w:ascii="Traditional Arabic" w:hAnsi="Traditional Arabic" w:cs="Traditional Arabic"/>
          <w:sz w:val="22"/>
          <w:szCs w:val="22"/>
        </w:rPr>
        <w:t>14°37'32.63"N, 43°18'24.27"E.</w:t>
      </w:r>
    </w:p>
  </w:footnote>
  <w:footnote w:id="837">
    <w:p w14:paraId="45CDCBCD" w14:textId="05E24FA4" w:rsidR="00A1624A" w:rsidRPr="00BC0EB3" w:rsidRDefault="00A1624A" w:rsidP="00B81240">
      <w:pPr>
        <w:pStyle w:val="FootnoteText"/>
        <w:tabs>
          <w:tab w:val="clear" w:pos="1021"/>
        </w:tabs>
        <w:bidi/>
        <w:ind w:left="851" w:firstLine="0"/>
        <w:jc w:val="both"/>
        <w:rPr>
          <w:sz w:val="20"/>
        </w:rPr>
      </w:pPr>
      <w:r w:rsidRPr="00BC0EB3">
        <w:rPr>
          <w:rStyle w:val="FootnoteReference"/>
          <w:sz w:val="20"/>
        </w:rPr>
        <w:footnoteRef/>
      </w:r>
      <w:r w:rsidRPr="00BC0EB3">
        <w:rPr>
          <w:sz w:val="20"/>
        </w:rPr>
        <w:t xml:space="preserve"> https://www.reuters.com/article/us-yemen-security-hodeidah/air-strikes-kill-at-least-16-civilians-in-yemens-hodeidah-medics-residents-idUSKCN1MY2HU.</w:t>
      </w:r>
    </w:p>
  </w:footnote>
  <w:footnote w:id="838">
    <w:p w14:paraId="265F806B" w14:textId="5A94C9AE"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الفقرة 13 من البروتوكول الإضافي الثاني، </w:t>
      </w:r>
      <w:r w:rsidRPr="00BC0EB3">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BC0EB3">
        <w:rPr>
          <w:rFonts w:ascii="Traditional Arabic" w:hAnsi="Traditional Arabic" w:cs="Traditional Arabic"/>
          <w:sz w:val="22"/>
          <w:szCs w:val="22"/>
          <w:rtl/>
        </w:rPr>
        <w:t xml:space="preserve">، </w:t>
      </w:r>
      <w:r w:rsidRPr="00BC0EB3">
        <w:rPr>
          <w:rStyle w:val="tlid-translation"/>
          <w:rFonts w:ascii="Traditional Arabic" w:hAnsi="Traditional Arabic" w:cs="Traditional Arabic"/>
          <w:sz w:val="22"/>
          <w:szCs w:val="22"/>
          <w:rtl/>
        </w:rPr>
        <w:t xml:space="preserve">القواعد 1 إلى 10 بالتحديد. </w:t>
      </w:r>
    </w:p>
  </w:footnote>
  <w:footnote w:id="839">
    <w:p w14:paraId="63CAD96A" w14:textId="59EDD364"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Fonts w:ascii="Traditional Arabic" w:hAnsi="Traditional Arabic" w:cs="Traditional Arabic"/>
          <w:sz w:val="22"/>
          <w:szCs w:val="22"/>
          <w:rtl/>
        </w:rPr>
        <w:t xml:space="preserve">أنظر </w:t>
      </w:r>
      <w:r w:rsidRPr="00BC0EB3">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14. </w:t>
      </w:r>
    </w:p>
  </w:footnote>
  <w:footnote w:id="840">
    <w:p w14:paraId="63C4E579" w14:textId="3E84E9F4" w:rsidR="00A1624A" w:rsidRPr="00F06B5C" w:rsidRDefault="00A1624A" w:rsidP="00B81240">
      <w:pPr>
        <w:pStyle w:val="FootnoteText"/>
        <w:tabs>
          <w:tab w:val="clear" w:pos="1021"/>
        </w:tabs>
        <w:bidi/>
        <w:ind w:left="851" w:firstLine="0"/>
        <w:jc w:val="both"/>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15.</w:t>
      </w:r>
      <w:r>
        <w:rPr>
          <w:rStyle w:val="tlid-translation"/>
          <w:rFonts w:hint="cs"/>
          <w:rtl/>
        </w:rPr>
        <w:t xml:space="preserve"> </w:t>
      </w:r>
    </w:p>
  </w:footnote>
  <w:footnote w:id="841">
    <w:p w14:paraId="64A900C2" w14:textId="50B15EFD" w:rsidR="00A1624A" w:rsidRPr="00BC0EB3"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BC0EB3">
        <w:rPr>
          <w:rStyle w:val="FootnoteReference"/>
          <w:rFonts w:ascii="Traditional Arabic" w:hAnsi="Traditional Arabic" w:cs="Traditional Arabic"/>
          <w:sz w:val="22"/>
          <w:szCs w:val="22"/>
        </w:rPr>
        <w:footnoteRef/>
      </w:r>
      <w:r w:rsidRPr="00BC0EB3">
        <w:rPr>
          <w:rFonts w:ascii="Traditional Arabic" w:hAnsi="Traditional Arabic" w:cs="Traditional Arabic"/>
          <w:sz w:val="22"/>
          <w:szCs w:val="22"/>
        </w:rPr>
        <w:t xml:space="preserve"> </w:t>
      </w:r>
      <w:r w:rsidRPr="00BC0EB3">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BC0EB3">
        <w:rPr>
          <w:rFonts w:ascii="Traditional Arabic" w:hAnsi="Traditional Arabic" w:cs="Traditional Arabic"/>
          <w:sz w:val="22"/>
          <w:szCs w:val="22"/>
          <w:rtl/>
        </w:rPr>
        <w:t xml:space="preserve">، </w:t>
      </w:r>
      <w:r w:rsidRPr="00BC0EB3">
        <w:rPr>
          <w:rStyle w:val="tlid-translation"/>
          <w:rFonts w:ascii="Traditional Arabic" w:hAnsi="Traditional Arabic" w:cs="Traditional Arabic"/>
          <w:sz w:val="22"/>
          <w:szCs w:val="22"/>
          <w:rtl/>
        </w:rPr>
        <w:t xml:space="preserve">القاعدة 156. </w:t>
      </w:r>
    </w:p>
  </w:footnote>
  <w:footnote w:id="842">
    <w:p w14:paraId="39D247F1" w14:textId="4DC5856C"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التقريبي للحادثة هو: </w:t>
      </w:r>
      <w:r w:rsidRPr="000D3F75">
        <w:rPr>
          <w:rFonts w:ascii="Traditional Arabic" w:hAnsi="Traditional Arabic" w:cs="Traditional Arabic"/>
          <w:sz w:val="22"/>
          <w:szCs w:val="22"/>
        </w:rPr>
        <w:t xml:space="preserve">14°45'14.13"N, 42°57'40.54"E.  </w:t>
      </w:r>
      <w:r w:rsidRPr="000D3F75">
        <w:rPr>
          <w:rFonts w:ascii="Traditional Arabic" w:hAnsi="Traditional Arabic" w:cs="Traditional Arabic"/>
          <w:sz w:val="22"/>
          <w:szCs w:val="22"/>
          <w:rtl/>
        </w:rPr>
        <w:t xml:space="preserve"> </w:t>
      </w:r>
    </w:p>
  </w:footnote>
  <w:footnote w:id="843">
    <w:p w14:paraId="5B5ABB3A" w14:textId="5566EC14"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موقع الحادثة: </w:t>
      </w:r>
      <w:r w:rsidRPr="00681398">
        <w:rPr>
          <w:rFonts w:ascii="Traditional Arabic" w:hAnsi="Traditional Arabic" w:cs="Traditional Arabic"/>
          <w:sz w:val="22"/>
          <w:szCs w:val="22"/>
        </w:rPr>
        <w:t>13.819109, 43.248543</w:t>
      </w:r>
    </w:p>
  </w:footnote>
  <w:footnote w:id="844">
    <w:p w14:paraId="431A608D" w14:textId="09400BCE"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الموقع: </w:t>
      </w:r>
      <w:r w:rsidRPr="00681398">
        <w:rPr>
          <w:rFonts w:ascii="Traditional Arabic" w:hAnsi="Traditional Arabic" w:cs="Traditional Arabic"/>
          <w:sz w:val="22"/>
          <w:szCs w:val="22"/>
        </w:rPr>
        <w:t>13°48'59.78"N, 43°15'15.26"E</w:t>
      </w:r>
    </w:p>
  </w:footnote>
  <w:footnote w:id="845">
    <w:p w14:paraId="1201C93E" w14:textId="39FEACA2"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tl/>
        </w:rPr>
        <w:t xml:space="preserve"> أنظر الفقرة </w:t>
      </w:r>
      <w:r w:rsidRPr="00681398">
        <w:rPr>
          <w:rFonts w:ascii="Traditional Arabic" w:hAnsi="Traditional Arabic" w:cs="Traditional Arabic"/>
          <w:sz w:val="22"/>
          <w:szCs w:val="22"/>
        </w:rPr>
        <w:t>13(2)</w:t>
      </w:r>
      <w:r w:rsidRPr="00681398">
        <w:rPr>
          <w:rFonts w:ascii="Traditional Arabic" w:hAnsi="Traditional Arabic" w:cs="Traditional Arabic"/>
          <w:sz w:val="22"/>
          <w:szCs w:val="22"/>
          <w:rtl/>
        </w:rPr>
        <w:t xml:space="preserve"> من البروتوكول الإضافي الثاني، </w:t>
      </w:r>
      <w:r w:rsidRPr="00681398">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11-12. </w:t>
      </w:r>
    </w:p>
  </w:footnote>
  <w:footnote w:id="846">
    <w:p w14:paraId="6A7F7350" w14:textId="12DCD1C8"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12. </w:t>
      </w:r>
    </w:p>
  </w:footnote>
  <w:footnote w:id="847">
    <w:p w14:paraId="0BDD74CE" w14:textId="3FCEE490" w:rsidR="00A1624A" w:rsidRPr="00E16B24" w:rsidRDefault="00A1624A" w:rsidP="00B81240">
      <w:pPr>
        <w:pStyle w:val="FootnoteText"/>
        <w:tabs>
          <w:tab w:val="clear" w:pos="1021"/>
        </w:tabs>
        <w:bidi/>
        <w:ind w:left="851" w:firstLine="0"/>
        <w:jc w:val="both"/>
        <w:rPr>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أنظر الفقرة </w:t>
      </w:r>
      <w:r w:rsidRPr="00681398">
        <w:rPr>
          <w:rFonts w:ascii="Traditional Arabic" w:hAnsi="Traditional Arabic" w:cs="Traditional Arabic"/>
          <w:sz w:val="22"/>
          <w:szCs w:val="22"/>
        </w:rPr>
        <w:t>13(1)</w:t>
      </w:r>
      <w:r w:rsidRPr="00681398">
        <w:rPr>
          <w:rFonts w:ascii="Traditional Arabic" w:hAnsi="Traditional Arabic" w:cs="Traditional Arabic"/>
          <w:sz w:val="22"/>
          <w:szCs w:val="22"/>
          <w:rtl/>
        </w:rPr>
        <w:t xml:space="preserve"> من البروتوكول الإضافي الثاني، و</w:t>
      </w:r>
      <w:r w:rsidRPr="00681398">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23.</w:t>
      </w:r>
      <w:r>
        <w:rPr>
          <w:rStyle w:val="tlid-translation"/>
          <w:rFonts w:hint="cs"/>
          <w:rtl/>
        </w:rPr>
        <w:t xml:space="preserve"> </w:t>
      </w:r>
    </w:p>
  </w:footnote>
  <w:footnote w:id="848">
    <w:p w14:paraId="5214463B" w14:textId="4FA1986F"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156. </w:t>
      </w:r>
    </w:p>
  </w:footnote>
  <w:footnote w:id="849">
    <w:p w14:paraId="14E21C32" w14:textId="37BC465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14.168N, 43.287E</w:t>
      </w:r>
    </w:p>
  </w:footnote>
  <w:footnote w:id="850">
    <w:p w14:paraId="5FE690DA" w14:textId="3C62798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موقع الحادثة في الملف أزيل لأغراض الحماية. </w:t>
      </w:r>
    </w:p>
  </w:footnote>
  <w:footnote w:id="851">
    <w:p w14:paraId="63D22217" w14:textId="2447B7D1"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موقع الحادثة في الملف أزيل لأغراض الحماية. </w:t>
      </w:r>
      <w:r w:rsidRPr="000D3F75">
        <w:rPr>
          <w:rFonts w:ascii="Traditional Arabic" w:hAnsi="Traditional Arabic" w:cs="Traditional Arabic"/>
          <w:sz w:val="22"/>
          <w:szCs w:val="22"/>
        </w:rPr>
        <w:t xml:space="preserve"> </w:t>
      </w:r>
    </w:p>
  </w:footnote>
  <w:footnote w:id="852">
    <w:p w14:paraId="7B528C78" w14:textId="4D84FEC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الفقرة </w:t>
      </w:r>
      <w:r w:rsidRPr="000D3F75">
        <w:rPr>
          <w:rFonts w:ascii="Traditional Arabic" w:hAnsi="Traditional Arabic" w:cs="Traditional Arabic"/>
          <w:sz w:val="22"/>
          <w:szCs w:val="22"/>
        </w:rPr>
        <w:t>13(2)</w:t>
      </w:r>
      <w:r w:rsidRPr="000D3F75">
        <w:rPr>
          <w:rFonts w:ascii="Traditional Arabic" w:hAnsi="Traditional Arabic" w:cs="Traditional Arabic"/>
          <w:sz w:val="22"/>
          <w:szCs w:val="22"/>
          <w:rtl/>
        </w:rPr>
        <w:t xml:space="preserve"> من البروتوكول الإضافي الثاني،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القواعد 11-12. </w:t>
      </w:r>
    </w:p>
  </w:footnote>
  <w:footnote w:id="853">
    <w:p w14:paraId="47745235" w14:textId="3CCB3EF9"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12. </w:t>
      </w:r>
    </w:p>
  </w:footnote>
  <w:footnote w:id="854">
    <w:p w14:paraId="56B1A5BF" w14:textId="28896DEE"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tl/>
        </w:rPr>
        <w:t xml:space="preserve">أنظر الفقرة </w:t>
      </w:r>
      <w:r w:rsidRPr="000D3F75">
        <w:rPr>
          <w:rFonts w:ascii="Traditional Arabic" w:hAnsi="Traditional Arabic" w:cs="Traditional Arabic"/>
          <w:sz w:val="22"/>
          <w:szCs w:val="22"/>
        </w:rPr>
        <w:t xml:space="preserve"> 13(1)</w:t>
      </w:r>
      <w:r w:rsidRPr="000D3F75">
        <w:rPr>
          <w:rFonts w:ascii="Traditional Arabic" w:hAnsi="Traditional Arabic" w:cs="Traditional Arabic"/>
          <w:sz w:val="22"/>
          <w:szCs w:val="22"/>
          <w:rtl/>
        </w:rPr>
        <w:t xml:space="preserve">من البروتوكول الإضافي الثاني،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23. </w:t>
      </w:r>
    </w:p>
  </w:footnote>
  <w:footnote w:id="855">
    <w:p w14:paraId="0EAADFA2" w14:textId="22514668" w:rsidR="00A1624A" w:rsidRPr="008622F4"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156.</w:t>
      </w:r>
      <w:r>
        <w:rPr>
          <w:rStyle w:val="tlid-translation"/>
          <w:rFonts w:hint="cs"/>
          <w:rtl/>
        </w:rPr>
        <w:t xml:space="preserve"> </w:t>
      </w:r>
    </w:p>
  </w:footnote>
  <w:footnote w:id="856">
    <w:p w14:paraId="67699736" w14:textId="5D12D0CC"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r w:rsidRPr="000D3F75">
        <w:rPr>
          <w:rFonts w:ascii="Traditional Arabic" w:hAnsi="Traditional Arabic" w:cs="Traditional Arabic"/>
          <w:sz w:val="22"/>
          <w:szCs w:val="22"/>
          <w:rtl/>
        </w:rPr>
        <w:t xml:space="preserve"> </w:t>
      </w:r>
    </w:p>
  </w:footnote>
  <w:footnote w:id="857">
    <w:p w14:paraId="19043F04" w14:textId="127F05E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14°47'20.67"N, 43° 0'9.09"E</w:t>
      </w:r>
    </w:p>
  </w:footnote>
  <w:footnote w:id="858">
    <w:p w14:paraId="05D4887A" w14:textId="40433E6F"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59">
    <w:p w14:paraId="0BAD7003" w14:textId="7D645606" w:rsidR="00A1624A" w:rsidRPr="00E96037"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الفقرة </w:t>
      </w:r>
      <w:r w:rsidRPr="000D3F75">
        <w:rPr>
          <w:rFonts w:ascii="Traditional Arabic" w:hAnsi="Traditional Arabic" w:cs="Traditional Arabic"/>
          <w:sz w:val="22"/>
          <w:szCs w:val="22"/>
        </w:rPr>
        <w:t>11(1)</w:t>
      </w:r>
      <w:r w:rsidRPr="000D3F75">
        <w:rPr>
          <w:rFonts w:ascii="Traditional Arabic" w:hAnsi="Traditional Arabic" w:cs="Traditional Arabic"/>
          <w:sz w:val="22"/>
          <w:szCs w:val="22"/>
          <w:rtl/>
        </w:rPr>
        <w:t xml:space="preserve"> من البروتوكول الإضافي الثاني.</w:t>
      </w:r>
      <w:r>
        <w:rPr>
          <w:rFonts w:hint="cs"/>
          <w:rtl/>
        </w:rPr>
        <w:t xml:space="preserve"> </w:t>
      </w:r>
    </w:p>
  </w:footnote>
  <w:footnote w:id="860">
    <w:p w14:paraId="560C1A4C" w14:textId="6E7ED1E8" w:rsidR="00A1624A" w:rsidRPr="000D3F75" w:rsidRDefault="00A1624A" w:rsidP="00B81240">
      <w:pPr>
        <w:pStyle w:val="FootnoteText"/>
        <w:tabs>
          <w:tab w:val="clear" w:pos="1021"/>
        </w:tabs>
        <w:bidi/>
        <w:ind w:left="851" w:firstLine="0"/>
        <w:jc w:val="both"/>
        <w:rPr>
          <w:sz w:val="20"/>
          <w:rtl/>
          <w:lang w:bidi="ar-JO"/>
        </w:rPr>
      </w:pPr>
      <w:r w:rsidRPr="000D3F75">
        <w:rPr>
          <w:rStyle w:val="FootnoteReference"/>
          <w:sz w:val="20"/>
        </w:rPr>
        <w:footnoteRef/>
      </w:r>
      <w:r w:rsidRPr="000D3F75">
        <w:rPr>
          <w:sz w:val="20"/>
        </w:rPr>
        <w:t xml:space="preserve"> UNESCO, State of Conservation City of Zabid. Available at: http://whc.unesco.org/en/soc/3801/</w:t>
      </w:r>
    </w:p>
  </w:footnote>
  <w:footnote w:id="861">
    <w:p w14:paraId="148A0505" w14:textId="07AEFE17"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المرجع نفسه. </w:t>
      </w:r>
    </w:p>
  </w:footnote>
  <w:footnote w:id="862">
    <w:p w14:paraId="40E56470" w14:textId="619191B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3">
    <w:p w14:paraId="30D4C4F9" w14:textId="7BF54CB9" w:rsidR="00A1624A" w:rsidRPr="000D3F75" w:rsidRDefault="00A1624A" w:rsidP="00B81240">
      <w:pPr>
        <w:pStyle w:val="FootnoteText"/>
        <w:tabs>
          <w:tab w:val="clear" w:pos="1021"/>
        </w:tabs>
        <w:bidi/>
        <w:ind w:left="851" w:firstLine="0"/>
        <w:jc w:val="both"/>
        <w:rPr>
          <w:rFonts w:ascii="Traditional Arabic" w:hAnsi="Traditional Arabic" w:cs="Traditional Arabic"/>
          <w:sz w:val="20"/>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الموقع: </w:t>
      </w:r>
      <w:r w:rsidRPr="000D3F75">
        <w:rPr>
          <w:rFonts w:ascii="Traditional Arabic" w:hAnsi="Traditional Arabic" w:cs="Traditional Arabic"/>
          <w:sz w:val="22"/>
          <w:szCs w:val="22"/>
        </w:rPr>
        <w:t>14° 6'10.05"N, 43° 6'0.88"E</w:t>
      </w:r>
    </w:p>
  </w:footnote>
  <w:footnote w:id="864">
    <w:p w14:paraId="32B2A680" w14:textId="2A219FD9" w:rsidR="00A1624A" w:rsidRPr="000D3F75" w:rsidRDefault="00A1624A" w:rsidP="00B81240">
      <w:pPr>
        <w:pStyle w:val="FootnoteText"/>
        <w:tabs>
          <w:tab w:val="clear" w:pos="1021"/>
        </w:tabs>
        <w:bidi/>
        <w:ind w:left="851" w:firstLine="0"/>
        <w:jc w:val="both"/>
        <w:rPr>
          <w:sz w:val="20"/>
          <w:rtl/>
          <w:lang w:bidi="ar-JO"/>
        </w:rPr>
      </w:pPr>
      <w:r w:rsidRPr="000D3F75">
        <w:rPr>
          <w:rStyle w:val="FootnoteReference"/>
          <w:sz w:val="20"/>
        </w:rPr>
        <w:footnoteRef/>
      </w:r>
      <w:r w:rsidRPr="000D3F75">
        <w:rPr>
          <w:sz w:val="20"/>
        </w:rPr>
        <w:t xml:space="preserve"> UNESCO “UNESCO condemns the intentional destruction of a historical mosque and mausoleum in the Hodeida Governorate of Yemen” 30 October 2018. Available at: http://whc.unesco.org/en/news/1895/</w:t>
      </w:r>
    </w:p>
  </w:footnote>
  <w:footnote w:id="865">
    <w:p w14:paraId="281B3893" w14:textId="5555B2D9"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6">
    <w:p w14:paraId="4E342437" w14:textId="7FCAD195"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7">
    <w:p w14:paraId="128FB73D" w14:textId="3B4E750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8">
    <w:p w14:paraId="53A7770C" w14:textId="4FBAB06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69">
    <w:p w14:paraId="7A1652CE" w14:textId="05105AAF" w:rsidR="00A1624A" w:rsidRPr="003548F7"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0">
    <w:p w14:paraId="1F3EF668" w14:textId="170315B3"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أنظر </w:t>
      </w:r>
      <w:r w:rsidRPr="000D3F7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38. </w:t>
      </w:r>
    </w:p>
  </w:footnote>
  <w:footnote w:id="871">
    <w:p w14:paraId="67B937DC" w14:textId="469C246A"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أنظر الفقرة 19، اتفاقية لاهاي لعام 1954 و</w:t>
      </w:r>
      <w:r w:rsidRPr="000D3F75">
        <w:rPr>
          <w:rStyle w:val="tlid-translation"/>
          <w:rFonts w:ascii="Traditional Arabic" w:hAnsi="Traditional Arabic" w:cs="Traditional Arabic"/>
          <w:sz w:val="22"/>
          <w:szCs w:val="22"/>
          <w:rtl/>
        </w:rPr>
        <w:t xml:space="preserve">بروتوكولها الإضافي الثاني (1999). </w:t>
      </w:r>
    </w:p>
  </w:footnote>
  <w:footnote w:id="872">
    <w:p w14:paraId="40C7EDFC" w14:textId="41FFB607" w:rsidR="00A1624A" w:rsidRPr="00A27F7F"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أنظر الفقرة </w:t>
      </w:r>
      <w:r w:rsidRPr="000D3F75">
        <w:rPr>
          <w:rFonts w:ascii="Traditional Arabic" w:hAnsi="Traditional Arabic" w:cs="Traditional Arabic"/>
          <w:sz w:val="22"/>
          <w:szCs w:val="22"/>
          <w:lang w:val="en-US"/>
        </w:rPr>
        <w:t>8 2.(e)(iv)</w:t>
      </w:r>
      <w:r w:rsidRPr="000D3F75">
        <w:rPr>
          <w:rFonts w:ascii="Traditional Arabic" w:hAnsi="Traditional Arabic" w:cs="Traditional Arabic"/>
          <w:sz w:val="22"/>
          <w:szCs w:val="22"/>
          <w:rtl/>
          <w:lang w:val="en-US"/>
        </w:rPr>
        <w:t xml:space="preserve"> من نظام </w:t>
      </w:r>
      <w:r w:rsidRPr="000D3F75">
        <w:rPr>
          <w:rStyle w:val="tlid-translation"/>
          <w:rFonts w:ascii="Traditional Arabic" w:hAnsi="Traditional Arabic" w:cs="Traditional Arabic"/>
          <w:sz w:val="22"/>
          <w:szCs w:val="22"/>
          <w:rtl/>
        </w:rPr>
        <w:t>روما الأساسي حول القانون الدولي الإنساني، القاعدة 38.</w:t>
      </w:r>
      <w:r>
        <w:rPr>
          <w:rStyle w:val="tlid-translation"/>
          <w:rFonts w:hint="cs"/>
          <w:sz w:val="20"/>
          <w:rtl/>
        </w:rPr>
        <w:t xml:space="preserve"> </w:t>
      </w:r>
    </w:p>
  </w:footnote>
  <w:footnote w:id="873">
    <w:p w14:paraId="3AFF0703" w14:textId="0BFB05F6"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مصادر سرية في الملف. الخريطة أعلاه تظهر الوقائع التي تم التحقيق فيها والتي كانت عينة من هذه الأحداث. </w:t>
      </w:r>
    </w:p>
  </w:footnote>
  <w:footnote w:id="874">
    <w:p w14:paraId="48F4A902" w14:textId="3D370C2B"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5">
    <w:p w14:paraId="109A031C" w14:textId="5B44A1D4"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tl/>
        </w:rPr>
        <w:t xml:space="preserve"> موقع الحادثة في الملف أزيل لأغراض الحماية.</w:t>
      </w:r>
    </w:p>
  </w:footnote>
  <w:footnote w:id="876">
    <w:p w14:paraId="7546DAD5" w14:textId="56DB67A8" w:rsidR="00A1624A" w:rsidRPr="000D3F75" w:rsidRDefault="00A1624A" w:rsidP="00B81240">
      <w:pPr>
        <w:pStyle w:val="FootnoteText"/>
        <w:tabs>
          <w:tab w:val="clear" w:pos="1021"/>
        </w:tabs>
        <w:bidi/>
        <w:ind w:left="851" w:firstLine="0"/>
        <w:jc w:val="both"/>
        <w:rPr>
          <w:rFonts w:ascii="Traditional Arabic" w:hAnsi="Traditional Arabic" w:cs="Traditional Arabic"/>
          <w:sz w:val="22"/>
          <w:szCs w:val="22"/>
          <w:lang w:val="en-US"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7">
    <w:p w14:paraId="2B6328F8" w14:textId="5AA81C16" w:rsidR="00A1624A" w:rsidRPr="000E4A65" w:rsidRDefault="00A1624A" w:rsidP="00B81240">
      <w:pPr>
        <w:pStyle w:val="FootnoteText"/>
        <w:tabs>
          <w:tab w:val="clear" w:pos="1021"/>
        </w:tabs>
        <w:bidi/>
        <w:ind w:left="851"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78">
    <w:p w14:paraId="59CE423F" w14:textId="04BA5E95" w:rsidR="00A1624A" w:rsidRPr="000D3F75" w:rsidRDefault="00A1624A" w:rsidP="00B81240">
      <w:pPr>
        <w:pStyle w:val="FootnoteText"/>
        <w:tabs>
          <w:tab w:val="clear" w:pos="1021"/>
        </w:tabs>
        <w:bidi/>
        <w:ind w:left="81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81. </w:t>
      </w:r>
    </w:p>
  </w:footnote>
  <w:footnote w:id="879">
    <w:p w14:paraId="195D407B" w14:textId="0B9EAB14" w:rsidR="00A1624A" w:rsidRPr="000D3F75" w:rsidRDefault="00A1624A" w:rsidP="00B81240">
      <w:pPr>
        <w:pStyle w:val="FootnoteText"/>
        <w:tabs>
          <w:tab w:val="clear" w:pos="1021"/>
        </w:tabs>
        <w:bidi/>
        <w:ind w:left="81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0">
    <w:p w14:paraId="79F6A934" w14:textId="65247156" w:rsidR="00A1624A" w:rsidRPr="000E4A65" w:rsidRDefault="00A1624A" w:rsidP="00B81240">
      <w:pPr>
        <w:pStyle w:val="FootnoteText"/>
        <w:tabs>
          <w:tab w:val="clear" w:pos="1021"/>
        </w:tabs>
        <w:bidi/>
        <w:ind w:left="819" w:firstLine="0"/>
        <w:jc w:val="both"/>
        <w:rPr>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881">
    <w:p w14:paraId="2EB3733A" w14:textId="72A0F08D"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 xml:space="preserve">لا يزال التحالف يعيق عمل وسائل الإعلام ومنظمات حقوق الإنسان الدولية. منذ بداية العام 2017، على الأقل، لم يسمح التحالف، الذي يعطي الضوء الأخضر لبيانات رحلات الأمم المتحدة إلى اليمن، بسفر منظمات حقوق الإنسان أو الإعلام على متن رحلات الأمم المتحدة مطبقًا قاعدة </w:t>
      </w:r>
      <w:r w:rsidRPr="000D3F75">
        <w:rPr>
          <w:rFonts w:ascii="Traditional Arabic" w:hAnsi="Traditional Arabic" w:cs="Traditional Arabic"/>
          <w:sz w:val="22"/>
          <w:szCs w:val="22"/>
          <w:rtl/>
          <w:lang w:bidi="ar-YE"/>
        </w:rPr>
        <w:t xml:space="preserve">أن رحلات </w:t>
      </w:r>
      <w:r w:rsidRPr="000D3F75">
        <w:rPr>
          <w:rFonts w:ascii="Traditional Arabic" w:hAnsi="Traditional Arabic" w:cs="Traditional Arabic"/>
          <w:sz w:val="22"/>
          <w:szCs w:val="22"/>
          <w:rtl/>
        </w:rPr>
        <w:t xml:space="preserve">دائرة الأمم المتحدة لخدمات النقل الجوي هي للمساعدة الإنسانية وهي فقط لموظفي الأمم المتحدة والمنظمات الإنسانية. </w:t>
      </w:r>
      <w:r w:rsidRPr="000D3F75">
        <w:rPr>
          <w:rStyle w:val="tlid-translation"/>
          <w:rFonts w:ascii="Traditional Arabic" w:hAnsi="Traditional Arabic" w:cs="Traditional Arabic"/>
          <w:sz w:val="22"/>
          <w:szCs w:val="22"/>
          <w:rtl/>
        </w:rPr>
        <w:t xml:space="preserve">بالتالي، فإن المنظمات غير الحكومية الدولية العاملة في مجال حقوق الإنسان والصحفيين الدوليين لديهم فقط خيار القيام برحلات تجارية إلى المناطق الخاضعة لسيطرة الحكومة ثم السفر بالسيارة إلى أجزاء أخرى من اليمن، بما في ذلك تلك الخاضعة لسيطرة الحوثي. بالنظر إلى الطبيعة غير الآمنة للطرق، فإن هذا الإجراء من قبل التحالف يعيق المراقبة الدولية الهادفة للوضع في اليمن. </w:t>
      </w:r>
      <w:r w:rsidRPr="000D3F75">
        <w:rPr>
          <w:rFonts w:ascii="Traditional Arabic" w:hAnsi="Traditional Arabic" w:cs="Traditional Arabic"/>
          <w:sz w:val="22"/>
          <w:szCs w:val="22"/>
        </w:rPr>
        <w:t xml:space="preserve">  </w:t>
      </w:r>
    </w:p>
  </w:footnote>
  <w:footnote w:id="882">
    <w:p w14:paraId="6802E1DC" w14:textId="0D187635"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3">
    <w:p w14:paraId="1CE9B0EE" w14:textId="2FA19E1A"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Style w:val="preferred"/>
          <w:rFonts w:ascii="Traditional Arabic" w:hAnsi="Traditional Arabic" w:cs="Traditional Arabic"/>
          <w:sz w:val="22"/>
          <w:szCs w:val="22"/>
          <w:rtl/>
        </w:rPr>
        <w:t>العهد الدولي الخاص بالحقوق المدنية والسياسية، المادة 19، أنظر أيضًا التعليق العام رقم 34 لللجنة المعنية بحقوق الإنسان الفقرات 21-36.</w:t>
      </w:r>
    </w:p>
  </w:footnote>
  <w:footnote w:id="884">
    <w:p w14:paraId="0D2E7AA8" w14:textId="72F86017"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5">
    <w:p w14:paraId="4F2136BE" w14:textId="204FB4FC" w:rsidR="00A1624A" w:rsidRPr="000D3F75" w:rsidRDefault="00A1624A" w:rsidP="00B81240">
      <w:pPr>
        <w:pStyle w:val="FootnoteText"/>
        <w:tabs>
          <w:tab w:val="clear" w:pos="1021"/>
        </w:tabs>
        <w:bidi/>
        <w:ind w:left="909" w:firstLine="0"/>
        <w:jc w:val="both"/>
        <w:rPr>
          <w:rFonts w:ascii="Traditional Arabic" w:hAnsi="Traditional Arabic" w:cs="Traditional Arabic"/>
          <w:sz w:val="22"/>
          <w:szCs w:val="22"/>
          <w:rtl/>
          <w:lang w:bidi="ar-JO"/>
        </w:rPr>
      </w:pPr>
      <w:r w:rsidRPr="000D3F75">
        <w:rPr>
          <w:rStyle w:val="FootnoteReference"/>
          <w:rFonts w:ascii="Traditional Arabic" w:hAnsi="Traditional Arabic" w:cs="Traditional Arabic"/>
          <w:sz w:val="22"/>
          <w:szCs w:val="22"/>
        </w:rPr>
        <w:footnoteRef/>
      </w:r>
      <w:r w:rsidRPr="000D3F75">
        <w:rPr>
          <w:rFonts w:ascii="Traditional Arabic" w:hAnsi="Traditional Arabic" w:cs="Traditional Arabic"/>
          <w:sz w:val="22"/>
          <w:szCs w:val="22"/>
        </w:rPr>
        <w:t xml:space="preserve"> </w:t>
      </w:r>
      <w:r w:rsidRPr="000D3F75">
        <w:rPr>
          <w:rFonts w:ascii="Traditional Arabic" w:hAnsi="Traditional Arabic" w:cs="Traditional Arabic"/>
          <w:sz w:val="22"/>
          <w:szCs w:val="22"/>
          <w:rtl/>
        </w:rPr>
        <w:t>مصادر سريّة في الملف</w:t>
      </w:r>
      <w:r w:rsidRPr="000D3F75">
        <w:rPr>
          <w:rFonts w:ascii="Traditional Arabic" w:hAnsi="Traditional Arabic" w:cs="Traditional Arabic"/>
          <w:sz w:val="22"/>
          <w:szCs w:val="22"/>
        </w:rPr>
        <w:t>.</w:t>
      </w:r>
    </w:p>
  </w:footnote>
  <w:footnote w:id="886">
    <w:p w14:paraId="34032961" w14:textId="53C24D7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7">
    <w:p w14:paraId="59066BCB" w14:textId="5E59ECF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8">
    <w:p w14:paraId="319BE882" w14:textId="7EA4824D"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89">
    <w:p w14:paraId="2EE21F5B" w14:textId="5D148D88"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0">
    <w:p w14:paraId="6C3E9954" w14:textId="4F6AB8C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1">
    <w:p w14:paraId="1EAB7FF4" w14:textId="2F3E8E2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2">
    <w:p w14:paraId="1722A96D" w14:textId="1EF6F03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3">
    <w:p w14:paraId="41B38ED3" w14:textId="6C5F82ED"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4">
    <w:p w14:paraId="1303C575" w14:textId="5194222B"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5">
    <w:p w14:paraId="12FB6277" w14:textId="3E81ABBC"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6">
    <w:p w14:paraId="14F122CC" w14:textId="03BB1FDA" w:rsidR="00A1624A" w:rsidRPr="00451544"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7">
    <w:p w14:paraId="5EF28AB9" w14:textId="6A26C4A9"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8">
    <w:p w14:paraId="2C892916" w14:textId="211D3A6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899">
    <w:p w14:paraId="71ECB95E" w14:textId="6E3A563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0">
    <w:p w14:paraId="48B38DF6" w14:textId="0852525A"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1">
    <w:p w14:paraId="19A7C473" w14:textId="2E229C21"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2">
    <w:p w14:paraId="629A1E46" w14:textId="077C281C"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3">
    <w:p w14:paraId="399D5917" w14:textId="591DA623"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4">
    <w:p w14:paraId="256675EC" w14:textId="72EBA2CE"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5">
    <w:p w14:paraId="47659439" w14:textId="3C8D98B5"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6">
    <w:p w14:paraId="01A69F61" w14:textId="02E9CA5B"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7">
    <w:p w14:paraId="54F579D9" w14:textId="3469FA32"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8">
    <w:p w14:paraId="21111803" w14:textId="7C139F3A" w:rsidR="00A1624A" w:rsidRPr="004E7D40"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09">
    <w:p w14:paraId="04B1EE15" w14:textId="3A841874"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من </w:t>
      </w:r>
      <w:r w:rsidRPr="00802EF5">
        <w:rPr>
          <w:rStyle w:val="preferred"/>
          <w:rFonts w:ascii="Traditional Arabic" w:hAnsi="Traditional Arabic" w:cs="Traditional Arabic"/>
          <w:sz w:val="22"/>
          <w:szCs w:val="22"/>
          <w:rtl/>
        </w:rPr>
        <w:t xml:space="preserve">العهد الدولي الخاص بالحقوق المدنية والسياسية والمادة 1 من الإتفاقية الدولية لحماية جميع الأشخاص من الاختفاء القسري </w:t>
      </w:r>
      <w:r w:rsidRPr="00802EF5">
        <w:rPr>
          <w:rFonts w:ascii="Traditional Arabic" w:hAnsi="Traditional Arabic" w:cs="Traditional Arabic"/>
          <w:sz w:val="22"/>
          <w:szCs w:val="22"/>
          <w:lang w:val="en-US"/>
        </w:rPr>
        <w:t>(CED)</w:t>
      </w:r>
      <w:r w:rsidRPr="00802EF5">
        <w:rPr>
          <w:rFonts w:ascii="Traditional Arabic" w:hAnsi="Traditional Arabic" w:cs="Traditional Arabic"/>
          <w:sz w:val="22"/>
          <w:szCs w:val="22"/>
          <w:rtl/>
          <w:lang w:val="en-US"/>
        </w:rPr>
        <w:t xml:space="preserve">، أنظر </w:t>
      </w:r>
      <w:r w:rsidRPr="00802EF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802EF5">
        <w:rPr>
          <w:rFonts w:ascii="Traditional Arabic" w:hAnsi="Traditional Arabic" w:cs="Traditional Arabic"/>
          <w:sz w:val="22"/>
          <w:szCs w:val="22"/>
          <w:rtl/>
        </w:rPr>
        <w:t xml:space="preserve">، </w:t>
      </w:r>
      <w:r w:rsidRPr="00802EF5">
        <w:rPr>
          <w:rStyle w:val="tlid-translation"/>
          <w:rFonts w:ascii="Traditional Arabic" w:hAnsi="Traditional Arabic" w:cs="Traditional Arabic"/>
          <w:sz w:val="22"/>
          <w:szCs w:val="22"/>
          <w:rtl/>
        </w:rPr>
        <w:t xml:space="preserve">القاعدة 98. </w:t>
      </w:r>
    </w:p>
  </w:footnote>
  <w:footnote w:id="910">
    <w:p w14:paraId="08D69228" w14:textId="74967479"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7 من </w:t>
      </w:r>
      <w:r w:rsidRPr="00802EF5">
        <w:rPr>
          <w:rStyle w:val="preferred"/>
          <w:rFonts w:ascii="Traditional Arabic" w:hAnsi="Traditional Arabic" w:cs="Traditional Arabic"/>
          <w:sz w:val="22"/>
          <w:szCs w:val="22"/>
          <w:rtl/>
        </w:rPr>
        <w:t xml:space="preserve">العهد الدولي الخاص بالحقوق المدنية والسياسية، أنظر اتفاقية مناهضة التعذيب وغيره من ضروب المعاملة أو العقوبة القاسية أو اللاإنسانية أو المهينة، المادة 3 المشتركة من اتفاقيات جنيف، المادة 4 من </w:t>
      </w:r>
      <w:r w:rsidRPr="00802EF5">
        <w:rPr>
          <w:rStyle w:val="tlid-translation"/>
          <w:rFonts w:ascii="Traditional Arabic" w:hAnsi="Traditional Arabic" w:cs="Traditional Arabic"/>
          <w:sz w:val="22"/>
          <w:szCs w:val="22"/>
          <w:rtl/>
        </w:rPr>
        <w:t xml:space="preserve">البروتوكول الإضافي الثاني، </w:t>
      </w:r>
      <w:r w:rsidRPr="00802EF5">
        <w:rPr>
          <w:rFonts w:ascii="Traditional Arabic" w:hAnsi="Traditional Arabic" w:cs="Traditional Arabic"/>
          <w:sz w:val="22"/>
          <w:szCs w:val="22"/>
          <w:rtl/>
        </w:rPr>
        <w:t xml:space="preserve">أنظر </w:t>
      </w:r>
      <w:r w:rsidRPr="00802EF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90.  </w:t>
      </w:r>
      <w:r w:rsidRPr="00802EF5">
        <w:rPr>
          <w:rStyle w:val="preferred"/>
          <w:rFonts w:ascii="Traditional Arabic" w:hAnsi="Traditional Arabic" w:cs="Traditional Arabic"/>
          <w:sz w:val="22"/>
          <w:szCs w:val="22"/>
          <w:rtl/>
        </w:rPr>
        <w:t xml:space="preserve"> </w:t>
      </w:r>
    </w:p>
  </w:footnote>
  <w:footnote w:id="911">
    <w:p w14:paraId="4628DD6D" w14:textId="69399961"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و14 من </w:t>
      </w:r>
      <w:r w:rsidRPr="00802EF5">
        <w:rPr>
          <w:rStyle w:val="preferred"/>
          <w:rFonts w:ascii="Traditional Arabic" w:hAnsi="Traditional Arabic" w:cs="Traditional Arabic"/>
          <w:sz w:val="22"/>
          <w:szCs w:val="22"/>
          <w:rtl/>
        </w:rPr>
        <w:t xml:space="preserve">العهد الدولي الخاص بالحقوق المدنية والسياسية، المادة 3 المشتركة من معاهدات جنيف والمادة 4 من </w:t>
      </w:r>
      <w:r w:rsidRPr="00802EF5">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99. </w:t>
      </w:r>
    </w:p>
  </w:footnote>
  <w:footnote w:id="912">
    <w:p w14:paraId="1994D705" w14:textId="0DBFD770"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المادة 9 و14 من </w:t>
      </w:r>
      <w:r w:rsidRPr="00802EF5">
        <w:rPr>
          <w:rStyle w:val="preferred"/>
          <w:rFonts w:ascii="Traditional Arabic" w:hAnsi="Traditional Arabic" w:cs="Traditional Arabic"/>
          <w:sz w:val="22"/>
          <w:szCs w:val="22"/>
          <w:rtl/>
        </w:rPr>
        <w:t xml:space="preserve">العهد الدولي الخاص بالحقوق المدنية والسياسية، أنظر أيضًا اللجنة المعنية بحقوق الإنسان التعليق العام رقم 35 (2011) حول حرية وأمان الأشخاص مجموعة المبادىء المتعلقة بحماية جميع الأشخاص الذين يتعرضون لأي شكل من أشكال الاحتجاز أو السجن </w:t>
      </w:r>
      <w:r w:rsidRPr="00802EF5">
        <w:rPr>
          <w:rFonts w:ascii="Traditional Arabic" w:hAnsi="Traditional Arabic" w:cs="Traditional Arabic"/>
          <w:sz w:val="22"/>
          <w:szCs w:val="22"/>
        </w:rPr>
        <w:t xml:space="preserve"> (A/RES/43/173)</w:t>
      </w:r>
    </w:p>
  </w:footnote>
  <w:footnote w:id="913">
    <w:p w14:paraId="083E22B6" w14:textId="3F089E47" w:rsidR="00A1624A" w:rsidRPr="00802EF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 xml:space="preserve">أنظر </w:t>
      </w:r>
      <w:r w:rsidRPr="00802EF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100. </w:t>
      </w:r>
    </w:p>
  </w:footnote>
  <w:footnote w:id="914">
    <w:p w14:paraId="73C5EDE8" w14:textId="179658F3" w:rsidR="00A1624A" w:rsidRPr="004E7D40" w:rsidRDefault="00A1624A" w:rsidP="00B81240">
      <w:pPr>
        <w:pStyle w:val="FootnoteText"/>
        <w:tabs>
          <w:tab w:val="clear" w:pos="1021"/>
        </w:tabs>
        <w:bidi/>
        <w:ind w:left="851" w:firstLine="0"/>
        <w:jc w:val="both"/>
        <w:rPr>
          <w:rtl/>
          <w:lang w:bidi="ar-JO"/>
        </w:rPr>
      </w:pPr>
      <w:r w:rsidRPr="00802EF5">
        <w:rPr>
          <w:rStyle w:val="FootnoteReference"/>
          <w:rFonts w:ascii="Traditional Arabic" w:hAnsi="Traditional Arabic" w:cs="Traditional Arabic"/>
          <w:sz w:val="22"/>
          <w:szCs w:val="22"/>
        </w:rPr>
        <w:footnoteRef/>
      </w:r>
      <w:r w:rsidRPr="00802EF5">
        <w:rPr>
          <w:rFonts w:ascii="Traditional Arabic" w:hAnsi="Traditional Arabic" w:cs="Traditional Arabic"/>
          <w:sz w:val="22"/>
          <w:szCs w:val="22"/>
        </w:rPr>
        <w:t xml:space="preserve"> </w:t>
      </w:r>
      <w:r w:rsidRPr="00802EF5">
        <w:rPr>
          <w:rFonts w:ascii="Traditional Arabic" w:hAnsi="Traditional Arabic" w:cs="Traditional Arabic"/>
          <w:sz w:val="22"/>
          <w:szCs w:val="22"/>
          <w:rtl/>
        </w:rPr>
        <w:t>مصادر سريّة في الملف</w:t>
      </w:r>
      <w:r w:rsidRPr="00802EF5">
        <w:rPr>
          <w:rFonts w:ascii="Traditional Arabic" w:hAnsi="Traditional Arabic" w:cs="Traditional Arabic"/>
          <w:sz w:val="22"/>
          <w:szCs w:val="22"/>
        </w:rPr>
        <w:t>.</w:t>
      </w:r>
    </w:p>
  </w:footnote>
  <w:footnote w:id="915">
    <w:p w14:paraId="2DD9949B" w14:textId="2EA6FE39"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6">
    <w:p w14:paraId="0D18D4F5" w14:textId="38EA4CE5"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 xml:space="preserve">الموقع: </w:t>
      </w:r>
      <w:r w:rsidRPr="00681398">
        <w:rPr>
          <w:rFonts w:ascii="Traditional Arabic" w:hAnsi="Traditional Arabic" w:cs="Traditional Arabic"/>
          <w:sz w:val="22"/>
          <w:szCs w:val="22"/>
        </w:rPr>
        <w:t>13°48'59.78"N, 43°15'15.26"E.</w:t>
      </w:r>
    </w:p>
  </w:footnote>
  <w:footnote w:id="917">
    <w:p w14:paraId="6AFC27BF" w14:textId="78AE801E" w:rsidR="00A1624A" w:rsidRPr="00D00B12" w:rsidRDefault="00A1624A" w:rsidP="00B81240">
      <w:pPr>
        <w:pStyle w:val="FootnoteText"/>
        <w:tabs>
          <w:tab w:val="clear" w:pos="1021"/>
        </w:tabs>
        <w:bidi/>
        <w:ind w:left="851" w:firstLine="0"/>
        <w:jc w:val="both"/>
        <w:rPr>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8">
    <w:p w14:paraId="33DD8703" w14:textId="1C13FB31"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19">
    <w:p w14:paraId="01D573DC" w14:textId="13FADFAF"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0">
    <w:p w14:paraId="18167AED" w14:textId="1EA25139"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1">
    <w:p w14:paraId="36B9F597" w14:textId="74C78480"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2">
    <w:p w14:paraId="2018992A" w14:textId="2861C696"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p>
  </w:footnote>
  <w:footnote w:id="923">
    <w:p w14:paraId="32B4F7CB" w14:textId="30AAE066" w:rsidR="00A1624A" w:rsidRPr="0020276A" w:rsidRDefault="00A1624A" w:rsidP="00B81240">
      <w:pPr>
        <w:pStyle w:val="FootnoteText"/>
        <w:tabs>
          <w:tab w:val="clear" w:pos="1021"/>
        </w:tabs>
        <w:bidi/>
        <w:ind w:left="851" w:firstLine="0"/>
        <w:jc w:val="both"/>
        <w:rPr>
          <w:sz w:val="20"/>
          <w:rtl/>
          <w:lang w:bidi="ar-JO"/>
        </w:rPr>
      </w:pPr>
      <w:r w:rsidRPr="0020276A">
        <w:rPr>
          <w:rStyle w:val="FootnoteReference"/>
          <w:sz w:val="20"/>
        </w:rPr>
        <w:footnoteRef/>
      </w:r>
      <w:r w:rsidRPr="0020276A">
        <w:rPr>
          <w:sz w:val="20"/>
        </w:rPr>
        <w:t xml:space="preserve"> https://www.reuters.com/article/us-yemen-security/eighteen-fishermen-killed-off-yemens-red-sea-coast-idUSKCN1LY2YV.</w:t>
      </w:r>
    </w:p>
  </w:footnote>
  <w:footnote w:id="924">
    <w:p w14:paraId="6049D056" w14:textId="7FEB9B2F" w:rsidR="00A1624A" w:rsidRPr="0020276A" w:rsidRDefault="00A1624A" w:rsidP="00B81240">
      <w:pPr>
        <w:pStyle w:val="FootnoteText"/>
        <w:tabs>
          <w:tab w:val="clear" w:pos="1021"/>
        </w:tabs>
        <w:bidi/>
        <w:ind w:left="851" w:firstLine="0"/>
        <w:jc w:val="both"/>
        <w:rPr>
          <w:sz w:val="20"/>
          <w:rtl/>
          <w:lang w:bidi="ar-JO"/>
        </w:rPr>
      </w:pPr>
      <w:r w:rsidRPr="0020276A">
        <w:rPr>
          <w:rStyle w:val="FootnoteReference"/>
          <w:sz w:val="20"/>
        </w:rPr>
        <w:footnoteRef/>
      </w:r>
      <w:r w:rsidRPr="0020276A">
        <w:rPr>
          <w:sz w:val="20"/>
        </w:rPr>
        <w:t xml:space="preserve"> https://www.spa.gov.sa/viewstory.php?lang=en&amp;newsid=1875234.</w:t>
      </w:r>
    </w:p>
  </w:footnote>
  <w:footnote w:id="925">
    <w:p w14:paraId="475ECF22" w14:textId="056B3EFD" w:rsidR="00A1624A" w:rsidRPr="00681398"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مصادر سريّة في الملف</w:t>
      </w:r>
      <w:r w:rsidRPr="00681398">
        <w:rPr>
          <w:rFonts w:ascii="Traditional Arabic" w:hAnsi="Traditional Arabic" w:cs="Traditional Arabic"/>
          <w:sz w:val="22"/>
          <w:szCs w:val="22"/>
        </w:rPr>
        <w:t>.</w:t>
      </w:r>
      <w:r w:rsidRPr="00681398">
        <w:rPr>
          <w:rFonts w:ascii="Traditional Arabic" w:hAnsi="Traditional Arabic" w:cs="Traditional Arabic"/>
          <w:sz w:val="22"/>
          <w:szCs w:val="22"/>
          <w:rtl/>
        </w:rPr>
        <w:t xml:space="preserve"> </w:t>
      </w:r>
    </w:p>
  </w:footnote>
  <w:footnote w:id="926">
    <w:p w14:paraId="2E060D84" w14:textId="683CDEFD" w:rsidR="00A1624A" w:rsidRPr="00EF0578" w:rsidRDefault="00A1624A" w:rsidP="00B81240">
      <w:pPr>
        <w:pStyle w:val="FootnoteText"/>
        <w:tabs>
          <w:tab w:val="clear" w:pos="1021"/>
        </w:tabs>
        <w:bidi/>
        <w:ind w:left="851" w:firstLine="0"/>
        <w:jc w:val="both"/>
        <w:rPr>
          <w:szCs w:val="18"/>
          <w:rtl/>
        </w:rPr>
      </w:pPr>
      <w:r w:rsidRPr="00681398">
        <w:rPr>
          <w:rStyle w:val="FootnoteReference"/>
          <w:rFonts w:ascii="Traditional Arabic" w:hAnsi="Traditional Arabic" w:cs="Traditional Arabic"/>
          <w:sz w:val="22"/>
          <w:szCs w:val="22"/>
        </w:rPr>
        <w:footnoteRef/>
      </w:r>
      <w:r w:rsidRPr="00681398">
        <w:rPr>
          <w:rFonts w:ascii="Traditional Arabic" w:hAnsi="Traditional Arabic" w:cs="Traditional Arabic"/>
          <w:sz w:val="22"/>
          <w:szCs w:val="22"/>
        </w:rPr>
        <w:t xml:space="preserve"> </w:t>
      </w:r>
      <w:r w:rsidRPr="00681398">
        <w:rPr>
          <w:rFonts w:ascii="Traditional Arabic" w:hAnsi="Traditional Arabic" w:cs="Traditional Arabic"/>
          <w:sz w:val="22"/>
          <w:szCs w:val="22"/>
          <w:rtl/>
        </w:rPr>
        <w:t>شهادة قريبة لضحية تُظهر أنه تم إخفاء المعلومات المحددة للهوية لأغراض الحماية.</w:t>
      </w:r>
      <w:r>
        <w:rPr>
          <w:rFonts w:hint="cs"/>
          <w:rtl/>
        </w:rPr>
        <w:t xml:space="preserve">  </w:t>
      </w:r>
    </w:p>
  </w:footnote>
  <w:footnote w:id="927">
    <w:p w14:paraId="6D7751D8" w14:textId="6EAA5366" w:rsidR="00A1624A" w:rsidRPr="0020276A"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20276A">
        <w:rPr>
          <w:rStyle w:val="FootnoteReference"/>
          <w:rFonts w:ascii="Traditional Arabic" w:hAnsi="Traditional Arabic" w:cs="Traditional Arabic"/>
          <w:sz w:val="22"/>
          <w:szCs w:val="22"/>
        </w:rPr>
        <w:footnoteRef/>
      </w:r>
      <w:r w:rsidRPr="0020276A">
        <w:rPr>
          <w:rFonts w:ascii="Traditional Arabic" w:hAnsi="Traditional Arabic" w:cs="Traditional Arabic"/>
          <w:sz w:val="22"/>
          <w:szCs w:val="22"/>
        </w:rPr>
        <w:t xml:space="preserve"> </w:t>
      </w:r>
      <w:r w:rsidRPr="0020276A">
        <w:rPr>
          <w:rFonts w:ascii="Traditional Arabic" w:hAnsi="Traditional Arabic" w:cs="Traditional Arabic"/>
          <w:sz w:val="22"/>
          <w:szCs w:val="22"/>
          <w:rtl/>
        </w:rPr>
        <w:t>أنظر تقرير قناة العربية الذي يدعي أنه يتم تهريب الأسلحة إلى حركة الحوثيين عبر ساحل المهرة</w:t>
      </w:r>
    </w:p>
    <w:p w14:paraId="198811AC" w14:textId="54763B93" w:rsidR="00A1624A" w:rsidRPr="0020276A" w:rsidRDefault="00A1624A" w:rsidP="00B81240">
      <w:pPr>
        <w:pStyle w:val="FootnoteText"/>
        <w:tabs>
          <w:tab w:val="clear" w:pos="1021"/>
        </w:tabs>
        <w:bidi/>
        <w:ind w:left="851" w:firstLine="0"/>
        <w:jc w:val="both"/>
        <w:rPr>
          <w:sz w:val="20"/>
        </w:rPr>
      </w:pPr>
      <w:r w:rsidRPr="0020276A">
        <w:rPr>
          <w:sz w:val="20"/>
        </w:rPr>
        <w:t xml:space="preserve"> (see  https://www.youtube.com/watch?v=Hae8NW1grRQ)</w:t>
      </w:r>
    </w:p>
  </w:footnote>
  <w:footnote w:id="928">
    <w:p w14:paraId="3AA8E7A4" w14:textId="68AE69ED" w:rsidR="00A1624A" w:rsidRPr="0020276A" w:rsidRDefault="00A1624A" w:rsidP="00B81240">
      <w:pPr>
        <w:pStyle w:val="FootnoteText"/>
        <w:tabs>
          <w:tab w:val="clear" w:pos="1021"/>
        </w:tabs>
        <w:bidi/>
        <w:ind w:left="851" w:firstLine="0"/>
        <w:jc w:val="both"/>
        <w:rPr>
          <w:sz w:val="20"/>
        </w:rPr>
      </w:pPr>
      <w:r w:rsidRPr="0020276A">
        <w:rPr>
          <w:rStyle w:val="FootnoteReference"/>
          <w:sz w:val="20"/>
        </w:rPr>
        <w:footnoteRef/>
      </w:r>
      <w:r w:rsidRPr="0020276A">
        <w:rPr>
          <w:sz w:val="20"/>
        </w:rPr>
        <w:t xml:space="preserve"> http://sanaacenter.org/publications/analysis/7606 and Confidential Sources on File</w:t>
      </w:r>
    </w:p>
  </w:footnote>
  <w:footnote w:id="929">
    <w:p w14:paraId="4097098B" w14:textId="2DC93F78" w:rsidR="00A1624A" w:rsidRPr="002D462A" w:rsidRDefault="00A1624A" w:rsidP="00B81240">
      <w:pPr>
        <w:pStyle w:val="FootnoteText"/>
        <w:tabs>
          <w:tab w:val="clear" w:pos="1021"/>
        </w:tabs>
        <w:bidi/>
        <w:ind w:left="851" w:firstLine="0"/>
        <w:jc w:val="both"/>
      </w:pPr>
      <w:r w:rsidRPr="0020276A">
        <w:rPr>
          <w:rStyle w:val="FootnoteReference"/>
          <w:sz w:val="20"/>
        </w:rPr>
        <w:footnoteRef/>
      </w:r>
      <w:r w:rsidRPr="0020276A">
        <w:rPr>
          <w:sz w:val="20"/>
        </w:rPr>
        <w:t xml:space="preserve"> http://sanaacenter.org/publications/analysis/7606 and Confidential Sources on File</w:t>
      </w:r>
    </w:p>
  </w:footnote>
  <w:footnote w:id="930">
    <w:p w14:paraId="402A2F3D" w14:textId="178B6A2C"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1">
    <w:p w14:paraId="7642A9DF" w14:textId="4CAD95F7" w:rsidR="00A1624A" w:rsidRPr="002D462A" w:rsidRDefault="00A1624A" w:rsidP="00B81240">
      <w:pPr>
        <w:pStyle w:val="FootnoteText"/>
        <w:tabs>
          <w:tab w:val="clear" w:pos="1021"/>
        </w:tabs>
        <w:bidi/>
        <w:ind w:left="851" w:firstLine="0"/>
        <w:jc w:val="both"/>
      </w:pPr>
      <w:r>
        <w:rPr>
          <w:rStyle w:val="FootnoteReference"/>
        </w:rPr>
        <w:footnoteRef/>
      </w:r>
      <w:r>
        <w:t xml:space="preserve"> </w:t>
      </w:r>
      <w:r w:rsidRPr="002D462A">
        <w:t>https://sanaacenter.org/publications/analysis/7606 page 32-34</w:t>
      </w:r>
      <w:r>
        <w:t>.</w:t>
      </w:r>
    </w:p>
  </w:footnote>
  <w:footnote w:id="932">
    <w:p w14:paraId="0173BA4D" w14:textId="2542578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3">
    <w:p w14:paraId="0FC1F88F" w14:textId="33D46E38"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4">
    <w:p w14:paraId="1A62E7BB" w14:textId="79DC6A73"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5">
    <w:p w14:paraId="5AF27176" w14:textId="783605D5"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6">
    <w:p w14:paraId="435B64EC" w14:textId="22FB7CD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7">
    <w:p w14:paraId="150B895E" w14:textId="0AD1858C"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8">
    <w:p w14:paraId="15BEEF80" w14:textId="42518D3E"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39">
    <w:p w14:paraId="5AD50EB1" w14:textId="0CF5417D"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الفقرة </w:t>
      </w:r>
      <w:r w:rsidRPr="00FE2CD1">
        <w:rPr>
          <w:rFonts w:ascii="Traditional Arabic" w:hAnsi="Traditional Arabic" w:cs="Traditional Arabic"/>
          <w:sz w:val="22"/>
          <w:szCs w:val="22"/>
        </w:rPr>
        <w:t>6(1)</w:t>
      </w:r>
      <w:r w:rsidRPr="00FE2CD1">
        <w:rPr>
          <w:rFonts w:ascii="Traditional Arabic" w:hAnsi="Traditional Arabic" w:cs="Traditional Arabic"/>
          <w:sz w:val="22"/>
          <w:szCs w:val="22"/>
          <w:rtl/>
        </w:rPr>
        <w:t xml:space="preserve"> من </w:t>
      </w:r>
      <w:r w:rsidRPr="00FE2CD1">
        <w:rPr>
          <w:rStyle w:val="preferred"/>
          <w:rFonts w:ascii="Traditional Arabic" w:hAnsi="Traditional Arabic" w:cs="Traditional Arabic"/>
          <w:sz w:val="22"/>
          <w:szCs w:val="22"/>
          <w:rtl/>
        </w:rPr>
        <w:t>العهد الدولي للحقوق المدنية والسياسية.</w:t>
      </w:r>
      <w:r>
        <w:rPr>
          <w:rStyle w:val="preferred"/>
          <w:rFonts w:hint="cs"/>
          <w:rtl/>
        </w:rPr>
        <w:t xml:space="preserve"> </w:t>
      </w:r>
    </w:p>
  </w:footnote>
  <w:footnote w:id="940">
    <w:p w14:paraId="6B21939B" w14:textId="4F7ED90A"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Code of Conduct for Law Enforcement Officials, 1979, Art. 2-3; Principles 5, 9, 13 and 14, Basic Principles on the Use of Force and Firearms by Law Enforcement Officials, 1990.</w:t>
      </w:r>
    </w:p>
  </w:footnote>
  <w:footnote w:id="941">
    <w:p w14:paraId="0FCA1CB3" w14:textId="39470C8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الفقرة </w:t>
      </w:r>
      <w:r w:rsidRPr="00FE2CD1">
        <w:rPr>
          <w:rFonts w:ascii="Traditional Arabic" w:hAnsi="Traditional Arabic" w:cs="Traditional Arabic"/>
          <w:sz w:val="22"/>
          <w:szCs w:val="22"/>
        </w:rPr>
        <w:t>6</w:t>
      </w:r>
      <w:r w:rsidRPr="00FE2CD1">
        <w:rPr>
          <w:rFonts w:ascii="Traditional Arabic" w:hAnsi="Traditional Arabic" w:cs="Traditional Arabic"/>
          <w:sz w:val="22"/>
          <w:szCs w:val="22"/>
          <w:rtl/>
        </w:rPr>
        <w:t xml:space="preserve"> من </w:t>
      </w:r>
      <w:r w:rsidRPr="00FE2CD1">
        <w:rPr>
          <w:rStyle w:val="preferred"/>
          <w:rFonts w:ascii="Traditional Arabic" w:hAnsi="Traditional Arabic" w:cs="Traditional Arabic"/>
          <w:sz w:val="22"/>
          <w:szCs w:val="22"/>
          <w:rtl/>
        </w:rPr>
        <w:t>العهد الدولي للحقوق المدنية والسياسية.</w:t>
      </w:r>
    </w:p>
  </w:footnote>
  <w:footnote w:id="942">
    <w:p w14:paraId="201C7501" w14:textId="78BD851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3 من معاهدات جنيف، المادة </w:t>
      </w:r>
      <w:r w:rsidRPr="00FE2CD1">
        <w:rPr>
          <w:rFonts w:ascii="Traditional Arabic" w:hAnsi="Traditional Arabic" w:cs="Traditional Arabic"/>
          <w:sz w:val="22"/>
          <w:szCs w:val="22"/>
        </w:rPr>
        <w:t>4(2)(a)</w:t>
      </w:r>
      <w:r w:rsidRPr="00FE2CD1">
        <w:rPr>
          <w:rFonts w:ascii="Traditional Arabic" w:hAnsi="Traditional Arabic" w:cs="Traditional Arabic"/>
          <w:sz w:val="22"/>
          <w:szCs w:val="22"/>
          <w:rtl/>
        </w:rPr>
        <w:t xml:space="preserve"> من </w:t>
      </w:r>
      <w:r w:rsidRPr="00FE2CD1">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89. </w:t>
      </w:r>
    </w:p>
  </w:footnote>
  <w:footnote w:id="943">
    <w:p w14:paraId="00A07C1A" w14:textId="3E89C74B" w:rsidR="00A1624A" w:rsidRPr="006249AD" w:rsidRDefault="00A1624A" w:rsidP="00B81240">
      <w:pPr>
        <w:pStyle w:val="FootnoteText"/>
        <w:tabs>
          <w:tab w:val="clear" w:pos="1021"/>
        </w:tabs>
        <w:bidi/>
        <w:ind w:left="851" w:firstLine="0"/>
        <w:jc w:val="both"/>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w:t>
      </w:r>
      <w:r w:rsidRPr="00FE2CD1">
        <w:rPr>
          <w:rFonts w:ascii="Traditional Arabic" w:hAnsi="Traditional Arabic" w:cs="Traditional Arabic"/>
          <w:sz w:val="22"/>
          <w:szCs w:val="22"/>
        </w:rPr>
        <w:t>8 2.(c)(i)</w:t>
      </w:r>
      <w:r w:rsidRPr="00FE2CD1">
        <w:rPr>
          <w:rFonts w:ascii="Traditional Arabic" w:hAnsi="Traditional Arabic" w:cs="Traditional Arabic"/>
          <w:sz w:val="22"/>
          <w:szCs w:val="22"/>
          <w:rtl/>
        </w:rPr>
        <w:t xml:space="preserve"> النظام الأساسي للمحكمة الجنائية الدولية.</w:t>
      </w:r>
      <w:r>
        <w:rPr>
          <w:rFonts w:hint="cs"/>
          <w:rtl/>
        </w:rPr>
        <w:t xml:space="preserve"> </w:t>
      </w:r>
    </w:p>
  </w:footnote>
  <w:footnote w:id="944">
    <w:p w14:paraId="5C64E282" w14:textId="774081EB"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cs/>
        </w:rPr>
        <w:t xml:space="preserve">المادة 9 من </w:t>
      </w:r>
      <w:r w:rsidRPr="00FE2CD1">
        <w:rPr>
          <w:rStyle w:val="preferred"/>
          <w:rFonts w:ascii="Traditional Arabic" w:hAnsi="Traditional Arabic" w:cs="Traditional Arabic"/>
          <w:sz w:val="22"/>
          <w:szCs w:val="22"/>
          <w:rtl/>
        </w:rPr>
        <w:t xml:space="preserve">العهد الدولي الخاص بالحقوق المدنية والسياسية، المادة 1 الإتفاقية الدولية لحماية جميع الأشخاص من الاختفاء القسري </w:t>
      </w:r>
      <w:r w:rsidRPr="00FE2CD1">
        <w:rPr>
          <w:rFonts w:ascii="Traditional Arabic" w:hAnsi="Traditional Arabic" w:cs="Traditional Arabic"/>
          <w:sz w:val="22"/>
          <w:szCs w:val="22"/>
          <w:lang w:val="en-US"/>
        </w:rPr>
        <w:t>(CED)</w:t>
      </w:r>
      <w:r w:rsidRPr="00FE2CD1">
        <w:rPr>
          <w:rFonts w:ascii="Traditional Arabic" w:hAnsi="Traditional Arabic" w:cs="Traditional Arabic"/>
          <w:sz w:val="22"/>
          <w:szCs w:val="22"/>
          <w:rtl/>
          <w:lang w:val="en-US"/>
        </w:rPr>
        <w:t xml:space="preserve">، أنظر </w:t>
      </w:r>
      <w:r w:rsidRPr="00FE2CD1">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FE2CD1">
        <w:rPr>
          <w:rFonts w:ascii="Traditional Arabic" w:hAnsi="Traditional Arabic" w:cs="Traditional Arabic"/>
          <w:sz w:val="22"/>
          <w:szCs w:val="22"/>
          <w:rtl/>
        </w:rPr>
        <w:t xml:space="preserve">، </w:t>
      </w:r>
      <w:r w:rsidRPr="00FE2CD1">
        <w:rPr>
          <w:rStyle w:val="tlid-translation"/>
          <w:rFonts w:ascii="Traditional Arabic" w:hAnsi="Traditional Arabic" w:cs="Traditional Arabic"/>
          <w:sz w:val="22"/>
          <w:szCs w:val="22"/>
          <w:rtl/>
        </w:rPr>
        <w:t xml:space="preserve">القاعدة 98. </w:t>
      </w:r>
      <w:r w:rsidRPr="00FE2CD1">
        <w:rPr>
          <w:rFonts w:ascii="Traditional Arabic" w:hAnsi="Traditional Arabic" w:cs="Traditional Arabic"/>
          <w:sz w:val="22"/>
          <w:szCs w:val="22"/>
          <w:lang w:val="en-US"/>
        </w:rPr>
        <w:t xml:space="preserve">  </w:t>
      </w:r>
    </w:p>
  </w:footnote>
  <w:footnote w:id="945">
    <w:p w14:paraId="25527EE1" w14:textId="442A198D"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9 و14 من </w:t>
      </w:r>
      <w:r w:rsidRPr="00FE2CD1">
        <w:rPr>
          <w:rStyle w:val="preferred"/>
          <w:rFonts w:ascii="Traditional Arabic" w:hAnsi="Traditional Arabic" w:cs="Traditional Arabic"/>
          <w:sz w:val="22"/>
          <w:szCs w:val="22"/>
          <w:rtl/>
        </w:rPr>
        <w:t xml:space="preserve">العهد الدولي الخاص بالحقوق المدنية والسياسية، المادة 3 المشتركة في اتفاقيات جنيف والمادة 4 من </w:t>
      </w:r>
      <w:r w:rsidRPr="00FE2CD1">
        <w:rPr>
          <w:rStyle w:val="tlid-translation"/>
          <w:rFonts w:ascii="Traditional Arabic" w:hAnsi="Traditional Arabic" w:cs="Traditional Arabic"/>
          <w:sz w:val="22"/>
          <w:szCs w:val="22"/>
          <w:rtl/>
        </w:rPr>
        <w:t xml:space="preserve">البروتوكول الإضافي الثاني، أنظر دراسة اللجنة الدولية للصليب الأحمر حول القانون الدولي الإنساني العرفي، القاعدة 99. </w:t>
      </w:r>
    </w:p>
  </w:footnote>
  <w:footnote w:id="946">
    <w:p w14:paraId="68DA358F" w14:textId="2B9E4707"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Style w:val="tlid-translation"/>
          <w:rFonts w:ascii="Traditional Arabic" w:hAnsi="Traditional Arabic" w:cs="Traditional Arabic"/>
          <w:sz w:val="22"/>
          <w:szCs w:val="22"/>
          <w:rtl/>
        </w:rPr>
        <w:t xml:space="preserve">أنظر دراسة اللجنة الدولية للصليب الأحمر حول القانون الدولي الإنساني العرفي، القاعدة 100. </w:t>
      </w:r>
    </w:p>
  </w:footnote>
  <w:footnote w:id="947">
    <w:p w14:paraId="16459527" w14:textId="1742A934" w:rsidR="00A1624A" w:rsidRPr="00B4122B" w:rsidRDefault="00A1624A" w:rsidP="00B81240">
      <w:pPr>
        <w:pStyle w:val="FootnoteText"/>
        <w:tabs>
          <w:tab w:val="clear" w:pos="1021"/>
        </w:tabs>
        <w:bidi/>
        <w:ind w:left="851" w:firstLine="0"/>
        <w:jc w:val="both"/>
        <w:rPr>
          <w:rFonts w:asciiTheme="majorBidi" w:hAnsiTheme="majorBidi" w:cstheme="majorBidi"/>
          <w:szCs w:val="18"/>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المادة 7 من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rPr>
        <w:t xml:space="preserve">العهد الدولي الخاص بالحقوق المدنية والسياسية، أنظر </w:t>
      </w:r>
      <w:r w:rsidRPr="00FE2CD1">
        <w:rPr>
          <w:rStyle w:val="preferred"/>
          <w:rFonts w:ascii="Traditional Arabic" w:hAnsi="Traditional Arabic" w:cs="Traditional Arabic"/>
          <w:sz w:val="22"/>
          <w:szCs w:val="22"/>
          <w:cs/>
        </w:rPr>
        <w:t>‎‎</w:t>
      </w:r>
      <w:r w:rsidRPr="00FE2CD1">
        <w:rPr>
          <w:rStyle w:val="preferred"/>
          <w:rFonts w:ascii="Traditional Arabic" w:hAnsi="Traditional Arabic" w:cs="Traditional Arabic"/>
          <w:sz w:val="22"/>
          <w:szCs w:val="22"/>
          <w:rtl/>
        </w:rPr>
        <w:t xml:space="preserve">اتفاقية مناهضة التعذيب وغيره من ضروب المعاملة أو العقوبة القاسية أو اللاإنسانية أو المهينة‏، المادة 3 المشتركة في اتفاقيات جنيف والمادة 4 من </w:t>
      </w:r>
      <w:r w:rsidRPr="00FE2CD1">
        <w:rPr>
          <w:rStyle w:val="tlid-translation"/>
          <w:rFonts w:ascii="Traditional Arabic" w:hAnsi="Traditional Arabic" w:cs="Traditional Arabic"/>
          <w:sz w:val="22"/>
          <w:szCs w:val="22"/>
          <w:rtl/>
        </w:rPr>
        <w:t>البروتوكول الإضافي الثاني، أنظر دراسة اللجنة الدولية للصليب الأحمر حول القانون الدولي الإنساني العرفي، القاعدة</w:t>
      </w:r>
      <w:r w:rsidRPr="00FE2CD1">
        <w:rPr>
          <w:rStyle w:val="preferred"/>
          <w:rFonts w:ascii="Traditional Arabic" w:hAnsi="Traditional Arabic" w:cs="Traditional Arabic"/>
          <w:sz w:val="22"/>
          <w:szCs w:val="22"/>
          <w:rtl/>
        </w:rPr>
        <w:t xml:space="preserve"> 90. </w:t>
      </w:r>
    </w:p>
  </w:footnote>
  <w:footnote w:id="948">
    <w:p w14:paraId="1EF07DD3" w14:textId="45176C88"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United Nations, United Nations Development Program (UNDP) Global Inequality Index, 2019. World Economic Forum “The Global Gender Gap Report”, 2018.</w:t>
      </w:r>
    </w:p>
  </w:footnote>
  <w:footnote w:id="949">
    <w:p w14:paraId="1D9846BF" w14:textId="4A386307"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UNDP Assessing the Impact of the War on Development in Yemen, 2019, Page 26, 41-42. UNDP, Human Development Index, available at: http://hdr.undp.org/en/content/human-development-index-hdi.</w:t>
      </w:r>
    </w:p>
  </w:footnote>
  <w:footnote w:id="950">
    <w:p w14:paraId="20F57350" w14:textId="6A5F6D1A"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United Nations, International Labour Organisation (ILO) Yemen Labour Force Survey, 2014. CARE “Rapid Gender Analysis of Yemen”, 2015.</w:t>
      </w:r>
    </w:p>
  </w:footnote>
  <w:footnote w:id="951">
    <w:p w14:paraId="3DA83447" w14:textId="000EBDE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قريب ذكر </w:t>
      </w:r>
      <w:r w:rsidRPr="00FE2CD1">
        <w:rPr>
          <w:rStyle w:val="tlid-translation"/>
          <w:rFonts w:ascii="Traditional Arabic" w:hAnsi="Traditional Arabic" w:cs="Traditional Arabic"/>
          <w:sz w:val="22"/>
          <w:szCs w:val="22"/>
          <w:rtl/>
        </w:rPr>
        <w:t>ممنوع الزواج منه أو إقامة العلاقات بحكم الشريعة الإسلامية كما يشير المصطلح إلى أن زوج المرأة الذي يلعب دور حارسها القانوني أثناء السفر</w:t>
      </w:r>
      <w:r w:rsidRPr="00FE2CD1">
        <w:rPr>
          <w:rStyle w:val="tlid-translation"/>
          <w:rFonts w:ascii="Traditional Arabic" w:hAnsi="Traditional Arabic" w:cs="Traditional Arabic"/>
          <w:sz w:val="22"/>
          <w:szCs w:val="22"/>
          <w:lang w:bidi="ar"/>
        </w:rPr>
        <w:t>.</w:t>
      </w:r>
    </w:p>
  </w:footnote>
  <w:footnote w:id="952">
    <w:p w14:paraId="33446AE1" w14:textId="4532D4C2"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Personal Status Law of Yemen, 1992. UNDP “Yemen: Laws, policies and practices on Gender Justice”, 2018. Douaa Hussein, The American University Cairo “Legal Reform as a way to Women’s Rights: The Case of Personal Status Law in Yemen”, 2011.</w:t>
      </w:r>
    </w:p>
  </w:footnote>
  <w:footnote w:id="953">
    <w:p w14:paraId="223F2F88" w14:textId="1B504A96"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Ibid, UNDP 2018.</w:t>
      </w:r>
    </w:p>
  </w:footnote>
  <w:footnote w:id="954">
    <w:p w14:paraId="33424DD5" w14:textId="2044F689"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Ibid, UNDP 2018, Hussein 2011. Marta Colburn, Gender and Development in Yemen, Oxfam and Friedrich Ebert Stiftung, 2002.</w:t>
      </w:r>
    </w:p>
  </w:footnote>
  <w:footnote w:id="955">
    <w:p w14:paraId="76AB2D55" w14:textId="6B8391CF" w:rsidR="00A1624A" w:rsidRDefault="00A1624A" w:rsidP="00B81240">
      <w:pPr>
        <w:pStyle w:val="FootnoteText"/>
        <w:tabs>
          <w:tab w:val="clear" w:pos="1021"/>
        </w:tabs>
        <w:bidi/>
        <w:ind w:left="851" w:firstLine="0"/>
        <w:jc w:val="both"/>
        <w:rPr>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r>
        <w:rPr>
          <w:rFonts w:asciiTheme="majorBidi" w:hAnsiTheme="majorBidi" w:cstheme="majorBidi" w:hint="cs"/>
          <w:sz w:val="20"/>
          <w:rtl/>
        </w:rPr>
        <w:t xml:space="preserve"> </w:t>
      </w:r>
    </w:p>
    <w:p w14:paraId="47696F48" w14:textId="4808BC50" w:rsidR="00A1624A" w:rsidRPr="00FE2CD1" w:rsidRDefault="00A1624A" w:rsidP="00B81240">
      <w:pPr>
        <w:pStyle w:val="FootnoteText"/>
        <w:tabs>
          <w:tab w:val="clear" w:pos="1021"/>
        </w:tabs>
        <w:bidi/>
        <w:ind w:left="851" w:firstLine="0"/>
        <w:jc w:val="both"/>
        <w:rPr>
          <w:sz w:val="20"/>
        </w:rPr>
      </w:pPr>
      <w:r w:rsidRPr="00FE2CD1">
        <w:rPr>
          <w:sz w:val="20"/>
        </w:rPr>
        <w:t>Ibid, Colburn 2002. Saferworld, “Women Nowadays do Anything” 2017; ILO, Labour Market and Demographic Trends in Yemen, 2014. CARE “Rapid Gender Analysis of Yemen”, 2015. Oxfam-CARE-GenCap “Gender and Conflict Analysis in Yemen”, 2016; Also see the following on gender and Muhamasheen, Somalian and Ethiopian communities in Yemen Witness. GBV Witness, “Taking on Discrimination and Violence against Women in Yemen, Breaking the Silence Documentary” 2010, available at: https://gbv.witness.org/taking-discrimination-violence-women-yemen/ . Marina de Regt, “Refugee, woman and domestic worker: Somali women dealing with dependencies in Yemen”, African and Black Diaspora: An International Journal, 2010. Marina de Regt, “Ways to Come, Ways to Leave: Gender Mobility and (Il) legality Among Ethiopian Domestic Workers in Yemen”, Gender and Society 24(2):237-260, 2010.</w:t>
      </w:r>
    </w:p>
  </w:footnote>
  <w:footnote w:id="956">
    <w:p w14:paraId="7DAC2BB8" w14:textId="2837507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p>
    <w:p w14:paraId="61B0E3D5" w14:textId="3F92D008" w:rsidR="00A1624A" w:rsidRPr="00FA3D66" w:rsidRDefault="00A1624A" w:rsidP="00B81240">
      <w:pPr>
        <w:pStyle w:val="FootnoteText"/>
        <w:tabs>
          <w:tab w:val="clear" w:pos="1021"/>
        </w:tabs>
        <w:bidi/>
        <w:ind w:left="851" w:firstLine="0"/>
        <w:jc w:val="both"/>
      </w:pPr>
      <w:r w:rsidRPr="00FA3D66">
        <w:t>Colburn 2002. CARE “Yemen Program Approach Situation Analysis”, 2014.</w:t>
      </w:r>
    </w:p>
  </w:footnote>
  <w:footnote w:id="957">
    <w:p w14:paraId="099AA4C4" w14:textId="45BBC95D" w:rsidR="00A1624A" w:rsidRPr="00FA3D66" w:rsidRDefault="00A1624A" w:rsidP="00B81240">
      <w:pPr>
        <w:pStyle w:val="FootnoteText"/>
        <w:tabs>
          <w:tab w:val="clear" w:pos="1021"/>
        </w:tabs>
        <w:bidi/>
        <w:ind w:left="851" w:firstLine="0"/>
        <w:jc w:val="both"/>
      </w:pPr>
      <w:r>
        <w:rPr>
          <w:rStyle w:val="FootnoteReference"/>
        </w:rPr>
        <w:footnoteRef/>
      </w:r>
      <w:r>
        <w:t xml:space="preserve"> </w:t>
      </w:r>
      <w:r w:rsidRPr="00FA3D66">
        <w:t>UNDP 2018. Hussein 2011. Colburn 2002.</w:t>
      </w:r>
    </w:p>
  </w:footnote>
  <w:footnote w:id="958">
    <w:p w14:paraId="766D48D3" w14:textId="5D2DD856"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 xml:space="preserve">لمزيد من التفاصيل حول استنتاجات الفريق، أنظر الفصل حول حماية الأطفال. </w:t>
      </w:r>
    </w:p>
  </w:footnote>
  <w:footnote w:id="959">
    <w:p w14:paraId="327BE431" w14:textId="53586617" w:rsidR="00A1624A" w:rsidRPr="00FA3D66" w:rsidRDefault="00A1624A" w:rsidP="00B81240">
      <w:pPr>
        <w:pStyle w:val="FootnoteText"/>
        <w:tabs>
          <w:tab w:val="clear" w:pos="1021"/>
        </w:tabs>
        <w:bidi/>
        <w:ind w:left="851" w:firstLine="0"/>
        <w:jc w:val="both"/>
      </w:pPr>
      <w:r>
        <w:rPr>
          <w:rStyle w:val="FootnoteReference"/>
        </w:rPr>
        <w:footnoteRef/>
      </w:r>
      <w:r>
        <w:t xml:space="preserve"> </w:t>
      </w:r>
      <w:r w:rsidRPr="00FA3D66">
        <w:t>Fatima Mernisi, Beyond the Veil: Male-Female Dynamics in Muslim Society, Saqi Books, 2011, Chapter 2. Colburn 2002.</w:t>
      </w:r>
    </w:p>
  </w:footnote>
  <w:footnote w:id="960">
    <w:p w14:paraId="413A7D38" w14:textId="417F4462" w:rsidR="00A1624A" w:rsidRPr="00FA3D66" w:rsidRDefault="00A1624A" w:rsidP="00B81240">
      <w:pPr>
        <w:pStyle w:val="FootnoteText"/>
        <w:tabs>
          <w:tab w:val="clear" w:pos="1021"/>
        </w:tabs>
        <w:bidi/>
        <w:ind w:left="851" w:firstLine="0"/>
        <w:jc w:val="both"/>
      </w:pPr>
      <w:r>
        <w:rPr>
          <w:rStyle w:val="FootnoteReference"/>
        </w:rPr>
        <w:footnoteRef/>
      </w:r>
      <w:r>
        <w:t xml:space="preserve"> </w:t>
      </w:r>
    </w:p>
  </w:footnote>
  <w:footnote w:id="961">
    <w:p w14:paraId="167ECE9A" w14:textId="61B2D420"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2">
    <w:p w14:paraId="045CC5E5" w14:textId="09644D7D"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IOM, UNHCR, OCHA Multi-Cluster Locations Assessment Yemen, 2018.</w:t>
      </w:r>
    </w:p>
  </w:footnote>
  <w:footnote w:id="963">
    <w:p w14:paraId="462A87F8" w14:textId="18B5C1B7" w:rsidR="00A1624A" w:rsidRPr="00FE2CD1" w:rsidRDefault="00A1624A" w:rsidP="00B81240">
      <w:pPr>
        <w:pStyle w:val="FootnoteText"/>
        <w:tabs>
          <w:tab w:val="clear" w:pos="1021"/>
        </w:tabs>
        <w:bidi/>
        <w:ind w:left="851" w:firstLine="0"/>
        <w:jc w:val="both"/>
        <w:rPr>
          <w:sz w:val="20"/>
        </w:rPr>
      </w:pPr>
      <w:r w:rsidRPr="00FE2CD1">
        <w:rPr>
          <w:rStyle w:val="FootnoteReference"/>
          <w:sz w:val="20"/>
        </w:rPr>
        <w:footnoteRef/>
      </w:r>
      <w:r w:rsidRPr="00FE2CD1">
        <w:rPr>
          <w:sz w:val="20"/>
        </w:rPr>
        <w:t xml:space="preserve"> UNFPA, Humanitarian Response in Yemen, 2019; OCHA, Humanitarian Needs Overview, 2019 Page 42 and OCHA-IOM-UNHCR Task Force for Population Movement, 2019.</w:t>
      </w:r>
    </w:p>
  </w:footnote>
  <w:footnote w:id="964">
    <w:p w14:paraId="732B7339" w14:textId="73FEA4C8" w:rsidR="00A1624A" w:rsidRPr="00883E91" w:rsidRDefault="00A1624A" w:rsidP="00B81240">
      <w:pPr>
        <w:pStyle w:val="FootnoteText"/>
        <w:tabs>
          <w:tab w:val="clear" w:pos="1021"/>
        </w:tabs>
        <w:bidi/>
        <w:ind w:left="851" w:firstLine="0"/>
        <w:jc w:val="both"/>
      </w:pPr>
      <w:r w:rsidRPr="00FE2CD1">
        <w:rPr>
          <w:rStyle w:val="FootnoteReference"/>
          <w:sz w:val="20"/>
        </w:rPr>
        <w:footnoteRef/>
      </w:r>
      <w:r w:rsidRPr="00FE2CD1">
        <w:rPr>
          <w:sz w:val="20"/>
        </w:rPr>
        <w:t xml:space="preserve"> Ibid, UNFPA, Humanitarian Response in Yemen, 2019. Oxfam-CARE-GenCap “Gender and Conflict Analysis in Yemen” 2016.</w:t>
      </w:r>
    </w:p>
  </w:footnote>
  <w:footnote w:id="965">
    <w:p w14:paraId="526F93D7" w14:textId="01549C5B"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6">
    <w:p w14:paraId="59167A5C" w14:textId="6576BF3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p>
    <w:p w14:paraId="621A9E4D" w14:textId="1874E889" w:rsidR="00A1624A" w:rsidRPr="00FE2CD1" w:rsidRDefault="00A1624A" w:rsidP="00B81240">
      <w:pPr>
        <w:pStyle w:val="FootnoteText"/>
        <w:tabs>
          <w:tab w:val="clear" w:pos="1021"/>
        </w:tabs>
        <w:bidi/>
        <w:ind w:left="851" w:firstLine="0"/>
        <w:jc w:val="both"/>
        <w:rPr>
          <w:sz w:val="20"/>
        </w:rPr>
      </w:pPr>
      <w:r w:rsidRPr="00FE2CD1">
        <w:rPr>
          <w:sz w:val="20"/>
        </w:rPr>
        <w:t>Saferworld 2017. Brigitte Rohwerder, “Conflict and Gender Dynamics in Yemen”, Institute of Development Studies, 2017. See also Section 5 below.</w:t>
      </w:r>
    </w:p>
  </w:footnote>
  <w:footnote w:id="967">
    <w:p w14:paraId="12A702CA" w14:textId="21226327"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68">
    <w:p w14:paraId="733EF647" w14:textId="2F4F7604"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p w14:paraId="24F0197D" w14:textId="02C5FDBD" w:rsidR="00A1624A" w:rsidRPr="00FE2CD1" w:rsidRDefault="00A1624A" w:rsidP="00B81240">
      <w:pPr>
        <w:pStyle w:val="FootnoteText"/>
        <w:tabs>
          <w:tab w:val="clear" w:pos="1021"/>
        </w:tabs>
        <w:bidi/>
        <w:ind w:left="851" w:firstLine="0"/>
        <w:jc w:val="both"/>
        <w:rPr>
          <w:sz w:val="20"/>
        </w:rPr>
      </w:pPr>
      <w:r w:rsidRPr="00FE2CD1">
        <w:rPr>
          <w:sz w:val="20"/>
        </w:rPr>
        <w:t>Oxfam-CARE-GenCap 2016. Oxfam “Yemen’s Shattered Food Economy and its Impact on Women” 2019. Marie-Christine Heinze and Sophie Stevens “Women as Peacebuilders in Yemen”, Yemen Polling Centre, 2018, available at: http://www.sddirect.org.uk/ media/1571/sdd_yemenreport_full_v5.pdf.</w:t>
      </w:r>
    </w:p>
  </w:footnote>
  <w:footnote w:id="969">
    <w:p w14:paraId="0A9B486D" w14:textId="1AF4D379" w:rsidR="00A1624A" w:rsidRPr="00FE2CD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p>
  </w:footnote>
  <w:footnote w:id="970">
    <w:p w14:paraId="0ADD8233" w14:textId="11025477" w:rsidR="00A1624A" w:rsidRPr="00FE2CD1" w:rsidRDefault="00A1624A" w:rsidP="00B81240">
      <w:pPr>
        <w:pStyle w:val="FootnoteText"/>
        <w:tabs>
          <w:tab w:val="clear" w:pos="1021"/>
        </w:tabs>
        <w:bidi/>
        <w:ind w:left="851" w:firstLine="0"/>
        <w:rPr>
          <w:sz w:val="20"/>
        </w:rPr>
      </w:pPr>
      <w:r w:rsidRPr="00FE2CD1">
        <w:rPr>
          <w:rStyle w:val="FootnoteReference"/>
          <w:rFonts w:ascii="Traditional Arabic" w:hAnsi="Traditional Arabic" w:cs="Traditional Arabic"/>
          <w:sz w:val="22"/>
          <w:szCs w:val="22"/>
        </w:rPr>
        <w:footnoteRef/>
      </w:r>
      <w:r w:rsidRPr="00FE2CD1">
        <w:rPr>
          <w:rFonts w:ascii="Traditional Arabic" w:hAnsi="Traditional Arabic" w:cs="Traditional Arabic"/>
          <w:sz w:val="22"/>
          <w:szCs w:val="22"/>
        </w:rPr>
        <w:t xml:space="preserve"> </w:t>
      </w:r>
      <w:r w:rsidRPr="00FE2CD1">
        <w:rPr>
          <w:rFonts w:ascii="Traditional Arabic" w:hAnsi="Traditional Arabic" w:cs="Traditional Arabic"/>
          <w:sz w:val="22"/>
          <w:szCs w:val="22"/>
          <w:rtl/>
        </w:rPr>
        <w:t>مصادر سريّة في الملف</w:t>
      </w:r>
      <w:r w:rsidRPr="00FE2CD1">
        <w:rPr>
          <w:rFonts w:ascii="Traditional Arabic" w:hAnsi="Traditional Arabic" w:cs="Traditional Arabic"/>
          <w:sz w:val="22"/>
          <w:szCs w:val="22"/>
        </w:rPr>
        <w:t>.</w:t>
      </w:r>
      <w:r w:rsidRPr="00FE2CD1">
        <w:rPr>
          <w:rFonts w:ascii="Traditional Arabic" w:hAnsi="Traditional Arabic" w:cs="Traditional Arabic"/>
          <w:sz w:val="22"/>
          <w:szCs w:val="22"/>
          <w:rtl/>
        </w:rPr>
        <w:t xml:space="preserve"> </w:t>
      </w:r>
      <w:r w:rsidRPr="00FE2CD1">
        <w:rPr>
          <w:sz w:val="20"/>
        </w:rPr>
        <w:t xml:space="preserve">Saferworld 2017  </w:t>
      </w:r>
      <w:r>
        <w:rPr>
          <w:rFonts w:hint="cs"/>
          <w:sz w:val="20"/>
          <w:rtl/>
        </w:rPr>
        <w:t>.</w:t>
      </w:r>
    </w:p>
  </w:footnote>
  <w:footnote w:id="971">
    <w:p w14:paraId="6CE23A37" w14:textId="607A0650"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p>
  </w:footnote>
  <w:footnote w:id="972">
    <w:p w14:paraId="780A8196" w14:textId="7F330C3C"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أنظر الجزء (ه) أدناه.</w:t>
      </w:r>
    </w:p>
  </w:footnote>
  <w:footnote w:id="973">
    <w:p w14:paraId="4CCB43C2" w14:textId="6718BE60" w:rsidR="00A1624A" w:rsidRPr="00883E91" w:rsidRDefault="00A1624A" w:rsidP="00B81240">
      <w:pPr>
        <w:pStyle w:val="FootnoteText"/>
        <w:tabs>
          <w:tab w:val="clear" w:pos="1021"/>
        </w:tabs>
        <w:bidi/>
        <w:ind w:left="851" w:firstLine="0"/>
        <w:jc w:val="both"/>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r w:rsidRPr="00883E91">
        <w:t>Saferworld 2017. Rohwerder 2017.</w:t>
      </w:r>
    </w:p>
  </w:footnote>
  <w:footnote w:id="974">
    <w:p w14:paraId="2F162FFC" w14:textId="52803EF7" w:rsidR="00A1624A" w:rsidRPr="001B56E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r w:rsidRPr="001B56E0">
        <w:rPr>
          <w:rFonts w:ascii="Traditional Arabic" w:hAnsi="Traditional Arabic" w:cs="Traditional Arabic"/>
          <w:sz w:val="22"/>
          <w:szCs w:val="22"/>
          <w:rtl/>
        </w:rPr>
        <w:t xml:space="preserve"> لمزيد من التفاصيل حول استنتاجات الفريق بشأن تجنيد الأطفال، أنظر فصل تجنيد الأطفال. </w:t>
      </w:r>
    </w:p>
  </w:footnote>
  <w:footnote w:id="975">
    <w:p w14:paraId="740120D8" w14:textId="696FF05D" w:rsidR="00A1624A" w:rsidRPr="00883E91" w:rsidRDefault="00A1624A" w:rsidP="00B81240">
      <w:pPr>
        <w:pStyle w:val="FootnoteText"/>
        <w:tabs>
          <w:tab w:val="clear" w:pos="1021"/>
        </w:tabs>
        <w:bidi/>
        <w:ind w:left="851" w:firstLine="0"/>
        <w:jc w:val="both"/>
      </w:pPr>
      <w:r w:rsidRPr="001B56E0">
        <w:rPr>
          <w:rStyle w:val="FootnoteReference"/>
          <w:rFonts w:ascii="Traditional Arabic" w:hAnsi="Traditional Arabic" w:cs="Traditional Arabic"/>
          <w:sz w:val="22"/>
          <w:szCs w:val="22"/>
        </w:rPr>
        <w:footnoteRef/>
      </w:r>
      <w:r w:rsidRPr="001B56E0">
        <w:rPr>
          <w:rFonts w:ascii="Traditional Arabic" w:hAnsi="Traditional Arabic" w:cs="Traditional Arabic"/>
          <w:sz w:val="22"/>
          <w:szCs w:val="22"/>
        </w:rPr>
        <w:t xml:space="preserve"> </w:t>
      </w:r>
      <w:r w:rsidRPr="001B56E0">
        <w:rPr>
          <w:rFonts w:ascii="Traditional Arabic" w:hAnsi="Traditional Arabic" w:cs="Traditional Arabic"/>
          <w:sz w:val="22"/>
          <w:szCs w:val="22"/>
          <w:rtl/>
        </w:rPr>
        <w:t>مصادر سريّة في الملف</w:t>
      </w:r>
      <w:r w:rsidRPr="001B56E0">
        <w:rPr>
          <w:rFonts w:ascii="Traditional Arabic" w:hAnsi="Traditional Arabic" w:cs="Traditional Arabic"/>
          <w:sz w:val="22"/>
          <w:szCs w:val="22"/>
        </w:rPr>
        <w:t>.</w:t>
      </w:r>
    </w:p>
  </w:footnote>
  <w:footnote w:id="976">
    <w:p w14:paraId="4BE89F9A" w14:textId="58943292"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 xml:space="preserve">كما تدل استنتاجات فريق الخبراء في هذا الجزء من فصل العنف القائم على النوع الجنساني. أنظر أيضًا </w:t>
      </w:r>
    </w:p>
    <w:p w14:paraId="76384EEF" w14:textId="18CE7389" w:rsidR="00A1624A" w:rsidRPr="00883E91" w:rsidRDefault="00A1624A" w:rsidP="00B81240">
      <w:pPr>
        <w:pStyle w:val="FootnoteText"/>
        <w:tabs>
          <w:tab w:val="clear" w:pos="1021"/>
        </w:tabs>
        <w:bidi/>
        <w:ind w:left="851" w:firstLine="0"/>
        <w:jc w:val="both"/>
      </w:pPr>
      <w:r w:rsidRPr="005159C2">
        <w:t>Saferworld 2017.</w:t>
      </w:r>
    </w:p>
  </w:footnote>
  <w:footnote w:id="977">
    <w:p w14:paraId="67F0F6DA" w14:textId="0A502CDA" w:rsidR="00A1624A" w:rsidRPr="00883E91" w:rsidRDefault="00A1624A" w:rsidP="00B81240">
      <w:pPr>
        <w:pStyle w:val="FootnoteText"/>
        <w:tabs>
          <w:tab w:val="clear" w:pos="1021"/>
        </w:tabs>
        <w:bidi/>
        <w:ind w:left="851" w:firstLine="0"/>
        <w:jc w:val="both"/>
      </w:pPr>
      <w:r>
        <w:rPr>
          <w:rStyle w:val="FootnoteReference"/>
        </w:rPr>
        <w:footnoteRef/>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978">
    <w:p w14:paraId="0834FE91" w14:textId="3D690517" w:rsidR="00A1624A" w:rsidRDefault="00A1624A" w:rsidP="00B81240">
      <w:pPr>
        <w:pStyle w:val="FootnoteText"/>
        <w:tabs>
          <w:tab w:val="clear" w:pos="1021"/>
        </w:tabs>
        <w:bidi/>
        <w:ind w:left="851" w:firstLine="0"/>
        <w:jc w:val="both"/>
        <w:rPr>
          <w:rtl/>
        </w:rPr>
      </w:pPr>
      <w:r>
        <w:rPr>
          <w:rStyle w:val="FootnoteReference"/>
        </w:rPr>
        <w:footnoteRef/>
      </w:r>
      <w: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r>
        <w:rPr>
          <w:rFonts w:asciiTheme="majorBidi" w:hAnsiTheme="majorBidi" w:cstheme="majorBidi" w:hint="cs"/>
          <w:sz w:val="20"/>
          <w:rtl/>
        </w:rPr>
        <w:t xml:space="preserve"> </w:t>
      </w:r>
    </w:p>
    <w:p w14:paraId="6D4D31DC" w14:textId="70AF7939" w:rsidR="00A1624A" w:rsidRPr="005159C2" w:rsidRDefault="00A1624A" w:rsidP="00B81240">
      <w:pPr>
        <w:pStyle w:val="FootnoteText"/>
        <w:tabs>
          <w:tab w:val="clear" w:pos="1021"/>
        </w:tabs>
        <w:bidi/>
        <w:ind w:left="851" w:firstLine="0"/>
        <w:jc w:val="both"/>
      </w:pPr>
      <w:r w:rsidRPr="005159C2">
        <w:t>Sanaa Centre for Strategic Studies “The Impact of the Conflict in Yemen on Mental Health”, 2019.</w:t>
      </w:r>
    </w:p>
  </w:footnote>
  <w:footnote w:id="979">
    <w:p w14:paraId="07AD8F03" w14:textId="3DEC3DD0"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0">
    <w:p w14:paraId="4B5BE80D" w14:textId="478A8B2D"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r w:rsidRPr="00554900">
        <w:rPr>
          <w:rFonts w:ascii="Traditional Arabic" w:hAnsi="Traditional Arabic" w:cs="Traditional Arabic"/>
          <w:sz w:val="22"/>
          <w:szCs w:val="22"/>
          <w:rtl/>
        </w:rPr>
        <w:t xml:space="preserve"> لمزيد من التفاصيل، أنظر أيضًا الفصل عن الحياة في صنعاء والمناطق الأخرى تحت سيطرة سلطة الأمر الواقع. </w:t>
      </w:r>
    </w:p>
  </w:footnote>
  <w:footnote w:id="981">
    <w:p w14:paraId="0881D5E7" w14:textId="2B21D952" w:rsidR="00A1624A" w:rsidRPr="005159C2" w:rsidRDefault="00A1624A" w:rsidP="00B81240">
      <w:pPr>
        <w:pStyle w:val="FootnoteText"/>
        <w:tabs>
          <w:tab w:val="clear" w:pos="1021"/>
        </w:tabs>
        <w:bidi/>
        <w:ind w:left="851" w:firstLine="0"/>
        <w:jc w:val="both"/>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2">
    <w:p w14:paraId="47331F43" w14:textId="5AE0FD11"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r w:rsidRPr="00554900">
        <w:rPr>
          <w:rFonts w:ascii="Traditional Arabic" w:hAnsi="Traditional Arabic" w:cs="Traditional Arabic"/>
          <w:sz w:val="22"/>
          <w:szCs w:val="22"/>
          <w:rtl/>
        </w:rPr>
        <w:t xml:space="preserve"> </w:t>
      </w:r>
      <w:r w:rsidRPr="00554900">
        <w:rPr>
          <w:rFonts w:asciiTheme="majorBidi" w:hAnsiTheme="majorBidi" w:cstheme="majorBidi"/>
          <w:sz w:val="20"/>
        </w:rPr>
        <w:t>http://www.ipsnews.net/2013/08/no-place-for-gays-in-yemen/.</w:t>
      </w:r>
    </w:p>
  </w:footnote>
  <w:footnote w:id="983">
    <w:p w14:paraId="3F401AA5" w14:textId="794ADBB8"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4">
    <w:p w14:paraId="238CD399" w14:textId="38C7018A"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5">
    <w:p w14:paraId="4C26F0BB" w14:textId="7260E82A" w:rsidR="00A1624A" w:rsidRPr="00554900" w:rsidRDefault="00A1624A" w:rsidP="00B81240">
      <w:pPr>
        <w:pStyle w:val="FootnoteText"/>
        <w:tabs>
          <w:tab w:val="clear" w:pos="1021"/>
        </w:tabs>
        <w:bidi/>
        <w:ind w:left="851" w:firstLine="0"/>
        <w:jc w:val="both"/>
        <w:rPr>
          <w:rFonts w:ascii="Traditional Arabic" w:hAnsi="Traditional Arabic" w:cs="Traditional Arabic"/>
          <w:sz w:val="22"/>
          <w:szCs w:val="22"/>
          <w:rtl/>
          <w:lang w:val="en-US"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6">
    <w:p w14:paraId="1CF0CCA7" w14:textId="0964D6A6" w:rsidR="00A1624A" w:rsidRPr="005159C2" w:rsidRDefault="00A1624A" w:rsidP="00B81240">
      <w:pPr>
        <w:pStyle w:val="FootnoteText"/>
        <w:tabs>
          <w:tab w:val="clear" w:pos="1021"/>
        </w:tabs>
        <w:bidi/>
        <w:ind w:left="851" w:firstLine="0"/>
        <w:jc w:val="both"/>
        <w:rPr>
          <w:rtl/>
          <w:lang w:bidi="ar-JO"/>
        </w:rPr>
      </w:pPr>
      <w:r w:rsidRPr="00554900">
        <w:rPr>
          <w:rStyle w:val="FootnoteReference"/>
          <w:rFonts w:ascii="Traditional Arabic" w:hAnsi="Traditional Arabic" w:cs="Traditional Arabic"/>
          <w:sz w:val="22"/>
          <w:szCs w:val="22"/>
        </w:rPr>
        <w:footnoteRef/>
      </w:r>
      <w:r w:rsidRPr="00554900">
        <w:rPr>
          <w:rFonts w:ascii="Traditional Arabic" w:hAnsi="Traditional Arabic" w:cs="Traditional Arabic"/>
          <w:sz w:val="22"/>
          <w:szCs w:val="22"/>
        </w:rPr>
        <w:t xml:space="preserve"> </w:t>
      </w:r>
      <w:r w:rsidRPr="00554900">
        <w:rPr>
          <w:rFonts w:ascii="Traditional Arabic" w:hAnsi="Traditional Arabic" w:cs="Traditional Arabic"/>
          <w:sz w:val="22"/>
          <w:szCs w:val="22"/>
          <w:rtl/>
        </w:rPr>
        <w:t>مصادر سريّة في الملف</w:t>
      </w:r>
      <w:r w:rsidRPr="00554900">
        <w:rPr>
          <w:rFonts w:ascii="Traditional Arabic" w:hAnsi="Traditional Arabic" w:cs="Traditional Arabic"/>
          <w:sz w:val="22"/>
          <w:szCs w:val="22"/>
        </w:rPr>
        <w:t>.</w:t>
      </w:r>
    </w:p>
  </w:footnote>
  <w:footnote w:id="987">
    <w:p w14:paraId="3CAC8348" w14:textId="79A944F5"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p>
  </w:footnote>
  <w:footnote w:id="988">
    <w:p w14:paraId="1D172C4E" w14:textId="3E96C7BA"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p>
  </w:footnote>
  <w:footnote w:id="989">
    <w:p w14:paraId="622EA386" w14:textId="7E891904"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footnote>
  <w:footnote w:id="990">
    <w:p w14:paraId="52382D28" w14:textId="73520DF8"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p w14:paraId="1A3F0D60" w14:textId="45010990" w:rsidR="00A1624A" w:rsidRPr="00906161" w:rsidRDefault="00A1624A" w:rsidP="00B81240">
      <w:pPr>
        <w:pStyle w:val="FootnoteText"/>
        <w:tabs>
          <w:tab w:val="clear" w:pos="1021"/>
        </w:tabs>
        <w:bidi/>
        <w:ind w:left="851" w:firstLine="0"/>
        <w:jc w:val="both"/>
        <w:rPr>
          <w:sz w:val="20"/>
        </w:rPr>
      </w:pPr>
      <w:r w:rsidRPr="00906161">
        <w:rPr>
          <w:sz w:val="20"/>
        </w:rPr>
        <w:t>Oxfam-CARE-GenCap 2016. United Nations Inter-agency Network on Violence Against Women, “Country Assessment on Yemen”, 2010.</w:t>
      </w:r>
    </w:p>
  </w:footnote>
  <w:footnote w:id="991">
    <w:p w14:paraId="13FE96C2" w14:textId="504909E2" w:rsidR="00A1624A" w:rsidRPr="00906161"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06161">
        <w:rPr>
          <w:rStyle w:val="FootnoteReference"/>
          <w:rFonts w:ascii="Traditional Arabic" w:hAnsi="Traditional Arabic" w:cs="Traditional Arabic"/>
          <w:sz w:val="22"/>
          <w:szCs w:val="22"/>
        </w:rPr>
        <w:footnoteRef/>
      </w:r>
      <w:r w:rsidRPr="00906161">
        <w:rPr>
          <w:rFonts w:ascii="Traditional Arabic" w:hAnsi="Traditional Arabic" w:cs="Traditional Arabic"/>
          <w:sz w:val="22"/>
          <w:szCs w:val="22"/>
        </w:rPr>
        <w:t xml:space="preserve"> </w:t>
      </w:r>
      <w:r w:rsidRPr="00906161">
        <w:rPr>
          <w:rFonts w:ascii="Traditional Arabic" w:hAnsi="Traditional Arabic" w:cs="Traditional Arabic"/>
          <w:sz w:val="22"/>
          <w:szCs w:val="22"/>
          <w:rtl/>
        </w:rPr>
        <w:t>مصادر سريّة في الملف</w:t>
      </w:r>
      <w:r w:rsidRPr="00906161">
        <w:rPr>
          <w:rFonts w:ascii="Traditional Arabic" w:hAnsi="Traditional Arabic" w:cs="Traditional Arabic"/>
          <w:sz w:val="22"/>
          <w:szCs w:val="22"/>
        </w:rPr>
        <w:t>.</w:t>
      </w:r>
      <w:r w:rsidRPr="00906161">
        <w:rPr>
          <w:rFonts w:ascii="Traditional Arabic" w:hAnsi="Traditional Arabic" w:cs="Traditional Arabic"/>
          <w:sz w:val="22"/>
          <w:szCs w:val="22"/>
          <w:rtl/>
        </w:rPr>
        <w:t xml:space="preserve"> </w:t>
      </w:r>
    </w:p>
    <w:p w14:paraId="76D15AC1" w14:textId="7B5D5A9D" w:rsidR="00A1624A" w:rsidRPr="00906161" w:rsidRDefault="00A1624A" w:rsidP="00B81240">
      <w:pPr>
        <w:pStyle w:val="FootnoteText"/>
        <w:tabs>
          <w:tab w:val="clear" w:pos="1021"/>
        </w:tabs>
        <w:bidi/>
        <w:ind w:left="851" w:firstLine="0"/>
        <w:jc w:val="both"/>
        <w:rPr>
          <w:sz w:val="20"/>
        </w:rPr>
      </w:pPr>
      <w:r w:rsidRPr="00906161">
        <w:rPr>
          <w:sz w:val="20"/>
        </w:rPr>
        <w:t>Heinze and Stevens 2018. Oxfam-CARE-GenCap 2016.</w:t>
      </w:r>
    </w:p>
  </w:footnote>
  <w:footnote w:id="992">
    <w:p w14:paraId="2E1F6408" w14:textId="21D2D5B0" w:rsidR="00A1624A" w:rsidRPr="00906161" w:rsidRDefault="00A1624A" w:rsidP="00B81240">
      <w:pPr>
        <w:pStyle w:val="FootnoteText"/>
        <w:tabs>
          <w:tab w:val="clear" w:pos="1021"/>
        </w:tabs>
        <w:bidi/>
        <w:ind w:left="851" w:firstLine="0"/>
        <w:jc w:val="both"/>
        <w:rPr>
          <w:sz w:val="20"/>
        </w:rPr>
      </w:pPr>
      <w:r w:rsidRPr="00906161">
        <w:rPr>
          <w:rStyle w:val="FootnoteReference"/>
          <w:sz w:val="20"/>
        </w:rPr>
        <w:footnoteRef/>
      </w:r>
      <w:r w:rsidRPr="00906161">
        <w:rPr>
          <w:sz w:val="20"/>
        </w:rPr>
        <w:t xml:space="preserve">UNFPA, Gender-Based Violence Information Management System, 2018. </w:t>
      </w:r>
    </w:p>
  </w:footnote>
  <w:footnote w:id="993">
    <w:p w14:paraId="65E3E42D" w14:textId="16F08DB2" w:rsidR="00A1624A" w:rsidRPr="00D22DC6" w:rsidRDefault="00A1624A" w:rsidP="00B81240">
      <w:pPr>
        <w:pStyle w:val="FootnoteText"/>
        <w:tabs>
          <w:tab w:val="clear" w:pos="1021"/>
        </w:tabs>
        <w:bidi/>
        <w:ind w:left="851" w:firstLine="0"/>
        <w:jc w:val="both"/>
      </w:pPr>
      <w:r w:rsidRPr="00906161">
        <w:rPr>
          <w:rStyle w:val="FootnoteReference"/>
          <w:sz w:val="20"/>
        </w:rPr>
        <w:footnoteRef/>
      </w:r>
      <w:r w:rsidRPr="00906161">
        <w:rPr>
          <w:sz w:val="20"/>
        </w:rPr>
        <w:t xml:space="preserve"> UNFPA, Humanitarian Response in Yemen, 2019. UNFPA, Monthly Situation Report, April 2019.</w:t>
      </w:r>
    </w:p>
  </w:footnote>
  <w:footnote w:id="994">
    <w:p w14:paraId="365544EF" w14:textId="06A1E834"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r w:rsidRPr="00B2450C">
        <w:rPr>
          <w:rFonts w:ascii="Traditional Arabic" w:hAnsi="Traditional Arabic" w:cs="Traditional Arabic"/>
          <w:sz w:val="22"/>
          <w:szCs w:val="22"/>
          <w:rtl/>
        </w:rPr>
        <w:t xml:space="preserve"> </w:t>
      </w:r>
    </w:p>
    <w:p w14:paraId="7451AB3F" w14:textId="1BE9F230" w:rsidR="00A1624A" w:rsidRPr="00D22DC6" w:rsidRDefault="00A1624A" w:rsidP="00B81240">
      <w:pPr>
        <w:pStyle w:val="FootnoteText"/>
        <w:tabs>
          <w:tab w:val="clear" w:pos="1021"/>
        </w:tabs>
        <w:bidi/>
        <w:ind w:left="851" w:firstLine="0"/>
        <w:jc w:val="both"/>
      </w:pPr>
      <w:r w:rsidRPr="00D22DC6">
        <w:t>OCHA, Humanitarian Needs Overview, 2019.</w:t>
      </w:r>
    </w:p>
  </w:footnote>
  <w:footnote w:id="995">
    <w:p w14:paraId="502577D3" w14:textId="2F3DF078"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p>
  </w:footnote>
  <w:footnote w:id="996">
    <w:p w14:paraId="6F295B02" w14:textId="069DA64D" w:rsidR="00A1624A" w:rsidRPr="00D22DC6" w:rsidRDefault="00A1624A" w:rsidP="00B81240">
      <w:pPr>
        <w:pStyle w:val="FootnoteText"/>
        <w:tabs>
          <w:tab w:val="clear" w:pos="1021"/>
        </w:tabs>
        <w:bidi/>
        <w:ind w:left="851" w:firstLine="0"/>
        <w:jc w:val="both"/>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لمزيد من المعلومات حول استنتاجات فريق الخبراء، أنظر الفصل حول السيطرة على عدن والجنوب (2016-2019).</w:t>
      </w:r>
      <w:r>
        <w:rPr>
          <w:rFonts w:hint="cs"/>
          <w:rtl/>
        </w:rPr>
        <w:t xml:space="preserve">  </w:t>
      </w:r>
    </w:p>
  </w:footnote>
  <w:footnote w:id="997">
    <w:p w14:paraId="00925835" w14:textId="52A2EBFE"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 xml:space="preserve">لمزيد من النقاش حول النساء من أفريقيا ومجتمعات المهمشين، أنظر أعلاه الفصل 2 حول وضع النساء والفتيات في اليمن. </w:t>
      </w:r>
    </w:p>
  </w:footnote>
  <w:footnote w:id="998">
    <w:p w14:paraId="2B143F31" w14:textId="55E1EB84"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 xml:space="preserve"> </w:t>
      </w:r>
    </w:p>
  </w:footnote>
  <w:footnote w:id="999">
    <w:p w14:paraId="30CF12DA" w14:textId="78213EB0"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 xml:space="preserve">مصادر سريّة في الملف. مصطلح شائع في الدلالة عن أعضاء مجتمعات المهمشين، ويُستخدم هذا المصطلح " الأخدام" في سبيل تحقيرهم. </w:t>
      </w:r>
    </w:p>
  </w:footnote>
  <w:footnote w:id="1000">
    <w:p w14:paraId="5D6CFFE4" w14:textId="78FFBC77"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p>
    <w:p w14:paraId="664408A7" w14:textId="299893DB" w:rsidR="00A1624A" w:rsidRPr="00B2450C" w:rsidRDefault="00A1624A" w:rsidP="00B81240">
      <w:pPr>
        <w:pStyle w:val="FootnoteText"/>
        <w:tabs>
          <w:tab w:val="clear" w:pos="1021"/>
        </w:tabs>
        <w:bidi/>
        <w:ind w:left="851" w:firstLine="0"/>
        <w:jc w:val="both"/>
        <w:rPr>
          <w:sz w:val="20"/>
        </w:rPr>
      </w:pPr>
      <w:r w:rsidRPr="00B2450C">
        <w:rPr>
          <w:sz w:val="20"/>
        </w:rPr>
        <w:t>Amnesty International “Taiz: Authorities Must do More to Tackle Child Rape and Abuse under Militia Rule”, March 2019. See also the Aden and the South and West Coast Fighting Chapters.</w:t>
      </w:r>
    </w:p>
  </w:footnote>
  <w:footnote w:id="1001">
    <w:p w14:paraId="373BC4E3" w14:textId="2EC7F18A" w:rsidR="00A1624A" w:rsidRPr="00B2450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B2450C">
        <w:rPr>
          <w:rStyle w:val="FootnoteReference"/>
          <w:rFonts w:ascii="Traditional Arabic" w:hAnsi="Traditional Arabic" w:cs="Traditional Arabic"/>
          <w:sz w:val="22"/>
          <w:szCs w:val="22"/>
        </w:rPr>
        <w:footnoteRef/>
      </w:r>
      <w:r w:rsidRPr="00B2450C">
        <w:rPr>
          <w:rFonts w:ascii="Traditional Arabic" w:hAnsi="Traditional Arabic" w:cs="Traditional Arabic"/>
          <w:sz w:val="22"/>
          <w:szCs w:val="22"/>
        </w:rPr>
        <w:t xml:space="preserve"> </w:t>
      </w:r>
      <w:r w:rsidRPr="00B2450C">
        <w:rPr>
          <w:rFonts w:ascii="Traditional Arabic" w:hAnsi="Traditional Arabic" w:cs="Traditional Arabic"/>
          <w:sz w:val="22"/>
          <w:szCs w:val="22"/>
          <w:rtl/>
        </w:rPr>
        <w:t>مصادر سريّة في الملف</w:t>
      </w:r>
      <w:r w:rsidRPr="00B2450C">
        <w:rPr>
          <w:rFonts w:ascii="Traditional Arabic" w:hAnsi="Traditional Arabic" w:cs="Traditional Arabic"/>
          <w:sz w:val="22"/>
          <w:szCs w:val="22"/>
        </w:rPr>
        <w:t>.</w:t>
      </w:r>
    </w:p>
  </w:footnote>
  <w:footnote w:id="1002">
    <w:p w14:paraId="3A2818F7" w14:textId="26793A08"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لمزيد من التفاصيل، أنظر أيضًا الفصل عن الحياة في صنعاء والمناطق الأخرى تحت سيطرة سلطة الأمر الواقع. </w:t>
      </w:r>
    </w:p>
  </w:footnote>
  <w:footnote w:id="1003">
    <w:p w14:paraId="58218993" w14:textId="3145B0A6" w:rsidR="00A1624A" w:rsidRPr="00D22DC6"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لمزيد من التفاصيل حول استنتاجات الفريق، أنظر الفصل عن السيطرة على عدن والجنوب (2016-2019).</w:t>
      </w:r>
      <w:r>
        <w:rPr>
          <w:rFonts w:asciiTheme="majorBidi" w:hAnsiTheme="majorBidi" w:cstheme="majorBidi" w:hint="cs"/>
          <w:sz w:val="20"/>
          <w:rtl/>
        </w:rPr>
        <w:t xml:space="preserve"> </w:t>
      </w:r>
    </w:p>
  </w:footnote>
  <w:footnote w:id="1004">
    <w:p w14:paraId="3EDFC37B" w14:textId="57320F5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5">
    <w:p w14:paraId="25B770CC" w14:textId="242D3582"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6">
    <w:p w14:paraId="01FDDFF5" w14:textId="7792376B" w:rsidR="00A1624A" w:rsidRPr="00A06BDB" w:rsidRDefault="00A1624A" w:rsidP="00B81240">
      <w:pPr>
        <w:pStyle w:val="FootnoteText"/>
        <w:tabs>
          <w:tab w:val="clear" w:pos="1021"/>
        </w:tabs>
        <w:bidi/>
        <w:ind w:left="851" w:firstLine="0"/>
        <w:jc w:val="both"/>
        <w:rPr>
          <w:rFonts w:ascii="Traditional Arabic" w:hAnsi="Traditional Arabic" w:cs="Traditional Arabic"/>
          <w:sz w:val="20"/>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p w14:paraId="4668681F" w14:textId="658FF73B" w:rsidR="00A1624A" w:rsidRPr="00187C40" w:rsidRDefault="00A1624A" w:rsidP="00B81240">
      <w:pPr>
        <w:pStyle w:val="FootnoteText"/>
        <w:tabs>
          <w:tab w:val="clear" w:pos="1021"/>
        </w:tabs>
        <w:bidi/>
        <w:ind w:left="851" w:firstLine="0"/>
        <w:jc w:val="both"/>
      </w:pPr>
      <w:r w:rsidRPr="00A06BDB">
        <w:rPr>
          <w:sz w:val="20"/>
        </w:rPr>
        <w:t>Marie Christian-Heinze, “Criminal Histories, Arrests and Prison Experiences of Women in Yemen”, Yemen Polling Centre, 2018.</w:t>
      </w:r>
    </w:p>
  </w:footnote>
  <w:footnote w:id="1007">
    <w:p w14:paraId="44EABF5B" w14:textId="250EA54F"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08">
    <w:p w14:paraId="4BDD8F9F" w14:textId="32479E7A" w:rsidR="00A1624A" w:rsidRPr="00A06BDB" w:rsidRDefault="00A1624A" w:rsidP="00B81240">
      <w:pPr>
        <w:pStyle w:val="FootnoteText"/>
        <w:tabs>
          <w:tab w:val="clear" w:pos="1021"/>
        </w:tabs>
        <w:bidi/>
        <w:ind w:left="851" w:firstLine="0"/>
        <w:jc w:val="both"/>
        <w:rPr>
          <w:rFonts w:ascii="Traditional Arabic" w:hAnsi="Traditional Arabic" w:cs="Traditional Arabic"/>
          <w:sz w:val="20"/>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كان يوجد شعور مشترك ما بين الناشطات اللواتي تم مقابلتهن. أنظر أيضًا: </w:t>
      </w:r>
    </w:p>
    <w:p w14:paraId="72CFA92D" w14:textId="52779B5D" w:rsidR="00A1624A" w:rsidRPr="00187C40" w:rsidRDefault="00A1624A" w:rsidP="00B81240">
      <w:pPr>
        <w:pStyle w:val="FootnoteText"/>
        <w:tabs>
          <w:tab w:val="clear" w:pos="1021"/>
        </w:tabs>
        <w:bidi/>
        <w:ind w:left="851" w:firstLine="0"/>
        <w:jc w:val="both"/>
      </w:pPr>
      <w:r w:rsidRPr="00A06BDB">
        <w:rPr>
          <w:sz w:val="20"/>
        </w:rPr>
        <w:t>Tom Finn, “After the Revolution, The Struggle for Women’s Rights in Yemen”, Dissent, 2015. Inclusive Peace and Transition Initiative (IPTI) “Women in Peace and Transition Processes in Yemen”, 2018.</w:t>
      </w:r>
    </w:p>
  </w:footnote>
  <w:footnote w:id="1009">
    <w:p w14:paraId="408CE0DB" w14:textId="3A09A3F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0">
    <w:p w14:paraId="1924A10E" w14:textId="0FC452E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1">
    <w:p w14:paraId="3C50A840" w14:textId="13C9CD47"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2">
    <w:p w14:paraId="355254BF" w14:textId="7701A0A3"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3">
    <w:p w14:paraId="22FF5B16" w14:textId="4F5147DA" w:rsidR="00A1624A" w:rsidRPr="00187C40"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لمزيد من التفاصيل، أنظر الفصل عن صنعاء والمناطق الأخرى تحت سيطرة سلطة الأمر الواقع.</w:t>
      </w:r>
      <w:r>
        <w:rPr>
          <w:rFonts w:asciiTheme="majorBidi" w:hAnsiTheme="majorBidi" w:cstheme="majorBidi" w:hint="cs"/>
          <w:sz w:val="20"/>
          <w:rtl/>
        </w:rPr>
        <w:t xml:space="preserve"> </w:t>
      </w:r>
    </w:p>
  </w:footnote>
  <w:footnote w:id="1014">
    <w:p w14:paraId="4A3A0F7A" w14:textId="2BA7307D"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5">
    <w:p w14:paraId="37558185" w14:textId="2FB498C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16">
    <w:p w14:paraId="289744E7" w14:textId="491BAB56"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footnote>
  <w:footnote w:id="1017">
    <w:p w14:paraId="627CD9A3" w14:textId="3A2A917E"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أنظر أيضًا الفصل 4 أعلاه. </w:t>
      </w:r>
    </w:p>
  </w:footnote>
  <w:footnote w:id="1018">
    <w:p w14:paraId="75262075" w14:textId="1F32AD1E"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المرجع نفسه. </w:t>
      </w:r>
    </w:p>
  </w:footnote>
  <w:footnote w:id="1019">
    <w:p w14:paraId="2A4211E4" w14:textId="70E3E6CA" w:rsidR="00A1624A" w:rsidRPr="00187C40"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0">
    <w:p w14:paraId="3910A9DE" w14:textId="5A71D9D9"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1">
    <w:p w14:paraId="6F391B3D" w14:textId="0A80B702" w:rsidR="00A1624A" w:rsidRDefault="00A1624A" w:rsidP="00B81240">
      <w:pPr>
        <w:pStyle w:val="FootnoteText"/>
        <w:tabs>
          <w:tab w:val="clear" w:pos="1021"/>
        </w:tabs>
        <w:bidi/>
        <w:ind w:left="851" w:firstLine="0"/>
        <w:jc w:val="both"/>
        <w:rPr>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Pr>
          <w:rFonts w:asciiTheme="majorBidi" w:hAnsiTheme="majorBidi" w:cstheme="majorBidi" w:hint="cs"/>
          <w:sz w:val="20"/>
          <w:rtl/>
        </w:rPr>
        <w:t xml:space="preserve"> </w:t>
      </w:r>
    </w:p>
    <w:p w14:paraId="198FBE86" w14:textId="18BFE168" w:rsidR="00A1624A" w:rsidRPr="00A06BDB" w:rsidRDefault="00A1624A" w:rsidP="00B81240">
      <w:pPr>
        <w:pStyle w:val="FootnoteText"/>
        <w:tabs>
          <w:tab w:val="clear" w:pos="1021"/>
        </w:tabs>
        <w:bidi/>
        <w:ind w:left="851" w:firstLine="0"/>
        <w:jc w:val="both"/>
        <w:rPr>
          <w:sz w:val="20"/>
        </w:rPr>
      </w:pPr>
      <w:r w:rsidRPr="00A06BDB">
        <w:rPr>
          <w:sz w:val="20"/>
        </w:rPr>
        <w:t>IPTI 2018; UK Foreign and Commonwealth Office (FCO), Oxfam, International Alert (IA), “Research on Gender Justice, Conflict and fragility in MENA”, 2017, Page 102-104. Saferworld “Women Nowadays Do Anything”, 2017, page 14.</w:t>
      </w:r>
    </w:p>
  </w:footnote>
  <w:footnote w:id="1022">
    <w:p w14:paraId="29C05961" w14:textId="40CC52B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3">
    <w:p w14:paraId="618F889F" w14:textId="630B6477"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4">
    <w:p w14:paraId="3C16C89D" w14:textId="77FE4EA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r w:rsidRPr="00A06BDB">
        <w:rPr>
          <w:rFonts w:asciiTheme="majorBidi" w:hAnsiTheme="majorBidi" w:cstheme="majorBidi"/>
          <w:sz w:val="20"/>
        </w:rPr>
        <w:t>FCO-Oxfam-IA 2017 Page 102-104. Saferworld 2017</w:t>
      </w:r>
    </w:p>
  </w:footnote>
  <w:footnote w:id="1025">
    <w:p w14:paraId="16067661" w14:textId="164FBEC2"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r w:rsidRPr="00A06BDB">
        <w:rPr>
          <w:rFonts w:ascii="Traditional Arabic" w:hAnsi="Traditional Arabic" w:cs="Traditional Arabic"/>
          <w:sz w:val="22"/>
          <w:szCs w:val="22"/>
          <w:rtl/>
        </w:rPr>
        <w:t xml:space="preserve"> </w:t>
      </w:r>
    </w:p>
    <w:p w14:paraId="0900B6BC" w14:textId="25D95210" w:rsidR="00A1624A" w:rsidRPr="00A06BDB" w:rsidRDefault="00A1624A" w:rsidP="00B81240">
      <w:pPr>
        <w:pStyle w:val="FootnoteText"/>
        <w:tabs>
          <w:tab w:val="clear" w:pos="1021"/>
        </w:tabs>
        <w:bidi/>
        <w:ind w:left="851" w:firstLine="0"/>
        <w:jc w:val="both"/>
        <w:rPr>
          <w:sz w:val="20"/>
        </w:rPr>
      </w:pPr>
      <w:r w:rsidRPr="00A06BDB">
        <w:rPr>
          <w:sz w:val="20"/>
        </w:rPr>
        <w:t>Afrah Nasser, “In Yemen Women Bear the Brunt”, al-Araby, March 2018. Finn 2015. IPTI 2018. https://www.nytimes.com/2015/06/12/world/middleeast/yemen-trials-of-spring.html.</w:t>
      </w:r>
    </w:p>
  </w:footnote>
  <w:footnote w:id="1026">
    <w:p w14:paraId="524395B3" w14:textId="3F3A631B"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مصادر سريّة في الملف</w:t>
      </w:r>
      <w:r w:rsidRPr="00A06BDB">
        <w:rPr>
          <w:rFonts w:ascii="Traditional Arabic" w:hAnsi="Traditional Arabic" w:cs="Traditional Arabic"/>
          <w:sz w:val="22"/>
          <w:szCs w:val="22"/>
        </w:rPr>
        <w:t>.</w:t>
      </w:r>
    </w:p>
  </w:footnote>
  <w:footnote w:id="1027">
    <w:p w14:paraId="70A6AC6F" w14:textId="6BFD62AC"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9 من </w:t>
      </w:r>
      <w:r w:rsidRPr="00A06BDB">
        <w:rPr>
          <w:rStyle w:val="preferred"/>
          <w:rFonts w:ascii="Traditional Arabic" w:hAnsi="Traditional Arabic" w:cs="Traditional Arabic"/>
          <w:sz w:val="22"/>
          <w:szCs w:val="22"/>
          <w:cs/>
        </w:rPr>
        <w:t>‎</w:t>
      </w:r>
      <w:r w:rsidRPr="00A06BDB">
        <w:rPr>
          <w:rStyle w:val="preferred"/>
          <w:rFonts w:ascii="Traditional Arabic" w:hAnsi="Traditional Arabic" w:cs="Traditional Arabic"/>
          <w:sz w:val="22"/>
          <w:szCs w:val="22"/>
          <w:rtl/>
        </w:rPr>
        <w:t xml:space="preserve">العهد الدولي الخاص بالحقوق المدنية والسياسية. </w:t>
      </w:r>
    </w:p>
  </w:footnote>
  <w:footnote w:id="1028">
    <w:p w14:paraId="1145E0DC" w14:textId="23DD979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7 من </w:t>
      </w:r>
      <w:r w:rsidRPr="00A06BDB">
        <w:rPr>
          <w:rStyle w:val="preferred"/>
          <w:rFonts w:ascii="Traditional Arabic" w:hAnsi="Traditional Arabic" w:cs="Traditional Arabic"/>
          <w:sz w:val="22"/>
          <w:szCs w:val="22"/>
          <w:rtl/>
        </w:rPr>
        <w:t xml:space="preserve">العهد الدولي الخاص بالحقوق المدنية والسياسية، أنظر أيضًا لجنة مناهضة التعذيب، الفقرة 2. </w:t>
      </w:r>
    </w:p>
  </w:footnote>
  <w:footnote w:id="1029">
    <w:p w14:paraId="72847C72" w14:textId="29AD8234"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19 و21 من </w:t>
      </w:r>
      <w:r w:rsidRPr="00A06BDB">
        <w:rPr>
          <w:rStyle w:val="preferred"/>
          <w:rFonts w:ascii="Traditional Arabic" w:hAnsi="Traditional Arabic" w:cs="Traditional Arabic"/>
          <w:sz w:val="22"/>
          <w:szCs w:val="22"/>
          <w:rtl/>
        </w:rPr>
        <w:t xml:space="preserve">العهد الدولي الخاص بالحقوق المدنية والسياسية. </w:t>
      </w:r>
    </w:p>
  </w:footnote>
  <w:footnote w:id="1030">
    <w:p w14:paraId="70F48280" w14:textId="19C994A5" w:rsidR="00A1624A" w:rsidRPr="00A06BDB"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الفقرة 3 المشتركة من معاهدات جنيف، المادة 4 من </w:t>
      </w:r>
      <w:r w:rsidRPr="00A06BDB">
        <w:rPr>
          <w:rStyle w:val="tlid-translation"/>
          <w:rFonts w:ascii="Traditional Arabic" w:hAnsi="Traditional Arabic" w:cs="Traditional Arabic"/>
          <w:sz w:val="22"/>
          <w:szCs w:val="22"/>
          <w:rtl/>
        </w:rPr>
        <w:t xml:space="preserve">البروتوكول الإضافي الثاني بالتحديد. </w:t>
      </w:r>
    </w:p>
  </w:footnote>
  <w:footnote w:id="1031">
    <w:p w14:paraId="02AFBE8E" w14:textId="6A7FB5EC" w:rsidR="00A1624A" w:rsidRPr="00123C5F" w:rsidRDefault="00A1624A" w:rsidP="00B81240">
      <w:pPr>
        <w:pStyle w:val="FootnoteText"/>
        <w:tabs>
          <w:tab w:val="clear" w:pos="1021"/>
        </w:tabs>
        <w:bidi/>
        <w:ind w:left="851" w:firstLine="0"/>
        <w:jc w:val="both"/>
      </w:pPr>
      <w:r w:rsidRPr="00A06BDB">
        <w:rPr>
          <w:rStyle w:val="FootnoteReference"/>
          <w:rFonts w:ascii="Traditional Arabic" w:hAnsi="Traditional Arabic" w:cs="Traditional Arabic"/>
          <w:sz w:val="22"/>
          <w:szCs w:val="22"/>
        </w:rPr>
        <w:footnoteRef/>
      </w:r>
      <w:r w:rsidRPr="00A06BDB">
        <w:rPr>
          <w:rFonts w:ascii="Traditional Arabic" w:hAnsi="Traditional Arabic" w:cs="Traditional Arabic"/>
          <w:sz w:val="22"/>
          <w:szCs w:val="22"/>
        </w:rPr>
        <w:t xml:space="preserve"> </w:t>
      </w:r>
      <w:r w:rsidRPr="00A06BDB">
        <w:rPr>
          <w:rFonts w:ascii="Traditional Arabic" w:hAnsi="Traditional Arabic" w:cs="Traditional Arabic"/>
          <w:sz w:val="22"/>
          <w:szCs w:val="22"/>
          <w:rtl/>
        </w:rPr>
        <w:t xml:space="preserve">أنظر جرائم الحرب المذكورة في المادة 8 الفقرة </w:t>
      </w:r>
      <w:r w:rsidRPr="00A06BDB">
        <w:rPr>
          <w:rFonts w:ascii="Traditional Arabic" w:hAnsi="Traditional Arabic" w:cs="Traditional Arabic"/>
          <w:sz w:val="22"/>
          <w:szCs w:val="22"/>
        </w:rPr>
        <w:t>2.(c) (i)-(iii)</w:t>
      </w:r>
      <w:r w:rsidRPr="00A06BDB">
        <w:rPr>
          <w:rFonts w:ascii="Traditional Arabic" w:hAnsi="Traditional Arabic" w:cs="Traditional Arabic"/>
          <w:sz w:val="22"/>
          <w:szCs w:val="22"/>
          <w:rtl/>
        </w:rPr>
        <w:t xml:space="preserve"> و </w:t>
      </w:r>
      <w:r w:rsidRPr="00A06BDB">
        <w:rPr>
          <w:rFonts w:ascii="Traditional Arabic" w:hAnsi="Traditional Arabic" w:cs="Traditional Arabic"/>
          <w:sz w:val="22"/>
          <w:szCs w:val="22"/>
        </w:rPr>
        <w:t>(e) (vi)</w:t>
      </w:r>
      <w:r w:rsidRPr="00A06BDB">
        <w:rPr>
          <w:rFonts w:ascii="Traditional Arabic" w:hAnsi="Traditional Arabic" w:cs="Traditional Arabic"/>
          <w:sz w:val="22"/>
          <w:szCs w:val="22"/>
          <w:rtl/>
        </w:rPr>
        <w:t xml:space="preserve"> و</w:t>
      </w:r>
      <w:r w:rsidRPr="00A06BDB">
        <w:rPr>
          <w:rStyle w:val="tlid-translation"/>
          <w:rFonts w:ascii="Traditional Arabic" w:hAnsi="Traditional Arabic" w:cs="Traditional Arabic"/>
          <w:sz w:val="22"/>
          <w:szCs w:val="22"/>
          <w:rtl/>
        </w:rPr>
        <w:t>نظام روما الأساسي للمحكمة الجنائية الدولية والتي تعتبر أيضا جرائم حرب بموجب القانون الدولي العرفي. أنظر أيضًا دراسة اللجنة الدولية للصليب الأحمر حول القانون الدولي الإنساني العرفي</w:t>
      </w:r>
      <w:r w:rsidRPr="00A06BDB">
        <w:rPr>
          <w:rFonts w:ascii="Traditional Arabic" w:hAnsi="Traditional Arabic" w:cs="Traditional Arabic"/>
          <w:sz w:val="22"/>
          <w:szCs w:val="22"/>
          <w:rtl/>
        </w:rPr>
        <w:t xml:space="preserve">، </w:t>
      </w:r>
      <w:r w:rsidRPr="00A06BDB">
        <w:rPr>
          <w:rStyle w:val="tlid-translation"/>
          <w:rFonts w:ascii="Traditional Arabic" w:hAnsi="Traditional Arabic" w:cs="Traditional Arabic"/>
          <w:sz w:val="22"/>
          <w:szCs w:val="22"/>
          <w:rtl/>
        </w:rPr>
        <w:t>القواعد 90 و93 و96.</w:t>
      </w:r>
      <w:r>
        <w:rPr>
          <w:rStyle w:val="tlid-translation"/>
          <w:rFonts w:hint="cs"/>
          <w:rtl/>
        </w:rPr>
        <w:t xml:space="preserve"> </w:t>
      </w:r>
    </w:p>
  </w:footnote>
  <w:footnote w:id="1032">
    <w:p w14:paraId="58634EB6" w14:textId="38004D5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صدّق اليمن على اتفاقية حقوق الطفل في 1 أيار/ مايو 1991. </w:t>
      </w:r>
      <w:r w:rsidRPr="0005161E">
        <w:rPr>
          <w:rFonts w:ascii="Traditional Arabic" w:hAnsi="Traditional Arabic" w:cs="Traditional Arabic"/>
          <w:color w:val="000000"/>
          <w:sz w:val="22"/>
          <w:szCs w:val="22"/>
          <w:shd w:val="clear" w:color="auto" w:fill="FFFFFF"/>
        </w:rPr>
        <w:t> </w:t>
      </w:r>
    </w:p>
  </w:footnote>
  <w:footnote w:id="1033">
    <w:p w14:paraId="5665C43E" w14:textId="3A3A863F" w:rsidR="00A1624A" w:rsidRPr="00655CA9" w:rsidRDefault="00A1624A" w:rsidP="00B81240">
      <w:pPr>
        <w:pStyle w:val="FootnoteText"/>
        <w:tabs>
          <w:tab w:val="clear" w:pos="1021"/>
        </w:tabs>
        <w:bidi/>
        <w:ind w:left="851" w:firstLine="0"/>
        <w:jc w:val="both"/>
        <w:rPr>
          <w:rtl/>
          <w:lang w:bidi="ar-JO"/>
        </w:rPr>
      </w:pPr>
      <w:r>
        <w:rPr>
          <w:rStyle w:val="FootnoteReference"/>
        </w:rPr>
        <w:footnoteRef/>
      </w:r>
      <w:r>
        <w:t xml:space="preserve"> </w:t>
      </w:r>
      <w:r w:rsidRPr="00123C5F">
        <w:rPr>
          <w:sz w:val="16"/>
          <w:szCs w:val="16"/>
        </w:rPr>
        <w:t>United Nations, Report of the Secretary-General on Children and Armed Conflict in Yemen, 3 June 2019, S/2019/453 (hereinafter ‘UN Secretary-General Report 2019 - S/2019/453), para 33.</w:t>
      </w:r>
    </w:p>
  </w:footnote>
  <w:footnote w:id="1034">
    <w:p w14:paraId="6E4FE170" w14:textId="2FC59DEC" w:rsidR="00A1624A" w:rsidRPr="00123C5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123C5F">
        <w:t>United Nations, Report of the Secretary-General on Children and Armed Conflict in Yemen, 24 June 2016, A/70/836/Add.1–S/2016/360/Add.1.</w:t>
      </w:r>
    </w:p>
  </w:footnote>
  <w:footnote w:id="1035">
    <w:p w14:paraId="19266AA6" w14:textId="538EA08E"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المرجع نفسه. </w:t>
      </w:r>
    </w:p>
  </w:footnote>
  <w:footnote w:id="1036">
    <w:p w14:paraId="71D619E6" w14:textId="77777777" w:rsidR="00A1624A" w:rsidRPr="006519F3" w:rsidRDefault="00A1624A" w:rsidP="00B81240">
      <w:pPr>
        <w:pStyle w:val="FootnoteText"/>
        <w:tabs>
          <w:tab w:val="clear" w:pos="1021"/>
        </w:tabs>
        <w:bidi/>
        <w:spacing w:line="240" w:lineRule="auto"/>
        <w:ind w:left="851" w:firstLine="0"/>
        <w:jc w:val="both"/>
        <w:rPr>
          <w:szCs w:val="18"/>
          <w:rtl/>
        </w:rPr>
      </w:pPr>
      <w:r w:rsidRPr="006519F3">
        <w:rPr>
          <w:rStyle w:val="FootnoteReference"/>
          <w:szCs w:val="18"/>
        </w:rPr>
        <w:footnoteRef/>
      </w:r>
      <w:r w:rsidRPr="006519F3">
        <w:rPr>
          <w:szCs w:val="18"/>
        </w:rPr>
        <w:t xml:space="preserve"> The Paediatric Blast Injuries Partnership – a coalition of medics, academics and NGOs, including Save the Children – conducted a review into all the available evidence on paediatric blast injuries. The study, “Blast Injuries: The impact of explosive weapons on children in conflict”, Save the Children, 2019, recommends a child-centric response to the threats of blast injuries as the effects are not the same across age groups. Study available at </w:t>
      </w:r>
      <w:hyperlink r:id="rId37" w:history="1">
        <w:r w:rsidRPr="006519F3">
          <w:rPr>
            <w:rStyle w:val="Hyperlink"/>
            <w:szCs w:val="18"/>
          </w:rPr>
          <w:t>https://resourcecentre.savethechildren.net/library/blast-injuries-impact-explosive-weapons-children-conflict</w:t>
        </w:r>
      </w:hyperlink>
      <w:r w:rsidRPr="006519F3">
        <w:rPr>
          <w:szCs w:val="18"/>
        </w:rPr>
        <w:t xml:space="preserve"> </w:t>
      </w:r>
    </w:p>
  </w:footnote>
  <w:footnote w:id="1037">
    <w:p w14:paraId="654BB84E" w14:textId="420401A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المرجع نفسه. انظر أيضًا </w:t>
      </w:r>
    </w:p>
    <w:p w14:paraId="3FD5F8CC" w14:textId="1EB0DDCB" w:rsidR="00A1624A" w:rsidRDefault="00A1624A" w:rsidP="00B81240">
      <w:pPr>
        <w:pStyle w:val="FootnoteText"/>
        <w:tabs>
          <w:tab w:val="clear" w:pos="1021"/>
        </w:tabs>
        <w:bidi/>
        <w:ind w:left="851" w:firstLine="0"/>
        <w:jc w:val="both"/>
        <w:rPr>
          <w:szCs w:val="18"/>
          <w:rtl/>
        </w:rPr>
      </w:pPr>
      <w:r w:rsidRPr="006519F3">
        <w:rPr>
          <w:szCs w:val="18"/>
        </w:rPr>
        <w:t xml:space="preserve">Lt. J.F.S Millwood Hargrave, 2017, “The Impact of Blast Injury on Children”, Centre for Blast Injuries Study, Imperial College London. </w:t>
      </w:r>
    </w:p>
    <w:p w14:paraId="0239811A" w14:textId="6E453F43"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Fonts w:ascii="Traditional Arabic" w:hAnsi="Traditional Arabic" w:cs="Traditional Arabic"/>
          <w:sz w:val="22"/>
          <w:szCs w:val="22"/>
          <w:rtl/>
        </w:rPr>
        <w:t>متوفر على الرابط:</w:t>
      </w:r>
    </w:p>
    <w:p w14:paraId="3DAC8437" w14:textId="1D28FCB6" w:rsidR="00A1624A" w:rsidRPr="006519F3" w:rsidRDefault="0068660E" w:rsidP="00B81240">
      <w:pPr>
        <w:pStyle w:val="FootnoteText"/>
        <w:tabs>
          <w:tab w:val="clear" w:pos="1021"/>
        </w:tabs>
        <w:bidi/>
        <w:ind w:left="851" w:firstLine="0"/>
        <w:jc w:val="both"/>
        <w:rPr>
          <w:szCs w:val="18"/>
          <w:rtl/>
          <w:lang w:bidi="ar-JO"/>
        </w:rPr>
      </w:pPr>
      <w:hyperlink r:id="rId38" w:history="1">
        <w:r w:rsidR="00A1624A" w:rsidRPr="006519F3">
          <w:rPr>
            <w:rStyle w:val="Hyperlink"/>
            <w:szCs w:val="18"/>
          </w:rPr>
          <w:t>https://www.imperial.ac.uk/media/imperial-college/research-centres-and-groups/centre-for-blast-injury-studies/Literature-Review-on-paediatric-blast-injury.pdf</w:t>
        </w:r>
      </w:hyperlink>
    </w:p>
  </w:footnote>
  <w:footnote w:id="1038">
    <w:p w14:paraId="1E590EF8" w14:textId="637352BC" w:rsidR="00A1624A" w:rsidRPr="006519F3" w:rsidRDefault="00A1624A" w:rsidP="00B81240">
      <w:pPr>
        <w:pStyle w:val="FootnoteText"/>
        <w:tabs>
          <w:tab w:val="clear" w:pos="1021"/>
        </w:tabs>
        <w:bidi/>
        <w:spacing w:line="240" w:lineRule="auto"/>
        <w:ind w:left="851" w:firstLine="0"/>
        <w:jc w:val="both"/>
        <w:rPr>
          <w:szCs w:val="18"/>
          <w:rtl/>
        </w:rPr>
      </w:pPr>
      <w:r w:rsidRPr="006519F3">
        <w:rPr>
          <w:rStyle w:val="FootnoteReference"/>
          <w:szCs w:val="18"/>
        </w:rPr>
        <w:footnoteRef/>
      </w:r>
      <w:r w:rsidRPr="006519F3">
        <w:rPr>
          <w:szCs w:val="18"/>
        </w:rPr>
        <w:t xml:space="preserve"> UN Secretary-General Report 2019 - S/2019/453, para 38.</w:t>
      </w:r>
    </w:p>
  </w:footnote>
  <w:footnote w:id="1039">
    <w:p w14:paraId="59A00387" w14:textId="2D04C732"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مصادر سريّة في الملف</w:t>
      </w:r>
      <w:r w:rsidRPr="0005161E">
        <w:rPr>
          <w:rFonts w:ascii="Traditional Arabic" w:hAnsi="Traditional Arabic" w:cs="Traditional Arabic"/>
          <w:sz w:val="22"/>
          <w:szCs w:val="22"/>
        </w:rPr>
        <w:t>.</w:t>
      </w:r>
    </w:p>
  </w:footnote>
  <w:footnote w:id="1040">
    <w:p w14:paraId="6AB43E2A" w14:textId="37FB3715" w:rsidR="00A1624A" w:rsidRPr="0005161E"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مصادر سريّة في الملف</w:t>
      </w:r>
      <w:r w:rsidRPr="0005161E">
        <w:rPr>
          <w:rFonts w:ascii="Traditional Arabic" w:hAnsi="Traditional Arabic" w:cs="Traditional Arabic"/>
          <w:sz w:val="22"/>
          <w:szCs w:val="22"/>
        </w:rPr>
        <w:t>.</w:t>
      </w:r>
    </w:p>
  </w:footnote>
  <w:footnote w:id="1041">
    <w:p w14:paraId="1FC1AF38" w14:textId="54A9F9FE" w:rsidR="00A1624A" w:rsidRPr="0005161E"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5161E">
        <w:rPr>
          <w:rStyle w:val="FootnoteReference"/>
          <w:rFonts w:ascii="Traditional Arabic" w:hAnsi="Traditional Arabic" w:cs="Traditional Arabic"/>
          <w:sz w:val="22"/>
          <w:szCs w:val="22"/>
        </w:rPr>
        <w:footnoteRef/>
      </w:r>
      <w:r w:rsidRPr="0005161E">
        <w:rPr>
          <w:rFonts w:ascii="Traditional Arabic" w:hAnsi="Traditional Arabic" w:cs="Traditional Arabic"/>
          <w:sz w:val="22"/>
          <w:szCs w:val="22"/>
        </w:rPr>
        <w:t xml:space="preserve"> </w:t>
      </w:r>
      <w:r w:rsidRPr="0005161E">
        <w:rPr>
          <w:rFonts w:ascii="Traditional Arabic" w:hAnsi="Traditional Arabic" w:cs="Traditional Arabic"/>
          <w:sz w:val="22"/>
          <w:szCs w:val="22"/>
          <w:rtl/>
        </w:rPr>
        <w:t xml:space="preserve">يعكس حديث الأمين العام عن أن الأطفال ليسوا من بدأ الحرب في اليمن لكنهم من يدفع أعلى ثمن. </w:t>
      </w:r>
      <w:r w:rsidRPr="0005161E">
        <w:rPr>
          <w:rFonts w:ascii="Traditional Arabic" w:hAnsi="Traditional Arabic" w:cs="Traditional Arabic"/>
          <w:sz w:val="22"/>
          <w:szCs w:val="22"/>
        </w:rPr>
        <w:t>S/2019/453</w:t>
      </w:r>
      <w:r w:rsidRPr="0005161E">
        <w:rPr>
          <w:rFonts w:ascii="Traditional Arabic" w:hAnsi="Traditional Arabic" w:cs="Traditional Arabic"/>
          <w:sz w:val="22"/>
          <w:szCs w:val="22"/>
          <w:rtl/>
        </w:rPr>
        <w:t xml:space="preserve"> الفقرة 68</w:t>
      </w:r>
    </w:p>
  </w:footnote>
  <w:footnote w:id="1042">
    <w:p w14:paraId="646BC8A4" w14:textId="6EC8804E" w:rsidR="00A1624A" w:rsidRPr="00B45A8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B45A82">
        <w:rPr>
          <w:rStyle w:val="FootnoteReference"/>
          <w:rFonts w:ascii="Traditional Arabic" w:hAnsi="Traditional Arabic" w:cs="Traditional Arabic"/>
          <w:sz w:val="22"/>
          <w:szCs w:val="22"/>
        </w:rPr>
        <w:footnoteRef/>
      </w:r>
      <w:r w:rsidRPr="00B45A82">
        <w:rPr>
          <w:rFonts w:ascii="Traditional Arabic" w:hAnsi="Traditional Arabic" w:cs="Traditional Arabic"/>
          <w:sz w:val="22"/>
          <w:szCs w:val="22"/>
        </w:rPr>
        <w:t xml:space="preserve"> </w:t>
      </w:r>
      <w:r w:rsidRPr="00B45A82">
        <w:rPr>
          <w:rFonts w:ascii="Traditional Arabic" w:hAnsi="Traditional Arabic" w:cs="Traditional Arabic"/>
          <w:sz w:val="22"/>
          <w:szCs w:val="22"/>
          <w:rtl/>
        </w:rPr>
        <w:t>مصادر سريّة في الملف</w:t>
      </w:r>
      <w:r w:rsidRPr="00B45A82">
        <w:rPr>
          <w:rFonts w:ascii="Traditional Arabic" w:hAnsi="Traditional Arabic" w:cs="Traditional Arabic"/>
          <w:sz w:val="22"/>
          <w:szCs w:val="22"/>
        </w:rPr>
        <w:t>.</w:t>
      </w:r>
    </w:p>
  </w:footnote>
  <w:footnote w:id="1043">
    <w:p w14:paraId="7B7799EE" w14:textId="52D996BC" w:rsidR="00A1624A" w:rsidRPr="00B45A82"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B45A82">
        <w:rPr>
          <w:rStyle w:val="FootnoteReference"/>
          <w:rFonts w:ascii="Traditional Arabic" w:hAnsi="Traditional Arabic" w:cs="Traditional Arabic"/>
          <w:sz w:val="22"/>
          <w:szCs w:val="22"/>
        </w:rPr>
        <w:footnoteRef/>
      </w:r>
      <w:r w:rsidRPr="00B45A82">
        <w:rPr>
          <w:rFonts w:ascii="Traditional Arabic" w:hAnsi="Traditional Arabic" w:cs="Traditional Arabic"/>
          <w:sz w:val="22"/>
          <w:szCs w:val="22"/>
        </w:rPr>
        <w:t xml:space="preserve"> </w:t>
      </w:r>
      <w:r w:rsidRPr="00B45A82">
        <w:rPr>
          <w:rFonts w:ascii="Traditional Arabic" w:hAnsi="Traditional Arabic" w:cs="Traditional Arabic"/>
          <w:sz w:val="22"/>
          <w:szCs w:val="22"/>
          <w:rtl/>
        </w:rPr>
        <w:t xml:space="preserve">أنظر </w:t>
      </w:r>
      <w:r w:rsidRPr="00B45A82">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136 و137 والمادة </w:t>
      </w:r>
      <w:r w:rsidRPr="00B45A82">
        <w:rPr>
          <w:rFonts w:ascii="Traditional Arabic" w:hAnsi="Traditional Arabic" w:cs="Traditional Arabic"/>
          <w:sz w:val="22"/>
          <w:szCs w:val="22"/>
        </w:rPr>
        <w:t>4(3)(c)</w:t>
      </w:r>
      <w:r w:rsidRPr="00B45A82">
        <w:rPr>
          <w:rFonts w:ascii="Traditional Arabic" w:hAnsi="Traditional Arabic" w:cs="Traditional Arabic"/>
          <w:sz w:val="22"/>
          <w:szCs w:val="22"/>
          <w:rtl/>
        </w:rPr>
        <w:t xml:space="preserve"> من البروتوكول الإضافي الثاني 1977 </w:t>
      </w:r>
      <w:r w:rsidRPr="00B45A82">
        <w:rPr>
          <w:rFonts w:ascii="Traditional Arabic" w:hAnsi="Traditional Arabic" w:cs="Traditional Arabic"/>
          <w:sz w:val="22"/>
          <w:szCs w:val="22"/>
        </w:rPr>
        <w:t>GC</w:t>
      </w:r>
      <w:r w:rsidRPr="00B45A82">
        <w:rPr>
          <w:rFonts w:ascii="Traditional Arabic" w:hAnsi="Traditional Arabic" w:cs="Traditional Arabic"/>
          <w:sz w:val="22"/>
          <w:szCs w:val="22"/>
          <w:rtl/>
        </w:rPr>
        <w:t xml:space="preserve"> التي تحدد:</w:t>
      </w:r>
    </w:p>
    <w:p w14:paraId="15FD187E" w14:textId="73C8FA32" w:rsidR="00A1624A" w:rsidRPr="006519F3" w:rsidRDefault="00A1624A" w:rsidP="00B81240">
      <w:pPr>
        <w:pStyle w:val="FootnoteText"/>
        <w:tabs>
          <w:tab w:val="clear" w:pos="1021"/>
        </w:tabs>
        <w:bidi/>
        <w:ind w:left="851" w:firstLine="0"/>
        <w:jc w:val="both"/>
        <w:rPr>
          <w:szCs w:val="18"/>
          <w:rtl/>
          <w:lang w:bidi="ar-JO"/>
        </w:rPr>
      </w:pPr>
      <w:r w:rsidRPr="006519F3">
        <w:rPr>
          <w:szCs w:val="18"/>
        </w:rPr>
        <w:t>“Children who have not attained the age of fifteen years shall neither be recruited in the armed forces or groups nor allowed to take part in hostilities.” See also Convention of Rights of the Child (hereinafter CRC), 1989, Article 38; International Labour Organization Convention 182, Articles 1, 2 and 3; and, Optional Protocol to the Convention on the Rights of the Child on the Involvement of Children in Armed Conflict, (2000) 39 ILM 1285 (Hereinafter, ‘Optional Protocol II’ or ‘Protocol’), Articles 2, 3 and 4.</w:t>
      </w:r>
    </w:p>
  </w:footnote>
  <w:footnote w:id="1044">
    <w:p w14:paraId="29A1563E"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w:t>
      </w:r>
      <w:r w:rsidRPr="006519F3">
        <w:rPr>
          <w:color w:val="000000"/>
          <w:szCs w:val="18"/>
        </w:rPr>
        <w:t xml:space="preserve">There is a wide recognition of the recruitment of children under 15 and their use to participate actively in hostilities as a war crime (that is a serious violation of international humanitarian law) incurring individual criminal responsibility. For children under 18, the dispositions vary. The Optional Protocol to the CRC has </w:t>
      </w:r>
      <w:r w:rsidRPr="006519F3">
        <w:rPr>
          <w:szCs w:val="18"/>
        </w:rPr>
        <w:t xml:space="preserve">raised the minimum age from 15 years (as set out in the CRC, article 38(3)) with certain specific conditions. </w:t>
      </w:r>
      <w:r w:rsidRPr="006519F3">
        <w:rPr>
          <w:color w:val="000000"/>
          <w:szCs w:val="18"/>
        </w:rPr>
        <w:t xml:space="preserve">The Protocol </w:t>
      </w:r>
      <w:r w:rsidRPr="006519F3">
        <w:rPr>
          <w:bCs/>
          <w:color w:val="000000"/>
          <w:szCs w:val="18"/>
        </w:rPr>
        <w:t>prohibits States</w:t>
      </w:r>
      <w:r w:rsidRPr="006519F3">
        <w:rPr>
          <w:color w:val="000000"/>
          <w:szCs w:val="18"/>
        </w:rPr>
        <w:t xml:space="preserve"> parties from accepting the voluntary enlistment of children under the age of 15 (Article 3.1) and </w:t>
      </w:r>
      <w:r w:rsidRPr="006519F3">
        <w:rPr>
          <w:bCs/>
          <w:color w:val="000000"/>
          <w:szCs w:val="18"/>
        </w:rPr>
        <w:t>prohibits</w:t>
      </w:r>
      <w:r w:rsidRPr="006519F3">
        <w:rPr>
          <w:color w:val="000000"/>
          <w:szCs w:val="18"/>
        </w:rPr>
        <w:t xml:space="preserve"> the compulsory recruitment of all children (Article 2). States parties to the Optional Protocol are also required to take all feasible measures to keep all children from directly participating in hostilities. The Protocol prohibits the recruitment of children under 18 year-old by armed groups (Article 4). Similarly, see the </w:t>
      </w:r>
      <w:r w:rsidRPr="006519F3">
        <w:rPr>
          <w:szCs w:val="18"/>
        </w:rPr>
        <w:t>Report of the Secretary-General on Children and Armed Conflict, UN Doc. S/2002/1299 (26 November 2002), paragraph 31</w:t>
      </w:r>
    </w:p>
  </w:footnote>
  <w:footnote w:id="1045">
    <w:p w14:paraId="2D765267"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Yemen ratified on 15 June 2000 the Convention </w:t>
      </w:r>
      <w:r w:rsidRPr="006519F3">
        <w:rPr>
          <w:color w:val="000000"/>
          <w:szCs w:val="18"/>
        </w:rPr>
        <w:t xml:space="preserve">on the Worst Forms of Child Labour, number 182, which </w:t>
      </w:r>
      <w:r w:rsidRPr="006519F3">
        <w:rPr>
          <w:bCs/>
          <w:color w:val="000000"/>
          <w:szCs w:val="18"/>
        </w:rPr>
        <w:t>prohibits</w:t>
      </w:r>
      <w:r w:rsidRPr="006519F3">
        <w:rPr>
          <w:color w:val="000000"/>
          <w:szCs w:val="18"/>
        </w:rPr>
        <w:t xml:space="preserve"> the forced or compulsory recruitment of children (that is, all persons under 18) for use in armed conflict.</w:t>
      </w:r>
    </w:p>
  </w:footnote>
  <w:footnote w:id="1046">
    <w:p w14:paraId="2F441701" w14:textId="77777777" w:rsidR="00A1624A" w:rsidRPr="006519F3" w:rsidRDefault="00A1624A" w:rsidP="00B81240">
      <w:pPr>
        <w:pStyle w:val="FootnoteText"/>
        <w:tabs>
          <w:tab w:val="clear" w:pos="1021"/>
        </w:tabs>
        <w:bidi/>
        <w:spacing w:line="240" w:lineRule="auto"/>
        <w:ind w:left="851" w:firstLine="0"/>
        <w:jc w:val="both"/>
        <w:rPr>
          <w:szCs w:val="18"/>
        </w:rPr>
      </w:pPr>
      <w:r w:rsidRPr="006519F3">
        <w:rPr>
          <w:rStyle w:val="FootnoteReference"/>
          <w:szCs w:val="18"/>
        </w:rPr>
        <w:footnoteRef/>
      </w:r>
      <w:r w:rsidRPr="006519F3">
        <w:rPr>
          <w:szCs w:val="18"/>
        </w:rPr>
        <w:t xml:space="preserve"> According to Article 149 of Yemen’s Law No. 45 (2002) on Child Rights, “</w:t>
      </w:r>
      <w:r w:rsidRPr="006519F3">
        <w:rPr>
          <w:i/>
          <w:szCs w:val="18"/>
        </w:rPr>
        <w:t>The State shall abide by the internal law applicable to it in armed conflict that are related to the children and their protection though the following: a. Prohibition of children carrying weapons; b. Protection of children from effects of armed conflict; c. Protection of children that suffer from revenge/vendetta issues; d. (d) not involving children directly in war and, e. not recruiting any person who is not above 18 year-old</w:t>
      </w:r>
      <w:r w:rsidRPr="006519F3">
        <w:rPr>
          <w:szCs w:val="18"/>
        </w:rPr>
        <w:t xml:space="preserve">.” Text available in Arabic at </w:t>
      </w:r>
      <w:hyperlink r:id="rId39" w:history="1">
        <w:r w:rsidRPr="006519F3">
          <w:rPr>
            <w:szCs w:val="18"/>
          </w:rPr>
          <w:t>http://hrlibrary.umn.edu/arabic/Yemeni_Laws/Yemeni_Laws29.pdf</w:t>
        </w:r>
      </w:hyperlink>
    </w:p>
  </w:footnote>
  <w:footnote w:id="1047">
    <w:p w14:paraId="6233562E" w14:textId="77777777" w:rsidR="00A1624A" w:rsidRPr="006519F3" w:rsidRDefault="00A1624A" w:rsidP="00B81240">
      <w:pPr>
        <w:shd w:val="clear" w:color="auto" w:fill="FFFFFF"/>
        <w:bidi/>
        <w:spacing w:line="240" w:lineRule="auto"/>
        <w:ind w:left="851" w:right="1134"/>
        <w:jc w:val="both"/>
        <w:outlineLvl w:val="1"/>
        <w:rPr>
          <w:sz w:val="18"/>
          <w:szCs w:val="18"/>
        </w:rPr>
      </w:pPr>
      <w:r w:rsidRPr="006519F3">
        <w:rPr>
          <w:rStyle w:val="FootnoteReference"/>
          <w:szCs w:val="18"/>
        </w:rPr>
        <w:footnoteRef/>
      </w:r>
      <w:r w:rsidRPr="006519F3">
        <w:rPr>
          <w:sz w:val="18"/>
          <w:szCs w:val="18"/>
        </w:rPr>
        <w:t xml:space="preserve"> The 1988 Yemeni Military Penal Code, article 21 provides that “</w:t>
      </w:r>
      <w:r w:rsidRPr="006519F3">
        <w:rPr>
          <w:i/>
          <w:sz w:val="18"/>
          <w:szCs w:val="18"/>
        </w:rPr>
        <w:t>An individual subject to the provisions of this law who committed during the war any act that causes harm to individuals and protected properties as per the international agreements to which Yemen is a consignee, shall be liable to imprisonment for a term of no longer than 10 years or penalized fittingly with the crime results.</w:t>
      </w:r>
      <w:r w:rsidRPr="006519F3">
        <w:rPr>
          <w:sz w:val="18"/>
          <w:szCs w:val="18"/>
        </w:rPr>
        <w:t>” The article then lists the ‘punishable acts’, however it does not include the recruitment and use of children under 15 or 18 year-old.</w:t>
      </w:r>
    </w:p>
  </w:footnote>
  <w:footnote w:id="1048">
    <w:p w14:paraId="5AC7F619" w14:textId="743370CB"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Style w:val="tlid-translation"/>
          <w:rFonts w:ascii="Traditional Arabic" w:hAnsi="Traditional Arabic" w:cs="Traditional Arabic"/>
          <w:sz w:val="22"/>
          <w:szCs w:val="22"/>
          <w:rtl/>
        </w:rPr>
        <w:t>رغم أن اليمن ليس من الدول الموقعة على نظام روما الأساسي، إلا أن النظام الأساسي يعرّف بجريمة الحرب تجنيد الأطفال دون سن الخامسة عشرة أو تجنيدهم في القوات المسلحة الوطنية أو استخدامهم للمشاركة بنشاط في الأعمال العدائية</w:t>
      </w:r>
      <w:r w:rsidRPr="00D6563F">
        <w:rPr>
          <w:rStyle w:val="tlid-translation"/>
          <w:rFonts w:ascii="Traditional Arabic" w:hAnsi="Traditional Arabic" w:cs="Traditional Arabic"/>
          <w:sz w:val="22"/>
          <w:szCs w:val="22"/>
          <w:lang w:bidi="ar"/>
        </w:rPr>
        <w:t>.</w:t>
      </w:r>
    </w:p>
    <w:p w14:paraId="514E04A7" w14:textId="77777777" w:rsidR="00A1624A" w:rsidRDefault="00A1624A" w:rsidP="00B81240">
      <w:pPr>
        <w:pStyle w:val="FootnoteText"/>
        <w:tabs>
          <w:tab w:val="clear" w:pos="1021"/>
        </w:tabs>
        <w:bidi/>
        <w:spacing w:line="240" w:lineRule="auto"/>
        <w:ind w:left="851" w:firstLine="0"/>
        <w:jc w:val="both"/>
        <w:rPr>
          <w:rtl/>
        </w:rPr>
      </w:pPr>
      <w:r w:rsidRPr="006519F3">
        <w:rPr>
          <w:szCs w:val="18"/>
        </w:rPr>
        <w:t>Article 8(2)(b)(xxvi) and(e)(vii). Special Court for Sierra Leone, Prosecutor v. Samuel Hinga Norman, Dissenting Opinion of Justice Robertson, Case No. SCSL-04-14-AR72(E), 31 May 2004.</w:t>
      </w:r>
      <w:r w:rsidRPr="006519F3">
        <w:t xml:space="preserve"> </w:t>
      </w:r>
    </w:p>
    <w:p w14:paraId="667E143A" w14:textId="39C45ECF"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Fonts w:ascii="Traditional Arabic" w:hAnsi="Traditional Arabic" w:cs="Traditional Arabic"/>
          <w:sz w:val="22"/>
          <w:szCs w:val="22"/>
          <w:rtl/>
        </w:rPr>
        <w:t xml:space="preserve">أنظر أيضًا </w:t>
      </w:r>
      <w:r w:rsidRPr="00D6563F">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القواعد 136-137</w:t>
      </w:r>
    </w:p>
  </w:footnote>
  <w:footnote w:id="1049">
    <w:p w14:paraId="0DDAD608" w14:textId="77777777" w:rsidR="00A1624A" w:rsidRPr="00816ECA" w:rsidRDefault="00A1624A" w:rsidP="00B81240">
      <w:pPr>
        <w:pStyle w:val="FootnoteText"/>
        <w:tabs>
          <w:tab w:val="clear" w:pos="1021"/>
        </w:tabs>
        <w:bidi/>
        <w:spacing w:line="240" w:lineRule="auto"/>
        <w:ind w:left="851" w:firstLine="0"/>
        <w:jc w:val="both"/>
        <w:rPr>
          <w:sz w:val="16"/>
          <w:szCs w:val="16"/>
        </w:rPr>
      </w:pPr>
      <w:r w:rsidRPr="006519F3">
        <w:rPr>
          <w:rStyle w:val="FootnoteReference"/>
          <w:szCs w:val="18"/>
        </w:rPr>
        <w:footnoteRef/>
      </w:r>
      <w:r w:rsidRPr="006519F3">
        <w:rPr>
          <w:szCs w:val="18"/>
        </w:rPr>
        <w:t xml:space="preserve"> </w:t>
      </w:r>
      <w:hyperlink r:id="rId40" w:history="1">
        <w:r w:rsidRPr="006519F3">
          <w:rPr>
            <w:rStyle w:val="Hyperlink"/>
            <w:szCs w:val="18"/>
          </w:rPr>
          <w:t>https://www.ohchr.org/EN/NewsEvents/Pages/DisplayNews.aspx?NewsID=24094&amp;LangID=E</w:t>
        </w:r>
      </w:hyperlink>
    </w:p>
  </w:footnote>
  <w:footnote w:id="1050">
    <w:p w14:paraId="1F51A608" w14:textId="00FF86CA"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Fonts w:ascii="Traditional Arabic" w:hAnsi="Traditional Arabic" w:cs="Traditional Arabic"/>
          <w:sz w:val="22"/>
          <w:szCs w:val="22"/>
          <w:rtl/>
        </w:rPr>
        <w:t xml:space="preserve">تم توقيع خطة العمل في العام 2014 وتم تفعيلها في العام 2018 – وتم الاتفاق والتوقيع على خارطة طريق لتطبيقها في 18 كانون الأول/ ديسمبر 2018. توفر خارطة الطريق الإجراءات للتأكد من الإفراج عن وإعادة تأهيل ومنع تجنيد الأطفال. </w:t>
      </w:r>
    </w:p>
  </w:footnote>
  <w:footnote w:id="1051">
    <w:p w14:paraId="1A5B526E" w14:textId="7E0F0B11" w:rsidR="00A1624A" w:rsidRPr="00D6563F"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tl/>
        </w:rPr>
        <w:t xml:space="preserve"> مصادر سريّة في الملف</w:t>
      </w:r>
      <w:r w:rsidRPr="00D6563F">
        <w:rPr>
          <w:rFonts w:ascii="Traditional Arabic" w:hAnsi="Traditional Arabic" w:cs="Traditional Arabic"/>
          <w:sz w:val="22"/>
          <w:szCs w:val="22"/>
        </w:rPr>
        <w:t>.</w:t>
      </w:r>
    </w:p>
  </w:footnote>
  <w:footnote w:id="1052">
    <w:p w14:paraId="1886E5FA" w14:textId="3C38BD3D" w:rsidR="00A1624A" w:rsidRPr="00FE157A" w:rsidRDefault="00A1624A" w:rsidP="00B81240">
      <w:pPr>
        <w:pStyle w:val="FootnoteText"/>
        <w:tabs>
          <w:tab w:val="clear" w:pos="1021"/>
        </w:tabs>
        <w:bidi/>
        <w:spacing w:line="240" w:lineRule="auto"/>
        <w:ind w:left="851" w:firstLine="0"/>
        <w:jc w:val="both"/>
        <w:rPr>
          <w:szCs w:val="18"/>
          <w:rtl/>
        </w:rPr>
      </w:pPr>
      <w:r w:rsidRPr="00D6563F">
        <w:rPr>
          <w:rStyle w:val="FootnoteReference"/>
          <w:rFonts w:ascii="Traditional Arabic" w:hAnsi="Traditional Arabic" w:cs="Traditional Arabic"/>
          <w:sz w:val="22"/>
          <w:szCs w:val="22"/>
        </w:rPr>
        <w:footnoteRef/>
      </w:r>
      <w:r w:rsidRPr="00D6563F">
        <w:rPr>
          <w:rFonts w:ascii="Traditional Arabic" w:hAnsi="Traditional Arabic" w:cs="Traditional Arabic"/>
          <w:sz w:val="22"/>
          <w:szCs w:val="22"/>
        </w:rPr>
        <w:t xml:space="preserve"> </w:t>
      </w:r>
      <w:r w:rsidRPr="00D6563F">
        <w:rPr>
          <w:rFonts w:ascii="Traditional Arabic" w:hAnsi="Traditional Arabic" w:cs="Traditional Arabic"/>
          <w:sz w:val="22"/>
          <w:szCs w:val="22"/>
          <w:rtl/>
        </w:rPr>
        <w:t>مصادر سريّة في الملف</w:t>
      </w:r>
      <w:r w:rsidRPr="00D1106B">
        <w:rPr>
          <w:rFonts w:asciiTheme="majorBidi" w:hAnsiTheme="majorBidi" w:cstheme="majorBidi"/>
          <w:sz w:val="20"/>
        </w:rPr>
        <w:t>.</w:t>
      </w:r>
    </w:p>
  </w:footnote>
  <w:footnote w:id="1053">
    <w:p w14:paraId="0A3172D4" w14:textId="0175FEB1"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شهادة من مصدر، تم إخفاء الهوية لأسباب تتعلق بالحماية. </w:t>
      </w:r>
    </w:p>
  </w:footnote>
  <w:footnote w:id="1054">
    <w:p w14:paraId="260EDBAD" w14:textId="294CE030"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5">
    <w:p w14:paraId="230E3937" w14:textId="05803975"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6">
    <w:p w14:paraId="73B5C3C0" w14:textId="398F35F7" w:rsidR="00A1624A" w:rsidRPr="00D90992" w:rsidRDefault="00A1624A" w:rsidP="00B81240">
      <w:pPr>
        <w:pStyle w:val="FootnoteText"/>
        <w:tabs>
          <w:tab w:val="clear" w:pos="1021"/>
        </w:tabs>
        <w:bidi/>
        <w:spacing w:line="240" w:lineRule="auto"/>
        <w:ind w:left="851" w:firstLine="0"/>
        <w:jc w:val="both"/>
        <w:rPr>
          <w:sz w:val="16"/>
          <w:szCs w:val="16"/>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7">
    <w:p w14:paraId="1F23959D" w14:textId="6A36A52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58">
    <w:p w14:paraId="332F5B10" w14:textId="3C224DF5"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tl/>
        </w:rPr>
        <w:t xml:space="preserve"> مصادر سريّة في الملف</w:t>
      </w:r>
      <w:r w:rsidRPr="006D1AF1">
        <w:rPr>
          <w:rFonts w:ascii="Traditional Arabic" w:hAnsi="Traditional Arabic" w:cs="Traditional Arabic"/>
          <w:sz w:val="22"/>
          <w:szCs w:val="22"/>
        </w:rPr>
        <w:t>.</w:t>
      </w:r>
    </w:p>
  </w:footnote>
  <w:footnote w:id="1059">
    <w:p w14:paraId="3AC5430A" w14:textId="65360D19"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0">
    <w:p w14:paraId="3CA9A263" w14:textId="015E8E9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1">
    <w:p w14:paraId="52C77BF1" w14:textId="7D563880" w:rsidR="00A1624A" w:rsidRPr="00FE157A" w:rsidRDefault="00A1624A" w:rsidP="00B81240">
      <w:pPr>
        <w:pStyle w:val="FootnoteText"/>
        <w:tabs>
          <w:tab w:val="clear" w:pos="1021"/>
        </w:tabs>
        <w:bidi/>
        <w:spacing w:line="240" w:lineRule="auto"/>
        <w:ind w:left="851" w:firstLine="0"/>
        <w:jc w:val="both"/>
        <w:rPr>
          <w:szCs w:val="18"/>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2">
    <w:p w14:paraId="49EAAD6F" w14:textId="77777777" w:rsidR="00A1624A" w:rsidRPr="00FE157A" w:rsidRDefault="00A1624A" w:rsidP="00B81240">
      <w:pPr>
        <w:pStyle w:val="FootnoteText"/>
        <w:tabs>
          <w:tab w:val="clear" w:pos="1021"/>
        </w:tabs>
        <w:bidi/>
        <w:ind w:left="851" w:firstLine="0"/>
        <w:jc w:val="both"/>
        <w:rPr>
          <w:szCs w:val="18"/>
          <w:lang w:val="en-US"/>
        </w:rPr>
      </w:pPr>
      <w:r w:rsidRPr="00FE157A">
        <w:rPr>
          <w:rStyle w:val="FootnoteReference"/>
          <w:szCs w:val="18"/>
        </w:rPr>
        <w:footnoteRef/>
      </w:r>
      <w:r w:rsidRPr="00FE157A">
        <w:rPr>
          <w:szCs w:val="18"/>
        </w:rPr>
        <w:t xml:space="preserve"> </w:t>
      </w:r>
      <w:r w:rsidRPr="00FE157A">
        <w:rPr>
          <w:szCs w:val="18"/>
          <w:lang w:val="en-US"/>
        </w:rPr>
        <w:t>CRC Article 3, para. 3.</w:t>
      </w:r>
    </w:p>
  </w:footnote>
  <w:footnote w:id="1063">
    <w:p w14:paraId="4B0C4FD8" w14:textId="4B134F1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4">
    <w:p w14:paraId="325FE71D" w14:textId="2B03CE4C" w:rsidR="00A1624A" w:rsidRPr="00FE157A" w:rsidRDefault="00A1624A" w:rsidP="00B81240">
      <w:pPr>
        <w:pStyle w:val="FootnoteText"/>
        <w:tabs>
          <w:tab w:val="clear" w:pos="1021"/>
        </w:tabs>
        <w:bidi/>
        <w:spacing w:line="240" w:lineRule="auto"/>
        <w:ind w:left="851" w:firstLine="0"/>
        <w:jc w:val="both"/>
        <w:rPr>
          <w:szCs w:val="18"/>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5">
    <w:p w14:paraId="24320E9E" w14:textId="2EE14E8C" w:rsidR="00A1624A" w:rsidRPr="00FE157A" w:rsidRDefault="00A1624A" w:rsidP="00B81240">
      <w:pPr>
        <w:pStyle w:val="FootnoteText"/>
        <w:tabs>
          <w:tab w:val="clear" w:pos="1021"/>
        </w:tabs>
        <w:bidi/>
        <w:spacing w:line="240" w:lineRule="auto"/>
        <w:ind w:left="851" w:firstLine="0"/>
        <w:jc w:val="both"/>
        <w:rPr>
          <w:szCs w:val="18"/>
        </w:rPr>
      </w:pPr>
      <w:r w:rsidRPr="00FE157A">
        <w:rPr>
          <w:rStyle w:val="FootnoteReference"/>
          <w:szCs w:val="18"/>
        </w:rPr>
        <w:footnoteRef/>
      </w:r>
      <w:r>
        <w:rPr>
          <w:szCs w:val="18"/>
        </w:rPr>
        <w:t xml:space="preserve"> </w:t>
      </w:r>
      <w:r w:rsidRPr="00FE157A">
        <w:rPr>
          <w:szCs w:val="18"/>
        </w:rPr>
        <w:t>The Special Court for Sierra Leone (SCSL) determined that “(a)ny labour or support that gives effect to or helps maintain operations in a conflict constitutes active participation. Hence, carrying loads for the fighting faction, finding or acquiring (…) ammunition or equipment, acting as decoys, carrying messages, making trails or finding routes, manning checkpoints or acting as human shields are examples of active participation as much as fighting and combat” Prosecutor v. Fofana, Case No. SCSL-04-14-T, Judgment, SCSL Trial Chamber II, 2 August 2007, available at www. Sc-sl.org/CDF.html.</w:t>
      </w:r>
    </w:p>
  </w:footnote>
  <w:footnote w:id="1066">
    <w:p w14:paraId="2F4E00CA" w14:textId="31724C79" w:rsidR="00A1624A" w:rsidRDefault="00A1624A" w:rsidP="00B81240">
      <w:pPr>
        <w:pStyle w:val="FootnoteText"/>
        <w:tabs>
          <w:tab w:val="clear" w:pos="1021"/>
        </w:tabs>
        <w:bidi/>
        <w:spacing w:line="240" w:lineRule="auto"/>
        <w:ind w:left="851" w:firstLine="0"/>
        <w:jc w:val="both"/>
        <w:rPr>
          <w:rtl/>
          <w:lang w:bidi="ar-JO"/>
        </w:rPr>
      </w:pPr>
      <w:r w:rsidRPr="00FE157A">
        <w:rPr>
          <w:rStyle w:val="FootnoteReference"/>
          <w:szCs w:val="18"/>
        </w:rPr>
        <w:footnoteRef/>
      </w:r>
      <w:r w:rsidRPr="00FE157A">
        <w:rPr>
          <w:szCs w:val="18"/>
        </w:rPr>
        <w:t xml:space="preserve"> UN Secretary-General Report 2019 - S/2019/453, para 21. Additionally, the NCOI reported that it has investigated and further documented (51) incidents of recruitment and use attributed to the Houthis. Sixth Report, NCIAVHR, p. 19.</w:t>
      </w:r>
    </w:p>
  </w:footnote>
  <w:footnote w:id="1067">
    <w:p w14:paraId="5E811687" w14:textId="4F6E7276"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8">
    <w:p w14:paraId="194A2E62" w14:textId="2AB313DB"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69">
    <w:p w14:paraId="4DE22A4F" w14:textId="3E284DF8" w:rsidR="00A1624A" w:rsidRPr="006D1AF1" w:rsidRDefault="00A1624A" w:rsidP="00B81240">
      <w:pPr>
        <w:pStyle w:val="FootnoteText"/>
        <w:tabs>
          <w:tab w:val="clear" w:pos="1021"/>
        </w:tabs>
        <w:bidi/>
        <w:spacing w:line="240" w:lineRule="auto"/>
        <w:ind w:left="850" w:right="1138"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0">
    <w:p w14:paraId="787E0830" w14:textId="1632A12F" w:rsidR="00A1624A" w:rsidRPr="006D1AF1" w:rsidRDefault="00A1624A" w:rsidP="00B81240">
      <w:pPr>
        <w:pStyle w:val="FootnoteText"/>
        <w:tabs>
          <w:tab w:val="clear" w:pos="1021"/>
          <w:tab w:val="left" w:pos="-1440"/>
          <w:tab w:val="left" w:pos="-720"/>
        </w:tabs>
        <w:bidi/>
        <w:spacing w:line="240" w:lineRule="auto"/>
        <w:ind w:left="851" w:firstLine="0"/>
        <w:jc w:val="both"/>
        <w:rPr>
          <w:rFonts w:ascii="Traditional Arabic" w:hAnsi="Traditional Arabic" w:cs="Traditional Arabic"/>
          <w:sz w:val="22"/>
          <w:szCs w:val="22"/>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1">
    <w:p w14:paraId="160D246F" w14:textId="2DFA8DD4"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2">
    <w:p w14:paraId="113B67B5" w14:textId="4998BB03" w:rsidR="00A1624A" w:rsidRPr="006D1AF1" w:rsidRDefault="00A1624A" w:rsidP="00B81240">
      <w:pPr>
        <w:pStyle w:val="FootnoteText"/>
        <w:tabs>
          <w:tab w:val="clear" w:pos="1021"/>
          <w:tab w:val="left" w:pos="-1440"/>
          <w:tab w:val="left" w:pos="-720"/>
        </w:tabs>
        <w:bidi/>
        <w:spacing w:line="240" w:lineRule="auto"/>
        <w:ind w:left="851" w:firstLine="0"/>
        <w:jc w:val="both"/>
        <w:rPr>
          <w:rFonts w:ascii="Traditional Arabic" w:hAnsi="Traditional Arabic" w:cs="Traditional Arabic"/>
          <w:sz w:val="22"/>
          <w:szCs w:val="22"/>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3">
    <w:p w14:paraId="2F0632C4" w14:textId="6C885247" w:rsidR="00A1624A" w:rsidRPr="006D1AF1"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4">
    <w:p w14:paraId="1BD662E5" w14:textId="75B7938A"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5">
    <w:p w14:paraId="0A9CAEEE" w14:textId="1A076218"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6">
    <w:p w14:paraId="37EF9BBB" w14:textId="4468D42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77">
    <w:p w14:paraId="7E362268" w14:textId="0E5540FC"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بناءًا على رد الحوثيين على قائمة المسائل الخاصة بفريق الخبراء، هذا التأكيد جاء من قبل الحوثيين. أنظر أيار/ مايو 2019. رسالة من الحوثيين إلى فريق الخبراء. </w:t>
      </w:r>
    </w:p>
  </w:footnote>
  <w:footnote w:id="1078">
    <w:p w14:paraId="7DD2E8F0" w14:textId="77777777" w:rsidR="00A1624A" w:rsidRPr="003F15AC" w:rsidRDefault="00A1624A" w:rsidP="00B81240">
      <w:pPr>
        <w:pStyle w:val="FootnoteText"/>
        <w:tabs>
          <w:tab w:val="clear" w:pos="1021"/>
        </w:tabs>
        <w:bidi/>
        <w:spacing w:line="240" w:lineRule="auto"/>
        <w:ind w:left="851" w:firstLine="0"/>
        <w:jc w:val="both"/>
        <w:rPr>
          <w:szCs w:val="18"/>
        </w:rPr>
      </w:pPr>
      <w:r w:rsidRPr="00A76781">
        <w:rPr>
          <w:rStyle w:val="FootnoteReference"/>
          <w:sz w:val="16"/>
          <w:szCs w:val="16"/>
        </w:rPr>
        <w:footnoteRef/>
      </w:r>
      <w:r w:rsidRPr="00A76781">
        <w:rPr>
          <w:sz w:val="16"/>
          <w:szCs w:val="16"/>
        </w:rPr>
        <w:t xml:space="preserve"> </w:t>
      </w:r>
      <w:r w:rsidRPr="003F15AC">
        <w:rPr>
          <w:szCs w:val="18"/>
        </w:rPr>
        <w:t xml:space="preserve">Lectures from the Houthi movement’s founder, Hussein Badr al-Din al-Houthi, transcribed into booklets known as </w:t>
      </w:r>
      <w:r w:rsidRPr="002B01BE">
        <w:rPr>
          <w:sz w:val="16"/>
          <w:szCs w:val="16"/>
        </w:rPr>
        <w:t>‘</w:t>
      </w:r>
      <w:r w:rsidRPr="003F15AC">
        <w:rPr>
          <w:i/>
          <w:szCs w:val="18"/>
        </w:rPr>
        <w:t>Malazem’</w:t>
      </w:r>
    </w:p>
  </w:footnote>
  <w:footnote w:id="1079">
    <w:p w14:paraId="1F3F3474" w14:textId="72AD519E" w:rsidR="00A1624A" w:rsidRPr="003F15AC" w:rsidRDefault="00A1624A" w:rsidP="00B81240">
      <w:pPr>
        <w:pStyle w:val="FootnoteText"/>
        <w:tabs>
          <w:tab w:val="clear" w:pos="1021"/>
        </w:tabs>
        <w:bidi/>
        <w:spacing w:line="240" w:lineRule="auto"/>
        <w:ind w:left="851" w:firstLine="0"/>
        <w:jc w:val="both"/>
        <w:rPr>
          <w:szCs w:val="18"/>
        </w:rPr>
      </w:pPr>
      <w:r w:rsidRPr="003F15AC">
        <w:rPr>
          <w:rStyle w:val="FootnoteReference"/>
          <w:szCs w:val="18"/>
        </w:rPr>
        <w:footnoteRef/>
      </w:r>
      <w:r w:rsidRPr="003F15AC">
        <w:rPr>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080">
    <w:p w14:paraId="4DCB250B" w14:textId="04854C67" w:rsidR="00A1624A" w:rsidRPr="006D1AF1"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ملاحظة إن برامج نزع السلاح والتسريح وإعادة الإدماج مختلفة بالنسبة للأطفال، بحسب مركز موارد نزع السلاح والتسريح وإعادة الإدماج، لا يمكن تجنيد الأطفال بشكل قانوني. </w:t>
      </w:r>
      <w:r w:rsidRPr="006D1AF1">
        <w:rPr>
          <w:rStyle w:val="tlid-translation"/>
          <w:rFonts w:ascii="Traditional Arabic" w:hAnsi="Traditional Arabic" w:cs="Traditional Arabic"/>
          <w:sz w:val="22"/>
          <w:szCs w:val="22"/>
          <w:rtl/>
        </w:rPr>
        <w:t>لا ينبغي النظر إلى التدابير التي تهدف إلى منع تجنيدهم، أو تلك التي تحاول إعادة إدماجهم في مجتمعاتهم، على أنها عنصر روتيني في عملية نزع السلاح والتسريح وإعادة الإدماج، إنما كمحاولة لمنع أو تصحيح انتهاك</w:t>
      </w:r>
      <w:r w:rsidRPr="006D1AF1">
        <w:rPr>
          <w:rStyle w:val="tlid-translation"/>
          <w:rFonts w:ascii="Traditional Arabic" w:hAnsi="Traditional Arabic" w:cs="Traditional Arabic"/>
          <w:sz w:val="22"/>
          <w:szCs w:val="22"/>
          <w:rtl/>
          <w:lang w:bidi="ar"/>
        </w:rPr>
        <w:t xml:space="preserve"> </w:t>
      </w:r>
      <w:r w:rsidRPr="006D1AF1">
        <w:rPr>
          <w:rStyle w:val="tlid-translation"/>
          <w:rFonts w:ascii="Traditional Arabic" w:hAnsi="Traditional Arabic" w:cs="Traditional Arabic"/>
          <w:sz w:val="22"/>
          <w:szCs w:val="22"/>
          <w:rtl/>
        </w:rPr>
        <w:t xml:space="preserve">حقوق الإنسان للأطفال. </w:t>
      </w:r>
    </w:p>
    <w:p w14:paraId="56CC03F5" w14:textId="576F5CA6" w:rsidR="00A1624A" w:rsidRPr="003F15AC" w:rsidRDefault="00A1624A" w:rsidP="00B81240">
      <w:pPr>
        <w:pStyle w:val="FootnoteText"/>
        <w:tabs>
          <w:tab w:val="clear" w:pos="1021"/>
        </w:tabs>
        <w:bidi/>
        <w:ind w:left="851" w:firstLine="0"/>
        <w:jc w:val="both"/>
        <w:rPr>
          <w:szCs w:val="18"/>
        </w:rPr>
      </w:pPr>
      <w:r w:rsidRPr="003F15AC">
        <w:rPr>
          <w:szCs w:val="18"/>
        </w:rPr>
        <w:t xml:space="preserve"> </w:t>
      </w:r>
      <w:r w:rsidRPr="00A1624A">
        <w:rPr>
          <w:szCs w:val="18"/>
          <w:lang w:val="fr-CH"/>
        </w:rPr>
        <w:t xml:space="preserve">(UN DDR Resource Centre, n.d.). </w:t>
      </w:r>
      <w:r w:rsidRPr="003F15AC">
        <w:rPr>
          <w:szCs w:val="18"/>
        </w:rPr>
        <w:t xml:space="preserve">Available at </w:t>
      </w:r>
      <w:hyperlink r:id="rId41" w:history="1">
        <w:r w:rsidRPr="003F15AC">
          <w:rPr>
            <w:rStyle w:val="Hyperlink"/>
            <w:szCs w:val="18"/>
          </w:rPr>
          <w:t>http://www.unddr.org/</w:t>
        </w:r>
      </w:hyperlink>
      <w:r w:rsidRPr="003F15AC">
        <w:rPr>
          <w:szCs w:val="18"/>
        </w:rPr>
        <w:t xml:space="preserve"> </w:t>
      </w:r>
    </w:p>
  </w:footnote>
  <w:footnote w:id="1081">
    <w:p w14:paraId="6BC0A239" w14:textId="769AC7EB"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Style w:val="tlid-translation"/>
          <w:rFonts w:ascii="Traditional Arabic" w:hAnsi="Traditional Arabic" w:cs="Traditional Arabic"/>
          <w:sz w:val="22"/>
          <w:szCs w:val="22"/>
          <w:rtl/>
        </w:rPr>
        <w:t>البروتوكول الإختياري الثاني، المادة 6.</w:t>
      </w:r>
    </w:p>
  </w:footnote>
  <w:footnote w:id="1082">
    <w:p w14:paraId="581C44D7" w14:textId="352CB986"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Style w:val="tlid-translation"/>
          <w:rFonts w:ascii="Traditional Arabic" w:hAnsi="Traditional Arabic" w:cs="Traditional Arabic"/>
          <w:sz w:val="22"/>
          <w:szCs w:val="22"/>
          <w:rtl/>
        </w:rPr>
        <w:t>البروتوكول الإختياري الثاني، المادة 6.</w:t>
      </w:r>
    </w:p>
  </w:footnote>
  <w:footnote w:id="1083">
    <w:p w14:paraId="4F89C7BE" w14:textId="7F562927"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84">
    <w:p w14:paraId="73C0A37B" w14:textId="181179C0" w:rsidR="00A1624A" w:rsidRPr="006D1AF1"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6D1AF1">
        <w:rPr>
          <w:rStyle w:val="FootnoteReference"/>
          <w:rFonts w:ascii="Traditional Arabic" w:hAnsi="Traditional Arabic" w:cs="Traditional Arabic"/>
          <w:sz w:val="22"/>
          <w:szCs w:val="22"/>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مصادر سريّة في الملف</w:t>
      </w:r>
      <w:r w:rsidRPr="006D1AF1">
        <w:rPr>
          <w:rFonts w:ascii="Traditional Arabic" w:hAnsi="Traditional Arabic" w:cs="Traditional Arabic"/>
          <w:sz w:val="22"/>
          <w:szCs w:val="22"/>
        </w:rPr>
        <w:t>.</w:t>
      </w:r>
    </w:p>
  </w:footnote>
  <w:footnote w:id="1085">
    <w:p w14:paraId="404C8F42" w14:textId="78CA4DBE" w:rsidR="00A1624A" w:rsidRPr="003F15AC" w:rsidRDefault="00A1624A" w:rsidP="00B81240">
      <w:pPr>
        <w:pStyle w:val="FootnoteText"/>
        <w:tabs>
          <w:tab w:val="clear" w:pos="1021"/>
          <w:tab w:val="left" w:pos="-1440"/>
          <w:tab w:val="left" w:pos="-720"/>
        </w:tabs>
        <w:bidi/>
        <w:spacing w:line="240" w:lineRule="auto"/>
        <w:ind w:left="851" w:firstLine="0"/>
        <w:jc w:val="both"/>
        <w:rPr>
          <w:szCs w:val="18"/>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tl/>
        </w:rPr>
        <w:t xml:space="preserve"> مصادر سريّة في الملف</w:t>
      </w:r>
      <w:r w:rsidRPr="006D1AF1">
        <w:rPr>
          <w:rFonts w:ascii="Traditional Arabic" w:hAnsi="Traditional Arabic" w:cs="Traditional Arabic"/>
          <w:sz w:val="22"/>
          <w:szCs w:val="22"/>
        </w:rPr>
        <w:t>.</w:t>
      </w:r>
    </w:p>
  </w:footnote>
  <w:footnote w:id="1086">
    <w:p w14:paraId="3B4D0B9B" w14:textId="5D7259F4" w:rsidR="00A1624A" w:rsidRPr="006D1AF1" w:rsidRDefault="00A1624A" w:rsidP="00B81240">
      <w:pPr>
        <w:bidi/>
        <w:spacing w:line="240" w:lineRule="auto"/>
        <w:ind w:left="851" w:right="1134"/>
        <w:jc w:val="both"/>
        <w:rPr>
          <w:rFonts w:ascii="Traditional Arabic" w:hAnsi="Traditional Arabic" w:cs="Traditional Arabic"/>
          <w:sz w:val="22"/>
          <w:szCs w:val="22"/>
          <w:rtl/>
        </w:rPr>
      </w:pPr>
      <w:r w:rsidRPr="006D1AF1">
        <w:rPr>
          <w:rFonts w:ascii="Traditional Arabic" w:hAnsi="Traditional Arabic" w:cs="Traditional Arabic"/>
          <w:sz w:val="22"/>
          <w:szCs w:val="22"/>
          <w:vertAlign w:val="superscript"/>
        </w:rPr>
        <w:footnoteRef/>
      </w:r>
      <w:r w:rsidRPr="006D1AF1">
        <w:rPr>
          <w:rFonts w:ascii="Traditional Arabic" w:hAnsi="Traditional Arabic" w:cs="Traditional Arabic"/>
          <w:sz w:val="22"/>
          <w:szCs w:val="22"/>
        </w:rPr>
        <w:t xml:space="preserve"> </w:t>
      </w:r>
      <w:r w:rsidRPr="006D1AF1">
        <w:rPr>
          <w:rFonts w:ascii="Traditional Arabic" w:hAnsi="Traditional Arabic" w:cs="Traditional Arabic"/>
          <w:sz w:val="22"/>
          <w:szCs w:val="22"/>
          <w:rtl/>
        </w:rPr>
        <w:t xml:space="preserve">يزم 25 آذار/ مارس 2019، الممثلة الخاصة للأمين العام المعنية بالأطفال والصراع المسلح، السيدة فيرجينيا غامبا، وقعت مذكرة تفاهم مع قائد قوات التحالف المشتركة الفريق أول الأمير فهد بن تركي بن عبد العزيز آل سعود للتشديد على حماية الأولاد المتأثرين بالنزاع المسلح في البلاد. </w:t>
      </w:r>
    </w:p>
    <w:p w14:paraId="5420AE44" w14:textId="1E8072EA" w:rsidR="00A1624A" w:rsidRPr="003F15AC" w:rsidRDefault="00A1624A" w:rsidP="00B81240">
      <w:pPr>
        <w:bidi/>
        <w:spacing w:line="240" w:lineRule="auto"/>
        <w:ind w:left="851" w:right="1134"/>
        <w:jc w:val="both"/>
        <w:rPr>
          <w:sz w:val="18"/>
          <w:szCs w:val="18"/>
        </w:rPr>
      </w:pPr>
      <w:r w:rsidRPr="003F15AC">
        <w:rPr>
          <w:sz w:val="18"/>
          <w:szCs w:val="18"/>
        </w:rPr>
        <w:t>Available at https://childrenandarmedconflict.un.org/mou-to-strengthen-the-protection-of-children-affected-by-armed-conflict-in-yemen-signed-with-the-coalition-to-support-legitimacy-in-yemen/.</w:t>
      </w:r>
    </w:p>
  </w:footnote>
  <w:footnote w:id="1087">
    <w:p w14:paraId="04CA5800" w14:textId="33A73068" w:rsidR="00A1624A" w:rsidRPr="003F15AC" w:rsidRDefault="00A1624A" w:rsidP="00B81240">
      <w:pPr>
        <w:pStyle w:val="FootnoteText"/>
        <w:tabs>
          <w:tab w:val="clear" w:pos="1021"/>
        </w:tabs>
        <w:bidi/>
        <w:ind w:left="851" w:firstLine="0"/>
        <w:jc w:val="both"/>
        <w:rPr>
          <w:szCs w:val="18"/>
        </w:rPr>
      </w:pPr>
      <w:r w:rsidRPr="003F15AC">
        <w:rPr>
          <w:rStyle w:val="FootnoteReference"/>
          <w:szCs w:val="18"/>
        </w:rPr>
        <w:footnoteRef/>
      </w:r>
      <w:r w:rsidRPr="003F15AC">
        <w:rPr>
          <w:szCs w:val="18"/>
        </w:rPr>
        <w:t xml:space="preserve"> UN Secretary-General Report 2019 - S/2019/453, para 75.</w:t>
      </w:r>
    </w:p>
  </w:footnote>
  <w:footnote w:id="1088">
    <w:p w14:paraId="619E9DB0" w14:textId="1A2D6BA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sidRPr="00D015B5">
        <w:rPr>
          <w:rFonts w:ascii="Traditional Arabic" w:hAnsi="Traditional Arabic" w:cs="Traditional Arabic"/>
          <w:sz w:val="22"/>
          <w:szCs w:val="22"/>
          <w:rtl/>
        </w:rPr>
        <w:t xml:space="preserve"> إعتقل الحوثي هذا الولد في سن الـ16 وتم تعذيبه وتعنيفه جنسيًا. أُطلق سراحه في العام 2017 مشلولًا مع إصابات دائمة لأعضائه التناسلية وصدمة نفسية بالغة. </w:t>
      </w:r>
    </w:p>
  </w:footnote>
  <w:footnote w:id="1089">
    <w:p w14:paraId="1D1450CA" w14:textId="102023B7" w:rsidR="00A1624A" w:rsidRPr="003F15AC" w:rsidRDefault="00A1624A" w:rsidP="00B81240">
      <w:pPr>
        <w:pStyle w:val="FootnoteText"/>
        <w:tabs>
          <w:tab w:val="clear" w:pos="1021"/>
        </w:tabs>
        <w:bidi/>
        <w:spacing w:line="240" w:lineRule="auto"/>
        <w:ind w:left="851" w:firstLine="0"/>
        <w:jc w:val="both"/>
        <w:rPr>
          <w:szCs w:val="18"/>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090">
    <w:p w14:paraId="2F6C25C8" w14:textId="38AC2C32" w:rsidR="00A1624A" w:rsidRPr="003F15AC" w:rsidRDefault="00A1624A" w:rsidP="00B81240">
      <w:pPr>
        <w:pStyle w:val="FootnoteText"/>
        <w:tabs>
          <w:tab w:val="clear" w:pos="1021"/>
        </w:tabs>
        <w:bidi/>
        <w:spacing w:line="240" w:lineRule="auto"/>
        <w:ind w:left="851" w:firstLine="0"/>
        <w:jc w:val="both"/>
        <w:rPr>
          <w:szCs w:val="18"/>
        </w:rPr>
      </w:pPr>
      <w:r w:rsidRPr="003F15AC">
        <w:rPr>
          <w:rStyle w:val="FootnoteReference"/>
          <w:szCs w:val="18"/>
        </w:rPr>
        <w:footnoteRef/>
      </w:r>
      <w:r w:rsidRPr="003F15AC">
        <w:rPr>
          <w:szCs w:val="18"/>
        </w:rPr>
        <w:t xml:space="preserve"> Additional Protocol II, Article  provides that “[c]hildren shall be provided with the care and aid they require” and sets out a list of specific measures to this end. See also ICRC Customary IHL Study, rule 120.</w:t>
      </w:r>
    </w:p>
  </w:footnote>
  <w:footnote w:id="1091">
    <w:p w14:paraId="62F23FAC" w14:textId="67A49261" w:rsidR="00A1624A" w:rsidRPr="003F15AC" w:rsidRDefault="00A1624A" w:rsidP="00B81240">
      <w:pPr>
        <w:pStyle w:val="FootnoteText"/>
        <w:tabs>
          <w:tab w:val="clear" w:pos="1021"/>
        </w:tabs>
        <w:bidi/>
        <w:spacing w:line="240" w:lineRule="auto"/>
        <w:ind w:left="851" w:firstLine="0"/>
        <w:jc w:val="both"/>
        <w:rPr>
          <w:szCs w:val="18"/>
          <w:lang w:val="en-US"/>
        </w:rPr>
      </w:pPr>
      <w:r w:rsidRPr="003F15AC">
        <w:rPr>
          <w:rStyle w:val="FootnoteReference"/>
          <w:szCs w:val="18"/>
        </w:rPr>
        <w:footnoteRef/>
      </w:r>
      <w:r>
        <w:rPr>
          <w:rFonts w:hint="cs"/>
          <w:szCs w:val="18"/>
          <w:rtl/>
        </w:rPr>
        <w:t xml:space="preserve"> </w:t>
      </w:r>
      <w:r w:rsidRPr="003F15AC">
        <w:rPr>
          <w:szCs w:val="18"/>
        </w:rPr>
        <w:t>CRC, Article 37; see also United Nations Standard Minimum rules for the Administration of Juvenile Justice (hereinafter the “Beijing Rules”), 29 November 1985 adopted by General Assembly resolution A/RES/40/33.</w:t>
      </w:r>
    </w:p>
  </w:footnote>
  <w:footnote w:id="1092">
    <w:p w14:paraId="02819769" w14:textId="3774AFC3" w:rsidR="00A1624A" w:rsidRPr="003F15AC" w:rsidRDefault="00A1624A" w:rsidP="00B81240">
      <w:pPr>
        <w:pStyle w:val="FootnoteText"/>
        <w:tabs>
          <w:tab w:val="clear" w:pos="1021"/>
        </w:tabs>
        <w:bidi/>
        <w:ind w:left="851" w:firstLine="0"/>
        <w:jc w:val="both"/>
        <w:rPr>
          <w:szCs w:val="18"/>
        </w:rPr>
      </w:pPr>
      <w:r w:rsidRPr="003F15AC">
        <w:rPr>
          <w:rStyle w:val="FootnoteReference"/>
          <w:szCs w:val="18"/>
        </w:rPr>
        <w:footnoteRef/>
      </w:r>
      <w:r w:rsidRPr="003F15AC">
        <w:rPr>
          <w:szCs w:val="18"/>
        </w:rPr>
        <w:t>CRC, Articles 3 and 37 (b).</w:t>
      </w:r>
    </w:p>
  </w:footnote>
  <w:footnote w:id="1093">
    <w:p w14:paraId="409A362A" w14:textId="5182749A" w:rsidR="00A1624A" w:rsidRPr="003F15AC" w:rsidRDefault="00A1624A" w:rsidP="00B81240">
      <w:pPr>
        <w:pStyle w:val="FootnoteText"/>
        <w:tabs>
          <w:tab w:val="clear" w:pos="1021"/>
        </w:tabs>
        <w:bidi/>
        <w:ind w:left="851" w:firstLine="0"/>
        <w:jc w:val="both"/>
        <w:rPr>
          <w:szCs w:val="18"/>
          <w:lang w:val="en-US"/>
        </w:rPr>
      </w:pPr>
      <w:r w:rsidRPr="003F15AC">
        <w:rPr>
          <w:rStyle w:val="FootnoteReference"/>
          <w:szCs w:val="18"/>
        </w:rPr>
        <w:footnoteRef/>
      </w:r>
      <w:r>
        <w:rPr>
          <w:szCs w:val="18"/>
        </w:rPr>
        <w:t xml:space="preserve"> </w:t>
      </w:r>
      <w:r w:rsidRPr="003F15AC">
        <w:rPr>
          <w:szCs w:val="18"/>
        </w:rPr>
        <w:t>CRC, Article 37 (c). Beijing Rules, 13.4</w:t>
      </w:r>
    </w:p>
  </w:footnote>
  <w:footnote w:id="1094">
    <w:p w14:paraId="771CCABD" w14:textId="083FDB79"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5">
    <w:p w14:paraId="269AB191" w14:textId="6B8B5FB6"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6">
    <w:p w14:paraId="179AD9BA" w14:textId="25E0D250"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7">
    <w:p w14:paraId="2A9F6414" w14:textId="70DA22C7" w:rsidR="00A1624A" w:rsidRPr="003F15AC" w:rsidRDefault="00A1624A" w:rsidP="00B81240">
      <w:pPr>
        <w:pStyle w:val="FootnoteText"/>
        <w:tabs>
          <w:tab w:val="clear" w:pos="1021"/>
        </w:tabs>
        <w:bidi/>
        <w:spacing w:line="240" w:lineRule="auto"/>
        <w:ind w:left="851" w:firstLine="0"/>
        <w:jc w:val="both"/>
        <w:rPr>
          <w:szCs w:val="18"/>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098">
    <w:p w14:paraId="3FCF0CE3" w14:textId="62495925" w:rsidR="00A1624A" w:rsidRPr="009445F2" w:rsidRDefault="00A1624A" w:rsidP="00B81240">
      <w:pPr>
        <w:pStyle w:val="FootnoteText"/>
        <w:tabs>
          <w:tab w:val="clear" w:pos="1021"/>
        </w:tabs>
        <w:bidi/>
        <w:ind w:left="851" w:firstLine="0"/>
        <w:jc w:val="both"/>
        <w:rPr>
          <w:lang w:val="en-US"/>
        </w:rPr>
      </w:pPr>
      <w:r>
        <w:rPr>
          <w:rStyle w:val="FootnoteReference"/>
        </w:rPr>
        <w:footnoteRef/>
      </w:r>
      <w:r w:rsidRPr="009445F2">
        <w:t xml:space="preserve"> </w:t>
      </w:r>
      <w:r w:rsidRPr="00F444E1">
        <w:rPr>
          <w:sz w:val="16"/>
          <w:szCs w:val="16"/>
        </w:rPr>
        <w:t>CRC, Articles 3 and 37 (b).</w:t>
      </w:r>
    </w:p>
  </w:footnote>
  <w:footnote w:id="1099">
    <w:p w14:paraId="052E2E18" w14:textId="67E1042A"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Style w:val="FootnoteReference"/>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البروتوكول الإضافي الثاني الفقرة </w:t>
      </w:r>
      <w:r w:rsidRPr="00D015B5">
        <w:rPr>
          <w:rFonts w:ascii="Traditional Arabic" w:hAnsi="Traditional Arabic" w:cs="Traditional Arabic"/>
          <w:sz w:val="22"/>
          <w:szCs w:val="22"/>
        </w:rPr>
        <w:t>4(2)</w:t>
      </w:r>
      <w:r w:rsidRPr="00D015B5">
        <w:rPr>
          <w:rFonts w:ascii="Traditional Arabic" w:hAnsi="Traditional Arabic" w:cs="Traditional Arabic"/>
          <w:sz w:val="22"/>
          <w:szCs w:val="22"/>
          <w:rtl/>
        </w:rPr>
        <w:t xml:space="preserve">. </w:t>
      </w:r>
    </w:p>
  </w:footnote>
  <w:footnote w:id="1100">
    <w:p w14:paraId="57AB0916" w14:textId="37BA0E49" w:rsidR="00A1624A" w:rsidRPr="00201636" w:rsidRDefault="00A1624A" w:rsidP="00B81240">
      <w:pPr>
        <w:pStyle w:val="FootnoteText"/>
        <w:tabs>
          <w:tab w:val="clear" w:pos="1021"/>
        </w:tabs>
        <w:bidi/>
        <w:ind w:left="851" w:firstLine="0"/>
        <w:jc w:val="both"/>
        <w:rPr>
          <w:sz w:val="16"/>
          <w:szCs w:val="16"/>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w:t>
      </w:r>
      <w:r w:rsidRPr="00D015B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93.</w:t>
      </w:r>
      <w:r>
        <w:rPr>
          <w:rStyle w:val="tlid-translation"/>
          <w:rFonts w:hint="cs"/>
          <w:sz w:val="20"/>
          <w:rtl/>
        </w:rPr>
        <w:t xml:space="preserve"> </w:t>
      </w:r>
    </w:p>
  </w:footnote>
  <w:footnote w:id="1101">
    <w:p w14:paraId="2A543E13" w14:textId="4018AA68" w:rsidR="00A1624A" w:rsidRPr="0043223F" w:rsidRDefault="00A1624A" w:rsidP="00B81240">
      <w:pPr>
        <w:pStyle w:val="FootnoteText"/>
        <w:tabs>
          <w:tab w:val="clear" w:pos="1021"/>
        </w:tabs>
        <w:bidi/>
        <w:ind w:left="851" w:firstLine="0"/>
        <w:jc w:val="both"/>
        <w:rPr>
          <w:szCs w:val="18"/>
          <w:rtl/>
        </w:rPr>
      </w:pPr>
      <w:r w:rsidRPr="0043223F">
        <w:rPr>
          <w:rStyle w:val="FootnoteReference"/>
          <w:szCs w:val="18"/>
        </w:rPr>
        <w:footnoteRef/>
      </w:r>
      <w:r w:rsidRPr="0043223F">
        <w:rPr>
          <w:szCs w:val="18"/>
        </w:rPr>
        <w:t xml:space="preserve"> CRC, Article 19.</w:t>
      </w:r>
    </w:p>
  </w:footnote>
  <w:footnote w:id="1102">
    <w:p w14:paraId="7CDE293A" w14:textId="01E102D2" w:rsidR="00A1624A" w:rsidRPr="0043223F" w:rsidRDefault="00A1624A" w:rsidP="00B81240">
      <w:pPr>
        <w:pStyle w:val="FootnoteText"/>
        <w:tabs>
          <w:tab w:val="clear" w:pos="1021"/>
        </w:tabs>
        <w:bidi/>
        <w:ind w:left="851" w:firstLine="0"/>
        <w:jc w:val="both"/>
        <w:rPr>
          <w:szCs w:val="18"/>
        </w:rPr>
      </w:pPr>
      <w:r w:rsidRPr="0043223F">
        <w:rPr>
          <w:rStyle w:val="FootnoteReference"/>
          <w:szCs w:val="18"/>
        </w:rPr>
        <w:footnoteRef/>
      </w:r>
      <w:r w:rsidRPr="0043223F">
        <w:rPr>
          <w:szCs w:val="18"/>
        </w:rPr>
        <w:t xml:space="preserve"> Convention on the Elimination of Discrimination Against Women General Recommendations 19 (1992), “Violence against women”; and 35 (2017) “on gender-based violence against women, updating general recommendation No. 19”, available at http://www.ohchr.org/EN/HRBodies/CEDAW/Pages/Recommendations.aspx</w:t>
      </w:r>
    </w:p>
  </w:footnote>
  <w:footnote w:id="1103">
    <w:p w14:paraId="71E09D77" w14:textId="77777777"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w:t>
      </w:r>
      <w:r w:rsidRPr="0043223F">
        <w:rPr>
          <w:kern w:val="36"/>
          <w:szCs w:val="18"/>
          <w:lang w:eastAsia="en-GB"/>
        </w:rPr>
        <w:t xml:space="preserve">The Convention on the Elimination of Discrimination Against Women (CEDAW hereinafter), 1980, Article 16(2) </w:t>
      </w:r>
    </w:p>
  </w:footnote>
  <w:footnote w:id="1104">
    <w:p w14:paraId="5105C0C3" w14:textId="77777777" w:rsidR="00A1624A" w:rsidRPr="0043223F" w:rsidRDefault="00A1624A" w:rsidP="00B81240">
      <w:pPr>
        <w:pStyle w:val="FootnoteText"/>
        <w:tabs>
          <w:tab w:val="clear" w:pos="1021"/>
        </w:tabs>
        <w:bidi/>
        <w:ind w:left="851" w:firstLine="0"/>
        <w:jc w:val="both"/>
        <w:rPr>
          <w:szCs w:val="18"/>
          <w:lang w:val="en-US"/>
        </w:rPr>
      </w:pPr>
      <w:r w:rsidRPr="0043223F">
        <w:rPr>
          <w:rStyle w:val="FootnoteReference"/>
          <w:szCs w:val="18"/>
        </w:rPr>
        <w:footnoteRef/>
      </w:r>
      <w:r w:rsidRPr="0043223F">
        <w:rPr>
          <w:szCs w:val="18"/>
        </w:rPr>
        <w:t xml:space="preserve"> Ministry of Public Health and Population - MOPHP/Yemen, Central Statistical Organization - Demographic Survey 2013. Available at: </w:t>
      </w:r>
      <w:hyperlink r:id="rId42" w:history="1">
        <w:r w:rsidRPr="0043223F">
          <w:rPr>
            <w:rStyle w:val="Hyperlink"/>
            <w:szCs w:val="18"/>
          </w:rPr>
          <w:t>http://dhsprogram.com/pubs/pdf/FR296/FR296.pdf</w:t>
        </w:r>
      </w:hyperlink>
    </w:p>
  </w:footnote>
  <w:footnote w:id="1105">
    <w:p w14:paraId="53903832" w14:textId="30990219"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6">
    <w:p w14:paraId="527CBA66" w14:textId="1CA78F6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7">
    <w:p w14:paraId="1607BE30" w14:textId="5A1BD97C"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8">
    <w:p w14:paraId="4217F6D4" w14:textId="4B3EFAE1" w:rsidR="00A1624A" w:rsidRPr="0043223F" w:rsidRDefault="00A1624A" w:rsidP="00B81240">
      <w:pPr>
        <w:pStyle w:val="FootnoteText"/>
        <w:tabs>
          <w:tab w:val="clear" w:pos="1021"/>
        </w:tabs>
        <w:bidi/>
        <w:spacing w:line="240" w:lineRule="auto"/>
        <w:ind w:left="851" w:firstLine="0"/>
        <w:jc w:val="both"/>
        <w:rPr>
          <w:szCs w:val="18"/>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09">
    <w:p w14:paraId="23ADC30F" w14:textId="4D34C426" w:rsidR="00A1624A" w:rsidRPr="00D015B5" w:rsidRDefault="00A1624A" w:rsidP="00B81240">
      <w:pPr>
        <w:pStyle w:val="NormalWeb"/>
        <w:bidi/>
        <w:ind w:left="851" w:right="1134"/>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بناءا على المادة 12 من </w:t>
      </w:r>
      <w:r w:rsidRPr="00D015B5">
        <w:rPr>
          <w:rStyle w:val="preferred"/>
          <w:rFonts w:ascii="Traditional Arabic" w:hAnsi="Traditional Arabic" w:cs="Traditional Arabic"/>
          <w:sz w:val="22"/>
          <w:szCs w:val="22"/>
          <w:rtl/>
        </w:rPr>
        <w:t xml:space="preserve">العهد الدولي الخاص بالحقوق الاقتصادية والاجتماعية والثقافية 1966، إعترف اليمن بحق الجميع في التمتع بأعلى مستوى من الصحة الجسدية والعقلية. أنظر أيضًا: </w:t>
      </w:r>
    </w:p>
    <w:p w14:paraId="2C64F01E" w14:textId="2BE3D12B" w:rsidR="00A1624A" w:rsidRPr="0043223F" w:rsidRDefault="00A1624A" w:rsidP="00B81240">
      <w:pPr>
        <w:pStyle w:val="NormalWeb"/>
        <w:bidi/>
        <w:ind w:left="851" w:right="1134"/>
        <w:jc w:val="both"/>
        <w:rPr>
          <w:rFonts w:eastAsiaTheme="minorHAnsi"/>
          <w:color w:val="000000"/>
          <w:sz w:val="18"/>
          <w:szCs w:val="18"/>
        </w:rPr>
      </w:pPr>
      <w:r w:rsidRPr="0043223F">
        <w:rPr>
          <w:bCs/>
          <w:color w:val="000000"/>
          <w:sz w:val="18"/>
          <w:szCs w:val="18"/>
        </w:rPr>
        <w:t>JA Robinson,</w:t>
      </w:r>
      <w:r w:rsidRPr="0043223F">
        <w:rPr>
          <w:rFonts w:eastAsiaTheme="minorHAnsi"/>
          <w:bCs/>
          <w:color w:val="000000"/>
          <w:sz w:val="18"/>
          <w:szCs w:val="18"/>
        </w:rPr>
        <w:t xml:space="preserve"> The right of child victims of armed conflict to reintegration and recovery, 2012, </w:t>
      </w:r>
      <w:hyperlink r:id="rId43" w:history="1">
        <w:r w:rsidRPr="0043223F">
          <w:rPr>
            <w:rStyle w:val="Hyperlink"/>
            <w:rFonts w:eastAsiaTheme="minorHAnsi"/>
            <w:bCs/>
            <w:sz w:val="18"/>
            <w:szCs w:val="18"/>
          </w:rPr>
          <w:t>http://www.scielo.org.za/scielo.php?script=sci_arttext&amp;pid=S1727-37812012000100003</w:t>
        </w:r>
      </w:hyperlink>
      <w:r w:rsidRPr="0043223F">
        <w:rPr>
          <w:rFonts w:eastAsiaTheme="minorHAnsi"/>
          <w:bCs/>
          <w:color w:val="000000"/>
          <w:sz w:val="18"/>
          <w:szCs w:val="18"/>
        </w:rPr>
        <w:t xml:space="preserve"> </w:t>
      </w:r>
    </w:p>
  </w:footnote>
  <w:footnote w:id="1110">
    <w:p w14:paraId="375C8537" w14:textId="182C226D" w:rsidR="00A1624A" w:rsidRPr="0043223F" w:rsidRDefault="00A1624A" w:rsidP="00B81240">
      <w:pPr>
        <w:pStyle w:val="Heading3"/>
        <w:bidi/>
        <w:ind w:left="851" w:right="1134"/>
        <w:jc w:val="both"/>
        <w:rPr>
          <w:b/>
          <w:color w:val="000000"/>
          <w:sz w:val="18"/>
          <w:szCs w:val="18"/>
          <w:lang w:val="en-US"/>
        </w:rPr>
      </w:pPr>
      <w:r w:rsidRPr="0043223F">
        <w:rPr>
          <w:rStyle w:val="FootnoteReference"/>
          <w:szCs w:val="18"/>
        </w:rPr>
        <w:footnoteRef/>
      </w:r>
      <w:r w:rsidRPr="0043223F">
        <w:rPr>
          <w:sz w:val="18"/>
          <w:szCs w:val="18"/>
        </w:rPr>
        <w:t xml:space="preserve"> </w:t>
      </w:r>
      <w:r w:rsidRPr="0043223F">
        <w:rPr>
          <w:color w:val="000000"/>
          <w:sz w:val="18"/>
          <w:szCs w:val="18"/>
          <w:shd w:val="clear" w:color="auto" w:fill="FFFFFF"/>
        </w:rPr>
        <w:t>CRC, Article 24;</w:t>
      </w:r>
      <w:r w:rsidRPr="0043223F">
        <w:rPr>
          <w:rFonts w:eastAsiaTheme="minorHAnsi"/>
          <w:sz w:val="18"/>
          <w:szCs w:val="18"/>
        </w:rPr>
        <w:t xml:space="preserve"> General Comment No. 15 (CRC/C/GC/15) on the right of the child to the enjoyment of the highest attainable standard of health, 17 April 2013, UN Doc. CRC/C/GC/15</w:t>
      </w:r>
      <w:r>
        <w:rPr>
          <w:rFonts w:eastAsiaTheme="minorHAnsi"/>
          <w:sz w:val="18"/>
          <w:szCs w:val="18"/>
          <w:lang w:val="en-US"/>
        </w:rPr>
        <w:t>.</w:t>
      </w:r>
    </w:p>
  </w:footnote>
  <w:footnote w:id="1111">
    <w:p w14:paraId="15850169" w14:textId="37DE1AC7"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w:t>
      </w:r>
      <w:r w:rsidRPr="00D015B5">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22-24 و28 </w:t>
      </w:r>
    </w:p>
  </w:footnote>
  <w:footnote w:id="1112">
    <w:p w14:paraId="2A93D5EA" w14:textId="77777777"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UN Security Council, Report of the Secretary-General on children and armed conflict, A/70/836-S/2016/360 para 170; A/72/361–S/2017/821 para 193; A/72/865-S/2018/465, para 208-209; and S/2019/453, para 43</w:t>
      </w:r>
    </w:p>
  </w:footnote>
  <w:footnote w:id="1113">
    <w:p w14:paraId="04823167" w14:textId="19CF449B" w:rsidR="00A1624A" w:rsidRPr="0043223F" w:rsidRDefault="00A1624A" w:rsidP="00B81240">
      <w:pPr>
        <w:pStyle w:val="FootnoteText"/>
        <w:tabs>
          <w:tab w:val="clear" w:pos="1021"/>
        </w:tabs>
        <w:bidi/>
        <w:ind w:left="851" w:firstLine="0"/>
        <w:jc w:val="both"/>
        <w:rPr>
          <w:szCs w:val="18"/>
          <w:rtl/>
          <w:lang w:bidi="ar-JO"/>
        </w:rPr>
      </w:pPr>
      <w:r w:rsidRPr="0043223F">
        <w:rPr>
          <w:rStyle w:val="FootnoteReference"/>
          <w:szCs w:val="18"/>
        </w:rPr>
        <w:footnoteRef/>
      </w:r>
      <w:r w:rsidRPr="0043223F">
        <w:rPr>
          <w:szCs w:val="18"/>
        </w:rPr>
        <w:t xml:space="preserve"> A/HRC/39/43</w:t>
      </w:r>
      <w:r w:rsidRPr="006E639A">
        <w:rPr>
          <w:rFonts w:hint="cs"/>
          <w:szCs w:val="18"/>
          <w:rtl/>
        </w:rPr>
        <w:t xml:space="preserve"> </w:t>
      </w:r>
      <w:r>
        <w:rPr>
          <w:rFonts w:hint="cs"/>
          <w:szCs w:val="18"/>
          <w:rtl/>
        </w:rPr>
        <w:t>الفقرة 36</w:t>
      </w:r>
    </w:p>
  </w:footnote>
  <w:footnote w:id="1114">
    <w:p w14:paraId="11ADE329" w14:textId="0E2B72C5"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In a recent report, MSF indicated that it had increased the capacity of Abs Hospital to 200 beds. MSF, 24 April 2019, Complicated Delivery: The Yemeni Mothers and Children Dying Without Medical Care, MSF, https://www.msf.org/complicated-delivery-yemeni-mothers-and-children-dying-without-medical-care, p.12.</w:t>
      </w:r>
    </w:p>
  </w:footnote>
  <w:footnote w:id="1115">
    <w:p w14:paraId="56F04BD9" w14:textId="0BFE044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أظهرت صور يونوسات بأن معظم المبنى تدمّر. مصادر سريّة في الملف</w:t>
      </w:r>
      <w:r w:rsidRPr="00D015B5">
        <w:rPr>
          <w:rFonts w:ascii="Traditional Arabic" w:hAnsi="Traditional Arabic" w:cs="Traditional Arabic"/>
          <w:sz w:val="22"/>
          <w:szCs w:val="22"/>
        </w:rPr>
        <w:t>.</w:t>
      </w:r>
    </w:p>
  </w:footnote>
  <w:footnote w:id="1116">
    <w:p w14:paraId="5B9AA743" w14:textId="17D1DD2F" w:rsidR="00A1624A" w:rsidRPr="00F242C3" w:rsidRDefault="00A1624A" w:rsidP="00B81240">
      <w:pPr>
        <w:pStyle w:val="FootnoteText"/>
        <w:tabs>
          <w:tab w:val="clear" w:pos="1021"/>
        </w:tabs>
        <w:bidi/>
        <w:ind w:left="851" w:firstLine="0"/>
        <w:jc w:val="both"/>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117">
    <w:p w14:paraId="570F909A" w14:textId="1E13827B"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OCHA, Yemen Humanitarian Needs Overview 2019, December 2018, p. 37; at https://reliefweb.int/sites/reliefweb.int/files/resources/2019_Yemen_HNO_FINAL.pdf.</w:t>
      </w:r>
    </w:p>
  </w:footnote>
  <w:footnote w:id="1118">
    <w:p w14:paraId="0B2B46EE" w14:textId="1ED3AD7C"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footnote>
  <w:footnote w:id="1119">
    <w:p w14:paraId="164CC9EB" w14:textId="5E0EB3BB" w:rsidR="00A1624A" w:rsidRPr="0043223F" w:rsidRDefault="00A1624A" w:rsidP="00B81240">
      <w:pPr>
        <w:pStyle w:val="FootnoteText"/>
        <w:tabs>
          <w:tab w:val="clear" w:pos="1021"/>
        </w:tabs>
        <w:bidi/>
        <w:spacing w:line="240" w:lineRule="auto"/>
        <w:ind w:left="851" w:firstLine="0"/>
        <w:jc w:val="both"/>
        <w:rPr>
          <w:szCs w:val="18"/>
          <w:lang w:val="en-US"/>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المرجع نفسه.</w:t>
      </w:r>
      <w:r>
        <w:rPr>
          <w:rFonts w:hint="cs"/>
          <w:szCs w:val="18"/>
          <w:rtl/>
        </w:rPr>
        <w:t xml:space="preserve"> </w:t>
      </w:r>
    </w:p>
  </w:footnote>
  <w:footnote w:id="1120">
    <w:p w14:paraId="4153B143" w14:textId="1A62A513" w:rsidR="00A1624A" w:rsidRPr="0043223F" w:rsidRDefault="00A1624A" w:rsidP="00B81240">
      <w:pPr>
        <w:pStyle w:val="FootnoteText"/>
        <w:tabs>
          <w:tab w:val="clear" w:pos="1021"/>
        </w:tabs>
        <w:bidi/>
        <w:spacing w:line="240" w:lineRule="auto"/>
        <w:ind w:left="851" w:firstLine="0"/>
        <w:jc w:val="both"/>
        <w:rPr>
          <w:szCs w:val="18"/>
          <w:rtl/>
          <w:lang w:val="en-US"/>
        </w:rPr>
      </w:pPr>
      <w:r w:rsidRPr="0043223F">
        <w:rPr>
          <w:rStyle w:val="FootnoteReference"/>
          <w:szCs w:val="18"/>
        </w:rPr>
        <w:footnoteRef/>
      </w:r>
      <w:r w:rsidRPr="0043223F">
        <w:rPr>
          <w:szCs w:val="18"/>
        </w:rPr>
        <w:t xml:space="preserve"> </w:t>
      </w:r>
      <w:r w:rsidRPr="00711B37">
        <w:rPr>
          <w:szCs w:val="18"/>
        </w:rPr>
        <w:t>UNOCHA, Yemen Humanitarian Needs Overview 2015, 22 December 2014, at http://reliefweb.int/report/yemen/2015- yemen-humanitarian-needs-overview, p. 14.</w:t>
      </w:r>
    </w:p>
  </w:footnote>
  <w:footnote w:id="1121">
    <w:p w14:paraId="42C441D0" w14:textId="27DD603E" w:rsidR="00A1624A" w:rsidRPr="0043223F" w:rsidRDefault="00A1624A" w:rsidP="00B81240">
      <w:pPr>
        <w:pStyle w:val="FootnoteText"/>
        <w:tabs>
          <w:tab w:val="clear" w:pos="1021"/>
        </w:tabs>
        <w:bidi/>
        <w:spacing w:line="240" w:lineRule="auto"/>
        <w:ind w:left="851" w:firstLine="0"/>
        <w:jc w:val="both"/>
        <w:rPr>
          <w:szCs w:val="18"/>
        </w:rPr>
      </w:pPr>
      <w:r w:rsidRPr="0043223F">
        <w:rPr>
          <w:rStyle w:val="FootnoteReference"/>
          <w:szCs w:val="18"/>
        </w:rPr>
        <w:footnoteRef/>
      </w:r>
      <w:r w:rsidRPr="0043223F">
        <w:rPr>
          <w:szCs w:val="18"/>
        </w:rPr>
        <w:t xml:space="preserve"> </w:t>
      </w:r>
      <w:r w:rsidRPr="00711B37">
        <w:rPr>
          <w:szCs w:val="18"/>
        </w:rPr>
        <w:t>WHO reports, for 2017-2019, 1.794.580 suspected cases of cholera and 3,412 associated deaths, of which 32.77 per cent were children under 14 years old. The Group was also informed of a ‘diphtheria’ outbreak, with total cases as of 4 May 2019 of up to 3652, and 210 associated deaths of which 89 per cent were children under 14 years old. The most affected governorates are Ibb and al-Hudaydah.</w:t>
      </w:r>
    </w:p>
    <w:p w14:paraId="7E1DA6AB" w14:textId="77777777" w:rsidR="00A1624A" w:rsidRPr="00717A2F" w:rsidRDefault="00A1624A" w:rsidP="00B81240">
      <w:pPr>
        <w:pStyle w:val="FootnoteText"/>
        <w:tabs>
          <w:tab w:val="clear" w:pos="1021"/>
        </w:tabs>
        <w:bidi/>
        <w:ind w:left="851" w:firstLine="0"/>
        <w:jc w:val="both"/>
        <w:rPr>
          <w:rtl/>
          <w:lang w:bidi="ar-JO"/>
        </w:rPr>
      </w:pPr>
    </w:p>
  </w:footnote>
  <w:footnote w:id="1122">
    <w:p w14:paraId="5D07F238" w14:textId="4079A06E"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مصادر سريّة في الملف</w:t>
      </w:r>
      <w:r w:rsidRPr="00D015B5">
        <w:rPr>
          <w:rFonts w:ascii="Traditional Arabic" w:hAnsi="Traditional Arabic" w:cs="Traditional Arabic"/>
          <w:sz w:val="22"/>
          <w:szCs w:val="22"/>
        </w:rPr>
        <w:t>.</w:t>
      </w:r>
    </w:p>
    <w:p w14:paraId="7785AE96" w14:textId="37D6D966" w:rsidR="00A1624A" w:rsidRPr="00711B37" w:rsidRDefault="00A1624A" w:rsidP="00B81240">
      <w:pPr>
        <w:pStyle w:val="FootnoteText"/>
        <w:tabs>
          <w:tab w:val="clear" w:pos="1021"/>
        </w:tabs>
        <w:bidi/>
        <w:spacing w:line="240" w:lineRule="auto"/>
        <w:ind w:left="851" w:firstLine="0"/>
        <w:jc w:val="both"/>
        <w:rPr>
          <w:szCs w:val="18"/>
          <w:rtl/>
        </w:rPr>
      </w:pPr>
      <w:r w:rsidRPr="00711B37">
        <w:rPr>
          <w:szCs w:val="18"/>
        </w:rPr>
        <w:t>Also UNICEF’s press statements at https://www.unicef.org/press-releases/unicef-airlift-vaccines-children-yemen-restrictions and WHO at http://www.emro.who.int/yem/yemen-news/oral-cholera-vaccination-campaign-in-yemen-begins.html</w:t>
      </w:r>
    </w:p>
  </w:footnote>
  <w:footnote w:id="1123">
    <w:p w14:paraId="5E879B0A" w14:textId="3F388FED"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البروتوكول الإضافي الثاني المادة </w:t>
      </w:r>
      <w:r w:rsidRPr="00D015B5">
        <w:rPr>
          <w:rFonts w:ascii="Traditional Arabic" w:hAnsi="Traditional Arabic" w:cs="Traditional Arabic"/>
          <w:sz w:val="22"/>
          <w:szCs w:val="22"/>
        </w:rPr>
        <w:t>4(3.a)</w:t>
      </w:r>
    </w:p>
  </w:footnote>
  <w:footnote w:id="1124">
    <w:p w14:paraId="700ABCC5" w14:textId="29AE76A2"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Style w:val="tlid-translation"/>
          <w:rFonts w:ascii="Traditional Arabic" w:hAnsi="Traditional Arabic" w:cs="Traditional Arabic"/>
          <w:sz w:val="22"/>
          <w:szCs w:val="22"/>
          <w:rtl/>
        </w:rPr>
        <w:t xml:space="preserve">تشير هذه الفكرة إلى جميع الأنشطة التي تنطوي على اتصال منظم ومستدام مصممة لتحقيق التعلم. </w:t>
      </w:r>
    </w:p>
    <w:p w14:paraId="73E27247" w14:textId="77777777" w:rsidR="00A1624A" w:rsidRDefault="00A1624A" w:rsidP="00B81240">
      <w:pPr>
        <w:pStyle w:val="FootnoteText"/>
        <w:tabs>
          <w:tab w:val="clear" w:pos="1021"/>
        </w:tabs>
        <w:bidi/>
        <w:ind w:left="851" w:firstLine="0"/>
        <w:jc w:val="both"/>
        <w:rPr>
          <w:rFonts w:eastAsiaTheme="minorEastAsia" w:cs="Times"/>
          <w:szCs w:val="18"/>
          <w:rtl/>
        </w:rPr>
      </w:pPr>
      <w:r w:rsidRPr="00711B37">
        <w:rPr>
          <w:rFonts w:eastAsiaTheme="minorEastAsia" w:cs="Times"/>
          <w:szCs w:val="18"/>
        </w:rPr>
        <w:t xml:space="preserve">UNESCO, International Standard Classification of Education (ISCED), </w:t>
      </w:r>
      <w:r w:rsidRPr="00711B37">
        <w:rPr>
          <w:rFonts w:eastAsiaTheme="minorEastAsia" w:cs="Times"/>
          <w:iCs/>
          <w:szCs w:val="18"/>
        </w:rPr>
        <w:t xml:space="preserve">November 1997, para. 7. </w:t>
      </w:r>
      <w:r w:rsidRPr="00711B37">
        <w:rPr>
          <w:rFonts w:eastAsiaTheme="minorEastAsia" w:cs="Times"/>
          <w:szCs w:val="18"/>
        </w:rPr>
        <w:t xml:space="preserve"> </w:t>
      </w:r>
    </w:p>
    <w:p w14:paraId="1353B3DD" w14:textId="24588881" w:rsidR="00A1624A" w:rsidRPr="00D015B5"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D015B5">
        <w:rPr>
          <w:rFonts w:ascii="Traditional Arabic" w:eastAsiaTheme="minorEastAsia" w:hAnsi="Traditional Arabic" w:cs="Traditional Arabic"/>
          <w:sz w:val="22"/>
          <w:szCs w:val="22"/>
          <w:rtl/>
        </w:rPr>
        <w:t xml:space="preserve">وهي متعلقة بالأنواع المختلفة </w:t>
      </w:r>
      <w:r w:rsidRPr="00D015B5">
        <w:rPr>
          <w:rStyle w:val="tlid-translation"/>
          <w:rFonts w:ascii="Traditional Arabic" w:hAnsi="Traditional Arabic" w:cs="Traditional Arabic"/>
          <w:sz w:val="22"/>
          <w:szCs w:val="22"/>
          <w:rtl/>
        </w:rPr>
        <w:t>من البرامج، مثل التعليم قبل المدرسي والتعليم الابتدائي والثانوي بما في ذلك التعليم التقني والمهني</w:t>
      </w:r>
      <w:r w:rsidRPr="00D015B5">
        <w:rPr>
          <w:rStyle w:val="tlid-translation"/>
          <w:rFonts w:ascii="Traditional Arabic" w:hAnsi="Traditional Arabic" w:cs="Traditional Arabic"/>
          <w:sz w:val="22"/>
          <w:szCs w:val="22"/>
          <w:lang w:bidi="ar"/>
        </w:rPr>
        <w:t>.</w:t>
      </w:r>
      <w:r w:rsidRPr="00D015B5">
        <w:rPr>
          <w:rStyle w:val="tlid-translation"/>
          <w:rFonts w:ascii="Traditional Arabic" w:hAnsi="Traditional Arabic" w:cs="Traditional Arabic"/>
          <w:sz w:val="22"/>
          <w:szCs w:val="22"/>
          <w:rtl/>
          <w:lang w:bidi="ar"/>
        </w:rPr>
        <w:t xml:space="preserve"> </w:t>
      </w:r>
      <w:r w:rsidRPr="00D015B5">
        <w:rPr>
          <w:rStyle w:val="tlid-translation"/>
          <w:rFonts w:ascii="Traditional Arabic" w:hAnsi="Traditional Arabic" w:cs="Traditional Arabic"/>
          <w:sz w:val="22"/>
          <w:szCs w:val="22"/>
          <w:rtl/>
        </w:rPr>
        <w:t>كما أنها تغطي قضايا مثل "الوصول إلى التعليم ومستوى ونوعية التعليم والظروف التي يتم منحها</w:t>
      </w:r>
      <w:r w:rsidRPr="00D015B5">
        <w:rPr>
          <w:rStyle w:val="tlid-translation"/>
          <w:rFonts w:ascii="Traditional Arabic" w:hAnsi="Traditional Arabic" w:cs="Traditional Arabic"/>
          <w:sz w:val="22"/>
          <w:szCs w:val="22"/>
          <w:lang w:bidi="ar"/>
        </w:rPr>
        <w:t>.</w:t>
      </w:r>
      <w:r w:rsidRPr="00D015B5">
        <w:rPr>
          <w:rStyle w:val="tlid-translation"/>
          <w:rFonts w:ascii="Traditional Arabic" w:hAnsi="Traditional Arabic" w:cs="Traditional Arabic"/>
          <w:sz w:val="22"/>
          <w:szCs w:val="22"/>
          <w:rtl/>
        </w:rPr>
        <w:t xml:space="preserve"> أنظر إتفاقية مكافحة التمييز في مجال التعليم التي اعتمدها المؤتمر العام لليونسكو في جلسته الحادية عشرة، باريس، كانون الأول</w:t>
      </w:r>
      <w:r w:rsidRPr="00D015B5">
        <w:rPr>
          <w:rStyle w:val="tlid-translation"/>
          <w:rFonts w:ascii="Traditional Arabic" w:hAnsi="Traditional Arabic" w:cs="Traditional Arabic"/>
          <w:sz w:val="22"/>
          <w:szCs w:val="22"/>
          <w:rtl/>
          <w:lang w:bidi="ar"/>
        </w:rPr>
        <w:t xml:space="preserve">/ </w:t>
      </w:r>
      <w:r w:rsidRPr="00D015B5">
        <w:rPr>
          <w:rStyle w:val="tlid-translation"/>
          <w:rFonts w:ascii="Traditional Arabic" w:hAnsi="Traditional Arabic" w:cs="Traditional Arabic"/>
          <w:sz w:val="22"/>
          <w:szCs w:val="22"/>
          <w:rtl/>
        </w:rPr>
        <w:t xml:space="preserve">ديسمبر </w:t>
      </w:r>
      <w:r w:rsidRPr="00D015B5">
        <w:rPr>
          <w:rStyle w:val="tlid-translation"/>
          <w:rFonts w:ascii="Traditional Arabic" w:hAnsi="Traditional Arabic" w:cs="Traditional Arabic"/>
          <w:sz w:val="22"/>
          <w:szCs w:val="22"/>
          <w:rtl/>
          <w:lang w:bidi="ar"/>
        </w:rPr>
        <w:t>1960</w:t>
      </w:r>
      <w:r w:rsidRPr="00D015B5">
        <w:rPr>
          <w:rStyle w:val="tlid-translation"/>
          <w:rFonts w:ascii="Traditional Arabic" w:hAnsi="Traditional Arabic" w:cs="Traditional Arabic"/>
          <w:sz w:val="22"/>
          <w:szCs w:val="22"/>
          <w:rtl/>
        </w:rPr>
        <w:t xml:space="preserve">، المادة </w:t>
      </w:r>
      <w:r w:rsidRPr="00D015B5">
        <w:rPr>
          <w:rFonts w:ascii="Traditional Arabic" w:eastAsiaTheme="minorEastAsia" w:hAnsi="Traditional Arabic" w:cs="Traditional Arabic"/>
          <w:sz w:val="22"/>
          <w:szCs w:val="22"/>
          <w:lang w:eastAsia="ja-JP"/>
        </w:rPr>
        <w:t>1(2)</w:t>
      </w:r>
      <w:r w:rsidRPr="00D015B5">
        <w:rPr>
          <w:rFonts w:ascii="Traditional Arabic" w:eastAsiaTheme="minorEastAsia" w:hAnsi="Traditional Arabic" w:cs="Traditional Arabic"/>
          <w:sz w:val="22"/>
          <w:szCs w:val="22"/>
          <w:rtl/>
          <w:lang w:eastAsia="ja-JP"/>
        </w:rPr>
        <w:t>. أنظر أيضًا ا</w:t>
      </w:r>
      <w:r w:rsidRPr="00D015B5">
        <w:rPr>
          <w:rStyle w:val="tlid-translation"/>
          <w:rFonts w:ascii="Traditional Arabic" w:hAnsi="Traditional Arabic" w:cs="Traditional Arabic"/>
          <w:sz w:val="22"/>
          <w:szCs w:val="22"/>
          <w:rtl/>
        </w:rPr>
        <w:t xml:space="preserve">ليونسكو التصنيف الدولي الموحد للتعليم </w:t>
      </w:r>
      <w:r w:rsidRPr="00D015B5">
        <w:rPr>
          <w:rFonts w:ascii="Traditional Arabic" w:eastAsiaTheme="minorEastAsia" w:hAnsi="Traditional Arabic" w:cs="Traditional Arabic"/>
          <w:sz w:val="22"/>
          <w:szCs w:val="22"/>
        </w:rPr>
        <w:t>(ISCED)</w:t>
      </w:r>
      <w:r w:rsidRPr="00D015B5">
        <w:rPr>
          <w:rFonts w:ascii="Traditional Arabic" w:eastAsiaTheme="minorEastAsia" w:hAnsi="Traditional Arabic" w:cs="Traditional Arabic"/>
          <w:sz w:val="22"/>
          <w:szCs w:val="22"/>
          <w:rtl/>
        </w:rPr>
        <w:t xml:space="preserve"> في </w:t>
      </w:r>
      <w:r w:rsidRPr="00D015B5">
        <w:rPr>
          <w:rStyle w:val="tlid-translation"/>
          <w:rFonts w:ascii="Traditional Arabic" w:hAnsi="Traditional Arabic" w:cs="Traditional Arabic"/>
          <w:sz w:val="22"/>
          <w:szCs w:val="22"/>
          <w:rtl/>
        </w:rPr>
        <w:t>توضيح أن مفهوم التعليم يشمل مجموعة متنوعة من البرامج وأنواع التعليم المحددة في السياق الوطني، مثل التعليم النظامي وتعليم الكبار والتعليم الرسمي والتعليم غير النظامي والتعليم الأولي والتعليم المستمر والتعليم عن بعد والتعليم المفتوح والتعليم مدى الحياة  والتعليم غير المتفرغ والأنظمة المزدوجة والتدريب المهني والتعليم التقني-المهني والتدريب وتعليم ذوي الاحتياجات الخاصة</w:t>
      </w:r>
      <w:r w:rsidRPr="00D015B5">
        <w:rPr>
          <w:rStyle w:val="tlid-translation"/>
          <w:rFonts w:ascii="Traditional Arabic" w:hAnsi="Traditional Arabic" w:cs="Traditional Arabic"/>
          <w:sz w:val="22"/>
          <w:szCs w:val="22"/>
          <w:lang w:bidi="ar"/>
        </w:rPr>
        <w:t xml:space="preserve"> </w:t>
      </w:r>
      <w:r w:rsidRPr="00D015B5">
        <w:rPr>
          <w:rStyle w:val="tlid-translation"/>
          <w:rFonts w:ascii="Traditional Arabic" w:hAnsi="Traditional Arabic" w:cs="Traditional Arabic"/>
          <w:sz w:val="22"/>
          <w:szCs w:val="22"/>
          <w:rtl/>
          <w:lang w:bidi="ar"/>
        </w:rPr>
        <w:t>(</w:t>
      </w:r>
      <w:r w:rsidRPr="00D015B5">
        <w:rPr>
          <w:rStyle w:val="tlid-translation"/>
          <w:rFonts w:ascii="Traditional Arabic" w:hAnsi="Traditional Arabic" w:cs="Traditional Arabic"/>
          <w:sz w:val="22"/>
          <w:szCs w:val="22"/>
          <w:rtl/>
        </w:rPr>
        <w:t xml:space="preserve">الفقرة </w:t>
      </w:r>
      <w:r w:rsidRPr="00D015B5">
        <w:rPr>
          <w:rStyle w:val="tlid-translation"/>
          <w:rFonts w:ascii="Traditional Arabic" w:hAnsi="Traditional Arabic" w:cs="Traditional Arabic"/>
          <w:sz w:val="22"/>
          <w:szCs w:val="22"/>
          <w:rtl/>
          <w:lang w:bidi="ar"/>
        </w:rPr>
        <w:t>12).</w:t>
      </w:r>
    </w:p>
  </w:footnote>
  <w:footnote w:id="1125">
    <w:p w14:paraId="5FD7F8EA" w14:textId="6FAE4E63" w:rsidR="00A1624A" w:rsidRPr="00D015B5"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D015B5">
        <w:rPr>
          <w:rStyle w:val="FootnoteReference"/>
          <w:rFonts w:ascii="Traditional Arabic" w:hAnsi="Traditional Arabic" w:cs="Traditional Arabic"/>
          <w:sz w:val="22"/>
          <w:szCs w:val="22"/>
        </w:rPr>
        <w:footnoteRef/>
      </w:r>
      <w:r w:rsidRPr="00D015B5">
        <w:rPr>
          <w:rFonts w:ascii="Traditional Arabic" w:hAnsi="Traditional Arabic" w:cs="Traditional Arabic"/>
          <w:sz w:val="22"/>
          <w:szCs w:val="22"/>
        </w:rPr>
        <w:t xml:space="preserve"> </w:t>
      </w:r>
      <w:r w:rsidRPr="00D015B5">
        <w:rPr>
          <w:rFonts w:ascii="Traditional Arabic" w:hAnsi="Traditional Arabic" w:cs="Traditional Arabic"/>
          <w:sz w:val="22"/>
          <w:szCs w:val="22"/>
          <w:rtl/>
        </w:rPr>
        <w:t xml:space="preserve">أنظر على وجه الخصوص: </w:t>
      </w:r>
    </w:p>
    <w:p w14:paraId="0D27E7FA" w14:textId="77543F3F" w:rsidR="00A1624A" w:rsidRPr="00711B37" w:rsidRDefault="00A1624A" w:rsidP="00B81240">
      <w:pPr>
        <w:pStyle w:val="FootnoteText"/>
        <w:tabs>
          <w:tab w:val="clear" w:pos="1021"/>
        </w:tabs>
        <w:bidi/>
        <w:spacing w:line="240" w:lineRule="auto"/>
        <w:ind w:left="851" w:firstLine="0"/>
        <w:jc w:val="both"/>
        <w:rPr>
          <w:szCs w:val="18"/>
        </w:rPr>
      </w:pPr>
      <w:r w:rsidRPr="00711B37">
        <w:rPr>
          <w:szCs w:val="18"/>
        </w:rPr>
        <w:t xml:space="preserve">Universal Declaration of Human Rights, Article 26; International </w:t>
      </w:r>
      <w:r w:rsidRPr="00711B37">
        <w:rPr>
          <w:rFonts w:eastAsiaTheme="minorEastAsia"/>
          <w:szCs w:val="18"/>
        </w:rPr>
        <w:t>Covenant on Economic, Social and Cultural Rights</w:t>
      </w:r>
      <w:r w:rsidRPr="00711B37">
        <w:rPr>
          <w:szCs w:val="18"/>
        </w:rPr>
        <w:t xml:space="preserve">, Article 13; Convention on the Rights of the Child, Articles 28–29. See also the International Covenant on Civil and Political Rights, Article 18(4). See also UN General Assembly, The right to education in emergency situation, A/RES/64/290, 27 July 2010; </w:t>
      </w:r>
      <w:r w:rsidRPr="00711B37">
        <w:rPr>
          <w:bCs/>
          <w:szCs w:val="18"/>
        </w:rPr>
        <w:t>Committee on the Rights of the Child, Day of General Discussion on the “right of the child to education in emergency situations”, Recommendations, 49</w:t>
      </w:r>
      <w:r w:rsidRPr="00711B37">
        <w:rPr>
          <w:bCs/>
          <w:szCs w:val="18"/>
          <w:vertAlign w:val="superscript"/>
        </w:rPr>
        <w:t>th</w:t>
      </w:r>
      <w:r w:rsidRPr="00711B37">
        <w:rPr>
          <w:bCs/>
          <w:szCs w:val="18"/>
        </w:rPr>
        <w:t xml:space="preserve"> Session, 3 October 2008; </w:t>
      </w:r>
      <w:r w:rsidRPr="00711B37">
        <w:rPr>
          <w:szCs w:val="18"/>
        </w:rPr>
        <w:t>Inter-agency Guiding Principles on Unaccompanied and Separated Children, p. 49. Inter-agency Guiding Principles on Unaccompanied and Separated Children, p. 49.</w:t>
      </w:r>
    </w:p>
  </w:footnote>
  <w:footnote w:id="1126">
    <w:p w14:paraId="4EFB0842" w14:textId="28BA741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075D72">
        <w:rPr>
          <w:rFonts w:ascii="Traditional Arabic" w:hAnsi="Traditional Arabic" w:cs="Traditional Arabic"/>
          <w:sz w:val="22"/>
          <w:szCs w:val="22"/>
          <w:rtl/>
        </w:rPr>
        <w:t xml:space="preserve">، </w:t>
      </w:r>
      <w:r w:rsidRPr="00075D72">
        <w:rPr>
          <w:rStyle w:val="tlid-translation"/>
          <w:rFonts w:ascii="Traditional Arabic" w:hAnsi="Traditional Arabic" w:cs="Traditional Arabic"/>
          <w:sz w:val="22"/>
          <w:szCs w:val="22"/>
          <w:rtl/>
        </w:rPr>
        <w:t xml:space="preserve">القاعدة 23. </w:t>
      </w:r>
    </w:p>
  </w:footnote>
  <w:footnote w:id="1127">
    <w:p w14:paraId="0F78ACCA" w14:textId="14E9BE1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28">
    <w:p w14:paraId="23896893" w14:textId="35EA060A"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29">
    <w:p w14:paraId="697D82CD" w14:textId="08146283"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sz w:val="22"/>
          <w:szCs w:val="22"/>
          <w:rtl/>
        </w:rPr>
        <w:t xml:space="preserve"> </w:t>
      </w:r>
    </w:p>
  </w:footnote>
  <w:footnote w:id="1130">
    <w:p w14:paraId="0F0FE38B" w14:textId="258E6F24"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1">
    <w:p w14:paraId="6F9902A4" w14:textId="24EB6A5D"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2">
    <w:p w14:paraId="5C0741CA" w14:textId="63B10C45" w:rsidR="00A1624A" w:rsidRPr="00711B37" w:rsidRDefault="00A1624A" w:rsidP="00B81240">
      <w:pPr>
        <w:pStyle w:val="FootnoteText"/>
        <w:tabs>
          <w:tab w:val="clear" w:pos="1021"/>
        </w:tabs>
        <w:bidi/>
        <w:spacing w:line="192" w:lineRule="auto"/>
        <w:ind w:left="850" w:right="1138" w:firstLine="0"/>
        <w:jc w:val="both"/>
        <w:rPr>
          <w:szCs w:val="18"/>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3">
    <w:p w14:paraId="1D73D819" w14:textId="1660E0E8"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4">
    <w:p w14:paraId="0035F846" w14:textId="0BD0ED0D"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A/HRC/39/43</w:t>
      </w:r>
      <w:r w:rsidRPr="00075D72">
        <w:rPr>
          <w:rFonts w:ascii="Traditional Arabic" w:hAnsi="Traditional Arabic" w:cs="Traditional Arabic"/>
          <w:sz w:val="22"/>
          <w:szCs w:val="22"/>
          <w:rtl/>
        </w:rPr>
        <w:t xml:space="preserve"> الفقرة 15</w:t>
      </w:r>
      <w:r w:rsidRPr="00075D72">
        <w:rPr>
          <w:rFonts w:ascii="Traditional Arabic" w:hAnsi="Traditional Arabic" w:cs="Traditional Arabic"/>
          <w:sz w:val="22"/>
          <w:szCs w:val="22"/>
        </w:rPr>
        <w:t>.</w:t>
      </w:r>
    </w:p>
  </w:footnote>
  <w:footnote w:id="1135">
    <w:p w14:paraId="318249F5" w14:textId="3AAE2D8F"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6">
    <w:p w14:paraId="6E5BFC24" w14:textId="3965E4FB"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9 مدارس على الأقل في المخا وموزه، المقابلات 522 و779. 9 مدارس في مدينة تعز، 523 و796 و805 و819. مدرستان في صعدة. 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sz w:val="22"/>
          <w:szCs w:val="22"/>
          <w:rtl/>
        </w:rPr>
        <w:t xml:space="preserve"> </w:t>
      </w:r>
    </w:p>
  </w:footnote>
  <w:footnote w:id="1137">
    <w:p w14:paraId="5A5792ED" w14:textId="38014E72"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ال</w:t>
      </w:r>
      <w:r w:rsidRPr="00075D72">
        <w:rPr>
          <w:rStyle w:val="tlid-translation"/>
          <w:rFonts w:ascii="Traditional Arabic" w:hAnsi="Traditional Arabic" w:cs="Traditional Arabic"/>
          <w:sz w:val="22"/>
          <w:szCs w:val="22"/>
          <w:rtl/>
        </w:rPr>
        <w:t>إعلان السياسي الذي من خلاله تقر الدول رسميا وتلتزم بتنفيذ المبادئ التوجيهية لحماية المدارس والجامعات من الاستخدام العسكري أثناء النزاع المسلح (المبادئ التوجيهية للمدارس الآمنة) بما في ذلك في تدريبها العسكري ومبادئها، إلخ</w:t>
      </w:r>
      <w:r w:rsidRPr="00075D72">
        <w:rPr>
          <w:rStyle w:val="tlid-translation"/>
          <w:rFonts w:ascii="Traditional Arabic" w:hAnsi="Traditional Arabic" w:cs="Traditional Arabic"/>
          <w:sz w:val="22"/>
          <w:szCs w:val="22"/>
          <w:lang w:bidi="ar"/>
        </w:rPr>
        <w:t>.</w:t>
      </w:r>
      <w:r w:rsidRPr="00075D72">
        <w:rPr>
          <w:rStyle w:val="tlid-translation"/>
          <w:rFonts w:ascii="Traditional Arabic" w:hAnsi="Traditional Arabic" w:cs="Traditional Arabic"/>
          <w:sz w:val="22"/>
          <w:szCs w:val="22"/>
          <w:rtl/>
        </w:rPr>
        <w:t xml:space="preserve"> متوفر على الرابط</w:t>
      </w:r>
      <w:r w:rsidRPr="00075D72">
        <w:rPr>
          <w:rStyle w:val="tlid-translation"/>
          <w:rFonts w:ascii="Traditional Arabic" w:hAnsi="Traditional Arabic" w:cs="Traditional Arabic"/>
          <w:sz w:val="22"/>
          <w:szCs w:val="22"/>
          <w:rtl/>
          <w:lang w:bidi="ar"/>
        </w:rPr>
        <w:t xml:space="preserve">:  </w:t>
      </w:r>
    </w:p>
    <w:p w14:paraId="59E4EBE2" w14:textId="0EB2203F" w:rsidR="00A1624A" w:rsidRPr="00711B37" w:rsidRDefault="0068660E" w:rsidP="00B81240">
      <w:pPr>
        <w:pStyle w:val="FootnoteText"/>
        <w:tabs>
          <w:tab w:val="clear" w:pos="1021"/>
        </w:tabs>
        <w:bidi/>
        <w:spacing w:line="240" w:lineRule="auto"/>
        <w:ind w:left="851" w:firstLine="0"/>
        <w:jc w:val="both"/>
        <w:rPr>
          <w:szCs w:val="18"/>
          <w:lang w:val="en-US"/>
        </w:rPr>
      </w:pPr>
      <w:hyperlink r:id="rId44" w:history="1">
        <w:r w:rsidR="00A1624A" w:rsidRPr="00711B37">
          <w:rPr>
            <w:rStyle w:val="Hyperlink"/>
            <w:szCs w:val="18"/>
          </w:rPr>
          <w:t>http://www.protectingeducation.org/guidelines/support</w:t>
        </w:r>
      </w:hyperlink>
      <w:r w:rsidR="00A1624A" w:rsidRPr="00711B37">
        <w:rPr>
          <w:rStyle w:val="Hyperlink"/>
          <w:szCs w:val="18"/>
        </w:rPr>
        <w:t xml:space="preserve"> and </w:t>
      </w:r>
      <w:hyperlink r:id="rId45" w:history="1">
        <w:r w:rsidR="00A1624A" w:rsidRPr="00711B37">
          <w:rPr>
            <w:rStyle w:val="Hyperlink"/>
            <w:szCs w:val="18"/>
          </w:rPr>
          <w:t>http://protectingeducation.org/news/yemen-endorses-safe-schools-declaration-advance-un-security-council-debate-children-and-armed</w:t>
        </w:r>
      </w:hyperlink>
    </w:p>
  </w:footnote>
  <w:footnote w:id="1138">
    <w:p w14:paraId="3E3A3237" w14:textId="0D1512F0"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39">
    <w:p w14:paraId="59A53E26" w14:textId="068F6ED8"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 xml:space="preserve">البروتوكول الإضافي الثاني 1977 الفقرة </w:t>
      </w:r>
      <w:r w:rsidRPr="00075D72">
        <w:rPr>
          <w:rFonts w:ascii="Traditional Arabic" w:hAnsi="Traditional Arabic" w:cs="Traditional Arabic"/>
          <w:sz w:val="22"/>
          <w:szCs w:val="22"/>
        </w:rPr>
        <w:t>4(3)(a)</w:t>
      </w:r>
      <w:r w:rsidRPr="00075D72">
        <w:rPr>
          <w:rFonts w:ascii="Traditional Arabic" w:hAnsi="Traditional Arabic" w:cs="Traditional Arabic"/>
          <w:sz w:val="22"/>
          <w:szCs w:val="22"/>
          <w:rtl/>
        </w:rPr>
        <w:t xml:space="preserve"> تحدد بأنه </w:t>
      </w:r>
      <w:r w:rsidRPr="00075D72">
        <w:rPr>
          <w:rStyle w:val="tlid-translation"/>
          <w:rFonts w:ascii="Traditional Arabic" w:hAnsi="Traditional Arabic" w:cs="Traditional Arabic"/>
          <w:sz w:val="22"/>
          <w:szCs w:val="22"/>
          <w:rtl/>
        </w:rPr>
        <w:t>يجب تزويد الأطفال بالرعاية والمساعدات التي يحتاجونها وعلى وجه الخصوص التعليم. دراسة اللجنة الدولية للصليب الأحمر حول القانون الدولي الإنساني العرفي</w:t>
      </w:r>
      <w:r w:rsidRPr="00075D72">
        <w:rPr>
          <w:rFonts w:ascii="Traditional Arabic" w:hAnsi="Traditional Arabic" w:cs="Traditional Arabic"/>
          <w:sz w:val="22"/>
          <w:szCs w:val="22"/>
          <w:rtl/>
        </w:rPr>
        <w:t xml:space="preserve">، </w:t>
      </w:r>
      <w:r w:rsidRPr="00075D72">
        <w:rPr>
          <w:rStyle w:val="tlid-translation"/>
          <w:rFonts w:ascii="Traditional Arabic" w:hAnsi="Traditional Arabic" w:cs="Traditional Arabic"/>
          <w:sz w:val="22"/>
          <w:szCs w:val="22"/>
          <w:rtl/>
        </w:rPr>
        <w:t xml:space="preserve">القاعدة 23. أيضًا </w:t>
      </w:r>
      <w:r w:rsidRPr="00075D72">
        <w:rPr>
          <w:rFonts w:ascii="Traditional Arabic" w:hAnsi="Traditional Arabic" w:cs="Traditional Arabic"/>
          <w:sz w:val="22"/>
          <w:szCs w:val="22"/>
          <w:rtl/>
        </w:rPr>
        <w:t xml:space="preserve"> </w:t>
      </w:r>
      <w:r w:rsidRPr="00075D72">
        <w:rPr>
          <w:rStyle w:val="preferred"/>
          <w:rFonts w:ascii="Traditional Arabic" w:hAnsi="Traditional Arabic" w:cs="Traditional Arabic"/>
          <w:sz w:val="22"/>
          <w:szCs w:val="22"/>
          <w:rtl/>
        </w:rPr>
        <w:t xml:space="preserve">العهد الدولي الخاص بالحقوق الاقتصادية والاجتماعية والثقافية، المادة 13. </w:t>
      </w:r>
    </w:p>
  </w:footnote>
  <w:footnote w:id="1140">
    <w:p w14:paraId="334E0D4D" w14:textId="141F694D"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من بين مصادر أخرى، أولاد من صعدة تم مقابلتهم، حادثة الحافلة، المقابلات 778 و743 و742. وفقًا لليونيسيف، خلال فترة إعداد التقرير، يوجد مليوني طفل (من بين حوالي 7 ملايين) خارج المدارس في اليمن، ا</w:t>
      </w:r>
      <w:r w:rsidRPr="00075D72">
        <w:rPr>
          <w:rStyle w:val="Hyperlink"/>
          <w:rFonts w:ascii="Traditional Arabic" w:hAnsi="Traditional Arabic" w:cs="Traditional Arabic"/>
          <w:sz w:val="22"/>
          <w:szCs w:val="22"/>
          <w:rtl/>
        </w:rPr>
        <w:t xml:space="preserve">ليونيسيف </w:t>
      </w:r>
      <w:r w:rsidRPr="00075D72">
        <w:rPr>
          <w:rFonts w:ascii="Traditional Arabic" w:hAnsi="Traditional Arabic" w:cs="Traditional Arabic"/>
          <w:sz w:val="22"/>
          <w:szCs w:val="22"/>
          <w:rtl/>
        </w:rPr>
        <w:t>11 آذار/ مارس بيان صحفي</w:t>
      </w:r>
    </w:p>
    <w:p w14:paraId="0B189E73" w14:textId="77777777" w:rsidR="00A1624A" w:rsidRDefault="0068660E" w:rsidP="00B81240">
      <w:pPr>
        <w:pStyle w:val="FootnoteText"/>
        <w:tabs>
          <w:tab w:val="clear" w:pos="1021"/>
        </w:tabs>
        <w:bidi/>
        <w:spacing w:line="240" w:lineRule="auto"/>
        <w:ind w:left="851" w:firstLine="0"/>
        <w:jc w:val="both"/>
        <w:rPr>
          <w:rStyle w:val="Hyperlink"/>
          <w:szCs w:val="18"/>
          <w:rtl/>
        </w:rPr>
      </w:pPr>
      <w:hyperlink r:id="rId46" w:history="1">
        <w:r w:rsidR="00A1624A" w:rsidRPr="00711B37">
          <w:rPr>
            <w:rStyle w:val="Hyperlink"/>
            <w:szCs w:val="18"/>
          </w:rPr>
          <w:t>https://www.unicef.org/press-releases/keep-children-education-unicef-starts-incentives-school-based-staff-yemen</w:t>
        </w:r>
      </w:hyperlink>
      <w:r w:rsidR="00A1624A" w:rsidRPr="00711B37">
        <w:rPr>
          <w:szCs w:val="18"/>
        </w:rPr>
        <w:t xml:space="preserve">. Additional information at </w:t>
      </w:r>
      <w:hyperlink r:id="rId47" w:history="1">
        <w:r w:rsidR="00A1624A" w:rsidRPr="00711B37">
          <w:rPr>
            <w:rStyle w:val="Hyperlink"/>
            <w:szCs w:val="18"/>
          </w:rPr>
          <w:t>https://www.unicef.org/yemen/YEM_resources_ifnotinschool.pdf</w:t>
        </w:r>
      </w:hyperlink>
      <w:r w:rsidR="00A1624A" w:rsidRPr="00711B37">
        <w:rPr>
          <w:rStyle w:val="Hyperlink"/>
          <w:szCs w:val="18"/>
        </w:rPr>
        <w:t xml:space="preserve">. </w:t>
      </w:r>
    </w:p>
    <w:p w14:paraId="3D884241" w14:textId="7504244C" w:rsidR="00A1624A" w:rsidRPr="00075D72" w:rsidRDefault="00A1624A" w:rsidP="00B81240">
      <w:pPr>
        <w:pStyle w:val="FootnoteText"/>
        <w:tabs>
          <w:tab w:val="clear" w:pos="1021"/>
        </w:tabs>
        <w:bidi/>
        <w:spacing w:line="192" w:lineRule="auto"/>
        <w:ind w:left="850" w:right="1138" w:firstLine="0"/>
        <w:jc w:val="both"/>
        <w:rPr>
          <w:rStyle w:val="Hyperlink"/>
          <w:rFonts w:ascii="Traditional Arabic" w:hAnsi="Traditional Arabic" w:cs="Traditional Arabic"/>
          <w:sz w:val="22"/>
          <w:szCs w:val="22"/>
          <w:rtl/>
        </w:rPr>
      </w:pPr>
      <w:r w:rsidRPr="00075D72">
        <w:rPr>
          <w:rStyle w:val="Hyperlink"/>
          <w:rFonts w:ascii="Traditional Arabic" w:hAnsi="Traditional Arabic" w:cs="Traditional Arabic"/>
          <w:sz w:val="22"/>
          <w:szCs w:val="22"/>
          <w:rtl/>
        </w:rPr>
        <w:t xml:space="preserve">في بداية النزاع في تشرين الأول/ أكتوبر 2014، أشارت اليونيسيف في تشرين الأول/ أكتوبر 2014 إلى أن 1.6 مليون طفل كانوا خارج المدارس </w:t>
      </w:r>
    </w:p>
    <w:p w14:paraId="5461001D" w14:textId="0BC1DA19" w:rsidR="00A1624A" w:rsidRPr="00711B37" w:rsidRDefault="00A1624A" w:rsidP="00B81240">
      <w:pPr>
        <w:pStyle w:val="FootnoteText"/>
        <w:tabs>
          <w:tab w:val="clear" w:pos="1021"/>
        </w:tabs>
        <w:bidi/>
        <w:spacing w:line="240" w:lineRule="auto"/>
        <w:ind w:left="851" w:firstLine="0"/>
        <w:jc w:val="both"/>
        <w:rPr>
          <w:szCs w:val="18"/>
        </w:rPr>
      </w:pPr>
      <w:r w:rsidRPr="00711B37">
        <w:rPr>
          <w:szCs w:val="18"/>
        </w:rPr>
        <w:t xml:space="preserve"> ‘YEMEN: Country report on out-of-school children’, at http://www.oosci-mena.org/uploads/1/wysiwyg/reports/150325_MENARO_Yemen_Report_English_Preview.pdf</w:t>
      </w:r>
    </w:p>
  </w:footnote>
  <w:footnote w:id="1141">
    <w:p w14:paraId="284E3AC5" w14:textId="328E78F2"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42">
    <w:p w14:paraId="593A2996" w14:textId="1042F08F" w:rsidR="00A1624A" w:rsidRPr="00075D72" w:rsidRDefault="00A1624A" w:rsidP="00B81240">
      <w:pPr>
        <w:pStyle w:val="GCFootnote"/>
        <w:bidi/>
        <w:spacing w:line="192" w:lineRule="auto"/>
        <w:ind w:left="850" w:right="1138"/>
        <w:rPr>
          <w:rFonts w:ascii="Traditional Arabic" w:hAnsi="Traditional Arabic" w:cs="Traditional Arabic"/>
          <w:sz w:val="22"/>
          <w:szCs w:val="22"/>
          <w:rtl/>
          <w:lang w:val="en-GB"/>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lang w:val="en-GB"/>
        </w:rPr>
        <w:t xml:space="preserve"> </w:t>
      </w:r>
      <w:r w:rsidRPr="00075D72">
        <w:rPr>
          <w:rFonts w:ascii="Traditional Arabic" w:hAnsi="Traditional Arabic" w:cs="Traditional Arabic"/>
          <w:sz w:val="22"/>
          <w:szCs w:val="22"/>
          <w:rtl/>
          <w:lang w:val="en-GB"/>
        </w:rPr>
        <w:t xml:space="preserve">تقدم </w:t>
      </w:r>
      <w:r w:rsidRPr="00075D72">
        <w:rPr>
          <w:rStyle w:val="tlid-translation"/>
          <w:rFonts w:ascii="Traditional Arabic" w:hAnsi="Traditional Arabic" w:cs="Traditional Arabic"/>
          <w:sz w:val="22"/>
          <w:szCs w:val="22"/>
          <w:rtl/>
        </w:rPr>
        <w:t>عدد من الوثائق الدولية إرشادات حول وسائل ضمان استمرار و/ أو إعادة بناء نظام تعليمي مناسب في حالات النزاع المسلح.</w:t>
      </w:r>
      <w:r w:rsidRPr="00075D72">
        <w:rPr>
          <w:rStyle w:val="tlid-translation"/>
          <w:rFonts w:ascii="Traditional Arabic" w:hAnsi="Traditional Arabic" w:cs="Traditional Arabic"/>
          <w:sz w:val="22"/>
          <w:szCs w:val="22"/>
          <w:lang w:bidi="ar"/>
        </w:rPr>
        <w:t xml:space="preserve"> </w:t>
      </w:r>
      <w:r w:rsidRPr="00075D72">
        <w:rPr>
          <w:rStyle w:val="tlid-translation"/>
          <w:rFonts w:ascii="Traditional Arabic" w:hAnsi="Traditional Arabic" w:cs="Traditional Arabic"/>
          <w:sz w:val="22"/>
          <w:szCs w:val="22"/>
          <w:rtl/>
        </w:rPr>
        <w:t>عقدت لجنة حقوق الطفل في العام 2008 يوم مناقشة عامة حول حق الطفل في التعليم في حالات الطوارئ. لمعالجة هذه الأسئلة، انظر التوصيات الصادرة من يوم المناقشة العامة هذا على الرابط:</w:t>
      </w:r>
    </w:p>
    <w:p w14:paraId="5C315010" w14:textId="5D0E648C" w:rsidR="00A1624A" w:rsidRPr="00C94FA9" w:rsidRDefault="00A1624A" w:rsidP="00B81240">
      <w:pPr>
        <w:pStyle w:val="GCFootnote"/>
        <w:bidi/>
        <w:ind w:left="851" w:right="1134"/>
        <w:rPr>
          <w:rFonts w:eastAsiaTheme="minorEastAsia"/>
          <w:lang w:val="en-GB" w:eastAsia="ja-JP"/>
        </w:rPr>
      </w:pPr>
      <w:r w:rsidRPr="00C94FA9">
        <w:rPr>
          <w:rFonts w:eastAsiaTheme="minorEastAsia"/>
          <w:lang w:val="en-GB" w:eastAsia="ja-JP"/>
        </w:rPr>
        <w:t xml:space="preserve">http://www.ohchr.org/EN/HRBodies/CRC/Pages/DiscussionDays.aspx). </w:t>
      </w:r>
      <w:r w:rsidRPr="00C94FA9">
        <w:rPr>
          <w:rFonts w:eastAsiaTheme="minorEastAsia"/>
          <w:lang w:val="en-GB"/>
        </w:rPr>
        <w:t xml:space="preserve">See also INEE, </w:t>
      </w:r>
      <w:r w:rsidRPr="00C94FA9">
        <w:rPr>
          <w:rFonts w:eastAsiaTheme="minorEastAsia"/>
          <w:i/>
          <w:lang w:val="en-GB"/>
        </w:rPr>
        <w:t>Minimum Standards for Education in Emergencies, Chronic Crises and Early Reconstruction</w:t>
      </w:r>
      <w:r w:rsidRPr="00C94FA9">
        <w:rPr>
          <w:rFonts w:eastAsiaTheme="minorEastAsia"/>
          <w:lang w:val="en-GB"/>
        </w:rPr>
        <w:t>, INEE, 2004.</w:t>
      </w:r>
    </w:p>
  </w:footnote>
  <w:footnote w:id="1143">
    <w:p w14:paraId="72B3AE19" w14:textId="3AD0B58B"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وفقًا لمكتب الأمم المتحدة لتنسيق الشؤون الإنسانية</w:t>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lang w:bidi="ar-YE"/>
        </w:rPr>
        <w:t xml:space="preserve"> في نظرة عامة على الاحتياجات الإنسانية 2019</w:t>
      </w:r>
      <w:r w:rsidRPr="00075D72">
        <w:rPr>
          <w:rFonts w:ascii="Traditional Arabic" w:hAnsi="Traditional Arabic" w:cs="Traditional Arabic"/>
          <w:sz w:val="22"/>
          <w:szCs w:val="22"/>
          <w:rtl/>
        </w:rPr>
        <w:t xml:space="preserve">، تأثر حوالي 10 آلاف مدرسة في 11 محافظة بشدة من عدم </w:t>
      </w:r>
      <w:r w:rsidRPr="00075D72">
        <w:rPr>
          <w:rStyle w:val="tlid-translation"/>
          <w:rFonts w:ascii="Traditional Arabic" w:hAnsi="Traditional Arabic" w:cs="Traditional Arabic"/>
          <w:sz w:val="22"/>
          <w:szCs w:val="22"/>
          <w:rtl/>
        </w:rPr>
        <w:t>دفع رواتب المعلمين، ولم يتلق 51 بالمئة من المعلمين رواتبهم منذ تشرين الأول/ أكتوبر</w:t>
      </w:r>
      <w:r w:rsidRPr="00075D72">
        <w:rPr>
          <w:rFonts w:ascii="Traditional Arabic" w:hAnsi="Traditional Arabic" w:cs="Traditional Arabic"/>
          <w:sz w:val="22"/>
          <w:szCs w:val="22"/>
          <w:rtl/>
        </w:rPr>
        <w:t xml:space="preserve"> 2016. </w:t>
      </w:r>
    </w:p>
    <w:p w14:paraId="6AD94E00" w14:textId="4754BD28" w:rsidR="00A1624A" w:rsidRPr="00C94FA9" w:rsidRDefault="00A1624A" w:rsidP="00B81240">
      <w:pPr>
        <w:pStyle w:val="FootnoteText"/>
        <w:tabs>
          <w:tab w:val="clear" w:pos="1021"/>
        </w:tabs>
        <w:bidi/>
        <w:spacing w:line="240" w:lineRule="auto"/>
        <w:ind w:left="851" w:firstLine="0"/>
        <w:jc w:val="both"/>
        <w:rPr>
          <w:sz w:val="20"/>
        </w:rPr>
      </w:pPr>
      <w:r w:rsidRPr="00C94FA9">
        <w:rPr>
          <w:sz w:val="20"/>
        </w:rPr>
        <w:t>OCHA, Yemen Humanitarian Needs Overview 2019, December 2018, p. 47. At https://reliefweb.int/sites/reliefweb.int/files/resources/2019_Yemen_HNO_FINAL.pdf.</w:t>
      </w:r>
    </w:p>
  </w:footnote>
  <w:footnote w:id="1144">
    <w:p w14:paraId="2D924E30" w14:textId="2B2E3E51"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r w:rsidRPr="00075D72">
        <w:rPr>
          <w:rFonts w:ascii="Traditional Arabic" w:hAnsi="Traditional Arabic" w:cs="Traditional Arabic" w:hint="cs"/>
          <w:sz w:val="22"/>
          <w:szCs w:val="22"/>
          <w:rtl/>
        </w:rPr>
        <w:t xml:space="preserve"> </w:t>
      </w:r>
    </w:p>
  </w:footnote>
  <w:footnote w:id="1145">
    <w:p w14:paraId="60CE4866" w14:textId="7C61DFB1"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Fonts w:ascii="Traditional Arabic" w:hAnsi="Traditional Arabic" w:cs="Traditional Arabic"/>
          <w:sz w:val="22"/>
          <w:szCs w:val="22"/>
        </w:rPr>
        <w:footnoteRef/>
      </w:r>
      <w:r w:rsidRPr="00075D72">
        <w:rPr>
          <w:rFonts w:ascii="Traditional Arabic" w:hAnsi="Traditional Arabic" w:cs="Traditional Arabic" w:hint="cs"/>
          <w:sz w:val="22"/>
          <w:szCs w:val="22"/>
          <w:rtl/>
        </w:rPr>
        <w:t xml:space="preserve"> مصادر </w:t>
      </w:r>
      <w:r w:rsidRPr="00075D72">
        <w:rPr>
          <w:rFonts w:ascii="Traditional Arabic" w:hAnsi="Traditional Arabic" w:cs="Traditional Arabic"/>
          <w:sz w:val="22"/>
          <w:szCs w:val="22"/>
          <w:rtl/>
        </w:rPr>
        <w:t>سريّة في الملف</w:t>
      </w:r>
      <w:r w:rsidRPr="00075D72">
        <w:rPr>
          <w:rFonts w:ascii="Traditional Arabic" w:hAnsi="Traditional Arabic" w:cs="Traditional Arabic"/>
          <w:sz w:val="22"/>
          <w:szCs w:val="22"/>
        </w:rPr>
        <w:t>.</w:t>
      </w:r>
    </w:p>
  </w:footnote>
  <w:footnote w:id="1146">
    <w:p w14:paraId="4545FD0E" w14:textId="5B2910AA" w:rsidR="00A1624A" w:rsidRPr="00C94FA9" w:rsidRDefault="00A1624A" w:rsidP="00B81240">
      <w:pPr>
        <w:pStyle w:val="FootnoteText"/>
        <w:tabs>
          <w:tab w:val="clear" w:pos="1021"/>
        </w:tabs>
        <w:bidi/>
        <w:ind w:left="851" w:firstLine="0"/>
        <w:jc w:val="both"/>
        <w:rPr>
          <w:sz w:val="20"/>
        </w:rPr>
      </w:pPr>
      <w:r w:rsidRPr="00C94FA9">
        <w:rPr>
          <w:rStyle w:val="FootnoteReference"/>
          <w:sz w:val="20"/>
        </w:rPr>
        <w:footnoteRef/>
      </w:r>
      <w:r w:rsidRPr="00C94FA9">
        <w:rPr>
          <w:sz w:val="20"/>
        </w:rPr>
        <w:t xml:space="preserve"> UNICEF, 11 March 2019, press release, available at https://www.unicef.org/press-releases/keep-children-education-unicef-starts-incentives-school-based-staff-yemen</w:t>
      </w:r>
    </w:p>
  </w:footnote>
  <w:footnote w:id="1147">
    <w:p w14:paraId="64BC5D66" w14:textId="38B9BFCF" w:rsidR="00A1624A" w:rsidRPr="00075D72" w:rsidRDefault="00A1624A" w:rsidP="00B81240">
      <w:pPr>
        <w:pStyle w:val="FootnoteText"/>
        <w:tabs>
          <w:tab w:val="clear" w:pos="1021"/>
        </w:tabs>
        <w:bidi/>
        <w:spacing w:line="192" w:lineRule="auto"/>
        <w:ind w:left="850" w:right="1138"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48">
    <w:p w14:paraId="48463717" w14:textId="54BD256C" w:rsidR="00A1624A" w:rsidRPr="00075D72" w:rsidRDefault="00A1624A" w:rsidP="00B81240">
      <w:pPr>
        <w:pStyle w:val="GCFootnote"/>
        <w:bidi/>
        <w:spacing w:line="192" w:lineRule="auto"/>
        <w:ind w:left="850" w:right="1138"/>
        <w:rPr>
          <w:rFonts w:ascii="Traditional Arabic" w:hAnsi="Traditional Arabic" w:cs="Traditional Arabic"/>
          <w:sz w:val="22"/>
          <w:szCs w:val="22"/>
          <w:rtl/>
          <w:lang w:val="en-GB"/>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lang w:val="en-GB"/>
        </w:rPr>
        <w:t xml:space="preserve"> </w:t>
      </w:r>
      <w:r w:rsidRPr="00075D72">
        <w:rPr>
          <w:rFonts w:ascii="Traditional Arabic" w:hAnsi="Traditional Arabic" w:cs="Traditional Arabic"/>
          <w:sz w:val="22"/>
          <w:szCs w:val="22"/>
          <w:rtl/>
          <w:lang w:val="en-GB"/>
        </w:rPr>
        <w:t xml:space="preserve">لذلك </w:t>
      </w:r>
      <w:r w:rsidRPr="00075D72">
        <w:rPr>
          <w:rStyle w:val="tlid-translation"/>
          <w:rFonts w:ascii="Traditional Arabic" w:hAnsi="Traditional Arabic" w:cs="Traditional Arabic"/>
          <w:sz w:val="22"/>
          <w:szCs w:val="22"/>
          <w:rtl/>
        </w:rPr>
        <w:t>تحث الجمعية العامة للأمم المتحدة الدول الأعضاء في دعمها للتعليم على تلبية الاحتياجات الخاصة بنوع الجنس للفتيات في سياق الطوارئ بما في ذلك تعرضهن المتزايد للعنف القائم على النوع الاجتماعي.</w:t>
      </w:r>
    </w:p>
    <w:p w14:paraId="295804EC" w14:textId="18FAAF32" w:rsidR="00A1624A" w:rsidRPr="00C94FA9" w:rsidRDefault="00A1624A" w:rsidP="00B81240">
      <w:pPr>
        <w:pStyle w:val="GCFootnote"/>
        <w:bidi/>
        <w:ind w:left="851" w:right="1134"/>
        <w:rPr>
          <w:lang w:val="en-GB"/>
        </w:rPr>
      </w:pPr>
      <w:r w:rsidRPr="00C94FA9">
        <w:t xml:space="preserve"> (UN General Assembly, The right to education in emergency situation, A/RES/64/290, 27 July 2010, para. 12).</w:t>
      </w:r>
    </w:p>
  </w:footnote>
  <w:footnote w:id="1149">
    <w:p w14:paraId="30C196AB" w14:textId="7AB5C9CC"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 xml:space="preserve">أنظر الفصل حول تأثير النزاع على الأقليات للتعريف والنقاش في ما يخص مجتمع المهمشين. </w:t>
      </w:r>
    </w:p>
  </w:footnote>
  <w:footnote w:id="1150">
    <w:p w14:paraId="0DBDFC29" w14:textId="28CCCDF7"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1">
    <w:p w14:paraId="7527227D" w14:textId="1D7E5EF6"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tl/>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قبل النزاع، في العام 2012، أفاد المقرر الخاص المعني بقضايا الأقليات أن 80 في بالمئة من مجتمع "المهمشين" أميّين</w:t>
      </w:r>
      <w:r w:rsidRPr="00075D72">
        <w:rPr>
          <w:rStyle w:val="FootnoteReference"/>
          <w:rFonts w:ascii="Traditional Arabic" w:hAnsi="Traditional Arabic" w:cs="Traditional Arabic" w:hint="cs"/>
          <w:sz w:val="22"/>
          <w:szCs w:val="22"/>
          <w:vertAlign w:val="baseline"/>
        </w:rPr>
        <w:t xml:space="preserve">. </w:t>
      </w:r>
    </w:p>
    <w:p w14:paraId="4C7F62CC" w14:textId="64607E94" w:rsidR="00A1624A" w:rsidRPr="00711B37" w:rsidRDefault="00A1624A" w:rsidP="00B81240">
      <w:pPr>
        <w:pStyle w:val="FootnoteText"/>
        <w:tabs>
          <w:tab w:val="clear" w:pos="1021"/>
        </w:tabs>
        <w:bidi/>
        <w:spacing w:line="240" w:lineRule="auto"/>
        <w:ind w:left="851" w:firstLine="0"/>
        <w:jc w:val="both"/>
        <w:rPr>
          <w:szCs w:val="18"/>
          <w:lang w:val="en-US"/>
        </w:rPr>
      </w:pPr>
      <w:r w:rsidRPr="00126C46">
        <w:rPr>
          <w:szCs w:val="18"/>
        </w:rPr>
        <w:t>United Nations, Report of the Special Rapporteur on minority issues, 28 January 2016, A/HRC/31/56, para 91.</w:t>
      </w:r>
    </w:p>
  </w:footnote>
  <w:footnote w:id="1152">
    <w:p w14:paraId="4DFE04E6" w14:textId="6982EF62"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3">
    <w:p w14:paraId="15033175" w14:textId="5CEE2E46"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tl/>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يقوم معهد اليونسكو للإحصاء في إطار مشروع المبادرة العالمية بشأن الأطفال غير الملتحقين بالمدارس بالتقديرات استنادا إلى البيانات المقدمة من الحكومات والدراسات الاستقصائية للأسر المعيشية وعدد الأطفال خارج المدرسة</w:t>
      </w:r>
      <w:r w:rsidRPr="00075D72">
        <w:rPr>
          <w:rStyle w:val="FootnoteReference"/>
          <w:rFonts w:ascii="Traditional Arabic" w:hAnsi="Traditional Arabic" w:cs="Traditional Arabic" w:hint="cs"/>
          <w:sz w:val="22"/>
          <w:szCs w:val="22"/>
          <w:vertAlign w:val="baseline"/>
        </w:rPr>
        <w:t>.</w:t>
      </w:r>
      <w:r w:rsidRPr="00075D72">
        <w:rPr>
          <w:rStyle w:val="FootnoteReference"/>
          <w:rFonts w:ascii="Traditional Arabic" w:hAnsi="Traditional Arabic" w:cs="Traditional Arabic" w:hint="cs"/>
          <w:sz w:val="22"/>
          <w:szCs w:val="22"/>
          <w:vertAlign w:val="baseline"/>
          <w:rtl/>
        </w:rPr>
        <w:t xml:space="preserve"> المعلومات متوفرة على الرابط: </w:t>
      </w:r>
      <w:r w:rsidRPr="00075D72">
        <w:rPr>
          <w:rStyle w:val="FootnoteReference"/>
          <w:rFonts w:asciiTheme="majorBidi" w:hAnsiTheme="majorBidi" w:cstheme="majorBidi"/>
          <w:sz w:val="20"/>
          <w:vertAlign w:val="baseline"/>
        </w:rPr>
        <w:t xml:space="preserve">http://data.uis.unesco.org/. </w:t>
      </w:r>
    </w:p>
    <w:p w14:paraId="250ECEC3" w14:textId="5F71B5F2"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hint="cs"/>
          <w:sz w:val="22"/>
          <w:szCs w:val="22"/>
          <w:vertAlign w:val="baseline"/>
          <w:rtl/>
        </w:rPr>
        <w:t>في النسب</w:t>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المئوية، 64.8 بالمئة من الفتيات في سن التعليم الابتدائي خارج المدرسة</w:t>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و71 بالمئة من الفتيات في سن التعليم الثانوي خارج المدرسة</w:t>
      </w:r>
      <w:r w:rsidRPr="00075D72">
        <w:rPr>
          <w:rStyle w:val="FootnoteReference"/>
          <w:rFonts w:ascii="Traditional Arabic" w:hAnsi="Traditional Arabic" w:cs="Traditional Arabic" w:hint="cs"/>
          <w:sz w:val="22"/>
          <w:szCs w:val="22"/>
          <w:vertAlign w:val="baseline"/>
        </w:rPr>
        <w:t>.</w:t>
      </w:r>
    </w:p>
  </w:footnote>
  <w:footnote w:id="1154">
    <w:p w14:paraId="441ED533" w14:textId="2E8AB9CA" w:rsidR="00A1624A" w:rsidRPr="00075D72" w:rsidRDefault="00A1624A" w:rsidP="00B81240">
      <w:pPr>
        <w:pStyle w:val="FootnoteText"/>
        <w:tabs>
          <w:tab w:val="clear" w:pos="1021"/>
        </w:tabs>
        <w:bidi/>
        <w:spacing w:line="192" w:lineRule="auto"/>
        <w:ind w:left="850" w:right="1138" w:firstLine="0"/>
        <w:jc w:val="both"/>
        <w:rPr>
          <w:rStyle w:val="FootnoteReference"/>
          <w:rFonts w:ascii="Traditional Arabic" w:hAnsi="Traditional Arabic" w:cs="Traditional Arabic"/>
          <w:sz w:val="22"/>
          <w:szCs w:val="22"/>
          <w:vertAlign w:val="baseline"/>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5">
    <w:p w14:paraId="6DE5CE81" w14:textId="0A507C34" w:rsidR="00A1624A" w:rsidRPr="00711B37" w:rsidRDefault="00A1624A" w:rsidP="00B81240">
      <w:pPr>
        <w:pStyle w:val="FootnoteText"/>
        <w:tabs>
          <w:tab w:val="clear" w:pos="1021"/>
        </w:tabs>
        <w:bidi/>
        <w:spacing w:line="192" w:lineRule="auto"/>
        <w:ind w:left="850" w:right="1138" w:firstLine="0"/>
        <w:jc w:val="both"/>
        <w:rPr>
          <w:szCs w:val="18"/>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sz w:val="22"/>
          <w:szCs w:val="22"/>
          <w:vertAlign w:val="baseline"/>
          <w:rtl/>
        </w:rPr>
        <w:t>مصادر سريّة في الملف</w:t>
      </w:r>
      <w:r w:rsidRPr="00075D72">
        <w:rPr>
          <w:rStyle w:val="FootnoteReference"/>
          <w:rFonts w:ascii="Traditional Arabic" w:hAnsi="Traditional Arabic" w:cs="Traditional Arabic"/>
          <w:sz w:val="22"/>
          <w:szCs w:val="22"/>
          <w:vertAlign w:val="baseline"/>
        </w:rPr>
        <w:t>.</w:t>
      </w:r>
    </w:p>
  </w:footnote>
  <w:footnote w:id="1156">
    <w:p w14:paraId="6678425A" w14:textId="1091E45C"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57">
    <w:p w14:paraId="3494545A" w14:textId="166F4667"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تتضمن بعض هذه الاستراتيجيات:</w:t>
      </w:r>
    </w:p>
    <w:p w14:paraId="2E966AB0" w14:textId="462998B9" w:rsidR="00A1624A" w:rsidRPr="00126C46" w:rsidRDefault="00A1624A" w:rsidP="00B81240">
      <w:pPr>
        <w:pStyle w:val="FootnoteText"/>
        <w:tabs>
          <w:tab w:val="clear" w:pos="1021"/>
        </w:tabs>
        <w:bidi/>
        <w:spacing w:line="240" w:lineRule="auto"/>
        <w:ind w:left="851" w:firstLine="0"/>
        <w:jc w:val="both"/>
        <w:rPr>
          <w:szCs w:val="18"/>
        </w:rPr>
      </w:pPr>
      <w:r w:rsidRPr="00126C46">
        <w:rPr>
          <w:szCs w:val="18"/>
        </w:rPr>
        <w:t>National Strategy for the Development of Basic Education in the Republic of Yemen 2003–2011, 2003, available at: https://www.yemen-nic.info/files/ministations/ eduction/watanyaa.pdf; National Disability Strategy, 2010, p. 3, available at: http://www.inclusive-education.org/system/files/publications-documents/.Tines_National%20Strategy%20on%20Disability%20in%20Yemen.pdf</w:t>
      </w:r>
    </w:p>
  </w:footnote>
  <w:footnote w:id="1158">
    <w:p w14:paraId="5B879C4E" w14:textId="7BD40A8C" w:rsidR="00A1624A" w:rsidRPr="00075D72" w:rsidRDefault="00A1624A" w:rsidP="00B81240">
      <w:pPr>
        <w:pStyle w:val="FootnoteText"/>
        <w:tabs>
          <w:tab w:val="clear" w:pos="1021"/>
        </w:tabs>
        <w:bidi/>
        <w:spacing w:line="240" w:lineRule="auto"/>
        <w:ind w:left="851" w:firstLine="0"/>
        <w:jc w:val="both"/>
        <w:rPr>
          <w:szCs w:val="18"/>
        </w:rPr>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صدّق اليمن على الاتفاقية في 26 آذار/ مارس 2019، انظر مجموعة معاهدات الأمم المتحدة، الفصل الرابع، حقوق الإنسان، اتفاقية حقوق الأشخاص ذوي الإعاقة.</w:t>
      </w:r>
    </w:p>
  </w:footnote>
  <w:footnote w:id="1159">
    <w:p w14:paraId="7C844947" w14:textId="59CEBF48" w:rsidR="00A1624A" w:rsidRPr="00126C46" w:rsidRDefault="00A1624A" w:rsidP="00B81240">
      <w:pPr>
        <w:pStyle w:val="FootnoteText"/>
        <w:tabs>
          <w:tab w:val="clear" w:pos="1021"/>
        </w:tabs>
        <w:bidi/>
        <w:spacing w:line="240" w:lineRule="auto"/>
        <w:ind w:left="851" w:firstLine="0"/>
        <w:jc w:val="both"/>
        <w:rPr>
          <w:szCs w:val="18"/>
        </w:rPr>
      </w:pPr>
      <w:r w:rsidRPr="00126C46">
        <w:rPr>
          <w:rStyle w:val="FootnoteReference"/>
          <w:szCs w:val="18"/>
        </w:rPr>
        <w:footnoteRef/>
      </w:r>
      <w:r>
        <w:rPr>
          <w:szCs w:val="18"/>
        </w:rPr>
        <w:t xml:space="preserve"> </w:t>
      </w:r>
      <w:r w:rsidRPr="00126C46">
        <w:rPr>
          <w:szCs w:val="18"/>
        </w:rPr>
        <w:t>UNESCO Report, Education and Disability: Analysis of Data from 49 Countries, March 2018, available at http://uis.unesco.org/sites/default/files/documents/ip49-education-disability-2018-en.pdf.</w:t>
      </w:r>
    </w:p>
  </w:footnote>
  <w:footnote w:id="1160">
    <w:p w14:paraId="79FC2D0A" w14:textId="456C447C" w:rsidR="00A1624A" w:rsidRPr="00075D72"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61">
    <w:p w14:paraId="5A58C966" w14:textId="00B0EC14" w:rsidR="00A1624A" w:rsidRPr="00126C46" w:rsidRDefault="00A1624A" w:rsidP="00B81240">
      <w:pPr>
        <w:pStyle w:val="FootnoteText"/>
        <w:tabs>
          <w:tab w:val="clear" w:pos="1021"/>
        </w:tabs>
        <w:bidi/>
        <w:spacing w:line="240" w:lineRule="auto"/>
        <w:ind w:left="851" w:firstLine="0"/>
        <w:jc w:val="both"/>
        <w:rPr>
          <w:szCs w:val="18"/>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62">
    <w:p w14:paraId="1B333622" w14:textId="729EBE0B" w:rsidR="00A1624A" w:rsidRPr="00D90992" w:rsidRDefault="00A1624A" w:rsidP="00B81240">
      <w:pPr>
        <w:pStyle w:val="FootnoteText"/>
        <w:tabs>
          <w:tab w:val="clear" w:pos="1021"/>
        </w:tabs>
        <w:bidi/>
        <w:spacing w:line="240" w:lineRule="auto"/>
        <w:ind w:left="851" w:firstLine="0"/>
        <w:jc w:val="both"/>
        <w:rPr>
          <w:sz w:val="16"/>
          <w:szCs w:val="16"/>
        </w:rPr>
      </w:pPr>
      <w:r w:rsidRPr="00126C46">
        <w:rPr>
          <w:rStyle w:val="FootnoteReference"/>
          <w:szCs w:val="18"/>
        </w:rPr>
        <w:footnoteRef/>
      </w:r>
      <w:r w:rsidRPr="00126C46">
        <w:rPr>
          <w:szCs w:val="18"/>
        </w:rPr>
        <w:t xml:space="preserve"> </w:t>
      </w:r>
      <w:r w:rsidRPr="00414AD5">
        <w:rPr>
          <w:szCs w:val="18"/>
        </w:rPr>
        <w:t>United Nations Security Council Resolution, 20 June 2019,  S/RES/2475; see also Article 11 Convention on the Rights of Persons with Disabilities; A/HRC/31/30, para 16 and 35; and “Addressing the vulnerability and exclusion of persons with disabilities: the situation of women and girls, children’s right to education, disasters and humanitarian crises” (CRPD/CSP/2015/4).</w:t>
      </w:r>
    </w:p>
  </w:footnote>
  <w:footnote w:id="1163">
    <w:p w14:paraId="2EBB5015"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414AD5">
        <w:t>World Food Programme, “Yemen: This Is the World’s Largest Food Crisis,” (Mar. 29, 2019), available at: https://unwfp.maps.arcgis.com/apps/Cascade/index.html?appid=a8e9e0ef4b854f3f921b08d296830e28.</w:t>
      </w:r>
    </w:p>
  </w:footnote>
  <w:footnote w:id="1164">
    <w:p w14:paraId="62FC0906"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https://m.reliefweb.int/report/3000634.</w:t>
      </w:r>
    </w:p>
  </w:footnote>
  <w:footnote w:id="1165">
    <w:p w14:paraId="79F30B62" w14:textId="49356FCE" w:rsidR="00A1624A" w:rsidRPr="00126C46" w:rsidRDefault="00A1624A" w:rsidP="00B81240">
      <w:pPr>
        <w:pStyle w:val="FootnoteText"/>
        <w:tabs>
          <w:tab w:val="clear" w:pos="1021"/>
        </w:tabs>
        <w:bidi/>
        <w:ind w:left="851" w:firstLine="0"/>
        <w:jc w:val="both"/>
        <w:rPr>
          <w:lang w:val="en-US"/>
        </w:rPr>
      </w:pPr>
      <w:r>
        <w:rPr>
          <w:rStyle w:val="FootnoteReference"/>
        </w:rPr>
        <w:footnoteRef/>
      </w:r>
      <w:r>
        <w:rPr>
          <w:rFonts w:hint="cs"/>
          <w:rtl/>
        </w:rPr>
        <w:t xml:space="preserve"> </w:t>
      </w:r>
      <w:r w:rsidRPr="00BB62AD">
        <w:t>https://reliefweb.int/sites/reliefweb.int/files/resources/190617_Yemen_USG%20SECCO%20statement-Final-1.pdf.</w:t>
      </w:r>
    </w:p>
  </w:footnote>
  <w:footnote w:id="1166">
    <w:p w14:paraId="7C08B77E"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2019 (https://reliefweb.int/sites/reliefweb.int/files/resources/20190402_HRP_snapshot_V5.pdf)</w:t>
      </w:r>
    </w:p>
  </w:footnote>
  <w:footnote w:id="1167">
    <w:p w14:paraId="75745794" w14:textId="77777777" w:rsidR="00A1624A" w:rsidRPr="00126C4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Office for Coordination of Humanitarian Affairs (OCHA) Humanitarian Needs Overview 2019.</w:t>
      </w:r>
    </w:p>
  </w:footnote>
  <w:footnote w:id="1168">
    <w:p w14:paraId="7484992F" w14:textId="0314C5D8"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Style w:val="tlid-translation"/>
          <w:rFonts w:ascii="Traditional Arabic" w:hAnsi="Traditional Arabic" w:cs="Traditional Arabic"/>
          <w:sz w:val="22"/>
          <w:szCs w:val="22"/>
          <w:rtl/>
        </w:rPr>
        <w:t xml:space="preserve">منذ بداية الأزمة، كان 850 ألف طفل يعانون من سوء التغذية الحاد و160 ألف طفل يعانون من سوء التغذية الحاد الوخيم (مكتب </w:t>
      </w:r>
      <w:r w:rsidRPr="00075D72">
        <w:rPr>
          <w:rFonts w:ascii="Traditional Arabic" w:hAnsi="Traditional Arabic" w:cs="Traditional Arabic"/>
          <w:sz w:val="22"/>
          <w:szCs w:val="22"/>
          <w:rtl/>
        </w:rPr>
        <w:t xml:space="preserve">الأمم المتحدة لتنسيق </w:t>
      </w:r>
      <w:r w:rsidRPr="00075D72">
        <w:rPr>
          <w:rStyle w:val="tlid-translation"/>
          <w:rFonts w:ascii="Traditional Arabic" w:hAnsi="Traditional Arabic" w:cs="Traditional Arabic"/>
          <w:sz w:val="22"/>
          <w:szCs w:val="22"/>
          <w:rtl/>
        </w:rPr>
        <w:t xml:space="preserve">الشؤون الإنسانية، "نظرة عامة على الاحتياجات الإنسانية لعام 2015، اليمن"، 22 كانون الأول/ ديسمبر 2014 </w:t>
      </w:r>
    </w:p>
    <w:p w14:paraId="55B03243" w14:textId="77777777" w:rsidR="00A1624A" w:rsidRDefault="00A1624A" w:rsidP="00B81240">
      <w:pPr>
        <w:pStyle w:val="FootnoteText"/>
        <w:tabs>
          <w:tab w:val="clear" w:pos="1021"/>
        </w:tabs>
        <w:bidi/>
        <w:ind w:left="851" w:firstLine="0"/>
        <w:jc w:val="both"/>
        <w:rPr>
          <w:rtl/>
        </w:rPr>
      </w:pPr>
      <w:r w:rsidRPr="00BB62AD">
        <w:t xml:space="preserve">(https://reliefweb.int/sites/reliefweb.int/files/resources/2015_HNO_Yemen_Final_0.pdf)); </w:t>
      </w:r>
    </w:p>
    <w:p w14:paraId="5FA3F5F3" w14:textId="2239F408"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075D72">
        <w:rPr>
          <w:rFonts w:ascii="Traditional Arabic" w:hAnsi="Traditional Arabic" w:cs="Traditional Arabic"/>
          <w:sz w:val="22"/>
          <w:szCs w:val="22"/>
          <w:rtl/>
        </w:rPr>
        <w:t>أنظر أيضًا</w:t>
      </w:r>
    </w:p>
    <w:p w14:paraId="0B50BDE2" w14:textId="38FD11E3" w:rsidR="00A1624A" w:rsidRPr="00126C46" w:rsidRDefault="00A1624A" w:rsidP="00B81240">
      <w:pPr>
        <w:pStyle w:val="FootnoteText"/>
        <w:tabs>
          <w:tab w:val="clear" w:pos="1021"/>
        </w:tabs>
        <w:bidi/>
        <w:ind w:left="851" w:firstLine="0"/>
        <w:jc w:val="both"/>
        <w:rPr>
          <w:lang w:val="en-US"/>
        </w:rPr>
      </w:pPr>
      <w:r w:rsidRPr="00BB62AD">
        <w:t>See also UNFPA Humanitarian Response in Yemen 2019, p. 1; Sanaa Centre for Strategic Studies, The Impact of War on Mental Health in Yemen, 2019.</w:t>
      </w:r>
    </w:p>
  </w:footnote>
  <w:footnote w:id="1169">
    <w:p w14:paraId="08E523C8" w14:textId="16EF9842" w:rsidR="00A1624A" w:rsidRPr="00075D7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مصادر سريّة في الملف</w:t>
      </w:r>
      <w:r w:rsidRPr="00075D72">
        <w:rPr>
          <w:rFonts w:ascii="Traditional Arabic" w:hAnsi="Traditional Arabic" w:cs="Traditional Arabic"/>
          <w:sz w:val="22"/>
          <w:szCs w:val="22"/>
        </w:rPr>
        <w:t>.</w:t>
      </w:r>
    </w:p>
  </w:footnote>
  <w:footnote w:id="1170">
    <w:p w14:paraId="599A6F1F" w14:textId="04A3E1B7" w:rsidR="00A1624A" w:rsidRPr="00BB62AD" w:rsidRDefault="00A1624A" w:rsidP="00B81240">
      <w:pPr>
        <w:pStyle w:val="FootnoteText"/>
        <w:tabs>
          <w:tab w:val="clear" w:pos="1021"/>
        </w:tabs>
        <w:bidi/>
        <w:ind w:left="851" w:firstLine="0"/>
        <w:jc w:val="both"/>
        <w:rPr>
          <w:lang w:val="en-US"/>
        </w:rPr>
      </w:pPr>
      <w:r w:rsidRPr="00075D72">
        <w:rPr>
          <w:rStyle w:val="FootnoteReference"/>
          <w:rFonts w:ascii="Traditional Arabic" w:hAnsi="Traditional Arabic" w:cs="Traditional Arabic"/>
          <w:sz w:val="22"/>
          <w:szCs w:val="22"/>
        </w:rPr>
        <w:footnoteRef/>
      </w:r>
      <w:r w:rsidRPr="00075D72">
        <w:rPr>
          <w:rFonts w:ascii="Traditional Arabic" w:hAnsi="Traditional Arabic" w:cs="Traditional Arabic"/>
          <w:sz w:val="22"/>
          <w:szCs w:val="22"/>
        </w:rPr>
        <w:t xml:space="preserve"> </w:t>
      </w:r>
      <w:r w:rsidRPr="00075D72">
        <w:rPr>
          <w:rFonts w:ascii="Traditional Arabic" w:hAnsi="Traditional Arabic" w:cs="Traditional Arabic"/>
          <w:sz w:val="22"/>
          <w:szCs w:val="22"/>
          <w:rtl/>
        </w:rPr>
        <w:t>شهادة من مصدر، تم إخفاء الهوية لأسباب تتعلق بالحماية.</w:t>
      </w:r>
    </w:p>
  </w:footnote>
  <w:footnote w:id="1171">
    <w:p w14:paraId="18B35F63"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 xml:space="preserve"> https://reliefweb.int/disaster/ep-2016-000107-yem</w:t>
      </w:r>
    </w:p>
  </w:footnote>
  <w:footnote w:id="1172">
    <w:p w14:paraId="345F09BF"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https://www.unocha.org/story/yemen-over-460k-cases-cholera-registered-date-year</w:t>
      </w:r>
    </w:p>
  </w:footnote>
  <w:footnote w:id="1173">
    <w:p w14:paraId="3D05A161"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https://www.unocha.org/story/yemen-over-460k-cases-cholera-registered-date-year</w:t>
      </w:r>
    </w:p>
  </w:footnote>
  <w:footnote w:id="1174">
    <w:p w14:paraId="1C0CDA89"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B62AD">
        <w:t>https://reliefweb.int/report/yemen/save-children-more-cholera-related-cases-first-half-2019-whole-last-year.</w:t>
      </w:r>
    </w:p>
  </w:footnote>
  <w:footnote w:id="1175">
    <w:p w14:paraId="34287A82" w14:textId="77777777" w:rsidR="00A1624A" w:rsidRPr="00BB62AD"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E63CEB">
        <w:t>See “Endemic in Yemen, cholera still hits Yemenis hard”, Project Update, 5 June 2019 (https://www.msf.org/endemic-yemen-cholera-still-hits-yemenis-hard).</w:t>
      </w:r>
    </w:p>
  </w:footnote>
  <w:footnote w:id="1176">
    <w:p w14:paraId="1FC9AF7F"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2014 (https://reliefweb.int/report/yemen/yemen-humanitarian-response-plan-2014).</w:t>
      </w:r>
    </w:p>
  </w:footnote>
  <w:footnote w:id="1177">
    <w:p w14:paraId="175E6ACA"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E63CEB">
        <w:t>See e.g. Sana’a Center for Strategic Studies, “The UN’s Stockholm Syndrome – The Yemen Review, March 2019”, The Sana’a Center Editorial: “Saudi Arabia’s ‘Deportation Storm’”, April 2019 (http://sanaacenter.org/publications/the-yemen-review/7269).</w:t>
      </w:r>
    </w:p>
  </w:footnote>
  <w:footnote w:id="1178">
    <w:p w14:paraId="51C1B3C6"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S/RES/2417 (2018), operational paragraphs 5 and 6.</w:t>
      </w:r>
    </w:p>
  </w:footnote>
  <w:footnote w:id="1179">
    <w:p w14:paraId="0F1A9337"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https://www.un.org/press/en/2018/sc13354.doc.htm.</w:t>
      </w:r>
    </w:p>
  </w:footnote>
  <w:footnote w:id="1180">
    <w:p w14:paraId="098E681F"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S/RES/2417 (2018), operational paragraph 5.</w:t>
      </w:r>
    </w:p>
  </w:footnote>
  <w:footnote w:id="1181">
    <w:p w14:paraId="17917D16" w14:textId="13777503" w:rsidR="00A1624A" w:rsidRPr="00075D72" w:rsidRDefault="00A1624A" w:rsidP="00B81240">
      <w:pPr>
        <w:pStyle w:val="FootnoteText"/>
        <w:tabs>
          <w:tab w:val="clear" w:pos="1021"/>
        </w:tabs>
        <w:bidi/>
        <w:ind w:left="851" w:firstLine="0"/>
        <w:jc w:val="both"/>
      </w:pPr>
      <w:r w:rsidRPr="00075D72">
        <w:rPr>
          <w:rStyle w:val="FootnoteReference"/>
          <w:rFonts w:ascii="Traditional Arabic" w:hAnsi="Traditional Arabic" w:cs="Traditional Arabic"/>
          <w:sz w:val="22"/>
          <w:szCs w:val="22"/>
          <w:vertAlign w:val="baseline"/>
        </w:rPr>
        <w:footnoteRef/>
      </w:r>
      <w:r w:rsidRPr="00075D72">
        <w:rPr>
          <w:rStyle w:val="FootnoteReference"/>
          <w:rFonts w:ascii="Traditional Arabic" w:hAnsi="Traditional Arabic" w:cs="Traditional Arabic"/>
          <w:sz w:val="22"/>
          <w:szCs w:val="22"/>
          <w:vertAlign w:val="baseline"/>
        </w:rPr>
        <w:t xml:space="preserve"> </w:t>
      </w:r>
      <w:r w:rsidRPr="00075D72">
        <w:rPr>
          <w:rStyle w:val="FootnoteReference"/>
          <w:rFonts w:ascii="Traditional Arabic" w:hAnsi="Traditional Arabic" w:cs="Traditional Arabic" w:hint="cs"/>
          <w:sz w:val="22"/>
          <w:szCs w:val="22"/>
          <w:vertAlign w:val="baseline"/>
          <w:rtl/>
        </w:rPr>
        <w:t>المادة 13 من البروتوكول الإضافي الثاني، أنظر أيضًا دراسة اللجنة الدولية للصليب الأحمر حول القانون الدولي الإنساني العرفي، القاعدة 53.</w:t>
      </w:r>
    </w:p>
  </w:footnote>
  <w:footnote w:id="1182">
    <w:p w14:paraId="6D3D9BCD"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The Shorter Oxford English Dictionary (1978), pp. 724 and 2111.</w:t>
      </w:r>
    </w:p>
  </w:footnote>
  <w:footnote w:id="1183">
    <w:p w14:paraId="6F8EFD1C" w14:textId="77777777" w:rsidR="00A1624A" w:rsidRPr="009A6FD2" w:rsidRDefault="00A1624A" w:rsidP="00B81240">
      <w:pPr>
        <w:pStyle w:val="FootnoteText"/>
        <w:tabs>
          <w:tab w:val="clear" w:pos="1021"/>
        </w:tabs>
        <w:bidi/>
        <w:ind w:left="851" w:firstLine="0"/>
        <w:jc w:val="both"/>
      </w:pPr>
      <w:r>
        <w:rPr>
          <w:rStyle w:val="FootnoteReference"/>
        </w:rPr>
        <w:footnoteRef/>
      </w:r>
      <w:r>
        <w:t xml:space="preserve"> </w:t>
      </w:r>
      <w:r w:rsidRPr="009A6FD2">
        <w:t>Francoise Bouchet-Saulnier, The Practical Guide to Humanitarian Law, p. 149-152.</w:t>
      </w:r>
    </w:p>
  </w:footnote>
  <w:footnote w:id="1184">
    <w:p w14:paraId="5B90FBE7" w14:textId="77777777" w:rsidR="00A1624A" w:rsidRPr="00E63CEB"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A6FD2">
        <w:t>Collins Dictionary (online).</w:t>
      </w:r>
    </w:p>
  </w:footnote>
  <w:footnote w:id="1185">
    <w:p w14:paraId="1103D182"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Knut Dörmann, “Preparatory Commission for the International Criminal Court: The Elements of War Crimes – Part II: Other Serious Violations of the Laws and Customs Applicable in International and Non-International Armed Conflicts”, International Review of the Red Cross, Vol. 83, 2001, pp. 475–476.</w:t>
      </w:r>
    </w:p>
  </w:footnote>
  <w:footnote w:id="1186">
    <w:p w14:paraId="5A891688" w14:textId="14E830B1"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sidRPr="002E18C6">
        <w:t>18(2)</w:t>
      </w:r>
      <w:r>
        <w:rPr>
          <w:rFonts w:hint="cs"/>
          <w:rtl/>
        </w:rPr>
        <w:t xml:space="preserve">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69 </w:t>
      </w:r>
      <w:r>
        <w:rPr>
          <w:rFonts w:hint="cs"/>
          <w:rtl/>
        </w:rPr>
        <w:t>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 </w:t>
      </w:r>
    </w:p>
  </w:footnote>
  <w:footnote w:id="1187">
    <w:p w14:paraId="18965B1A" w14:textId="0DDD26F7"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14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sidRPr="002E18C6">
        <w:t>54(2)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88">
    <w:p w14:paraId="5B31A932" w14:textId="60EAFD0F"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18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Pr>
          <w:rFonts w:hint="cs"/>
          <w:rtl/>
        </w:rPr>
        <w:t>70</w:t>
      </w:r>
      <w:r w:rsidRPr="002E18C6">
        <w:t>(2)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89">
    <w:p w14:paraId="1680CD31" w14:textId="77777777"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2E18C6">
        <w:t>See for example Mark Lattimer, “Can Incidental Starvation of Civilians be Lawful under IHL?”, March 2019, EJIL:Talk!, Blog of the European Journal of International Law (https://www.ejiltalk.org/can-incidental-starvation-of-civilians-be-lawful-under-ihl/).</w:t>
      </w:r>
    </w:p>
  </w:footnote>
  <w:footnote w:id="1190">
    <w:p w14:paraId="052C0BD0" w14:textId="765D26A3" w:rsidR="00A1624A" w:rsidRPr="002E18C6" w:rsidRDefault="00A1624A" w:rsidP="00B81240">
      <w:pPr>
        <w:pStyle w:val="FootnoteText"/>
        <w:tabs>
          <w:tab w:val="clear" w:pos="1021"/>
        </w:tabs>
        <w:bidi/>
        <w:ind w:left="851" w:firstLine="0"/>
        <w:jc w:val="both"/>
      </w:pPr>
      <w:r>
        <w:rPr>
          <w:rStyle w:val="FootnoteReference"/>
        </w:rPr>
        <w:footnoteRef/>
      </w:r>
      <w:r>
        <w:t xml:space="preserve"> </w:t>
      </w:r>
      <w:r w:rsidRPr="0096042B">
        <w:rPr>
          <w:rFonts w:ascii="Traditional Arabic" w:hAnsi="Traditional Arabic" w:cs="Traditional Arabic"/>
          <w:sz w:val="22"/>
          <w:szCs w:val="22"/>
          <w:rtl/>
          <w:lang w:bidi="ar-JO"/>
        </w:rPr>
        <w:t>ا</w:t>
      </w:r>
      <w:r>
        <w:rPr>
          <w:rFonts w:ascii="Traditional Arabic" w:hAnsi="Traditional Arabic" w:cs="Traditional Arabic" w:hint="cs"/>
          <w:sz w:val="22"/>
          <w:szCs w:val="22"/>
          <w:rtl/>
          <w:lang w:bidi="ar-JO"/>
        </w:rPr>
        <w:t xml:space="preserve">لمادة </w:t>
      </w:r>
      <w:r>
        <w:rPr>
          <w:rFonts w:hint="cs"/>
          <w:rtl/>
        </w:rPr>
        <w:t>18 ا</w:t>
      </w:r>
      <w:r w:rsidRPr="0096042B">
        <w:rPr>
          <w:rFonts w:ascii="Traditional Arabic" w:hAnsi="Traditional Arabic" w:cs="Traditional Arabic"/>
          <w:sz w:val="22"/>
          <w:szCs w:val="22"/>
          <w:rtl/>
          <w:lang w:bidi="ar-JO"/>
        </w:rPr>
        <w:t>لبروتوكول الإضافي الثاني</w:t>
      </w:r>
      <w:r>
        <w:rPr>
          <w:rFonts w:ascii="Traditional Arabic" w:hAnsi="Traditional Arabic" w:cs="Traditional Arabic" w:hint="cs"/>
          <w:sz w:val="22"/>
          <w:szCs w:val="22"/>
          <w:rtl/>
          <w:lang w:bidi="ar-JO"/>
        </w:rPr>
        <w:t xml:space="preserve"> والمادة </w:t>
      </w:r>
      <w:r>
        <w:rPr>
          <w:rFonts w:hint="cs"/>
          <w:rtl/>
        </w:rPr>
        <w:t>54</w:t>
      </w:r>
      <w:r w:rsidRPr="002E18C6">
        <w:t>(2)</w:t>
      </w:r>
      <w:r>
        <w:rPr>
          <w:rFonts w:hint="cs"/>
          <w:rtl/>
        </w:rPr>
        <w:t xml:space="preserve"> ا</w:t>
      </w:r>
      <w:r w:rsidRPr="0096042B">
        <w:rPr>
          <w:rFonts w:ascii="Traditional Arabic" w:hAnsi="Traditional Arabic" w:cs="Traditional Arabic"/>
          <w:sz w:val="22"/>
          <w:szCs w:val="22"/>
          <w:rtl/>
          <w:lang w:bidi="ar-JO"/>
        </w:rPr>
        <w:t>لبروتوكول الإضافي</w:t>
      </w:r>
      <w:r>
        <w:rPr>
          <w:rFonts w:ascii="Traditional Arabic" w:hAnsi="Traditional Arabic" w:cs="Traditional Arabic" w:hint="cs"/>
          <w:sz w:val="22"/>
          <w:szCs w:val="22"/>
          <w:rtl/>
          <w:lang w:bidi="ar-JO"/>
        </w:rPr>
        <w:t xml:space="preserve"> الأول.</w:t>
      </w:r>
    </w:p>
  </w:footnote>
  <w:footnote w:id="1191">
    <w:p w14:paraId="05CDDE7E"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Art. 54(2) Additional Protocol I; although Article 14 of Additional Protocol II contains less details than Article 54 of Additional Protocol I, the respective ICRC commentary of 1987 to both provisions suggests a similar interpretation</w:t>
      </w:r>
    </w:p>
  </w:footnote>
  <w:footnote w:id="1192">
    <w:p w14:paraId="14FDE966" w14:textId="434B1AA7" w:rsidR="00A1624A" w:rsidRPr="00350182" w:rsidRDefault="00A1624A" w:rsidP="00B81240">
      <w:pPr>
        <w:pStyle w:val="FootnoteText"/>
        <w:tabs>
          <w:tab w:val="clear" w:pos="1021"/>
        </w:tabs>
        <w:bidi/>
        <w:ind w:left="851" w:firstLine="0"/>
        <w:jc w:val="both"/>
        <w:rPr>
          <w:lang w:val="en-US"/>
        </w:rPr>
      </w:pPr>
      <w:r w:rsidRPr="00910A89">
        <w:rPr>
          <w:rStyle w:val="FootnoteReference"/>
          <w:rFonts w:ascii="Traditional Arabic" w:hAnsi="Traditional Arabic" w:cs="Traditional Arabic"/>
          <w:sz w:val="22"/>
          <w:szCs w:val="22"/>
        </w:rPr>
        <w:footnoteRef/>
      </w:r>
      <w:r w:rsidRPr="00910A89">
        <w:rPr>
          <w:rFonts w:ascii="Traditional Arabic" w:hAnsi="Traditional Arabic" w:cs="Traditional Arabic"/>
          <w:sz w:val="22"/>
          <w:szCs w:val="22"/>
        </w:rPr>
        <w:t xml:space="preserve"> </w:t>
      </w:r>
      <w:r w:rsidRPr="00910A89">
        <w:rPr>
          <w:rFonts w:ascii="Traditional Arabic" w:hAnsi="Traditional Arabic" w:cs="Traditional Arabic"/>
          <w:sz w:val="22"/>
          <w:szCs w:val="22"/>
          <w:rtl/>
          <w:lang w:bidi="ar-JO"/>
        </w:rPr>
        <w:t xml:space="preserve"> المادة 18، البروتوكول الإضافي الثاني، أنظر</w:t>
      </w:r>
      <w:r w:rsidRPr="00910A89">
        <w:rPr>
          <w:rStyle w:val="SingleTxtGChar"/>
          <w:rFonts w:ascii="Traditional Arabic" w:hAnsi="Traditional Arabic" w:cs="Traditional Arabic"/>
          <w:sz w:val="22"/>
          <w:szCs w:val="22"/>
          <w:rtl/>
        </w:rPr>
        <w:t xml:space="preserve"> </w:t>
      </w:r>
      <w:r w:rsidRPr="00910A8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w:t>
      </w:r>
    </w:p>
  </w:footnote>
  <w:footnote w:id="1193">
    <w:p w14:paraId="6BEFA606" w14:textId="77777777" w:rsidR="00A1624A" w:rsidRPr="00350182"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2E18C6">
        <w:t>See Oxford Guidance on the Law Relating to Humanitarian Relief Operations in Situations of Armed Conflict, Commissioned by the United Nations Office for the Coordination of Humanitarian Affairs, p. 23-24. (https://www.unocha.org/sites/unocha/files/Oxford%20Guidance%20pdf.pdf); see also ICRC Study on customary IHL, rule 55 (on Consent).</w:t>
      </w:r>
    </w:p>
  </w:footnote>
  <w:footnote w:id="1194">
    <w:p w14:paraId="13E2CFEE" w14:textId="77777777" w:rsidR="00A1624A" w:rsidRPr="00F738C1"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F738C1">
        <w:rPr>
          <w:rStyle w:val="FootnoteReference"/>
          <w:rFonts w:ascii="Traditional Arabic" w:hAnsi="Traditional Arabic" w:cs="Traditional Arabic"/>
          <w:sz w:val="22"/>
          <w:szCs w:val="22"/>
        </w:rPr>
        <w:footnoteRef/>
      </w:r>
      <w:r w:rsidRPr="00F738C1">
        <w:rPr>
          <w:rFonts w:ascii="Traditional Arabic" w:hAnsi="Traditional Arabic" w:cs="Traditional Arabic"/>
          <w:sz w:val="22"/>
          <w:szCs w:val="22"/>
        </w:rPr>
        <w:t xml:space="preserve"> </w:t>
      </w:r>
      <w:r w:rsidRPr="00F738C1">
        <w:rPr>
          <w:rStyle w:val="tlid-translation"/>
          <w:rFonts w:ascii="Traditional Arabic" w:hAnsi="Traditional Arabic" w:cs="Traditional Arabic"/>
          <w:sz w:val="22"/>
          <w:szCs w:val="22"/>
          <w:rtl/>
        </w:rPr>
        <w:t>كما اقترحت</w:t>
      </w:r>
      <w:r w:rsidRPr="00F738C1">
        <w:rPr>
          <w:rStyle w:val="tlid-translation"/>
          <w:rFonts w:ascii="Traditional Arabic" w:hAnsi="Traditional Arabic" w:cs="Traditional Arabic"/>
          <w:sz w:val="22"/>
          <w:szCs w:val="22"/>
          <w:lang w:bidi="ar"/>
        </w:rPr>
        <w:t xml:space="preserve"> Beth Van Shaack </w:t>
      </w:r>
      <w:r w:rsidRPr="00F738C1">
        <w:rPr>
          <w:rStyle w:val="tlid-translation"/>
          <w:rFonts w:ascii="Traditional Arabic" w:hAnsi="Traditional Arabic" w:cs="Traditional Arabic"/>
          <w:sz w:val="22"/>
          <w:szCs w:val="22"/>
          <w:rtl/>
        </w:rPr>
        <w:t>، يظل</w:t>
      </w:r>
      <w:r w:rsidRPr="00F738C1">
        <w:rPr>
          <w:rStyle w:val="tlid-translation"/>
          <w:rFonts w:ascii="Traditional Arabic" w:hAnsi="Traditional Arabic" w:cs="Traditional Arabic"/>
          <w:sz w:val="22"/>
          <w:szCs w:val="22"/>
          <w:lang w:bidi="ar"/>
        </w:rPr>
        <w:t xml:space="preserve"> </w:t>
      </w:r>
      <w:r w:rsidRPr="00F738C1">
        <w:rPr>
          <w:rFonts w:ascii="Traditional Arabic" w:hAnsi="Traditional Arabic" w:cs="Traditional Arabic"/>
          <w:sz w:val="22"/>
          <w:szCs w:val="22"/>
          <w:rtl/>
          <w:lang w:bidi="ar-YE"/>
        </w:rPr>
        <w:t>الحصار العسكري كأسلوب قتال</w:t>
      </w:r>
      <w:r w:rsidRPr="00F738C1">
        <w:rPr>
          <w:rStyle w:val="tlid-translation"/>
          <w:rFonts w:ascii="Traditional Arabic" w:hAnsi="Traditional Arabic" w:cs="Traditional Arabic"/>
          <w:sz w:val="22"/>
          <w:szCs w:val="22"/>
          <w:rtl/>
        </w:rPr>
        <w:t xml:space="preserve"> قانوني بموجب القانون المعاصر طالما أنه موجهة فقط إلى المقاتلين والمشاركين مباشرة في الأعمال العدائية، وفقط ما دام يتم الالتزام بأحكام القانون الأخرى - وهو تحدي كبير عندما</w:t>
      </w:r>
      <w:r w:rsidRPr="00F738C1">
        <w:rPr>
          <w:rStyle w:val="tlid-translation"/>
          <w:rFonts w:ascii="Traditional Arabic" w:hAnsi="Traditional Arabic" w:cs="Traditional Arabic"/>
          <w:sz w:val="22"/>
          <w:szCs w:val="22"/>
          <w:rtl/>
          <w:lang w:bidi="ar"/>
        </w:rPr>
        <w:t xml:space="preserve"> </w:t>
      </w:r>
      <w:r w:rsidRPr="00F738C1">
        <w:rPr>
          <w:rStyle w:val="tlid-translation"/>
          <w:rFonts w:ascii="Traditional Arabic" w:hAnsi="Traditional Arabic" w:cs="Traditional Arabic"/>
          <w:sz w:val="22"/>
          <w:szCs w:val="22"/>
          <w:rtl/>
        </w:rPr>
        <w:t xml:space="preserve">يعتمد المقاتلون والمدنيون على نفس الضروريات، في استخدام </w:t>
      </w:r>
      <w:r w:rsidRPr="00F738C1">
        <w:rPr>
          <w:rFonts w:ascii="Traditional Arabic" w:hAnsi="Traditional Arabic" w:cs="Traditional Arabic"/>
          <w:sz w:val="22"/>
          <w:szCs w:val="22"/>
          <w:rtl/>
          <w:lang w:bidi="ar-YE"/>
        </w:rPr>
        <w:t xml:space="preserve">الحصار العسكري </w:t>
      </w:r>
      <w:r w:rsidRPr="00F738C1">
        <w:rPr>
          <w:rStyle w:val="tlid-translation"/>
          <w:rFonts w:ascii="Traditional Arabic" w:hAnsi="Traditional Arabic" w:cs="Traditional Arabic"/>
          <w:sz w:val="22"/>
          <w:szCs w:val="22"/>
          <w:rtl/>
        </w:rPr>
        <w:t xml:space="preserve">وتجويع المدنيين كأسلوب قتال وجريمة حرب. </w:t>
      </w:r>
    </w:p>
    <w:p w14:paraId="4A741B19" w14:textId="77777777" w:rsidR="00A1624A" w:rsidRDefault="00A1624A" w:rsidP="00B81240">
      <w:pPr>
        <w:pStyle w:val="FootnoteText"/>
        <w:tabs>
          <w:tab w:val="clear" w:pos="1021"/>
        </w:tabs>
        <w:bidi/>
        <w:ind w:left="851" w:firstLine="0"/>
        <w:jc w:val="both"/>
        <w:rPr>
          <w:rStyle w:val="tlid-translation"/>
          <w:rtl/>
        </w:rPr>
      </w:pPr>
      <w:r>
        <w:rPr>
          <w:rStyle w:val="tlid-translation"/>
          <w:rFonts w:hint="cs"/>
          <w:rtl/>
        </w:rPr>
        <w:t xml:space="preserve"> </w:t>
      </w:r>
      <w:r>
        <w:rPr>
          <w:rStyle w:val="tlid-translation"/>
          <w:rFonts w:hint="cs"/>
          <w:lang w:bidi="ar"/>
        </w:rPr>
        <w:t xml:space="preserve">Just Security </w:t>
      </w:r>
      <w:r w:rsidRPr="00F738C1">
        <w:rPr>
          <w:rStyle w:val="tlid-translation"/>
          <w:rFonts w:ascii="Traditional Arabic" w:hAnsi="Traditional Arabic" w:cs="Traditional Arabic"/>
          <w:sz w:val="22"/>
          <w:szCs w:val="22"/>
          <w:rtl/>
        </w:rPr>
        <w:t>، 4</w:t>
      </w:r>
      <w:r w:rsidRPr="00F738C1">
        <w:rPr>
          <w:rStyle w:val="tlid-translation"/>
          <w:rFonts w:ascii="Traditional Arabic" w:hAnsi="Traditional Arabic" w:cs="Traditional Arabic"/>
          <w:sz w:val="22"/>
          <w:szCs w:val="22"/>
          <w:lang w:bidi="ar"/>
        </w:rPr>
        <w:t xml:space="preserve"> </w:t>
      </w:r>
      <w:r w:rsidRPr="00F738C1">
        <w:rPr>
          <w:rStyle w:val="tlid-translation"/>
          <w:rFonts w:ascii="Traditional Arabic" w:hAnsi="Traditional Arabic" w:cs="Traditional Arabic"/>
          <w:sz w:val="22"/>
          <w:szCs w:val="22"/>
          <w:rtl/>
        </w:rPr>
        <w:t>شباط</w:t>
      </w:r>
      <w:r w:rsidRPr="00F738C1">
        <w:rPr>
          <w:rStyle w:val="tlid-translation"/>
          <w:rFonts w:ascii="Traditional Arabic" w:hAnsi="Traditional Arabic" w:cs="Traditional Arabic"/>
          <w:sz w:val="22"/>
          <w:szCs w:val="22"/>
          <w:rtl/>
          <w:lang w:bidi="ar"/>
        </w:rPr>
        <w:t xml:space="preserve">/ </w:t>
      </w:r>
      <w:r w:rsidRPr="00F738C1">
        <w:rPr>
          <w:rStyle w:val="tlid-translation"/>
          <w:rFonts w:ascii="Traditional Arabic" w:hAnsi="Traditional Arabic" w:cs="Traditional Arabic"/>
          <w:sz w:val="22"/>
          <w:szCs w:val="22"/>
          <w:rtl/>
        </w:rPr>
        <w:t>فبراير 2016</w:t>
      </w:r>
    </w:p>
    <w:p w14:paraId="23F92616" w14:textId="12A91B0E" w:rsidR="00A1624A" w:rsidRDefault="00A1624A" w:rsidP="00B81240">
      <w:pPr>
        <w:pStyle w:val="FootnoteText"/>
        <w:tabs>
          <w:tab w:val="clear" w:pos="1021"/>
        </w:tabs>
        <w:bidi/>
        <w:ind w:left="851" w:firstLine="0"/>
        <w:jc w:val="both"/>
        <w:rPr>
          <w:rtl/>
        </w:rPr>
      </w:pPr>
      <w:r w:rsidRPr="00BA161D">
        <w:t>(</w:t>
      </w:r>
      <w:hyperlink r:id="rId48" w:history="1">
        <w:r w:rsidRPr="00DC60D8">
          <w:rPr>
            <w:rStyle w:val="Hyperlink"/>
          </w:rPr>
          <w:t>https://www.justsecurity.org/29157/siege-warfare-starvation-civilians-war-crime/</w:t>
        </w:r>
      </w:hyperlink>
      <w:r w:rsidRPr="00BA161D">
        <w:t>)</w:t>
      </w:r>
    </w:p>
    <w:p w14:paraId="2999ED37" w14:textId="4952190C" w:rsidR="00A1624A" w:rsidRDefault="00A1624A" w:rsidP="00B81240">
      <w:pPr>
        <w:pStyle w:val="FootnoteText"/>
        <w:tabs>
          <w:tab w:val="clear" w:pos="1021"/>
        </w:tabs>
        <w:bidi/>
        <w:ind w:left="851" w:firstLine="0"/>
        <w:jc w:val="both"/>
        <w:rPr>
          <w:rStyle w:val="tlid-translation"/>
          <w:rtl/>
          <w:lang w:bidi="ar"/>
        </w:rPr>
      </w:pPr>
      <w:r>
        <w:rPr>
          <w:rFonts w:hint="cs"/>
          <w:rtl/>
        </w:rPr>
        <w:t>أنظر أيضًا</w:t>
      </w:r>
    </w:p>
    <w:p w14:paraId="0DD3F655" w14:textId="66F7AA4A" w:rsidR="00A1624A" w:rsidRPr="00EE4BB7" w:rsidRDefault="00A1624A" w:rsidP="00B81240">
      <w:pPr>
        <w:pStyle w:val="FootnoteText"/>
        <w:tabs>
          <w:tab w:val="clear" w:pos="1021"/>
        </w:tabs>
        <w:bidi/>
        <w:ind w:left="851" w:firstLine="0"/>
        <w:jc w:val="both"/>
      </w:pPr>
      <w:r w:rsidRPr="00BA161D">
        <w:t>Gloria Gaggioli, “Are Sieges Prohibited under Contemporary IHL?”, Joint Blog Series on International Law and Armed Conflict, January 2019, EJIL:Talk!, Blog of the European Journal of International Law (https://www.ejiltalk.org/joint-blog-series-on-international-law-and-armed-conflict-are-sieges-prohibited-under-contemporary-ihl/#more-16877).</w:t>
      </w:r>
    </w:p>
  </w:footnote>
  <w:footnote w:id="1195">
    <w:p w14:paraId="179DC42B"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See A/HRC/39/43, Annex II; See also Nathalie Weizmann, “International Law is Meant to Prevent What’s Happening in Yemen”, Just Security, 17 November 2017 (https://www.justsecurity.org/47197/international-law-meant-prevent-happening-yemen/); Gloria Gaggioli, “Are Sieges Prohibited under Contemporary IHL?”, Joint Blog Series on International Law and Armed Conflict, January 2019, EJIL:Talk!, Blog of the European Journal of International Law (https://www.ejiltalk.org/joint-blog-series-on-international-law-and-armed-conflict-are-sieges-prohibited-under-contemporary-ihl/#more-16877).</w:t>
      </w:r>
    </w:p>
  </w:footnote>
  <w:footnote w:id="1196">
    <w:p w14:paraId="1A7B5C52" w14:textId="6A7DC773"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BA161D">
        <w:t>Art. 3 common to the Geneva Conventions; Art. 4(1) Additional Protocol II</w:t>
      </w:r>
    </w:p>
  </w:footnote>
  <w:footnote w:id="1197">
    <w:p w14:paraId="09918032"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Art. 11 and 12 ICESCR.</w:t>
      </w:r>
    </w:p>
  </w:footnote>
  <w:footnote w:id="1198">
    <w:p w14:paraId="51057E02" w14:textId="77777777"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Art. 6 and 11 ICESCR.</w:t>
      </w:r>
    </w:p>
  </w:footnote>
  <w:footnote w:id="1199">
    <w:p w14:paraId="6D8B378C" w14:textId="77777777"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BA161D">
        <w:t>Art. 8 (b) (xxv), Rome Statute</w:t>
      </w:r>
    </w:p>
  </w:footnote>
  <w:footnote w:id="1200">
    <w:p w14:paraId="571A6A15" w14:textId="3431D046" w:rsidR="00A1624A" w:rsidRDefault="00A1624A" w:rsidP="00B81240">
      <w:pPr>
        <w:pStyle w:val="FootnoteText"/>
        <w:tabs>
          <w:tab w:val="clear" w:pos="1021"/>
        </w:tabs>
        <w:bidi/>
        <w:ind w:left="851" w:firstLine="0"/>
        <w:jc w:val="both"/>
        <w:rPr>
          <w:rtl/>
          <w:lang w:bidi="ar-JO"/>
        </w:rPr>
      </w:pPr>
      <w:r>
        <w:rPr>
          <w:rStyle w:val="FootnoteReference"/>
        </w:rPr>
        <w:footnoteRef/>
      </w:r>
      <w:r>
        <w:t xml:space="preserve"> </w:t>
      </w:r>
      <w:r>
        <w:rPr>
          <w:rFonts w:hint="cs"/>
          <w:rtl/>
          <w:lang w:bidi="ar-JO"/>
        </w:rPr>
        <w:t xml:space="preserve">أنظر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أنظر أيضًا </w:t>
      </w:r>
    </w:p>
    <w:p w14:paraId="10DEEA87" w14:textId="76510FB6" w:rsidR="00A1624A" w:rsidRPr="002E18C6" w:rsidRDefault="00A1624A" w:rsidP="00B81240">
      <w:pPr>
        <w:pStyle w:val="FootnoteText"/>
        <w:tabs>
          <w:tab w:val="clear" w:pos="1021"/>
        </w:tabs>
        <w:bidi/>
        <w:ind w:left="851" w:firstLine="0"/>
        <w:jc w:val="both"/>
        <w:rPr>
          <w:lang w:val="en-US"/>
        </w:rPr>
      </w:pPr>
      <w:r w:rsidRPr="00BA161D">
        <w:t>Prosecutor v. Duško Tadić, Case No. IT-94-1-AR72, Decision on Interlocutory Appeal on Jurisdiction, 2 Oct 1995, (Tadić) paras 117–134</w:t>
      </w:r>
    </w:p>
  </w:footnote>
  <w:footnote w:id="1201">
    <w:p w14:paraId="52D7E97A" w14:textId="61C9FDE2" w:rsidR="00A1624A" w:rsidRPr="002E18C6"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A161D">
        <w:t>ICC, Elements of Crimes, 2011, Art. 8 (b) (xxv).</w:t>
      </w:r>
    </w:p>
  </w:footnote>
  <w:footnote w:id="1202">
    <w:p w14:paraId="4024BC25" w14:textId="065C38A3"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0E1CBF">
        <w:rPr>
          <w:rStyle w:val="tlid-translation"/>
          <w:rFonts w:hint="cs"/>
          <w:sz w:val="20"/>
          <w:rtl/>
        </w:rPr>
        <w:t>نظام روما الأساسي</w:t>
      </w:r>
      <w:r>
        <w:rPr>
          <w:rStyle w:val="tlid-translation"/>
          <w:rFonts w:hint="cs"/>
          <w:sz w:val="20"/>
          <w:rtl/>
        </w:rPr>
        <w:t xml:space="preserve"> المادة </w:t>
      </w:r>
      <w:r w:rsidRPr="0050073B">
        <w:t>30 (2)</w:t>
      </w:r>
      <w:r>
        <w:rPr>
          <w:rFonts w:hint="cs"/>
          <w:rtl/>
        </w:rPr>
        <w:t>.</w:t>
      </w:r>
    </w:p>
  </w:footnote>
  <w:footnote w:id="1203">
    <w:p w14:paraId="5C52B493"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Global Rights Compliance, “The Crime of Starvation and Methods of Prosecution and Accountability”, 2019, p. 11, para. 60 (https://sites.tufts.edu/wpf/files/2019/06/The-Crimes-of-Starvation-and-Methods-of-Prosecution-and-Accountability.pdf).</w:t>
      </w:r>
    </w:p>
  </w:footnote>
  <w:footnote w:id="1204">
    <w:p w14:paraId="6BE66323" w14:textId="77777777" w:rsidR="00A1624A" w:rsidRPr="00BA161D" w:rsidRDefault="00A1624A" w:rsidP="00B81240">
      <w:pPr>
        <w:pStyle w:val="FootnoteText"/>
        <w:tabs>
          <w:tab w:val="clear" w:pos="1021"/>
        </w:tabs>
        <w:bidi/>
        <w:ind w:left="851" w:firstLine="0"/>
        <w:jc w:val="both"/>
      </w:pPr>
      <w:r>
        <w:rPr>
          <w:rStyle w:val="FootnoteReference"/>
        </w:rPr>
        <w:footnoteRef/>
      </w:r>
      <w:r>
        <w:t xml:space="preserve"> </w:t>
      </w:r>
      <w:r w:rsidRPr="0050073B">
        <w:t>See e.g. The Guardian, “Yemen famine feared as starving children fight for lives in hospital”, 4 October 2016 (https://www.theguardian.com/world/2016/oct/04/yemen-famine-feared-as-starving-children-fight-for-lives-in-hospital); OCHA, :”Yemen: ‘One step away from famine’”, 31 October 2016 (https://www.unocha.org/story/yemen-%E2%80%9Cone-step-away-famine%E2%80%9D).</w:t>
      </w:r>
    </w:p>
  </w:footnote>
  <w:footnote w:id="1205">
    <w:p w14:paraId="073EE3B4"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Global Rights Compliance, Submissions to the Group of Eminent Experts on Yemen, 1 June 2018.</w:t>
      </w:r>
    </w:p>
  </w:footnote>
  <w:footnote w:id="1206">
    <w:p w14:paraId="2E7B5C42" w14:textId="77777777" w:rsidR="00A1624A" w:rsidRPr="0050073B" w:rsidRDefault="00A1624A" w:rsidP="00B81240">
      <w:pPr>
        <w:pStyle w:val="FootnoteText"/>
        <w:tabs>
          <w:tab w:val="clear" w:pos="1021"/>
        </w:tabs>
        <w:bidi/>
        <w:ind w:left="851" w:firstLine="0"/>
        <w:jc w:val="both"/>
      </w:pPr>
      <w:r>
        <w:rPr>
          <w:rStyle w:val="FootnoteReference"/>
        </w:rPr>
        <w:footnoteRef/>
      </w:r>
      <w:r>
        <w:t xml:space="preserve"> </w:t>
      </w:r>
      <w:r w:rsidRPr="0050073B">
        <w:t>A/RES/2417 (2018), operational paragraph 10.</w:t>
      </w:r>
    </w:p>
  </w:footnote>
  <w:footnote w:id="1207">
    <w:p w14:paraId="4A260586" w14:textId="2188754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نشرت مؤسسة السلام العالمي في 9 تشرين الأول/ أكتوبر 2018. </w:t>
      </w:r>
    </w:p>
    <w:p w14:paraId="1A7A095B" w14:textId="77777777" w:rsidR="00A1624A" w:rsidRDefault="00A1624A" w:rsidP="00B81240">
      <w:pPr>
        <w:pStyle w:val="FootnoteText"/>
        <w:tabs>
          <w:tab w:val="clear" w:pos="1021"/>
        </w:tabs>
        <w:bidi/>
        <w:ind w:left="851" w:firstLine="0"/>
        <w:jc w:val="both"/>
        <w:rPr>
          <w:rtl/>
        </w:rPr>
      </w:pPr>
      <w:r w:rsidRPr="00871A28">
        <w:t xml:space="preserve">Martha Mundy, “The Strategies of the coalition in the Yemen War: aerial bombardment and food war” </w:t>
      </w:r>
    </w:p>
    <w:p w14:paraId="4A140906" w14:textId="334ACF70"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tlid-translation"/>
          <w:rFonts w:ascii="Traditional Arabic" w:hAnsi="Traditional Arabic" w:cs="Traditional Arabic"/>
          <w:sz w:val="22"/>
          <w:szCs w:val="22"/>
          <w:rtl/>
        </w:rPr>
        <w:t>يستند التقرير إلى بيانات من وزارة الزراعة والري ووزارة الثروة السمكية في صنعاء ومشروع البيانات اليمني (أنظر ص. 8).</w:t>
      </w:r>
    </w:p>
  </w:footnote>
  <w:footnote w:id="1208">
    <w:p w14:paraId="7DAB0CE2" w14:textId="4E38AD2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9. </w:t>
      </w:r>
    </w:p>
  </w:footnote>
  <w:footnote w:id="1209">
    <w:p w14:paraId="261A34E9" w14:textId="758494B9"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12، يشير التقرير </w:t>
      </w:r>
      <w:r w:rsidRPr="00F54212">
        <w:rPr>
          <w:rStyle w:val="tlid-translation"/>
          <w:rFonts w:ascii="Traditional Arabic" w:hAnsi="Traditional Arabic" w:cs="Traditional Arabic"/>
          <w:sz w:val="22"/>
          <w:szCs w:val="22"/>
          <w:rtl/>
        </w:rPr>
        <w:t xml:space="preserve">إلى إحصائيات منظمة الأغذية والزراعة التي تفيد بأن أقل من ثلاثة بالمئة من إجمالي مساحة اليمن تستخدم للزراعة، وأن 5 في المائة فقط من المناطق الزراعية هي أراض صالحة للزراعة و1 في المائة محاصيل دائمة. </w:t>
      </w:r>
    </w:p>
  </w:footnote>
  <w:footnote w:id="1210">
    <w:p w14:paraId="566C9D65" w14:textId="67ACF8C6" w:rsidR="00A1624A" w:rsidRPr="004E1E56"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المرجع نفسه ص. 13.</w:t>
      </w:r>
      <w:r>
        <w:rPr>
          <w:rFonts w:hint="cs"/>
          <w:rtl/>
        </w:rPr>
        <w:t xml:space="preserve"> </w:t>
      </w:r>
    </w:p>
  </w:footnote>
  <w:footnote w:id="1211">
    <w:p w14:paraId="3C652C78" w14:textId="0B51D0F3"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المرجع نفسه، ص. 13-16. </w:t>
      </w:r>
    </w:p>
  </w:footnote>
  <w:footnote w:id="1212">
    <w:p w14:paraId="1067C359" w14:textId="6D7E04C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المرجع نفسه، ص. 16</w:t>
      </w:r>
    </w:p>
  </w:footnote>
  <w:footnote w:id="1213">
    <w:p w14:paraId="259D3885" w14:textId="1C5AF44D" w:rsidR="00A1624A" w:rsidRPr="004E1E56"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r>
        <w:rPr>
          <w:rFonts w:asciiTheme="majorBidi" w:hAnsiTheme="majorBidi" w:cstheme="majorBidi" w:hint="cs"/>
          <w:sz w:val="20"/>
          <w:rtl/>
        </w:rPr>
        <w:t xml:space="preserve"> </w:t>
      </w:r>
    </w:p>
  </w:footnote>
  <w:footnote w:id="1214">
    <w:p w14:paraId="47F7EB8B" w14:textId="7399D550"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المادة 14 </w:t>
      </w:r>
      <w:r w:rsidRPr="00F54212">
        <w:rPr>
          <w:rStyle w:val="tlid-translation"/>
          <w:rFonts w:ascii="Traditional Arabic" w:hAnsi="Traditional Arabic" w:cs="Traditional Arabic"/>
          <w:sz w:val="22"/>
          <w:szCs w:val="22"/>
          <w:rtl/>
        </w:rPr>
        <w:t xml:space="preserve">البروتوكول الإضافي الثاني، أنظر أيضًا دراسة اللجنة الدولية للصليب الأحمر حول القانون الدولي الإنساني العرفي، القاعدة 54. </w:t>
      </w:r>
    </w:p>
  </w:footnote>
  <w:footnote w:id="1215">
    <w:p w14:paraId="0D14028D" w14:textId="77777777" w:rsidR="00A1624A" w:rsidRPr="00417CAF" w:rsidRDefault="00A1624A" w:rsidP="00B81240">
      <w:pPr>
        <w:pStyle w:val="FootnoteText"/>
        <w:tabs>
          <w:tab w:val="clear" w:pos="1021"/>
        </w:tabs>
        <w:bidi/>
        <w:ind w:left="851" w:firstLine="0"/>
        <w:jc w:val="both"/>
        <w:rPr>
          <w:sz w:val="20"/>
        </w:rPr>
      </w:pPr>
      <w:r w:rsidRPr="00417CAF">
        <w:rPr>
          <w:rStyle w:val="FootnoteReference"/>
          <w:sz w:val="20"/>
        </w:rPr>
        <w:footnoteRef/>
      </w:r>
      <w:r w:rsidRPr="00417CAF">
        <w:rPr>
          <w:sz w:val="20"/>
        </w:rPr>
        <w:t xml:space="preserve"> See ICRC 1987 commentary to both Art. 54 Additional Protocol I and Art. 14 Additional Protocol II; See also ICRC Study on customary IHL, rule 54 (commentary).</w:t>
      </w:r>
    </w:p>
  </w:footnote>
  <w:footnote w:id="1216">
    <w:p w14:paraId="53B28089" w14:textId="77777777" w:rsidR="00A1624A" w:rsidRPr="00417CAF" w:rsidRDefault="00A1624A" w:rsidP="00B81240">
      <w:pPr>
        <w:pStyle w:val="FootnoteText"/>
        <w:tabs>
          <w:tab w:val="clear" w:pos="1021"/>
        </w:tabs>
        <w:bidi/>
        <w:ind w:left="851" w:firstLine="0"/>
        <w:jc w:val="both"/>
        <w:rPr>
          <w:sz w:val="20"/>
        </w:rPr>
      </w:pPr>
      <w:r w:rsidRPr="00417CAF">
        <w:rPr>
          <w:rStyle w:val="FootnoteReference"/>
          <w:sz w:val="20"/>
        </w:rPr>
        <w:footnoteRef/>
      </w:r>
      <w:r w:rsidRPr="00417CAF">
        <w:rPr>
          <w:sz w:val="20"/>
        </w:rPr>
        <w:t xml:space="preserve"> Art. 13(1) Additional Protocol II.</w:t>
      </w:r>
    </w:p>
  </w:footnote>
  <w:footnote w:id="1217">
    <w:p w14:paraId="01F9F325" w14:textId="452DCB8E"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نظرًا لأن المادة 14 من البروتوكول الإضافي الثاني لا تنص صراحةً على استثناءات، فمن المشكوك فيه ما إذا كانت هذه المواد تفقد حمايتها إذا استخدمت لدعم مباشر للعمل العسكري، على النحو المنصوص عليه في المادة 54 (3) من البروتوكول الإضافي الأول للنزاعات المسلحة الدولية.</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ومع ذلك، حتى لو كان الأمر كذلك، فإن حظر التجويع سيحظر الهجوم على مثل هذه المواد، إذا كان من المتوقع أن يتسبب الهجوم "في تجويع السكان المدنيين</w:t>
      </w:r>
      <w:r w:rsidRPr="00F54212">
        <w:rPr>
          <w:rStyle w:val="tlid-translation"/>
          <w:rFonts w:ascii="Traditional Arabic" w:hAnsi="Traditional Arabic" w:cs="Traditional Arabic"/>
          <w:sz w:val="22"/>
          <w:szCs w:val="22"/>
          <w:lang w:bidi="ar"/>
        </w:rPr>
        <w:t>"</w:t>
      </w:r>
      <w:r w:rsidRPr="00F54212">
        <w:rPr>
          <w:rStyle w:val="tlid-translation"/>
          <w:rFonts w:ascii="Traditional Arabic" w:hAnsi="Traditional Arabic" w:cs="Traditional Arabic"/>
          <w:sz w:val="22"/>
          <w:szCs w:val="22"/>
          <w:rtl/>
          <w:lang w:bidi="ar"/>
        </w:rPr>
        <w:t xml:space="preserve">. </w:t>
      </w:r>
      <w:r w:rsidRPr="00F54212">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 القاعدة 54.</w:t>
      </w:r>
    </w:p>
  </w:footnote>
  <w:footnote w:id="1218">
    <w:p w14:paraId="63E91CB6" w14:textId="77777777"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Pr>
          <w:rStyle w:val="FootnoteReference"/>
        </w:rPr>
        <w:footnoteRef/>
      </w:r>
      <w:r>
        <w:t xml:space="preserve"> </w:t>
      </w:r>
      <w:r w:rsidRPr="00A043D3">
        <w:t>See Reports of the Secretary-General on children and armed conflict to the Security Council, A/70/836-S/2016/360 para 170; A/72/361–S/2017/821 para 193; A/72/865-S/2018/465, para 208-209; and S/2019/453, para 43.</w:t>
      </w:r>
    </w:p>
  </w:footnote>
  <w:footnote w:id="1219">
    <w:p w14:paraId="00FF5746" w14:textId="2D32549E"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A/HRC/39/43</w:t>
      </w:r>
      <w:r w:rsidRPr="00F54212">
        <w:rPr>
          <w:rFonts w:ascii="Traditional Arabic" w:hAnsi="Traditional Arabic" w:cs="Traditional Arabic"/>
          <w:sz w:val="22"/>
          <w:szCs w:val="22"/>
          <w:rtl/>
        </w:rPr>
        <w:t xml:space="preserve"> الفقرة 36. </w:t>
      </w:r>
    </w:p>
  </w:footnote>
  <w:footnote w:id="1220">
    <w:p w14:paraId="51878231" w14:textId="77777777" w:rsidR="00A1624A" w:rsidRPr="00F54212" w:rsidRDefault="00A1624A" w:rsidP="00B81240">
      <w:pPr>
        <w:pStyle w:val="FootnoteText"/>
        <w:tabs>
          <w:tab w:val="clear" w:pos="1021"/>
        </w:tabs>
        <w:bidi/>
        <w:ind w:left="851" w:firstLine="0"/>
        <w:jc w:val="both"/>
        <w:rPr>
          <w:rStyle w:val="tlid-translation"/>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في ملخصها للنتائج المتعلقة بهجوم 15 آب/ أغسطس 2016 على مستشفى عبس وجدت منظمة أطباء بلا حدود أن الهجوم قد ارتكب من قبل التحالف وأن هدف الهجوم يبدو أنه سيارة كانت قد دخلت المجمع قبل فترة وجيزة من الغارة الجوية.</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 xml:space="preserve">يخلص إلى أنه نظرًا لوجود السيارة في مجمع المستشفى، فإن هذا يشكل هجومًا على منشأة طبية محمية. أنظر </w:t>
      </w:r>
    </w:p>
    <w:p w14:paraId="357C112A" w14:textId="121307E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tlid-translation"/>
          <w:rFonts w:ascii="Traditional Arabic" w:hAnsi="Traditional Arabic" w:cs="Traditional Arabic"/>
          <w:sz w:val="22"/>
          <w:szCs w:val="22"/>
          <w:rtl/>
        </w:rPr>
        <w:t>التحقيق الداخلي لمنظمة أطباء بلا حدود في هجوم 15 آب/ أغسطس على مستشفى عبس، اليمن، ملخص النتائج:</w:t>
      </w:r>
    </w:p>
    <w:p w14:paraId="733F5F6F" w14:textId="77777777" w:rsidR="00A1624A" w:rsidRDefault="00A1624A" w:rsidP="00B81240">
      <w:pPr>
        <w:pStyle w:val="FootnoteText"/>
        <w:tabs>
          <w:tab w:val="clear" w:pos="1021"/>
        </w:tabs>
        <w:bidi/>
        <w:ind w:left="851" w:firstLine="0"/>
        <w:jc w:val="both"/>
        <w:rPr>
          <w:rtl/>
        </w:rPr>
      </w:pPr>
      <w:r w:rsidRPr="00A043D3">
        <w:t xml:space="preserve"> “MSF internal investigation of the 15 August attack on Abs hospital, Yemen, Summary of findings”, 27 September 2016, available at: </w:t>
      </w:r>
    </w:p>
    <w:p w14:paraId="5EC3D425" w14:textId="505711BD" w:rsidR="00A1624A" w:rsidRPr="00871A28" w:rsidRDefault="00A1624A" w:rsidP="00B81240">
      <w:pPr>
        <w:pStyle w:val="FootnoteText"/>
        <w:tabs>
          <w:tab w:val="clear" w:pos="1021"/>
        </w:tabs>
        <w:bidi/>
        <w:ind w:left="851" w:firstLine="0"/>
        <w:jc w:val="both"/>
        <w:rPr>
          <w:lang w:val="en-US"/>
        </w:rPr>
      </w:pPr>
      <w:r w:rsidRPr="00A043D3">
        <w:t>https://reliefweb.int/sites/reliefweb.int/files/resources/Yemen_Abs_investigation_summary_final.pdf</w:t>
      </w:r>
    </w:p>
  </w:footnote>
  <w:footnote w:id="1221">
    <w:p w14:paraId="2D0A53CB" w14:textId="2B1B79E5"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أطباء بلا حدود، كان على بعض الأسر الاختيار بين نقل طفل إلى المستشفى أو إطعام الآخرين، أصوات من الميدان، 10 تموز/ يوليو 2017</w:t>
      </w:r>
    </w:p>
    <w:p w14:paraId="19AE86BB" w14:textId="437741A4" w:rsidR="00A1624A" w:rsidRPr="00871A28" w:rsidRDefault="00A1624A" w:rsidP="00B81240">
      <w:pPr>
        <w:pStyle w:val="FootnoteText"/>
        <w:tabs>
          <w:tab w:val="clear" w:pos="1021"/>
        </w:tabs>
        <w:bidi/>
        <w:ind w:left="851" w:firstLine="0"/>
        <w:jc w:val="both"/>
        <w:rPr>
          <w:lang w:val="en-US"/>
        </w:rPr>
      </w:pPr>
      <w:r w:rsidRPr="00A043D3">
        <w:t>(https://www.msf.org/yemen-%E2%80%9Csome-families-have-choose-between-taking-child-hospital-or-feeding-others%E2%80%9D).</w:t>
      </w:r>
    </w:p>
  </w:footnote>
  <w:footnote w:id="1222">
    <w:p w14:paraId="43B4F33D" w14:textId="77777777" w:rsidR="00A1624A" w:rsidRPr="00871A28"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https://www.msf.org.uk/sites/uk/files/27092016_Taiz_IR_Airstrike_clinic_EXT_VERSION_VALIDATED_W_INTSTRUCTIONS_JMDM.pdf</w:t>
      </w:r>
    </w:p>
  </w:footnote>
  <w:footnote w:id="1223">
    <w:p w14:paraId="0FE4362B" w14:textId="77777777" w:rsidR="00A1624A" w:rsidRPr="00871A28"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https://www.msf.org.uk/sites/uk/files/27092016_Taiz_IR_Airstrike_clinic_EXT_VERSION_VALIDATED_W_INTSTRUCTIONS_JMDM.pdf</w:t>
      </w:r>
    </w:p>
  </w:footnote>
  <w:footnote w:id="1224">
    <w:p w14:paraId="158F9860" w14:textId="2378F012"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5">
    <w:p w14:paraId="40D54C67" w14:textId="66DF5456"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6">
    <w:p w14:paraId="51E0E7BB" w14:textId="5A8A12B5"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مصادر سريّة في الملف، أنظر كذلك مواطنة، </w:t>
      </w:r>
      <w:r w:rsidRPr="00F54212">
        <w:rPr>
          <w:rFonts w:asciiTheme="majorBidi" w:hAnsiTheme="majorBidi" w:cstheme="majorBidi"/>
          <w:sz w:val="20"/>
        </w:rPr>
        <w:t>“Chapter from Hell”</w:t>
      </w:r>
      <w:r w:rsidRPr="00F54212">
        <w:rPr>
          <w:rFonts w:asciiTheme="majorBidi" w:hAnsiTheme="majorBidi" w:cstheme="majorBidi"/>
          <w:sz w:val="20"/>
          <w:rtl/>
        </w:rPr>
        <w:t xml:space="preserve">. </w:t>
      </w:r>
    </w:p>
  </w:footnote>
  <w:footnote w:id="1227">
    <w:p w14:paraId="3C26C262" w14:textId="0F86535B"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8">
    <w:p w14:paraId="35FBEE16" w14:textId="2DC9F717"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29">
    <w:p w14:paraId="1CE99C95" w14:textId="72F08B8D"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مصادر سريّة في الملف</w:t>
      </w:r>
      <w:r w:rsidRPr="00F54212">
        <w:rPr>
          <w:rFonts w:ascii="Traditional Arabic" w:hAnsi="Traditional Arabic" w:cs="Traditional Arabic"/>
          <w:sz w:val="22"/>
          <w:szCs w:val="22"/>
        </w:rPr>
        <w:t>.</w:t>
      </w:r>
    </w:p>
  </w:footnote>
  <w:footnote w:id="1230">
    <w:p w14:paraId="7015E21A" w14:textId="072EA0BF"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أنظر </w:t>
      </w:r>
      <w:r w:rsidRPr="00F54212">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28.</w:t>
      </w:r>
    </w:p>
  </w:footnote>
  <w:footnote w:id="1231">
    <w:p w14:paraId="128FEB58" w14:textId="28CE6186"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المادة 2 </w:t>
      </w:r>
      <w:r w:rsidRPr="00F54212">
        <w:rPr>
          <w:rStyle w:val="tlid-translation"/>
          <w:rFonts w:ascii="Traditional Arabic" w:hAnsi="Traditional Arabic" w:cs="Traditional Arabic"/>
          <w:sz w:val="22"/>
          <w:szCs w:val="22"/>
          <w:rtl/>
        </w:rPr>
        <w:t xml:space="preserve">البروتوكول الإضافي الثاني. </w:t>
      </w:r>
    </w:p>
  </w:footnote>
  <w:footnote w:id="1232">
    <w:p w14:paraId="36445806" w14:textId="51CC7089" w:rsidR="00A1624A" w:rsidRPr="00871A28" w:rsidRDefault="00A1624A" w:rsidP="00B81240">
      <w:pPr>
        <w:pStyle w:val="FootnoteText"/>
        <w:tabs>
          <w:tab w:val="clear" w:pos="1021"/>
        </w:tabs>
        <w:bidi/>
        <w:ind w:left="851" w:firstLine="0"/>
        <w:jc w:val="both"/>
        <w:rPr>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المواد </w:t>
      </w:r>
      <w:r w:rsidRPr="00F54212">
        <w:rPr>
          <w:rFonts w:ascii="Traditional Arabic" w:hAnsi="Traditional Arabic" w:cs="Traditional Arabic"/>
          <w:sz w:val="22"/>
          <w:szCs w:val="22"/>
        </w:rPr>
        <w:t>8(2)(e)(ii)</w:t>
      </w:r>
      <w:r w:rsidRPr="00F54212">
        <w:rPr>
          <w:rFonts w:ascii="Traditional Arabic" w:hAnsi="Traditional Arabic" w:cs="Traditional Arabic"/>
          <w:sz w:val="22"/>
          <w:szCs w:val="22"/>
          <w:rtl/>
        </w:rPr>
        <w:t xml:space="preserve"> و</w:t>
      </w:r>
      <w:r w:rsidRPr="00F54212">
        <w:rPr>
          <w:rFonts w:ascii="Traditional Arabic" w:hAnsi="Traditional Arabic" w:cs="Traditional Arabic"/>
          <w:sz w:val="22"/>
          <w:szCs w:val="22"/>
        </w:rPr>
        <w:t>(iv)</w:t>
      </w:r>
      <w:r w:rsidRPr="00F54212">
        <w:rPr>
          <w:rFonts w:ascii="Traditional Arabic" w:hAnsi="Traditional Arabic" w:cs="Traditional Arabic"/>
          <w:sz w:val="22"/>
          <w:szCs w:val="22"/>
          <w:rtl/>
        </w:rPr>
        <w:t xml:space="preserve"> من </w:t>
      </w:r>
      <w:r w:rsidRPr="00F54212">
        <w:rPr>
          <w:rStyle w:val="tlid-translation"/>
          <w:rFonts w:ascii="Traditional Arabic" w:hAnsi="Traditional Arabic" w:cs="Traditional Arabic"/>
          <w:sz w:val="22"/>
          <w:szCs w:val="22"/>
          <w:rtl/>
        </w:rPr>
        <w:t>نظام روما الأساسي.</w:t>
      </w:r>
      <w:r w:rsidRPr="00F54212">
        <w:rPr>
          <w:rFonts w:ascii="Traditional Arabic" w:hAnsi="Traditional Arabic" w:cs="Traditional Arabic"/>
          <w:sz w:val="22"/>
          <w:szCs w:val="22"/>
          <w:rtl/>
        </w:rPr>
        <w:t xml:space="preserve"> </w:t>
      </w:r>
    </w:p>
  </w:footnote>
  <w:footnote w:id="1233">
    <w:p w14:paraId="7F32D077" w14:textId="230DA274"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Style w:val="tlid-translation"/>
          <w:rFonts w:ascii="Traditional Arabic" w:hAnsi="Traditional Arabic" w:cs="Traditional Arabic"/>
          <w:sz w:val="22"/>
          <w:szCs w:val="22"/>
          <w:rtl/>
        </w:rPr>
        <w:t xml:space="preserve">يتم إعفاء السفن الإنسانية من هذا التصريح. </w:t>
      </w:r>
      <w:r w:rsidRPr="00F54212">
        <w:rPr>
          <w:rStyle w:val="tlid-translation"/>
          <w:rFonts w:ascii="Traditional Arabic" w:hAnsi="Traditional Arabic" w:cs="Traditional Arabic"/>
          <w:sz w:val="22"/>
          <w:szCs w:val="22"/>
          <w:lang w:bidi="ar"/>
        </w:rPr>
        <w:t xml:space="preserve"> </w:t>
      </w:r>
      <w:r w:rsidRPr="00F54212">
        <w:rPr>
          <w:rStyle w:val="tlid-translation"/>
          <w:rFonts w:ascii="Traditional Arabic" w:hAnsi="Traditional Arabic" w:cs="Traditional Arabic"/>
          <w:sz w:val="22"/>
          <w:szCs w:val="22"/>
          <w:rtl/>
        </w:rPr>
        <w:t>يمكنها اختيار آلية عدم التضارب التي وضعها التحالف</w:t>
      </w:r>
      <w:r w:rsidRPr="00F54212">
        <w:rPr>
          <w:rStyle w:val="tlid-translation"/>
          <w:rFonts w:ascii="Traditional Arabic" w:hAnsi="Traditional Arabic" w:cs="Traditional Arabic"/>
          <w:sz w:val="22"/>
          <w:szCs w:val="22"/>
          <w:lang w:bidi="ar"/>
        </w:rPr>
        <w:t>.</w:t>
      </w:r>
    </w:p>
  </w:footnote>
  <w:footnote w:id="1234">
    <w:p w14:paraId="761B1D86" w14:textId="377B60D1" w:rsidR="00A1624A" w:rsidRPr="00F54212"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F54212">
        <w:rPr>
          <w:rStyle w:val="FootnoteReference"/>
          <w:rFonts w:ascii="Traditional Arabic" w:hAnsi="Traditional Arabic" w:cs="Traditional Arabic"/>
          <w:sz w:val="22"/>
          <w:szCs w:val="22"/>
        </w:rPr>
        <w:footnoteRef/>
      </w:r>
      <w:r w:rsidRPr="00F54212">
        <w:rPr>
          <w:rFonts w:ascii="Traditional Arabic" w:hAnsi="Traditional Arabic" w:cs="Traditional Arabic"/>
          <w:sz w:val="22"/>
          <w:szCs w:val="22"/>
        </w:rPr>
        <w:t xml:space="preserve"> </w:t>
      </w:r>
      <w:r w:rsidRPr="00F54212">
        <w:rPr>
          <w:rFonts w:ascii="Traditional Arabic" w:hAnsi="Traditional Arabic" w:cs="Traditional Arabic"/>
          <w:sz w:val="22"/>
          <w:szCs w:val="22"/>
          <w:rtl/>
        </w:rPr>
        <w:t xml:space="preserve">بحلول حزيران/ يونيو 2015، </w:t>
      </w:r>
      <w:r w:rsidRPr="00F54212">
        <w:rPr>
          <w:rStyle w:val="tlid-translation"/>
          <w:rFonts w:ascii="Traditional Arabic" w:hAnsi="Traditional Arabic" w:cs="Traditional Arabic"/>
          <w:sz w:val="22"/>
          <w:szCs w:val="22"/>
          <w:rtl/>
        </w:rPr>
        <w:t>أفيد أن 15 بالمئة فقط من واردات ما قبل الحرب كانت تدخل اليمن، انظر تقرير مجلس الأمن</w:t>
      </w:r>
    </w:p>
    <w:p w14:paraId="1CFA138F" w14:textId="77777777" w:rsidR="00A1624A" w:rsidRDefault="00A1624A" w:rsidP="00B81240">
      <w:pPr>
        <w:pStyle w:val="FootnoteText"/>
        <w:tabs>
          <w:tab w:val="clear" w:pos="1021"/>
        </w:tabs>
        <w:bidi/>
        <w:ind w:left="851" w:firstLine="0"/>
        <w:jc w:val="both"/>
        <w:rPr>
          <w:rtl/>
        </w:rPr>
      </w:pPr>
      <w:r w:rsidRPr="00A043D3">
        <w:t xml:space="preserve">“In Hindsight: The Story of the United Nations Verification and Inspection Mechanism in Yemen”, 1 September 2016 </w:t>
      </w:r>
    </w:p>
    <w:p w14:paraId="59018F07" w14:textId="7EB5BBFF" w:rsidR="00A1624A" w:rsidRPr="00A043D3" w:rsidRDefault="00A1624A" w:rsidP="00B81240">
      <w:pPr>
        <w:pStyle w:val="FootnoteText"/>
        <w:tabs>
          <w:tab w:val="clear" w:pos="1021"/>
        </w:tabs>
        <w:bidi/>
        <w:ind w:left="851" w:firstLine="0"/>
        <w:jc w:val="both"/>
        <w:rPr>
          <w:lang w:val="en-US"/>
        </w:rPr>
      </w:pPr>
      <w:r w:rsidRPr="00A043D3">
        <w:t>(https://www.securitycouncilreport.org/monthly-forecast/2016-09/the_story_of_the_un_verification_and_inspection_mechanism_in_yemen.php).</w:t>
      </w:r>
    </w:p>
  </w:footnote>
  <w:footnote w:id="1235">
    <w:p w14:paraId="03DBA35B" w14:textId="5A800709" w:rsidR="00A1624A" w:rsidRPr="00F54212"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tl/>
        </w:rPr>
      </w:pPr>
      <w:r w:rsidRPr="00F54212">
        <w:rPr>
          <w:rStyle w:val="FootnoteReference"/>
          <w:rFonts w:ascii="Traditional Arabic" w:hAnsi="Traditional Arabic" w:cs="Traditional Arabic"/>
          <w:sz w:val="22"/>
          <w:szCs w:val="22"/>
          <w:vertAlign w:val="baseline"/>
        </w:rPr>
        <w:footnoteRef/>
      </w:r>
      <w:r w:rsidRPr="00F54212">
        <w:rPr>
          <w:rStyle w:val="FootnoteReference"/>
          <w:rFonts w:ascii="Traditional Arabic" w:hAnsi="Traditional Arabic" w:cs="Traditional Arabic"/>
          <w:sz w:val="22"/>
          <w:szCs w:val="22"/>
          <w:vertAlign w:val="baseline"/>
        </w:rPr>
        <w:t xml:space="preserve"> </w:t>
      </w:r>
      <w:r w:rsidRPr="00F54212">
        <w:rPr>
          <w:rStyle w:val="FootnoteReference"/>
          <w:rFonts w:ascii="Traditional Arabic" w:hAnsi="Traditional Arabic" w:cs="Traditional Arabic" w:hint="cs"/>
          <w:sz w:val="22"/>
          <w:szCs w:val="22"/>
          <w:vertAlign w:val="baseline"/>
          <w:rtl/>
        </w:rPr>
        <w:t xml:space="preserve">خلية دعم المجموعات اللوجستية العالمية (2017). المساعدات الإنسانية تكافح للوصول إلى السكان المتضررين في اليمن مع استمرار الحصار. </w:t>
      </w:r>
    </w:p>
    <w:p w14:paraId="2E3FDDC5" w14:textId="407018A5" w:rsidR="00A1624A" w:rsidRPr="00A043D3" w:rsidRDefault="00A1624A" w:rsidP="00B81240">
      <w:pPr>
        <w:pStyle w:val="FootnoteText"/>
        <w:tabs>
          <w:tab w:val="clear" w:pos="1021"/>
        </w:tabs>
        <w:bidi/>
        <w:ind w:left="851" w:firstLine="0"/>
        <w:jc w:val="both"/>
        <w:rPr>
          <w:lang w:val="en-US"/>
        </w:rPr>
      </w:pPr>
      <w:r>
        <w:t>https://logcluster.org/blog/humanitarian-assistance-struggling-reach-affected-population-yemen-blockade-continues.</w:t>
      </w:r>
    </w:p>
  </w:footnote>
  <w:footnote w:id="1236">
    <w:p w14:paraId="632BAAF3"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Oxfam, Missiles and Food: Yemen’s Manmade Crisis (June 7, 2019) available at https://reliefweb.int/sites/reliefweb.int/files/resources/bn-missiles-food-security-yemen-201217-en.pdf.</w:t>
      </w:r>
    </w:p>
  </w:footnote>
  <w:footnote w:id="1237">
    <w:p w14:paraId="1D4A2B0F"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Oxfam, Missiles and Food: Yemen’s Manmade Crisis (June 7, 2019) available at https://reliefweb.int/sites/reliefweb.int/files/resources/bn-missiles-food-security-yemen-201217-en.pdf.</w:t>
      </w:r>
    </w:p>
  </w:footnote>
  <w:footnote w:id="1238">
    <w:p w14:paraId="13D3A2A6"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Ibid.</w:t>
      </w:r>
    </w:p>
  </w:footnote>
  <w:footnote w:id="1239">
    <w:p w14:paraId="391365EA" w14:textId="77777777"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A043D3">
        <w:t>Human Rights Watch, Yemen: Events of 2018, WORLD REPORT 2019, available at https://www.hrw.org/world-report/2019/country-chapters/yemen.</w:t>
      </w:r>
    </w:p>
  </w:footnote>
  <w:footnote w:id="1240">
    <w:p w14:paraId="5F6A34D3"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Mwatana, Chapter from Hell, p. 70.</w:t>
      </w:r>
    </w:p>
  </w:footnote>
  <w:footnote w:id="1241">
    <w:p w14:paraId="08796F61" w14:textId="7242CFDA"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المرجع نفسه. </w:t>
      </w:r>
    </w:p>
  </w:footnote>
  <w:footnote w:id="1242">
    <w:p w14:paraId="35B27EDB" w14:textId="37D2D14E" w:rsidR="00A1624A" w:rsidRPr="00CD021F" w:rsidRDefault="00A1624A" w:rsidP="00B81240">
      <w:pPr>
        <w:pStyle w:val="FootnoteText"/>
        <w:tabs>
          <w:tab w:val="clear" w:pos="1021"/>
        </w:tabs>
        <w:bidi/>
        <w:ind w:left="851" w:firstLine="0"/>
        <w:jc w:val="both"/>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المرجع نفسه في 72.</w:t>
      </w:r>
      <w:r>
        <w:rPr>
          <w:rFonts w:hint="cs"/>
          <w:rtl/>
        </w:rPr>
        <w:t xml:space="preserve"> </w:t>
      </w:r>
    </w:p>
  </w:footnote>
  <w:footnote w:id="1243">
    <w:p w14:paraId="4E1181D0" w14:textId="60094940" w:rsidR="00A1624A" w:rsidRPr="0096042B"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96042B">
        <w:rPr>
          <w:rStyle w:val="FootnoteReference"/>
          <w:rFonts w:ascii="Traditional Arabic" w:hAnsi="Traditional Arabic" w:cs="Traditional Arabic"/>
          <w:sz w:val="22"/>
          <w:szCs w:val="22"/>
        </w:rPr>
        <w:footnoteRef/>
      </w:r>
      <w:r w:rsidRPr="0096042B">
        <w:rPr>
          <w:rFonts w:ascii="Traditional Arabic" w:hAnsi="Traditional Arabic" w:cs="Traditional Arabic"/>
          <w:sz w:val="22"/>
          <w:szCs w:val="22"/>
        </w:rPr>
        <w:t xml:space="preserve"> </w:t>
      </w:r>
      <w:r w:rsidRPr="0096042B">
        <w:rPr>
          <w:rFonts w:ascii="Traditional Arabic" w:hAnsi="Traditional Arabic" w:cs="Traditional Arabic"/>
          <w:sz w:val="22"/>
          <w:szCs w:val="22"/>
          <w:rtl/>
        </w:rPr>
        <w:t>مصطلح حصار ليس له تعريف في القانون الدولي</w:t>
      </w:r>
      <w:r w:rsidRPr="0096042B">
        <w:rPr>
          <w:rStyle w:val="tlid-translation"/>
          <w:rFonts w:ascii="Traditional Arabic" w:hAnsi="Traditional Arabic" w:cs="Traditional Arabic"/>
          <w:sz w:val="22"/>
          <w:szCs w:val="22"/>
          <w:rtl/>
        </w:rPr>
        <w:t>، ولكن يمكن فهمه على أنه تطويق العسكري لمنطقة ما مع فرض قيود على دخول البضائع الأساسية وخروجها بهدف إجبار المنطقة على الاستسلام، المفوضية السامية لحقوق الإنسان، القانون الإنساني الدولي</w:t>
      </w:r>
      <w:r w:rsidRPr="0096042B">
        <w:rPr>
          <w:rStyle w:val="tlid-translation"/>
          <w:rFonts w:ascii="Traditional Arabic" w:hAnsi="Traditional Arabic" w:cs="Traditional Arabic"/>
          <w:sz w:val="22"/>
          <w:szCs w:val="22"/>
          <w:rtl/>
          <w:lang w:bidi="ar"/>
        </w:rPr>
        <w:t xml:space="preserve"> </w:t>
      </w:r>
      <w:r w:rsidRPr="0096042B">
        <w:rPr>
          <w:rStyle w:val="tlid-translation"/>
          <w:rFonts w:ascii="Traditional Arabic" w:hAnsi="Traditional Arabic" w:cs="Traditional Arabic"/>
          <w:sz w:val="22"/>
          <w:szCs w:val="22"/>
          <w:rtl/>
        </w:rPr>
        <w:t>وقانون حقوق الإنسان المتعلق بالحصار العسكري كأسلوب قتال، كانون الثاني، يناير 2017.</w:t>
      </w:r>
    </w:p>
    <w:p w14:paraId="00AC3052" w14:textId="58DEA528" w:rsidR="00A1624A" w:rsidRPr="00A043D3" w:rsidRDefault="00A1624A" w:rsidP="00B81240">
      <w:pPr>
        <w:pStyle w:val="FootnoteText"/>
        <w:tabs>
          <w:tab w:val="clear" w:pos="1021"/>
        </w:tabs>
        <w:bidi/>
        <w:ind w:left="851" w:firstLine="0"/>
        <w:jc w:val="both"/>
        <w:rPr>
          <w:lang w:val="en-US"/>
        </w:rPr>
      </w:pPr>
      <w:r w:rsidRPr="00CD021F">
        <w:t>https://reliefweb.int/sites/reliefweb.int/files/resources/sieges_legal_note_-_final_-_en_1.pdf)</w:t>
      </w:r>
    </w:p>
  </w:footnote>
  <w:footnote w:id="1244">
    <w:p w14:paraId="68C66C24" w14:textId="6C2EAC1A" w:rsidR="00A1624A" w:rsidRPr="00CD021F" w:rsidRDefault="00A1624A" w:rsidP="00B81240">
      <w:pPr>
        <w:pStyle w:val="FootnoteText"/>
        <w:tabs>
          <w:tab w:val="clear" w:pos="1021"/>
        </w:tabs>
        <w:bidi/>
        <w:ind w:left="851" w:firstLine="0"/>
        <w:jc w:val="both"/>
      </w:pPr>
      <w:r w:rsidRPr="0096042B">
        <w:rPr>
          <w:rStyle w:val="FootnoteReference"/>
          <w:rFonts w:ascii="Traditional Arabic" w:hAnsi="Traditional Arabic" w:cs="Traditional Arabic"/>
          <w:sz w:val="22"/>
          <w:szCs w:val="22"/>
        </w:rPr>
        <w:footnoteRef/>
      </w:r>
      <w:r w:rsidRPr="0096042B">
        <w:rPr>
          <w:rFonts w:ascii="Traditional Arabic" w:hAnsi="Traditional Arabic" w:cs="Traditional Arabic"/>
          <w:sz w:val="22"/>
          <w:szCs w:val="22"/>
        </w:rPr>
        <w:t xml:space="preserve"> </w:t>
      </w:r>
      <w:r w:rsidRPr="0096042B">
        <w:rPr>
          <w:rFonts w:ascii="Traditional Arabic" w:hAnsi="Traditional Arabic" w:cs="Traditional Arabic"/>
          <w:sz w:val="22"/>
          <w:szCs w:val="22"/>
          <w:rtl/>
          <w:lang w:bidi="ar-JO"/>
        </w:rPr>
        <w:t xml:space="preserve">أنظر المادة 14، البروتوكول الإضافي الثاني، أنظر أيضًا </w:t>
      </w:r>
      <w:r w:rsidRPr="0096042B">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53.</w:t>
      </w:r>
    </w:p>
  </w:footnote>
  <w:footnote w:id="1245">
    <w:p w14:paraId="766B9B20"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A/HRC/39/43, Annex II.</w:t>
      </w:r>
    </w:p>
  </w:footnote>
  <w:footnote w:id="1246">
    <w:p w14:paraId="192B0E04" w14:textId="1B46C184" w:rsidR="00A1624A" w:rsidRPr="00CD021F" w:rsidRDefault="00A1624A" w:rsidP="00B81240">
      <w:pPr>
        <w:pStyle w:val="FootnoteText"/>
        <w:tabs>
          <w:tab w:val="clear" w:pos="1021"/>
        </w:tabs>
        <w:bidi/>
        <w:ind w:left="851" w:firstLine="0"/>
        <w:jc w:val="both"/>
      </w:pPr>
      <w:r>
        <w:rPr>
          <w:rStyle w:val="FootnoteReference"/>
        </w:rPr>
        <w:footnoteRef/>
      </w:r>
      <w:r>
        <w:t xml:space="preserve"> </w:t>
      </w:r>
      <w:r>
        <w:rPr>
          <w:rFonts w:hint="cs"/>
          <w:rtl/>
          <w:lang w:bidi="ar-JO"/>
        </w:rPr>
        <w:t xml:space="preserve">المادة </w:t>
      </w:r>
      <w:r w:rsidRPr="00CD021F">
        <w:t>18(2)</w:t>
      </w:r>
      <w:r>
        <w:rPr>
          <w:rFonts w:hint="cs"/>
          <w:rtl/>
        </w:rPr>
        <w:t xml:space="preserve"> من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 xml:space="preserve"> أنظر أيضًا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55.</w:t>
      </w:r>
    </w:p>
  </w:footnote>
  <w:footnote w:id="1247">
    <w:p w14:paraId="1DD327F5" w14:textId="03EAD8EA" w:rsidR="00A1624A" w:rsidRPr="00CD021F" w:rsidRDefault="00A1624A" w:rsidP="00B81240">
      <w:pPr>
        <w:pStyle w:val="FootnoteText"/>
        <w:tabs>
          <w:tab w:val="clear" w:pos="1021"/>
        </w:tabs>
        <w:bidi/>
        <w:ind w:left="851" w:firstLine="0"/>
        <w:jc w:val="both"/>
      </w:pPr>
      <w:r>
        <w:rPr>
          <w:rStyle w:val="FootnoteReference"/>
        </w:rPr>
        <w:footnoteRef/>
      </w:r>
      <w:r>
        <w:t xml:space="preserve"> </w:t>
      </w:r>
      <w:r>
        <w:rPr>
          <w:rFonts w:hint="cs"/>
          <w:rtl/>
          <w:lang w:bidi="ar-JO"/>
        </w:rPr>
        <w:t xml:space="preserve">المادة </w:t>
      </w:r>
      <w:r w:rsidRPr="00CD021F">
        <w:t>4(2)(b)</w:t>
      </w:r>
      <w:r>
        <w:rPr>
          <w:rFonts w:hint="cs"/>
          <w:rtl/>
        </w:rPr>
        <w:t xml:space="preserve"> من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w:t>
      </w:r>
    </w:p>
  </w:footnote>
  <w:footnote w:id="1248">
    <w:p w14:paraId="48B0B626"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Commentary to Additional Protocol I to the Geneva Conventions, Article 75, para, 3055. See also Prosecutor v Fofana and Kondewa, SCSL 04-14-T, Special Court for Sierra Leone, Judgment, Trial Chamber I, 2 August 2007, para. 181.</w:t>
      </w:r>
    </w:p>
  </w:footnote>
  <w:footnote w:id="1249">
    <w:p w14:paraId="3E48A8F8" w14:textId="37F40C0D" w:rsidR="00A1624A" w:rsidRPr="00A043D3" w:rsidRDefault="00A1624A" w:rsidP="00B81240">
      <w:pPr>
        <w:pStyle w:val="FootnoteText"/>
        <w:tabs>
          <w:tab w:val="clear" w:pos="1021"/>
        </w:tabs>
        <w:bidi/>
        <w:ind w:left="851" w:firstLine="0"/>
        <w:jc w:val="both"/>
        <w:rPr>
          <w:lang w:val="en-US"/>
        </w:rPr>
      </w:pPr>
      <w:r>
        <w:rPr>
          <w:rStyle w:val="FootnoteReference"/>
        </w:rPr>
        <w:footnoteRef/>
      </w:r>
      <w:r>
        <w:t xml:space="preserve"> </w:t>
      </w:r>
      <w:r>
        <w:rPr>
          <w:rFonts w:hint="cs"/>
          <w:rtl/>
        </w:rPr>
        <w:t xml:space="preserve">أنظر على سبيل المثال ما يتعلّق بغزة: </w:t>
      </w:r>
      <w:r w:rsidRPr="00CD021F">
        <w:t>A/HRC/34/36, para.36; A/HRC/24/30, para.22.</w:t>
      </w:r>
    </w:p>
  </w:footnote>
  <w:footnote w:id="1250">
    <w:p w14:paraId="5ED67101"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rsidRPr="00CD021F">
        <w:t>See bi-monthly OCHA Yemen Humanitarian Access Snapshots as published on www.reliefweb.int.</w:t>
      </w:r>
      <w:r>
        <w:t xml:space="preserve"> </w:t>
      </w:r>
    </w:p>
  </w:footnote>
  <w:footnote w:id="1251">
    <w:p w14:paraId="63BA2208" w14:textId="77777777" w:rsidR="00A1624A" w:rsidRPr="00A1624A" w:rsidRDefault="00A1624A" w:rsidP="00B81240">
      <w:pPr>
        <w:pStyle w:val="FootnoteText"/>
        <w:tabs>
          <w:tab w:val="clear" w:pos="1021"/>
        </w:tabs>
        <w:bidi/>
        <w:ind w:left="851" w:firstLine="0"/>
        <w:jc w:val="both"/>
        <w:rPr>
          <w:lang w:val="es-ES"/>
        </w:rPr>
      </w:pPr>
      <w:r>
        <w:rPr>
          <w:rStyle w:val="FootnoteReference"/>
        </w:rPr>
        <w:footnoteRef/>
      </w:r>
      <w:r w:rsidRPr="00A1624A">
        <w:rPr>
          <w:lang w:val="es-ES"/>
        </w:rPr>
        <w:t xml:space="preserve"> OCHA, Humanitarian Response Plan 2019, February 2019, https://reliefweb.int/sites/reliefweb.int/files/resources/2019_Yemen_HRP_V21.pdf</w:t>
      </w:r>
    </w:p>
  </w:footnote>
  <w:footnote w:id="1252">
    <w:p w14:paraId="4C2FF2D2" w14:textId="7D809B32"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على سبيل الثال، بين 21 و24 شباط/ فبراير 2019، </w:t>
      </w:r>
      <w:r w:rsidRPr="00C6066E">
        <w:rPr>
          <w:rStyle w:val="tlid-translation"/>
          <w:rFonts w:ascii="Traditional Arabic" w:hAnsi="Traditional Arabic" w:cs="Traditional Arabic"/>
          <w:sz w:val="22"/>
          <w:szCs w:val="22"/>
          <w:rtl/>
        </w:rPr>
        <w:t xml:space="preserve">تم منع 21 شاحنة متعاقد عليها من الأمم المتحدة تحمل معونة غذائية عند حاجز الضباب في تعز لأن التحالف طلب دليلًا على آلية عدم التضارب (على الرغم من حقيقة أن عدم التضارب هو نظام تطوعي). </w:t>
      </w:r>
      <w:r w:rsidRPr="00C6066E">
        <w:rPr>
          <w:rFonts w:ascii="Traditional Arabic" w:hAnsi="Traditional Arabic" w:cs="Traditional Arabic"/>
          <w:sz w:val="22"/>
          <w:szCs w:val="22"/>
        </w:rPr>
        <w:t xml:space="preserve"> </w:t>
      </w:r>
    </w:p>
  </w:footnote>
  <w:footnote w:id="1253">
    <w:p w14:paraId="66832E90" w14:textId="4A1869E6" w:rsidR="00A1624A" w:rsidRPr="00CD021F" w:rsidRDefault="00A1624A" w:rsidP="00B81240">
      <w:pPr>
        <w:pStyle w:val="FootnoteText"/>
        <w:tabs>
          <w:tab w:val="clear" w:pos="1021"/>
        </w:tabs>
        <w:bidi/>
        <w:ind w:left="851" w:firstLine="0"/>
        <w:jc w:val="both"/>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يوم 15 شباط/ فبراير، </w:t>
      </w:r>
      <w:r w:rsidRPr="00C6066E">
        <w:rPr>
          <w:rStyle w:val="tlid-translation"/>
          <w:rFonts w:ascii="Traditional Arabic" w:hAnsi="Traditional Arabic" w:cs="Traditional Arabic"/>
          <w:sz w:val="22"/>
          <w:szCs w:val="22"/>
          <w:rtl/>
        </w:rPr>
        <w:t>صادرت مصلحة الجمارك في إب شاحنات الأمم المتحدة التي تنقل الإمدادات الطبية القابلة للتلف من عدن إلى الحديدة</w:t>
      </w:r>
      <w:r w:rsidRPr="00C6066E">
        <w:rPr>
          <w:rStyle w:val="tlid-translation"/>
          <w:rFonts w:ascii="Traditional Arabic" w:hAnsi="Traditional Arabic" w:cs="Traditional Arabic"/>
          <w:sz w:val="22"/>
          <w:szCs w:val="22"/>
          <w:lang w:bidi="ar"/>
        </w:rPr>
        <w:t>.</w:t>
      </w:r>
    </w:p>
  </w:footnote>
  <w:footnote w:id="1254">
    <w:p w14:paraId="03F75DBD" w14:textId="77777777" w:rsidR="00A1624A" w:rsidRPr="00CD021F" w:rsidRDefault="00A1624A" w:rsidP="00B81240">
      <w:pPr>
        <w:pStyle w:val="FootnoteText"/>
        <w:tabs>
          <w:tab w:val="clear" w:pos="1021"/>
        </w:tabs>
        <w:bidi/>
        <w:ind w:left="851" w:firstLine="0"/>
        <w:jc w:val="both"/>
      </w:pPr>
      <w:r>
        <w:rPr>
          <w:rStyle w:val="FootnoteReference"/>
        </w:rPr>
        <w:footnoteRef/>
      </w:r>
      <w:r>
        <w:t xml:space="preserve"> </w:t>
      </w:r>
      <w:r w:rsidRPr="00CD021F">
        <w:t>Human Rights Watch, “Yemen: Events of 2018”, World Report 2019, available at https://www.hrw.org/world-report/2019/country-chapters/yemen.</w:t>
      </w:r>
    </w:p>
  </w:footnote>
  <w:footnote w:id="1255">
    <w:p w14:paraId="43D3DDE6" w14:textId="0CCBB263"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المرجع نفسه. </w:t>
      </w:r>
    </w:p>
  </w:footnote>
  <w:footnote w:id="1256">
    <w:p w14:paraId="268723FE" w14:textId="1353C562" w:rsidR="00A1624A" w:rsidRPr="005F7A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F7A88">
        <w:rPr>
          <w:rStyle w:val="FootnoteReference"/>
          <w:rFonts w:ascii="Traditional Arabic" w:hAnsi="Traditional Arabic" w:cs="Traditional Arabic"/>
          <w:sz w:val="22"/>
          <w:szCs w:val="22"/>
        </w:rPr>
        <w:footnoteRef/>
      </w:r>
      <w:r w:rsidRPr="005F7A88">
        <w:rPr>
          <w:rFonts w:ascii="Traditional Arabic" w:hAnsi="Traditional Arabic" w:cs="Traditional Arabic"/>
          <w:sz w:val="22"/>
          <w:szCs w:val="22"/>
        </w:rPr>
        <w:t xml:space="preserve"> </w:t>
      </w:r>
      <w:r w:rsidRPr="005F7A88">
        <w:rPr>
          <w:rFonts w:ascii="Traditional Arabic" w:hAnsi="Traditional Arabic" w:cs="Traditional Arabic"/>
          <w:sz w:val="22"/>
          <w:szCs w:val="22"/>
          <w:rtl/>
        </w:rPr>
        <w:t xml:space="preserve">أفادت المنظمات عن وقوع أكثر من 137 عملية منفصلة بين نيسان/ أبريل وأيار/ مايو 2019 </w:t>
      </w:r>
      <w:r w:rsidRPr="005F7A88">
        <w:rPr>
          <w:rStyle w:val="tlid-translation"/>
          <w:rFonts w:ascii="Traditional Arabic" w:hAnsi="Traditional Arabic" w:cs="Traditional Arabic"/>
          <w:sz w:val="22"/>
          <w:szCs w:val="22"/>
          <w:rtl/>
        </w:rPr>
        <w:t xml:space="preserve">بما في ذلك تدخل في تسجيل المستفيدين المحليين وفرض حظر على العيادات المتنقلة مما يعوق تقديم الخدمات الصحية لما لا يقل عن 47 ألف مريض في 87 مقاطعة في 18 محافظة. أنظر </w:t>
      </w:r>
    </w:p>
    <w:p w14:paraId="3314AEA0" w14:textId="77777777" w:rsidR="00A1624A" w:rsidRDefault="00A1624A" w:rsidP="00B81240">
      <w:pPr>
        <w:pStyle w:val="FootnoteText"/>
        <w:tabs>
          <w:tab w:val="clear" w:pos="1021"/>
        </w:tabs>
        <w:bidi/>
        <w:ind w:left="851" w:firstLine="0"/>
        <w:jc w:val="both"/>
        <w:rPr>
          <w:rtl/>
        </w:rPr>
      </w:pPr>
      <w:r w:rsidRPr="00CD021F">
        <w:t>OCHA, Humanitarian Access Snapshot, April-May 2019</w:t>
      </w:r>
    </w:p>
    <w:p w14:paraId="31F489E9" w14:textId="60F1B0B3" w:rsidR="00A1624A" w:rsidRPr="00CD021F" w:rsidRDefault="00A1624A" w:rsidP="00B81240">
      <w:pPr>
        <w:pStyle w:val="FootnoteText"/>
        <w:tabs>
          <w:tab w:val="clear" w:pos="1021"/>
        </w:tabs>
        <w:bidi/>
        <w:ind w:left="851" w:firstLine="0"/>
        <w:jc w:val="both"/>
        <w:rPr>
          <w:lang w:val="en-US"/>
        </w:rPr>
      </w:pPr>
      <w:r w:rsidRPr="00CD021F">
        <w:t>(https://reliefweb.int/sites/reliefweb.int/files/resources/Yemen%20Humanitarian%20Access%20Snapshot_April%20May%202019.pdf).</w:t>
      </w:r>
    </w:p>
  </w:footnote>
  <w:footnote w:id="1257">
    <w:p w14:paraId="577644B8"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https://www1.wfp.org/news/world-food-programme-consider-suspension-aid-houthi-controlled-areas-yemen.</w:t>
      </w:r>
    </w:p>
  </w:footnote>
  <w:footnote w:id="1258">
    <w:p w14:paraId="6F37283F"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https://insight.wfp.org/world-food-programme-wfp-executive-director-addresses-un-security-council-on-yemen-88ba18622ea.</w:t>
      </w:r>
    </w:p>
  </w:footnote>
  <w:footnote w:id="1259">
    <w:p w14:paraId="13E5335C"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https://www1.wfp.org/news/world-food-programme-begins-partial-suspension-aid-yemen</w:t>
      </w:r>
    </w:p>
  </w:footnote>
  <w:footnote w:id="1260">
    <w:p w14:paraId="434AB952"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https://www1.wfp.org/news/wfp-gains-access-vital-wheat-stocks-needed-yemens-hungry-people</w:t>
      </w:r>
    </w:p>
  </w:footnote>
  <w:footnote w:id="1261">
    <w:p w14:paraId="24B4563B" w14:textId="5C43FA27" w:rsidR="00A1624A" w:rsidRPr="00C6066E"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C6066E">
        <w:rPr>
          <w:rStyle w:val="FootnoteReference"/>
          <w:rFonts w:ascii="Traditional Arabic" w:hAnsi="Traditional Arabic" w:cs="Traditional Arabic"/>
          <w:sz w:val="22"/>
          <w:szCs w:val="22"/>
        </w:rPr>
        <w:footnoteRef/>
      </w:r>
      <w:r w:rsidRPr="00C6066E">
        <w:rPr>
          <w:rFonts w:ascii="Traditional Arabic" w:hAnsi="Traditional Arabic" w:cs="Traditional Arabic"/>
          <w:sz w:val="22"/>
          <w:szCs w:val="22"/>
        </w:rPr>
        <w:t xml:space="preserve"> </w:t>
      </w:r>
      <w:r w:rsidRPr="00C6066E">
        <w:rPr>
          <w:rFonts w:ascii="Traditional Arabic" w:hAnsi="Traditional Arabic" w:cs="Traditional Arabic"/>
          <w:sz w:val="22"/>
          <w:szCs w:val="22"/>
          <w:rtl/>
        </w:rPr>
        <w:t xml:space="preserve">في حين أن </w:t>
      </w:r>
      <w:r w:rsidRPr="00C6066E">
        <w:rPr>
          <w:rStyle w:val="tlid-translation"/>
          <w:rFonts w:ascii="Traditional Arabic" w:hAnsi="Traditional Arabic" w:cs="Traditional Arabic"/>
          <w:sz w:val="22"/>
          <w:szCs w:val="22"/>
          <w:rtl/>
        </w:rPr>
        <w:t>الحكومة اليمنية وافقت على وصول الأمم المتحدة إلى المطاحن، رفض الحوثيون هذا الوصول اعتبارًا من كانون الأول/ يناير 2019. وبحسب ما ورد، فقد زعم الحوثيون مخاوف أمنية: اشتبهوا في أن حادثة قد تحدث للأمم المتحدة بمجرد وصولها إلى الموقع أو خلال عبور خط المواجهة، وقد يتم إلقاء اللوم عليهم. طلب الحوثيون من أجل توفير الوصول أن يرافق فريق التحقيق فريق برنامج الأغذية العالمي حتى يتحقق، على الفور، من أي حادث أمني قد يطرؤ</w:t>
      </w:r>
      <w:r w:rsidRPr="00C6066E">
        <w:rPr>
          <w:rStyle w:val="tlid-translation"/>
          <w:rFonts w:ascii="Traditional Arabic" w:hAnsi="Traditional Arabic" w:cs="Traditional Arabic"/>
          <w:sz w:val="22"/>
          <w:szCs w:val="22"/>
          <w:lang w:bidi="ar"/>
        </w:rPr>
        <w:t>.</w:t>
      </w:r>
    </w:p>
  </w:footnote>
  <w:footnote w:id="1262">
    <w:p w14:paraId="355CEE4D"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https://reliefweb.int/report/yemen/world-food-programme-accesses-yemeni-frontline-district-first-time-conflict-began.</w:t>
      </w:r>
    </w:p>
  </w:footnote>
  <w:footnote w:id="1263">
    <w:p w14:paraId="324C9274" w14:textId="77777777" w:rsidR="00A1624A" w:rsidRPr="00CD021F"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CD021F">
        <w:t>https://aidworkersecurity.org/incidents/search?start=2014&amp;detail=1&amp;country=YE.</w:t>
      </w:r>
    </w:p>
  </w:footnote>
  <w:footnote w:id="1264">
    <w:p w14:paraId="78B058E9" w14:textId="0FA7C08E"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القواعد 31 و32. </w:t>
      </w:r>
    </w:p>
  </w:footnote>
  <w:footnote w:id="1265">
    <w:p w14:paraId="204FD476" w14:textId="378C5D4A"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القاعدة31.</w:t>
      </w:r>
      <w:r w:rsidRPr="006D6469">
        <w:rPr>
          <w:rFonts w:ascii="Traditional Arabic" w:hAnsi="Traditional Arabic" w:cs="Traditional Arabic"/>
          <w:sz w:val="22"/>
          <w:szCs w:val="22"/>
        </w:rPr>
        <w:t xml:space="preserve"> </w:t>
      </w:r>
    </w:p>
  </w:footnote>
  <w:footnote w:id="1266">
    <w:p w14:paraId="31968969" w14:textId="5FC9613F"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8 2. (e)(iii)</w:t>
      </w:r>
      <w:r w:rsidRPr="006D6469">
        <w:rPr>
          <w:rFonts w:ascii="Traditional Arabic" w:hAnsi="Traditional Arabic" w:cs="Traditional Arabic"/>
          <w:sz w:val="22"/>
          <w:szCs w:val="22"/>
          <w:rtl/>
        </w:rPr>
        <w:t xml:space="preserve"> نظام روما الأساسي</w:t>
      </w:r>
    </w:p>
  </w:footnote>
  <w:footnote w:id="1267">
    <w:p w14:paraId="536AE37A" w14:textId="5857911A"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18(2)</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 xml:space="preserve">البروتوكول الإضافي الثاني، أنظر أيضًا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1268">
    <w:p w14:paraId="12C6AD5B" w14:textId="0F5F66F7"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lang w:bidi="ar-JO"/>
        </w:rPr>
        <w:t xml:space="preserve">المادة </w:t>
      </w:r>
      <w:r w:rsidRPr="006D6469">
        <w:rPr>
          <w:rFonts w:ascii="Traditional Arabic" w:hAnsi="Traditional Arabic" w:cs="Traditional Arabic"/>
          <w:sz w:val="22"/>
          <w:szCs w:val="22"/>
        </w:rPr>
        <w:t>18(2)</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 xml:space="preserve">البروتوكول الإضافي الثاني، أنظر أيضًا </w:t>
      </w:r>
      <w:r w:rsidRPr="006D6469">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 55.</w:t>
      </w:r>
    </w:p>
  </w:footnote>
  <w:footnote w:id="1269">
    <w:p w14:paraId="4C738BAA" w14:textId="702048A9" w:rsidR="00A1624A" w:rsidRPr="006D6469" w:rsidRDefault="00A1624A" w:rsidP="00B81240">
      <w:pPr>
        <w:pStyle w:val="FootnoteText"/>
        <w:tabs>
          <w:tab w:val="clear" w:pos="1021"/>
        </w:tabs>
        <w:bidi/>
        <w:ind w:left="851" w:firstLine="0"/>
        <w:jc w:val="both"/>
        <w:rPr>
          <w:rFonts w:ascii="Traditional Arabic" w:hAnsi="Traditional Arabic" w:cs="Traditional Arabic"/>
          <w:sz w:val="22"/>
          <w:szCs w:val="22"/>
          <w:rtl/>
          <w:lang w:bidi="ar-JO"/>
        </w:rPr>
      </w:pPr>
      <w:r w:rsidRPr="006D6469">
        <w:rPr>
          <w:rStyle w:val="FootnoteReference"/>
          <w:rFonts w:ascii="Traditional Arabic" w:hAnsi="Traditional Arabic" w:cs="Traditional Arabic"/>
          <w:sz w:val="22"/>
          <w:szCs w:val="22"/>
        </w:rPr>
        <w:footnoteRef/>
      </w:r>
      <w:r w:rsidRPr="006D6469">
        <w:rPr>
          <w:rFonts w:ascii="Traditional Arabic" w:hAnsi="Traditional Arabic" w:cs="Traditional Arabic"/>
          <w:sz w:val="22"/>
          <w:szCs w:val="22"/>
        </w:rPr>
        <w:t xml:space="preserve"> </w:t>
      </w:r>
      <w:r w:rsidRPr="006D6469">
        <w:rPr>
          <w:rFonts w:ascii="Traditional Arabic" w:hAnsi="Traditional Arabic" w:cs="Traditional Arabic"/>
          <w:sz w:val="22"/>
          <w:szCs w:val="22"/>
          <w:rtl/>
        </w:rPr>
        <w:t xml:space="preserve">أنظر </w:t>
      </w:r>
      <w:r w:rsidRPr="006D6469">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55. أنظر أيضًا المادة </w:t>
      </w:r>
      <w:r w:rsidRPr="006D6469">
        <w:rPr>
          <w:rFonts w:ascii="Traditional Arabic" w:hAnsi="Traditional Arabic" w:cs="Traditional Arabic"/>
          <w:sz w:val="22"/>
          <w:szCs w:val="22"/>
        </w:rPr>
        <w:t>71(3)</w:t>
      </w:r>
      <w:r w:rsidRPr="006D6469">
        <w:rPr>
          <w:rFonts w:ascii="Traditional Arabic" w:hAnsi="Traditional Arabic" w:cs="Traditional Arabic"/>
          <w:sz w:val="22"/>
          <w:szCs w:val="22"/>
          <w:rtl/>
        </w:rPr>
        <w:t xml:space="preserve"> من </w:t>
      </w:r>
      <w:r w:rsidRPr="006D6469">
        <w:rPr>
          <w:rFonts w:ascii="Traditional Arabic" w:hAnsi="Traditional Arabic" w:cs="Traditional Arabic"/>
          <w:sz w:val="22"/>
          <w:szCs w:val="22"/>
          <w:rtl/>
          <w:lang w:bidi="ar-JO"/>
        </w:rPr>
        <w:t>البروتوكول الإضافي الأول.</w:t>
      </w:r>
    </w:p>
    <w:p w14:paraId="0CD5A2CE" w14:textId="77777777" w:rsidR="00A1624A" w:rsidRDefault="00A1624A" w:rsidP="00B81240">
      <w:pPr>
        <w:pStyle w:val="FootnoteText"/>
        <w:tabs>
          <w:tab w:val="clear" w:pos="1021"/>
        </w:tabs>
        <w:bidi/>
        <w:ind w:left="851" w:firstLine="0"/>
        <w:jc w:val="both"/>
        <w:rPr>
          <w:rtl/>
        </w:rPr>
      </w:pPr>
      <w:r w:rsidRPr="00CD021F">
        <w:t xml:space="preserve">See Oxford Guidance on the Law Relating to Humanitarian Relief Operations in Situations of Armed Conflict, Commissioned by OCHA, October 2016 </w:t>
      </w:r>
    </w:p>
    <w:p w14:paraId="6AF52604" w14:textId="74160BF5" w:rsidR="00A1624A" w:rsidRPr="00CD021F" w:rsidRDefault="00A1624A" w:rsidP="00B81240">
      <w:pPr>
        <w:pStyle w:val="FootnoteText"/>
        <w:tabs>
          <w:tab w:val="clear" w:pos="1021"/>
        </w:tabs>
        <w:bidi/>
        <w:ind w:left="851" w:firstLine="0"/>
        <w:jc w:val="both"/>
        <w:rPr>
          <w:lang w:val="en-US"/>
        </w:rPr>
      </w:pPr>
      <w:r w:rsidRPr="00CD021F">
        <w:t>(https://www.unocha.org/sites/unocha/files/Oxford%20Guidance%20pdf.pdf).</w:t>
      </w:r>
    </w:p>
  </w:footnote>
  <w:footnote w:id="1270">
    <w:p w14:paraId="22DB427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International Monetary Fund, World Economic Outlook Database, at 1 (2014), available at https://www.imf.org/external/pubs/ft/weo/2014/01/weodata/index.aspx.</w:t>
      </w:r>
    </w:p>
  </w:footnote>
  <w:footnote w:id="1271">
    <w:p w14:paraId="509282F6"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Yemen Human Development Indicators, UNDP, available at: http://www.hdr.undp.org/en/countries/profiles/YEM.</w:t>
      </w:r>
    </w:p>
  </w:footnote>
  <w:footnote w:id="1272">
    <w:p w14:paraId="1FB6F122"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Security Council Report, “In Hindsight: The Story of the United Nations Verification and Inspection Mechanism in Yemen”, September 2016 (https://www.securitycouncilreport.org/monthly-forecast/2016-09/the_story_of_the_un_verification_and_inspection_mechanism_in_yemen.php?print=true).</w:t>
      </w:r>
    </w:p>
  </w:footnote>
  <w:footnote w:id="1273">
    <w:p w14:paraId="484D700E"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Oxfam, Missiles and Food: Yemen’s Manmade Crisis (June 7, 2019) available at https://reliefweb.int/sites/reliefweb.int/files/resources/bn-missiles-food-security-yemen-201217-en.pdf.</w:t>
      </w:r>
    </w:p>
  </w:footnote>
  <w:footnote w:id="1274">
    <w:p w14:paraId="2138075A" w14:textId="77777777"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lang w:val="en-US"/>
        </w:rPr>
      </w:pPr>
      <w:r>
        <w:rPr>
          <w:rStyle w:val="FootnoteReference"/>
        </w:rPr>
        <w:footnoteRef/>
      </w:r>
      <w:r>
        <w:t xml:space="preserve"> </w:t>
      </w:r>
      <w:r w:rsidRPr="00983905">
        <w:t>Yemen’s Economic Update – April 2019, The World Bank (Apr. 1, 2019), https://www.worldbank.org/en/country/yemen/publication/economic-update-april-2019</w:t>
      </w:r>
    </w:p>
  </w:footnote>
  <w:footnote w:id="1275">
    <w:p w14:paraId="71DB0A1F" w14:textId="43775729"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D7788">
        <w:rPr>
          <w:rStyle w:val="FootnoteReference"/>
          <w:rFonts w:ascii="Traditional Arabic" w:hAnsi="Traditional Arabic" w:cs="Traditional Arabic"/>
          <w:sz w:val="22"/>
          <w:szCs w:val="22"/>
        </w:rPr>
        <w:footnoteRef/>
      </w:r>
      <w:r w:rsidRPr="005D7788">
        <w:rPr>
          <w:rFonts w:ascii="Traditional Arabic" w:hAnsi="Traditional Arabic" w:cs="Traditional Arabic"/>
          <w:sz w:val="22"/>
          <w:szCs w:val="22"/>
        </w:rPr>
        <w:t xml:space="preserve"> </w:t>
      </w:r>
      <w:r w:rsidRPr="005D7788">
        <w:rPr>
          <w:rStyle w:val="tlid-translation"/>
          <w:rFonts w:ascii="Traditional Arabic" w:hAnsi="Traditional Arabic" w:cs="Traditional Arabic"/>
          <w:sz w:val="22"/>
          <w:szCs w:val="22"/>
          <w:rtl/>
        </w:rPr>
        <w:t>وفقًا لبرنامج الأغذية العالمي، بحلول شباط/ فبراير 2019، انخفضت قيمة الريال اليمني بنسبة 165 بالمئة مقارنةً بالدولار الأمريكي في فترة ما قبل الصراع.</w:t>
      </w:r>
      <w:r w:rsidRPr="005D7788">
        <w:rPr>
          <w:rStyle w:val="tlid-translation"/>
          <w:rFonts w:ascii="Traditional Arabic" w:hAnsi="Traditional Arabic" w:cs="Traditional Arabic"/>
          <w:sz w:val="22"/>
          <w:szCs w:val="22"/>
          <w:lang w:bidi="ar"/>
        </w:rPr>
        <w:t xml:space="preserve"> </w:t>
      </w:r>
      <w:r w:rsidRPr="005D7788">
        <w:rPr>
          <w:rStyle w:val="tlid-translation"/>
          <w:rFonts w:ascii="Traditional Arabic" w:hAnsi="Traditional Arabic" w:cs="Traditional Arabic"/>
          <w:sz w:val="22"/>
          <w:szCs w:val="22"/>
          <w:rtl/>
        </w:rPr>
        <w:t>انظر تقرير مراقبة السوق في اليمن، برنامج الأغذية العالمي، العدد 33، 1 شباط/ فبراير 2019</w:t>
      </w:r>
    </w:p>
    <w:p w14:paraId="7D7EBAF1" w14:textId="18BBDECA" w:rsidR="00A1624A" w:rsidRPr="00983905" w:rsidRDefault="00A1624A" w:rsidP="00B81240">
      <w:pPr>
        <w:pStyle w:val="FootnoteText"/>
        <w:tabs>
          <w:tab w:val="clear" w:pos="1021"/>
        </w:tabs>
        <w:bidi/>
        <w:ind w:left="851" w:firstLine="0"/>
        <w:jc w:val="both"/>
        <w:rPr>
          <w:lang w:val="en-US"/>
        </w:rPr>
      </w:pPr>
      <w:r w:rsidRPr="00983905">
        <w:t>https://docs.wfp.org/api/documents/WFP-0000103864/download/.</w:t>
      </w:r>
    </w:p>
  </w:footnote>
  <w:footnote w:id="1276">
    <w:p w14:paraId="01D6B90C"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Peter Salisbury, “Bickering While Yemen Burns: Poverty, War, and Political Indifference”, The Arab Gulf States Institute In Washington, June 22, 2017, p. 1.</w:t>
      </w:r>
    </w:p>
  </w:footnote>
  <w:footnote w:id="1277">
    <w:p w14:paraId="19E93DB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Quoted in Yemen – Complex Emergency Fact Sheet #4, FY 2019 (Feb. 8, 2019), https://www.usaid.gov/sites/default/files/documents/1866/yemen_ce_fs04_02-08-2019.pdf</w:t>
      </w:r>
    </w:p>
  </w:footnote>
  <w:footnote w:id="1278">
    <w:p w14:paraId="23F23DD3"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Declan Walsh &amp; Tyler Hicks, The Tragedy of Saudi Arabia’s War, N.Y. Times (Oct. 29, 2018), https://www.nytimes.com/interactive/2018/10/26/world/middleeast/saudi-arabia-war-yemen</w:t>
      </w:r>
    </w:p>
  </w:footnote>
  <w:footnote w:id="1279">
    <w:p w14:paraId="1F3A8A0B"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Security Council Report, “In Hindsight: The Story of the United Nations Verification and Inspection Mechanism in Yemen”, September 2016 (https://www.securitycouncilreport.org/monthly-forecast/2016-09/the_story_of_the_un_verification_and_inspection_mechanism_in_yemen.php?print=true</w:t>
      </w:r>
    </w:p>
  </w:footnote>
  <w:footnote w:id="1280">
    <w:p w14:paraId="5676E955"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Economist Intelligence Unit, Country Report Yemen (Feb. 19, 2019) quoted in Jeremy M. Sharp, Yemen: Civil War and Regional Intervention, Congressional Research Service (Mar. 21, 2019), https://fas.org/sgp/crs/mideast/R43960.pdf at 13.</w:t>
      </w:r>
    </w:p>
  </w:footnote>
  <w:footnote w:id="1281">
    <w:p w14:paraId="2AE23EB7"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See, for example, https://shilfa.com/saudi/exchange-rates-in-yemen-now-the-price-of-the-dollar-and-the-saudi-rial-on-wednesday-29-5-2019/</w:t>
      </w:r>
    </w:p>
  </w:footnote>
  <w:footnote w:id="1282">
    <w:p w14:paraId="448CCE5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Mansour Rageh, Amal Nasser, and Farea Al-Muslimi, “Yemen Without a Functioning Central Bank: The Loss of Basic Economic Stabilization and Accelerating Famine”, Sana’a Centre for Strategic Strategies (Nov. 2, 2016), http://sanaacenter.org/publications/main-publications/55.</w:t>
      </w:r>
    </w:p>
  </w:footnote>
  <w:footnote w:id="1283">
    <w:p w14:paraId="68D4D3F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983905">
        <w:t>Sherine El Taraboulsi-McCarthy and Camilla Cimatti, “Counter-terrorism, de-risking and the humanitarian response in Yemen: a call for action”, Humanitarian Policy Group (2018) at 10.</w:t>
      </w:r>
    </w:p>
  </w:footnote>
  <w:footnote w:id="1284">
    <w:p w14:paraId="31369318" w14:textId="0C2B43E4" w:rsidR="00A1624A" w:rsidRPr="005D7788"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5D7788">
        <w:rPr>
          <w:rStyle w:val="FootnoteReference"/>
          <w:rFonts w:ascii="Traditional Arabic" w:hAnsi="Traditional Arabic" w:cs="Traditional Arabic"/>
          <w:sz w:val="22"/>
          <w:szCs w:val="22"/>
        </w:rPr>
        <w:footnoteRef/>
      </w:r>
      <w:r w:rsidRPr="005D7788">
        <w:rPr>
          <w:rFonts w:ascii="Traditional Arabic" w:hAnsi="Traditional Arabic" w:cs="Traditional Arabic"/>
          <w:sz w:val="22"/>
          <w:szCs w:val="22"/>
        </w:rPr>
        <w:t xml:space="preserve"> </w:t>
      </w:r>
      <w:r w:rsidRPr="005D7788">
        <w:rPr>
          <w:rStyle w:val="tlid-translation"/>
          <w:rFonts w:ascii="Traditional Arabic" w:hAnsi="Traditional Arabic" w:cs="Traditional Arabic"/>
          <w:sz w:val="22"/>
          <w:szCs w:val="22"/>
          <w:rtl/>
        </w:rPr>
        <w:t>على الرغم من أن اليمن كان من بين الدول الحائزة على أقل درجات في مؤشر منظمة الشفافية الدولية</w:t>
      </w:r>
      <w:r w:rsidRPr="005D7788">
        <w:rPr>
          <w:rStyle w:val="tlid-translation"/>
          <w:rFonts w:ascii="Traditional Arabic" w:hAnsi="Traditional Arabic" w:cs="Traditional Arabic"/>
          <w:sz w:val="22"/>
          <w:szCs w:val="22"/>
          <w:lang w:bidi="ar"/>
        </w:rPr>
        <w:t xml:space="preserve"> </w:t>
      </w:r>
      <w:r w:rsidRPr="005D7788">
        <w:rPr>
          <w:rStyle w:val="tlid-translation"/>
          <w:rFonts w:ascii="Traditional Arabic" w:hAnsi="Traditional Arabic" w:cs="Traditional Arabic"/>
          <w:sz w:val="22"/>
          <w:szCs w:val="22"/>
          <w:rtl/>
        </w:rPr>
        <w:t xml:space="preserve"> الخاص بإدراك الفساد </w:t>
      </w:r>
      <w:r w:rsidRPr="005D7788">
        <w:rPr>
          <w:rStyle w:val="tlid-translation"/>
          <w:rFonts w:ascii="Traditional Arabic" w:hAnsi="Traditional Arabic" w:cs="Traditional Arabic"/>
          <w:sz w:val="22"/>
          <w:szCs w:val="22"/>
          <w:lang w:bidi="ar"/>
        </w:rPr>
        <w:t xml:space="preserve">(CPI) </w:t>
      </w:r>
      <w:r w:rsidRPr="005D7788">
        <w:rPr>
          <w:rStyle w:val="tlid-translation"/>
          <w:rFonts w:ascii="Traditional Arabic" w:hAnsi="Traditional Arabic" w:cs="Traditional Arabic"/>
          <w:sz w:val="22"/>
          <w:szCs w:val="22"/>
          <w:rtl/>
          <w:lang w:bidi="ar"/>
        </w:rPr>
        <w:t xml:space="preserve"> </w:t>
      </w:r>
      <w:r w:rsidRPr="005D7788">
        <w:rPr>
          <w:rStyle w:val="tlid-translation"/>
          <w:rFonts w:ascii="Traditional Arabic" w:hAnsi="Traditional Arabic" w:cs="Traditional Arabic"/>
          <w:sz w:val="22"/>
          <w:szCs w:val="22"/>
          <w:rtl/>
        </w:rPr>
        <w:t>قبل النزاع الحالي، إلا أن ترتيبه انخفض أكثر منذ العام 2014 ويحتل اليمن حاليًا المرتبة 176 من بين 180 دولة</w:t>
      </w:r>
      <w:r w:rsidRPr="005D7788">
        <w:rPr>
          <w:rStyle w:val="tlid-translation"/>
          <w:rFonts w:ascii="Traditional Arabic" w:hAnsi="Traditional Arabic" w:cs="Traditional Arabic"/>
          <w:sz w:val="22"/>
          <w:szCs w:val="22"/>
          <w:rtl/>
          <w:lang w:bidi="ar"/>
        </w:rPr>
        <w:t xml:space="preserve">. </w:t>
      </w:r>
    </w:p>
    <w:p w14:paraId="5033BF59" w14:textId="77777777" w:rsidR="00A1624A" w:rsidRDefault="00A1624A" w:rsidP="00B81240">
      <w:pPr>
        <w:pStyle w:val="FootnoteText"/>
        <w:tabs>
          <w:tab w:val="clear" w:pos="1021"/>
        </w:tabs>
        <w:bidi/>
        <w:ind w:left="851" w:firstLine="0"/>
        <w:jc w:val="both"/>
        <w:rPr>
          <w:rtl/>
        </w:rPr>
      </w:pPr>
      <w:r w:rsidRPr="00983905">
        <w:t xml:space="preserve">Corruption Perceptions Index 2018”, Transparency International (2018): </w:t>
      </w:r>
    </w:p>
    <w:p w14:paraId="47D4AE4E" w14:textId="68BDB0C7" w:rsidR="00A1624A" w:rsidRPr="00983905" w:rsidRDefault="00A1624A" w:rsidP="00B81240">
      <w:pPr>
        <w:pStyle w:val="FootnoteText"/>
        <w:tabs>
          <w:tab w:val="clear" w:pos="1021"/>
        </w:tabs>
        <w:bidi/>
        <w:ind w:left="851" w:firstLine="0"/>
        <w:jc w:val="both"/>
        <w:rPr>
          <w:lang w:val="en-US"/>
        </w:rPr>
      </w:pPr>
      <w:r w:rsidRPr="00983905">
        <w:t>https://www.transparency.org/cpi2018#results.); see also, for example, as regards corruption networks: http://sanaacenter.org/publications/the-yemen-review/6732; http://sanaacenter.org/files/Rethinking_Yemens_Economy_policy_brief_9.pdf.</w:t>
      </w:r>
    </w:p>
  </w:footnote>
  <w:footnote w:id="1285">
    <w:p w14:paraId="452FBEAD"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Sherine El Taraboulsi-McCarthy and Camilla Cimatti, “Counter-terrorism, de-risking and the humanitarian response in Yemen: a call for action”, Humanitarian Policy Group, 2018.</w:t>
      </w:r>
    </w:p>
  </w:footnote>
  <w:footnote w:id="1286">
    <w:p w14:paraId="3D927234" w14:textId="77777777" w:rsidR="00A1624A" w:rsidRPr="00983905" w:rsidRDefault="00A1624A" w:rsidP="00B81240">
      <w:pPr>
        <w:pStyle w:val="FootnoteText"/>
        <w:tabs>
          <w:tab w:val="clear" w:pos="1021"/>
        </w:tabs>
        <w:bidi/>
        <w:ind w:left="851" w:firstLine="0"/>
        <w:jc w:val="both"/>
      </w:pPr>
      <w:r>
        <w:rPr>
          <w:rStyle w:val="FootnoteReference"/>
        </w:rPr>
        <w:footnoteRef/>
      </w:r>
      <w:r>
        <w:t xml:space="preserve"> </w:t>
      </w:r>
      <w:r w:rsidRPr="00983905">
        <w:t>President Hadi stated, “We might fail to pay the salaries of people working in public service.” 71st Session of the General Assembly (Sept. 23, 2016), https://gadebate.un.org/en/71/yemen.</w:t>
      </w:r>
    </w:p>
  </w:footnote>
  <w:footnote w:id="1287">
    <w:p w14:paraId="36341673" w14:textId="77777777" w:rsidR="00A1624A" w:rsidRPr="00BD0B53" w:rsidRDefault="00A1624A" w:rsidP="00B81240">
      <w:pPr>
        <w:pStyle w:val="FootnoteText"/>
        <w:tabs>
          <w:tab w:val="clear" w:pos="1021"/>
        </w:tabs>
        <w:bidi/>
        <w:ind w:left="851" w:firstLine="0"/>
        <w:jc w:val="both"/>
      </w:pPr>
      <w:r>
        <w:rPr>
          <w:rStyle w:val="FootnoteReference"/>
        </w:rPr>
        <w:footnoteRef/>
      </w:r>
      <w:r>
        <w:t xml:space="preserve"> </w:t>
      </w:r>
      <w:r w:rsidRPr="00BD0B53">
        <w:t>Spencer Osberg and Hannah Patchett, “An Unending Fast: What the Failure of the Amman Meeting Means for Yemen”, Sana’a Centre for Strategic Strategies (May 20, 2019), http://sanaacenter.org/publications/analysis/7433.</w:t>
      </w:r>
    </w:p>
  </w:footnote>
  <w:footnote w:id="1288">
    <w:p w14:paraId="074E004A"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Federation of Yemen Chambers of Commerce and Industry: Non-Payment of Salaries Most Important Reason for Humanitarian Crisis in Yemen”, Almasirah Media Network (May 5, 2019),   https://english.almasirah.net/details.php?es_id=6930&amp;cat_id=1.</w:t>
      </w:r>
    </w:p>
  </w:footnote>
  <w:footnote w:id="1289">
    <w:p w14:paraId="566DC76F"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International Crisis Group, “Central Bank Crisis Risks Famine in Yemen”, 29 September 2016 (https://www.crisisgroup.org/middle-east-north-africa/gulf-and-arabian-peninsula/yemen/central-bank-crisis-risks-famine-yemen)</w:t>
      </w:r>
    </w:p>
  </w:footnote>
  <w:footnote w:id="1290">
    <w:p w14:paraId="50E5EFAB"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 xml:space="preserve">Peter Salisbury, “Bickering While Yemen Burns: Poverty, War, and Political Indifference,” The Arab Gulf States Institute in Washington, June 22, 2017, at 10. https://agsiw.org/wpcontent/uploads/2017/06/Salisbury_Yemen_ONLINE.pdf.  </w:t>
      </w:r>
    </w:p>
  </w:footnote>
  <w:footnote w:id="1291">
    <w:p w14:paraId="20284312"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Sherine El Taraboulsi-McCarthy and Camilla Cimatti, “Counter-terrorism, de-risking and the humanitarian response in Yemen: a call for action”, Humanitarian Policy Group, 2018, at 7-8.</w:t>
      </w:r>
    </w:p>
  </w:footnote>
  <w:footnote w:id="1292">
    <w:p w14:paraId="5B9C5E28"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Waleed Alhariri, Holly Topham, Hussam Radman, Ghaidaa Alrashidy, Anthony Biswell, Sala Khaled, Aisha al-Warraq, Ali Abdullah, Victoria K. Sauer, Hamza al-Hamadi, Taima al-Iriani and Spencer Osberg, “The Yemen Review – October 2018”, (Nov. 10, 2018) http://sanaacenter.org/publications/the-yemen-review/6620 In the October 23, 2018.</w:t>
      </w:r>
    </w:p>
  </w:footnote>
  <w:footnote w:id="1293">
    <w:p w14:paraId="18D5165A"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https://reliefweb.int/sites/reliefweb.int/files/resources/190219_Yemen_USG%20SECCO%20statement-Final.pdf.</w:t>
      </w:r>
    </w:p>
  </w:footnote>
  <w:footnote w:id="1294">
    <w:p w14:paraId="41C72ACD"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rPr>
          <w:rFonts w:hint="cs"/>
          <w:rtl/>
        </w:rPr>
        <w:t xml:space="preserve"> </w:t>
      </w:r>
      <w:r w:rsidRPr="00BD0B53">
        <w:t>https://reliefweb.int/sites/reliefweb.int/files/resources/190219_Yemen_USG%20SECCO%20statement-Final.pdf; see also https://reliefweb.int/sites/reliefweb.int/files/resources/181116_Yemen_USG%20SECCO%20statement-Final.pdf.</w:t>
      </w:r>
    </w:p>
  </w:footnote>
  <w:footnote w:id="1295">
    <w:p w14:paraId="6081F5DF" w14:textId="77777777" w:rsidR="00A1624A" w:rsidRPr="00983905" w:rsidRDefault="00A1624A" w:rsidP="00B81240">
      <w:pPr>
        <w:pStyle w:val="FootnoteText"/>
        <w:tabs>
          <w:tab w:val="clear" w:pos="1021"/>
        </w:tabs>
        <w:bidi/>
        <w:ind w:left="851" w:firstLine="0"/>
        <w:jc w:val="both"/>
        <w:rPr>
          <w:lang w:val="en-US"/>
        </w:rPr>
      </w:pPr>
      <w:r>
        <w:rPr>
          <w:rStyle w:val="FootnoteReference"/>
        </w:rPr>
        <w:footnoteRef/>
      </w:r>
      <w:r>
        <w:t xml:space="preserve"> </w:t>
      </w:r>
      <w:r w:rsidRPr="00BD0B53">
        <w:t>Peter Salisbury, “Bickering While Yemen Burns: Poverty, War, and Political Indifference”, The Arab Gulf States Institute in Washington, June 22, 2017, p. 1.</w:t>
      </w:r>
    </w:p>
  </w:footnote>
  <w:footnote w:id="1296">
    <w:p w14:paraId="0E42EC9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Pr>
          <w:rStyle w:val="FootnoteReference"/>
        </w:rPr>
        <w:footnoteRef/>
      </w:r>
      <w:r>
        <w:t xml:space="preserve"> </w:t>
      </w:r>
      <w:r w:rsidRPr="002D78C7">
        <w:rPr>
          <w:rFonts w:asciiTheme="majorBidi" w:hAnsiTheme="majorBidi" w:cstheme="majorBidi"/>
          <w:szCs w:val="18"/>
        </w:rPr>
        <w:t>General Comment 23 (2016) on the right to just and favourable conditions of work, para. 19-24.</w:t>
      </w:r>
    </w:p>
    <w:p w14:paraId="387ADD3B" w14:textId="77777777" w:rsidR="00A1624A" w:rsidRPr="00B821AA" w:rsidRDefault="00A1624A" w:rsidP="00B81240">
      <w:pPr>
        <w:pStyle w:val="FootnoteText"/>
        <w:tabs>
          <w:tab w:val="clear" w:pos="1021"/>
        </w:tabs>
        <w:bidi/>
        <w:ind w:left="851" w:firstLine="0"/>
        <w:jc w:val="both"/>
        <w:rPr>
          <w:lang w:val="en-US"/>
        </w:rPr>
      </w:pPr>
    </w:p>
  </w:footnote>
  <w:footnote w:id="1297">
    <w:p w14:paraId="65B0C134" w14:textId="154332C9" w:rsidR="00A1624A" w:rsidRPr="00A1624A" w:rsidRDefault="00A1624A" w:rsidP="00B81240">
      <w:pPr>
        <w:pStyle w:val="FootnoteText"/>
        <w:tabs>
          <w:tab w:val="clear" w:pos="1021"/>
        </w:tabs>
        <w:bidi/>
        <w:ind w:left="851" w:firstLine="0"/>
        <w:jc w:val="both"/>
        <w:rPr>
          <w:lang w:val="es-ES"/>
        </w:rPr>
      </w:pPr>
      <w:r>
        <w:rPr>
          <w:rStyle w:val="FootnoteReference"/>
        </w:rPr>
        <w:footnoteRef/>
      </w:r>
      <w:r>
        <w:t xml:space="preserve"> </w:t>
      </w:r>
      <w:r w:rsidRPr="002D78C7">
        <w:rPr>
          <w:rFonts w:asciiTheme="majorBidi" w:hAnsiTheme="majorBidi" w:cstheme="majorBidi"/>
          <w:szCs w:val="18"/>
        </w:rPr>
        <w:t xml:space="preserve">General Comment No. 12 (1999) on the right to adequate food, para. </w:t>
      </w:r>
      <w:r w:rsidRPr="00A1624A">
        <w:rPr>
          <w:rFonts w:asciiTheme="majorBidi" w:hAnsiTheme="majorBidi" w:cstheme="majorBidi"/>
          <w:szCs w:val="18"/>
          <w:lang w:val="es-ES"/>
        </w:rPr>
        <w:t>8.</w:t>
      </w:r>
    </w:p>
  </w:footnote>
  <w:footnote w:id="1298">
    <w:p w14:paraId="48F0C7E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12.</w:t>
      </w:r>
    </w:p>
  </w:footnote>
  <w:footnote w:id="1299">
    <w:p w14:paraId="5830AA0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13.</w:t>
      </w:r>
    </w:p>
  </w:footnote>
  <w:footnote w:id="1300">
    <w:p w14:paraId="5DF6A2BB"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6.</w:t>
      </w:r>
    </w:p>
  </w:footnote>
  <w:footnote w:id="1301">
    <w:p w14:paraId="55583C2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17</w:t>
      </w:r>
    </w:p>
  </w:footnote>
  <w:footnote w:id="1302">
    <w:p w14:paraId="3508A2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General Comment No. 12, para. </w:t>
      </w:r>
      <w:r w:rsidRPr="002D78C7">
        <w:rPr>
          <w:rFonts w:asciiTheme="majorBidi" w:hAnsiTheme="majorBidi" w:cstheme="majorBidi"/>
          <w:szCs w:val="18"/>
        </w:rPr>
        <w:t>17.</w:t>
      </w:r>
    </w:p>
  </w:footnote>
  <w:footnote w:id="1303">
    <w:p w14:paraId="275D24C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12, para. 37.</w:t>
      </w:r>
    </w:p>
  </w:footnote>
  <w:footnote w:id="1304">
    <w:p w14:paraId="5EFE1FD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 (2003) on the right to water para. 3.</w:t>
      </w:r>
    </w:p>
  </w:footnote>
  <w:footnote w:id="1305">
    <w:p w14:paraId="5617E36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w:t>
      </w:r>
      <w:r w:rsidRPr="002D78C7">
        <w:rPr>
          <w:rFonts w:asciiTheme="majorBidi" w:hAnsiTheme="majorBidi" w:cstheme="majorBidi"/>
          <w:i/>
          <w:iCs/>
          <w:szCs w:val="18"/>
        </w:rPr>
        <w:t xml:space="preserve"> </w:t>
      </w:r>
      <w:r w:rsidRPr="002D78C7">
        <w:rPr>
          <w:rFonts w:asciiTheme="majorBidi" w:hAnsiTheme="majorBidi" w:cstheme="majorBidi"/>
          <w:szCs w:val="18"/>
        </w:rPr>
        <w:t>at para. 2.</w:t>
      </w:r>
    </w:p>
  </w:footnote>
  <w:footnote w:id="1306">
    <w:p w14:paraId="6D7CBD8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General Comment No. 15</w:t>
      </w:r>
      <w:r w:rsidRPr="002D78C7">
        <w:rPr>
          <w:rFonts w:asciiTheme="majorBidi" w:hAnsiTheme="majorBidi" w:cstheme="majorBidi"/>
          <w:i/>
          <w:iCs/>
          <w:szCs w:val="18"/>
        </w:rPr>
        <w:t xml:space="preserve"> </w:t>
      </w:r>
      <w:r w:rsidRPr="002D78C7">
        <w:rPr>
          <w:rFonts w:asciiTheme="majorBidi" w:hAnsiTheme="majorBidi" w:cstheme="majorBidi"/>
          <w:szCs w:val="18"/>
        </w:rPr>
        <w:t>at para. 2.</w:t>
      </w:r>
    </w:p>
  </w:footnote>
  <w:footnote w:id="1307">
    <w:p w14:paraId="14EC958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http://sanaacenter.org/publications/the-yemen-review/7504#An-Environmental-Apocalypse-Looming-on-the-Red-Sea.</w:t>
      </w:r>
    </w:p>
  </w:footnote>
  <w:footnote w:id="1308">
    <w:p w14:paraId="4D7D23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49" w:history="1">
        <w:r w:rsidRPr="002D78C7">
          <w:rPr>
            <w:rStyle w:val="Hyperlink"/>
            <w:rFonts w:asciiTheme="majorBidi" w:hAnsiTheme="majorBidi" w:cstheme="majorBidi"/>
            <w:szCs w:val="18"/>
          </w:rPr>
          <w:t>https://twitter.com/Moh_Alhouthi/status/1120092336208404482</w:t>
        </w:r>
      </w:hyperlink>
    </w:p>
  </w:footnote>
  <w:footnote w:id="1309">
    <w:p w14:paraId="54CB847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50" w:history="1">
        <w:r w:rsidRPr="002D78C7">
          <w:rPr>
            <w:rStyle w:val="Hyperlink"/>
            <w:rFonts w:asciiTheme="majorBidi" w:hAnsiTheme="majorBidi" w:cstheme="majorBidi"/>
            <w:szCs w:val="18"/>
          </w:rPr>
          <w:t>https://www.almushahid.net/?p=43175</w:t>
        </w:r>
      </w:hyperlink>
      <w:r w:rsidRPr="002D78C7">
        <w:rPr>
          <w:rStyle w:val="Hyperlink"/>
          <w:rFonts w:asciiTheme="majorBidi" w:hAnsiTheme="majorBidi" w:cstheme="majorBidi"/>
          <w:szCs w:val="18"/>
        </w:rPr>
        <w:t>.</w:t>
      </w:r>
    </w:p>
  </w:footnote>
  <w:footnote w:id="1310">
    <w:p w14:paraId="4DAE4F1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https://reliefweb.int/report/yemen/under-secretary-general-humanitarian-affairs-and-emergency-relief-coordinator-mark-19.</w:t>
      </w:r>
    </w:p>
  </w:footnote>
  <w:footnote w:id="1311">
    <w:p w14:paraId="331C011D"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hyperlink r:id="rId51" w:history="1">
        <w:r w:rsidRPr="002D78C7">
          <w:rPr>
            <w:rStyle w:val="Hyperlink"/>
            <w:rFonts w:asciiTheme="majorBidi" w:hAnsiTheme="majorBidi" w:cstheme="majorBidi"/>
            <w:sz w:val="18"/>
            <w:szCs w:val="18"/>
          </w:rPr>
          <w:t>https://reliefweb.int/report/yemen/under-secretary-general-humanitarian-affairs-and-emergency-relief-coordinator-mark-20</w:t>
        </w:r>
      </w:hyperlink>
      <w:r w:rsidRPr="002D78C7">
        <w:rPr>
          <w:rStyle w:val="Hyperlink"/>
          <w:rFonts w:asciiTheme="majorBidi" w:hAnsiTheme="majorBidi" w:cstheme="majorBidi"/>
          <w:sz w:val="18"/>
          <w:szCs w:val="18"/>
        </w:rPr>
        <w:t>.</w:t>
      </w:r>
    </w:p>
  </w:footnote>
  <w:footnote w:id="1312">
    <w:p w14:paraId="557C335A" w14:textId="2791DD0A" w:rsidR="00A1624A" w:rsidRPr="00C90E3F"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90E3F">
        <w:rPr>
          <w:rStyle w:val="FootnoteReference"/>
          <w:rFonts w:ascii="Traditional Arabic" w:hAnsi="Traditional Arabic" w:cs="Traditional Arabic"/>
          <w:sz w:val="22"/>
          <w:szCs w:val="22"/>
        </w:rPr>
        <w:footnoteRef/>
      </w:r>
      <w:r w:rsidRPr="00C90E3F">
        <w:rPr>
          <w:rFonts w:ascii="Traditional Arabic" w:hAnsi="Traditional Arabic" w:cs="Traditional Arabic"/>
          <w:sz w:val="22"/>
          <w:szCs w:val="22"/>
        </w:rPr>
        <w:t xml:space="preserve"> </w:t>
      </w:r>
      <w:r w:rsidRPr="00C90E3F">
        <w:rPr>
          <w:rFonts w:ascii="Traditional Arabic" w:hAnsi="Traditional Arabic" w:cs="Traditional Arabic"/>
          <w:sz w:val="22"/>
          <w:szCs w:val="22"/>
          <w:rtl/>
        </w:rPr>
        <w:t>مصادر سريّة في الملف</w:t>
      </w:r>
      <w:r w:rsidRPr="00C90E3F">
        <w:rPr>
          <w:rFonts w:ascii="Traditional Arabic" w:hAnsi="Traditional Arabic" w:cs="Traditional Arabic"/>
          <w:sz w:val="22"/>
          <w:szCs w:val="22"/>
        </w:rPr>
        <w:t>.</w:t>
      </w:r>
    </w:p>
  </w:footnote>
  <w:footnote w:id="1313">
    <w:p w14:paraId="02D74B49" w14:textId="60922D1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90E3F">
        <w:rPr>
          <w:rStyle w:val="FootnoteReference"/>
          <w:rFonts w:ascii="Traditional Arabic" w:hAnsi="Traditional Arabic" w:cs="Traditional Arabic"/>
          <w:sz w:val="22"/>
          <w:szCs w:val="22"/>
        </w:rPr>
        <w:footnoteRef/>
      </w:r>
      <w:r w:rsidRPr="00C90E3F">
        <w:rPr>
          <w:rFonts w:ascii="Traditional Arabic" w:hAnsi="Traditional Arabic" w:cs="Traditional Arabic"/>
          <w:sz w:val="22"/>
          <w:szCs w:val="22"/>
        </w:rPr>
        <w:t xml:space="preserve"> </w:t>
      </w:r>
      <w:r w:rsidRPr="00C90E3F">
        <w:rPr>
          <w:rFonts w:ascii="Traditional Arabic" w:hAnsi="Traditional Arabic" w:cs="Traditional Arabic"/>
          <w:sz w:val="22"/>
          <w:szCs w:val="22"/>
          <w:rtl/>
        </w:rPr>
        <w:t>مصادر سريّة في الملف</w:t>
      </w:r>
      <w:r w:rsidRPr="00C90E3F">
        <w:rPr>
          <w:rFonts w:ascii="Traditional Arabic" w:hAnsi="Traditional Arabic" w:cs="Traditional Arabic"/>
          <w:sz w:val="22"/>
          <w:szCs w:val="22"/>
        </w:rPr>
        <w:t>.</w:t>
      </w:r>
    </w:p>
  </w:footnote>
  <w:footnote w:id="1314">
    <w:p w14:paraId="36B62E73" w14:textId="2ECC743E"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5">
    <w:p w14:paraId="15EF6781" w14:textId="5C885BA8"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6">
    <w:p w14:paraId="0D6CFCC7" w14:textId="0F32E7E0"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7">
    <w:p w14:paraId="1277A90A" w14:textId="264AC6B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D1106B">
        <w:rPr>
          <w:rFonts w:asciiTheme="majorBidi" w:hAnsiTheme="majorBidi"/>
          <w:sz w:val="20"/>
          <w:rtl/>
        </w:rPr>
        <w:t>مصادر سريّة في الملف</w:t>
      </w:r>
      <w:r w:rsidRPr="00D1106B">
        <w:rPr>
          <w:rFonts w:asciiTheme="majorBidi" w:hAnsiTheme="majorBidi" w:cstheme="majorBidi"/>
          <w:sz w:val="20"/>
        </w:rPr>
        <w:t>.</w:t>
      </w:r>
    </w:p>
  </w:footnote>
  <w:footnote w:id="1318">
    <w:p w14:paraId="6728A3EC" w14:textId="60931D0E"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 w:val="20"/>
          <w:rtl/>
        </w:rPr>
        <w:t xml:space="preserve">لمزيد من التفاصيل، أنظر أيضًا الفصل عن الحياة في صنعاء والمناطق الأخرى تحت سيطرة سلطة الأمر الواقع والفصل عن الاعتقالات والاحتجازات التعسفية والتعذيب وغيرها من ضروب المعاملة السيئة وانتهاكات الحريات الأساسية في صنعاء. </w:t>
      </w:r>
    </w:p>
  </w:footnote>
  <w:footnote w:id="1319">
    <w:p w14:paraId="1CA278E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52" w:history="1">
        <w:r w:rsidRPr="002D78C7">
          <w:rPr>
            <w:rStyle w:val="Hyperlink"/>
            <w:rFonts w:asciiTheme="majorBidi" w:hAnsiTheme="majorBidi" w:cstheme="majorBidi"/>
            <w:szCs w:val="18"/>
          </w:rPr>
          <w:t>https://www.youtube.com/watch?v=Ioy_G-rlMX4</w:t>
        </w:r>
      </w:hyperlink>
      <w:r w:rsidRPr="002D78C7">
        <w:rPr>
          <w:rStyle w:val="Hyperlink"/>
          <w:rFonts w:asciiTheme="majorBidi" w:hAnsiTheme="majorBidi" w:cstheme="majorBidi"/>
          <w:szCs w:val="18"/>
        </w:rPr>
        <w:t>.</w:t>
      </w:r>
    </w:p>
  </w:footnote>
  <w:footnote w:id="1320">
    <w:p w14:paraId="7F65F454" w14:textId="0DC7573B"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sz w:val="20"/>
          <w:rtl/>
        </w:rPr>
        <w:t>مصادر سريّة في المل</w:t>
      </w:r>
      <w:r>
        <w:rPr>
          <w:rFonts w:asciiTheme="majorBidi" w:hAnsiTheme="majorBidi" w:hint="cs"/>
          <w:sz w:val="20"/>
          <w:rtl/>
        </w:rPr>
        <w:t>ف.</w:t>
      </w:r>
      <w:r w:rsidRPr="002D78C7">
        <w:rPr>
          <w:rFonts w:asciiTheme="majorBidi" w:hAnsiTheme="majorBidi" w:cstheme="majorBidi"/>
          <w:b/>
          <w:bCs/>
          <w:szCs w:val="18"/>
        </w:rPr>
        <w:t xml:space="preserve"> </w:t>
      </w:r>
    </w:p>
  </w:footnote>
  <w:footnote w:id="1321">
    <w:p w14:paraId="0C350C23" w14:textId="6C7C5D22"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رسالة تاريخها 29 تموز/ يوليو 2019.  </w:t>
      </w:r>
    </w:p>
  </w:footnote>
  <w:footnote w:id="1322">
    <w:p w14:paraId="462F83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Republican Decree for Law No 12 for the Year 1994 Concerning Crimes and Penalties, available at </w:t>
      </w:r>
      <w:hyperlink r:id="rId53" w:history="1">
        <w:r w:rsidRPr="002D78C7">
          <w:rPr>
            <w:rStyle w:val="Hyperlink"/>
            <w:rFonts w:asciiTheme="majorBidi" w:hAnsiTheme="majorBidi" w:cstheme="majorBidi"/>
            <w:szCs w:val="18"/>
          </w:rPr>
          <w:t>http://www.ilo.org/dyn/natlex/docs/ELECTRONIC/83557/92354/F1549605860/YEM83557.pdf</w:t>
        </w:r>
      </w:hyperlink>
      <w:r w:rsidRPr="002D78C7">
        <w:rPr>
          <w:rStyle w:val="Hyperlink"/>
          <w:rFonts w:asciiTheme="majorBidi" w:hAnsiTheme="majorBidi" w:cstheme="majorBidi"/>
          <w:szCs w:val="18"/>
        </w:rPr>
        <w:t>.</w:t>
      </w:r>
    </w:p>
  </w:footnote>
  <w:footnote w:id="1323">
    <w:p w14:paraId="300500D3" w14:textId="45C8A78C" w:rsidR="00A1624A" w:rsidRPr="00723AA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23AAC">
        <w:rPr>
          <w:rStyle w:val="FootnoteReference"/>
          <w:rFonts w:ascii="Traditional Arabic" w:hAnsi="Traditional Arabic" w:cs="Traditional Arabic"/>
          <w:sz w:val="22"/>
          <w:szCs w:val="22"/>
        </w:rPr>
        <w:footnoteRef/>
      </w:r>
      <w:r w:rsidRPr="00723AAC">
        <w:rPr>
          <w:rFonts w:ascii="Traditional Arabic" w:hAnsi="Traditional Arabic" w:cs="Traditional Arabic"/>
          <w:sz w:val="22"/>
          <w:szCs w:val="22"/>
        </w:rPr>
        <w:t xml:space="preserve"> </w:t>
      </w:r>
      <w:r w:rsidRPr="00723AAC">
        <w:rPr>
          <w:rFonts w:ascii="Traditional Arabic" w:hAnsi="Traditional Arabic" w:cs="Traditional Arabic"/>
          <w:sz w:val="22"/>
          <w:szCs w:val="22"/>
          <w:rtl/>
        </w:rPr>
        <w:t xml:space="preserve">رسالة تاريخها 30 أيار/ مايو 2019. </w:t>
      </w:r>
    </w:p>
  </w:footnote>
  <w:footnote w:id="1324">
    <w:p w14:paraId="7D2E87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18 ICCPR.</w:t>
      </w:r>
    </w:p>
  </w:footnote>
  <w:footnote w:id="1325">
    <w:p w14:paraId="2E32012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2 </w:t>
      </w:r>
      <w:r w:rsidRPr="002D78C7">
        <w:rPr>
          <w:rStyle w:val="Hyperlink"/>
          <w:rFonts w:asciiTheme="majorBidi" w:hAnsiTheme="majorBidi" w:cstheme="majorBidi"/>
          <w:szCs w:val="18"/>
        </w:rPr>
        <w:t>ICCPR</w:t>
      </w:r>
      <w:r w:rsidRPr="002D78C7">
        <w:rPr>
          <w:rFonts w:asciiTheme="majorBidi" w:hAnsiTheme="majorBidi" w:cstheme="majorBidi"/>
          <w:szCs w:val="18"/>
        </w:rPr>
        <w:t>.</w:t>
      </w:r>
    </w:p>
  </w:footnote>
  <w:footnote w:id="1326">
    <w:p w14:paraId="00D762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Article 9 ICCPR; See also </w:t>
      </w:r>
      <w:r w:rsidRPr="002D78C7">
        <w:rPr>
          <w:rStyle w:val="Hyperlink"/>
          <w:rFonts w:asciiTheme="majorBidi" w:hAnsiTheme="majorBidi" w:cstheme="majorBidi"/>
          <w:szCs w:val="18"/>
        </w:rPr>
        <w:t>Universal</w:t>
      </w:r>
      <w:r w:rsidRPr="002D78C7">
        <w:rPr>
          <w:rFonts w:asciiTheme="majorBidi" w:hAnsiTheme="majorBidi" w:cstheme="majorBidi"/>
          <w:szCs w:val="18"/>
        </w:rPr>
        <w:t xml:space="preserve"> Declaration of Human Rights, article 9.</w:t>
      </w:r>
    </w:p>
  </w:footnote>
  <w:footnote w:id="1327">
    <w:p w14:paraId="2D4B32D2" w14:textId="5639518B" w:rsidR="00A1624A" w:rsidRPr="00723AA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723AAC">
        <w:rPr>
          <w:rStyle w:val="FootnoteReference"/>
          <w:rFonts w:ascii="Traditional Arabic" w:hAnsi="Traditional Arabic" w:cs="Traditional Arabic"/>
          <w:sz w:val="22"/>
          <w:szCs w:val="22"/>
        </w:rPr>
        <w:footnoteRef/>
      </w:r>
      <w:r w:rsidRPr="00723AAC">
        <w:rPr>
          <w:rFonts w:ascii="Traditional Arabic" w:hAnsi="Traditional Arabic" w:cs="Traditional Arabic"/>
          <w:sz w:val="22"/>
          <w:szCs w:val="22"/>
          <w:rtl/>
        </w:rPr>
        <w:t xml:space="preserve"> أنظر </w:t>
      </w:r>
      <w:r w:rsidRPr="00723AAC">
        <w:rPr>
          <w:rStyle w:val="tlid-translation"/>
          <w:rFonts w:ascii="Traditional Arabic" w:hAnsi="Traditional Arabic" w:cs="Traditional Arabic"/>
          <w:sz w:val="22"/>
          <w:szCs w:val="22"/>
          <w:rtl/>
        </w:rPr>
        <w:t xml:space="preserve">دراسة اللجنة الدولية للصليب الأحمر حول القانون الدولي الإنساني العرفي، القاعدة 99. </w:t>
      </w:r>
    </w:p>
  </w:footnote>
  <w:footnote w:id="1328">
    <w:p w14:paraId="710260C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Methods of work of the Working Group on Arbitrary Detention, A/HRC/36/38). </w:t>
      </w:r>
    </w:p>
  </w:footnote>
  <w:footnote w:id="1329">
    <w:p w14:paraId="23B196B7" w14:textId="1733DDB1" w:rsidR="00A1624A" w:rsidRPr="00C16701" w:rsidRDefault="00A1624A" w:rsidP="00B81240">
      <w:pPr>
        <w:pStyle w:val="FootnoteText"/>
        <w:tabs>
          <w:tab w:val="clear" w:pos="1021"/>
        </w:tabs>
        <w:bidi/>
        <w:ind w:left="851" w:firstLine="0"/>
        <w:jc w:val="both"/>
        <w:rPr>
          <w:rFonts w:asciiTheme="majorBidi" w:hAnsiTheme="majorBidi" w:cstheme="majorBidi"/>
          <w:sz w:val="20"/>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30">
    <w:p w14:paraId="33A4BA31" w14:textId="77777777" w:rsidR="00A1624A" w:rsidRPr="000C4C8C" w:rsidRDefault="00A1624A" w:rsidP="00B81240">
      <w:pPr>
        <w:pStyle w:val="FootnoteText"/>
        <w:tabs>
          <w:tab w:val="clear" w:pos="1021"/>
        </w:tabs>
        <w:bidi/>
        <w:ind w:left="851" w:firstLine="0"/>
        <w:jc w:val="both"/>
        <w:rPr>
          <w:rFonts w:asciiTheme="majorBidi" w:hAnsiTheme="majorBidi" w:cstheme="majorBidi"/>
          <w:sz w:val="20"/>
        </w:rPr>
      </w:pPr>
      <w:r w:rsidRPr="000C4C8C">
        <w:rPr>
          <w:rStyle w:val="FootnoteReference"/>
          <w:rFonts w:asciiTheme="majorBidi" w:hAnsiTheme="majorBidi" w:cstheme="majorBidi"/>
          <w:sz w:val="20"/>
        </w:rPr>
        <w:footnoteRef/>
      </w:r>
      <w:r w:rsidRPr="000C4C8C">
        <w:rPr>
          <w:rFonts w:asciiTheme="majorBidi" w:hAnsiTheme="majorBidi" w:cstheme="majorBidi"/>
          <w:sz w:val="20"/>
        </w:rPr>
        <w:t xml:space="preserve"> See </w:t>
      </w:r>
      <w:r w:rsidRPr="000C4C8C">
        <w:rPr>
          <w:rFonts w:asciiTheme="majorBidi" w:eastAsia="Arial Unicode MS" w:hAnsiTheme="majorBidi" w:cstheme="majorBidi"/>
          <w:sz w:val="20"/>
        </w:rPr>
        <w:t xml:space="preserve">Report of the Special Rapporteur on minority issues, </w:t>
      </w:r>
      <w:r w:rsidRPr="000C4C8C">
        <w:rPr>
          <w:rFonts w:asciiTheme="majorBidi" w:eastAsia="Cambria" w:hAnsiTheme="majorBidi" w:cstheme="majorBidi"/>
          <w:sz w:val="20"/>
        </w:rPr>
        <w:t>A/HRC/31/56 – para 37</w:t>
      </w:r>
    </w:p>
  </w:footnote>
  <w:footnote w:id="1331">
    <w:p w14:paraId="0A8F3487" w14:textId="12BAEC2A"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 xml:space="preserve">المرجع نفسه. </w:t>
      </w:r>
    </w:p>
  </w:footnote>
  <w:footnote w:id="1332">
    <w:p w14:paraId="39696BED" w14:textId="03A228C7"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p>
  </w:footnote>
  <w:footnote w:id="1333">
    <w:p w14:paraId="467867ED" w14:textId="6535BA43"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4">
    <w:p w14:paraId="0BFBE4DF" w14:textId="256EC837"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5">
    <w:p w14:paraId="34EE3F39" w14:textId="18C5AE92"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6">
    <w:p w14:paraId="13A4AEFE" w14:textId="2D75913C"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lang w:bidi="ar-YE"/>
        </w:rPr>
        <w:t xml:space="preserve">لمزيد من التفاصيل حول "حصار" تعز، أنظر الفصل عن تعز، جبهة القتال المتواصلة، الجزء عن "حصار" تعز. </w:t>
      </w:r>
    </w:p>
  </w:footnote>
  <w:footnote w:id="1337">
    <w:p w14:paraId="4649C542" w14:textId="40597B5E"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8">
    <w:p w14:paraId="372996FE" w14:textId="7A95B10F"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39">
    <w:p w14:paraId="4FC2C933" w14:textId="654A4265"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0">
    <w:p w14:paraId="008D8785" w14:textId="17BD6476" w:rsidR="00A1624A" w:rsidRPr="00C16701"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1">
    <w:p w14:paraId="16D98FB4" w14:textId="099E5171"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rPr>
        <w:footnoteRef/>
      </w:r>
      <w:r w:rsidRPr="00C16701">
        <w:rPr>
          <w:rFonts w:ascii="Traditional Arabic" w:hAnsi="Traditional Arabic" w:cs="Traditional Arabic"/>
          <w:sz w:val="22"/>
          <w:szCs w:val="22"/>
        </w:rPr>
        <w:t xml:space="preserve"> </w:t>
      </w:r>
      <w:r w:rsidRPr="00C16701">
        <w:rPr>
          <w:rFonts w:ascii="Traditional Arabic" w:hAnsi="Traditional Arabic" w:cs="Traditional Arabic"/>
          <w:sz w:val="22"/>
          <w:szCs w:val="22"/>
          <w:rtl/>
        </w:rPr>
        <w:t>مصادر سريّة في الملف</w:t>
      </w:r>
      <w:r w:rsidRPr="00C16701">
        <w:rPr>
          <w:rFonts w:ascii="Traditional Arabic" w:hAnsi="Traditional Arabic" w:cs="Traditional Arabic"/>
          <w:sz w:val="22"/>
          <w:szCs w:val="22"/>
        </w:rPr>
        <w:t>.</w:t>
      </w:r>
    </w:p>
  </w:footnote>
  <w:footnote w:id="1342">
    <w:p w14:paraId="085ACC93" w14:textId="696137BA"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3">
    <w:p w14:paraId="01C8EA27" w14:textId="3FAD7640"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hint="cs"/>
          <w:sz w:val="22"/>
          <w:szCs w:val="22"/>
          <w:vertAlign w:val="baseline"/>
          <w:rtl/>
        </w:rPr>
        <w:t xml:space="preserve">بالإشارة إلى مصطلح "داعش"، وهو الاسم المختصر باللغة العربية للدولة الإسلامية في العراق والشام، فقد واجه فريق الخبراء هذه الكلمة غالبًا أثناء تحقيقاته حيث بدا أن الحوثيين استخدموها تجاه أي شخص إعتقدوا أنه لا يدعمهم. </w:t>
      </w:r>
    </w:p>
  </w:footnote>
  <w:footnote w:id="1344">
    <w:p w14:paraId="53C8F793" w14:textId="2CBD20A4" w:rsidR="00A1624A" w:rsidRPr="00C16701"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5">
    <w:p w14:paraId="3DAFA8EA" w14:textId="04709485"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C16701">
        <w:rPr>
          <w:rStyle w:val="FootnoteReference"/>
          <w:rFonts w:ascii="Traditional Arabic" w:hAnsi="Traditional Arabic" w:cs="Traditional Arabic"/>
          <w:sz w:val="22"/>
          <w:szCs w:val="22"/>
          <w:vertAlign w:val="baseline"/>
        </w:rPr>
        <w:footnoteRef/>
      </w:r>
      <w:r w:rsidRPr="00C16701">
        <w:rPr>
          <w:rStyle w:val="FootnoteReference"/>
          <w:rFonts w:ascii="Traditional Arabic" w:hAnsi="Traditional Arabic" w:cs="Traditional Arabic"/>
          <w:sz w:val="22"/>
          <w:szCs w:val="22"/>
          <w:vertAlign w:val="baseline"/>
        </w:rPr>
        <w:t xml:space="preserve"> </w:t>
      </w:r>
      <w:r w:rsidRPr="00C16701">
        <w:rPr>
          <w:rStyle w:val="FootnoteReference"/>
          <w:rFonts w:ascii="Traditional Arabic" w:hAnsi="Traditional Arabic" w:cs="Traditional Arabic"/>
          <w:sz w:val="22"/>
          <w:szCs w:val="22"/>
          <w:vertAlign w:val="baseline"/>
          <w:rtl/>
        </w:rPr>
        <w:t>مصادر سريّة في الملف</w:t>
      </w:r>
      <w:r w:rsidRPr="00C16701">
        <w:rPr>
          <w:rStyle w:val="FootnoteReference"/>
          <w:rFonts w:ascii="Traditional Arabic" w:hAnsi="Traditional Arabic" w:cs="Traditional Arabic"/>
          <w:sz w:val="22"/>
          <w:szCs w:val="22"/>
          <w:vertAlign w:val="baseline"/>
        </w:rPr>
        <w:t>.</w:t>
      </w:r>
    </w:p>
  </w:footnote>
  <w:footnote w:id="1346">
    <w:p w14:paraId="327B8BA5" w14:textId="64B54198"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47">
    <w:p w14:paraId="7FAA0790" w14:textId="54FEFE44"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48">
    <w:p w14:paraId="535F6E5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Mixed Migration Centre, East Africa &amp; Yemen, “Quarterly Mixed Migration Update”, Quarter2- 2019.</w:t>
      </w:r>
    </w:p>
  </w:footnote>
  <w:footnote w:id="1349">
    <w:p w14:paraId="6F0F3C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350">
    <w:p w14:paraId="6CFC13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IOM, “Flow Monitoring Points: Migrant Arrivals and Yemen Returns from Saudi Arabia in June 2019”, available at </w:t>
      </w:r>
      <w:hyperlink r:id="rId54" w:history="1">
        <w:r w:rsidRPr="002D78C7">
          <w:rPr>
            <w:rStyle w:val="Hyperlink"/>
            <w:rFonts w:asciiTheme="majorBidi" w:hAnsiTheme="majorBidi" w:cstheme="majorBidi"/>
            <w:szCs w:val="18"/>
          </w:rPr>
          <w:t>https://reliefweb.int/sites/reliefweb.int/files/resources/YE-Migrants_FMR_June%202019_Dashboard.pdf</w:t>
        </w:r>
      </w:hyperlink>
      <w:r w:rsidRPr="002D78C7">
        <w:rPr>
          <w:rStyle w:val="Hyperlink"/>
          <w:rFonts w:asciiTheme="majorBidi" w:hAnsiTheme="majorBidi" w:cstheme="majorBidi"/>
          <w:szCs w:val="18"/>
        </w:rPr>
        <w:t>.</w:t>
      </w:r>
    </w:p>
  </w:footnote>
  <w:footnote w:id="1351">
    <w:p w14:paraId="77D9FA21" w14:textId="460BCB64"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2">
    <w:p w14:paraId="7736E075" w14:textId="78A512F0"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3">
    <w:p w14:paraId="6702BC8F" w14:textId="524F7CBA"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4">
    <w:p w14:paraId="2CBCC660" w14:textId="15F0BF50"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5">
    <w:p w14:paraId="4328CDBC" w14:textId="21D85F3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56">
    <w:p w14:paraId="6ACF9897" w14:textId="40968131"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57">
    <w:p w14:paraId="3F28B8E7" w14:textId="4840EF80"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58">
    <w:p w14:paraId="32E6433F" w14:textId="5899AB7E"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 xml:space="preserve">لمزيد من التفاصيل حول القضية، أنظر الفصل حول السيطرة على عدن والجنوب (2016-2019). </w:t>
      </w:r>
    </w:p>
  </w:footnote>
  <w:footnote w:id="1359">
    <w:p w14:paraId="7579E9D6" w14:textId="30E41FB4"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0">
    <w:p w14:paraId="6D2F5E57" w14:textId="118FBBF3" w:rsidR="00A1624A" w:rsidRPr="009A53DC"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1">
    <w:p w14:paraId="412410E7" w14:textId="7C4B37ED"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A53DC">
        <w:rPr>
          <w:rStyle w:val="FootnoteReference"/>
          <w:rFonts w:ascii="Traditional Arabic" w:hAnsi="Traditional Arabic" w:cs="Traditional Arabic"/>
          <w:sz w:val="22"/>
          <w:szCs w:val="22"/>
        </w:rPr>
        <w:footnoteRef/>
      </w:r>
      <w:r w:rsidRPr="009A53DC">
        <w:rPr>
          <w:rFonts w:ascii="Traditional Arabic" w:hAnsi="Traditional Arabic" w:cs="Traditional Arabic"/>
          <w:sz w:val="22"/>
          <w:szCs w:val="22"/>
        </w:rPr>
        <w:t xml:space="preserve"> </w:t>
      </w:r>
      <w:r w:rsidRPr="009A53DC">
        <w:rPr>
          <w:rFonts w:ascii="Traditional Arabic" w:hAnsi="Traditional Arabic" w:cs="Traditional Arabic"/>
          <w:sz w:val="22"/>
          <w:szCs w:val="22"/>
          <w:rtl/>
        </w:rPr>
        <w:t>مصادر سريّة في الملف</w:t>
      </w:r>
      <w:r w:rsidRPr="009A53DC">
        <w:rPr>
          <w:rFonts w:ascii="Traditional Arabic" w:hAnsi="Traditional Arabic" w:cs="Traditional Arabic"/>
          <w:sz w:val="22"/>
          <w:szCs w:val="22"/>
        </w:rPr>
        <w:t>.</w:t>
      </w:r>
    </w:p>
  </w:footnote>
  <w:footnote w:id="1362">
    <w:p w14:paraId="3009A889" w14:textId="2A8AF4E1"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63">
    <w:p w14:paraId="3B9E0437" w14:textId="58D9F382"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p>
  </w:footnote>
  <w:footnote w:id="1364">
    <w:p w14:paraId="77DB8F9E" w14:textId="180AD675" w:rsidR="00A1624A" w:rsidRPr="009A53D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A53DC">
        <w:rPr>
          <w:rStyle w:val="FootnoteReference"/>
          <w:rFonts w:ascii="Traditional Arabic" w:hAnsi="Traditional Arabic" w:cs="Traditional Arabic"/>
          <w:sz w:val="22"/>
          <w:szCs w:val="22"/>
          <w:vertAlign w:val="baseline"/>
        </w:rPr>
        <w:footnoteRef/>
      </w:r>
      <w:r w:rsidRPr="009A53DC">
        <w:rPr>
          <w:rStyle w:val="FootnoteReference"/>
          <w:rFonts w:ascii="Traditional Arabic" w:hAnsi="Traditional Arabic" w:cs="Traditional Arabic"/>
          <w:sz w:val="22"/>
          <w:szCs w:val="22"/>
          <w:vertAlign w:val="baseline"/>
        </w:rPr>
        <w:t xml:space="preserve"> </w:t>
      </w:r>
      <w:r w:rsidRPr="009A53DC">
        <w:rPr>
          <w:rStyle w:val="FootnoteReference"/>
          <w:rFonts w:ascii="Traditional Arabic" w:hAnsi="Traditional Arabic" w:cs="Traditional Arabic"/>
          <w:sz w:val="22"/>
          <w:szCs w:val="22"/>
          <w:vertAlign w:val="baseline"/>
          <w:rtl/>
        </w:rPr>
        <w:t>مصادر سريّة في الملف</w:t>
      </w:r>
      <w:r w:rsidRPr="009A53DC">
        <w:rPr>
          <w:rStyle w:val="FootnoteReference"/>
          <w:rFonts w:ascii="Traditional Arabic" w:hAnsi="Traditional Arabic" w:cs="Traditional Arabic"/>
          <w:sz w:val="22"/>
          <w:szCs w:val="22"/>
          <w:vertAlign w:val="baseline"/>
        </w:rPr>
        <w:t>.</w:t>
      </w:r>
      <w:r w:rsidRPr="009A53DC">
        <w:rPr>
          <w:rStyle w:val="FootnoteReference"/>
          <w:rFonts w:ascii="Traditional Arabic" w:hAnsi="Traditional Arabic" w:cs="Traditional Arabic" w:hint="cs"/>
          <w:sz w:val="22"/>
          <w:szCs w:val="22"/>
          <w:vertAlign w:val="baseline"/>
          <w:rtl/>
        </w:rPr>
        <w:t xml:space="preserve"> </w:t>
      </w:r>
    </w:p>
  </w:footnote>
  <w:footnote w:id="1365">
    <w:p w14:paraId="4A929DF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Article 2 ICCPR and Article 2 ICESCR.</w:t>
      </w:r>
    </w:p>
  </w:footnote>
  <w:footnote w:id="1366">
    <w:p w14:paraId="317348C8" w14:textId="6CC9D939" w:rsidR="00A1624A" w:rsidRPr="002D78C7" w:rsidRDefault="00A1624A" w:rsidP="00B81240">
      <w:pPr>
        <w:bidi/>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lang w:bidi="ar-JO"/>
        </w:rPr>
        <w:t xml:space="preserve">المادة </w:t>
      </w:r>
      <w:r w:rsidRPr="002D78C7">
        <w:rPr>
          <w:rFonts w:asciiTheme="majorBidi" w:hAnsiTheme="majorBidi" w:cstheme="majorBidi"/>
          <w:szCs w:val="18"/>
        </w:rPr>
        <w:t>4 (1)</w:t>
      </w:r>
      <w:r>
        <w:rPr>
          <w:rFonts w:asciiTheme="majorBidi" w:hAnsiTheme="majorBidi" w:cstheme="majorBidi" w:hint="cs"/>
          <w:szCs w:val="18"/>
          <w:rtl/>
        </w:rPr>
        <w:t xml:space="preserve"> </w:t>
      </w:r>
      <w:r w:rsidRPr="0096042B">
        <w:rPr>
          <w:rFonts w:ascii="Traditional Arabic" w:hAnsi="Traditional Arabic" w:cs="Traditional Arabic"/>
          <w:sz w:val="22"/>
          <w:szCs w:val="22"/>
          <w:rtl/>
          <w:lang w:bidi="ar-JO"/>
        </w:rPr>
        <w:t>البروتوكول الإضافي الثاني،</w:t>
      </w:r>
      <w:r>
        <w:rPr>
          <w:rFonts w:ascii="Traditional Arabic" w:hAnsi="Traditional Arabic" w:cs="Traditional Arabic" w:hint="cs"/>
          <w:sz w:val="22"/>
          <w:szCs w:val="22"/>
          <w:rtl/>
          <w:lang w:bidi="ar-JO"/>
        </w:rPr>
        <w:t xml:space="preserve"> </w:t>
      </w:r>
      <w:r w:rsidRPr="00474265">
        <w:rPr>
          <w:rStyle w:val="tlid-translation"/>
          <w:rFonts w:ascii="Traditional Arabic" w:hAnsi="Traditional Arabic" w:cs="Traditional Arabic"/>
          <w:sz w:val="22"/>
          <w:szCs w:val="22"/>
          <w:rtl/>
        </w:rPr>
        <w:t>دراسة اللجنة الدولية للصليب الأحمر حول القانون الدولي الإنساني العرفي، القاعدة</w:t>
      </w:r>
      <w:r>
        <w:rPr>
          <w:rStyle w:val="tlid-translation"/>
          <w:rFonts w:ascii="Traditional Arabic" w:hAnsi="Traditional Arabic" w:cs="Traditional Arabic" w:hint="cs"/>
          <w:sz w:val="22"/>
          <w:szCs w:val="22"/>
          <w:rtl/>
        </w:rPr>
        <w:t xml:space="preserve"> 88. </w:t>
      </w:r>
    </w:p>
  </w:footnote>
  <w:footnote w:id="1367">
    <w:p w14:paraId="0472C75C" w14:textId="77777777" w:rsidR="00A1624A" w:rsidRPr="00FC3181" w:rsidRDefault="00A1624A" w:rsidP="00B81240">
      <w:pPr>
        <w:pStyle w:val="FootnoteText"/>
        <w:tabs>
          <w:tab w:val="clear" w:pos="1021"/>
        </w:tabs>
        <w:bidi/>
        <w:spacing w:line="240" w:lineRule="auto"/>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The four UNESCO World Heritage sites are the ‘Old Walled City of Shibam’, the Old City of Sana’a, the historic town of Zabid and the Socotra Archipelago. For additional information see </w:t>
      </w:r>
      <w:hyperlink r:id="rId55" w:history="1">
        <w:r w:rsidRPr="00FC3181">
          <w:rPr>
            <w:rStyle w:val="Hyperlink"/>
            <w:rFonts w:asciiTheme="majorBidi" w:hAnsiTheme="majorBidi" w:cstheme="majorBidi"/>
            <w:sz w:val="20"/>
          </w:rPr>
          <w:t>https://whc.unesco.org/en/statesparties/ye</w:t>
        </w:r>
      </w:hyperlink>
      <w:r w:rsidRPr="00FC3181">
        <w:rPr>
          <w:rFonts w:asciiTheme="majorBidi" w:hAnsiTheme="majorBidi" w:cstheme="majorBidi"/>
          <w:sz w:val="20"/>
        </w:rPr>
        <w:t>.</w:t>
      </w:r>
    </w:p>
    <w:p w14:paraId="4256B82A" w14:textId="77777777" w:rsidR="00A1624A" w:rsidRPr="00FC3181" w:rsidRDefault="00A1624A" w:rsidP="00B81240">
      <w:pPr>
        <w:pStyle w:val="ListParagraph"/>
        <w:bidi/>
        <w:spacing w:after="0" w:line="240" w:lineRule="auto"/>
        <w:ind w:left="851" w:right="1134"/>
        <w:contextualSpacing w:val="0"/>
        <w:jc w:val="both"/>
        <w:rPr>
          <w:rFonts w:asciiTheme="majorBidi" w:hAnsiTheme="majorBidi" w:cstheme="majorBidi"/>
          <w:sz w:val="20"/>
          <w:szCs w:val="20"/>
          <w:lang w:val="en-GB"/>
        </w:rPr>
      </w:pPr>
      <w:r w:rsidRPr="00FC3181">
        <w:rPr>
          <w:rFonts w:asciiTheme="majorBidi" w:hAnsiTheme="majorBidi" w:cstheme="majorBidi"/>
          <w:sz w:val="20"/>
          <w:szCs w:val="20"/>
          <w:lang w:val="en-GB"/>
        </w:rPr>
        <w:t xml:space="preserve">The cultural heritage of Yemen is protected by the law on antiquities N. 21/1994 amended by Law No. 8 of 1997. Under this law, the General Organization of Antiquities and Museums registers and documents cultural sites, including the ones referred in this chapter. Additional information at </w:t>
      </w:r>
      <w:hyperlink r:id="rId56" w:history="1">
        <w:r w:rsidRPr="00FC3181">
          <w:rPr>
            <w:rStyle w:val="Hyperlink"/>
            <w:rFonts w:asciiTheme="majorBidi" w:hAnsiTheme="majorBidi" w:cstheme="majorBidi"/>
            <w:sz w:val="20"/>
            <w:szCs w:val="20"/>
            <w:lang w:val="en-GB"/>
          </w:rPr>
          <w:t>http://www.docartis.com/pagina2/Leggi%20Yemen.pdf</w:t>
        </w:r>
      </w:hyperlink>
      <w:r w:rsidRPr="00FC3181">
        <w:rPr>
          <w:rStyle w:val="Hyperlink"/>
          <w:rFonts w:asciiTheme="majorBidi" w:hAnsiTheme="majorBidi" w:cstheme="majorBidi"/>
          <w:sz w:val="20"/>
          <w:szCs w:val="20"/>
          <w:lang w:val="en-GB"/>
        </w:rPr>
        <w:t>.</w:t>
      </w:r>
    </w:p>
  </w:footnote>
  <w:footnote w:id="1368">
    <w:p w14:paraId="0966F356" w14:textId="1F3EFF96" w:rsidR="00A1624A" w:rsidRPr="00FC3181" w:rsidRDefault="00A1624A" w:rsidP="00B81240">
      <w:pPr>
        <w:pStyle w:val="FootnoteText"/>
        <w:tabs>
          <w:tab w:val="clear" w:pos="1021"/>
        </w:tabs>
        <w:bidi/>
        <w:ind w:left="851" w:firstLine="0"/>
        <w:jc w:val="both"/>
        <w:rPr>
          <w:rFonts w:asciiTheme="majorBidi" w:hAnsiTheme="majorBidi" w:cstheme="majorBidi"/>
          <w:sz w:val="20"/>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المادة 16، البروتوكول الإضافي الثاني</w:t>
      </w:r>
      <w:r w:rsidRPr="00FC3181">
        <w:rPr>
          <w:rStyle w:val="tlid-translation"/>
          <w:rFonts w:asciiTheme="majorBidi" w:hAnsiTheme="majorBidi" w:cstheme="majorBidi"/>
          <w:sz w:val="20"/>
          <w:rtl/>
        </w:rPr>
        <w:t xml:space="preserve">. </w:t>
      </w:r>
    </w:p>
  </w:footnote>
  <w:footnote w:id="1369">
    <w:p w14:paraId="66C3471B" w14:textId="77777777" w:rsidR="00A1624A" w:rsidRPr="00FC3181" w:rsidRDefault="00A1624A" w:rsidP="00B81240">
      <w:pPr>
        <w:pStyle w:val="FootnoteText"/>
        <w:tabs>
          <w:tab w:val="clear" w:pos="1021"/>
        </w:tabs>
        <w:bidi/>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See ICRC 1987 Commentary to Additional Protocol II, Art. 16, para. 4846; see also ICRC Study on customary IHL, rule 38.</w:t>
      </w:r>
    </w:p>
  </w:footnote>
  <w:footnote w:id="1370">
    <w:p w14:paraId="190878EE" w14:textId="77777777" w:rsidR="00A1624A" w:rsidRPr="00FC3181" w:rsidRDefault="00A1624A" w:rsidP="00B81240">
      <w:pPr>
        <w:pStyle w:val="FootnoteText"/>
        <w:tabs>
          <w:tab w:val="clear" w:pos="1021"/>
        </w:tabs>
        <w:bidi/>
        <w:spacing w:line="240" w:lineRule="auto"/>
        <w:ind w:left="851" w:firstLine="0"/>
        <w:jc w:val="both"/>
        <w:rPr>
          <w:rFonts w:asciiTheme="majorBidi" w:hAnsiTheme="majorBidi" w:cstheme="majorBidi"/>
          <w:sz w:val="20"/>
        </w:rPr>
      </w:pPr>
      <w:r w:rsidRPr="00FC3181">
        <w:rPr>
          <w:rStyle w:val="FootnoteReference"/>
          <w:rFonts w:asciiTheme="majorBidi" w:hAnsiTheme="majorBidi" w:cstheme="majorBidi"/>
          <w:sz w:val="20"/>
        </w:rPr>
        <w:footnoteRef/>
      </w:r>
      <w:r w:rsidRPr="00FC3181">
        <w:rPr>
          <w:rFonts w:asciiTheme="majorBidi" w:hAnsiTheme="majorBidi" w:cstheme="majorBidi"/>
          <w:sz w:val="20"/>
        </w:rPr>
        <w:t xml:space="preserve"> Convention for the Protection of Cultural Property in the Event of Armed Conflict (1954 Convention), signed at The Hague, 14 May 1954, Article 4; and, Second Protocol to the Hague Convention of 1954 for the Protection of Cultural Property in the Event of Armed Conflict, signed at The Hague, 17 May 1999, UNESCO Doc. HC/1999/7, 26 March 1999, articles 6 and 7.</w:t>
      </w:r>
    </w:p>
  </w:footnote>
  <w:footnote w:id="1371">
    <w:p w14:paraId="39056524" w14:textId="1D40607D" w:rsidR="00A1624A" w:rsidRPr="009D5C34"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الدول الأعضاء التحالف هي أطراف في اتفاقية لاهاي لعام 1954 وبروتوكولها الإضافي الثاني باستثناء دولة الإمارات العربية المتحدة التي لم توقع على الاتفاقية والسودان والذي ليس طرفًا في البروتوكول الثاني</w:t>
      </w:r>
      <w:r w:rsidRPr="009D5C34">
        <w:rPr>
          <w:rStyle w:val="FootnoteReference"/>
          <w:rFonts w:ascii="Traditional Arabic" w:hAnsi="Traditional Arabic" w:cs="Traditional Arabic"/>
          <w:sz w:val="22"/>
          <w:szCs w:val="22"/>
          <w:vertAlign w:val="baseline"/>
        </w:rPr>
        <w:t>.</w:t>
      </w:r>
    </w:p>
  </w:footnote>
  <w:footnote w:id="1372">
    <w:p w14:paraId="66265D64" w14:textId="07E0D878"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9D5C34">
        <w:rPr>
          <w:rStyle w:val="FootnoteReference"/>
          <w:rFonts w:ascii="Traditional Arabic" w:hAnsi="Traditional Arabic" w:cs="Traditional Arabic"/>
          <w:sz w:val="22"/>
          <w:szCs w:val="22"/>
          <w:vertAlign w:val="baseline"/>
        </w:rPr>
        <w:footnoteRef/>
      </w:r>
      <w:r w:rsidRPr="009D5C34">
        <w:rPr>
          <w:rStyle w:val="FootnoteReference"/>
          <w:rFonts w:ascii="Traditional Arabic" w:hAnsi="Traditional Arabic" w:cs="Traditional Arabic"/>
          <w:sz w:val="22"/>
          <w:szCs w:val="22"/>
          <w:vertAlign w:val="baseline"/>
        </w:rPr>
        <w:t xml:space="preserve"> </w:t>
      </w:r>
      <w:r w:rsidRPr="009D5C34">
        <w:rPr>
          <w:rStyle w:val="FootnoteReference"/>
          <w:rFonts w:ascii="Traditional Arabic" w:hAnsi="Traditional Arabic" w:cs="Traditional Arabic"/>
          <w:sz w:val="22"/>
          <w:szCs w:val="22"/>
          <w:vertAlign w:val="baseline"/>
          <w:rtl/>
        </w:rPr>
        <w:t>لا تتضمن القائمة الدولية للممتلكات الثقافية الخاضعة للحماية المعززة أي ممتلكات ثقافية في اليمن</w:t>
      </w:r>
      <w:r w:rsidRPr="00FC3181">
        <w:rPr>
          <w:rStyle w:val="tlid-translation"/>
          <w:rFonts w:asciiTheme="majorBidi" w:hAnsiTheme="majorBidi" w:cstheme="majorBidi"/>
          <w:sz w:val="20"/>
          <w:lang w:bidi="ar"/>
        </w:rPr>
        <w:t>.</w:t>
      </w:r>
    </w:p>
  </w:footnote>
  <w:footnote w:id="1373">
    <w:p w14:paraId="5AD924B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Rome Statute, Art. 8 2.(e)(iv); see ICRC, customary study on IHL, rule 38. </w:t>
      </w:r>
    </w:p>
  </w:footnote>
  <w:footnote w:id="1374">
    <w:p w14:paraId="55B36FE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Blue Shield Statement on Yemen, 3 June 2015, at </w:t>
      </w:r>
      <w:hyperlink r:id="rId57" w:history="1">
        <w:r w:rsidRPr="002D78C7">
          <w:rPr>
            <w:rStyle w:val="Hyperlink"/>
            <w:rFonts w:asciiTheme="majorBidi" w:hAnsiTheme="majorBidi" w:cstheme="majorBidi"/>
            <w:szCs w:val="18"/>
          </w:rPr>
          <w:t>https://theblueshield.org/wp-content/uploads/2018/06/03062015_Statement_Yemen_FINAL.pdf</w:t>
        </w:r>
      </w:hyperlink>
      <w:r w:rsidRPr="002D78C7">
        <w:rPr>
          <w:rStyle w:val="Hyperlink"/>
          <w:rFonts w:asciiTheme="majorBidi" w:hAnsiTheme="majorBidi" w:cstheme="majorBidi"/>
          <w:szCs w:val="18"/>
        </w:rPr>
        <w:t>;</w:t>
      </w:r>
      <w:r w:rsidRPr="002D78C7">
        <w:rPr>
          <w:rFonts w:asciiTheme="majorBidi" w:hAnsiTheme="majorBidi" w:cstheme="majorBidi"/>
          <w:szCs w:val="18"/>
        </w:rPr>
        <w:t xml:space="preserve"> See also Confidential Sources on File.</w:t>
      </w:r>
    </w:p>
  </w:footnote>
  <w:footnote w:id="1375">
    <w:p w14:paraId="76EE851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Copies of confidential correspondence between UNESCO and the parties to the conflict on file. </w:t>
      </w:r>
    </w:p>
  </w:footnote>
  <w:footnote w:id="1376">
    <w:p w14:paraId="39DDA88F" w14:textId="714B73D9" w:rsidR="00A1624A" w:rsidRPr="00EF653C"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EF653C">
        <w:rPr>
          <w:rStyle w:val="FootnoteReference"/>
          <w:rFonts w:ascii="Traditional Arabic" w:hAnsi="Traditional Arabic" w:cs="Traditional Arabic"/>
          <w:sz w:val="22"/>
          <w:szCs w:val="22"/>
        </w:rPr>
        <w:footnoteRef/>
      </w:r>
      <w:r w:rsidRPr="00EF653C">
        <w:rPr>
          <w:rFonts w:ascii="Traditional Arabic" w:hAnsi="Traditional Arabic" w:cs="Traditional Arabic"/>
          <w:sz w:val="22"/>
          <w:szCs w:val="22"/>
        </w:rPr>
        <w:t xml:space="preserve"> </w:t>
      </w:r>
      <w:r w:rsidRPr="00EF653C">
        <w:rPr>
          <w:rFonts w:ascii="Traditional Arabic" w:hAnsi="Traditional Arabic" w:cs="Traditional Arabic"/>
          <w:sz w:val="22"/>
          <w:szCs w:val="22"/>
          <w:rtl/>
        </w:rPr>
        <w:t xml:space="preserve">أدان الأونيسكو الغارة الجوية التي قامت بها قوات التحالف يوم 12 حزيران/ يونيو 2015. </w:t>
      </w:r>
    </w:p>
    <w:p w14:paraId="1ACFCD37" w14:textId="1E6D7896"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 xml:space="preserve">UNESCO Statement, 12 June 2015, available at </w:t>
      </w:r>
      <w:hyperlink r:id="rId58" w:history="1">
        <w:r w:rsidRPr="002D78C7">
          <w:rPr>
            <w:rStyle w:val="Hyperlink"/>
            <w:rFonts w:asciiTheme="majorBidi" w:hAnsiTheme="majorBidi" w:cstheme="majorBidi"/>
            <w:szCs w:val="18"/>
          </w:rPr>
          <w:t>https://whc.unesco.org/en/news/1295/</w:t>
        </w:r>
      </w:hyperlink>
      <w:r w:rsidRPr="002D78C7">
        <w:rPr>
          <w:rFonts w:asciiTheme="majorBidi" w:hAnsiTheme="majorBidi" w:cstheme="majorBidi"/>
          <w:szCs w:val="18"/>
        </w:rPr>
        <w:t xml:space="preserve"> </w:t>
      </w:r>
    </w:p>
  </w:footnote>
  <w:footnote w:id="1377">
    <w:p w14:paraId="319667E8" w14:textId="77777777"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eastAsia="SimSun" w:hAnsiTheme="majorBidi" w:cstheme="majorBidi"/>
          <w:b/>
          <w:szCs w:val="18"/>
          <w:lang w:eastAsia="zh-CN"/>
        </w:rPr>
        <w:t xml:space="preserve"> </w:t>
      </w:r>
      <w:r w:rsidRPr="002D78C7">
        <w:rPr>
          <w:rFonts w:asciiTheme="majorBidi" w:hAnsiTheme="majorBidi" w:cstheme="majorBidi"/>
          <w:szCs w:val="18"/>
        </w:rPr>
        <w:t>https://whc.unesco.org/en/news/1310/</w:t>
      </w:r>
      <w:r w:rsidRPr="002D78C7">
        <w:rPr>
          <w:rStyle w:val="Hyperlink"/>
          <w:rFonts w:asciiTheme="majorBidi" w:hAnsiTheme="majorBidi" w:cstheme="majorBidi"/>
          <w:szCs w:val="18"/>
        </w:rPr>
        <w:t xml:space="preserve">. </w:t>
      </w:r>
      <w:r w:rsidRPr="002D78C7">
        <w:rPr>
          <w:rFonts w:asciiTheme="majorBidi" w:hAnsiTheme="majorBidi" w:cstheme="majorBidi"/>
          <w:szCs w:val="18"/>
        </w:rPr>
        <w:t xml:space="preserve"> </w:t>
      </w:r>
    </w:p>
  </w:footnote>
  <w:footnote w:id="1378">
    <w:p w14:paraId="1901F2D9" w14:textId="590E2066"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sz w:val="22"/>
          <w:szCs w:val="22"/>
          <w:vertAlign w:val="baseline"/>
        </w:rPr>
        <w:t>.</w:t>
      </w:r>
    </w:p>
  </w:footnote>
  <w:footnote w:id="1379">
    <w:p w14:paraId="446197FE" w14:textId="24A32231"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hint="cs"/>
          <w:sz w:val="22"/>
          <w:szCs w:val="22"/>
          <w:vertAlign w:val="baseline"/>
          <w:rtl/>
        </w:rPr>
        <w:t xml:space="preserve">سجّل فريق الخبراء أكثر من 3124 موقع متأثر بين أيار/ مايو وحزيران/ يونيو 2015 في تقريره الأول فقط. </w:t>
      </w:r>
      <w:r w:rsidRPr="00EF653C">
        <w:rPr>
          <w:rStyle w:val="FootnoteReference"/>
          <w:rFonts w:ascii="Traditional Arabic" w:hAnsi="Traditional Arabic" w:cs="Traditional Arabic"/>
          <w:sz w:val="22"/>
          <w:szCs w:val="22"/>
          <w:vertAlign w:val="baseline"/>
        </w:rPr>
        <w:t xml:space="preserve"> (see A/HRC/39/43).</w:t>
      </w:r>
    </w:p>
  </w:footnote>
  <w:footnote w:id="1380">
    <w:p w14:paraId="361666EB" w14:textId="271FE031"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sz w:val="22"/>
          <w:szCs w:val="22"/>
          <w:vertAlign w:val="baseline"/>
        </w:rPr>
        <w:t>.</w:t>
      </w:r>
    </w:p>
  </w:footnote>
  <w:footnote w:id="1381">
    <w:p w14:paraId="0F83C9D1" w14:textId="5ECB1F23" w:rsidR="00A1624A" w:rsidRPr="00EF653C"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EF653C">
        <w:rPr>
          <w:rStyle w:val="FootnoteReference"/>
          <w:rFonts w:ascii="Traditional Arabic" w:hAnsi="Traditional Arabic" w:cs="Traditional Arabic"/>
          <w:sz w:val="22"/>
          <w:szCs w:val="22"/>
          <w:vertAlign w:val="baseline"/>
        </w:rPr>
        <w:footnoteRef/>
      </w:r>
      <w:r w:rsidRPr="00EF653C">
        <w:rPr>
          <w:rStyle w:val="FootnoteReference"/>
          <w:rFonts w:ascii="Traditional Arabic" w:hAnsi="Traditional Arabic" w:cs="Traditional Arabic"/>
          <w:sz w:val="22"/>
          <w:szCs w:val="22"/>
          <w:vertAlign w:val="baseline"/>
        </w:rPr>
        <w:t xml:space="preserve"> </w:t>
      </w:r>
      <w:r w:rsidRPr="00EF653C">
        <w:rPr>
          <w:rStyle w:val="FootnoteReference"/>
          <w:rFonts w:ascii="Traditional Arabic" w:hAnsi="Traditional Arabic" w:cs="Traditional Arabic"/>
          <w:sz w:val="22"/>
          <w:szCs w:val="22"/>
          <w:vertAlign w:val="baseline"/>
          <w:rtl/>
        </w:rPr>
        <w:t>مصادر سريّة في الملف</w:t>
      </w:r>
      <w:r w:rsidRPr="00EF653C">
        <w:rPr>
          <w:rStyle w:val="FootnoteReference"/>
          <w:rFonts w:ascii="Traditional Arabic" w:hAnsi="Traditional Arabic" w:cs="Traditional Arabic" w:hint="cs"/>
          <w:sz w:val="22"/>
          <w:szCs w:val="22"/>
          <w:vertAlign w:val="baseline"/>
          <w:rtl/>
        </w:rPr>
        <w:t>، أنظر أيضًا:</w:t>
      </w:r>
    </w:p>
    <w:p w14:paraId="67D26265" w14:textId="2A54754F" w:rsidR="00A1624A" w:rsidRPr="002D78C7" w:rsidRDefault="0068660E" w:rsidP="00B81240">
      <w:pPr>
        <w:pStyle w:val="FootnoteText"/>
        <w:tabs>
          <w:tab w:val="clear" w:pos="1021"/>
        </w:tabs>
        <w:bidi/>
        <w:spacing w:line="240" w:lineRule="auto"/>
        <w:ind w:left="851" w:firstLine="0"/>
        <w:jc w:val="both"/>
        <w:rPr>
          <w:rFonts w:asciiTheme="majorBidi" w:hAnsiTheme="majorBidi" w:cstheme="majorBidi"/>
          <w:szCs w:val="18"/>
        </w:rPr>
      </w:pPr>
      <w:hyperlink r:id="rId59" w:history="1">
        <w:r w:rsidR="00A1624A" w:rsidRPr="00DC60D8">
          <w:rPr>
            <w:rStyle w:val="Hyperlink"/>
            <w:rFonts w:asciiTheme="majorBidi" w:hAnsiTheme="majorBidi" w:cstheme="majorBidi"/>
            <w:szCs w:val="18"/>
          </w:rPr>
          <w:t>https://theintercept.com/2015/11/16/u-s-and-saudi-bombs-target-yemens-ancient-heritage/</w:t>
        </w:r>
      </w:hyperlink>
      <w:r w:rsidR="00A1624A" w:rsidRPr="002D78C7">
        <w:rPr>
          <w:rStyle w:val="Hyperlink"/>
          <w:rFonts w:asciiTheme="majorBidi" w:hAnsiTheme="majorBidi" w:cstheme="majorBidi"/>
          <w:szCs w:val="18"/>
        </w:rPr>
        <w:t>.</w:t>
      </w:r>
    </w:p>
  </w:footnote>
  <w:footnote w:id="1382">
    <w:p w14:paraId="420B89C8" w14:textId="4AD29FA2" w:rsidR="00A1624A" w:rsidRPr="000F026D"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Pr>
      </w:pPr>
      <w:r w:rsidRPr="000F026D">
        <w:rPr>
          <w:rStyle w:val="FootnoteReference"/>
          <w:rFonts w:ascii="Traditional Arabic" w:hAnsi="Traditional Arabic" w:cs="Traditional Arabic"/>
          <w:sz w:val="22"/>
          <w:szCs w:val="22"/>
        </w:rPr>
        <w:footnoteRef/>
      </w:r>
      <w:r w:rsidRPr="000F026D">
        <w:rPr>
          <w:rStyle w:val="tlid-translation"/>
          <w:rFonts w:ascii="Traditional Arabic" w:hAnsi="Traditional Arabic" w:cs="Traditional Arabic"/>
          <w:sz w:val="22"/>
          <w:szCs w:val="22"/>
          <w:rtl/>
        </w:rPr>
        <w:t xml:space="preserve"> تتطلّب المادة </w:t>
      </w:r>
      <w:r w:rsidRPr="000F026D">
        <w:rPr>
          <w:rFonts w:ascii="Traditional Arabic" w:hAnsi="Traditional Arabic" w:cs="Traditional Arabic"/>
          <w:sz w:val="22"/>
          <w:szCs w:val="22"/>
        </w:rPr>
        <w:t xml:space="preserve">6(d) </w:t>
      </w:r>
      <w:r w:rsidRPr="000F026D">
        <w:rPr>
          <w:rFonts w:ascii="Traditional Arabic" w:hAnsi="Traditional Arabic" w:cs="Traditional Arabic"/>
          <w:sz w:val="22"/>
          <w:szCs w:val="22"/>
          <w:rtl/>
        </w:rPr>
        <w:t xml:space="preserve"> من </w:t>
      </w:r>
      <w:r w:rsidRPr="000F026D">
        <w:rPr>
          <w:rStyle w:val="tlid-translation"/>
          <w:rFonts w:ascii="Traditional Arabic" w:hAnsi="Traditional Arabic" w:cs="Traditional Arabic"/>
          <w:sz w:val="22"/>
          <w:szCs w:val="22"/>
          <w:rtl/>
        </w:rPr>
        <w:t xml:space="preserve">البروتوكول الثاني </w:t>
      </w:r>
      <w:r w:rsidRPr="000F026D">
        <w:rPr>
          <w:rFonts w:ascii="Traditional Arabic" w:hAnsi="Traditional Arabic" w:cs="Traditional Arabic"/>
          <w:sz w:val="22"/>
          <w:szCs w:val="22"/>
          <w:rtl/>
        </w:rPr>
        <w:t>أ</w:t>
      </w:r>
      <w:r w:rsidRPr="000F026D">
        <w:rPr>
          <w:rStyle w:val="tlid-translation"/>
          <w:rFonts w:ascii="Traditional Arabic" w:hAnsi="Traditional Arabic" w:cs="Traditional Arabic"/>
          <w:sz w:val="22"/>
          <w:szCs w:val="22"/>
          <w:rtl/>
        </w:rPr>
        <w:t>نه في حالة الهجوم، يجب إعطاء تحذير مسبق فعال كلما سمحت الظروف بذلك.</w:t>
      </w:r>
      <w:r w:rsidRPr="000F026D">
        <w:rPr>
          <w:rStyle w:val="tlid-translation"/>
          <w:rFonts w:ascii="Traditional Arabic" w:hAnsi="Traditional Arabic" w:cs="Traditional Arabic"/>
          <w:sz w:val="22"/>
          <w:szCs w:val="22"/>
          <w:lang w:bidi="ar"/>
        </w:rPr>
        <w:t xml:space="preserve"> </w:t>
      </w:r>
      <w:r w:rsidRPr="000F026D">
        <w:rPr>
          <w:rStyle w:val="tlid-translation"/>
          <w:rFonts w:ascii="Traditional Arabic" w:hAnsi="Traditional Arabic" w:cs="Traditional Arabic"/>
          <w:sz w:val="22"/>
          <w:szCs w:val="22"/>
          <w:rtl/>
        </w:rPr>
        <w:t>لم يكن هذا الواجب موجودًا بموجب اتفاقية 1954. تقارب حماية الممتلكات الثقافية في بعض النواحي يساوي حماية السكان المدنيين على هذا النحو وتتجاوز حماية الممتلكات المدنية الأخرى</w:t>
      </w:r>
      <w:r w:rsidRPr="000F026D">
        <w:rPr>
          <w:rStyle w:val="tlid-translation"/>
          <w:rFonts w:ascii="Traditional Arabic" w:hAnsi="Traditional Arabic" w:cs="Traditional Arabic"/>
          <w:sz w:val="22"/>
          <w:szCs w:val="22"/>
          <w:lang w:bidi="ar"/>
        </w:rPr>
        <w:t>.</w:t>
      </w:r>
    </w:p>
  </w:footnote>
  <w:footnote w:id="1383">
    <w:p w14:paraId="79718803" w14:textId="19C83EDA" w:rsidR="00A1624A" w:rsidRPr="000F026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tl/>
        </w:rPr>
      </w:pPr>
      <w:r w:rsidRPr="000F026D">
        <w:rPr>
          <w:rStyle w:val="FootnoteReference"/>
          <w:rFonts w:ascii="Traditional Arabic" w:hAnsi="Traditional Arabic" w:cs="Traditional Arabic"/>
          <w:sz w:val="22"/>
          <w:szCs w:val="22"/>
          <w:vertAlign w:val="baseline"/>
        </w:rPr>
        <w:footnoteRef/>
      </w:r>
      <w:r w:rsidRPr="000F026D">
        <w:rPr>
          <w:rStyle w:val="FootnoteReference"/>
          <w:rFonts w:ascii="Traditional Arabic" w:hAnsi="Traditional Arabic" w:cs="Traditional Arabic"/>
          <w:sz w:val="22"/>
          <w:szCs w:val="22"/>
          <w:vertAlign w:val="baseline"/>
        </w:rPr>
        <w:t xml:space="preserve"> </w:t>
      </w:r>
      <w:r w:rsidRPr="000F026D">
        <w:rPr>
          <w:rStyle w:val="FootnoteReference"/>
          <w:rFonts w:ascii="Traditional Arabic" w:hAnsi="Traditional Arabic" w:cs="Traditional Arabic"/>
          <w:sz w:val="22"/>
          <w:szCs w:val="22"/>
          <w:vertAlign w:val="baseline"/>
          <w:rtl/>
        </w:rPr>
        <w:t>مصادر سريّة في الملف</w:t>
      </w:r>
      <w:r w:rsidRPr="000F026D">
        <w:rPr>
          <w:rStyle w:val="FootnoteReference"/>
          <w:rFonts w:ascii="Traditional Arabic" w:hAnsi="Traditional Arabic" w:cs="Traditional Arabic"/>
          <w:sz w:val="22"/>
          <w:szCs w:val="22"/>
          <w:vertAlign w:val="baseline"/>
        </w:rPr>
        <w:t>.</w:t>
      </w:r>
      <w:r w:rsidRPr="000F026D">
        <w:rPr>
          <w:rStyle w:val="FootnoteReference"/>
          <w:rFonts w:ascii="Traditional Arabic" w:hAnsi="Traditional Arabic" w:cs="Traditional Arabic"/>
          <w:sz w:val="22"/>
          <w:szCs w:val="22"/>
          <w:vertAlign w:val="baseline"/>
          <w:rtl/>
        </w:rPr>
        <w:t xml:space="preserve"> أنظر أيضًا مواطنة:</w:t>
      </w:r>
    </w:p>
    <w:p w14:paraId="62720386" w14:textId="1D1D52CA"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 xml:space="preserve">Mwatana for Human Rights, The Degradation of History, Violations Committed by the Warring Parties against Yemen’s Cultural Property, November 2018. See also </w:t>
      </w:r>
      <w:hyperlink r:id="rId60" w:history="1">
        <w:r w:rsidRPr="002D78C7">
          <w:rPr>
            <w:rStyle w:val="Hyperlink"/>
            <w:rFonts w:asciiTheme="majorBidi" w:hAnsiTheme="majorBidi" w:cstheme="majorBidi"/>
            <w:szCs w:val="18"/>
          </w:rPr>
          <w:t>https://www.nytimes.com/2015/06/27/opinion/yemeni-heritage-saudi-vandalism.html</w:t>
        </w:r>
      </w:hyperlink>
      <w:r w:rsidRPr="002D78C7">
        <w:rPr>
          <w:rStyle w:val="Hyperlink"/>
          <w:rFonts w:asciiTheme="majorBidi" w:hAnsiTheme="majorBidi" w:cstheme="majorBidi"/>
          <w:szCs w:val="18"/>
        </w:rPr>
        <w:t>.</w:t>
      </w:r>
    </w:p>
  </w:footnote>
  <w:footnote w:id="1384">
    <w:p w14:paraId="0D54314B" w14:textId="6BC502B1" w:rsidR="00A1624A" w:rsidRPr="0068318D" w:rsidRDefault="00A1624A" w:rsidP="00B81240">
      <w:pPr>
        <w:pStyle w:val="FootnoteText"/>
        <w:tabs>
          <w:tab w:val="clear" w:pos="1021"/>
        </w:tabs>
        <w:bidi/>
        <w:spacing w:line="240" w:lineRule="auto"/>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مصادر سريّة في الملف</w:t>
      </w:r>
      <w:r w:rsidRPr="0068318D">
        <w:rPr>
          <w:rFonts w:ascii="Traditional Arabic" w:hAnsi="Traditional Arabic" w:cs="Traditional Arabic"/>
          <w:sz w:val="22"/>
          <w:szCs w:val="22"/>
        </w:rPr>
        <w:t>.</w:t>
      </w:r>
      <w:r w:rsidRPr="0068318D">
        <w:rPr>
          <w:rFonts w:ascii="Traditional Arabic" w:hAnsi="Traditional Arabic" w:cs="Traditional Arabic"/>
          <w:sz w:val="22"/>
          <w:szCs w:val="22"/>
          <w:rtl/>
        </w:rPr>
        <w:t xml:space="preserve"> أنظر أيضًا:</w:t>
      </w:r>
    </w:p>
    <w:p w14:paraId="725DF797" w14:textId="740C73A2"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Mwatana for Human Rights, The Degradation of History, Violations Committed by the Warring Parties against Yemen’s Cultural Property, November 2018.</w:t>
      </w:r>
    </w:p>
  </w:footnote>
  <w:footnote w:id="1385">
    <w:p w14:paraId="167E985E" w14:textId="77777777"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UNOSAT satellite imagery-based assessment for numerous incidents in Aden, Yemen, between 14 and 16 July 2015 on file. </w:t>
      </w:r>
    </w:p>
  </w:footnote>
  <w:footnote w:id="1386">
    <w:p w14:paraId="482A058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6, Second Protocol to the 1954 Hague Convention. </w:t>
      </w:r>
    </w:p>
  </w:footnote>
  <w:footnote w:id="1387">
    <w:p w14:paraId="5461662B" w14:textId="30FD7C87"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tl/>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sz w:val="22"/>
          <w:szCs w:val="22"/>
          <w:vertAlign w:val="baseline"/>
          <w:rtl/>
        </w:rPr>
        <w:t>مصادر سريّة في الملف</w:t>
      </w:r>
      <w:r w:rsidRPr="0068318D">
        <w:rPr>
          <w:rStyle w:val="FootnoteReference"/>
          <w:rFonts w:ascii="Traditional Arabic" w:hAnsi="Traditional Arabic" w:cs="Traditional Arabic"/>
          <w:sz w:val="22"/>
          <w:szCs w:val="22"/>
          <w:vertAlign w:val="baseline"/>
        </w:rPr>
        <w:t>.</w:t>
      </w:r>
      <w:r w:rsidRPr="0068318D">
        <w:rPr>
          <w:rStyle w:val="FootnoteReference"/>
          <w:rFonts w:ascii="Traditional Arabic" w:hAnsi="Traditional Arabic" w:cs="Traditional Arabic" w:hint="cs"/>
          <w:sz w:val="22"/>
          <w:szCs w:val="22"/>
          <w:vertAlign w:val="baseline"/>
          <w:rtl/>
        </w:rPr>
        <w:t xml:space="preserve"> أنظر أيضًا</w:t>
      </w:r>
    </w:p>
    <w:p w14:paraId="09B0EF1B" w14:textId="6204A31A"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2D78C7">
        <w:rPr>
          <w:rFonts w:asciiTheme="majorBidi" w:hAnsiTheme="majorBidi" w:cstheme="majorBidi"/>
          <w:szCs w:val="18"/>
        </w:rPr>
        <w:t xml:space="preserve">ICRC Statement at: </w:t>
      </w:r>
      <w:hyperlink r:id="rId61" w:history="1">
        <w:r w:rsidRPr="002D78C7">
          <w:rPr>
            <w:rStyle w:val="Hyperlink"/>
            <w:rFonts w:asciiTheme="majorBidi" w:hAnsiTheme="majorBidi" w:cstheme="majorBidi"/>
            <w:szCs w:val="18"/>
          </w:rPr>
          <w:t>https://www.icrc.org/en/document/yemen-citys-architectural-connection-islam-risk-fighting-nears</w:t>
        </w:r>
      </w:hyperlink>
      <w:r w:rsidRPr="002D78C7">
        <w:rPr>
          <w:rFonts w:asciiTheme="majorBidi" w:hAnsiTheme="majorBidi" w:cstheme="majorBidi"/>
          <w:szCs w:val="18"/>
        </w:rPr>
        <w:t xml:space="preserve"> </w:t>
      </w:r>
    </w:p>
  </w:footnote>
  <w:footnote w:id="1388">
    <w:p w14:paraId="5E0AC899" w14:textId="20C73D22"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sz w:val="22"/>
          <w:szCs w:val="22"/>
          <w:vertAlign w:val="baseline"/>
          <w:rtl/>
        </w:rPr>
        <w:t>مصادر سريّة في الملف</w:t>
      </w:r>
      <w:r w:rsidRPr="0068318D">
        <w:rPr>
          <w:rStyle w:val="FootnoteReference"/>
          <w:rFonts w:ascii="Traditional Arabic" w:hAnsi="Traditional Arabic" w:cs="Traditional Arabic"/>
          <w:sz w:val="22"/>
          <w:szCs w:val="22"/>
          <w:vertAlign w:val="baseline"/>
        </w:rPr>
        <w:t>.</w:t>
      </w:r>
    </w:p>
  </w:footnote>
  <w:footnote w:id="1389">
    <w:p w14:paraId="632DE37E" w14:textId="69BEE9EE"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أنظر بشكل عام، دراسة اللجنة الدولية للصليب الأحمر حول القانون الدولي الإنساني العرفي، القاعدة 142.</w:t>
      </w:r>
    </w:p>
  </w:footnote>
  <w:footnote w:id="1390">
    <w:p w14:paraId="69AA6905" w14:textId="32FDF803"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أنظر المرجع نفسه، القاعدة 144، الجملة الثانية والتعليق اللاحق. </w:t>
      </w:r>
    </w:p>
  </w:footnote>
  <w:footnote w:id="1391">
    <w:p w14:paraId="2931104A" w14:textId="6AD4E42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149. </w:t>
      </w:r>
    </w:p>
  </w:footnote>
  <w:footnote w:id="1392">
    <w:p w14:paraId="5E378AAD" w14:textId="2CFF4CC3"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149. </w:t>
      </w:r>
    </w:p>
  </w:footnote>
  <w:footnote w:id="1393">
    <w:p w14:paraId="47087B38" w14:textId="79FA820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التعليق على القاعدة 149. </w:t>
      </w:r>
    </w:p>
  </w:footnote>
  <w:footnote w:id="1394">
    <w:p w14:paraId="038FC6C9" w14:textId="59D38F4A"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156. </w:t>
      </w:r>
    </w:p>
  </w:footnote>
  <w:footnote w:id="1395">
    <w:p w14:paraId="20088364" w14:textId="10F0D54C"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151. </w:t>
      </w:r>
    </w:p>
  </w:footnote>
  <w:footnote w:id="1396">
    <w:p w14:paraId="20C4FA0C" w14:textId="21F079BD"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158. </w:t>
      </w:r>
    </w:p>
  </w:footnote>
  <w:footnote w:id="1397">
    <w:p w14:paraId="049E9295" w14:textId="16676E50"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على سبيل المثال، يجب أن تكون المشورة القانونية متوفرة وعلى المستوى المناسب من القيادة ويجب أن يتم إرشاد أفراد القوات المسلحة عن السلوك المطلوب وعن ما هو محظور، المرجع نفسه، القواعد 141 و142.  </w:t>
      </w:r>
    </w:p>
  </w:footnote>
  <w:footnote w:id="1398">
    <w:p w14:paraId="042F2777" w14:textId="1A20110A"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كانت مسألة تطبيق الالتزام بالتحقيق بموجب قانون حقوق الإنسان على العمليات العسكرية التي نفذت خلال الاحتلال العسكري أمام مجلس اللوردات في </w:t>
      </w:r>
      <w:r w:rsidRPr="0068318D">
        <w:rPr>
          <w:rStyle w:val="FootnoteReference"/>
          <w:rFonts w:ascii="Traditional Arabic" w:hAnsi="Traditional Arabic" w:cs="Traditional Arabic"/>
          <w:sz w:val="22"/>
          <w:szCs w:val="22"/>
          <w:vertAlign w:val="baseline"/>
        </w:rPr>
        <w:t xml:space="preserve">Al Skeini </w:t>
      </w:r>
      <w:r w:rsidRPr="0068318D">
        <w:rPr>
          <w:rStyle w:val="FootnoteReference"/>
          <w:rFonts w:ascii="Traditional Arabic" w:hAnsi="Traditional Arabic" w:cs="Traditional Arabic" w:hint="cs"/>
          <w:sz w:val="22"/>
          <w:szCs w:val="22"/>
          <w:vertAlign w:val="baseline"/>
          <w:rtl/>
        </w:rPr>
        <w:t xml:space="preserve"> وآخرين ضد وزير للدفاع، </w:t>
      </w:r>
      <w:r w:rsidRPr="0068318D">
        <w:rPr>
          <w:rStyle w:val="FootnoteReference"/>
          <w:rFonts w:ascii="Traditional Arabic" w:hAnsi="Traditional Arabic" w:cs="Traditional Arabic" w:hint="cs"/>
          <w:sz w:val="22"/>
          <w:szCs w:val="22"/>
          <w:vertAlign w:val="baseline"/>
        </w:rPr>
        <w:t>[2007] HL 26</w:t>
      </w:r>
      <w:r w:rsidRPr="0068318D">
        <w:rPr>
          <w:rStyle w:val="FootnoteReference"/>
          <w:rFonts w:ascii="Traditional Arabic" w:hAnsi="Traditional Arabic" w:cs="Traditional Arabic" w:hint="cs"/>
          <w:sz w:val="22"/>
          <w:szCs w:val="22"/>
          <w:vertAlign w:val="baseline"/>
          <w:rtl/>
        </w:rPr>
        <w:t>، الحكم الصادر في 13 حزيران/ يونيو 2007</w:t>
      </w:r>
      <w:r w:rsidRPr="0068318D">
        <w:rPr>
          <w:rStyle w:val="FootnoteReference"/>
          <w:rFonts w:ascii="Traditional Arabic" w:hAnsi="Traditional Arabic" w:cs="Traditional Arabic" w:hint="cs"/>
          <w:sz w:val="22"/>
          <w:szCs w:val="22"/>
          <w:vertAlign w:val="baseline"/>
        </w:rPr>
        <w:t>.</w:t>
      </w:r>
      <w:r w:rsidRPr="0068318D">
        <w:rPr>
          <w:rStyle w:val="FootnoteReference"/>
          <w:rFonts w:ascii="Traditional Arabic" w:hAnsi="Traditional Arabic" w:cs="Traditional Arabic"/>
          <w:sz w:val="22"/>
          <w:szCs w:val="22"/>
          <w:vertAlign w:val="baseline"/>
        </w:rPr>
        <w:t xml:space="preserve"> </w:t>
      </w:r>
    </w:p>
  </w:footnote>
  <w:footnote w:id="1399">
    <w:p w14:paraId="1EE7E10F" w14:textId="0360553F"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هذا هو دور اللجنة الوطنية للتحقيق المؤسسة في اليمن. </w:t>
      </w:r>
    </w:p>
  </w:footnote>
  <w:footnote w:id="1400">
    <w:p w14:paraId="04230780" w14:textId="169CA815"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على سبيل المثال، إذا كانت المعلومات تأتي من مخبرين، قد يكون من الضروري اتخاذ تدابير للحلول دون حالات تصفية الحسابات. كذلك إذا مضى وقت على توفر هذه المعلومات، هذا يمكن أن يؤثر على درجة الاعتماد على هذه المعلومات.  </w:t>
      </w:r>
    </w:p>
  </w:footnote>
  <w:footnote w:id="1401">
    <w:p w14:paraId="562BFE21" w14:textId="74A4C59C" w:rsidR="00A1624A" w:rsidRPr="0068318D" w:rsidRDefault="00A1624A" w:rsidP="00B81240">
      <w:pPr>
        <w:pStyle w:val="FootnoteText"/>
        <w:tabs>
          <w:tab w:val="clear" w:pos="1021"/>
        </w:tabs>
        <w:bidi/>
        <w:spacing w:line="240" w:lineRule="auto"/>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في بعض الحالات قد تكون "النتيجة" مصطنعة أو مُعدّلة من الطرف المدافع، ليظهر كأن الدولة المهاجمة انتهكت القواعد</w:t>
      </w:r>
      <w:r w:rsidRPr="0068318D">
        <w:rPr>
          <w:rStyle w:val="FootnoteReference"/>
          <w:rFonts w:ascii="Traditional Arabic" w:hAnsi="Traditional Arabic" w:cs="Traditional Arabic" w:hint="cs"/>
          <w:sz w:val="22"/>
          <w:szCs w:val="22"/>
          <w:vertAlign w:val="baseline"/>
        </w:rPr>
        <w:t>.</w:t>
      </w:r>
    </w:p>
  </w:footnote>
  <w:footnote w:id="1402">
    <w:p w14:paraId="3B6D0463" w14:textId="244A11B4" w:rsidR="00A1624A" w:rsidRPr="002D78C7" w:rsidRDefault="00A1624A" w:rsidP="00B81240">
      <w:pPr>
        <w:pStyle w:val="FootnoteText"/>
        <w:tabs>
          <w:tab w:val="clear" w:pos="1021"/>
        </w:tabs>
        <w:bidi/>
        <w:spacing w:line="240" w:lineRule="auto"/>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hint="cs"/>
          <w:sz w:val="22"/>
          <w:szCs w:val="22"/>
          <w:vertAlign w:val="baseline"/>
          <w:rtl/>
        </w:rPr>
        <w:t xml:space="preserve"> أنظر دراسة اللجنة الدولية للصليب الأحمر حول القانون الدولي الإنساني العرفي، القاعدة 149.</w:t>
      </w:r>
      <w:r>
        <w:rPr>
          <w:rStyle w:val="tlid-translation"/>
          <w:rFonts w:hint="cs"/>
          <w:sz w:val="20"/>
          <w:rtl/>
        </w:rPr>
        <w:t xml:space="preserve"> </w:t>
      </w:r>
    </w:p>
  </w:footnote>
  <w:footnote w:id="1403">
    <w:p w14:paraId="17EBFE6C" w14:textId="503DE20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تم تأسيس لجنة القانون الدولي في عام 1947 من قبل الجمعية العامة بموجب المادة </w:t>
      </w:r>
      <w:r w:rsidRPr="0068318D">
        <w:rPr>
          <w:rStyle w:val="FootnoteReference"/>
          <w:rFonts w:ascii="Traditional Arabic" w:hAnsi="Traditional Arabic" w:cs="Traditional Arabic"/>
          <w:sz w:val="22"/>
          <w:szCs w:val="22"/>
          <w:vertAlign w:val="baseline"/>
        </w:rPr>
        <w:t>13 (1) (a)</w:t>
      </w:r>
      <w:r w:rsidRPr="0068318D">
        <w:rPr>
          <w:rStyle w:val="FootnoteReference"/>
          <w:rFonts w:ascii="Traditional Arabic" w:hAnsi="Traditional Arabic" w:cs="Traditional Arabic" w:hint="cs"/>
          <w:sz w:val="22"/>
          <w:szCs w:val="22"/>
          <w:vertAlign w:val="baseline"/>
          <w:rtl/>
        </w:rPr>
        <w:t xml:space="preserve"> من ميثاق الأمم المتحدة "لبدء الدراسات وتقديم توصيات لغرض</w:t>
      </w:r>
      <w:r w:rsidRPr="0068318D">
        <w:rPr>
          <w:rStyle w:val="FootnoteReference"/>
          <w:rFonts w:ascii="Traditional Arabic" w:hAnsi="Traditional Arabic" w:cs="Traditional Arabic" w:hint="cs"/>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تشجيع التطور التدريجي للقانون الدولي وتدوينه</w:t>
      </w:r>
      <w:r>
        <w:rPr>
          <w:rStyle w:val="tlid-translation"/>
          <w:rFonts w:hint="cs"/>
          <w:lang w:bidi="ar"/>
        </w:rPr>
        <w:t>.</w:t>
      </w:r>
      <w:r w:rsidRPr="002D78C7">
        <w:rPr>
          <w:rFonts w:asciiTheme="majorBidi" w:hAnsiTheme="majorBidi" w:cstheme="majorBidi"/>
          <w:szCs w:val="18"/>
        </w:rPr>
        <w:t>See http://legal.un.org/ilc/.</w:t>
      </w:r>
    </w:p>
  </w:footnote>
  <w:footnote w:id="1404">
    <w:p w14:paraId="02834BCA" w14:textId="77777777" w:rsidR="00A1624A" w:rsidRPr="002D78C7" w:rsidRDefault="00A1624A" w:rsidP="00B81240">
      <w:pPr>
        <w:pStyle w:val="FootnoteText"/>
        <w:tabs>
          <w:tab w:val="clear" w:pos="1021"/>
        </w:tabs>
        <w:bidi/>
        <w:ind w:left="851" w:firstLine="0"/>
        <w:jc w:val="both"/>
        <w:rPr>
          <w:rFonts w:asciiTheme="majorBidi" w:hAnsiTheme="majorBidi" w:cstheme="majorBidi"/>
          <w:b/>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on Common Article 3 of the Geneva Convention for the Amelioration of the Condition of the Wounded and Sick in Armed Forces in the Field’ (2016), para. 890,</w:t>
      </w:r>
    </w:p>
  </w:footnote>
  <w:footnote w:id="1405">
    <w:p w14:paraId="11CEC46F" w14:textId="77777777" w:rsidR="00A1624A" w:rsidRPr="002D78C7" w:rsidRDefault="00A1624A" w:rsidP="00B81240">
      <w:pPr>
        <w:pStyle w:val="FootnoteText"/>
        <w:tabs>
          <w:tab w:val="clear" w:pos="1021"/>
        </w:tabs>
        <w:bidi/>
        <w:ind w:left="851" w:firstLine="0"/>
        <w:jc w:val="both"/>
        <w:rPr>
          <w:rFonts w:asciiTheme="majorBidi" w:hAnsiTheme="majorBidi" w:cstheme="majorBidi"/>
          <w:b/>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on Common Article 3 of the Geneva Convention for the Amelioration of the Condition of the Wounded and Sick in Armed Forces in the Field’ (2016), para. 890,</w:t>
      </w:r>
    </w:p>
  </w:footnote>
  <w:footnote w:id="1406">
    <w:p w14:paraId="6C664B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ICRC Study on customary IHL, rule 158; see also Basic Principles and Guidelines on the Right to a Remedy and Reparations for Victims of Gross Violations of International Human Rights Law and Serious Violations of International Humanitarian Law, adopted and proclaimed by General Assembly resolution 60/147 of 16 December 2005.</w:t>
      </w:r>
    </w:p>
  </w:footnote>
  <w:footnote w:id="1407">
    <w:p w14:paraId="2180CE1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Luke Moffett, </w:t>
      </w:r>
      <w:r w:rsidRPr="002D78C7">
        <w:rPr>
          <w:rFonts w:asciiTheme="majorBidi" w:hAnsiTheme="majorBidi" w:cstheme="majorBidi"/>
          <w:i/>
          <w:szCs w:val="18"/>
        </w:rPr>
        <w:t>Reparations by Non-State Armed Groups</w:t>
      </w:r>
      <w:r w:rsidRPr="002D78C7">
        <w:rPr>
          <w:rFonts w:asciiTheme="majorBidi" w:hAnsiTheme="majorBidi" w:cstheme="majorBidi"/>
          <w:szCs w:val="18"/>
        </w:rPr>
        <w:t>, Armed Groups and International Law, May 2019 (</w:t>
      </w:r>
      <w:hyperlink r:id="rId62" w:history="1">
        <w:r w:rsidRPr="002D78C7">
          <w:rPr>
            <w:rStyle w:val="Hyperlink"/>
            <w:rFonts w:asciiTheme="majorBidi" w:hAnsiTheme="majorBidi" w:cstheme="majorBidi"/>
            <w:szCs w:val="18"/>
          </w:rPr>
          <w:t>https://armedgroups-internationallaw.org/2019/05/29/reparations-by-non-state-armed-groups/</w:t>
        </w:r>
      </w:hyperlink>
      <w:r w:rsidRPr="002D78C7">
        <w:rPr>
          <w:rFonts w:asciiTheme="majorBidi" w:hAnsiTheme="majorBidi" w:cstheme="majorBidi"/>
          <w:szCs w:val="18"/>
        </w:rPr>
        <w:t>).</w:t>
      </w:r>
    </w:p>
  </w:footnote>
  <w:footnote w:id="1408">
    <w:p w14:paraId="73F9D994" w14:textId="13AC6327"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دراسة اللجنة الدولية للصليب الأحمر حول القانون الدولي الإنساني العرفي، القاعدة 156. </w:t>
      </w:r>
    </w:p>
  </w:footnote>
  <w:footnote w:id="1409">
    <w:p w14:paraId="13DA1084" w14:textId="3CCD15CC"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151. </w:t>
      </w:r>
    </w:p>
  </w:footnote>
  <w:footnote w:id="1410">
    <w:p w14:paraId="544D55D2" w14:textId="785EF282"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المرجع نفسه، القاعدة 155. </w:t>
      </w:r>
    </w:p>
  </w:footnote>
  <w:footnote w:id="1411">
    <w:p w14:paraId="76367B00" w14:textId="208E9DBC"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المرجع نفسه، القاعدة 152. ينطبق هذا بالتساوي على القادة ضمن القوات المسلحة التابعة للدولة وقادة جماعة مسلحة غير تابعة للدولة.</w:t>
      </w:r>
    </w:p>
  </w:footnote>
  <w:footnote w:id="1412">
    <w:p w14:paraId="0CC815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William A. Shabas, “</w:t>
      </w:r>
      <w:r w:rsidRPr="002D78C7">
        <w:rPr>
          <w:rFonts w:asciiTheme="majorBidi" w:hAnsiTheme="majorBidi" w:cstheme="majorBidi"/>
          <w:iCs/>
          <w:szCs w:val="18"/>
        </w:rPr>
        <w:t>Punishment of Non-State Actors in Non-International Armed Conflict”</w:t>
      </w:r>
      <w:r w:rsidRPr="002D78C7">
        <w:rPr>
          <w:rFonts w:asciiTheme="majorBidi" w:hAnsiTheme="majorBidi" w:cstheme="majorBidi"/>
          <w:i/>
          <w:szCs w:val="18"/>
        </w:rPr>
        <w:t xml:space="preserve">, </w:t>
      </w:r>
      <w:r w:rsidRPr="002D78C7">
        <w:rPr>
          <w:rFonts w:asciiTheme="majorBidi" w:hAnsiTheme="majorBidi" w:cstheme="majorBidi"/>
          <w:szCs w:val="18"/>
        </w:rPr>
        <w:t>Fordham International Law Journal, Volume 26, Issue 4, 2002, p. 922; Geneva Academy of International Humanitarian Law and Human Rights, “</w:t>
      </w:r>
      <w:r w:rsidRPr="002D78C7">
        <w:rPr>
          <w:rFonts w:asciiTheme="majorBidi" w:hAnsiTheme="majorBidi" w:cstheme="majorBidi"/>
          <w:iCs/>
          <w:szCs w:val="18"/>
        </w:rPr>
        <w:t>Human Rights Obligations of Armed Non-State Actors: An Exploration of the Practice of the UN Human Rights Council”</w:t>
      </w:r>
      <w:r w:rsidRPr="002D78C7">
        <w:rPr>
          <w:rFonts w:asciiTheme="majorBidi" w:hAnsiTheme="majorBidi" w:cstheme="majorBidi"/>
          <w:szCs w:val="18"/>
        </w:rPr>
        <w:t>, Academy In-Brief No. 7, December 2016 (</w:t>
      </w:r>
      <w:hyperlink r:id="rId63" w:history="1">
        <w:r w:rsidRPr="002D78C7">
          <w:rPr>
            <w:rStyle w:val="Hyperlink"/>
            <w:rFonts w:asciiTheme="majorBidi" w:hAnsiTheme="majorBidi" w:cstheme="majorBidi"/>
            <w:szCs w:val="18"/>
          </w:rPr>
          <w:t>https://www.geneva-academy.ch/joomlatools-files/docman-files/InBrief7_web.pdf</w:t>
        </w:r>
      </w:hyperlink>
      <w:r w:rsidRPr="002D78C7">
        <w:rPr>
          <w:rFonts w:asciiTheme="majorBidi" w:hAnsiTheme="majorBidi" w:cstheme="majorBidi"/>
          <w:szCs w:val="18"/>
        </w:rPr>
        <w:t>), p. 22).</w:t>
      </w:r>
    </w:p>
  </w:footnote>
  <w:footnote w:id="1413">
    <w:p w14:paraId="0BAD0973" w14:textId="77989170"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xml:space="preserve">أنظر دراسة اللجنة الدولية للصليب الأحمر حول القانون الدولي الإنساني العرفي، القاعدة 158. </w:t>
      </w:r>
    </w:p>
  </w:footnote>
  <w:footnote w:id="1414">
    <w:p w14:paraId="09DBB008" w14:textId="77777777" w:rsidR="00A1624A" w:rsidRPr="002D78C7" w:rsidRDefault="00A1624A" w:rsidP="00B81240">
      <w:pPr>
        <w:pStyle w:val="Heading3"/>
        <w:shd w:val="clear" w:color="auto" w:fill="FFFFFF"/>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See Basic Principles and Guidelines on the Right to a Remedy and Reparation for Victims of Gross Violations of International Human Rights Law and Serious Violations of </w:t>
      </w:r>
      <w:r w:rsidRPr="002D78C7">
        <w:rPr>
          <w:rFonts w:asciiTheme="majorBidi" w:eastAsiaTheme="minorHAnsi" w:hAnsiTheme="majorBidi" w:cstheme="majorBidi"/>
          <w:sz w:val="18"/>
          <w:szCs w:val="18"/>
        </w:rPr>
        <w:t>International Humanitarian Law, Adopted and proclaimed by General Assembly resolution 60/147 of 16 December 2005.</w:t>
      </w:r>
    </w:p>
  </w:footnote>
  <w:footnote w:id="1415">
    <w:p w14:paraId="5C1E7F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for example Human Rights Committee, General Comment 36 (2018), para. 28; Human Rights Committee, General Comment No. 31, para. 15. The Human Rights Committee has noted that a failure to investigate allegations could itself constitute a separate breach of the ICCPR.</w:t>
      </w:r>
    </w:p>
  </w:footnote>
  <w:footnote w:id="1416">
    <w:p w14:paraId="6A1D58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146AF7">
        <w:rPr>
          <w:rStyle w:val="FootnoteReference"/>
          <w:rFonts w:asciiTheme="majorBidi" w:hAnsiTheme="majorBidi" w:cstheme="majorBidi"/>
          <w:szCs w:val="18"/>
        </w:rPr>
        <w:footnoteRef/>
      </w:r>
      <w:r w:rsidRPr="00146AF7">
        <w:rPr>
          <w:rFonts w:asciiTheme="majorBidi" w:hAnsiTheme="majorBidi" w:cstheme="majorBidi"/>
          <w:szCs w:val="18"/>
        </w:rPr>
        <w:t xml:space="preserve"> Art. 9 ICCPR, Art. 10 UDHR.</w:t>
      </w:r>
      <w:r w:rsidRPr="002D78C7">
        <w:rPr>
          <w:rFonts w:asciiTheme="majorBidi" w:hAnsiTheme="majorBidi" w:cstheme="majorBidi"/>
          <w:szCs w:val="18"/>
        </w:rPr>
        <w:t xml:space="preserve"> </w:t>
      </w:r>
    </w:p>
  </w:footnote>
  <w:footnote w:id="1417">
    <w:p w14:paraId="6FDBA1C3" w14:textId="77777777" w:rsidR="00A1624A" w:rsidRPr="002D78C7" w:rsidRDefault="00A1624A" w:rsidP="00B81240">
      <w:pPr>
        <w:pStyle w:val="FootnoteText"/>
        <w:tabs>
          <w:tab w:val="clear" w:pos="1021"/>
        </w:tabs>
        <w:bidi/>
        <w:spacing w:after="60"/>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Updated Set of Principles for the Protection and Promotion of Human Rights through Action to Combat Impunity, Principle 19 (</w:t>
      </w:r>
      <w:hyperlink r:id="rId64" w:history="1">
        <w:r w:rsidRPr="002D78C7">
          <w:rPr>
            <w:rStyle w:val="Hyperlink"/>
            <w:rFonts w:asciiTheme="majorBidi" w:hAnsiTheme="majorBidi" w:cstheme="majorBidi"/>
            <w:szCs w:val="18"/>
          </w:rPr>
          <w:t>https://documents-dds-ny.un.org/doc/UNDOC/GEN/G05/109/00/PDF/G0510900.pdf?OpenElement</w:t>
        </w:r>
      </w:hyperlink>
      <w:r w:rsidRPr="002D78C7">
        <w:rPr>
          <w:rFonts w:asciiTheme="majorBidi" w:hAnsiTheme="majorBidi" w:cstheme="majorBidi"/>
          <w:szCs w:val="18"/>
        </w:rPr>
        <w:t>).</w:t>
      </w:r>
    </w:p>
  </w:footnote>
  <w:footnote w:id="1418">
    <w:p w14:paraId="52AEFD8E" w14:textId="3E49473F" w:rsidR="00A1624A" w:rsidRPr="0068318D" w:rsidRDefault="00A1624A" w:rsidP="00B81240">
      <w:pPr>
        <w:pStyle w:val="FootnoteText"/>
        <w:tabs>
          <w:tab w:val="clear" w:pos="1021"/>
        </w:tabs>
        <w:bidi/>
        <w:ind w:left="851" w:firstLine="0"/>
        <w:jc w:val="both"/>
        <w:rPr>
          <w:rStyle w:val="FootnoteReference"/>
          <w:rFonts w:ascii="Traditional Arabic" w:hAnsi="Traditional Arabic" w:cs="Traditional Arabic"/>
          <w:sz w:val="22"/>
          <w:szCs w:val="22"/>
          <w:vertAlign w:val="baseline"/>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دراسة اللجنة الدولية للصليب الأحمر حول القانون الدولي الإنساني العرفي</w:t>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 القاعدة 157.</w:t>
      </w:r>
    </w:p>
  </w:footnote>
  <w:footnote w:id="1419">
    <w:p w14:paraId="2F868F08" w14:textId="77F88E09"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تأسست اللجنة الوطنية للتحقيق بعد التعديل الذي أجراه الرئيس هادي يوم 7 أيلول/ سبتمبر 2015 للقرار الرئاسي رقم 140 يوم 22 أيلول/ سبتمبر 2012.</w:t>
      </w:r>
      <w:r>
        <w:rPr>
          <w:rFonts w:asciiTheme="majorBidi" w:hAnsiTheme="majorBidi" w:cstheme="majorBidi" w:hint="cs"/>
          <w:szCs w:val="18"/>
          <w:rtl/>
        </w:rPr>
        <w:t xml:space="preserve"> </w:t>
      </w:r>
    </w:p>
  </w:footnote>
  <w:footnote w:id="1420">
    <w:p w14:paraId="70371CB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Human Rights Council, National report submitted in accordance with paragraph 15 (a) of the annex to Human Rights Council resolution 5/1* Yemen, 8 November 2018 (</w:t>
      </w:r>
      <w:hyperlink r:id="rId65" w:history="1">
        <w:r w:rsidRPr="002D78C7">
          <w:rPr>
            <w:rStyle w:val="Hyperlink"/>
            <w:rFonts w:asciiTheme="majorBidi" w:hAnsiTheme="majorBidi" w:cstheme="majorBidi"/>
            <w:szCs w:val="18"/>
          </w:rPr>
          <w:t>https://documents-dds-ny.un.org/doc/UNDOC/GEN/G18/335/77/PDF/G1833577.pdf?OpenElement</w:t>
        </w:r>
      </w:hyperlink>
      <w:r w:rsidRPr="002D78C7">
        <w:rPr>
          <w:rFonts w:asciiTheme="majorBidi" w:hAnsiTheme="majorBidi" w:cstheme="majorBidi"/>
          <w:szCs w:val="18"/>
        </w:rPr>
        <w:t xml:space="preserve">), para. 49. </w:t>
      </w:r>
    </w:p>
  </w:footnote>
  <w:footnote w:id="1421">
    <w:p w14:paraId="55278C14" w14:textId="24ADAB89"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المرجع نفسه، الفقرة 43. </w:t>
      </w:r>
    </w:p>
  </w:footnote>
  <w:footnote w:id="1422">
    <w:p w14:paraId="2739B80E" w14:textId="77777777" w:rsidR="00A1624A" w:rsidRPr="0068318D"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68318D">
        <w:rPr>
          <w:rFonts w:asciiTheme="majorBidi" w:hAnsiTheme="majorBidi" w:cstheme="majorBidi"/>
          <w:szCs w:val="18"/>
        </w:rPr>
        <w:t>Fifth Report on the work of the National Commission to Investigate Alleged Violations to Human Rights (NCIAVHR) in Yemen, for the period 1 February – 31 July 2018, p. 13.</w:t>
      </w:r>
    </w:p>
  </w:footnote>
  <w:footnote w:id="1423">
    <w:p w14:paraId="37977BA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heme="majorBidi" w:hAnsiTheme="majorBidi" w:cstheme="majorBidi"/>
          <w:szCs w:val="18"/>
        </w:rPr>
        <w:footnoteRef/>
      </w:r>
      <w:r w:rsidRPr="0068318D">
        <w:rPr>
          <w:rFonts w:asciiTheme="majorBidi" w:hAnsiTheme="majorBidi" w:cstheme="majorBidi"/>
          <w:szCs w:val="18"/>
        </w:rPr>
        <w:t xml:space="preserve"> Sixth Report on the work of the National Commission to Investigate Alleged Violations to Human Rights (NCIAVHR) in Yemen, for the period 1 August 2018 to 31 January 2019, p. 11.</w:t>
      </w:r>
    </w:p>
  </w:footnote>
  <w:footnote w:id="1424">
    <w:p w14:paraId="0BE36340" w14:textId="7CC7691B"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أنظر التقرير السادس اللجنة الوطنية للتحقيق، ص.8 التي تذكر حق اللجنة الوطنية للتحقيق (في تطبيق قرار حكومي العام 2017) إحالة قضايا متعلقة بحالات إنتهاكات حقوق إنسان للمدعي العام لإكمال الإجراءات القانونية ضد مرتكبي هذه الإنتهاكات. </w:t>
      </w:r>
    </w:p>
  </w:footnote>
  <w:footnote w:id="1425">
    <w:p w14:paraId="0D37D99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Larry Lewis, “Promoting Civilian Protection during Security Assistance: Learning from Yemen”, CNA Analysis and Solutions, May 2019, p. 9 (</w:t>
      </w:r>
      <w:hyperlink r:id="rId66" w:history="1">
        <w:r w:rsidRPr="002D78C7">
          <w:rPr>
            <w:rStyle w:val="Hyperlink"/>
            <w:rFonts w:asciiTheme="majorBidi" w:hAnsiTheme="majorBidi" w:cstheme="majorBidi"/>
            <w:szCs w:val="18"/>
          </w:rPr>
          <w:t>https://www.cna.org/CNA_files/PDF/IRM-2019-U-019749-Final.pdf</w:t>
        </w:r>
      </w:hyperlink>
      <w:r w:rsidRPr="002D78C7">
        <w:rPr>
          <w:rFonts w:asciiTheme="majorBidi" w:hAnsiTheme="majorBidi" w:cstheme="majorBidi"/>
          <w:szCs w:val="18"/>
        </w:rPr>
        <w:t xml:space="preserve">). </w:t>
      </w:r>
    </w:p>
  </w:footnote>
  <w:footnote w:id="1426">
    <w:p w14:paraId="3AC133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67" w:history="1">
        <w:r w:rsidRPr="002D78C7">
          <w:rPr>
            <w:rStyle w:val="Hyperlink"/>
            <w:rFonts w:asciiTheme="majorBidi" w:hAnsiTheme="majorBidi" w:cstheme="majorBidi"/>
            <w:szCs w:val="18"/>
          </w:rPr>
          <w:t>https://www.hrw.org/report/2018/08/24/hiding-behind-coalition/failure-credibly-investigate-and-provide-redress-unlawful</w:t>
        </w:r>
      </w:hyperlink>
      <w:r w:rsidRPr="002D78C7">
        <w:rPr>
          <w:rStyle w:val="Hyperlink"/>
          <w:rFonts w:asciiTheme="majorBidi" w:hAnsiTheme="majorBidi" w:cstheme="majorBidi"/>
          <w:szCs w:val="18"/>
        </w:rPr>
        <w:t>.</w:t>
      </w:r>
    </w:p>
  </w:footnote>
  <w:footnote w:id="1427">
    <w:p w14:paraId="54D93CB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68" w:history="1">
        <w:r w:rsidRPr="002D78C7">
          <w:rPr>
            <w:rStyle w:val="Hyperlink"/>
            <w:rFonts w:asciiTheme="majorBidi" w:hAnsiTheme="majorBidi" w:cstheme="majorBidi"/>
            <w:szCs w:val="18"/>
          </w:rPr>
          <w:t>www.spa.gov.sa/1804423</w:t>
        </w:r>
      </w:hyperlink>
      <w:r w:rsidRPr="002D78C7">
        <w:rPr>
          <w:rFonts w:asciiTheme="majorBidi" w:hAnsiTheme="majorBidi" w:cstheme="majorBidi"/>
          <w:szCs w:val="18"/>
        </w:rPr>
        <w:t xml:space="preserve">; </w:t>
      </w:r>
      <w:hyperlink r:id="rId69" w:history="1">
        <w:r w:rsidRPr="002D78C7">
          <w:rPr>
            <w:rStyle w:val="Hyperlink"/>
            <w:rFonts w:asciiTheme="majorBidi" w:hAnsiTheme="majorBidi" w:cstheme="majorBidi"/>
            <w:szCs w:val="18"/>
          </w:rPr>
          <w:t>https://www.youtube.com/watch?v=p7MC71eD-UI&amp;feature=youtu.be</w:t>
        </w:r>
      </w:hyperlink>
      <w:r w:rsidRPr="002D78C7">
        <w:rPr>
          <w:rFonts w:asciiTheme="majorBidi" w:hAnsiTheme="majorBidi" w:cstheme="majorBidi"/>
          <w:szCs w:val="18"/>
        </w:rPr>
        <w:t>.</w:t>
      </w:r>
    </w:p>
  </w:footnote>
  <w:footnote w:id="1428">
    <w:p w14:paraId="5EF21F1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www.spa.gov.sa/1812903.</w:t>
      </w:r>
    </w:p>
  </w:footnote>
  <w:footnote w:id="1429">
    <w:p w14:paraId="1EA71626" w14:textId="6E4478E6"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في معظم الحالات، يشير الفريق المشترك لتقييم الحوادث إلى </w:t>
      </w:r>
      <w:r w:rsidRPr="0068318D">
        <w:rPr>
          <w:rStyle w:val="tlid-translation"/>
          <w:rFonts w:ascii="Traditional Arabic" w:hAnsi="Traditional Arabic" w:cs="Traditional Arabic"/>
          <w:sz w:val="22"/>
          <w:szCs w:val="22"/>
          <w:rtl/>
        </w:rPr>
        <w:t xml:space="preserve">البروتوكول الإضافي الأول الذي ينطبق فقط في </w:t>
      </w:r>
      <w:r w:rsidRPr="0068318D">
        <w:rPr>
          <w:rFonts w:ascii="Traditional Arabic" w:hAnsi="Traditional Arabic" w:cs="Traditional Arabic"/>
          <w:sz w:val="22"/>
          <w:szCs w:val="22"/>
          <w:rtl/>
        </w:rPr>
        <w:t>النزاعات المسلحة الدولية (على الرغم من أن العديد من أحكامها تعد ذات صلة في النزاعات المسلحة غير الدولية بحكم القانون الدولي العرفي) أنظر على سبيل المثال:</w:t>
      </w:r>
    </w:p>
    <w:p w14:paraId="697BF8D6" w14:textId="68E06260" w:rsidR="00A1624A" w:rsidRPr="002D78C7" w:rsidRDefault="0068660E" w:rsidP="00B81240">
      <w:pPr>
        <w:pStyle w:val="FootnoteText"/>
        <w:tabs>
          <w:tab w:val="clear" w:pos="1021"/>
        </w:tabs>
        <w:bidi/>
        <w:ind w:left="851" w:firstLine="0"/>
        <w:jc w:val="both"/>
        <w:rPr>
          <w:rFonts w:asciiTheme="majorBidi" w:hAnsiTheme="majorBidi" w:cstheme="majorBidi"/>
          <w:szCs w:val="18"/>
        </w:rPr>
      </w:pPr>
      <w:hyperlink r:id="rId70" w:history="1">
        <w:r w:rsidR="00A1624A" w:rsidRPr="002D78C7">
          <w:rPr>
            <w:rStyle w:val="Hyperlink"/>
            <w:rFonts w:asciiTheme="majorBidi" w:hAnsiTheme="majorBidi" w:cstheme="majorBidi"/>
            <w:szCs w:val="18"/>
          </w:rPr>
          <w:t>www.spa.gov.sa/1875235</w:t>
        </w:r>
      </w:hyperlink>
      <w:r w:rsidR="00A1624A" w:rsidRPr="002D78C7">
        <w:rPr>
          <w:rFonts w:asciiTheme="majorBidi" w:hAnsiTheme="majorBidi" w:cstheme="majorBidi"/>
          <w:szCs w:val="18"/>
        </w:rPr>
        <w:t xml:space="preserve"> re MSF cholera centre as developed below; </w:t>
      </w:r>
      <w:hyperlink r:id="rId71" w:history="1">
        <w:r w:rsidR="00A1624A" w:rsidRPr="002D78C7">
          <w:rPr>
            <w:rStyle w:val="Hyperlink"/>
            <w:rFonts w:asciiTheme="majorBidi" w:hAnsiTheme="majorBidi" w:cstheme="majorBidi"/>
            <w:szCs w:val="18"/>
          </w:rPr>
          <w:t>www.spa.gov.sa/1933921</w:t>
        </w:r>
      </w:hyperlink>
      <w:r w:rsidR="00A1624A" w:rsidRPr="002D78C7">
        <w:rPr>
          <w:rFonts w:asciiTheme="majorBidi" w:hAnsiTheme="majorBidi" w:cstheme="majorBidi"/>
          <w:szCs w:val="18"/>
        </w:rPr>
        <w:t xml:space="preserve">; </w:t>
      </w:r>
      <w:hyperlink r:id="rId72" w:history="1">
        <w:r w:rsidR="00A1624A" w:rsidRPr="002D78C7">
          <w:rPr>
            <w:rStyle w:val="Hyperlink"/>
            <w:rFonts w:asciiTheme="majorBidi" w:hAnsiTheme="majorBidi" w:cstheme="majorBidi"/>
            <w:szCs w:val="18"/>
          </w:rPr>
          <w:t>www.spa.gov.sa/1933919</w:t>
        </w:r>
      </w:hyperlink>
      <w:r w:rsidR="00A1624A" w:rsidRPr="002D78C7">
        <w:rPr>
          <w:rFonts w:asciiTheme="majorBidi" w:hAnsiTheme="majorBidi" w:cstheme="majorBidi"/>
          <w:szCs w:val="18"/>
        </w:rPr>
        <w:t xml:space="preserve">; </w:t>
      </w:r>
      <w:hyperlink r:id="rId73" w:history="1">
        <w:r w:rsidR="00A1624A" w:rsidRPr="002D78C7">
          <w:rPr>
            <w:rStyle w:val="Hyperlink"/>
            <w:rFonts w:asciiTheme="majorBidi" w:hAnsiTheme="majorBidi" w:cstheme="majorBidi"/>
            <w:szCs w:val="18"/>
          </w:rPr>
          <w:t>www.spa.gov.sa/1919945</w:t>
        </w:r>
      </w:hyperlink>
      <w:r w:rsidR="00A1624A" w:rsidRPr="002D78C7">
        <w:rPr>
          <w:rFonts w:asciiTheme="majorBidi" w:hAnsiTheme="majorBidi" w:cstheme="majorBidi"/>
          <w:szCs w:val="18"/>
        </w:rPr>
        <w:t xml:space="preserve">; </w:t>
      </w:r>
      <w:hyperlink r:id="rId74" w:history="1">
        <w:r w:rsidR="00A1624A" w:rsidRPr="002D78C7">
          <w:rPr>
            <w:rStyle w:val="Hyperlink"/>
            <w:rFonts w:asciiTheme="majorBidi" w:hAnsiTheme="majorBidi" w:cstheme="majorBidi"/>
            <w:szCs w:val="18"/>
          </w:rPr>
          <w:t>www.spa.gov.sa/1914219</w:t>
        </w:r>
      </w:hyperlink>
      <w:r w:rsidR="00A1624A" w:rsidRPr="002D78C7">
        <w:rPr>
          <w:rFonts w:asciiTheme="majorBidi" w:hAnsiTheme="majorBidi" w:cstheme="majorBidi"/>
          <w:szCs w:val="18"/>
        </w:rPr>
        <w:t xml:space="preserve">; </w:t>
      </w:r>
      <w:hyperlink r:id="rId75" w:history="1">
        <w:r w:rsidR="00A1624A" w:rsidRPr="002D78C7">
          <w:rPr>
            <w:rStyle w:val="Hyperlink"/>
            <w:rFonts w:asciiTheme="majorBidi" w:hAnsiTheme="majorBidi" w:cstheme="majorBidi"/>
            <w:szCs w:val="18"/>
          </w:rPr>
          <w:t>www.spa.gov.sa/1914218</w:t>
        </w:r>
      </w:hyperlink>
      <w:r w:rsidR="00A1624A" w:rsidRPr="002D78C7">
        <w:rPr>
          <w:rFonts w:asciiTheme="majorBidi" w:hAnsiTheme="majorBidi" w:cstheme="majorBidi"/>
          <w:szCs w:val="18"/>
        </w:rPr>
        <w:t xml:space="preserve">; </w:t>
      </w:r>
      <w:hyperlink r:id="rId76" w:history="1">
        <w:r w:rsidR="00A1624A" w:rsidRPr="002D78C7">
          <w:rPr>
            <w:rStyle w:val="Hyperlink"/>
            <w:rFonts w:asciiTheme="majorBidi" w:hAnsiTheme="majorBidi" w:cstheme="majorBidi"/>
            <w:szCs w:val="18"/>
          </w:rPr>
          <w:t>www.spa.gov.sa/1914214</w:t>
        </w:r>
      </w:hyperlink>
      <w:r w:rsidR="00A1624A" w:rsidRPr="002D78C7">
        <w:rPr>
          <w:rFonts w:asciiTheme="majorBidi" w:hAnsiTheme="majorBidi" w:cstheme="majorBidi"/>
          <w:szCs w:val="18"/>
        </w:rPr>
        <w:t xml:space="preserve">;  </w:t>
      </w:r>
      <w:hyperlink r:id="rId77" w:history="1">
        <w:r w:rsidR="00A1624A" w:rsidRPr="002D78C7">
          <w:rPr>
            <w:rStyle w:val="Hyperlink"/>
            <w:rFonts w:asciiTheme="majorBidi" w:hAnsiTheme="majorBidi" w:cstheme="majorBidi"/>
            <w:szCs w:val="18"/>
          </w:rPr>
          <w:t>www.spa.gov.sa/1914211</w:t>
        </w:r>
      </w:hyperlink>
      <w:r w:rsidR="00A1624A" w:rsidRPr="002D78C7">
        <w:rPr>
          <w:rFonts w:asciiTheme="majorBidi" w:hAnsiTheme="majorBidi" w:cstheme="majorBidi"/>
          <w:szCs w:val="18"/>
        </w:rPr>
        <w:t xml:space="preserve">; </w:t>
      </w:r>
      <w:hyperlink r:id="rId78" w:history="1">
        <w:r w:rsidR="00A1624A" w:rsidRPr="002D78C7">
          <w:rPr>
            <w:rStyle w:val="Hyperlink"/>
            <w:rFonts w:asciiTheme="majorBidi" w:hAnsiTheme="majorBidi" w:cstheme="majorBidi"/>
            <w:szCs w:val="18"/>
          </w:rPr>
          <w:t>www.spa.gov.sa/1914206</w:t>
        </w:r>
      </w:hyperlink>
      <w:r w:rsidR="00A1624A" w:rsidRPr="002D78C7">
        <w:rPr>
          <w:rFonts w:asciiTheme="majorBidi" w:hAnsiTheme="majorBidi" w:cstheme="majorBidi"/>
          <w:szCs w:val="18"/>
        </w:rPr>
        <w:t>; www.spa.gov.sa/1904825; in another case, it applies UN Charter rules to justify self-defence in what amounted to a law-enforcement operation (www.spa.gov.sa/1875234).</w:t>
      </w:r>
    </w:p>
  </w:footnote>
  <w:footnote w:id="1430">
    <w:p w14:paraId="765B0F8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79" w:history="1">
        <w:r w:rsidRPr="002D78C7">
          <w:rPr>
            <w:rStyle w:val="Hyperlink"/>
            <w:rFonts w:asciiTheme="majorBidi" w:hAnsiTheme="majorBidi" w:cstheme="majorBidi"/>
            <w:szCs w:val="18"/>
          </w:rPr>
          <w:t>https://www.spa.gov.sa/viewfullstory.php?lang=en&amp;newsid=1783696</w:t>
        </w:r>
      </w:hyperlink>
      <w:r w:rsidRPr="002D78C7">
        <w:rPr>
          <w:rStyle w:val="Hyperlink"/>
          <w:rFonts w:asciiTheme="majorBidi" w:hAnsiTheme="majorBidi" w:cstheme="majorBidi"/>
          <w:szCs w:val="18"/>
        </w:rPr>
        <w:t>.</w:t>
      </w:r>
    </w:p>
  </w:footnote>
  <w:footnote w:id="1431">
    <w:p w14:paraId="50094C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0" w:history="1">
        <w:r w:rsidRPr="002D78C7">
          <w:rPr>
            <w:rStyle w:val="Hyperlink"/>
            <w:rFonts w:asciiTheme="majorBidi" w:hAnsiTheme="majorBidi" w:cstheme="majorBidi"/>
            <w:szCs w:val="18"/>
          </w:rPr>
          <w:t>www.spa.gov.sa/1933922</w:t>
        </w:r>
      </w:hyperlink>
      <w:r w:rsidRPr="002D78C7">
        <w:rPr>
          <w:rFonts w:asciiTheme="majorBidi" w:hAnsiTheme="majorBidi" w:cstheme="majorBidi"/>
          <w:szCs w:val="18"/>
        </w:rPr>
        <w:t xml:space="preserve">; </w:t>
      </w:r>
      <w:hyperlink r:id="rId81" w:history="1">
        <w:r w:rsidRPr="002D78C7">
          <w:rPr>
            <w:rStyle w:val="Hyperlink"/>
            <w:rFonts w:asciiTheme="majorBidi" w:hAnsiTheme="majorBidi" w:cstheme="majorBidi"/>
            <w:szCs w:val="18"/>
          </w:rPr>
          <w:t>www.spa.gov.sa/1914211</w:t>
        </w:r>
      </w:hyperlink>
      <w:r w:rsidRPr="002D78C7">
        <w:rPr>
          <w:rFonts w:asciiTheme="majorBidi" w:hAnsiTheme="majorBidi" w:cstheme="majorBidi"/>
          <w:szCs w:val="18"/>
        </w:rPr>
        <w:t xml:space="preserve">; </w:t>
      </w:r>
      <w:hyperlink r:id="rId82" w:history="1">
        <w:r w:rsidRPr="002D78C7">
          <w:rPr>
            <w:rStyle w:val="Hyperlink"/>
            <w:rFonts w:asciiTheme="majorBidi" w:hAnsiTheme="majorBidi" w:cstheme="majorBidi"/>
            <w:szCs w:val="18"/>
          </w:rPr>
          <w:t>wam.ae/en/details/1395302707813</w:t>
        </w:r>
      </w:hyperlink>
      <w:r w:rsidRPr="002D78C7">
        <w:rPr>
          <w:rFonts w:asciiTheme="majorBidi" w:hAnsiTheme="majorBidi" w:cstheme="majorBidi"/>
          <w:szCs w:val="18"/>
        </w:rPr>
        <w:t>.</w:t>
      </w:r>
    </w:p>
  </w:footnote>
  <w:footnote w:id="1432">
    <w:p w14:paraId="17BE1AB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3" w:history="1">
        <w:r w:rsidRPr="002D78C7">
          <w:rPr>
            <w:rStyle w:val="Hyperlink"/>
            <w:rFonts w:asciiTheme="majorBidi" w:hAnsiTheme="majorBidi" w:cstheme="majorBidi"/>
            <w:szCs w:val="18"/>
          </w:rPr>
          <w:t>www.spa.gov.sa/1875235</w:t>
        </w:r>
      </w:hyperlink>
      <w:r w:rsidRPr="002D78C7">
        <w:rPr>
          <w:rFonts w:asciiTheme="majorBidi" w:hAnsiTheme="majorBidi" w:cstheme="majorBidi"/>
          <w:szCs w:val="18"/>
        </w:rPr>
        <w:t>; www.spa.gov.sa/1797113.</w:t>
      </w:r>
    </w:p>
  </w:footnote>
  <w:footnote w:id="1433">
    <w:p w14:paraId="69E39BE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hyperlink r:id="rId84" w:history="1">
        <w:r w:rsidRPr="002D78C7">
          <w:rPr>
            <w:rStyle w:val="Hyperlink"/>
            <w:rFonts w:asciiTheme="majorBidi" w:hAnsiTheme="majorBidi" w:cstheme="majorBidi"/>
            <w:szCs w:val="18"/>
          </w:rPr>
          <w:t>https://www.youtube.com/watch?v=p7MC71eD-UI&amp;feature=youtu.be</w:t>
        </w:r>
      </w:hyperlink>
      <w:r w:rsidRPr="002D78C7">
        <w:rPr>
          <w:rFonts w:asciiTheme="majorBidi" w:hAnsiTheme="majorBidi" w:cstheme="majorBidi"/>
          <w:szCs w:val="18"/>
        </w:rPr>
        <w:t xml:space="preserve"> and </w:t>
      </w:r>
      <w:hyperlink r:id="rId85" w:history="1">
        <w:r w:rsidRPr="002D78C7">
          <w:rPr>
            <w:rStyle w:val="Hyperlink"/>
            <w:rFonts w:asciiTheme="majorBidi" w:hAnsiTheme="majorBidi" w:cstheme="majorBidi"/>
            <w:szCs w:val="18"/>
          </w:rPr>
          <w:t>https://www.washingtonpost.com/world/middle_east/in-rare-admission-saudi-led-coalition-says-airstrike-killed-yemeni-children-last-month/2018/09/01/1cbdc878-ae06-11e8-8a0c-70b618c98d3c_story.html?noredirect=on&amp;utm_term=.a2ca91ca8e83</w:t>
        </w:r>
      </w:hyperlink>
      <w:r w:rsidRPr="002D78C7">
        <w:rPr>
          <w:rStyle w:val="Hyperlink"/>
          <w:rFonts w:asciiTheme="majorBidi" w:hAnsiTheme="majorBidi" w:cstheme="majorBidi"/>
          <w:szCs w:val="18"/>
        </w:rPr>
        <w:t>.</w:t>
      </w:r>
    </w:p>
  </w:footnote>
  <w:footnote w:id="1434">
    <w:p w14:paraId="0FF1FE4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86" w:tgtFrame="_blank" w:history="1">
        <w:r w:rsidRPr="002D78C7">
          <w:rPr>
            <w:rStyle w:val="Hyperlink"/>
            <w:rFonts w:asciiTheme="majorBidi" w:hAnsiTheme="majorBidi" w:cstheme="majorBidi"/>
            <w:szCs w:val="18"/>
          </w:rPr>
          <w:t>www.spa.gov.sa/1804423</w:t>
        </w:r>
      </w:hyperlink>
      <w:r w:rsidRPr="002D78C7">
        <w:rPr>
          <w:rFonts w:asciiTheme="majorBidi" w:hAnsiTheme="majorBidi" w:cstheme="majorBidi"/>
          <w:szCs w:val="18"/>
          <w:rtl/>
        </w:rPr>
        <w:t>.</w:t>
      </w:r>
    </w:p>
  </w:footnote>
  <w:footnote w:id="1435">
    <w:p w14:paraId="1A5BCF6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153.</w:t>
      </w:r>
    </w:p>
  </w:footnote>
  <w:footnote w:id="1436">
    <w:p w14:paraId="345481B0" w14:textId="5FE927FE"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68318D">
        <w:rPr>
          <w:rFonts w:ascii="Traditional Arabic" w:hAnsi="Traditional Arabic" w:cs="Traditional Arabic"/>
          <w:sz w:val="22"/>
          <w:szCs w:val="22"/>
          <w:rtl/>
        </w:rPr>
        <w:t xml:space="preserve">، </w:t>
      </w:r>
      <w:r w:rsidRPr="0068318D">
        <w:rPr>
          <w:rStyle w:val="tlid-translation"/>
          <w:rFonts w:ascii="Traditional Arabic" w:hAnsi="Traditional Arabic" w:cs="Traditional Arabic"/>
          <w:sz w:val="22"/>
          <w:szCs w:val="22"/>
          <w:rtl/>
        </w:rPr>
        <w:t xml:space="preserve">القاعدة 144. </w:t>
      </w:r>
    </w:p>
  </w:footnote>
  <w:footnote w:id="1437">
    <w:p w14:paraId="2860FFC8" w14:textId="1D7420C9"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أنظر </w:t>
      </w:r>
      <w:r w:rsidRPr="0068318D">
        <w:rPr>
          <w:rStyle w:val="tlid-translation"/>
          <w:rFonts w:ascii="Traditional Arabic" w:hAnsi="Traditional Arabic" w:cs="Traditional Arabic"/>
          <w:sz w:val="22"/>
          <w:szCs w:val="22"/>
          <w:rtl/>
        </w:rPr>
        <w:t>دراسة اللجنة الدولية للصليب الأحمر حول القانون الدولي الإنساني العرفي</w:t>
      </w:r>
      <w:r w:rsidRPr="0068318D">
        <w:rPr>
          <w:rFonts w:ascii="Traditional Arabic" w:hAnsi="Traditional Arabic" w:cs="Traditional Arabic"/>
          <w:sz w:val="22"/>
          <w:szCs w:val="22"/>
          <w:rtl/>
        </w:rPr>
        <w:t xml:space="preserve">، </w:t>
      </w:r>
      <w:r w:rsidRPr="0068318D">
        <w:rPr>
          <w:rStyle w:val="tlid-translation"/>
          <w:rFonts w:ascii="Traditional Arabic" w:hAnsi="Traditional Arabic" w:cs="Traditional Arabic"/>
          <w:sz w:val="22"/>
          <w:szCs w:val="22"/>
          <w:rtl/>
        </w:rPr>
        <w:t>القاعدة 144 (التعليق)، انظر اللجنة الدولية للصليب الأحمر والقانون الدولي الإنساني وتحديات النزاعات المسلحة المعاصرة، جنيف، كانون الأول 2003، ص.47</w:t>
      </w:r>
    </w:p>
    <w:p w14:paraId="4473A9AE" w14:textId="346F711F"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(www.icrc.org/eng/assets/files/other/ihlcontemp_armedconflicts_ final_ang.pdf); Knut Doermann and Jose Serralvo, “Common Article 1 to the Geneva Conventions and the obligation to prevent international humanitarian law violations”, International Review of the Red Cross (2014), 96 (895/896), 707–736 (</w:t>
      </w:r>
      <w:hyperlink r:id="rId87" w:history="1">
        <w:r w:rsidRPr="002D78C7">
          <w:rPr>
            <w:rStyle w:val="Hyperlink"/>
            <w:rFonts w:asciiTheme="majorBidi" w:hAnsiTheme="majorBidi" w:cstheme="majorBidi"/>
            <w:szCs w:val="18"/>
          </w:rPr>
          <w:t>https://www.icrc.org/en/international-review/article/common-article-1</w:t>
        </w:r>
      </w:hyperlink>
      <w:r w:rsidRPr="002D78C7">
        <w:rPr>
          <w:rFonts w:asciiTheme="majorBidi" w:hAnsiTheme="majorBidi" w:cstheme="majorBidi"/>
          <w:szCs w:val="18"/>
        </w:rPr>
        <w:t>)</w:t>
      </w:r>
    </w:p>
  </w:footnote>
  <w:footnote w:id="1438">
    <w:p w14:paraId="031A1AE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ICRC commentary to article 1 common to the Geneva Conventions, 2016, para. 154.</w:t>
      </w:r>
    </w:p>
  </w:footnote>
  <w:footnote w:id="1439">
    <w:p w14:paraId="123FB4F7" w14:textId="211338F5" w:rsidR="00A1624A" w:rsidRPr="0068318D" w:rsidRDefault="00A1624A" w:rsidP="00B81240">
      <w:pPr>
        <w:pStyle w:val="FootnoteText"/>
        <w:tabs>
          <w:tab w:val="clear" w:pos="1021"/>
        </w:tabs>
        <w:bidi/>
        <w:ind w:left="851" w:firstLine="0"/>
        <w:jc w:val="both"/>
        <w:rPr>
          <w:rFonts w:asciiTheme="majorBidi" w:hAnsiTheme="majorBidi" w:cstheme="majorBidi"/>
          <w:szCs w:val="18"/>
        </w:rPr>
      </w:pPr>
      <w:r w:rsidRPr="0068318D">
        <w:rPr>
          <w:rStyle w:val="FootnoteReference"/>
          <w:rFonts w:ascii="Traditional Arabic" w:hAnsi="Traditional Arabic" w:cs="Traditional Arabic"/>
          <w:sz w:val="22"/>
          <w:szCs w:val="22"/>
          <w:vertAlign w:val="baseline"/>
        </w:rPr>
        <w:footnoteRef/>
      </w:r>
      <w:r w:rsidRPr="0068318D">
        <w:rPr>
          <w:rStyle w:val="FootnoteReference"/>
          <w:rFonts w:ascii="Traditional Arabic" w:hAnsi="Traditional Arabic" w:cs="Traditional Arabic"/>
          <w:sz w:val="22"/>
          <w:szCs w:val="22"/>
          <w:vertAlign w:val="baseline"/>
        </w:rPr>
        <w:t xml:space="preserve"> </w:t>
      </w:r>
      <w:r w:rsidRPr="0068318D">
        <w:rPr>
          <w:rStyle w:val="FootnoteReference"/>
          <w:rFonts w:ascii="Traditional Arabic" w:hAnsi="Traditional Arabic" w:cs="Traditional Arabic" w:hint="cs"/>
          <w:sz w:val="22"/>
          <w:szCs w:val="22"/>
          <w:vertAlign w:val="baseline"/>
          <w:rtl/>
        </w:rPr>
        <w:t>الإلتزامات السارية على الجميع مستحقة للمجتمع المدني ككل وهي ليست مجرد إلتزامات ثنائية كما هو الحال في القانون الدولي بالإجمال. والقانون الدولي الإنساني ليس ذات طابع متبادل.</w:t>
      </w:r>
      <w:r w:rsidRPr="0068318D">
        <w:rPr>
          <w:rStyle w:val="tlid-translation"/>
          <w:rFonts w:hint="cs"/>
          <w:rtl/>
        </w:rPr>
        <w:t xml:space="preserve"> </w:t>
      </w:r>
    </w:p>
  </w:footnote>
  <w:footnote w:id="1440">
    <w:p w14:paraId="6F75DF9F" w14:textId="06DC26D5"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 xml:space="preserve"> الحاجة للسيطرة الحصرية لا يعيق إحتمالية السيطرة المشتركة، </w:t>
      </w:r>
    </w:p>
    <w:p w14:paraId="3D0EE476" w14:textId="3131B11D"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Lopez Burgos v. Uruguay, Human Rights Committee, Communication No. R.12/52, U.N. Doc. Supp. No. 40 (A/36/40) at 176 (1981).</w:t>
      </w:r>
    </w:p>
  </w:footnote>
  <w:footnote w:id="1441">
    <w:p w14:paraId="2BF7BAC5" w14:textId="6907EF33" w:rsidR="00A1624A" w:rsidRPr="0068318D"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68318D">
        <w:rPr>
          <w:rStyle w:val="FootnoteReference"/>
          <w:rFonts w:ascii="Traditional Arabic" w:hAnsi="Traditional Arabic" w:cs="Traditional Arabic"/>
          <w:sz w:val="22"/>
          <w:szCs w:val="22"/>
        </w:rPr>
        <w:footnoteRef/>
      </w:r>
      <w:r w:rsidRPr="0068318D">
        <w:rPr>
          <w:rFonts w:ascii="Traditional Arabic" w:hAnsi="Traditional Arabic" w:cs="Traditional Arabic"/>
          <w:sz w:val="22"/>
          <w:szCs w:val="22"/>
        </w:rPr>
        <w:t xml:space="preserve"> </w:t>
      </w:r>
      <w:r w:rsidRPr="0068318D">
        <w:rPr>
          <w:rFonts w:ascii="Traditional Arabic" w:hAnsi="Traditional Arabic" w:cs="Traditional Arabic"/>
          <w:sz w:val="22"/>
          <w:szCs w:val="22"/>
          <w:rtl/>
        </w:rPr>
        <w:t>على سبيل المثال،</w:t>
      </w:r>
    </w:p>
    <w:p w14:paraId="5368ACCF" w14:textId="080B1210"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Ribitsch v. Austria, European Court of Human Rights, judgment of 4 December 1995; Selmouni v. France European Court of Human Rights, judgment of 28 July 1999; Salman v. Turkey, European Court of Human Rights, judgment of 27 June 2000.</w:t>
      </w:r>
    </w:p>
  </w:footnote>
  <w:footnote w:id="1442">
    <w:p w14:paraId="51122E94" w14:textId="52EC02E4" w:rsidR="00A1624A" w:rsidRPr="008212C4" w:rsidRDefault="00A1624A" w:rsidP="00B81240">
      <w:pPr>
        <w:pStyle w:val="FootnoteText"/>
        <w:tabs>
          <w:tab w:val="clear" w:pos="1021"/>
        </w:tabs>
        <w:bidi/>
        <w:ind w:left="851" w:firstLine="0"/>
        <w:jc w:val="both"/>
        <w:rPr>
          <w:rFonts w:ascii="Traditional Arabic" w:hAnsi="Traditional Arabic" w:cs="Traditional Arabic"/>
          <w:sz w:val="22"/>
          <w:szCs w:val="22"/>
          <w:rtl/>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Fonts w:ascii="Traditional Arabic" w:hAnsi="Traditional Arabic" w:cs="Traditional Arabic"/>
          <w:sz w:val="22"/>
          <w:szCs w:val="22"/>
          <w:rtl/>
        </w:rPr>
        <w:t xml:space="preserve">للنتائج المترتبة بموجب قانون حقوق الإنسان، أنظر </w:t>
      </w:r>
    </w:p>
    <w:p w14:paraId="212881A5" w14:textId="5A555C54"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 xml:space="preserve">see Mansuroğlu v. Turquie, 43443/98, European Court of Human Rights, judgment of 26 February 2008. </w:t>
      </w:r>
    </w:p>
  </w:footnote>
  <w:footnote w:id="1443">
    <w:p w14:paraId="5371E87E" w14:textId="77777777" w:rsidR="00A1624A" w:rsidRPr="001F4BD0" w:rsidRDefault="00A1624A" w:rsidP="00B81240">
      <w:pPr>
        <w:pStyle w:val="FootnoteText"/>
        <w:tabs>
          <w:tab w:val="clear" w:pos="1021"/>
        </w:tabs>
        <w:bidi/>
        <w:ind w:left="851" w:firstLine="0"/>
        <w:jc w:val="both"/>
        <w:rPr>
          <w:rFonts w:asciiTheme="majorBidi" w:hAnsiTheme="majorBidi" w:cstheme="majorBidi"/>
          <w:sz w:val="20"/>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obligation entailed in Art. 1 common to the Geneva Conventions can be seen as an obligation of due diligence, in opposition to an obligation of result (see Knut Doermann and Jose Serralvo, “Common Article 1 to the Geneva Conventions and the obligation to prevent international humanitarian law </w:t>
      </w:r>
      <w:r w:rsidRPr="001F4BD0">
        <w:rPr>
          <w:rFonts w:asciiTheme="majorBidi" w:hAnsiTheme="majorBidi" w:cstheme="majorBidi"/>
          <w:sz w:val="20"/>
        </w:rPr>
        <w:t>violations”, International Review of the Red Cross (2014), 96 (895/896), p. 710 (</w:t>
      </w:r>
      <w:hyperlink r:id="rId88" w:history="1">
        <w:r w:rsidRPr="001F4BD0">
          <w:rPr>
            <w:rStyle w:val="Hyperlink"/>
            <w:rFonts w:asciiTheme="majorBidi" w:hAnsiTheme="majorBidi" w:cstheme="majorBidi"/>
            <w:sz w:val="20"/>
          </w:rPr>
          <w:t>https://www.icrc.org/en/international-review/article/common-article-1</w:t>
        </w:r>
      </w:hyperlink>
      <w:r w:rsidRPr="001F4BD0">
        <w:rPr>
          <w:rFonts w:asciiTheme="majorBidi" w:hAnsiTheme="majorBidi" w:cstheme="majorBidi"/>
          <w:sz w:val="20"/>
        </w:rPr>
        <w:t>)</w:t>
      </w:r>
    </w:p>
  </w:footnote>
  <w:footnote w:id="1444">
    <w:p w14:paraId="1348B577" w14:textId="77777777" w:rsidR="00A1624A" w:rsidRPr="001F4BD0" w:rsidRDefault="00A1624A" w:rsidP="00B81240">
      <w:pPr>
        <w:pStyle w:val="FootnoteText"/>
        <w:tabs>
          <w:tab w:val="clear" w:pos="1021"/>
        </w:tabs>
        <w:bidi/>
        <w:ind w:left="851" w:firstLine="0"/>
        <w:jc w:val="both"/>
        <w:rPr>
          <w:rFonts w:asciiTheme="majorBidi" w:hAnsiTheme="majorBidi" w:cstheme="majorBidi"/>
          <w:sz w:val="20"/>
        </w:rPr>
      </w:pPr>
      <w:r w:rsidRPr="001F4BD0">
        <w:rPr>
          <w:rStyle w:val="FootnoteReference"/>
          <w:rFonts w:asciiTheme="majorBidi" w:hAnsiTheme="majorBidi" w:cstheme="majorBidi"/>
          <w:sz w:val="20"/>
        </w:rPr>
        <w:footnoteRef/>
      </w:r>
      <w:r w:rsidRPr="001F4BD0">
        <w:rPr>
          <w:rFonts w:asciiTheme="majorBidi" w:hAnsiTheme="majorBidi" w:cstheme="majorBidi"/>
          <w:sz w:val="20"/>
        </w:rPr>
        <w:t xml:space="preserve"> ICRC commentary to article 1 common to the Geneva Conventions, 2016, para. 181; see for example Updated European Union Guidelines on promoting compliance with international humanitarian law, 2009/C 303/06 (</w:t>
      </w:r>
      <w:hyperlink r:id="rId89" w:history="1">
        <w:r w:rsidRPr="001F4BD0">
          <w:rPr>
            <w:rStyle w:val="Hyperlink"/>
            <w:rFonts w:asciiTheme="majorBidi" w:hAnsiTheme="majorBidi" w:cstheme="majorBidi"/>
            <w:sz w:val="20"/>
          </w:rPr>
          <w:t>https://eur-lex.europa.eu/legal-content/EN/TXT/?uri=celex:52009XG1215(01)</w:t>
        </w:r>
      </w:hyperlink>
      <w:r w:rsidRPr="001F4BD0">
        <w:rPr>
          <w:rFonts w:asciiTheme="majorBidi" w:hAnsiTheme="majorBidi" w:cstheme="majorBidi"/>
          <w:sz w:val="20"/>
        </w:rPr>
        <w:t>, which provides examples of means at the disposal of the EU in its relation with third countries.</w:t>
      </w:r>
    </w:p>
  </w:footnote>
  <w:footnote w:id="1445">
    <w:p w14:paraId="3513544F" w14:textId="6B4E7AD9" w:rsidR="00A1624A" w:rsidRPr="008212C4" w:rsidRDefault="00A1624A" w:rsidP="00B81240">
      <w:pPr>
        <w:pStyle w:val="FootnoteText"/>
        <w:tabs>
          <w:tab w:val="clear" w:pos="1021"/>
        </w:tabs>
        <w:bidi/>
        <w:ind w:left="851" w:firstLine="0"/>
        <w:jc w:val="both"/>
        <w:rPr>
          <w:rFonts w:ascii="Traditional Arabic" w:hAnsi="Traditional Arabic" w:cs="Traditional Arabic"/>
          <w:sz w:val="22"/>
          <w:szCs w:val="22"/>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Style w:val="tlid-translation"/>
          <w:rFonts w:ascii="Traditional Arabic" w:hAnsi="Traditional Arabic" w:cs="Traditional Arabic"/>
          <w:sz w:val="22"/>
          <w:szCs w:val="22"/>
          <w:rtl/>
        </w:rPr>
        <w:t>أنظر دراسة اللجنة الدولية للصليب الأحمر حول القانون الدولي الإنساني العرفي</w:t>
      </w:r>
      <w:r w:rsidRPr="008212C4">
        <w:rPr>
          <w:rFonts w:ascii="Traditional Arabic" w:hAnsi="Traditional Arabic" w:cs="Traditional Arabic"/>
          <w:sz w:val="22"/>
          <w:szCs w:val="22"/>
          <w:rtl/>
        </w:rPr>
        <w:t xml:space="preserve">، </w:t>
      </w:r>
      <w:r w:rsidRPr="008212C4">
        <w:rPr>
          <w:rStyle w:val="tlid-translation"/>
          <w:rFonts w:ascii="Traditional Arabic" w:hAnsi="Traditional Arabic" w:cs="Traditional Arabic"/>
          <w:sz w:val="22"/>
          <w:szCs w:val="22"/>
          <w:rtl/>
        </w:rPr>
        <w:t xml:space="preserve">القاعدة 144 وتعليق اللجنة الدولية للصليب الأحمر على المادة 1 المشتركة في معاهدات جنيف، 2016، الفقرة 165. </w:t>
      </w:r>
    </w:p>
  </w:footnote>
  <w:footnote w:id="1446">
    <w:p w14:paraId="57B44542"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rFonts w:hint="cs"/>
          <w:sz w:val="20"/>
          <w:rtl/>
        </w:rPr>
        <w:t xml:space="preserve"> بالنسبة لمشاركة الولايات المتحدة في الصراع في اليمن، أنظر على سبيل المثال، </w:t>
      </w:r>
    </w:p>
    <w:p w14:paraId="39D1E286" w14:textId="77777777" w:rsidR="00A1624A" w:rsidRPr="001F4BD0" w:rsidRDefault="00A1624A" w:rsidP="00B81240">
      <w:pPr>
        <w:pStyle w:val="FootnoteText"/>
        <w:tabs>
          <w:tab w:val="clear" w:pos="1021"/>
        </w:tabs>
        <w:bidi/>
        <w:ind w:left="851" w:firstLine="0"/>
        <w:rPr>
          <w:sz w:val="20"/>
          <w:lang w:val="en-US"/>
        </w:rPr>
      </w:pPr>
      <w:r w:rsidRPr="001F4BD0">
        <w:rPr>
          <w:rFonts w:asciiTheme="majorBidi" w:hAnsiTheme="majorBidi" w:cstheme="majorBidi"/>
          <w:sz w:val="20"/>
        </w:rPr>
        <w:t>Larry Lewis, “Promoting Civilian Protection during Security Assistance: Learning from Yemen”, CNA Analysis and Solutions, May 2019, p. 9 (</w:t>
      </w:r>
      <w:hyperlink r:id="rId90" w:history="1">
        <w:r w:rsidRPr="001F4BD0">
          <w:rPr>
            <w:rFonts w:asciiTheme="majorBidi" w:hAnsiTheme="majorBidi" w:cstheme="majorBidi"/>
            <w:sz w:val="20"/>
          </w:rPr>
          <w:t>https://www.cna.org/CNA_files/PDF/IRM-2019-U-019749-Final.pdf</w:t>
        </w:r>
      </w:hyperlink>
      <w:r w:rsidRPr="001F4BD0">
        <w:rPr>
          <w:rFonts w:asciiTheme="majorBidi" w:hAnsiTheme="majorBidi" w:cstheme="majorBidi"/>
          <w:sz w:val="20"/>
        </w:rPr>
        <w:t>).</w:t>
      </w:r>
    </w:p>
  </w:footnote>
  <w:footnote w:id="1447">
    <w:p w14:paraId="43EBF796"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sz w:val="20"/>
        </w:rPr>
        <w:t xml:space="preserve"> </w:t>
      </w:r>
      <w:r w:rsidRPr="001F4BD0">
        <w:rPr>
          <w:rFonts w:hint="cs"/>
          <w:sz w:val="20"/>
          <w:rtl/>
        </w:rPr>
        <w:t xml:space="preserve">بالنسبة لمشاركة المملكة المتحدة في الصراع في اليمن، أنظر على سبيل المثال،  </w:t>
      </w:r>
    </w:p>
    <w:p w14:paraId="4E860537" w14:textId="77777777" w:rsidR="00A1624A" w:rsidRPr="001F4BD0" w:rsidRDefault="00A1624A" w:rsidP="00B81240">
      <w:pPr>
        <w:pStyle w:val="FootnoteText"/>
        <w:tabs>
          <w:tab w:val="clear" w:pos="1021"/>
        </w:tabs>
        <w:bidi/>
        <w:ind w:left="851" w:firstLine="0"/>
        <w:rPr>
          <w:sz w:val="20"/>
          <w:lang w:val="en-US"/>
        </w:rPr>
      </w:pPr>
      <w:r w:rsidRPr="001F4BD0">
        <w:rPr>
          <w:rFonts w:asciiTheme="majorBidi" w:hAnsiTheme="majorBidi" w:cstheme="majorBidi"/>
          <w:sz w:val="20"/>
        </w:rPr>
        <w:t xml:space="preserve"> “Britain’s Hidden War”, Channel 4 Dispatches, April 2019 (</w:t>
      </w:r>
      <w:hyperlink r:id="rId91" w:history="1">
        <w:r w:rsidRPr="001F4BD0">
          <w:rPr>
            <w:rStyle w:val="Hyperlink"/>
            <w:rFonts w:asciiTheme="majorBidi" w:hAnsiTheme="majorBidi" w:cstheme="majorBidi"/>
            <w:sz w:val="20"/>
          </w:rPr>
          <w:t>https://www.channel4.com/press/news/britains-hidden-war-channel-4-dispatches</w:t>
        </w:r>
      </w:hyperlink>
      <w:r w:rsidRPr="001F4BD0">
        <w:rPr>
          <w:rFonts w:asciiTheme="majorBidi" w:hAnsiTheme="majorBidi" w:cstheme="majorBidi"/>
          <w:sz w:val="20"/>
        </w:rPr>
        <w:t>).</w:t>
      </w:r>
    </w:p>
  </w:footnote>
  <w:footnote w:id="1448">
    <w:p w14:paraId="0682F303" w14:textId="77777777" w:rsidR="00A1624A" w:rsidRPr="001F4BD0" w:rsidRDefault="00A1624A" w:rsidP="00B81240">
      <w:pPr>
        <w:pStyle w:val="FootnoteText"/>
        <w:tabs>
          <w:tab w:val="clear" w:pos="1021"/>
        </w:tabs>
        <w:bidi/>
        <w:ind w:left="851" w:firstLine="0"/>
        <w:rPr>
          <w:sz w:val="20"/>
          <w:rtl/>
        </w:rPr>
      </w:pPr>
      <w:r w:rsidRPr="001F4BD0">
        <w:rPr>
          <w:rStyle w:val="FootnoteReference"/>
          <w:sz w:val="20"/>
        </w:rPr>
        <w:footnoteRef/>
      </w:r>
      <w:r w:rsidRPr="001F4BD0">
        <w:rPr>
          <w:sz w:val="20"/>
        </w:rPr>
        <w:t xml:space="preserve"> </w:t>
      </w:r>
      <w:r w:rsidRPr="001F4BD0">
        <w:rPr>
          <w:rFonts w:hint="cs"/>
          <w:sz w:val="20"/>
          <w:rtl/>
        </w:rPr>
        <w:t xml:space="preserve">بالنسبة لمشاركة فرنسا في الصراع في اليمن، أنظر على سبيل المثال،  </w:t>
      </w:r>
    </w:p>
    <w:p w14:paraId="68B1805F" w14:textId="77777777" w:rsidR="00A1624A" w:rsidRPr="00A1624A" w:rsidRDefault="00A1624A" w:rsidP="00B81240">
      <w:pPr>
        <w:pStyle w:val="FootnoteText"/>
        <w:tabs>
          <w:tab w:val="clear" w:pos="1021"/>
        </w:tabs>
        <w:bidi/>
        <w:ind w:left="851" w:firstLine="0"/>
        <w:rPr>
          <w:sz w:val="20"/>
          <w:lang w:val="fr-CH"/>
        </w:rPr>
      </w:pPr>
      <w:r w:rsidRPr="00A1624A">
        <w:rPr>
          <w:rFonts w:asciiTheme="majorBidi" w:hAnsiTheme="majorBidi" w:cstheme="majorBidi"/>
          <w:sz w:val="20"/>
          <w:lang w:val="fr-CH"/>
        </w:rPr>
        <w:t>Discolose, “La France et le Yémen: cartographie d’un mensonge d’Etat”, Mediapart, April 2019 (</w:t>
      </w:r>
      <w:hyperlink r:id="rId92" w:history="1">
        <w:r w:rsidRPr="00A1624A">
          <w:rPr>
            <w:rStyle w:val="Hyperlink"/>
            <w:rFonts w:asciiTheme="majorBidi" w:hAnsiTheme="majorBidi" w:cstheme="majorBidi"/>
            <w:sz w:val="20"/>
            <w:lang w:val="fr-CH"/>
          </w:rPr>
          <w:t>https://www.mediapart.fr/journal/international/150419/la-france-et-le-yemen-cartographie-d-un-mensonge-d-etat?utm_content=buffer5e34b&amp;utm_medium=social&amp;utm_source=Facebook_Page&amp;utm_campaign=CM</w:t>
        </w:r>
      </w:hyperlink>
      <w:r w:rsidRPr="00A1624A">
        <w:rPr>
          <w:rFonts w:asciiTheme="majorBidi" w:hAnsiTheme="majorBidi" w:cstheme="majorBidi"/>
          <w:sz w:val="20"/>
          <w:lang w:val="fr-CH"/>
        </w:rPr>
        <w:t>).</w:t>
      </w:r>
    </w:p>
  </w:footnote>
  <w:footnote w:id="1449">
    <w:p w14:paraId="7C96A4E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1F4BD0">
        <w:rPr>
          <w:rFonts w:asciiTheme="majorBidi" w:hAnsiTheme="majorBidi" w:cstheme="majorBidi" w:hint="cs"/>
          <w:sz w:val="20"/>
          <w:rtl/>
        </w:rPr>
        <w:t xml:space="preserve">وفق </w:t>
      </w:r>
      <w:r w:rsidRPr="001F4BD0">
        <w:rPr>
          <w:rStyle w:val="tlid-translation"/>
          <w:rFonts w:hint="cs"/>
          <w:sz w:val="20"/>
          <w:rtl/>
        </w:rPr>
        <w:t>فريق الخبراء المعني باليمن الذي عُيّن لرصد الإمتثال للعقوبات التي فرضها قرار مجلس الأمن 2216 (2015)، فقد فشلت إيران في اتخاذ التدابير اللازمة لمنع نقل الأسلحة إلى الحوثيين (مجلس الأمن التابع للأمم المتحدة</w:t>
      </w:r>
      <w:r w:rsidRPr="001F4BD0">
        <w:rPr>
          <w:rStyle w:val="tlid-translation"/>
          <w:rFonts w:hint="cs"/>
          <w:sz w:val="20"/>
          <w:lang w:bidi="ar"/>
        </w:rPr>
        <w:t xml:space="preserve"> - </w:t>
      </w:r>
      <w:r w:rsidRPr="001F4BD0">
        <w:rPr>
          <w:rStyle w:val="tlid-translation"/>
          <w:rFonts w:hint="cs"/>
          <w:sz w:val="20"/>
          <w:rtl/>
        </w:rPr>
        <w:t xml:space="preserve">رسالة مؤرخة 26 كانون الثاني / يناير 2018 موجهة من رئيس فريق الخبراء المعني باليمن بموجب قرار مجلس الأمن </w:t>
      </w:r>
      <w:r w:rsidRPr="001F4BD0">
        <w:rPr>
          <w:rFonts w:asciiTheme="majorBidi" w:hAnsiTheme="majorBidi" w:cstheme="majorBidi"/>
          <w:sz w:val="20"/>
        </w:rPr>
        <w:t>2342 (2017)</w:t>
      </w:r>
      <w:r w:rsidRPr="001F4BD0">
        <w:rPr>
          <w:rFonts w:asciiTheme="majorBidi" w:hAnsiTheme="majorBidi" w:cstheme="majorBidi" w:hint="cs"/>
          <w:sz w:val="20"/>
          <w:rtl/>
        </w:rPr>
        <w:t xml:space="preserve"> إلى رئيس مجلس الأمن </w:t>
      </w:r>
      <w:r w:rsidRPr="001F4BD0">
        <w:rPr>
          <w:rFonts w:asciiTheme="majorBidi" w:hAnsiTheme="majorBidi" w:cstheme="majorBidi"/>
          <w:sz w:val="20"/>
        </w:rPr>
        <w:t>(S/2018/68)</w:t>
      </w:r>
      <w:r w:rsidRPr="001F4BD0">
        <w:rPr>
          <w:rFonts w:asciiTheme="majorBidi" w:hAnsiTheme="majorBidi" w:cstheme="majorBidi" w:hint="cs"/>
          <w:sz w:val="20"/>
          <w:rtl/>
        </w:rPr>
        <w:t xml:space="preserve"> الفقرة 13.</w:t>
      </w:r>
      <w:r>
        <w:rPr>
          <w:rFonts w:asciiTheme="majorBidi" w:hAnsiTheme="majorBidi" w:cstheme="majorBidi" w:hint="cs"/>
          <w:szCs w:val="18"/>
          <w:rtl/>
        </w:rPr>
        <w:t xml:space="preserve"> </w:t>
      </w:r>
    </w:p>
  </w:footnote>
  <w:footnote w:id="1450">
    <w:p w14:paraId="20EB954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162; See also Updated European Union Guidelines on promoting compliance with international humanitarian law, 2009/C 303/06 (</w:t>
      </w:r>
      <w:hyperlink r:id="rId93" w:history="1">
        <w:r w:rsidRPr="002D78C7">
          <w:rPr>
            <w:rStyle w:val="Hyperlink"/>
            <w:rFonts w:asciiTheme="majorBidi" w:hAnsiTheme="majorBidi" w:cstheme="majorBidi"/>
            <w:szCs w:val="18"/>
          </w:rPr>
          <w:t>https://eur-lex.europa.eu/legal-content/EN/TXT/?uri=celex:52009XG1215(01)</w:t>
        </w:r>
      </w:hyperlink>
      <w:r w:rsidRPr="002D78C7">
        <w:rPr>
          <w:rFonts w:asciiTheme="majorBidi" w:hAnsiTheme="majorBidi" w:cstheme="majorBidi"/>
          <w:szCs w:val="18"/>
        </w:rPr>
        <w:t xml:space="preserve">, B (16)(i); </w:t>
      </w:r>
      <w:r w:rsidRPr="002D78C7">
        <w:rPr>
          <w:rFonts w:asciiTheme="majorBidi" w:hAnsiTheme="majorBidi" w:cstheme="majorBidi"/>
          <w:szCs w:val="18"/>
          <w:shd w:val="clear" w:color="auto" w:fill="FFFFFF"/>
        </w:rPr>
        <w:t>See Dörmann/Serralvo, p. 732–735;; ICRC, “</w:t>
      </w:r>
      <w:r w:rsidRPr="002D78C7">
        <w:rPr>
          <w:rFonts w:asciiTheme="majorBidi" w:hAnsiTheme="majorBidi" w:cstheme="majorBidi"/>
          <w:iCs/>
          <w:szCs w:val="18"/>
          <w:shd w:val="clear" w:color="auto" w:fill="FFFFFF"/>
        </w:rPr>
        <w:t>Arms Transfer Decisions: Applying International Humanitarian Law Criteria</w:t>
      </w:r>
      <w:r w:rsidRPr="002D78C7">
        <w:rPr>
          <w:rFonts w:asciiTheme="majorBidi" w:hAnsiTheme="majorBidi" w:cstheme="majorBidi"/>
          <w:i/>
          <w:iCs/>
          <w:szCs w:val="18"/>
          <w:shd w:val="clear" w:color="auto" w:fill="FFFFFF"/>
        </w:rPr>
        <w:t>”</w:t>
      </w:r>
      <w:r w:rsidRPr="002D78C7">
        <w:rPr>
          <w:rFonts w:asciiTheme="majorBidi" w:hAnsiTheme="majorBidi" w:cstheme="majorBidi"/>
          <w:szCs w:val="18"/>
          <w:shd w:val="clear" w:color="auto" w:fill="FFFFFF"/>
        </w:rPr>
        <w:t>, Practical Guide,  May 2007 (</w:t>
      </w:r>
      <w:hyperlink r:id="rId94" w:history="1">
        <w:r w:rsidRPr="002D78C7">
          <w:rPr>
            <w:rStyle w:val="Hyperlink"/>
            <w:rFonts w:asciiTheme="majorBidi" w:hAnsiTheme="majorBidi" w:cstheme="majorBidi"/>
            <w:szCs w:val="18"/>
          </w:rPr>
          <w:t>https://www.icrc.org/en/doc/assets/files/other/icrc_002_0916.pdf</w:t>
        </w:r>
      </w:hyperlink>
      <w:r w:rsidRPr="002D78C7">
        <w:rPr>
          <w:rFonts w:asciiTheme="majorBidi" w:hAnsiTheme="majorBidi" w:cstheme="majorBidi"/>
          <w:szCs w:val="18"/>
          <w:shd w:val="clear" w:color="auto" w:fill="FFFFFF"/>
        </w:rPr>
        <w:t>).</w:t>
      </w:r>
    </w:p>
  </w:footnote>
  <w:footnote w:id="1451">
    <w:p w14:paraId="5A2E1CB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ICRC commentary to article 1 common to the Geneva Conventions, 2016, para. 181. </w:t>
      </w:r>
      <w:r w:rsidRPr="002D78C7">
        <w:rPr>
          <w:rFonts w:asciiTheme="majorBidi" w:hAnsiTheme="majorBidi" w:cstheme="majorBidi"/>
          <w:szCs w:val="18"/>
          <w:shd w:val="clear" w:color="auto" w:fill="FFFFFF"/>
        </w:rPr>
        <w:t>See e.g. 31st International Conference of the Red Cross and Red Crescent, Geneva, 2011, Res. 2, Annex 1: Action Plan for Implementing International Humanitarian Law, Objective 5: Arms transfers (</w:t>
      </w:r>
      <w:hyperlink r:id="rId95" w:history="1">
        <w:r w:rsidRPr="002D78C7">
          <w:rPr>
            <w:rStyle w:val="Hyperlink"/>
            <w:rFonts w:asciiTheme="majorBidi" w:hAnsiTheme="majorBidi" w:cstheme="majorBidi"/>
            <w:szCs w:val="18"/>
          </w:rPr>
          <w:t>https://www.icrc.org/en/doc/resources/documents/resolution/31-international-conference-resolution-2-2011.htm</w:t>
        </w:r>
      </w:hyperlink>
      <w:r w:rsidRPr="002D78C7">
        <w:rPr>
          <w:rFonts w:asciiTheme="majorBidi" w:hAnsiTheme="majorBidi" w:cstheme="majorBidi"/>
          <w:szCs w:val="18"/>
        </w:rPr>
        <w:t>)</w:t>
      </w:r>
      <w:r w:rsidRPr="002D78C7">
        <w:rPr>
          <w:rFonts w:asciiTheme="majorBidi" w:hAnsiTheme="majorBidi" w:cstheme="majorBidi"/>
          <w:szCs w:val="18"/>
          <w:shd w:val="clear" w:color="auto" w:fill="FFFFFF"/>
        </w:rPr>
        <w:t>;; 28th International Conference of the Red Cross and Red Crescent, Geneva, 2003, Agenda for Humanitarian Action, Final goal 2.3 (</w:t>
      </w:r>
      <w:hyperlink r:id="rId96" w:history="1">
        <w:r w:rsidRPr="002D78C7">
          <w:rPr>
            <w:rStyle w:val="Hyperlink"/>
            <w:rFonts w:asciiTheme="majorBidi" w:hAnsiTheme="majorBidi" w:cstheme="majorBidi"/>
            <w:szCs w:val="18"/>
          </w:rPr>
          <w:t>https://www.icrc.org/en/doc/assets/files/other/icrc_002_1103.pdf</w:t>
        </w:r>
      </w:hyperlink>
      <w:r w:rsidRPr="002D78C7">
        <w:rPr>
          <w:rFonts w:asciiTheme="majorBidi" w:hAnsiTheme="majorBidi" w:cstheme="majorBidi"/>
          <w:szCs w:val="18"/>
        </w:rPr>
        <w:t>)</w:t>
      </w:r>
      <w:r w:rsidRPr="002D78C7">
        <w:rPr>
          <w:rFonts w:asciiTheme="majorBidi" w:hAnsiTheme="majorBidi" w:cstheme="majorBidi"/>
          <w:szCs w:val="18"/>
          <w:shd w:val="clear" w:color="auto" w:fill="FFFFFF"/>
        </w:rPr>
        <w:t xml:space="preserve">; </w:t>
      </w:r>
      <w:r w:rsidRPr="002D78C7">
        <w:rPr>
          <w:rFonts w:asciiTheme="majorBidi" w:hAnsiTheme="majorBidi" w:cstheme="majorBidi"/>
          <w:szCs w:val="18"/>
        </w:rPr>
        <w:t>Alexandra Boivin, “Complicity and beyond: International law and the transfer of small arms and light weapons”, International Review of the Red Cross, Volume 87 Number 859, September 2005 (</w:t>
      </w:r>
      <w:hyperlink r:id="rId97" w:history="1">
        <w:r w:rsidRPr="002D78C7">
          <w:rPr>
            <w:rStyle w:val="Hyperlink"/>
            <w:rFonts w:asciiTheme="majorBidi" w:hAnsiTheme="majorBidi" w:cstheme="majorBidi"/>
            <w:szCs w:val="18"/>
          </w:rPr>
          <w:t>https://www.icrc.org/en/doc/assets/files/other/irrc_859_boivin.pdf</w:t>
        </w:r>
      </w:hyperlink>
      <w:r w:rsidRPr="002D78C7">
        <w:rPr>
          <w:rFonts w:asciiTheme="majorBidi" w:hAnsiTheme="majorBidi" w:cstheme="majorBidi"/>
          <w:szCs w:val="18"/>
        </w:rPr>
        <w:t>), p. 475-479.</w:t>
      </w:r>
    </w:p>
  </w:footnote>
  <w:footnote w:id="1452">
    <w:p w14:paraId="5F3CC1B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6, para. 3 Arms Trade Treaty.</w:t>
      </w:r>
    </w:p>
  </w:footnote>
  <w:footnote w:id="1453">
    <w:p w14:paraId="0E0B05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7, para. 1 Arms Trade Treaty. </w:t>
      </w:r>
    </w:p>
  </w:footnote>
  <w:footnote w:id="1454">
    <w:p w14:paraId="1A603AF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41, para. 1. </w:t>
      </w:r>
    </w:p>
  </w:footnote>
  <w:footnote w:id="1455">
    <w:p w14:paraId="1EA72C8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40.</w:t>
      </w:r>
    </w:p>
  </w:footnote>
  <w:footnote w:id="1456">
    <w:p w14:paraId="5700FEB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ILC Draft articles on the Responsibility of States for Internationally Wrongful Acts with commentaries, 2001, Art. 26, para. 5, p. 85 and Art. 40, para. 4, p. 112-113 referring to </w:t>
      </w:r>
      <w:r w:rsidRPr="002D78C7">
        <w:rPr>
          <w:rFonts w:asciiTheme="majorBidi" w:hAnsiTheme="majorBidi" w:cstheme="majorBidi"/>
          <w:i/>
          <w:szCs w:val="18"/>
        </w:rPr>
        <w:t>Legality of the Threat or Use of Nuclear Weapons</w:t>
      </w:r>
      <w:r w:rsidRPr="002D78C7">
        <w:rPr>
          <w:rFonts w:asciiTheme="majorBidi" w:hAnsiTheme="majorBidi" w:cstheme="majorBidi"/>
          <w:szCs w:val="18"/>
        </w:rPr>
        <w:t>, Advisory Opinion, ICJ Reports 1996, para. 79; See commentary to the 1969 Vienna Convention on the Law of Treaties, Art. 50, para. 3.</w:t>
      </w:r>
    </w:p>
  </w:footnote>
  <w:footnote w:id="1457">
    <w:p w14:paraId="30B4AF1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 Charter, article 1(3); See Preamble of International Covenant on Civil and Political Rights; International Covenant on Economic, Social and Cultural Rights; Convention on the Right of the Child; Convention against Torture and other Cruel, Inhuman or Degrading Treatment or Punishment; Convention on the Elimination of Racial Discrimination and Convention on the Rights of Persons with Disabilities.</w:t>
      </w:r>
    </w:p>
  </w:footnote>
  <w:footnote w:id="1458">
    <w:p w14:paraId="2D464EFD" w14:textId="71EC7C4A"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Style w:val="preferred"/>
          <w:cs/>
        </w:rPr>
        <w:t>‎‎</w:t>
      </w:r>
      <w:r>
        <w:rPr>
          <w:rStyle w:val="preferred"/>
          <w:rFonts w:hint="cs"/>
          <w:rtl/>
          <w:cs/>
        </w:rPr>
        <w:t xml:space="preserve">ويتبين هذا في كل أنحاء </w:t>
      </w:r>
      <w:r>
        <w:rPr>
          <w:rStyle w:val="preferred"/>
          <w:rtl/>
        </w:rPr>
        <w:t>العهد الدولي الخاص بالحقوق الاقتصادية والاجتماعية والثقافية‏‏</w:t>
      </w:r>
      <w:r>
        <w:rPr>
          <w:rStyle w:val="preferred"/>
          <w:rFonts w:hint="cs"/>
          <w:rtl/>
        </w:rPr>
        <w:t xml:space="preserve">، أنظر على سبيل المثال الفقرات: </w:t>
      </w:r>
    </w:p>
    <w:p w14:paraId="0587EDC4" w14:textId="77777777"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Fonts w:asciiTheme="majorBidi" w:hAnsiTheme="majorBidi" w:cstheme="majorBidi"/>
          <w:szCs w:val="18"/>
        </w:rPr>
        <w:t xml:space="preserve">Art. 2(1), Art. 11(2) and Art. 23; </w:t>
      </w:r>
    </w:p>
    <w:p w14:paraId="0CFA4F48" w14:textId="7329B9A5" w:rsidR="00A1624A" w:rsidRPr="00851AD3" w:rsidRDefault="00A1624A" w:rsidP="00B81240">
      <w:pPr>
        <w:pStyle w:val="FootnoteText"/>
        <w:tabs>
          <w:tab w:val="clear" w:pos="1021"/>
        </w:tabs>
        <w:bidi/>
        <w:ind w:left="851" w:firstLine="0"/>
        <w:jc w:val="both"/>
        <w:rPr>
          <w:rFonts w:asciiTheme="majorBidi" w:hAnsiTheme="majorBidi" w:cstheme="majorBidi"/>
          <w:sz w:val="20"/>
          <w:rtl/>
        </w:rPr>
      </w:pPr>
      <w:r>
        <w:rPr>
          <w:rFonts w:asciiTheme="majorBidi" w:hAnsiTheme="majorBidi" w:cstheme="majorBidi" w:hint="cs"/>
          <w:sz w:val="20"/>
          <w:rtl/>
        </w:rPr>
        <w:t>و</w:t>
      </w:r>
      <w:r w:rsidRPr="00851AD3">
        <w:rPr>
          <w:rFonts w:asciiTheme="majorBidi" w:hAnsiTheme="majorBidi" w:cstheme="majorBidi" w:hint="cs"/>
          <w:sz w:val="20"/>
          <w:rtl/>
        </w:rPr>
        <w:t xml:space="preserve">أنظر </w:t>
      </w:r>
      <w:r w:rsidRPr="00851AD3">
        <w:rPr>
          <w:rStyle w:val="ar"/>
          <w:sz w:val="20"/>
          <w:rtl/>
        </w:rPr>
        <w:t>اللجنة المعنية بالحقوق الاقتصادية والاجتماعية والثقافي</w:t>
      </w:r>
      <w:r>
        <w:rPr>
          <w:rStyle w:val="ar"/>
          <w:rFonts w:hint="cs"/>
          <w:sz w:val="20"/>
          <w:rtl/>
        </w:rPr>
        <w:t xml:space="preserve">ة، </w:t>
      </w:r>
    </w:p>
    <w:p w14:paraId="4D82CCEF" w14:textId="2A38A66F"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General Comment No.3 (the nature of States parties’ obligations).</w:t>
      </w:r>
    </w:p>
  </w:footnote>
  <w:footnote w:id="1459">
    <w:p w14:paraId="06F2AF8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t>International Law Commission Draft Articles on the Responsibility of States for Internationally Wrongful Acts, Article 41(2), and the commentary thereto.</w:t>
      </w:r>
    </w:p>
  </w:footnote>
  <w:footnote w:id="1460">
    <w:p w14:paraId="1A7FA0A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International Law Commission Draft Articles on the Responsibility of States for Internationally Wrongful Acts, Article 16, and the commentary thereto. </w:t>
      </w:r>
    </w:p>
  </w:footnote>
  <w:footnote w:id="1461">
    <w:p w14:paraId="50C6CF0B" w14:textId="32CF7D48" w:rsidR="00A1624A"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Pr>
          <w:rFonts w:asciiTheme="majorBidi" w:hAnsiTheme="majorBidi" w:cstheme="majorBidi" w:hint="cs"/>
          <w:szCs w:val="18"/>
          <w:rtl/>
        </w:rPr>
        <w:t xml:space="preserve">أنظر على سبيل المثال: </w:t>
      </w:r>
    </w:p>
    <w:p w14:paraId="24195726" w14:textId="090B69DB" w:rsidR="00A1624A" w:rsidRPr="002D78C7" w:rsidRDefault="0068660E" w:rsidP="00B81240">
      <w:pPr>
        <w:pStyle w:val="FootnoteText"/>
        <w:tabs>
          <w:tab w:val="clear" w:pos="1021"/>
        </w:tabs>
        <w:bidi/>
        <w:ind w:left="851" w:firstLine="0"/>
        <w:jc w:val="both"/>
        <w:rPr>
          <w:rFonts w:asciiTheme="majorBidi" w:hAnsiTheme="majorBidi" w:cstheme="majorBidi"/>
          <w:bCs/>
          <w:szCs w:val="18"/>
        </w:rPr>
      </w:pPr>
      <w:hyperlink r:id="rId98" w:tooltip="Posts by Oona Hathaway" w:history="1">
        <w:r w:rsidR="00A1624A" w:rsidRPr="002D78C7">
          <w:rPr>
            <w:rStyle w:val="Hyperlink"/>
            <w:rFonts w:asciiTheme="majorBidi" w:hAnsiTheme="majorBidi" w:cstheme="majorBidi"/>
            <w:bCs/>
            <w:szCs w:val="18"/>
          </w:rPr>
          <w:t>Oona Hathaway</w:t>
        </w:r>
      </w:hyperlink>
      <w:r w:rsidR="00A1624A" w:rsidRPr="002D78C7">
        <w:rPr>
          <w:rFonts w:asciiTheme="majorBidi" w:hAnsiTheme="majorBidi" w:cstheme="majorBidi"/>
          <w:bCs/>
          <w:szCs w:val="18"/>
        </w:rPr>
        <w:t>, </w:t>
      </w:r>
      <w:hyperlink r:id="rId99" w:tooltip="Posts by Alexandra Francis" w:history="1">
        <w:r w:rsidR="00A1624A" w:rsidRPr="002D78C7">
          <w:rPr>
            <w:rStyle w:val="Hyperlink"/>
            <w:rFonts w:asciiTheme="majorBidi" w:hAnsiTheme="majorBidi" w:cstheme="majorBidi"/>
            <w:bCs/>
            <w:szCs w:val="18"/>
          </w:rPr>
          <w:t>Alexandra Francis</w:t>
        </w:r>
      </w:hyperlink>
      <w:r w:rsidR="00A1624A" w:rsidRPr="002D78C7">
        <w:rPr>
          <w:rFonts w:asciiTheme="majorBidi" w:hAnsiTheme="majorBidi" w:cstheme="majorBidi"/>
          <w:bCs/>
          <w:szCs w:val="18"/>
        </w:rPr>
        <w:t>, </w:t>
      </w:r>
      <w:hyperlink r:id="rId100" w:tooltip="Posts by Alyssa Yamamoto" w:history="1">
        <w:r w:rsidR="00A1624A" w:rsidRPr="002D78C7">
          <w:rPr>
            <w:rStyle w:val="Hyperlink"/>
            <w:rFonts w:asciiTheme="majorBidi" w:hAnsiTheme="majorBidi" w:cstheme="majorBidi"/>
            <w:bCs/>
            <w:szCs w:val="18"/>
          </w:rPr>
          <w:t>Alyssa Yamamoto</w:t>
        </w:r>
      </w:hyperlink>
      <w:r w:rsidR="00A1624A" w:rsidRPr="002D78C7">
        <w:rPr>
          <w:rFonts w:asciiTheme="majorBidi" w:hAnsiTheme="majorBidi" w:cstheme="majorBidi"/>
          <w:bCs/>
          <w:szCs w:val="18"/>
        </w:rPr>
        <w:t>, </w:t>
      </w:r>
      <w:r w:rsidR="00A1624A" w:rsidRPr="002D78C7">
        <w:rPr>
          <w:rFonts w:asciiTheme="majorBidi" w:hAnsiTheme="majorBidi" w:cstheme="majorBidi"/>
          <w:szCs w:val="18"/>
        </w:rPr>
        <w:t>Srinath Reddy Kethireddy</w:t>
      </w:r>
      <w:r w:rsidR="00A1624A" w:rsidRPr="002D78C7">
        <w:rPr>
          <w:rFonts w:asciiTheme="majorBidi" w:hAnsiTheme="majorBidi" w:cstheme="majorBidi"/>
          <w:bCs/>
          <w:szCs w:val="18"/>
        </w:rPr>
        <w:t> and </w:t>
      </w:r>
      <w:hyperlink r:id="rId101" w:tooltip="Posts by Aaron Haviland" w:history="1">
        <w:r w:rsidR="00A1624A" w:rsidRPr="002D78C7">
          <w:rPr>
            <w:rStyle w:val="Hyperlink"/>
            <w:rFonts w:asciiTheme="majorBidi" w:hAnsiTheme="majorBidi" w:cstheme="majorBidi"/>
            <w:bCs/>
            <w:szCs w:val="18"/>
          </w:rPr>
          <w:t>Aaron Haviland</w:t>
        </w:r>
      </w:hyperlink>
      <w:r w:rsidR="00A1624A" w:rsidRPr="002D78C7">
        <w:rPr>
          <w:rFonts w:asciiTheme="majorBidi" w:hAnsiTheme="majorBidi" w:cstheme="majorBidi"/>
          <w:bCs/>
          <w:szCs w:val="18"/>
        </w:rPr>
        <w:t xml:space="preserve">, “Common Article 1 and the U.S. Duty to Ensure </w:t>
      </w:r>
      <w:r w:rsidR="00A1624A" w:rsidRPr="002D78C7">
        <w:rPr>
          <w:rFonts w:asciiTheme="majorBidi" w:hAnsiTheme="majorBidi" w:cstheme="majorBidi"/>
          <w:szCs w:val="18"/>
        </w:rPr>
        <w:t>Respect</w:t>
      </w:r>
      <w:r w:rsidR="00A1624A" w:rsidRPr="002D78C7">
        <w:rPr>
          <w:rFonts w:asciiTheme="majorBidi" w:hAnsiTheme="majorBidi" w:cstheme="majorBidi"/>
          <w:bCs/>
          <w:szCs w:val="18"/>
        </w:rPr>
        <w:t xml:space="preserve"> for the Geneva Conventions in Yemen”, Just Security, April 2018 (</w:t>
      </w:r>
      <w:hyperlink r:id="rId102" w:history="1">
        <w:r w:rsidR="00A1624A" w:rsidRPr="002D78C7">
          <w:rPr>
            <w:rStyle w:val="Hyperlink"/>
            <w:rFonts w:asciiTheme="majorBidi" w:hAnsiTheme="majorBidi" w:cstheme="majorBidi"/>
            <w:szCs w:val="18"/>
          </w:rPr>
          <w:t>https://www.justsecurity.org/55415/common-article-1-u-s-duty-ensure-respect-geneva-conventions-yemen/</w:t>
        </w:r>
      </w:hyperlink>
      <w:r w:rsidR="00A1624A" w:rsidRPr="002D78C7">
        <w:rPr>
          <w:rFonts w:asciiTheme="majorBidi" w:hAnsiTheme="majorBidi" w:cstheme="majorBidi"/>
          <w:szCs w:val="18"/>
        </w:rPr>
        <w:t>).</w:t>
      </w:r>
      <w:r w:rsidR="00A1624A" w:rsidRPr="002D78C7">
        <w:rPr>
          <w:rFonts w:asciiTheme="majorBidi" w:hAnsiTheme="majorBidi" w:cstheme="majorBidi"/>
          <w:bCs/>
          <w:szCs w:val="18"/>
        </w:rPr>
        <w:t xml:space="preserve"> </w:t>
      </w:r>
    </w:p>
  </w:footnote>
  <w:footnote w:id="1462">
    <w:p w14:paraId="40323C3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ILC Draft articles on the Responsibility of States for Internationally Wrongful Acts, article 41(1).</w:t>
      </w:r>
    </w:p>
  </w:footnote>
  <w:footnote w:id="1463">
    <w:p w14:paraId="6F29FB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ILC Draft articles on the Responsibility of States for Internationally Wrongful Acts, Art. 16; see for example Alexandra Boivin, “Complicity and beyond: International law and the transfer of small arms and light weapons”, International Review of the Red Cross, Volume 87 Number 859, September 2005 (</w:t>
      </w:r>
      <w:hyperlink r:id="rId103" w:history="1">
        <w:r w:rsidRPr="002D78C7">
          <w:rPr>
            <w:rStyle w:val="Hyperlink"/>
            <w:rFonts w:asciiTheme="majorBidi" w:hAnsiTheme="majorBidi" w:cstheme="majorBidi"/>
            <w:szCs w:val="18"/>
          </w:rPr>
          <w:t>https://www.icrc.org/en/doc/assets/files/other/irrc_859_boivin.pdf</w:t>
        </w:r>
      </w:hyperlink>
      <w:r w:rsidRPr="002D78C7">
        <w:rPr>
          <w:rFonts w:asciiTheme="majorBidi" w:hAnsiTheme="majorBidi" w:cstheme="majorBidi"/>
          <w:szCs w:val="18"/>
        </w:rPr>
        <w:t>); Cordula Droege and David Tuck, “Fighting together and international humanitarian law: Ensuring respect for the law and assessing responsibility for violations (2/2)”, Humanitarian Law and Policy, October 2017 (</w:t>
      </w:r>
      <w:hyperlink r:id="rId104" w:anchor="_ftnref10" w:history="1">
        <w:r w:rsidRPr="002D78C7">
          <w:rPr>
            <w:rStyle w:val="Hyperlink"/>
            <w:rFonts w:asciiTheme="majorBidi" w:hAnsiTheme="majorBidi" w:cstheme="majorBidi"/>
            <w:szCs w:val="18"/>
          </w:rPr>
          <w:t>https://blogs.icrc.org/law-and-policy/2017/10/17/fighting-together-international-humanitarian-law-ensuring-respect-law-assessing-responsibility-violations-2-2/#_ftnref10</w:t>
        </w:r>
      </w:hyperlink>
      <w:r w:rsidRPr="002D78C7">
        <w:rPr>
          <w:rFonts w:asciiTheme="majorBidi" w:hAnsiTheme="majorBidi" w:cstheme="majorBidi"/>
          <w:szCs w:val="18"/>
        </w:rPr>
        <w:t>).</w:t>
      </w:r>
    </w:p>
  </w:footnote>
  <w:footnote w:id="1464">
    <w:p w14:paraId="03462DC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Art. 25 3. (c) Rome Statute.</w:t>
      </w:r>
    </w:p>
  </w:footnote>
  <w:footnote w:id="1465">
    <w:p w14:paraId="7A6DAA3E" w14:textId="4EB4E7AE" w:rsidR="00A1624A" w:rsidRPr="008212C4" w:rsidRDefault="00A1624A" w:rsidP="00B81240">
      <w:pPr>
        <w:bidi/>
        <w:ind w:left="851" w:right="1134"/>
        <w:jc w:val="both"/>
        <w:rPr>
          <w:rFonts w:ascii="Traditional Arabic" w:hAnsi="Traditional Arabic" w:cs="Traditional Arabic"/>
          <w:sz w:val="22"/>
          <w:szCs w:val="22"/>
          <w:rtl/>
        </w:rPr>
      </w:pPr>
      <w:r w:rsidRPr="008212C4">
        <w:rPr>
          <w:rStyle w:val="FootnoteReference"/>
          <w:rFonts w:ascii="Traditional Arabic" w:hAnsi="Traditional Arabic" w:cs="Traditional Arabic"/>
          <w:sz w:val="22"/>
          <w:szCs w:val="22"/>
        </w:rPr>
        <w:footnoteRef/>
      </w:r>
      <w:r w:rsidRPr="008212C4">
        <w:rPr>
          <w:rFonts w:ascii="Traditional Arabic" w:hAnsi="Traditional Arabic" w:cs="Traditional Arabic"/>
          <w:sz w:val="22"/>
          <w:szCs w:val="22"/>
        </w:rPr>
        <w:t xml:space="preserve"> </w:t>
      </w:r>
      <w:r w:rsidRPr="008212C4">
        <w:rPr>
          <w:rFonts w:ascii="Traditional Arabic" w:hAnsi="Traditional Arabic" w:cs="Traditional Arabic"/>
          <w:sz w:val="22"/>
          <w:szCs w:val="22"/>
          <w:rtl/>
        </w:rPr>
        <w:t>أنظر مقالات مختلفة حول موضوع نقل الأسلحة إلى اليمن الأمر الذي من المحتمل أن يصل إلى درجة التواطؤ من جانب الولايات المتحدة</w:t>
      </w:r>
    </w:p>
    <w:p w14:paraId="09633FEB" w14:textId="5BF46B94" w:rsidR="00A1624A" w:rsidRPr="002D78C7" w:rsidRDefault="00A1624A" w:rsidP="00B81240">
      <w:pPr>
        <w:bidi/>
        <w:ind w:left="851" w:right="1134"/>
        <w:jc w:val="both"/>
        <w:rPr>
          <w:rFonts w:asciiTheme="majorBidi" w:hAnsiTheme="majorBidi" w:cstheme="majorBidi"/>
          <w:b/>
          <w:sz w:val="18"/>
          <w:szCs w:val="18"/>
        </w:rPr>
      </w:pPr>
      <w:r w:rsidRPr="002D78C7">
        <w:rPr>
          <w:rFonts w:asciiTheme="majorBidi" w:hAnsiTheme="majorBidi" w:cstheme="majorBidi"/>
          <w:sz w:val="18"/>
          <w:szCs w:val="18"/>
        </w:rPr>
        <w:t xml:space="preserve"> (</w:t>
      </w:r>
      <w:hyperlink r:id="rId105" w:history="1">
        <w:r w:rsidRPr="002D78C7">
          <w:rPr>
            <w:rStyle w:val="Hyperlink"/>
            <w:rFonts w:asciiTheme="majorBidi" w:hAnsiTheme="majorBidi" w:cstheme="majorBidi"/>
            <w:sz w:val="18"/>
            <w:szCs w:val="18"/>
          </w:rPr>
          <w:t>https://www.justsecurity.org/62363/saudi-coalition-admission-error-bombing-cholera-treatment-center-implicates-united-states/</w:t>
        </w:r>
      </w:hyperlink>
      <w:r w:rsidRPr="002D78C7">
        <w:rPr>
          <w:rStyle w:val="Hyperlink"/>
          <w:rFonts w:asciiTheme="majorBidi" w:hAnsiTheme="majorBidi" w:cstheme="majorBidi"/>
          <w:sz w:val="18"/>
          <w:szCs w:val="18"/>
        </w:rPr>
        <w:t>); and/or of the United Kingdom (</w:t>
      </w:r>
      <w:hyperlink r:id="rId106" w:history="1">
        <w:r w:rsidRPr="002D78C7">
          <w:rPr>
            <w:rStyle w:val="Hyperlink"/>
            <w:rFonts w:asciiTheme="majorBidi" w:hAnsiTheme="majorBidi" w:cstheme="majorBidi"/>
            <w:sz w:val="18"/>
            <w:szCs w:val="18"/>
          </w:rPr>
          <w:t>https://www.theguardian.com/law/2019/jun/20/uk-arms-sales-to-saudi-arabia-for-use-in-yemen-declared-unlawful?CMP=Share_iOSApp_Other</w:t>
        </w:r>
      </w:hyperlink>
      <w:r w:rsidRPr="002D78C7">
        <w:rPr>
          <w:rStyle w:val="Hyperlink"/>
          <w:rFonts w:asciiTheme="majorBidi" w:hAnsiTheme="majorBidi" w:cstheme="majorBidi"/>
          <w:sz w:val="18"/>
          <w:szCs w:val="18"/>
        </w:rPr>
        <w:t xml:space="preserve">; </w:t>
      </w:r>
      <w:hyperlink r:id="rId107" w:history="1">
        <w:r w:rsidRPr="002D78C7">
          <w:rPr>
            <w:rStyle w:val="Hyperlink"/>
            <w:rFonts w:asciiTheme="majorBidi" w:hAnsiTheme="majorBidi" w:cstheme="majorBidi"/>
            <w:sz w:val="18"/>
            <w:szCs w:val="18"/>
          </w:rPr>
          <w:t>https://www.theguardian.com/world/2019/jun/18/the-saudis-couldnt-do-it-without-us-the-uks-true-role-in-yemens-deadly-war?CMP=share_btn_fb</w:t>
        </w:r>
      </w:hyperlink>
      <w:r w:rsidRPr="002D78C7">
        <w:rPr>
          <w:rStyle w:val="Hyperlink"/>
          <w:rFonts w:asciiTheme="majorBidi" w:hAnsiTheme="majorBidi" w:cstheme="majorBidi"/>
          <w:sz w:val="18"/>
          <w:szCs w:val="18"/>
        </w:rPr>
        <w:t xml:space="preserve">; </w:t>
      </w:r>
      <w:hyperlink r:id="rId108" w:history="1">
        <w:r w:rsidRPr="002D78C7">
          <w:rPr>
            <w:rStyle w:val="Hyperlink"/>
            <w:rFonts w:asciiTheme="majorBidi" w:hAnsiTheme="majorBidi" w:cstheme="majorBidi"/>
            <w:sz w:val="18"/>
            <w:szCs w:val="18"/>
          </w:rPr>
          <w:t>https://www.justsecurity.org/32656/law-aiding-abetting-alleged-war-crimes-assess-uk-support-saudi-strikes-yemen/</w:t>
        </w:r>
      </w:hyperlink>
      <w:r w:rsidRPr="002D78C7">
        <w:rPr>
          <w:rStyle w:val="Hyperlink"/>
          <w:rFonts w:asciiTheme="majorBidi" w:hAnsiTheme="majorBidi" w:cstheme="majorBidi"/>
          <w:sz w:val="18"/>
          <w:szCs w:val="18"/>
        </w:rPr>
        <w:t>); and of France (</w:t>
      </w:r>
      <w:hyperlink r:id="rId109" w:history="1">
        <w:r w:rsidRPr="002D78C7">
          <w:rPr>
            <w:rStyle w:val="Hyperlink"/>
            <w:rFonts w:asciiTheme="majorBidi" w:hAnsiTheme="majorBidi" w:cstheme="majorBidi"/>
            <w:sz w:val="18"/>
            <w:szCs w:val="18"/>
          </w:rPr>
          <w:t>https://www.hrw.org/fr/news/2019/04/15/yemen-appel-de-10-ong-apres-lenquete-de-disclose-sur-le-yemen</w:t>
        </w:r>
      </w:hyperlink>
      <w:r w:rsidRPr="002D78C7">
        <w:rPr>
          <w:rStyle w:val="Hyperlink"/>
          <w:rFonts w:asciiTheme="majorBidi" w:hAnsiTheme="majorBidi" w:cstheme="majorBidi"/>
          <w:sz w:val="18"/>
          <w:szCs w:val="18"/>
        </w:rPr>
        <w:t>).</w:t>
      </w:r>
    </w:p>
  </w:footnote>
  <w:footnote w:id="1466">
    <w:p w14:paraId="19538EE9" w14:textId="1F91529D" w:rsidR="00A1624A" w:rsidRPr="008212C4" w:rsidRDefault="00A1624A" w:rsidP="00B81240">
      <w:pPr>
        <w:bidi/>
        <w:ind w:left="851" w:right="1134"/>
        <w:jc w:val="both"/>
        <w:rPr>
          <w:rStyle w:val="FootnoteReference"/>
          <w:rFonts w:ascii="Traditional Arabic" w:hAnsi="Traditional Arabic" w:cs="Traditional Arabic"/>
          <w:sz w:val="22"/>
          <w:szCs w:val="22"/>
          <w:vertAlign w:val="baseline"/>
          <w:rtl/>
        </w:rPr>
      </w:pPr>
      <w:r w:rsidRPr="007D54C2">
        <w:rPr>
          <w:rStyle w:val="FootnoteReference"/>
          <w:rFonts w:ascii="Traditional Arabic" w:hAnsi="Traditional Arabic" w:cs="Traditional Arabic"/>
          <w:sz w:val="22"/>
          <w:szCs w:val="22"/>
        </w:rPr>
        <w:footnoteRef/>
      </w:r>
      <w:r w:rsidRPr="008212C4">
        <w:rPr>
          <w:rStyle w:val="FootnoteReference"/>
          <w:rFonts w:ascii="Traditional Arabic" w:hAnsi="Traditional Arabic" w:cs="Traditional Arabic"/>
          <w:sz w:val="22"/>
          <w:szCs w:val="22"/>
          <w:vertAlign w:val="baseline"/>
        </w:rPr>
        <w:t xml:space="preserve"> </w:t>
      </w:r>
      <w:r w:rsidRPr="008212C4">
        <w:rPr>
          <w:rStyle w:val="FootnoteReference"/>
          <w:rFonts w:ascii="Traditional Arabic" w:hAnsi="Traditional Arabic" w:cs="Traditional Arabic" w:hint="cs"/>
          <w:sz w:val="22"/>
          <w:szCs w:val="22"/>
          <w:vertAlign w:val="baseline"/>
          <w:rtl/>
        </w:rPr>
        <w:t xml:space="preserve">لا تزال إجراءات المحاكمة معلقة حاليًا في فرنسا وإيطاليا والمملكة المتحدة وكانت المسألة أيضًا موضوع مناقشات وقرارات الكونغرس أو البرلمانات مثل في الولايات المتحدة وأستراليا وإيطاليا. وأفادت تقارير أن العديد من الدول أوقفت صادرات الأسلحة إلى المملكة العربية السعودية، بما في ذلك: بلجيكا وألمانيا (لكن يوجد تقارير عن مبيعات غير مباشرة عبر فرنسا وما تزال التساؤلات موجودة عن عمليات التسليم </w:t>
      </w:r>
      <w:r>
        <w:rPr>
          <w:rStyle w:val="FootnoteReference"/>
          <w:rFonts w:ascii="Traditional Arabic" w:hAnsi="Traditional Arabic" w:cs="Traditional Arabic" w:hint="cs"/>
          <w:sz w:val="22"/>
          <w:szCs w:val="22"/>
          <w:vertAlign w:val="baseline"/>
          <w:rtl/>
        </w:rPr>
        <w:t>و</w:t>
      </w:r>
      <w:r w:rsidRPr="008212C4">
        <w:rPr>
          <w:rStyle w:val="FootnoteReference"/>
          <w:rFonts w:ascii="Traditional Arabic" w:hAnsi="Traditional Arabic" w:cs="Traditional Arabic" w:hint="cs"/>
          <w:sz w:val="22"/>
          <w:szCs w:val="22"/>
          <w:vertAlign w:val="baseline"/>
          <w:rtl/>
        </w:rPr>
        <w:t xml:space="preserve">الشحن بموجب التراخيص الحالية) وهولندا. أفادت مصادر بأن كندا أعلنت أنها بدأت تعيد النظر في تصدير الأسلحة. لكن يعبّر المجتمع المدني عن قلقه لأن هذه المراجعة لا تزال معلّقة. تتوفر بيانات عن نقل الأسلحة في تقارير وطنية حول تصدير الأسلحة وقرارات قضائية متاحة للعموم وقرارات كونغرس أو برلمانات وأبحاث مستقلة لمنظمات حقوق الإنسان والمجامع الفكرية التي درست مبيعات وإمدادات الأسلحة. كما تم البحث في مسألة بيع الأسلحة والإمدادات إلى أطراف النزاع على نطاق واسع في وسائل الإعلام الدولية والوطنية. </w:t>
      </w:r>
    </w:p>
    <w:p w14:paraId="38C1A54D" w14:textId="30597792" w:rsidR="00A1624A" w:rsidRPr="002D78C7" w:rsidRDefault="00A1624A" w:rsidP="00B81240">
      <w:pPr>
        <w:pStyle w:val="FootnoteText"/>
        <w:tabs>
          <w:tab w:val="clear" w:pos="1021"/>
        </w:tabs>
        <w:bidi/>
        <w:ind w:left="851" w:firstLine="0"/>
        <w:jc w:val="both"/>
        <w:rPr>
          <w:rFonts w:asciiTheme="majorBidi" w:hAnsiTheme="majorBidi" w:cstheme="majorBidi"/>
          <w:szCs w:val="18"/>
          <w:shd w:val="clear" w:color="auto" w:fill="FFFFFF"/>
        </w:rPr>
      </w:pPr>
      <w:r w:rsidRPr="002D78C7">
        <w:rPr>
          <w:rFonts w:asciiTheme="majorBidi" w:hAnsiTheme="majorBidi" w:cstheme="majorBidi"/>
          <w:szCs w:val="18"/>
          <w:shd w:val="clear" w:color="auto" w:fill="FFFFFF"/>
        </w:rPr>
        <w:t xml:space="preserve"> (see for example Samuel Perlo-Freeman, “Who is arming the Yemen war? An update”, March 2019, https://sites.tufts.edu/reinventingpeace/2019/03/19/who-is-arming-the-yemen-war-an-update/).</w:t>
      </w:r>
    </w:p>
    <w:p w14:paraId="77EF58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shd w:val="clear" w:color="auto" w:fill="FFFFFF"/>
        </w:rPr>
        <w:t xml:space="preserve"> </w:t>
      </w:r>
    </w:p>
  </w:footnote>
  <w:footnote w:id="1467">
    <w:p w14:paraId="62EBFAF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0" w:history="1">
        <w:r w:rsidRPr="002D78C7">
          <w:rPr>
            <w:rStyle w:val="Hyperlink"/>
            <w:rFonts w:asciiTheme="majorBidi" w:hAnsiTheme="majorBidi" w:cstheme="majorBidi"/>
            <w:szCs w:val="18"/>
          </w:rPr>
          <w:t>https://www.mod.gov.sa/en/Leaders/Minister/Pages/default.aspx</w:t>
        </w:r>
      </w:hyperlink>
    </w:p>
  </w:footnote>
  <w:footnote w:id="1468">
    <w:p w14:paraId="1206DE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footnoteRef/>
      </w:r>
      <w:r w:rsidRPr="002D78C7">
        <w:rPr>
          <w:rFonts w:asciiTheme="majorBidi" w:hAnsiTheme="majorBidi" w:cstheme="majorBidi"/>
          <w:szCs w:val="18"/>
        </w:rPr>
        <w:t xml:space="preserve"> Replaced General Abdulrahman bin Saleh al-Bunyan who had this post since 2014. See:  </w:t>
      </w:r>
      <w:hyperlink r:id="rId111" w:history="1">
        <w:r w:rsidRPr="002D78C7">
          <w:rPr>
            <w:rStyle w:val="Hyperlink"/>
            <w:rFonts w:asciiTheme="majorBidi" w:hAnsiTheme="majorBidi" w:cstheme="majorBidi"/>
            <w:szCs w:val="18"/>
          </w:rPr>
          <w:t>https://www.spa.gov.sa/viewfullstory.php?lang=en&amp;newsid=1729621</w:t>
        </w:r>
      </w:hyperlink>
      <w:r w:rsidRPr="002D78C7">
        <w:rPr>
          <w:rFonts w:asciiTheme="majorBidi" w:hAnsiTheme="majorBidi" w:cstheme="majorBidi"/>
          <w:szCs w:val="18"/>
        </w:rPr>
        <w:t xml:space="preserve">  </w:t>
      </w:r>
    </w:p>
  </w:footnote>
  <w:footnote w:id="1469">
    <w:p w14:paraId="2C8DAEC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Prince Lieutenant General Fahad bin Turki bin Abdalazeez. See: </w:t>
      </w:r>
      <w:hyperlink r:id="rId112" w:history="1">
        <w:r w:rsidRPr="002D78C7">
          <w:rPr>
            <w:rStyle w:val="Hyperlink"/>
            <w:rFonts w:asciiTheme="majorBidi" w:hAnsiTheme="majorBidi" w:cstheme="majorBidi"/>
            <w:szCs w:val="18"/>
          </w:rPr>
          <w:t>http://www.janes.com/article/78278/top-saudi-commanders-replaced</w:t>
        </w:r>
      </w:hyperlink>
      <w:r w:rsidRPr="002D78C7">
        <w:rPr>
          <w:rFonts w:asciiTheme="majorBidi" w:hAnsiTheme="majorBidi" w:cstheme="majorBidi"/>
          <w:szCs w:val="18"/>
        </w:rPr>
        <w:t xml:space="preserve"> </w:t>
      </w:r>
    </w:p>
  </w:footnote>
  <w:footnote w:id="1470">
    <w:p w14:paraId="527751C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Major General Mohammed Saleh al-Outaibi. See: </w:t>
      </w:r>
      <w:hyperlink r:id="rId113" w:history="1">
        <w:r w:rsidRPr="002D78C7">
          <w:rPr>
            <w:rStyle w:val="Hyperlink"/>
            <w:rFonts w:asciiTheme="majorBidi" w:hAnsiTheme="majorBidi" w:cstheme="majorBidi"/>
            <w:szCs w:val="18"/>
          </w:rPr>
          <w:t>https://www.spa.gov.sa/viewstory.php?lang=en&amp;newsid=1729618</w:t>
        </w:r>
      </w:hyperlink>
      <w:r w:rsidRPr="002D78C7">
        <w:rPr>
          <w:rFonts w:asciiTheme="majorBidi" w:hAnsiTheme="majorBidi" w:cstheme="majorBidi"/>
          <w:szCs w:val="18"/>
        </w:rPr>
        <w:t xml:space="preserve"> </w:t>
      </w:r>
    </w:p>
  </w:footnote>
  <w:footnote w:id="1471">
    <w:p w14:paraId="4689035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Admiral Abdullah bin Sultan bin Mohammad al-Sultan</w:t>
      </w:r>
    </w:p>
  </w:footnote>
  <w:footnote w:id="1472">
    <w:p w14:paraId="115184A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Replaced Lieutenant General Mohammed bin Awadh bin Mansour Suhaim</w:t>
      </w:r>
    </w:p>
  </w:footnote>
  <w:footnote w:id="1473">
    <w:p w14:paraId="7F5B046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https://www.alyaum.com/articles/6196244/%D8%A7%D9%84%D9%85%D9%85%D9%84%D9%83%D8%A9-%D8%A7%D9%84%D9%8A%D9%88%D9%85/%D8%A7%D9%84%D9%84%D9%88%D8%A7%D8%A1-%D8%A7%D9%84%D8%BA%D8%A7%D9%85%D8%AF%D9%8A-%D8%A7%D9%84%D8%AA%D8%AD%D8%A7%D9%84%D9%81-%D8%AD%D8%B1%D9%8A%D8%B5-%D8%B9%D9%84%D9%89-%D8%AA%D8%B7%D8%A8%D9%8A%D9%82-%D8%A7%D9%84%D9%82%D8%A7%D9%86%D9%88%D9%86-%D8%A7%D9%84%D8%AF%D9%88%D9%84%D9%8A</w:t>
      </w:r>
    </w:p>
  </w:footnote>
  <w:footnote w:id="1474">
    <w:p w14:paraId="61C41E4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https://uaecabinet.ae/en/biography</w:t>
      </w:r>
    </w:p>
  </w:footnote>
  <w:footnote w:id="1475">
    <w:p w14:paraId="3BC9B1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https://uaecabinet.ae/en/details/news/ chief-of-staff-of-armed-forces-promoted-to-the-rank-of-minister</w:t>
      </w:r>
    </w:p>
  </w:footnote>
  <w:footnote w:id="1476">
    <w:p w14:paraId="439E039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His rank is Major General (Rear Admiral) </w:t>
      </w:r>
    </w:p>
  </w:footnote>
  <w:footnote w:id="1477">
    <w:p w14:paraId="1FFC198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4" w:history="1">
        <w:r w:rsidRPr="002D78C7">
          <w:rPr>
            <w:rStyle w:val="Hyperlink"/>
            <w:rFonts w:asciiTheme="majorBidi" w:hAnsiTheme="majorBidi" w:cstheme="majorBidi"/>
            <w:szCs w:val="18"/>
          </w:rPr>
          <w:t>https://arabic.cnn.com/middle-east/article/2018/09/18/saudi-led-coalition-launches-offensive-strategic-yemeni-port-city</w:t>
        </w:r>
      </w:hyperlink>
      <w:r w:rsidRPr="002D78C7">
        <w:rPr>
          <w:rFonts w:asciiTheme="majorBidi" w:hAnsiTheme="majorBidi" w:cstheme="majorBidi"/>
          <w:szCs w:val="18"/>
        </w:rPr>
        <w:t xml:space="preserve">;  </w:t>
      </w:r>
      <w:hyperlink r:id="rId115" w:history="1">
        <w:r w:rsidRPr="002D78C7">
          <w:rPr>
            <w:rStyle w:val="Hyperlink"/>
            <w:rFonts w:asciiTheme="majorBidi" w:hAnsiTheme="majorBidi" w:cstheme="majorBidi"/>
            <w:szCs w:val="18"/>
          </w:rPr>
          <w:t>https://twitter.com/amalka4_al</w:t>
        </w:r>
      </w:hyperlink>
      <w:r w:rsidRPr="002D78C7">
        <w:rPr>
          <w:rFonts w:asciiTheme="majorBidi" w:hAnsiTheme="majorBidi" w:cstheme="majorBidi"/>
          <w:szCs w:val="18"/>
        </w:rPr>
        <w:t xml:space="preserve">.; </w:t>
      </w:r>
      <w:hyperlink r:id="rId116" w:history="1">
        <w:r w:rsidRPr="002D78C7">
          <w:rPr>
            <w:rStyle w:val="Hyperlink"/>
            <w:rFonts w:asciiTheme="majorBidi" w:hAnsiTheme="majorBidi" w:cstheme="majorBidi"/>
            <w:szCs w:val="18"/>
          </w:rPr>
          <w:t>https://al-ain.com/article/al-hodeidah-yemen-arab-alliance-al-taniji</w:t>
        </w:r>
      </w:hyperlink>
      <w:r w:rsidRPr="002D78C7">
        <w:rPr>
          <w:rFonts w:asciiTheme="majorBidi" w:hAnsiTheme="majorBidi" w:cstheme="majorBidi"/>
          <w:szCs w:val="18"/>
        </w:rPr>
        <w:t xml:space="preserve"> </w:t>
      </w:r>
    </w:p>
  </w:footnote>
  <w:footnote w:id="1478">
    <w:p w14:paraId="256B7AC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479">
    <w:p w14:paraId="2751E30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7" w:history="1">
        <w:r w:rsidRPr="002D78C7">
          <w:rPr>
            <w:rStyle w:val="Hyperlink"/>
            <w:rFonts w:asciiTheme="majorBidi" w:hAnsiTheme="majorBidi" w:cstheme="majorBidi"/>
            <w:szCs w:val="18"/>
          </w:rPr>
          <w:t>https://almawqeapost.net/news/32379</w:t>
        </w:r>
      </w:hyperlink>
      <w:r w:rsidRPr="002D78C7">
        <w:rPr>
          <w:rFonts w:asciiTheme="majorBidi" w:hAnsiTheme="majorBidi" w:cstheme="majorBidi"/>
          <w:szCs w:val="18"/>
        </w:rPr>
        <w:t xml:space="preserve"> </w:t>
      </w:r>
      <w:hyperlink r:id="rId118" w:history="1">
        <w:r w:rsidRPr="002D78C7">
          <w:rPr>
            <w:rStyle w:val="Hyperlink"/>
            <w:rFonts w:asciiTheme="majorBidi" w:hAnsiTheme="majorBidi" w:cstheme="majorBidi"/>
            <w:szCs w:val="18"/>
          </w:rPr>
          <w:t>https://www.alquds.co.uk/%EF%BB%BF%D8%A7%D9%84%D8%A5%D9%81%D8%B1%D8%A7%D8%AC-%D8%B9%D9%86-%D9%82%D9%8A%D8%A7%D8%AF%D9%8A-%D9%81%D9%8A-%D8%AD%D8%B2%D8%A8-%D8%A7%D9%84%D8%A5%D8%B5%D9%84%D8%A7%D8%AD-%D8%A7%D8%AD%D8%AA%D8%AC</w:t>
        </w:r>
      </w:hyperlink>
      <w:r w:rsidRPr="002D78C7">
        <w:rPr>
          <w:rFonts w:asciiTheme="majorBidi" w:hAnsiTheme="majorBidi" w:cstheme="majorBidi"/>
          <w:szCs w:val="18"/>
        </w:rPr>
        <w:t xml:space="preserve"> </w:t>
      </w:r>
    </w:p>
  </w:footnote>
  <w:footnote w:id="1480">
    <w:p w14:paraId="0B7E9ED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19" w:history="1">
        <w:r w:rsidRPr="002D78C7">
          <w:rPr>
            <w:rStyle w:val="Hyperlink"/>
            <w:rFonts w:asciiTheme="majorBidi" w:hAnsiTheme="majorBidi" w:cstheme="majorBidi"/>
            <w:szCs w:val="18"/>
          </w:rPr>
          <w:t>https://www.alayyam.info/news/7V89EB9O-3B9G6V-A58A</w:t>
        </w:r>
      </w:hyperlink>
      <w:r w:rsidRPr="002D78C7">
        <w:rPr>
          <w:rFonts w:asciiTheme="majorBidi" w:hAnsiTheme="majorBidi" w:cstheme="majorBidi"/>
          <w:szCs w:val="18"/>
        </w:rPr>
        <w:t xml:space="preserve"> </w:t>
      </w:r>
      <w:hyperlink r:id="rId120" w:history="1">
        <w:r w:rsidRPr="002D78C7">
          <w:rPr>
            <w:rStyle w:val="Hyperlink"/>
            <w:rFonts w:asciiTheme="majorBidi" w:hAnsiTheme="majorBidi" w:cstheme="majorBidi"/>
            <w:szCs w:val="18"/>
          </w:rPr>
          <w:t>https://www.alwatanvoice.com/arabic/news/2019/07/15/1259578.html</w:t>
        </w:r>
      </w:hyperlink>
      <w:r w:rsidRPr="002D78C7">
        <w:rPr>
          <w:rFonts w:asciiTheme="majorBidi" w:hAnsiTheme="majorBidi" w:cstheme="majorBidi"/>
          <w:szCs w:val="18"/>
        </w:rPr>
        <w:t xml:space="preserve">  </w:t>
      </w:r>
      <w:hyperlink r:id="rId121" w:history="1">
        <w:r w:rsidRPr="002D78C7">
          <w:rPr>
            <w:rStyle w:val="Hyperlink"/>
            <w:rFonts w:asciiTheme="majorBidi" w:hAnsiTheme="majorBidi" w:cstheme="majorBidi"/>
            <w:szCs w:val="18"/>
          </w:rPr>
          <w:t>https://www.cratersky.net/posts/19296</w:t>
        </w:r>
      </w:hyperlink>
      <w:r w:rsidRPr="002D78C7">
        <w:rPr>
          <w:rFonts w:asciiTheme="majorBidi" w:hAnsiTheme="majorBidi" w:cstheme="majorBidi"/>
          <w:szCs w:val="18"/>
        </w:rPr>
        <w:t xml:space="preserve">  </w:t>
      </w:r>
    </w:p>
  </w:footnote>
  <w:footnote w:id="1481">
    <w:p w14:paraId="13A073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22" w:history="1">
        <w:r w:rsidRPr="002D78C7">
          <w:rPr>
            <w:rStyle w:val="Hyperlink"/>
            <w:rFonts w:asciiTheme="majorBidi" w:hAnsiTheme="majorBidi" w:cstheme="majorBidi"/>
            <w:szCs w:val="18"/>
          </w:rPr>
          <w:t>https://www.skynewsarabia.com/middle-east/1065290-%D9%82%D8%A7%D9%8A%D9%94%D8%AF-%D8%A7%D9%84%D8%AA%D8%AD%D8%A7%D9%84%D9%81-%D8%A8%D8%A7%D9%84%D8%B3%D8%A7%D8%AD%D9%84-%D8%A7%D9%84%D8%BA%D8%B1%D8%A8%D9%8A-%D9%8A%D8%B9%D9%84%D9%86-%D8%AA%D8%AD%D8%B1%D9%8A%D8%B1-%D9%85%D8%B7%D8%A7%D8%B1-%D8%A7%D9%84%D8%AD%D8%AF%D9%8A%D8%AF%D8%A9-%D8%A8%D8%A7%D9%84%D9%83%D8%A7%D9%85%D9%84</w:t>
        </w:r>
      </w:hyperlink>
      <w:r w:rsidRPr="002D78C7">
        <w:rPr>
          <w:rFonts w:asciiTheme="majorBidi" w:hAnsiTheme="majorBidi" w:cstheme="majorBidi"/>
          <w:szCs w:val="18"/>
        </w:rPr>
        <w:t xml:space="preserve"> </w:t>
      </w:r>
    </w:p>
  </w:footnote>
  <w:footnote w:id="1482">
    <w:p w14:paraId="0D6E58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483">
    <w:p w14:paraId="5D53EAE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1, Yemen Armed Forces Organizational Structure</w:t>
      </w:r>
    </w:p>
  </w:footnote>
  <w:footnote w:id="1484">
    <w:p w14:paraId="7766965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
        </w:rPr>
        <w:t xml:space="preserve"> </w:t>
      </w:r>
      <w:hyperlink r:id="rId123" w:history="1">
        <w:r w:rsidRPr="002D78C7">
          <w:rPr>
            <w:rStyle w:val="Hyperlink"/>
            <w:rFonts w:asciiTheme="majorBidi" w:hAnsiTheme="majorBidi" w:cstheme="majorBidi"/>
            <w:szCs w:val="18"/>
          </w:rPr>
          <w:t>https://www.nytimes.com/2012/02/25/world/middleeast/yemen-to-get-a-new-president-abed-rabu-mansour-hadi.html</w:t>
        </w:r>
      </w:hyperlink>
      <w:r w:rsidRPr="002D78C7">
        <w:rPr>
          <w:rFonts w:asciiTheme="majorBidi" w:hAnsiTheme="majorBidi" w:cstheme="majorBidi"/>
          <w:szCs w:val="18"/>
        </w:rPr>
        <w:t xml:space="preserve"> </w:t>
      </w:r>
    </w:p>
  </w:footnote>
  <w:footnote w:id="1485">
    <w:p w14:paraId="35A2C1A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See appendix 2, Government of Yemen Security Apparatus</w:t>
      </w:r>
    </w:p>
  </w:footnote>
  <w:footnote w:id="1486">
    <w:p w14:paraId="3FEBFE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Presidential Decree 48 (2016)  </w:t>
      </w:r>
      <w:hyperlink r:id="rId124" w:history="1">
        <w:r w:rsidRPr="002D78C7">
          <w:rPr>
            <w:rStyle w:val="Hyperlink"/>
            <w:rFonts w:asciiTheme="majorBidi" w:hAnsiTheme="majorBidi" w:cstheme="majorBidi"/>
            <w:szCs w:val="18"/>
          </w:rPr>
          <w:t>https://www.facebook.com/alimohsensalehalahmar/posts/1011971235550346/</w:t>
        </w:r>
      </w:hyperlink>
      <w:r w:rsidRPr="002D78C7">
        <w:rPr>
          <w:rFonts w:asciiTheme="majorBidi" w:hAnsiTheme="majorBidi" w:cstheme="majorBidi"/>
          <w:szCs w:val="18"/>
        </w:rPr>
        <w:t xml:space="preserve"> </w:t>
      </w:r>
    </w:p>
  </w:footnote>
  <w:footnote w:id="1487">
    <w:p w14:paraId="5B8034D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71 (2018)</w:t>
      </w:r>
      <w:r w:rsidRPr="002D78C7">
        <w:rPr>
          <w:rFonts w:asciiTheme="majorBidi" w:hAnsiTheme="majorBidi" w:cstheme="majorBidi"/>
          <w:szCs w:val="18"/>
        </w:rPr>
        <w:t xml:space="preserve">. </w:t>
      </w:r>
      <w:hyperlink r:id="rId125" w:history="1">
        <w:r w:rsidRPr="002D78C7">
          <w:rPr>
            <w:rStyle w:val="Hyperlink"/>
            <w:rFonts w:asciiTheme="majorBidi" w:hAnsiTheme="majorBidi" w:cstheme="majorBidi"/>
            <w:szCs w:val="18"/>
          </w:rPr>
          <w:t>https://almasdaronline.com/article/republic-decrees-appointing-minister-of-defence-chief-of-staff-and-governor-of-aden</w:t>
        </w:r>
      </w:hyperlink>
      <w:r w:rsidRPr="002D78C7">
        <w:rPr>
          <w:rFonts w:asciiTheme="majorBidi" w:hAnsiTheme="majorBidi" w:cstheme="majorBidi"/>
          <w:szCs w:val="18"/>
        </w:rPr>
        <w:t>. Also, see UN document S/2019/83</w:t>
      </w:r>
    </w:p>
  </w:footnote>
  <w:footnote w:id="1488">
    <w:p w14:paraId="6078E11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S/2019/83</w:t>
      </w:r>
    </w:p>
  </w:footnote>
  <w:footnote w:id="1489">
    <w:p w14:paraId="185F40C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Replace Major General Tahir Ali al-Aqaili</w:t>
      </w:r>
    </w:p>
  </w:footnote>
  <w:footnote w:id="1490">
    <w:p w14:paraId="19444EC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182 (2018)</w:t>
      </w:r>
      <w:r w:rsidRPr="002D78C7">
        <w:rPr>
          <w:rFonts w:asciiTheme="majorBidi" w:hAnsiTheme="majorBidi" w:cstheme="majorBidi"/>
          <w:szCs w:val="18"/>
        </w:rPr>
        <w:t xml:space="preserve">. Available on </w:t>
      </w:r>
      <w:hyperlink r:id="rId126" w:history="1">
        <w:r w:rsidRPr="002D78C7">
          <w:rPr>
            <w:rStyle w:val="Hyperlink"/>
            <w:rFonts w:asciiTheme="majorBidi" w:hAnsiTheme="majorBidi" w:cstheme="majorBidi"/>
            <w:szCs w:val="18"/>
          </w:rPr>
          <w:t>https://www.almashhad-alyemeni.com/121600</w:t>
        </w:r>
      </w:hyperlink>
      <w:r w:rsidRPr="002D78C7">
        <w:rPr>
          <w:rFonts w:asciiTheme="majorBidi" w:hAnsiTheme="majorBidi" w:cstheme="majorBidi"/>
          <w:szCs w:val="18"/>
        </w:rPr>
        <w:t xml:space="preserve"> </w:t>
      </w:r>
    </w:p>
  </w:footnote>
  <w:footnote w:id="1491">
    <w:p w14:paraId="6C8F359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189 (2018)</w:t>
      </w:r>
      <w:r w:rsidRPr="002D78C7">
        <w:rPr>
          <w:rFonts w:asciiTheme="majorBidi" w:hAnsiTheme="majorBidi" w:cstheme="majorBidi"/>
          <w:szCs w:val="18"/>
        </w:rPr>
        <w:t xml:space="preserve">available on </w:t>
      </w:r>
      <w:hyperlink r:id="rId127" w:history="1">
        <w:r w:rsidRPr="002D78C7">
          <w:rPr>
            <w:rStyle w:val="Hyperlink"/>
            <w:rFonts w:asciiTheme="majorBidi" w:hAnsiTheme="majorBidi" w:cstheme="majorBidi"/>
            <w:szCs w:val="18"/>
          </w:rPr>
          <w:t>https://almasdaronline.com/articles/162681</w:t>
        </w:r>
      </w:hyperlink>
      <w:r w:rsidRPr="002D78C7">
        <w:rPr>
          <w:rFonts w:asciiTheme="majorBidi" w:hAnsiTheme="majorBidi" w:cstheme="majorBidi"/>
          <w:szCs w:val="18"/>
        </w:rPr>
        <w:t xml:space="preserve"> </w:t>
      </w:r>
    </w:p>
  </w:footnote>
  <w:footnote w:id="1492">
    <w:p w14:paraId="4D086B2D" w14:textId="77777777" w:rsidR="00A1624A" w:rsidRPr="002D78C7" w:rsidRDefault="00A1624A" w:rsidP="00B81240">
      <w:pPr>
        <w:bidi/>
        <w:ind w:left="851" w:right="1134"/>
        <w:jc w:val="both"/>
        <w:rPr>
          <w:rFonts w:asciiTheme="majorBidi" w:hAnsiTheme="majorBidi" w:cstheme="majorBidi"/>
          <w:color w:val="000000"/>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r w:rsidRPr="002D78C7">
        <w:rPr>
          <w:rFonts w:asciiTheme="majorBidi" w:hAnsiTheme="majorBidi" w:cstheme="majorBidi"/>
          <w:sz w:val="18"/>
          <w:szCs w:val="18"/>
          <w:lang w:val="en-US"/>
        </w:rPr>
        <w:t>https://m.facebook.com/story.php?story_fbid=2496705833693803&amp;id=476830182348055</w:t>
      </w:r>
    </w:p>
  </w:footnote>
  <w:footnote w:id="1493">
    <w:p w14:paraId="57047E8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12 (2019). Available on: https://naba-ye.com/news1105.html </w:t>
      </w:r>
    </w:p>
  </w:footnote>
  <w:footnote w:id="1494">
    <w:p w14:paraId="6276F16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154 (2016)</w:t>
      </w:r>
      <w:r w:rsidRPr="002D78C7">
        <w:rPr>
          <w:rFonts w:asciiTheme="majorBidi" w:hAnsiTheme="majorBidi" w:cstheme="majorBidi"/>
          <w:szCs w:val="18"/>
        </w:rPr>
        <w:t xml:space="preserve">. </w:t>
      </w:r>
      <w:hyperlink r:id="rId128" w:history="1">
        <w:r w:rsidRPr="002D78C7">
          <w:rPr>
            <w:rStyle w:val="Hyperlink"/>
            <w:rFonts w:asciiTheme="majorBidi" w:hAnsiTheme="majorBidi" w:cstheme="majorBidi"/>
            <w:szCs w:val="18"/>
          </w:rPr>
          <w:t>https://www.almashhad-alyemeni.com/61690</w:t>
        </w:r>
      </w:hyperlink>
      <w:r w:rsidRPr="002D78C7">
        <w:rPr>
          <w:rFonts w:asciiTheme="majorBidi" w:hAnsiTheme="majorBidi" w:cstheme="majorBidi"/>
          <w:szCs w:val="18"/>
        </w:rPr>
        <w:t xml:space="preserve"> </w:t>
      </w:r>
    </w:p>
  </w:footnote>
  <w:footnote w:id="1495">
    <w:p w14:paraId="08191A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On 29 June 2017, President Hadi named Major General</w:t>
      </w:r>
      <w:r w:rsidRPr="002D78C7">
        <w:rPr>
          <w:rFonts w:asciiTheme="majorBidi" w:hAnsiTheme="majorBidi" w:cstheme="majorBidi"/>
          <w:szCs w:val="18"/>
          <w:rtl/>
          <w:lang w:val="en-US"/>
        </w:rPr>
        <w:t xml:space="preserve"> </w:t>
      </w:r>
      <w:r w:rsidRPr="002D78C7">
        <w:rPr>
          <w:rFonts w:asciiTheme="majorBidi" w:hAnsiTheme="majorBidi" w:cstheme="majorBidi"/>
          <w:szCs w:val="18"/>
        </w:rPr>
        <w:t xml:space="preserve">Faraj </w:t>
      </w:r>
      <w:r w:rsidRPr="002D78C7">
        <w:rPr>
          <w:rFonts w:asciiTheme="majorBidi" w:hAnsiTheme="majorBidi" w:cstheme="majorBidi"/>
          <w:szCs w:val="18"/>
          <w:lang w:val="en-US"/>
        </w:rPr>
        <w:t>al-Bahasani, Governor of Hadramaut, to replace Major General Ahmed bin Breik</w:t>
      </w:r>
      <w:r w:rsidRPr="002D78C7">
        <w:rPr>
          <w:rFonts w:asciiTheme="majorBidi" w:hAnsiTheme="majorBidi" w:cstheme="majorBidi"/>
          <w:szCs w:val="18"/>
        </w:rPr>
        <w:t xml:space="preserve">, Presidential Decree 34 (2017) available on: </w:t>
      </w:r>
      <w:hyperlink r:id="rId129" w:history="1">
        <w:r w:rsidRPr="002D78C7">
          <w:rPr>
            <w:rStyle w:val="Hyperlink"/>
            <w:rFonts w:asciiTheme="majorBidi" w:hAnsiTheme="majorBidi" w:cstheme="majorBidi"/>
            <w:szCs w:val="18"/>
            <w:lang w:val="en-US" w:bidi="ar-JO"/>
          </w:rPr>
          <w:t>https://arabic.sputniknews.com/arab_world/201508161015325772</w:t>
        </w:r>
      </w:hyperlink>
      <w:r w:rsidRPr="002D78C7">
        <w:rPr>
          <w:rFonts w:asciiTheme="majorBidi" w:hAnsiTheme="majorBidi" w:cstheme="majorBidi"/>
          <w:szCs w:val="18"/>
          <w:lang w:val="en-US" w:bidi="ar-JO"/>
        </w:rPr>
        <w:t xml:space="preserve">   </w:t>
      </w:r>
    </w:p>
  </w:footnote>
  <w:footnote w:id="1496">
    <w:p w14:paraId="4627C36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 xml:space="preserve">Presidential Decree 109 (2018). Replacing Major General Ahmed Hassan Gibran. Available on </w:t>
      </w:r>
      <w:r w:rsidRPr="002D78C7">
        <w:rPr>
          <w:rFonts w:asciiTheme="majorBidi" w:hAnsiTheme="majorBidi" w:cstheme="majorBidi"/>
          <w:szCs w:val="18"/>
          <w:rtl/>
          <w:lang w:bidi="ar-JO"/>
        </w:rPr>
        <w:t xml:space="preserve"> </w:t>
      </w:r>
      <w:hyperlink r:id="rId130" w:history="1">
        <w:r w:rsidRPr="002D78C7">
          <w:rPr>
            <w:rStyle w:val="Hyperlink"/>
            <w:rFonts w:asciiTheme="majorBidi" w:hAnsiTheme="majorBidi" w:cstheme="majorBidi"/>
            <w:szCs w:val="18"/>
            <w:lang w:bidi="ar-JO"/>
          </w:rPr>
          <w:t>https://www.alsahwa-yemen.net/p-18771</w:t>
        </w:r>
      </w:hyperlink>
      <w:r w:rsidRPr="002D78C7">
        <w:rPr>
          <w:rFonts w:asciiTheme="majorBidi" w:hAnsiTheme="majorBidi" w:cstheme="majorBidi"/>
          <w:szCs w:val="18"/>
          <w:lang w:bidi="ar-JO"/>
        </w:rPr>
        <w:t xml:space="preserve"> </w:t>
      </w:r>
    </w:p>
  </w:footnote>
  <w:footnote w:id="1497">
    <w:p w14:paraId="7E805F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No. 106 (2019). See: https://presidenthadi-gov-ye.info/ar/archives/%D9%82%D8%B1%D8%A7%D8%B1-%D8%B1%D8%A6%D9%8A%D8%B3-%D8%A7%D9%84%D8%AC%D9%85%D9%87%D9%88%D8%B1%D9%8A%D8%A9-%D8%A8%D8%AA%D8%B9%D9%8A%D9%86-%D8%A7%D9%84%D8%B9%D9%85%D9%8A%D8%AF-%D8%A7%D9%84%D8%B1%D9%83/</w:t>
      </w:r>
    </w:p>
  </w:footnote>
  <w:footnote w:id="1498">
    <w:p w14:paraId="1DCB294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Yemen’s Southern Powder keg, Chatham House, Peter Salisbury, 2018. Presidential Decree 155 (2016)</w:t>
      </w:r>
    </w:p>
  </w:footnote>
  <w:footnote w:id="1499">
    <w:p w14:paraId="15FB3B1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20 (2018)</w:t>
      </w:r>
      <w:r w:rsidRPr="002D78C7">
        <w:rPr>
          <w:rFonts w:asciiTheme="majorBidi" w:hAnsiTheme="majorBidi" w:cstheme="majorBidi"/>
          <w:szCs w:val="18"/>
        </w:rPr>
        <w:t xml:space="preserve">. Available on: </w:t>
      </w:r>
      <w:hyperlink r:id="rId131" w:history="1">
        <w:r w:rsidRPr="002D78C7">
          <w:rPr>
            <w:rStyle w:val="Hyperlink"/>
            <w:rFonts w:asciiTheme="majorBidi" w:hAnsiTheme="majorBidi" w:cstheme="majorBidi"/>
            <w:szCs w:val="18"/>
          </w:rPr>
          <w:t>https://www.almashhad-alyemeni.com/104230</w:t>
        </w:r>
      </w:hyperlink>
      <w:r w:rsidRPr="002D78C7">
        <w:rPr>
          <w:rFonts w:asciiTheme="majorBidi" w:hAnsiTheme="majorBidi" w:cstheme="majorBidi"/>
          <w:szCs w:val="18"/>
        </w:rPr>
        <w:t xml:space="preserve">. Also, </w:t>
      </w:r>
      <w:hyperlink r:id="rId132" w:history="1">
        <w:r w:rsidRPr="002D78C7">
          <w:rPr>
            <w:rStyle w:val="Hyperlink"/>
            <w:rFonts w:asciiTheme="majorBidi" w:hAnsiTheme="majorBidi" w:cstheme="majorBidi"/>
            <w:szCs w:val="18"/>
          </w:rPr>
          <w:t>https://www.youtube.com/watch?v=tbu9zpVUNPM</w:t>
        </w:r>
      </w:hyperlink>
      <w:r w:rsidRPr="002D78C7">
        <w:rPr>
          <w:rFonts w:asciiTheme="majorBidi" w:hAnsiTheme="majorBidi" w:cstheme="majorBidi"/>
          <w:szCs w:val="18"/>
        </w:rPr>
        <w:t xml:space="preserve"> </w:t>
      </w:r>
    </w:p>
  </w:footnote>
  <w:footnote w:id="1500">
    <w:p w14:paraId="6215F6C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20 (2018) Replacing</w:t>
      </w:r>
      <w:r w:rsidRPr="002D78C7">
        <w:rPr>
          <w:rFonts w:asciiTheme="majorBidi" w:hAnsiTheme="majorBidi" w:cstheme="majorBidi"/>
          <w:szCs w:val="18"/>
        </w:rPr>
        <w:t xml:space="preserve"> </w:t>
      </w:r>
      <w:r w:rsidRPr="002D78C7">
        <w:rPr>
          <w:rFonts w:asciiTheme="majorBidi" w:hAnsiTheme="majorBidi" w:cstheme="majorBidi"/>
          <w:szCs w:val="18"/>
          <w:lang w:val="en-US"/>
        </w:rPr>
        <w:t>Major General Wae’l al-Dulaymi who had been in that position since 2015</w:t>
      </w:r>
      <w:r w:rsidRPr="002D78C7">
        <w:rPr>
          <w:rFonts w:asciiTheme="majorBidi" w:hAnsiTheme="majorBidi" w:cstheme="majorBidi"/>
          <w:szCs w:val="18"/>
        </w:rPr>
        <w:t xml:space="preserve">. See </w:t>
      </w:r>
      <w:hyperlink r:id="rId133" w:history="1">
        <w:r w:rsidRPr="002D78C7">
          <w:rPr>
            <w:rStyle w:val="Hyperlink"/>
            <w:rFonts w:asciiTheme="majorBidi" w:hAnsiTheme="majorBidi" w:cstheme="majorBidi"/>
            <w:szCs w:val="18"/>
          </w:rPr>
          <w:t>https://al-arabi.com/s/21767</w:t>
        </w:r>
      </w:hyperlink>
      <w:r w:rsidRPr="002D78C7">
        <w:rPr>
          <w:rFonts w:asciiTheme="majorBidi" w:hAnsiTheme="majorBidi" w:cstheme="majorBidi"/>
          <w:szCs w:val="18"/>
        </w:rPr>
        <w:t xml:space="preserve"> </w:t>
      </w:r>
    </w:p>
  </w:footnote>
  <w:footnote w:id="1501">
    <w:p w14:paraId="7FAA31C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151 (2018)</w:t>
      </w:r>
      <w:r w:rsidRPr="002D78C7">
        <w:rPr>
          <w:rFonts w:asciiTheme="majorBidi" w:hAnsiTheme="majorBidi" w:cstheme="majorBidi"/>
          <w:szCs w:val="18"/>
        </w:rPr>
        <w:t xml:space="preserve">. See </w:t>
      </w:r>
      <w:hyperlink r:id="rId134" w:history="1">
        <w:r w:rsidRPr="002D78C7">
          <w:rPr>
            <w:rStyle w:val="Hyperlink"/>
            <w:rFonts w:asciiTheme="majorBidi" w:hAnsiTheme="majorBidi" w:cstheme="majorBidi"/>
            <w:szCs w:val="18"/>
          </w:rPr>
          <w:t>https://al-ain.com/article/yemen-president-army</w:t>
        </w:r>
      </w:hyperlink>
      <w:r w:rsidRPr="002D78C7">
        <w:rPr>
          <w:rFonts w:asciiTheme="majorBidi" w:hAnsiTheme="majorBidi" w:cstheme="majorBidi"/>
          <w:szCs w:val="18"/>
        </w:rPr>
        <w:t xml:space="preserve"> </w:t>
      </w:r>
    </w:p>
  </w:footnote>
  <w:footnote w:id="1502">
    <w:p w14:paraId="3F454DB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
        </w:rPr>
        <w:t xml:space="preserve"> </w:t>
      </w:r>
      <w:hyperlink r:id="rId135" w:history="1">
        <w:r w:rsidRPr="002D78C7">
          <w:rPr>
            <w:rStyle w:val="Hyperlink"/>
            <w:rFonts w:asciiTheme="majorBidi" w:hAnsiTheme="majorBidi" w:cstheme="majorBidi"/>
            <w:szCs w:val="18"/>
          </w:rPr>
          <w:t>https://www.nytimes.com/2012/02/25/world/middleeast/yemen-to-get-a-new-president-abed-rabu-mansour-hadi.html</w:t>
        </w:r>
      </w:hyperlink>
      <w:r w:rsidRPr="002D78C7">
        <w:rPr>
          <w:rFonts w:asciiTheme="majorBidi" w:hAnsiTheme="majorBidi" w:cstheme="majorBidi"/>
          <w:szCs w:val="18"/>
        </w:rPr>
        <w:t xml:space="preserve"> </w:t>
      </w:r>
    </w:p>
  </w:footnote>
  <w:footnote w:id="1503">
    <w:p w14:paraId="60C2D02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See also: </w:t>
      </w:r>
      <w:r w:rsidRPr="002D78C7">
        <w:rPr>
          <w:rFonts w:asciiTheme="majorBidi" w:hAnsiTheme="majorBidi" w:cstheme="majorBidi"/>
          <w:szCs w:val="18"/>
          <w:lang w:val="en-US"/>
        </w:rPr>
        <w:t xml:space="preserve"> </w:t>
      </w:r>
      <w:hyperlink r:id="rId136" w:history="1">
        <w:r w:rsidRPr="002D78C7">
          <w:rPr>
            <w:rStyle w:val="Hyperlink"/>
            <w:rFonts w:asciiTheme="majorBidi" w:hAnsiTheme="majorBidi" w:cstheme="majorBidi"/>
            <w:szCs w:val="18"/>
            <w:lang w:val="en-US"/>
          </w:rPr>
          <w:t>http://www.dailymail.co.uk/wires/ap/article-3009836/In-south-Yemen-militia-leader-presidents-ally.html</w:t>
        </w:r>
      </w:hyperlink>
      <w:r w:rsidRPr="002D78C7">
        <w:rPr>
          <w:rFonts w:asciiTheme="majorBidi" w:hAnsiTheme="majorBidi" w:cstheme="majorBidi"/>
          <w:szCs w:val="18"/>
          <w:lang w:val="en-US"/>
        </w:rPr>
        <w:t xml:space="preserve"> </w:t>
      </w:r>
    </w:p>
  </w:footnote>
  <w:footnote w:id="1504">
    <w:p w14:paraId="2CB73E6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https://sahafahnet.net/news1727065.html</w:t>
      </w:r>
    </w:p>
  </w:footnote>
  <w:footnote w:id="1505">
    <w:p w14:paraId="0CE0F88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06">
    <w:p w14:paraId="2DAA9B4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See Appendix 3, Main Security Actors in South Governorates of Yemen</w:t>
      </w:r>
    </w:p>
  </w:footnote>
  <w:footnote w:id="1507">
    <w:p w14:paraId="0514870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http://abaadstudies.org//news-59816.html</w:t>
      </w:r>
    </w:p>
  </w:footnote>
  <w:footnote w:id="1508">
    <w:p w14:paraId="7F8DF2C2" w14:textId="77777777" w:rsidR="00A1624A" w:rsidRPr="002D78C7" w:rsidRDefault="00A1624A" w:rsidP="00B81240">
      <w:pPr>
        <w:bidi/>
        <w:ind w:left="851" w:right="1134"/>
        <w:jc w:val="both"/>
        <w:rPr>
          <w:rFonts w:asciiTheme="majorBidi" w:hAnsiTheme="majorBidi" w:cstheme="majorBidi"/>
          <w:color w:val="222222"/>
          <w:sz w:val="18"/>
          <w:szCs w:val="18"/>
          <w:lang w:eastAsia="en-GB" w:bidi="ar"/>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Confidential Sources on File.</w:t>
      </w:r>
      <w:r w:rsidRPr="002D78C7">
        <w:rPr>
          <w:rFonts w:asciiTheme="majorBidi" w:hAnsiTheme="majorBidi" w:cstheme="majorBidi"/>
          <w:color w:val="222222"/>
          <w:sz w:val="18"/>
          <w:szCs w:val="18"/>
          <w:lang w:eastAsia="en-GB" w:bidi="ar"/>
        </w:rPr>
        <w:t xml:space="preserve"> Also, see UN document, S/2019/83</w:t>
      </w:r>
    </w:p>
  </w:footnote>
  <w:footnote w:id="1509">
    <w:p w14:paraId="03A6F2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37" w:history="1">
        <w:r w:rsidRPr="002D78C7">
          <w:rPr>
            <w:rStyle w:val="Hyperlink"/>
            <w:rFonts w:asciiTheme="majorBidi" w:hAnsiTheme="majorBidi" w:cstheme="majorBidi"/>
            <w:szCs w:val="18"/>
            <w:lang w:val="en-US" w:bidi="ar-JO"/>
          </w:rPr>
          <w:t>https://stc-eu.org/ar/sueduebergangsrat/</w:t>
        </w:r>
      </w:hyperlink>
      <w:r w:rsidRPr="002D78C7">
        <w:rPr>
          <w:rFonts w:asciiTheme="majorBidi" w:hAnsiTheme="majorBidi" w:cstheme="majorBidi"/>
          <w:szCs w:val="18"/>
          <w:lang w:val="en-US" w:bidi="ar-JO"/>
        </w:rPr>
        <w:t xml:space="preserve">. Also see </w:t>
      </w:r>
      <w:hyperlink r:id="rId138" w:history="1">
        <w:r w:rsidRPr="002D78C7">
          <w:rPr>
            <w:rStyle w:val="Hyperlink"/>
            <w:rFonts w:asciiTheme="majorBidi" w:hAnsiTheme="majorBidi" w:cstheme="majorBidi"/>
            <w:szCs w:val="18"/>
            <w:lang w:val="en-US" w:bidi="ar-JO"/>
          </w:rPr>
          <w:t>https://www.facebook.com/Aidrooszubidi</w:t>
        </w:r>
      </w:hyperlink>
      <w:r w:rsidRPr="002D78C7">
        <w:rPr>
          <w:rFonts w:asciiTheme="majorBidi" w:hAnsiTheme="majorBidi" w:cstheme="majorBidi"/>
          <w:szCs w:val="18"/>
          <w:lang w:val="en-US" w:bidi="ar-JO"/>
        </w:rPr>
        <w:t xml:space="preserve"> ;  </w:t>
      </w:r>
      <w:hyperlink r:id="rId139" w:history="1">
        <w:r w:rsidRPr="002D78C7">
          <w:rPr>
            <w:rStyle w:val="Hyperlink"/>
            <w:rFonts w:asciiTheme="majorBidi" w:hAnsiTheme="majorBidi" w:cstheme="majorBidi"/>
            <w:szCs w:val="18"/>
            <w:lang w:val="en-US" w:bidi="ar-JO"/>
          </w:rPr>
          <w:t>https://twitter.com/AidrosAlzubidi</w:t>
        </w:r>
      </w:hyperlink>
      <w:r w:rsidRPr="002D78C7">
        <w:rPr>
          <w:rFonts w:asciiTheme="majorBidi" w:hAnsiTheme="majorBidi" w:cstheme="majorBidi"/>
          <w:szCs w:val="18"/>
          <w:lang w:val="en-US" w:bidi="ar-JO"/>
        </w:rPr>
        <w:t xml:space="preserve"> ;   </w:t>
      </w:r>
      <w:hyperlink r:id="rId140" w:history="1">
        <w:r w:rsidRPr="002D78C7">
          <w:rPr>
            <w:rStyle w:val="Hyperlink"/>
            <w:rFonts w:asciiTheme="majorBidi" w:hAnsiTheme="majorBidi" w:cstheme="majorBidi"/>
            <w:szCs w:val="18"/>
            <w:lang w:val="en-US" w:bidi="ar-JO"/>
          </w:rPr>
          <w:t>https://www.facebook.com/Aidrooszubidi</w:t>
        </w:r>
      </w:hyperlink>
    </w:p>
  </w:footnote>
  <w:footnote w:id="1510">
    <w:p w14:paraId="36A0435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Also, see UN document, S/2019/83</w:t>
      </w:r>
    </w:p>
  </w:footnote>
  <w:footnote w:id="1511">
    <w:p w14:paraId="3D438AE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45 (2016).</w:t>
      </w:r>
      <w:r w:rsidRPr="002D78C7">
        <w:rPr>
          <w:rFonts w:asciiTheme="majorBidi" w:hAnsiTheme="majorBidi" w:cstheme="majorBidi"/>
          <w:szCs w:val="18"/>
          <w:lang w:val="en-US" w:bidi="ar-JO"/>
        </w:rPr>
        <w:t xml:space="preserve"> Available on: </w:t>
      </w:r>
      <w:hyperlink r:id="rId141" w:history="1">
        <w:r w:rsidRPr="002D78C7">
          <w:rPr>
            <w:rStyle w:val="Hyperlink"/>
            <w:rFonts w:asciiTheme="majorBidi" w:hAnsiTheme="majorBidi" w:cstheme="majorBidi"/>
            <w:szCs w:val="18"/>
            <w:lang w:val="en-US" w:bidi="ar-JO"/>
          </w:rPr>
          <w:t>https://mail.almasdaronline.info/article/78623</w:t>
        </w:r>
      </w:hyperlink>
      <w:r w:rsidRPr="002D78C7">
        <w:rPr>
          <w:rFonts w:asciiTheme="majorBidi" w:hAnsiTheme="majorBidi" w:cstheme="majorBidi"/>
          <w:szCs w:val="18"/>
          <w:lang w:val="en-US" w:bidi="ar-JO"/>
        </w:rPr>
        <w:t xml:space="preserve"> </w:t>
      </w:r>
    </w:p>
  </w:footnote>
  <w:footnote w:id="1512">
    <w:p w14:paraId="6334081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Group of Experts interviewed Shallal on 25 April 2018. Also, see </w:t>
      </w:r>
      <w:hyperlink r:id="rId142" w:history="1">
        <w:r w:rsidRPr="002D78C7">
          <w:rPr>
            <w:rStyle w:val="Hyperlink"/>
            <w:rFonts w:asciiTheme="majorBidi" w:hAnsiTheme="majorBidi" w:cstheme="majorBidi"/>
            <w:szCs w:val="18"/>
          </w:rPr>
          <w:t>https://reliefweb.int/report/yemen/southern-transitional-council-and-waryemen</w:t>
        </w:r>
      </w:hyperlink>
      <w:r w:rsidRPr="002D78C7">
        <w:rPr>
          <w:rFonts w:asciiTheme="majorBidi" w:hAnsiTheme="majorBidi" w:cstheme="majorBidi"/>
          <w:szCs w:val="18"/>
        </w:rPr>
        <w:t xml:space="preserve">. </w:t>
      </w:r>
    </w:p>
  </w:footnote>
  <w:footnote w:id="1513">
    <w:p w14:paraId="5E27748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14">
    <w:p w14:paraId="2AAF64B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On 14 August 2019, the Deputy Prime Minister and Interior Minister dismissed Shalal from his position as director of Aden Security Director and referred him to investigate his direct involvement in the coup. </w:t>
      </w:r>
    </w:p>
  </w:footnote>
  <w:footnote w:id="1515">
    <w:p w14:paraId="25B8C23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w:t>
      </w:r>
      <w:r w:rsidRPr="002D78C7">
        <w:rPr>
          <w:rFonts w:asciiTheme="majorBidi" w:hAnsiTheme="majorBidi" w:cstheme="majorBidi"/>
          <w:szCs w:val="18"/>
          <w:lang w:val="en-US"/>
        </w:rPr>
        <w:t>Group of Experts interviewed Wadah on 25 April 2018</w:t>
      </w:r>
    </w:p>
  </w:footnote>
  <w:footnote w:id="1516">
    <w:p w14:paraId="3BFF6EC1" w14:textId="77777777" w:rsidR="00A1624A" w:rsidRPr="002D78C7" w:rsidRDefault="00A1624A" w:rsidP="00B81240">
      <w:pPr>
        <w:autoSpaceDE w:val="0"/>
        <w:autoSpaceDN w:val="0"/>
        <w:bidi/>
        <w:adjustRightInd w:val="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Presidential Decree 60 (2016), Confidential Sources on File</w:t>
      </w:r>
    </w:p>
  </w:footnote>
  <w:footnote w:id="1517">
    <w:p w14:paraId="5148B37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The Group of Experts interviewed Abu al-Yamamah on 25 April 2018</w:t>
      </w:r>
    </w:p>
  </w:footnote>
  <w:footnote w:id="1518">
    <w:p w14:paraId="6D1A7FE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60 (2016), Confidential Sources on File</w:t>
      </w:r>
    </w:p>
  </w:footnote>
  <w:footnote w:id="1519">
    <w:p w14:paraId="2CAA85C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After his death, new commander was appointed, Brigadier General Hanash Abdullah al-Nemri. See https://www.alayyam.info/news/7WMD5D56-W3GXH8-9E25</w:t>
      </w:r>
    </w:p>
  </w:footnote>
  <w:footnote w:id="1520">
    <w:p w14:paraId="24DC207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21">
    <w:p w14:paraId="2BD5DC3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143" w:history="1">
        <w:r w:rsidRPr="002D78C7">
          <w:rPr>
            <w:rStyle w:val="Hyperlink"/>
            <w:rFonts w:asciiTheme="majorBidi" w:hAnsiTheme="majorBidi" w:cstheme="majorBidi"/>
            <w:szCs w:val="18"/>
          </w:rPr>
          <w:t>https://almasdaronline.com/articles/168745</w:t>
        </w:r>
      </w:hyperlink>
      <w:r w:rsidRPr="002D78C7">
        <w:rPr>
          <w:rFonts w:asciiTheme="majorBidi" w:hAnsiTheme="majorBidi" w:cstheme="majorBidi"/>
          <w:szCs w:val="18"/>
        </w:rPr>
        <w:t xml:space="preserve"> </w:t>
      </w:r>
    </w:p>
  </w:footnote>
  <w:footnote w:id="1522">
    <w:p w14:paraId="466D9D78" w14:textId="77777777" w:rsidR="00A1624A" w:rsidRPr="002D78C7" w:rsidRDefault="00A1624A" w:rsidP="00B81240">
      <w:pPr>
        <w:autoSpaceDE w:val="0"/>
        <w:autoSpaceDN w:val="0"/>
        <w:bidi/>
        <w:adjustRightInd w:val="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Confidential Sources on File. Also see: </w:t>
      </w:r>
      <w:hyperlink r:id="rId144" w:history="1">
        <w:r w:rsidRPr="002D78C7">
          <w:rPr>
            <w:rStyle w:val="Hyperlink"/>
            <w:rFonts w:asciiTheme="majorBidi" w:hAnsiTheme="majorBidi" w:cstheme="majorBidi"/>
            <w:sz w:val="18"/>
            <w:szCs w:val="18"/>
          </w:rPr>
          <w:t>https://www.youtube.com/watch?v=tdGkxGETEVY</w:t>
        </w:r>
      </w:hyperlink>
      <w:r w:rsidRPr="002D78C7">
        <w:rPr>
          <w:rFonts w:asciiTheme="majorBidi" w:hAnsiTheme="majorBidi" w:cstheme="majorBidi"/>
          <w:sz w:val="18"/>
          <w:szCs w:val="18"/>
        </w:rPr>
        <w:t xml:space="preserve">  and </w:t>
      </w:r>
      <w:hyperlink r:id="rId145" w:history="1">
        <w:r w:rsidRPr="002D78C7">
          <w:rPr>
            <w:rStyle w:val="Hyperlink"/>
            <w:rFonts w:asciiTheme="majorBidi" w:hAnsiTheme="majorBidi" w:cstheme="majorBidi"/>
            <w:sz w:val="18"/>
            <w:szCs w:val="18"/>
          </w:rPr>
          <w:t>http://abaadstudies.org//news-59816.html</w:t>
        </w:r>
      </w:hyperlink>
      <w:r w:rsidRPr="002D78C7">
        <w:rPr>
          <w:rFonts w:asciiTheme="majorBidi" w:hAnsiTheme="majorBidi" w:cstheme="majorBidi"/>
          <w:sz w:val="18"/>
          <w:szCs w:val="18"/>
        </w:rPr>
        <w:t xml:space="preserve"> </w:t>
      </w:r>
    </w:p>
  </w:footnote>
  <w:footnote w:id="1523">
    <w:p w14:paraId="763ED1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24">
    <w:p w14:paraId="62FC901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See also:  </w:t>
      </w:r>
      <w:hyperlink r:id="rId146" w:history="1">
        <w:r w:rsidRPr="002D78C7">
          <w:rPr>
            <w:rStyle w:val="Hyperlink"/>
            <w:rFonts w:asciiTheme="majorBidi" w:hAnsiTheme="majorBidi" w:cstheme="majorBidi"/>
            <w:szCs w:val="18"/>
            <w:lang w:val="en-US"/>
          </w:rPr>
          <w:t>https://www.alayyam.info/news/756V6IC0-5G1XDM</w:t>
        </w:r>
      </w:hyperlink>
      <w:r w:rsidRPr="002D78C7">
        <w:rPr>
          <w:rFonts w:asciiTheme="majorBidi" w:hAnsiTheme="majorBidi" w:cstheme="majorBidi"/>
          <w:szCs w:val="18"/>
          <w:lang w:val="en-US"/>
        </w:rPr>
        <w:t xml:space="preserve">, also, see </w:t>
      </w:r>
      <w:hyperlink r:id="rId147" w:history="1">
        <w:r w:rsidRPr="002D78C7">
          <w:rPr>
            <w:rStyle w:val="Hyperlink"/>
            <w:rFonts w:asciiTheme="majorBidi" w:hAnsiTheme="majorBidi" w:cstheme="majorBidi"/>
            <w:szCs w:val="18"/>
            <w:lang w:val="en-US"/>
          </w:rPr>
          <w:t>https://aden-alhadath.info/amp/56956</w:t>
        </w:r>
      </w:hyperlink>
      <w:r w:rsidRPr="002D78C7">
        <w:rPr>
          <w:rFonts w:asciiTheme="majorBidi" w:hAnsiTheme="majorBidi" w:cstheme="majorBidi"/>
          <w:szCs w:val="18"/>
          <w:lang w:val="en-US"/>
        </w:rPr>
        <w:t xml:space="preserve"> </w:t>
      </w:r>
    </w:p>
  </w:footnote>
  <w:footnote w:id="1525">
    <w:p w14:paraId="0E3169C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 xml:space="preserve">Presidential Decree 51 (2019). Available on: </w:t>
      </w:r>
      <w:hyperlink r:id="rId148" w:history="1">
        <w:r w:rsidRPr="002D78C7">
          <w:rPr>
            <w:rFonts w:asciiTheme="majorBidi" w:hAnsiTheme="majorBidi" w:cstheme="majorBidi"/>
            <w:color w:val="222222"/>
            <w:szCs w:val="18"/>
            <w:lang w:eastAsia="en-GB" w:bidi="ar"/>
          </w:rPr>
          <w:t>https://www.facebook.com/1784290338507592/photos/a.1795004187436207/2304017236534897/?type=3</w:t>
        </w:r>
      </w:hyperlink>
      <w:r w:rsidRPr="002D78C7">
        <w:rPr>
          <w:rFonts w:asciiTheme="majorBidi" w:hAnsiTheme="majorBidi" w:cstheme="majorBidi"/>
          <w:color w:val="222222"/>
          <w:szCs w:val="18"/>
          <w:lang w:eastAsia="en-GB" w:bidi="ar"/>
        </w:rPr>
        <w:t xml:space="preserve">. Also, see: </w:t>
      </w:r>
      <w:hyperlink r:id="rId149" w:history="1">
        <w:r w:rsidRPr="002D78C7">
          <w:rPr>
            <w:rFonts w:asciiTheme="majorBidi" w:hAnsiTheme="majorBidi" w:cstheme="majorBidi"/>
            <w:color w:val="222222"/>
            <w:szCs w:val="18"/>
            <w:lang w:eastAsia="en-GB" w:bidi="ar"/>
          </w:rPr>
          <w:t>https://adenkbr.news/60171/</w:t>
        </w:r>
      </w:hyperlink>
      <w:r w:rsidRPr="002D78C7">
        <w:rPr>
          <w:rFonts w:asciiTheme="majorBidi" w:hAnsiTheme="majorBidi" w:cstheme="majorBidi"/>
          <w:color w:val="222222"/>
          <w:szCs w:val="18"/>
          <w:lang w:eastAsia="en-GB" w:bidi="ar"/>
        </w:rPr>
        <w:t xml:space="preserve">.  </w:t>
      </w:r>
    </w:p>
  </w:footnote>
  <w:footnote w:id="1526">
    <w:p w14:paraId="18B498F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US"/>
        </w:rPr>
        <w:t xml:space="preserve"> </w:t>
      </w:r>
      <w:r w:rsidRPr="002D78C7">
        <w:rPr>
          <w:rFonts w:asciiTheme="majorBidi" w:hAnsiTheme="majorBidi" w:cstheme="majorBidi"/>
          <w:szCs w:val="18"/>
        </w:rPr>
        <w:t>Confidential Sources on File</w:t>
      </w:r>
      <w:r w:rsidRPr="002D78C7">
        <w:rPr>
          <w:rFonts w:asciiTheme="majorBidi" w:hAnsiTheme="majorBidi" w:cstheme="majorBidi"/>
          <w:szCs w:val="18"/>
          <w:lang w:val="en-US"/>
        </w:rPr>
        <w:t xml:space="preserve">. Also, see: </w:t>
      </w:r>
      <w:hyperlink r:id="rId150" w:history="1">
        <w:r w:rsidRPr="002D78C7">
          <w:rPr>
            <w:rStyle w:val="Hyperlink"/>
            <w:rFonts w:asciiTheme="majorBidi" w:hAnsiTheme="majorBidi" w:cstheme="majorBidi"/>
            <w:szCs w:val="18"/>
          </w:rPr>
          <w:t>https://almasdaronline.com/articles/168745</w:t>
        </w:r>
      </w:hyperlink>
      <w:r w:rsidRPr="002D78C7">
        <w:rPr>
          <w:rFonts w:asciiTheme="majorBidi" w:hAnsiTheme="majorBidi" w:cstheme="majorBidi"/>
          <w:szCs w:val="18"/>
        </w:rPr>
        <w:t xml:space="preserve"> . Also, see: http://abaadstudies.org//news-59816.html</w:t>
      </w:r>
    </w:p>
  </w:footnote>
  <w:footnote w:id="1527">
    <w:p w14:paraId="635D1E1C" w14:textId="77777777" w:rsidR="00A1624A" w:rsidRPr="002D78C7" w:rsidRDefault="00A1624A" w:rsidP="00B81240">
      <w:pPr>
        <w:pStyle w:val="FootnoteText"/>
        <w:tabs>
          <w:tab w:val="clear" w:pos="1021"/>
        </w:tabs>
        <w:bidi/>
        <w:ind w:left="851" w:firstLine="0"/>
        <w:jc w:val="both"/>
        <w:rPr>
          <w:rFonts w:asciiTheme="majorBidi" w:hAnsiTheme="majorBidi" w:cstheme="majorBidi"/>
          <w:color w:val="222222"/>
          <w:szCs w:val="18"/>
          <w:lang w:eastAsia="en-GB" w:bidi="ar"/>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1" w:history="1">
        <w:r w:rsidRPr="002D78C7">
          <w:rPr>
            <w:rStyle w:val="Hyperlink"/>
            <w:rFonts w:asciiTheme="majorBidi" w:hAnsiTheme="majorBidi" w:cstheme="majorBidi"/>
            <w:szCs w:val="18"/>
            <w:lang w:eastAsia="en-GB" w:bidi="ar"/>
          </w:rPr>
          <w:t>https://aawsat.com/home/article/539666</w:t>
        </w:r>
      </w:hyperlink>
      <w:r w:rsidRPr="002D78C7">
        <w:rPr>
          <w:rFonts w:asciiTheme="majorBidi" w:hAnsiTheme="majorBidi" w:cstheme="majorBidi"/>
          <w:color w:val="222222"/>
          <w:szCs w:val="18"/>
          <w:lang w:eastAsia="en-GB" w:bidi="ar"/>
        </w:rPr>
        <w:t xml:space="preserve"> </w:t>
      </w:r>
    </w:p>
  </w:footnote>
  <w:footnote w:id="1528">
    <w:p w14:paraId="065904F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Presidential Decree 44 (2018), available at:</w:t>
      </w:r>
      <w:r w:rsidRPr="002D78C7">
        <w:rPr>
          <w:rFonts w:asciiTheme="majorBidi" w:hAnsiTheme="majorBidi" w:cstheme="majorBidi"/>
          <w:szCs w:val="18"/>
        </w:rPr>
        <w:t xml:space="preserve"> </w:t>
      </w:r>
      <w:hyperlink r:id="rId152" w:history="1">
        <w:r w:rsidRPr="002D78C7">
          <w:rPr>
            <w:rStyle w:val="Hyperlink"/>
            <w:rFonts w:asciiTheme="majorBidi" w:hAnsiTheme="majorBidi" w:cstheme="majorBidi"/>
            <w:szCs w:val="18"/>
            <w:lang w:eastAsia="en-GB" w:bidi="ar"/>
          </w:rPr>
          <w:t>http://adenobserver.com/read-news/31235</w:t>
        </w:r>
      </w:hyperlink>
      <w:r w:rsidRPr="002D78C7">
        <w:rPr>
          <w:rFonts w:asciiTheme="majorBidi" w:hAnsiTheme="majorBidi" w:cstheme="majorBidi"/>
          <w:color w:val="222222"/>
          <w:szCs w:val="18"/>
          <w:lang w:eastAsia="en-GB" w:bidi="ar"/>
        </w:rPr>
        <w:t xml:space="preserve"> </w:t>
      </w:r>
    </w:p>
  </w:footnote>
  <w:footnote w:id="1529">
    <w:p w14:paraId="20206E0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97 (2018), a</w:t>
      </w:r>
      <w:r w:rsidRPr="002D78C7">
        <w:rPr>
          <w:rFonts w:asciiTheme="majorBidi" w:hAnsiTheme="majorBidi" w:cstheme="majorBidi"/>
          <w:szCs w:val="18"/>
          <w:lang w:val="en-US"/>
        </w:rPr>
        <w:t xml:space="preserve">vailable at </w:t>
      </w:r>
      <w:hyperlink r:id="rId153" w:anchor=".XSxL5HllLIU" w:history="1">
        <w:r w:rsidRPr="002D78C7">
          <w:rPr>
            <w:rStyle w:val="Hyperlink"/>
            <w:rFonts w:asciiTheme="majorBidi" w:hAnsiTheme="majorBidi" w:cstheme="majorBidi"/>
            <w:szCs w:val="18"/>
            <w:lang w:val="en-US"/>
          </w:rPr>
          <w:t>https://almahrahpost.com/news/2772#.XSxL5HllLIU</w:t>
        </w:r>
      </w:hyperlink>
      <w:r w:rsidRPr="002D78C7">
        <w:rPr>
          <w:rStyle w:val="Hyperlink"/>
          <w:rFonts w:asciiTheme="majorBidi" w:hAnsiTheme="majorBidi" w:cstheme="majorBidi"/>
          <w:szCs w:val="18"/>
          <w:lang w:val="en-US"/>
        </w:rPr>
        <w:t>; s</w:t>
      </w:r>
      <w:r w:rsidRPr="002D78C7">
        <w:rPr>
          <w:rFonts w:asciiTheme="majorBidi" w:hAnsiTheme="majorBidi" w:cstheme="majorBidi"/>
          <w:szCs w:val="18"/>
          <w:lang w:val="en-US"/>
        </w:rPr>
        <w:t>ee also: http://abaadstudies.org//news-59816.html</w:t>
      </w:r>
    </w:p>
  </w:footnote>
  <w:footnote w:id="1530">
    <w:p w14:paraId="172A6E9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color w:val="222222"/>
          <w:szCs w:val="18"/>
          <w:lang w:eastAsia="en-GB" w:bidi="ar"/>
        </w:rPr>
        <w:t xml:space="preserve">Presidential Decree 6 (2017); see </w:t>
      </w:r>
      <w:hyperlink r:id="rId154" w:history="1">
        <w:r w:rsidRPr="002D78C7">
          <w:rPr>
            <w:rStyle w:val="Hyperlink"/>
            <w:rFonts w:asciiTheme="majorBidi" w:hAnsiTheme="majorBidi" w:cstheme="majorBidi"/>
            <w:szCs w:val="18"/>
            <w:lang w:eastAsia="en-GB" w:bidi="ar"/>
          </w:rPr>
          <w:t>https://aden-alhadath.info/amp/12865</w:t>
        </w:r>
      </w:hyperlink>
      <w:r w:rsidRPr="002D78C7">
        <w:rPr>
          <w:rFonts w:asciiTheme="majorBidi" w:hAnsiTheme="majorBidi" w:cstheme="majorBidi"/>
          <w:color w:val="222222"/>
          <w:szCs w:val="18"/>
          <w:lang w:eastAsia="en-GB" w:bidi="ar"/>
        </w:rPr>
        <w:t xml:space="preserve"> </w:t>
      </w:r>
    </w:p>
  </w:footnote>
  <w:footnote w:id="1531">
    <w:p w14:paraId="51E090F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5" w:history="1">
        <w:r w:rsidRPr="002D78C7">
          <w:rPr>
            <w:rStyle w:val="Hyperlink"/>
            <w:rFonts w:asciiTheme="majorBidi" w:hAnsiTheme="majorBidi" w:cstheme="majorBidi"/>
            <w:szCs w:val="18"/>
          </w:rPr>
          <w:t>https://almasdaronline.com/articles/168745</w:t>
        </w:r>
      </w:hyperlink>
      <w:r w:rsidRPr="002D78C7">
        <w:rPr>
          <w:rStyle w:val="Hyperlink"/>
          <w:rFonts w:asciiTheme="majorBidi" w:hAnsiTheme="majorBidi" w:cstheme="majorBidi"/>
          <w:szCs w:val="18"/>
        </w:rPr>
        <w:t>; a</w:t>
      </w:r>
      <w:r w:rsidRPr="002D78C7">
        <w:rPr>
          <w:rFonts w:asciiTheme="majorBidi" w:hAnsiTheme="majorBidi" w:cstheme="majorBidi"/>
          <w:szCs w:val="18"/>
        </w:rPr>
        <w:t xml:space="preserve">lso, see </w:t>
      </w:r>
      <w:hyperlink r:id="rId156" w:history="1">
        <w:r w:rsidRPr="002D78C7">
          <w:rPr>
            <w:rStyle w:val="Hyperlink"/>
            <w:rFonts w:asciiTheme="majorBidi" w:hAnsiTheme="majorBidi" w:cstheme="majorBidi"/>
            <w:szCs w:val="18"/>
          </w:rPr>
          <w:t>https://shabwaah-press.info/news/33180</w:t>
        </w:r>
      </w:hyperlink>
      <w:r w:rsidRPr="002D78C7">
        <w:rPr>
          <w:rFonts w:asciiTheme="majorBidi" w:hAnsiTheme="majorBidi" w:cstheme="majorBidi"/>
          <w:szCs w:val="18"/>
        </w:rPr>
        <w:t xml:space="preserve"> </w:t>
      </w:r>
    </w:p>
  </w:footnote>
  <w:footnote w:id="1532">
    <w:p w14:paraId="2F25F08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57" w:history="1">
        <w:r w:rsidRPr="002D78C7">
          <w:rPr>
            <w:rStyle w:val="Hyperlink"/>
            <w:rFonts w:asciiTheme="majorBidi" w:hAnsiTheme="majorBidi" w:cstheme="majorBidi"/>
            <w:szCs w:val="18"/>
          </w:rPr>
          <w:t>http://yemen-now.com/news1510335.html</w:t>
        </w:r>
      </w:hyperlink>
      <w:r w:rsidRPr="002D78C7">
        <w:rPr>
          <w:rFonts w:asciiTheme="majorBidi" w:hAnsiTheme="majorBidi" w:cstheme="majorBidi"/>
          <w:szCs w:val="18"/>
        </w:rPr>
        <w:t xml:space="preserve"> </w:t>
      </w:r>
    </w:p>
  </w:footnote>
  <w:footnote w:id="1533">
    <w:p w14:paraId="5D88551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http://abaadstudies.org//news-59816.html</w:t>
      </w:r>
    </w:p>
  </w:footnote>
  <w:footnote w:id="1534">
    <w:p w14:paraId="523601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http://abaadstudies.org//news-59816.html</w:t>
      </w:r>
    </w:p>
  </w:footnote>
  <w:footnote w:id="1535">
    <w:p w14:paraId="7CE8DA3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 xml:space="preserve">On 11 March 2017 appointed as a governor, Presidential Decree 20 (2017). Available on: </w:t>
      </w:r>
      <w:hyperlink r:id="rId158" w:history="1">
        <w:r w:rsidRPr="002D78C7">
          <w:rPr>
            <w:rStyle w:val="Hyperlink"/>
            <w:rFonts w:asciiTheme="majorBidi" w:hAnsiTheme="majorBidi" w:cstheme="majorBidi"/>
            <w:szCs w:val="18"/>
            <w:lang w:val="en-US"/>
          </w:rPr>
          <w:t>https://almawqeapost.net/news/17543</w:t>
        </w:r>
      </w:hyperlink>
      <w:r w:rsidRPr="002D78C7">
        <w:rPr>
          <w:rFonts w:asciiTheme="majorBidi" w:hAnsiTheme="majorBidi" w:cstheme="majorBidi"/>
          <w:szCs w:val="18"/>
          <w:lang w:val="en-US"/>
        </w:rPr>
        <w:t xml:space="preserve">, also on </w:t>
      </w:r>
      <w:hyperlink r:id="rId159" w:history="1">
        <w:r w:rsidRPr="002D78C7">
          <w:rPr>
            <w:rStyle w:val="Hyperlink"/>
            <w:rFonts w:asciiTheme="majorBidi" w:hAnsiTheme="majorBidi" w:cstheme="majorBidi"/>
            <w:szCs w:val="18"/>
            <w:lang w:val="en-US"/>
          </w:rPr>
          <w:t>http://aden-tm.net/NDetails.aspx?contid=22963</w:t>
        </w:r>
      </w:hyperlink>
      <w:r w:rsidRPr="002D78C7">
        <w:rPr>
          <w:rFonts w:asciiTheme="majorBidi" w:hAnsiTheme="majorBidi" w:cstheme="majorBidi"/>
          <w:szCs w:val="18"/>
          <w:lang w:val="en-US"/>
        </w:rPr>
        <w:t xml:space="preserve"> </w:t>
      </w:r>
    </w:p>
  </w:footnote>
  <w:footnote w:id="1536">
    <w:p w14:paraId="0C079B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160" w:history="1">
        <w:r w:rsidRPr="002D78C7">
          <w:rPr>
            <w:rStyle w:val="Hyperlink"/>
            <w:rFonts w:asciiTheme="majorBidi" w:hAnsiTheme="majorBidi" w:cstheme="majorBidi"/>
            <w:szCs w:val="18"/>
          </w:rPr>
          <w:t>https://www.sahafah24.net/y/show207243.html</w:t>
        </w:r>
      </w:hyperlink>
      <w:r w:rsidRPr="002D78C7">
        <w:rPr>
          <w:rFonts w:asciiTheme="majorBidi" w:hAnsiTheme="majorBidi" w:cstheme="majorBidi"/>
          <w:szCs w:val="18"/>
        </w:rPr>
        <w:t xml:space="preserve"> </w:t>
      </w:r>
    </w:p>
  </w:footnote>
  <w:footnote w:id="1537">
    <w:p w14:paraId="1AD85C6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tl/>
        </w:rPr>
        <w:t xml:space="preserve"> </w:t>
      </w:r>
      <w:r w:rsidRPr="002D78C7">
        <w:rPr>
          <w:rFonts w:asciiTheme="majorBidi" w:hAnsiTheme="majorBidi" w:cstheme="majorBidi"/>
          <w:szCs w:val="18"/>
        </w:rPr>
        <w:t xml:space="preserve">Presidential Decree 45 (2018), available on: </w:t>
      </w:r>
      <w:hyperlink r:id="rId161" w:history="1">
        <w:r w:rsidRPr="002D78C7">
          <w:rPr>
            <w:rStyle w:val="Hyperlink"/>
            <w:rFonts w:asciiTheme="majorBidi" w:hAnsiTheme="majorBidi" w:cstheme="majorBidi"/>
            <w:szCs w:val="18"/>
          </w:rPr>
          <w:t>https://almandeb.news/?p=98572</w:t>
        </w:r>
      </w:hyperlink>
      <w:r w:rsidRPr="002D78C7">
        <w:rPr>
          <w:rFonts w:asciiTheme="majorBidi" w:hAnsiTheme="majorBidi" w:cstheme="majorBidi"/>
          <w:szCs w:val="18"/>
        </w:rPr>
        <w:t xml:space="preserve">. Also see: </w:t>
      </w:r>
      <w:hyperlink r:id="rId162" w:history="1">
        <w:r w:rsidRPr="002D78C7">
          <w:rPr>
            <w:rStyle w:val="Hyperlink"/>
            <w:rFonts w:asciiTheme="majorBidi" w:hAnsiTheme="majorBidi" w:cstheme="majorBidi"/>
            <w:szCs w:val="18"/>
          </w:rPr>
          <w:t>https://www.eremnews.com/news/arab-world/yemen/1247463</w:t>
        </w:r>
      </w:hyperlink>
      <w:r w:rsidRPr="002D78C7">
        <w:rPr>
          <w:rFonts w:asciiTheme="majorBidi" w:hAnsiTheme="majorBidi" w:cstheme="majorBidi"/>
          <w:szCs w:val="18"/>
        </w:rPr>
        <w:t xml:space="preserve"> </w:t>
      </w:r>
    </w:p>
  </w:footnote>
  <w:footnote w:id="1538">
    <w:p w14:paraId="795E5D9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63" w:history="1">
        <w:r w:rsidRPr="002D78C7">
          <w:rPr>
            <w:rStyle w:val="Hyperlink"/>
            <w:rFonts w:asciiTheme="majorBidi" w:hAnsiTheme="majorBidi" w:cstheme="majorBidi"/>
            <w:szCs w:val="18"/>
          </w:rPr>
          <w:t>http://www.marsad.news/news/31106</w:t>
        </w:r>
      </w:hyperlink>
      <w:r w:rsidRPr="002D78C7">
        <w:rPr>
          <w:rFonts w:asciiTheme="majorBidi" w:hAnsiTheme="majorBidi" w:cstheme="majorBidi"/>
          <w:szCs w:val="18"/>
        </w:rPr>
        <w:t xml:space="preserve"> also see: </w:t>
      </w:r>
      <w:hyperlink r:id="rId164" w:history="1">
        <w:r w:rsidRPr="002D78C7">
          <w:rPr>
            <w:rStyle w:val="Hyperlink"/>
            <w:rFonts w:asciiTheme="majorBidi" w:hAnsiTheme="majorBidi" w:cstheme="majorBidi"/>
            <w:szCs w:val="18"/>
          </w:rPr>
          <w:t>https://www.al-omanaa.com/news72621.html</w:t>
        </w:r>
      </w:hyperlink>
      <w:r w:rsidRPr="002D78C7">
        <w:rPr>
          <w:rFonts w:asciiTheme="majorBidi" w:hAnsiTheme="majorBidi" w:cstheme="majorBidi"/>
          <w:szCs w:val="18"/>
        </w:rPr>
        <w:t xml:space="preserve"> </w:t>
      </w:r>
    </w:p>
  </w:footnote>
  <w:footnote w:id="1539">
    <w:p w14:paraId="343A740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Appointed on 14 November 2017, replacing Brigadier General Abdullah al-Fadhli</w:t>
      </w:r>
      <w:r w:rsidRPr="002D78C7">
        <w:rPr>
          <w:rFonts w:asciiTheme="majorBidi" w:hAnsiTheme="majorBidi" w:cstheme="majorBidi"/>
          <w:szCs w:val="18"/>
        </w:rPr>
        <w:t>.  See: UN document, S2019/83, Annex 4 and UN document S/2018/68 Annex 6</w:t>
      </w:r>
    </w:p>
  </w:footnote>
  <w:footnote w:id="1540">
    <w:p w14:paraId="4183081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https://imoyemen.com/news/7726</w:t>
      </w:r>
    </w:p>
  </w:footnote>
  <w:footnote w:id="1541">
    <w:p w14:paraId="5ADA2D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r w:rsidRPr="002D78C7">
        <w:rPr>
          <w:rFonts w:asciiTheme="majorBidi" w:hAnsiTheme="majorBidi" w:cstheme="majorBidi"/>
          <w:szCs w:val="18"/>
          <w:lang w:val="en-US"/>
        </w:rPr>
        <w:t xml:space="preserve"> </w:t>
      </w:r>
      <w:hyperlink r:id="rId165" w:history="1">
        <w:r w:rsidRPr="002D78C7">
          <w:rPr>
            <w:rStyle w:val="Hyperlink"/>
            <w:rFonts w:asciiTheme="majorBidi" w:hAnsiTheme="majorBidi" w:cstheme="majorBidi"/>
            <w:szCs w:val="18"/>
            <w:lang w:val="en-US"/>
          </w:rPr>
          <w:t>http://www.dailymail.co.uk/wires/ap/article-3009836/In-south-Yemen-militia-leader-presidents-ally.html</w:t>
        </w:r>
      </w:hyperlink>
      <w:r w:rsidRPr="002D78C7">
        <w:rPr>
          <w:rFonts w:asciiTheme="majorBidi" w:hAnsiTheme="majorBidi" w:cstheme="majorBidi"/>
          <w:szCs w:val="18"/>
          <w:lang w:val="en-US"/>
        </w:rPr>
        <w:t xml:space="preserve"> .  </w:t>
      </w:r>
    </w:p>
  </w:footnote>
  <w:footnote w:id="1542">
    <w:p w14:paraId="7F0B9F9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http://www.mei.edu/content/popular-committees-abyanyemen- necessary-evil-or-opportunity-security-reform </w:t>
      </w:r>
    </w:p>
  </w:footnote>
  <w:footnote w:id="1543">
    <w:p w14:paraId="7BF6CE14" w14:textId="77777777" w:rsidR="00A1624A" w:rsidRPr="00A1624A" w:rsidRDefault="00A1624A" w:rsidP="00B81240">
      <w:pPr>
        <w:bidi/>
        <w:ind w:left="851" w:right="1134"/>
        <w:jc w:val="both"/>
        <w:rPr>
          <w:rFonts w:asciiTheme="majorBidi" w:hAnsiTheme="majorBidi" w:cstheme="majorBidi"/>
          <w:color w:val="000000"/>
          <w:sz w:val="18"/>
          <w:szCs w:val="18"/>
          <w:lang w:val="fr-CH" w:eastAsia="en-GB"/>
        </w:rPr>
      </w:pPr>
      <w:r w:rsidRPr="002D78C7">
        <w:rPr>
          <w:rStyle w:val="FootnoteReference"/>
          <w:rFonts w:asciiTheme="majorBidi" w:hAnsiTheme="majorBidi" w:cstheme="majorBidi"/>
          <w:szCs w:val="18"/>
        </w:rPr>
        <w:footnoteRef/>
      </w:r>
      <w:r w:rsidRPr="00A1624A">
        <w:rPr>
          <w:rFonts w:asciiTheme="majorBidi" w:hAnsiTheme="majorBidi" w:cstheme="majorBidi"/>
          <w:sz w:val="18"/>
          <w:szCs w:val="18"/>
          <w:lang w:val="fr-CH"/>
        </w:rPr>
        <w:t xml:space="preserve"> </w:t>
      </w:r>
      <w:r w:rsidRPr="00A1624A">
        <w:rPr>
          <w:rFonts w:asciiTheme="majorBidi" w:hAnsiTheme="majorBidi" w:cstheme="majorBidi"/>
          <w:color w:val="000000"/>
          <w:sz w:val="18"/>
          <w:szCs w:val="18"/>
          <w:lang w:val="fr-CH" w:eastAsia="en-GB"/>
        </w:rPr>
        <w:t>UN Document, S/2019/83,  Annex 4</w:t>
      </w:r>
    </w:p>
  </w:footnote>
  <w:footnote w:id="1544">
    <w:p w14:paraId="464CCE4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S/2018/68</w:t>
      </w:r>
    </w:p>
  </w:footnote>
  <w:footnote w:id="1545">
    <w:p w14:paraId="0B923AC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46">
    <w:p w14:paraId="03E4EA7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66" w:history="1">
        <w:r w:rsidRPr="002D78C7">
          <w:rPr>
            <w:rStyle w:val="Hyperlink"/>
            <w:rFonts w:asciiTheme="majorBidi" w:hAnsiTheme="majorBidi" w:cstheme="majorBidi"/>
            <w:szCs w:val="18"/>
          </w:rPr>
          <w:t>https://almashhadalaraby.com/news/58755</w:t>
        </w:r>
      </w:hyperlink>
      <w:r w:rsidRPr="002D78C7">
        <w:rPr>
          <w:rFonts w:asciiTheme="majorBidi" w:hAnsiTheme="majorBidi" w:cstheme="majorBidi"/>
          <w:szCs w:val="18"/>
        </w:rPr>
        <w:t xml:space="preserve"> . Also, see: </w:t>
      </w:r>
      <w:hyperlink r:id="rId167" w:history="1">
        <w:r w:rsidRPr="002D78C7">
          <w:rPr>
            <w:rStyle w:val="Hyperlink"/>
            <w:rFonts w:asciiTheme="majorBidi" w:hAnsiTheme="majorBidi" w:cstheme="majorBidi"/>
            <w:szCs w:val="18"/>
          </w:rPr>
          <w:t>https://cratersky.net/posts/7810</w:t>
        </w:r>
      </w:hyperlink>
      <w:r w:rsidRPr="002D78C7">
        <w:rPr>
          <w:rFonts w:asciiTheme="majorBidi" w:hAnsiTheme="majorBidi" w:cstheme="majorBidi"/>
          <w:szCs w:val="18"/>
        </w:rPr>
        <w:t xml:space="preserve"> </w:t>
      </w:r>
    </w:p>
  </w:footnote>
  <w:footnote w:id="1547">
    <w:p w14:paraId="00037D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S/2019/83 and UN document S/2018/68 annex 6. </w:t>
      </w:r>
      <w:r w:rsidRPr="002D78C7">
        <w:rPr>
          <w:rFonts w:asciiTheme="majorBidi" w:hAnsiTheme="majorBidi" w:cstheme="majorBidi"/>
          <w:szCs w:val="18"/>
          <w:lang w:val="en-US"/>
        </w:rPr>
        <w:t xml:space="preserve">Also, see </w:t>
      </w:r>
      <w:hyperlink r:id="rId168" w:history="1">
        <w:r w:rsidRPr="002D78C7">
          <w:rPr>
            <w:rStyle w:val="Hyperlink"/>
            <w:rFonts w:asciiTheme="majorBidi" w:hAnsiTheme="majorBidi" w:cstheme="majorBidi"/>
            <w:szCs w:val="18"/>
            <w:lang w:val="en-US"/>
          </w:rPr>
          <w:t>https://adenkbr.news/77088/</w:t>
        </w:r>
      </w:hyperlink>
      <w:r w:rsidRPr="002D78C7">
        <w:rPr>
          <w:rFonts w:asciiTheme="majorBidi" w:hAnsiTheme="majorBidi" w:cstheme="majorBidi"/>
          <w:szCs w:val="18"/>
          <w:lang w:val="en-US"/>
        </w:rPr>
        <w:t xml:space="preserve">. Also, see: </w:t>
      </w:r>
      <w:hyperlink r:id="rId169" w:history="1">
        <w:r w:rsidRPr="002D78C7">
          <w:rPr>
            <w:rStyle w:val="Hyperlink"/>
            <w:rFonts w:asciiTheme="majorBidi" w:hAnsiTheme="majorBidi" w:cstheme="majorBidi"/>
            <w:szCs w:val="18"/>
            <w:lang w:val="en-US"/>
          </w:rPr>
          <w:t>https://almashhadalaraby.com/news/101775</w:t>
        </w:r>
      </w:hyperlink>
      <w:r w:rsidRPr="002D78C7">
        <w:rPr>
          <w:rFonts w:asciiTheme="majorBidi" w:hAnsiTheme="majorBidi" w:cstheme="majorBidi"/>
          <w:szCs w:val="18"/>
          <w:lang w:val="en-US"/>
        </w:rPr>
        <w:t xml:space="preserve"> ; </w:t>
      </w:r>
      <w:hyperlink r:id="rId170" w:history="1">
        <w:r w:rsidRPr="002D78C7">
          <w:rPr>
            <w:rStyle w:val="Hyperlink"/>
            <w:rFonts w:asciiTheme="majorBidi" w:hAnsiTheme="majorBidi" w:cstheme="majorBidi"/>
            <w:szCs w:val="18"/>
            <w:lang w:val="en-US"/>
          </w:rPr>
          <w:t>https://almashhadalaam.com/posts/6593</w:t>
        </w:r>
      </w:hyperlink>
      <w:r w:rsidRPr="002D78C7">
        <w:rPr>
          <w:rFonts w:asciiTheme="majorBidi" w:hAnsiTheme="majorBidi" w:cstheme="majorBidi"/>
          <w:szCs w:val="18"/>
          <w:lang w:val="en-US"/>
        </w:rPr>
        <w:t xml:space="preserve"> </w:t>
      </w:r>
    </w:p>
  </w:footnote>
  <w:footnote w:id="1548">
    <w:p w14:paraId="20ED6A7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hyperlink r:id="rId171" w:history="1">
        <w:r w:rsidRPr="002D78C7">
          <w:rPr>
            <w:rStyle w:val="Hyperlink"/>
            <w:rFonts w:asciiTheme="majorBidi" w:hAnsiTheme="majorBidi" w:cstheme="majorBidi"/>
            <w:szCs w:val="18"/>
          </w:rPr>
          <w:t>https://imoyemen.com/news/5813</w:t>
        </w:r>
      </w:hyperlink>
      <w:r w:rsidRPr="002D78C7">
        <w:rPr>
          <w:rFonts w:asciiTheme="majorBidi" w:hAnsiTheme="majorBidi" w:cstheme="majorBidi"/>
          <w:szCs w:val="18"/>
        </w:rPr>
        <w:t xml:space="preserve"> . also, see: </w:t>
      </w:r>
      <w:hyperlink r:id="rId172" w:history="1">
        <w:r w:rsidRPr="002D78C7">
          <w:rPr>
            <w:rStyle w:val="Hyperlink"/>
            <w:rFonts w:asciiTheme="majorBidi" w:hAnsiTheme="majorBidi" w:cstheme="majorBidi"/>
            <w:szCs w:val="18"/>
          </w:rPr>
          <w:t>http://alhezam-media.com/site/2019/07/06/https-wp-me-p9wgzr-1d6/</w:t>
        </w:r>
      </w:hyperlink>
      <w:r w:rsidRPr="002D78C7">
        <w:rPr>
          <w:rFonts w:asciiTheme="majorBidi" w:hAnsiTheme="majorBidi" w:cstheme="majorBidi"/>
          <w:szCs w:val="18"/>
        </w:rPr>
        <w:t xml:space="preserve"> </w:t>
      </w:r>
    </w:p>
  </w:footnote>
  <w:footnote w:id="1549">
    <w:p w14:paraId="4F19757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lang w:val="en-US"/>
        </w:rPr>
        <w:t xml:space="preserve"> </w:t>
      </w:r>
      <w:r w:rsidRPr="002D78C7">
        <w:rPr>
          <w:rFonts w:asciiTheme="majorBidi" w:hAnsiTheme="majorBidi" w:cstheme="majorBidi"/>
          <w:szCs w:val="18"/>
        </w:rPr>
        <w:t>Confidential Sources on File</w:t>
      </w:r>
    </w:p>
  </w:footnote>
  <w:footnote w:id="1550">
    <w:p w14:paraId="1EBBA2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6 (2017)</w:t>
      </w:r>
      <w:r w:rsidRPr="002D78C7">
        <w:rPr>
          <w:rFonts w:asciiTheme="majorBidi" w:hAnsiTheme="majorBidi" w:cstheme="majorBidi"/>
          <w:szCs w:val="18"/>
          <w:rtl/>
        </w:rPr>
        <w:t xml:space="preserve">. </w:t>
      </w:r>
      <w:r w:rsidRPr="002D78C7">
        <w:rPr>
          <w:rFonts w:asciiTheme="majorBidi" w:hAnsiTheme="majorBidi" w:cstheme="majorBidi"/>
          <w:szCs w:val="18"/>
          <w:lang w:val="en-US"/>
        </w:rPr>
        <w:t xml:space="preserve">Available on </w:t>
      </w:r>
      <w:hyperlink r:id="rId173" w:history="1">
        <w:r w:rsidRPr="002D78C7">
          <w:rPr>
            <w:rStyle w:val="Hyperlink"/>
            <w:rFonts w:asciiTheme="majorBidi" w:hAnsiTheme="majorBidi" w:cstheme="majorBidi"/>
            <w:szCs w:val="18"/>
            <w:lang w:val="en-US"/>
          </w:rPr>
          <w:t>http://mosnad.net/news.php?id=18513</w:t>
        </w:r>
      </w:hyperlink>
      <w:r w:rsidRPr="002D78C7">
        <w:rPr>
          <w:rFonts w:asciiTheme="majorBidi" w:hAnsiTheme="majorBidi" w:cstheme="majorBidi"/>
          <w:szCs w:val="18"/>
          <w:lang w:val="en-US"/>
        </w:rPr>
        <w:t xml:space="preserve">, also available on </w:t>
      </w:r>
      <w:hyperlink r:id="rId174" w:history="1">
        <w:r w:rsidRPr="002D78C7">
          <w:rPr>
            <w:rStyle w:val="Hyperlink"/>
            <w:rFonts w:asciiTheme="majorBidi" w:hAnsiTheme="majorBidi" w:cstheme="majorBidi"/>
            <w:szCs w:val="18"/>
            <w:lang w:val="en-US"/>
          </w:rPr>
          <w:t>http://yemen-now.com/news1444016.html</w:t>
        </w:r>
      </w:hyperlink>
      <w:r w:rsidRPr="002D78C7">
        <w:rPr>
          <w:rFonts w:asciiTheme="majorBidi" w:hAnsiTheme="majorBidi" w:cstheme="majorBidi"/>
          <w:szCs w:val="18"/>
          <w:lang w:val="en-US"/>
        </w:rPr>
        <w:t xml:space="preserve"> </w:t>
      </w:r>
    </w:p>
  </w:footnote>
  <w:footnote w:id="1551">
    <w:p w14:paraId="1F63F7F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2">
    <w:p w14:paraId="592C85F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xml:space="preserve">. Also, see: Press interview with commander of Shabwah Elite Forces, Al-Omana post, 2 November 2017,  </w:t>
      </w:r>
      <w:hyperlink r:id="rId175" w:history="1">
        <w:r w:rsidRPr="002D78C7">
          <w:rPr>
            <w:rStyle w:val="Hyperlink"/>
            <w:rFonts w:asciiTheme="majorBidi" w:hAnsiTheme="majorBidi" w:cstheme="majorBidi"/>
            <w:szCs w:val="18"/>
            <w:lang w:val="en-US"/>
          </w:rPr>
          <w:t>https://al-omana.com/news65261.html</w:t>
        </w:r>
      </w:hyperlink>
      <w:r w:rsidRPr="002D78C7">
        <w:rPr>
          <w:rFonts w:asciiTheme="majorBidi" w:hAnsiTheme="majorBidi" w:cstheme="majorBidi"/>
          <w:szCs w:val="18"/>
          <w:lang w:val="en-US"/>
        </w:rPr>
        <w:t xml:space="preserve"> </w:t>
      </w:r>
    </w:p>
  </w:footnote>
  <w:footnote w:id="1553">
    <w:p w14:paraId="1C1D0AC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4">
    <w:p w14:paraId="21338CA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w:t>
      </w:r>
    </w:p>
  </w:footnote>
  <w:footnote w:id="1555">
    <w:p w14:paraId="51A694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56">
    <w:p w14:paraId="7E8EF86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76" w:history="1">
        <w:r w:rsidRPr="002D78C7">
          <w:rPr>
            <w:rStyle w:val="Hyperlink"/>
            <w:rFonts w:asciiTheme="majorBidi" w:hAnsiTheme="majorBidi" w:cstheme="majorBidi"/>
            <w:szCs w:val="18"/>
          </w:rPr>
          <w:t>https://shabwaah-press.info/news/2068</w:t>
        </w:r>
      </w:hyperlink>
      <w:r w:rsidRPr="002D78C7">
        <w:rPr>
          <w:rFonts w:asciiTheme="majorBidi" w:hAnsiTheme="majorBidi" w:cstheme="majorBidi"/>
          <w:szCs w:val="18"/>
          <w:lang w:val="en-US"/>
        </w:rPr>
        <w:t xml:space="preserve">. Also, see: </w:t>
      </w:r>
      <w:hyperlink r:id="rId177" w:history="1">
        <w:r w:rsidRPr="002D78C7">
          <w:rPr>
            <w:rStyle w:val="Hyperlink"/>
            <w:rFonts w:asciiTheme="majorBidi" w:hAnsiTheme="majorBidi" w:cstheme="majorBidi"/>
            <w:szCs w:val="18"/>
            <w:lang w:val="en-US"/>
          </w:rPr>
          <w:t>https://almashhadalaraby.com/news/35534</w:t>
        </w:r>
      </w:hyperlink>
      <w:r w:rsidRPr="002D78C7">
        <w:rPr>
          <w:rFonts w:asciiTheme="majorBidi" w:hAnsiTheme="majorBidi" w:cstheme="majorBidi"/>
          <w:szCs w:val="18"/>
          <w:lang w:val="en-US"/>
        </w:rPr>
        <w:t xml:space="preserve"> </w:t>
      </w:r>
    </w:p>
  </w:footnote>
  <w:footnote w:id="1557">
    <w:p w14:paraId="4DDB9B5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558">
    <w:p w14:paraId="7CE4685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78" w:history="1">
        <w:r w:rsidRPr="002D78C7">
          <w:rPr>
            <w:rStyle w:val="Hyperlink"/>
            <w:rFonts w:asciiTheme="majorBidi" w:hAnsiTheme="majorBidi" w:cstheme="majorBidi"/>
            <w:szCs w:val="18"/>
          </w:rPr>
          <w:t>https://yemen-press.com/news100441.html</w:t>
        </w:r>
      </w:hyperlink>
      <w:r w:rsidRPr="002D78C7">
        <w:rPr>
          <w:rFonts w:asciiTheme="majorBidi" w:hAnsiTheme="majorBidi" w:cstheme="majorBidi"/>
          <w:szCs w:val="18"/>
        </w:rPr>
        <w:t xml:space="preserve">   </w:t>
      </w:r>
    </w:p>
  </w:footnote>
  <w:footnote w:id="1559">
    <w:p w14:paraId="6183FA3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83 (2017). See </w:t>
      </w:r>
      <w:hyperlink r:id="rId179" w:history="1">
        <w:r w:rsidRPr="002D78C7">
          <w:rPr>
            <w:rStyle w:val="Hyperlink"/>
            <w:rFonts w:asciiTheme="majorBidi" w:hAnsiTheme="majorBidi" w:cstheme="majorBidi"/>
            <w:szCs w:val="18"/>
          </w:rPr>
          <w:t>http://www.alharf28.com/p-1394</w:t>
        </w:r>
      </w:hyperlink>
      <w:r w:rsidRPr="002D78C7">
        <w:rPr>
          <w:rFonts w:asciiTheme="majorBidi" w:hAnsiTheme="majorBidi" w:cstheme="majorBidi"/>
          <w:szCs w:val="18"/>
        </w:rPr>
        <w:t xml:space="preserve">. Also see: https://www.deeproot.consulting/single-post/2018/08/16/Caught-in-the-Middle-A-Conflict-Mapping-of-Taiz-Governorate  </w:t>
      </w:r>
    </w:p>
  </w:footnote>
  <w:footnote w:id="1560">
    <w:p w14:paraId="1F221E5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79 (2018). See https://almawqeapost.net/news/37080</w:t>
      </w:r>
    </w:p>
  </w:footnote>
  <w:footnote w:id="1561">
    <w:p w14:paraId="7AF1CE3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Conflict De-Escalation in Taiz City, DeepRoot consulting, August 2018</w:t>
      </w:r>
    </w:p>
  </w:footnote>
  <w:footnote w:id="1562">
    <w:p w14:paraId="2980BDB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https://www.deeproot.consulting/single-post/2018/08/16/Caught-in-the-Middle-A-Conflict-Mapping-of-Taiz-Governorate</w:t>
      </w:r>
    </w:p>
  </w:footnote>
  <w:footnote w:id="1563">
    <w:p w14:paraId="4AFAF61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Presidential Decree 189 (2018)</w:t>
      </w:r>
      <w:r w:rsidRPr="002D78C7">
        <w:rPr>
          <w:rFonts w:asciiTheme="majorBidi" w:hAnsiTheme="majorBidi" w:cstheme="majorBidi"/>
          <w:szCs w:val="18"/>
        </w:rPr>
        <w:t>available on https://almasdaronline.com/articles/162681</w:t>
      </w:r>
    </w:p>
  </w:footnote>
  <w:footnote w:id="1564">
    <w:p w14:paraId="18BEA2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Presidential Decree 188 (2018). See https://almawqeapost.net/news/37080</w:t>
      </w:r>
    </w:p>
  </w:footnote>
  <w:footnote w:id="1565">
    <w:p w14:paraId="6479386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bidi="ar-JO"/>
        </w:rPr>
        <w:t>. Also, see Conflict De-Escalation in Taizz City, DeepRoot consulting, August 2018, p. 27</w:t>
      </w:r>
    </w:p>
  </w:footnote>
  <w:footnote w:id="1566">
    <w:p w14:paraId="19762A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Also see: http://aljanadpost.net/p-3939</w:t>
      </w:r>
    </w:p>
  </w:footnote>
  <w:footnote w:id="1567">
    <w:p w14:paraId="654765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w:t>
      </w:r>
    </w:p>
  </w:footnote>
  <w:footnote w:id="1568">
    <w:p w14:paraId="7F1B417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69">
    <w:p w14:paraId="53AC95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0">
    <w:p w14:paraId="1EE2E84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1">
    <w:p w14:paraId="01F620A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bidi="ar-JO"/>
        </w:rPr>
        <w:t>Presidential Decree 2 (2018). Available on: http://www.alharf28.com/p-2592</w:t>
      </w:r>
    </w:p>
  </w:footnote>
  <w:footnote w:id="1572">
    <w:p w14:paraId="5A502C6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3">
    <w:p w14:paraId="50C3E43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74">
    <w:p w14:paraId="0617652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575">
    <w:p w14:paraId="4A8F77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76">
    <w:p w14:paraId="7CEB6BB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https://www.deeproot.consulting/single-post/2018/08/16/Caught-in-the-Middle-A-Conflict-Mapping-of-Taiz-</w:t>
      </w:r>
    </w:p>
  </w:footnote>
  <w:footnote w:id="1577">
    <w:p w14:paraId="6E911EF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0"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Pr>
        <w:t xml:space="preserve">. Also, see: </w:t>
      </w:r>
      <w:hyperlink r:id="rId181" w:history="1">
        <w:r w:rsidRPr="002D78C7">
          <w:rPr>
            <w:rStyle w:val="Hyperlink"/>
            <w:rFonts w:asciiTheme="majorBidi" w:hAnsiTheme="majorBidi" w:cstheme="majorBidi"/>
            <w:szCs w:val="18"/>
          </w:rPr>
          <w:t>https://www.facebook.com/as118833/</w:t>
        </w:r>
      </w:hyperlink>
      <w:r w:rsidRPr="002D78C7">
        <w:rPr>
          <w:rFonts w:asciiTheme="majorBidi" w:hAnsiTheme="majorBidi" w:cstheme="majorBidi"/>
          <w:szCs w:val="18"/>
        </w:rPr>
        <w:t xml:space="preserve">. </w:t>
      </w:r>
      <w:hyperlink r:id="rId182" w:history="1">
        <w:r w:rsidRPr="002D78C7">
          <w:rPr>
            <w:rStyle w:val="Hyperlink"/>
            <w:rFonts w:asciiTheme="majorBidi" w:hAnsiTheme="majorBidi" w:cstheme="majorBidi"/>
            <w:szCs w:val="18"/>
          </w:rPr>
          <w:t>https://twitter.com/samwrax/status/1007530583902351360</w:t>
        </w:r>
      </w:hyperlink>
      <w:r w:rsidRPr="002D78C7">
        <w:rPr>
          <w:rFonts w:asciiTheme="majorBidi" w:hAnsiTheme="majorBidi" w:cstheme="majorBidi"/>
          <w:szCs w:val="18"/>
        </w:rPr>
        <w:t xml:space="preserve">; </w:t>
      </w:r>
      <w:hyperlink r:id="rId183" w:history="1">
        <w:r w:rsidRPr="002D78C7">
          <w:rPr>
            <w:rStyle w:val="Hyperlink"/>
            <w:rFonts w:asciiTheme="majorBidi" w:hAnsiTheme="majorBidi" w:cstheme="majorBidi"/>
            <w:szCs w:val="18"/>
          </w:rPr>
          <w:t>https://twitter.com/mohammedalqadhi/status/1008997894404403201</w:t>
        </w:r>
      </w:hyperlink>
      <w:r w:rsidRPr="002D78C7">
        <w:rPr>
          <w:rFonts w:asciiTheme="majorBidi" w:hAnsiTheme="majorBidi" w:cstheme="majorBidi"/>
          <w:szCs w:val="18"/>
        </w:rPr>
        <w:t xml:space="preserve">; </w:t>
      </w:r>
      <w:hyperlink r:id="rId184" w:history="1">
        <w:r w:rsidRPr="002D78C7">
          <w:rPr>
            <w:rStyle w:val="Hyperlink"/>
            <w:rFonts w:asciiTheme="majorBidi" w:hAnsiTheme="majorBidi" w:cstheme="majorBidi"/>
            <w:szCs w:val="18"/>
          </w:rPr>
          <w:t>https://en.adenpress.news/news/271</w:t>
        </w:r>
      </w:hyperlink>
      <w:r w:rsidRPr="002D78C7">
        <w:rPr>
          <w:rFonts w:asciiTheme="majorBidi" w:hAnsiTheme="majorBidi" w:cstheme="majorBidi"/>
          <w:szCs w:val="18"/>
        </w:rPr>
        <w:t>. https://www.janes.com/article/84439/uae-backed-yemeni-operation-making-progress-in-al-hudaydah</w:t>
      </w:r>
    </w:p>
  </w:footnote>
  <w:footnote w:id="1578">
    <w:p w14:paraId="505E5D9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w:t>
      </w:r>
      <w:hyperlink r:id="rId185" w:history="1">
        <w:r w:rsidRPr="002D78C7">
          <w:rPr>
            <w:rStyle w:val="Hyperlink"/>
            <w:rFonts w:asciiTheme="majorBidi" w:hAnsiTheme="majorBidi" w:cstheme="majorBidi"/>
            <w:szCs w:val="18"/>
          </w:rPr>
          <w:t>https://reliefweb.int/report/yemen/who-are-uae-backed-forces-fighting-western-front-yemen</w:t>
        </w:r>
      </w:hyperlink>
      <w:r w:rsidRPr="002D78C7">
        <w:rPr>
          <w:rFonts w:asciiTheme="majorBidi" w:hAnsiTheme="majorBidi" w:cstheme="majorBidi"/>
          <w:szCs w:val="18"/>
        </w:rPr>
        <w:t xml:space="preserve">. </w:t>
      </w:r>
    </w:p>
  </w:footnote>
  <w:footnote w:id="1579">
    <w:p w14:paraId="4F3A7FE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6"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Pr>
        <w:t xml:space="preserve">. Also, see: </w:t>
      </w:r>
      <w:hyperlink r:id="rId187" w:history="1">
        <w:r w:rsidRPr="002D78C7">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2D78C7">
        <w:rPr>
          <w:rFonts w:asciiTheme="majorBidi" w:hAnsiTheme="majorBidi" w:cstheme="majorBidi"/>
          <w:szCs w:val="18"/>
        </w:rPr>
        <w:t xml:space="preserve">. Also see: </w:t>
      </w:r>
      <w:hyperlink r:id="rId188" w:history="1">
        <w:r w:rsidRPr="002D78C7">
          <w:rPr>
            <w:rStyle w:val="Hyperlink"/>
            <w:rFonts w:asciiTheme="majorBidi" w:hAnsiTheme="majorBidi" w:cstheme="majorBidi"/>
            <w:szCs w:val="18"/>
          </w:rPr>
          <w:t>https://reliefweb.int/report/yemen/who-are-uae-backed-forces-fighting-western-front-yemen</w:t>
        </w:r>
      </w:hyperlink>
      <w:r w:rsidRPr="002D78C7">
        <w:rPr>
          <w:rFonts w:asciiTheme="majorBidi" w:hAnsiTheme="majorBidi" w:cstheme="majorBidi"/>
          <w:szCs w:val="18"/>
        </w:rPr>
        <w:t xml:space="preserve"> </w:t>
      </w:r>
    </w:p>
  </w:footnote>
  <w:footnote w:id="1580">
    <w:p w14:paraId="124933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https://abaadstudies.org/news-59781.html. Also, see: https://almasdaronline.com/article/source-assignment-of-major-general-haitham-qassem-as-a-commander-of-a-military-council-leading-combat-operations-on-the-west-coast. Also see: https://reliefweb.int/report/yemen/who-are-uae-backed-forces-fighting-western-front-yemen</w:t>
      </w:r>
    </w:p>
  </w:footnote>
  <w:footnote w:id="1581">
    <w:p w14:paraId="1D4CA83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2">
    <w:p w14:paraId="20DEB5C1"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S/2019/206</w:t>
      </w:r>
    </w:p>
  </w:footnote>
  <w:footnote w:id="1583">
    <w:p w14:paraId="1AEF6A2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89" w:history="1">
        <w:r w:rsidRPr="002D78C7">
          <w:rPr>
            <w:rStyle w:val="Hyperlink"/>
            <w:rFonts w:asciiTheme="majorBidi" w:hAnsiTheme="majorBidi" w:cstheme="majorBidi"/>
            <w:szCs w:val="18"/>
          </w:rPr>
          <w:t>https://abaadstudies.org/news-59781.html</w:t>
        </w:r>
      </w:hyperlink>
      <w:r w:rsidRPr="002D78C7">
        <w:rPr>
          <w:rFonts w:asciiTheme="majorBidi" w:hAnsiTheme="majorBidi" w:cstheme="majorBidi"/>
          <w:szCs w:val="18"/>
          <w:rtl/>
        </w:rPr>
        <w:t xml:space="preserve"> </w:t>
      </w:r>
      <w:r w:rsidRPr="002D78C7">
        <w:rPr>
          <w:rFonts w:asciiTheme="majorBidi" w:hAnsiTheme="majorBidi" w:cstheme="majorBidi"/>
          <w:szCs w:val="18"/>
        </w:rPr>
        <w:t xml:space="preserve">. Also, see: </w:t>
      </w:r>
      <w:hyperlink r:id="rId190" w:history="1">
        <w:r w:rsidRPr="002D78C7">
          <w:rPr>
            <w:rStyle w:val="Hyperlink"/>
            <w:rFonts w:asciiTheme="majorBidi" w:hAnsiTheme="majorBidi" w:cstheme="majorBidi"/>
            <w:szCs w:val="18"/>
          </w:rPr>
          <w:t>https://almasdaronline.com/article/source-assignment-of-major-general-haitham-qassem-as-a-commander-of-a-military-council-leading-combat-operations-on-the-west-coast</w:t>
        </w:r>
      </w:hyperlink>
      <w:r w:rsidRPr="002D78C7">
        <w:rPr>
          <w:rFonts w:asciiTheme="majorBidi" w:hAnsiTheme="majorBidi" w:cstheme="majorBidi"/>
          <w:szCs w:val="18"/>
          <w:rtl/>
        </w:rPr>
        <w:t xml:space="preserve"> </w:t>
      </w:r>
      <w:r w:rsidRPr="002D78C7">
        <w:rPr>
          <w:rFonts w:asciiTheme="majorBidi" w:hAnsiTheme="majorBidi" w:cstheme="majorBidi"/>
          <w:szCs w:val="18"/>
        </w:rPr>
        <w:t>; https://reliefweb.int/report/yemen/who-are-uae-backed-forces-fighting-western-front-yemen</w:t>
      </w:r>
    </w:p>
  </w:footnote>
  <w:footnote w:id="1584">
    <w:p w14:paraId="6DC941F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5">
    <w:p w14:paraId="5CF4D07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86">
    <w:p w14:paraId="36ED309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87">
    <w:p w14:paraId="446D7A1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8">
    <w:p w14:paraId="36F122B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89">
    <w:p w14:paraId="5BCD8AF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S/2019/206</w:t>
      </w:r>
    </w:p>
  </w:footnote>
  <w:footnote w:id="1590">
    <w:p w14:paraId="7759005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591">
    <w:p w14:paraId="2C6E146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2">
    <w:p w14:paraId="1612236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https://imoyemen.com/cat/2?</w:t>
      </w:r>
    </w:p>
  </w:footnote>
  <w:footnote w:id="1593">
    <w:p w14:paraId="50E56B7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4">
    <w:p w14:paraId="0C591C9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1" w:history="1">
        <w:r w:rsidRPr="002D78C7">
          <w:rPr>
            <w:rStyle w:val="Hyperlink"/>
            <w:rFonts w:asciiTheme="majorBidi" w:hAnsiTheme="majorBidi" w:cstheme="majorBidi"/>
            <w:szCs w:val="18"/>
          </w:rPr>
          <w:t>http://sanaacenter.org/publications/analysis/7606</w:t>
        </w:r>
      </w:hyperlink>
      <w:r w:rsidRPr="002D78C7">
        <w:rPr>
          <w:rFonts w:asciiTheme="majorBidi" w:hAnsiTheme="majorBidi" w:cstheme="majorBidi"/>
          <w:szCs w:val="18"/>
        </w:rPr>
        <w:t xml:space="preserve"> </w:t>
      </w:r>
    </w:p>
  </w:footnote>
  <w:footnote w:id="1595">
    <w:p w14:paraId="51AA643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6">
    <w:p w14:paraId="10D41F0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2" w:history="1">
        <w:r w:rsidRPr="002D78C7">
          <w:rPr>
            <w:rStyle w:val="Hyperlink"/>
            <w:rFonts w:asciiTheme="majorBidi" w:hAnsiTheme="majorBidi" w:cstheme="majorBidi"/>
            <w:szCs w:val="18"/>
          </w:rPr>
          <w:t>https://almawqeapost.net/news/32281</w:t>
        </w:r>
      </w:hyperlink>
      <w:r w:rsidRPr="002D78C7">
        <w:rPr>
          <w:rFonts w:asciiTheme="majorBidi" w:hAnsiTheme="majorBidi" w:cstheme="majorBidi"/>
          <w:szCs w:val="18"/>
        </w:rPr>
        <w:t xml:space="preserve">. Also, see: </w:t>
      </w:r>
      <w:hyperlink r:id="rId193" w:history="1">
        <w:r w:rsidRPr="002D78C7">
          <w:rPr>
            <w:rStyle w:val="Hyperlink"/>
            <w:rFonts w:asciiTheme="majorBidi" w:hAnsiTheme="majorBidi" w:cstheme="majorBidi"/>
            <w:szCs w:val="18"/>
          </w:rPr>
          <w:t>http://sanaacenter.org/publications/analysis/7606</w:t>
        </w:r>
      </w:hyperlink>
      <w:r w:rsidRPr="002D78C7">
        <w:rPr>
          <w:rFonts w:asciiTheme="majorBidi" w:hAnsiTheme="majorBidi" w:cstheme="majorBidi"/>
          <w:szCs w:val="18"/>
          <w:rtl/>
        </w:rPr>
        <w:t xml:space="preserve"> </w:t>
      </w:r>
    </w:p>
  </w:footnote>
  <w:footnote w:id="1597">
    <w:p w14:paraId="34B7F39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598">
    <w:p w14:paraId="1009A93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https://almahrahpost.com/news/5006#.XS8tuXllLIU</w:t>
      </w:r>
    </w:p>
  </w:footnote>
  <w:footnote w:id="1599">
    <w:p w14:paraId="5DADCBB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4" w:history="1">
        <w:r w:rsidRPr="002D78C7">
          <w:rPr>
            <w:rStyle w:val="Hyperlink"/>
            <w:rFonts w:asciiTheme="majorBidi" w:hAnsiTheme="majorBidi" w:cstheme="majorBidi"/>
            <w:szCs w:val="18"/>
          </w:rPr>
          <w:t>https://almawqeapost.net/interviews/37936</w:t>
        </w:r>
      </w:hyperlink>
      <w:r w:rsidRPr="002D78C7">
        <w:rPr>
          <w:rFonts w:asciiTheme="majorBidi" w:hAnsiTheme="majorBidi" w:cstheme="majorBidi"/>
          <w:szCs w:val="18"/>
        </w:rPr>
        <w:t>. Also, see: http://sanaacenter.org/publications/analysis/7606</w:t>
      </w:r>
    </w:p>
  </w:footnote>
  <w:footnote w:id="1600">
    <w:p w14:paraId="6F6D2DC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see Presidential Decree 84 (2019) available on: </w:t>
      </w:r>
      <w:hyperlink r:id="rId195" w:history="1">
        <w:r w:rsidRPr="002D78C7">
          <w:rPr>
            <w:rStyle w:val="Hyperlink"/>
            <w:rFonts w:asciiTheme="majorBidi" w:hAnsiTheme="majorBidi" w:cstheme="majorBidi"/>
            <w:szCs w:val="18"/>
          </w:rPr>
          <w:t>https://www.almashhad-alyemeni.com/138905</w:t>
        </w:r>
      </w:hyperlink>
      <w:r w:rsidRPr="002D78C7">
        <w:rPr>
          <w:rFonts w:asciiTheme="majorBidi" w:hAnsiTheme="majorBidi" w:cstheme="majorBidi"/>
          <w:szCs w:val="18"/>
          <w:rtl/>
        </w:rPr>
        <w:t xml:space="preserve"> </w:t>
      </w:r>
    </w:p>
  </w:footnote>
  <w:footnote w:id="1601">
    <w:p w14:paraId="4A8226A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4, De Facto Security Mechanism</w:t>
      </w:r>
    </w:p>
  </w:footnote>
  <w:footnote w:id="1602">
    <w:p w14:paraId="7E10A15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Appendix 5, De Facto Security Apparatus</w:t>
      </w:r>
    </w:p>
  </w:footnote>
  <w:footnote w:id="1603">
    <w:p w14:paraId="5F0B536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 xml:space="preserve">United Nations Security Council, available on: </w:t>
      </w:r>
      <w:hyperlink r:id="rId196" w:history="1">
        <w:r w:rsidRPr="002D78C7">
          <w:rPr>
            <w:rStyle w:val="Hyperlink"/>
            <w:rFonts w:asciiTheme="majorBidi" w:hAnsiTheme="majorBidi" w:cstheme="majorBidi"/>
            <w:szCs w:val="18"/>
            <w:lang w:val="en-US"/>
          </w:rPr>
          <w:t>https://www.un.org/securitycouncil/sanctions/2140/materials/summaries/individual/abdulmalik-al-houthi</w:t>
        </w:r>
      </w:hyperlink>
      <w:r w:rsidRPr="002D78C7">
        <w:rPr>
          <w:rFonts w:asciiTheme="majorBidi" w:hAnsiTheme="majorBidi" w:cstheme="majorBidi"/>
          <w:szCs w:val="18"/>
          <w:lang w:val="en-US"/>
        </w:rPr>
        <w:t xml:space="preserve"> </w:t>
      </w:r>
    </w:p>
  </w:footnote>
  <w:footnote w:id="1604">
    <w:p w14:paraId="508CC3D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https://www.yemenipress.net/archives/143698</w:t>
      </w:r>
    </w:p>
  </w:footnote>
  <w:footnote w:id="1605">
    <w:p w14:paraId="43419B8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7" w:history="1">
        <w:r w:rsidRPr="002D78C7">
          <w:rPr>
            <w:rFonts w:asciiTheme="majorBidi" w:hAnsiTheme="majorBidi" w:cstheme="majorBidi"/>
            <w:color w:val="0000FF"/>
            <w:szCs w:val="18"/>
            <w:u w:val="single"/>
          </w:rPr>
          <w:t>https://twitter.com/yemenpresidency?s=11</w:t>
        </w:r>
      </w:hyperlink>
    </w:p>
  </w:footnote>
  <w:footnote w:id="1606">
    <w:p w14:paraId="46F9032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https://almasdaronline.com/articles/165447</w:t>
      </w:r>
    </w:p>
  </w:footnote>
  <w:footnote w:id="1607">
    <w:p w14:paraId="59FBD3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https://ar-ar.facebook.com/ymmalshami/</w:t>
      </w:r>
    </w:p>
  </w:footnote>
  <w:footnote w:id="1608">
    <w:p w14:paraId="2CFA36D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Decree No. (90) 2019. See:  http://en.althawranews.net/2019/05/president-al-mashat-appoints-minister-of-interior/</w:t>
      </w:r>
    </w:p>
  </w:footnote>
  <w:footnote w:id="1609">
    <w:p w14:paraId="1617CE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10">
    <w:p w14:paraId="2A4A5AB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https://www.yamanyoon.com/?p=55797</w:t>
      </w:r>
    </w:p>
  </w:footnote>
  <w:footnote w:id="1611">
    <w:p w14:paraId="0186085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198" w:history="1">
        <w:r w:rsidRPr="002D78C7">
          <w:rPr>
            <w:rStyle w:val="Hyperlink"/>
            <w:rFonts w:asciiTheme="majorBidi" w:hAnsiTheme="majorBidi" w:cstheme="majorBidi"/>
            <w:szCs w:val="18"/>
          </w:rPr>
          <w:t>https://www.26sep.net/nprint.php?lng=arabic&amp;sid=91093</w:t>
        </w:r>
      </w:hyperlink>
      <w:r w:rsidRPr="002D78C7">
        <w:rPr>
          <w:rFonts w:asciiTheme="majorBidi" w:hAnsiTheme="majorBidi" w:cstheme="majorBidi"/>
          <w:szCs w:val="18"/>
        </w:rPr>
        <w:t xml:space="preserve"> </w:t>
      </w:r>
    </w:p>
  </w:footnote>
  <w:footnote w:id="1612">
    <w:p w14:paraId="0DFA31B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199" w:history="1">
        <w:r w:rsidRPr="002D78C7">
          <w:rPr>
            <w:rStyle w:val="Hyperlink"/>
            <w:rFonts w:asciiTheme="majorBidi" w:hAnsiTheme="majorBidi" w:cstheme="majorBidi"/>
            <w:szCs w:val="18"/>
          </w:rPr>
          <w:t>https://www.26sep.net/news_details.php?sid=141997</w:t>
        </w:r>
      </w:hyperlink>
    </w:p>
  </w:footnote>
  <w:footnote w:id="1613">
    <w:p w14:paraId="52512F7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S/2017/81</w:t>
      </w:r>
    </w:p>
  </w:footnote>
  <w:footnote w:id="1614">
    <w:p w14:paraId="0F96B73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Yemen government website, available on: http://www.yemen.gov.ye/portal/transport/%D8%A7%D9%84%D9%88%D8%B2%D9%8A%D8%B1/tabid/705/Default.aspx</w:t>
      </w:r>
    </w:p>
  </w:footnote>
  <w:footnote w:id="1615">
    <w:p w14:paraId="2400A0F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documents, S/2018/68 and S/2019/83</w:t>
      </w:r>
    </w:p>
  </w:footnote>
  <w:footnote w:id="1616">
    <w:p w14:paraId="472AE1B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17">
    <w:p w14:paraId="532305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Republican Decree Appointing Abu Ali Al-Hakim, Head of General Intelligence Agency, Yemen Press, 22 August 2017, available on: https://www.yemenpress.org/yemen/republican-decree-appointing-abu-ali-al-hakim-head-of-general-intelligence-agency/</w:t>
      </w:r>
    </w:p>
  </w:footnote>
  <w:footnote w:id="1618">
    <w:p w14:paraId="019A94A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0" w:history="1">
        <w:r w:rsidRPr="002D78C7">
          <w:rPr>
            <w:rStyle w:val="Hyperlink"/>
            <w:rFonts w:asciiTheme="majorBidi" w:hAnsiTheme="majorBidi" w:cstheme="majorBidi"/>
            <w:szCs w:val="18"/>
          </w:rPr>
          <w:t>https://www.26sep.net/news_details.php?sid=159198</w:t>
        </w:r>
      </w:hyperlink>
      <w:r w:rsidRPr="002D78C7">
        <w:rPr>
          <w:rFonts w:asciiTheme="majorBidi" w:hAnsiTheme="majorBidi" w:cstheme="majorBidi"/>
          <w:szCs w:val="18"/>
          <w:rtl/>
        </w:rPr>
        <w:t xml:space="preserve"> </w:t>
      </w:r>
    </w:p>
  </w:footnote>
  <w:footnote w:id="1619">
    <w:p w14:paraId="22467F6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1" w:history="1">
        <w:r w:rsidRPr="002D78C7">
          <w:rPr>
            <w:rStyle w:val="Hyperlink"/>
            <w:rFonts w:asciiTheme="majorBidi" w:hAnsiTheme="majorBidi" w:cstheme="majorBidi"/>
            <w:szCs w:val="18"/>
          </w:rPr>
          <w:t>https://ar.shafaqna.com/fn/278805/</w:t>
        </w:r>
      </w:hyperlink>
      <w:r w:rsidRPr="002D78C7">
        <w:rPr>
          <w:rFonts w:asciiTheme="majorBidi" w:hAnsiTheme="majorBidi" w:cstheme="majorBidi"/>
          <w:szCs w:val="18"/>
        </w:rPr>
        <w:t xml:space="preserve"> also available on </w:t>
      </w:r>
      <w:hyperlink r:id="rId202" w:history="1">
        <w:r w:rsidRPr="002D78C7">
          <w:rPr>
            <w:rStyle w:val="Hyperlink"/>
            <w:rFonts w:asciiTheme="majorBidi" w:hAnsiTheme="majorBidi" w:cstheme="majorBidi"/>
            <w:szCs w:val="18"/>
          </w:rPr>
          <w:t>http://www.alsyasiah.ye/25272</w:t>
        </w:r>
      </w:hyperlink>
      <w:r w:rsidRPr="002D78C7">
        <w:rPr>
          <w:rFonts w:asciiTheme="majorBidi" w:hAnsiTheme="majorBidi" w:cstheme="majorBidi"/>
          <w:szCs w:val="18"/>
        </w:rPr>
        <w:t xml:space="preserve"> </w:t>
      </w:r>
    </w:p>
  </w:footnote>
  <w:footnote w:id="1620">
    <w:p w14:paraId="0591472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w:t>
      </w:r>
      <w:hyperlink r:id="rId203" w:history="1">
        <w:r w:rsidRPr="002D78C7">
          <w:rPr>
            <w:rStyle w:val="Hyperlink"/>
            <w:rFonts w:asciiTheme="majorBidi" w:hAnsiTheme="majorBidi" w:cstheme="majorBidi"/>
            <w:szCs w:val="18"/>
          </w:rPr>
          <w:t>https://www.26sep.net/news_details.php?sid=141997</w:t>
        </w:r>
      </w:hyperlink>
      <w:r w:rsidRPr="002D78C7">
        <w:rPr>
          <w:rFonts w:asciiTheme="majorBidi" w:hAnsiTheme="majorBidi" w:cstheme="majorBidi"/>
          <w:szCs w:val="18"/>
        </w:rPr>
        <w:t xml:space="preserve"> </w:t>
      </w:r>
    </w:p>
  </w:footnote>
  <w:footnote w:id="1621">
    <w:p w14:paraId="3162F71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 Also see: https://www.26sep.net/news_details.php?sid=141997</w:t>
      </w:r>
    </w:p>
  </w:footnote>
  <w:footnote w:id="1622">
    <w:p w14:paraId="3CAD5E9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4" w:history="1">
        <w:r w:rsidRPr="002D78C7">
          <w:rPr>
            <w:rStyle w:val="Hyperlink"/>
            <w:rFonts w:asciiTheme="majorBidi" w:hAnsiTheme="majorBidi" w:cstheme="majorBidi"/>
            <w:szCs w:val="18"/>
          </w:rPr>
          <w:t>https://sabaanews.net/news492940.htm</w:t>
        </w:r>
      </w:hyperlink>
      <w:r w:rsidRPr="002D78C7">
        <w:rPr>
          <w:rFonts w:asciiTheme="majorBidi" w:hAnsiTheme="majorBidi" w:cstheme="majorBidi"/>
          <w:szCs w:val="18"/>
          <w:rtl/>
        </w:rPr>
        <w:t xml:space="preserve"> </w:t>
      </w:r>
    </w:p>
  </w:footnote>
  <w:footnote w:id="1623">
    <w:p w14:paraId="6211CDE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Combat Strength of General Reserve Force consists of Presidential Protection Brigades, Special Operations Command and Missile Brigades Group</w:t>
      </w:r>
    </w:p>
  </w:footnote>
  <w:footnote w:id="1624">
    <w:p w14:paraId="60143A2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https://www.26sep.net/news_details.php?sid=148629</w:t>
      </w:r>
    </w:p>
  </w:footnote>
  <w:footnote w:id="1625">
    <w:p w14:paraId="0307EF5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Security Council 2140 Sanctions Committee amends two entries on Its List. Available on: </w:t>
      </w:r>
      <w:hyperlink r:id="rId205" w:history="1">
        <w:r w:rsidRPr="002D78C7">
          <w:rPr>
            <w:rStyle w:val="Hyperlink"/>
            <w:rFonts w:asciiTheme="majorBidi" w:hAnsiTheme="majorBidi" w:cstheme="majorBidi"/>
            <w:szCs w:val="18"/>
          </w:rPr>
          <w:t>https://www.un.org/press/en/2016/sc12493.doc.htm</w:t>
        </w:r>
      </w:hyperlink>
      <w:r w:rsidRPr="002D78C7">
        <w:rPr>
          <w:rFonts w:asciiTheme="majorBidi" w:hAnsiTheme="majorBidi" w:cstheme="majorBidi"/>
          <w:szCs w:val="18"/>
        </w:rPr>
        <w:t xml:space="preserve"> </w:t>
      </w:r>
    </w:p>
  </w:footnote>
  <w:footnote w:id="1626">
    <w:p w14:paraId="6274C7A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Security Council 2140 Sanctions Committee amends two entries on Its List. Available on: https://www.un.org/press/en/2016/sc12493.doc.htm</w:t>
      </w:r>
    </w:p>
  </w:footnote>
  <w:footnote w:id="1627">
    <w:p w14:paraId="351C014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28">
    <w:p w14:paraId="0E68CBD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6" w:history="1">
        <w:r w:rsidRPr="002D78C7">
          <w:rPr>
            <w:rStyle w:val="Hyperlink"/>
            <w:rFonts w:asciiTheme="majorBidi" w:hAnsiTheme="majorBidi" w:cstheme="majorBidi"/>
            <w:szCs w:val="18"/>
          </w:rPr>
          <w:t>https://www.yemenipress.net/archives/98721</w:t>
        </w:r>
      </w:hyperlink>
      <w:r w:rsidRPr="002D78C7">
        <w:rPr>
          <w:rFonts w:asciiTheme="majorBidi" w:hAnsiTheme="majorBidi" w:cstheme="majorBidi"/>
          <w:szCs w:val="18"/>
        </w:rPr>
        <w:t xml:space="preserve"> </w:t>
      </w:r>
    </w:p>
  </w:footnote>
  <w:footnote w:id="1629">
    <w:p w14:paraId="6560DDE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30">
    <w:p w14:paraId="502DEF3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https://www.26sep.net/news_details.php?sid=150509</w:t>
      </w:r>
    </w:p>
  </w:footnote>
  <w:footnote w:id="1631">
    <w:p w14:paraId="0D3ED3F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S/2018/68</w:t>
      </w:r>
    </w:p>
  </w:footnote>
  <w:footnote w:id="1632">
    <w:p w14:paraId="3E56936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United Nations Security Council, available on: https://www.un.org/securitycouncil/sanctions/2140/materials/summaries/individual/abdulmalik-al-houthi</w:t>
      </w:r>
    </w:p>
  </w:footnote>
  <w:footnote w:id="1633">
    <w:p w14:paraId="1A61CD1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On 22 March 2015 appointing acting minister of defence. Available on: </w:t>
      </w:r>
      <w:hyperlink r:id="rId207" w:history="1">
        <w:r w:rsidRPr="002D78C7">
          <w:rPr>
            <w:rStyle w:val="Hyperlink"/>
            <w:rFonts w:asciiTheme="majorBidi" w:hAnsiTheme="majorBidi" w:cstheme="majorBidi"/>
            <w:szCs w:val="18"/>
          </w:rPr>
          <w:t>https://www.al-tagheer.com/news78325.html</w:t>
        </w:r>
      </w:hyperlink>
      <w:r w:rsidRPr="002D78C7">
        <w:rPr>
          <w:rFonts w:asciiTheme="majorBidi" w:hAnsiTheme="majorBidi" w:cstheme="majorBidi"/>
          <w:szCs w:val="18"/>
        </w:rPr>
        <w:t>. Also, see:  https://www.ansarollah.com/archives/8676</w:t>
      </w:r>
    </w:p>
  </w:footnote>
  <w:footnote w:id="1634">
    <w:p w14:paraId="350653D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 document, S/2017/81</w:t>
      </w:r>
    </w:p>
  </w:footnote>
  <w:footnote w:id="1635">
    <w:p w14:paraId="4ECBEA9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bidi="ar-JO"/>
        </w:rPr>
        <w:t>Yemen government website, available on: http://www.yemen.gov.ye/portal/transport/%D8%A7%D9%84%D9%88%D8%B2%D9%8A%D8%B1/tabid/705/Default.aspx</w:t>
      </w:r>
    </w:p>
  </w:footnote>
  <w:footnote w:id="1636">
    <w:p w14:paraId="7FF3DAF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United Nations Security Council, available on: https://www.un.org/securitycouncil/sanctions/2140/materials/summaries/individual/abdullah-yahya-al-hakim </w:t>
      </w:r>
    </w:p>
  </w:footnote>
  <w:footnote w:id="1637">
    <w:p w14:paraId="4923A7A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r w:rsidRPr="002D78C7">
        <w:rPr>
          <w:rFonts w:asciiTheme="majorBidi" w:hAnsiTheme="majorBidi" w:cstheme="majorBidi"/>
          <w:szCs w:val="18"/>
          <w:lang w:val="en-US"/>
        </w:rPr>
        <w:t>https://www.yemenpress.org/yemen/republican-decree-appointing-abu-ali-al-hakim-head-of-general-intelligence-agency/</w:t>
      </w:r>
    </w:p>
  </w:footnote>
  <w:footnote w:id="1638">
    <w:p w14:paraId="77E33915"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39">
    <w:p w14:paraId="6311DA2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https://almasdaronline.com/article/%D8%A7%D8%B3%D8%AA%D9%82%D8%A7%D9%84%D8%A9-%D8%A7%D9%84%D9%85%D8%B1%D9%88%D9%86%D9%8A-%D9%85%D9%86-%D9%82%D9%8A%D8%A7%D8%AF%D8%A9-%D8%A7%D9%84%D8%A3%D9%85%D9%86-%D8%A7%D9%84%D9%85%D8%B1%D9%83%D8%B2%D9%8A-%D8%AA%D8%B4%D8%B9%D9%84-%D8%A7%D9%84%D8%AE%D9%84%D8%A7%D9%81%D8%A7%D8%AA-%D8%AF%D8%A7%D8%AE%D9%84-%D8%A3%D8%AC%D9%86%D8%AD%D8%A9-%D8%A7%D9%84%D8%AD%D9%88%D8%AB%D9%8A%D9%8A%D9%86</w:t>
      </w:r>
    </w:p>
  </w:footnote>
  <w:footnote w:id="1640">
    <w:p w14:paraId="3EEB105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41">
    <w:p w14:paraId="5ADFA5D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S/2016/73</w:t>
      </w:r>
    </w:p>
  </w:footnote>
  <w:footnote w:id="1642">
    <w:p w14:paraId="50E9EBB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43">
    <w:p w14:paraId="3904B7AD"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Mahdi al-Shamat issued presidential decree 23 (2017). Available on:  http://www.almahweet.net/?p=7380</w:t>
      </w:r>
    </w:p>
  </w:footnote>
  <w:footnote w:id="1644">
    <w:p w14:paraId="05074CC8"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45">
    <w:p w14:paraId="04193B7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08" w:history="1">
        <w:r w:rsidRPr="002D78C7">
          <w:rPr>
            <w:rStyle w:val="Hyperlink"/>
            <w:rFonts w:asciiTheme="majorBidi" w:hAnsiTheme="majorBidi" w:cstheme="majorBidi"/>
            <w:szCs w:val="18"/>
          </w:rPr>
          <w:t>https://www.almasirah.net/details.php?es_id=12112&amp;cat_id=3</w:t>
        </w:r>
      </w:hyperlink>
      <w:r w:rsidRPr="002D78C7">
        <w:rPr>
          <w:rFonts w:asciiTheme="majorBidi" w:hAnsiTheme="majorBidi" w:cstheme="majorBidi"/>
          <w:szCs w:val="18"/>
        </w:rPr>
        <w:t xml:space="preserve"> </w:t>
      </w:r>
    </w:p>
  </w:footnote>
  <w:footnote w:id="1646">
    <w:p w14:paraId="570B47E1"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Ibid.</w:t>
      </w:r>
    </w:p>
  </w:footnote>
  <w:footnote w:id="1647">
    <w:p w14:paraId="66D1620C"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Ibid.</w:t>
      </w:r>
    </w:p>
  </w:footnote>
  <w:footnote w:id="1648">
    <w:p w14:paraId="09AB4200"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es-ES"/>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es-ES"/>
        </w:rPr>
        <w:t xml:space="preserve"> UN document, S/2017/81</w:t>
      </w:r>
    </w:p>
  </w:footnote>
  <w:footnote w:id="1649">
    <w:p w14:paraId="0A0FB319"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 Also, he is the general supervisor of al-Saleh prison. See </w:t>
      </w:r>
      <w:hyperlink r:id="rId209" w:history="1">
        <w:r w:rsidRPr="002D78C7">
          <w:rPr>
            <w:rStyle w:val="Hyperlink"/>
            <w:rFonts w:asciiTheme="majorBidi" w:hAnsiTheme="majorBidi" w:cstheme="majorBidi"/>
            <w:szCs w:val="18"/>
          </w:rPr>
          <w:t>https://www.almasirah.net/details.php?es_id=12112&amp;cat_id=3</w:t>
        </w:r>
      </w:hyperlink>
      <w:r w:rsidRPr="002D78C7">
        <w:rPr>
          <w:rFonts w:asciiTheme="majorBidi" w:hAnsiTheme="majorBidi" w:cstheme="majorBidi"/>
          <w:szCs w:val="18"/>
          <w:rtl/>
        </w:rPr>
        <w:t xml:space="preserve"> </w:t>
      </w:r>
    </w:p>
  </w:footnote>
  <w:footnote w:id="1650">
    <w:p w14:paraId="1756894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1">
    <w:p w14:paraId="6DDDD976"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52">
    <w:p w14:paraId="72EC6E3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Mahdi al-Shamat issued presidential decree 156 (2018), see https://www.al-arabi.com/s/26667</w:t>
      </w:r>
    </w:p>
  </w:footnote>
  <w:footnote w:id="1653">
    <w:p w14:paraId="734C1E0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http://www.26sep.net/news_details.php?lng=arabic&amp;sid=143947</w:t>
      </w:r>
    </w:p>
  </w:footnote>
  <w:footnote w:id="1654">
    <w:p w14:paraId="4A29A0E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http://www.almshhadalyemeni.net/93090/</w:t>
      </w:r>
    </w:p>
  </w:footnote>
  <w:footnote w:id="1655">
    <w:p w14:paraId="3A0DAE9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p w14:paraId="39EF519C"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Fonts w:asciiTheme="majorBidi" w:hAnsiTheme="majorBidi" w:cstheme="majorBidi"/>
          <w:szCs w:val="18"/>
        </w:rPr>
        <w:t>http://www.taiz-news.com/?p=146289</w:t>
      </w:r>
    </w:p>
  </w:footnote>
  <w:footnote w:id="1656">
    <w:p w14:paraId="2D1AB27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https://www.al-arabi.com/s/2062</w:t>
      </w:r>
    </w:p>
  </w:footnote>
  <w:footnote w:id="1657">
    <w:p w14:paraId="743CCB6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8">
    <w:p w14:paraId="5B532DC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59">
    <w:p w14:paraId="210F96D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60">
    <w:p w14:paraId="6E1A796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Ibid.</w:t>
      </w:r>
    </w:p>
  </w:footnote>
  <w:footnote w:id="1661">
    <w:p w14:paraId="08AFCF8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https://www.deeproot.consulting/single-post/2018/08/16/Caught-in-the-Middle-A-Conflict-Mapping-of-Taiz-</w:t>
      </w:r>
    </w:p>
  </w:footnote>
  <w:footnote w:id="1662">
    <w:p w14:paraId="5BB8BADE"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Conflict De-escalation in Taizz city, Deep root, August 2018 </w:t>
      </w:r>
    </w:p>
  </w:footnote>
  <w:footnote w:id="1663">
    <w:p w14:paraId="58E5AE2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r w:rsidRPr="002D78C7">
        <w:rPr>
          <w:rFonts w:asciiTheme="majorBidi" w:hAnsiTheme="majorBidi" w:cstheme="majorBidi"/>
          <w:szCs w:val="18"/>
          <w:lang w:val="en-US"/>
        </w:rPr>
        <w:t xml:space="preserve">. Also see: </w:t>
      </w:r>
      <w:r w:rsidRPr="002D78C7">
        <w:rPr>
          <w:rFonts w:asciiTheme="majorBidi" w:hAnsiTheme="majorBidi" w:cstheme="majorBidi"/>
          <w:szCs w:val="18"/>
        </w:rPr>
        <w:t xml:space="preserve"> https://taizonline.com/news13232.html</w:t>
      </w:r>
    </w:p>
  </w:footnote>
  <w:footnote w:id="1664">
    <w:p w14:paraId="7E576116"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S/2015/125</w:t>
      </w:r>
    </w:p>
  </w:footnote>
  <w:footnote w:id="1665">
    <w:p w14:paraId="79349568"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S/2018/68</w:t>
      </w:r>
    </w:p>
  </w:footnote>
  <w:footnote w:id="1666">
    <w:p w14:paraId="71549FE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https://shabwahalhadath.info/print/14295</w:t>
      </w:r>
    </w:p>
  </w:footnote>
  <w:footnote w:id="1667">
    <w:p w14:paraId="56875B2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w:t>
      </w:r>
      <w:hyperlink r:id="rId210" w:history="1">
        <w:r w:rsidRPr="00A1624A">
          <w:rPr>
            <w:rStyle w:val="Hyperlink"/>
            <w:rFonts w:asciiTheme="majorBidi" w:hAnsiTheme="majorBidi" w:cstheme="majorBidi"/>
            <w:szCs w:val="18"/>
            <w:lang w:val="fr-CH"/>
          </w:rPr>
          <w:t>https://mancheete.com/posts/3946</w:t>
        </w:r>
      </w:hyperlink>
      <w:r w:rsidRPr="00A1624A">
        <w:rPr>
          <w:rFonts w:asciiTheme="majorBidi" w:hAnsiTheme="majorBidi" w:cstheme="majorBidi"/>
          <w:szCs w:val="18"/>
          <w:lang w:val="fr-CH"/>
        </w:rPr>
        <w:t xml:space="preserve">. </w:t>
      </w:r>
      <w:r w:rsidRPr="002D78C7">
        <w:rPr>
          <w:rFonts w:asciiTheme="majorBidi" w:hAnsiTheme="majorBidi" w:cstheme="majorBidi"/>
          <w:szCs w:val="18"/>
        </w:rPr>
        <w:t>Also see: https://www.eremnews.com/news/arab-world/yemen/1620129</w:t>
      </w:r>
    </w:p>
  </w:footnote>
  <w:footnote w:id="1668">
    <w:p w14:paraId="21BFBE5B"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rabiya.net/ar/arab-and-world/yemen/2018/06/14/%D8%A7%D9%84%D8%AD%D8%AF%D9%8A%D8%AF%D8%A9-%D9%85%D9%82%D8%AA%D9%84-%D9%82%D9%8A%D8%A7%D8%AF%D9%8A%D9%8A%D9%86-%D8%AD%D9%88%D8%AB%D9%8A%D9%8A%D9%86-%D9%88%D8%A7%D9%84%D9%85%D9%8A%D9%84%D9%8A%D8%B4%D9%8A%D8%A7%D8%AA-%D8%AA%D9%81%D8%AE%D8%AE-%D8%A7%D9%84%D9%85%D9%8A%D9%86%D8%A7%D8%A1.html .</w:t>
      </w:r>
      <w:r w:rsidRPr="002D78C7">
        <w:rPr>
          <w:rFonts w:asciiTheme="majorBidi" w:hAnsiTheme="majorBidi" w:cstheme="majorBidi"/>
          <w:szCs w:val="18"/>
          <w:rtl/>
        </w:rPr>
        <w:t xml:space="preserve"> </w:t>
      </w:r>
      <w:r w:rsidRPr="002D78C7">
        <w:rPr>
          <w:rFonts w:asciiTheme="majorBidi" w:hAnsiTheme="majorBidi" w:cstheme="majorBidi"/>
          <w:szCs w:val="18"/>
        </w:rPr>
        <w:t xml:space="preserve"> also see </w:t>
      </w:r>
      <w:hyperlink r:id="rId211" w:history="1">
        <w:r w:rsidRPr="002D78C7">
          <w:rPr>
            <w:rStyle w:val="Hyperlink"/>
            <w:rFonts w:asciiTheme="majorBidi" w:hAnsiTheme="majorBidi" w:cstheme="majorBidi"/>
            <w:szCs w:val="18"/>
          </w:rPr>
          <w:t>https://www.mandabpress.com/news49514.html</w:t>
        </w:r>
      </w:hyperlink>
      <w:r w:rsidRPr="002D78C7">
        <w:rPr>
          <w:rFonts w:asciiTheme="majorBidi" w:hAnsiTheme="majorBidi" w:cstheme="majorBidi"/>
          <w:szCs w:val="18"/>
          <w:rtl/>
        </w:rPr>
        <w:t xml:space="preserve"> </w:t>
      </w:r>
    </w:p>
  </w:footnote>
  <w:footnote w:id="1669">
    <w:p w14:paraId="53F679D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12" w:history="1">
        <w:r w:rsidRPr="002D78C7">
          <w:rPr>
            <w:rStyle w:val="Hyperlink"/>
            <w:rFonts w:asciiTheme="majorBidi" w:hAnsiTheme="majorBidi" w:cstheme="majorBidi"/>
            <w:szCs w:val="18"/>
          </w:rPr>
          <w:t>https://www.mandabpress.com/news49514.html</w:t>
        </w:r>
      </w:hyperlink>
      <w:r w:rsidRPr="002D78C7">
        <w:rPr>
          <w:rFonts w:asciiTheme="majorBidi" w:hAnsiTheme="majorBidi" w:cstheme="majorBidi"/>
          <w:szCs w:val="18"/>
          <w:rtl/>
        </w:rPr>
        <w:t xml:space="preserve"> </w:t>
      </w:r>
    </w:p>
  </w:footnote>
  <w:footnote w:id="1670">
    <w:p w14:paraId="31ACB2E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w:t>
      </w:r>
      <w:hyperlink r:id="rId213" w:history="1">
        <w:r w:rsidRPr="002D78C7">
          <w:rPr>
            <w:rStyle w:val="Hyperlink"/>
            <w:rFonts w:asciiTheme="majorBidi" w:hAnsiTheme="majorBidi" w:cstheme="majorBidi"/>
            <w:szCs w:val="18"/>
          </w:rPr>
          <w:t>https://almoheetpress.net/news769.html</w:t>
        </w:r>
      </w:hyperlink>
      <w:r w:rsidRPr="002D78C7">
        <w:rPr>
          <w:rFonts w:asciiTheme="majorBidi" w:hAnsiTheme="majorBidi" w:cstheme="majorBidi"/>
          <w:szCs w:val="18"/>
          <w:rtl/>
        </w:rPr>
        <w:t xml:space="preserve"> </w:t>
      </w:r>
    </w:p>
  </w:footnote>
  <w:footnote w:id="1671">
    <w:p w14:paraId="495714B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tl/>
        </w:rPr>
        <w:t xml:space="preserve"> </w:t>
      </w:r>
      <w:r w:rsidRPr="002D78C7">
        <w:rPr>
          <w:rFonts w:asciiTheme="majorBidi" w:hAnsiTheme="majorBidi" w:cstheme="majorBidi"/>
          <w:szCs w:val="18"/>
        </w:rPr>
        <w:t xml:space="preserve"> </w:t>
      </w:r>
      <w:hyperlink r:id="rId214" w:history="1">
        <w:r w:rsidRPr="002D78C7">
          <w:rPr>
            <w:rStyle w:val="Hyperlink"/>
            <w:rFonts w:asciiTheme="majorBidi" w:hAnsiTheme="majorBidi" w:cstheme="majorBidi"/>
            <w:szCs w:val="18"/>
          </w:rPr>
          <w:t>https://almushahid.net/31743/</w:t>
        </w:r>
      </w:hyperlink>
      <w:r w:rsidRPr="002D78C7">
        <w:rPr>
          <w:rFonts w:asciiTheme="majorBidi" w:hAnsiTheme="majorBidi" w:cstheme="majorBidi"/>
          <w:szCs w:val="18"/>
          <w:rtl/>
        </w:rPr>
        <w:t xml:space="preserve"> </w:t>
      </w:r>
    </w:p>
  </w:footnote>
  <w:footnote w:id="1672">
    <w:p w14:paraId="2CC1918F"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73">
    <w:p w14:paraId="18F9EAD3"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val="en-US" w:bidi="ar-JO"/>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http://www.ypagency.net/174670</w:t>
      </w:r>
    </w:p>
  </w:footnote>
  <w:footnote w:id="1674">
    <w:p w14:paraId="46B26C41"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75">
    <w:p w14:paraId="45EFDE0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Confidential Sources on File</w:t>
      </w:r>
    </w:p>
  </w:footnote>
  <w:footnote w:id="1676">
    <w:p w14:paraId="1E252894"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eastAsia="Calibri" w:hAnsiTheme="majorBidi" w:cstheme="majorBidi"/>
          <w:sz w:val="18"/>
          <w:szCs w:val="18"/>
        </w:rPr>
        <w:t xml:space="preserve"> UN Document, S/2016/73, Para 22-23</w:t>
      </w:r>
      <w:r w:rsidRPr="002D78C7">
        <w:rPr>
          <w:rFonts w:asciiTheme="majorBidi" w:hAnsiTheme="majorBidi" w:cstheme="majorBidi"/>
          <w:sz w:val="18"/>
          <w:szCs w:val="18"/>
        </w:rPr>
        <w:t xml:space="preserve"> </w:t>
      </w:r>
    </w:p>
  </w:footnote>
  <w:footnote w:id="1677">
    <w:p w14:paraId="1292898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rabic.rt.com/middle_east/940035-%D9%85%D9%82%D8%AA%D9%84-%D8%B1%D8%A6%D9%8A%D8%B3-%D8%A7%D9%84%D9%85%D8%AC%D9%84%D8%B3-%D8%A7%D9%84%D8%B3%D9%8A%D8%A7%D8%B3%D9%8A-%D8%A7%D9%84%D8%A3%D8%B9%D9%84%D9%89-%D8%A7%D9%84%D8%AA%D8%A7%D8%A8%D8%B9-%D9%84%D9%84%D8%AD%D9%88%D8%AB%D9%8A%D9%8A%D9%86-%D8%B5%D9%86%D8%B9%D8%A7%D8%A1-%D8%B5%D8%A7%D9%84%D8%AD-%D8%A7%D9%84%D8%B5%D9%85%D8%A7%D8%AF/#</w:t>
      </w:r>
    </w:p>
  </w:footnote>
  <w:footnote w:id="1678">
    <w:p w14:paraId="1AB32975"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http://sabanews.net/en/news437023.htm</w:t>
      </w:r>
    </w:p>
  </w:footnote>
  <w:footnote w:id="1679">
    <w:p w14:paraId="664A3B6D" w14:textId="77777777" w:rsidR="00A1624A" w:rsidRPr="002D78C7" w:rsidRDefault="00A1624A" w:rsidP="00B81240">
      <w:pPr>
        <w:bidi/>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w:t>
      </w:r>
      <w:hyperlink r:id="rId215" w:history="1">
        <w:r w:rsidRPr="002D78C7">
          <w:rPr>
            <w:rFonts w:asciiTheme="majorBidi" w:hAnsiTheme="majorBidi" w:cstheme="majorBidi"/>
            <w:sz w:val="18"/>
            <w:szCs w:val="18"/>
          </w:rPr>
          <w:t>t.me/YemenPresidency</w:t>
        </w:r>
      </w:hyperlink>
      <w:r w:rsidRPr="002D78C7">
        <w:rPr>
          <w:rFonts w:asciiTheme="majorBidi" w:hAnsiTheme="majorBidi" w:cstheme="majorBidi"/>
          <w:sz w:val="18"/>
          <w:szCs w:val="18"/>
        </w:rPr>
        <w:t>, also available on https://debriefer.net/news-7381.html</w:t>
      </w:r>
    </w:p>
  </w:footnote>
  <w:footnote w:id="1680">
    <w:p w14:paraId="48D6C134"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https://www.ansarollah.com/archives/211608</w:t>
      </w:r>
    </w:p>
  </w:footnote>
  <w:footnote w:id="1681">
    <w:p w14:paraId="71BEC459"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UN Document, S/2017/81</w:t>
      </w:r>
    </w:p>
  </w:footnote>
  <w:footnote w:id="1682">
    <w:p w14:paraId="3E7F9014" w14:textId="77777777" w:rsidR="00A1624A" w:rsidRPr="00A1624A" w:rsidRDefault="00A1624A" w:rsidP="00B81240">
      <w:pPr>
        <w:pStyle w:val="FootnoteText"/>
        <w:tabs>
          <w:tab w:val="clear" w:pos="1021"/>
        </w:tabs>
        <w:bidi/>
        <w:ind w:left="851" w:firstLine="0"/>
        <w:jc w:val="both"/>
        <w:rPr>
          <w:rFonts w:asciiTheme="majorBidi" w:hAnsiTheme="majorBidi" w:cstheme="majorBidi"/>
          <w:szCs w:val="18"/>
          <w:lang w:val="fr-CH"/>
        </w:rPr>
      </w:pPr>
      <w:r w:rsidRPr="002D78C7">
        <w:rPr>
          <w:rStyle w:val="FootnoteReference"/>
          <w:rFonts w:asciiTheme="majorBidi" w:hAnsiTheme="majorBidi" w:cstheme="majorBidi"/>
          <w:szCs w:val="18"/>
        </w:rPr>
        <w:footnoteRef/>
      </w:r>
      <w:r w:rsidRPr="00A1624A">
        <w:rPr>
          <w:rFonts w:asciiTheme="majorBidi" w:hAnsiTheme="majorBidi" w:cstheme="majorBidi"/>
          <w:szCs w:val="18"/>
          <w:lang w:val="fr-CH"/>
        </w:rPr>
        <w:t xml:space="preserve"> see </w:t>
      </w:r>
      <w:hyperlink r:id="rId216" w:history="1">
        <w:r w:rsidRPr="00A1624A">
          <w:rPr>
            <w:rStyle w:val="Hyperlink"/>
            <w:rFonts w:asciiTheme="majorBidi" w:hAnsiTheme="majorBidi" w:cstheme="majorBidi"/>
            <w:szCs w:val="18"/>
            <w:lang w:val="fr-CH"/>
          </w:rPr>
          <w:t>www.globalsecurity.org/intell/world/yemen/index.html</w:t>
        </w:r>
      </w:hyperlink>
    </w:p>
  </w:footnote>
  <w:footnote w:id="1683">
    <w:p w14:paraId="3EC731F2"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217" w:history="1">
        <w:r w:rsidRPr="002D78C7">
          <w:rPr>
            <w:rStyle w:val="Hyperlink"/>
            <w:rFonts w:asciiTheme="majorBidi" w:hAnsiTheme="majorBidi" w:cstheme="majorBidi"/>
            <w:szCs w:val="18"/>
          </w:rPr>
          <w:t>www.almashhad-alyemeni.com/news46910.html</w:t>
        </w:r>
      </w:hyperlink>
      <w:r w:rsidRPr="002D78C7">
        <w:rPr>
          <w:rFonts w:asciiTheme="majorBidi" w:hAnsiTheme="majorBidi" w:cstheme="majorBidi"/>
          <w:szCs w:val="18"/>
        </w:rPr>
        <w:t>.</w:t>
      </w:r>
    </w:p>
  </w:footnote>
  <w:footnote w:id="1684">
    <w:p w14:paraId="7AD3F33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See </w:t>
      </w:r>
      <w:hyperlink r:id="rId218" w:history="1">
        <w:r w:rsidRPr="002D78C7">
          <w:rPr>
            <w:rStyle w:val="Hyperlink"/>
            <w:rFonts w:asciiTheme="majorBidi" w:hAnsiTheme="majorBidi" w:cstheme="majorBidi"/>
            <w:szCs w:val="18"/>
          </w:rPr>
          <w:t>www.gulfeyes.net/middle-east/582499.html</w:t>
        </w:r>
      </w:hyperlink>
    </w:p>
  </w:footnote>
  <w:footnote w:id="1685">
    <w:p w14:paraId="3026912C" w14:textId="77777777" w:rsidR="00A1624A" w:rsidRPr="002D78C7" w:rsidRDefault="00A1624A" w:rsidP="00B81240">
      <w:pPr>
        <w:pStyle w:val="ListParagraph"/>
        <w:bidi/>
        <w:spacing w:after="0"/>
        <w:ind w:left="851" w:right="1134"/>
        <w:jc w:val="both"/>
        <w:rPr>
          <w:rFonts w:asciiTheme="majorBidi" w:hAnsiTheme="majorBidi" w:cstheme="majorBidi"/>
          <w:sz w:val="18"/>
          <w:szCs w:val="18"/>
        </w:rPr>
      </w:pPr>
      <w:r w:rsidRPr="002D78C7">
        <w:rPr>
          <w:rStyle w:val="FootnoteReference"/>
          <w:rFonts w:asciiTheme="majorBidi" w:hAnsiTheme="majorBidi" w:cstheme="majorBidi"/>
          <w:szCs w:val="18"/>
        </w:rPr>
        <w:footnoteRef/>
      </w:r>
      <w:r w:rsidRPr="002D78C7">
        <w:rPr>
          <w:rFonts w:asciiTheme="majorBidi" w:hAnsiTheme="majorBidi" w:cstheme="majorBidi"/>
          <w:sz w:val="18"/>
          <w:szCs w:val="18"/>
        </w:rPr>
        <w:t xml:space="preserve"> See </w:t>
      </w:r>
      <w:hyperlink r:id="rId219" w:history="1">
        <w:r w:rsidRPr="002D78C7">
          <w:rPr>
            <w:rStyle w:val="Hyperlink"/>
            <w:rFonts w:asciiTheme="majorBidi" w:hAnsiTheme="majorBidi" w:cstheme="majorBidi"/>
            <w:sz w:val="18"/>
            <w:szCs w:val="18"/>
          </w:rPr>
          <w:t>www.globalsecurity.org/intell/world/yemen/index.html</w:t>
        </w:r>
      </w:hyperlink>
      <w:r w:rsidRPr="002D78C7">
        <w:rPr>
          <w:rFonts w:asciiTheme="majorBidi" w:hAnsiTheme="majorBidi" w:cstheme="majorBidi"/>
          <w:sz w:val="18"/>
          <w:szCs w:val="18"/>
        </w:rPr>
        <w:t>.</w:t>
      </w:r>
    </w:p>
  </w:footnote>
  <w:footnote w:id="1686">
    <w:p w14:paraId="529C1921" w14:textId="77777777" w:rsidR="00A1624A" w:rsidRPr="0020242D" w:rsidRDefault="00A1624A" w:rsidP="00B81240">
      <w:pPr>
        <w:pStyle w:val="FootnoteText"/>
        <w:tabs>
          <w:tab w:val="clear" w:pos="1021"/>
        </w:tabs>
        <w:bidi/>
        <w:ind w:left="851" w:firstLine="0"/>
        <w:jc w:val="both"/>
        <w:rPr>
          <w:rFonts w:asciiTheme="majorBidi" w:hAnsiTheme="majorBidi" w:cstheme="majorBidi"/>
          <w:szCs w:val="18"/>
          <w:lang w:val="de-AT"/>
        </w:rPr>
      </w:pPr>
      <w:r w:rsidRPr="002D78C7">
        <w:rPr>
          <w:rStyle w:val="FootnoteReference"/>
          <w:rFonts w:asciiTheme="majorBidi" w:hAnsiTheme="majorBidi" w:cstheme="majorBidi"/>
          <w:szCs w:val="18"/>
        </w:rPr>
        <w:footnoteRef/>
      </w:r>
      <w:r w:rsidRPr="0020242D">
        <w:rPr>
          <w:rFonts w:asciiTheme="majorBidi" w:hAnsiTheme="majorBidi" w:cstheme="majorBidi"/>
          <w:szCs w:val="18"/>
          <w:lang w:val="de-AT"/>
        </w:rPr>
        <w:t xml:space="preserve"> https://www.26sep.net/news_details.php?sid=150509</w:t>
      </w:r>
    </w:p>
  </w:footnote>
  <w:footnote w:id="1687">
    <w:p w14:paraId="497CE027"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tl/>
          <w:lang w:bidi="ar-JO"/>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Saba-Net Yemen New agency. See </w:t>
      </w:r>
      <w:hyperlink r:id="rId220" w:history="1">
        <w:r w:rsidRPr="002D78C7">
          <w:rPr>
            <w:rStyle w:val="Hyperlink"/>
            <w:rFonts w:asciiTheme="majorBidi" w:hAnsiTheme="majorBidi" w:cstheme="majorBidi"/>
            <w:szCs w:val="18"/>
          </w:rPr>
          <w:t>http://www.yemenipress.net/archives/93659</w:t>
        </w:r>
      </w:hyperlink>
      <w:r w:rsidRPr="002D78C7">
        <w:rPr>
          <w:rFonts w:asciiTheme="majorBidi" w:hAnsiTheme="majorBidi" w:cstheme="majorBidi"/>
          <w:szCs w:val="18"/>
        </w:rPr>
        <w:t xml:space="preserve"> also for his CV see http://thelinkyemen.info/news/20993</w:t>
      </w:r>
    </w:p>
  </w:footnote>
  <w:footnote w:id="1688">
    <w:p w14:paraId="56B017D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https://www.raialyoum.com/index.php</w:t>
      </w:r>
    </w:p>
  </w:footnote>
  <w:footnote w:id="1689">
    <w:p w14:paraId="3C8FDE50"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https://www.alalamtv.net/news/1890621</w:t>
      </w:r>
    </w:p>
  </w:footnote>
  <w:footnote w:id="1690">
    <w:p w14:paraId="76506DEA" w14:textId="77777777" w:rsidR="00A1624A" w:rsidRPr="002D78C7" w:rsidRDefault="00A1624A" w:rsidP="00B81240">
      <w:pPr>
        <w:pStyle w:val="FootnoteText"/>
        <w:tabs>
          <w:tab w:val="clear" w:pos="1021"/>
        </w:tabs>
        <w:bidi/>
        <w:ind w:left="851" w:firstLine="0"/>
        <w:jc w:val="both"/>
        <w:rPr>
          <w:rFonts w:asciiTheme="majorBidi" w:hAnsiTheme="majorBidi" w:cstheme="majorBidi"/>
          <w:szCs w:val="18"/>
          <w:lang w:val="en-US"/>
        </w:rPr>
      </w:pPr>
      <w:r w:rsidRPr="002D78C7">
        <w:rPr>
          <w:rStyle w:val="FootnoteReference"/>
          <w:rFonts w:asciiTheme="majorBidi" w:hAnsiTheme="majorBidi" w:cstheme="majorBidi"/>
          <w:szCs w:val="18"/>
        </w:rPr>
        <w:footnoteRef/>
      </w:r>
      <w:r w:rsidRPr="002D78C7">
        <w:rPr>
          <w:rFonts w:asciiTheme="majorBidi" w:hAnsiTheme="majorBidi" w:cstheme="majorBidi"/>
          <w:szCs w:val="18"/>
        </w:rPr>
        <w:t xml:space="preserve"> http://www.masa-press.net/2018/01/01/%D8%A5%D9%82%D8%A7%D9%84%D8%A9-%D9%88%D8%B2%D9%8A%D8%B1%D9%8A%D9%86-%D9%85%D9%86-%D8%A3%D9%86%D8%B5%D8%A7%D8%B1-%D8%A7%D9%84%D9%84%D9%87-26-%D9%82%D8%B1%D8%A7%D8%B1-%D8%AC%D9%85%D9%87%D9%88%D8%B1/</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98A" w14:textId="3978727A" w:rsidR="00A1624A" w:rsidRDefault="00A1624A" w:rsidP="00A1624A">
    <w:pPr>
      <w:pStyle w:val="Header"/>
      <w:pBdr>
        <w:bottom w:val="none" w:sz="0" w:space="0" w:color="auto"/>
      </w:pBdr>
      <w:jc w:val="right"/>
    </w:pPr>
    <w:r>
      <w:t>A/HRC/42/CRP.1</w:t>
    </w:r>
  </w:p>
  <w:p w14:paraId="04739EA0" w14:textId="49327B42" w:rsidR="00A1624A" w:rsidRPr="00993F0E" w:rsidRDefault="00A1624A" w:rsidP="00993F0E">
    <w:pPr>
      <w:pStyle w:val="Header"/>
      <w:pBdr>
        <w:bottom w:val="single" w:sz="4" w:space="1" w:color="auto"/>
      </w:pBdr>
      <w:rPr>
        <w:sz w:val="8"/>
        <w:szCs w:val="10"/>
      </w:rPr>
    </w:pPr>
  </w:p>
  <w:p w14:paraId="30AF61A7" w14:textId="77777777" w:rsidR="00A1624A" w:rsidRDefault="00A1624A" w:rsidP="00993F0E">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98E56D" w14:textId="70CAFB22" w:rsidR="00A1624A" w:rsidRDefault="00A1624A" w:rsidP="005C44D2">
    <w:pPr>
      <w:pStyle w:val="Header"/>
    </w:pPr>
    <w:r>
      <w:t>A/HRC/42/CRP.1</w:t>
    </w:r>
  </w:p>
  <w:p w14:paraId="1518B919" w14:textId="77777777" w:rsidR="00A1624A" w:rsidRPr="00993F0E" w:rsidRDefault="00A1624A" w:rsidP="00214526">
    <w:pPr>
      <w:pStyle w:val="Header"/>
      <w:jc w:val="right"/>
      <w:rPr>
        <w:sz w:val="8"/>
        <w:szCs w:val="10"/>
      </w:rPr>
    </w:pPr>
  </w:p>
  <w:p w14:paraId="35956DD4" w14:textId="1E9A0D3B" w:rsidR="00A1624A" w:rsidRDefault="00A1624A" w:rsidP="00993F0E">
    <w:pPr>
      <w:pStyle w:val="Header"/>
      <w:pBdr>
        <w:bottom w:val="none" w:sz="0" w:space="0" w:color="auto"/>
      </w:pBdr>
      <w:jc w:val="right"/>
    </w:pPr>
  </w:p>
  <w:p w14:paraId="16FA503D" w14:textId="77777777" w:rsidR="00A1624A" w:rsidRDefault="00A1624A" w:rsidP="00993F0E">
    <w:pPr>
      <w:pStyle w:val="Header"/>
      <w:pBdr>
        <w:bottom w:val="none" w:sz="0" w:space="0" w:color="auto"/>
      </w:pBd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82E7C" w14:textId="77777777" w:rsidR="00A1624A" w:rsidRPr="00993F0E" w:rsidRDefault="00A1624A" w:rsidP="00993F0E">
    <w:pPr>
      <w:pStyle w:val="Header"/>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7957"/>
    <w:multiLevelType w:val="hybridMultilevel"/>
    <w:tmpl w:val="19842C0C"/>
    <w:lvl w:ilvl="0" w:tplc="E1AAEC26">
      <w:start w:val="1"/>
      <w:numFmt w:val="decimal"/>
      <w:lvlText w:val="%1."/>
      <w:lvlJc w:val="left"/>
      <w:pPr>
        <w:ind w:left="1440" w:hanging="360"/>
      </w:pPr>
      <w:rPr>
        <w:rFonts w:ascii="Times New Roman" w:hAnsi="Times New Roman" w:cs="Times New Roman" w:hint="default"/>
        <w:b w:val="0"/>
        <w:sz w:val="20"/>
      </w:rPr>
    </w:lvl>
    <w:lvl w:ilvl="1" w:tplc="08090019" w:tentative="1">
      <w:start w:val="1"/>
      <w:numFmt w:val="lowerLetter"/>
      <w:lvlText w:val="%2."/>
      <w:lvlJc w:val="left"/>
      <w:pPr>
        <w:ind w:left="2079" w:hanging="360"/>
      </w:pPr>
    </w:lvl>
    <w:lvl w:ilvl="2" w:tplc="0809001B" w:tentative="1">
      <w:start w:val="1"/>
      <w:numFmt w:val="lowerRoman"/>
      <w:lvlText w:val="%3."/>
      <w:lvlJc w:val="right"/>
      <w:pPr>
        <w:ind w:left="2799" w:hanging="180"/>
      </w:pPr>
    </w:lvl>
    <w:lvl w:ilvl="3" w:tplc="0809000F" w:tentative="1">
      <w:start w:val="1"/>
      <w:numFmt w:val="decimal"/>
      <w:lvlText w:val="%4."/>
      <w:lvlJc w:val="left"/>
      <w:pPr>
        <w:ind w:left="3519" w:hanging="360"/>
      </w:pPr>
    </w:lvl>
    <w:lvl w:ilvl="4" w:tplc="08090019" w:tentative="1">
      <w:start w:val="1"/>
      <w:numFmt w:val="lowerLetter"/>
      <w:lvlText w:val="%5."/>
      <w:lvlJc w:val="left"/>
      <w:pPr>
        <w:ind w:left="4239" w:hanging="360"/>
      </w:pPr>
    </w:lvl>
    <w:lvl w:ilvl="5" w:tplc="0809001B" w:tentative="1">
      <w:start w:val="1"/>
      <w:numFmt w:val="lowerRoman"/>
      <w:lvlText w:val="%6."/>
      <w:lvlJc w:val="right"/>
      <w:pPr>
        <w:ind w:left="4959" w:hanging="180"/>
      </w:pPr>
    </w:lvl>
    <w:lvl w:ilvl="6" w:tplc="0809000F" w:tentative="1">
      <w:start w:val="1"/>
      <w:numFmt w:val="decimal"/>
      <w:lvlText w:val="%7."/>
      <w:lvlJc w:val="left"/>
      <w:pPr>
        <w:ind w:left="5679" w:hanging="360"/>
      </w:pPr>
    </w:lvl>
    <w:lvl w:ilvl="7" w:tplc="08090019" w:tentative="1">
      <w:start w:val="1"/>
      <w:numFmt w:val="lowerLetter"/>
      <w:lvlText w:val="%8."/>
      <w:lvlJc w:val="left"/>
      <w:pPr>
        <w:ind w:left="6399" w:hanging="360"/>
      </w:pPr>
    </w:lvl>
    <w:lvl w:ilvl="8" w:tplc="0809001B" w:tentative="1">
      <w:start w:val="1"/>
      <w:numFmt w:val="lowerRoman"/>
      <w:lvlText w:val="%9."/>
      <w:lvlJc w:val="right"/>
      <w:pPr>
        <w:ind w:left="7119" w:hanging="180"/>
      </w:pPr>
    </w:lvl>
  </w:abstractNum>
  <w:abstractNum w:abstractNumId="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7D5092"/>
    <w:multiLevelType w:val="hybridMultilevel"/>
    <w:tmpl w:val="8D6E3CF2"/>
    <w:lvl w:ilvl="0" w:tplc="669AAC44">
      <w:start w:val="1"/>
      <w:numFmt w:val="decimal"/>
      <w:lvlText w:val="%1."/>
      <w:lvlJc w:val="left"/>
      <w:pPr>
        <w:ind w:left="1494" w:hanging="360"/>
      </w:pPr>
      <w:rPr>
        <w:rFonts w:ascii="Traditional Arabic" w:eastAsia="Calibri" w:hAnsi="Traditional Arabic" w:cs="Traditional Arabic" w:hint="default"/>
        <w:b/>
        <w:bCs/>
        <w:strike w:val="0"/>
        <w:dstrike w:val="0"/>
        <w:sz w:val="30"/>
        <w:szCs w:val="30"/>
        <w:u w:val="none"/>
        <w:effect w:val="none"/>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start w:val="1"/>
      <w:numFmt w:val="decimal"/>
      <w:lvlText w:val="%4."/>
      <w:lvlJc w:val="left"/>
      <w:pPr>
        <w:ind w:left="3654" w:hanging="360"/>
      </w:pPr>
    </w:lvl>
    <w:lvl w:ilvl="4" w:tplc="08090019">
      <w:start w:val="1"/>
      <w:numFmt w:val="lowerLetter"/>
      <w:lvlText w:val="%5."/>
      <w:lvlJc w:val="left"/>
      <w:pPr>
        <w:ind w:left="4374" w:hanging="360"/>
      </w:pPr>
    </w:lvl>
    <w:lvl w:ilvl="5" w:tplc="0809001B">
      <w:start w:val="1"/>
      <w:numFmt w:val="lowerRoman"/>
      <w:lvlText w:val="%6."/>
      <w:lvlJc w:val="right"/>
      <w:pPr>
        <w:ind w:left="5094" w:hanging="180"/>
      </w:pPr>
    </w:lvl>
    <w:lvl w:ilvl="6" w:tplc="0809000F">
      <w:start w:val="1"/>
      <w:numFmt w:val="decimal"/>
      <w:lvlText w:val="%7."/>
      <w:lvlJc w:val="left"/>
      <w:pPr>
        <w:ind w:left="5814" w:hanging="360"/>
      </w:pPr>
    </w:lvl>
    <w:lvl w:ilvl="7" w:tplc="08090019">
      <w:start w:val="1"/>
      <w:numFmt w:val="lowerLetter"/>
      <w:lvlText w:val="%8."/>
      <w:lvlJc w:val="left"/>
      <w:pPr>
        <w:ind w:left="6534" w:hanging="360"/>
      </w:pPr>
    </w:lvl>
    <w:lvl w:ilvl="8" w:tplc="0809001B">
      <w:start w:val="1"/>
      <w:numFmt w:val="lowerRoman"/>
      <w:lvlText w:val="%9."/>
      <w:lvlJc w:val="right"/>
      <w:pPr>
        <w:ind w:left="7254" w:hanging="180"/>
      </w:pPr>
    </w:lvl>
  </w:abstractNum>
  <w:abstractNum w:abstractNumId="3" w15:restartNumberingAfterBreak="0">
    <w:nsid w:val="109D7F3A"/>
    <w:multiLevelType w:val="hybridMultilevel"/>
    <w:tmpl w:val="2166CE96"/>
    <w:lvl w:ilvl="0" w:tplc="2CF62126">
      <w:start w:val="3"/>
      <w:numFmt w:val="decimal"/>
      <w:lvlText w:val="%1."/>
      <w:lvlJc w:val="left"/>
      <w:pPr>
        <w:ind w:left="720" w:hanging="360"/>
      </w:pPr>
      <w:rPr>
        <w:rFonts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52566B0"/>
    <w:multiLevelType w:val="hybridMultilevel"/>
    <w:tmpl w:val="D0FAB7EC"/>
    <w:lvl w:ilvl="0" w:tplc="D1ECCA78">
      <w:numFmt w:val="bullet"/>
      <w:lvlText w:val="-"/>
      <w:lvlJc w:val="left"/>
      <w:pPr>
        <w:ind w:left="720" w:hanging="360"/>
      </w:pPr>
      <w:rPr>
        <w:rFonts w:ascii="Times New Roman" w:eastAsia="Times New Roman" w:hAnsi="Times New Roman" w:cs="Times New Roman" w:hint="default"/>
        <w:color w:val="2222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965787F"/>
    <w:multiLevelType w:val="hybridMultilevel"/>
    <w:tmpl w:val="18608DC2"/>
    <w:lvl w:ilvl="0" w:tplc="08090019">
      <w:start w:val="3"/>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870D15"/>
    <w:multiLevelType w:val="hybridMultilevel"/>
    <w:tmpl w:val="C4EE8CAC"/>
    <w:lvl w:ilvl="0" w:tplc="029EE356">
      <w:start w:val="1"/>
      <w:numFmt w:val="arabicAlpha"/>
      <w:lvlText w:val="%1)"/>
      <w:lvlJc w:val="left"/>
      <w:pPr>
        <w:ind w:left="1080" w:hanging="720"/>
      </w:pPr>
      <w:rPr>
        <w:rFonts w:cs="Times New Roman" w:hint="default"/>
        <w:sz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213CF1"/>
    <w:multiLevelType w:val="hybridMultilevel"/>
    <w:tmpl w:val="085AE094"/>
    <w:lvl w:ilvl="0" w:tplc="3126CD04">
      <w:start w:val="4"/>
      <w:numFmt w:val="lowerLetter"/>
      <w:lvlText w:val="%1."/>
      <w:lvlJc w:val="left"/>
      <w:pPr>
        <w:ind w:left="1080" w:hanging="360"/>
      </w:pPr>
      <w:rPr>
        <w:rFonts w:hint="default"/>
        <w:b/>
        <w:sz w:val="20"/>
        <w:szCs w:val="16"/>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24150193"/>
    <w:multiLevelType w:val="hybridMultilevel"/>
    <w:tmpl w:val="26F6FF26"/>
    <w:lvl w:ilvl="0" w:tplc="4A40FB58">
      <w:start w:val="1"/>
      <w:numFmt w:val="arabicAlpha"/>
      <w:lvlText w:val="%1."/>
      <w:lvlJc w:val="left"/>
      <w:pPr>
        <w:ind w:left="2049" w:hanging="360"/>
      </w:pPr>
      <w:rPr>
        <w:rFonts w:hint="default"/>
      </w:rPr>
    </w:lvl>
    <w:lvl w:ilvl="1" w:tplc="08090019" w:tentative="1">
      <w:start w:val="1"/>
      <w:numFmt w:val="lowerLetter"/>
      <w:lvlText w:val="%2."/>
      <w:lvlJc w:val="left"/>
      <w:pPr>
        <w:ind w:left="2769" w:hanging="360"/>
      </w:pPr>
    </w:lvl>
    <w:lvl w:ilvl="2" w:tplc="0809001B" w:tentative="1">
      <w:start w:val="1"/>
      <w:numFmt w:val="lowerRoman"/>
      <w:lvlText w:val="%3."/>
      <w:lvlJc w:val="right"/>
      <w:pPr>
        <w:ind w:left="3489" w:hanging="180"/>
      </w:pPr>
    </w:lvl>
    <w:lvl w:ilvl="3" w:tplc="0809000F" w:tentative="1">
      <w:start w:val="1"/>
      <w:numFmt w:val="decimal"/>
      <w:lvlText w:val="%4."/>
      <w:lvlJc w:val="left"/>
      <w:pPr>
        <w:ind w:left="4209" w:hanging="360"/>
      </w:pPr>
    </w:lvl>
    <w:lvl w:ilvl="4" w:tplc="08090019" w:tentative="1">
      <w:start w:val="1"/>
      <w:numFmt w:val="lowerLetter"/>
      <w:lvlText w:val="%5."/>
      <w:lvlJc w:val="left"/>
      <w:pPr>
        <w:ind w:left="4929" w:hanging="360"/>
      </w:pPr>
    </w:lvl>
    <w:lvl w:ilvl="5" w:tplc="0809001B" w:tentative="1">
      <w:start w:val="1"/>
      <w:numFmt w:val="lowerRoman"/>
      <w:lvlText w:val="%6."/>
      <w:lvlJc w:val="right"/>
      <w:pPr>
        <w:ind w:left="5649" w:hanging="180"/>
      </w:pPr>
    </w:lvl>
    <w:lvl w:ilvl="6" w:tplc="0809000F" w:tentative="1">
      <w:start w:val="1"/>
      <w:numFmt w:val="decimal"/>
      <w:lvlText w:val="%7."/>
      <w:lvlJc w:val="left"/>
      <w:pPr>
        <w:ind w:left="6369" w:hanging="360"/>
      </w:pPr>
    </w:lvl>
    <w:lvl w:ilvl="7" w:tplc="08090019" w:tentative="1">
      <w:start w:val="1"/>
      <w:numFmt w:val="lowerLetter"/>
      <w:lvlText w:val="%8."/>
      <w:lvlJc w:val="left"/>
      <w:pPr>
        <w:ind w:left="7089" w:hanging="360"/>
      </w:pPr>
    </w:lvl>
    <w:lvl w:ilvl="8" w:tplc="0809001B" w:tentative="1">
      <w:start w:val="1"/>
      <w:numFmt w:val="lowerRoman"/>
      <w:lvlText w:val="%9."/>
      <w:lvlJc w:val="right"/>
      <w:pPr>
        <w:ind w:left="7809" w:hanging="180"/>
      </w:pPr>
    </w:lvl>
  </w:abstractNum>
  <w:abstractNum w:abstractNumId="9" w15:restartNumberingAfterBreak="0">
    <w:nsid w:val="26A36A64"/>
    <w:multiLevelType w:val="hybridMultilevel"/>
    <w:tmpl w:val="DC1A8200"/>
    <w:lvl w:ilvl="0" w:tplc="B7BAE70C">
      <w:start w:val="1"/>
      <w:numFmt w:val="decimal"/>
      <w:lvlText w:val="%1."/>
      <w:lvlJc w:val="left"/>
      <w:pPr>
        <w:ind w:left="1440" w:hanging="360"/>
      </w:pPr>
      <w:rPr>
        <w:rFonts w:ascii="Traditional Arabic" w:hAnsi="Traditional Arabic" w:cs="Traditional Arabic" w:hint="default"/>
        <w:b w:val="0"/>
        <w:bCs w:val="0"/>
        <w:i w:val="0"/>
        <w:iCs w:val="0"/>
        <w:color w:val="auto"/>
        <w:sz w:val="30"/>
        <w:szCs w:val="30"/>
        <w:vertAlign w:val="baseline"/>
        <w:lang w:val="en-GB"/>
      </w:rPr>
    </w:lvl>
    <w:lvl w:ilvl="1" w:tplc="08090019">
      <w:start w:val="1"/>
      <w:numFmt w:val="lowerLetter"/>
      <w:lvlText w:val="%2."/>
      <w:lvlJc w:val="left"/>
      <w:pPr>
        <w:ind w:left="1530" w:hanging="360"/>
      </w:pPr>
    </w:lvl>
    <w:lvl w:ilvl="2" w:tplc="B2840642">
      <w:start w:val="1"/>
      <w:numFmt w:val="decimal"/>
      <w:lvlText w:val="%3-"/>
      <w:lvlJc w:val="left"/>
      <w:pPr>
        <w:ind w:left="2445" w:hanging="375"/>
      </w:pPr>
      <w:rPr>
        <w:rFonts w:hint="default"/>
      </w:rPr>
    </w:lvl>
    <w:lvl w:ilvl="3" w:tplc="0809000F" w:tentative="1">
      <w:start w:val="1"/>
      <w:numFmt w:val="decimal"/>
      <w:lvlText w:val="%4."/>
      <w:lvlJc w:val="left"/>
      <w:pPr>
        <w:ind w:left="2970" w:hanging="360"/>
      </w:pPr>
    </w:lvl>
    <w:lvl w:ilvl="4" w:tplc="08090019" w:tentative="1">
      <w:start w:val="1"/>
      <w:numFmt w:val="lowerLetter"/>
      <w:lvlText w:val="%5."/>
      <w:lvlJc w:val="left"/>
      <w:pPr>
        <w:ind w:left="3690" w:hanging="360"/>
      </w:pPr>
    </w:lvl>
    <w:lvl w:ilvl="5" w:tplc="0809001B" w:tentative="1">
      <w:start w:val="1"/>
      <w:numFmt w:val="lowerRoman"/>
      <w:lvlText w:val="%6."/>
      <w:lvlJc w:val="right"/>
      <w:pPr>
        <w:ind w:left="4410" w:hanging="180"/>
      </w:pPr>
    </w:lvl>
    <w:lvl w:ilvl="6" w:tplc="0809000F" w:tentative="1">
      <w:start w:val="1"/>
      <w:numFmt w:val="decimal"/>
      <w:lvlText w:val="%7."/>
      <w:lvlJc w:val="left"/>
      <w:pPr>
        <w:ind w:left="5130" w:hanging="360"/>
      </w:pPr>
    </w:lvl>
    <w:lvl w:ilvl="7" w:tplc="08090019" w:tentative="1">
      <w:start w:val="1"/>
      <w:numFmt w:val="lowerLetter"/>
      <w:lvlText w:val="%8."/>
      <w:lvlJc w:val="left"/>
      <w:pPr>
        <w:ind w:left="5850" w:hanging="360"/>
      </w:pPr>
    </w:lvl>
    <w:lvl w:ilvl="8" w:tplc="0809001B" w:tentative="1">
      <w:start w:val="1"/>
      <w:numFmt w:val="lowerRoman"/>
      <w:lvlText w:val="%9."/>
      <w:lvlJc w:val="right"/>
      <w:pPr>
        <w:ind w:left="6570" w:hanging="180"/>
      </w:pPr>
    </w:lvl>
  </w:abstractNum>
  <w:abstractNum w:abstractNumId="10" w15:restartNumberingAfterBreak="0">
    <w:nsid w:val="27826148"/>
    <w:multiLevelType w:val="hybridMultilevel"/>
    <w:tmpl w:val="2C1CB212"/>
    <w:lvl w:ilvl="0" w:tplc="D5B88B2E">
      <w:start w:val="1"/>
      <w:numFmt w:val="arabicAlpha"/>
      <w:lvlText w:val="%1)"/>
      <w:lvlJc w:val="left"/>
      <w:pPr>
        <w:ind w:left="1350" w:hanging="360"/>
      </w:pPr>
      <w:rPr>
        <w:rFonts w:asciiTheme="minorHAnsi" w:hAnsiTheme="minorHAnsi" w:cstheme="minorBidi" w:hint="default"/>
        <w:i/>
        <w:iCs w:val="0"/>
        <w:sz w:val="22"/>
      </w:rPr>
    </w:lvl>
    <w:lvl w:ilvl="1" w:tplc="08090019" w:tentative="1">
      <w:start w:val="1"/>
      <w:numFmt w:val="lowerLetter"/>
      <w:lvlText w:val="%2."/>
      <w:lvlJc w:val="left"/>
      <w:pPr>
        <w:ind w:left="2070" w:hanging="360"/>
      </w:pPr>
    </w:lvl>
    <w:lvl w:ilvl="2" w:tplc="0809001B" w:tentative="1">
      <w:start w:val="1"/>
      <w:numFmt w:val="lowerRoman"/>
      <w:lvlText w:val="%3."/>
      <w:lvlJc w:val="right"/>
      <w:pPr>
        <w:ind w:left="2790" w:hanging="180"/>
      </w:pPr>
    </w:lvl>
    <w:lvl w:ilvl="3" w:tplc="0809000F" w:tentative="1">
      <w:start w:val="1"/>
      <w:numFmt w:val="decimal"/>
      <w:lvlText w:val="%4."/>
      <w:lvlJc w:val="left"/>
      <w:pPr>
        <w:ind w:left="3510" w:hanging="360"/>
      </w:pPr>
    </w:lvl>
    <w:lvl w:ilvl="4" w:tplc="08090019" w:tentative="1">
      <w:start w:val="1"/>
      <w:numFmt w:val="lowerLetter"/>
      <w:lvlText w:val="%5."/>
      <w:lvlJc w:val="left"/>
      <w:pPr>
        <w:ind w:left="4230" w:hanging="360"/>
      </w:pPr>
    </w:lvl>
    <w:lvl w:ilvl="5" w:tplc="0809001B" w:tentative="1">
      <w:start w:val="1"/>
      <w:numFmt w:val="lowerRoman"/>
      <w:lvlText w:val="%6."/>
      <w:lvlJc w:val="right"/>
      <w:pPr>
        <w:ind w:left="4950" w:hanging="180"/>
      </w:pPr>
    </w:lvl>
    <w:lvl w:ilvl="6" w:tplc="0809000F" w:tentative="1">
      <w:start w:val="1"/>
      <w:numFmt w:val="decimal"/>
      <w:lvlText w:val="%7."/>
      <w:lvlJc w:val="left"/>
      <w:pPr>
        <w:ind w:left="5670" w:hanging="360"/>
      </w:pPr>
    </w:lvl>
    <w:lvl w:ilvl="7" w:tplc="08090019" w:tentative="1">
      <w:start w:val="1"/>
      <w:numFmt w:val="lowerLetter"/>
      <w:lvlText w:val="%8."/>
      <w:lvlJc w:val="left"/>
      <w:pPr>
        <w:ind w:left="6390" w:hanging="360"/>
      </w:pPr>
    </w:lvl>
    <w:lvl w:ilvl="8" w:tplc="0809001B" w:tentative="1">
      <w:start w:val="1"/>
      <w:numFmt w:val="lowerRoman"/>
      <w:lvlText w:val="%9."/>
      <w:lvlJc w:val="right"/>
      <w:pPr>
        <w:ind w:left="7110" w:hanging="180"/>
      </w:pPr>
    </w:lvl>
  </w:abstractNum>
  <w:abstractNum w:abstractNumId="11" w15:restartNumberingAfterBreak="0">
    <w:nsid w:val="28615399"/>
    <w:multiLevelType w:val="hybridMultilevel"/>
    <w:tmpl w:val="D554BA40"/>
    <w:lvl w:ilvl="0" w:tplc="9AA6560E">
      <w:start w:val="1"/>
      <w:numFmt w:val="arabicAlpha"/>
      <w:lvlText w:val="%1."/>
      <w:lvlJc w:val="left"/>
      <w:pPr>
        <w:ind w:left="1854" w:hanging="360"/>
      </w:pPr>
      <w:rPr>
        <w:rFonts w:hint="default"/>
        <w:b w:val="0"/>
        <w:bCs w:val="0"/>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2" w15:restartNumberingAfterBreak="0">
    <w:nsid w:val="2AF11435"/>
    <w:multiLevelType w:val="hybridMultilevel"/>
    <w:tmpl w:val="43904134"/>
    <w:lvl w:ilvl="0" w:tplc="125A44B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CB608D7"/>
    <w:multiLevelType w:val="hybridMultilevel"/>
    <w:tmpl w:val="B2E807C6"/>
    <w:lvl w:ilvl="0" w:tplc="7E28635C">
      <w:start w:val="1"/>
      <w:numFmt w:val="decimal"/>
      <w:lvlText w:val="%1."/>
      <w:lvlJc w:val="left"/>
      <w:pPr>
        <w:ind w:left="720" w:hanging="360"/>
      </w:pPr>
      <w:rPr>
        <w:rFonts w:hint="default"/>
        <w:b/>
        <w:bCs/>
        <w:sz w:val="30"/>
        <w:szCs w:val="3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D8B672B"/>
    <w:multiLevelType w:val="hybridMultilevel"/>
    <w:tmpl w:val="0720A258"/>
    <w:lvl w:ilvl="0" w:tplc="0F2EB8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1084A16"/>
    <w:multiLevelType w:val="hybridMultilevel"/>
    <w:tmpl w:val="BD586B80"/>
    <w:lvl w:ilvl="0" w:tplc="61126E4C">
      <w:start w:val="1"/>
      <w:numFmt w:val="decimal"/>
      <w:lvlText w:val="%1."/>
      <w:lvlJc w:val="left"/>
      <w:pPr>
        <w:ind w:left="1290" w:hanging="360"/>
      </w:pPr>
      <w:rPr>
        <w:rFonts w:hint="default"/>
      </w:rPr>
    </w:lvl>
    <w:lvl w:ilvl="1" w:tplc="08090019">
      <w:start w:val="1"/>
      <w:numFmt w:val="lowerLetter"/>
      <w:lvlText w:val="%2."/>
      <w:lvlJc w:val="left"/>
      <w:pPr>
        <w:ind w:left="2010" w:hanging="360"/>
      </w:pPr>
    </w:lvl>
    <w:lvl w:ilvl="2" w:tplc="0809001B" w:tentative="1">
      <w:start w:val="1"/>
      <w:numFmt w:val="lowerRoman"/>
      <w:lvlText w:val="%3."/>
      <w:lvlJc w:val="right"/>
      <w:pPr>
        <w:ind w:left="2730" w:hanging="180"/>
      </w:pPr>
    </w:lvl>
    <w:lvl w:ilvl="3" w:tplc="0809000F" w:tentative="1">
      <w:start w:val="1"/>
      <w:numFmt w:val="decimal"/>
      <w:lvlText w:val="%4."/>
      <w:lvlJc w:val="left"/>
      <w:pPr>
        <w:ind w:left="3450" w:hanging="360"/>
      </w:pPr>
    </w:lvl>
    <w:lvl w:ilvl="4" w:tplc="08090019" w:tentative="1">
      <w:start w:val="1"/>
      <w:numFmt w:val="lowerLetter"/>
      <w:lvlText w:val="%5."/>
      <w:lvlJc w:val="left"/>
      <w:pPr>
        <w:ind w:left="4170" w:hanging="360"/>
      </w:pPr>
    </w:lvl>
    <w:lvl w:ilvl="5" w:tplc="0809001B" w:tentative="1">
      <w:start w:val="1"/>
      <w:numFmt w:val="lowerRoman"/>
      <w:lvlText w:val="%6."/>
      <w:lvlJc w:val="right"/>
      <w:pPr>
        <w:ind w:left="4890" w:hanging="180"/>
      </w:pPr>
    </w:lvl>
    <w:lvl w:ilvl="6" w:tplc="0809000F" w:tentative="1">
      <w:start w:val="1"/>
      <w:numFmt w:val="decimal"/>
      <w:lvlText w:val="%7."/>
      <w:lvlJc w:val="left"/>
      <w:pPr>
        <w:ind w:left="5610" w:hanging="360"/>
      </w:pPr>
    </w:lvl>
    <w:lvl w:ilvl="7" w:tplc="08090019" w:tentative="1">
      <w:start w:val="1"/>
      <w:numFmt w:val="lowerLetter"/>
      <w:lvlText w:val="%8."/>
      <w:lvlJc w:val="left"/>
      <w:pPr>
        <w:ind w:left="6330" w:hanging="360"/>
      </w:pPr>
    </w:lvl>
    <w:lvl w:ilvl="8" w:tplc="0809001B" w:tentative="1">
      <w:start w:val="1"/>
      <w:numFmt w:val="lowerRoman"/>
      <w:lvlText w:val="%9."/>
      <w:lvlJc w:val="right"/>
      <w:pPr>
        <w:ind w:left="7050" w:hanging="180"/>
      </w:pPr>
    </w:lvl>
  </w:abstractNum>
  <w:abstractNum w:abstractNumId="16" w15:restartNumberingAfterBreak="0">
    <w:nsid w:val="33F21AE4"/>
    <w:multiLevelType w:val="hybridMultilevel"/>
    <w:tmpl w:val="58984B5C"/>
    <w:lvl w:ilvl="0" w:tplc="08090019">
      <w:start w:val="9"/>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55D5EC9"/>
    <w:multiLevelType w:val="hybridMultilevel"/>
    <w:tmpl w:val="898E6CB4"/>
    <w:lvl w:ilvl="0" w:tplc="5E86B858">
      <w:start w:val="1"/>
      <w:numFmt w:val="arabicAlpha"/>
      <w:lvlText w:val="%1)"/>
      <w:lvlJc w:val="left"/>
      <w:pPr>
        <w:ind w:left="3114" w:hanging="360"/>
      </w:pPr>
      <w:rPr>
        <w:rFonts w:hint="default"/>
      </w:rPr>
    </w:lvl>
    <w:lvl w:ilvl="1" w:tplc="08090019" w:tentative="1">
      <w:start w:val="1"/>
      <w:numFmt w:val="lowerLetter"/>
      <w:lvlText w:val="%2."/>
      <w:lvlJc w:val="left"/>
      <w:pPr>
        <w:ind w:left="3834" w:hanging="360"/>
      </w:pPr>
    </w:lvl>
    <w:lvl w:ilvl="2" w:tplc="0809001B" w:tentative="1">
      <w:start w:val="1"/>
      <w:numFmt w:val="lowerRoman"/>
      <w:lvlText w:val="%3."/>
      <w:lvlJc w:val="right"/>
      <w:pPr>
        <w:ind w:left="4554" w:hanging="180"/>
      </w:pPr>
    </w:lvl>
    <w:lvl w:ilvl="3" w:tplc="0809000F" w:tentative="1">
      <w:start w:val="1"/>
      <w:numFmt w:val="decimal"/>
      <w:lvlText w:val="%4."/>
      <w:lvlJc w:val="left"/>
      <w:pPr>
        <w:ind w:left="5274" w:hanging="360"/>
      </w:pPr>
    </w:lvl>
    <w:lvl w:ilvl="4" w:tplc="08090019" w:tentative="1">
      <w:start w:val="1"/>
      <w:numFmt w:val="lowerLetter"/>
      <w:lvlText w:val="%5."/>
      <w:lvlJc w:val="left"/>
      <w:pPr>
        <w:ind w:left="5994" w:hanging="360"/>
      </w:pPr>
    </w:lvl>
    <w:lvl w:ilvl="5" w:tplc="0809001B" w:tentative="1">
      <w:start w:val="1"/>
      <w:numFmt w:val="lowerRoman"/>
      <w:lvlText w:val="%6."/>
      <w:lvlJc w:val="right"/>
      <w:pPr>
        <w:ind w:left="6714" w:hanging="180"/>
      </w:pPr>
    </w:lvl>
    <w:lvl w:ilvl="6" w:tplc="0809000F" w:tentative="1">
      <w:start w:val="1"/>
      <w:numFmt w:val="decimal"/>
      <w:lvlText w:val="%7."/>
      <w:lvlJc w:val="left"/>
      <w:pPr>
        <w:ind w:left="7434" w:hanging="360"/>
      </w:pPr>
    </w:lvl>
    <w:lvl w:ilvl="7" w:tplc="08090019" w:tentative="1">
      <w:start w:val="1"/>
      <w:numFmt w:val="lowerLetter"/>
      <w:lvlText w:val="%8."/>
      <w:lvlJc w:val="left"/>
      <w:pPr>
        <w:ind w:left="8154" w:hanging="360"/>
      </w:pPr>
    </w:lvl>
    <w:lvl w:ilvl="8" w:tplc="0809001B" w:tentative="1">
      <w:start w:val="1"/>
      <w:numFmt w:val="lowerRoman"/>
      <w:lvlText w:val="%9."/>
      <w:lvlJc w:val="right"/>
      <w:pPr>
        <w:ind w:left="8874" w:hanging="180"/>
      </w:pPr>
    </w:lvl>
  </w:abstractNum>
  <w:abstractNum w:abstractNumId="18" w15:restartNumberingAfterBreak="0">
    <w:nsid w:val="36470062"/>
    <w:multiLevelType w:val="hybridMultilevel"/>
    <w:tmpl w:val="C0588ADA"/>
    <w:lvl w:ilvl="0" w:tplc="689E0AEE">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DA5146"/>
    <w:multiLevelType w:val="hybridMultilevel"/>
    <w:tmpl w:val="82383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681A00"/>
    <w:multiLevelType w:val="hybridMultilevel"/>
    <w:tmpl w:val="58B6DB60"/>
    <w:lvl w:ilvl="0" w:tplc="07384ED2">
      <w:start w:val="1"/>
      <w:numFmt w:val="arabicAlpha"/>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 w15:restartNumberingAfterBreak="0">
    <w:nsid w:val="398A2588"/>
    <w:multiLevelType w:val="hybridMultilevel"/>
    <w:tmpl w:val="5AA85170"/>
    <w:lvl w:ilvl="0" w:tplc="26CA5D50">
      <w:start w:val="1"/>
      <w:numFmt w:val="decimal"/>
      <w:lvlText w:val="%1."/>
      <w:lvlJc w:val="left"/>
      <w:pPr>
        <w:ind w:left="1089" w:hanging="450"/>
      </w:pPr>
      <w:rPr>
        <w:rFonts w:ascii="Times New Roman" w:hAnsi="Times New Roman" w:cs="Times New Roman" w:hint="default"/>
        <w:sz w:val="24"/>
      </w:rPr>
    </w:lvl>
    <w:lvl w:ilvl="1" w:tplc="08090019" w:tentative="1">
      <w:start w:val="1"/>
      <w:numFmt w:val="lowerLetter"/>
      <w:lvlText w:val="%2."/>
      <w:lvlJc w:val="left"/>
      <w:pPr>
        <w:ind w:left="1719" w:hanging="360"/>
      </w:pPr>
    </w:lvl>
    <w:lvl w:ilvl="2" w:tplc="0809001B" w:tentative="1">
      <w:start w:val="1"/>
      <w:numFmt w:val="lowerRoman"/>
      <w:lvlText w:val="%3."/>
      <w:lvlJc w:val="right"/>
      <w:pPr>
        <w:ind w:left="2439" w:hanging="180"/>
      </w:pPr>
    </w:lvl>
    <w:lvl w:ilvl="3" w:tplc="0809000F" w:tentative="1">
      <w:start w:val="1"/>
      <w:numFmt w:val="decimal"/>
      <w:lvlText w:val="%4."/>
      <w:lvlJc w:val="left"/>
      <w:pPr>
        <w:ind w:left="3159" w:hanging="360"/>
      </w:pPr>
    </w:lvl>
    <w:lvl w:ilvl="4" w:tplc="08090019" w:tentative="1">
      <w:start w:val="1"/>
      <w:numFmt w:val="lowerLetter"/>
      <w:lvlText w:val="%5."/>
      <w:lvlJc w:val="left"/>
      <w:pPr>
        <w:ind w:left="3879" w:hanging="360"/>
      </w:pPr>
    </w:lvl>
    <w:lvl w:ilvl="5" w:tplc="0809001B" w:tentative="1">
      <w:start w:val="1"/>
      <w:numFmt w:val="lowerRoman"/>
      <w:lvlText w:val="%6."/>
      <w:lvlJc w:val="right"/>
      <w:pPr>
        <w:ind w:left="4599" w:hanging="180"/>
      </w:pPr>
    </w:lvl>
    <w:lvl w:ilvl="6" w:tplc="0809000F" w:tentative="1">
      <w:start w:val="1"/>
      <w:numFmt w:val="decimal"/>
      <w:lvlText w:val="%7."/>
      <w:lvlJc w:val="left"/>
      <w:pPr>
        <w:ind w:left="5319" w:hanging="360"/>
      </w:pPr>
    </w:lvl>
    <w:lvl w:ilvl="7" w:tplc="08090019" w:tentative="1">
      <w:start w:val="1"/>
      <w:numFmt w:val="lowerLetter"/>
      <w:lvlText w:val="%8."/>
      <w:lvlJc w:val="left"/>
      <w:pPr>
        <w:ind w:left="6039" w:hanging="360"/>
      </w:pPr>
    </w:lvl>
    <w:lvl w:ilvl="8" w:tplc="0809001B" w:tentative="1">
      <w:start w:val="1"/>
      <w:numFmt w:val="lowerRoman"/>
      <w:lvlText w:val="%9."/>
      <w:lvlJc w:val="right"/>
      <w:pPr>
        <w:ind w:left="6759" w:hanging="180"/>
      </w:pPr>
    </w:lvl>
  </w:abstractNum>
  <w:abstractNum w:abstractNumId="22" w15:restartNumberingAfterBreak="0">
    <w:nsid w:val="442D2542"/>
    <w:multiLevelType w:val="hybridMultilevel"/>
    <w:tmpl w:val="CB6C7B1E"/>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8DC8D65E">
      <w:start w:val="1"/>
      <w:numFmt w:val="decimal"/>
      <w:lvlText w:val="%3."/>
      <w:lvlJc w:val="left"/>
      <w:pPr>
        <w:ind w:left="2610" w:hanging="63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626667C"/>
    <w:multiLevelType w:val="hybridMultilevel"/>
    <w:tmpl w:val="0C684786"/>
    <w:lvl w:ilvl="0" w:tplc="B5B69BEA">
      <w:start w:val="1"/>
      <w:numFmt w:val="decimal"/>
      <w:lvlText w:val="(%1)"/>
      <w:lvlJc w:val="left"/>
      <w:pPr>
        <w:ind w:left="360" w:hanging="360"/>
      </w:pPr>
      <w:rPr>
        <w:rFonts w:hint="default"/>
        <w:b/>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D3A00EC"/>
    <w:multiLevelType w:val="hybridMultilevel"/>
    <w:tmpl w:val="35A0BE3A"/>
    <w:lvl w:ilvl="0" w:tplc="836C4480">
      <w:start w:val="1"/>
      <w:numFmt w:val="arabicAlpha"/>
      <w:lvlText w:val="%1)"/>
      <w:lvlJc w:val="left"/>
      <w:pPr>
        <w:ind w:left="1620" w:hanging="360"/>
      </w:pPr>
      <w:rPr>
        <w:rFonts w:hint="default"/>
      </w:r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25" w15:restartNumberingAfterBreak="0">
    <w:nsid w:val="4EEA36CB"/>
    <w:multiLevelType w:val="hybridMultilevel"/>
    <w:tmpl w:val="26AE2436"/>
    <w:lvl w:ilvl="0" w:tplc="EC726856">
      <w:start w:val="1"/>
      <w:numFmt w:val="arabicAlpha"/>
      <w:lvlText w:val="%1."/>
      <w:lvlJc w:val="left"/>
      <w:pPr>
        <w:ind w:left="1290" w:hanging="57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568E48BB"/>
    <w:multiLevelType w:val="hybridMultilevel"/>
    <w:tmpl w:val="E208FB82"/>
    <w:lvl w:ilvl="0" w:tplc="CDB2B388">
      <w:start w:val="1"/>
      <w:numFmt w:val="decimal"/>
      <w:lvlText w:val="%1."/>
      <w:lvlJc w:val="left"/>
      <w:pPr>
        <w:ind w:left="2222" w:hanging="360"/>
      </w:pPr>
      <w:rPr>
        <w:rFonts w:ascii="Traditional Arabic" w:hAnsi="Traditional Arabic" w:cs="Traditional Arabic" w:hint="default"/>
        <w:b w:val="0"/>
        <w:bCs w:val="0"/>
        <w:i w:val="0"/>
        <w:iCs w:val="0"/>
        <w:color w:val="auto"/>
        <w:sz w:val="30"/>
        <w:szCs w:val="30"/>
        <w:lang w:val="en-GB"/>
      </w:rPr>
    </w:lvl>
    <w:lvl w:ilvl="1" w:tplc="08090019" w:tentative="1">
      <w:start w:val="1"/>
      <w:numFmt w:val="lowerLetter"/>
      <w:lvlText w:val="%2."/>
      <w:lvlJc w:val="left"/>
      <w:pPr>
        <w:ind w:left="1952" w:hanging="360"/>
      </w:pPr>
    </w:lvl>
    <w:lvl w:ilvl="2" w:tplc="0809001B" w:tentative="1">
      <w:start w:val="1"/>
      <w:numFmt w:val="lowerRoman"/>
      <w:lvlText w:val="%3."/>
      <w:lvlJc w:val="right"/>
      <w:pPr>
        <w:ind w:left="2672" w:hanging="180"/>
      </w:pPr>
    </w:lvl>
    <w:lvl w:ilvl="3" w:tplc="0809000F" w:tentative="1">
      <w:start w:val="1"/>
      <w:numFmt w:val="decimal"/>
      <w:lvlText w:val="%4."/>
      <w:lvlJc w:val="left"/>
      <w:pPr>
        <w:ind w:left="3392" w:hanging="360"/>
      </w:pPr>
    </w:lvl>
    <w:lvl w:ilvl="4" w:tplc="08090019" w:tentative="1">
      <w:start w:val="1"/>
      <w:numFmt w:val="lowerLetter"/>
      <w:lvlText w:val="%5."/>
      <w:lvlJc w:val="left"/>
      <w:pPr>
        <w:ind w:left="4112" w:hanging="360"/>
      </w:pPr>
    </w:lvl>
    <w:lvl w:ilvl="5" w:tplc="0809001B" w:tentative="1">
      <w:start w:val="1"/>
      <w:numFmt w:val="lowerRoman"/>
      <w:lvlText w:val="%6."/>
      <w:lvlJc w:val="right"/>
      <w:pPr>
        <w:ind w:left="4832" w:hanging="180"/>
      </w:pPr>
    </w:lvl>
    <w:lvl w:ilvl="6" w:tplc="0809000F" w:tentative="1">
      <w:start w:val="1"/>
      <w:numFmt w:val="decimal"/>
      <w:lvlText w:val="%7."/>
      <w:lvlJc w:val="left"/>
      <w:pPr>
        <w:ind w:left="5552" w:hanging="360"/>
      </w:pPr>
    </w:lvl>
    <w:lvl w:ilvl="7" w:tplc="08090019" w:tentative="1">
      <w:start w:val="1"/>
      <w:numFmt w:val="lowerLetter"/>
      <w:lvlText w:val="%8."/>
      <w:lvlJc w:val="left"/>
      <w:pPr>
        <w:ind w:left="6272" w:hanging="360"/>
      </w:pPr>
    </w:lvl>
    <w:lvl w:ilvl="8" w:tplc="0809001B" w:tentative="1">
      <w:start w:val="1"/>
      <w:numFmt w:val="lowerRoman"/>
      <w:lvlText w:val="%9."/>
      <w:lvlJc w:val="right"/>
      <w:pPr>
        <w:ind w:left="6992" w:hanging="180"/>
      </w:pPr>
    </w:lvl>
  </w:abstractNum>
  <w:abstractNum w:abstractNumId="27" w15:restartNumberingAfterBreak="0">
    <w:nsid w:val="58C827E5"/>
    <w:multiLevelType w:val="hybridMultilevel"/>
    <w:tmpl w:val="E6E227FE"/>
    <w:lvl w:ilvl="0" w:tplc="029EE356">
      <w:start w:val="1"/>
      <w:numFmt w:val="arabicAlpha"/>
      <w:lvlText w:val="%1)"/>
      <w:lvlJc w:val="left"/>
      <w:pPr>
        <w:ind w:left="1440" w:hanging="360"/>
      </w:pPr>
      <w:rPr>
        <w:rFonts w:cs="Times New Roman"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8" w15:restartNumberingAfterBreak="0">
    <w:nsid w:val="5C365D58"/>
    <w:multiLevelType w:val="hybridMultilevel"/>
    <w:tmpl w:val="2BE68F02"/>
    <w:lvl w:ilvl="0" w:tplc="CA42BC28">
      <w:start w:val="1"/>
      <w:numFmt w:val="decimal"/>
      <w:lvlText w:val="%1."/>
      <w:lvlJc w:val="left"/>
      <w:pPr>
        <w:ind w:left="1494" w:hanging="360"/>
      </w:pPr>
      <w:rPr>
        <w:rFonts w:ascii="Traditional Arabic" w:eastAsia="SimSun" w:hAnsi="Traditional Arabic" w:cs="Traditional Arabic"/>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9" w15:restartNumberingAfterBreak="0">
    <w:nsid w:val="5E593E2B"/>
    <w:multiLevelType w:val="hybridMultilevel"/>
    <w:tmpl w:val="D84804C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1FC4006"/>
    <w:multiLevelType w:val="hybridMultilevel"/>
    <w:tmpl w:val="5E6494DE"/>
    <w:lvl w:ilvl="0" w:tplc="905CAD64">
      <w:start w:val="11"/>
      <w:numFmt w:val="bullet"/>
      <w:lvlText w:val="-"/>
      <w:lvlJc w:val="left"/>
      <w:pPr>
        <w:ind w:left="720" w:hanging="360"/>
      </w:pPr>
      <w:rPr>
        <w:rFonts w:ascii="Times New Roman" w:eastAsiaTheme="minorHAnsi"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8C52EF"/>
    <w:multiLevelType w:val="hybridMultilevel"/>
    <w:tmpl w:val="E55ED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80B2A2A"/>
    <w:multiLevelType w:val="hybridMultilevel"/>
    <w:tmpl w:val="C5E4677E"/>
    <w:lvl w:ilvl="0" w:tplc="0809000F">
      <w:start w:val="1"/>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A8C5646"/>
    <w:multiLevelType w:val="hybridMultilevel"/>
    <w:tmpl w:val="98EE774C"/>
    <w:lvl w:ilvl="0" w:tplc="FC2CEE36">
      <w:start w:val="1"/>
      <w:numFmt w:val="decimal"/>
      <w:lvlText w:val="%1."/>
      <w:lvlJc w:val="left"/>
      <w:pPr>
        <w:ind w:left="1359" w:hanging="360"/>
      </w:pPr>
      <w:rPr>
        <w:b/>
        <w:bCs/>
        <w:i w:val="0"/>
        <w:iCs w:val="0"/>
      </w:rPr>
    </w:lvl>
    <w:lvl w:ilvl="1" w:tplc="08090019" w:tentative="1">
      <w:start w:val="1"/>
      <w:numFmt w:val="lowerLetter"/>
      <w:lvlText w:val="%2."/>
      <w:lvlJc w:val="left"/>
      <w:pPr>
        <w:ind w:left="2079" w:hanging="360"/>
      </w:pPr>
    </w:lvl>
    <w:lvl w:ilvl="2" w:tplc="0809001B" w:tentative="1">
      <w:start w:val="1"/>
      <w:numFmt w:val="lowerRoman"/>
      <w:lvlText w:val="%3."/>
      <w:lvlJc w:val="right"/>
      <w:pPr>
        <w:ind w:left="2799" w:hanging="180"/>
      </w:pPr>
    </w:lvl>
    <w:lvl w:ilvl="3" w:tplc="0809000F" w:tentative="1">
      <w:start w:val="1"/>
      <w:numFmt w:val="decimal"/>
      <w:lvlText w:val="%4."/>
      <w:lvlJc w:val="left"/>
      <w:pPr>
        <w:ind w:left="3519" w:hanging="360"/>
      </w:pPr>
    </w:lvl>
    <w:lvl w:ilvl="4" w:tplc="08090019" w:tentative="1">
      <w:start w:val="1"/>
      <w:numFmt w:val="lowerLetter"/>
      <w:lvlText w:val="%5."/>
      <w:lvlJc w:val="left"/>
      <w:pPr>
        <w:ind w:left="4239" w:hanging="360"/>
      </w:pPr>
    </w:lvl>
    <w:lvl w:ilvl="5" w:tplc="0809001B" w:tentative="1">
      <w:start w:val="1"/>
      <w:numFmt w:val="lowerRoman"/>
      <w:lvlText w:val="%6."/>
      <w:lvlJc w:val="right"/>
      <w:pPr>
        <w:ind w:left="4959" w:hanging="180"/>
      </w:pPr>
    </w:lvl>
    <w:lvl w:ilvl="6" w:tplc="0809000F" w:tentative="1">
      <w:start w:val="1"/>
      <w:numFmt w:val="decimal"/>
      <w:lvlText w:val="%7."/>
      <w:lvlJc w:val="left"/>
      <w:pPr>
        <w:ind w:left="5679" w:hanging="360"/>
      </w:pPr>
    </w:lvl>
    <w:lvl w:ilvl="7" w:tplc="08090019" w:tentative="1">
      <w:start w:val="1"/>
      <w:numFmt w:val="lowerLetter"/>
      <w:lvlText w:val="%8."/>
      <w:lvlJc w:val="left"/>
      <w:pPr>
        <w:ind w:left="6399" w:hanging="360"/>
      </w:pPr>
    </w:lvl>
    <w:lvl w:ilvl="8" w:tplc="0809001B" w:tentative="1">
      <w:start w:val="1"/>
      <w:numFmt w:val="lowerRoman"/>
      <w:lvlText w:val="%9."/>
      <w:lvlJc w:val="right"/>
      <w:pPr>
        <w:ind w:left="7119" w:hanging="180"/>
      </w:pPr>
    </w:lvl>
  </w:abstractNum>
  <w:abstractNum w:abstractNumId="35" w15:restartNumberingAfterBreak="0">
    <w:nsid w:val="6B3B02EB"/>
    <w:multiLevelType w:val="hybridMultilevel"/>
    <w:tmpl w:val="E91ECA46"/>
    <w:lvl w:ilvl="0" w:tplc="9E8E4D58">
      <w:start w:val="1"/>
      <w:numFmt w:val="decimal"/>
      <w:pStyle w:val="SingleTxtG-Withnumbering"/>
      <w:lvlText w:val="%1."/>
      <w:lvlJc w:val="left"/>
      <w:pPr>
        <w:ind w:left="1495" w:hanging="360"/>
      </w:pPr>
      <w:rPr>
        <w:b w:val="0"/>
        <w:i w:val="0"/>
        <w:sz w:val="20"/>
        <w:szCs w:val="20"/>
        <w:vertAlign w:val="baseline"/>
      </w:rPr>
    </w:lvl>
    <w:lvl w:ilvl="1" w:tplc="F4CCD84C">
      <w:start w:val="1"/>
      <w:numFmt w:val="lowerLetter"/>
      <w:lvlText w:val="(%2)"/>
      <w:lvlJc w:val="left"/>
      <w:pPr>
        <w:ind w:left="2724" w:hanging="510"/>
      </w:pPr>
      <w:rPr>
        <w:rFonts w:hint="default"/>
      </w:r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6" w15:restartNumberingAfterBreak="0">
    <w:nsid w:val="6BA572E5"/>
    <w:multiLevelType w:val="hybridMultilevel"/>
    <w:tmpl w:val="D2324B56"/>
    <w:lvl w:ilvl="0" w:tplc="48BCC7B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3343EB"/>
    <w:multiLevelType w:val="hybridMultilevel"/>
    <w:tmpl w:val="47529E10"/>
    <w:lvl w:ilvl="0" w:tplc="0809000F">
      <w:start w:val="2"/>
      <w:numFmt w:val="decimal"/>
      <w:lvlText w:val="%1."/>
      <w:lvlJc w:val="left"/>
      <w:pPr>
        <w:ind w:left="720" w:hanging="360"/>
      </w:pPr>
      <w:rPr>
        <w:rFonts w:cs="Times New Roman"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67077CD"/>
    <w:multiLevelType w:val="hybridMultilevel"/>
    <w:tmpl w:val="33721762"/>
    <w:lvl w:ilvl="0" w:tplc="4EC2D404">
      <w:start w:val="1"/>
      <w:numFmt w:val="arabicAlpha"/>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7A41096"/>
    <w:multiLevelType w:val="hybridMultilevel"/>
    <w:tmpl w:val="823832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52A22"/>
    <w:multiLevelType w:val="hybridMultilevel"/>
    <w:tmpl w:val="B1C8D30E"/>
    <w:lvl w:ilvl="0" w:tplc="4A982480">
      <w:start w:val="1"/>
      <w:numFmt w:val="arabicAlpha"/>
      <w:lvlText w:val="%1)"/>
      <w:lvlJc w:val="left"/>
      <w:pPr>
        <w:ind w:left="1494" w:hanging="360"/>
      </w:pPr>
      <w:rPr>
        <w:rFonts w:cs="Times New Roman"/>
      </w:rPr>
    </w:lvl>
    <w:lvl w:ilvl="1" w:tplc="08090019">
      <w:start w:val="1"/>
      <w:numFmt w:val="lowerLetter"/>
      <w:lvlText w:val="%2."/>
      <w:lvlJc w:val="left"/>
      <w:pPr>
        <w:ind w:left="2214" w:hanging="360"/>
      </w:pPr>
    </w:lvl>
    <w:lvl w:ilvl="2" w:tplc="0809001B">
      <w:start w:val="1"/>
      <w:numFmt w:val="lowerRoman"/>
      <w:lvlText w:val="%3."/>
      <w:lvlJc w:val="right"/>
      <w:pPr>
        <w:ind w:left="2934" w:hanging="180"/>
      </w:pPr>
    </w:lvl>
    <w:lvl w:ilvl="3" w:tplc="0809000F">
      <w:start w:val="1"/>
      <w:numFmt w:val="decimal"/>
      <w:lvlText w:val="%4."/>
      <w:lvlJc w:val="left"/>
      <w:pPr>
        <w:ind w:left="3654" w:hanging="360"/>
      </w:pPr>
    </w:lvl>
    <w:lvl w:ilvl="4" w:tplc="08090019">
      <w:start w:val="1"/>
      <w:numFmt w:val="lowerLetter"/>
      <w:lvlText w:val="%5."/>
      <w:lvlJc w:val="left"/>
      <w:pPr>
        <w:ind w:left="4374" w:hanging="360"/>
      </w:pPr>
    </w:lvl>
    <w:lvl w:ilvl="5" w:tplc="0809001B">
      <w:start w:val="1"/>
      <w:numFmt w:val="lowerRoman"/>
      <w:lvlText w:val="%6."/>
      <w:lvlJc w:val="right"/>
      <w:pPr>
        <w:ind w:left="5094" w:hanging="180"/>
      </w:pPr>
    </w:lvl>
    <w:lvl w:ilvl="6" w:tplc="0809000F">
      <w:start w:val="1"/>
      <w:numFmt w:val="decimal"/>
      <w:lvlText w:val="%7."/>
      <w:lvlJc w:val="left"/>
      <w:pPr>
        <w:ind w:left="5814" w:hanging="360"/>
      </w:pPr>
    </w:lvl>
    <w:lvl w:ilvl="7" w:tplc="08090019">
      <w:start w:val="1"/>
      <w:numFmt w:val="lowerLetter"/>
      <w:lvlText w:val="%8."/>
      <w:lvlJc w:val="left"/>
      <w:pPr>
        <w:ind w:left="6534" w:hanging="360"/>
      </w:pPr>
    </w:lvl>
    <w:lvl w:ilvl="8" w:tplc="0809001B">
      <w:start w:val="1"/>
      <w:numFmt w:val="lowerRoman"/>
      <w:lvlText w:val="%9."/>
      <w:lvlJc w:val="right"/>
      <w:pPr>
        <w:ind w:left="7254" w:hanging="180"/>
      </w:pPr>
    </w:lvl>
  </w:abstractNum>
  <w:abstractNum w:abstractNumId="41" w15:restartNumberingAfterBreak="0">
    <w:nsid w:val="78290CE4"/>
    <w:multiLevelType w:val="hybridMultilevel"/>
    <w:tmpl w:val="5D2A7C4E"/>
    <w:lvl w:ilvl="0" w:tplc="D5B88B2E">
      <w:start w:val="1"/>
      <w:numFmt w:val="arabicAlpha"/>
      <w:lvlText w:val="%1)"/>
      <w:lvlJc w:val="left"/>
      <w:pPr>
        <w:ind w:left="720" w:hanging="360"/>
      </w:pPr>
      <w:rPr>
        <w:rFonts w:asciiTheme="minorHAnsi" w:hAnsiTheme="minorHAnsi" w:cstheme="minorBidi" w:hint="default"/>
        <w:i/>
        <w:iCs w:val="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A44548A"/>
    <w:multiLevelType w:val="hybridMultilevel"/>
    <w:tmpl w:val="56A803EC"/>
    <w:lvl w:ilvl="0" w:tplc="0809000F">
      <w:start w:val="1"/>
      <w:numFmt w:val="decimal"/>
      <w:lvlText w:val="%1."/>
      <w:lvlJc w:val="left"/>
      <w:pPr>
        <w:ind w:left="720" w:hanging="360"/>
      </w:pPr>
      <w:rPr>
        <w:b w:val="0"/>
        <w:bCs w:val="0"/>
        <w:i w:val="0"/>
        <w:iCs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3"/>
  </w:num>
  <w:num w:numId="3">
    <w:abstractNumId w:val="9"/>
  </w:num>
  <w:num w:numId="4">
    <w:abstractNumId w:val="22"/>
  </w:num>
  <w:num w:numId="5">
    <w:abstractNumId w:val="25"/>
  </w:num>
  <w:num w:numId="6">
    <w:abstractNumId w:val="15"/>
  </w:num>
  <w:num w:numId="7">
    <w:abstractNumId w:val="0"/>
  </w:num>
  <w:num w:numId="8">
    <w:abstractNumId w:val="36"/>
  </w:num>
  <w:num w:numId="9">
    <w:abstractNumId w:val="12"/>
  </w:num>
  <w:num w:numId="10">
    <w:abstractNumId w:val="37"/>
  </w:num>
  <w:num w:numId="11">
    <w:abstractNumId w:val="27"/>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5"/>
  </w:num>
  <w:num w:numId="15">
    <w:abstractNumId w:val="13"/>
  </w:num>
  <w:num w:numId="16">
    <w:abstractNumId w:val="10"/>
  </w:num>
  <w:num w:numId="17">
    <w:abstractNumId w:val="11"/>
  </w:num>
  <w:num w:numId="18">
    <w:abstractNumId w:val="8"/>
  </w:num>
  <w:num w:numId="19">
    <w:abstractNumId w:val="28"/>
  </w:num>
  <w:num w:numId="20">
    <w:abstractNumId w:val="17"/>
  </w:num>
  <w:num w:numId="21">
    <w:abstractNumId w:val="20"/>
  </w:num>
  <w:num w:numId="22">
    <w:abstractNumId w:val="41"/>
  </w:num>
  <w:num w:numId="23">
    <w:abstractNumId w:val="19"/>
  </w:num>
  <w:num w:numId="24">
    <w:abstractNumId w:val="42"/>
  </w:num>
  <w:num w:numId="25">
    <w:abstractNumId w:val="38"/>
  </w:num>
  <w:num w:numId="26">
    <w:abstractNumId w:val="3"/>
  </w:num>
  <w:num w:numId="27">
    <w:abstractNumId w:val="24"/>
  </w:num>
  <w:num w:numId="28">
    <w:abstractNumId w:val="14"/>
  </w:num>
  <w:num w:numId="29">
    <w:abstractNumId w:val="4"/>
  </w:num>
  <w:num w:numId="30">
    <w:abstractNumId w:val="32"/>
  </w:num>
  <w:num w:numId="31">
    <w:abstractNumId w:val="16"/>
  </w:num>
  <w:num w:numId="32">
    <w:abstractNumId w:val="5"/>
  </w:num>
  <w:num w:numId="33">
    <w:abstractNumId w:val="7"/>
  </w:num>
  <w:num w:numId="34">
    <w:abstractNumId w:val="30"/>
  </w:num>
  <w:num w:numId="35">
    <w:abstractNumId w:val="23"/>
  </w:num>
  <w:num w:numId="36">
    <w:abstractNumId w:val="29"/>
  </w:num>
  <w:num w:numId="37">
    <w:abstractNumId w:val="31"/>
  </w:num>
  <w:num w:numId="38">
    <w:abstractNumId w:val="6"/>
  </w:num>
  <w:num w:numId="39">
    <w:abstractNumId w:val="34"/>
  </w:num>
  <w:num w:numId="40">
    <w:abstractNumId w:val="21"/>
  </w:num>
  <w:num w:numId="41">
    <w:abstractNumId w:val="26"/>
  </w:num>
  <w:num w:numId="42">
    <w:abstractNumId w:val="39"/>
  </w:num>
  <w:num w:numId="43">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GB" w:vendorID="64" w:dllVersion="5" w:nlCheck="1" w:checkStyle="1"/>
  <w:activeWritingStyle w:appName="MSWord" w:lang="en-GB" w:vendorID="64" w:dllVersion="6" w:nlCheck="1" w:checkStyle="1"/>
  <w:activeWritingStyle w:appName="MSWord" w:lang="fr-CH" w:vendorID="64" w:dllVersion="6" w:nlCheck="1" w:checkStyle="0"/>
  <w:activeWritingStyle w:appName="MSWord" w:lang="en-US" w:vendorID="64" w:dllVersion="6" w:nlCheck="1" w:checkStyle="1"/>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de-AT" w:vendorID="64" w:dllVersion="6" w:nlCheck="1" w:checkStyle="1"/>
  <w:activeWritingStyle w:appName="MSWord" w:lang="en-AU" w:vendorID="64" w:dllVersion="6" w:nlCheck="1" w:checkStyle="1"/>
  <w:activeWritingStyle w:appName="MSWord" w:lang="en-CA" w:vendorID="64" w:dllVersion="6" w:nlCheck="1" w:checkStyle="1"/>
  <w:activeWritingStyle w:appName="MSWord" w:lang="es-ES" w:vendorID="64" w:dllVersion="6" w:nlCheck="1" w:checkStyle="0"/>
  <w:activeWritingStyle w:appName="MSWord" w:lang="ar-SA" w:vendorID="64" w:dllVersion="0" w:nlCheck="1" w:checkStyle="0"/>
  <w:activeWritingStyle w:appName="MSWord" w:lang="ar-JO" w:vendorID="64" w:dllVersion="0" w:nlCheck="1" w:checkStyle="0"/>
  <w:activeWritingStyle w:appName="MSWord" w:lang="ar-YE" w:vendorID="64" w:dllVersion="0" w:nlCheck="1" w:checkStyle="0"/>
  <w:activeWritingStyle w:appName="MSWord" w:lang="en-AU" w:vendorID="64" w:dllVersion="0" w:nlCheck="1" w:checkStyle="0"/>
  <w:activeWritingStyle w:appName="MSWord" w:lang="de-AT" w:vendorID="64" w:dllVersion="0" w:nlCheck="1" w:checkStyle="0"/>
  <w:activeWritingStyle w:appName="MSWord" w:lang="ar-MA" w:vendorID="64" w:dllVersion="0" w:nlCheck="1" w:checkStyle="0"/>
  <w:activeWritingStyle w:appName="MSWord" w:lang="ar-LB" w:vendorID="64" w:dllVersion="0" w:nlCheck="1" w:checkStyle="0"/>
  <w:activeWritingStyle w:appName="MSWord" w:lang="es-ES" w:vendorID="64" w:dllVersion="0" w:nlCheck="1" w:checkStyle="0"/>
  <w:activeWritingStyle w:appName="MSWord" w:lang="fr-FR" w:vendorID="64" w:dllVersion="0" w:nlCheck="1" w:checkStyle="0"/>
  <w:activeWritingStyle w:appName="MSWord" w:lang="fr-CH" w:vendorID="64" w:dllVersion="0" w:nlCheck="1" w:checkStyle="0"/>
  <w:activeWritingStyle w:appName="MSWord" w:lang="en-CA" w:vendorID="64" w:dllVersion="0" w:nlCheck="1" w:checkStyle="0"/>
  <w:activeWritingStyle w:appName="MSWord" w:lang="en-GB" w:vendorID="64" w:dllVersion="131078" w:nlCheck="1" w:checkStyle="1"/>
  <w:activeWritingStyle w:appName="MSWord" w:lang="es-ES" w:vendorID="64" w:dllVersion="131078" w:nlCheck="1" w:checkStyle="0"/>
  <w:activeWritingStyle w:appName="MSWord" w:lang="en-US" w:vendorID="64" w:dllVersion="131078" w:nlCheck="1" w:checkStyle="1"/>
  <w:activeWritingStyle w:appName="MSWord" w:lang="en-CA" w:vendorID="64" w:dllVersion="131078" w:nlCheck="1" w:checkStyle="1"/>
  <w:activeWritingStyle w:appName="MSWord" w:lang="fr-CH" w:vendorID="64" w:dllVersion="131078" w:nlCheck="1" w:checkStyle="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78"/>
  <w:displayHorizontalDrawingGridEvery w:val="0"/>
  <w:displayVerticalDrawingGridEvery w:val="0"/>
  <w:noPunctuationKerning/>
  <w:characterSpacingControl w:val="doNotCompress"/>
  <w:hdrShapeDefaults>
    <o:shapedefaults v:ext="edit" spidmax="12289"/>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49B1"/>
    <w:rsid w:val="00000BE8"/>
    <w:rsid w:val="00000EFC"/>
    <w:rsid w:val="00002246"/>
    <w:rsid w:val="00003694"/>
    <w:rsid w:val="000042EB"/>
    <w:rsid w:val="00004799"/>
    <w:rsid w:val="0000537F"/>
    <w:rsid w:val="00005B0E"/>
    <w:rsid w:val="00005D7F"/>
    <w:rsid w:val="000069FE"/>
    <w:rsid w:val="00006DCF"/>
    <w:rsid w:val="0000797B"/>
    <w:rsid w:val="00007F7F"/>
    <w:rsid w:val="0001082A"/>
    <w:rsid w:val="00010F62"/>
    <w:rsid w:val="000118AF"/>
    <w:rsid w:val="000119FD"/>
    <w:rsid w:val="000120A2"/>
    <w:rsid w:val="000135E0"/>
    <w:rsid w:val="00014A97"/>
    <w:rsid w:val="00015FC3"/>
    <w:rsid w:val="0001708A"/>
    <w:rsid w:val="00017566"/>
    <w:rsid w:val="00020192"/>
    <w:rsid w:val="00020508"/>
    <w:rsid w:val="00020C43"/>
    <w:rsid w:val="000218DC"/>
    <w:rsid w:val="000219C9"/>
    <w:rsid w:val="000224F2"/>
    <w:rsid w:val="00022DB5"/>
    <w:rsid w:val="0002465B"/>
    <w:rsid w:val="00024936"/>
    <w:rsid w:val="00024A15"/>
    <w:rsid w:val="00025128"/>
    <w:rsid w:val="000270F1"/>
    <w:rsid w:val="00030D8F"/>
    <w:rsid w:val="00032D65"/>
    <w:rsid w:val="0003326C"/>
    <w:rsid w:val="00034649"/>
    <w:rsid w:val="00034820"/>
    <w:rsid w:val="00034984"/>
    <w:rsid w:val="000359FF"/>
    <w:rsid w:val="000362AE"/>
    <w:rsid w:val="00036548"/>
    <w:rsid w:val="000403D1"/>
    <w:rsid w:val="0004072A"/>
    <w:rsid w:val="00041B62"/>
    <w:rsid w:val="00041D3D"/>
    <w:rsid w:val="00041FDA"/>
    <w:rsid w:val="00042A3E"/>
    <w:rsid w:val="00042BD1"/>
    <w:rsid w:val="00043135"/>
    <w:rsid w:val="000435FB"/>
    <w:rsid w:val="00043761"/>
    <w:rsid w:val="000449AA"/>
    <w:rsid w:val="00045823"/>
    <w:rsid w:val="00046845"/>
    <w:rsid w:val="00050F6B"/>
    <w:rsid w:val="00051439"/>
    <w:rsid w:val="0005161E"/>
    <w:rsid w:val="00052049"/>
    <w:rsid w:val="00054CE4"/>
    <w:rsid w:val="00055725"/>
    <w:rsid w:val="00055861"/>
    <w:rsid w:val="00055A09"/>
    <w:rsid w:val="00056561"/>
    <w:rsid w:val="00060DB0"/>
    <w:rsid w:val="00060FF4"/>
    <w:rsid w:val="00061D64"/>
    <w:rsid w:val="00062BCA"/>
    <w:rsid w:val="00064C11"/>
    <w:rsid w:val="00065888"/>
    <w:rsid w:val="0006617D"/>
    <w:rsid w:val="00066353"/>
    <w:rsid w:val="000669D7"/>
    <w:rsid w:val="00070C0B"/>
    <w:rsid w:val="00070C25"/>
    <w:rsid w:val="00071ACB"/>
    <w:rsid w:val="00072812"/>
    <w:rsid w:val="00072C8C"/>
    <w:rsid w:val="00073CFF"/>
    <w:rsid w:val="00073E70"/>
    <w:rsid w:val="00075D72"/>
    <w:rsid w:val="00076E88"/>
    <w:rsid w:val="00080493"/>
    <w:rsid w:val="00080A03"/>
    <w:rsid w:val="00080C4E"/>
    <w:rsid w:val="00081891"/>
    <w:rsid w:val="00081B49"/>
    <w:rsid w:val="00082AA4"/>
    <w:rsid w:val="00082D0C"/>
    <w:rsid w:val="00083CCC"/>
    <w:rsid w:val="00084951"/>
    <w:rsid w:val="00084F50"/>
    <w:rsid w:val="000858B5"/>
    <w:rsid w:val="00085B56"/>
    <w:rsid w:val="000867CF"/>
    <w:rsid w:val="000876EB"/>
    <w:rsid w:val="00090061"/>
    <w:rsid w:val="00091419"/>
    <w:rsid w:val="00092B34"/>
    <w:rsid w:val="000931C0"/>
    <w:rsid w:val="000934E7"/>
    <w:rsid w:val="00093C34"/>
    <w:rsid w:val="00094E33"/>
    <w:rsid w:val="00096218"/>
    <w:rsid w:val="00096429"/>
    <w:rsid w:val="00097938"/>
    <w:rsid w:val="000A0D11"/>
    <w:rsid w:val="000A1D25"/>
    <w:rsid w:val="000A3117"/>
    <w:rsid w:val="000A3831"/>
    <w:rsid w:val="000A4723"/>
    <w:rsid w:val="000A48AF"/>
    <w:rsid w:val="000A5AEF"/>
    <w:rsid w:val="000A6738"/>
    <w:rsid w:val="000A69AA"/>
    <w:rsid w:val="000A7661"/>
    <w:rsid w:val="000A7D67"/>
    <w:rsid w:val="000B0747"/>
    <w:rsid w:val="000B076D"/>
    <w:rsid w:val="000B0A1A"/>
    <w:rsid w:val="000B175B"/>
    <w:rsid w:val="000B18F2"/>
    <w:rsid w:val="000B1945"/>
    <w:rsid w:val="000B3A0F"/>
    <w:rsid w:val="000B4A3B"/>
    <w:rsid w:val="000B4D15"/>
    <w:rsid w:val="000B6D4A"/>
    <w:rsid w:val="000B72A1"/>
    <w:rsid w:val="000B7348"/>
    <w:rsid w:val="000C1725"/>
    <w:rsid w:val="000C2B97"/>
    <w:rsid w:val="000C3075"/>
    <w:rsid w:val="000C3775"/>
    <w:rsid w:val="000C48C1"/>
    <w:rsid w:val="000C4BD7"/>
    <w:rsid w:val="000C4C8C"/>
    <w:rsid w:val="000C6E35"/>
    <w:rsid w:val="000C722B"/>
    <w:rsid w:val="000C7284"/>
    <w:rsid w:val="000C73CC"/>
    <w:rsid w:val="000C7D49"/>
    <w:rsid w:val="000D0349"/>
    <w:rsid w:val="000D037C"/>
    <w:rsid w:val="000D1851"/>
    <w:rsid w:val="000D2DAE"/>
    <w:rsid w:val="000D3496"/>
    <w:rsid w:val="000D34DF"/>
    <w:rsid w:val="000D3F75"/>
    <w:rsid w:val="000D45C8"/>
    <w:rsid w:val="000D479C"/>
    <w:rsid w:val="000D6112"/>
    <w:rsid w:val="000D6274"/>
    <w:rsid w:val="000D6B0B"/>
    <w:rsid w:val="000D7251"/>
    <w:rsid w:val="000D7351"/>
    <w:rsid w:val="000D7CD4"/>
    <w:rsid w:val="000E0415"/>
    <w:rsid w:val="000E0D50"/>
    <w:rsid w:val="000E1A00"/>
    <w:rsid w:val="000E1A8D"/>
    <w:rsid w:val="000E1CBF"/>
    <w:rsid w:val="000E21F9"/>
    <w:rsid w:val="000E4960"/>
    <w:rsid w:val="000E4A65"/>
    <w:rsid w:val="000E4D96"/>
    <w:rsid w:val="000E6E8C"/>
    <w:rsid w:val="000E6F8E"/>
    <w:rsid w:val="000E71EF"/>
    <w:rsid w:val="000E7D4E"/>
    <w:rsid w:val="000F026D"/>
    <w:rsid w:val="000F0FD3"/>
    <w:rsid w:val="000F17D7"/>
    <w:rsid w:val="000F2E5C"/>
    <w:rsid w:val="000F2EC3"/>
    <w:rsid w:val="000F309A"/>
    <w:rsid w:val="000F31A7"/>
    <w:rsid w:val="000F33EC"/>
    <w:rsid w:val="000F3757"/>
    <w:rsid w:val="000F3E5E"/>
    <w:rsid w:val="000F49AB"/>
    <w:rsid w:val="000F4C1D"/>
    <w:rsid w:val="000F4CC7"/>
    <w:rsid w:val="00101BFF"/>
    <w:rsid w:val="00102180"/>
    <w:rsid w:val="001028C5"/>
    <w:rsid w:val="00102DF7"/>
    <w:rsid w:val="00103551"/>
    <w:rsid w:val="00103880"/>
    <w:rsid w:val="001057AC"/>
    <w:rsid w:val="001075F0"/>
    <w:rsid w:val="00107610"/>
    <w:rsid w:val="00107622"/>
    <w:rsid w:val="001108C8"/>
    <w:rsid w:val="001118E9"/>
    <w:rsid w:val="00111982"/>
    <w:rsid w:val="00111D30"/>
    <w:rsid w:val="0011243C"/>
    <w:rsid w:val="00112A0A"/>
    <w:rsid w:val="00113BC5"/>
    <w:rsid w:val="00114B4A"/>
    <w:rsid w:val="001158FE"/>
    <w:rsid w:val="00116F33"/>
    <w:rsid w:val="00121FB4"/>
    <w:rsid w:val="001230EE"/>
    <w:rsid w:val="00123B18"/>
    <w:rsid w:val="00123C5F"/>
    <w:rsid w:val="001248E1"/>
    <w:rsid w:val="001254B8"/>
    <w:rsid w:val="00126A9F"/>
    <w:rsid w:val="00126C46"/>
    <w:rsid w:val="00130020"/>
    <w:rsid w:val="001303BB"/>
    <w:rsid w:val="0013040B"/>
    <w:rsid w:val="00130DD1"/>
    <w:rsid w:val="00131CC7"/>
    <w:rsid w:val="00133004"/>
    <w:rsid w:val="001331FB"/>
    <w:rsid w:val="001332AB"/>
    <w:rsid w:val="001369D3"/>
    <w:rsid w:val="00137DC0"/>
    <w:rsid w:val="001406EA"/>
    <w:rsid w:val="00142843"/>
    <w:rsid w:val="00142DE9"/>
    <w:rsid w:val="0014353C"/>
    <w:rsid w:val="001446E9"/>
    <w:rsid w:val="00144D94"/>
    <w:rsid w:val="001462D7"/>
    <w:rsid w:val="00146AF7"/>
    <w:rsid w:val="00146D32"/>
    <w:rsid w:val="00147908"/>
    <w:rsid w:val="00147B32"/>
    <w:rsid w:val="001509BA"/>
    <w:rsid w:val="00152AFA"/>
    <w:rsid w:val="0015353B"/>
    <w:rsid w:val="00153CB6"/>
    <w:rsid w:val="0015479A"/>
    <w:rsid w:val="00154C7B"/>
    <w:rsid w:val="00154E03"/>
    <w:rsid w:val="00155130"/>
    <w:rsid w:val="0015556F"/>
    <w:rsid w:val="0015668E"/>
    <w:rsid w:val="00157671"/>
    <w:rsid w:val="0016009F"/>
    <w:rsid w:val="00161EFF"/>
    <w:rsid w:val="00162BDD"/>
    <w:rsid w:val="00162C2D"/>
    <w:rsid w:val="00162F52"/>
    <w:rsid w:val="00163741"/>
    <w:rsid w:val="0016416B"/>
    <w:rsid w:val="0016420D"/>
    <w:rsid w:val="00164593"/>
    <w:rsid w:val="00170082"/>
    <w:rsid w:val="00170942"/>
    <w:rsid w:val="00171341"/>
    <w:rsid w:val="00173044"/>
    <w:rsid w:val="001736FE"/>
    <w:rsid w:val="0017380D"/>
    <w:rsid w:val="00173F49"/>
    <w:rsid w:val="00174944"/>
    <w:rsid w:val="00174B8C"/>
    <w:rsid w:val="001758BF"/>
    <w:rsid w:val="00176013"/>
    <w:rsid w:val="00176C19"/>
    <w:rsid w:val="00177636"/>
    <w:rsid w:val="00177993"/>
    <w:rsid w:val="00177EA5"/>
    <w:rsid w:val="00177F53"/>
    <w:rsid w:val="00180793"/>
    <w:rsid w:val="00180B4F"/>
    <w:rsid w:val="00181467"/>
    <w:rsid w:val="00182ACC"/>
    <w:rsid w:val="0018394F"/>
    <w:rsid w:val="00185EF8"/>
    <w:rsid w:val="00186DF0"/>
    <w:rsid w:val="00187C40"/>
    <w:rsid w:val="0019075C"/>
    <w:rsid w:val="00190D62"/>
    <w:rsid w:val="00192614"/>
    <w:rsid w:val="00194331"/>
    <w:rsid w:val="00195294"/>
    <w:rsid w:val="00196ADB"/>
    <w:rsid w:val="001A0A8C"/>
    <w:rsid w:val="001A1162"/>
    <w:rsid w:val="001A184C"/>
    <w:rsid w:val="001A1CEE"/>
    <w:rsid w:val="001A7801"/>
    <w:rsid w:val="001B0C47"/>
    <w:rsid w:val="001B15D0"/>
    <w:rsid w:val="001B1662"/>
    <w:rsid w:val="001B1A50"/>
    <w:rsid w:val="001B1C90"/>
    <w:rsid w:val="001B418A"/>
    <w:rsid w:val="001B48DD"/>
    <w:rsid w:val="001B4B04"/>
    <w:rsid w:val="001B4F09"/>
    <w:rsid w:val="001B56E0"/>
    <w:rsid w:val="001B70C8"/>
    <w:rsid w:val="001C0C82"/>
    <w:rsid w:val="001C1D59"/>
    <w:rsid w:val="001C2557"/>
    <w:rsid w:val="001C2E9B"/>
    <w:rsid w:val="001C3DD9"/>
    <w:rsid w:val="001C4104"/>
    <w:rsid w:val="001C6663"/>
    <w:rsid w:val="001C66F0"/>
    <w:rsid w:val="001C6838"/>
    <w:rsid w:val="001C7895"/>
    <w:rsid w:val="001C7CBB"/>
    <w:rsid w:val="001D1CBC"/>
    <w:rsid w:val="001D220A"/>
    <w:rsid w:val="001D26DF"/>
    <w:rsid w:val="001D3023"/>
    <w:rsid w:val="001D358E"/>
    <w:rsid w:val="001D3CE2"/>
    <w:rsid w:val="001D7B2E"/>
    <w:rsid w:val="001D7DF9"/>
    <w:rsid w:val="001E0018"/>
    <w:rsid w:val="001E2790"/>
    <w:rsid w:val="001E323E"/>
    <w:rsid w:val="001E4F01"/>
    <w:rsid w:val="001E611C"/>
    <w:rsid w:val="001E693F"/>
    <w:rsid w:val="001E7187"/>
    <w:rsid w:val="001E7E8C"/>
    <w:rsid w:val="001F08DC"/>
    <w:rsid w:val="001F19B7"/>
    <w:rsid w:val="001F4BCC"/>
    <w:rsid w:val="001F4BD0"/>
    <w:rsid w:val="001F4C00"/>
    <w:rsid w:val="001F4CB4"/>
    <w:rsid w:val="001F4D14"/>
    <w:rsid w:val="001F621A"/>
    <w:rsid w:val="001F6351"/>
    <w:rsid w:val="001F6D11"/>
    <w:rsid w:val="001F741C"/>
    <w:rsid w:val="00200B08"/>
    <w:rsid w:val="002010C0"/>
    <w:rsid w:val="002015E0"/>
    <w:rsid w:val="0020276A"/>
    <w:rsid w:val="00203A5C"/>
    <w:rsid w:val="00203B2E"/>
    <w:rsid w:val="00203FF6"/>
    <w:rsid w:val="002051F6"/>
    <w:rsid w:val="00205701"/>
    <w:rsid w:val="0020638A"/>
    <w:rsid w:val="0020759A"/>
    <w:rsid w:val="002106AD"/>
    <w:rsid w:val="00211974"/>
    <w:rsid w:val="00211C3E"/>
    <w:rsid w:val="00211C68"/>
    <w:rsid w:val="00211E0B"/>
    <w:rsid w:val="00211E72"/>
    <w:rsid w:val="00211EAF"/>
    <w:rsid w:val="00214047"/>
    <w:rsid w:val="00214526"/>
    <w:rsid w:val="00214544"/>
    <w:rsid w:val="00214F1F"/>
    <w:rsid w:val="0021675E"/>
    <w:rsid w:val="00217A98"/>
    <w:rsid w:val="0022130F"/>
    <w:rsid w:val="0022169D"/>
    <w:rsid w:val="00223DF7"/>
    <w:rsid w:val="00224ABF"/>
    <w:rsid w:val="00224F6E"/>
    <w:rsid w:val="002250F9"/>
    <w:rsid w:val="00225B3F"/>
    <w:rsid w:val="002266CD"/>
    <w:rsid w:val="002267CB"/>
    <w:rsid w:val="00226F70"/>
    <w:rsid w:val="002270AA"/>
    <w:rsid w:val="00227432"/>
    <w:rsid w:val="00227670"/>
    <w:rsid w:val="0023074C"/>
    <w:rsid w:val="00230E51"/>
    <w:rsid w:val="0023401B"/>
    <w:rsid w:val="00234D2D"/>
    <w:rsid w:val="00234F4C"/>
    <w:rsid w:val="00236112"/>
    <w:rsid w:val="00236DD3"/>
    <w:rsid w:val="00237785"/>
    <w:rsid w:val="00237A3B"/>
    <w:rsid w:val="002406B1"/>
    <w:rsid w:val="002410DD"/>
    <w:rsid w:val="00241466"/>
    <w:rsid w:val="002414A7"/>
    <w:rsid w:val="00242CE0"/>
    <w:rsid w:val="002431FF"/>
    <w:rsid w:val="00244D6C"/>
    <w:rsid w:val="00244F52"/>
    <w:rsid w:val="00246380"/>
    <w:rsid w:val="00247918"/>
    <w:rsid w:val="00247F20"/>
    <w:rsid w:val="0025057B"/>
    <w:rsid w:val="00253040"/>
    <w:rsid w:val="00253D58"/>
    <w:rsid w:val="002544FF"/>
    <w:rsid w:val="002546F5"/>
    <w:rsid w:val="00254B8A"/>
    <w:rsid w:val="00254C15"/>
    <w:rsid w:val="00256526"/>
    <w:rsid w:val="00256E46"/>
    <w:rsid w:val="0025700D"/>
    <w:rsid w:val="00261994"/>
    <w:rsid w:val="00261C6C"/>
    <w:rsid w:val="00262736"/>
    <w:rsid w:val="00262C4E"/>
    <w:rsid w:val="00262E09"/>
    <w:rsid w:val="00262F9C"/>
    <w:rsid w:val="00263D92"/>
    <w:rsid w:val="002644CB"/>
    <w:rsid w:val="002655F8"/>
    <w:rsid w:val="002667B9"/>
    <w:rsid w:val="00267A0A"/>
    <w:rsid w:val="00270145"/>
    <w:rsid w:val="002702DB"/>
    <w:rsid w:val="00271038"/>
    <w:rsid w:val="00271F00"/>
    <w:rsid w:val="00273674"/>
    <w:rsid w:val="002747DA"/>
    <w:rsid w:val="00274B15"/>
    <w:rsid w:val="002754D2"/>
    <w:rsid w:val="002765F5"/>
    <w:rsid w:val="00276984"/>
    <w:rsid w:val="0027725F"/>
    <w:rsid w:val="00280B4A"/>
    <w:rsid w:val="00280D65"/>
    <w:rsid w:val="002810DD"/>
    <w:rsid w:val="0028188A"/>
    <w:rsid w:val="00281AF1"/>
    <w:rsid w:val="00283327"/>
    <w:rsid w:val="00283538"/>
    <w:rsid w:val="00285881"/>
    <w:rsid w:val="00285933"/>
    <w:rsid w:val="00286131"/>
    <w:rsid w:val="00286EBB"/>
    <w:rsid w:val="00287992"/>
    <w:rsid w:val="00287F86"/>
    <w:rsid w:val="00291D95"/>
    <w:rsid w:val="00292342"/>
    <w:rsid w:val="00294BDF"/>
    <w:rsid w:val="00295B29"/>
    <w:rsid w:val="002A07F9"/>
    <w:rsid w:val="002A0BF4"/>
    <w:rsid w:val="002A14F9"/>
    <w:rsid w:val="002A486E"/>
    <w:rsid w:val="002A5BD0"/>
    <w:rsid w:val="002A6A47"/>
    <w:rsid w:val="002A7269"/>
    <w:rsid w:val="002B01BB"/>
    <w:rsid w:val="002B2A40"/>
    <w:rsid w:val="002B2AEF"/>
    <w:rsid w:val="002B31F8"/>
    <w:rsid w:val="002B3274"/>
    <w:rsid w:val="002B32CD"/>
    <w:rsid w:val="002B5C9C"/>
    <w:rsid w:val="002B6C94"/>
    <w:rsid w:val="002B6E3F"/>
    <w:rsid w:val="002B7042"/>
    <w:rsid w:val="002B7C3D"/>
    <w:rsid w:val="002C03BC"/>
    <w:rsid w:val="002C191A"/>
    <w:rsid w:val="002C209F"/>
    <w:rsid w:val="002C21F0"/>
    <w:rsid w:val="002C25F6"/>
    <w:rsid w:val="002C28E0"/>
    <w:rsid w:val="002C3051"/>
    <w:rsid w:val="002C47C7"/>
    <w:rsid w:val="002C495F"/>
    <w:rsid w:val="002C5F5B"/>
    <w:rsid w:val="002C6478"/>
    <w:rsid w:val="002C75F5"/>
    <w:rsid w:val="002D113B"/>
    <w:rsid w:val="002D1312"/>
    <w:rsid w:val="002D269B"/>
    <w:rsid w:val="002D31A0"/>
    <w:rsid w:val="002D3483"/>
    <w:rsid w:val="002D462A"/>
    <w:rsid w:val="002D4A5B"/>
    <w:rsid w:val="002D4BA3"/>
    <w:rsid w:val="002D4F23"/>
    <w:rsid w:val="002D52EB"/>
    <w:rsid w:val="002D58FF"/>
    <w:rsid w:val="002D6367"/>
    <w:rsid w:val="002D6899"/>
    <w:rsid w:val="002D7553"/>
    <w:rsid w:val="002D7704"/>
    <w:rsid w:val="002E0EF7"/>
    <w:rsid w:val="002E18C6"/>
    <w:rsid w:val="002E24ED"/>
    <w:rsid w:val="002E25D5"/>
    <w:rsid w:val="002E32C5"/>
    <w:rsid w:val="002E54C9"/>
    <w:rsid w:val="002E5646"/>
    <w:rsid w:val="002E7254"/>
    <w:rsid w:val="002E7724"/>
    <w:rsid w:val="002F0FD1"/>
    <w:rsid w:val="002F1D40"/>
    <w:rsid w:val="002F1DF8"/>
    <w:rsid w:val="002F2106"/>
    <w:rsid w:val="002F550F"/>
    <w:rsid w:val="002F5924"/>
    <w:rsid w:val="002F6075"/>
    <w:rsid w:val="002F6AE4"/>
    <w:rsid w:val="002F6CE5"/>
    <w:rsid w:val="002F7440"/>
    <w:rsid w:val="002F77F9"/>
    <w:rsid w:val="003008EC"/>
    <w:rsid w:val="0030493B"/>
    <w:rsid w:val="00304B0E"/>
    <w:rsid w:val="003107FA"/>
    <w:rsid w:val="0031118F"/>
    <w:rsid w:val="003113FC"/>
    <w:rsid w:val="00312E86"/>
    <w:rsid w:val="003132FE"/>
    <w:rsid w:val="00313EB7"/>
    <w:rsid w:val="003154C9"/>
    <w:rsid w:val="00315ADD"/>
    <w:rsid w:val="00320974"/>
    <w:rsid w:val="00320BA9"/>
    <w:rsid w:val="00322764"/>
    <w:rsid w:val="003229D8"/>
    <w:rsid w:val="0032333A"/>
    <w:rsid w:val="003242F2"/>
    <w:rsid w:val="003252DE"/>
    <w:rsid w:val="003256A6"/>
    <w:rsid w:val="00326202"/>
    <w:rsid w:val="003263DC"/>
    <w:rsid w:val="0032663D"/>
    <w:rsid w:val="00327528"/>
    <w:rsid w:val="00327529"/>
    <w:rsid w:val="003305FF"/>
    <w:rsid w:val="00331208"/>
    <w:rsid w:val="003314D1"/>
    <w:rsid w:val="003317F0"/>
    <w:rsid w:val="00331F61"/>
    <w:rsid w:val="0033270E"/>
    <w:rsid w:val="00332FCC"/>
    <w:rsid w:val="0033302D"/>
    <w:rsid w:val="003344E6"/>
    <w:rsid w:val="00334999"/>
    <w:rsid w:val="00335A2F"/>
    <w:rsid w:val="00340294"/>
    <w:rsid w:val="00340B16"/>
    <w:rsid w:val="0034110B"/>
    <w:rsid w:val="00341937"/>
    <w:rsid w:val="00341B8C"/>
    <w:rsid w:val="00342F06"/>
    <w:rsid w:val="003453D4"/>
    <w:rsid w:val="003477FF"/>
    <w:rsid w:val="00350182"/>
    <w:rsid w:val="0035199B"/>
    <w:rsid w:val="00351C37"/>
    <w:rsid w:val="0035354D"/>
    <w:rsid w:val="0035400E"/>
    <w:rsid w:val="003548F7"/>
    <w:rsid w:val="00356EF2"/>
    <w:rsid w:val="003578AA"/>
    <w:rsid w:val="0036085D"/>
    <w:rsid w:val="00361237"/>
    <w:rsid w:val="003614E5"/>
    <w:rsid w:val="00362337"/>
    <w:rsid w:val="00362863"/>
    <w:rsid w:val="003630A8"/>
    <w:rsid w:val="00365442"/>
    <w:rsid w:val="00372F69"/>
    <w:rsid w:val="00373FF2"/>
    <w:rsid w:val="003767B4"/>
    <w:rsid w:val="00376CAF"/>
    <w:rsid w:val="00381DA5"/>
    <w:rsid w:val="003820EA"/>
    <w:rsid w:val="00382C2B"/>
    <w:rsid w:val="003851CE"/>
    <w:rsid w:val="00385C4F"/>
    <w:rsid w:val="00385E46"/>
    <w:rsid w:val="0038723E"/>
    <w:rsid w:val="00387593"/>
    <w:rsid w:val="00387A2C"/>
    <w:rsid w:val="00391289"/>
    <w:rsid w:val="0039277A"/>
    <w:rsid w:val="003931CD"/>
    <w:rsid w:val="00393231"/>
    <w:rsid w:val="003935E3"/>
    <w:rsid w:val="003941EC"/>
    <w:rsid w:val="00395D7C"/>
    <w:rsid w:val="003967B7"/>
    <w:rsid w:val="00396934"/>
    <w:rsid w:val="003972E0"/>
    <w:rsid w:val="0039737A"/>
    <w:rsid w:val="003975ED"/>
    <w:rsid w:val="003A06FD"/>
    <w:rsid w:val="003A0A8C"/>
    <w:rsid w:val="003A13D5"/>
    <w:rsid w:val="003A17EB"/>
    <w:rsid w:val="003A19BC"/>
    <w:rsid w:val="003A1AA0"/>
    <w:rsid w:val="003A2464"/>
    <w:rsid w:val="003A2951"/>
    <w:rsid w:val="003A352D"/>
    <w:rsid w:val="003A4014"/>
    <w:rsid w:val="003A45E2"/>
    <w:rsid w:val="003A67AD"/>
    <w:rsid w:val="003A6CE6"/>
    <w:rsid w:val="003A730A"/>
    <w:rsid w:val="003A79AE"/>
    <w:rsid w:val="003B0724"/>
    <w:rsid w:val="003B23CC"/>
    <w:rsid w:val="003B2FA8"/>
    <w:rsid w:val="003B4633"/>
    <w:rsid w:val="003B517C"/>
    <w:rsid w:val="003B5648"/>
    <w:rsid w:val="003B5ACB"/>
    <w:rsid w:val="003B5EF8"/>
    <w:rsid w:val="003B64C6"/>
    <w:rsid w:val="003B7858"/>
    <w:rsid w:val="003B7B68"/>
    <w:rsid w:val="003B7CC4"/>
    <w:rsid w:val="003C01D3"/>
    <w:rsid w:val="003C0287"/>
    <w:rsid w:val="003C2CC4"/>
    <w:rsid w:val="003C2D56"/>
    <w:rsid w:val="003C33D0"/>
    <w:rsid w:val="003C3735"/>
    <w:rsid w:val="003C4F99"/>
    <w:rsid w:val="003C51DA"/>
    <w:rsid w:val="003C51E1"/>
    <w:rsid w:val="003D0787"/>
    <w:rsid w:val="003D132C"/>
    <w:rsid w:val="003D1375"/>
    <w:rsid w:val="003D1D41"/>
    <w:rsid w:val="003D4B23"/>
    <w:rsid w:val="003D4B93"/>
    <w:rsid w:val="003D4CDF"/>
    <w:rsid w:val="003D633B"/>
    <w:rsid w:val="003E2219"/>
    <w:rsid w:val="003E23E1"/>
    <w:rsid w:val="003E3599"/>
    <w:rsid w:val="003E3A48"/>
    <w:rsid w:val="003E477E"/>
    <w:rsid w:val="003E51FE"/>
    <w:rsid w:val="003E5B34"/>
    <w:rsid w:val="003F0C30"/>
    <w:rsid w:val="003F15AC"/>
    <w:rsid w:val="003F18E3"/>
    <w:rsid w:val="003F2274"/>
    <w:rsid w:val="003F5A08"/>
    <w:rsid w:val="003F5AB3"/>
    <w:rsid w:val="003F6223"/>
    <w:rsid w:val="003F6E0B"/>
    <w:rsid w:val="003F772B"/>
    <w:rsid w:val="0040128A"/>
    <w:rsid w:val="00402B2A"/>
    <w:rsid w:val="00403084"/>
    <w:rsid w:val="0040467D"/>
    <w:rsid w:val="00405F59"/>
    <w:rsid w:val="00406670"/>
    <w:rsid w:val="0040706B"/>
    <w:rsid w:val="00407468"/>
    <w:rsid w:val="004077DF"/>
    <w:rsid w:val="00410348"/>
    <w:rsid w:val="0041136E"/>
    <w:rsid w:val="00411641"/>
    <w:rsid w:val="004119DE"/>
    <w:rsid w:val="00411BA4"/>
    <w:rsid w:val="00411C31"/>
    <w:rsid w:val="004123F1"/>
    <w:rsid w:val="004123F2"/>
    <w:rsid w:val="00413AC6"/>
    <w:rsid w:val="00413FD1"/>
    <w:rsid w:val="00414AD5"/>
    <w:rsid w:val="004155C1"/>
    <w:rsid w:val="0041641C"/>
    <w:rsid w:val="00417CAF"/>
    <w:rsid w:val="00420369"/>
    <w:rsid w:val="00421D69"/>
    <w:rsid w:val="004224B3"/>
    <w:rsid w:val="0042259C"/>
    <w:rsid w:val="00423B00"/>
    <w:rsid w:val="00424C80"/>
    <w:rsid w:val="00427492"/>
    <w:rsid w:val="00430884"/>
    <w:rsid w:val="00430D10"/>
    <w:rsid w:val="004318AB"/>
    <w:rsid w:val="0043223F"/>
    <w:rsid w:val="004325CB"/>
    <w:rsid w:val="00432DBC"/>
    <w:rsid w:val="00432EF0"/>
    <w:rsid w:val="00434A80"/>
    <w:rsid w:val="00436C02"/>
    <w:rsid w:val="004404B2"/>
    <w:rsid w:val="00440EC3"/>
    <w:rsid w:val="0044121D"/>
    <w:rsid w:val="00442D41"/>
    <w:rsid w:val="00442FFD"/>
    <w:rsid w:val="004446F9"/>
    <w:rsid w:val="00444D4E"/>
    <w:rsid w:val="0044503A"/>
    <w:rsid w:val="00445CD8"/>
    <w:rsid w:val="00445D20"/>
    <w:rsid w:val="00446364"/>
    <w:rsid w:val="0044653E"/>
    <w:rsid w:val="00446DE4"/>
    <w:rsid w:val="00447212"/>
    <w:rsid w:val="00447761"/>
    <w:rsid w:val="00451544"/>
    <w:rsid w:val="00451EC3"/>
    <w:rsid w:val="00452D9D"/>
    <w:rsid w:val="004553F5"/>
    <w:rsid w:val="004570FC"/>
    <w:rsid w:val="00460474"/>
    <w:rsid w:val="004605D5"/>
    <w:rsid w:val="00460B6B"/>
    <w:rsid w:val="00460D7D"/>
    <w:rsid w:val="004615B2"/>
    <w:rsid w:val="004617FC"/>
    <w:rsid w:val="00461CE4"/>
    <w:rsid w:val="004639AE"/>
    <w:rsid w:val="004640F0"/>
    <w:rsid w:val="004646FC"/>
    <w:rsid w:val="0046771E"/>
    <w:rsid w:val="0046774C"/>
    <w:rsid w:val="00470A70"/>
    <w:rsid w:val="00470CCC"/>
    <w:rsid w:val="00470F9F"/>
    <w:rsid w:val="0047152C"/>
    <w:rsid w:val="004717DA"/>
    <w:rsid w:val="004721B1"/>
    <w:rsid w:val="004724F5"/>
    <w:rsid w:val="00472617"/>
    <w:rsid w:val="00472BBE"/>
    <w:rsid w:val="00472FC8"/>
    <w:rsid w:val="00473246"/>
    <w:rsid w:val="00473EFC"/>
    <w:rsid w:val="00473FEE"/>
    <w:rsid w:val="00474265"/>
    <w:rsid w:val="0047454C"/>
    <w:rsid w:val="00475ACE"/>
    <w:rsid w:val="00476198"/>
    <w:rsid w:val="0047621E"/>
    <w:rsid w:val="0048008C"/>
    <w:rsid w:val="00480A3B"/>
    <w:rsid w:val="00480E1D"/>
    <w:rsid w:val="00483009"/>
    <w:rsid w:val="00484247"/>
    <w:rsid w:val="00485169"/>
    <w:rsid w:val="004859EC"/>
    <w:rsid w:val="004864A9"/>
    <w:rsid w:val="004918CD"/>
    <w:rsid w:val="00492222"/>
    <w:rsid w:val="0049365E"/>
    <w:rsid w:val="00495703"/>
    <w:rsid w:val="00496805"/>
    <w:rsid w:val="00496A15"/>
    <w:rsid w:val="00496DA7"/>
    <w:rsid w:val="00497563"/>
    <w:rsid w:val="004978E1"/>
    <w:rsid w:val="00497E9A"/>
    <w:rsid w:val="004A008C"/>
    <w:rsid w:val="004A1B1B"/>
    <w:rsid w:val="004A2C3D"/>
    <w:rsid w:val="004A3302"/>
    <w:rsid w:val="004A3B54"/>
    <w:rsid w:val="004A49E1"/>
    <w:rsid w:val="004A4D35"/>
    <w:rsid w:val="004A4DB4"/>
    <w:rsid w:val="004A654E"/>
    <w:rsid w:val="004A7A04"/>
    <w:rsid w:val="004B0D87"/>
    <w:rsid w:val="004B1B73"/>
    <w:rsid w:val="004B2F0F"/>
    <w:rsid w:val="004B301F"/>
    <w:rsid w:val="004B429A"/>
    <w:rsid w:val="004B4A1B"/>
    <w:rsid w:val="004B5BF9"/>
    <w:rsid w:val="004B6ACB"/>
    <w:rsid w:val="004B6B3E"/>
    <w:rsid w:val="004B75D2"/>
    <w:rsid w:val="004C06A2"/>
    <w:rsid w:val="004C14BF"/>
    <w:rsid w:val="004C35C0"/>
    <w:rsid w:val="004C3B43"/>
    <w:rsid w:val="004C4281"/>
    <w:rsid w:val="004C477E"/>
    <w:rsid w:val="004C4C4A"/>
    <w:rsid w:val="004C56E0"/>
    <w:rsid w:val="004C6432"/>
    <w:rsid w:val="004C68C2"/>
    <w:rsid w:val="004C7267"/>
    <w:rsid w:val="004C7308"/>
    <w:rsid w:val="004C7DD2"/>
    <w:rsid w:val="004D0203"/>
    <w:rsid w:val="004D031C"/>
    <w:rsid w:val="004D1062"/>
    <w:rsid w:val="004D1140"/>
    <w:rsid w:val="004D22E0"/>
    <w:rsid w:val="004D33B2"/>
    <w:rsid w:val="004D36D2"/>
    <w:rsid w:val="004D3ACE"/>
    <w:rsid w:val="004D4725"/>
    <w:rsid w:val="004D4C0A"/>
    <w:rsid w:val="004D65F1"/>
    <w:rsid w:val="004D67AC"/>
    <w:rsid w:val="004D6870"/>
    <w:rsid w:val="004D68CB"/>
    <w:rsid w:val="004E0F34"/>
    <w:rsid w:val="004E1E56"/>
    <w:rsid w:val="004E4AA8"/>
    <w:rsid w:val="004E65E2"/>
    <w:rsid w:val="004E7D40"/>
    <w:rsid w:val="004F0266"/>
    <w:rsid w:val="004F0EE7"/>
    <w:rsid w:val="004F39AD"/>
    <w:rsid w:val="004F3AA7"/>
    <w:rsid w:val="004F43EC"/>
    <w:rsid w:val="004F5063"/>
    <w:rsid w:val="004F55ED"/>
    <w:rsid w:val="004F62C9"/>
    <w:rsid w:val="004F6A59"/>
    <w:rsid w:val="0050073B"/>
    <w:rsid w:val="00500C23"/>
    <w:rsid w:val="005014F4"/>
    <w:rsid w:val="00501FCC"/>
    <w:rsid w:val="00502A76"/>
    <w:rsid w:val="00502B79"/>
    <w:rsid w:val="005048C9"/>
    <w:rsid w:val="00504C73"/>
    <w:rsid w:val="00504F8B"/>
    <w:rsid w:val="0050500A"/>
    <w:rsid w:val="00505522"/>
    <w:rsid w:val="00506011"/>
    <w:rsid w:val="005064F1"/>
    <w:rsid w:val="005077CE"/>
    <w:rsid w:val="00510229"/>
    <w:rsid w:val="005134EF"/>
    <w:rsid w:val="005149B8"/>
    <w:rsid w:val="005159C2"/>
    <w:rsid w:val="00515ADC"/>
    <w:rsid w:val="00516486"/>
    <w:rsid w:val="00517BD3"/>
    <w:rsid w:val="00520090"/>
    <w:rsid w:val="0052176C"/>
    <w:rsid w:val="00521B52"/>
    <w:rsid w:val="00521EC0"/>
    <w:rsid w:val="00522FC0"/>
    <w:rsid w:val="005244DE"/>
    <w:rsid w:val="00525FB0"/>
    <w:rsid w:val="005261E5"/>
    <w:rsid w:val="0052645D"/>
    <w:rsid w:val="00526710"/>
    <w:rsid w:val="00527515"/>
    <w:rsid w:val="00527EC8"/>
    <w:rsid w:val="005302BA"/>
    <w:rsid w:val="005308D2"/>
    <w:rsid w:val="005328D7"/>
    <w:rsid w:val="00533AA7"/>
    <w:rsid w:val="005345F2"/>
    <w:rsid w:val="00534E68"/>
    <w:rsid w:val="0053520C"/>
    <w:rsid w:val="005353C4"/>
    <w:rsid w:val="0053618E"/>
    <w:rsid w:val="005366E2"/>
    <w:rsid w:val="00536BC9"/>
    <w:rsid w:val="00536CD0"/>
    <w:rsid w:val="00537C18"/>
    <w:rsid w:val="0054017A"/>
    <w:rsid w:val="005409E8"/>
    <w:rsid w:val="005409ED"/>
    <w:rsid w:val="005420F2"/>
    <w:rsid w:val="005421F3"/>
    <w:rsid w:val="00542574"/>
    <w:rsid w:val="0054263E"/>
    <w:rsid w:val="005436AB"/>
    <w:rsid w:val="00544307"/>
    <w:rsid w:val="00544678"/>
    <w:rsid w:val="00546DBF"/>
    <w:rsid w:val="0055071F"/>
    <w:rsid w:val="005515B5"/>
    <w:rsid w:val="0055379B"/>
    <w:rsid w:val="00553D76"/>
    <w:rsid w:val="00554900"/>
    <w:rsid w:val="00554D52"/>
    <w:rsid w:val="005552B5"/>
    <w:rsid w:val="00555536"/>
    <w:rsid w:val="0055555A"/>
    <w:rsid w:val="00555CB8"/>
    <w:rsid w:val="0055657E"/>
    <w:rsid w:val="005574C5"/>
    <w:rsid w:val="00557D15"/>
    <w:rsid w:val="0056117B"/>
    <w:rsid w:val="00561565"/>
    <w:rsid w:val="0056314F"/>
    <w:rsid w:val="00563286"/>
    <w:rsid w:val="00564678"/>
    <w:rsid w:val="00564F7C"/>
    <w:rsid w:val="005656AB"/>
    <w:rsid w:val="0056609D"/>
    <w:rsid w:val="0056610E"/>
    <w:rsid w:val="005661A8"/>
    <w:rsid w:val="005703FA"/>
    <w:rsid w:val="0057071F"/>
    <w:rsid w:val="00571365"/>
    <w:rsid w:val="00572F49"/>
    <w:rsid w:val="00573300"/>
    <w:rsid w:val="0057402E"/>
    <w:rsid w:val="00575435"/>
    <w:rsid w:val="00575458"/>
    <w:rsid w:val="005758A5"/>
    <w:rsid w:val="0057648E"/>
    <w:rsid w:val="00576CBD"/>
    <w:rsid w:val="00577347"/>
    <w:rsid w:val="0057736D"/>
    <w:rsid w:val="00577B11"/>
    <w:rsid w:val="005801C1"/>
    <w:rsid w:val="005802E6"/>
    <w:rsid w:val="00580E6E"/>
    <w:rsid w:val="0058299A"/>
    <w:rsid w:val="00582E1B"/>
    <w:rsid w:val="00583FBD"/>
    <w:rsid w:val="00584125"/>
    <w:rsid w:val="005843F3"/>
    <w:rsid w:val="00584BF6"/>
    <w:rsid w:val="00587C53"/>
    <w:rsid w:val="005905BB"/>
    <w:rsid w:val="00590CE5"/>
    <w:rsid w:val="00591385"/>
    <w:rsid w:val="005934C7"/>
    <w:rsid w:val="00593A42"/>
    <w:rsid w:val="005950AF"/>
    <w:rsid w:val="00595214"/>
    <w:rsid w:val="00595527"/>
    <w:rsid w:val="0059593B"/>
    <w:rsid w:val="00596ACA"/>
    <w:rsid w:val="00596D9B"/>
    <w:rsid w:val="0059752F"/>
    <w:rsid w:val="005A02E7"/>
    <w:rsid w:val="005A2A33"/>
    <w:rsid w:val="005A2C60"/>
    <w:rsid w:val="005A36A9"/>
    <w:rsid w:val="005A3CD8"/>
    <w:rsid w:val="005A4F5C"/>
    <w:rsid w:val="005A6046"/>
    <w:rsid w:val="005A6F8F"/>
    <w:rsid w:val="005A7315"/>
    <w:rsid w:val="005B0148"/>
    <w:rsid w:val="005B0FC9"/>
    <w:rsid w:val="005B1006"/>
    <w:rsid w:val="005B122D"/>
    <w:rsid w:val="005B33C8"/>
    <w:rsid w:val="005B3DB3"/>
    <w:rsid w:val="005B4461"/>
    <w:rsid w:val="005B490A"/>
    <w:rsid w:val="005B56C9"/>
    <w:rsid w:val="005B6E48"/>
    <w:rsid w:val="005B7B86"/>
    <w:rsid w:val="005C0E6A"/>
    <w:rsid w:val="005C1F08"/>
    <w:rsid w:val="005C1F45"/>
    <w:rsid w:val="005C215A"/>
    <w:rsid w:val="005C271D"/>
    <w:rsid w:val="005C2C83"/>
    <w:rsid w:val="005C44D2"/>
    <w:rsid w:val="005C5311"/>
    <w:rsid w:val="005C5690"/>
    <w:rsid w:val="005C67E6"/>
    <w:rsid w:val="005C6E50"/>
    <w:rsid w:val="005C758D"/>
    <w:rsid w:val="005C7727"/>
    <w:rsid w:val="005C773A"/>
    <w:rsid w:val="005C7B3B"/>
    <w:rsid w:val="005D0381"/>
    <w:rsid w:val="005D0B3A"/>
    <w:rsid w:val="005D1199"/>
    <w:rsid w:val="005D2910"/>
    <w:rsid w:val="005D2AE4"/>
    <w:rsid w:val="005D3468"/>
    <w:rsid w:val="005D416C"/>
    <w:rsid w:val="005D4369"/>
    <w:rsid w:val="005D4998"/>
    <w:rsid w:val="005D554B"/>
    <w:rsid w:val="005D608B"/>
    <w:rsid w:val="005D70BE"/>
    <w:rsid w:val="005D7788"/>
    <w:rsid w:val="005D7BC1"/>
    <w:rsid w:val="005E05F2"/>
    <w:rsid w:val="005E15C8"/>
    <w:rsid w:val="005E1712"/>
    <w:rsid w:val="005E18BF"/>
    <w:rsid w:val="005E2603"/>
    <w:rsid w:val="005E2964"/>
    <w:rsid w:val="005E2F8C"/>
    <w:rsid w:val="005E46D3"/>
    <w:rsid w:val="005E486C"/>
    <w:rsid w:val="005E58FC"/>
    <w:rsid w:val="005E6A2E"/>
    <w:rsid w:val="005E72A0"/>
    <w:rsid w:val="005F0E73"/>
    <w:rsid w:val="005F2024"/>
    <w:rsid w:val="005F3008"/>
    <w:rsid w:val="005F3BF7"/>
    <w:rsid w:val="005F4D22"/>
    <w:rsid w:val="005F6A4D"/>
    <w:rsid w:val="005F6D8D"/>
    <w:rsid w:val="005F7A88"/>
    <w:rsid w:val="00603418"/>
    <w:rsid w:val="0060395F"/>
    <w:rsid w:val="006042AE"/>
    <w:rsid w:val="00605298"/>
    <w:rsid w:val="006054B2"/>
    <w:rsid w:val="00605878"/>
    <w:rsid w:val="0060787D"/>
    <w:rsid w:val="00610040"/>
    <w:rsid w:val="00611FC4"/>
    <w:rsid w:val="00613011"/>
    <w:rsid w:val="00614681"/>
    <w:rsid w:val="006149F8"/>
    <w:rsid w:val="00614AB3"/>
    <w:rsid w:val="00615512"/>
    <w:rsid w:val="006158C5"/>
    <w:rsid w:val="0061618B"/>
    <w:rsid w:val="00616ED8"/>
    <w:rsid w:val="0061738E"/>
    <w:rsid w:val="006176FB"/>
    <w:rsid w:val="0062113D"/>
    <w:rsid w:val="00622421"/>
    <w:rsid w:val="0062364F"/>
    <w:rsid w:val="0062382F"/>
    <w:rsid w:val="006242B7"/>
    <w:rsid w:val="006249AD"/>
    <w:rsid w:val="006249B1"/>
    <w:rsid w:val="00624B6E"/>
    <w:rsid w:val="00625610"/>
    <w:rsid w:val="0062598E"/>
    <w:rsid w:val="00626EE3"/>
    <w:rsid w:val="006277BB"/>
    <w:rsid w:val="00627A57"/>
    <w:rsid w:val="0063010B"/>
    <w:rsid w:val="00630A64"/>
    <w:rsid w:val="00630BAB"/>
    <w:rsid w:val="0063262B"/>
    <w:rsid w:val="006326E4"/>
    <w:rsid w:val="00635A9E"/>
    <w:rsid w:val="006375AF"/>
    <w:rsid w:val="00640B26"/>
    <w:rsid w:val="0064235D"/>
    <w:rsid w:val="006467D5"/>
    <w:rsid w:val="00647251"/>
    <w:rsid w:val="006505B7"/>
    <w:rsid w:val="00650836"/>
    <w:rsid w:val="0065098D"/>
    <w:rsid w:val="006509C5"/>
    <w:rsid w:val="006519F3"/>
    <w:rsid w:val="006520E0"/>
    <w:rsid w:val="006524C7"/>
    <w:rsid w:val="0065306E"/>
    <w:rsid w:val="006542C7"/>
    <w:rsid w:val="006542E3"/>
    <w:rsid w:val="00654BD9"/>
    <w:rsid w:val="00655CA0"/>
    <w:rsid w:val="00656EE9"/>
    <w:rsid w:val="00661DB8"/>
    <w:rsid w:val="00662513"/>
    <w:rsid w:val="00664F83"/>
    <w:rsid w:val="00665E63"/>
    <w:rsid w:val="00667B7D"/>
    <w:rsid w:val="00670062"/>
    <w:rsid w:val="00670533"/>
    <w:rsid w:val="00670741"/>
    <w:rsid w:val="00671C0E"/>
    <w:rsid w:val="00672040"/>
    <w:rsid w:val="006724FE"/>
    <w:rsid w:val="006725B2"/>
    <w:rsid w:val="00674386"/>
    <w:rsid w:val="00674CCE"/>
    <w:rsid w:val="0067555D"/>
    <w:rsid w:val="0067584E"/>
    <w:rsid w:val="00675CF6"/>
    <w:rsid w:val="006764A4"/>
    <w:rsid w:val="00676F5F"/>
    <w:rsid w:val="006778CD"/>
    <w:rsid w:val="006778F4"/>
    <w:rsid w:val="00680FD4"/>
    <w:rsid w:val="00681398"/>
    <w:rsid w:val="00681C89"/>
    <w:rsid w:val="00682806"/>
    <w:rsid w:val="006828A3"/>
    <w:rsid w:val="0068318D"/>
    <w:rsid w:val="00683D76"/>
    <w:rsid w:val="006841B6"/>
    <w:rsid w:val="006842B4"/>
    <w:rsid w:val="0068660E"/>
    <w:rsid w:val="00686917"/>
    <w:rsid w:val="00687309"/>
    <w:rsid w:val="00690DBC"/>
    <w:rsid w:val="00693EC8"/>
    <w:rsid w:val="0069428D"/>
    <w:rsid w:val="0069652F"/>
    <w:rsid w:val="006965F0"/>
    <w:rsid w:val="006968FD"/>
    <w:rsid w:val="00696999"/>
    <w:rsid w:val="00696BD6"/>
    <w:rsid w:val="00696C50"/>
    <w:rsid w:val="006970E6"/>
    <w:rsid w:val="00697F2D"/>
    <w:rsid w:val="006A0466"/>
    <w:rsid w:val="006A1303"/>
    <w:rsid w:val="006A1F29"/>
    <w:rsid w:val="006A33C5"/>
    <w:rsid w:val="006A6B9D"/>
    <w:rsid w:val="006A71F5"/>
    <w:rsid w:val="006A7392"/>
    <w:rsid w:val="006A7A4D"/>
    <w:rsid w:val="006A7AD0"/>
    <w:rsid w:val="006B012E"/>
    <w:rsid w:val="006B1638"/>
    <w:rsid w:val="006B3011"/>
    <w:rsid w:val="006B3189"/>
    <w:rsid w:val="006B3D6B"/>
    <w:rsid w:val="006B3FDB"/>
    <w:rsid w:val="006B5609"/>
    <w:rsid w:val="006B73A9"/>
    <w:rsid w:val="006B7778"/>
    <w:rsid w:val="006B7A17"/>
    <w:rsid w:val="006B7AE1"/>
    <w:rsid w:val="006B7D65"/>
    <w:rsid w:val="006C21FE"/>
    <w:rsid w:val="006C235D"/>
    <w:rsid w:val="006C23FB"/>
    <w:rsid w:val="006C2E9C"/>
    <w:rsid w:val="006C3A9E"/>
    <w:rsid w:val="006C3D21"/>
    <w:rsid w:val="006C4A35"/>
    <w:rsid w:val="006C5C80"/>
    <w:rsid w:val="006C6135"/>
    <w:rsid w:val="006C62F7"/>
    <w:rsid w:val="006C6C99"/>
    <w:rsid w:val="006C7F03"/>
    <w:rsid w:val="006D0ED6"/>
    <w:rsid w:val="006D1AF1"/>
    <w:rsid w:val="006D2F0F"/>
    <w:rsid w:val="006D2FB6"/>
    <w:rsid w:val="006D32F0"/>
    <w:rsid w:val="006D36D1"/>
    <w:rsid w:val="006D48E1"/>
    <w:rsid w:val="006D6469"/>
    <w:rsid w:val="006D6DA6"/>
    <w:rsid w:val="006E1AF3"/>
    <w:rsid w:val="006E3222"/>
    <w:rsid w:val="006E3A1F"/>
    <w:rsid w:val="006E4720"/>
    <w:rsid w:val="006E4E3D"/>
    <w:rsid w:val="006E4E4F"/>
    <w:rsid w:val="006E55E0"/>
    <w:rsid w:val="006E564B"/>
    <w:rsid w:val="006E5852"/>
    <w:rsid w:val="006E639A"/>
    <w:rsid w:val="006E6747"/>
    <w:rsid w:val="006E6914"/>
    <w:rsid w:val="006E6AC2"/>
    <w:rsid w:val="006E6B29"/>
    <w:rsid w:val="006E6CAB"/>
    <w:rsid w:val="006F06C7"/>
    <w:rsid w:val="006F13F0"/>
    <w:rsid w:val="006F1EC7"/>
    <w:rsid w:val="006F23FA"/>
    <w:rsid w:val="006F27B6"/>
    <w:rsid w:val="006F2AA3"/>
    <w:rsid w:val="006F4032"/>
    <w:rsid w:val="006F4461"/>
    <w:rsid w:val="006F4D4F"/>
    <w:rsid w:val="006F5035"/>
    <w:rsid w:val="006F714C"/>
    <w:rsid w:val="006F7978"/>
    <w:rsid w:val="00700F70"/>
    <w:rsid w:val="00702492"/>
    <w:rsid w:val="007032B8"/>
    <w:rsid w:val="00703B1E"/>
    <w:rsid w:val="00703D17"/>
    <w:rsid w:val="007065EB"/>
    <w:rsid w:val="00706B50"/>
    <w:rsid w:val="00710B4C"/>
    <w:rsid w:val="00711B37"/>
    <w:rsid w:val="00714B7E"/>
    <w:rsid w:val="00715D8A"/>
    <w:rsid w:val="00715ED6"/>
    <w:rsid w:val="00720183"/>
    <w:rsid w:val="00720E90"/>
    <w:rsid w:val="0072260E"/>
    <w:rsid w:val="00723AAC"/>
    <w:rsid w:val="007241F5"/>
    <w:rsid w:val="007241FB"/>
    <w:rsid w:val="007243B4"/>
    <w:rsid w:val="00724468"/>
    <w:rsid w:val="00724FBE"/>
    <w:rsid w:val="0072632A"/>
    <w:rsid w:val="00726A77"/>
    <w:rsid w:val="00730AC6"/>
    <w:rsid w:val="00730B3E"/>
    <w:rsid w:val="00730E32"/>
    <w:rsid w:val="007336A1"/>
    <w:rsid w:val="00733E34"/>
    <w:rsid w:val="00734547"/>
    <w:rsid w:val="00734BBE"/>
    <w:rsid w:val="007356FB"/>
    <w:rsid w:val="00735B5F"/>
    <w:rsid w:val="00737B66"/>
    <w:rsid w:val="0074026D"/>
    <w:rsid w:val="00740699"/>
    <w:rsid w:val="0074200B"/>
    <w:rsid w:val="0074230F"/>
    <w:rsid w:val="007429F5"/>
    <w:rsid w:val="00744382"/>
    <w:rsid w:val="00745F70"/>
    <w:rsid w:val="00745FBF"/>
    <w:rsid w:val="0074613F"/>
    <w:rsid w:val="007513E5"/>
    <w:rsid w:val="00751BEB"/>
    <w:rsid w:val="00751CB3"/>
    <w:rsid w:val="00752045"/>
    <w:rsid w:val="0075213A"/>
    <w:rsid w:val="007521CF"/>
    <w:rsid w:val="0075390D"/>
    <w:rsid w:val="00753943"/>
    <w:rsid w:val="007543C4"/>
    <w:rsid w:val="00754E22"/>
    <w:rsid w:val="00754FDE"/>
    <w:rsid w:val="00755443"/>
    <w:rsid w:val="00755870"/>
    <w:rsid w:val="007558B2"/>
    <w:rsid w:val="00755B78"/>
    <w:rsid w:val="007566B2"/>
    <w:rsid w:val="007572D2"/>
    <w:rsid w:val="007610A5"/>
    <w:rsid w:val="00761520"/>
    <w:rsid w:val="00761C4D"/>
    <w:rsid w:val="00762810"/>
    <w:rsid w:val="00763458"/>
    <w:rsid w:val="007634D5"/>
    <w:rsid w:val="00764C97"/>
    <w:rsid w:val="007655C2"/>
    <w:rsid w:val="00766306"/>
    <w:rsid w:val="00766EEF"/>
    <w:rsid w:val="0076700D"/>
    <w:rsid w:val="00767CD6"/>
    <w:rsid w:val="00770135"/>
    <w:rsid w:val="007717BF"/>
    <w:rsid w:val="00771A10"/>
    <w:rsid w:val="00771A86"/>
    <w:rsid w:val="00771EFF"/>
    <w:rsid w:val="00772213"/>
    <w:rsid w:val="00772CC7"/>
    <w:rsid w:val="00772D70"/>
    <w:rsid w:val="00773149"/>
    <w:rsid w:val="00773E14"/>
    <w:rsid w:val="0077685C"/>
    <w:rsid w:val="00776F49"/>
    <w:rsid w:val="00777D88"/>
    <w:rsid w:val="00780247"/>
    <w:rsid w:val="00782604"/>
    <w:rsid w:val="00782B38"/>
    <w:rsid w:val="00783EF2"/>
    <w:rsid w:val="00784977"/>
    <w:rsid w:val="007855A6"/>
    <w:rsid w:val="007868B5"/>
    <w:rsid w:val="007871B3"/>
    <w:rsid w:val="00787636"/>
    <w:rsid w:val="00790475"/>
    <w:rsid w:val="007908FF"/>
    <w:rsid w:val="00790AB8"/>
    <w:rsid w:val="007924BF"/>
    <w:rsid w:val="00792BB8"/>
    <w:rsid w:val="00792EDD"/>
    <w:rsid w:val="00794C48"/>
    <w:rsid w:val="00796B1F"/>
    <w:rsid w:val="00796DBA"/>
    <w:rsid w:val="00797662"/>
    <w:rsid w:val="007A083C"/>
    <w:rsid w:val="007A3A71"/>
    <w:rsid w:val="007A5D8B"/>
    <w:rsid w:val="007A6296"/>
    <w:rsid w:val="007A6D0C"/>
    <w:rsid w:val="007B1B10"/>
    <w:rsid w:val="007B2CBD"/>
    <w:rsid w:val="007B3734"/>
    <w:rsid w:val="007B58FE"/>
    <w:rsid w:val="007B5C3C"/>
    <w:rsid w:val="007B6BA5"/>
    <w:rsid w:val="007B6F9C"/>
    <w:rsid w:val="007B6FBF"/>
    <w:rsid w:val="007B77C9"/>
    <w:rsid w:val="007C1A27"/>
    <w:rsid w:val="007C1B62"/>
    <w:rsid w:val="007C30AB"/>
    <w:rsid w:val="007C31FB"/>
    <w:rsid w:val="007C3390"/>
    <w:rsid w:val="007C4F4B"/>
    <w:rsid w:val="007C539F"/>
    <w:rsid w:val="007C632B"/>
    <w:rsid w:val="007C7108"/>
    <w:rsid w:val="007C78CB"/>
    <w:rsid w:val="007D2CDC"/>
    <w:rsid w:val="007D3B44"/>
    <w:rsid w:val="007D3EC7"/>
    <w:rsid w:val="007D4171"/>
    <w:rsid w:val="007D4680"/>
    <w:rsid w:val="007D4C51"/>
    <w:rsid w:val="007D5327"/>
    <w:rsid w:val="007D54C2"/>
    <w:rsid w:val="007D6557"/>
    <w:rsid w:val="007D685B"/>
    <w:rsid w:val="007D7E10"/>
    <w:rsid w:val="007E1C66"/>
    <w:rsid w:val="007E4ABF"/>
    <w:rsid w:val="007E5AB7"/>
    <w:rsid w:val="007E5BA8"/>
    <w:rsid w:val="007E5C99"/>
    <w:rsid w:val="007E60FD"/>
    <w:rsid w:val="007F00AE"/>
    <w:rsid w:val="007F032E"/>
    <w:rsid w:val="007F1132"/>
    <w:rsid w:val="007F26B1"/>
    <w:rsid w:val="007F2748"/>
    <w:rsid w:val="007F4127"/>
    <w:rsid w:val="007F491D"/>
    <w:rsid w:val="007F5E2E"/>
    <w:rsid w:val="007F6611"/>
    <w:rsid w:val="007F7EFF"/>
    <w:rsid w:val="007F7F87"/>
    <w:rsid w:val="00800B81"/>
    <w:rsid w:val="00801B26"/>
    <w:rsid w:val="00802103"/>
    <w:rsid w:val="00802EF5"/>
    <w:rsid w:val="0080303B"/>
    <w:rsid w:val="008046DE"/>
    <w:rsid w:val="008046F8"/>
    <w:rsid w:val="00804F39"/>
    <w:rsid w:val="00806F32"/>
    <w:rsid w:val="00810A76"/>
    <w:rsid w:val="00810E2C"/>
    <w:rsid w:val="0081156A"/>
    <w:rsid w:val="00811A58"/>
    <w:rsid w:val="00812C50"/>
    <w:rsid w:val="008155C3"/>
    <w:rsid w:val="0081564D"/>
    <w:rsid w:val="00815DAE"/>
    <w:rsid w:val="008175E9"/>
    <w:rsid w:val="008200D0"/>
    <w:rsid w:val="008212C4"/>
    <w:rsid w:val="0082243E"/>
    <w:rsid w:val="00823BA6"/>
    <w:rsid w:val="00823DAA"/>
    <w:rsid w:val="0082426F"/>
    <w:rsid w:val="008242D7"/>
    <w:rsid w:val="00824466"/>
    <w:rsid w:val="0082480A"/>
    <w:rsid w:val="008255FB"/>
    <w:rsid w:val="00825E1D"/>
    <w:rsid w:val="00825FCB"/>
    <w:rsid w:val="00827D03"/>
    <w:rsid w:val="0083051A"/>
    <w:rsid w:val="00830742"/>
    <w:rsid w:val="008327E3"/>
    <w:rsid w:val="00832BF9"/>
    <w:rsid w:val="00833BDC"/>
    <w:rsid w:val="00833D0E"/>
    <w:rsid w:val="0083415C"/>
    <w:rsid w:val="008362AB"/>
    <w:rsid w:val="00837356"/>
    <w:rsid w:val="00840409"/>
    <w:rsid w:val="008414E7"/>
    <w:rsid w:val="008426A9"/>
    <w:rsid w:val="0084385D"/>
    <w:rsid w:val="0084401A"/>
    <w:rsid w:val="00844198"/>
    <w:rsid w:val="008447DD"/>
    <w:rsid w:val="00844B3C"/>
    <w:rsid w:val="00844B4D"/>
    <w:rsid w:val="008460A7"/>
    <w:rsid w:val="008460BF"/>
    <w:rsid w:val="00846715"/>
    <w:rsid w:val="00846EE7"/>
    <w:rsid w:val="00847370"/>
    <w:rsid w:val="008473D5"/>
    <w:rsid w:val="008510DA"/>
    <w:rsid w:val="00851AD3"/>
    <w:rsid w:val="00852CE7"/>
    <w:rsid w:val="00853FAC"/>
    <w:rsid w:val="008553CB"/>
    <w:rsid w:val="008560F3"/>
    <w:rsid w:val="00856CD2"/>
    <w:rsid w:val="008611E2"/>
    <w:rsid w:val="00861625"/>
    <w:rsid w:val="00861BC6"/>
    <w:rsid w:val="008622F4"/>
    <w:rsid w:val="00863822"/>
    <w:rsid w:val="0086520C"/>
    <w:rsid w:val="008659BE"/>
    <w:rsid w:val="00870006"/>
    <w:rsid w:val="00870A70"/>
    <w:rsid w:val="00871521"/>
    <w:rsid w:val="008719A0"/>
    <w:rsid w:val="00871A28"/>
    <w:rsid w:val="00871A78"/>
    <w:rsid w:val="00871FD5"/>
    <w:rsid w:val="0087294E"/>
    <w:rsid w:val="00872AE4"/>
    <w:rsid w:val="00872E98"/>
    <w:rsid w:val="008757EF"/>
    <w:rsid w:val="008764E2"/>
    <w:rsid w:val="008766B8"/>
    <w:rsid w:val="00877073"/>
    <w:rsid w:val="0088139E"/>
    <w:rsid w:val="0088206C"/>
    <w:rsid w:val="008828CE"/>
    <w:rsid w:val="00883E44"/>
    <w:rsid w:val="00883E91"/>
    <w:rsid w:val="008840E0"/>
    <w:rsid w:val="008850E5"/>
    <w:rsid w:val="008861D4"/>
    <w:rsid w:val="0088631E"/>
    <w:rsid w:val="008866CD"/>
    <w:rsid w:val="008876D2"/>
    <w:rsid w:val="0089214A"/>
    <w:rsid w:val="00892CAD"/>
    <w:rsid w:val="00895849"/>
    <w:rsid w:val="00895CED"/>
    <w:rsid w:val="008963A9"/>
    <w:rsid w:val="00896FB5"/>
    <w:rsid w:val="008970E0"/>
    <w:rsid w:val="008979B1"/>
    <w:rsid w:val="008A1712"/>
    <w:rsid w:val="008A3180"/>
    <w:rsid w:val="008A35AA"/>
    <w:rsid w:val="008A3F69"/>
    <w:rsid w:val="008A43F3"/>
    <w:rsid w:val="008A5165"/>
    <w:rsid w:val="008A5537"/>
    <w:rsid w:val="008A5B79"/>
    <w:rsid w:val="008A652E"/>
    <w:rsid w:val="008A6B25"/>
    <w:rsid w:val="008A6C4F"/>
    <w:rsid w:val="008A71EE"/>
    <w:rsid w:val="008B0D8C"/>
    <w:rsid w:val="008B187E"/>
    <w:rsid w:val="008B1AFA"/>
    <w:rsid w:val="008B28F3"/>
    <w:rsid w:val="008B4990"/>
    <w:rsid w:val="008B5F12"/>
    <w:rsid w:val="008B5FB2"/>
    <w:rsid w:val="008B713D"/>
    <w:rsid w:val="008B72E2"/>
    <w:rsid w:val="008B7D32"/>
    <w:rsid w:val="008C1E30"/>
    <w:rsid w:val="008C1E4D"/>
    <w:rsid w:val="008C3215"/>
    <w:rsid w:val="008C4853"/>
    <w:rsid w:val="008C5E00"/>
    <w:rsid w:val="008C7847"/>
    <w:rsid w:val="008D0B1E"/>
    <w:rsid w:val="008D0E0C"/>
    <w:rsid w:val="008D3CE4"/>
    <w:rsid w:val="008D4578"/>
    <w:rsid w:val="008D4AA6"/>
    <w:rsid w:val="008D542B"/>
    <w:rsid w:val="008E06D5"/>
    <w:rsid w:val="008E0A8B"/>
    <w:rsid w:val="008E0E46"/>
    <w:rsid w:val="008E1B0D"/>
    <w:rsid w:val="008E1C20"/>
    <w:rsid w:val="008E1E79"/>
    <w:rsid w:val="008E29E9"/>
    <w:rsid w:val="008E315F"/>
    <w:rsid w:val="008E40FC"/>
    <w:rsid w:val="008E500F"/>
    <w:rsid w:val="008E5412"/>
    <w:rsid w:val="008E5563"/>
    <w:rsid w:val="008E6721"/>
    <w:rsid w:val="008E7AE5"/>
    <w:rsid w:val="008F0B06"/>
    <w:rsid w:val="008F1FAA"/>
    <w:rsid w:val="008F24E2"/>
    <w:rsid w:val="008F2EC5"/>
    <w:rsid w:val="008F301C"/>
    <w:rsid w:val="008F3097"/>
    <w:rsid w:val="008F31C4"/>
    <w:rsid w:val="008F41B1"/>
    <w:rsid w:val="008F4257"/>
    <w:rsid w:val="008F4594"/>
    <w:rsid w:val="008F51A8"/>
    <w:rsid w:val="008F5C0F"/>
    <w:rsid w:val="008F6A21"/>
    <w:rsid w:val="008F6D71"/>
    <w:rsid w:val="009008FA"/>
    <w:rsid w:val="009015B2"/>
    <w:rsid w:val="009025B6"/>
    <w:rsid w:val="0090452C"/>
    <w:rsid w:val="00904C24"/>
    <w:rsid w:val="00906161"/>
    <w:rsid w:val="00906C48"/>
    <w:rsid w:val="009072D8"/>
    <w:rsid w:val="009073E5"/>
    <w:rsid w:val="00907C3F"/>
    <w:rsid w:val="00910A89"/>
    <w:rsid w:val="00911414"/>
    <w:rsid w:val="00912CA7"/>
    <w:rsid w:val="00914173"/>
    <w:rsid w:val="009147B8"/>
    <w:rsid w:val="00915B4B"/>
    <w:rsid w:val="0091629E"/>
    <w:rsid w:val="009162F2"/>
    <w:rsid w:val="0091724D"/>
    <w:rsid w:val="009205FB"/>
    <w:rsid w:val="00920A47"/>
    <w:rsid w:val="0092237C"/>
    <w:rsid w:val="00922832"/>
    <w:rsid w:val="00924799"/>
    <w:rsid w:val="00924A7A"/>
    <w:rsid w:val="00925AD0"/>
    <w:rsid w:val="00926E6E"/>
    <w:rsid w:val="00927214"/>
    <w:rsid w:val="009277C8"/>
    <w:rsid w:val="009300E4"/>
    <w:rsid w:val="00930277"/>
    <w:rsid w:val="00930678"/>
    <w:rsid w:val="00933F43"/>
    <w:rsid w:val="00934B22"/>
    <w:rsid w:val="00934E79"/>
    <w:rsid w:val="00935685"/>
    <w:rsid w:val="0093707B"/>
    <w:rsid w:val="009400EB"/>
    <w:rsid w:val="00941C70"/>
    <w:rsid w:val="009426F6"/>
    <w:rsid w:val="009427E3"/>
    <w:rsid w:val="009435E9"/>
    <w:rsid w:val="009449B0"/>
    <w:rsid w:val="00944AFE"/>
    <w:rsid w:val="00946403"/>
    <w:rsid w:val="00946405"/>
    <w:rsid w:val="009469DA"/>
    <w:rsid w:val="009472EF"/>
    <w:rsid w:val="00950566"/>
    <w:rsid w:val="00950ABC"/>
    <w:rsid w:val="00950CF6"/>
    <w:rsid w:val="009547B4"/>
    <w:rsid w:val="00954EDA"/>
    <w:rsid w:val="009562A6"/>
    <w:rsid w:val="00956D9B"/>
    <w:rsid w:val="00957137"/>
    <w:rsid w:val="0096042B"/>
    <w:rsid w:val="009624EE"/>
    <w:rsid w:val="009638E8"/>
    <w:rsid w:val="00963B20"/>
    <w:rsid w:val="00963CBA"/>
    <w:rsid w:val="0096460C"/>
    <w:rsid w:val="00964981"/>
    <w:rsid w:val="009649F0"/>
    <w:rsid w:val="009654B7"/>
    <w:rsid w:val="00965775"/>
    <w:rsid w:val="00965C2C"/>
    <w:rsid w:val="00965C7F"/>
    <w:rsid w:val="00966DE0"/>
    <w:rsid w:val="0096740C"/>
    <w:rsid w:val="009679AC"/>
    <w:rsid w:val="00967CB7"/>
    <w:rsid w:val="009704A9"/>
    <w:rsid w:val="00971781"/>
    <w:rsid w:val="0097183A"/>
    <w:rsid w:val="00973954"/>
    <w:rsid w:val="00974342"/>
    <w:rsid w:val="00974454"/>
    <w:rsid w:val="009750ED"/>
    <w:rsid w:val="0097776A"/>
    <w:rsid w:val="00981BA3"/>
    <w:rsid w:val="0098217B"/>
    <w:rsid w:val="009826D6"/>
    <w:rsid w:val="00983905"/>
    <w:rsid w:val="00984958"/>
    <w:rsid w:val="0098649E"/>
    <w:rsid w:val="009865D4"/>
    <w:rsid w:val="0098750D"/>
    <w:rsid w:val="00991261"/>
    <w:rsid w:val="009926AB"/>
    <w:rsid w:val="00992CA5"/>
    <w:rsid w:val="00992E24"/>
    <w:rsid w:val="00993A99"/>
    <w:rsid w:val="00993F0E"/>
    <w:rsid w:val="00994D54"/>
    <w:rsid w:val="0099529A"/>
    <w:rsid w:val="00995FC8"/>
    <w:rsid w:val="0099686C"/>
    <w:rsid w:val="00996B05"/>
    <w:rsid w:val="00996F8A"/>
    <w:rsid w:val="009A0B83"/>
    <w:rsid w:val="009A111E"/>
    <w:rsid w:val="009A1229"/>
    <w:rsid w:val="009A16A9"/>
    <w:rsid w:val="009A24AA"/>
    <w:rsid w:val="009A2A3E"/>
    <w:rsid w:val="009A2EFB"/>
    <w:rsid w:val="009A2FD7"/>
    <w:rsid w:val="009A3752"/>
    <w:rsid w:val="009A37A3"/>
    <w:rsid w:val="009A3A8F"/>
    <w:rsid w:val="009A4DF8"/>
    <w:rsid w:val="009A4FE3"/>
    <w:rsid w:val="009A53DC"/>
    <w:rsid w:val="009A53FC"/>
    <w:rsid w:val="009A6FD2"/>
    <w:rsid w:val="009B0725"/>
    <w:rsid w:val="009B086D"/>
    <w:rsid w:val="009B11F0"/>
    <w:rsid w:val="009B2EA9"/>
    <w:rsid w:val="009B33AE"/>
    <w:rsid w:val="009B3800"/>
    <w:rsid w:val="009B3D76"/>
    <w:rsid w:val="009B4DFA"/>
    <w:rsid w:val="009C0F7E"/>
    <w:rsid w:val="009C16EC"/>
    <w:rsid w:val="009C2CDA"/>
    <w:rsid w:val="009C52A9"/>
    <w:rsid w:val="009C5CCF"/>
    <w:rsid w:val="009C5E1C"/>
    <w:rsid w:val="009C5F75"/>
    <w:rsid w:val="009C6CD1"/>
    <w:rsid w:val="009C7073"/>
    <w:rsid w:val="009D03F7"/>
    <w:rsid w:val="009D0A1F"/>
    <w:rsid w:val="009D17C4"/>
    <w:rsid w:val="009D22AC"/>
    <w:rsid w:val="009D3953"/>
    <w:rsid w:val="009D40EA"/>
    <w:rsid w:val="009D50DB"/>
    <w:rsid w:val="009D5C34"/>
    <w:rsid w:val="009D6293"/>
    <w:rsid w:val="009D6699"/>
    <w:rsid w:val="009D7B92"/>
    <w:rsid w:val="009E1B50"/>
    <w:rsid w:val="009E1C4E"/>
    <w:rsid w:val="009E34F7"/>
    <w:rsid w:val="009E3EE1"/>
    <w:rsid w:val="009E6CD1"/>
    <w:rsid w:val="009E6FF6"/>
    <w:rsid w:val="009F0F01"/>
    <w:rsid w:val="009F380C"/>
    <w:rsid w:val="009F3877"/>
    <w:rsid w:val="009F6580"/>
    <w:rsid w:val="009F6952"/>
    <w:rsid w:val="009F6FDF"/>
    <w:rsid w:val="009F70BB"/>
    <w:rsid w:val="009F76E2"/>
    <w:rsid w:val="00A00888"/>
    <w:rsid w:val="00A01451"/>
    <w:rsid w:val="00A017D8"/>
    <w:rsid w:val="00A02604"/>
    <w:rsid w:val="00A043D3"/>
    <w:rsid w:val="00A05047"/>
    <w:rsid w:val="00A05ADE"/>
    <w:rsid w:val="00A05E0B"/>
    <w:rsid w:val="00A05FB2"/>
    <w:rsid w:val="00A06403"/>
    <w:rsid w:val="00A065C0"/>
    <w:rsid w:val="00A06BDB"/>
    <w:rsid w:val="00A06D8B"/>
    <w:rsid w:val="00A1019E"/>
    <w:rsid w:val="00A1083A"/>
    <w:rsid w:val="00A13301"/>
    <w:rsid w:val="00A13A27"/>
    <w:rsid w:val="00A1427D"/>
    <w:rsid w:val="00A14683"/>
    <w:rsid w:val="00A14D81"/>
    <w:rsid w:val="00A15321"/>
    <w:rsid w:val="00A1608D"/>
    <w:rsid w:val="00A16115"/>
    <w:rsid w:val="00A1624A"/>
    <w:rsid w:val="00A16ABA"/>
    <w:rsid w:val="00A200B3"/>
    <w:rsid w:val="00A200D7"/>
    <w:rsid w:val="00A20A79"/>
    <w:rsid w:val="00A21CD9"/>
    <w:rsid w:val="00A2576A"/>
    <w:rsid w:val="00A27602"/>
    <w:rsid w:val="00A27F7F"/>
    <w:rsid w:val="00A30B06"/>
    <w:rsid w:val="00A31F67"/>
    <w:rsid w:val="00A33486"/>
    <w:rsid w:val="00A3552F"/>
    <w:rsid w:val="00A35971"/>
    <w:rsid w:val="00A363F4"/>
    <w:rsid w:val="00A37337"/>
    <w:rsid w:val="00A37569"/>
    <w:rsid w:val="00A43AD9"/>
    <w:rsid w:val="00A43F8F"/>
    <w:rsid w:val="00A44900"/>
    <w:rsid w:val="00A458A6"/>
    <w:rsid w:val="00A45EE2"/>
    <w:rsid w:val="00A4634F"/>
    <w:rsid w:val="00A46C80"/>
    <w:rsid w:val="00A47DC2"/>
    <w:rsid w:val="00A50612"/>
    <w:rsid w:val="00A51BAC"/>
    <w:rsid w:val="00A51CF3"/>
    <w:rsid w:val="00A526DF"/>
    <w:rsid w:val="00A53CED"/>
    <w:rsid w:val="00A56434"/>
    <w:rsid w:val="00A56443"/>
    <w:rsid w:val="00A566BC"/>
    <w:rsid w:val="00A56A6C"/>
    <w:rsid w:val="00A572A1"/>
    <w:rsid w:val="00A60DFB"/>
    <w:rsid w:val="00A614D1"/>
    <w:rsid w:val="00A62039"/>
    <w:rsid w:val="00A62408"/>
    <w:rsid w:val="00A63CB0"/>
    <w:rsid w:val="00A64175"/>
    <w:rsid w:val="00A648B9"/>
    <w:rsid w:val="00A64F51"/>
    <w:rsid w:val="00A661EB"/>
    <w:rsid w:val="00A6698E"/>
    <w:rsid w:val="00A66D0A"/>
    <w:rsid w:val="00A66D6E"/>
    <w:rsid w:val="00A67494"/>
    <w:rsid w:val="00A67E7D"/>
    <w:rsid w:val="00A67FE5"/>
    <w:rsid w:val="00A70451"/>
    <w:rsid w:val="00A72F22"/>
    <w:rsid w:val="00A748A6"/>
    <w:rsid w:val="00A74C25"/>
    <w:rsid w:val="00A7606E"/>
    <w:rsid w:val="00A76324"/>
    <w:rsid w:val="00A779C3"/>
    <w:rsid w:val="00A831B6"/>
    <w:rsid w:val="00A83965"/>
    <w:rsid w:val="00A84CF1"/>
    <w:rsid w:val="00A84F28"/>
    <w:rsid w:val="00A868FE"/>
    <w:rsid w:val="00A86CAD"/>
    <w:rsid w:val="00A879A4"/>
    <w:rsid w:val="00A87E95"/>
    <w:rsid w:val="00A90A22"/>
    <w:rsid w:val="00A90B93"/>
    <w:rsid w:val="00A91CB7"/>
    <w:rsid w:val="00A920A6"/>
    <w:rsid w:val="00A92317"/>
    <w:rsid w:val="00A92E29"/>
    <w:rsid w:val="00A93C2B"/>
    <w:rsid w:val="00A93C74"/>
    <w:rsid w:val="00A93D38"/>
    <w:rsid w:val="00A94209"/>
    <w:rsid w:val="00A95D8C"/>
    <w:rsid w:val="00AA0391"/>
    <w:rsid w:val="00AA07E5"/>
    <w:rsid w:val="00AA0BBC"/>
    <w:rsid w:val="00AA228D"/>
    <w:rsid w:val="00AA25DD"/>
    <w:rsid w:val="00AA2985"/>
    <w:rsid w:val="00AA3025"/>
    <w:rsid w:val="00AA4289"/>
    <w:rsid w:val="00AA4826"/>
    <w:rsid w:val="00AA520E"/>
    <w:rsid w:val="00AA7098"/>
    <w:rsid w:val="00AA749B"/>
    <w:rsid w:val="00AA7B28"/>
    <w:rsid w:val="00AA7C25"/>
    <w:rsid w:val="00AB06DA"/>
    <w:rsid w:val="00AB1786"/>
    <w:rsid w:val="00AB18AA"/>
    <w:rsid w:val="00AB3802"/>
    <w:rsid w:val="00AC0956"/>
    <w:rsid w:val="00AC0A87"/>
    <w:rsid w:val="00AC0CC3"/>
    <w:rsid w:val="00AC2BFE"/>
    <w:rsid w:val="00AC3DAD"/>
    <w:rsid w:val="00AC49F5"/>
    <w:rsid w:val="00AC4AC3"/>
    <w:rsid w:val="00AC5019"/>
    <w:rsid w:val="00AC5E0C"/>
    <w:rsid w:val="00AD0237"/>
    <w:rsid w:val="00AD09E9"/>
    <w:rsid w:val="00AD0C02"/>
    <w:rsid w:val="00AD2751"/>
    <w:rsid w:val="00AD2C7B"/>
    <w:rsid w:val="00AD3198"/>
    <w:rsid w:val="00AD4021"/>
    <w:rsid w:val="00AD47D9"/>
    <w:rsid w:val="00AD4803"/>
    <w:rsid w:val="00AD4CF5"/>
    <w:rsid w:val="00AD4E6A"/>
    <w:rsid w:val="00AD6670"/>
    <w:rsid w:val="00AD7197"/>
    <w:rsid w:val="00AE0E8E"/>
    <w:rsid w:val="00AE11BF"/>
    <w:rsid w:val="00AE2C75"/>
    <w:rsid w:val="00AE2E54"/>
    <w:rsid w:val="00AE2E74"/>
    <w:rsid w:val="00AE34D5"/>
    <w:rsid w:val="00AE3632"/>
    <w:rsid w:val="00AE37D6"/>
    <w:rsid w:val="00AE3837"/>
    <w:rsid w:val="00AE6847"/>
    <w:rsid w:val="00AF04AC"/>
    <w:rsid w:val="00AF0576"/>
    <w:rsid w:val="00AF087C"/>
    <w:rsid w:val="00AF0C94"/>
    <w:rsid w:val="00AF12B2"/>
    <w:rsid w:val="00AF1EE5"/>
    <w:rsid w:val="00AF3829"/>
    <w:rsid w:val="00AF3AC2"/>
    <w:rsid w:val="00AF3DB0"/>
    <w:rsid w:val="00AF3F1B"/>
    <w:rsid w:val="00AF435C"/>
    <w:rsid w:val="00AF4F44"/>
    <w:rsid w:val="00AF4F94"/>
    <w:rsid w:val="00AF572E"/>
    <w:rsid w:val="00AF60A7"/>
    <w:rsid w:val="00AF6A8A"/>
    <w:rsid w:val="00AF7005"/>
    <w:rsid w:val="00AF7B1C"/>
    <w:rsid w:val="00B00268"/>
    <w:rsid w:val="00B01E91"/>
    <w:rsid w:val="00B037F0"/>
    <w:rsid w:val="00B03976"/>
    <w:rsid w:val="00B06002"/>
    <w:rsid w:val="00B062CC"/>
    <w:rsid w:val="00B0712C"/>
    <w:rsid w:val="00B11240"/>
    <w:rsid w:val="00B1160A"/>
    <w:rsid w:val="00B11B62"/>
    <w:rsid w:val="00B13176"/>
    <w:rsid w:val="00B13C0D"/>
    <w:rsid w:val="00B13D4E"/>
    <w:rsid w:val="00B13E54"/>
    <w:rsid w:val="00B14AE5"/>
    <w:rsid w:val="00B17D2E"/>
    <w:rsid w:val="00B2101C"/>
    <w:rsid w:val="00B212E9"/>
    <w:rsid w:val="00B21CF6"/>
    <w:rsid w:val="00B22622"/>
    <w:rsid w:val="00B23216"/>
    <w:rsid w:val="00B2327D"/>
    <w:rsid w:val="00B2450C"/>
    <w:rsid w:val="00B246C5"/>
    <w:rsid w:val="00B24DAE"/>
    <w:rsid w:val="00B2656B"/>
    <w:rsid w:val="00B2718F"/>
    <w:rsid w:val="00B27638"/>
    <w:rsid w:val="00B30179"/>
    <w:rsid w:val="00B30DF1"/>
    <w:rsid w:val="00B31568"/>
    <w:rsid w:val="00B31653"/>
    <w:rsid w:val="00B31C8C"/>
    <w:rsid w:val="00B32CF2"/>
    <w:rsid w:val="00B32F57"/>
    <w:rsid w:val="00B33009"/>
    <w:rsid w:val="00B3317B"/>
    <w:rsid w:val="00B334DC"/>
    <w:rsid w:val="00B33F16"/>
    <w:rsid w:val="00B33FED"/>
    <w:rsid w:val="00B350A5"/>
    <w:rsid w:val="00B35CBC"/>
    <w:rsid w:val="00B3600B"/>
    <w:rsid w:val="00B3631A"/>
    <w:rsid w:val="00B36674"/>
    <w:rsid w:val="00B36A34"/>
    <w:rsid w:val="00B36D52"/>
    <w:rsid w:val="00B37524"/>
    <w:rsid w:val="00B37FBC"/>
    <w:rsid w:val="00B42512"/>
    <w:rsid w:val="00B42880"/>
    <w:rsid w:val="00B43615"/>
    <w:rsid w:val="00B43E16"/>
    <w:rsid w:val="00B445EC"/>
    <w:rsid w:val="00B44939"/>
    <w:rsid w:val="00B45A82"/>
    <w:rsid w:val="00B47745"/>
    <w:rsid w:val="00B50041"/>
    <w:rsid w:val="00B5063E"/>
    <w:rsid w:val="00B50943"/>
    <w:rsid w:val="00B50A82"/>
    <w:rsid w:val="00B50EC9"/>
    <w:rsid w:val="00B5149E"/>
    <w:rsid w:val="00B51601"/>
    <w:rsid w:val="00B52215"/>
    <w:rsid w:val="00B52358"/>
    <w:rsid w:val="00B52E74"/>
    <w:rsid w:val="00B53013"/>
    <w:rsid w:val="00B5384F"/>
    <w:rsid w:val="00B53D6E"/>
    <w:rsid w:val="00B604CF"/>
    <w:rsid w:val="00B60A10"/>
    <w:rsid w:val="00B61ECD"/>
    <w:rsid w:val="00B623E4"/>
    <w:rsid w:val="00B632E3"/>
    <w:rsid w:val="00B63DA3"/>
    <w:rsid w:val="00B648F2"/>
    <w:rsid w:val="00B6551B"/>
    <w:rsid w:val="00B662A0"/>
    <w:rsid w:val="00B66345"/>
    <w:rsid w:val="00B66E86"/>
    <w:rsid w:val="00B673A7"/>
    <w:rsid w:val="00B67CA3"/>
    <w:rsid w:val="00B67E3F"/>
    <w:rsid w:val="00B67F5E"/>
    <w:rsid w:val="00B7143A"/>
    <w:rsid w:val="00B72C19"/>
    <w:rsid w:val="00B73E65"/>
    <w:rsid w:val="00B74116"/>
    <w:rsid w:val="00B7465E"/>
    <w:rsid w:val="00B74E4B"/>
    <w:rsid w:val="00B75018"/>
    <w:rsid w:val="00B753DB"/>
    <w:rsid w:val="00B76A7D"/>
    <w:rsid w:val="00B76F96"/>
    <w:rsid w:val="00B77D5E"/>
    <w:rsid w:val="00B802B4"/>
    <w:rsid w:val="00B810B4"/>
    <w:rsid w:val="00B81240"/>
    <w:rsid w:val="00B817C6"/>
    <w:rsid w:val="00B81E12"/>
    <w:rsid w:val="00B821AA"/>
    <w:rsid w:val="00B82A99"/>
    <w:rsid w:val="00B82D02"/>
    <w:rsid w:val="00B83648"/>
    <w:rsid w:val="00B83DFF"/>
    <w:rsid w:val="00B84D5A"/>
    <w:rsid w:val="00B85169"/>
    <w:rsid w:val="00B858C7"/>
    <w:rsid w:val="00B85FEF"/>
    <w:rsid w:val="00B86743"/>
    <w:rsid w:val="00B86BAD"/>
    <w:rsid w:val="00B87110"/>
    <w:rsid w:val="00B8717D"/>
    <w:rsid w:val="00B874E6"/>
    <w:rsid w:val="00B91C55"/>
    <w:rsid w:val="00B92157"/>
    <w:rsid w:val="00B9459C"/>
    <w:rsid w:val="00B96C35"/>
    <w:rsid w:val="00B97FA8"/>
    <w:rsid w:val="00BA161D"/>
    <w:rsid w:val="00BA3887"/>
    <w:rsid w:val="00BA601F"/>
    <w:rsid w:val="00BA677C"/>
    <w:rsid w:val="00BA6B87"/>
    <w:rsid w:val="00BA7A2D"/>
    <w:rsid w:val="00BB0AB5"/>
    <w:rsid w:val="00BB1565"/>
    <w:rsid w:val="00BB2E53"/>
    <w:rsid w:val="00BB41EC"/>
    <w:rsid w:val="00BB462B"/>
    <w:rsid w:val="00BB4E06"/>
    <w:rsid w:val="00BB62AD"/>
    <w:rsid w:val="00BB72DC"/>
    <w:rsid w:val="00BB78DC"/>
    <w:rsid w:val="00BC06EC"/>
    <w:rsid w:val="00BC0EB3"/>
    <w:rsid w:val="00BC1385"/>
    <w:rsid w:val="00BC1DD2"/>
    <w:rsid w:val="00BC2472"/>
    <w:rsid w:val="00BC28CD"/>
    <w:rsid w:val="00BC2BBB"/>
    <w:rsid w:val="00BC3C95"/>
    <w:rsid w:val="00BC560D"/>
    <w:rsid w:val="00BC56D7"/>
    <w:rsid w:val="00BC74E9"/>
    <w:rsid w:val="00BD0290"/>
    <w:rsid w:val="00BD07C7"/>
    <w:rsid w:val="00BD0B53"/>
    <w:rsid w:val="00BD2B32"/>
    <w:rsid w:val="00BD3DD5"/>
    <w:rsid w:val="00BD4668"/>
    <w:rsid w:val="00BD50A4"/>
    <w:rsid w:val="00BD52C3"/>
    <w:rsid w:val="00BD7028"/>
    <w:rsid w:val="00BE006F"/>
    <w:rsid w:val="00BE2FD6"/>
    <w:rsid w:val="00BE4441"/>
    <w:rsid w:val="00BE50D7"/>
    <w:rsid w:val="00BE5D19"/>
    <w:rsid w:val="00BE618E"/>
    <w:rsid w:val="00BE7185"/>
    <w:rsid w:val="00BE72E7"/>
    <w:rsid w:val="00BE746A"/>
    <w:rsid w:val="00BE7E83"/>
    <w:rsid w:val="00BF054B"/>
    <w:rsid w:val="00BF160E"/>
    <w:rsid w:val="00BF18BF"/>
    <w:rsid w:val="00BF2546"/>
    <w:rsid w:val="00BF3889"/>
    <w:rsid w:val="00BF4C22"/>
    <w:rsid w:val="00BF64FF"/>
    <w:rsid w:val="00BF7C66"/>
    <w:rsid w:val="00C00ED5"/>
    <w:rsid w:val="00C00F46"/>
    <w:rsid w:val="00C019E7"/>
    <w:rsid w:val="00C02E66"/>
    <w:rsid w:val="00C03764"/>
    <w:rsid w:val="00C03BC9"/>
    <w:rsid w:val="00C05657"/>
    <w:rsid w:val="00C05994"/>
    <w:rsid w:val="00C060BE"/>
    <w:rsid w:val="00C065D6"/>
    <w:rsid w:val="00C06AEB"/>
    <w:rsid w:val="00C10D74"/>
    <w:rsid w:val="00C11084"/>
    <w:rsid w:val="00C11920"/>
    <w:rsid w:val="00C12F6F"/>
    <w:rsid w:val="00C16701"/>
    <w:rsid w:val="00C167A3"/>
    <w:rsid w:val="00C16B9A"/>
    <w:rsid w:val="00C16E5B"/>
    <w:rsid w:val="00C174E1"/>
    <w:rsid w:val="00C17605"/>
    <w:rsid w:val="00C17E46"/>
    <w:rsid w:val="00C20C17"/>
    <w:rsid w:val="00C2193B"/>
    <w:rsid w:val="00C219D2"/>
    <w:rsid w:val="00C2422C"/>
    <w:rsid w:val="00C24693"/>
    <w:rsid w:val="00C27A8D"/>
    <w:rsid w:val="00C30223"/>
    <w:rsid w:val="00C30C24"/>
    <w:rsid w:val="00C310C2"/>
    <w:rsid w:val="00C311E6"/>
    <w:rsid w:val="00C32F4E"/>
    <w:rsid w:val="00C33888"/>
    <w:rsid w:val="00C33C00"/>
    <w:rsid w:val="00C34365"/>
    <w:rsid w:val="00C34D0E"/>
    <w:rsid w:val="00C35B13"/>
    <w:rsid w:val="00C35F0B"/>
    <w:rsid w:val="00C440CE"/>
    <w:rsid w:val="00C4410A"/>
    <w:rsid w:val="00C44B69"/>
    <w:rsid w:val="00C4599E"/>
    <w:rsid w:val="00C461F4"/>
    <w:rsid w:val="00C463DD"/>
    <w:rsid w:val="00C46F8C"/>
    <w:rsid w:val="00C477F9"/>
    <w:rsid w:val="00C47D08"/>
    <w:rsid w:val="00C50896"/>
    <w:rsid w:val="00C52A72"/>
    <w:rsid w:val="00C52E62"/>
    <w:rsid w:val="00C533EE"/>
    <w:rsid w:val="00C5383F"/>
    <w:rsid w:val="00C55368"/>
    <w:rsid w:val="00C5740B"/>
    <w:rsid w:val="00C57D11"/>
    <w:rsid w:val="00C6066E"/>
    <w:rsid w:val="00C60996"/>
    <w:rsid w:val="00C62B3B"/>
    <w:rsid w:val="00C6383B"/>
    <w:rsid w:val="00C64458"/>
    <w:rsid w:val="00C64D61"/>
    <w:rsid w:val="00C65056"/>
    <w:rsid w:val="00C6593D"/>
    <w:rsid w:val="00C667F5"/>
    <w:rsid w:val="00C66E15"/>
    <w:rsid w:val="00C671DD"/>
    <w:rsid w:val="00C673F8"/>
    <w:rsid w:val="00C7094B"/>
    <w:rsid w:val="00C72FB2"/>
    <w:rsid w:val="00C736E8"/>
    <w:rsid w:val="00C73DBD"/>
    <w:rsid w:val="00C73ECA"/>
    <w:rsid w:val="00C745C3"/>
    <w:rsid w:val="00C74C29"/>
    <w:rsid w:val="00C77294"/>
    <w:rsid w:val="00C80E5F"/>
    <w:rsid w:val="00C818F0"/>
    <w:rsid w:val="00C836A4"/>
    <w:rsid w:val="00C83924"/>
    <w:rsid w:val="00C900B7"/>
    <w:rsid w:val="00C90197"/>
    <w:rsid w:val="00C90E3F"/>
    <w:rsid w:val="00C918B4"/>
    <w:rsid w:val="00C9371F"/>
    <w:rsid w:val="00C94F50"/>
    <w:rsid w:val="00C94FA9"/>
    <w:rsid w:val="00C9565A"/>
    <w:rsid w:val="00C95ED4"/>
    <w:rsid w:val="00C9719F"/>
    <w:rsid w:val="00CA017C"/>
    <w:rsid w:val="00CA061A"/>
    <w:rsid w:val="00CA0E96"/>
    <w:rsid w:val="00CA0EF7"/>
    <w:rsid w:val="00CA1323"/>
    <w:rsid w:val="00CA1ACF"/>
    <w:rsid w:val="00CA2A58"/>
    <w:rsid w:val="00CA3041"/>
    <w:rsid w:val="00CA3DED"/>
    <w:rsid w:val="00CA58A0"/>
    <w:rsid w:val="00CA59FC"/>
    <w:rsid w:val="00CA6013"/>
    <w:rsid w:val="00CA7C5D"/>
    <w:rsid w:val="00CB0671"/>
    <w:rsid w:val="00CB1E8D"/>
    <w:rsid w:val="00CB221C"/>
    <w:rsid w:val="00CB3362"/>
    <w:rsid w:val="00CB42D2"/>
    <w:rsid w:val="00CB4857"/>
    <w:rsid w:val="00CB4C5D"/>
    <w:rsid w:val="00CB6AD6"/>
    <w:rsid w:val="00CC02D1"/>
    <w:rsid w:val="00CC0B55"/>
    <w:rsid w:val="00CC0E23"/>
    <w:rsid w:val="00CC14F3"/>
    <w:rsid w:val="00CC1CE1"/>
    <w:rsid w:val="00CC1DD0"/>
    <w:rsid w:val="00CC1F8C"/>
    <w:rsid w:val="00CC36FD"/>
    <w:rsid w:val="00CC39BC"/>
    <w:rsid w:val="00CC3B66"/>
    <w:rsid w:val="00CC5122"/>
    <w:rsid w:val="00CC53E5"/>
    <w:rsid w:val="00CC550C"/>
    <w:rsid w:val="00CC5EAC"/>
    <w:rsid w:val="00CC6A74"/>
    <w:rsid w:val="00CD021F"/>
    <w:rsid w:val="00CD17A8"/>
    <w:rsid w:val="00CD1BF7"/>
    <w:rsid w:val="00CD2150"/>
    <w:rsid w:val="00CD24E6"/>
    <w:rsid w:val="00CD2613"/>
    <w:rsid w:val="00CD27F7"/>
    <w:rsid w:val="00CD41CB"/>
    <w:rsid w:val="00CD513B"/>
    <w:rsid w:val="00CD58A1"/>
    <w:rsid w:val="00CD6995"/>
    <w:rsid w:val="00CD71F7"/>
    <w:rsid w:val="00CD7D18"/>
    <w:rsid w:val="00CE2C5E"/>
    <w:rsid w:val="00CE40BE"/>
    <w:rsid w:val="00CE46FF"/>
    <w:rsid w:val="00CE4A8F"/>
    <w:rsid w:val="00CE555F"/>
    <w:rsid w:val="00CE5E75"/>
    <w:rsid w:val="00CE696E"/>
    <w:rsid w:val="00CE75B0"/>
    <w:rsid w:val="00CE76A8"/>
    <w:rsid w:val="00CE7F37"/>
    <w:rsid w:val="00CF0214"/>
    <w:rsid w:val="00CF15B6"/>
    <w:rsid w:val="00CF21FC"/>
    <w:rsid w:val="00CF24C7"/>
    <w:rsid w:val="00CF2561"/>
    <w:rsid w:val="00CF2EF2"/>
    <w:rsid w:val="00CF3156"/>
    <w:rsid w:val="00CF3928"/>
    <w:rsid w:val="00CF586F"/>
    <w:rsid w:val="00CF5B16"/>
    <w:rsid w:val="00CF5C69"/>
    <w:rsid w:val="00CF5F4C"/>
    <w:rsid w:val="00CF60F8"/>
    <w:rsid w:val="00CF6C93"/>
    <w:rsid w:val="00CF7D43"/>
    <w:rsid w:val="00D00B12"/>
    <w:rsid w:val="00D015B5"/>
    <w:rsid w:val="00D031FB"/>
    <w:rsid w:val="00D03B96"/>
    <w:rsid w:val="00D03E8F"/>
    <w:rsid w:val="00D042D7"/>
    <w:rsid w:val="00D042DA"/>
    <w:rsid w:val="00D04A0F"/>
    <w:rsid w:val="00D062E0"/>
    <w:rsid w:val="00D06937"/>
    <w:rsid w:val="00D072F6"/>
    <w:rsid w:val="00D07DC3"/>
    <w:rsid w:val="00D103AA"/>
    <w:rsid w:val="00D10888"/>
    <w:rsid w:val="00D1106B"/>
    <w:rsid w:val="00D11129"/>
    <w:rsid w:val="00D116C5"/>
    <w:rsid w:val="00D120F8"/>
    <w:rsid w:val="00D12444"/>
    <w:rsid w:val="00D13600"/>
    <w:rsid w:val="00D14005"/>
    <w:rsid w:val="00D1726B"/>
    <w:rsid w:val="00D201DD"/>
    <w:rsid w:val="00D2031B"/>
    <w:rsid w:val="00D2065D"/>
    <w:rsid w:val="00D20CF7"/>
    <w:rsid w:val="00D22332"/>
    <w:rsid w:val="00D22DC6"/>
    <w:rsid w:val="00D23042"/>
    <w:rsid w:val="00D23A16"/>
    <w:rsid w:val="00D240A6"/>
    <w:rsid w:val="00D24FD8"/>
    <w:rsid w:val="00D25649"/>
    <w:rsid w:val="00D257C2"/>
    <w:rsid w:val="00D25FE2"/>
    <w:rsid w:val="00D26C67"/>
    <w:rsid w:val="00D30367"/>
    <w:rsid w:val="00D31305"/>
    <w:rsid w:val="00D31CEB"/>
    <w:rsid w:val="00D32CF3"/>
    <w:rsid w:val="00D32F88"/>
    <w:rsid w:val="00D33D97"/>
    <w:rsid w:val="00D340D1"/>
    <w:rsid w:val="00D3505B"/>
    <w:rsid w:val="00D361DF"/>
    <w:rsid w:val="00D36E71"/>
    <w:rsid w:val="00D36F59"/>
    <w:rsid w:val="00D414A1"/>
    <w:rsid w:val="00D41894"/>
    <w:rsid w:val="00D41A2F"/>
    <w:rsid w:val="00D42C1B"/>
    <w:rsid w:val="00D43252"/>
    <w:rsid w:val="00D4339F"/>
    <w:rsid w:val="00D445B6"/>
    <w:rsid w:val="00D44E68"/>
    <w:rsid w:val="00D4508F"/>
    <w:rsid w:val="00D45D8A"/>
    <w:rsid w:val="00D465FC"/>
    <w:rsid w:val="00D478C1"/>
    <w:rsid w:val="00D5018F"/>
    <w:rsid w:val="00D50E7D"/>
    <w:rsid w:val="00D51A72"/>
    <w:rsid w:val="00D5206B"/>
    <w:rsid w:val="00D5209B"/>
    <w:rsid w:val="00D52380"/>
    <w:rsid w:val="00D53883"/>
    <w:rsid w:val="00D53FE9"/>
    <w:rsid w:val="00D54DF3"/>
    <w:rsid w:val="00D550F9"/>
    <w:rsid w:val="00D55B09"/>
    <w:rsid w:val="00D55EA2"/>
    <w:rsid w:val="00D55F08"/>
    <w:rsid w:val="00D572B0"/>
    <w:rsid w:val="00D5784F"/>
    <w:rsid w:val="00D60F01"/>
    <w:rsid w:val="00D612DE"/>
    <w:rsid w:val="00D62E90"/>
    <w:rsid w:val="00D63630"/>
    <w:rsid w:val="00D636FF"/>
    <w:rsid w:val="00D63739"/>
    <w:rsid w:val="00D637F0"/>
    <w:rsid w:val="00D654DF"/>
    <w:rsid w:val="00D6563F"/>
    <w:rsid w:val="00D65860"/>
    <w:rsid w:val="00D65967"/>
    <w:rsid w:val="00D66708"/>
    <w:rsid w:val="00D66929"/>
    <w:rsid w:val="00D67BDB"/>
    <w:rsid w:val="00D70327"/>
    <w:rsid w:val="00D70912"/>
    <w:rsid w:val="00D7116B"/>
    <w:rsid w:val="00D71765"/>
    <w:rsid w:val="00D71F27"/>
    <w:rsid w:val="00D72176"/>
    <w:rsid w:val="00D739B6"/>
    <w:rsid w:val="00D7515B"/>
    <w:rsid w:val="00D75419"/>
    <w:rsid w:val="00D757FE"/>
    <w:rsid w:val="00D75A08"/>
    <w:rsid w:val="00D75BAF"/>
    <w:rsid w:val="00D76BE5"/>
    <w:rsid w:val="00D770E2"/>
    <w:rsid w:val="00D8104F"/>
    <w:rsid w:val="00D8127E"/>
    <w:rsid w:val="00D826F5"/>
    <w:rsid w:val="00D83592"/>
    <w:rsid w:val="00D84099"/>
    <w:rsid w:val="00D84930"/>
    <w:rsid w:val="00D8608E"/>
    <w:rsid w:val="00D871E2"/>
    <w:rsid w:val="00D87D09"/>
    <w:rsid w:val="00D90E5A"/>
    <w:rsid w:val="00D914EC"/>
    <w:rsid w:val="00D928F5"/>
    <w:rsid w:val="00D9399A"/>
    <w:rsid w:val="00D93A22"/>
    <w:rsid w:val="00D93F16"/>
    <w:rsid w:val="00D9556D"/>
    <w:rsid w:val="00D95784"/>
    <w:rsid w:val="00D9633D"/>
    <w:rsid w:val="00D978C6"/>
    <w:rsid w:val="00D97B25"/>
    <w:rsid w:val="00DA0E82"/>
    <w:rsid w:val="00DA1189"/>
    <w:rsid w:val="00DA3A88"/>
    <w:rsid w:val="00DA6435"/>
    <w:rsid w:val="00DA67AD"/>
    <w:rsid w:val="00DA77E5"/>
    <w:rsid w:val="00DB17C5"/>
    <w:rsid w:val="00DB18CE"/>
    <w:rsid w:val="00DB338B"/>
    <w:rsid w:val="00DB383E"/>
    <w:rsid w:val="00DB45CF"/>
    <w:rsid w:val="00DB4A2F"/>
    <w:rsid w:val="00DB6862"/>
    <w:rsid w:val="00DB6C5E"/>
    <w:rsid w:val="00DB73EF"/>
    <w:rsid w:val="00DB775B"/>
    <w:rsid w:val="00DC012F"/>
    <w:rsid w:val="00DC0E4E"/>
    <w:rsid w:val="00DC1A9F"/>
    <w:rsid w:val="00DC23DE"/>
    <w:rsid w:val="00DC3A09"/>
    <w:rsid w:val="00DC6245"/>
    <w:rsid w:val="00DC6884"/>
    <w:rsid w:val="00DC6E49"/>
    <w:rsid w:val="00DC6F87"/>
    <w:rsid w:val="00DC716F"/>
    <w:rsid w:val="00DC7FD7"/>
    <w:rsid w:val="00DD17D9"/>
    <w:rsid w:val="00DD1F13"/>
    <w:rsid w:val="00DD26C7"/>
    <w:rsid w:val="00DD4B60"/>
    <w:rsid w:val="00DD4F87"/>
    <w:rsid w:val="00DD7AC7"/>
    <w:rsid w:val="00DE16BD"/>
    <w:rsid w:val="00DE2074"/>
    <w:rsid w:val="00DE2A42"/>
    <w:rsid w:val="00DE358E"/>
    <w:rsid w:val="00DE3EC0"/>
    <w:rsid w:val="00DE4AAA"/>
    <w:rsid w:val="00DE5DB6"/>
    <w:rsid w:val="00DE71CD"/>
    <w:rsid w:val="00DE7204"/>
    <w:rsid w:val="00DF10E8"/>
    <w:rsid w:val="00DF1179"/>
    <w:rsid w:val="00DF12D4"/>
    <w:rsid w:val="00DF12E5"/>
    <w:rsid w:val="00DF17A7"/>
    <w:rsid w:val="00DF18B3"/>
    <w:rsid w:val="00DF2592"/>
    <w:rsid w:val="00DF3094"/>
    <w:rsid w:val="00DF39F9"/>
    <w:rsid w:val="00DF47E9"/>
    <w:rsid w:val="00DF5EA9"/>
    <w:rsid w:val="00DF6D1A"/>
    <w:rsid w:val="00DF747E"/>
    <w:rsid w:val="00E00F2E"/>
    <w:rsid w:val="00E01DD1"/>
    <w:rsid w:val="00E04CCC"/>
    <w:rsid w:val="00E05D05"/>
    <w:rsid w:val="00E07AC2"/>
    <w:rsid w:val="00E07C60"/>
    <w:rsid w:val="00E100D9"/>
    <w:rsid w:val="00E109EE"/>
    <w:rsid w:val="00E10E6E"/>
    <w:rsid w:val="00E10EE7"/>
    <w:rsid w:val="00E11593"/>
    <w:rsid w:val="00E11897"/>
    <w:rsid w:val="00E11D38"/>
    <w:rsid w:val="00E11EAA"/>
    <w:rsid w:val="00E12B6B"/>
    <w:rsid w:val="00E130AB"/>
    <w:rsid w:val="00E14318"/>
    <w:rsid w:val="00E149C8"/>
    <w:rsid w:val="00E155BE"/>
    <w:rsid w:val="00E1636A"/>
    <w:rsid w:val="00E16AA3"/>
    <w:rsid w:val="00E16B24"/>
    <w:rsid w:val="00E2083F"/>
    <w:rsid w:val="00E21FD2"/>
    <w:rsid w:val="00E230F1"/>
    <w:rsid w:val="00E23A94"/>
    <w:rsid w:val="00E23EB7"/>
    <w:rsid w:val="00E25219"/>
    <w:rsid w:val="00E255C2"/>
    <w:rsid w:val="00E25AB8"/>
    <w:rsid w:val="00E25CDB"/>
    <w:rsid w:val="00E25F5D"/>
    <w:rsid w:val="00E27A51"/>
    <w:rsid w:val="00E30E69"/>
    <w:rsid w:val="00E31736"/>
    <w:rsid w:val="00E3190A"/>
    <w:rsid w:val="00E33006"/>
    <w:rsid w:val="00E33B80"/>
    <w:rsid w:val="00E3434C"/>
    <w:rsid w:val="00E34D06"/>
    <w:rsid w:val="00E3561E"/>
    <w:rsid w:val="00E3717F"/>
    <w:rsid w:val="00E3747A"/>
    <w:rsid w:val="00E403A9"/>
    <w:rsid w:val="00E41EE7"/>
    <w:rsid w:val="00E420AE"/>
    <w:rsid w:val="00E438D9"/>
    <w:rsid w:val="00E43B52"/>
    <w:rsid w:val="00E43B8C"/>
    <w:rsid w:val="00E44180"/>
    <w:rsid w:val="00E445C0"/>
    <w:rsid w:val="00E4517A"/>
    <w:rsid w:val="00E464AA"/>
    <w:rsid w:val="00E46F1E"/>
    <w:rsid w:val="00E47835"/>
    <w:rsid w:val="00E479A1"/>
    <w:rsid w:val="00E50560"/>
    <w:rsid w:val="00E5187C"/>
    <w:rsid w:val="00E54406"/>
    <w:rsid w:val="00E54EEE"/>
    <w:rsid w:val="00E5524F"/>
    <w:rsid w:val="00E55644"/>
    <w:rsid w:val="00E5644E"/>
    <w:rsid w:val="00E5714D"/>
    <w:rsid w:val="00E57177"/>
    <w:rsid w:val="00E57244"/>
    <w:rsid w:val="00E601CD"/>
    <w:rsid w:val="00E60F22"/>
    <w:rsid w:val="00E61220"/>
    <w:rsid w:val="00E61480"/>
    <w:rsid w:val="00E61DD1"/>
    <w:rsid w:val="00E627E0"/>
    <w:rsid w:val="00E62DF8"/>
    <w:rsid w:val="00E62FDB"/>
    <w:rsid w:val="00E63CEB"/>
    <w:rsid w:val="00E6457A"/>
    <w:rsid w:val="00E64991"/>
    <w:rsid w:val="00E6533E"/>
    <w:rsid w:val="00E65624"/>
    <w:rsid w:val="00E67127"/>
    <w:rsid w:val="00E70C00"/>
    <w:rsid w:val="00E710EC"/>
    <w:rsid w:val="00E7144B"/>
    <w:rsid w:val="00E7260F"/>
    <w:rsid w:val="00E7639B"/>
    <w:rsid w:val="00E7705C"/>
    <w:rsid w:val="00E806EE"/>
    <w:rsid w:val="00E812C6"/>
    <w:rsid w:val="00E8250A"/>
    <w:rsid w:val="00E8311F"/>
    <w:rsid w:val="00E83603"/>
    <w:rsid w:val="00E83C3B"/>
    <w:rsid w:val="00E85F1A"/>
    <w:rsid w:val="00E90691"/>
    <w:rsid w:val="00E90840"/>
    <w:rsid w:val="00E90B8B"/>
    <w:rsid w:val="00E91440"/>
    <w:rsid w:val="00E9265A"/>
    <w:rsid w:val="00E92AFD"/>
    <w:rsid w:val="00E930DF"/>
    <w:rsid w:val="00E932E1"/>
    <w:rsid w:val="00E94899"/>
    <w:rsid w:val="00E949DF"/>
    <w:rsid w:val="00E94CC6"/>
    <w:rsid w:val="00E950A3"/>
    <w:rsid w:val="00E96037"/>
    <w:rsid w:val="00E96630"/>
    <w:rsid w:val="00E96F5A"/>
    <w:rsid w:val="00E9705D"/>
    <w:rsid w:val="00EA139D"/>
    <w:rsid w:val="00EA1798"/>
    <w:rsid w:val="00EA17BF"/>
    <w:rsid w:val="00EA2D8D"/>
    <w:rsid w:val="00EA32F5"/>
    <w:rsid w:val="00EA40DA"/>
    <w:rsid w:val="00EA5751"/>
    <w:rsid w:val="00EA5B1C"/>
    <w:rsid w:val="00EA6D15"/>
    <w:rsid w:val="00EA710D"/>
    <w:rsid w:val="00EA7CE8"/>
    <w:rsid w:val="00EA7E88"/>
    <w:rsid w:val="00EA7E94"/>
    <w:rsid w:val="00EB07A1"/>
    <w:rsid w:val="00EB08E9"/>
    <w:rsid w:val="00EB0FB9"/>
    <w:rsid w:val="00EB25E2"/>
    <w:rsid w:val="00EB3ACB"/>
    <w:rsid w:val="00EB3EE7"/>
    <w:rsid w:val="00EB4801"/>
    <w:rsid w:val="00EB4AA4"/>
    <w:rsid w:val="00EB4CC8"/>
    <w:rsid w:val="00EB5550"/>
    <w:rsid w:val="00EB6228"/>
    <w:rsid w:val="00EB6C4E"/>
    <w:rsid w:val="00EB76F1"/>
    <w:rsid w:val="00EC1780"/>
    <w:rsid w:val="00EC1945"/>
    <w:rsid w:val="00EC1949"/>
    <w:rsid w:val="00EC1AAE"/>
    <w:rsid w:val="00EC1CD1"/>
    <w:rsid w:val="00EC2130"/>
    <w:rsid w:val="00EC2266"/>
    <w:rsid w:val="00EC26F0"/>
    <w:rsid w:val="00EC27A4"/>
    <w:rsid w:val="00EC2999"/>
    <w:rsid w:val="00EC3CA9"/>
    <w:rsid w:val="00EC4260"/>
    <w:rsid w:val="00EC47EE"/>
    <w:rsid w:val="00EC4D59"/>
    <w:rsid w:val="00EC4FF1"/>
    <w:rsid w:val="00EC6034"/>
    <w:rsid w:val="00EC6EE1"/>
    <w:rsid w:val="00EC7A43"/>
    <w:rsid w:val="00ED0CA9"/>
    <w:rsid w:val="00ED4300"/>
    <w:rsid w:val="00ED46D0"/>
    <w:rsid w:val="00ED5C0B"/>
    <w:rsid w:val="00ED5FAF"/>
    <w:rsid w:val="00ED7A2A"/>
    <w:rsid w:val="00EE1035"/>
    <w:rsid w:val="00EE160D"/>
    <w:rsid w:val="00EE18F8"/>
    <w:rsid w:val="00EE2881"/>
    <w:rsid w:val="00EE3E94"/>
    <w:rsid w:val="00EE4BB7"/>
    <w:rsid w:val="00EE4F16"/>
    <w:rsid w:val="00EE69D1"/>
    <w:rsid w:val="00EE77D0"/>
    <w:rsid w:val="00EF030F"/>
    <w:rsid w:val="00EF0578"/>
    <w:rsid w:val="00EF07A8"/>
    <w:rsid w:val="00EF1C67"/>
    <w:rsid w:val="00EF1D7F"/>
    <w:rsid w:val="00EF4F98"/>
    <w:rsid w:val="00EF5BDB"/>
    <w:rsid w:val="00EF653C"/>
    <w:rsid w:val="00EF662B"/>
    <w:rsid w:val="00EF6C1A"/>
    <w:rsid w:val="00EF7BF1"/>
    <w:rsid w:val="00F00494"/>
    <w:rsid w:val="00F02A50"/>
    <w:rsid w:val="00F02BD9"/>
    <w:rsid w:val="00F05C8D"/>
    <w:rsid w:val="00F05F60"/>
    <w:rsid w:val="00F06B5C"/>
    <w:rsid w:val="00F07146"/>
    <w:rsid w:val="00F0739C"/>
    <w:rsid w:val="00F0767A"/>
    <w:rsid w:val="00F07B88"/>
    <w:rsid w:val="00F07C8C"/>
    <w:rsid w:val="00F07FD9"/>
    <w:rsid w:val="00F122A0"/>
    <w:rsid w:val="00F12B10"/>
    <w:rsid w:val="00F139D3"/>
    <w:rsid w:val="00F13AE1"/>
    <w:rsid w:val="00F14D92"/>
    <w:rsid w:val="00F15017"/>
    <w:rsid w:val="00F16F2A"/>
    <w:rsid w:val="00F170AE"/>
    <w:rsid w:val="00F17E8B"/>
    <w:rsid w:val="00F22057"/>
    <w:rsid w:val="00F2268A"/>
    <w:rsid w:val="00F227CB"/>
    <w:rsid w:val="00F23933"/>
    <w:rsid w:val="00F23C41"/>
    <w:rsid w:val="00F24119"/>
    <w:rsid w:val="00F26EB4"/>
    <w:rsid w:val="00F27D47"/>
    <w:rsid w:val="00F30784"/>
    <w:rsid w:val="00F315D6"/>
    <w:rsid w:val="00F3219E"/>
    <w:rsid w:val="00F3273F"/>
    <w:rsid w:val="00F33766"/>
    <w:rsid w:val="00F3429C"/>
    <w:rsid w:val="00F357E5"/>
    <w:rsid w:val="00F35C15"/>
    <w:rsid w:val="00F36D88"/>
    <w:rsid w:val="00F36DE8"/>
    <w:rsid w:val="00F40212"/>
    <w:rsid w:val="00F402B5"/>
    <w:rsid w:val="00F406B7"/>
    <w:rsid w:val="00F40718"/>
    <w:rsid w:val="00F40E75"/>
    <w:rsid w:val="00F40F2F"/>
    <w:rsid w:val="00F41B30"/>
    <w:rsid w:val="00F42CD9"/>
    <w:rsid w:val="00F42D71"/>
    <w:rsid w:val="00F43805"/>
    <w:rsid w:val="00F43951"/>
    <w:rsid w:val="00F43B9B"/>
    <w:rsid w:val="00F44032"/>
    <w:rsid w:val="00F46159"/>
    <w:rsid w:val="00F470D7"/>
    <w:rsid w:val="00F4783E"/>
    <w:rsid w:val="00F47CBE"/>
    <w:rsid w:val="00F50BCA"/>
    <w:rsid w:val="00F50E67"/>
    <w:rsid w:val="00F52006"/>
    <w:rsid w:val="00F52816"/>
    <w:rsid w:val="00F52936"/>
    <w:rsid w:val="00F5376E"/>
    <w:rsid w:val="00F53AD9"/>
    <w:rsid w:val="00F54212"/>
    <w:rsid w:val="00F5474C"/>
    <w:rsid w:val="00F55AAB"/>
    <w:rsid w:val="00F56BBC"/>
    <w:rsid w:val="00F60C9C"/>
    <w:rsid w:val="00F61E13"/>
    <w:rsid w:val="00F649E7"/>
    <w:rsid w:val="00F64B18"/>
    <w:rsid w:val="00F64C79"/>
    <w:rsid w:val="00F64F95"/>
    <w:rsid w:val="00F65302"/>
    <w:rsid w:val="00F6557B"/>
    <w:rsid w:val="00F6680C"/>
    <w:rsid w:val="00F674CD"/>
    <w:rsid w:val="00F677CB"/>
    <w:rsid w:val="00F7041A"/>
    <w:rsid w:val="00F707C4"/>
    <w:rsid w:val="00F70FFB"/>
    <w:rsid w:val="00F7188A"/>
    <w:rsid w:val="00F738C1"/>
    <w:rsid w:val="00F74724"/>
    <w:rsid w:val="00F753BB"/>
    <w:rsid w:val="00F7571D"/>
    <w:rsid w:val="00F75C56"/>
    <w:rsid w:val="00F76A0C"/>
    <w:rsid w:val="00F77E30"/>
    <w:rsid w:val="00F80330"/>
    <w:rsid w:val="00F80B8C"/>
    <w:rsid w:val="00F81DD2"/>
    <w:rsid w:val="00F82E5F"/>
    <w:rsid w:val="00F83539"/>
    <w:rsid w:val="00F83A22"/>
    <w:rsid w:val="00F83C5B"/>
    <w:rsid w:val="00F84BD4"/>
    <w:rsid w:val="00F84DFE"/>
    <w:rsid w:val="00F85AAD"/>
    <w:rsid w:val="00F87B0A"/>
    <w:rsid w:val="00F90CAB"/>
    <w:rsid w:val="00F91DE2"/>
    <w:rsid w:val="00F91E02"/>
    <w:rsid w:val="00F9219E"/>
    <w:rsid w:val="00F92498"/>
    <w:rsid w:val="00F93E40"/>
    <w:rsid w:val="00F94767"/>
    <w:rsid w:val="00F9709F"/>
    <w:rsid w:val="00FA3929"/>
    <w:rsid w:val="00FA3D66"/>
    <w:rsid w:val="00FA484D"/>
    <w:rsid w:val="00FA7DF3"/>
    <w:rsid w:val="00FB08F1"/>
    <w:rsid w:val="00FB3A5B"/>
    <w:rsid w:val="00FB4BC4"/>
    <w:rsid w:val="00FB5EC7"/>
    <w:rsid w:val="00FB7314"/>
    <w:rsid w:val="00FB73E2"/>
    <w:rsid w:val="00FB785F"/>
    <w:rsid w:val="00FB7A5C"/>
    <w:rsid w:val="00FC3181"/>
    <w:rsid w:val="00FC672A"/>
    <w:rsid w:val="00FC68B7"/>
    <w:rsid w:val="00FD080F"/>
    <w:rsid w:val="00FD22F0"/>
    <w:rsid w:val="00FD2737"/>
    <w:rsid w:val="00FD5175"/>
    <w:rsid w:val="00FD7C12"/>
    <w:rsid w:val="00FD7F1C"/>
    <w:rsid w:val="00FE0CEB"/>
    <w:rsid w:val="00FE157A"/>
    <w:rsid w:val="00FE15BE"/>
    <w:rsid w:val="00FE18DB"/>
    <w:rsid w:val="00FE2BF6"/>
    <w:rsid w:val="00FE2CD1"/>
    <w:rsid w:val="00FE36B3"/>
    <w:rsid w:val="00FE4B26"/>
    <w:rsid w:val="00FE51AC"/>
    <w:rsid w:val="00FE55BB"/>
    <w:rsid w:val="00FE57C1"/>
    <w:rsid w:val="00FE660B"/>
    <w:rsid w:val="00FE7B56"/>
    <w:rsid w:val="00FF011D"/>
    <w:rsid w:val="00FF1CFC"/>
    <w:rsid w:val="00FF3A85"/>
    <w:rsid w:val="00FF4127"/>
    <w:rsid w:val="00FF41D3"/>
    <w:rsid w:val="00FF46D0"/>
    <w:rsid w:val="00FF6A0B"/>
    <w:rsid w:val="00FF6E65"/>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D852CA3"/>
  <w15:docId w15:val="{26206E93-77EA-46AD-893D-ED47ACECEC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0214"/>
    <w:pPr>
      <w:suppressAutoHyphens/>
      <w:spacing w:line="240" w:lineRule="atLeast"/>
    </w:pPr>
    <w:rPr>
      <w:lang w:eastAsia="en-US"/>
    </w:rPr>
  </w:style>
  <w:style w:type="paragraph" w:styleId="Heading1">
    <w:name w:val="heading 1"/>
    <w:aliases w:val="Table_G"/>
    <w:basedOn w:val="SingleTxtG"/>
    <w:next w:val="SingleTxtG"/>
    <w:link w:val="Heading1Char"/>
    <w:uiPriority w:val="9"/>
    <w:qFormat/>
    <w:rsid w:val="00CF0214"/>
    <w:pPr>
      <w:spacing w:after="0" w:line="240" w:lineRule="auto"/>
      <w:ind w:right="0"/>
      <w:jc w:val="left"/>
      <w:outlineLvl w:val="0"/>
    </w:pPr>
  </w:style>
  <w:style w:type="paragraph" w:styleId="Heading2">
    <w:name w:val="heading 2"/>
    <w:basedOn w:val="Normal"/>
    <w:next w:val="Normal"/>
    <w:link w:val="Heading2Char"/>
    <w:uiPriority w:val="9"/>
    <w:qFormat/>
    <w:rsid w:val="00CF0214"/>
    <w:pPr>
      <w:spacing w:line="240" w:lineRule="auto"/>
      <w:outlineLvl w:val="1"/>
    </w:pPr>
  </w:style>
  <w:style w:type="paragraph" w:styleId="Heading3">
    <w:name w:val="heading 3"/>
    <w:basedOn w:val="Normal"/>
    <w:next w:val="Normal"/>
    <w:link w:val="Heading3Char"/>
    <w:uiPriority w:val="9"/>
    <w:qFormat/>
    <w:rsid w:val="00CF0214"/>
    <w:pPr>
      <w:spacing w:line="240" w:lineRule="auto"/>
      <w:outlineLvl w:val="2"/>
    </w:pPr>
  </w:style>
  <w:style w:type="paragraph" w:styleId="Heading4">
    <w:name w:val="heading 4"/>
    <w:basedOn w:val="Normal"/>
    <w:next w:val="Normal"/>
    <w:link w:val="Heading4Char"/>
    <w:uiPriority w:val="9"/>
    <w:qFormat/>
    <w:rsid w:val="00CF0214"/>
    <w:pPr>
      <w:spacing w:line="240" w:lineRule="auto"/>
      <w:outlineLvl w:val="3"/>
    </w:pPr>
  </w:style>
  <w:style w:type="paragraph" w:styleId="Heading5">
    <w:name w:val="heading 5"/>
    <w:basedOn w:val="Normal"/>
    <w:next w:val="Normal"/>
    <w:link w:val="Heading5Char"/>
    <w:uiPriority w:val="9"/>
    <w:qFormat/>
    <w:rsid w:val="00CF0214"/>
    <w:pPr>
      <w:spacing w:line="240" w:lineRule="auto"/>
      <w:outlineLvl w:val="4"/>
    </w:pPr>
  </w:style>
  <w:style w:type="paragraph" w:styleId="Heading6">
    <w:name w:val="heading 6"/>
    <w:basedOn w:val="Normal"/>
    <w:next w:val="Normal"/>
    <w:qFormat/>
    <w:rsid w:val="00CF0214"/>
    <w:pPr>
      <w:spacing w:line="240" w:lineRule="auto"/>
      <w:outlineLvl w:val="5"/>
    </w:pPr>
  </w:style>
  <w:style w:type="paragraph" w:styleId="Heading7">
    <w:name w:val="heading 7"/>
    <w:basedOn w:val="Normal"/>
    <w:next w:val="Normal"/>
    <w:qFormat/>
    <w:rsid w:val="00CF0214"/>
    <w:pPr>
      <w:spacing w:line="240" w:lineRule="auto"/>
      <w:outlineLvl w:val="6"/>
    </w:pPr>
  </w:style>
  <w:style w:type="paragraph" w:styleId="Heading8">
    <w:name w:val="heading 8"/>
    <w:basedOn w:val="Normal"/>
    <w:next w:val="Normal"/>
    <w:qFormat/>
    <w:rsid w:val="00CF0214"/>
    <w:pPr>
      <w:spacing w:line="240" w:lineRule="auto"/>
      <w:outlineLvl w:val="7"/>
    </w:pPr>
  </w:style>
  <w:style w:type="paragraph" w:styleId="Heading9">
    <w:name w:val="heading 9"/>
    <w:basedOn w:val="Normal"/>
    <w:next w:val="Normal"/>
    <w:qFormat/>
    <w:rsid w:val="00CF0214"/>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TxtG">
    <w:name w:val="_ Single Txt_G"/>
    <w:basedOn w:val="Normal"/>
    <w:link w:val="SingleTxtGChar"/>
    <w:qFormat/>
    <w:rsid w:val="00CF0214"/>
    <w:pPr>
      <w:spacing w:after="120"/>
      <w:ind w:left="1134" w:right="1134"/>
      <w:jc w:val="both"/>
    </w:pPr>
  </w:style>
  <w:style w:type="character" w:customStyle="1" w:styleId="SingleTxtGChar">
    <w:name w:val="_ Single Txt_G Char"/>
    <w:link w:val="SingleTxtG"/>
    <w:rsid w:val="005D2910"/>
    <w:rPr>
      <w:lang w:val="en-GB" w:eastAsia="en-US" w:bidi="ar-SA"/>
    </w:rPr>
  </w:style>
  <w:style w:type="character" w:customStyle="1" w:styleId="Heading1Char">
    <w:name w:val="Heading 1 Char"/>
    <w:aliases w:val="Table_G Char"/>
    <w:basedOn w:val="DefaultParagraphFont"/>
    <w:link w:val="Heading1"/>
    <w:uiPriority w:val="9"/>
    <w:rsid w:val="00967CB7"/>
    <w:rPr>
      <w:lang w:eastAsia="en-US"/>
    </w:rPr>
  </w:style>
  <w:style w:type="character" w:customStyle="1" w:styleId="Heading2Char">
    <w:name w:val="Heading 2 Char"/>
    <w:basedOn w:val="DefaultParagraphFont"/>
    <w:link w:val="Heading2"/>
    <w:uiPriority w:val="9"/>
    <w:rsid w:val="00CC5EAC"/>
    <w:rPr>
      <w:lang w:eastAsia="en-US"/>
    </w:rPr>
  </w:style>
  <w:style w:type="character" w:customStyle="1" w:styleId="Heading3Char">
    <w:name w:val="Heading 3 Char"/>
    <w:basedOn w:val="DefaultParagraphFont"/>
    <w:link w:val="Heading3"/>
    <w:uiPriority w:val="9"/>
    <w:rsid w:val="00676F5F"/>
    <w:rPr>
      <w:lang w:eastAsia="en-US"/>
    </w:rPr>
  </w:style>
  <w:style w:type="character" w:customStyle="1" w:styleId="Heading4Char">
    <w:name w:val="Heading 4 Char"/>
    <w:basedOn w:val="DefaultParagraphFont"/>
    <w:link w:val="Heading4"/>
    <w:uiPriority w:val="9"/>
    <w:rsid w:val="00CE75B0"/>
    <w:rPr>
      <w:lang w:eastAsia="en-US"/>
    </w:rPr>
  </w:style>
  <w:style w:type="paragraph" w:customStyle="1" w:styleId="HMG">
    <w:name w:val="_ H __M_G"/>
    <w:basedOn w:val="Normal"/>
    <w:next w:val="Normal"/>
    <w:rsid w:val="00CF0214"/>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qFormat/>
    <w:rsid w:val="00CF0214"/>
    <w:pPr>
      <w:keepNext/>
      <w:keepLines/>
      <w:tabs>
        <w:tab w:val="right" w:pos="851"/>
      </w:tabs>
      <w:spacing w:before="360" w:after="240" w:line="300" w:lineRule="exact"/>
      <w:ind w:left="1134" w:right="1134" w:hanging="1134"/>
    </w:pPr>
    <w:rPr>
      <w:b/>
      <w:sz w:val="28"/>
    </w:rPr>
  </w:style>
  <w:style w:type="character" w:customStyle="1" w:styleId="HChGChar">
    <w:name w:val="_ H _Ch_G Char"/>
    <w:link w:val="HChG"/>
    <w:rsid w:val="00AD6670"/>
    <w:rPr>
      <w:b/>
      <w:sz w:val="28"/>
      <w:lang w:eastAsia="en-US"/>
    </w:rPr>
  </w:style>
  <w:style w:type="character" w:styleId="FootnoteReference">
    <w:name w:val="footnote reference"/>
    <w:aliases w:val="4_G,ftref,a Footnote Reference,FZ,Appel note de bas de page,Footnotes refss,Footnote number,BVI fnr (文字) (文字) Char (文字) Char Char1 Char Char Char Char Char Char Char1 Char Char Char1 Char Char,Footnote Ref,16 Point,Superscript 6 Point"/>
    <w:link w:val="CharChar1CharCharCharChar1CharCharCharCharCharCharCharCharCharCharCharCharCharCharCharChar"/>
    <w:uiPriority w:val="99"/>
    <w:qFormat/>
    <w:rsid w:val="00CF0214"/>
    <w:rPr>
      <w:rFonts w:ascii="Times New Roman" w:hAnsi="Times New Roman"/>
      <w:sz w:val="18"/>
      <w:vertAlign w:val="superscript"/>
    </w:rPr>
  </w:style>
  <w:style w:type="paragraph" w:customStyle="1" w:styleId="CharChar1CharCharCharChar1CharCharCharCharCharCharCharCharCharCharCharCharCharCharCharChar">
    <w:name w:val="Char Char1 Char Char Char Char1 Char Char Char Char Char Char Char Char Char Char Char Char (文字) Char Char Char Char"/>
    <w:aliases w:val="Char Char Char Char1 Char Char (文字) Char Char Char Char"/>
    <w:basedOn w:val="Normal"/>
    <w:next w:val="Normal"/>
    <w:link w:val="FootnoteReference"/>
    <w:uiPriority w:val="99"/>
    <w:qFormat/>
    <w:rsid w:val="00AD6670"/>
    <w:pPr>
      <w:suppressAutoHyphens w:val="0"/>
      <w:spacing w:after="160" w:line="240" w:lineRule="exact"/>
    </w:pPr>
    <w:rPr>
      <w:sz w:val="18"/>
      <w:vertAlign w:val="superscript"/>
      <w:lang w:eastAsia="en-GB"/>
    </w:rPr>
  </w:style>
  <w:style w:type="character" w:styleId="EndnoteReference">
    <w:name w:val="endnote reference"/>
    <w:aliases w:val="1_G"/>
    <w:uiPriority w:val="99"/>
    <w:rsid w:val="00CF0214"/>
    <w:rPr>
      <w:rFonts w:ascii="Times New Roman" w:hAnsi="Times New Roman"/>
      <w:sz w:val="18"/>
      <w:vertAlign w:val="superscript"/>
    </w:rPr>
  </w:style>
  <w:style w:type="paragraph" w:styleId="Header">
    <w:name w:val="header"/>
    <w:aliases w:val="6_G"/>
    <w:basedOn w:val="Normal"/>
    <w:link w:val="HeaderChar"/>
    <w:uiPriority w:val="99"/>
    <w:qFormat/>
    <w:rsid w:val="00CF0214"/>
    <w:pPr>
      <w:pBdr>
        <w:bottom w:val="single" w:sz="4" w:space="4" w:color="auto"/>
      </w:pBdr>
      <w:spacing w:line="240" w:lineRule="auto"/>
    </w:pPr>
    <w:rPr>
      <w:b/>
      <w:sz w:val="18"/>
    </w:rPr>
  </w:style>
  <w:style w:type="table" w:styleId="TableGrid">
    <w:name w:val="Table Grid"/>
    <w:basedOn w:val="TableNormal"/>
    <w:rsid w:val="00CF0214"/>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styleId="Hyperlink">
    <w:name w:val="Hyperlink"/>
    <w:uiPriority w:val="99"/>
    <w:rsid w:val="00CF0214"/>
    <w:rPr>
      <w:color w:val="auto"/>
      <w:u w:val="none"/>
    </w:rPr>
  </w:style>
  <w:style w:type="character" w:styleId="FollowedHyperlink">
    <w:name w:val="FollowedHyperlink"/>
    <w:uiPriority w:val="99"/>
    <w:semiHidden/>
    <w:rsid w:val="00CF0214"/>
    <w:rPr>
      <w:color w:val="auto"/>
      <w:u w:val="none"/>
    </w:rPr>
  </w:style>
  <w:style w:type="paragraph" w:customStyle="1" w:styleId="SMG">
    <w:name w:val="__S_M_G"/>
    <w:basedOn w:val="Normal"/>
    <w:next w:val="Normal"/>
    <w:rsid w:val="00CF0214"/>
    <w:pPr>
      <w:keepNext/>
      <w:keepLines/>
      <w:spacing w:before="240" w:after="240" w:line="420" w:lineRule="exact"/>
      <w:ind w:left="1134" w:right="1134"/>
    </w:pPr>
    <w:rPr>
      <w:b/>
      <w:sz w:val="40"/>
    </w:rPr>
  </w:style>
  <w:style w:type="paragraph" w:customStyle="1" w:styleId="SLG">
    <w:name w:val="__S_L_G"/>
    <w:basedOn w:val="Normal"/>
    <w:next w:val="Normal"/>
    <w:rsid w:val="00CF0214"/>
    <w:pPr>
      <w:keepNext/>
      <w:keepLines/>
      <w:spacing w:before="240" w:after="240" w:line="580" w:lineRule="exact"/>
      <w:ind w:left="1134" w:right="1134"/>
    </w:pPr>
    <w:rPr>
      <w:b/>
      <w:sz w:val="56"/>
    </w:rPr>
  </w:style>
  <w:style w:type="paragraph" w:customStyle="1" w:styleId="SSG">
    <w:name w:val="__S_S_G"/>
    <w:basedOn w:val="Normal"/>
    <w:next w:val="Normal"/>
    <w:rsid w:val="00CF0214"/>
    <w:pPr>
      <w:keepNext/>
      <w:keepLines/>
      <w:spacing w:before="240" w:after="240" w:line="300" w:lineRule="exact"/>
      <w:ind w:left="1134" w:right="1134"/>
    </w:pPr>
    <w:rPr>
      <w:b/>
      <w:sz w:val="28"/>
    </w:rPr>
  </w:style>
  <w:style w:type="paragraph" w:styleId="FootnoteText">
    <w:name w:val="footnote text"/>
    <w:aliases w:val="5_G,single space,Sharp - Footnote Text,Footnote Text - Sharp Char Char,Footnote Text - Sharp Char,FOOTNOTES,fn,Footnote Text - Sharp,Footnote Text Char Char Char,Footnote Text Char Char Char Char Char Char Char Char,FA Fu,Char,Char Char2,f"/>
    <w:basedOn w:val="Normal"/>
    <w:link w:val="FootnoteTextChar"/>
    <w:uiPriority w:val="99"/>
    <w:qFormat/>
    <w:rsid w:val="00CF0214"/>
    <w:pPr>
      <w:tabs>
        <w:tab w:val="right" w:pos="1021"/>
      </w:tabs>
      <w:spacing w:line="220" w:lineRule="exact"/>
      <w:ind w:left="1134" w:right="1134" w:hanging="1134"/>
    </w:pPr>
    <w:rPr>
      <w:sz w:val="18"/>
    </w:rPr>
  </w:style>
  <w:style w:type="character" w:customStyle="1" w:styleId="FootnoteTextChar">
    <w:name w:val="Footnote Text Char"/>
    <w:aliases w:val="5_G Char,single space Char,Sharp - Footnote Text Char,Footnote Text - Sharp Char Char Char,Footnote Text - Sharp Char Char1,FOOTNOTES Char,fn Char,Footnote Text - Sharp Char1,Footnote Text Char Char Char Char,FA Fu Char,Char Char"/>
    <w:link w:val="FootnoteText"/>
    <w:uiPriority w:val="99"/>
    <w:locked/>
    <w:rsid w:val="00214526"/>
    <w:rPr>
      <w:sz w:val="18"/>
      <w:lang w:val="en-GB" w:eastAsia="en-US" w:bidi="ar-SA"/>
    </w:rPr>
  </w:style>
  <w:style w:type="paragraph" w:styleId="EndnoteText">
    <w:name w:val="endnote text"/>
    <w:aliases w:val="2_G"/>
    <w:basedOn w:val="FootnoteText"/>
    <w:link w:val="EndnoteTextChar"/>
    <w:uiPriority w:val="99"/>
    <w:rsid w:val="00CF0214"/>
  </w:style>
  <w:style w:type="character" w:styleId="PageNumber">
    <w:name w:val="page number"/>
    <w:aliases w:val="7_G"/>
    <w:rsid w:val="00CF0214"/>
    <w:rPr>
      <w:rFonts w:ascii="Times New Roman" w:hAnsi="Times New Roman"/>
      <w:b/>
      <w:sz w:val="18"/>
    </w:rPr>
  </w:style>
  <w:style w:type="paragraph" w:customStyle="1" w:styleId="XLargeG">
    <w:name w:val="__XLarge_G"/>
    <w:basedOn w:val="Normal"/>
    <w:next w:val="Normal"/>
    <w:rsid w:val="00CF0214"/>
    <w:pPr>
      <w:keepNext/>
      <w:keepLines/>
      <w:spacing w:before="240" w:after="240" w:line="420" w:lineRule="exact"/>
      <w:ind w:left="1134" w:right="1134"/>
    </w:pPr>
    <w:rPr>
      <w:b/>
      <w:sz w:val="40"/>
    </w:rPr>
  </w:style>
  <w:style w:type="paragraph" w:customStyle="1" w:styleId="Bullet1G">
    <w:name w:val="_Bullet 1_G"/>
    <w:basedOn w:val="Normal"/>
    <w:rsid w:val="00CF0214"/>
    <w:pPr>
      <w:numPr>
        <w:numId w:val="1"/>
      </w:numPr>
      <w:spacing w:after="120"/>
      <w:ind w:right="1134"/>
      <w:jc w:val="both"/>
    </w:pPr>
  </w:style>
  <w:style w:type="paragraph" w:styleId="Footer">
    <w:name w:val="footer"/>
    <w:aliases w:val="3_G,3_GA"/>
    <w:basedOn w:val="Normal"/>
    <w:link w:val="FooterChar"/>
    <w:qFormat/>
    <w:rsid w:val="00CF0214"/>
    <w:pPr>
      <w:spacing w:line="240" w:lineRule="auto"/>
    </w:pPr>
    <w:rPr>
      <w:sz w:val="16"/>
    </w:rPr>
  </w:style>
  <w:style w:type="character" w:customStyle="1" w:styleId="FooterChar">
    <w:name w:val="Footer Char"/>
    <w:aliases w:val="3_G Char,3_GA Char"/>
    <w:link w:val="Footer"/>
    <w:rsid w:val="005656AB"/>
    <w:rPr>
      <w:sz w:val="16"/>
      <w:lang w:eastAsia="en-US"/>
    </w:rPr>
  </w:style>
  <w:style w:type="paragraph" w:customStyle="1" w:styleId="Bullet2G">
    <w:name w:val="_Bullet 2_G"/>
    <w:basedOn w:val="Normal"/>
    <w:rsid w:val="00CF0214"/>
    <w:pPr>
      <w:numPr>
        <w:numId w:val="2"/>
      </w:numPr>
      <w:spacing w:after="120"/>
      <w:ind w:right="1134"/>
      <w:jc w:val="both"/>
    </w:pPr>
  </w:style>
  <w:style w:type="paragraph" w:customStyle="1" w:styleId="H1G">
    <w:name w:val="_ H_1_G"/>
    <w:basedOn w:val="Normal"/>
    <w:next w:val="Normal"/>
    <w:link w:val="H1GChar"/>
    <w:qFormat/>
    <w:rsid w:val="00CF0214"/>
    <w:pPr>
      <w:keepNext/>
      <w:keepLines/>
      <w:tabs>
        <w:tab w:val="right" w:pos="851"/>
      </w:tabs>
      <w:spacing w:before="360" w:after="240" w:line="270" w:lineRule="exact"/>
      <w:ind w:left="1134" w:right="1134" w:hanging="1134"/>
    </w:pPr>
    <w:rPr>
      <w:b/>
      <w:sz w:val="24"/>
    </w:rPr>
  </w:style>
  <w:style w:type="character" w:customStyle="1" w:styleId="H1GChar">
    <w:name w:val="_ H_1_G Char"/>
    <w:link w:val="H1G"/>
    <w:rsid w:val="00AD6670"/>
    <w:rPr>
      <w:b/>
      <w:sz w:val="24"/>
      <w:lang w:eastAsia="en-US"/>
    </w:rPr>
  </w:style>
  <w:style w:type="paragraph" w:customStyle="1" w:styleId="H23G">
    <w:name w:val="_ H_2/3_G"/>
    <w:basedOn w:val="Normal"/>
    <w:next w:val="Normal"/>
    <w:qFormat/>
    <w:rsid w:val="00CF0214"/>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CF0214"/>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CF0214"/>
    <w:pPr>
      <w:keepNext/>
      <w:keepLines/>
      <w:tabs>
        <w:tab w:val="right" w:pos="851"/>
      </w:tabs>
      <w:spacing w:before="240" w:after="120" w:line="240" w:lineRule="exact"/>
      <w:ind w:left="1134" w:right="1134" w:hanging="1134"/>
    </w:pPr>
  </w:style>
  <w:style w:type="character" w:styleId="Strong">
    <w:name w:val="Strong"/>
    <w:uiPriority w:val="22"/>
    <w:qFormat/>
    <w:rsid w:val="005D2910"/>
    <w:rPr>
      <w:rFonts w:cs="Times New Roman"/>
      <w:b/>
      <w:bCs/>
    </w:rPr>
  </w:style>
  <w:style w:type="character" w:customStyle="1" w:styleId="style37">
    <w:name w:val="style37"/>
    <w:rsid w:val="005D2910"/>
    <w:rPr>
      <w:rFonts w:cs="Times New Roman"/>
    </w:rPr>
  </w:style>
  <w:style w:type="paragraph" w:styleId="BalloonText">
    <w:name w:val="Balloon Text"/>
    <w:basedOn w:val="Normal"/>
    <w:link w:val="BalloonTextChar"/>
    <w:uiPriority w:val="99"/>
    <w:rsid w:val="00572F49"/>
    <w:pPr>
      <w:spacing w:line="240" w:lineRule="auto"/>
    </w:pPr>
    <w:rPr>
      <w:rFonts w:ascii="Tahoma" w:hAnsi="Tahoma" w:cs="Tahoma"/>
      <w:sz w:val="16"/>
      <w:szCs w:val="16"/>
    </w:rPr>
  </w:style>
  <w:style w:type="character" w:customStyle="1" w:styleId="BalloonTextChar">
    <w:name w:val="Balloon Text Char"/>
    <w:link w:val="BalloonText"/>
    <w:uiPriority w:val="99"/>
    <w:rsid w:val="00572F49"/>
    <w:rPr>
      <w:rFonts w:ascii="Tahoma" w:hAnsi="Tahoma" w:cs="Tahoma"/>
      <w:sz w:val="16"/>
      <w:szCs w:val="16"/>
      <w:lang w:eastAsia="en-US"/>
    </w:rPr>
  </w:style>
  <w:style w:type="paragraph" w:styleId="ListParagraph">
    <w:name w:val="List Paragraph"/>
    <w:aliases w:val="List Paragraph (numbered (a)),Lapis Bulleted List,Dot pt,F5 List Paragraph,No Spacing1,List Paragraph Char Char Char,Indicator Text,Numbered Para 1,Bullet 1,List Paragraph12,Bullet Points,MAIN CONTENT,Numbered Paragraph,References,Bullets"/>
    <w:basedOn w:val="Normal"/>
    <w:link w:val="ListParagraphChar"/>
    <w:uiPriority w:val="34"/>
    <w:qFormat/>
    <w:rsid w:val="00BD3DD5"/>
    <w:pPr>
      <w:suppressAutoHyphens w:val="0"/>
      <w:spacing w:after="200" w:line="276" w:lineRule="auto"/>
      <w:ind w:left="720"/>
      <w:contextualSpacing/>
    </w:pPr>
    <w:rPr>
      <w:rFonts w:ascii="Calibri" w:eastAsia="Calibri" w:hAnsi="Calibri"/>
      <w:sz w:val="22"/>
      <w:szCs w:val="22"/>
      <w:lang w:val="de-AT"/>
    </w:rPr>
  </w:style>
  <w:style w:type="character" w:customStyle="1" w:styleId="ListParagraphChar">
    <w:name w:val="List Paragraph Char"/>
    <w:aliases w:val="List Paragraph (numbered (a)) Char,Lapis Bulleted List Char,Dot pt Char,F5 List Paragraph Char,No Spacing1 Char,List Paragraph Char Char Char Char,Indicator Text Char,Numbered Para 1 Char,Bullet 1 Char,List Paragraph12 Char"/>
    <w:link w:val="ListParagraph"/>
    <w:uiPriority w:val="34"/>
    <w:qFormat/>
    <w:locked/>
    <w:rsid w:val="00AD6670"/>
    <w:rPr>
      <w:rFonts w:ascii="Calibri" w:eastAsia="Calibri" w:hAnsi="Calibri"/>
      <w:sz w:val="22"/>
      <w:szCs w:val="22"/>
      <w:lang w:val="de-AT" w:eastAsia="en-US"/>
    </w:rPr>
  </w:style>
  <w:style w:type="character" w:styleId="CommentReference">
    <w:name w:val="annotation reference"/>
    <w:uiPriority w:val="99"/>
    <w:rsid w:val="00AD6670"/>
    <w:rPr>
      <w:sz w:val="6"/>
    </w:rPr>
  </w:style>
  <w:style w:type="paragraph" w:styleId="CommentText">
    <w:name w:val="annotation text"/>
    <w:basedOn w:val="Normal"/>
    <w:link w:val="CommentTextChar"/>
    <w:uiPriority w:val="99"/>
    <w:rsid w:val="00AD6670"/>
    <w:pPr>
      <w:suppressAutoHyphens w:val="0"/>
      <w:spacing w:after="160" w:line="259" w:lineRule="auto"/>
    </w:pPr>
    <w:rPr>
      <w:sz w:val="22"/>
      <w:szCs w:val="22"/>
    </w:rPr>
  </w:style>
  <w:style w:type="character" w:customStyle="1" w:styleId="CommentTextChar">
    <w:name w:val="Comment Text Char"/>
    <w:link w:val="CommentText"/>
    <w:uiPriority w:val="99"/>
    <w:rsid w:val="00AD6670"/>
    <w:rPr>
      <w:sz w:val="22"/>
      <w:szCs w:val="22"/>
      <w:lang w:eastAsia="en-US"/>
    </w:rPr>
  </w:style>
  <w:style w:type="paragraph" w:styleId="TOCHeading">
    <w:name w:val="TOC Heading"/>
    <w:basedOn w:val="Heading1"/>
    <w:next w:val="Normal"/>
    <w:uiPriority w:val="39"/>
    <w:unhideWhenUsed/>
    <w:qFormat/>
    <w:rsid w:val="00AD6670"/>
    <w:pPr>
      <w:keepNext/>
      <w:keepLines/>
      <w:suppressAutoHyphens w:val="0"/>
      <w:spacing w:before="400" w:after="40"/>
      <w:ind w:left="0"/>
      <w:outlineLvl w:val="9"/>
    </w:pPr>
    <w:rPr>
      <w:color w:val="6E6E6E"/>
      <w:sz w:val="36"/>
      <w:szCs w:val="36"/>
    </w:rPr>
  </w:style>
  <w:style w:type="paragraph" w:styleId="TOC2">
    <w:name w:val="toc 2"/>
    <w:basedOn w:val="Normal"/>
    <w:next w:val="Normal"/>
    <w:autoRedefine/>
    <w:uiPriority w:val="39"/>
    <w:unhideWhenUsed/>
    <w:rsid w:val="00614AB3"/>
    <w:pPr>
      <w:tabs>
        <w:tab w:val="left" w:pos="426"/>
        <w:tab w:val="left" w:pos="567"/>
        <w:tab w:val="left" w:pos="1418"/>
        <w:tab w:val="right" w:leader="dot" w:pos="9629"/>
      </w:tabs>
      <w:suppressAutoHyphens w:val="0"/>
      <w:bidi/>
      <w:spacing w:after="100" w:line="259" w:lineRule="auto"/>
    </w:pPr>
    <w:rPr>
      <w:sz w:val="22"/>
      <w:szCs w:val="22"/>
    </w:rPr>
  </w:style>
  <w:style w:type="paragraph" w:styleId="TOC3">
    <w:name w:val="toc 3"/>
    <w:basedOn w:val="Normal"/>
    <w:next w:val="Normal"/>
    <w:autoRedefine/>
    <w:uiPriority w:val="39"/>
    <w:unhideWhenUsed/>
    <w:rsid w:val="00AD6670"/>
    <w:pPr>
      <w:suppressAutoHyphens w:val="0"/>
      <w:spacing w:before="120" w:after="100" w:line="252" w:lineRule="auto"/>
      <w:ind w:left="1418" w:hanging="360"/>
    </w:pPr>
    <w:rPr>
      <w:sz w:val="22"/>
      <w:szCs w:val="22"/>
    </w:rPr>
  </w:style>
  <w:style w:type="paragraph" w:styleId="CommentSubject">
    <w:name w:val="annotation subject"/>
    <w:basedOn w:val="CommentText"/>
    <w:next w:val="CommentText"/>
    <w:link w:val="CommentSubjectChar"/>
    <w:uiPriority w:val="99"/>
    <w:rsid w:val="00AA7C25"/>
    <w:pPr>
      <w:suppressAutoHyphens/>
      <w:spacing w:after="0" w:line="240" w:lineRule="atLeast"/>
    </w:pPr>
    <w:rPr>
      <w:b/>
      <w:bCs/>
      <w:sz w:val="20"/>
      <w:szCs w:val="20"/>
    </w:rPr>
  </w:style>
  <w:style w:type="character" w:customStyle="1" w:styleId="CommentSubjectChar">
    <w:name w:val="Comment Subject Char"/>
    <w:link w:val="CommentSubject"/>
    <w:uiPriority w:val="99"/>
    <w:rsid w:val="00AA7C25"/>
    <w:rPr>
      <w:b/>
      <w:bCs/>
      <w:sz w:val="22"/>
      <w:szCs w:val="22"/>
      <w:lang w:eastAsia="en-US"/>
    </w:rPr>
  </w:style>
  <w:style w:type="character" w:customStyle="1" w:styleId="fontstyle01">
    <w:name w:val="fontstyle01"/>
    <w:rsid w:val="009562A6"/>
    <w:rPr>
      <w:rFonts w:ascii="TimesNewRomanPSMT" w:hAnsi="TimesNewRomanPSMT" w:hint="default"/>
      <w:b w:val="0"/>
      <w:bCs w:val="0"/>
      <w:i w:val="0"/>
      <w:iCs w:val="0"/>
      <w:color w:val="000000"/>
      <w:sz w:val="20"/>
      <w:szCs w:val="20"/>
    </w:rPr>
  </w:style>
  <w:style w:type="paragraph" w:styleId="NormalWeb">
    <w:name w:val="Normal (Web)"/>
    <w:basedOn w:val="Normal"/>
    <w:uiPriority w:val="99"/>
    <w:rsid w:val="00BC3C95"/>
    <w:rPr>
      <w:sz w:val="24"/>
      <w:szCs w:val="24"/>
    </w:rPr>
  </w:style>
  <w:style w:type="character" w:styleId="Emphasis">
    <w:name w:val="Emphasis"/>
    <w:uiPriority w:val="20"/>
    <w:qFormat/>
    <w:rsid w:val="00E31736"/>
    <w:rPr>
      <w:i/>
      <w:iCs/>
    </w:rPr>
  </w:style>
  <w:style w:type="character" w:customStyle="1" w:styleId="FootnoteTextChar1">
    <w:name w:val="Footnote Text Char1"/>
    <w:basedOn w:val="DefaultParagraphFont"/>
    <w:uiPriority w:val="99"/>
    <w:semiHidden/>
    <w:rsid w:val="00CE75B0"/>
    <w:rPr>
      <w:sz w:val="20"/>
      <w:szCs w:val="20"/>
    </w:rPr>
  </w:style>
  <w:style w:type="paragraph" w:styleId="Revision">
    <w:name w:val="Revision"/>
    <w:hidden/>
    <w:uiPriority w:val="99"/>
    <w:semiHidden/>
    <w:rsid w:val="0025700D"/>
    <w:rPr>
      <w:lang w:eastAsia="en-US"/>
    </w:rPr>
  </w:style>
  <w:style w:type="paragraph" w:customStyle="1" w:styleId="HChGA">
    <w:name w:val="_ H _Ch_GA"/>
    <w:basedOn w:val="Normal"/>
    <w:next w:val="Normal"/>
    <w:qFormat/>
    <w:rsid w:val="0064235D"/>
    <w:pPr>
      <w:keepNext/>
      <w:keepLines/>
      <w:tabs>
        <w:tab w:val="right" w:pos="1021"/>
      </w:tabs>
      <w:bidi/>
      <w:spacing w:before="360" w:after="240" w:line="440" w:lineRule="exact"/>
      <w:ind w:left="1247" w:right="1247" w:hanging="1247"/>
      <w:jc w:val="lowKashida"/>
    </w:pPr>
    <w:rPr>
      <w:rFonts w:cs="Traditional Arabic"/>
      <w:b/>
      <w:bCs/>
      <w:sz w:val="28"/>
      <w:szCs w:val="38"/>
      <w:lang w:val="en-US"/>
    </w:rPr>
  </w:style>
  <w:style w:type="character" w:customStyle="1" w:styleId="tlid-translation">
    <w:name w:val="tlid-translation"/>
    <w:basedOn w:val="DefaultParagraphFont"/>
    <w:rsid w:val="00B6551B"/>
  </w:style>
  <w:style w:type="paragraph" w:styleId="NoSpacing">
    <w:name w:val="No Spacing"/>
    <w:uiPriority w:val="1"/>
    <w:qFormat/>
    <w:rsid w:val="00967CB7"/>
    <w:rPr>
      <w:rFonts w:asciiTheme="minorHAnsi" w:eastAsiaTheme="minorHAnsi" w:hAnsiTheme="minorHAnsi" w:cstheme="minorBidi"/>
      <w:sz w:val="22"/>
      <w:szCs w:val="22"/>
      <w:lang w:eastAsia="en-US"/>
    </w:rPr>
  </w:style>
  <w:style w:type="paragraph" w:customStyle="1" w:styleId="ENFootnoteReference">
    <w:name w:val="EN Footnote Reference"/>
    <w:aliases w:val="-E Fußnotenzeichen,number,SUPERS,BVI fnr תו Char Char Char,BVI fnr Car Car תו Char Char Char,BVI fnr Car תו Char Char Char,BVI fn"/>
    <w:basedOn w:val="Normal"/>
    <w:rsid w:val="00A27602"/>
    <w:pPr>
      <w:suppressAutoHyphens w:val="0"/>
      <w:spacing w:after="160" w:line="240" w:lineRule="exact"/>
    </w:pPr>
    <w:rPr>
      <w:vertAlign w:val="superscript"/>
      <w:lang w:eastAsia="en-GB"/>
    </w:rPr>
  </w:style>
  <w:style w:type="character" w:customStyle="1" w:styleId="3ll06">
    <w:name w:val="_3ll06"/>
    <w:basedOn w:val="DefaultParagraphFont"/>
    <w:rsid w:val="00A27602"/>
  </w:style>
  <w:style w:type="numbering" w:customStyle="1" w:styleId="NoList1">
    <w:name w:val="No List1"/>
    <w:next w:val="NoList"/>
    <w:uiPriority w:val="99"/>
    <w:semiHidden/>
    <w:unhideWhenUsed/>
    <w:rsid w:val="00C818F0"/>
  </w:style>
  <w:style w:type="character" w:customStyle="1" w:styleId="Heading5Char">
    <w:name w:val="Heading 5 Char"/>
    <w:basedOn w:val="DefaultParagraphFont"/>
    <w:link w:val="Heading5"/>
    <w:uiPriority w:val="9"/>
    <w:rsid w:val="00C818F0"/>
    <w:rPr>
      <w:lang w:eastAsia="en-US"/>
    </w:rPr>
  </w:style>
  <w:style w:type="paragraph" w:customStyle="1" w:styleId="SingleTxtG-Withnumbering">
    <w:name w:val="_ Single Txt_G - With numbering"/>
    <w:basedOn w:val="SingleTxtG"/>
    <w:qFormat/>
    <w:rsid w:val="00C818F0"/>
    <w:pPr>
      <w:numPr>
        <w:numId w:val="14"/>
      </w:numPr>
      <w:tabs>
        <w:tab w:val="left" w:pos="1701"/>
      </w:tabs>
      <w:ind w:left="1134" w:firstLine="0"/>
    </w:pPr>
    <w:rPr>
      <w:lang w:val="x-none"/>
    </w:rPr>
  </w:style>
  <w:style w:type="paragraph" w:customStyle="1" w:styleId="Bulletsanspoint-justeletexte">
    <w:name w:val="_ Bullet sans point - juste le texte"/>
    <w:basedOn w:val="Normal"/>
    <w:qFormat/>
    <w:rsid w:val="00C818F0"/>
    <w:pPr>
      <w:tabs>
        <w:tab w:val="left" w:pos="1701"/>
      </w:tabs>
      <w:suppressAutoHyphens w:val="0"/>
      <w:spacing w:after="120" w:line="240" w:lineRule="auto"/>
      <w:ind w:left="1701" w:right="1701"/>
      <w:jc w:val="both"/>
    </w:pPr>
    <w:rPr>
      <w:shd w:val="clear" w:color="auto" w:fill="FFFFFF"/>
    </w:rPr>
  </w:style>
  <w:style w:type="numbering" w:customStyle="1" w:styleId="NoList2">
    <w:name w:val="No List2"/>
    <w:next w:val="NoList"/>
    <w:uiPriority w:val="99"/>
    <w:semiHidden/>
    <w:unhideWhenUsed/>
    <w:rsid w:val="00870A70"/>
  </w:style>
  <w:style w:type="character" w:customStyle="1" w:styleId="text">
    <w:name w:val="text"/>
    <w:basedOn w:val="DefaultParagraphFont"/>
    <w:rsid w:val="00870A70"/>
  </w:style>
  <w:style w:type="paragraph" w:customStyle="1" w:styleId="GCFootnote">
    <w:name w:val="GC Footnote"/>
    <w:basedOn w:val="FootnoteText"/>
    <w:qFormat/>
    <w:rsid w:val="009826D6"/>
    <w:pPr>
      <w:tabs>
        <w:tab w:val="clear" w:pos="1021"/>
      </w:tabs>
      <w:suppressAutoHyphens w:val="0"/>
      <w:spacing w:line="240" w:lineRule="auto"/>
      <w:ind w:left="0" w:right="0" w:firstLine="0"/>
      <w:jc w:val="both"/>
    </w:pPr>
    <w:rPr>
      <w:sz w:val="20"/>
      <w:lang w:val="en-CA" w:eastAsia="fr-CH"/>
    </w:rPr>
  </w:style>
  <w:style w:type="character" w:customStyle="1" w:styleId="s29-1">
    <w:name w:val="s29-1"/>
    <w:basedOn w:val="DefaultParagraphFont"/>
    <w:rsid w:val="009826D6"/>
    <w:rPr>
      <w:rFonts w:ascii="Arial" w:hAnsi="Arial" w:cs="Arial" w:hint="default"/>
      <w:color w:val="000000"/>
      <w:sz w:val="16"/>
      <w:szCs w:val="16"/>
    </w:rPr>
  </w:style>
  <w:style w:type="paragraph" w:customStyle="1" w:styleId="Char2">
    <w:name w:val="Char2"/>
    <w:basedOn w:val="Normal"/>
    <w:rsid w:val="009826D6"/>
    <w:pPr>
      <w:suppressAutoHyphens w:val="0"/>
      <w:spacing w:after="160" w:line="240" w:lineRule="exact"/>
    </w:pPr>
    <w:rPr>
      <w:rFonts w:asciiTheme="minorHAnsi" w:eastAsiaTheme="minorHAnsi" w:hAnsiTheme="minorHAnsi" w:cstheme="minorBidi"/>
      <w:sz w:val="22"/>
      <w:szCs w:val="22"/>
      <w:vertAlign w:val="superscript"/>
    </w:rPr>
  </w:style>
  <w:style w:type="character" w:customStyle="1" w:styleId="HeaderChar">
    <w:name w:val="Header Char"/>
    <w:aliases w:val="6_G Char"/>
    <w:basedOn w:val="DefaultParagraphFont"/>
    <w:link w:val="Header"/>
    <w:uiPriority w:val="99"/>
    <w:rsid w:val="009826D6"/>
    <w:rPr>
      <w:b/>
      <w:sz w:val="18"/>
      <w:lang w:eastAsia="en-US"/>
    </w:rPr>
  </w:style>
  <w:style w:type="paragraph" w:customStyle="1" w:styleId="L1-1">
    <w:name w:val="L1-1"/>
    <w:basedOn w:val="Normal"/>
    <w:rsid w:val="009826D6"/>
    <w:pPr>
      <w:widowControl w:val="0"/>
      <w:suppressAutoHyphens w:val="0"/>
      <w:spacing w:line="240" w:lineRule="auto"/>
    </w:pPr>
    <w:rPr>
      <w:sz w:val="24"/>
      <w:szCs w:val="24"/>
      <w:lang w:val="en-US"/>
    </w:rPr>
  </w:style>
  <w:style w:type="numbering" w:customStyle="1" w:styleId="NoList3">
    <w:name w:val="No List3"/>
    <w:next w:val="NoList"/>
    <w:uiPriority w:val="99"/>
    <w:semiHidden/>
    <w:unhideWhenUsed/>
    <w:rsid w:val="00CD2150"/>
  </w:style>
  <w:style w:type="paragraph" w:customStyle="1" w:styleId="Default">
    <w:name w:val="Default"/>
    <w:rsid w:val="00EA7E88"/>
    <w:pPr>
      <w:autoSpaceDE w:val="0"/>
      <w:autoSpaceDN w:val="0"/>
      <w:adjustRightInd w:val="0"/>
    </w:pPr>
    <w:rPr>
      <w:rFonts w:ascii="Amnesty Trade Gothic" w:eastAsiaTheme="minorHAnsi" w:hAnsi="Amnesty Trade Gothic" w:cs="Amnesty Trade Gothic"/>
      <w:color w:val="000000"/>
      <w:sz w:val="24"/>
      <w:szCs w:val="24"/>
      <w:lang w:val="en-US" w:eastAsia="en-US"/>
    </w:rPr>
  </w:style>
  <w:style w:type="paragraph" w:customStyle="1" w:styleId="id5">
    <w:name w:val="id5"/>
    <w:basedOn w:val="Normal"/>
    <w:rsid w:val="00EA7E88"/>
    <w:pPr>
      <w:suppressAutoHyphens w:val="0"/>
      <w:spacing w:before="100" w:beforeAutospacing="1" w:after="100" w:afterAutospacing="1" w:line="240" w:lineRule="auto"/>
    </w:pPr>
    <w:rPr>
      <w:sz w:val="24"/>
      <w:szCs w:val="24"/>
      <w:lang w:eastAsia="en-GB"/>
    </w:rPr>
  </w:style>
  <w:style w:type="character" w:customStyle="1" w:styleId="EndnoteTextChar">
    <w:name w:val="Endnote Text Char"/>
    <w:aliases w:val="2_G Char"/>
    <w:basedOn w:val="DefaultParagraphFont"/>
    <w:link w:val="EndnoteText"/>
    <w:uiPriority w:val="99"/>
    <w:rsid w:val="00EA7E88"/>
    <w:rPr>
      <w:sz w:val="18"/>
      <w:lang w:eastAsia="en-US"/>
    </w:rPr>
  </w:style>
  <w:style w:type="character" w:customStyle="1" w:styleId="citation">
    <w:name w:val="citation"/>
    <w:basedOn w:val="DefaultParagraphFont"/>
    <w:rsid w:val="00EA7E88"/>
  </w:style>
  <w:style w:type="paragraph" w:customStyle="1" w:styleId="lj">
    <w:name w:val="lj"/>
    <w:basedOn w:val="Normal"/>
    <w:rsid w:val="00EA7E88"/>
    <w:pPr>
      <w:suppressAutoHyphens w:val="0"/>
      <w:spacing w:before="100" w:beforeAutospacing="1" w:after="100" w:afterAutospacing="1" w:line="240" w:lineRule="auto"/>
    </w:pPr>
    <w:rPr>
      <w:sz w:val="24"/>
      <w:szCs w:val="24"/>
      <w:lang w:eastAsia="en-GB"/>
    </w:rPr>
  </w:style>
  <w:style w:type="table" w:customStyle="1" w:styleId="TableGrid1">
    <w:name w:val="Table Grid1"/>
    <w:basedOn w:val="TableNormal"/>
    <w:next w:val="TableGrid"/>
    <w:uiPriority w:val="39"/>
    <w:rsid w:val="00EA7E8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605878"/>
    <w:pPr>
      <w:suppressAutoHyphens w:val="0"/>
      <w:spacing w:after="100" w:line="259" w:lineRule="auto"/>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605878"/>
    <w:pPr>
      <w:suppressAutoHyphens w:val="0"/>
      <w:spacing w:after="100" w:line="259" w:lineRule="auto"/>
      <w:ind w:left="660"/>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605878"/>
    <w:pPr>
      <w:suppressAutoHyphens w:val="0"/>
      <w:spacing w:after="100" w:line="259" w:lineRule="auto"/>
      <w:ind w:left="880"/>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605878"/>
    <w:pPr>
      <w:suppressAutoHyphens w:val="0"/>
      <w:spacing w:after="100" w:line="259" w:lineRule="auto"/>
      <w:ind w:left="1100"/>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605878"/>
    <w:pPr>
      <w:suppressAutoHyphens w:val="0"/>
      <w:spacing w:after="100" w:line="259" w:lineRule="auto"/>
      <w:ind w:left="1320"/>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605878"/>
    <w:pPr>
      <w:suppressAutoHyphens w:val="0"/>
      <w:spacing w:after="100" w:line="259" w:lineRule="auto"/>
      <w:ind w:left="1540"/>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605878"/>
    <w:pPr>
      <w:suppressAutoHyphens w:val="0"/>
      <w:spacing w:after="100" w:line="259" w:lineRule="auto"/>
      <w:ind w:left="1760"/>
    </w:pPr>
    <w:rPr>
      <w:rFonts w:asciiTheme="minorHAnsi" w:eastAsiaTheme="minorEastAsia" w:hAnsiTheme="minorHAnsi" w:cstheme="minorBidi"/>
      <w:sz w:val="22"/>
      <w:szCs w:val="22"/>
      <w:lang w:eastAsia="en-GB"/>
    </w:rPr>
  </w:style>
  <w:style w:type="character" w:customStyle="1" w:styleId="preferred">
    <w:name w:val="preferred"/>
    <w:basedOn w:val="DefaultParagraphFont"/>
    <w:rsid w:val="002F5924"/>
  </w:style>
  <w:style w:type="character" w:customStyle="1" w:styleId="st">
    <w:name w:val="st"/>
    <w:basedOn w:val="DefaultParagraphFont"/>
    <w:rsid w:val="0099529A"/>
  </w:style>
  <w:style w:type="character" w:customStyle="1" w:styleId="ar">
    <w:name w:val="ar"/>
    <w:basedOn w:val="DefaultParagraphFont"/>
    <w:rsid w:val="00DF17A7"/>
  </w:style>
  <w:style w:type="character" w:customStyle="1" w:styleId="acronym">
    <w:name w:val="acronym"/>
    <w:basedOn w:val="DefaultParagraphFont"/>
    <w:rsid w:val="006B7A17"/>
  </w:style>
  <w:style w:type="paragraph" w:customStyle="1" w:styleId="H4GA">
    <w:name w:val="_ H_4_GA"/>
    <w:basedOn w:val="Normal"/>
    <w:next w:val="Normal"/>
    <w:qFormat/>
    <w:rsid w:val="00F93E40"/>
    <w:pPr>
      <w:keepNext/>
      <w:keepLines/>
      <w:tabs>
        <w:tab w:val="right" w:pos="1021"/>
      </w:tabs>
      <w:bidi/>
      <w:spacing w:before="240" w:after="120" w:line="380" w:lineRule="exact"/>
      <w:ind w:left="1247" w:right="1247" w:hanging="1247"/>
      <w:jc w:val="lowKashida"/>
    </w:pPr>
    <w:rPr>
      <w:rFonts w:cs="Traditional Arabic"/>
      <w:i/>
      <w:iCs/>
      <w:szCs w:val="3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893656">
      <w:bodyDiv w:val="1"/>
      <w:marLeft w:val="0"/>
      <w:marRight w:val="0"/>
      <w:marTop w:val="0"/>
      <w:marBottom w:val="0"/>
      <w:divBdr>
        <w:top w:val="none" w:sz="0" w:space="0" w:color="auto"/>
        <w:left w:val="none" w:sz="0" w:space="0" w:color="auto"/>
        <w:bottom w:val="none" w:sz="0" w:space="0" w:color="auto"/>
        <w:right w:val="none" w:sz="0" w:space="0" w:color="auto"/>
      </w:divBdr>
      <w:divsChild>
        <w:div w:id="1418593627">
          <w:marLeft w:val="0"/>
          <w:marRight w:val="0"/>
          <w:marTop w:val="0"/>
          <w:marBottom w:val="0"/>
          <w:divBdr>
            <w:top w:val="none" w:sz="0" w:space="0" w:color="auto"/>
            <w:left w:val="none" w:sz="0" w:space="0" w:color="auto"/>
            <w:bottom w:val="none" w:sz="0" w:space="0" w:color="auto"/>
            <w:right w:val="none" w:sz="0" w:space="0" w:color="auto"/>
          </w:divBdr>
          <w:divsChild>
            <w:div w:id="2021152393">
              <w:marLeft w:val="0"/>
              <w:marRight w:val="0"/>
              <w:marTop w:val="0"/>
              <w:marBottom w:val="0"/>
              <w:divBdr>
                <w:top w:val="none" w:sz="0" w:space="0" w:color="auto"/>
                <w:left w:val="none" w:sz="0" w:space="0" w:color="auto"/>
                <w:bottom w:val="none" w:sz="0" w:space="0" w:color="auto"/>
                <w:right w:val="none" w:sz="0" w:space="0" w:color="auto"/>
              </w:divBdr>
              <w:divsChild>
                <w:div w:id="630095871">
                  <w:marLeft w:val="0"/>
                  <w:marRight w:val="0"/>
                  <w:marTop w:val="0"/>
                  <w:marBottom w:val="0"/>
                  <w:divBdr>
                    <w:top w:val="none" w:sz="0" w:space="0" w:color="auto"/>
                    <w:left w:val="none" w:sz="0" w:space="0" w:color="auto"/>
                    <w:bottom w:val="none" w:sz="0" w:space="0" w:color="auto"/>
                    <w:right w:val="none" w:sz="0" w:space="0" w:color="auto"/>
                  </w:divBdr>
                  <w:divsChild>
                    <w:div w:id="585923790">
                      <w:marLeft w:val="0"/>
                      <w:marRight w:val="0"/>
                      <w:marTop w:val="0"/>
                      <w:marBottom w:val="0"/>
                      <w:divBdr>
                        <w:top w:val="none" w:sz="0" w:space="0" w:color="auto"/>
                        <w:left w:val="none" w:sz="0" w:space="0" w:color="auto"/>
                        <w:bottom w:val="none" w:sz="0" w:space="0" w:color="auto"/>
                        <w:right w:val="none" w:sz="0" w:space="0" w:color="auto"/>
                      </w:divBdr>
                      <w:divsChild>
                        <w:div w:id="346057836">
                          <w:marLeft w:val="0"/>
                          <w:marRight w:val="0"/>
                          <w:marTop w:val="0"/>
                          <w:marBottom w:val="0"/>
                          <w:divBdr>
                            <w:top w:val="none" w:sz="0" w:space="0" w:color="auto"/>
                            <w:left w:val="none" w:sz="0" w:space="0" w:color="auto"/>
                            <w:bottom w:val="none" w:sz="0" w:space="0" w:color="auto"/>
                            <w:right w:val="none" w:sz="0" w:space="0" w:color="auto"/>
                          </w:divBdr>
                          <w:divsChild>
                            <w:div w:id="1083532766">
                              <w:marLeft w:val="0"/>
                              <w:marRight w:val="0"/>
                              <w:marTop w:val="0"/>
                              <w:marBottom w:val="0"/>
                              <w:divBdr>
                                <w:top w:val="none" w:sz="0" w:space="0" w:color="auto"/>
                                <w:left w:val="none" w:sz="0" w:space="0" w:color="auto"/>
                                <w:bottom w:val="none" w:sz="0" w:space="0" w:color="auto"/>
                                <w:right w:val="none" w:sz="0" w:space="0" w:color="auto"/>
                              </w:divBdr>
                              <w:divsChild>
                                <w:div w:id="242643964">
                                  <w:marLeft w:val="0"/>
                                  <w:marRight w:val="0"/>
                                  <w:marTop w:val="0"/>
                                  <w:marBottom w:val="0"/>
                                  <w:divBdr>
                                    <w:top w:val="none" w:sz="0" w:space="0" w:color="auto"/>
                                    <w:left w:val="none" w:sz="0" w:space="0" w:color="auto"/>
                                    <w:bottom w:val="none" w:sz="0" w:space="0" w:color="auto"/>
                                    <w:right w:val="none" w:sz="0" w:space="0" w:color="auto"/>
                                  </w:divBdr>
                                  <w:divsChild>
                                    <w:div w:id="1402143281">
                                      <w:marLeft w:val="0"/>
                                      <w:marRight w:val="0"/>
                                      <w:marTop w:val="0"/>
                                      <w:marBottom w:val="0"/>
                                      <w:divBdr>
                                        <w:top w:val="none" w:sz="0" w:space="0" w:color="auto"/>
                                        <w:left w:val="none" w:sz="0" w:space="0" w:color="auto"/>
                                        <w:bottom w:val="none" w:sz="0" w:space="0" w:color="auto"/>
                                        <w:right w:val="none" w:sz="0" w:space="0" w:color="auto"/>
                                      </w:divBdr>
                                      <w:divsChild>
                                        <w:div w:id="1865633466">
                                          <w:marLeft w:val="0"/>
                                          <w:marRight w:val="0"/>
                                          <w:marTop w:val="0"/>
                                          <w:marBottom w:val="495"/>
                                          <w:divBdr>
                                            <w:top w:val="none" w:sz="0" w:space="0" w:color="auto"/>
                                            <w:left w:val="none" w:sz="0" w:space="0" w:color="auto"/>
                                            <w:bottom w:val="none" w:sz="0" w:space="0" w:color="auto"/>
                                            <w:right w:val="none" w:sz="0" w:space="0" w:color="auto"/>
                                          </w:divBdr>
                                          <w:divsChild>
                                            <w:div w:id="77116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3124305">
      <w:bodyDiv w:val="1"/>
      <w:marLeft w:val="0"/>
      <w:marRight w:val="0"/>
      <w:marTop w:val="0"/>
      <w:marBottom w:val="0"/>
      <w:divBdr>
        <w:top w:val="none" w:sz="0" w:space="0" w:color="auto"/>
        <w:left w:val="none" w:sz="0" w:space="0" w:color="auto"/>
        <w:bottom w:val="none" w:sz="0" w:space="0" w:color="auto"/>
        <w:right w:val="none" w:sz="0" w:space="0" w:color="auto"/>
      </w:divBdr>
    </w:div>
    <w:div w:id="310792270">
      <w:bodyDiv w:val="1"/>
      <w:marLeft w:val="0"/>
      <w:marRight w:val="0"/>
      <w:marTop w:val="0"/>
      <w:marBottom w:val="0"/>
      <w:divBdr>
        <w:top w:val="none" w:sz="0" w:space="0" w:color="auto"/>
        <w:left w:val="none" w:sz="0" w:space="0" w:color="auto"/>
        <w:bottom w:val="none" w:sz="0" w:space="0" w:color="auto"/>
        <w:right w:val="none" w:sz="0" w:space="0" w:color="auto"/>
      </w:divBdr>
    </w:div>
    <w:div w:id="318073275">
      <w:bodyDiv w:val="1"/>
      <w:marLeft w:val="0"/>
      <w:marRight w:val="0"/>
      <w:marTop w:val="0"/>
      <w:marBottom w:val="0"/>
      <w:divBdr>
        <w:top w:val="none" w:sz="0" w:space="0" w:color="auto"/>
        <w:left w:val="none" w:sz="0" w:space="0" w:color="auto"/>
        <w:bottom w:val="none" w:sz="0" w:space="0" w:color="auto"/>
        <w:right w:val="none" w:sz="0" w:space="0" w:color="auto"/>
      </w:divBdr>
      <w:divsChild>
        <w:div w:id="819735292">
          <w:marLeft w:val="0"/>
          <w:marRight w:val="0"/>
          <w:marTop w:val="0"/>
          <w:marBottom w:val="0"/>
          <w:divBdr>
            <w:top w:val="none" w:sz="0" w:space="0" w:color="auto"/>
            <w:left w:val="none" w:sz="0" w:space="0" w:color="auto"/>
            <w:bottom w:val="none" w:sz="0" w:space="0" w:color="auto"/>
            <w:right w:val="none" w:sz="0" w:space="0" w:color="auto"/>
          </w:divBdr>
          <w:divsChild>
            <w:div w:id="1639188021">
              <w:marLeft w:val="0"/>
              <w:marRight w:val="0"/>
              <w:marTop w:val="0"/>
              <w:marBottom w:val="0"/>
              <w:divBdr>
                <w:top w:val="none" w:sz="0" w:space="0" w:color="auto"/>
                <w:left w:val="none" w:sz="0" w:space="0" w:color="auto"/>
                <w:bottom w:val="none" w:sz="0" w:space="0" w:color="auto"/>
                <w:right w:val="none" w:sz="0" w:space="0" w:color="auto"/>
              </w:divBdr>
              <w:divsChild>
                <w:div w:id="220601769">
                  <w:marLeft w:val="0"/>
                  <w:marRight w:val="0"/>
                  <w:marTop w:val="0"/>
                  <w:marBottom w:val="0"/>
                  <w:divBdr>
                    <w:top w:val="none" w:sz="0" w:space="0" w:color="auto"/>
                    <w:left w:val="none" w:sz="0" w:space="0" w:color="auto"/>
                    <w:bottom w:val="none" w:sz="0" w:space="0" w:color="auto"/>
                    <w:right w:val="none" w:sz="0" w:space="0" w:color="auto"/>
                  </w:divBdr>
                  <w:divsChild>
                    <w:div w:id="1604874435">
                      <w:marLeft w:val="0"/>
                      <w:marRight w:val="0"/>
                      <w:marTop w:val="0"/>
                      <w:marBottom w:val="0"/>
                      <w:divBdr>
                        <w:top w:val="none" w:sz="0" w:space="0" w:color="auto"/>
                        <w:left w:val="none" w:sz="0" w:space="0" w:color="auto"/>
                        <w:bottom w:val="none" w:sz="0" w:space="0" w:color="auto"/>
                        <w:right w:val="none" w:sz="0" w:space="0" w:color="auto"/>
                      </w:divBdr>
                      <w:divsChild>
                        <w:div w:id="1895696767">
                          <w:marLeft w:val="0"/>
                          <w:marRight w:val="0"/>
                          <w:marTop w:val="0"/>
                          <w:marBottom w:val="0"/>
                          <w:divBdr>
                            <w:top w:val="none" w:sz="0" w:space="0" w:color="auto"/>
                            <w:left w:val="none" w:sz="0" w:space="0" w:color="auto"/>
                            <w:bottom w:val="none" w:sz="0" w:space="0" w:color="auto"/>
                            <w:right w:val="none" w:sz="0" w:space="0" w:color="auto"/>
                          </w:divBdr>
                          <w:divsChild>
                            <w:div w:id="157231083">
                              <w:marLeft w:val="0"/>
                              <w:marRight w:val="0"/>
                              <w:marTop w:val="0"/>
                              <w:marBottom w:val="0"/>
                              <w:divBdr>
                                <w:top w:val="none" w:sz="0" w:space="0" w:color="auto"/>
                                <w:left w:val="none" w:sz="0" w:space="0" w:color="auto"/>
                                <w:bottom w:val="none" w:sz="0" w:space="0" w:color="auto"/>
                                <w:right w:val="none" w:sz="0" w:space="0" w:color="auto"/>
                              </w:divBdr>
                              <w:divsChild>
                                <w:div w:id="458256999">
                                  <w:marLeft w:val="0"/>
                                  <w:marRight w:val="0"/>
                                  <w:marTop w:val="0"/>
                                  <w:marBottom w:val="0"/>
                                  <w:divBdr>
                                    <w:top w:val="none" w:sz="0" w:space="0" w:color="auto"/>
                                    <w:left w:val="none" w:sz="0" w:space="0" w:color="auto"/>
                                    <w:bottom w:val="none" w:sz="0" w:space="0" w:color="auto"/>
                                    <w:right w:val="none" w:sz="0" w:space="0" w:color="auto"/>
                                  </w:divBdr>
                                  <w:divsChild>
                                    <w:div w:id="430131092">
                                      <w:marLeft w:val="0"/>
                                      <w:marRight w:val="0"/>
                                      <w:marTop w:val="0"/>
                                      <w:marBottom w:val="0"/>
                                      <w:divBdr>
                                        <w:top w:val="none" w:sz="0" w:space="0" w:color="auto"/>
                                        <w:left w:val="none" w:sz="0" w:space="0" w:color="auto"/>
                                        <w:bottom w:val="none" w:sz="0" w:space="0" w:color="auto"/>
                                        <w:right w:val="none" w:sz="0" w:space="0" w:color="auto"/>
                                      </w:divBdr>
                                      <w:divsChild>
                                        <w:div w:id="1324580553">
                                          <w:marLeft w:val="0"/>
                                          <w:marRight w:val="0"/>
                                          <w:marTop w:val="0"/>
                                          <w:marBottom w:val="495"/>
                                          <w:divBdr>
                                            <w:top w:val="none" w:sz="0" w:space="0" w:color="auto"/>
                                            <w:left w:val="none" w:sz="0" w:space="0" w:color="auto"/>
                                            <w:bottom w:val="none" w:sz="0" w:space="0" w:color="auto"/>
                                            <w:right w:val="none" w:sz="0" w:space="0" w:color="auto"/>
                                          </w:divBdr>
                                          <w:divsChild>
                                            <w:div w:id="5962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3096506">
      <w:bodyDiv w:val="1"/>
      <w:marLeft w:val="0"/>
      <w:marRight w:val="0"/>
      <w:marTop w:val="0"/>
      <w:marBottom w:val="0"/>
      <w:divBdr>
        <w:top w:val="none" w:sz="0" w:space="0" w:color="auto"/>
        <w:left w:val="none" w:sz="0" w:space="0" w:color="auto"/>
        <w:bottom w:val="none" w:sz="0" w:space="0" w:color="auto"/>
        <w:right w:val="none" w:sz="0" w:space="0" w:color="auto"/>
      </w:divBdr>
    </w:div>
    <w:div w:id="359210637">
      <w:bodyDiv w:val="1"/>
      <w:marLeft w:val="0"/>
      <w:marRight w:val="0"/>
      <w:marTop w:val="0"/>
      <w:marBottom w:val="0"/>
      <w:divBdr>
        <w:top w:val="none" w:sz="0" w:space="0" w:color="auto"/>
        <w:left w:val="none" w:sz="0" w:space="0" w:color="auto"/>
        <w:bottom w:val="none" w:sz="0" w:space="0" w:color="auto"/>
        <w:right w:val="none" w:sz="0" w:space="0" w:color="auto"/>
      </w:divBdr>
    </w:div>
    <w:div w:id="360135455">
      <w:bodyDiv w:val="1"/>
      <w:marLeft w:val="0"/>
      <w:marRight w:val="0"/>
      <w:marTop w:val="0"/>
      <w:marBottom w:val="0"/>
      <w:divBdr>
        <w:top w:val="none" w:sz="0" w:space="0" w:color="auto"/>
        <w:left w:val="none" w:sz="0" w:space="0" w:color="auto"/>
        <w:bottom w:val="none" w:sz="0" w:space="0" w:color="auto"/>
        <w:right w:val="none" w:sz="0" w:space="0" w:color="auto"/>
      </w:divBdr>
    </w:div>
    <w:div w:id="378482173">
      <w:bodyDiv w:val="1"/>
      <w:marLeft w:val="0"/>
      <w:marRight w:val="0"/>
      <w:marTop w:val="0"/>
      <w:marBottom w:val="0"/>
      <w:divBdr>
        <w:top w:val="none" w:sz="0" w:space="0" w:color="auto"/>
        <w:left w:val="none" w:sz="0" w:space="0" w:color="auto"/>
        <w:bottom w:val="none" w:sz="0" w:space="0" w:color="auto"/>
        <w:right w:val="none" w:sz="0" w:space="0" w:color="auto"/>
      </w:divBdr>
    </w:div>
    <w:div w:id="407390743">
      <w:bodyDiv w:val="1"/>
      <w:marLeft w:val="0"/>
      <w:marRight w:val="0"/>
      <w:marTop w:val="0"/>
      <w:marBottom w:val="0"/>
      <w:divBdr>
        <w:top w:val="none" w:sz="0" w:space="0" w:color="auto"/>
        <w:left w:val="none" w:sz="0" w:space="0" w:color="auto"/>
        <w:bottom w:val="none" w:sz="0" w:space="0" w:color="auto"/>
        <w:right w:val="none" w:sz="0" w:space="0" w:color="auto"/>
      </w:divBdr>
    </w:div>
    <w:div w:id="451436218">
      <w:bodyDiv w:val="1"/>
      <w:marLeft w:val="0"/>
      <w:marRight w:val="0"/>
      <w:marTop w:val="0"/>
      <w:marBottom w:val="0"/>
      <w:divBdr>
        <w:top w:val="none" w:sz="0" w:space="0" w:color="auto"/>
        <w:left w:val="none" w:sz="0" w:space="0" w:color="auto"/>
        <w:bottom w:val="none" w:sz="0" w:space="0" w:color="auto"/>
        <w:right w:val="none" w:sz="0" w:space="0" w:color="auto"/>
      </w:divBdr>
    </w:div>
    <w:div w:id="479227167">
      <w:bodyDiv w:val="1"/>
      <w:marLeft w:val="0"/>
      <w:marRight w:val="0"/>
      <w:marTop w:val="0"/>
      <w:marBottom w:val="0"/>
      <w:divBdr>
        <w:top w:val="none" w:sz="0" w:space="0" w:color="auto"/>
        <w:left w:val="none" w:sz="0" w:space="0" w:color="auto"/>
        <w:bottom w:val="none" w:sz="0" w:space="0" w:color="auto"/>
        <w:right w:val="none" w:sz="0" w:space="0" w:color="auto"/>
      </w:divBdr>
    </w:div>
    <w:div w:id="571047253">
      <w:bodyDiv w:val="1"/>
      <w:marLeft w:val="0"/>
      <w:marRight w:val="0"/>
      <w:marTop w:val="0"/>
      <w:marBottom w:val="0"/>
      <w:divBdr>
        <w:top w:val="none" w:sz="0" w:space="0" w:color="auto"/>
        <w:left w:val="none" w:sz="0" w:space="0" w:color="auto"/>
        <w:bottom w:val="none" w:sz="0" w:space="0" w:color="auto"/>
        <w:right w:val="none" w:sz="0" w:space="0" w:color="auto"/>
      </w:divBdr>
    </w:div>
    <w:div w:id="713314036">
      <w:bodyDiv w:val="1"/>
      <w:marLeft w:val="0"/>
      <w:marRight w:val="0"/>
      <w:marTop w:val="0"/>
      <w:marBottom w:val="0"/>
      <w:divBdr>
        <w:top w:val="none" w:sz="0" w:space="0" w:color="auto"/>
        <w:left w:val="none" w:sz="0" w:space="0" w:color="auto"/>
        <w:bottom w:val="none" w:sz="0" w:space="0" w:color="auto"/>
        <w:right w:val="none" w:sz="0" w:space="0" w:color="auto"/>
      </w:divBdr>
    </w:div>
    <w:div w:id="754398312">
      <w:bodyDiv w:val="1"/>
      <w:marLeft w:val="0"/>
      <w:marRight w:val="0"/>
      <w:marTop w:val="0"/>
      <w:marBottom w:val="0"/>
      <w:divBdr>
        <w:top w:val="none" w:sz="0" w:space="0" w:color="auto"/>
        <w:left w:val="none" w:sz="0" w:space="0" w:color="auto"/>
        <w:bottom w:val="none" w:sz="0" w:space="0" w:color="auto"/>
        <w:right w:val="none" w:sz="0" w:space="0" w:color="auto"/>
      </w:divBdr>
    </w:div>
    <w:div w:id="805704546">
      <w:bodyDiv w:val="1"/>
      <w:marLeft w:val="0"/>
      <w:marRight w:val="0"/>
      <w:marTop w:val="0"/>
      <w:marBottom w:val="0"/>
      <w:divBdr>
        <w:top w:val="none" w:sz="0" w:space="0" w:color="auto"/>
        <w:left w:val="none" w:sz="0" w:space="0" w:color="auto"/>
        <w:bottom w:val="none" w:sz="0" w:space="0" w:color="auto"/>
        <w:right w:val="none" w:sz="0" w:space="0" w:color="auto"/>
      </w:divBdr>
    </w:div>
    <w:div w:id="836580952">
      <w:bodyDiv w:val="1"/>
      <w:marLeft w:val="0"/>
      <w:marRight w:val="0"/>
      <w:marTop w:val="0"/>
      <w:marBottom w:val="0"/>
      <w:divBdr>
        <w:top w:val="none" w:sz="0" w:space="0" w:color="auto"/>
        <w:left w:val="none" w:sz="0" w:space="0" w:color="auto"/>
        <w:bottom w:val="none" w:sz="0" w:space="0" w:color="auto"/>
        <w:right w:val="none" w:sz="0" w:space="0" w:color="auto"/>
      </w:divBdr>
    </w:div>
    <w:div w:id="899749282">
      <w:bodyDiv w:val="1"/>
      <w:marLeft w:val="0"/>
      <w:marRight w:val="0"/>
      <w:marTop w:val="0"/>
      <w:marBottom w:val="0"/>
      <w:divBdr>
        <w:top w:val="none" w:sz="0" w:space="0" w:color="auto"/>
        <w:left w:val="none" w:sz="0" w:space="0" w:color="auto"/>
        <w:bottom w:val="none" w:sz="0" w:space="0" w:color="auto"/>
        <w:right w:val="none" w:sz="0" w:space="0" w:color="auto"/>
      </w:divBdr>
    </w:div>
    <w:div w:id="912661674">
      <w:bodyDiv w:val="1"/>
      <w:marLeft w:val="0"/>
      <w:marRight w:val="0"/>
      <w:marTop w:val="0"/>
      <w:marBottom w:val="0"/>
      <w:divBdr>
        <w:top w:val="none" w:sz="0" w:space="0" w:color="auto"/>
        <w:left w:val="none" w:sz="0" w:space="0" w:color="auto"/>
        <w:bottom w:val="none" w:sz="0" w:space="0" w:color="auto"/>
        <w:right w:val="none" w:sz="0" w:space="0" w:color="auto"/>
      </w:divBdr>
    </w:div>
    <w:div w:id="1004556147">
      <w:bodyDiv w:val="1"/>
      <w:marLeft w:val="0"/>
      <w:marRight w:val="0"/>
      <w:marTop w:val="0"/>
      <w:marBottom w:val="0"/>
      <w:divBdr>
        <w:top w:val="none" w:sz="0" w:space="0" w:color="auto"/>
        <w:left w:val="none" w:sz="0" w:space="0" w:color="auto"/>
        <w:bottom w:val="none" w:sz="0" w:space="0" w:color="auto"/>
        <w:right w:val="none" w:sz="0" w:space="0" w:color="auto"/>
      </w:divBdr>
    </w:div>
    <w:div w:id="1042098630">
      <w:bodyDiv w:val="1"/>
      <w:marLeft w:val="0"/>
      <w:marRight w:val="0"/>
      <w:marTop w:val="0"/>
      <w:marBottom w:val="0"/>
      <w:divBdr>
        <w:top w:val="none" w:sz="0" w:space="0" w:color="auto"/>
        <w:left w:val="none" w:sz="0" w:space="0" w:color="auto"/>
        <w:bottom w:val="none" w:sz="0" w:space="0" w:color="auto"/>
        <w:right w:val="none" w:sz="0" w:space="0" w:color="auto"/>
      </w:divBdr>
    </w:div>
    <w:div w:id="1046418362">
      <w:bodyDiv w:val="1"/>
      <w:marLeft w:val="0"/>
      <w:marRight w:val="0"/>
      <w:marTop w:val="0"/>
      <w:marBottom w:val="0"/>
      <w:divBdr>
        <w:top w:val="none" w:sz="0" w:space="0" w:color="auto"/>
        <w:left w:val="none" w:sz="0" w:space="0" w:color="auto"/>
        <w:bottom w:val="none" w:sz="0" w:space="0" w:color="auto"/>
        <w:right w:val="none" w:sz="0" w:space="0" w:color="auto"/>
      </w:divBdr>
    </w:div>
    <w:div w:id="1150825202">
      <w:bodyDiv w:val="1"/>
      <w:marLeft w:val="0"/>
      <w:marRight w:val="0"/>
      <w:marTop w:val="0"/>
      <w:marBottom w:val="0"/>
      <w:divBdr>
        <w:top w:val="none" w:sz="0" w:space="0" w:color="auto"/>
        <w:left w:val="none" w:sz="0" w:space="0" w:color="auto"/>
        <w:bottom w:val="none" w:sz="0" w:space="0" w:color="auto"/>
        <w:right w:val="none" w:sz="0" w:space="0" w:color="auto"/>
      </w:divBdr>
    </w:div>
    <w:div w:id="1201287086">
      <w:bodyDiv w:val="1"/>
      <w:marLeft w:val="0"/>
      <w:marRight w:val="0"/>
      <w:marTop w:val="0"/>
      <w:marBottom w:val="0"/>
      <w:divBdr>
        <w:top w:val="none" w:sz="0" w:space="0" w:color="auto"/>
        <w:left w:val="none" w:sz="0" w:space="0" w:color="auto"/>
        <w:bottom w:val="none" w:sz="0" w:space="0" w:color="auto"/>
        <w:right w:val="none" w:sz="0" w:space="0" w:color="auto"/>
      </w:divBdr>
    </w:div>
    <w:div w:id="1213464683">
      <w:bodyDiv w:val="1"/>
      <w:marLeft w:val="0"/>
      <w:marRight w:val="0"/>
      <w:marTop w:val="0"/>
      <w:marBottom w:val="0"/>
      <w:divBdr>
        <w:top w:val="none" w:sz="0" w:space="0" w:color="auto"/>
        <w:left w:val="none" w:sz="0" w:space="0" w:color="auto"/>
        <w:bottom w:val="none" w:sz="0" w:space="0" w:color="auto"/>
        <w:right w:val="none" w:sz="0" w:space="0" w:color="auto"/>
      </w:divBdr>
    </w:div>
    <w:div w:id="1244871543">
      <w:bodyDiv w:val="1"/>
      <w:marLeft w:val="0"/>
      <w:marRight w:val="0"/>
      <w:marTop w:val="0"/>
      <w:marBottom w:val="0"/>
      <w:divBdr>
        <w:top w:val="none" w:sz="0" w:space="0" w:color="auto"/>
        <w:left w:val="none" w:sz="0" w:space="0" w:color="auto"/>
        <w:bottom w:val="none" w:sz="0" w:space="0" w:color="auto"/>
        <w:right w:val="none" w:sz="0" w:space="0" w:color="auto"/>
      </w:divBdr>
    </w:div>
    <w:div w:id="1305968240">
      <w:bodyDiv w:val="1"/>
      <w:marLeft w:val="0"/>
      <w:marRight w:val="0"/>
      <w:marTop w:val="0"/>
      <w:marBottom w:val="0"/>
      <w:divBdr>
        <w:top w:val="none" w:sz="0" w:space="0" w:color="auto"/>
        <w:left w:val="none" w:sz="0" w:space="0" w:color="auto"/>
        <w:bottom w:val="none" w:sz="0" w:space="0" w:color="auto"/>
        <w:right w:val="none" w:sz="0" w:space="0" w:color="auto"/>
      </w:divBdr>
    </w:div>
    <w:div w:id="1357344763">
      <w:bodyDiv w:val="1"/>
      <w:marLeft w:val="0"/>
      <w:marRight w:val="0"/>
      <w:marTop w:val="0"/>
      <w:marBottom w:val="0"/>
      <w:divBdr>
        <w:top w:val="none" w:sz="0" w:space="0" w:color="auto"/>
        <w:left w:val="none" w:sz="0" w:space="0" w:color="auto"/>
        <w:bottom w:val="none" w:sz="0" w:space="0" w:color="auto"/>
        <w:right w:val="none" w:sz="0" w:space="0" w:color="auto"/>
      </w:divBdr>
    </w:div>
    <w:div w:id="1394893316">
      <w:bodyDiv w:val="1"/>
      <w:marLeft w:val="0"/>
      <w:marRight w:val="0"/>
      <w:marTop w:val="0"/>
      <w:marBottom w:val="0"/>
      <w:divBdr>
        <w:top w:val="none" w:sz="0" w:space="0" w:color="auto"/>
        <w:left w:val="none" w:sz="0" w:space="0" w:color="auto"/>
        <w:bottom w:val="none" w:sz="0" w:space="0" w:color="auto"/>
        <w:right w:val="none" w:sz="0" w:space="0" w:color="auto"/>
      </w:divBdr>
    </w:div>
    <w:div w:id="1426420687">
      <w:bodyDiv w:val="1"/>
      <w:marLeft w:val="0"/>
      <w:marRight w:val="0"/>
      <w:marTop w:val="0"/>
      <w:marBottom w:val="0"/>
      <w:divBdr>
        <w:top w:val="none" w:sz="0" w:space="0" w:color="auto"/>
        <w:left w:val="none" w:sz="0" w:space="0" w:color="auto"/>
        <w:bottom w:val="none" w:sz="0" w:space="0" w:color="auto"/>
        <w:right w:val="none" w:sz="0" w:space="0" w:color="auto"/>
      </w:divBdr>
    </w:div>
    <w:div w:id="1517226679">
      <w:bodyDiv w:val="1"/>
      <w:marLeft w:val="0"/>
      <w:marRight w:val="0"/>
      <w:marTop w:val="0"/>
      <w:marBottom w:val="0"/>
      <w:divBdr>
        <w:top w:val="none" w:sz="0" w:space="0" w:color="auto"/>
        <w:left w:val="none" w:sz="0" w:space="0" w:color="auto"/>
        <w:bottom w:val="none" w:sz="0" w:space="0" w:color="auto"/>
        <w:right w:val="none" w:sz="0" w:space="0" w:color="auto"/>
      </w:divBdr>
      <w:divsChild>
        <w:div w:id="559560760">
          <w:marLeft w:val="0"/>
          <w:marRight w:val="0"/>
          <w:marTop w:val="0"/>
          <w:marBottom w:val="0"/>
          <w:divBdr>
            <w:top w:val="none" w:sz="0" w:space="0" w:color="auto"/>
            <w:left w:val="none" w:sz="0" w:space="0" w:color="auto"/>
            <w:bottom w:val="none" w:sz="0" w:space="0" w:color="auto"/>
            <w:right w:val="none" w:sz="0" w:space="0" w:color="auto"/>
          </w:divBdr>
          <w:divsChild>
            <w:div w:id="290330129">
              <w:marLeft w:val="0"/>
              <w:marRight w:val="0"/>
              <w:marTop w:val="0"/>
              <w:marBottom w:val="0"/>
              <w:divBdr>
                <w:top w:val="none" w:sz="0" w:space="0" w:color="auto"/>
                <w:left w:val="none" w:sz="0" w:space="0" w:color="auto"/>
                <w:bottom w:val="none" w:sz="0" w:space="0" w:color="auto"/>
                <w:right w:val="none" w:sz="0" w:space="0" w:color="auto"/>
              </w:divBdr>
              <w:divsChild>
                <w:div w:id="1235623341">
                  <w:marLeft w:val="0"/>
                  <w:marRight w:val="0"/>
                  <w:marTop w:val="0"/>
                  <w:marBottom w:val="0"/>
                  <w:divBdr>
                    <w:top w:val="none" w:sz="0" w:space="0" w:color="auto"/>
                    <w:left w:val="none" w:sz="0" w:space="0" w:color="auto"/>
                    <w:bottom w:val="none" w:sz="0" w:space="0" w:color="auto"/>
                    <w:right w:val="none" w:sz="0" w:space="0" w:color="auto"/>
                  </w:divBdr>
                  <w:divsChild>
                    <w:div w:id="885410126">
                      <w:marLeft w:val="0"/>
                      <w:marRight w:val="0"/>
                      <w:marTop w:val="0"/>
                      <w:marBottom w:val="0"/>
                      <w:divBdr>
                        <w:top w:val="none" w:sz="0" w:space="0" w:color="auto"/>
                        <w:left w:val="none" w:sz="0" w:space="0" w:color="auto"/>
                        <w:bottom w:val="none" w:sz="0" w:space="0" w:color="auto"/>
                        <w:right w:val="none" w:sz="0" w:space="0" w:color="auto"/>
                      </w:divBdr>
                      <w:divsChild>
                        <w:div w:id="723219816">
                          <w:marLeft w:val="0"/>
                          <w:marRight w:val="0"/>
                          <w:marTop w:val="0"/>
                          <w:marBottom w:val="0"/>
                          <w:divBdr>
                            <w:top w:val="none" w:sz="0" w:space="0" w:color="auto"/>
                            <w:left w:val="none" w:sz="0" w:space="0" w:color="auto"/>
                            <w:bottom w:val="none" w:sz="0" w:space="0" w:color="auto"/>
                            <w:right w:val="none" w:sz="0" w:space="0" w:color="auto"/>
                          </w:divBdr>
                          <w:divsChild>
                            <w:div w:id="2092577086">
                              <w:marLeft w:val="0"/>
                              <w:marRight w:val="0"/>
                              <w:marTop w:val="0"/>
                              <w:marBottom w:val="0"/>
                              <w:divBdr>
                                <w:top w:val="none" w:sz="0" w:space="0" w:color="auto"/>
                                <w:left w:val="none" w:sz="0" w:space="0" w:color="auto"/>
                                <w:bottom w:val="none" w:sz="0" w:space="0" w:color="auto"/>
                                <w:right w:val="none" w:sz="0" w:space="0" w:color="auto"/>
                              </w:divBdr>
                              <w:divsChild>
                                <w:div w:id="1306468384">
                                  <w:marLeft w:val="0"/>
                                  <w:marRight w:val="0"/>
                                  <w:marTop w:val="0"/>
                                  <w:marBottom w:val="0"/>
                                  <w:divBdr>
                                    <w:top w:val="none" w:sz="0" w:space="0" w:color="auto"/>
                                    <w:left w:val="none" w:sz="0" w:space="0" w:color="auto"/>
                                    <w:bottom w:val="none" w:sz="0" w:space="0" w:color="auto"/>
                                    <w:right w:val="none" w:sz="0" w:space="0" w:color="auto"/>
                                  </w:divBdr>
                                  <w:divsChild>
                                    <w:div w:id="1419059658">
                                      <w:marLeft w:val="0"/>
                                      <w:marRight w:val="0"/>
                                      <w:marTop w:val="0"/>
                                      <w:marBottom w:val="0"/>
                                      <w:divBdr>
                                        <w:top w:val="none" w:sz="0" w:space="0" w:color="auto"/>
                                        <w:left w:val="none" w:sz="0" w:space="0" w:color="auto"/>
                                        <w:bottom w:val="none" w:sz="0" w:space="0" w:color="auto"/>
                                        <w:right w:val="none" w:sz="0" w:space="0" w:color="auto"/>
                                      </w:divBdr>
                                      <w:divsChild>
                                        <w:div w:id="1969119971">
                                          <w:marLeft w:val="0"/>
                                          <w:marRight w:val="0"/>
                                          <w:marTop w:val="0"/>
                                          <w:marBottom w:val="495"/>
                                          <w:divBdr>
                                            <w:top w:val="none" w:sz="0" w:space="0" w:color="auto"/>
                                            <w:left w:val="none" w:sz="0" w:space="0" w:color="auto"/>
                                            <w:bottom w:val="none" w:sz="0" w:space="0" w:color="auto"/>
                                            <w:right w:val="none" w:sz="0" w:space="0" w:color="auto"/>
                                          </w:divBdr>
                                          <w:divsChild>
                                            <w:div w:id="10516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1888981">
      <w:bodyDiv w:val="1"/>
      <w:marLeft w:val="0"/>
      <w:marRight w:val="0"/>
      <w:marTop w:val="0"/>
      <w:marBottom w:val="0"/>
      <w:divBdr>
        <w:top w:val="none" w:sz="0" w:space="0" w:color="auto"/>
        <w:left w:val="none" w:sz="0" w:space="0" w:color="auto"/>
        <w:bottom w:val="none" w:sz="0" w:space="0" w:color="auto"/>
        <w:right w:val="none" w:sz="0" w:space="0" w:color="auto"/>
      </w:divBdr>
    </w:div>
    <w:div w:id="1577546136">
      <w:bodyDiv w:val="1"/>
      <w:marLeft w:val="0"/>
      <w:marRight w:val="0"/>
      <w:marTop w:val="0"/>
      <w:marBottom w:val="0"/>
      <w:divBdr>
        <w:top w:val="none" w:sz="0" w:space="0" w:color="auto"/>
        <w:left w:val="none" w:sz="0" w:space="0" w:color="auto"/>
        <w:bottom w:val="none" w:sz="0" w:space="0" w:color="auto"/>
        <w:right w:val="none" w:sz="0" w:space="0" w:color="auto"/>
      </w:divBdr>
    </w:div>
    <w:div w:id="1595018013">
      <w:bodyDiv w:val="1"/>
      <w:marLeft w:val="0"/>
      <w:marRight w:val="0"/>
      <w:marTop w:val="0"/>
      <w:marBottom w:val="0"/>
      <w:divBdr>
        <w:top w:val="none" w:sz="0" w:space="0" w:color="auto"/>
        <w:left w:val="none" w:sz="0" w:space="0" w:color="auto"/>
        <w:bottom w:val="none" w:sz="0" w:space="0" w:color="auto"/>
        <w:right w:val="none" w:sz="0" w:space="0" w:color="auto"/>
      </w:divBdr>
    </w:div>
    <w:div w:id="1606837988">
      <w:bodyDiv w:val="1"/>
      <w:marLeft w:val="0"/>
      <w:marRight w:val="0"/>
      <w:marTop w:val="0"/>
      <w:marBottom w:val="0"/>
      <w:divBdr>
        <w:top w:val="none" w:sz="0" w:space="0" w:color="auto"/>
        <w:left w:val="none" w:sz="0" w:space="0" w:color="auto"/>
        <w:bottom w:val="none" w:sz="0" w:space="0" w:color="auto"/>
        <w:right w:val="none" w:sz="0" w:space="0" w:color="auto"/>
      </w:divBdr>
    </w:div>
    <w:div w:id="1608196123">
      <w:bodyDiv w:val="1"/>
      <w:marLeft w:val="0"/>
      <w:marRight w:val="0"/>
      <w:marTop w:val="0"/>
      <w:marBottom w:val="0"/>
      <w:divBdr>
        <w:top w:val="none" w:sz="0" w:space="0" w:color="auto"/>
        <w:left w:val="none" w:sz="0" w:space="0" w:color="auto"/>
        <w:bottom w:val="none" w:sz="0" w:space="0" w:color="auto"/>
        <w:right w:val="none" w:sz="0" w:space="0" w:color="auto"/>
      </w:divBdr>
    </w:div>
    <w:div w:id="1637681841">
      <w:bodyDiv w:val="1"/>
      <w:marLeft w:val="0"/>
      <w:marRight w:val="0"/>
      <w:marTop w:val="0"/>
      <w:marBottom w:val="0"/>
      <w:divBdr>
        <w:top w:val="none" w:sz="0" w:space="0" w:color="auto"/>
        <w:left w:val="none" w:sz="0" w:space="0" w:color="auto"/>
        <w:bottom w:val="none" w:sz="0" w:space="0" w:color="auto"/>
        <w:right w:val="none" w:sz="0" w:space="0" w:color="auto"/>
      </w:divBdr>
    </w:div>
    <w:div w:id="1641762593">
      <w:bodyDiv w:val="1"/>
      <w:marLeft w:val="0"/>
      <w:marRight w:val="0"/>
      <w:marTop w:val="0"/>
      <w:marBottom w:val="0"/>
      <w:divBdr>
        <w:top w:val="none" w:sz="0" w:space="0" w:color="auto"/>
        <w:left w:val="none" w:sz="0" w:space="0" w:color="auto"/>
        <w:bottom w:val="none" w:sz="0" w:space="0" w:color="auto"/>
        <w:right w:val="none" w:sz="0" w:space="0" w:color="auto"/>
      </w:divBdr>
    </w:div>
    <w:div w:id="1664312875">
      <w:bodyDiv w:val="1"/>
      <w:marLeft w:val="0"/>
      <w:marRight w:val="0"/>
      <w:marTop w:val="0"/>
      <w:marBottom w:val="0"/>
      <w:divBdr>
        <w:top w:val="none" w:sz="0" w:space="0" w:color="auto"/>
        <w:left w:val="none" w:sz="0" w:space="0" w:color="auto"/>
        <w:bottom w:val="none" w:sz="0" w:space="0" w:color="auto"/>
        <w:right w:val="none" w:sz="0" w:space="0" w:color="auto"/>
      </w:divBdr>
    </w:div>
    <w:div w:id="1683505398">
      <w:bodyDiv w:val="1"/>
      <w:marLeft w:val="0"/>
      <w:marRight w:val="0"/>
      <w:marTop w:val="0"/>
      <w:marBottom w:val="0"/>
      <w:divBdr>
        <w:top w:val="none" w:sz="0" w:space="0" w:color="auto"/>
        <w:left w:val="none" w:sz="0" w:space="0" w:color="auto"/>
        <w:bottom w:val="none" w:sz="0" w:space="0" w:color="auto"/>
        <w:right w:val="none" w:sz="0" w:space="0" w:color="auto"/>
      </w:divBdr>
    </w:div>
    <w:div w:id="2045519014">
      <w:bodyDiv w:val="1"/>
      <w:marLeft w:val="0"/>
      <w:marRight w:val="0"/>
      <w:marTop w:val="0"/>
      <w:marBottom w:val="0"/>
      <w:divBdr>
        <w:top w:val="none" w:sz="0" w:space="0" w:color="auto"/>
        <w:left w:val="none" w:sz="0" w:space="0" w:color="auto"/>
        <w:bottom w:val="none" w:sz="0" w:space="0" w:color="auto"/>
        <w:right w:val="none" w:sz="0" w:space="0" w:color="auto"/>
      </w:divBdr>
    </w:div>
    <w:div w:id="2074621225">
      <w:bodyDiv w:val="1"/>
      <w:marLeft w:val="0"/>
      <w:marRight w:val="0"/>
      <w:marTop w:val="0"/>
      <w:marBottom w:val="0"/>
      <w:divBdr>
        <w:top w:val="none" w:sz="0" w:space="0" w:color="auto"/>
        <w:left w:val="none" w:sz="0" w:space="0" w:color="auto"/>
        <w:bottom w:val="none" w:sz="0" w:space="0" w:color="auto"/>
        <w:right w:val="none" w:sz="0" w:space="0" w:color="auto"/>
      </w:divBdr>
    </w:div>
    <w:div w:id="2115052950">
      <w:bodyDiv w:val="1"/>
      <w:marLeft w:val="0"/>
      <w:marRight w:val="0"/>
      <w:marTop w:val="0"/>
      <w:marBottom w:val="0"/>
      <w:divBdr>
        <w:top w:val="none" w:sz="0" w:space="0" w:color="auto"/>
        <w:left w:val="none" w:sz="0" w:space="0" w:color="auto"/>
        <w:bottom w:val="none" w:sz="0" w:space="0" w:color="auto"/>
        <w:right w:val="none" w:sz="0" w:space="0" w:color="auto"/>
      </w:divBdr>
    </w:div>
    <w:div w:id="2122914269">
      <w:bodyDiv w:val="1"/>
      <w:marLeft w:val="0"/>
      <w:marRight w:val="0"/>
      <w:marTop w:val="0"/>
      <w:marBottom w:val="0"/>
      <w:divBdr>
        <w:top w:val="none" w:sz="0" w:space="0" w:color="auto"/>
        <w:left w:val="none" w:sz="0" w:space="0" w:color="auto"/>
        <w:bottom w:val="none" w:sz="0" w:space="0" w:color="auto"/>
        <w:right w:val="none" w:sz="0" w:space="0" w:color="auto"/>
      </w:divBdr>
    </w:div>
    <w:div w:id="2126537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oleObject" Target="embeddings/oleObject7.bin"/><Relationship Id="rId21" Type="http://schemas.openxmlformats.org/officeDocument/2006/relationships/image" Target="media/image10.png"/><Relationship Id="rId34" Type="http://schemas.openxmlformats.org/officeDocument/2006/relationships/image" Target="media/image17.png"/><Relationship Id="rId42" Type="http://schemas.openxmlformats.org/officeDocument/2006/relationships/image" Target="media/image21.png"/><Relationship Id="rId47" Type="http://schemas.openxmlformats.org/officeDocument/2006/relationships/oleObject" Target="embeddings/oleObject11.bin"/><Relationship Id="rId50" Type="http://schemas.openxmlformats.org/officeDocument/2006/relationships/image" Target="media/image25.png"/><Relationship Id="rId55" Type="http://schemas.openxmlformats.org/officeDocument/2006/relationships/oleObject" Target="embeddings/oleObject15.bin"/><Relationship Id="rId63" Type="http://schemas.openxmlformats.org/officeDocument/2006/relationships/image" Target="media/image33.png"/><Relationship Id="rId68"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oleObject" Target="embeddings/oleObject3.bin"/><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oleObject" Target="embeddings/oleObject6.bin"/><Relationship Id="rId40" Type="http://schemas.openxmlformats.org/officeDocument/2006/relationships/image" Target="media/image20.png"/><Relationship Id="rId45" Type="http://schemas.openxmlformats.org/officeDocument/2006/relationships/oleObject" Target="embeddings/oleObject10.bin"/><Relationship Id="rId53" Type="http://schemas.openxmlformats.org/officeDocument/2006/relationships/oleObject" Target="embeddings/oleObject14.bin"/><Relationship Id="rId58" Type="http://schemas.openxmlformats.org/officeDocument/2006/relationships/image" Target="media/image29.png"/><Relationship Id="rId66"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oleObject" Target="embeddings/oleObject12.bin"/><Relationship Id="rId57" Type="http://schemas.openxmlformats.org/officeDocument/2006/relationships/oleObject" Target="embeddings/oleObject16.bin"/><Relationship Id="rId61" Type="http://schemas.openxmlformats.org/officeDocument/2006/relationships/image" Target="media/image31.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en.wikipedia.org/wiki/Supreme_Political_Council" TargetMode="External"/><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oleObject" Target="embeddings/oleObject1.bin"/><Relationship Id="rId27" Type="http://schemas.openxmlformats.org/officeDocument/2006/relationships/oleObject" Target="embeddings/oleObject2.bin"/><Relationship Id="rId30" Type="http://schemas.openxmlformats.org/officeDocument/2006/relationships/hyperlink" Target="https://en.wikipedia.org/wiki/Supreme_Political_Council" TargetMode="External"/><Relationship Id="rId35" Type="http://schemas.openxmlformats.org/officeDocument/2006/relationships/oleObject" Target="embeddings/oleObject5.bin"/><Relationship Id="rId43" Type="http://schemas.openxmlformats.org/officeDocument/2006/relationships/oleObject" Target="embeddings/oleObject9.bin"/><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4.pn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oleObject" Target="embeddings/oleObject13.bin"/><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ohchr.org/EN/HRBodies/HRC/YemenGEE" TargetMode="External"/><Relationship Id="rId25" Type="http://schemas.openxmlformats.org/officeDocument/2006/relationships/image" Target="media/image13.png"/><Relationship Id="rId33" Type="http://schemas.openxmlformats.org/officeDocument/2006/relationships/oleObject" Target="embeddings/oleObject4.bin"/><Relationship Id="rId38" Type="http://schemas.openxmlformats.org/officeDocument/2006/relationships/image" Target="media/image19.png"/><Relationship Id="rId46" Type="http://schemas.openxmlformats.org/officeDocument/2006/relationships/image" Target="media/image23.png"/><Relationship Id="rId59" Type="http://schemas.openxmlformats.org/officeDocument/2006/relationships/oleObject" Target="embeddings/oleObject17.bin"/><Relationship Id="rId67" Type="http://schemas.openxmlformats.org/officeDocument/2006/relationships/header" Target="header2.xml"/><Relationship Id="rId20" Type="http://schemas.openxmlformats.org/officeDocument/2006/relationships/image" Target="media/image9.png"/><Relationship Id="rId41" Type="http://schemas.openxmlformats.org/officeDocument/2006/relationships/oleObject" Target="embeddings/oleObject8.bin"/><Relationship Id="rId54" Type="http://schemas.openxmlformats.org/officeDocument/2006/relationships/image" Target="media/image27.png"/><Relationship Id="rId62" Type="http://schemas.openxmlformats.org/officeDocument/2006/relationships/image" Target="media/image32.png"/><Relationship Id="rId7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s>
</file>

<file path=word/_rels/footer3.xml.rels><?xml version="1.0" encoding="UTF-8" standalone="yes"?>
<Relationships xmlns="http://schemas.openxmlformats.org/package/2006/relationships"><Relationship Id="rId2" Type="http://schemas.openxmlformats.org/officeDocument/2006/relationships/image" Target="media/image37.1&amp;Size=2&amp;Lang=A"/><Relationship Id="rId1" Type="http://schemas.openxmlformats.org/officeDocument/2006/relationships/image" Target="media/image36.png"/></Relationships>
</file>

<file path=word/_rels/footnotes.xml.rels><?xml version="1.0" encoding="UTF-8" standalone="yes"?>
<Relationships xmlns="http://schemas.openxmlformats.org/package/2006/relationships"><Relationship Id="rId117" Type="http://schemas.openxmlformats.org/officeDocument/2006/relationships/hyperlink" Target="https://almawqeapost.net/news/32379" TargetMode="External"/><Relationship Id="rId21" Type="http://schemas.openxmlformats.org/officeDocument/2006/relationships/hyperlink" Target="https://www.reuters.com/article/us-yemen-security-airport/aid-groups-say-yemen-airport-closure-hinders-aid-traps-patients-idUSKBN1AP11M" TargetMode="External"/><Relationship Id="rId42" Type="http://schemas.openxmlformats.org/officeDocument/2006/relationships/hyperlink" Target="http://dhsprogram.com/pubs/pdf/FR296/FR296.pdf" TargetMode="External"/><Relationship Id="rId63" Type="http://schemas.openxmlformats.org/officeDocument/2006/relationships/hyperlink" Target="https://www.geneva-academy.ch/joomlatools-files/docman-files/InBrief7_web.pdf" TargetMode="External"/><Relationship Id="rId84" Type="http://schemas.openxmlformats.org/officeDocument/2006/relationships/hyperlink" Target="https://www.youtube.com/watch?v=p7MC71eD-UI&amp;feature=youtu.be" TargetMode="External"/><Relationship Id="rId138" Type="http://schemas.openxmlformats.org/officeDocument/2006/relationships/hyperlink" Target="https://www.facebook.com/Aidrooszubidi" TargetMode="External"/><Relationship Id="rId159" Type="http://schemas.openxmlformats.org/officeDocument/2006/relationships/hyperlink" Target="http://aden-tm.net/NDetails.aspx?contid=22963" TargetMode="External"/><Relationship Id="rId170" Type="http://schemas.openxmlformats.org/officeDocument/2006/relationships/hyperlink" Target="https://almashhadalaam.com/posts/6593" TargetMode="External"/><Relationship Id="rId191" Type="http://schemas.openxmlformats.org/officeDocument/2006/relationships/hyperlink" Target="http://sanaacenter.org/publications/analysis/7606" TargetMode="External"/><Relationship Id="rId205" Type="http://schemas.openxmlformats.org/officeDocument/2006/relationships/hyperlink" Target="https://www.un.org/press/en/2016/sc12493.doc.htm" TargetMode="External"/><Relationship Id="rId107" Type="http://schemas.openxmlformats.org/officeDocument/2006/relationships/hyperlink" Target="https://www.theguardian.com/world/2019/jun/18/the-saudis-couldnt-do-it-without-us-the-uks-true-role-in-yemens-deadly-war?CMP=share_btn_fb" TargetMode="External"/><Relationship Id="rId11" Type="http://schemas.openxmlformats.org/officeDocument/2006/relationships/hyperlink" Target="https://www.icrc.org/en/international-review/article/international-law-and-armed-non-state-actors-afghanistan" TargetMode="External"/><Relationship Id="rId32" Type="http://schemas.openxmlformats.org/officeDocument/2006/relationships/hyperlink" Target="http://www.alriyadhdaily.com/article/812807e44f9a47ddbfe1bbd99be1cd0c" TargetMode="External"/><Relationship Id="rId53" Type="http://schemas.openxmlformats.org/officeDocument/2006/relationships/hyperlink" Target="http://www.ilo.org/dyn/natlex/docs/ELECTRONIC/83557/92354/F1549605860/YEM83557.pdf" TargetMode="External"/><Relationship Id="rId74" Type="http://schemas.openxmlformats.org/officeDocument/2006/relationships/hyperlink" Target="http://www.spa.gov.sa/1914219" TargetMode="External"/><Relationship Id="rId128" Type="http://schemas.openxmlformats.org/officeDocument/2006/relationships/hyperlink" Target="https://www.almashhad-alyemeni.com/61690" TargetMode="External"/><Relationship Id="rId149" Type="http://schemas.openxmlformats.org/officeDocument/2006/relationships/hyperlink" Target="https://adenkbr.news/60171/" TargetMode="External"/><Relationship Id="rId5" Type="http://schemas.openxmlformats.org/officeDocument/2006/relationships/hyperlink" Target="https://www.geneva-academy.ch/joomlatools-files/docman-files/InBrief7_web.pdf" TargetMode="External"/><Relationship Id="rId95" Type="http://schemas.openxmlformats.org/officeDocument/2006/relationships/hyperlink" Target="https://www.icrc.org/en/doc/resources/documents/resolution/31-international-conference-resolution-2-2011.htm" TargetMode="External"/><Relationship Id="rId160" Type="http://schemas.openxmlformats.org/officeDocument/2006/relationships/hyperlink" Target="https://www.sahafah24.net/y/show207243.html" TargetMode="External"/><Relationship Id="rId181" Type="http://schemas.openxmlformats.org/officeDocument/2006/relationships/hyperlink" Target="https://www.facebook.com/as118833/" TargetMode="External"/><Relationship Id="rId216" Type="http://schemas.openxmlformats.org/officeDocument/2006/relationships/hyperlink" Target="http://www.globalsecurity.org/intell/world/yemen/index.html" TargetMode="External"/><Relationship Id="rId22" Type="http://schemas.openxmlformats.org/officeDocument/2006/relationships/hyperlink" Target="https://www.reuters.com/article/us-yemen-security-investigation/body-set-up-by-saudi-led-forces-probes-hits-on-yemen-school-hospital-idUSKCN10R28O" TargetMode="External"/><Relationship Id="rId43" Type="http://schemas.openxmlformats.org/officeDocument/2006/relationships/hyperlink" Target="http://www.scielo.org.za/scielo.php?script=sci_arttext&amp;pid=S1727-37812012000100003" TargetMode="External"/><Relationship Id="rId64" Type="http://schemas.openxmlformats.org/officeDocument/2006/relationships/hyperlink" Target="https://documents-dds-ny.un.org/doc/UNDOC/GEN/G05/109/00/PDF/G0510900.pdf?OpenElement" TargetMode="External"/><Relationship Id="rId118" Type="http://schemas.openxmlformats.org/officeDocument/2006/relationships/hyperlink" Target="https://www.alquds.co.uk/%EF%BB%BF%D8%A7%D9%84%D8%A5%D9%81%D8%B1%D8%A7%D8%AC-%D8%B9%D9%86-%D9%82%D9%8A%D8%A7%D8%AF%D9%8A-%D9%81%D9%8A-%D8%AD%D8%B2%D8%A8-%D8%A7%D9%84%D8%A5%D8%B5%D9%84%D8%A7%D8%AD-%D8%A7%D8%AD%D8%AA%D8%AC" TargetMode="External"/><Relationship Id="rId139" Type="http://schemas.openxmlformats.org/officeDocument/2006/relationships/hyperlink" Target="https://twitter.com/AidrosAlzubidi" TargetMode="External"/><Relationship Id="rId85" Type="http://schemas.openxmlformats.org/officeDocument/2006/relationships/hyperlink" Target="https://www.washingtonpost.com/world/middle_east/in-rare-admission-saudi-led-coalition-says-airstrike-killed-yemeni-children-last-month/2018/09/01/1cbdc878-ae06-11e8-8a0c-70b618c98d3c_story.html?noredirect=on&amp;utm_term=.a2ca91ca8e83" TargetMode="External"/><Relationship Id="rId150" Type="http://schemas.openxmlformats.org/officeDocument/2006/relationships/hyperlink" Target="https://almasdaronline.com/articles/168745" TargetMode="External"/><Relationship Id="rId171" Type="http://schemas.openxmlformats.org/officeDocument/2006/relationships/hyperlink" Target="https://imoyemen.com/news/5813" TargetMode="External"/><Relationship Id="rId192" Type="http://schemas.openxmlformats.org/officeDocument/2006/relationships/hyperlink" Target="https://almawqeapost.net/news/32281" TargetMode="External"/><Relationship Id="rId206" Type="http://schemas.openxmlformats.org/officeDocument/2006/relationships/hyperlink" Target="https://www.yemenipress.net/archives/98721" TargetMode="External"/><Relationship Id="rId12" Type="http://schemas.openxmlformats.org/officeDocument/2006/relationships/hyperlink" Target="http://www.aiys.org/no-33-1993/156-campaign-politics-and-coalition-building-the-1993-parliamentary-elections.html" TargetMode="External"/><Relationship Id="rId33" Type="http://schemas.openxmlformats.org/officeDocument/2006/relationships/hyperlink" Target="https://www.msf.org/report-bombing-msf-facility-unacceptable-and-contradictory-abs-yemen" TargetMode="External"/><Relationship Id="rId108" Type="http://schemas.openxmlformats.org/officeDocument/2006/relationships/hyperlink" Target="https://www.justsecurity.org/32656/law-aiding-abetting-alleged-war-crimes-assess-uk-support-saudi-strikes-yemen/" TargetMode="External"/><Relationship Id="rId129" Type="http://schemas.openxmlformats.org/officeDocument/2006/relationships/hyperlink" Target="https://arabic.sputniknews.com/arab_world/201508161015325772" TargetMode="External"/><Relationship Id="rId54" Type="http://schemas.openxmlformats.org/officeDocument/2006/relationships/hyperlink" Target="https://reliefweb.int/sites/reliefweb.int/files/resources/YE-Migrants_FMR_June%202019_Dashboard.pdf" TargetMode="External"/><Relationship Id="rId75" Type="http://schemas.openxmlformats.org/officeDocument/2006/relationships/hyperlink" Target="http://www.spa.gov.sa/1914218" TargetMode="External"/><Relationship Id="rId96" Type="http://schemas.openxmlformats.org/officeDocument/2006/relationships/hyperlink" Target="https://www.icrc.org/en/doc/assets/files/other/icrc_002_1103.pdf" TargetMode="External"/><Relationship Id="rId140" Type="http://schemas.openxmlformats.org/officeDocument/2006/relationships/hyperlink" Target="https://www.facebook.com/Aidrooszubidi" TargetMode="External"/><Relationship Id="rId161" Type="http://schemas.openxmlformats.org/officeDocument/2006/relationships/hyperlink" Target="https://almandeb.news/?p=98572" TargetMode="External"/><Relationship Id="rId182" Type="http://schemas.openxmlformats.org/officeDocument/2006/relationships/hyperlink" Target="https://twitter.com/samwrax/status/1007530583902351360" TargetMode="External"/><Relationship Id="rId217" Type="http://schemas.openxmlformats.org/officeDocument/2006/relationships/hyperlink" Target="file://unhq.un.org/shared/english_wp51/MSWDocs/_2Semifinal/www.almashhad-alyemeni.com/news46910.html" TargetMode="External"/><Relationship Id="rId6" Type="http://schemas.openxmlformats.org/officeDocument/2006/relationships/hyperlink" Target="https://www.ejiltalk.org/book-discussion-introducing-daragh-murrays-human-rights-obligations-of-non-state-armed-groups-2/" TargetMode="External"/><Relationship Id="rId23" Type="http://schemas.openxmlformats.org/officeDocument/2006/relationships/hyperlink" Target="https://www.amnesty.org/en/latest/news/2015/05/yemen-eyewitness-accounts-indicate-huthis-attacked-civilians-and-medical-workers-in-aden/" TargetMode="External"/><Relationship Id="rId119" Type="http://schemas.openxmlformats.org/officeDocument/2006/relationships/hyperlink" Target="https://www.alayyam.info/news/7V89EB9O-3B9G6V-A58A" TargetMode="External"/><Relationship Id="rId44" Type="http://schemas.openxmlformats.org/officeDocument/2006/relationships/hyperlink" Target="http://www.protectingeducation.org/guidelines/support" TargetMode="External"/><Relationship Id="rId65" Type="http://schemas.openxmlformats.org/officeDocument/2006/relationships/hyperlink" Target="https://documents-dds-ny.un.org/doc/UNDOC/GEN/G18/335/77/PDF/G1833577.pdf?OpenElement" TargetMode="External"/><Relationship Id="rId86" Type="http://schemas.openxmlformats.org/officeDocument/2006/relationships/hyperlink" Target="http://www.spa.gov.sa/1804423" TargetMode="External"/><Relationship Id="rId130" Type="http://schemas.openxmlformats.org/officeDocument/2006/relationships/hyperlink" Target="https://www.alsahwa-yemen.net/p-18771" TargetMode="External"/><Relationship Id="rId151" Type="http://schemas.openxmlformats.org/officeDocument/2006/relationships/hyperlink" Target="https://aawsat.com/home/article/539666" TargetMode="External"/><Relationship Id="rId172" Type="http://schemas.openxmlformats.org/officeDocument/2006/relationships/hyperlink" Target="http://alhezam-media.com/site/2019/07/06/https-wp-me-p9wgzr-1d6/" TargetMode="External"/><Relationship Id="rId193" Type="http://schemas.openxmlformats.org/officeDocument/2006/relationships/hyperlink" Target="http://sanaacenter.org/publications/analysis/7606" TargetMode="External"/><Relationship Id="rId207" Type="http://schemas.openxmlformats.org/officeDocument/2006/relationships/hyperlink" Target="https://www.al-tagheer.com/news78325.html" TargetMode="External"/><Relationship Id="rId13" Type="http://schemas.openxmlformats.org/officeDocument/2006/relationships/hyperlink" Target="http://www.track.unodc.org/LegalLibrary/LegalResources/Yemen/Laws/Constitution%20(1994)%20(ENG).pdf" TargetMode="External"/><Relationship Id="rId109" Type="http://schemas.openxmlformats.org/officeDocument/2006/relationships/hyperlink" Target="https://www.hrw.org/fr/news/2019/04/15/yemen-appel-de-10-ong-apres-lenquete-de-disclose-sur-le-yemen" TargetMode="External"/><Relationship Id="rId34" Type="http://schemas.openxmlformats.org/officeDocument/2006/relationships/hyperlink" Target="http://www.spa.gov.sa/1875235" TargetMode="External"/><Relationship Id="rId55" Type="http://schemas.openxmlformats.org/officeDocument/2006/relationships/hyperlink" Target="https://whc.unesco.org/en/statesparties/ye" TargetMode="External"/><Relationship Id="rId76" Type="http://schemas.openxmlformats.org/officeDocument/2006/relationships/hyperlink" Target="http://www.spa.gov.sa/1914214" TargetMode="External"/><Relationship Id="rId97" Type="http://schemas.openxmlformats.org/officeDocument/2006/relationships/hyperlink" Target="https://www.icrc.org/en/doc/assets/files/other/irrc_859_boivin.pdf" TargetMode="External"/><Relationship Id="rId120" Type="http://schemas.openxmlformats.org/officeDocument/2006/relationships/hyperlink" Target="https://www.alwatanvoice.com/arabic/news/2019/07/15/1259578.html" TargetMode="External"/><Relationship Id="rId141" Type="http://schemas.openxmlformats.org/officeDocument/2006/relationships/hyperlink" Target="https://mail.almasdaronline.info/article/78623" TargetMode="External"/><Relationship Id="rId7" Type="http://schemas.openxmlformats.org/officeDocument/2006/relationships/hyperlink" Target="https://www.ejiltalk.org/book-discussion-introducing-daragh-murrays-human-rights-obligations-of-non-state-armed-groups-2/" TargetMode="External"/><Relationship Id="rId162" Type="http://schemas.openxmlformats.org/officeDocument/2006/relationships/hyperlink" Target="https://www.eremnews.com/news/arab-world/yemen/1247463" TargetMode="External"/><Relationship Id="rId183" Type="http://schemas.openxmlformats.org/officeDocument/2006/relationships/hyperlink" Target="https://twitter.com/mohammedalqadhi/status/1008997894404403201" TargetMode="External"/><Relationship Id="rId218" Type="http://schemas.openxmlformats.org/officeDocument/2006/relationships/hyperlink" Target="http://www.gulfeyes.net/middle-east/582499.html" TargetMode="External"/><Relationship Id="rId24" Type="http://schemas.openxmlformats.org/officeDocument/2006/relationships/hyperlink" Target="https://www.hrw.org/news/2015/07/29/yemen-houthi-artillery-kills-dozens-aden" TargetMode="External"/><Relationship Id="rId45" Type="http://schemas.openxmlformats.org/officeDocument/2006/relationships/hyperlink" Target="http://protectingeducation.org/news/yemen-endorses-safe-schools-declaration-advance-un-security-council-debate-children-and-armed" TargetMode="External"/><Relationship Id="rId66" Type="http://schemas.openxmlformats.org/officeDocument/2006/relationships/hyperlink" Target="https://www.cna.org/CNA_files/PDF/IRM-2019-U-019749-Final.pdf" TargetMode="External"/><Relationship Id="rId87" Type="http://schemas.openxmlformats.org/officeDocument/2006/relationships/hyperlink" Target="https://www.icrc.org/en/international-review/article/common-article-1" TargetMode="External"/><Relationship Id="rId110" Type="http://schemas.openxmlformats.org/officeDocument/2006/relationships/hyperlink" Target="https://www.mod.gov.sa/en/Leaders/Minister/Pages/default.aspx" TargetMode="External"/><Relationship Id="rId131" Type="http://schemas.openxmlformats.org/officeDocument/2006/relationships/hyperlink" Target="https://www.almashhad-alyemeni.com/104230" TargetMode="External"/><Relationship Id="rId152" Type="http://schemas.openxmlformats.org/officeDocument/2006/relationships/hyperlink" Target="http://adenobserver.com/read-news/31235" TargetMode="External"/><Relationship Id="rId173" Type="http://schemas.openxmlformats.org/officeDocument/2006/relationships/hyperlink" Target="http://mosnad.net/news.php?id=18513" TargetMode="External"/><Relationship Id="rId194" Type="http://schemas.openxmlformats.org/officeDocument/2006/relationships/hyperlink" Target="https://almawqeapost.net/interviews/37936" TargetMode="External"/><Relationship Id="rId208" Type="http://schemas.openxmlformats.org/officeDocument/2006/relationships/hyperlink" Target="https://www.almasirah.net/details.php?es_id=12112&amp;cat_id=3" TargetMode="External"/><Relationship Id="rId14" Type="http://schemas.openxmlformats.org/officeDocument/2006/relationships/hyperlink" Target="http://www.sabanews.net/ar/news292153.htm" TargetMode="External"/><Relationship Id="rId30" Type="http://schemas.openxmlformats.org/officeDocument/2006/relationships/hyperlink" Target="https://www.youtube.com/watch?v=ftTuj3x93mI" TargetMode="External"/><Relationship Id="rId35" Type="http://schemas.openxmlformats.org/officeDocument/2006/relationships/hyperlink" Target="https://reliefweb.int/sites/reliefweb.int/files/resources/sieges_legal_note_-_final_-_en_1.pdf" TargetMode="External"/><Relationship Id="rId56" Type="http://schemas.openxmlformats.org/officeDocument/2006/relationships/hyperlink" Target="http://www.docartis.com/pagina2/Leggi%20Yemen.pdf" TargetMode="External"/><Relationship Id="rId77" Type="http://schemas.openxmlformats.org/officeDocument/2006/relationships/hyperlink" Target="http://www.spa.gov.sa/1914211" TargetMode="External"/><Relationship Id="rId100" Type="http://schemas.openxmlformats.org/officeDocument/2006/relationships/hyperlink" Target="https://www.justsecurity.org/author/yamamotoalyssa/" TargetMode="External"/><Relationship Id="rId105" Type="http://schemas.openxmlformats.org/officeDocument/2006/relationships/hyperlink" Target="https://www.justsecurity.org/62363/saudi-coalition-admission-error-bombing-cholera-treatment-center-implicates-united-states/" TargetMode="External"/><Relationship Id="rId126" Type="http://schemas.openxmlformats.org/officeDocument/2006/relationships/hyperlink" Target="https://www.almashhad-alyemeni.com/121600" TargetMode="External"/><Relationship Id="rId147" Type="http://schemas.openxmlformats.org/officeDocument/2006/relationships/hyperlink" Target="https://aden-alhadath.info/amp/56956" TargetMode="External"/><Relationship Id="rId168" Type="http://schemas.openxmlformats.org/officeDocument/2006/relationships/hyperlink" Target="https://adenkbr.news/77088/" TargetMode="External"/><Relationship Id="rId8" Type="http://schemas.openxmlformats.org/officeDocument/2006/relationships/hyperlink" Target="https://www.geneva-academy.ch/joomlatools-files/docman-files/InBrief7_web.pdf" TargetMode="External"/><Relationship Id="rId51" Type="http://schemas.openxmlformats.org/officeDocument/2006/relationships/hyperlink" Target="https://reliefweb.int/report/yemen/under-secretary-general-humanitarian-affairs-and-emergency-relief-coordinator-mark-20" TargetMode="External"/><Relationship Id="rId72" Type="http://schemas.openxmlformats.org/officeDocument/2006/relationships/hyperlink" Target="http://www.spa.gov.sa/1933919" TargetMode="External"/><Relationship Id="rId93" Type="http://schemas.openxmlformats.org/officeDocument/2006/relationships/hyperlink" Target="https://eur-lex.europa.eu/legal-content/EN/TXT/?uri=celex:52009XG1215(01)" TargetMode="External"/><Relationship Id="rId98" Type="http://schemas.openxmlformats.org/officeDocument/2006/relationships/hyperlink" Target="https://www.justsecurity.org/author/hathawayoona/" TargetMode="External"/><Relationship Id="rId121" Type="http://schemas.openxmlformats.org/officeDocument/2006/relationships/hyperlink" Target="https://www.cratersky.net/posts/19296" TargetMode="External"/><Relationship Id="rId142" Type="http://schemas.openxmlformats.org/officeDocument/2006/relationships/hyperlink" Target="https://reliefweb.int/report/yemen/southern-transitional-council-and-waryemen" TargetMode="External"/><Relationship Id="rId163" Type="http://schemas.openxmlformats.org/officeDocument/2006/relationships/hyperlink" Target="http://www.marsad.news/news/31106" TargetMode="External"/><Relationship Id="rId184" Type="http://schemas.openxmlformats.org/officeDocument/2006/relationships/hyperlink" Target="https://en.adenpress.news/news/271" TargetMode="External"/><Relationship Id="rId189" Type="http://schemas.openxmlformats.org/officeDocument/2006/relationships/hyperlink" Target="https://abaadstudies.org/news-59781.html" TargetMode="External"/><Relationship Id="rId219" Type="http://schemas.openxmlformats.org/officeDocument/2006/relationships/hyperlink" Target="http://www.globalsecurity.org/intell/world/yemen/index.html" TargetMode="External"/><Relationship Id="rId3" Type="http://schemas.openxmlformats.org/officeDocument/2006/relationships/hyperlink" Target="https://www.icrc.org/en/international-review/article/international-law-and-armed-non-state-actors-afghanistan" TargetMode="External"/><Relationship Id="rId214" Type="http://schemas.openxmlformats.org/officeDocument/2006/relationships/hyperlink" Target="https://almushahid.net/31743/" TargetMode="External"/><Relationship Id="rId25" Type="http://schemas.openxmlformats.org/officeDocument/2006/relationships/hyperlink" Target="https://www.aljazeera.com/news/2015/06/yemen-houthis-attack-oil-refinery-aden-150627152313777.html" TargetMode="External"/><Relationship Id="rId46" Type="http://schemas.openxmlformats.org/officeDocument/2006/relationships/hyperlink" Target="https://www.unicef.org/press-releases/keep-children-education-unicef-starts-incentives-school-based-staff-yemen" TargetMode="External"/><Relationship Id="rId67" Type="http://schemas.openxmlformats.org/officeDocument/2006/relationships/hyperlink" Target="https://www.hrw.org/report/2018/08/24/hiding-behind-coalition/failure-credibly-investigate-and-provide-redress-unlawful" TargetMode="External"/><Relationship Id="rId116" Type="http://schemas.openxmlformats.org/officeDocument/2006/relationships/hyperlink" Target="https://al-ain.com/article/al-hodeidah-yemen-arab-alliance-al-taniji" TargetMode="External"/><Relationship Id="rId137" Type="http://schemas.openxmlformats.org/officeDocument/2006/relationships/hyperlink" Target="https://stc-eu.org/ar/sueduebergangsrat/" TargetMode="External"/><Relationship Id="rId158" Type="http://schemas.openxmlformats.org/officeDocument/2006/relationships/hyperlink" Target="https://almawqeapost.net/news/17543" TargetMode="External"/><Relationship Id="rId20" Type="http://schemas.openxmlformats.org/officeDocument/2006/relationships/hyperlink" Target="https://www.nrc.no/news/2017/august/yemen-airport-closure-killed-more-people-than-airstrikes/" TargetMode="External"/><Relationship Id="rId41" Type="http://schemas.openxmlformats.org/officeDocument/2006/relationships/hyperlink" Target="http://www.unddr.org/" TargetMode="External"/><Relationship Id="rId62" Type="http://schemas.openxmlformats.org/officeDocument/2006/relationships/hyperlink" Target="https://armedgroups-internationallaw.org/2019/05/29/reparations-by-non-state-armed-groups/" TargetMode="External"/><Relationship Id="rId83" Type="http://schemas.openxmlformats.org/officeDocument/2006/relationships/hyperlink" Target="http://www.spa.gov.sa/1875235" TargetMode="External"/><Relationship Id="rId88" Type="http://schemas.openxmlformats.org/officeDocument/2006/relationships/hyperlink" Target="https://www.icrc.org/en/international-review/article/common-article-1" TargetMode="External"/><Relationship Id="rId111" Type="http://schemas.openxmlformats.org/officeDocument/2006/relationships/hyperlink" Target="https://www.spa.gov.sa/viewfullstory.php?lang=en&amp;newsid=1729621" TargetMode="External"/><Relationship Id="rId132" Type="http://schemas.openxmlformats.org/officeDocument/2006/relationships/hyperlink" Target="https://www.youtube.com/watch?v=tbu9zpVUNPM" TargetMode="External"/><Relationship Id="rId153" Type="http://schemas.openxmlformats.org/officeDocument/2006/relationships/hyperlink" Target="https://almahrahpost.com/news/2772" TargetMode="External"/><Relationship Id="rId174" Type="http://schemas.openxmlformats.org/officeDocument/2006/relationships/hyperlink" Target="http://yemen-now.com/news1444016.html" TargetMode="External"/><Relationship Id="rId179" Type="http://schemas.openxmlformats.org/officeDocument/2006/relationships/hyperlink" Target="http://www.alharf28.com/p-1394" TargetMode="External"/><Relationship Id="rId195" Type="http://schemas.openxmlformats.org/officeDocument/2006/relationships/hyperlink" Target="https://www.almashhad-alyemeni.com/138905" TargetMode="External"/><Relationship Id="rId209" Type="http://schemas.openxmlformats.org/officeDocument/2006/relationships/hyperlink" Target="https://www.almasirah.net/details.php?es_id=12112&amp;cat_id=3" TargetMode="External"/><Relationship Id="rId190" Type="http://schemas.openxmlformats.org/officeDocument/2006/relationships/hyperlink" Target="https://almasdaronline.com/article/source-assignment-of-major-general-haitham-qassem-as-a-commander-of-a-military-council-leading-combat-operations-on-the-west-coast" TargetMode="External"/><Relationship Id="rId204" Type="http://schemas.openxmlformats.org/officeDocument/2006/relationships/hyperlink" Target="https://sabaanews.net/news492940.htm" TargetMode="External"/><Relationship Id="rId220" Type="http://schemas.openxmlformats.org/officeDocument/2006/relationships/hyperlink" Target="http://www.yemenipress.net/archives/93659" TargetMode="External"/><Relationship Id="rId15" Type="http://schemas.openxmlformats.org/officeDocument/2006/relationships/hyperlink" Target="https://csis-prod.s3.amazonaws.com/s3fs-public/publication/160718_Challenges_Yemen_National_Army.pdf" TargetMode="External"/><Relationship Id="rId36" Type="http://schemas.openxmlformats.org/officeDocument/2006/relationships/hyperlink" Target="https://www.thenational.ae/world/mena/houthi-rebels-accused-of-kidnapping-rape-and-murder-1.697102" TargetMode="External"/><Relationship Id="rId57" Type="http://schemas.openxmlformats.org/officeDocument/2006/relationships/hyperlink" Target="https://theblueshield.org/wp-content/uploads/2018/06/03062015_Statement_Yemen_FINAL.pdf" TargetMode="External"/><Relationship Id="rId106" Type="http://schemas.openxmlformats.org/officeDocument/2006/relationships/hyperlink" Target="https://www.theguardian.com/law/2019/jun/20/uk-arms-sales-to-saudi-arabia-for-use-in-yemen-declared-unlawful?CMP=Share_iOSApp_Other" TargetMode="External"/><Relationship Id="rId127" Type="http://schemas.openxmlformats.org/officeDocument/2006/relationships/hyperlink" Target="https://almasdaronline.com/articles/162681" TargetMode="External"/><Relationship Id="rId10" Type="http://schemas.openxmlformats.org/officeDocument/2006/relationships/hyperlink" Target="https://guide-humanitarian-law.org/content/article/3/non-state-armed-groups/" TargetMode="External"/><Relationship Id="rId31" Type="http://schemas.openxmlformats.org/officeDocument/2006/relationships/hyperlink" Target="https://reliefweb.int/sites/reliefweb.int/files/resources/humantarian_coordinator_for_yemen_statement_on_situation_in_taizz_-_en_-_24._october_2015.pdf" TargetMode="External"/><Relationship Id="rId52" Type="http://schemas.openxmlformats.org/officeDocument/2006/relationships/hyperlink" Target="https://www.youtube.com/watch?v=Ioy_G-rlMX4" TargetMode="External"/><Relationship Id="rId73" Type="http://schemas.openxmlformats.org/officeDocument/2006/relationships/hyperlink" Target="http://www.spa.gov.sa/1919945" TargetMode="External"/><Relationship Id="rId78" Type="http://schemas.openxmlformats.org/officeDocument/2006/relationships/hyperlink" Target="http://www.spa.gov.sa/1914206" TargetMode="External"/><Relationship Id="rId94" Type="http://schemas.openxmlformats.org/officeDocument/2006/relationships/hyperlink" Target="https://www.icrc.org/en/doc/assets/files/other/icrc_002_0916.pdf" TargetMode="External"/><Relationship Id="rId99" Type="http://schemas.openxmlformats.org/officeDocument/2006/relationships/hyperlink" Target="https://www.justsecurity.org/author/francisalexandra/" TargetMode="External"/><Relationship Id="rId101" Type="http://schemas.openxmlformats.org/officeDocument/2006/relationships/hyperlink" Target="https://www.justsecurity.org/author/havilandaaron/" TargetMode="External"/><Relationship Id="rId122" Type="http://schemas.openxmlformats.org/officeDocument/2006/relationships/hyperlink" Target="https://www.skynewsarabia.com/middle-east/1065290-%D9%82%D8%A7%D9%8A%D9%94%D8%AF-%D8%A7%D9%84%D8%AA%D8%AD%D8%A7%D9%84%D9%81-%D8%A8%D8%A7%D9%84%D8%B3%D8%A7%D8%AD%D9%84-%D8%A7%D9%84%D8%BA%D8%B1%D8%A8%D9%8A-%D9%8A%D8%B9%D9%84%D9%86-%D8%AA%D8%AD%D8%B1%D9%8A%D8" TargetMode="External"/><Relationship Id="rId143" Type="http://schemas.openxmlformats.org/officeDocument/2006/relationships/hyperlink" Target="https://almasdaronline.com/articles/168745" TargetMode="External"/><Relationship Id="rId148" Type="http://schemas.openxmlformats.org/officeDocument/2006/relationships/hyperlink" Target="https://www.facebook.com/1784290338507592/photos/a.1795004187436207/2304017236534897/?type=3" TargetMode="External"/><Relationship Id="rId164" Type="http://schemas.openxmlformats.org/officeDocument/2006/relationships/hyperlink" Target="https://www.al-omanaa.com/news72621.html" TargetMode="External"/><Relationship Id="rId169" Type="http://schemas.openxmlformats.org/officeDocument/2006/relationships/hyperlink" Target="https://almashhadalaraby.com/news/101775" TargetMode="External"/><Relationship Id="rId185" Type="http://schemas.openxmlformats.org/officeDocument/2006/relationships/hyperlink" Target="https://reliefweb.int/report/yemen/who-are-uae-backed-forces-fighting-western-front-yemen" TargetMode="External"/><Relationship Id="rId4" Type="http://schemas.openxmlformats.org/officeDocument/2006/relationships/hyperlink" Target="https://www.geneva-academy.ch/joomlatools-files/docman-files/InBrief7_web.pdf" TargetMode="External"/><Relationship Id="rId9" Type="http://schemas.openxmlformats.org/officeDocument/2006/relationships/hyperlink" Target="https://www.icrc.org/en/international-review/article/international-law-and-armed-non-state-actors-afghanistan" TargetMode="External"/><Relationship Id="rId180" Type="http://schemas.openxmlformats.org/officeDocument/2006/relationships/hyperlink" Target="https://abaadstudies.org/news-59781.html" TargetMode="External"/><Relationship Id="rId210" Type="http://schemas.openxmlformats.org/officeDocument/2006/relationships/hyperlink" Target="https://mancheete.com/posts/3946" TargetMode="External"/><Relationship Id="rId215" Type="http://schemas.openxmlformats.org/officeDocument/2006/relationships/hyperlink" Target="http://t.me/YemenPresidency" TargetMode="External"/><Relationship Id="rId26" Type="http://schemas.openxmlformats.org/officeDocument/2006/relationships/hyperlink" Target="https://www.middleeastmonitor.com/20171028-yemeni-salafist-imam-killed-in-aden/" TargetMode="External"/><Relationship Id="rId47" Type="http://schemas.openxmlformats.org/officeDocument/2006/relationships/hyperlink" Target="https://www.unicef.org/yemen/YEM_resources_ifnotinschool.pdf" TargetMode="External"/><Relationship Id="rId68" Type="http://schemas.openxmlformats.org/officeDocument/2006/relationships/hyperlink" Target="http://www.spa.gov.sa/1804423" TargetMode="External"/><Relationship Id="rId89" Type="http://schemas.openxmlformats.org/officeDocument/2006/relationships/hyperlink" Target="https://eur-lex.europa.eu/legal-content/EN/TXT/?uri=celex:52009XG1215(01)" TargetMode="External"/><Relationship Id="rId112" Type="http://schemas.openxmlformats.org/officeDocument/2006/relationships/hyperlink" Target="http://www.janes.com/article/78278/top-saudi-commanders-replaced" TargetMode="External"/><Relationship Id="rId133" Type="http://schemas.openxmlformats.org/officeDocument/2006/relationships/hyperlink" Target="https://al-arabi.com/s/21767" TargetMode="External"/><Relationship Id="rId154" Type="http://schemas.openxmlformats.org/officeDocument/2006/relationships/hyperlink" Target="https://aden-alhadath.info/amp/12865" TargetMode="External"/><Relationship Id="rId175" Type="http://schemas.openxmlformats.org/officeDocument/2006/relationships/hyperlink" Target="https://al-omana.com/news65261.html" TargetMode="External"/><Relationship Id="rId196" Type="http://schemas.openxmlformats.org/officeDocument/2006/relationships/hyperlink" Target="https://www.un.org/securitycouncil/sanctions/2140/materials/summaries/individual/abdulmalik-al-houthi" TargetMode="External"/><Relationship Id="rId200" Type="http://schemas.openxmlformats.org/officeDocument/2006/relationships/hyperlink" Target="https://www.26sep.net/news_details.php?sid=159198" TargetMode="External"/><Relationship Id="rId16" Type="http://schemas.openxmlformats.org/officeDocument/2006/relationships/hyperlink" Target="https://www.bbc.com/news/world-middle-east-22096125" TargetMode="External"/><Relationship Id="rId37" Type="http://schemas.openxmlformats.org/officeDocument/2006/relationships/hyperlink" Target="https://resourcecentre.savethechildren.net/library/blast-injuries-impact-explosive-weapons-children-conflict" TargetMode="External"/><Relationship Id="rId58" Type="http://schemas.openxmlformats.org/officeDocument/2006/relationships/hyperlink" Target="https://whc.unesco.org/en/news/1295/" TargetMode="External"/><Relationship Id="rId79" Type="http://schemas.openxmlformats.org/officeDocument/2006/relationships/hyperlink" Target="https://www.spa.gov.sa/viewfullstory.php?lang=en&amp;newsid=1783696" TargetMode="External"/><Relationship Id="rId102" Type="http://schemas.openxmlformats.org/officeDocument/2006/relationships/hyperlink" Target="https://www.justsecurity.org/55415/common-article-1-u-s-duty-ensure-respect-geneva-conventions-yemen/" TargetMode="External"/><Relationship Id="rId123" Type="http://schemas.openxmlformats.org/officeDocument/2006/relationships/hyperlink" Target="https://www.nytimes.com/2012/02/25/world/middleeast/yemen-to-get-a-new-president-abed-rabu-mansour-hadi.html" TargetMode="External"/><Relationship Id="rId144" Type="http://schemas.openxmlformats.org/officeDocument/2006/relationships/hyperlink" Target="https://www.youtube.com/watch?v=tdGkxGETEVY" TargetMode="External"/><Relationship Id="rId90" Type="http://schemas.openxmlformats.org/officeDocument/2006/relationships/hyperlink" Target="https://www.cna.org/CNA_files/PDF/IRM-2019-U-019749-Final.pdf" TargetMode="External"/><Relationship Id="rId165" Type="http://schemas.openxmlformats.org/officeDocument/2006/relationships/hyperlink" Target="http://www.dailymail.co.uk/wires/ap/article-3009836/In-south-Yemen-militia-leader-presidents-ally.html" TargetMode="External"/><Relationship Id="rId186" Type="http://schemas.openxmlformats.org/officeDocument/2006/relationships/hyperlink" Target="https://abaadstudies.org/news-59781.html" TargetMode="External"/><Relationship Id="rId211" Type="http://schemas.openxmlformats.org/officeDocument/2006/relationships/hyperlink" Target="https://www.mandabpress.com/news49514.html" TargetMode="External"/><Relationship Id="rId27" Type="http://schemas.openxmlformats.org/officeDocument/2006/relationships/hyperlink" Target="https://www.acleddata.com/2018/12/07/yemens-urban-battlegrounds-violence-and-politics-in-sanaa-aden-taizz-and-hodeidah/" TargetMode="External"/><Relationship Id="rId48" Type="http://schemas.openxmlformats.org/officeDocument/2006/relationships/hyperlink" Target="https://www.justsecurity.org/29157/siege-warfare-starvation-civilians-war-crime/" TargetMode="External"/><Relationship Id="rId69" Type="http://schemas.openxmlformats.org/officeDocument/2006/relationships/hyperlink" Target="https://www.youtube.com/watch?v=p7MC71eD-UI&amp;feature=youtu.be" TargetMode="External"/><Relationship Id="rId113" Type="http://schemas.openxmlformats.org/officeDocument/2006/relationships/hyperlink" Target="https://www.spa.gov.sa/viewstory.php?lang=en&amp;newsid=1729618" TargetMode="External"/><Relationship Id="rId134" Type="http://schemas.openxmlformats.org/officeDocument/2006/relationships/hyperlink" Target="https://al-ain.com/article/yemen-president-army" TargetMode="External"/><Relationship Id="rId80" Type="http://schemas.openxmlformats.org/officeDocument/2006/relationships/hyperlink" Target="http://www.spa.gov.sa/1933922" TargetMode="External"/><Relationship Id="rId155" Type="http://schemas.openxmlformats.org/officeDocument/2006/relationships/hyperlink" Target="https://almasdaronline.com/articles/168745" TargetMode="External"/><Relationship Id="rId176" Type="http://schemas.openxmlformats.org/officeDocument/2006/relationships/hyperlink" Target="https://shabwaah-press.info/news/2068" TargetMode="External"/><Relationship Id="rId197" Type="http://schemas.openxmlformats.org/officeDocument/2006/relationships/hyperlink" Target="https://twitter.com/yemenpresidency?s=11" TargetMode="External"/><Relationship Id="rId201" Type="http://schemas.openxmlformats.org/officeDocument/2006/relationships/hyperlink" Target="https://ar.shafaqna.com/fn/278805/" TargetMode="External"/><Relationship Id="rId17" Type="http://schemas.openxmlformats.org/officeDocument/2006/relationships/hyperlink" Target="http://www.ndc.ye/default.aspx" TargetMode="External"/><Relationship Id="rId38" Type="http://schemas.openxmlformats.org/officeDocument/2006/relationships/hyperlink" Target="https://www.imperial.ac.uk/media/imperial-college/research-centres-and-groups/centre-for-blast-injury-studies/Literature-Review-on-paediatric-blast-injury.pdf" TargetMode="External"/><Relationship Id="rId59" Type="http://schemas.openxmlformats.org/officeDocument/2006/relationships/hyperlink" Target="https://theintercept.com/2015/11/16/u-s-and-saudi-bombs-target-yemens-ancient-heritage/" TargetMode="External"/><Relationship Id="rId103" Type="http://schemas.openxmlformats.org/officeDocument/2006/relationships/hyperlink" Target="https://www.icrc.org/en/doc/assets/files/other/irrc_859_boivin.pdf" TargetMode="External"/><Relationship Id="rId124" Type="http://schemas.openxmlformats.org/officeDocument/2006/relationships/hyperlink" Target="https://www.facebook.com/alimohsensalehalahmar/posts/1011971235550346/" TargetMode="External"/><Relationship Id="rId70" Type="http://schemas.openxmlformats.org/officeDocument/2006/relationships/hyperlink" Target="http://www.spa.gov.sa/1875235" TargetMode="External"/><Relationship Id="rId91" Type="http://schemas.openxmlformats.org/officeDocument/2006/relationships/hyperlink" Target="https://www.channel4.com/press/news/britains-hidden-war-channel-4-dispatches" TargetMode="External"/><Relationship Id="rId145" Type="http://schemas.openxmlformats.org/officeDocument/2006/relationships/hyperlink" Target="http://abaadstudies.org//news-59816.html" TargetMode="External"/><Relationship Id="rId166" Type="http://schemas.openxmlformats.org/officeDocument/2006/relationships/hyperlink" Target="https://almashhadalaraby.com/news/58755" TargetMode="External"/><Relationship Id="rId187" Type="http://schemas.openxmlformats.org/officeDocument/2006/relationships/hyperlink" Target="https://almasdaronline.com/article/source-assignment-of-major-general-haitham-qassem-as-a-commander-of-a-military-council-leading-combat-operations-on-the-west-coast" TargetMode="External"/><Relationship Id="rId1" Type="http://schemas.openxmlformats.org/officeDocument/2006/relationships/hyperlink" Target="https://tbinternet.ohchr.org/_layouts/15/TreatyBodyExternal/Treaty.aspx?CountryID=193&amp;Lang=EN" TargetMode="External"/><Relationship Id="rId212" Type="http://schemas.openxmlformats.org/officeDocument/2006/relationships/hyperlink" Target="https://www.mandabpress.com/news49514.html" TargetMode="External"/><Relationship Id="rId28" Type="http://schemas.openxmlformats.org/officeDocument/2006/relationships/hyperlink" Target="https://osesgy.unmissions.org/sites/default/files/taiz_agreement_0.pdf" TargetMode="External"/><Relationship Id="rId49" Type="http://schemas.openxmlformats.org/officeDocument/2006/relationships/hyperlink" Target="https://twitter.com/Moh_Alhouthi/status/1120092336208404482" TargetMode="External"/><Relationship Id="rId114" Type="http://schemas.openxmlformats.org/officeDocument/2006/relationships/hyperlink" Target="https://arabic.cnn.com/middle-east/article/2018/09/18/saudi-led-coalition-launches-offensive-strategic-yemeni-port-city" TargetMode="External"/><Relationship Id="rId60" Type="http://schemas.openxmlformats.org/officeDocument/2006/relationships/hyperlink" Target="https://www.nytimes.com/2015/06/27/opinion/yemeni-heritage-saudi-vandalism.html" TargetMode="External"/><Relationship Id="rId81" Type="http://schemas.openxmlformats.org/officeDocument/2006/relationships/hyperlink" Target="http://www.spa.gov.sa/1914211" TargetMode="External"/><Relationship Id="rId135" Type="http://schemas.openxmlformats.org/officeDocument/2006/relationships/hyperlink" Target="https://www.nytimes.com/2012/02/25/world/middleeast/yemen-to-get-a-new-president-abed-rabu-mansour-hadi.html" TargetMode="External"/><Relationship Id="rId156" Type="http://schemas.openxmlformats.org/officeDocument/2006/relationships/hyperlink" Target="https://shabwaah-press.info/news/33180" TargetMode="External"/><Relationship Id="rId177" Type="http://schemas.openxmlformats.org/officeDocument/2006/relationships/hyperlink" Target="https://almashhadalaraby.com/news/35534" TargetMode="External"/><Relationship Id="rId198" Type="http://schemas.openxmlformats.org/officeDocument/2006/relationships/hyperlink" Target="https://www.26sep.net/nprint.php?lng=arabic&amp;sid=91093" TargetMode="External"/><Relationship Id="rId202" Type="http://schemas.openxmlformats.org/officeDocument/2006/relationships/hyperlink" Target="http://www.alsyasiah.ye/25272" TargetMode="External"/><Relationship Id="rId18" Type="http://schemas.openxmlformats.org/officeDocument/2006/relationships/hyperlink" Target="https://obamawhitehouse.archives.gov/the-press-office/2015/03/25/statement-nsc-spokesperson-bernadette-meehan-situation-yemen" TargetMode="External"/><Relationship Id="rId39" Type="http://schemas.openxmlformats.org/officeDocument/2006/relationships/hyperlink" Target="http://hrlibrary.umn.edu/arabic/Yemeni_Laws/Yemeni_Laws29.pdf" TargetMode="External"/><Relationship Id="rId50" Type="http://schemas.openxmlformats.org/officeDocument/2006/relationships/hyperlink" Target="https://www.almushahid.net/?p=43175" TargetMode="External"/><Relationship Id="rId104" Type="http://schemas.openxmlformats.org/officeDocument/2006/relationships/hyperlink" Target="https://blogs.icrc.org/law-and-policy/2017/10/17/fighting-together-international-humanitarian-law-ensuring-respect-law-assessing-responsibility-violations-2-2/" TargetMode="External"/><Relationship Id="rId125" Type="http://schemas.openxmlformats.org/officeDocument/2006/relationships/hyperlink" Target="https://almasdaronline.com/article/republic-decrees-appointing-minister-of-defence-chief-of-staff-and-governor-of-aden" TargetMode="External"/><Relationship Id="rId146" Type="http://schemas.openxmlformats.org/officeDocument/2006/relationships/hyperlink" Target="https://www.alayyam.info/news/756V6IC0-5G1XDM" TargetMode="External"/><Relationship Id="rId167" Type="http://schemas.openxmlformats.org/officeDocument/2006/relationships/hyperlink" Target="https://cratersky.net/posts/7810" TargetMode="External"/><Relationship Id="rId188" Type="http://schemas.openxmlformats.org/officeDocument/2006/relationships/hyperlink" Target="https://reliefweb.int/report/yemen/who-are-uae-backed-forces-fighting-western-front-yemen" TargetMode="External"/><Relationship Id="rId71" Type="http://schemas.openxmlformats.org/officeDocument/2006/relationships/hyperlink" Target="http://www.spa.gov.sa/1933921" TargetMode="External"/><Relationship Id="rId92" Type="http://schemas.openxmlformats.org/officeDocument/2006/relationships/hyperlink" Target="https://www.mediapart.fr/journal/international/150419/la-france-et-le-yemen-cartographie-d-un-mensonge-d-etat?utm_content=buffer5e34b&amp;utm_medium=social&amp;utm_source=Facebook_Page&amp;utm_campaign=CM" TargetMode="External"/><Relationship Id="rId213" Type="http://schemas.openxmlformats.org/officeDocument/2006/relationships/hyperlink" Target="https://almoheetpress.net/news769.html" TargetMode="External"/><Relationship Id="rId2" Type="http://schemas.openxmlformats.org/officeDocument/2006/relationships/hyperlink" Target="https://www.geneva-academy.ch/joomlatools-files/docman-files/InBrief7_web.pdf" TargetMode="External"/><Relationship Id="rId29" Type="http://schemas.openxmlformats.org/officeDocument/2006/relationships/hyperlink" Target="https://www.youtube.com/watch?v=TMRN95YcGkY" TargetMode="External"/><Relationship Id="rId40" Type="http://schemas.openxmlformats.org/officeDocument/2006/relationships/hyperlink" Target="https://www.ohchr.org/EN/NewsEvents/Pages/DisplayNews.aspx?NewsID=24094&amp;LangID=E" TargetMode="External"/><Relationship Id="rId115" Type="http://schemas.openxmlformats.org/officeDocument/2006/relationships/hyperlink" Target="https://twitter.com/amalka4_al" TargetMode="External"/><Relationship Id="rId136" Type="http://schemas.openxmlformats.org/officeDocument/2006/relationships/hyperlink" Target="http://www.dailymail.co.uk/wires/ap/article-3009836/In-south-Yemen-militia-leader-presidents-ally.html" TargetMode="External"/><Relationship Id="rId157" Type="http://schemas.openxmlformats.org/officeDocument/2006/relationships/hyperlink" Target="http://yemen-now.com/news1510335.html" TargetMode="External"/><Relationship Id="rId178" Type="http://schemas.openxmlformats.org/officeDocument/2006/relationships/hyperlink" Target="https://yemen-press.com/news100441.html" TargetMode="External"/><Relationship Id="rId61" Type="http://schemas.openxmlformats.org/officeDocument/2006/relationships/hyperlink" Target="https://www.icrc.org/en/document/yemen-citys-architectural-connection-islam-risk-fighting-nears" TargetMode="External"/><Relationship Id="rId82" Type="http://schemas.openxmlformats.org/officeDocument/2006/relationships/hyperlink" Target="http://wam.ae/en/details/1395302707813" TargetMode="External"/><Relationship Id="rId199" Type="http://schemas.openxmlformats.org/officeDocument/2006/relationships/hyperlink" Target="https://www.26sep.net/news_details.php?sid=141997" TargetMode="External"/><Relationship Id="rId203" Type="http://schemas.openxmlformats.org/officeDocument/2006/relationships/hyperlink" Target="https://www.26sep.net/news_details.php?sid=141997" TargetMode="External"/><Relationship Id="rId19" Type="http://schemas.openxmlformats.org/officeDocument/2006/relationships/hyperlink" Target="https://twitter.com/ochayemen/status/82070289733592268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9D0FE9-D10D-40D9-AFE5-E79DB10AABE9}"/>
</file>

<file path=customXml/itemProps2.xml><?xml version="1.0" encoding="utf-8"?>
<ds:datastoreItem xmlns:ds="http://schemas.openxmlformats.org/officeDocument/2006/customXml" ds:itemID="{91739C00-D134-42B6-9B00-41D727EEFF49}">
  <ds:schemaRefs>
    <ds:schemaRef ds:uri="http://purl.org/dc/elements/1.1/"/>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www.w3.org/XML/1998/namespace"/>
    <ds:schemaRef ds:uri="http://purl.org/dc/terms/"/>
  </ds:schemaRefs>
</ds:datastoreItem>
</file>

<file path=customXml/itemProps3.xml><?xml version="1.0" encoding="utf-8"?>
<ds:datastoreItem xmlns:ds="http://schemas.openxmlformats.org/officeDocument/2006/customXml" ds:itemID="{69CCBB60-97E7-411B-AE2B-D8B9FA78E3BA}">
  <ds:schemaRefs>
    <ds:schemaRef ds:uri="http://schemas.microsoft.com/sharepoint/v3/contenttype/forms"/>
  </ds:schemaRefs>
</ds:datastoreItem>
</file>

<file path=customXml/itemProps4.xml><?xml version="1.0" encoding="utf-8"?>
<ds:datastoreItem xmlns:ds="http://schemas.openxmlformats.org/officeDocument/2006/customXml" ds:itemID="{B47D200C-4E0F-4B87-8DA1-767A9FD89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357</Pages>
  <Words>96101</Words>
  <Characters>547779</Characters>
  <Application>Microsoft Office Word</Application>
  <DocSecurity>0</DocSecurity>
  <Lines>4564</Lines>
  <Paragraphs>1285</Paragraphs>
  <ScaleCrop>false</ScaleCrop>
  <HeadingPairs>
    <vt:vector size="2" baseType="variant">
      <vt:variant>
        <vt:lpstr>Title</vt:lpstr>
      </vt:variant>
      <vt:variant>
        <vt:i4>1</vt:i4>
      </vt:variant>
    </vt:vector>
  </HeadingPairs>
  <TitlesOfParts>
    <vt:vector size="1" baseType="lpstr">
      <vt:lpstr/>
    </vt:vector>
  </TitlesOfParts>
  <Company>OHCHR</Company>
  <LinksUpToDate>false</LinksUpToDate>
  <CharactersWithSpaces>642595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A_HRC_42_CRP_1_AR</dc:title>
  <dc:creator>OHCHR-User</dc:creator>
  <cp:lastModifiedBy>LANZ Veronique</cp:lastModifiedBy>
  <cp:revision>2</cp:revision>
  <cp:lastPrinted>2019-09-09T16:14:00Z</cp:lastPrinted>
  <dcterms:created xsi:type="dcterms:W3CDTF">2019-09-10T05:37:00Z</dcterms:created>
  <dcterms:modified xsi:type="dcterms:W3CDTF">2019-09-10T05:37:00Z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