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D253E" w14:textId="77777777" w:rsidR="00B722B9" w:rsidRPr="00E21F19" w:rsidRDefault="00B722B9" w:rsidP="00B72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1F1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B907030" wp14:editId="2F2CA938">
            <wp:extent cx="784860" cy="822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B17" w14:textId="169080E1" w:rsidR="00B722B9" w:rsidRPr="00E21F19" w:rsidRDefault="00E21F19" w:rsidP="00B722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>Perman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en</w:t>
      </w:r>
      <w:r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676D4"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>Mis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sio</w:t>
      </w:r>
      <w:r w:rsidR="001676D4"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of </w:t>
      </w:r>
      <w:r w:rsidR="00B722B9"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>Bra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="00B722B9"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il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to the United Nations in </w:t>
      </w:r>
      <w:r w:rsidR="001676D4" w:rsidRPr="00E21F19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eneva</w:t>
      </w:r>
    </w:p>
    <w:p w14:paraId="37E4C711" w14:textId="77777777" w:rsidR="001555AD" w:rsidRPr="005E2250" w:rsidRDefault="001555AD" w:rsidP="007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950371" w14:textId="5D84EDA8" w:rsid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>pen-ended IGWG to elaborate the content of an international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>regulatory framework on the regulation, monitoring and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>oversight of the activities of the private military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>and security companies.</w:t>
      </w:r>
    </w:p>
    <w:p w14:paraId="3ABF92F5" w14:textId="2F85923D" w:rsidR="00B722B9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5E2250">
        <w:rPr>
          <w:rFonts w:ascii="Times New Roman" w:hAnsi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Session - </w:t>
      </w:r>
      <w:r w:rsidRPr="005E2250">
        <w:rPr>
          <w:rFonts w:ascii="Times New Roman" w:hAnsi="Times New Roman"/>
          <w:b/>
          <w:sz w:val="24"/>
          <w:szCs w:val="24"/>
          <w:lang w:val="en-US"/>
        </w:rPr>
        <w:t>Geneva, 20-24 May 2019</w:t>
      </w:r>
    </w:p>
    <w:p w14:paraId="122C2F87" w14:textId="77777777" w:rsidR="00760844" w:rsidRPr="00E21F19" w:rsidRDefault="00760844" w:rsidP="008A5EF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EE3D680" w14:textId="61FDBEED" w:rsidR="00160FFB" w:rsidRPr="005E2250" w:rsidRDefault="00E21F19" w:rsidP="00E176C0">
      <w:pPr>
        <w:spacing w:after="0" w:line="36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5E2250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Mr. President</w:t>
      </w:r>
      <w:r w:rsidR="00160FFB" w:rsidRPr="005E2250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,</w:t>
      </w:r>
    </w:p>
    <w:p w14:paraId="653EC86C" w14:textId="22CA9A9A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Brazil welcomes the first session of the open-ended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IGWG to elaborate the content of an international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regulatory framework on the regulation, monitoring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oversight of the activities of the private military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and security companies.</w:t>
      </w:r>
    </w:p>
    <w:p w14:paraId="331DB54D" w14:textId="59B73074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We commend the leadership of the delegation of South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Africa throughout the six sessions of the open-ended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IGWG to consider the possibility of elaborating 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international regulatory framework on the regulation,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monitoring and oversight of the activities of 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private military and security companies.</w:t>
      </w:r>
    </w:p>
    <w:p w14:paraId="10CFCEF3" w14:textId="0F16A384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We also praise the constructive spirit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flexibility of all relevant stakeholders that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contributed to the adoption of resolution 36/11, which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consensually established this new forum.</w:t>
      </w:r>
    </w:p>
    <w:p w14:paraId="47029731" w14:textId="2F044CA7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Brazil recognizes that the PMSCs do not operate in 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legal vacuum and that the Montreux Document provides 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compilation of relevant international human rights law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and international humanitarian law applicable to their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work.</w:t>
      </w:r>
    </w:p>
    <w:p w14:paraId="774FA46B" w14:textId="38DC3464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There remains, however, gaps in existing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international regulatory framework for the protection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and promotion of human rights in the context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 xml:space="preserve">activities </w:t>
      </w:r>
      <w:r w:rsidRPr="005E2250">
        <w:rPr>
          <w:rFonts w:ascii="Times New Roman" w:hAnsi="Times New Roman"/>
          <w:sz w:val="28"/>
          <w:szCs w:val="28"/>
          <w:lang w:val="en-US"/>
        </w:rPr>
        <w:lastRenderedPageBreak/>
        <w:t>performed by PMSCs, and render populations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in territorial countries in increased vulnerability 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human rights abuses.</w:t>
      </w:r>
    </w:p>
    <w:p w14:paraId="11926567" w14:textId="0CB8EAA3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E2250">
        <w:rPr>
          <w:rFonts w:ascii="Times New Roman" w:hAnsi="Times New Roman"/>
          <w:sz w:val="28"/>
          <w:szCs w:val="28"/>
          <w:lang w:val="en-US"/>
        </w:rPr>
        <w:t>Brazil is concerned that insufficient clarity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predictability on the regulation of activities by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PMSCs lead to an unsatisfactory level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accountability and access to justice and remedies by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the victims</w:t>
      </w:r>
      <w:proofErr w:type="gramEnd"/>
      <w:r w:rsidRPr="005E2250">
        <w:rPr>
          <w:rFonts w:ascii="Times New Roman" w:hAnsi="Times New Roman"/>
          <w:sz w:val="28"/>
          <w:szCs w:val="28"/>
          <w:lang w:val="en-US"/>
        </w:rPr>
        <w:t>.</w:t>
      </w:r>
    </w:p>
    <w:p w14:paraId="3F536251" w14:textId="220F88B4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As mentioned in previous sessions, Brazil considers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that the content of an international regulatory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framework on the regulation, monitoring and oversight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of the activities of PMSCs should include:</w:t>
      </w:r>
    </w:p>
    <w:p w14:paraId="7CEF85E1" w14:textId="77777777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</w:p>
    <w:p w14:paraId="7864ED11" w14:textId="3355761C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a) a clear definition of functions which may not be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delegated to non-state actors such as direct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 xml:space="preserve">participation in hostilities, detention, </w:t>
      </w:r>
      <w:proofErr w:type="spellStart"/>
      <w:r w:rsidRPr="005E2250">
        <w:rPr>
          <w:rFonts w:ascii="Times New Roman" w:hAnsi="Times New Roman"/>
          <w:sz w:val="28"/>
          <w:szCs w:val="28"/>
          <w:lang w:val="en-US"/>
        </w:rPr>
        <w:t>inteligence</w:t>
      </w:r>
      <w:proofErr w:type="spellEnd"/>
      <w:r w:rsidRPr="005E2250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law enforcement or questioning of persons deprived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their liberty, including prisoners of war;</w:t>
      </w:r>
    </w:p>
    <w:p w14:paraId="0D0C0653" w14:textId="37C815EB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b) a prioritization and classification of functions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carried out by PMSCs in light of their potential human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rights impact;</w:t>
      </w:r>
    </w:p>
    <w:p w14:paraId="1544F270" w14:textId="5CA6089B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c) due consideration of the needs of states where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PMSCs impact on human rights, such as the so-called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"territorial states", in whose territory such</w:t>
      </w:r>
    </w:p>
    <w:p w14:paraId="11157D52" w14:textId="77777777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companies mostly operate;</w:t>
      </w:r>
    </w:p>
    <w:p w14:paraId="794B9D81" w14:textId="2C9A63C6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d) the different domains in which such companies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function, including cyberspace and the use of unmanned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combat aerial vehicles;</w:t>
      </w:r>
    </w:p>
    <w:p w14:paraId="5C499658" w14:textId="150FDDEC" w:rsidR="005E2250" w:rsidRP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e) due consideration of relevant existing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international law and initiatives on the issue,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binding or non-binding;</w:t>
      </w:r>
    </w:p>
    <w:p w14:paraId="3AD41EB5" w14:textId="77777777" w:rsid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</w:p>
    <w:p w14:paraId="1527F816" w14:textId="77777777" w:rsid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r w:rsidRPr="005E2250">
        <w:rPr>
          <w:rFonts w:ascii="Times New Roman" w:hAnsi="Times New Roman"/>
          <w:sz w:val="28"/>
          <w:szCs w:val="28"/>
          <w:lang w:val="en-US"/>
        </w:rPr>
        <w:t>We are ready to engage in meaningful discussions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negotiations on substantive issues aiming 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250">
        <w:rPr>
          <w:rFonts w:ascii="Times New Roman" w:hAnsi="Times New Roman"/>
          <w:sz w:val="28"/>
          <w:szCs w:val="28"/>
          <w:lang w:val="en-US"/>
        </w:rPr>
        <w:t>confidence building and bridging areas of consensus.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941A5BB" w14:textId="77777777" w:rsidR="005E2250" w:rsidRDefault="005E2250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</w:p>
    <w:p w14:paraId="3F049FC8" w14:textId="39652B79" w:rsidR="00E21F19" w:rsidRPr="005E2250" w:rsidRDefault="00E21F19" w:rsidP="005E2250">
      <w:pPr>
        <w:pStyle w:val="Commarcadores"/>
        <w:spacing w:line="360" w:lineRule="auto"/>
        <w:ind w:right="-85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5E2250">
        <w:rPr>
          <w:rFonts w:ascii="Times New Roman" w:hAnsi="Times New Roman"/>
          <w:sz w:val="28"/>
          <w:szCs w:val="28"/>
          <w:lang w:val="en-US"/>
        </w:rPr>
        <w:t>Thank you.</w:t>
      </w:r>
    </w:p>
    <w:sectPr w:rsidR="00E21F19" w:rsidRPr="005E225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AE521" w14:textId="77777777" w:rsidR="00C55FDA" w:rsidRDefault="00C55FDA" w:rsidP="0038433F">
      <w:pPr>
        <w:spacing w:after="0" w:line="240" w:lineRule="auto"/>
      </w:pPr>
      <w:r>
        <w:separator/>
      </w:r>
    </w:p>
  </w:endnote>
  <w:endnote w:type="continuationSeparator" w:id="0">
    <w:p w14:paraId="70565484" w14:textId="77777777" w:rsidR="00C55FDA" w:rsidRDefault="00C55FDA" w:rsidP="003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9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07B86" w14:textId="35B3D46D" w:rsidR="0038433F" w:rsidRDefault="0038433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7A1F96" w14:textId="77777777" w:rsidR="0038433F" w:rsidRDefault="003843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E2B11" w14:textId="77777777" w:rsidR="00C55FDA" w:rsidRDefault="00C55FDA" w:rsidP="0038433F">
      <w:pPr>
        <w:spacing w:after="0" w:line="240" w:lineRule="auto"/>
      </w:pPr>
      <w:r>
        <w:separator/>
      </w:r>
    </w:p>
  </w:footnote>
  <w:footnote w:type="continuationSeparator" w:id="0">
    <w:p w14:paraId="57B08F32" w14:textId="77777777" w:rsidR="00C55FDA" w:rsidRDefault="00C55FDA" w:rsidP="003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8489" w14:textId="32019F73" w:rsidR="0038433F" w:rsidRPr="0038433F" w:rsidRDefault="00FC0DB9" w:rsidP="0038433F">
    <w:pPr>
      <w:jc w:val="center"/>
      <w:rPr>
        <w:rFonts w:ascii="Times New Roman" w:hAnsi="Times New Roman" w:cs="Times New Roman"/>
        <w:sz w:val="24"/>
        <w:szCs w:val="24"/>
        <w:lang w:val="fr-FR"/>
      </w:rPr>
    </w:pPr>
    <w:r>
      <w:rPr>
        <w:rFonts w:ascii="Times New Roman" w:hAnsi="Times New Roman" w:cs="Times New Roman"/>
        <w:sz w:val="24"/>
        <w:szCs w:val="24"/>
        <w:lang w:val="fr-FR"/>
      </w:rPr>
      <w:t>CHECK AGAINST DELIVERY</w:t>
    </w:r>
  </w:p>
  <w:p w14:paraId="7E5DBF42" w14:textId="77777777" w:rsidR="0038433F" w:rsidRDefault="003843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9416C"/>
    <w:multiLevelType w:val="hybridMultilevel"/>
    <w:tmpl w:val="0674C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139AB"/>
    <w:rsid w:val="00023967"/>
    <w:rsid w:val="0002425B"/>
    <w:rsid w:val="000244B3"/>
    <w:rsid w:val="00033C10"/>
    <w:rsid w:val="000743F6"/>
    <w:rsid w:val="000902B4"/>
    <w:rsid w:val="00092FEA"/>
    <w:rsid w:val="000A23DE"/>
    <w:rsid w:val="000A5DF3"/>
    <w:rsid w:val="000D2CEB"/>
    <w:rsid w:val="000D7908"/>
    <w:rsid w:val="000E01E7"/>
    <w:rsid w:val="000E0E6E"/>
    <w:rsid w:val="00102983"/>
    <w:rsid w:val="001065CD"/>
    <w:rsid w:val="00110DAF"/>
    <w:rsid w:val="001555AD"/>
    <w:rsid w:val="00160FFB"/>
    <w:rsid w:val="001676D4"/>
    <w:rsid w:val="00184081"/>
    <w:rsid w:val="00186E10"/>
    <w:rsid w:val="001C0E93"/>
    <w:rsid w:val="00200754"/>
    <w:rsid w:val="002465D7"/>
    <w:rsid w:val="0026357C"/>
    <w:rsid w:val="00292EEB"/>
    <w:rsid w:val="002A5DE1"/>
    <w:rsid w:val="002D604D"/>
    <w:rsid w:val="002E7483"/>
    <w:rsid w:val="0031297C"/>
    <w:rsid w:val="00313275"/>
    <w:rsid w:val="0032319E"/>
    <w:rsid w:val="003253EA"/>
    <w:rsid w:val="00356A14"/>
    <w:rsid w:val="00367D53"/>
    <w:rsid w:val="003754A5"/>
    <w:rsid w:val="0038433F"/>
    <w:rsid w:val="00393689"/>
    <w:rsid w:val="003A712A"/>
    <w:rsid w:val="003C5BD6"/>
    <w:rsid w:val="0040021E"/>
    <w:rsid w:val="00400B3B"/>
    <w:rsid w:val="00421F8A"/>
    <w:rsid w:val="00446325"/>
    <w:rsid w:val="00474BF5"/>
    <w:rsid w:val="00491243"/>
    <w:rsid w:val="004A2570"/>
    <w:rsid w:val="004A2AA7"/>
    <w:rsid w:val="004C43F8"/>
    <w:rsid w:val="004D1A3F"/>
    <w:rsid w:val="004D5CB9"/>
    <w:rsid w:val="004D6101"/>
    <w:rsid w:val="004F0C47"/>
    <w:rsid w:val="00513F92"/>
    <w:rsid w:val="00530279"/>
    <w:rsid w:val="00530BC9"/>
    <w:rsid w:val="005412C1"/>
    <w:rsid w:val="00577DDC"/>
    <w:rsid w:val="005948B6"/>
    <w:rsid w:val="005C55BB"/>
    <w:rsid w:val="005D45A4"/>
    <w:rsid w:val="005E2250"/>
    <w:rsid w:val="005E4A3C"/>
    <w:rsid w:val="00604225"/>
    <w:rsid w:val="00642A9D"/>
    <w:rsid w:val="00654210"/>
    <w:rsid w:val="00685893"/>
    <w:rsid w:val="00690377"/>
    <w:rsid w:val="006C6044"/>
    <w:rsid w:val="006E0242"/>
    <w:rsid w:val="006E5757"/>
    <w:rsid w:val="007164C5"/>
    <w:rsid w:val="00721E3B"/>
    <w:rsid w:val="00740EA9"/>
    <w:rsid w:val="00760844"/>
    <w:rsid w:val="007609FF"/>
    <w:rsid w:val="00765D53"/>
    <w:rsid w:val="00797BF0"/>
    <w:rsid w:val="007D2BDB"/>
    <w:rsid w:val="00817602"/>
    <w:rsid w:val="00847916"/>
    <w:rsid w:val="008516BF"/>
    <w:rsid w:val="00855CF0"/>
    <w:rsid w:val="00877CFA"/>
    <w:rsid w:val="0088245D"/>
    <w:rsid w:val="00890FEA"/>
    <w:rsid w:val="00894A41"/>
    <w:rsid w:val="008A5EF9"/>
    <w:rsid w:val="008B5A66"/>
    <w:rsid w:val="008B6B2A"/>
    <w:rsid w:val="009006C1"/>
    <w:rsid w:val="00910DBA"/>
    <w:rsid w:val="00915AA2"/>
    <w:rsid w:val="00921360"/>
    <w:rsid w:val="00952254"/>
    <w:rsid w:val="00990AB9"/>
    <w:rsid w:val="009B75D1"/>
    <w:rsid w:val="009D500A"/>
    <w:rsid w:val="009E536D"/>
    <w:rsid w:val="009F0154"/>
    <w:rsid w:val="00A42D68"/>
    <w:rsid w:val="00A51E02"/>
    <w:rsid w:val="00A81C7C"/>
    <w:rsid w:val="00A97B07"/>
    <w:rsid w:val="00AB2B5F"/>
    <w:rsid w:val="00AB4B1B"/>
    <w:rsid w:val="00AF22C3"/>
    <w:rsid w:val="00B30BC1"/>
    <w:rsid w:val="00B33323"/>
    <w:rsid w:val="00B55BDD"/>
    <w:rsid w:val="00B640CC"/>
    <w:rsid w:val="00B66425"/>
    <w:rsid w:val="00B722B9"/>
    <w:rsid w:val="00B95687"/>
    <w:rsid w:val="00BA37C5"/>
    <w:rsid w:val="00BF44A3"/>
    <w:rsid w:val="00C41399"/>
    <w:rsid w:val="00C55FDA"/>
    <w:rsid w:val="00CC69AB"/>
    <w:rsid w:val="00CD7CF9"/>
    <w:rsid w:val="00CE4D66"/>
    <w:rsid w:val="00CF7532"/>
    <w:rsid w:val="00D23D8B"/>
    <w:rsid w:val="00D57290"/>
    <w:rsid w:val="00D74E89"/>
    <w:rsid w:val="00DD3F85"/>
    <w:rsid w:val="00DF46F4"/>
    <w:rsid w:val="00E055FF"/>
    <w:rsid w:val="00E10A71"/>
    <w:rsid w:val="00E136D9"/>
    <w:rsid w:val="00E176C0"/>
    <w:rsid w:val="00E21F19"/>
    <w:rsid w:val="00E331DB"/>
    <w:rsid w:val="00E36E4B"/>
    <w:rsid w:val="00ED60C6"/>
    <w:rsid w:val="00EF6A1B"/>
    <w:rsid w:val="00F15FD6"/>
    <w:rsid w:val="00F173B3"/>
    <w:rsid w:val="00F25186"/>
    <w:rsid w:val="00F2767A"/>
    <w:rsid w:val="00F4398C"/>
    <w:rsid w:val="00F553E8"/>
    <w:rsid w:val="00F63820"/>
    <w:rsid w:val="00F85382"/>
    <w:rsid w:val="00F86761"/>
    <w:rsid w:val="00F91AC9"/>
    <w:rsid w:val="00F943B0"/>
    <w:rsid w:val="00FC0DB9"/>
    <w:rsid w:val="00FC23D6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58E7C"/>
  <w15:docId w15:val="{FBEEEB03-F15A-4C41-8D26-7510BAA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22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2B9"/>
    <w:rPr>
      <w:rFonts w:ascii="Lucida Grande" w:hAnsi="Lucida Grande" w:cs="Lucida Grande"/>
      <w:sz w:val="18"/>
      <w:szCs w:val="18"/>
    </w:rPr>
  </w:style>
  <w:style w:type="paragraph" w:styleId="Commarcadores">
    <w:name w:val="List Bullet"/>
    <w:basedOn w:val="Normal"/>
    <w:autoRedefine/>
    <w:rsid w:val="00760844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F0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0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0C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0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0C4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33F"/>
  </w:style>
  <w:style w:type="paragraph" w:styleId="Rodap">
    <w:name w:val="footer"/>
    <w:basedOn w:val="Normal"/>
    <w:link w:val="RodapChar"/>
    <w:uiPriority w:val="99"/>
    <w:unhideWhenUsed/>
    <w:rsid w:val="003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3F"/>
  </w:style>
  <w:style w:type="paragraph" w:styleId="TextosemFormatao">
    <w:name w:val="Plain Text"/>
    <w:basedOn w:val="Normal"/>
    <w:link w:val="TextosemFormataoChar"/>
    <w:uiPriority w:val="99"/>
    <w:unhideWhenUsed/>
    <w:rsid w:val="00421F8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1F8A"/>
    <w:rPr>
      <w:rFonts w:ascii="Consolas" w:hAnsi="Consolas" w:cs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E2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2200C-CE86-43CA-AE93-791C58378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B6645-368D-4CC6-AF39-7030425CA480}"/>
</file>

<file path=customXml/itemProps3.xml><?xml version="1.0" encoding="utf-8"?>
<ds:datastoreItem xmlns:ds="http://schemas.openxmlformats.org/officeDocument/2006/customXml" ds:itemID="{BD3F605A-75B7-4470-9F71-198F47A621D9}"/>
</file>

<file path=customXml/itemProps4.xml><?xml version="1.0" encoding="utf-8"?>
<ds:datastoreItem xmlns:ds="http://schemas.openxmlformats.org/officeDocument/2006/customXml" ds:itemID="{90A5DFAA-3FFA-4890-8B5D-153E74189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Canário de Oliveira</dc:creator>
  <cp:lastModifiedBy>Victoria Balthar</cp:lastModifiedBy>
  <cp:revision>3</cp:revision>
  <cp:lastPrinted>2018-01-11T11:48:00Z</cp:lastPrinted>
  <dcterms:created xsi:type="dcterms:W3CDTF">2019-05-17T16:56:00Z</dcterms:created>
  <dcterms:modified xsi:type="dcterms:W3CDTF">2019-05-17T17:03:00Z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