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4C" w:rsidRDefault="005B1C4C">
      <w:pPr>
        <w:pStyle w:val="Standard"/>
        <w:widowControl w:val="0"/>
        <w:spacing w:after="0"/>
        <w:rPr>
          <w:rFonts w:ascii="Times New Roman" w:hAnsi="Times New Roman"/>
          <w:sz w:val="24"/>
          <w:szCs w:val="24"/>
        </w:rPr>
      </w:pPr>
    </w:p>
    <w:p w:rsidR="005B1C4C" w:rsidRDefault="005B1C4C">
      <w:pPr>
        <w:pStyle w:val="Standard"/>
        <w:widowControl w:val="0"/>
        <w:spacing w:after="0"/>
        <w:rPr>
          <w:rFonts w:ascii="Times New Roman" w:hAnsi="Times New Roman"/>
          <w:sz w:val="24"/>
          <w:szCs w:val="24"/>
        </w:rPr>
      </w:pPr>
    </w:p>
    <w:p w:rsidR="005B1C4C" w:rsidRDefault="005B1C4C">
      <w:pPr>
        <w:pStyle w:val="Standard"/>
        <w:widowControl w:val="0"/>
        <w:spacing w:after="0"/>
        <w:rPr>
          <w:rFonts w:ascii="Times New Roman" w:hAnsi="Times New Roman"/>
          <w:sz w:val="24"/>
          <w:szCs w:val="24"/>
        </w:rPr>
      </w:pPr>
    </w:p>
    <w:p w:rsidR="005B1C4C" w:rsidRDefault="00F27B5A">
      <w:pPr>
        <w:pStyle w:val="Standard"/>
        <w:widowControl w:val="0"/>
        <w:spacing w:after="0"/>
        <w:jc w:val="center"/>
      </w:pPr>
      <w:r>
        <w:rPr>
          <w:rFonts w:ascii="Times New Roman" w:hAnsi="Times New Roman"/>
          <w:b/>
          <w:noProof/>
          <w:sz w:val="24"/>
          <w:szCs w:val="24"/>
          <w:lang w:val="en-GB" w:eastAsia="en-GB"/>
        </w:rPr>
        <w:drawing>
          <wp:anchor distT="0" distB="0" distL="114300" distR="114300" simplePos="0" relativeHeight="251659264" behindDoc="1" locked="0" layoutInCell="1" allowOverlap="1">
            <wp:simplePos x="0" y="0"/>
            <wp:positionH relativeFrom="column">
              <wp:posOffset>2514600</wp:posOffset>
            </wp:positionH>
            <wp:positionV relativeFrom="paragraph">
              <wp:posOffset>-636843</wp:posOffset>
            </wp:positionV>
            <wp:extent cx="1142277" cy="723235"/>
            <wp:effectExtent l="0" t="0" r="723" b="665"/>
            <wp:wrapNone/>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42277" cy="723235"/>
                    </a:xfrm>
                    <a:prstGeom prst="rect">
                      <a:avLst/>
                    </a:prstGeom>
                    <a:noFill/>
                    <a:ln>
                      <a:noFill/>
                      <a:prstDash/>
                    </a:ln>
                  </pic:spPr>
                </pic:pic>
              </a:graphicData>
            </a:graphic>
          </wp:anchor>
        </w:drawing>
      </w:r>
    </w:p>
    <w:p w:rsidR="005B1C4C" w:rsidRPr="0036224B" w:rsidRDefault="00F27B5A">
      <w:pPr>
        <w:pStyle w:val="Standard"/>
        <w:jc w:val="center"/>
        <w:rPr>
          <w:lang w:val="en-GB"/>
        </w:rPr>
      </w:pPr>
      <w:r>
        <w:rPr>
          <w:rFonts w:ascii="Times New Roman" w:hAnsi="Times New Roman"/>
          <w:b/>
          <w:sz w:val="24"/>
          <w:szCs w:val="24"/>
          <w:lang w:val="en-GB"/>
        </w:rPr>
        <w:t>European Union</w:t>
      </w:r>
    </w:p>
    <w:p w:rsidR="005B1C4C" w:rsidRDefault="005B1C4C">
      <w:pPr>
        <w:pStyle w:val="Standard"/>
        <w:jc w:val="center"/>
        <w:rPr>
          <w:rFonts w:ascii="Times New Roman" w:hAnsi="Times New Roman"/>
          <w:b/>
          <w:sz w:val="24"/>
          <w:szCs w:val="24"/>
          <w:lang w:val="en-GB"/>
        </w:rPr>
      </w:pPr>
    </w:p>
    <w:p w:rsidR="005B1C4C" w:rsidRPr="0036224B" w:rsidRDefault="00F27B5A">
      <w:pPr>
        <w:pStyle w:val="Standard"/>
        <w:spacing w:before="120" w:after="120" w:line="360" w:lineRule="auto"/>
        <w:jc w:val="center"/>
        <w:rPr>
          <w:lang w:val="en-GB"/>
        </w:rPr>
      </w:pPr>
      <w:r>
        <w:rPr>
          <w:rFonts w:ascii="Times New Roman" w:hAnsi="Times New Roman"/>
          <w:b/>
          <w:sz w:val="24"/>
          <w:szCs w:val="24"/>
          <w:lang w:val="en-GB"/>
        </w:rPr>
        <w:t xml:space="preserve">UNITED NATIONS </w:t>
      </w:r>
      <w:r>
        <w:rPr>
          <w:rFonts w:ascii="Times New Roman" w:hAnsi="Times New Roman"/>
          <w:b/>
          <w:sz w:val="24"/>
          <w:szCs w:val="24"/>
          <w:lang w:val="en-GB"/>
        </w:rPr>
        <w:br/>
      </w:r>
      <w:bookmarkStart w:id="0" w:name="_GoBack"/>
      <w:bookmarkEnd w:id="0"/>
    </w:p>
    <w:p w:rsidR="005B1C4C" w:rsidRDefault="005B1C4C">
      <w:pPr>
        <w:pStyle w:val="Standard"/>
        <w:spacing w:before="120" w:after="120" w:line="360" w:lineRule="auto"/>
        <w:jc w:val="center"/>
        <w:rPr>
          <w:rFonts w:ascii="Times New Roman" w:hAnsi="Times New Roman"/>
          <w:b/>
          <w:sz w:val="24"/>
          <w:szCs w:val="24"/>
          <w:lang w:val="en-GB"/>
        </w:rPr>
      </w:pPr>
    </w:p>
    <w:p w:rsidR="005B1C4C" w:rsidRDefault="005B1C4C">
      <w:pPr>
        <w:pStyle w:val="Standard"/>
        <w:spacing w:before="120" w:after="120" w:line="360" w:lineRule="auto"/>
        <w:jc w:val="center"/>
        <w:rPr>
          <w:rFonts w:ascii="Times New Roman" w:hAnsi="Times New Roman"/>
          <w:b/>
          <w:sz w:val="24"/>
          <w:szCs w:val="24"/>
          <w:lang w:val="en-GB"/>
        </w:rPr>
      </w:pPr>
    </w:p>
    <w:p w:rsidR="005B1C4C" w:rsidRPr="0036224B" w:rsidRDefault="00F27B5A">
      <w:pPr>
        <w:pStyle w:val="Standard"/>
        <w:spacing w:before="120" w:after="120" w:line="360" w:lineRule="auto"/>
        <w:jc w:val="center"/>
        <w:rPr>
          <w:lang w:val="en-GB"/>
        </w:rPr>
      </w:pPr>
      <w:r>
        <w:rPr>
          <w:rFonts w:ascii="Times New Roman" w:hAnsi="Times New Roman"/>
          <w:b/>
          <w:sz w:val="24"/>
          <w:szCs w:val="24"/>
          <w:lang w:val="en-GB"/>
        </w:rPr>
        <w:t>1</w:t>
      </w:r>
      <w:r>
        <w:rPr>
          <w:rFonts w:ascii="Times New Roman" w:hAnsi="Times New Roman"/>
          <w:b/>
          <w:sz w:val="24"/>
          <w:szCs w:val="24"/>
          <w:vertAlign w:val="superscript"/>
          <w:lang w:val="en-GB"/>
        </w:rPr>
        <w:t xml:space="preserve">th </w:t>
      </w:r>
      <w:r>
        <w:rPr>
          <w:rFonts w:ascii="Times New Roman" w:hAnsi="Times New Roman"/>
          <w:b/>
          <w:sz w:val="24"/>
          <w:szCs w:val="24"/>
          <w:lang w:val="en-GB"/>
        </w:rPr>
        <w:t>session of the Open-ended intergovernmental working group to elaborate the content of an international regulatory framework on the regulation, monitoring and oversight of the activities of private military and security companies</w:t>
      </w:r>
    </w:p>
    <w:p w:rsidR="005B1C4C" w:rsidRDefault="005B1C4C">
      <w:pPr>
        <w:pStyle w:val="Standard"/>
        <w:jc w:val="center"/>
        <w:rPr>
          <w:rFonts w:ascii="Times New Roman" w:hAnsi="Times New Roman"/>
          <w:b/>
          <w:sz w:val="24"/>
          <w:szCs w:val="24"/>
          <w:lang w:val="en-GB"/>
        </w:rPr>
      </w:pPr>
    </w:p>
    <w:p w:rsidR="005B1C4C" w:rsidRDefault="005B1C4C">
      <w:pPr>
        <w:pStyle w:val="Standard"/>
        <w:spacing w:line="360" w:lineRule="auto"/>
        <w:jc w:val="center"/>
        <w:rPr>
          <w:rFonts w:ascii="Times New Roman" w:hAnsi="Times New Roman"/>
          <w:b/>
          <w:sz w:val="24"/>
          <w:szCs w:val="24"/>
          <w:lang w:val="en-GB"/>
        </w:rPr>
      </w:pPr>
    </w:p>
    <w:p w:rsidR="005B1C4C" w:rsidRDefault="005B1C4C">
      <w:pPr>
        <w:pStyle w:val="Standard"/>
        <w:jc w:val="center"/>
        <w:rPr>
          <w:rFonts w:ascii="Times New Roman" w:hAnsi="Times New Roman"/>
          <w:b/>
          <w:sz w:val="24"/>
          <w:szCs w:val="24"/>
          <w:lang w:val="en-GB"/>
        </w:rPr>
      </w:pPr>
    </w:p>
    <w:p w:rsidR="005B1C4C" w:rsidRDefault="005B1C4C">
      <w:pPr>
        <w:pStyle w:val="Standard"/>
        <w:jc w:val="center"/>
        <w:rPr>
          <w:rFonts w:ascii="Times New Roman" w:hAnsi="Times New Roman"/>
          <w:b/>
          <w:sz w:val="24"/>
          <w:szCs w:val="24"/>
          <w:lang w:val="en-GB"/>
        </w:rPr>
      </w:pPr>
    </w:p>
    <w:p w:rsidR="005B1C4C" w:rsidRDefault="005B1C4C">
      <w:pPr>
        <w:pStyle w:val="Standard"/>
        <w:jc w:val="center"/>
        <w:rPr>
          <w:rFonts w:ascii="Times New Roman" w:hAnsi="Times New Roman"/>
          <w:b/>
          <w:sz w:val="24"/>
          <w:szCs w:val="24"/>
          <w:lang w:val="en-GB"/>
        </w:rPr>
      </w:pPr>
    </w:p>
    <w:p w:rsidR="005B1C4C" w:rsidRDefault="005B1C4C">
      <w:pPr>
        <w:pStyle w:val="Standard"/>
        <w:jc w:val="center"/>
        <w:rPr>
          <w:rFonts w:ascii="Times New Roman" w:hAnsi="Times New Roman"/>
          <w:b/>
          <w:sz w:val="24"/>
          <w:szCs w:val="24"/>
          <w:lang w:val="en-GB"/>
        </w:rPr>
      </w:pPr>
    </w:p>
    <w:p w:rsidR="005B1C4C" w:rsidRPr="0036224B" w:rsidRDefault="00F27B5A">
      <w:pPr>
        <w:pStyle w:val="Standard"/>
        <w:jc w:val="center"/>
        <w:rPr>
          <w:lang w:val="en-GB"/>
        </w:rPr>
      </w:pPr>
      <w:r>
        <w:rPr>
          <w:rFonts w:ascii="Times New Roman" w:hAnsi="Times New Roman"/>
          <w:b/>
          <w:sz w:val="24"/>
          <w:szCs w:val="24"/>
          <w:lang w:val="en-GB"/>
        </w:rPr>
        <w:t>Intervention by the European Union</w:t>
      </w:r>
    </w:p>
    <w:p w:rsidR="005B1C4C" w:rsidRDefault="005B1C4C">
      <w:pPr>
        <w:pStyle w:val="Standard"/>
        <w:jc w:val="center"/>
        <w:rPr>
          <w:rFonts w:ascii="Times New Roman" w:hAnsi="Times New Roman"/>
          <w:b/>
          <w:sz w:val="24"/>
          <w:szCs w:val="24"/>
          <w:lang w:val="en-GB"/>
        </w:rPr>
      </w:pPr>
    </w:p>
    <w:p w:rsidR="005B1C4C" w:rsidRDefault="005B1C4C">
      <w:pPr>
        <w:pStyle w:val="Standard"/>
        <w:jc w:val="center"/>
        <w:rPr>
          <w:rFonts w:ascii="Times New Roman" w:hAnsi="Times New Roman"/>
          <w:b/>
          <w:sz w:val="24"/>
          <w:szCs w:val="24"/>
          <w:lang w:val="en-GB"/>
        </w:rPr>
      </w:pPr>
    </w:p>
    <w:p w:rsidR="005B1C4C" w:rsidRDefault="005B1C4C">
      <w:pPr>
        <w:pStyle w:val="Standard"/>
        <w:jc w:val="center"/>
        <w:rPr>
          <w:rFonts w:ascii="Times New Roman" w:hAnsi="Times New Roman"/>
          <w:b/>
          <w:sz w:val="24"/>
          <w:szCs w:val="24"/>
          <w:lang w:val="en-GB"/>
        </w:rPr>
      </w:pPr>
    </w:p>
    <w:p w:rsidR="005B1C4C" w:rsidRDefault="005B1C4C">
      <w:pPr>
        <w:pStyle w:val="Standard"/>
        <w:jc w:val="center"/>
        <w:rPr>
          <w:rFonts w:ascii="Times New Roman" w:hAnsi="Times New Roman"/>
          <w:b/>
          <w:sz w:val="24"/>
          <w:szCs w:val="24"/>
          <w:lang w:val="en-GB"/>
        </w:rPr>
      </w:pPr>
    </w:p>
    <w:p w:rsidR="005B1C4C" w:rsidRPr="0036224B" w:rsidRDefault="00F27B5A">
      <w:pPr>
        <w:pStyle w:val="Standard"/>
        <w:jc w:val="center"/>
        <w:rPr>
          <w:lang w:val="en-GB"/>
        </w:rPr>
      </w:pPr>
      <w:r w:rsidRPr="00CD39A4">
        <w:rPr>
          <w:rFonts w:ascii="Times New Roman" w:hAnsi="Times New Roman"/>
          <w:b/>
          <w:sz w:val="24"/>
          <w:szCs w:val="24"/>
          <w:lang w:val="en-GB"/>
        </w:rPr>
        <w:t>Geneva, 20 May 2019</w:t>
      </w:r>
      <w:r>
        <w:rPr>
          <w:rFonts w:ascii="Times New Roman" w:hAnsi="Times New Roman"/>
          <w:b/>
          <w:sz w:val="24"/>
          <w:szCs w:val="24"/>
          <w:lang w:val="en-GB"/>
        </w:rPr>
        <w:br/>
      </w:r>
      <w:r>
        <w:rPr>
          <w:rFonts w:ascii="Times New Roman" w:hAnsi="Times New Roman"/>
          <w:b/>
          <w:sz w:val="24"/>
          <w:szCs w:val="24"/>
          <w:lang w:val="en-GB"/>
        </w:rPr>
        <w:br/>
      </w:r>
      <w:r>
        <w:rPr>
          <w:rFonts w:ascii="Times New Roman" w:hAnsi="Times New Roman"/>
          <w:b/>
          <w:sz w:val="24"/>
          <w:szCs w:val="24"/>
          <w:lang w:val="en-US"/>
        </w:rPr>
        <w:t>- CHECK AGAINST DELIVERY -</w:t>
      </w:r>
    </w:p>
    <w:p w:rsidR="005B1C4C" w:rsidRDefault="005B1C4C">
      <w:pPr>
        <w:pStyle w:val="Standard"/>
        <w:spacing w:after="0" w:line="360" w:lineRule="auto"/>
        <w:jc w:val="center"/>
        <w:rPr>
          <w:rFonts w:ascii="Times New Roman" w:hAnsi="Times New Roman"/>
          <w:b/>
          <w:sz w:val="24"/>
          <w:szCs w:val="24"/>
          <w:lang w:val="en-GB"/>
        </w:rPr>
      </w:pPr>
    </w:p>
    <w:p w:rsidR="00CB3BE5" w:rsidRDefault="00CB3BE5">
      <w:pPr>
        <w:pStyle w:val="Standard"/>
        <w:spacing w:line="240" w:lineRule="auto"/>
        <w:jc w:val="center"/>
        <w:rPr>
          <w:rFonts w:ascii="Times New Roman" w:hAnsi="Times New Roman"/>
          <w:b/>
          <w:sz w:val="24"/>
          <w:szCs w:val="24"/>
          <w:lang w:val="en-GB"/>
        </w:rPr>
      </w:pPr>
    </w:p>
    <w:p w:rsidR="00CB3BE5" w:rsidRDefault="00CB3BE5">
      <w:pPr>
        <w:pStyle w:val="Standard"/>
        <w:spacing w:line="240" w:lineRule="auto"/>
        <w:jc w:val="center"/>
        <w:rPr>
          <w:b/>
          <w:lang w:val="en-GB"/>
        </w:rPr>
      </w:pPr>
    </w:p>
    <w:p w:rsidR="005B1C4C" w:rsidRPr="0036224B" w:rsidRDefault="00F27B5A">
      <w:pPr>
        <w:pStyle w:val="Standard"/>
        <w:spacing w:line="240" w:lineRule="auto"/>
        <w:jc w:val="center"/>
        <w:rPr>
          <w:lang w:val="en-GB"/>
        </w:rPr>
      </w:pPr>
      <w:r>
        <w:rPr>
          <w:b/>
          <w:lang w:val="en-GB"/>
        </w:rPr>
        <w:lastRenderedPageBreak/>
        <w:br/>
      </w:r>
    </w:p>
    <w:p w:rsidR="005B1C4C" w:rsidRPr="0036224B" w:rsidRDefault="00F27B5A">
      <w:pPr>
        <w:pStyle w:val="Standard"/>
        <w:spacing w:line="360" w:lineRule="auto"/>
        <w:jc w:val="center"/>
        <w:rPr>
          <w:lang w:val="en-GB"/>
        </w:rPr>
      </w:pPr>
      <w:r>
        <w:rPr>
          <w:rFonts w:ascii="Times New Roman" w:hAnsi="Times New Roman"/>
          <w:b/>
          <w:sz w:val="24"/>
          <w:szCs w:val="24"/>
          <w:lang w:val="en-GB"/>
        </w:rPr>
        <w:t>1</w:t>
      </w:r>
      <w:r>
        <w:rPr>
          <w:rFonts w:ascii="Times New Roman" w:hAnsi="Times New Roman"/>
          <w:b/>
          <w:sz w:val="24"/>
          <w:szCs w:val="24"/>
          <w:vertAlign w:val="superscript"/>
          <w:lang w:val="en-GB"/>
        </w:rPr>
        <w:t>st</w:t>
      </w:r>
      <w:r>
        <w:rPr>
          <w:rFonts w:ascii="Times New Roman" w:hAnsi="Times New Roman"/>
          <w:b/>
          <w:sz w:val="24"/>
          <w:szCs w:val="24"/>
          <w:lang w:val="en-GB"/>
        </w:rPr>
        <w:t xml:space="preserve"> session of the Open-ended intergovernmental working group to elaborate the content of an international regulatory framework on the regulation, monitoring and oversight of the activities of private military and security companies</w:t>
      </w:r>
    </w:p>
    <w:p w:rsidR="005B1C4C" w:rsidRDefault="00F27B5A">
      <w:pPr>
        <w:pStyle w:val="NormalWeb"/>
        <w:jc w:val="center"/>
      </w:pPr>
      <w:r>
        <w:rPr>
          <w:b/>
        </w:rPr>
        <w:t>EU intervention</w:t>
      </w:r>
    </w:p>
    <w:p w:rsidR="005B1C4C" w:rsidRDefault="005B1C4C">
      <w:pPr>
        <w:pStyle w:val="Standard"/>
        <w:jc w:val="center"/>
        <w:rPr>
          <w:rFonts w:ascii="Times New Roman" w:hAnsi="Times New Roman"/>
          <w:b/>
          <w:sz w:val="24"/>
          <w:szCs w:val="24"/>
          <w:lang w:val="en-GB"/>
        </w:rPr>
      </w:pPr>
    </w:p>
    <w:p w:rsidR="005B1C4C" w:rsidRPr="007440BD" w:rsidRDefault="005B1C4C" w:rsidP="007440BD">
      <w:pPr>
        <w:pStyle w:val="Standard"/>
        <w:spacing w:after="0" w:line="480" w:lineRule="auto"/>
        <w:jc w:val="both"/>
        <w:rPr>
          <w:rFonts w:ascii="UICTFontTextStyleBody" w:eastAsia="Times New Roman" w:hAnsi="UICTFontTextStyleBody"/>
          <w:sz w:val="24"/>
          <w:szCs w:val="24"/>
          <w:lang w:val="en-GB"/>
        </w:rPr>
      </w:pPr>
    </w:p>
    <w:p w:rsidR="007440BD" w:rsidRDefault="007440BD" w:rsidP="00AC199D">
      <w:pPr>
        <w:spacing w:line="360" w:lineRule="auto"/>
        <w:jc w:val="both"/>
        <w:rPr>
          <w:rFonts w:ascii="UICTFontTextStyleBody" w:eastAsia="Times New Roman" w:hAnsi="UICTFontTextStyleBody"/>
          <w:sz w:val="24"/>
          <w:szCs w:val="24"/>
          <w:lang w:val="en-GB"/>
        </w:rPr>
      </w:pPr>
      <w:r w:rsidRPr="00432E2C">
        <w:rPr>
          <w:rFonts w:ascii="UICTFontTextStyleBody" w:eastAsia="Times New Roman" w:hAnsi="UICTFontTextStyleBody"/>
          <w:sz w:val="24"/>
          <w:szCs w:val="24"/>
          <w:lang w:val="en-GB"/>
        </w:rPr>
        <w:t>The European Union would like to thank the Chairperson-Rapporteur and the Secretariat for the work done for the preparation of, and during, this first session.</w:t>
      </w:r>
    </w:p>
    <w:p w:rsidR="007440BD" w:rsidRPr="007440BD" w:rsidRDefault="007440BD" w:rsidP="00AC199D">
      <w:pPr>
        <w:spacing w:line="360" w:lineRule="auto"/>
        <w:jc w:val="both"/>
        <w:rPr>
          <w:rFonts w:ascii="UICTFontTextStyleBody" w:eastAsia="Times New Roman" w:hAnsi="UICTFontTextStyleBody"/>
          <w:sz w:val="24"/>
          <w:szCs w:val="24"/>
          <w:lang w:val="en-GB"/>
        </w:rPr>
      </w:pPr>
    </w:p>
    <w:p w:rsidR="00CA1AFB" w:rsidRDefault="007440BD" w:rsidP="00AC199D">
      <w:pPr>
        <w:spacing w:line="360" w:lineRule="auto"/>
        <w:jc w:val="both"/>
        <w:rPr>
          <w:rFonts w:ascii="UICTFontTextStyleBody" w:eastAsia="Times New Roman" w:hAnsi="UICTFontTextStyleBody"/>
          <w:sz w:val="24"/>
          <w:szCs w:val="24"/>
          <w:lang w:val="en-GB"/>
        </w:rPr>
      </w:pPr>
      <w:r w:rsidRPr="00432E2C">
        <w:rPr>
          <w:rFonts w:ascii="UICTFontTextStyleBody" w:eastAsia="Times New Roman" w:hAnsi="UICTFontTextStyleBody"/>
          <w:sz w:val="24"/>
          <w:szCs w:val="24"/>
          <w:lang w:val="en-GB"/>
        </w:rPr>
        <w:t xml:space="preserve">In the past years, we have been actively and constructively engaged in bringing about a consensus in the establishing of the Open-ended intergovernmental working group. This working group was mandated to elaborate the content of an international regulatory framework on the regulation, monitoring and oversights of the activities of private military and security companies, noting that the current mandate does not make any presumptions about the ultimate legal nature of the potential future framework. </w:t>
      </w:r>
    </w:p>
    <w:p w:rsidR="00076F12" w:rsidRDefault="00076F12" w:rsidP="00AC199D">
      <w:pPr>
        <w:spacing w:line="360" w:lineRule="auto"/>
        <w:jc w:val="both"/>
        <w:rPr>
          <w:rFonts w:ascii="UICTFontTextStyleBody" w:eastAsia="Times New Roman" w:hAnsi="UICTFontTextStyleBody"/>
          <w:sz w:val="24"/>
          <w:szCs w:val="24"/>
          <w:lang w:val="en-GB"/>
        </w:rPr>
      </w:pPr>
    </w:p>
    <w:p w:rsidR="007440BD" w:rsidRDefault="007440BD" w:rsidP="00AC199D">
      <w:pPr>
        <w:spacing w:line="360" w:lineRule="auto"/>
        <w:jc w:val="both"/>
        <w:rPr>
          <w:rFonts w:ascii="UICTFontTextStyleBody" w:eastAsia="Times New Roman" w:hAnsi="UICTFontTextStyleBody"/>
          <w:sz w:val="24"/>
          <w:szCs w:val="24"/>
          <w:lang w:val="en-GB"/>
        </w:rPr>
      </w:pPr>
      <w:r w:rsidRPr="00432E2C">
        <w:rPr>
          <w:rFonts w:ascii="UICTFontTextStyleBody" w:eastAsia="Times New Roman" w:hAnsi="UICTFontTextStyleBody"/>
          <w:sz w:val="24"/>
          <w:szCs w:val="24"/>
          <w:lang w:val="en-GB"/>
        </w:rPr>
        <w:t>We are pleased to note that the draft Program of Work has been amended by the Chair-Rapporteur in line with the suggestions received at the meeting of the regional coordinators. We are also pleased about the openness shown by the Chairperson-Rapporteur, at the meeting of the regional coordinators, in inviting the Co-Chairs of the Montreux Document Forum and the International Code of Conduct Association (</w:t>
      </w:r>
      <w:proofErr w:type="spellStart"/>
      <w:r w:rsidRPr="00432E2C">
        <w:rPr>
          <w:rFonts w:ascii="UICTFontTextStyleBody" w:eastAsia="Times New Roman" w:hAnsi="UICTFontTextStyleBody"/>
          <w:sz w:val="24"/>
          <w:szCs w:val="24"/>
          <w:lang w:val="en-GB"/>
        </w:rPr>
        <w:t>ICoCA</w:t>
      </w:r>
      <w:proofErr w:type="spellEnd"/>
      <w:r w:rsidRPr="00432E2C">
        <w:rPr>
          <w:rFonts w:ascii="UICTFontTextStyleBody" w:eastAsia="Times New Roman" w:hAnsi="UICTFontTextStyleBody"/>
          <w:sz w:val="24"/>
          <w:szCs w:val="24"/>
          <w:lang w:val="en-GB"/>
        </w:rPr>
        <w:t>) to participate in this session.</w:t>
      </w:r>
    </w:p>
    <w:p w:rsidR="0087533C" w:rsidRPr="007440BD" w:rsidRDefault="0087533C" w:rsidP="00AC199D">
      <w:pPr>
        <w:spacing w:line="360" w:lineRule="auto"/>
        <w:jc w:val="both"/>
        <w:rPr>
          <w:rFonts w:ascii="UICTFontTextStyleBody" w:eastAsia="Times New Roman" w:hAnsi="UICTFontTextStyleBody"/>
          <w:sz w:val="24"/>
          <w:szCs w:val="24"/>
          <w:lang w:val="en-GB"/>
        </w:rPr>
      </w:pPr>
    </w:p>
    <w:p w:rsidR="007440BD" w:rsidRPr="007440BD" w:rsidRDefault="007440BD" w:rsidP="00AC199D">
      <w:pPr>
        <w:spacing w:line="360" w:lineRule="auto"/>
        <w:jc w:val="both"/>
        <w:rPr>
          <w:rFonts w:ascii="UICTFontTextStyleBody" w:eastAsia="Times New Roman" w:hAnsi="UICTFontTextStyleBody"/>
          <w:sz w:val="24"/>
          <w:szCs w:val="24"/>
          <w:lang w:val="en-GB"/>
        </w:rPr>
      </w:pPr>
      <w:r w:rsidRPr="00432E2C">
        <w:rPr>
          <w:rFonts w:ascii="UICTFontTextStyleBody" w:eastAsia="Times New Roman" w:hAnsi="UICTFontTextStyleBody"/>
          <w:sz w:val="24"/>
          <w:szCs w:val="24"/>
          <w:lang w:val="en-GB"/>
        </w:rPr>
        <w:t>We hope that the same openness will be shown in the consideration of inviting relevant experts, in accordance with the HRC Resolution 36/11</w:t>
      </w:r>
      <w:r>
        <w:rPr>
          <w:rFonts w:ascii="UICTFontTextStyleBody" w:eastAsia="Times New Roman" w:hAnsi="UICTFontTextStyleBody"/>
          <w:sz w:val="24"/>
          <w:szCs w:val="24"/>
          <w:lang w:val="en-GB"/>
        </w:rPr>
        <w:t xml:space="preserve">, </w:t>
      </w:r>
      <w:r w:rsidRPr="00076F12">
        <w:rPr>
          <w:rFonts w:ascii="UICTFontTextStyleBody" w:eastAsia="Times New Roman" w:hAnsi="UICTFontTextStyleBody"/>
          <w:sz w:val="24"/>
          <w:szCs w:val="24"/>
          <w:lang w:val="en-GB"/>
        </w:rPr>
        <w:t xml:space="preserve">in </w:t>
      </w:r>
      <w:r w:rsidR="00AC199D" w:rsidRPr="00076F12">
        <w:rPr>
          <w:rFonts w:ascii="UICTFontTextStyleBody" w:eastAsia="Times New Roman" w:hAnsi="UICTFontTextStyleBody"/>
          <w:sz w:val="24"/>
          <w:szCs w:val="24"/>
          <w:lang w:val="en-GB"/>
        </w:rPr>
        <w:t xml:space="preserve">the </w:t>
      </w:r>
      <w:r w:rsidRPr="00076F12">
        <w:rPr>
          <w:rFonts w:ascii="UICTFontTextStyleBody" w:eastAsia="Times New Roman" w:hAnsi="UICTFontTextStyleBody"/>
          <w:sz w:val="24"/>
          <w:szCs w:val="24"/>
          <w:lang w:val="en-GB"/>
        </w:rPr>
        <w:t>future session</w:t>
      </w:r>
      <w:r w:rsidR="00AC199D" w:rsidRPr="00076F12">
        <w:rPr>
          <w:rFonts w:ascii="UICTFontTextStyleBody" w:eastAsia="Times New Roman" w:hAnsi="UICTFontTextStyleBody"/>
          <w:sz w:val="24"/>
          <w:szCs w:val="24"/>
          <w:lang w:val="en-GB"/>
        </w:rPr>
        <w:t>(</w:t>
      </w:r>
      <w:r w:rsidRPr="00076F12">
        <w:rPr>
          <w:rFonts w:ascii="UICTFontTextStyleBody" w:eastAsia="Times New Roman" w:hAnsi="UICTFontTextStyleBody"/>
          <w:sz w:val="24"/>
          <w:szCs w:val="24"/>
          <w:lang w:val="en-GB"/>
        </w:rPr>
        <w:t>s</w:t>
      </w:r>
      <w:r w:rsidR="00AC199D" w:rsidRPr="00076F12">
        <w:rPr>
          <w:rFonts w:ascii="UICTFontTextStyleBody" w:eastAsia="Times New Roman" w:hAnsi="UICTFontTextStyleBody"/>
          <w:sz w:val="24"/>
          <w:szCs w:val="24"/>
          <w:lang w:val="en-GB"/>
        </w:rPr>
        <w:t>)</w:t>
      </w:r>
      <w:r w:rsidRPr="00076F12">
        <w:rPr>
          <w:rFonts w:ascii="UICTFontTextStyleBody" w:eastAsia="Times New Roman" w:hAnsi="UICTFontTextStyleBody"/>
          <w:sz w:val="24"/>
          <w:szCs w:val="24"/>
          <w:lang w:val="en-GB"/>
        </w:rPr>
        <w:t xml:space="preserve">. </w:t>
      </w:r>
      <w:r w:rsidRPr="00432E2C">
        <w:rPr>
          <w:rFonts w:ascii="UICTFontTextStyleBody" w:eastAsia="Times New Roman" w:hAnsi="UICTFontTextStyleBody"/>
          <w:sz w:val="24"/>
          <w:szCs w:val="24"/>
          <w:lang w:val="en-GB"/>
        </w:rPr>
        <w:t>We believe that the participation of relevant experts throughout the session's activities would enrich the discussion and contribute to the elaboration of the content of the internationally regulatory framework in a meaningful way. </w:t>
      </w:r>
    </w:p>
    <w:p w:rsidR="00AC199D" w:rsidRDefault="00AC199D" w:rsidP="00AC199D">
      <w:pPr>
        <w:spacing w:line="360" w:lineRule="auto"/>
        <w:jc w:val="both"/>
        <w:rPr>
          <w:rFonts w:ascii="UICTFontTextStyleBody" w:eastAsia="Times New Roman" w:hAnsi="UICTFontTextStyleBody"/>
          <w:sz w:val="24"/>
          <w:szCs w:val="24"/>
          <w:lang w:val="en-GB"/>
        </w:rPr>
      </w:pPr>
    </w:p>
    <w:p w:rsidR="007440BD" w:rsidRPr="007440BD" w:rsidRDefault="007440BD" w:rsidP="00AC199D">
      <w:pPr>
        <w:spacing w:line="360" w:lineRule="auto"/>
        <w:jc w:val="both"/>
        <w:rPr>
          <w:rFonts w:ascii="UICTFontTextStyleBody" w:eastAsia="Times New Roman" w:hAnsi="UICTFontTextStyleBody"/>
          <w:sz w:val="24"/>
          <w:szCs w:val="24"/>
          <w:lang w:val="en-GB"/>
        </w:rPr>
      </w:pPr>
      <w:r w:rsidRPr="00432E2C">
        <w:rPr>
          <w:rFonts w:ascii="UICTFontTextStyleBody" w:eastAsia="Times New Roman" w:hAnsi="UICTFontTextStyleBody"/>
          <w:sz w:val="24"/>
          <w:szCs w:val="24"/>
          <w:lang w:val="en-GB"/>
        </w:rPr>
        <w:t xml:space="preserve">The debate on PMSCs (Private Military and Security Companies) is complex and fast evolving and demands a multifaceted response to the challenges faced. Regulations for PMSCs must be in line with existing international humanitarian law and international human rights law. We should not lose sight of our shared objective to prevent abuses, and provide remedy where abuses occur. The </w:t>
      </w:r>
      <w:r w:rsidRPr="00432E2C">
        <w:rPr>
          <w:rFonts w:ascii="UICTFontTextStyleBody" w:eastAsia="Times New Roman" w:hAnsi="UICTFontTextStyleBody"/>
          <w:sz w:val="24"/>
          <w:szCs w:val="24"/>
          <w:lang w:val="en-GB"/>
        </w:rPr>
        <w:lastRenderedPageBreak/>
        <w:t>companies, and their clients, need a predictable environment to operate in, in respect of international human rights law and international humanitarian law. Human rights defenders and victims need reliable avenues for access to remedy, be it through judicial or non-judicial mechanisms.</w:t>
      </w:r>
    </w:p>
    <w:p w:rsidR="00AC199D" w:rsidRDefault="00AC199D" w:rsidP="00AC199D">
      <w:pPr>
        <w:spacing w:line="360" w:lineRule="auto"/>
        <w:jc w:val="both"/>
        <w:rPr>
          <w:rFonts w:ascii="UICTFontTextStyleBody" w:eastAsia="Times New Roman" w:hAnsi="UICTFontTextStyleBody"/>
          <w:sz w:val="24"/>
          <w:szCs w:val="24"/>
          <w:lang w:val="en-GB"/>
        </w:rPr>
      </w:pPr>
    </w:p>
    <w:p w:rsidR="007440BD" w:rsidRPr="007440BD" w:rsidRDefault="007440BD" w:rsidP="00AC199D">
      <w:pPr>
        <w:spacing w:line="360" w:lineRule="auto"/>
        <w:jc w:val="both"/>
        <w:rPr>
          <w:rFonts w:ascii="UICTFontTextStyleBody" w:eastAsia="Times New Roman" w:hAnsi="UICTFontTextStyleBody"/>
          <w:sz w:val="24"/>
          <w:szCs w:val="24"/>
          <w:lang w:val="en-GB"/>
        </w:rPr>
      </w:pPr>
      <w:r w:rsidRPr="00432E2C">
        <w:rPr>
          <w:rFonts w:ascii="UICTFontTextStyleBody" w:eastAsia="Times New Roman" w:hAnsi="UICTFontTextStyleBody"/>
          <w:sz w:val="24"/>
          <w:szCs w:val="24"/>
          <w:lang w:val="en-GB"/>
        </w:rPr>
        <w:t>Since the very beginning our position is that PMSCs do not operate in a vacuum and that</w:t>
      </w:r>
      <w:r>
        <w:rPr>
          <w:rFonts w:ascii="UICTFontTextStyleBody" w:eastAsia="Times New Roman" w:hAnsi="UICTFontTextStyleBody"/>
          <w:sz w:val="24"/>
          <w:szCs w:val="24"/>
          <w:lang w:val="en-GB"/>
        </w:rPr>
        <w:t xml:space="preserve"> </w:t>
      </w:r>
      <w:r w:rsidR="002F4BB6">
        <w:rPr>
          <w:rFonts w:ascii="UICTFontTextStyleBody" w:eastAsia="Times New Roman" w:hAnsi="UICTFontTextStyleBody"/>
          <w:sz w:val="24"/>
          <w:szCs w:val="24"/>
          <w:lang w:val="en-GB"/>
        </w:rPr>
        <w:t>legal international frameworks</w:t>
      </w:r>
      <w:r w:rsidRPr="00432E2C">
        <w:rPr>
          <w:rFonts w:ascii="UICTFontTextStyleBody" w:eastAsia="Times New Roman" w:hAnsi="UICTFontTextStyleBody"/>
          <w:sz w:val="24"/>
          <w:szCs w:val="24"/>
          <w:lang w:val="en-GB"/>
        </w:rPr>
        <w:t xml:space="preserve"> exist. In this regard, the Montreux Document clearly outlines existing obligations on States under international law</w:t>
      </w:r>
      <w:r>
        <w:rPr>
          <w:rFonts w:ascii="UICTFontTextStyleBody" w:eastAsia="Times New Roman" w:hAnsi="UICTFontTextStyleBody"/>
          <w:sz w:val="24"/>
          <w:szCs w:val="24"/>
          <w:lang w:val="en-GB"/>
        </w:rPr>
        <w:t xml:space="preserve"> and </w:t>
      </w:r>
      <w:r w:rsidRPr="00432E2C">
        <w:rPr>
          <w:rFonts w:ascii="UICTFontTextStyleBody" w:eastAsia="Times New Roman" w:hAnsi="UICTFontTextStyleBody"/>
          <w:sz w:val="24"/>
          <w:szCs w:val="24"/>
          <w:lang w:val="en-GB"/>
        </w:rPr>
        <w:t>has played an instrumental role in steering this complex d</w:t>
      </w:r>
      <w:r>
        <w:rPr>
          <w:rFonts w:ascii="UICTFontTextStyleBody" w:eastAsia="Times New Roman" w:hAnsi="UICTFontTextStyleBody"/>
          <w:sz w:val="24"/>
          <w:szCs w:val="24"/>
          <w:lang w:val="en-GB"/>
        </w:rPr>
        <w:t>ebate into the right direction.</w:t>
      </w:r>
      <w:r w:rsidRPr="00432E2C">
        <w:rPr>
          <w:rFonts w:ascii="UICTFontTextStyleBody" w:eastAsia="Times New Roman" w:hAnsi="UICTFontTextStyleBody"/>
          <w:sz w:val="24"/>
          <w:szCs w:val="24"/>
          <w:lang w:val="en-GB"/>
        </w:rPr>
        <w:t> The EU joined the Montreux Document as the first regional organisation in 2012 and</w:t>
      </w:r>
      <w:r>
        <w:rPr>
          <w:rFonts w:ascii="UICTFontTextStyleBody" w:eastAsia="Times New Roman" w:hAnsi="UICTFontTextStyleBody"/>
          <w:sz w:val="24"/>
          <w:szCs w:val="24"/>
          <w:lang w:val="en-GB"/>
        </w:rPr>
        <w:t xml:space="preserve"> </w:t>
      </w:r>
      <w:proofErr w:type="gramStart"/>
      <w:r w:rsidRPr="00432E2C">
        <w:rPr>
          <w:rFonts w:ascii="UICTFontTextStyleBody" w:eastAsia="Times New Roman" w:hAnsi="UICTFontTextStyleBody"/>
          <w:sz w:val="24"/>
          <w:szCs w:val="24"/>
          <w:lang w:val="en-GB"/>
        </w:rPr>
        <w:t>have</w:t>
      </w:r>
      <w:proofErr w:type="gramEnd"/>
      <w:r w:rsidRPr="00432E2C">
        <w:rPr>
          <w:rFonts w:ascii="UICTFontTextStyleBody" w:eastAsia="Times New Roman" w:hAnsi="UICTFontTextStyleBody"/>
          <w:sz w:val="24"/>
          <w:szCs w:val="24"/>
          <w:lang w:val="en-GB"/>
        </w:rPr>
        <w:t xml:space="preserve"> been supportive of </w:t>
      </w:r>
      <w:r>
        <w:rPr>
          <w:rFonts w:ascii="UICTFontTextStyleBody" w:eastAsia="Times New Roman" w:hAnsi="UICTFontTextStyleBody"/>
          <w:sz w:val="24"/>
          <w:szCs w:val="24"/>
          <w:lang w:val="en-GB"/>
        </w:rPr>
        <w:t xml:space="preserve">its </w:t>
      </w:r>
      <w:r w:rsidRPr="00432E2C">
        <w:rPr>
          <w:rFonts w:ascii="UICTFontTextStyleBody" w:eastAsia="Times New Roman" w:hAnsi="UICTFontTextStyleBody"/>
          <w:sz w:val="24"/>
          <w:szCs w:val="24"/>
          <w:lang w:val="en-GB"/>
        </w:rPr>
        <w:t>further universalisation</w:t>
      </w:r>
      <w:r>
        <w:rPr>
          <w:rFonts w:ascii="UICTFontTextStyleBody" w:eastAsia="Times New Roman" w:hAnsi="UICTFontTextStyleBody"/>
          <w:sz w:val="24"/>
          <w:szCs w:val="24"/>
          <w:lang w:val="en-GB"/>
        </w:rPr>
        <w:t xml:space="preserve"> since. The awareness around these issues </w:t>
      </w:r>
      <w:r w:rsidRPr="00432E2C">
        <w:rPr>
          <w:rFonts w:ascii="UICTFontTextStyleBody" w:eastAsia="Times New Roman" w:hAnsi="UICTFontTextStyleBody"/>
          <w:sz w:val="24"/>
          <w:szCs w:val="24"/>
          <w:lang w:val="en-GB"/>
        </w:rPr>
        <w:t>has also significantly increased in recent years</w:t>
      </w:r>
      <w:r>
        <w:rPr>
          <w:rFonts w:ascii="UICTFontTextStyleBody" w:eastAsia="Times New Roman" w:hAnsi="UICTFontTextStyleBody"/>
          <w:sz w:val="24"/>
          <w:szCs w:val="24"/>
          <w:lang w:val="en-GB"/>
        </w:rPr>
        <w:t xml:space="preserve"> within our own organisation</w:t>
      </w:r>
      <w:r w:rsidRPr="00432E2C">
        <w:rPr>
          <w:rFonts w:ascii="UICTFontTextStyleBody" w:eastAsia="Times New Roman" w:hAnsi="UICTFontTextStyleBody"/>
          <w:sz w:val="24"/>
          <w:szCs w:val="24"/>
          <w:lang w:val="en-GB"/>
        </w:rPr>
        <w:t xml:space="preserve">. </w:t>
      </w:r>
    </w:p>
    <w:p w:rsidR="007440BD" w:rsidRPr="007440BD" w:rsidRDefault="007440BD" w:rsidP="00AC199D">
      <w:pPr>
        <w:spacing w:line="360" w:lineRule="auto"/>
        <w:jc w:val="both"/>
        <w:rPr>
          <w:rFonts w:ascii="UICTFontTextStyleBody" w:eastAsia="Times New Roman" w:hAnsi="UICTFontTextStyleBody"/>
          <w:sz w:val="24"/>
          <w:szCs w:val="24"/>
          <w:lang w:val="en-GB"/>
        </w:rPr>
      </w:pPr>
    </w:p>
    <w:p w:rsidR="007440BD" w:rsidRDefault="007440BD" w:rsidP="00AC199D">
      <w:pPr>
        <w:spacing w:line="360" w:lineRule="auto"/>
        <w:jc w:val="both"/>
        <w:rPr>
          <w:rFonts w:ascii="UICTFontTextStyleBody" w:eastAsia="Times New Roman" w:hAnsi="UICTFontTextStyleBody"/>
          <w:sz w:val="24"/>
          <w:szCs w:val="24"/>
          <w:lang w:val="en-GB"/>
        </w:rPr>
      </w:pPr>
      <w:r w:rsidRPr="00432E2C">
        <w:rPr>
          <w:rFonts w:ascii="UICTFontTextStyleBody" w:eastAsia="Times New Roman" w:hAnsi="UICTFontTextStyleBody"/>
          <w:sz w:val="24"/>
          <w:szCs w:val="24"/>
          <w:lang w:val="en-GB"/>
        </w:rPr>
        <w:t>We hope</w:t>
      </w:r>
      <w:r>
        <w:rPr>
          <w:rFonts w:ascii="UICTFontTextStyleBody" w:eastAsia="Times New Roman" w:hAnsi="UICTFontTextStyleBody"/>
          <w:sz w:val="24"/>
          <w:szCs w:val="24"/>
          <w:lang w:val="en-GB"/>
        </w:rPr>
        <w:t xml:space="preserve"> </w:t>
      </w:r>
      <w:r w:rsidRPr="00432E2C">
        <w:rPr>
          <w:rFonts w:ascii="UICTFontTextStyleBody" w:eastAsia="Times New Roman" w:hAnsi="UICTFontTextStyleBody"/>
          <w:sz w:val="24"/>
          <w:szCs w:val="24"/>
          <w:lang w:val="en-GB"/>
        </w:rPr>
        <w:t>that the discussion</w:t>
      </w:r>
      <w:r>
        <w:rPr>
          <w:rFonts w:ascii="UICTFontTextStyleBody" w:eastAsia="Times New Roman" w:hAnsi="UICTFontTextStyleBody"/>
          <w:sz w:val="24"/>
          <w:szCs w:val="24"/>
          <w:lang w:val="en-GB"/>
        </w:rPr>
        <w:t>s</w:t>
      </w:r>
      <w:r w:rsidRPr="00432E2C">
        <w:rPr>
          <w:rFonts w:ascii="UICTFontTextStyleBody" w:eastAsia="Times New Roman" w:hAnsi="UICTFontTextStyleBody"/>
          <w:sz w:val="24"/>
          <w:szCs w:val="24"/>
          <w:lang w:val="en-GB"/>
        </w:rPr>
        <w:t xml:space="preserve"> in this first session of the working group mandated to elaborate the content of an international regulatory framework will continue in the direction of further complementing and strengthening existing initiatives such as the Montreux Document Forum and the International Code of Conduct Association.</w:t>
      </w:r>
    </w:p>
    <w:p w:rsidR="00AC199D" w:rsidRDefault="00AC199D" w:rsidP="00AC199D">
      <w:pPr>
        <w:spacing w:line="360" w:lineRule="auto"/>
        <w:jc w:val="both"/>
        <w:rPr>
          <w:rFonts w:ascii="UICTFontTextStyleBody" w:eastAsia="Times New Roman" w:hAnsi="UICTFontTextStyleBody"/>
          <w:sz w:val="24"/>
          <w:szCs w:val="24"/>
          <w:lang w:val="en-GB"/>
        </w:rPr>
      </w:pPr>
    </w:p>
    <w:p w:rsidR="007440BD" w:rsidRPr="007440BD" w:rsidRDefault="007440BD" w:rsidP="00AC199D">
      <w:pPr>
        <w:spacing w:line="360" w:lineRule="auto"/>
        <w:jc w:val="both"/>
        <w:rPr>
          <w:rFonts w:ascii="UICTFontTextStyleBody" w:eastAsia="Times New Roman" w:hAnsi="UICTFontTextStyleBody"/>
          <w:sz w:val="24"/>
          <w:szCs w:val="24"/>
          <w:lang w:val="en-GB"/>
        </w:rPr>
      </w:pPr>
      <w:r>
        <w:rPr>
          <w:rFonts w:ascii="UICTFontTextStyleBody" w:eastAsia="Times New Roman" w:hAnsi="UICTFontTextStyleBody"/>
          <w:sz w:val="24"/>
          <w:szCs w:val="24"/>
          <w:lang w:val="en-GB"/>
        </w:rPr>
        <w:t xml:space="preserve">We are looking forward to open and constructive discussions in this first session of the new </w:t>
      </w:r>
      <w:r w:rsidRPr="00432E2C">
        <w:rPr>
          <w:rFonts w:ascii="UICTFontTextStyleBody" w:eastAsia="Times New Roman" w:hAnsi="UICTFontTextStyleBody"/>
          <w:sz w:val="24"/>
          <w:szCs w:val="24"/>
          <w:lang w:val="en-GB"/>
        </w:rPr>
        <w:t>Open-ended intergovernmental working group</w:t>
      </w:r>
      <w:r>
        <w:rPr>
          <w:rFonts w:ascii="UICTFontTextStyleBody" w:eastAsia="Times New Roman" w:hAnsi="UICTFontTextStyleBody"/>
          <w:sz w:val="24"/>
          <w:szCs w:val="24"/>
          <w:lang w:val="en-GB"/>
        </w:rPr>
        <w:t>.</w:t>
      </w:r>
    </w:p>
    <w:p w:rsidR="007440BD" w:rsidRPr="007440BD" w:rsidRDefault="007440BD" w:rsidP="00AC199D">
      <w:pPr>
        <w:spacing w:line="360" w:lineRule="auto"/>
        <w:jc w:val="both"/>
        <w:rPr>
          <w:rFonts w:ascii="UICTFontTextStyleBody" w:eastAsia="Times New Roman" w:hAnsi="UICTFontTextStyleBody"/>
          <w:sz w:val="24"/>
          <w:szCs w:val="24"/>
          <w:lang w:val="en-GB"/>
        </w:rPr>
      </w:pPr>
      <w:r w:rsidRPr="00432E2C">
        <w:rPr>
          <w:rFonts w:ascii="UICTFontTextStyleBody" w:eastAsia="Times New Roman" w:hAnsi="UICTFontTextStyleBody"/>
          <w:sz w:val="24"/>
          <w:szCs w:val="24"/>
          <w:lang w:val="en-GB"/>
        </w:rPr>
        <w:t> </w:t>
      </w:r>
    </w:p>
    <w:p w:rsidR="007440BD" w:rsidRDefault="007440BD" w:rsidP="00DD39C8">
      <w:pPr>
        <w:rPr>
          <w:rFonts w:ascii="Times New Roman" w:hAnsi="Times New Roman"/>
          <w:sz w:val="24"/>
          <w:szCs w:val="24"/>
          <w:lang w:val="en-GB"/>
        </w:rPr>
      </w:pPr>
      <w:r w:rsidRPr="00432E2C">
        <w:rPr>
          <w:rFonts w:ascii="UICTFontTextStyleBody" w:eastAsia="Times New Roman" w:hAnsi="UICTFontTextStyleBody"/>
          <w:sz w:val="24"/>
          <w:szCs w:val="24"/>
          <w:lang w:val="en-GB"/>
        </w:rPr>
        <w:t>Thank you</w:t>
      </w:r>
      <w:r w:rsidR="00DD39C8">
        <w:rPr>
          <w:rFonts w:ascii="UICTFontTextStyleBody" w:eastAsia="Times New Roman" w:hAnsi="UICTFontTextStyleBody"/>
          <w:sz w:val="24"/>
          <w:szCs w:val="24"/>
          <w:lang w:val="en-GB"/>
        </w:rPr>
        <w:t xml:space="preserve"> </w:t>
      </w:r>
    </w:p>
    <w:sectPr w:rsidR="007440BD">
      <w:pgSz w:w="11906" w:h="16838"/>
      <w:pgMar w:top="1134" w:right="1134"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AD4" w:rsidRDefault="00F27B5A">
      <w:r>
        <w:separator/>
      </w:r>
    </w:p>
  </w:endnote>
  <w:endnote w:type="continuationSeparator" w:id="0">
    <w:p w:rsidR="003F5AD4" w:rsidRDefault="00F2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
    <w:charset w:val="00"/>
    <w:family w:val="auto"/>
    <w:pitch w:val="variable"/>
  </w:font>
  <w:font w:name="UICTFontTextStyleBod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AD4" w:rsidRDefault="00F27B5A">
      <w:r>
        <w:rPr>
          <w:color w:val="000000"/>
        </w:rPr>
        <w:separator/>
      </w:r>
    </w:p>
  </w:footnote>
  <w:footnote w:type="continuationSeparator" w:id="0">
    <w:p w:rsidR="003F5AD4" w:rsidRDefault="00F27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9653F"/>
    <w:multiLevelType w:val="multilevel"/>
    <w:tmpl w:val="F0DA6774"/>
    <w:styleLink w:val="WWNum2"/>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
    <w:nsid w:val="360E77A3"/>
    <w:multiLevelType w:val="multilevel"/>
    <w:tmpl w:val="F132CA10"/>
    <w:styleLink w:val="WWNum3"/>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
    <w:nsid w:val="3720049A"/>
    <w:multiLevelType w:val="multilevel"/>
    <w:tmpl w:val="68C0F07A"/>
    <w:styleLink w:val="WWNum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docVars>
    <w:docVar w:name="LW_DocType" w:val="NORMAL"/>
  </w:docVars>
  <w:rsids>
    <w:rsidRoot w:val="005B1C4C"/>
    <w:rsid w:val="00076F12"/>
    <w:rsid w:val="001A32A7"/>
    <w:rsid w:val="002B3A94"/>
    <w:rsid w:val="002D4049"/>
    <w:rsid w:val="002F4BB6"/>
    <w:rsid w:val="003136F7"/>
    <w:rsid w:val="0036224B"/>
    <w:rsid w:val="00384A47"/>
    <w:rsid w:val="003C1BAB"/>
    <w:rsid w:val="003F494C"/>
    <w:rsid w:val="003F5AD4"/>
    <w:rsid w:val="004D1CE3"/>
    <w:rsid w:val="005041E9"/>
    <w:rsid w:val="005530E0"/>
    <w:rsid w:val="005B1C4C"/>
    <w:rsid w:val="005E44F9"/>
    <w:rsid w:val="006731FB"/>
    <w:rsid w:val="00712D0C"/>
    <w:rsid w:val="007440BD"/>
    <w:rsid w:val="0087533C"/>
    <w:rsid w:val="008B5EAA"/>
    <w:rsid w:val="008F4612"/>
    <w:rsid w:val="00911FCB"/>
    <w:rsid w:val="0092399B"/>
    <w:rsid w:val="0095557B"/>
    <w:rsid w:val="00981521"/>
    <w:rsid w:val="009B1C79"/>
    <w:rsid w:val="00A45731"/>
    <w:rsid w:val="00A6107A"/>
    <w:rsid w:val="00AC199D"/>
    <w:rsid w:val="00AC48BC"/>
    <w:rsid w:val="00AD31A0"/>
    <w:rsid w:val="00C84B3F"/>
    <w:rsid w:val="00CA1AFB"/>
    <w:rsid w:val="00CB3BE5"/>
    <w:rsid w:val="00CD39A4"/>
    <w:rsid w:val="00CD7F17"/>
    <w:rsid w:val="00CF4F96"/>
    <w:rsid w:val="00D82E97"/>
    <w:rsid w:val="00DC4FDD"/>
    <w:rsid w:val="00DD39C8"/>
    <w:rsid w:val="00F27B5A"/>
    <w:rsid w:val="00F75094"/>
    <w:rsid w:val="00F802AC"/>
    <w:rsid w:val="00F97594"/>
    <w:rsid w:val="00FD1022"/>
    <w:rsid w:val="00FE4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kern w:val="3"/>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lang w:val="da-DK"/>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Header">
    <w:name w:val="header"/>
    <w:basedOn w:val="Standard"/>
    <w:pPr>
      <w:suppressLineNumbers/>
      <w:tabs>
        <w:tab w:val="center" w:pos="4819"/>
        <w:tab w:val="right" w:pos="9638"/>
      </w:tabs>
      <w:spacing w:after="0" w:line="240" w:lineRule="auto"/>
    </w:pPr>
  </w:style>
  <w:style w:type="paragraph" w:styleId="Footer">
    <w:name w:val="footer"/>
    <w:basedOn w:val="Standard"/>
    <w:pPr>
      <w:suppressLineNumbers/>
      <w:tabs>
        <w:tab w:val="center" w:pos="4819"/>
        <w:tab w:val="right" w:pos="9638"/>
      </w:tabs>
      <w:spacing w:after="0" w:line="240" w:lineRule="auto"/>
    </w:pPr>
  </w:style>
  <w:style w:type="paragraph" w:customStyle="1" w:styleId="RKnormal">
    <w:name w:val="RKnormal"/>
    <w:basedOn w:val="Standard"/>
    <w:pPr>
      <w:tabs>
        <w:tab w:val="left" w:pos="2835"/>
      </w:tabs>
      <w:spacing w:after="0" w:line="240" w:lineRule="atLeast"/>
    </w:pPr>
    <w:rPr>
      <w:sz w:val="24"/>
      <w:szCs w:val="20"/>
      <w:lang w:val="sv-SE"/>
    </w:rPr>
  </w:style>
  <w:style w:type="paragraph" w:styleId="DocumentMap">
    <w:name w:val="Document Map"/>
    <w:basedOn w:val="Standard"/>
    <w:pPr>
      <w:shd w:val="clear" w:color="auto" w:fill="000080"/>
    </w:pPr>
    <w:rPr>
      <w:rFonts w:ascii="Tahoma" w:hAnsi="Tahoma" w:cs="Tahoma"/>
      <w:sz w:val="20"/>
      <w:szCs w:val="20"/>
    </w:rPr>
  </w:style>
  <w:style w:type="paragraph" w:styleId="FootnoteText">
    <w:name w:val="footnote text"/>
    <w:basedOn w:val="Standard"/>
    <w:pPr>
      <w:spacing w:after="0" w:line="240" w:lineRule="auto"/>
    </w:pPr>
    <w:rPr>
      <w:rFonts w:ascii="Times New Roman" w:hAnsi="Times New Roman"/>
      <w:sz w:val="20"/>
      <w:szCs w:val="20"/>
      <w:lang w:val="en-GB" w:eastAsia="en-GB"/>
    </w:rPr>
  </w:style>
  <w:style w:type="paragraph" w:styleId="NormalWeb">
    <w:name w:val="Normal (Web)"/>
    <w:basedOn w:val="Standard"/>
    <w:pPr>
      <w:spacing w:before="100" w:after="100" w:line="240" w:lineRule="auto"/>
    </w:pPr>
    <w:rPr>
      <w:rFonts w:ascii="Times New Roman" w:hAnsi="Times New Roman"/>
      <w:sz w:val="24"/>
      <w:szCs w:val="24"/>
      <w:lang w:val="en-GB" w:eastAsia="en-GB"/>
    </w:rPr>
  </w:style>
  <w:style w:type="paragraph" w:customStyle="1" w:styleId="5Normal">
    <w:name w:val="5 Normal"/>
    <w:basedOn w:val="Standard"/>
    <w:pPr>
      <w:spacing w:after="120" w:line="240" w:lineRule="auto"/>
      <w:ind w:right="57"/>
      <w:jc w:val="both"/>
    </w:pPr>
    <w:rPr>
      <w:rFonts w:ascii="Verdana" w:hAnsi="Verdana"/>
      <w:sz w:val="20"/>
      <w:szCs w:val="20"/>
      <w:lang w:val="en-GB" w:eastAsia="en-GB"/>
    </w:rPr>
  </w:style>
  <w:style w:type="paragraph" w:styleId="ListParagraph">
    <w:name w:val="List Paragraph"/>
    <w:basedOn w:val="Standard"/>
    <w:pPr>
      <w:ind w:left="720"/>
    </w:pPr>
    <w:rPr>
      <w:rFonts w:cs="F"/>
      <w:lang w:val="en-GB"/>
    </w:rPr>
  </w:style>
  <w:style w:type="character" w:customStyle="1" w:styleId="HeaderChar">
    <w:name w:val="Header Char"/>
    <w:basedOn w:val="DefaultParagraphFont"/>
    <w:rPr>
      <w:rFonts w:cs="Times New Roman"/>
    </w:rPr>
  </w:style>
  <w:style w:type="character" w:customStyle="1" w:styleId="FooterChar">
    <w:name w:val="Footer Char"/>
    <w:basedOn w:val="DefaultParagraphFont"/>
    <w:rPr>
      <w:rFonts w:cs="Times New Roman"/>
    </w:rPr>
  </w:style>
  <w:style w:type="character" w:styleId="PageNumber">
    <w:name w:val="page number"/>
    <w:basedOn w:val="DefaultParagraphFont"/>
    <w:rPr>
      <w:rFonts w:ascii="Times New Roman" w:hAnsi="Times New Roman" w:cs="Times New Roman"/>
      <w:sz w:val="22"/>
    </w:rPr>
  </w:style>
  <w:style w:type="character" w:customStyle="1" w:styleId="RKnormalChar">
    <w:name w:val="RKnormal Char"/>
    <w:rPr>
      <w:sz w:val="24"/>
      <w:lang w:val="sv-SE" w:eastAsia="en-US"/>
    </w:rPr>
  </w:style>
  <w:style w:type="character" w:customStyle="1" w:styleId="DocumentMapChar">
    <w:name w:val="Document Map Char"/>
    <w:basedOn w:val="DefaultParagraphFont"/>
    <w:rPr>
      <w:rFonts w:ascii="Times New Roman" w:hAnsi="Times New Roman" w:cs="Times New Roman"/>
      <w:sz w:val="2"/>
      <w:lang w:val="da-DK"/>
    </w:rPr>
  </w:style>
  <w:style w:type="character" w:customStyle="1" w:styleId="FootnoteTextChar">
    <w:name w:val="Footnote Text Char"/>
    <w:basedOn w:val="DefaultParagraphFont"/>
    <w:rPr>
      <w:rFonts w:cs="Times New Roman"/>
      <w:sz w:val="20"/>
      <w:szCs w:val="20"/>
      <w:lang w:val="da-DK"/>
    </w:rPr>
  </w:style>
  <w:style w:type="character" w:styleId="FootnoteReference">
    <w:name w:val="footnote reference"/>
    <w:basedOn w:val="DefaultParagraphFont"/>
    <w:rPr>
      <w:rFonts w:cs="Times New Roman"/>
      <w:position w:val="0"/>
      <w:vertAlign w:val="superscript"/>
    </w:rPr>
  </w:style>
  <w:style w:type="character" w:customStyle="1" w:styleId="5NormalChar">
    <w:name w:val="5 Normal Char"/>
    <w:basedOn w:val="DefaultParagraphFont"/>
    <w:rPr>
      <w:rFonts w:ascii="Verdana" w:hAnsi="Verdana" w:cs="Times New Roman"/>
      <w:lang w:eastAsia="en-GB" w:bidi="ar-SA"/>
    </w:rPr>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3"/>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lang w:val="da-DK"/>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Header">
    <w:name w:val="header"/>
    <w:basedOn w:val="Standard"/>
    <w:pPr>
      <w:suppressLineNumbers/>
      <w:tabs>
        <w:tab w:val="center" w:pos="4819"/>
        <w:tab w:val="right" w:pos="9638"/>
      </w:tabs>
      <w:spacing w:after="0" w:line="240" w:lineRule="auto"/>
    </w:pPr>
  </w:style>
  <w:style w:type="paragraph" w:styleId="Footer">
    <w:name w:val="footer"/>
    <w:basedOn w:val="Standard"/>
    <w:pPr>
      <w:suppressLineNumbers/>
      <w:tabs>
        <w:tab w:val="center" w:pos="4819"/>
        <w:tab w:val="right" w:pos="9638"/>
      </w:tabs>
      <w:spacing w:after="0" w:line="240" w:lineRule="auto"/>
    </w:pPr>
  </w:style>
  <w:style w:type="paragraph" w:customStyle="1" w:styleId="RKnormal">
    <w:name w:val="RKnormal"/>
    <w:basedOn w:val="Standard"/>
    <w:pPr>
      <w:tabs>
        <w:tab w:val="left" w:pos="2835"/>
      </w:tabs>
      <w:spacing w:after="0" w:line="240" w:lineRule="atLeast"/>
    </w:pPr>
    <w:rPr>
      <w:sz w:val="24"/>
      <w:szCs w:val="20"/>
      <w:lang w:val="sv-SE"/>
    </w:rPr>
  </w:style>
  <w:style w:type="paragraph" w:styleId="DocumentMap">
    <w:name w:val="Document Map"/>
    <w:basedOn w:val="Standard"/>
    <w:pPr>
      <w:shd w:val="clear" w:color="auto" w:fill="000080"/>
    </w:pPr>
    <w:rPr>
      <w:rFonts w:ascii="Tahoma" w:hAnsi="Tahoma" w:cs="Tahoma"/>
      <w:sz w:val="20"/>
      <w:szCs w:val="20"/>
    </w:rPr>
  </w:style>
  <w:style w:type="paragraph" w:styleId="FootnoteText">
    <w:name w:val="footnote text"/>
    <w:basedOn w:val="Standard"/>
    <w:pPr>
      <w:spacing w:after="0" w:line="240" w:lineRule="auto"/>
    </w:pPr>
    <w:rPr>
      <w:rFonts w:ascii="Times New Roman" w:hAnsi="Times New Roman"/>
      <w:sz w:val="20"/>
      <w:szCs w:val="20"/>
      <w:lang w:val="en-GB" w:eastAsia="en-GB"/>
    </w:rPr>
  </w:style>
  <w:style w:type="paragraph" w:styleId="NormalWeb">
    <w:name w:val="Normal (Web)"/>
    <w:basedOn w:val="Standard"/>
    <w:pPr>
      <w:spacing w:before="100" w:after="100" w:line="240" w:lineRule="auto"/>
    </w:pPr>
    <w:rPr>
      <w:rFonts w:ascii="Times New Roman" w:hAnsi="Times New Roman"/>
      <w:sz w:val="24"/>
      <w:szCs w:val="24"/>
      <w:lang w:val="en-GB" w:eastAsia="en-GB"/>
    </w:rPr>
  </w:style>
  <w:style w:type="paragraph" w:customStyle="1" w:styleId="5Normal">
    <w:name w:val="5 Normal"/>
    <w:basedOn w:val="Standard"/>
    <w:pPr>
      <w:spacing w:after="120" w:line="240" w:lineRule="auto"/>
      <w:ind w:right="57"/>
      <w:jc w:val="both"/>
    </w:pPr>
    <w:rPr>
      <w:rFonts w:ascii="Verdana" w:hAnsi="Verdana"/>
      <w:sz w:val="20"/>
      <w:szCs w:val="20"/>
      <w:lang w:val="en-GB" w:eastAsia="en-GB"/>
    </w:rPr>
  </w:style>
  <w:style w:type="paragraph" w:styleId="ListParagraph">
    <w:name w:val="List Paragraph"/>
    <w:basedOn w:val="Standard"/>
    <w:pPr>
      <w:ind w:left="720"/>
    </w:pPr>
    <w:rPr>
      <w:rFonts w:cs="F"/>
      <w:lang w:val="en-GB"/>
    </w:rPr>
  </w:style>
  <w:style w:type="character" w:customStyle="1" w:styleId="HeaderChar">
    <w:name w:val="Header Char"/>
    <w:basedOn w:val="DefaultParagraphFont"/>
    <w:rPr>
      <w:rFonts w:cs="Times New Roman"/>
    </w:rPr>
  </w:style>
  <w:style w:type="character" w:customStyle="1" w:styleId="FooterChar">
    <w:name w:val="Footer Char"/>
    <w:basedOn w:val="DefaultParagraphFont"/>
    <w:rPr>
      <w:rFonts w:cs="Times New Roman"/>
    </w:rPr>
  </w:style>
  <w:style w:type="character" w:styleId="PageNumber">
    <w:name w:val="page number"/>
    <w:basedOn w:val="DefaultParagraphFont"/>
    <w:rPr>
      <w:rFonts w:ascii="Times New Roman" w:hAnsi="Times New Roman" w:cs="Times New Roman"/>
      <w:sz w:val="22"/>
    </w:rPr>
  </w:style>
  <w:style w:type="character" w:customStyle="1" w:styleId="RKnormalChar">
    <w:name w:val="RKnormal Char"/>
    <w:rPr>
      <w:sz w:val="24"/>
      <w:lang w:val="sv-SE" w:eastAsia="en-US"/>
    </w:rPr>
  </w:style>
  <w:style w:type="character" w:customStyle="1" w:styleId="DocumentMapChar">
    <w:name w:val="Document Map Char"/>
    <w:basedOn w:val="DefaultParagraphFont"/>
    <w:rPr>
      <w:rFonts w:ascii="Times New Roman" w:hAnsi="Times New Roman" w:cs="Times New Roman"/>
      <w:sz w:val="2"/>
      <w:lang w:val="da-DK"/>
    </w:rPr>
  </w:style>
  <w:style w:type="character" w:customStyle="1" w:styleId="FootnoteTextChar">
    <w:name w:val="Footnote Text Char"/>
    <w:basedOn w:val="DefaultParagraphFont"/>
    <w:rPr>
      <w:rFonts w:cs="Times New Roman"/>
      <w:sz w:val="20"/>
      <w:szCs w:val="20"/>
      <w:lang w:val="da-DK"/>
    </w:rPr>
  </w:style>
  <w:style w:type="character" w:styleId="FootnoteReference">
    <w:name w:val="footnote reference"/>
    <w:basedOn w:val="DefaultParagraphFont"/>
    <w:rPr>
      <w:rFonts w:cs="Times New Roman"/>
      <w:position w:val="0"/>
      <w:vertAlign w:val="superscript"/>
    </w:rPr>
  </w:style>
  <w:style w:type="character" w:customStyle="1" w:styleId="5NormalChar">
    <w:name w:val="5 Normal Char"/>
    <w:basedOn w:val="DefaultParagraphFont"/>
    <w:rPr>
      <w:rFonts w:ascii="Verdana" w:hAnsi="Verdana" w:cs="Times New Roman"/>
      <w:lang w:eastAsia="en-GB" w:bidi="ar-SA"/>
    </w:rPr>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0C5537-658A-44D4-8C8C-1074EE5EA704}"/>
</file>

<file path=customXml/itemProps2.xml><?xml version="1.0" encoding="utf-8"?>
<ds:datastoreItem xmlns:ds="http://schemas.openxmlformats.org/officeDocument/2006/customXml" ds:itemID="{272BBAAE-58D9-4DE5-B40E-857CD669FEB3}"/>
</file>

<file path=customXml/itemProps3.xml><?xml version="1.0" encoding="utf-8"?>
<ds:datastoreItem xmlns:ds="http://schemas.openxmlformats.org/officeDocument/2006/customXml" ds:itemID="{D0CA7A40-320E-4247-8A6C-279420BDBA2F}"/>
</file>

<file path=docProps/app.xml><?xml version="1.0" encoding="utf-8"?>
<Properties xmlns="http://schemas.openxmlformats.org/officeDocument/2006/extended-properties" xmlns:vt="http://schemas.openxmlformats.org/officeDocument/2006/docPropsVTypes">
  <Template>Normal.dotm</Template>
  <TotalTime>49</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European Union</vt:lpstr>
    </vt:vector>
  </TitlesOfParts>
  <Company>EEAS</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Union</dc:title>
  <dc:creator>im-hjem</dc:creator>
  <cp:lastModifiedBy>PANTALEO Salvatore (EEAS-GENEVA)</cp:lastModifiedBy>
  <cp:revision>30</cp:revision>
  <cp:lastPrinted>2019-05-16T07:34:00Z</cp:lastPrinted>
  <dcterms:created xsi:type="dcterms:W3CDTF">2019-05-15T15:23:00Z</dcterms:created>
  <dcterms:modified xsi:type="dcterms:W3CDTF">2019-05-16T08:08:00Z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0x0101008822B9E06671B54FA89F14538B9B0FEA</vt:lpwstr>
  </property>
</Properties>
</file>