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160" w:line="360" w:lineRule="auto"/>
        <w:jc w:val="center"/>
        <w:rPr>
          <w:rFonts w:ascii="Georgia" w:cs="Calibri" w:hAnsi="Georgia" w:eastAsia="Calibri"/>
          <w:b w:val="1"/>
          <w:bCs w:val="1"/>
          <w:sz w:val="24"/>
          <w:szCs w:val="24"/>
        </w:rPr>
      </w:pPr>
      <w:r>
        <w:rPr>
          <w:rFonts w:ascii="Goudy Old Style" w:cs="Goudy Old Style" w:hAnsi="Goudy Old Style" w:eastAsia="Goudy Old Style"/>
          <w:sz w:val="22"/>
          <w:szCs w:val="22"/>
        </w:rPr>
        <w:drawing>
          <wp:inline distT="0" distB="0" distL="0" distR="0">
            <wp:extent cx="982198" cy="1066800"/>
            <wp:effectExtent l="0" t="0" r="0" b="0"/>
            <wp:docPr id="1073741825" name="officeArt object" descr="C:\Users\SheldonH\Pictures\SKN-Coat-of-Arms-Original.jpg"/>
            <wp:cNvGraphicFramePr/>
            <a:graphic xmlns:a="http://schemas.openxmlformats.org/drawingml/2006/main">
              <a:graphicData uri="http://schemas.openxmlformats.org/drawingml/2006/picture">
                <pic:pic xmlns:pic="http://schemas.openxmlformats.org/drawingml/2006/picture">
                  <pic:nvPicPr>
                    <pic:cNvPr id="1073741825" name="C:\Users\SheldonH\Pictures\SKN-Coat-of-Arms-Original.jpg" descr="C:\Users\SheldonH\Pictures\SKN-Coat-of-Arms-Original.jpg"/>
                    <pic:cNvPicPr>
                      <a:picLocks noChangeAspect="1"/>
                    </pic:cNvPicPr>
                  </pic:nvPicPr>
                  <pic:blipFill>
                    <a:blip r:embed="rId4">
                      <a:extLst/>
                    </a:blip>
                    <a:stretch>
                      <a:fillRect/>
                    </a:stretch>
                  </pic:blipFill>
                  <pic:spPr>
                    <a:xfrm>
                      <a:off x="0" y="0"/>
                      <a:ext cx="982198" cy="1066800"/>
                    </a:xfrm>
                    <a:prstGeom prst="rect">
                      <a:avLst/>
                    </a:prstGeom>
                    <a:ln w="12700" cap="flat">
                      <a:noFill/>
                      <a:miter lim="400000"/>
                    </a:ln>
                    <a:effectLst/>
                  </pic:spPr>
                </pic:pic>
              </a:graphicData>
            </a:graphic>
          </wp:inline>
        </w:drawing>
      </w:r>
    </w:p>
    <w:p>
      <w:pPr>
        <w:pStyle w:val="Body"/>
        <w:spacing w:after="160" w:line="259" w:lineRule="auto"/>
        <w:jc w:val="center"/>
        <w:rPr>
          <w:rFonts w:ascii="Georgia" w:cs="Georgia" w:hAnsi="Georgia" w:eastAsia="Georgia"/>
          <w:b w:val="1"/>
          <w:bCs w:val="1"/>
          <w:sz w:val="28"/>
          <w:szCs w:val="28"/>
        </w:rPr>
      </w:pPr>
      <w:r>
        <w:rPr>
          <w:rFonts w:ascii="Georgia" w:cs="Calibri" w:hAnsi="Georgia" w:eastAsia="Calibri"/>
          <w:b w:val="1"/>
          <w:bCs w:val="1"/>
          <w:sz w:val="28"/>
          <w:szCs w:val="28"/>
          <w:rtl w:val="0"/>
          <w:lang w:val="en-US"/>
        </w:rPr>
        <w:t>THE FEDERATION OF SAINT KITTS AND NEVIS</w:t>
      </w:r>
    </w:p>
    <w:p>
      <w:pPr>
        <w:pStyle w:val="Body"/>
        <w:spacing w:after="160" w:line="360" w:lineRule="auto"/>
        <w:jc w:val="center"/>
        <w:rPr>
          <w:rFonts w:ascii="Georgia" w:cs="Georgia" w:hAnsi="Georgia" w:eastAsia="Georgia"/>
          <w:b w:val="1"/>
          <w:bCs w:val="1"/>
        </w:rPr>
      </w:pPr>
    </w:p>
    <w:p>
      <w:pPr>
        <w:pStyle w:val="Body"/>
        <w:spacing w:after="160" w:line="360" w:lineRule="auto"/>
        <w:jc w:val="center"/>
        <w:rPr>
          <w:rFonts w:ascii="Georgia" w:cs="Georgia" w:hAnsi="Georgia" w:eastAsia="Georgia"/>
          <w:b w:val="1"/>
          <w:bCs w:val="1"/>
        </w:rPr>
      </w:pP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rPr>
        <w:t>42</w:t>
      </w:r>
      <w:r>
        <w:rPr>
          <w:rFonts w:ascii="Georgia" w:cs="Calibri" w:hAnsi="Georgia" w:eastAsia="Calibri"/>
          <w:b w:val="1"/>
          <w:bCs w:val="1"/>
          <w:sz w:val="24"/>
          <w:szCs w:val="24"/>
          <w:vertAlign w:val="superscript"/>
          <w:rtl w:val="0"/>
        </w:rPr>
        <w:t>nd</w:t>
      </w:r>
      <w:r>
        <w:rPr>
          <w:rFonts w:ascii="Georgia" w:cs="Calibri" w:hAnsi="Georgia" w:eastAsia="Calibri"/>
          <w:b w:val="1"/>
          <w:bCs w:val="1"/>
          <w:sz w:val="24"/>
          <w:szCs w:val="24"/>
          <w:rtl w:val="0"/>
          <w:lang w:val="en-US"/>
        </w:rPr>
        <w:t xml:space="preserve"> Session of the Human Rights Council</w:t>
      </w: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lang w:val="en-US"/>
        </w:rPr>
        <w:t xml:space="preserve">Statement by Sheldon Henry </w:t>
      </w: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lang w:val="en-US"/>
        </w:rPr>
        <w:t>Representative of St. Kitts and Nevis</w:t>
      </w:r>
      <w:r>
        <w:rPr>
          <w:rFonts w:ascii="Georgia" w:cs="Calibri" w:hAnsi="Georgia" w:eastAsia="Calibri"/>
          <w:b w:val="1"/>
          <w:bCs w:val="1"/>
          <w:sz w:val="24"/>
          <w:szCs w:val="24"/>
          <w:rtl w:val="0"/>
          <w:lang w:val="en-US"/>
        </w:rPr>
        <w:t xml:space="preserve"> </w:t>
      </w: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lang w:val="en-US"/>
        </w:rPr>
        <w:t xml:space="preserve">on behalf of </w:t>
      </w:r>
    </w:p>
    <w:p>
      <w:pPr>
        <w:pStyle w:val="Body"/>
        <w:jc w:val="center"/>
        <w:rPr>
          <w:rFonts w:ascii="Calibri" w:cs="Calibri" w:hAnsi="Calibri" w:eastAsia="Calibri"/>
          <w:b w:val="1"/>
          <w:bCs w:val="1"/>
          <w:i w:val="1"/>
          <w:iCs w:val="1"/>
          <w:sz w:val="24"/>
          <w:szCs w:val="24"/>
        </w:rPr>
      </w:pPr>
      <w:r>
        <w:rPr>
          <w:rFonts w:ascii="Calibri" w:cs="Calibri" w:hAnsi="Calibri" w:eastAsia="Calibri"/>
          <w:b w:val="1"/>
          <w:bCs w:val="1"/>
          <w:i w:val="1"/>
          <w:iCs w:val="1"/>
          <w:sz w:val="24"/>
          <w:szCs w:val="24"/>
          <w:rtl w:val="0"/>
          <w:lang w:val="en-US"/>
        </w:rPr>
        <w:t>St. Kitts and Nevis, St. Lucia and Grenada</w:t>
      </w:r>
    </w:p>
    <w:p>
      <w:pPr>
        <w:pStyle w:val="Body"/>
        <w:jc w:val="center"/>
        <w:rPr>
          <w:rFonts w:ascii="Georgia" w:cs="Georgia" w:hAnsi="Georgia" w:eastAsia="Georgia"/>
          <w:b w:val="1"/>
          <w:bCs w:val="1"/>
        </w:rPr>
      </w:pPr>
    </w:p>
    <w:p>
      <w:pPr>
        <w:pStyle w:val="Body"/>
        <w:jc w:val="center"/>
        <w:rPr>
          <w:rFonts w:ascii="Georgia" w:cs="Georgia" w:hAnsi="Georgia" w:eastAsia="Georgia"/>
          <w:b w:val="1"/>
          <w:bCs w:val="1"/>
        </w:rPr>
      </w:pPr>
    </w:p>
    <w:p>
      <w:pPr>
        <w:pStyle w:val="Body"/>
        <w:jc w:val="center"/>
        <w:rPr>
          <w:rFonts w:ascii="Georgia" w:cs="Georgia" w:hAnsi="Georgia" w:eastAsia="Georgia"/>
          <w:b w:val="1"/>
          <w:bCs w:val="1"/>
        </w:rPr>
      </w:pP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lang w:val="en-US"/>
        </w:rPr>
        <w:t>Annual Panel Discussion</w:t>
      </w:r>
    </w:p>
    <w:p>
      <w:pPr>
        <w:pStyle w:val="Body"/>
        <w:jc w:val="center"/>
        <w:rPr>
          <w:rFonts w:ascii="Georgia" w:cs="Georgia" w:hAnsi="Georgia" w:eastAsia="Georgia"/>
          <w:b w:val="1"/>
          <w:bCs w:val="1"/>
          <w:sz w:val="24"/>
          <w:szCs w:val="24"/>
        </w:rPr>
      </w:pPr>
      <w:r>
        <w:rPr>
          <w:rFonts w:ascii="Georgia" w:cs="Calibri" w:hAnsi="Georgia" w:eastAsia="Calibri"/>
          <w:b w:val="1"/>
          <w:bCs w:val="1"/>
          <w:sz w:val="24"/>
          <w:szCs w:val="24"/>
          <w:rtl w:val="0"/>
          <w:lang w:val="en-US"/>
        </w:rPr>
        <w:t>Integration of a Gender Perspective (HRC res. 6/30)</w:t>
      </w:r>
    </w:p>
    <w:p>
      <w:pPr>
        <w:pStyle w:val="Body"/>
        <w:jc w:val="center"/>
        <w:rPr>
          <w:rFonts w:ascii="Georgia" w:cs="Georgia" w:hAnsi="Georgia" w:eastAsia="Georgia"/>
          <w:b w:val="1"/>
          <w:bCs w:val="1"/>
        </w:rPr>
      </w:pPr>
    </w:p>
    <w:p>
      <w:pPr>
        <w:pStyle w:val="Body"/>
        <w:jc w:val="center"/>
        <w:rPr>
          <w:rFonts w:ascii="Georgia" w:cs="Georgia" w:hAnsi="Georgia" w:eastAsia="Georgia"/>
          <w:b w:val="1"/>
          <w:bCs w:val="1"/>
          <w:sz w:val="24"/>
          <w:szCs w:val="24"/>
        </w:rPr>
      </w:pPr>
      <w:r>
        <w:rPr>
          <w:rFonts w:ascii="Georgia" w:cs="Calibri" w:hAnsi="Georgia" w:eastAsia="Calibri"/>
          <w:sz w:val="22"/>
          <w:szCs w:val="22"/>
          <w:rtl w:val="0"/>
          <w:lang w:val="en-US"/>
        </w:rPr>
        <w:t xml:space="preserve">23 </w:t>
      </w:r>
      <w:r>
        <w:rPr>
          <w:rFonts w:ascii="Georgia" w:cs="Calibri" w:hAnsi="Georgia" w:eastAsia="Calibri"/>
          <w:b w:val="1"/>
          <w:bCs w:val="1"/>
          <w:sz w:val="24"/>
          <w:szCs w:val="24"/>
          <w:rtl w:val="0"/>
        </w:rPr>
        <w:t>September, 2019</w:t>
      </w:r>
    </w:p>
    <w:p>
      <w:pPr>
        <w:pStyle w:val="Body"/>
        <w:spacing w:after="160" w:line="259" w:lineRule="auto"/>
      </w:pPr>
      <w:r>
        <w:rPr>
          <w:rFonts w:ascii="Calibri" w:cs="Calibri" w:hAnsi="Calibri" w:eastAsia="Calibri"/>
          <w:sz w:val="22"/>
          <w:szCs w:val="22"/>
        </w:rPr>
        <w:br w:type="page"/>
      </w:r>
    </w:p>
    <w:p>
      <w:pPr>
        <w:pStyle w:val="Body A"/>
        <w:rPr>
          <w:rFonts w:ascii="Georgia" w:cs="Georgia" w:hAnsi="Georgia" w:eastAsia="Georgia"/>
          <w:sz w:val="24"/>
          <w:szCs w:val="24"/>
        </w:rPr>
      </w:pPr>
      <w:r>
        <w:rPr>
          <w:rFonts w:ascii="Georgia" w:hAnsi="Georgia"/>
          <w:sz w:val="24"/>
          <w:szCs w:val="24"/>
          <w:rtl w:val="0"/>
          <w:lang w:val="en-US"/>
        </w:rPr>
        <w:t>Mr. President,</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I am pleased to speak on behalf of St. Kitts and Nevis, Grenada and St. Lucia. </w:t>
      </w:r>
    </w:p>
    <w:p>
      <w:pPr>
        <w:pStyle w:val="Body A"/>
        <w:rPr>
          <w:rFonts w:ascii="Georgia" w:cs="Georgia" w:hAnsi="Georgia" w:eastAsia="Georgia"/>
        </w:rPr>
      </w:pPr>
    </w:p>
    <w:p>
      <w:pPr>
        <w:pStyle w:val="Default"/>
        <w:rPr>
          <w:rFonts w:ascii="Georgia" w:cs="Georgia" w:hAnsi="Georgia" w:eastAsia="Georgia"/>
          <w:sz w:val="24"/>
          <w:szCs w:val="24"/>
        </w:rPr>
      </w:pPr>
      <w:r>
        <w:rPr>
          <w:rFonts w:ascii="Georgia" w:hAnsi="Georgia"/>
          <w:sz w:val="24"/>
          <w:szCs w:val="24"/>
          <w:rtl w:val="0"/>
          <w:lang w:val="en-US"/>
        </w:rPr>
        <w:t xml:space="preserve">We are pleased that the Council agreed back in 2007 to integrate an annual discussion </w:t>
      </w:r>
    </w:p>
    <w:p>
      <w:pPr>
        <w:pStyle w:val="Default"/>
        <w:rPr>
          <w:rFonts w:ascii="Georgia" w:cs="Georgia" w:hAnsi="Georgia" w:eastAsia="Georgia"/>
          <w:sz w:val="24"/>
          <w:szCs w:val="24"/>
        </w:rPr>
      </w:pPr>
      <w:r>
        <w:rPr>
          <w:rFonts w:ascii="Georgia" w:hAnsi="Georgia"/>
          <w:sz w:val="24"/>
          <w:szCs w:val="24"/>
          <w:rtl w:val="0"/>
          <w:lang w:val="en-US"/>
        </w:rPr>
        <w:t xml:space="preserve">following its adoption of Resolution 6/30 entitled </w:t>
      </w:r>
      <w:r>
        <w:rPr>
          <w:rFonts w:ascii="Georgia" w:hAnsi="Georgia" w:hint="default"/>
          <w:sz w:val="24"/>
          <w:szCs w:val="24"/>
          <w:rtl w:val="0"/>
          <w:lang w:val="en-US"/>
        </w:rPr>
        <w:t>“</w:t>
      </w:r>
      <w:r>
        <w:rPr>
          <w:rFonts w:ascii="Georgia" w:hAnsi="Georgia"/>
          <w:sz w:val="24"/>
          <w:szCs w:val="24"/>
          <w:rtl w:val="0"/>
          <w:lang w:val="en-US"/>
        </w:rPr>
        <w:t>Integrating the human rights of women throughout the United Nations system.</w:t>
      </w:r>
      <w:r>
        <w:rPr>
          <w:rFonts w:ascii="Georgia" w:hAnsi="Georgia" w:hint="default"/>
          <w:sz w:val="24"/>
          <w:szCs w:val="24"/>
          <w:rtl w:val="0"/>
          <w:lang w:val="en-US"/>
        </w:rPr>
        <w:t xml:space="preserve">” </w:t>
      </w:r>
      <w:r>
        <w:rPr>
          <w:rFonts w:ascii="Georgia" w:hAnsi="Georgia"/>
          <w:sz w:val="24"/>
          <w:szCs w:val="24"/>
          <w:rtl w:val="0"/>
          <w:lang w:val="en-US"/>
        </w:rPr>
        <w:t>Complimentary, the 2030 Agenda for Sustainable Development advocates for an inclusive process and equal participation of all.</w:t>
      </w:r>
    </w:p>
    <w:p>
      <w:pPr>
        <w:pStyle w:val="Default"/>
        <w:rPr>
          <w:rFonts w:ascii="Georgia" w:cs="Georgia" w:hAnsi="Georgia" w:eastAsia="Georgia"/>
          <w:sz w:val="24"/>
          <w:szCs w:val="24"/>
        </w:rPr>
      </w:pPr>
    </w:p>
    <w:p>
      <w:pPr>
        <w:pStyle w:val="Default"/>
        <w:rPr>
          <w:rFonts w:ascii="Georgia" w:cs="Georgia" w:hAnsi="Georgia" w:eastAsia="Georgia"/>
          <w:sz w:val="24"/>
          <w:szCs w:val="24"/>
        </w:rPr>
      </w:pPr>
      <w:r>
        <w:rPr>
          <w:rFonts w:ascii="Georgia" w:hAnsi="Georgia"/>
          <w:sz w:val="24"/>
          <w:szCs w:val="24"/>
          <w:rtl w:val="0"/>
          <w:lang w:val="de-DE"/>
        </w:rPr>
        <w:t xml:space="preserve">Gender integration </w:t>
      </w:r>
      <w:r>
        <w:rPr>
          <w:rFonts w:ascii="Georgia" w:hAnsi="Georgia"/>
          <w:sz w:val="24"/>
          <w:szCs w:val="24"/>
          <w:rtl w:val="0"/>
          <w:lang w:val="en-US"/>
        </w:rPr>
        <w:t xml:space="preserve">has been established as the process of assessing the implications for women and men of any planned action, including legislation, policies or programmes, in all areas and at all levels. </w:t>
      </w:r>
    </w:p>
    <w:p>
      <w:pPr>
        <w:pStyle w:val="Default"/>
        <w:rPr>
          <w:rFonts w:ascii="Georgia" w:cs="Georgia" w:hAnsi="Georgia" w:eastAsia="Georgia"/>
          <w:sz w:val="24"/>
          <w:szCs w:val="24"/>
        </w:rPr>
      </w:pPr>
    </w:p>
    <w:p>
      <w:pPr>
        <w:pStyle w:val="Default"/>
        <w:rPr>
          <w:rFonts w:ascii="Georgia" w:cs="Georgia" w:hAnsi="Georgia" w:eastAsia="Georgia"/>
          <w:sz w:val="24"/>
          <w:szCs w:val="24"/>
        </w:rPr>
      </w:pPr>
      <w:r>
        <w:rPr>
          <w:rFonts w:ascii="Georgia" w:hAnsi="Georgia"/>
          <w:sz w:val="24"/>
          <w:szCs w:val="24"/>
          <w:rtl w:val="0"/>
          <w:lang w:val="en-US"/>
        </w:rPr>
        <w:t xml:space="preserve">Our respective countries have all made significant strides in mainstreaming a gender </w:t>
      </w:r>
    </w:p>
    <w:p>
      <w:pPr>
        <w:pStyle w:val="Default"/>
        <w:rPr>
          <w:rFonts w:ascii="Georgia" w:cs="Georgia" w:hAnsi="Georgia" w:eastAsia="Georgia"/>
          <w:sz w:val="24"/>
          <w:szCs w:val="24"/>
        </w:rPr>
      </w:pPr>
      <w:r>
        <w:rPr>
          <w:rFonts w:ascii="Georgia" w:hAnsi="Georgia"/>
          <w:sz w:val="24"/>
          <w:szCs w:val="24"/>
          <w:rtl w:val="0"/>
          <w:lang w:val="en-US"/>
        </w:rPr>
        <w:t xml:space="preserve">perspective in various ways and at different levels. We continue to realise, through </w:t>
      </w:r>
    </w:p>
    <w:p>
      <w:pPr>
        <w:pStyle w:val="Default"/>
        <w:rPr>
          <w:rFonts w:ascii="Georgia" w:cs="Georgia" w:hAnsi="Georgia" w:eastAsia="Georgia"/>
          <w:sz w:val="24"/>
          <w:szCs w:val="24"/>
        </w:rPr>
      </w:pPr>
      <w:r>
        <w:rPr>
          <w:rFonts w:ascii="Georgia" w:hAnsi="Georgia"/>
          <w:sz w:val="24"/>
          <w:szCs w:val="24"/>
          <w:rtl w:val="0"/>
          <w:lang w:val="en-US"/>
        </w:rPr>
        <w:t>I</w:t>
      </w:r>
      <w:r>
        <w:rPr>
          <w:rFonts w:ascii="Georgia" w:hAnsi="Georgia"/>
          <w:sz w:val="24"/>
          <w:szCs w:val="24"/>
          <w:rtl w:val="0"/>
          <w:lang w:val="en-US"/>
        </w:rPr>
        <w:t xml:space="preserve">mplementation, that gender equality and the empowerment of both women and men </w:t>
      </w:r>
    </w:p>
    <w:p>
      <w:pPr>
        <w:pStyle w:val="Default"/>
        <w:rPr>
          <w:rFonts w:ascii="Georgia" w:cs="Georgia" w:hAnsi="Georgia" w:eastAsia="Georgia"/>
          <w:sz w:val="24"/>
          <w:szCs w:val="24"/>
        </w:rPr>
      </w:pPr>
      <w:r>
        <w:rPr>
          <w:rFonts w:ascii="Georgia" w:hAnsi="Georgia"/>
          <w:sz w:val="24"/>
          <w:szCs w:val="24"/>
          <w:rtl w:val="0"/>
          <w:lang w:val="en-US"/>
        </w:rPr>
        <w:t xml:space="preserve">allows significant progress across all the Sustainable Development Goals and targets. We have also seen that gender mainstreaming is not just about meeting our international legal obligations but when genuinely integrated it can help to alleviate poverty and increase </w:t>
      </w:r>
    </w:p>
    <w:p>
      <w:pPr>
        <w:pStyle w:val="Default"/>
        <w:rPr>
          <w:rFonts w:ascii="Georgia" w:cs="Georgia" w:hAnsi="Georgia" w:eastAsia="Georgia"/>
          <w:sz w:val="24"/>
          <w:szCs w:val="24"/>
        </w:rPr>
      </w:pPr>
      <w:r>
        <w:rPr>
          <w:rFonts w:ascii="Georgia" w:hAnsi="Georgia"/>
          <w:sz w:val="24"/>
          <w:szCs w:val="24"/>
          <w:rtl w:val="0"/>
          <w:lang w:val="en-US"/>
        </w:rPr>
        <w:t xml:space="preserve">output exponentially. </w:t>
      </w:r>
    </w:p>
    <w:p>
      <w:pPr>
        <w:pStyle w:val="Default"/>
        <w:rPr>
          <w:rFonts w:ascii="Georgia" w:cs="Georgia" w:hAnsi="Georgia" w:eastAsia="Georgia"/>
          <w:sz w:val="24"/>
          <w:szCs w:val="24"/>
        </w:rPr>
      </w:pPr>
    </w:p>
    <w:p>
      <w:pPr>
        <w:pStyle w:val="Default"/>
      </w:pPr>
      <w:r>
        <w:rPr>
          <w:rFonts w:ascii="Georgia" w:hAnsi="Georgia"/>
          <w:sz w:val="24"/>
          <w:szCs w:val="24"/>
          <w:rtl w:val="0"/>
          <w:lang w:val="en-US"/>
        </w:rPr>
        <w:t xml:space="preserve">We continue to advocate for this annual discussions and pledge our full support for </w:t>
      </w:r>
      <w:r>
        <w:rPr>
          <w:rFonts w:ascii="Georgia" w:hAnsi="Georgia"/>
          <w:sz w:val="24"/>
          <w:szCs w:val="24"/>
          <w:rtl w:val="0"/>
          <w:lang w:val="en-US"/>
        </w:rPr>
        <w:t xml:space="preserve">the </w:t>
      </w:r>
      <w:r>
        <w:rPr>
          <w:rFonts w:ascii="Georgia" w:hAnsi="Georgia"/>
          <w:sz w:val="24"/>
          <w:szCs w:val="24"/>
          <w:rtl w:val="0"/>
          <w:lang w:val="en-US"/>
        </w:rPr>
        <w:t xml:space="preserve">continued implementation of this important </w:t>
      </w:r>
      <w:r>
        <w:rPr>
          <w:rFonts w:ascii="Georgia" w:hAnsi="Georgia"/>
          <w:sz w:val="24"/>
          <w:szCs w:val="24"/>
          <w:rtl w:val="0"/>
          <w:lang w:val="en-US"/>
        </w:rPr>
        <w:t>area</w:t>
      </w:r>
      <w:r>
        <w:rPr>
          <w:rFonts w:ascii="Georgia" w:hAnsi="Georgia"/>
          <w:sz w:val="24"/>
          <w:szCs w:val="24"/>
          <w:rtl w:val="0"/>
          <w:lang w:val="en-US"/>
        </w:rPr>
        <w:t xml:space="preserve">.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oudy Old Styl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D2BF58-B4B8-485F-9F35-5E383D9BB265}"/>
</file>

<file path=customXml/itemProps2.xml><?xml version="1.0" encoding="utf-8"?>
<ds:datastoreItem xmlns:ds="http://schemas.openxmlformats.org/officeDocument/2006/customXml" ds:itemID="{C852C4FF-6F6F-4045-A604-879D8E6F2CB7}"/>
</file>

<file path=customXml/itemProps3.xml><?xml version="1.0" encoding="utf-8"?>
<ds:datastoreItem xmlns:ds="http://schemas.openxmlformats.org/officeDocument/2006/customXml" ds:itemID="{06D71D0E-14A7-4ABE-9C3B-B0C8C0EE3E9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