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BA744" w14:textId="77777777" w:rsidR="002243DC" w:rsidRPr="008046C7" w:rsidRDefault="002243DC" w:rsidP="00CE58B8">
      <w:pPr>
        <w:spacing w:after="0"/>
        <w:jc w:val="center"/>
        <w:rPr>
          <w:rFonts w:ascii="Times New Roman" w:hAnsi="Times New Roman"/>
          <w:b/>
          <w:smallCaps/>
        </w:rPr>
      </w:pPr>
      <w:r w:rsidRPr="008046C7">
        <w:rPr>
          <w:rFonts w:ascii="Times New Roman" w:hAnsi="Times New Roman"/>
          <w:b/>
          <w:noProof/>
          <w:lang w:val="en-GB" w:eastAsia="en-GB"/>
        </w:rPr>
        <w:drawing>
          <wp:anchor distT="0" distB="0" distL="114300" distR="114300" simplePos="0" relativeHeight="251658240" behindDoc="0" locked="0" layoutInCell="1" allowOverlap="1" wp14:anchorId="25F408E9" wp14:editId="1E068DFD">
            <wp:simplePos x="0" y="0"/>
            <wp:positionH relativeFrom="column">
              <wp:posOffset>95250</wp:posOffset>
            </wp:positionH>
            <wp:positionV relativeFrom="paragraph">
              <wp:posOffset>-104775</wp:posOffset>
            </wp:positionV>
            <wp:extent cx="819150" cy="1019175"/>
            <wp:effectExtent l="0" t="0" r="0" b="0"/>
            <wp:wrapSquare wrapText="bothSides"/>
            <wp:docPr id="1" name="Picture 1" descr="p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d"/>
                    <pic:cNvPicPr>
                      <a:picLocks noChangeAspect="1" noChangeArrowheads="1"/>
                    </pic:cNvPicPr>
                  </pic:nvPicPr>
                  <pic:blipFill>
                    <a:blip r:embed="rId8" cstate="print"/>
                    <a:srcRect/>
                    <a:stretch>
                      <a:fillRect/>
                    </a:stretch>
                  </pic:blipFill>
                  <pic:spPr bwMode="auto">
                    <a:xfrm>
                      <a:off x="0" y="0"/>
                      <a:ext cx="819150" cy="1019175"/>
                    </a:xfrm>
                    <a:prstGeom prst="rect">
                      <a:avLst/>
                    </a:prstGeom>
                    <a:noFill/>
                    <a:ln w="9525">
                      <a:noFill/>
                      <a:miter lim="800000"/>
                      <a:headEnd/>
                      <a:tailEnd/>
                    </a:ln>
                  </pic:spPr>
                </pic:pic>
              </a:graphicData>
            </a:graphic>
          </wp:anchor>
        </w:drawing>
      </w:r>
      <w:r w:rsidRPr="008046C7">
        <w:rPr>
          <w:rFonts w:ascii="Times New Roman" w:hAnsi="Times New Roman"/>
          <w:b/>
          <w:smallCaps/>
        </w:rPr>
        <w:t xml:space="preserve">Submission to the </w:t>
      </w:r>
      <w:r w:rsidR="00CE58B8" w:rsidRPr="008046C7">
        <w:rPr>
          <w:rFonts w:ascii="Times New Roman" w:hAnsi="Times New Roman"/>
          <w:b/>
          <w:smallCaps/>
        </w:rPr>
        <w:br/>
      </w:r>
      <w:r w:rsidR="00327E4A" w:rsidRPr="008046C7">
        <w:rPr>
          <w:rFonts w:ascii="Times New Roman" w:hAnsi="Times New Roman"/>
          <w:b/>
          <w:smallCaps/>
        </w:rPr>
        <w:t>UN Office of the High Commissioner on Human Rights</w:t>
      </w:r>
    </w:p>
    <w:p w14:paraId="275CA476" w14:textId="77777777" w:rsidR="00C528B1" w:rsidRPr="008046C7" w:rsidRDefault="00C528B1" w:rsidP="002243DC">
      <w:pPr>
        <w:spacing w:after="0" w:line="240" w:lineRule="auto"/>
        <w:jc w:val="center"/>
        <w:rPr>
          <w:rFonts w:ascii="Times New Roman" w:hAnsi="Times New Roman"/>
          <w:b/>
          <w:smallCaps/>
        </w:rPr>
      </w:pPr>
    </w:p>
    <w:p w14:paraId="281E04A8" w14:textId="77777777" w:rsidR="00C528B1" w:rsidRPr="008046C7" w:rsidRDefault="008450B0" w:rsidP="002243DC">
      <w:pPr>
        <w:spacing w:after="0" w:line="240" w:lineRule="auto"/>
        <w:jc w:val="center"/>
        <w:rPr>
          <w:rFonts w:ascii="Times New Roman" w:hAnsi="Times New Roman"/>
          <w:b/>
          <w:smallCaps/>
        </w:rPr>
      </w:pPr>
      <w:r w:rsidRPr="008046C7">
        <w:rPr>
          <w:rFonts w:ascii="Times New Roman" w:hAnsi="Times New Roman"/>
          <w:b/>
          <w:smallCaps/>
        </w:rPr>
        <w:t xml:space="preserve">Towards Preparation of Report in Pursuance of HRC </w:t>
      </w:r>
      <w:r w:rsidR="00C528B1" w:rsidRPr="008046C7">
        <w:rPr>
          <w:rFonts w:ascii="Times New Roman" w:hAnsi="Times New Roman"/>
          <w:b/>
          <w:smallCaps/>
        </w:rPr>
        <w:t xml:space="preserve">Resolution 29/22 </w:t>
      </w:r>
      <w:r w:rsidRPr="008046C7">
        <w:rPr>
          <w:rFonts w:ascii="Times New Roman" w:hAnsi="Times New Roman"/>
          <w:b/>
          <w:smallCaps/>
        </w:rPr>
        <w:t>on t</w:t>
      </w:r>
      <w:r w:rsidR="00C528B1" w:rsidRPr="008046C7">
        <w:rPr>
          <w:rFonts w:ascii="Times New Roman" w:hAnsi="Times New Roman"/>
          <w:b/>
          <w:smallCaps/>
        </w:rPr>
        <w:t>he Protection Of The Family</w:t>
      </w:r>
    </w:p>
    <w:p w14:paraId="22A566F1" w14:textId="77777777" w:rsidR="00C528B1" w:rsidRPr="008046C7" w:rsidRDefault="00C528B1" w:rsidP="002243DC">
      <w:pPr>
        <w:spacing w:after="0" w:line="240" w:lineRule="auto"/>
        <w:jc w:val="center"/>
        <w:rPr>
          <w:rFonts w:ascii="Times New Roman" w:hAnsi="Times New Roman"/>
          <w:b/>
          <w:smallCaps/>
        </w:rPr>
      </w:pPr>
    </w:p>
    <w:p w14:paraId="3E6AF116" w14:textId="77777777" w:rsidR="002243DC" w:rsidRPr="008046C7" w:rsidRDefault="00CE58B8" w:rsidP="00C528B1">
      <w:pPr>
        <w:spacing w:after="0" w:line="240" w:lineRule="auto"/>
        <w:ind w:left="1440" w:firstLine="720"/>
        <w:jc w:val="center"/>
        <w:rPr>
          <w:rFonts w:ascii="Times New Roman" w:hAnsi="Times New Roman"/>
          <w:b/>
        </w:rPr>
      </w:pPr>
      <w:r w:rsidRPr="008046C7">
        <w:rPr>
          <w:rFonts w:ascii="Times New Roman" w:hAnsi="Times New Roman"/>
          <w:b/>
        </w:rPr>
        <w:t>b</w:t>
      </w:r>
      <w:r w:rsidR="002243DC" w:rsidRPr="008046C7">
        <w:rPr>
          <w:rFonts w:ascii="Times New Roman" w:hAnsi="Times New Roman"/>
          <w:b/>
        </w:rPr>
        <w:t>y</w:t>
      </w:r>
    </w:p>
    <w:p w14:paraId="27AFA20D" w14:textId="77777777" w:rsidR="002243DC" w:rsidRDefault="002243DC" w:rsidP="00C528B1">
      <w:pPr>
        <w:spacing w:after="0" w:line="240" w:lineRule="auto"/>
        <w:ind w:left="1440" w:firstLine="720"/>
        <w:jc w:val="center"/>
        <w:rPr>
          <w:rFonts w:ascii="Times New Roman" w:hAnsi="Times New Roman"/>
          <w:b/>
        </w:rPr>
      </w:pPr>
      <w:r w:rsidRPr="008046C7">
        <w:rPr>
          <w:rFonts w:ascii="Times New Roman" w:hAnsi="Times New Roman"/>
          <w:b/>
        </w:rPr>
        <w:t>Partners for Law in Development</w:t>
      </w:r>
      <w:r w:rsidRPr="008046C7">
        <w:rPr>
          <w:rStyle w:val="FootnoteReference"/>
          <w:rFonts w:ascii="Times New Roman" w:hAnsi="Times New Roman"/>
          <w:b/>
        </w:rPr>
        <w:footnoteReference w:id="1"/>
      </w:r>
    </w:p>
    <w:p w14:paraId="15AF2971" w14:textId="77777777" w:rsidR="008046C7" w:rsidRDefault="008046C7" w:rsidP="008046C7">
      <w:pPr>
        <w:pBdr>
          <w:top w:val="single" w:sz="4" w:space="1" w:color="auto"/>
        </w:pBdr>
        <w:jc w:val="both"/>
        <w:rPr>
          <w:rFonts w:ascii="Times New Roman" w:hAnsi="Times New Roman"/>
        </w:rPr>
      </w:pPr>
    </w:p>
    <w:p w14:paraId="5F1AF457" w14:textId="30C4B723" w:rsidR="000044E9" w:rsidRPr="008046C7" w:rsidRDefault="00C528B1" w:rsidP="000044E9">
      <w:pPr>
        <w:jc w:val="both"/>
        <w:rPr>
          <w:rFonts w:ascii="Times New Roman" w:eastAsia="Times New Roman" w:hAnsi="Times New Roman"/>
          <w:lang w:val="en-US"/>
        </w:rPr>
      </w:pPr>
      <w:r w:rsidRPr="008046C7">
        <w:rPr>
          <w:rFonts w:ascii="Times New Roman" w:hAnsi="Times New Roman"/>
        </w:rPr>
        <w:t>This submission is based on the extensive field work and documentation</w:t>
      </w:r>
      <w:bookmarkStart w:id="0" w:name="_GoBack"/>
      <w:bookmarkEnd w:id="0"/>
      <w:r w:rsidRPr="008046C7">
        <w:rPr>
          <w:rFonts w:ascii="Times New Roman" w:hAnsi="Times New Roman"/>
        </w:rPr>
        <w:t xml:space="preserve"> by Partners for Law in Development on </w:t>
      </w:r>
      <w:r w:rsidR="007A5FD3" w:rsidRPr="008046C7">
        <w:rPr>
          <w:rFonts w:ascii="Times New Roman" w:hAnsi="Times New Roman"/>
        </w:rPr>
        <w:t xml:space="preserve">protection gaps relating to </w:t>
      </w:r>
      <w:r w:rsidRPr="008046C7">
        <w:rPr>
          <w:rFonts w:ascii="Times New Roman" w:hAnsi="Times New Roman"/>
        </w:rPr>
        <w:t>women</w:t>
      </w:r>
      <w:r w:rsidR="007A5FD3" w:rsidRPr="008046C7">
        <w:rPr>
          <w:rFonts w:ascii="Times New Roman" w:hAnsi="Times New Roman"/>
        </w:rPr>
        <w:t xml:space="preserve"> in the context of conjugality and family life. This submission draws upon understandings </w:t>
      </w:r>
      <w:r w:rsidR="001C1658" w:rsidRPr="008046C7">
        <w:rPr>
          <w:rFonts w:ascii="Times New Roman" w:hAnsi="Times New Roman"/>
        </w:rPr>
        <w:t xml:space="preserve">drawn from </w:t>
      </w:r>
      <w:r w:rsidR="00AB5243">
        <w:rPr>
          <w:rFonts w:ascii="Times New Roman" w:hAnsi="Times New Roman"/>
        </w:rPr>
        <w:t xml:space="preserve">PLD’s </w:t>
      </w:r>
      <w:r w:rsidR="001C1658" w:rsidRPr="008046C7">
        <w:rPr>
          <w:rFonts w:ascii="Times New Roman" w:hAnsi="Times New Roman"/>
        </w:rPr>
        <w:t xml:space="preserve">work with </w:t>
      </w:r>
      <w:r w:rsidR="000044E9" w:rsidRPr="008046C7">
        <w:rPr>
          <w:rFonts w:ascii="Times New Roman" w:hAnsi="Times New Roman"/>
        </w:rPr>
        <w:t xml:space="preserve">women across family forms, </w:t>
      </w:r>
      <w:r w:rsidR="001B3BE5" w:rsidRPr="008046C7">
        <w:rPr>
          <w:rFonts w:ascii="Times New Roman" w:hAnsi="Times New Roman"/>
        </w:rPr>
        <w:t xml:space="preserve">arising from </w:t>
      </w:r>
      <w:r w:rsidR="000044E9" w:rsidRPr="008046C7">
        <w:rPr>
          <w:rFonts w:ascii="Times New Roman" w:hAnsi="Times New Roman"/>
        </w:rPr>
        <w:t xml:space="preserve">intersecting </w:t>
      </w:r>
      <w:r w:rsidRPr="008046C7">
        <w:rPr>
          <w:rFonts w:ascii="Times New Roman" w:hAnsi="Times New Roman"/>
        </w:rPr>
        <w:t xml:space="preserve">vulnerabilities </w:t>
      </w:r>
      <w:r w:rsidR="001B3BE5" w:rsidRPr="008046C7">
        <w:rPr>
          <w:rFonts w:ascii="Times New Roman" w:hAnsi="Times New Roman"/>
        </w:rPr>
        <w:t xml:space="preserve">of </w:t>
      </w:r>
      <w:r w:rsidR="008450B0" w:rsidRPr="008046C7">
        <w:rPr>
          <w:rFonts w:ascii="Times New Roman" w:hAnsi="Times New Roman"/>
        </w:rPr>
        <w:t xml:space="preserve">poverty, gender, </w:t>
      </w:r>
      <w:r w:rsidR="009D0F65" w:rsidRPr="008046C7">
        <w:rPr>
          <w:rFonts w:ascii="Times New Roman" w:hAnsi="Times New Roman"/>
        </w:rPr>
        <w:t xml:space="preserve">sexuality, caste, class and </w:t>
      </w:r>
      <w:r w:rsidR="000044E9" w:rsidRPr="008046C7">
        <w:rPr>
          <w:rFonts w:ascii="Times New Roman" w:hAnsi="Times New Roman"/>
        </w:rPr>
        <w:t xml:space="preserve">similar </w:t>
      </w:r>
      <w:r w:rsidR="009D0F65" w:rsidRPr="008046C7">
        <w:rPr>
          <w:rFonts w:ascii="Times New Roman" w:hAnsi="Times New Roman"/>
        </w:rPr>
        <w:t>systems of inequality.</w:t>
      </w:r>
      <w:r w:rsidR="001B3BE5" w:rsidRPr="008046C7">
        <w:rPr>
          <w:rFonts w:ascii="Times New Roman" w:hAnsi="Times New Roman"/>
        </w:rPr>
        <w:t xml:space="preserve">We urge that the concerns raised in our submission be </w:t>
      </w:r>
      <w:r w:rsidR="00AD6444" w:rsidRPr="008046C7">
        <w:rPr>
          <w:rFonts w:ascii="Times New Roman" w:hAnsi="Times New Roman"/>
        </w:rPr>
        <w:t>given attention</w:t>
      </w:r>
      <w:r w:rsidR="001B3BE5" w:rsidRPr="008046C7">
        <w:rPr>
          <w:rFonts w:ascii="Times New Roman" w:hAnsi="Times New Roman"/>
        </w:rPr>
        <w:t xml:space="preserve"> in the </w:t>
      </w:r>
      <w:r w:rsidR="000044E9" w:rsidRPr="008046C7">
        <w:rPr>
          <w:rFonts w:ascii="Times New Roman" w:hAnsi="Times New Roman"/>
        </w:rPr>
        <w:t xml:space="preserve">report </w:t>
      </w:r>
      <w:r w:rsidR="001B3BE5" w:rsidRPr="008046C7">
        <w:rPr>
          <w:rFonts w:ascii="Times New Roman" w:hAnsi="Times New Roman"/>
        </w:rPr>
        <w:t xml:space="preserve">to the Human Rights Council </w:t>
      </w:r>
      <w:r w:rsidR="000044E9" w:rsidRPr="008046C7">
        <w:rPr>
          <w:rFonts w:ascii="Times New Roman" w:hAnsi="Times New Roman"/>
        </w:rPr>
        <w:t xml:space="preserve">on: </w:t>
      </w:r>
      <w:r w:rsidR="000044E9" w:rsidRPr="008046C7">
        <w:rPr>
          <w:rFonts w:ascii="Times New Roman" w:hAnsi="Times New Roman"/>
          <w:i/>
        </w:rPr>
        <w:t>“</w:t>
      </w:r>
      <w:r w:rsidR="000044E9" w:rsidRPr="008046C7">
        <w:rPr>
          <w:rFonts w:ascii="Times New Roman" w:eastAsia="Times New Roman" w:hAnsi="Times New Roman"/>
          <w:i/>
          <w:lang w:val="en-US"/>
        </w:rPr>
        <w:t>the impact of the implementation by States of their obligations under relevant provisions of international human rights law with regard to the protection of the family, on the contribution of families in realizing the right to an adequate standard of living for their members, particularly through their role in poverty eradication and in achieving sustainable development, while giving due consideration to the status of the family in the developments related to the ongoing work on the future sustainable development goals and the post-2015 development agenda …”</w:t>
      </w:r>
    </w:p>
    <w:p w14:paraId="281C8EF0" w14:textId="2AF5FDC2" w:rsidR="00384804" w:rsidRPr="008046C7" w:rsidRDefault="00AD6444" w:rsidP="009D0F65">
      <w:pPr>
        <w:jc w:val="both"/>
        <w:rPr>
          <w:rFonts w:ascii="Times New Roman" w:hAnsi="Times New Roman"/>
        </w:rPr>
      </w:pPr>
      <w:r w:rsidRPr="008046C7">
        <w:rPr>
          <w:rFonts w:ascii="Times New Roman" w:hAnsi="Times New Roman"/>
        </w:rPr>
        <w:t>Families are indeed, a fundamental unit through which the state can implement equality and non-discrimination, on grounds of sex</w:t>
      </w:r>
      <w:r w:rsidR="001C1658" w:rsidRPr="008046C7">
        <w:rPr>
          <w:rFonts w:ascii="Times New Roman" w:hAnsi="Times New Roman"/>
        </w:rPr>
        <w:t xml:space="preserve"> (including sexual orientation and gender identity)</w:t>
      </w:r>
      <w:r w:rsidRPr="008046C7">
        <w:rPr>
          <w:rFonts w:ascii="Times New Roman" w:hAnsi="Times New Roman"/>
        </w:rPr>
        <w:t>, age, ability, marital status, amongst others, and a unit towards whom the state must ensure basic needs of quality health care, education, sustainable livelihood a</w:t>
      </w:r>
      <w:r w:rsidR="001C1658" w:rsidRPr="008046C7">
        <w:rPr>
          <w:rFonts w:ascii="Times New Roman" w:hAnsi="Times New Roman"/>
        </w:rPr>
        <w:t xml:space="preserve">s part of its obligation to guarantee </w:t>
      </w:r>
      <w:r w:rsidRPr="008046C7">
        <w:rPr>
          <w:rFonts w:ascii="Times New Roman" w:hAnsi="Times New Roman"/>
        </w:rPr>
        <w:t xml:space="preserve">socio economic and cultural rights. </w:t>
      </w:r>
      <w:r w:rsidR="00EC4F92" w:rsidRPr="008046C7">
        <w:rPr>
          <w:rFonts w:ascii="Times New Roman" w:hAnsi="Times New Roman"/>
        </w:rPr>
        <w:t xml:space="preserve">Any framework that aspires to promoting an </w:t>
      </w:r>
      <w:r w:rsidRPr="008046C7">
        <w:rPr>
          <w:rFonts w:ascii="Times New Roman" w:hAnsi="Times New Roman"/>
        </w:rPr>
        <w:t>adequate standard of living for the family</w:t>
      </w:r>
      <w:r w:rsidR="00EC4F92" w:rsidRPr="008046C7">
        <w:rPr>
          <w:rFonts w:ascii="Times New Roman" w:hAnsi="Times New Roman"/>
        </w:rPr>
        <w:t>, must be pr</w:t>
      </w:r>
      <w:r w:rsidR="00384804" w:rsidRPr="008046C7">
        <w:rPr>
          <w:rFonts w:ascii="Times New Roman" w:hAnsi="Times New Roman"/>
        </w:rPr>
        <w:t>emised on the recognition of three</w:t>
      </w:r>
      <w:r w:rsidR="00821305">
        <w:rPr>
          <w:rFonts w:ascii="Times New Roman" w:hAnsi="Times New Roman"/>
        </w:rPr>
        <w:t xml:space="preserve"> key factors – a) R</w:t>
      </w:r>
      <w:r w:rsidR="001C1658" w:rsidRPr="008046C7">
        <w:rPr>
          <w:rFonts w:ascii="Times New Roman" w:hAnsi="Times New Roman"/>
        </w:rPr>
        <w:t xml:space="preserve">ecognition and respect </w:t>
      </w:r>
      <w:r w:rsidR="00EC4F92" w:rsidRPr="008046C7">
        <w:rPr>
          <w:rFonts w:ascii="Times New Roman" w:hAnsi="Times New Roman"/>
        </w:rPr>
        <w:t xml:space="preserve">for all family forms, which are diverse, </w:t>
      </w:r>
      <w:r w:rsidR="001C1658" w:rsidRPr="008046C7">
        <w:rPr>
          <w:rFonts w:ascii="Times New Roman" w:hAnsi="Times New Roman"/>
        </w:rPr>
        <w:t xml:space="preserve">including but not limited to the examples of </w:t>
      </w:r>
      <w:r w:rsidR="00EC4F92" w:rsidRPr="008046C7">
        <w:rPr>
          <w:rFonts w:ascii="Times New Roman" w:hAnsi="Times New Roman"/>
        </w:rPr>
        <w:t>wome</w:t>
      </w:r>
      <w:r w:rsidR="00AB5243">
        <w:rPr>
          <w:rFonts w:ascii="Times New Roman" w:hAnsi="Times New Roman"/>
        </w:rPr>
        <w:t>n or children headed households</w:t>
      </w:r>
      <w:r w:rsidR="00384804" w:rsidRPr="008046C7">
        <w:rPr>
          <w:rFonts w:ascii="Times New Roman" w:hAnsi="Times New Roman"/>
        </w:rPr>
        <w:t xml:space="preserve">; b) </w:t>
      </w:r>
      <w:r w:rsidR="00EC4F92" w:rsidRPr="008046C7">
        <w:rPr>
          <w:rFonts w:ascii="Times New Roman" w:hAnsi="Times New Roman"/>
        </w:rPr>
        <w:t>while the family is</w:t>
      </w:r>
      <w:r w:rsidR="00821305">
        <w:rPr>
          <w:rFonts w:ascii="Times New Roman" w:hAnsi="Times New Roman"/>
        </w:rPr>
        <w:t xml:space="preserve"> </w:t>
      </w:r>
      <w:r w:rsidR="00EC4F92" w:rsidRPr="008046C7">
        <w:rPr>
          <w:rFonts w:ascii="Times New Roman" w:hAnsi="Times New Roman"/>
        </w:rPr>
        <w:t xml:space="preserve">a social unit, its members </w:t>
      </w:r>
      <w:r w:rsidR="001C1658" w:rsidRPr="008046C7">
        <w:rPr>
          <w:rFonts w:ascii="Times New Roman" w:hAnsi="Times New Roman"/>
        </w:rPr>
        <w:t xml:space="preserve">do not enjoy equal status </w:t>
      </w:r>
      <w:r w:rsidR="00EC4F92" w:rsidRPr="008046C7">
        <w:rPr>
          <w:rFonts w:ascii="Times New Roman" w:hAnsi="Times New Roman"/>
        </w:rPr>
        <w:t>vis a vis each other. The ine</w:t>
      </w:r>
      <w:r w:rsidR="001C1658" w:rsidRPr="008046C7">
        <w:rPr>
          <w:rFonts w:ascii="Times New Roman" w:hAnsi="Times New Roman"/>
        </w:rPr>
        <w:t>qualities, abuse and violence directed at women, children a</w:t>
      </w:r>
      <w:r w:rsidR="00821305">
        <w:rPr>
          <w:rFonts w:ascii="Times New Roman" w:hAnsi="Times New Roman"/>
        </w:rPr>
        <w:t>nd the elder</w:t>
      </w:r>
      <w:r w:rsidR="001C1658" w:rsidRPr="008046C7">
        <w:rPr>
          <w:rFonts w:ascii="Times New Roman" w:hAnsi="Times New Roman"/>
        </w:rPr>
        <w:t>ly; as well as against those rendered vulnerable on account of sexual orientation, gender identity or ability</w:t>
      </w:r>
      <w:r w:rsidR="00EC4F92" w:rsidRPr="008046C7">
        <w:rPr>
          <w:rFonts w:ascii="Times New Roman" w:hAnsi="Times New Roman"/>
        </w:rPr>
        <w:t>, is well documented and recognised</w:t>
      </w:r>
      <w:r w:rsidR="001C1658" w:rsidRPr="008046C7">
        <w:rPr>
          <w:rFonts w:ascii="Times New Roman" w:hAnsi="Times New Roman"/>
        </w:rPr>
        <w:t>.</w:t>
      </w:r>
      <w:r w:rsidR="00AB5243">
        <w:rPr>
          <w:rFonts w:ascii="Times New Roman" w:hAnsi="Times New Roman"/>
        </w:rPr>
        <w:t xml:space="preserve"> Their </w:t>
      </w:r>
      <w:r w:rsidR="00EC4F92" w:rsidRPr="008046C7">
        <w:rPr>
          <w:rFonts w:ascii="Times New Roman" w:hAnsi="Times New Roman"/>
        </w:rPr>
        <w:t xml:space="preserve">legal protection must </w:t>
      </w:r>
      <w:r w:rsidR="00384804" w:rsidRPr="008046C7">
        <w:rPr>
          <w:rFonts w:ascii="Times New Roman" w:hAnsi="Times New Roman"/>
        </w:rPr>
        <w:t xml:space="preserve">be </w:t>
      </w:r>
      <w:r w:rsidR="00EC4F92" w:rsidRPr="008046C7">
        <w:rPr>
          <w:rFonts w:ascii="Times New Roman" w:hAnsi="Times New Roman"/>
        </w:rPr>
        <w:t>of paramount importance</w:t>
      </w:r>
      <w:r w:rsidR="00384804" w:rsidRPr="008046C7">
        <w:rPr>
          <w:rFonts w:ascii="Times New Roman" w:hAnsi="Times New Roman"/>
        </w:rPr>
        <w:t>; c) the primary duty bearer for eliminating poverty, achieving sustainable development, and ensuring equal rights to all individuals to found families of their choice, to secure legal protection against discrimination, a</w:t>
      </w:r>
      <w:r w:rsidR="001C1658" w:rsidRPr="008046C7">
        <w:rPr>
          <w:rFonts w:ascii="Times New Roman" w:hAnsi="Times New Roman"/>
        </w:rPr>
        <w:t>buse within the family, is the S</w:t>
      </w:r>
      <w:r w:rsidR="00384804" w:rsidRPr="008046C7">
        <w:rPr>
          <w:rFonts w:ascii="Times New Roman" w:hAnsi="Times New Roman"/>
        </w:rPr>
        <w:t xml:space="preserve">tate.  These three aspects are outlined below for clarity and emphasis: </w:t>
      </w:r>
    </w:p>
    <w:p w14:paraId="3FC96C73" w14:textId="3D261946" w:rsidR="005414E3" w:rsidRPr="005038D5" w:rsidRDefault="005038D5" w:rsidP="005038D5">
      <w:pPr>
        <w:jc w:val="both"/>
        <w:rPr>
          <w:rFonts w:ascii="Times New Roman" w:hAnsi="Times New Roman"/>
        </w:rPr>
      </w:pPr>
      <w:r>
        <w:rPr>
          <w:rFonts w:ascii="Times New Roman" w:hAnsi="Times New Roman"/>
          <w:b/>
          <w:bCs/>
          <w:smallCaps/>
        </w:rPr>
        <w:t xml:space="preserve">A. </w:t>
      </w:r>
      <w:r w:rsidR="00B75BF2" w:rsidRPr="005038D5">
        <w:rPr>
          <w:rFonts w:ascii="Times New Roman" w:hAnsi="Times New Roman"/>
          <w:b/>
          <w:bCs/>
          <w:smallCaps/>
        </w:rPr>
        <w:t>RECOGNITION OF DIVERSE FORMS OF FAMILY</w:t>
      </w:r>
      <w:r w:rsidR="00821305" w:rsidRPr="005038D5">
        <w:rPr>
          <w:rFonts w:ascii="Times New Roman" w:hAnsi="Times New Roman"/>
          <w:b/>
          <w:bCs/>
          <w:smallCaps/>
        </w:rPr>
        <w:t xml:space="preserve"> - </w:t>
      </w:r>
      <w:r w:rsidR="00866012" w:rsidRPr="005038D5">
        <w:rPr>
          <w:rFonts w:ascii="Times New Roman" w:hAnsi="Times New Roman"/>
        </w:rPr>
        <w:t xml:space="preserve">Institutionalised definitions of the </w:t>
      </w:r>
      <w:r w:rsidR="0079430D" w:rsidRPr="005038D5">
        <w:rPr>
          <w:rFonts w:ascii="Times New Roman" w:hAnsi="Times New Roman"/>
        </w:rPr>
        <w:t>‘</w:t>
      </w:r>
      <w:r w:rsidR="00866012" w:rsidRPr="005038D5">
        <w:rPr>
          <w:rFonts w:ascii="Times New Roman" w:hAnsi="Times New Roman"/>
        </w:rPr>
        <w:t>family</w:t>
      </w:r>
      <w:r w:rsidR="0079430D" w:rsidRPr="005038D5">
        <w:rPr>
          <w:rFonts w:ascii="Times New Roman" w:hAnsi="Times New Roman"/>
        </w:rPr>
        <w:t>’</w:t>
      </w:r>
      <w:r w:rsidR="0094100B" w:rsidRPr="005038D5">
        <w:rPr>
          <w:rFonts w:ascii="Times New Roman" w:hAnsi="Times New Roman"/>
        </w:rPr>
        <w:t xml:space="preserve"> </w:t>
      </w:r>
      <w:r w:rsidR="0082215D" w:rsidRPr="005038D5">
        <w:rPr>
          <w:rFonts w:ascii="Times New Roman" w:hAnsi="Times New Roman"/>
        </w:rPr>
        <w:t xml:space="preserve">limit </w:t>
      </w:r>
      <w:r w:rsidR="00866012" w:rsidRPr="005038D5">
        <w:rPr>
          <w:rFonts w:ascii="Times New Roman" w:hAnsi="Times New Roman"/>
        </w:rPr>
        <w:t xml:space="preserve">recognition </w:t>
      </w:r>
      <w:r w:rsidR="0079430D" w:rsidRPr="005038D5">
        <w:rPr>
          <w:rFonts w:ascii="Times New Roman" w:hAnsi="Times New Roman"/>
        </w:rPr>
        <w:t xml:space="preserve">and </w:t>
      </w:r>
      <w:r w:rsidR="00384804" w:rsidRPr="005038D5">
        <w:rPr>
          <w:rFonts w:ascii="Times New Roman" w:hAnsi="Times New Roman"/>
        </w:rPr>
        <w:t xml:space="preserve">legal </w:t>
      </w:r>
      <w:r w:rsidR="0079430D" w:rsidRPr="005038D5">
        <w:rPr>
          <w:rFonts w:ascii="Times New Roman" w:hAnsi="Times New Roman"/>
        </w:rPr>
        <w:t xml:space="preserve">protection </w:t>
      </w:r>
      <w:r w:rsidR="00866012" w:rsidRPr="005038D5">
        <w:rPr>
          <w:rFonts w:ascii="Times New Roman" w:hAnsi="Times New Roman"/>
        </w:rPr>
        <w:t xml:space="preserve">to </w:t>
      </w:r>
      <w:r w:rsidR="00384804" w:rsidRPr="005038D5">
        <w:rPr>
          <w:rFonts w:ascii="Times New Roman" w:hAnsi="Times New Roman"/>
        </w:rPr>
        <w:t xml:space="preserve">family </w:t>
      </w:r>
      <w:r w:rsidR="00866012" w:rsidRPr="005038D5">
        <w:rPr>
          <w:rFonts w:ascii="Times New Roman" w:hAnsi="Times New Roman"/>
        </w:rPr>
        <w:t xml:space="preserve">forms </w:t>
      </w:r>
      <w:r w:rsidR="0082215D" w:rsidRPr="005038D5">
        <w:rPr>
          <w:rFonts w:ascii="Times New Roman" w:hAnsi="Times New Roman"/>
        </w:rPr>
        <w:t xml:space="preserve">that are </w:t>
      </w:r>
      <w:r w:rsidR="00866012" w:rsidRPr="005038D5">
        <w:rPr>
          <w:rFonts w:ascii="Times New Roman" w:hAnsi="Times New Roman"/>
        </w:rPr>
        <w:t xml:space="preserve">derived </w:t>
      </w:r>
      <w:r w:rsidR="0082215D" w:rsidRPr="005038D5">
        <w:rPr>
          <w:rFonts w:ascii="Times New Roman" w:hAnsi="Times New Roman"/>
        </w:rPr>
        <w:t>from dominant cultural</w:t>
      </w:r>
      <w:r w:rsidR="00974A15" w:rsidRPr="005038D5">
        <w:rPr>
          <w:rFonts w:ascii="Times New Roman" w:hAnsi="Times New Roman"/>
        </w:rPr>
        <w:t>, religious</w:t>
      </w:r>
      <w:r w:rsidR="0082215D" w:rsidRPr="005038D5">
        <w:rPr>
          <w:rFonts w:ascii="Times New Roman" w:hAnsi="Times New Roman"/>
        </w:rPr>
        <w:t xml:space="preserve"> and caste norms. </w:t>
      </w:r>
      <w:r w:rsidR="006A1F77" w:rsidRPr="005038D5">
        <w:rPr>
          <w:rFonts w:ascii="Times New Roman" w:hAnsi="Times New Roman"/>
        </w:rPr>
        <w:t>Postcolonial societies</w:t>
      </w:r>
      <w:r w:rsidR="008B2F65" w:rsidRPr="005038D5">
        <w:rPr>
          <w:rFonts w:ascii="Times New Roman" w:hAnsi="Times New Roman"/>
        </w:rPr>
        <w:t xml:space="preserve"> such as India </w:t>
      </w:r>
      <w:r w:rsidR="00D84076" w:rsidRPr="005038D5">
        <w:rPr>
          <w:rFonts w:ascii="Times New Roman" w:hAnsi="Times New Roman"/>
        </w:rPr>
        <w:t>reflect</w:t>
      </w:r>
      <w:r w:rsidR="00224FEF" w:rsidRPr="005038D5">
        <w:rPr>
          <w:rFonts w:ascii="Times New Roman" w:hAnsi="Times New Roman"/>
        </w:rPr>
        <w:t xml:space="preserve"> a diversity of family forms due to </w:t>
      </w:r>
      <w:r w:rsidR="00282DB5" w:rsidRPr="005038D5">
        <w:rPr>
          <w:rFonts w:ascii="Times New Roman" w:hAnsi="Times New Roman"/>
        </w:rPr>
        <w:t xml:space="preserve">regional, customary, caste, sexuality, geographic differences, </w:t>
      </w:r>
      <w:r w:rsidR="00974A15" w:rsidRPr="005038D5">
        <w:rPr>
          <w:rFonts w:ascii="Times New Roman" w:hAnsi="Times New Roman"/>
        </w:rPr>
        <w:t>and livelihood patterns</w:t>
      </w:r>
      <w:r w:rsidR="00282DB5" w:rsidRPr="005038D5">
        <w:rPr>
          <w:rFonts w:ascii="Times New Roman" w:hAnsi="Times New Roman"/>
        </w:rPr>
        <w:t xml:space="preserve"> amongst others</w:t>
      </w:r>
      <w:r w:rsidR="00224FEF" w:rsidRPr="005038D5">
        <w:rPr>
          <w:rFonts w:ascii="Times New Roman" w:hAnsi="Times New Roman"/>
        </w:rPr>
        <w:t xml:space="preserve">. </w:t>
      </w:r>
      <w:r w:rsidR="00EF6E35" w:rsidRPr="005038D5">
        <w:rPr>
          <w:rFonts w:ascii="Times New Roman" w:hAnsi="Times New Roman"/>
        </w:rPr>
        <w:t>PLD’s field studies in six states in India have shown that c</w:t>
      </w:r>
      <w:r w:rsidR="00D426B2" w:rsidRPr="005038D5">
        <w:rPr>
          <w:rFonts w:ascii="Times New Roman" w:hAnsi="Times New Roman"/>
        </w:rPr>
        <w:t xml:space="preserve">hanging economic trends, large scale migrations, unequal sex ratio have shaped contemporary conjugalities over the past two </w:t>
      </w:r>
      <w:r w:rsidR="00D426B2" w:rsidRPr="005038D5">
        <w:rPr>
          <w:rFonts w:ascii="Times New Roman" w:hAnsi="Times New Roman"/>
        </w:rPr>
        <w:lastRenderedPageBreak/>
        <w:t xml:space="preserve">decades, that do not subscribe to </w:t>
      </w:r>
      <w:r w:rsidR="00EF6E35" w:rsidRPr="005038D5">
        <w:rPr>
          <w:rFonts w:ascii="Times New Roman" w:hAnsi="Times New Roman"/>
        </w:rPr>
        <w:t xml:space="preserve">conventional </w:t>
      </w:r>
      <w:r w:rsidR="00D426B2" w:rsidRPr="005038D5">
        <w:rPr>
          <w:rFonts w:ascii="Times New Roman" w:hAnsi="Times New Roman"/>
        </w:rPr>
        <w:t xml:space="preserve">definitions of </w:t>
      </w:r>
      <w:r w:rsidR="00EF6E35" w:rsidRPr="005038D5">
        <w:rPr>
          <w:rFonts w:ascii="Times New Roman" w:hAnsi="Times New Roman"/>
        </w:rPr>
        <w:t xml:space="preserve">the </w:t>
      </w:r>
      <w:r w:rsidR="00D426B2" w:rsidRPr="005038D5">
        <w:rPr>
          <w:rFonts w:ascii="Times New Roman" w:hAnsi="Times New Roman"/>
        </w:rPr>
        <w:t>family.</w:t>
      </w:r>
      <w:r w:rsidR="00B7751C" w:rsidRPr="008046C7">
        <w:rPr>
          <w:rStyle w:val="FootnoteReference"/>
          <w:rFonts w:ascii="Times New Roman" w:hAnsi="Times New Roman"/>
        </w:rPr>
        <w:footnoteReference w:id="2"/>
      </w:r>
      <w:r w:rsidR="00951220" w:rsidRPr="005038D5">
        <w:rPr>
          <w:rFonts w:ascii="Times New Roman" w:hAnsi="Times New Roman"/>
        </w:rPr>
        <w:t xml:space="preserve"> </w:t>
      </w:r>
      <w:r w:rsidR="00D703F2" w:rsidRPr="005038D5">
        <w:rPr>
          <w:rFonts w:ascii="Times New Roman" w:hAnsi="Times New Roman"/>
        </w:rPr>
        <w:t xml:space="preserve">Some instances of non-normative conjugalities documented by PLD’s study include </w:t>
      </w:r>
      <w:r w:rsidR="00B7751C" w:rsidRPr="005038D5">
        <w:rPr>
          <w:rFonts w:ascii="Times New Roman" w:hAnsi="Times New Roman"/>
          <w:i/>
        </w:rPr>
        <w:t>maitri</w:t>
      </w:r>
      <w:r w:rsidR="00531915" w:rsidRPr="005038D5">
        <w:rPr>
          <w:rFonts w:ascii="Times New Roman" w:hAnsi="Times New Roman"/>
          <w:i/>
        </w:rPr>
        <w:t xml:space="preserve"> </w:t>
      </w:r>
      <w:r w:rsidR="00B7751C" w:rsidRPr="005038D5">
        <w:rPr>
          <w:rFonts w:ascii="Times New Roman" w:hAnsi="Times New Roman"/>
          <w:i/>
        </w:rPr>
        <w:t>karar</w:t>
      </w:r>
      <w:r w:rsidR="00531915" w:rsidRPr="005038D5">
        <w:rPr>
          <w:rFonts w:ascii="Times New Roman" w:hAnsi="Times New Roman"/>
          <w:i/>
        </w:rPr>
        <w:t xml:space="preserve"> </w:t>
      </w:r>
      <w:r w:rsidR="00B01863" w:rsidRPr="005038D5">
        <w:rPr>
          <w:rFonts w:ascii="Times New Roman" w:hAnsi="Times New Roman"/>
        </w:rPr>
        <w:t>in Gujarat</w:t>
      </w:r>
      <w:r w:rsidR="00612DFE" w:rsidRPr="005038D5">
        <w:rPr>
          <w:rFonts w:ascii="Times New Roman" w:hAnsi="Times New Roman"/>
        </w:rPr>
        <w:t>,</w:t>
      </w:r>
      <w:r w:rsidR="00B01863" w:rsidRPr="008046C7">
        <w:rPr>
          <w:rStyle w:val="FootnoteReference"/>
          <w:rFonts w:ascii="Times New Roman" w:hAnsi="Times New Roman"/>
        </w:rPr>
        <w:footnoteReference w:id="3"/>
      </w:r>
      <w:r w:rsidR="00B67517" w:rsidRPr="005038D5">
        <w:rPr>
          <w:rFonts w:ascii="Times New Roman" w:hAnsi="Times New Roman"/>
        </w:rPr>
        <w:t xml:space="preserve"> </w:t>
      </w:r>
      <w:r w:rsidR="001835AA" w:rsidRPr="005038D5">
        <w:rPr>
          <w:rFonts w:ascii="Times New Roman" w:hAnsi="Times New Roman"/>
        </w:rPr>
        <w:t xml:space="preserve">the practice of </w:t>
      </w:r>
      <w:r w:rsidR="00612DFE" w:rsidRPr="005038D5">
        <w:rPr>
          <w:rFonts w:ascii="Times New Roman" w:hAnsi="Times New Roman"/>
          <w:i/>
        </w:rPr>
        <w:t>nata</w:t>
      </w:r>
      <w:r w:rsidR="00B67517" w:rsidRPr="005038D5">
        <w:rPr>
          <w:rFonts w:ascii="Times New Roman" w:hAnsi="Times New Roman"/>
          <w:i/>
        </w:rPr>
        <w:t xml:space="preserve"> </w:t>
      </w:r>
      <w:r w:rsidR="00612DFE" w:rsidRPr="005038D5">
        <w:rPr>
          <w:rFonts w:ascii="Times New Roman" w:hAnsi="Times New Roman"/>
        </w:rPr>
        <w:t>in Rajasthan,</w:t>
      </w:r>
      <w:r w:rsidR="00612DFE" w:rsidRPr="008046C7">
        <w:rPr>
          <w:rStyle w:val="FootnoteReference"/>
          <w:rFonts w:ascii="Times New Roman" w:hAnsi="Times New Roman"/>
        </w:rPr>
        <w:footnoteReference w:id="4"/>
      </w:r>
      <w:r w:rsidR="00B67517" w:rsidRPr="005038D5">
        <w:rPr>
          <w:rFonts w:ascii="Times New Roman" w:hAnsi="Times New Roman"/>
        </w:rPr>
        <w:t xml:space="preserve"> </w:t>
      </w:r>
      <w:r w:rsidR="002B0528" w:rsidRPr="005038D5">
        <w:rPr>
          <w:rFonts w:ascii="Times New Roman" w:hAnsi="Times New Roman"/>
        </w:rPr>
        <w:t xml:space="preserve">customarily practiced </w:t>
      </w:r>
      <w:r w:rsidR="00D703F2" w:rsidRPr="005038D5">
        <w:rPr>
          <w:rFonts w:ascii="Times New Roman" w:hAnsi="Times New Roman"/>
        </w:rPr>
        <w:t xml:space="preserve">polygamy </w:t>
      </w:r>
      <w:r w:rsidR="002B0528" w:rsidRPr="005038D5">
        <w:rPr>
          <w:rFonts w:ascii="Times New Roman" w:hAnsi="Times New Roman"/>
        </w:rPr>
        <w:t>in Himachal Pradesh,</w:t>
      </w:r>
      <w:r w:rsidR="001835AA" w:rsidRPr="005038D5">
        <w:rPr>
          <w:rFonts w:ascii="Times New Roman" w:hAnsi="Times New Roman"/>
        </w:rPr>
        <w:t xml:space="preserve"> as well as </w:t>
      </w:r>
      <w:r w:rsidR="00D703F2" w:rsidRPr="005038D5">
        <w:rPr>
          <w:rFonts w:ascii="Times New Roman" w:hAnsi="Times New Roman"/>
        </w:rPr>
        <w:t>same-sex unions</w:t>
      </w:r>
      <w:r w:rsidR="00821305" w:rsidRPr="005038D5">
        <w:rPr>
          <w:rFonts w:ascii="Times New Roman" w:hAnsi="Times New Roman"/>
        </w:rPr>
        <w:t xml:space="preserve"> across the country</w:t>
      </w:r>
      <w:r w:rsidR="00D703F2" w:rsidRPr="005038D5">
        <w:rPr>
          <w:rFonts w:ascii="Times New Roman" w:hAnsi="Times New Roman"/>
        </w:rPr>
        <w:t xml:space="preserve">. </w:t>
      </w:r>
      <w:r w:rsidR="00EC32EF" w:rsidRPr="005038D5">
        <w:rPr>
          <w:rFonts w:ascii="Times New Roman" w:hAnsi="Times New Roman"/>
        </w:rPr>
        <w:t>Recent reports indicate the emergence of polyandry in Haryana and Punjab in the wake of severely unequal sex ratio.</w:t>
      </w:r>
      <w:r w:rsidR="00B67517" w:rsidRPr="008046C7">
        <w:rPr>
          <w:rStyle w:val="FootnoteReference"/>
          <w:rFonts w:ascii="Times New Roman" w:hAnsi="Times New Roman"/>
        </w:rPr>
        <w:footnoteReference w:id="5"/>
      </w:r>
      <w:r w:rsidR="00EC32EF" w:rsidRPr="005038D5">
        <w:rPr>
          <w:rFonts w:ascii="Times New Roman" w:hAnsi="Times New Roman"/>
        </w:rPr>
        <w:t xml:space="preserve"> </w:t>
      </w:r>
      <w:r w:rsidR="00D703F2" w:rsidRPr="005038D5">
        <w:rPr>
          <w:rFonts w:ascii="Times New Roman" w:hAnsi="Times New Roman"/>
        </w:rPr>
        <w:t xml:space="preserve">The study found that </w:t>
      </w:r>
      <w:r w:rsidR="00EF6E35" w:rsidRPr="005038D5">
        <w:rPr>
          <w:rFonts w:ascii="Times New Roman" w:hAnsi="Times New Roman"/>
        </w:rPr>
        <w:t xml:space="preserve">women in these </w:t>
      </w:r>
      <w:r w:rsidR="00EC32EF" w:rsidRPr="005038D5">
        <w:rPr>
          <w:rFonts w:ascii="Times New Roman" w:hAnsi="Times New Roman"/>
        </w:rPr>
        <w:t xml:space="preserve">diverse </w:t>
      </w:r>
      <w:r w:rsidR="00EF6E35" w:rsidRPr="005038D5">
        <w:rPr>
          <w:rFonts w:ascii="Times New Roman" w:hAnsi="Times New Roman"/>
        </w:rPr>
        <w:t xml:space="preserve">conjugalities, </w:t>
      </w:r>
      <w:r w:rsidR="00EC32EF" w:rsidRPr="005038D5">
        <w:rPr>
          <w:rFonts w:ascii="Times New Roman" w:hAnsi="Times New Roman"/>
        </w:rPr>
        <w:t>discharge t</w:t>
      </w:r>
      <w:r w:rsidR="00D84076" w:rsidRPr="005038D5">
        <w:rPr>
          <w:rFonts w:ascii="Times New Roman" w:hAnsi="Times New Roman"/>
        </w:rPr>
        <w:t>he same roles as ‘wives’ in normative family forms</w:t>
      </w:r>
      <w:r w:rsidR="00EF6E35" w:rsidRPr="005038D5">
        <w:rPr>
          <w:rFonts w:ascii="Times New Roman" w:hAnsi="Times New Roman"/>
        </w:rPr>
        <w:t xml:space="preserve">, </w:t>
      </w:r>
      <w:r w:rsidR="00EC32EF" w:rsidRPr="005038D5">
        <w:rPr>
          <w:rFonts w:ascii="Times New Roman" w:hAnsi="Times New Roman"/>
        </w:rPr>
        <w:t xml:space="preserve">but </w:t>
      </w:r>
      <w:r w:rsidR="00EF6E35" w:rsidRPr="005038D5">
        <w:rPr>
          <w:rFonts w:ascii="Times New Roman" w:hAnsi="Times New Roman"/>
        </w:rPr>
        <w:t xml:space="preserve">are excluded from </w:t>
      </w:r>
      <w:r w:rsidR="005414E3" w:rsidRPr="005038D5">
        <w:rPr>
          <w:rFonts w:ascii="Times New Roman" w:hAnsi="Times New Roman"/>
        </w:rPr>
        <w:t>core minimum legal protections</w:t>
      </w:r>
      <w:r w:rsidR="00EC32EF" w:rsidRPr="005038D5">
        <w:rPr>
          <w:rFonts w:ascii="Times New Roman" w:hAnsi="Times New Roman"/>
        </w:rPr>
        <w:t xml:space="preserve">. These protection gaps relate to </w:t>
      </w:r>
      <w:r w:rsidR="005414E3" w:rsidRPr="005038D5">
        <w:rPr>
          <w:rFonts w:ascii="Times New Roman" w:hAnsi="Times New Roman"/>
        </w:rPr>
        <w:t>dom</w:t>
      </w:r>
      <w:r w:rsidR="006E3765" w:rsidRPr="005038D5">
        <w:rPr>
          <w:rFonts w:ascii="Times New Roman" w:hAnsi="Times New Roman"/>
        </w:rPr>
        <w:t>estic violence</w:t>
      </w:r>
      <w:r w:rsidR="00EC32EF" w:rsidRPr="005038D5">
        <w:rPr>
          <w:rFonts w:ascii="Times New Roman" w:hAnsi="Times New Roman"/>
        </w:rPr>
        <w:t xml:space="preserve">, particularly economic abuse and eviction from household, uncertain </w:t>
      </w:r>
      <w:r w:rsidR="006E3765" w:rsidRPr="005038D5">
        <w:rPr>
          <w:rFonts w:ascii="Times New Roman" w:hAnsi="Times New Roman"/>
        </w:rPr>
        <w:t>custody/</w:t>
      </w:r>
      <w:r w:rsidR="0043062A" w:rsidRPr="005038D5">
        <w:rPr>
          <w:rFonts w:ascii="Times New Roman" w:hAnsi="Times New Roman"/>
        </w:rPr>
        <w:t xml:space="preserve"> </w:t>
      </w:r>
      <w:r w:rsidR="006E3765" w:rsidRPr="005038D5">
        <w:rPr>
          <w:rFonts w:ascii="Times New Roman" w:hAnsi="Times New Roman"/>
        </w:rPr>
        <w:t>guardianship of children</w:t>
      </w:r>
      <w:r w:rsidR="00EC32EF" w:rsidRPr="005038D5">
        <w:rPr>
          <w:rFonts w:ascii="Times New Roman" w:hAnsi="Times New Roman"/>
        </w:rPr>
        <w:t xml:space="preserve">; they also have little or no </w:t>
      </w:r>
      <w:r w:rsidR="00B0604B" w:rsidRPr="005038D5">
        <w:rPr>
          <w:rFonts w:ascii="Times New Roman" w:hAnsi="Times New Roman"/>
        </w:rPr>
        <w:t>access to crisis intervention services.</w:t>
      </w:r>
      <w:r w:rsidR="00EC32EF" w:rsidRPr="005038D5">
        <w:rPr>
          <w:rFonts w:ascii="Times New Roman" w:hAnsi="Times New Roman"/>
        </w:rPr>
        <w:t xml:space="preserve"> While the gender</w:t>
      </w:r>
      <w:r w:rsidR="001835AA" w:rsidRPr="005038D5">
        <w:rPr>
          <w:rFonts w:ascii="Times New Roman" w:hAnsi="Times New Roman"/>
        </w:rPr>
        <w:t xml:space="preserve"> discrimination women experience across family forms is the same, women in non-normative unions are rendered more vulnerable to abuse and oppression because they are </w:t>
      </w:r>
      <w:r w:rsidR="00EC32EF" w:rsidRPr="005038D5">
        <w:rPr>
          <w:rFonts w:ascii="Times New Roman" w:hAnsi="Times New Roman"/>
        </w:rPr>
        <w:t xml:space="preserve">excluded from </w:t>
      </w:r>
      <w:r w:rsidR="001835AA" w:rsidRPr="005038D5">
        <w:rPr>
          <w:rFonts w:ascii="Times New Roman" w:hAnsi="Times New Roman"/>
        </w:rPr>
        <w:t>legal protection</w:t>
      </w:r>
      <w:r w:rsidR="00EC32EF" w:rsidRPr="005038D5">
        <w:rPr>
          <w:rFonts w:ascii="Times New Roman" w:hAnsi="Times New Roman"/>
        </w:rPr>
        <w:t xml:space="preserve">, that is typically limited to </w:t>
      </w:r>
      <w:r w:rsidR="0043062A" w:rsidRPr="005038D5">
        <w:rPr>
          <w:rFonts w:ascii="Times New Roman" w:hAnsi="Times New Roman"/>
        </w:rPr>
        <w:t>legal</w:t>
      </w:r>
      <w:r w:rsidR="001835AA" w:rsidRPr="005038D5">
        <w:rPr>
          <w:rFonts w:ascii="Times New Roman" w:hAnsi="Times New Roman"/>
        </w:rPr>
        <w:t xml:space="preserve"> wives.</w:t>
      </w:r>
      <w:r w:rsidR="00974A15" w:rsidRPr="008046C7">
        <w:rPr>
          <w:rStyle w:val="FootnoteReference"/>
          <w:rFonts w:ascii="Times New Roman" w:hAnsi="Times New Roman"/>
        </w:rPr>
        <w:footnoteReference w:id="6"/>
      </w:r>
      <w:r w:rsidR="0043062A" w:rsidRPr="005038D5">
        <w:rPr>
          <w:rFonts w:ascii="Times New Roman" w:hAnsi="Times New Roman"/>
        </w:rPr>
        <w:t xml:space="preserve"> </w:t>
      </w:r>
      <w:r w:rsidR="00EC32EF" w:rsidRPr="005038D5">
        <w:rPr>
          <w:rFonts w:ascii="Times New Roman" w:hAnsi="Times New Roman"/>
        </w:rPr>
        <w:t xml:space="preserve">Such </w:t>
      </w:r>
      <w:r w:rsidR="001835AA" w:rsidRPr="005038D5">
        <w:rPr>
          <w:rFonts w:ascii="Times New Roman" w:hAnsi="Times New Roman"/>
        </w:rPr>
        <w:t>conditionality cannot be the basis for fundamental legal protections</w:t>
      </w:r>
      <w:r w:rsidR="0043062A" w:rsidRPr="005038D5">
        <w:rPr>
          <w:rFonts w:ascii="Times New Roman" w:hAnsi="Times New Roman"/>
        </w:rPr>
        <w:t xml:space="preserve">, that </w:t>
      </w:r>
      <w:r w:rsidR="00974A15" w:rsidRPr="005038D5">
        <w:rPr>
          <w:rFonts w:ascii="Times New Roman" w:hAnsi="Times New Roman"/>
        </w:rPr>
        <w:t xml:space="preserve">must be available to all women, who are situated similarly in terms of the </w:t>
      </w:r>
      <w:r w:rsidR="005D0052" w:rsidRPr="005038D5">
        <w:rPr>
          <w:rFonts w:ascii="Times New Roman" w:hAnsi="Times New Roman"/>
        </w:rPr>
        <w:t>reproductive</w:t>
      </w:r>
      <w:r w:rsidR="00974A15" w:rsidRPr="005038D5">
        <w:rPr>
          <w:rFonts w:ascii="Times New Roman" w:hAnsi="Times New Roman"/>
        </w:rPr>
        <w:t xml:space="preserve"> and productive labour</w:t>
      </w:r>
      <w:r w:rsidR="005D0052" w:rsidRPr="005038D5">
        <w:rPr>
          <w:rFonts w:ascii="Times New Roman" w:hAnsi="Times New Roman"/>
        </w:rPr>
        <w:t xml:space="preserve">, care-giving </w:t>
      </w:r>
      <w:r w:rsidR="00974A15" w:rsidRPr="005038D5">
        <w:rPr>
          <w:rFonts w:ascii="Times New Roman" w:hAnsi="Times New Roman"/>
        </w:rPr>
        <w:t>and sexual intimacy they contribute – regardle</w:t>
      </w:r>
      <w:r w:rsidR="0043062A" w:rsidRPr="005038D5">
        <w:rPr>
          <w:rFonts w:ascii="Times New Roman" w:hAnsi="Times New Roman"/>
        </w:rPr>
        <w:t>ss of their legal status</w:t>
      </w:r>
      <w:r w:rsidR="00974A15" w:rsidRPr="005038D5">
        <w:rPr>
          <w:rFonts w:ascii="Times New Roman" w:hAnsi="Times New Roman"/>
        </w:rPr>
        <w:t xml:space="preserve">. </w:t>
      </w:r>
      <w:r w:rsidR="0043062A" w:rsidRPr="005038D5">
        <w:rPr>
          <w:rFonts w:ascii="Times New Roman" w:hAnsi="Times New Roman"/>
        </w:rPr>
        <w:t xml:space="preserve">This is not to suggest that all family forms must be legally recognised, but rather to emphasise that irrespective of legal recognition, women across family forms must be able to access legal proctection. </w:t>
      </w:r>
    </w:p>
    <w:p w14:paraId="5F603C01" w14:textId="59084FC8" w:rsidR="005038D5" w:rsidRDefault="005314BD" w:rsidP="005038D5">
      <w:pPr>
        <w:jc w:val="both"/>
        <w:rPr>
          <w:rFonts w:ascii="Times New Roman" w:hAnsi="Times New Roman"/>
          <w:iCs/>
        </w:rPr>
      </w:pPr>
      <w:r w:rsidRPr="008046C7">
        <w:rPr>
          <w:rFonts w:ascii="Times New Roman" w:hAnsi="Times New Roman"/>
        </w:rPr>
        <w:t xml:space="preserve">International human rights instruments </w:t>
      </w:r>
      <w:r w:rsidR="006B5568" w:rsidRPr="008046C7">
        <w:rPr>
          <w:rFonts w:ascii="Times New Roman" w:hAnsi="Times New Roman"/>
        </w:rPr>
        <w:t xml:space="preserve">have consistently </w:t>
      </w:r>
      <w:r w:rsidRPr="008046C7">
        <w:rPr>
          <w:rFonts w:ascii="Times New Roman" w:hAnsi="Times New Roman"/>
        </w:rPr>
        <w:t>advocate</w:t>
      </w:r>
      <w:r w:rsidR="006B5568" w:rsidRPr="008046C7">
        <w:rPr>
          <w:rFonts w:ascii="Times New Roman" w:hAnsi="Times New Roman"/>
        </w:rPr>
        <w:t>d</w:t>
      </w:r>
      <w:r w:rsidRPr="008046C7">
        <w:rPr>
          <w:rFonts w:ascii="Times New Roman" w:hAnsi="Times New Roman"/>
        </w:rPr>
        <w:t xml:space="preserve"> an inclusive framework on family, </w:t>
      </w:r>
      <w:r w:rsidR="006B5568" w:rsidRPr="008046C7">
        <w:rPr>
          <w:rFonts w:ascii="Times New Roman" w:hAnsi="Times New Roman"/>
        </w:rPr>
        <w:t xml:space="preserve">based on recognition of </w:t>
      </w:r>
      <w:r w:rsidR="009D40C1" w:rsidRPr="008046C7">
        <w:rPr>
          <w:rFonts w:ascii="Times New Roman" w:hAnsi="Times New Roman"/>
        </w:rPr>
        <w:t xml:space="preserve">diversity of family forms </w:t>
      </w:r>
      <w:r w:rsidRPr="008046C7">
        <w:rPr>
          <w:rFonts w:ascii="Times New Roman" w:hAnsi="Times New Roman"/>
        </w:rPr>
        <w:t xml:space="preserve">in recognition of </w:t>
      </w:r>
      <w:r w:rsidR="006B5568" w:rsidRPr="008046C7">
        <w:rPr>
          <w:rFonts w:ascii="Times New Roman" w:hAnsi="Times New Roman"/>
        </w:rPr>
        <w:t xml:space="preserve">women’s </w:t>
      </w:r>
      <w:r w:rsidR="00B24FF8" w:rsidRPr="008046C7">
        <w:rPr>
          <w:rFonts w:ascii="Times New Roman" w:hAnsi="Times New Roman"/>
        </w:rPr>
        <w:t xml:space="preserve">labour and care-giving </w:t>
      </w:r>
      <w:r w:rsidRPr="008046C7">
        <w:rPr>
          <w:rFonts w:ascii="Times New Roman" w:hAnsi="Times New Roman"/>
        </w:rPr>
        <w:t>in the household</w:t>
      </w:r>
      <w:r w:rsidR="00B24FF8" w:rsidRPr="008046C7">
        <w:rPr>
          <w:rFonts w:ascii="Times New Roman" w:hAnsi="Times New Roman"/>
        </w:rPr>
        <w:t xml:space="preserve">. </w:t>
      </w:r>
      <w:r w:rsidR="00B902FC" w:rsidRPr="008046C7">
        <w:rPr>
          <w:rFonts w:ascii="Times New Roman" w:hAnsi="Times New Roman"/>
          <w:iCs/>
        </w:rPr>
        <w:t>The UN Special Rapporteur for Violence against Women in her report at the 52nd session of the Human Rights Commission stated that ‘...the family is defined broadly as the site of intimate personal relationship. A subjective definition, i.e. any unit where the individuals concerned feel they are a family, is more inclusive than an objective one and more relevant for the discussion of domestic violence. Rather than relying on the institutionalized definitions of family imputed by the State, notions of family should be re-conceptualized around expressions of ideals of nurturance and care. There is a need to make room for "difference and plurality" within our understanding of what constitutes family.’</w:t>
      </w:r>
      <w:r w:rsidR="00B902FC" w:rsidRPr="008046C7">
        <w:rPr>
          <w:rStyle w:val="FootnoteReference"/>
          <w:rFonts w:ascii="Times New Roman" w:hAnsi="Times New Roman"/>
          <w:iCs/>
        </w:rPr>
        <w:footnoteReference w:id="7"/>
      </w:r>
      <w:r w:rsidR="005C7709" w:rsidRPr="008046C7">
        <w:rPr>
          <w:rFonts w:ascii="Times New Roman" w:hAnsi="Times New Roman"/>
          <w:iCs/>
        </w:rPr>
        <w:t xml:space="preserve"> </w:t>
      </w:r>
      <w:r w:rsidR="00B24FF8" w:rsidRPr="008046C7">
        <w:rPr>
          <w:rFonts w:ascii="Times New Roman" w:hAnsi="Times New Roman"/>
        </w:rPr>
        <w:t xml:space="preserve">The </w:t>
      </w:r>
      <w:r w:rsidR="00EE6060" w:rsidRPr="008046C7">
        <w:rPr>
          <w:rFonts w:ascii="Times New Roman" w:hAnsi="Times New Roman"/>
        </w:rPr>
        <w:t xml:space="preserve">ICCPR </w:t>
      </w:r>
      <w:r w:rsidR="00B24FF8" w:rsidRPr="008046C7">
        <w:rPr>
          <w:rFonts w:ascii="Times New Roman" w:hAnsi="Times New Roman"/>
        </w:rPr>
        <w:t>General Comment No.19 on Article 23 of the</w:t>
      </w:r>
      <w:r w:rsidR="00EE6060" w:rsidRPr="008046C7">
        <w:rPr>
          <w:rFonts w:ascii="Times New Roman" w:hAnsi="Times New Roman"/>
        </w:rPr>
        <w:t xml:space="preserve"> Convenant</w:t>
      </w:r>
      <w:r w:rsidR="00917CFA" w:rsidRPr="008046C7">
        <w:rPr>
          <w:rFonts w:ascii="Times New Roman" w:hAnsi="Times New Roman"/>
        </w:rPr>
        <w:t xml:space="preserve">, </w:t>
      </w:r>
      <w:r w:rsidR="00917CFA" w:rsidRPr="008046C7">
        <w:rPr>
          <w:rFonts w:ascii="Times New Roman" w:hAnsi="Times New Roman"/>
          <w:iCs/>
        </w:rPr>
        <w:t xml:space="preserve">emphasise </w:t>
      </w:r>
      <w:r w:rsidR="00B24FF8" w:rsidRPr="008046C7">
        <w:rPr>
          <w:rFonts w:ascii="Times New Roman" w:hAnsi="Times New Roman"/>
          <w:iCs/>
        </w:rPr>
        <w:t>the importance of providing the ‘</w:t>
      </w:r>
      <w:r w:rsidR="00B24FF8" w:rsidRPr="008046C7">
        <w:rPr>
          <w:rFonts w:ascii="Times New Roman" w:hAnsi="Times New Roman"/>
          <w:i/>
          <w:iCs/>
        </w:rPr>
        <w:t>widest possible protection and assistance to the family</w:t>
      </w:r>
      <w:r w:rsidR="00B24FF8" w:rsidRPr="008046C7">
        <w:rPr>
          <w:rFonts w:ascii="Times New Roman" w:hAnsi="Times New Roman"/>
          <w:iCs/>
        </w:rPr>
        <w:t xml:space="preserve">’. The </w:t>
      </w:r>
      <w:r w:rsidR="006B5568" w:rsidRPr="008046C7">
        <w:rPr>
          <w:rFonts w:ascii="Times New Roman" w:hAnsi="Times New Roman"/>
          <w:iCs/>
        </w:rPr>
        <w:t xml:space="preserve">CEDAW </w:t>
      </w:r>
      <w:r w:rsidR="00074970" w:rsidRPr="008046C7">
        <w:rPr>
          <w:rFonts w:ascii="Times New Roman" w:hAnsi="Times New Roman"/>
          <w:iCs/>
        </w:rPr>
        <w:t>General R</w:t>
      </w:r>
      <w:r w:rsidR="00B24FF8" w:rsidRPr="008046C7">
        <w:rPr>
          <w:rFonts w:ascii="Times New Roman" w:hAnsi="Times New Roman"/>
          <w:iCs/>
        </w:rPr>
        <w:t>ecommendation</w:t>
      </w:r>
      <w:r w:rsidR="00074970" w:rsidRPr="008046C7">
        <w:rPr>
          <w:rFonts w:ascii="Times New Roman" w:hAnsi="Times New Roman"/>
          <w:iCs/>
        </w:rPr>
        <w:t xml:space="preserve"> 21</w:t>
      </w:r>
      <w:r w:rsidR="00B24FF8" w:rsidRPr="008046C7">
        <w:rPr>
          <w:rFonts w:ascii="Times New Roman" w:hAnsi="Times New Roman"/>
          <w:iCs/>
        </w:rPr>
        <w:t xml:space="preserve"> clarifying Article 16, </w:t>
      </w:r>
      <w:r w:rsidR="00EE6060" w:rsidRPr="008046C7">
        <w:rPr>
          <w:rFonts w:ascii="Times New Roman" w:hAnsi="Times New Roman"/>
          <w:iCs/>
        </w:rPr>
        <w:t>reiterates that the legal protection to women must not be</w:t>
      </w:r>
      <w:r w:rsidR="00B24FF8" w:rsidRPr="008046C7">
        <w:rPr>
          <w:rFonts w:ascii="Times New Roman" w:hAnsi="Times New Roman"/>
          <w:iCs/>
        </w:rPr>
        <w:t xml:space="preserve"> limited to legally recognised wives alone, but</w:t>
      </w:r>
      <w:r w:rsidR="005B3854" w:rsidRPr="008046C7">
        <w:rPr>
          <w:rFonts w:ascii="Times New Roman" w:hAnsi="Times New Roman"/>
          <w:iCs/>
        </w:rPr>
        <w:t xml:space="preserve"> women in diverse family forms.</w:t>
      </w:r>
      <w:r w:rsidR="006B5568" w:rsidRPr="008046C7">
        <w:rPr>
          <w:rFonts w:ascii="Times New Roman" w:hAnsi="Times New Roman"/>
          <w:iCs/>
        </w:rPr>
        <w:t xml:space="preserve"> The CEDAW </w:t>
      </w:r>
      <w:r w:rsidR="00074970" w:rsidRPr="008046C7">
        <w:rPr>
          <w:rFonts w:ascii="Times New Roman" w:hAnsi="Times New Roman"/>
          <w:iCs/>
        </w:rPr>
        <w:t>General R</w:t>
      </w:r>
      <w:r w:rsidR="00B24FF8" w:rsidRPr="008046C7">
        <w:rPr>
          <w:rFonts w:ascii="Times New Roman" w:hAnsi="Times New Roman"/>
          <w:iCs/>
        </w:rPr>
        <w:t>ecommendation</w:t>
      </w:r>
      <w:r w:rsidR="00074970" w:rsidRPr="008046C7">
        <w:rPr>
          <w:rFonts w:ascii="Times New Roman" w:hAnsi="Times New Roman"/>
          <w:iCs/>
        </w:rPr>
        <w:t xml:space="preserve"> 29</w:t>
      </w:r>
      <w:r w:rsidR="00B24FF8" w:rsidRPr="008046C7">
        <w:rPr>
          <w:rFonts w:ascii="Times New Roman" w:hAnsi="Times New Roman"/>
          <w:iCs/>
        </w:rPr>
        <w:t xml:space="preserve">, </w:t>
      </w:r>
      <w:r w:rsidR="006B5568" w:rsidRPr="008046C7">
        <w:rPr>
          <w:rFonts w:ascii="Times New Roman" w:hAnsi="Times New Roman"/>
          <w:iCs/>
        </w:rPr>
        <w:t xml:space="preserve">in </w:t>
      </w:r>
      <w:r w:rsidR="00B24FF8" w:rsidRPr="008046C7">
        <w:rPr>
          <w:rFonts w:ascii="Times New Roman" w:hAnsi="Times New Roman"/>
          <w:iCs/>
        </w:rPr>
        <w:t>para 31</w:t>
      </w:r>
      <w:r w:rsidR="006B5568" w:rsidRPr="008046C7">
        <w:rPr>
          <w:rFonts w:ascii="Times New Roman" w:hAnsi="Times New Roman"/>
          <w:iCs/>
        </w:rPr>
        <w:t>,</w:t>
      </w:r>
      <w:r w:rsidR="00B24FF8" w:rsidRPr="008046C7">
        <w:rPr>
          <w:rFonts w:ascii="Times New Roman" w:hAnsi="Times New Roman"/>
          <w:iCs/>
        </w:rPr>
        <w:t xml:space="preserve"> enjoins State </w:t>
      </w:r>
      <w:r w:rsidR="00917CFA" w:rsidRPr="008046C7">
        <w:rPr>
          <w:rFonts w:ascii="Times New Roman" w:hAnsi="Times New Roman"/>
          <w:iCs/>
        </w:rPr>
        <w:t xml:space="preserve">parties </w:t>
      </w:r>
      <w:r w:rsidR="00B24FF8" w:rsidRPr="008046C7">
        <w:rPr>
          <w:rFonts w:ascii="Times New Roman" w:hAnsi="Times New Roman"/>
          <w:iCs/>
        </w:rPr>
        <w:t>to ‘</w:t>
      </w:r>
      <w:r w:rsidR="00B24FF8" w:rsidRPr="008046C7">
        <w:rPr>
          <w:rFonts w:ascii="Times New Roman" w:hAnsi="Times New Roman"/>
          <w:i/>
          <w:iCs/>
        </w:rPr>
        <w:t>consider the situation of women in these (de facto) unions, and of the children resulting from them, and takes the necessary measures to ensure the protection of their economic rights</w:t>
      </w:r>
      <w:r w:rsidR="00B24FF8" w:rsidRPr="008046C7">
        <w:rPr>
          <w:rFonts w:ascii="Times New Roman" w:hAnsi="Times New Roman"/>
          <w:iCs/>
        </w:rPr>
        <w:t xml:space="preserve">.’ </w:t>
      </w:r>
      <w:r w:rsidR="00F12C89" w:rsidRPr="008046C7">
        <w:rPr>
          <w:rFonts w:ascii="Times New Roman" w:hAnsi="Times New Roman"/>
          <w:iCs/>
        </w:rPr>
        <w:t>The CEDAW General Recommendation 29, in para 24, also urges State parties who recognize other forms of relationships ‘</w:t>
      </w:r>
      <w:r w:rsidR="00F12C89" w:rsidRPr="008046C7">
        <w:rPr>
          <w:rFonts w:ascii="Times New Roman" w:hAnsi="Times New Roman"/>
          <w:i/>
          <w:iCs/>
        </w:rPr>
        <w:t>whether as a de-facto union, registered partnership or marriage</w:t>
      </w:r>
      <w:r w:rsidR="00F12C89" w:rsidRPr="008046C7">
        <w:rPr>
          <w:rFonts w:ascii="Times New Roman" w:hAnsi="Times New Roman"/>
          <w:iCs/>
        </w:rPr>
        <w:t>’ to ‘</w:t>
      </w:r>
      <w:r w:rsidR="00F12C89" w:rsidRPr="008046C7">
        <w:rPr>
          <w:rFonts w:ascii="Times New Roman" w:hAnsi="Times New Roman"/>
          <w:i/>
          <w:iCs/>
        </w:rPr>
        <w:t>ensure protection of the economic rights of the women in those relationships</w:t>
      </w:r>
      <w:r w:rsidR="00F12C89" w:rsidRPr="008046C7">
        <w:rPr>
          <w:rFonts w:ascii="Times New Roman" w:hAnsi="Times New Roman"/>
          <w:iCs/>
        </w:rPr>
        <w:t xml:space="preserve">’. </w:t>
      </w:r>
      <w:r w:rsidR="00B24FF8" w:rsidRPr="008046C7">
        <w:rPr>
          <w:rFonts w:ascii="Times New Roman" w:hAnsi="Times New Roman"/>
          <w:iCs/>
        </w:rPr>
        <w:t>Principle 24 of the Yogyakarta Principles</w:t>
      </w:r>
      <w:r w:rsidR="00B902FC" w:rsidRPr="008046C7">
        <w:rPr>
          <w:rFonts w:ascii="Times New Roman" w:hAnsi="Times New Roman"/>
          <w:iCs/>
        </w:rPr>
        <w:t>extends these protections to same sex conjugal units as well.</w:t>
      </w:r>
      <w:r w:rsidR="00EA324F" w:rsidRPr="008046C7">
        <w:rPr>
          <w:rFonts w:ascii="Times New Roman" w:hAnsi="Times New Roman"/>
          <w:iCs/>
        </w:rPr>
        <w:t xml:space="preserve"> </w:t>
      </w:r>
      <w:r w:rsidR="00EE6060" w:rsidRPr="008046C7">
        <w:rPr>
          <w:rFonts w:ascii="Times New Roman" w:hAnsi="Times New Roman"/>
          <w:iCs/>
        </w:rPr>
        <w:t xml:space="preserve">The </w:t>
      </w:r>
      <w:r w:rsidR="00EA324F" w:rsidRPr="008046C7">
        <w:rPr>
          <w:rFonts w:ascii="Times New Roman" w:hAnsi="Times New Roman"/>
          <w:iCs/>
        </w:rPr>
        <w:t xml:space="preserve">report of the Working </w:t>
      </w:r>
      <w:r w:rsidR="00EA324F" w:rsidRPr="008046C7">
        <w:rPr>
          <w:rFonts w:ascii="Times New Roman" w:hAnsi="Times New Roman"/>
          <w:iCs/>
        </w:rPr>
        <w:lastRenderedPageBreak/>
        <w:t xml:space="preserve">Group on </w:t>
      </w:r>
      <w:r w:rsidR="00EE6060" w:rsidRPr="008046C7">
        <w:rPr>
          <w:rFonts w:ascii="Times New Roman" w:hAnsi="Times New Roman"/>
          <w:iCs/>
        </w:rPr>
        <w:t>Discrimination A</w:t>
      </w:r>
      <w:r w:rsidR="00EA324F" w:rsidRPr="008046C7">
        <w:rPr>
          <w:rFonts w:ascii="Times New Roman" w:hAnsi="Times New Roman"/>
          <w:iCs/>
        </w:rPr>
        <w:t>gains</w:t>
      </w:r>
      <w:r w:rsidR="00EE6060" w:rsidRPr="008046C7">
        <w:rPr>
          <w:rFonts w:ascii="Times New Roman" w:hAnsi="Times New Roman"/>
          <w:iCs/>
        </w:rPr>
        <w:t>t Women in Law and P</w:t>
      </w:r>
      <w:r w:rsidR="00EA324F" w:rsidRPr="008046C7">
        <w:rPr>
          <w:rFonts w:ascii="Times New Roman" w:hAnsi="Times New Roman"/>
          <w:iCs/>
        </w:rPr>
        <w:t xml:space="preserve">ractice </w:t>
      </w:r>
      <w:r w:rsidR="00EE6060" w:rsidRPr="008046C7">
        <w:rPr>
          <w:rFonts w:ascii="Times New Roman" w:hAnsi="Times New Roman"/>
          <w:iCs/>
        </w:rPr>
        <w:t>(2015)</w:t>
      </w:r>
      <w:r w:rsidR="005038D5">
        <w:rPr>
          <w:rFonts w:ascii="Times New Roman" w:hAnsi="Times New Roman"/>
          <w:iCs/>
        </w:rPr>
        <w:t xml:space="preserve"> on </w:t>
      </w:r>
      <w:r w:rsidR="00662C08">
        <w:rPr>
          <w:rFonts w:ascii="Times New Roman" w:hAnsi="Times New Roman"/>
          <w:iCs/>
        </w:rPr>
        <w:t xml:space="preserve">the theme of </w:t>
      </w:r>
      <w:r w:rsidR="005038D5">
        <w:rPr>
          <w:rFonts w:ascii="Times New Roman" w:hAnsi="Times New Roman"/>
          <w:iCs/>
        </w:rPr>
        <w:t>discrimination in family and cultural life</w:t>
      </w:r>
      <w:r w:rsidR="00EA324F" w:rsidRPr="008046C7">
        <w:rPr>
          <w:rFonts w:ascii="Times New Roman" w:hAnsi="Times New Roman"/>
          <w:iCs/>
        </w:rPr>
        <w:t xml:space="preserve">, </w:t>
      </w:r>
      <w:r w:rsidR="00DA1910" w:rsidRPr="008046C7">
        <w:rPr>
          <w:rFonts w:ascii="Times New Roman" w:hAnsi="Times New Roman"/>
          <w:iCs/>
        </w:rPr>
        <w:t>asserts the need to apply the women’s right to equality within the family, whether they are governed by secular family law systems, State-enforced religious family law systems, and plural systems.</w:t>
      </w:r>
    </w:p>
    <w:p w14:paraId="3CAB3430" w14:textId="10667008" w:rsidR="0073395A" w:rsidRPr="005038D5" w:rsidRDefault="005038D5" w:rsidP="005038D5">
      <w:pPr>
        <w:jc w:val="both"/>
        <w:rPr>
          <w:rFonts w:ascii="Times New Roman" w:hAnsi="Times New Roman"/>
          <w:iCs/>
        </w:rPr>
      </w:pPr>
      <w:r w:rsidRPr="005038D5">
        <w:rPr>
          <w:rFonts w:ascii="Times New Roman" w:hAnsi="Times New Roman"/>
          <w:b/>
          <w:iCs/>
        </w:rPr>
        <w:t>B.</w:t>
      </w:r>
      <w:r>
        <w:rPr>
          <w:rFonts w:ascii="Times New Roman" w:hAnsi="Times New Roman"/>
          <w:iCs/>
        </w:rPr>
        <w:t xml:space="preserve"> </w:t>
      </w:r>
      <w:r w:rsidR="006D65EC" w:rsidRPr="005038D5">
        <w:rPr>
          <w:rFonts w:ascii="Times New Roman" w:hAnsi="Times New Roman"/>
          <w:b/>
          <w:bCs/>
          <w:smallCaps/>
        </w:rPr>
        <w:t xml:space="preserve">ENSURE EQUALITY </w:t>
      </w:r>
      <w:r w:rsidR="00865EA7" w:rsidRPr="005038D5">
        <w:rPr>
          <w:rFonts w:ascii="Times New Roman" w:hAnsi="Times New Roman"/>
          <w:b/>
          <w:bCs/>
          <w:smallCaps/>
        </w:rPr>
        <w:t xml:space="preserve">AND NON-DISCRIMINATION </w:t>
      </w:r>
      <w:r w:rsidR="006D65EC" w:rsidRPr="005038D5">
        <w:rPr>
          <w:rFonts w:ascii="Times New Roman" w:hAnsi="Times New Roman"/>
          <w:b/>
          <w:bCs/>
          <w:smallCaps/>
        </w:rPr>
        <w:t xml:space="preserve">THROUGH </w:t>
      </w:r>
      <w:r w:rsidR="00B902FC" w:rsidRPr="005038D5">
        <w:rPr>
          <w:rFonts w:ascii="Times New Roman" w:hAnsi="Times New Roman"/>
          <w:b/>
          <w:bCs/>
          <w:smallCaps/>
        </w:rPr>
        <w:t>PROTECTION OF INDIVIDUAL RIGHTS WITHIN THE FAMILY</w:t>
      </w:r>
      <w:r w:rsidR="002839EB" w:rsidRPr="005038D5">
        <w:rPr>
          <w:rFonts w:ascii="Times New Roman" w:hAnsi="Times New Roman"/>
          <w:b/>
          <w:bCs/>
          <w:smallCaps/>
        </w:rPr>
        <w:t xml:space="preserve"> - </w:t>
      </w:r>
      <w:r w:rsidR="002839EB" w:rsidRPr="005038D5">
        <w:rPr>
          <w:rFonts w:ascii="Times New Roman" w:hAnsi="Times New Roman"/>
        </w:rPr>
        <w:t>There is</w:t>
      </w:r>
      <w:r w:rsidR="00B969AC" w:rsidRPr="005038D5">
        <w:rPr>
          <w:rFonts w:ascii="Times New Roman" w:hAnsi="Times New Roman"/>
        </w:rPr>
        <w:t xml:space="preserve"> extensive documentation </w:t>
      </w:r>
      <w:r w:rsidR="00EB4AFF" w:rsidRPr="005038D5">
        <w:rPr>
          <w:rFonts w:ascii="Times New Roman" w:hAnsi="Times New Roman"/>
        </w:rPr>
        <w:t xml:space="preserve">on </w:t>
      </w:r>
      <w:r w:rsidR="002839EB" w:rsidRPr="005038D5">
        <w:rPr>
          <w:rFonts w:ascii="Times New Roman" w:hAnsi="Times New Roman"/>
        </w:rPr>
        <w:t xml:space="preserve">domestic </w:t>
      </w:r>
      <w:r w:rsidR="00B969AC" w:rsidRPr="005038D5">
        <w:rPr>
          <w:rFonts w:ascii="Times New Roman" w:hAnsi="Times New Roman"/>
        </w:rPr>
        <w:t>abuse against individuals who are vulnerable based on their sex</w:t>
      </w:r>
      <w:r w:rsidR="00EB4AFF" w:rsidRPr="005038D5">
        <w:rPr>
          <w:rFonts w:ascii="Times New Roman" w:hAnsi="Times New Roman"/>
        </w:rPr>
        <w:t xml:space="preserve"> (including sexual orientation and gender identity)</w:t>
      </w:r>
      <w:r w:rsidR="002C6ABD" w:rsidRPr="005038D5">
        <w:rPr>
          <w:rFonts w:ascii="Times New Roman" w:hAnsi="Times New Roman"/>
        </w:rPr>
        <w:t>, gender, age and ability. S</w:t>
      </w:r>
      <w:r w:rsidR="00B969AC" w:rsidRPr="005038D5">
        <w:rPr>
          <w:rFonts w:ascii="Times New Roman" w:hAnsi="Times New Roman"/>
        </w:rPr>
        <w:t>tudies in India have shown widespread intimate partner violence, domestic abuse, dowry related deaths</w:t>
      </w:r>
      <w:r w:rsidR="002839EB" w:rsidRPr="005038D5">
        <w:rPr>
          <w:rFonts w:ascii="Times New Roman" w:hAnsi="Times New Roman"/>
        </w:rPr>
        <w:t>, marital rape</w:t>
      </w:r>
      <w:r w:rsidR="00B969AC" w:rsidRPr="005038D5">
        <w:rPr>
          <w:rFonts w:ascii="Times New Roman" w:hAnsi="Times New Roman"/>
        </w:rPr>
        <w:t xml:space="preserve"> </w:t>
      </w:r>
      <w:r w:rsidR="0073395A" w:rsidRPr="005038D5">
        <w:rPr>
          <w:rFonts w:ascii="Times New Roman" w:hAnsi="Times New Roman"/>
        </w:rPr>
        <w:t>and killing in the name of honour of young women and men who choose to marry across caste, religion and other social divide</w:t>
      </w:r>
      <w:r w:rsidR="00EB4AFF" w:rsidRPr="005038D5">
        <w:rPr>
          <w:rFonts w:ascii="Times New Roman" w:hAnsi="Times New Roman"/>
        </w:rPr>
        <w:t>s</w:t>
      </w:r>
      <w:r w:rsidR="0073395A" w:rsidRPr="005038D5">
        <w:rPr>
          <w:rFonts w:ascii="Times New Roman" w:hAnsi="Times New Roman"/>
        </w:rPr>
        <w:t xml:space="preserve">. There have also been cases of </w:t>
      </w:r>
      <w:r w:rsidR="002C6ABD" w:rsidRPr="005038D5">
        <w:rPr>
          <w:rFonts w:ascii="Times New Roman" w:hAnsi="Times New Roman"/>
        </w:rPr>
        <w:t xml:space="preserve">torture through </w:t>
      </w:r>
      <w:r w:rsidR="0073395A" w:rsidRPr="005038D5">
        <w:rPr>
          <w:rFonts w:ascii="Times New Roman" w:hAnsi="Times New Roman"/>
        </w:rPr>
        <w:t xml:space="preserve">forced </w:t>
      </w:r>
      <w:r w:rsidR="002C6ABD" w:rsidRPr="005038D5">
        <w:rPr>
          <w:rFonts w:ascii="Times New Roman" w:hAnsi="Times New Roman"/>
        </w:rPr>
        <w:t xml:space="preserve">treatments including </w:t>
      </w:r>
      <w:r w:rsidR="0073395A" w:rsidRPr="005038D5">
        <w:rPr>
          <w:rFonts w:ascii="Times New Roman" w:hAnsi="Times New Roman"/>
        </w:rPr>
        <w:t xml:space="preserve">electric therapies by parents and medical establishments against children to ‘cure’ them of homosexuality.   </w:t>
      </w:r>
    </w:p>
    <w:p w14:paraId="0EFDF1D4" w14:textId="69427283" w:rsidR="00B902FC" w:rsidRPr="008046C7" w:rsidRDefault="002C6ABD" w:rsidP="00575A2C">
      <w:pPr>
        <w:jc w:val="both"/>
        <w:rPr>
          <w:rFonts w:ascii="Times New Roman" w:hAnsi="Times New Roman"/>
        </w:rPr>
      </w:pPr>
      <w:r w:rsidRPr="008046C7">
        <w:rPr>
          <w:rFonts w:ascii="Times New Roman" w:hAnsi="Times New Roman"/>
        </w:rPr>
        <w:t xml:space="preserve">Discrimination against women </w:t>
      </w:r>
      <w:r w:rsidR="0073395A" w:rsidRPr="008046C7">
        <w:rPr>
          <w:rFonts w:ascii="Times New Roman" w:hAnsi="Times New Roman"/>
        </w:rPr>
        <w:t xml:space="preserve">within </w:t>
      </w:r>
      <w:r w:rsidRPr="008046C7">
        <w:rPr>
          <w:rFonts w:ascii="Times New Roman" w:hAnsi="Times New Roman"/>
        </w:rPr>
        <w:t xml:space="preserve">normative families </w:t>
      </w:r>
      <w:r w:rsidR="0073395A" w:rsidRPr="008046C7">
        <w:rPr>
          <w:rFonts w:ascii="Times New Roman" w:hAnsi="Times New Roman"/>
        </w:rPr>
        <w:t xml:space="preserve">occur in terms of reproductive rights, </w:t>
      </w:r>
      <w:r w:rsidRPr="008046C7">
        <w:rPr>
          <w:rFonts w:ascii="Times New Roman" w:hAnsi="Times New Roman"/>
        </w:rPr>
        <w:t xml:space="preserve">sexual violence, disproportionate share of </w:t>
      </w:r>
      <w:r w:rsidR="0073395A" w:rsidRPr="008046C7">
        <w:rPr>
          <w:rFonts w:ascii="Times New Roman" w:hAnsi="Times New Roman"/>
        </w:rPr>
        <w:t>domestic work and care-giving labour</w:t>
      </w:r>
      <w:r w:rsidRPr="008046C7">
        <w:rPr>
          <w:rFonts w:ascii="Times New Roman" w:hAnsi="Times New Roman"/>
        </w:rPr>
        <w:t xml:space="preserve">; in addition to denial of or unequal succession rights, ecnomic resources and decision making. Further, women run households often lack the same privileges as male headed families. </w:t>
      </w:r>
      <w:r w:rsidR="0073395A" w:rsidRPr="008046C7">
        <w:rPr>
          <w:rFonts w:ascii="Times New Roman" w:hAnsi="Times New Roman"/>
        </w:rPr>
        <w:t xml:space="preserve">More recently, there </w:t>
      </w:r>
      <w:r w:rsidRPr="008046C7">
        <w:rPr>
          <w:rFonts w:ascii="Times New Roman" w:hAnsi="Times New Roman"/>
        </w:rPr>
        <w:t xml:space="preserve">is growing recognition of </w:t>
      </w:r>
      <w:r w:rsidR="0073395A" w:rsidRPr="008046C7">
        <w:rPr>
          <w:rFonts w:ascii="Times New Roman" w:hAnsi="Times New Roman"/>
        </w:rPr>
        <w:t>elderly abuse.</w:t>
      </w:r>
      <w:r w:rsidRPr="008046C7">
        <w:rPr>
          <w:rFonts w:ascii="Times New Roman" w:hAnsi="Times New Roman"/>
        </w:rPr>
        <w:t xml:space="preserve">The realities of women, children, the elderly and those with disability show that family members are not equally situated, and that legal protection to individuals within </w:t>
      </w:r>
      <w:r w:rsidR="00054CE3" w:rsidRPr="008046C7">
        <w:rPr>
          <w:rFonts w:ascii="Times New Roman" w:hAnsi="Times New Roman"/>
        </w:rPr>
        <w:t xml:space="preserve">de jure and de facto </w:t>
      </w:r>
      <w:r w:rsidRPr="008046C7">
        <w:rPr>
          <w:rFonts w:ascii="Times New Roman" w:hAnsi="Times New Roman"/>
        </w:rPr>
        <w:t>families and househoulds</w:t>
      </w:r>
      <w:r w:rsidR="00054CE3" w:rsidRPr="008046C7">
        <w:rPr>
          <w:rFonts w:ascii="Times New Roman" w:hAnsi="Times New Roman"/>
        </w:rPr>
        <w:t xml:space="preserve"> is fundamental to realisation of equality and non-discrimination. </w:t>
      </w:r>
      <w:r w:rsidR="00EB4AFF" w:rsidRPr="008046C7">
        <w:rPr>
          <w:rFonts w:ascii="Times New Roman" w:hAnsi="Times New Roman"/>
        </w:rPr>
        <w:t xml:space="preserve">Such protection across diverse families </w:t>
      </w:r>
      <w:r w:rsidR="00054CE3" w:rsidRPr="008046C7">
        <w:rPr>
          <w:rFonts w:ascii="Times New Roman" w:hAnsi="Times New Roman"/>
        </w:rPr>
        <w:t xml:space="preserve">holds the promise for making families a powerful tranformatory unit in society.  </w:t>
      </w:r>
    </w:p>
    <w:p w14:paraId="010180A2" w14:textId="3D571D76" w:rsidR="00B969AC" w:rsidRPr="008046C7" w:rsidRDefault="00B969AC" w:rsidP="009E13BC">
      <w:pPr>
        <w:jc w:val="both"/>
        <w:rPr>
          <w:rFonts w:ascii="Times New Roman" w:hAnsi="Times New Roman"/>
          <w:iCs/>
        </w:rPr>
      </w:pPr>
      <w:r w:rsidRPr="008046C7">
        <w:rPr>
          <w:rFonts w:ascii="Times New Roman" w:hAnsi="Times New Roman"/>
          <w:b/>
          <w:bCs/>
          <w:smallCaps/>
        </w:rPr>
        <w:t xml:space="preserve">C. </w:t>
      </w:r>
      <w:r w:rsidR="00054CE3" w:rsidRPr="008046C7">
        <w:rPr>
          <w:rFonts w:ascii="Times New Roman" w:hAnsi="Times New Roman"/>
          <w:b/>
          <w:bCs/>
          <w:smallCaps/>
        </w:rPr>
        <w:t xml:space="preserve">STATE BEARS THE PRIMARY DUTY TO </w:t>
      </w:r>
      <w:r w:rsidRPr="008046C7">
        <w:rPr>
          <w:rFonts w:ascii="Times New Roman" w:hAnsi="Times New Roman"/>
          <w:b/>
          <w:bCs/>
          <w:smallCaps/>
        </w:rPr>
        <w:t>ADVANCE HUMAN RIGHTS</w:t>
      </w:r>
      <w:r w:rsidR="00054CE3" w:rsidRPr="008046C7">
        <w:rPr>
          <w:rFonts w:ascii="Times New Roman" w:hAnsi="Times New Roman"/>
          <w:b/>
          <w:bCs/>
          <w:smallCaps/>
        </w:rPr>
        <w:t xml:space="preserve"> WIHTIN THE FAMILY, ELIMINATE POVERTY AND A</w:t>
      </w:r>
      <w:r w:rsidR="008F3463">
        <w:rPr>
          <w:rFonts w:ascii="Times New Roman" w:hAnsi="Times New Roman"/>
          <w:b/>
          <w:bCs/>
          <w:smallCaps/>
        </w:rPr>
        <w:t xml:space="preserve">CHIEVE SUSTAINABLE DEVELOPMENT - </w:t>
      </w:r>
      <w:r w:rsidRPr="008046C7">
        <w:rPr>
          <w:rFonts w:ascii="Times New Roman" w:hAnsi="Times New Roman"/>
          <w:iCs/>
        </w:rPr>
        <w:t>State is the primary duty bearer for fulfilment of all rights and ensuring legal protection of individuals against state as well as non-state actors. As highlighted above, the non-state actors often include family, community members, cultural and institutional bodies</w:t>
      </w:r>
      <w:r w:rsidR="008F3463">
        <w:rPr>
          <w:rFonts w:ascii="Times New Roman" w:hAnsi="Times New Roman"/>
          <w:iCs/>
        </w:rPr>
        <w:t>, private enterprises</w:t>
      </w:r>
      <w:r w:rsidRPr="008046C7">
        <w:rPr>
          <w:rFonts w:ascii="Times New Roman" w:hAnsi="Times New Roman"/>
          <w:iCs/>
        </w:rPr>
        <w:t xml:space="preserve"> who</w:t>
      </w:r>
      <w:r w:rsidR="008F3463">
        <w:rPr>
          <w:rFonts w:ascii="Times New Roman" w:hAnsi="Times New Roman"/>
          <w:iCs/>
        </w:rPr>
        <w:t>se complaince with human rights must be ensured through appropirate domestic legal, policy and programmatic interventions. The duty to ensure compliance by private actors rests upon the State</w:t>
      </w:r>
      <w:r w:rsidR="009E13BC">
        <w:rPr>
          <w:rFonts w:ascii="Times New Roman" w:hAnsi="Times New Roman"/>
          <w:iCs/>
        </w:rPr>
        <w:t xml:space="preserve">. </w:t>
      </w:r>
      <w:r w:rsidRPr="008046C7">
        <w:rPr>
          <w:rFonts w:ascii="Times New Roman" w:hAnsi="Times New Roman"/>
          <w:iCs/>
        </w:rPr>
        <w:t xml:space="preserve"> </w:t>
      </w:r>
    </w:p>
    <w:p w14:paraId="4BCCB627" w14:textId="0774D3D5" w:rsidR="009E13BC" w:rsidRDefault="009E13BC" w:rsidP="009E13BC">
      <w:pPr>
        <w:pBdr>
          <w:bottom w:val="single" w:sz="4" w:space="1" w:color="auto"/>
        </w:pBdr>
        <w:jc w:val="both"/>
        <w:rPr>
          <w:rFonts w:ascii="Times New Roman" w:hAnsi="Times New Roman"/>
        </w:rPr>
      </w:pPr>
      <w:r w:rsidRPr="008046C7">
        <w:rPr>
          <w:rFonts w:ascii="Times New Roman" w:hAnsi="Times New Roman"/>
        </w:rPr>
        <w:t>CEDAW in Article 16 stresses the obligation of the state to take appropriate measure to eliminate discrimination against women in all matters relating to marriage and family relations. These include equality in rights and responsibilities to enter, during and after marriage. The Convention on the Rights of Persons with Disabilities in Article 12 emphasizes the importance on state’s responsibility to recognize the legal capacity of persons with disabilities over all aspects of their lives on equal basis with other persons. The Rights of Persons with Disabilities Bill 2014 (India) places upon the government, the responsibility to protect and prevent persons with disabilities from all forms of abuse, violence and exploitation and protect legal remedies to them. In the context of the elederly, the United Nations Principles for Older Persons adopted by the General Assembly resolution 46/91 talks about older persons’s access to legal and social services to enhance their autonomy.</w:t>
      </w:r>
    </w:p>
    <w:p w14:paraId="39ADD626" w14:textId="77777777" w:rsidR="009E13BC" w:rsidRDefault="009E13BC" w:rsidP="009E13BC">
      <w:pPr>
        <w:pBdr>
          <w:bottom w:val="single" w:sz="4" w:space="1" w:color="auto"/>
        </w:pBdr>
        <w:jc w:val="both"/>
        <w:rPr>
          <w:rFonts w:ascii="Times New Roman" w:hAnsi="Times New Roman"/>
        </w:rPr>
      </w:pPr>
    </w:p>
    <w:p w14:paraId="731F297A" w14:textId="769ECDAF" w:rsidR="009E13BC" w:rsidRPr="009E13BC" w:rsidRDefault="009E13BC" w:rsidP="009E13BC">
      <w:pPr>
        <w:spacing w:after="0"/>
        <w:jc w:val="both"/>
        <w:rPr>
          <w:rFonts w:ascii="Times New Roman" w:hAnsi="Times New Roman"/>
          <w:i/>
        </w:rPr>
      </w:pPr>
      <w:r w:rsidRPr="009E13BC">
        <w:rPr>
          <w:rFonts w:ascii="Times New Roman" w:hAnsi="Times New Roman"/>
          <w:i/>
        </w:rPr>
        <w:t>October 28, 2015</w:t>
      </w:r>
    </w:p>
    <w:p w14:paraId="1F2F5A10" w14:textId="4545A36B" w:rsidR="009E13BC" w:rsidRPr="008046C7" w:rsidRDefault="009E13BC" w:rsidP="009E13BC">
      <w:pPr>
        <w:spacing w:after="0"/>
        <w:jc w:val="both"/>
        <w:rPr>
          <w:rFonts w:ascii="Times New Roman" w:hAnsi="Times New Roman"/>
        </w:rPr>
      </w:pPr>
      <w:r w:rsidRPr="009E13BC">
        <w:rPr>
          <w:rFonts w:ascii="Times New Roman" w:hAnsi="Times New Roman"/>
          <w:i/>
        </w:rPr>
        <w:t>New Delhi</w:t>
      </w:r>
    </w:p>
    <w:p w14:paraId="31B07B4D" w14:textId="77777777" w:rsidR="00B24FF8" w:rsidRPr="008046C7" w:rsidRDefault="00B24FF8" w:rsidP="00575A2C">
      <w:pPr>
        <w:jc w:val="both"/>
        <w:rPr>
          <w:rFonts w:ascii="Times New Roman" w:hAnsi="Times New Roman"/>
        </w:rPr>
      </w:pPr>
    </w:p>
    <w:p w14:paraId="5A771882" w14:textId="77777777" w:rsidR="006A3B2A" w:rsidRPr="008046C7" w:rsidRDefault="006A3B2A" w:rsidP="00575A2C">
      <w:pPr>
        <w:jc w:val="both"/>
        <w:rPr>
          <w:rFonts w:ascii="Times New Roman" w:hAnsi="Times New Roman"/>
        </w:rPr>
      </w:pPr>
    </w:p>
    <w:sectPr w:rsidR="006A3B2A" w:rsidRPr="008046C7" w:rsidSect="009D64B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28AA" w14:textId="77777777" w:rsidR="008F3463" w:rsidRDefault="008F3463" w:rsidP="002243DC">
      <w:pPr>
        <w:spacing w:after="0" w:line="240" w:lineRule="auto"/>
      </w:pPr>
      <w:r>
        <w:separator/>
      </w:r>
    </w:p>
  </w:endnote>
  <w:endnote w:type="continuationSeparator" w:id="0">
    <w:p w14:paraId="310C5A9D" w14:textId="77777777" w:rsidR="008F3463" w:rsidRDefault="008F3463" w:rsidP="0022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469DA" w14:textId="77777777" w:rsidR="00A13FD3" w:rsidRDefault="00A13FD3" w:rsidP="00EA3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7EC63" w14:textId="77777777" w:rsidR="00A13FD3" w:rsidRDefault="00A13FD3" w:rsidP="00A13F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6215B" w14:textId="77777777" w:rsidR="00A13FD3" w:rsidRDefault="00A13FD3" w:rsidP="00EA3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036">
      <w:rPr>
        <w:rStyle w:val="PageNumber"/>
        <w:noProof/>
      </w:rPr>
      <w:t>1</w:t>
    </w:r>
    <w:r>
      <w:rPr>
        <w:rStyle w:val="PageNumber"/>
      </w:rPr>
      <w:fldChar w:fldCharType="end"/>
    </w:r>
  </w:p>
  <w:p w14:paraId="38BF8676" w14:textId="77777777" w:rsidR="00A13FD3" w:rsidRDefault="00A13FD3" w:rsidP="00A13F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1F75A" w14:textId="77777777" w:rsidR="008F3463" w:rsidRDefault="008F3463" w:rsidP="002243DC">
      <w:pPr>
        <w:spacing w:after="0" w:line="240" w:lineRule="auto"/>
      </w:pPr>
      <w:r>
        <w:separator/>
      </w:r>
    </w:p>
  </w:footnote>
  <w:footnote w:type="continuationSeparator" w:id="0">
    <w:p w14:paraId="5EEFF7A5" w14:textId="77777777" w:rsidR="008F3463" w:rsidRDefault="008F3463" w:rsidP="002243DC">
      <w:pPr>
        <w:spacing w:after="0" w:line="240" w:lineRule="auto"/>
      </w:pPr>
      <w:r>
        <w:continuationSeparator/>
      </w:r>
    </w:p>
  </w:footnote>
  <w:footnote w:id="1">
    <w:p w14:paraId="5436960B" w14:textId="7E33EFC7" w:rsidR="008F3463" w:rsidRPr="005B3854" w:rsidRDefault="008F3463" w:rsidP="002243DC">
      <w:pPr>
        <w:pStyle w:val="FootnoteText"/>
        <w:jc w:val="both"/>
        <w:rPr>
          <w:rFonts w:ascii="Times New Roman" w:hAnsi="Times New Roman"/>
          <w:color w:val="222222"/>
          <w:shd w:val="clear" w:color="auto" w:fill="FFFFFF"/>
          <w:lang w:val="en-US"/>
        </w:rPr>
      </w:pPr>
      <w:r w:rsidRPr="005B3854">
        <w:rPr>
          <w:rStyle w:val="FootnoteReference"/>
          <w:rFonts w:ascii="Times New Roman" w:hAnsi="Times New Roman"/>
        </w:rPr>
        <w:footnoteRef/>
      </w:r>
      <w:r>
        <w:rPr>
          <w:rFonts w:ascii="Times New Roman" w:hAnsi="Times New Roman"/>
          <w:color w:val="000000"/>
          <w:shd w:val="clear" w:color="auto" w:fill="FFFFFF"/>
        </w:rPr>
        <w:t>P</w:t>
      </w:r>
      <w:r w:rsidRPr="00132FCC">
        <w:rPr>
          <w:rFonts w:ascii="Times New Roman" w:hAnsi="Times New Roman"/>
          <w:shd w:val="clear" w:color="auto" w:fill="FFFFFF"/>
        </w:rPr>
        <w:t xml:space="preserve">LD is a legal resource group </w:t>
      </w:r>
      <w:r>
        <w:rPr>
          <w:rFonts w:ascii="Times New Roman" w:hAnsi="Times New Roman"/>
          <w:shd w:val="clear" w:color="auto" w:fill="FFFFFF"/>
        </w:rPr>
        <w:t xml:space="preserve">in India </w:t>
      </w:r>
      <w:r w:rsidRPr="00132FCC">
        <w:rPr>
          <w:rFonts w:ascii="Times New Roman" w:hAnsi="Times New Roman"/>
          <w:shd w:val="clear" w:color="auto" w:fill="FFFFFF"/>
        </w:rPr>
        <w:t xml:space="preserve">that works towards advancing </w:t>
      </w:r>
      <w:r>
        <w:rPr>
          <w:rFonts w:ascii="Times New Roman" w:hAnsi="Times New Roman"/>
          <w:shd w:val="clear" w:color="auto" w:fill="FFFFFF"/>
        </w:rPr>
        <w:t xml:space="preserve">social justice and </w:t>
      </w:r>
      <w:r w:rsidRPr="00132FCC">
        <w:rPr>
          <w:rFonts w:ascii="Times New Roman" w:hAnsi="Times New Roman"/>
          <w:shd w:val="clear" w:color="auto" w:fill="FFFFFF"/>
        </w:rPr>
        <w:t xml:space="preserve">women’s rights </w:t>
      </w:r>
      <w:r>
        <w:rPr>
          <w:rFonts w:ascii="Times New Roman" w:hAnsi="Times New Roman"/>
          <w:shd w:val="clear" w:color="auto" w:fill="FFFFFF"/>
        </w:rPr>
        <w:t>in contexts of marginalization arising from gender,</w:t>
      </w:r>
      <w:r w:rsidRPr="00132FCC">
        <w:rPr>
          <w:rFonts w:ascii="Times New Roman" w:hAnsi="Times New Roman"/>
          <w:shd w:val="clear" w:color="auto" w:fill="FFFFFF"/>
        </w:rPr>
        <w:t xml:space="preserve"> sexuality, culture, caste, conflict, poverty and development. </w:t>
      </w:r>
      <w:r w:rsidRPr="00132FCC">
        <w:rPr>
          <w:rFonts w:ascii="Times New Roman" w:hAnsi="Times New Roman"/>
          <w:shd w:val="clear" w:color="auto" w:fill="FFFFFF"/>
          <w:lang w:val="en-US"/>
        </w:rPr>
        <w:t xml:space="preserve">You may also find more about us on </w:t>
      </w:r>
      <w:hyperlink r:id="rId1" w:history="1">
        <w:r w:rsidRPr="00132FCC">
          <w:rPr>
            <w:rStyle w:val="Hyperlink"/>
            <w:rFonts w:ascii="Times New Roman" w:hAnsi="Times New Roman"/>
            <w:color w:val="auto"/>
            <w:shd w:val="clear" w:color="auto" w:fill="FFFFFF"/>
            <w:lang w:val="en-US"/>
          </w:rPr>
          <w:t>www.pldindia.org</w:t>
        </w:r>
      </w:hyperlink>
      <w:r>
        <w:rPr>
          <w:rFonts w:ascii="Times New Roman" w:hAnsi="Times New Roman"/>
          <w:shd w:val="clear" w:color="auto" w:fill="FFFFFF"/>
          <w:lang w:val="en-US"/>
        </w:rPr>
        <w:t xml:space="preserve"> </w:t>
      </w:r>
    </w:p>
  </w:footnote>
  <w:footnote w:id="2">
    <w:p w14:paraId="4D26F8BD" w14:textId="77777777" w:rsidR="008F3463" w:rsidRPr="00951220" w:rsidRDefault="008F3463" w:rsidP="00531915">
      <w:pPr>
        <w:shd w:val="clear" w:color="auto" w:fill="FFFFFF"/>
        <w:spacing w:after="0"/>
        <w:rPr>
          <w:rFonts w:ascii="Times New Roman" w:eastAsia="Times New Roman" w:hAnsi="Times New Roman"/>
          <w:color w:val="222222"/>
          <w:sz w:val="20"/>
          <w:szCs w:val="20"/>
        </w:rPr>
      </w:pPr>
      <w:r w:rsidRPr="005B3854">
        <w:rPr>
          <w:rStyle w:val="FootnoteReference"/>
          <w:rFonts w:ascii="Times New Roman" w:hAnsi="Times New Roman"/>
        </w:rPr>
        <w:footnoteRef/>
      </w:r>
      <w:r w:rsidRPr="00951220">
        <w:rPr>
          <w:rFonts w:ascii="Times New Roman" w:hAnsi="Times New Roman"/>
          <w:sz w:val="20"/>
          <w:szCs w:val="20"/>
        </w:rPr>
        <w:t xml:space="preserve">Partners for Law in Development, Rights in Intimate Relationships: Towards an Inclusive and Just Framework of Women’s Rights and the Family, 2010. </w:t>
      </w:r>
      <w:r w:rsidRPr="00951220">
        <w:rPr>
          <w:rFonts w:ascii="Times New Roman" w:eastAsia="Times New Roman" w:hAnsi="Times New Roman"/>
          <w:color w:val="222222"/>
          <w:sz w:val="20"/>
          <w:szCs w:val="20"/>
        </w:rPr>
        <w:t> </w:t>
      </w:r>
      <w:hyperlink r:id="rId2" w:tgtFrame="_blank" w:history="1">
        <w:r w:rsidRPr="00951220">
          <w:rPr>
            <w:rStyle w:val="Hyperlink"/>
            <w:rFonts w:ascii="Times New Roman" w:eastAsia="Times New Roman" w:hAnsi="Times New Roman"/>
            <w:color w:val="1155CC"/>
            <w:sz w:val="20"/>
            <w:szCs w:val="20"/>
          </w:rPr>
          <w:t>http://feministlawarchives.pldindia.org/wp-content/uploads/RIR-Report.pdf</w:t>
        </w:r>
      </w:hyperlink>
      <w:r w:rsidRPr="00951220">
        <w:rPr>
          <w:rFonts w:ascii="Times New Roman" w:eastAsia="Times New Roman" w:hAnsi="Times New Roman"/>
          <w:color w:val="222222"/>
          <w:sz w:val="20"/>
          <w:szCs w:val="20"/>
        </w:rPr>
        <w:t>?</w:t>
      </w:r>
    </w:p>
  </w:footnote>
  <w:footnote w:id="3">
    <w:p w14:paraId="6B215535" w14:textId="77777777" w:rsidR="008F3463" w:rsidRPr="005B3854" w:rsidRDefault="008F3463" w:rsidP="00531915">
      <w:pPr>
        <w:pStyle w:val="FootnoteText"/>
        <w:jc w:val="both"/>
        <w:rPr>
          <w:rFonts w:ascii="Times New Roman" w:hAnsi="Times New Roman"/>
          <w:lang w:val="en-US"/>
        </w:rPr>
      </w:pPr>
      <w:r w:rsidRPr="005B3854">
        <w:rPr>
          <w:rStyle w:val="FootnoteReference"/>
          <w:rFonts w:ascii="Times New Roman" w:hAnsi="Times New Roman"/>
        </w:rPr>
        <w:footnoteRef/>
      </w:r>
      <w:r w:rsidRPr="005B3854">
        <w:rPr>
          <w:rFonts w:ascii="Times New Roman" w:hAnsi="Times New Roman"/>
          <w:lang w:val="en-US"/>
        </w:rPr>
        <w:t>A bigamous union formalized through a written ‘friendship agreement’ practiced by men upper-caste, middle class men with women from poor communities, with clearly defined roles and obligations between the parties, and provision for childcare, maintenance and cohabitation.</w:t>
      </w:r>
    </w:p>
  </w:footnote>
  <w:footnote w:id="4">
    <w:p w14:paraId="78CEB754" w14:textId="2BBDE338" w:rsidR="008F3463" w:rsidRPr="005B3854" w:rsidRDefault="008F3463" w:rsidP="00531915">
      <w:pPr>
        <w:pStyle w:val="FootnoteText"/>
        <w:rPr>
          <w:rFonts w:ascii="Times New Roman" w:hAnsi="Times New Roman"/>
          <w:lang w:val="en-US"/>
        </w:rPr>
      </w:pPr>
      <w:r w:rsidRPr="005B3854">
        <w:rPr>
          <w:rStyle w:val="FootnoteReference"/>
          <w:rFonts w:ascii="Times New Roman" w:hAnsi="Times New Roman"/>
        </w:rPr>
        <w:footnoteRef/>
      </w:r>
      <w:r>
        <w:rPr>
          <w:rFonts w:ascii="Times New Roman" w:hAnsi="Times New Roman"/>
          <w:lang w:val="en-US"/>
        </w:rPr>
        <w:t xml:space="preserve"> Prevalent amongst lower caste groups, with taking of a bride through a contract upon payment of bride price. This takes the form of serial monogamy, as a woman can be taken into </w:t>
      </w:r>
      <w:proofErr w:type="spellStart"/>
      <w:r w:rsidRPr="00531915">
        <w:rPr>
          <w:rFonts w:ascii="Times New Roman" w:hAnsi="Times New Roman"/>
          <w:i/>
          <w:lang w:val="en-US"/>
        </w:rPr>
        <w:t>nata</w:t>
      </w:r>
      <w:proofErr w:type="spellEnd"/>
      <w:r>
        <w:rPr>
          <w:rFonts w:ascii="Times New Roman" w:hAnsi="Times New Roman"/>
          <w:lang w:val="en-US"/>
        </w:rPr>
        <w:t xml:space="preserve"> more than once, but sequentially.  </w:t>
      </w:r>
    </w:p>
  </w:footnote>
  <w:footnote w:id="5">
    <w:p w14:paraId="2D5C1311" w14:textId="2EC29484" w:rsidR="008F3463" w:rsidRPr="00531915" w:rsidRDefault="008F3463" w:rsidP="00531915">
      <w:pPr>
        <w:spacing w:after="0"/>
        <w:rPr>
          <w:rFonts w:ascii="Times New Roman" w:eastAsia="Times New Roman" w:hAnsi="Times New Roman"/>
          <w:sz w:val="20"/>
          <w:szCs w:val="20"/>
        </w:rPr>
      </w:pPr>
      <w:r>
        <w:rPr>
          <w:rStyle w:val="FootnoteReference"/>
        </w:rPr>
        <w:footnoteRef/>
      </w:r>
      <w:r>
        <w:t xml:space="preserve"> </w:t>
      </w:r>
      <w:r>
        <w:rPr>
          <w:rFonts w:ascii="Arial" w:eastAsia="Times New Roman" w:hAnsi="Arial"/>
          <w:color w:val="222222"/>
          <w:sz w:val="19"/>
          <w:szCs w:val="19"/>
          <w:shd w:val="clear" w:color="auto" w:fill="FFFFFF"/>
        </w:rPr>
        <w:t> </w:t>
      </w:r>
      <w:hyperlink r:id="rId3" w:tgtFrame="_blank" w:history="1">
        <w:r w:rsidRPr="00531915">
          <w:rPr>
            <w:rStyle w:val="Hyperlink"/>
            <w:rFonts w:ascii="Times New Roman" w:eastAsia="Times New Roman" w:hAnsi="Times New Roman"/>
            <w:color w:val="1155CC"/>
            <w:sz w:val="20"/>
            <w:szCs w:val="20"/>
            <w:shd w:val="clear" w:color="auto" w:fill="FFFFFF"/>
          </w:rPr>
          <w:t>http://nipccd.nic.in/reports/rcl_lsr.pdf</w:t>
        </w:r>
      </w:hyperlink>
      <w:r>
        <w:rPr>
          <w:rFonts w:ascii="Times New Roman" w:eastAsia="Times New Roman" w:hAnsi="Times New Roman"/>
          <w:sz w:val="20"/>
          <w:szCs w:val="20"/>
        </w:rPr>
        <w:t xml:space="preserve"> </w:t>
      </w:r>
    </w:p>
  </w:footnote>
  <w:footnote w:id="6">
    <w:p w14:paraId="40544F43" w14:textId="77777777" w:rsidR="008F3463" w:rsidRPr="005B3854" w:rsidRDefault="008F3463" w:rsidP="00531915">
      <w:pPr>
        <w:pStyle w:val="FootnoteText"/>
        <w:rPr>
          <w:rFonts w:ascii="Times New Roman" w:hAnsi="Times New Roman"/>
          <w:lang w:val="en-US"/>
        </w:rPr>
      </w:pPr>
      <w:r w:rsidRPr="005B3854">
        <w:rPr>
          <w:rStyle w:val="FootnoteReference"/>
          <w:rFonts w:ascii="Times New Roman" w:hAnsi="Times New Roman"/>
        </w:rPr>
        <w:footnoteRef/>
      </w:r>
      <w:r w:rsidRPr="005B3854">
        <w:rPr>
          <w:rFonts w:ascii="Times New Roman" w:hAnsi="Times New Roman"/>
          <w:i/>
        </w:rPr>
        <w:t xml:space="preserve">Supra </w:t>
      </w:r>
      <w:r w:rsidRPr="005B3854">
        <w:rPr>
          <w:rFonts w:ascii="Times New Roman" w:hAnsi="Times New Roman"/>
        </w:rPr>
        <w:t xml:space="preserve">note 2. </w:t>
      </w:r>
    </w:p>
  </w:footnote>
  <w:footnote w:id="7">
    <w:p w14:paraId="7D71A03E" w14:textId="77777777" w:rsidR="008F3463" w:rsidRPr="005B3854" w:rsidRDefault="008F3463" w:rsidP="00B902FC">
      <w:pPr>
        <w:pStyle w:val="Default"/>
      </w:pPr>
      <w:r w:rsidRPr="005B3854">
        <w:rPr>
          <w:rStyle w:val="FootnoteReference"/>
        </w:rPr>
        <w:footnoteRef/>
      </w:r>
      <w:r w:rsidRPr="005B3854">
        <w:rPr>
          <w:sz w:val="20"/>
          <w:szCs w:val="20"/>
        </w:rPr>
        <w:t>E/CN.4/1996/53, Para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D1BCE"/>
    <w:multiLevelType w:val="hybridMultilevel"/>
    <w:tmpl w:val="EBD4CEC0"/>
    <w:lvl w:ilvl="0" w:tplc="3CCA7378">
      <w:start w:val="1"/>
      <w:numFmt w:val="upperLetter"/>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DC"/>
    <w:rsid w:val="000044E9"/>
    <w:rsid w:val="00036634"/>
    <w:rsid w:val="00054CE3"/>
    <w:rsid w:val="00074970"/>
    <w:rsid w:val="00077FDE"/>
    <w:rsid w:val="000A6BFB"/>
    <w:rsid w:val="000C2036"/>
    <w:rsid w:val="000D1F80"/>
    <w:rsid w:val="00102004"/>
    <w:rsid w:val="00110C31"/>
    <w:rsid w:val="00132FCC"/>
    <w:rsid w:val="001835AA"/>
    <w:rsid w:val="001B3BE5"/>
    <w:rsid w:val="001B5889"/>
    <w:rsid w:val="001C1658"/>
    <w:rsid w:val="001F0D36"/>
    <w:rsid w:val="001F18C1"/>
    <w:rsid w:val="002243DC"/>
    <w:rsid w:val="00224FEF"/>
    <w:rsid w:val="00282DB5"/>
    <w:rsid w:val="002839EB"/>
    <w:rsid w:val="00291E67"/>
    <w:rsid w:val="00297096"/>
    <w:rsid w:val="002B0528"/>
    <w:rsid w:val="002C6ABD"/>
    <w:rsid w:val="003061EB"/>
    <w:rsid w:val="003132C3"/>
    <w:rsid w:val="00327E4A"/>
    <w:rsid w:val="00384804"/>
    <w:rsid w:val="00385C3F"/>
    <w:rsid w:val="003A3CB6"/>
    <w:rsid w:val="0043062A"/>
    <w:rsid w:val="00431B48"/>
    <w:rsid w:val="00473FD1"/>
    <w:rsid w:val="004856E9"/>
    <w:rsid w:val="005038D5"/>
    <w:rsid w:val="005314BD"/>
    <w:rsid w:val="00531915"/>
    <w:rsid w:val="005414E3"/>
    <w:rsid w:val="00575A2C"/>
    <w:rsid w:val="00587939"/>
    <w:rsid w:val="0059121A"/>
    <w:rsid w:val="005B37C6"/>
    <w:rsid w:val="005B3854"/>
    <w:rsid w:val="005C66B3"/>
    <w:rsid w:val="005C7709"/>
    <w:rsid w:val="005D0052"/>
    <w:rsid w:val="005F5D33"/>
    <w:rsid w:val="00605F17"/>
    <w:rsid w:val="00612DFE"/>
    <w:rsid w:val="0062371A"/>
    <w:rsid w:val="00644756"/>
    <w:rsid w:val="00644944"/>
    <w:rsid w:val="00662C08"/>
    <w:rsid w:val="006A1F77"/>
    <w:rsid w:val="006A3B2A"/>
    <w:rsid w:val="006B5568"/>
    <w:rsid w:val="006D65EC"/>
    <w:rsid w:val="006E3765"/>
    <w:rsid w:val="00715C6B"/>
    <w:rsid w:val="0073395A"/>
    <w:rsid w:val="0078033B"/>
    <w:rsid w:val="0079430D"/>
    <w:rsid w:val="007A5FD3"/>
    <w:rsid w:val="007C3485"/>
    <w:rsid w:val="007C5D1C"/>
    <w:rsid w:val="008046C7"/>
    <w:rsid w:val="00821305"/>
    <w:rsid w:val="0082215D"/>
    <w:rsid w:val="0083491E"/>
    <w:rsid w:val="00835FBD"/>
    <w:rsid w:val="008450B0"/>
    <w:rsid w:val="00865EA7"/>
    <w:rsid w:val="00866012"/>
    <w:rsid w:val="008858E6"/>
    <w:rsid w:val="008B2F65"/>
    <w:rsid w:val="008C5CB2"/>
    <w:rsid w:val="008E6965"/>
    <w:rsid w:val="008F3463"/>
    <w:rsid w:val="00907450"/>
    <w:rsid w:val="00917CFA"/>
    <w:rsid w:val="0094100B"/>
    <w:rsid w:val="00951220"/>
    <w:rsid w:val="00961EF2"/>
    <w:rsid w:val="00974A15"/>
    <w:rsid w:val="00982A94"/>
    <w:rsid w:val="009B4867"/>
    <w:rsid w:val="009D0F65"/>
    <w:rsid w:val="009D40C1"/>
    <w:rsid w:val="009D64B7"/>
    <w:rsid w:val="009E101A"/>
    <w:rsid w:val="009E13BC"/>
    <w:rsid w:val="00A13FD3"/>
    <w:rsid w:val="00A44616"/>
    <w:rsid w:val="00A60E99"/>
    <w:rsid w:val="00A7135B"/>
    <w:rsid w:val="00AB307E"/>
    <w:rsid w:val="00AB5243"/>
    <w:rsid w:val="00AD6444"/>
    <w:rsid w:val="00AE514A"/>
    <w:rsid w:val="00AE7338"/>
    <w:rsid w:val="00AF3E16"/>
    <w:rsid w:val="00B01863"/>
    <w:rsid w:val="00B03AF3"/>
    <w:rsid w:val="00B0604B"/>
    <w:rsid w:val="00B24FF8"/>
    <w:rsid w:val="00B67517"/>
    <w:rsid w:val="00B75BF2"/>
    <w:rsid w:val="00B7751C"/>
    <w:rsid w:val="00B902FC"/>
    <w:rsid w:val="00B969AC"/>
    <w:rsid w:val="00BB1B2D"/>
    <w:rsid w:val="00BF0F03"/>
    <w:rsid w:val="00C528B1"/>
    <w:rsid w:val="00CD3106"/>
    <w:rsid w:val="00CE58B8"/>
    <w:rsid w:val="00D426B2"/>
    <w:rsid w:val="00D703F2"/>
    <w:rsid w:val="00D84076"/>
    <w:rsid w:val="00DA1910"/>
    <w:rsid w:val="00DB7B54"/>
    <w:rsid w:val="00DE301A"/>
    <w:rsid w:val="00E1062E"/>
    <w:rsid w:val="00E4370E"/>
    <w:rsid w:val="00EA07DE"/>
    <w:rsid w:val="00EA324F"/>
    <w:rsid w:val="00EB4AFF"/>
    <w:rsid w:val="00EC32EF"/>
    <w:rsid w:val="00EC4F92"/>
    <w:rsid w:val="00EE6060"/>
    <w:rsid w:val="00EF6E35"/>
    <w:rsid w:val="00F12C89"/>
    <w:rsid w:val="00F2405E"/>
    <w:rsid w:val="00F74D51"/>
    <w:rsid w:val="00F86881"/>
    <w:rsid w:val="00FA3AD9"/>
    <w:rsid w:val="00FD4936"/>
    <w:rsid w:val="00FE6545"/>
    <w:rsid w:val="00FF7F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0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43DC"/>
    <w:pPr>
      <w:spacing w:after="0" w:line="240" w:lineRule="auto"/>
    </w:pPr>
    <w:rPr>
      <w:sz w:val="20"/>
      <w:szCs w:val="20"/>
    </w:rPr>
  </w:style>
  <w:style w:type="character" w:customStyle="1" w:styleId="FootnoteTextChar">
    <w:name w:val="Footnote Text Char"/>
    <w:basedOn w:val="DefaultParagraphFont"/>
    <w:link w:val="FootnoteText"/>
    <w:uiPriority w:val="99"/>
    <w:rsid w:val="002243DC"/>
    <w:rPr>
      <w:rFonts w:ascii="Calibri" w:eastAsia="Calibri" w:hAnsi="Calibri" w:cs="Times New Roman"/>
      <w:sz w:val="20"/>
      <w:szCs w:val="20"/>
    </w:rPr>
  </w:style>
  <w:style w:type="character" w:styleId="FootnoteReference">
    <w:name w:val="footnote reference"/>
    <w:uiPriority w:val="99"/>
    <w:unhideWhenUsed/>
    <w:rsid w:val="002243DC"/>
    <w:rPr>
      <w:vertAlign w:val="superscript"/>
    </w:rPr>
  </w:style>
  <w:style w:type="character" w:customStyle="1" w:styleId="apple-converted-space">
    <w:name w:val="apple-converted-space"/>
    <w:basedOn w:val="DefaultParagraphFont"/>
    <w:rsid w:val="002243DC"/>
  </w:style>
  <w:style w:type="character" w:styleId="Hyperlink">
    <w:name w:val="Hyperlink"/>
    <w:uiPriority w:val="99"/>
    <w:unhideWhenUsed/>
    <w:rsid w:val="002243DC"/>
    <w:rPr>
      <w:color w:val="0000FF"/>
      <w:u w:val="single"/>
    </w:rPr>
  </w:style>
  <w:style w:type="paragraph" w:styleId="BalloonText">
    <w:name w:val="Balloon Text"/>
    <w:basedOn w:val="Normal"/>
    <w:link w:val="BalloonTextChar"/>
    <w:uiPriority w:val="99"/>
    <w:semiHidden/>
    <w:unhideWhenUsed/>
    <w:rsid w:val="0022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DC"/>
    <w:rPr>
      <w:rFonts w:ascii="Tahoma" w:eastAsia="Calibri" w:hAnsi="Tahoma" w:cs="Tahoma"/>
      <w:sz w:val="16"/>
      <w:szCs w:val="16"/>
    </w:rPr>
  </w:style>
  <w:style w:type="paragraph" w:styleId="ListParagraph">
    <w:name w:val="List Paragraph"/>
    <w:basedOn w:val="Normal"/>
    <w:uiPriority w:val="34"/>
    <w:qFormat/>
    <w:rsid w:val="00B75BF2"/>
    <w:pPr>
      <w:ind w:left="720"/>
      <w:contextualSpacing/>
    </w:pPr>
  </w:style>
  <w:style w:type="paragraph" w:customStyle="1" w:styleId="Default">
    <w:name w:val="Default"/>
    <w:rsid w:val="005B385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02FC"/>
    <w:rPr>
      <w:sz w:val="16"/>
      <w:szCs w:val="16"/>
    </w:rPr>
  </w:style>
  <w:style w:type="paragraph" w:styleId="CommentText">
    <w:name w:val="annotation text"/>
    <w:basedOn w:val="Normal"/>
    <w:link w:val="CommentTextChar"/>
    <w:uiPriority w:val="99"/>
    <w:semiHidden/>
    <w:unhideWhenUsed/>
    <w:rsid w:val="00B902FC"/>
    <w:pPr>
      <w:spacing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B902F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A3AD9"/>
    <w:rPr>
      <w:rFonts w:ascii="Calibri" w:eastAsia="Calibri" w:hAnsi="Calibri" w:cs="Times New Roman"/>
      <w:b/>
      <w:bCs/>
      <w:lang w:val="en-IN"/>
    </w:rPr>
  </w:style>
  <w:style w:type="character" w:customStyle="1" w:styleId="CommentSubjectChar">
    <w:name w:val="Comment Subject Char"/>
    <w:basedOn w:val="CommentTextChar"/>
    <w:link w:val="CommentSubject"/>
    <w:uiPriority w:val="99"/>
    <w:semiHidden/>
    <w:rsid w:val="00FA3AD9"/>
    <w:rPr>
      <w:rFonts w:ascii="Calibri" w:eastAsia="Calibri" w:hAnsi="Calibri" w:cs="Times New Roman"/>
      <w:b/>
      <w:bCs/>
      <w:sz w:val="20"/>
      <w:szCs w:val="20"/>
      <w:lang w:val="en-US"/>
    </w:rPr>
  </w:style>
  <w:style w:type="character" w:styleId="FollowedHyperlink">
    <w:name w:val="FollowedHyperlink"/>
    <w:basedOn w:val="DefaultParagraphFont"/>
    <w:uiPriority w:val="99"/>
    <w:semiHidden/>
    <w:unhideWhenUsed/>
    <w:rsid w:val="00B67517"/>
    <w:rPr>
      <w:color w:val="800080" w:themeColor="followedHyperlink"/>
      <w:u w:val="single"/>
    </w:rPr>
  </w:style>
  <w:style w:type="paragraph" w:styleId="Footer">
    <w:name w:val="footer"/>
    <w:basedOn w:val="Normal"/>
    <w:link w:val="FooterChar"/>
    <w:uiPriority w:val="99"/>
    <w:unhideWhenUsed/>
    <w:rsid w:val="00A13F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FD3"/>
    <w:rPr>
      <w:rFonts w:ascii="Calibri" w:eastAsia="Calibri" w:hAnsi="Calibri" w:cs="Times New Roman"/>
    </w:rPr>
  </w:style>
  <w:style w:type="character" w:styleId="PageNumber">
    <w:name w:val="page number"/>
    <w:basedOn w:val="DefaultParagraphFont"/>
    <w:uiPriority w:val="99"/>
    <w:semiHidden/>
    <w:unhideWhenUsed/>
    <w:rsid w:val="00A13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43DC"/>
    <w:pPr>
      <w:spacing w:after="0" w:line="240" w:lineRule="auto"/>
    </w:pPr>
    <w:rPr>
      <w:sz w:val="20"/>
      <w:szCs w:val="20"/>
    </w:rPr>
  </w:style>
  <w:style w:type="character" w:customStyle="1" w:styleId="FootnoteTextChar">
    <w:name w:val="Footnote Text Char"/>
    <w:basedOn w:val="DefaultParagraphFont"/>
    <w:link w:val="FootnoteText"/>
    <w:uiPriority w:val="99"/>
    <w:rsid w:val="002243DC"/>
    <w:rPr>
      <w:rFonts w:ascii="Calibri" w:eastAsia="Calibri" w:hAnsi="Calibri" w:cs="Times New Roman"/>
      <w:sz w:val="20"/>
      <w:szCs w:val="20"/>
    </w:rPr>
  </w:style>
  <w:style w:type="character" w:styleId="FootnoteReference">
    <w:name w:val="footnote reference"/>
    <w:uiPriority w:val="99"/>
    <w:unhideWhenUsed/>
    <w:rsid w:val="002243DC"/>
    <w:rPr>
      <w:vertAlign w:val="superscript"/>
    </w:rPr>
  </w:style>
  <w:style w:type="character" w:customStyle="1" w:styleId="apple-converted-space">
    <w:name w:val="apple-converted-space"/>
    <w:basedOn w:val="DefaultParagraphFont"/>
    <w:rsid w:val="002243DC"/>
  </w:style>
  <w:style w:type="character" w:styleId="Hyperlink">
    <w:name w:val="Hyperlink"/>
    <w:uiPriority w:val="99"/>
    <w:unhideWhenUsed/>
    <w:rsid w:val="002243DC"/>
    <w:rPr>
      <w:color w:val="0000FF"/>
      <w:u w:val="single"/>
    </w:rPr>
  </w:style>
  <w:style w:type="paragraph" w:styleId="BalloonText">
    <w:name w:val="Balloon Text"/>
    <w:basedOn w:val="Normal"/>
    <w:link w:val="BalloonTextChar"/>
    <w:uiPriority w:val="99"/>
    <w:semiHidden/>
    <w:unhideWhenUsed/>
    <w:rsid w:val="0022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DC"/>
    <w:rPr>
      <w:rFonts w:ascii="Tahoma" w:eastAsia="Calibri" w:hAnsi="Tahoma" w:cs="Tahoma"/>
      <w:sz w:val="16"/>
      <w:szCs w:val="16"/>
    </w:rPr>
  </w:style>
  <w:style w:type="paragraph" w:styleId="ListParagraph">
    <w:name w:val="List Paragraph"/>
    <w:basedOn w:val="Normal"/>
    <w:uiPriority w:val="34"/>
    <w:qFormat/>
    <w:rsid w:val="00B75BF2"/>
    <w:pPr>
      <w:ind w:left="720"/>
      <w:contextualSpacing/>
    </w:pPr>
  </w:style>
  <w:style w:type="paragraph" w:customStyle="1" w:styleId="Default">
    <w:name w:val="Default"/>
    <w:rsid w:val="005B385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02FC"/>
    <w:rPr>
      <w:sz w:val="16"/>
      <w:szCs w:val="16"/>
    </w:rPr>
  </w:style>
  <w:style w:type="paragraph" w:styleId="CommentText">
    <w:name w:val="annotation text"/>
    <w:basedOn w:val="Normal"/>
    <w:link w:val="CommentTextChar"/>
    <w:uiPriority w:val="99"/>
    <w:semiHidden/>
    <w:unhideWhenUsed/>
    <w:rsid w:val="00B902FC"/>
    <w:pPr>
      <w:spacing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B902F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A3AD9"/>
    <w:rPr>
      <w:rFonts w:ascii="Calibri" w:eastAsia="Calibri" w:hAnsi="Calibri" w:cs="Times New Roman"/>
      <w:b/>
      <w:bCs/>
      <w:lang w:val="en-IN"/>
    </w:rPr>
  </w:style>
  <w:style w:type="character" w:customStyle="1" w:styleId="CommentSubjectChar">
    <w:name w:val="Comment Subject Char"/>
    <w:basedOn w:val="CommentTextChar"/>
    <w:link w:val="CommentSubject"/>
    <w:uiPriority w:val="99"/>
    <w:semiHidden/>
    <w:rsid w:val="00FA3AD9"/>
    <w:rPr>
      <w:rFonts w:ascii="Calibri" w:eastAsia="Calibri" w:hAnsi="Calibri" w:cs="Times New Roman"/>
      <w:b/>
      <w:bCs/>
      <w:sz w:val="20"/>
      <w:szCs w:val="20"/>
      <w:lang w:val="en-US"/>
    </w:rPr>
  </w:style>
  <w:style w:type="character" w:styleId="FollowedHyperlink">
    <w:name w:val="FollowedHyperlink"/>
    <w:basedOn w:val="DefaultParagraphFont"/>
    <w:uiPriority w:val="99"/>
    <w:semiHidden/>
    <w:unhideWhenUsed/>
    <w:rsid w:val="00B67517"/>
    <w:rPr>
      <w:color w:val="800080" w:themeColor="followedHyperlink"/>
      <w:u w:val="single"/>
    </w:rPr>
  </w:style>
  <w:style w:type="paragraph" w:styleId="Footer">
    <w:name w:val="footer"/>
    <w:basedOn w:val="Normal"/>
    <w:link w:val="FooterChar"/>
    <w:uiPriority w:val="99"/>
    <w:unhideWhenUsed/>
    <w:rsid w:val="00A13F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FD3"/>
    <w:rPr>
      <w:rFonts w:ascii="Calibri" w:eastAsia="Calibri" w:hAnsi="Calibri" w:cs="Times New Roman"/>
    </w:rPr>
  </w:style>
  <w:style w:type="character" w:styleId="PageNumber">
    <w:name w:val="page number"/>
    <w:basedOn w:val="DefaultParagraphFont"/>
    <w:uiPriority w:val="99"/>
    <w:semiHidden/>
    <w:unhideWhenUsed/>
    <w:rsid w:val="00A1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9014">
      <w:bodyDiv w:val="1"/>
      <w:marLeft w:val="0"/>
      <w:marRight w:val="0"/>
      <w:marTop w:val="0"/>
      <w:marBottom w:val="0"/>
      <w:divBdr>
        <w:top w:val="none" w:sz="0" w:space="0" w:color="auto"/>
        <w:left w:val="none" w:sz="0" w:space="0" w:color="auto"/>
        <w:bottom w:val="none" w:sz="0" w:space="0" w:color="auto"/>
        <w:right w:val="none" w:sz="0" w:space="0" w:color="auto"/>
      </w:divBdr>
    </w:div>
    <w:div w:id="1744067339">
      <w:bodyDiv w:val="1"/>
      <w:marLeft w:val="0"/>
      <w:marRight w:val="0"/>
      <w:marTop w:val="0"/>
      <w:marBottom w:val="0"/>
      <w:divBdr>
        <w:top w:val="none" w:sz="0" w:space="0" w:color="auto"/>
        <w:left w:val="none" w:sz="0" w:space="0" w:color="auto"/>
        <w:bottom w:val="none" w:sz="0" w:space="0" w:color="auto"/>
        <w:right w:val="none" w:sz="0" w:space="0" w:color="auto"/>
      </w:divBdr>
      <w:divsChild>
        <w:div w:id="206797905">
          <w:marLeft w:val="0"/>
          <w:marRight w:val="0"/>
          <w:marTop w:val="0"/>
          <w:marBottom w:val="0"/>
          <w:divBdr>
            <w:top w:val="none" w:sz="0" w:space="0" w:color="auto"/>
            <w:left w:val="none" w:sz="0" w:space="0" w:color="auto"/>
            <w:bottom w:val="none" w:sz="0" w:space="0" w:color="auto"/>
            <w:right w:val="none" w:sz="0" w:space="0" w:color="auto"/>
          </w:divBdr>
        </w:div>
      </w:divsChild>
    </w:div>
    <w:div w:id="2040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nipccd.nic.in/reports/rcl_lsr.pdf" TargetMode="External"/><Relationship Id="rId2" Type="http://schemas.openxmlformats.org/officeDocument/2006/relationships/hyperlink" Target="http://feministlawarchives.pldindia.org/wp-content/uploads/RIR-Report.pdf" TargetMode="External"/><Relationship Id="rId1" Type="http://schemas.openxmlformats.org/officeDocument/2006/relationships/hyperlink" Target="http://www.pld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0DF75-80A7-4A53-8A9E-3ECF28380F52}"/>
</file>

<file path=customXml/itemProps2.xml><?xml version="1.0" encoding="utf-8"?>
<ds:datastoreItem xmlns:ds="http://schemas.openxmlformats.org/officeDocument/2006/customXml" ds:itemID="{2F81C7B8-5C44-411E-AE8D-21C3CA826839}"/>
</file>

<file path=customXml/itemProps3.xml><?xml version="1.0" encoding="utf-8"?>
<ds:datastoreItem xmlns:ds="http://schemas.openxmlformats.org/officeDocument/2006/customXml" ds:itemID="{D06A0C20-FC94-4086-A04E-0D3BF3321A1A}"/>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dc:creator>
  <cp:lastModifiedBy>Gina Bergh</cp:lastModifiedBy>
  <cp:revision>2</cp:revision>
  <dcterms:created xsi:type="dcterms:W3CDTF">2015-10-28T08:42:00Z</dcterms:created>
  <dcterms:modified xsi:type="dcterms:W3CDTF">2015-10-28T08:42:00Z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