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AA" w:rsidRDefault="004D01AA" w:rsidP="004D01AA">
      <w:pPr>
        <w:spacing w:line="60" w:lineRule="exact"/>
        <w:rPr>
          <w:rStyle w:val="EndnoteReference"/>
          <w:color w:val="auto"/>
          <w:w w:val="100"/>
          <w:sz w:val="6"/>
          <w:vertAlign w:val="baseline"/>
        </w:rPr>
        <w:sectPr w:rsidR="004D01AA" w:rsidSect="004D01AA">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bookmarkStart w:id="0" w:name="_GoBack"/>
      <w:bookmarkEnd w:id="0"/>
    </w:p>
    <w:p w:rsidR="00B31E9D" w:rsidRDefault="00B31E9D" w:rsidP="004D01AA">
      <w:pPr>
        <w:spacing w:line="60" w:lineRule="exact"/>
        <w:rPr>
          <w:sz w:val="6"/>
        </w:rPr>
      </w:pPr>
    </w:p>
    <w:p w:rsidR="004C7229" w:rsidRPr="00CD53F4" w:rsidRDefault="004C7229" w:rsidP="00CD53F4">
      <w:pPr>
        <w:spacing w:before="60"/>
        <w:rPr>
          <w:rFonts w:ascii="SimHei" w:eastAsia="SimHei" w:hAnsiTheme="majorBidi" w:cstheme="majorBidi"/>
          <w:sz w:val="24"/>
          <w:szCs w:val="24"/>
        </w:rPr>
      </w:pPr>
      <w:r w:rsidRPr="00CD53F4">
        <w:rPr>
          <w:rFonts w:ascii="SimHei" w:eastAsia="SimHei" w:hAnsiTheme="majorBidi" w:cstheme="majorBidi" w:hint="eastAsia"/>
          <w:sz w:val="24"/>
          <w:szCs w:val="24"/>
        </w:rPr>
        <w:t>人权理事会</w:t>
      </w:r>
    </w:p>
    <w:p w:rsidR="004C7229" w:rsidRDefault="004C7229" w:rsidP="004C7229">
      <w:pPr>
        <w:rPr>
          <w:rFonts w:ascii="SimHei" w:eastAsia="SimHei" w:hAnsiTheme="majorBidi" w:cstheme="majorBidi"/>
        </w:rPr>
      </w:pPr>
      <w:r>
        <w:rPr>
          <w:rFonts w:ascii="SimHei" w:eastAsia="SimHei" w:hAnsiTheme="majorBidi" w:cstheme="majorBidi" w:hint="eastAsia"/>
        </w:rPr>
        <w:t>第二十四届特别会议</w:t>
      </w:r>
    </w:p>
    <w:p w:rsidR="004C7229" w:rsidRPr="009B52B0" w:rsidRDefault="004C7229" w:rsidP="00CD53F4">
      <w:pPr>
        <w:pStyle w:val="SingleTxt"/>
        <w:ind w:hanging="1264"/>
        <w:rPr>
          <w:spacing w:val="6"/>
        </w:rPr>
      </w:pPr>
      <w:r w:rsidRPr="009B52B0">
        <w:rPr>
          <w:spacing w:val="6"/>
        </w:rPr>
        <w:t>2015</w:t>
      </w:r>
      <w:r w:rsidRPr="009B52B0">
        <w:rPr>
          <w:rFonts w:ascii="SimSun" w:hAnsi="SimSun" w:cs="SimSun" w:hint="eastAsia"/>
          <w:spacing w:val="6"/>
          <w:rtl/>
        </w:rPr>
        <w:t>年</w:t>
      </w:r>
      <w:r w:rsidRPr="009B52B0">
        <w:rPr>
          <w:spacing w:val="6"/>
        </w:rPr>
        <w:t>12</w:t>
      </w:r>
      <w:r w:rsidRPr="009B52B0">
        <w:rPr>
          <w:rFonts w:ascii="SimSun" w:hAnsi="SimSun" w:cs="SimSun" w:hint="eastAsia"/>
          <w:spacing w:val="6"/>
          <w:rtl/>
        </w:rPr>
        <w:t>月</w:t>
      </w:r>
      <w:r w:rsidRPr="009B52B0">
        <w:rPr>
          <w:spacing w:val="6"/>
        </w:rPr>
        <w:t>17</w:t>
      </w:r>
      <w:r w:rsidRPr="009B52B0">
        <w:rPr>
          <w:rFonts w:ascii="SimSun" w:hAnsi="SimSun" w:cs="SimSun" w:hint="eastAsia"/>
          <w:spacing w:val="6"/>
          <w:rtl/>
        </w:rPr>
        <w:t>日</w:t>
      </w:r>
    </w:p>
    <w:p w:rsidR="00B7043E" w:rsidRDefault="00B7043E" w:rsidP="00B704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p>
    <w:p w:rsidR="004C7229" w:rsidRPr="00CD53F4" w:rsidRDefault="00B7043E" w:rsidP="00B7043E">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4C7229" w:rsidRPr="00CD53F4">
        <w:t>人权理事会2015年12月17日通过的决议</w:t>
      </w:r>
    </w:p>
    <w:p w:rsidR="00B7043E" w:rsidRPr="00B7043E" w:rsidRDefault="00B7043E" w:rsidP="00B704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7043E" w:rsidRPr="00B7043E" w:rsidRDefault="00B7043E" w:rsidP="00B704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7043E" w:rsidRPr="00B7043E" w:rsidRDefault="00B7043E" w:rsidP="00B7043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4C7229" w:rsidRPr="00CD53F4" w:rsidRDefault="004C7229" w:rsidP="003A494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CD53F4">
        <w:tab/>
      </w:r>
      <w:r w:rsidRPr="00CD53F4">
        <w:tab/>
      </w:r>
      <w:proofErr w:type="gramStart"/>
      <w:r w:rsidRPr="00CD53F4">
        <w:t>S</w:t>
      </w:r>
      <w:r w:rsidR="003A4949">
        <w:rPr>
          <w:rFonts w:hint="eastAsia"/>
        </w:rPr>
        <w:t>-</w:t>
      </w:r>
      <w:r w:rsidRPr="00CD53F4">
        <w:t>24/1.</w:t>
      </w:r>
      <w:proofErr w:type="gramEnd"/>
      <w:r w:rsidR="00B7043E">
        <w:rPr>
          <w:rFonts w:hint="eastAsia"/>
        </w:rPr>
        <w:br/>
      </w:r>
      <w:r w:rsidRPr="00CD53F4">
        <w:t>防止布隆迪的人权状况恶化</w:t>
      </w:r>
    </w:p>
    <w:p w:rsidR="003A4949" w:rsidRDefault="003A4949" w:rsidP="004C7229">
      <w:pPr>
        <w:pStyle w:val="SingleTxt"/>
      </w:pPr>
    </w:p>
    <w:p w:rsidR="004C7229" w:rsidRPr="00CD53F4" w:rsidRDefault="004C7229" w:rsidP="004C7229">
      <w:pPr>
        <w:pStyle w:val="SingleTxt"/>
      </w:pPr>
      <w:r w:rsidRPr="00CD53F4">
        <w:tab/>
      </w:r>
      <w:r w:rsidRPr="00CD53F4">
        <w:rPr>
          <w:rFonts w:eastAsia="楷体"/>
        </w:rPr>
        <w:t>人权理事会，</w:t>
      </w:r>
    </w:p>
    <w:p w:rsidR="004C7229" w:rsidRPr="00CD53F4" w:rsidRDefault="004C7229" w:rsidP="004C7229">
      <w:pPr>
        <w:pStyle w:val="SingleTxt"/>
      </w:pPr>
      <w:r w:rsidRPr="00CD53F4">
        <w:rPr>
          <w:i/>
        </w:rPr>
        <w:tab/>
      </w:r>
      <w:r w:rsidRPr="00CD53F4">
        <w:rPr>
          <w:rFonts w:eastAsia="楷体"/>
        </w:rPr>
        <w:t>遵循</w:t>
      </w:r>
      <w:r w:rsidRPr="00CD53F4">
        <w:t>《联合国宪章》的原则和宗旨，</w:t>
      </w:r>
    </w:p>
    <w:p w:rsidR="004C7229" w:rsidRPr="00CD53F4" w:rsidRDefault="004C7229" w:rsidP="004C7229">
      <w:pPr>
        <w:pStyle w:val="SingleTxt"/>
      </w:pPr>
      <w:r w:rsidRPr="00CD53F4">
        <w:rPr>
          <w:i/>
        </w:rPr>
        <w:tab/>
      </w:r>
      <w:r w:rsidRPr="00CD53F4">
        <w:rPr>
          <w:rFonts w:eastAsia="楷体"/>
        </w:rPr>
        <w:t>回顾</w:t>
      </w:r>
      <w:r w:rsidRPr="00CD53F4">
        <w:t>《世界人权宣言》、国际人权两公约和其他有关国际人权文书，</w:t>
      </w:r>
    </w:p>
    <w:p w:rsidR="004C7229" w:rsidRPr="00CD53F4" w:rsidRDefault="004C7229" w:rsidP="004C7229">
      <w:pPr>
        <w:pStyle w:val="SingleTxt"/>
      </w:pPr>
      <w:r w:rsidRPr="00CD53F4">
        <w:rPr>
          <w:i/>
        </w:rPr>
        <w:tab/>
      </w:r>
      <w:r w:rsidRPr="00CD53F4">
        <w:rPr>
          <w:rFonts w:eastAsia="楷体"/>
        </w:rPr>
        <w:t>又回顾</w:t>
      </w:r>
      <w:r w:rsidRPr="00CD53F4">
        <w:t>大会</w:t>
      </w:r>
      <w:r w:rsidRPr="00CD53F4">
        <w:t>2006</w:t>
      </w:r>
      <w:r w:rsidRPr="00CD53F4">
        <w:t>年</w:t>
      </w:r>
      <w:r w:rsidRPr="00CD53F4">
        <w:t>3</w:t>
      </w:r>
      <w:r w:rsidRPr="00CD53F4">
        <w:t>月</w:t>
      </w:r>
      <w:r w:rsidRPr="00CD53F4">
        <w:t>15</w:t>
      </w:r>
      <w:r w:rsidRPr="00CD53F4">
        <w:t>日第</w:t>
      </w:r>
      <w:r w:rsidRPr="00CD53F4">
        <w:t>60/251</w:t>
      </w:r>
      <w:r w:rsidRPr="00CD53F4">
        <w:t>号决议和人权理事会</w:t>
      </w:r>
      <w:r w:rsidRPr="00CD53F4">
        <w:t>2007</w:t>
      </w:r>
      <w:r w:rsidRPr="00CD53F4">
        <w:t>年</w:t>
      </w:r>
      <w:r w:rsidRPr="00CD53F4">
        <w:t>6</w:t>
      </w:r>
      <w:r w:rsidRPr="00CD53F4">
        <w:t>月</w:t>
      </w:r>
      <w:r w:rsidRPr="00CD53F4">
        <w:t>18</w:t>
      </w:r>
      <w:r w:rsidRPr="00CD53F4">
        <w:t>日第</w:t>
      </w:r>
      <w:r w:rsidRPr="00CD53F4">
        <w:t>5/1</w:t>
      </w:r>
      <w:r w:rsidRPr="00CD53F4">
        <w:t>号决议，</w:t>
      </w:r>
    </w:p>
    <w:p w:rsidR="004C7229" w:rsidRPr="00CD53F4" w:rsidRDefault="004C7229" w:rsidP="004C7229">
      <w:pPr>
        <w:pStyle w:val="SingleTxt"/>
      </w:pPr>
      <w:r w:rsidRPr="00CD53F4">
        <w:rPr>
          <w:i/>
        </w:rPr>
        <w:tab/>
      </w:r>
      <w:r w:rsidRPr="00CD53F4">
        <w:rPr>
          <w:rFonts w:eastAsia="楷体"/>
        </w:rPr>
        <w:t>还回顾</w:t>
      </w:r>
      <w:r w:rsidRPr="00CD53F4">
        <w:t>2015</w:t>
      </w:r>
      <w:r w:rsidRPr="00CD53F4">
        <w:t>年</w:t>
      </w:r>
      <w:r w:rsidRPr="00CD53F4">
        <w:t>10</w:t>
      </w:r>
      <w:r w:rsidRPr="00CD53F4">
        <w:t>月</w:t>
      </w:r>
      <w:r w:rsidRPr="00CD53F4">
        <w:t>2</w:t>
      </w:r>
      <w:r w:rsidRPr="00CD53F4">
        <w:t>日人权理事会关于向布隆迪提供人权领域技术援助和能力建设的第</w:t>
      </w:r>
      <w:r w:rsidRPr="00CD53F4">
        <w:t>30/27</w:t>
      </w:r>
      <w:r w:rsidRPr="00CD53F4">
        <w:t>号决议，</w:t>
      </w:r>
    </w:p>
    <w:p w:rsidR="004C7229" w:rsidRPr="00CD53F4" w:rsidRDefault="004C7229" w:rsidP="004C7229">
      <w:pPr>
        <w:pStyle w:val="SingleTxt"/>
      </w:pPr>
      <w:r w:rsidRPr="00CD53F4">
        <w:tab/>
      </w:r>
      <w:r w:rsidRPr="00CD53F4">
        <w:rPr>
          <w:rFonts w:eastAsia="楷体"/>
        </w:rPr>
        <w:t>重申</w:t>
      </w:r>
      <w:r w:rsidRPr="00CD53F4">
        <w:t>各国负有增进和保护所有人权和基本自由的主要责任，</w:t>
      </w:r>
    </w:p>
    <w:p w:rsidR="004C7229" w:rsidRPr="00CD53F4" w:rsidRDefault="004C7229" w:rsidP="004C7229">
      <w:pPr>
        <w:pStyle w:val="SingleTxt"/>
      </w:pPr>
      <w:r w:rsidRPr="00CD53F4">
        <w:rPr>
          <w:i/>
        </w:rPr>
        <w:tab/>
      </w:r>
      <w:r w:rsidRPr="00CD53F4">
        <w:rPr>
          <w:rFonts w:eastAsia="楷体"/>
        </w:rPr>
        <w:t>又重申</w:t>
      </w:r>
      <w:r w:rsidRPr="00CD53F4">
        <w:t>对布隆迪主权、政治独立、领土完整和统一的坚定承诺，</w:t>
      </w:r>
    </w:p>
    <w:p w:rsidR="004C7229" w:rsidRPr="00CD53F4" w:rsidRDefault="004C7229" w:rsidP="004C7229">
      <w:pPr>
        <w:pStyle w:val="SingleTxt"/>
      </w:pPr>
      <w:r w:rsidRPr="00CD53F4">
        <w:tab/>
      </w:r>
      <w:r w:rsidRPr="00CD53F4">
        <w:rPr>
          <w:rFonts w:eastAsia="楷体"/>
        </w:rPr>
        <w:t>确认</w:t>
      </w:r>
      <w:r w:rsidRPr="00CD53F4">
        <w:t>国际社会，包括人权理事会，可以发挥重要和有益的作用，通过揭示侵犯和践踏人权的行为及冲突升级的风险，防止布隆迪的人权状况进一步恶化，</w:t>
      </w:r>
    </w:p>
    <w:p w:rsidR="004C7229" w:rsidRPr="00CD53F4" w:rsidRDefault="004C7229" w:rsidP="004C7229">
      <w:pPr>
        <w:pStyle w:val="SingleTxt"/>
      </w:pPr>
      <w:r w:rsidRPr="00CD53F4">
        <w:rPr>
          <w:i/>
          <w:iCs/>
        </w:rPr>
        <w:tab/>
      </w:r>
      <w:r w:rsidRPr="00CD53F4">
        <w:rPr>
          <w:rFonts w:eastAsia="楷体"/>
        </w:rPr>
        <w:t>又确认</w:t>
      </w:r>
      <w:r w:rsidRPr="00CD53F4">
        <w:t>必须防止布隆迪境内侵犯和践踏人权的行为，尤其是考虑到该区域过去发生过大规模暴行，</w:t>
      </w:r>
    </w:p>
    <w:p w:rsidR="004C7229" w:rsidRPr="00CD53F4" w:rsidRDefault="004C7229" w:rsidP="004C7229">
      <w:pPr>
        <w:pStyle w:val="SingleTxt"/>
      </w:pPr>
      <w:r w:rsidRPr="00CD53F4">
        <w:rPr>
          <w:i/>
          <w:iCs/>
        </w:rPr>
        <w:tab/>
      </w:r>
      <w:r w:rsidRPr="00CD53F4">
        <w:rPr>
          <w:rFonts w:eastAsia="楷体"/>
        </w:rPr>
        <w:t>承认</w:t>
      </w:r>
      <w:r w:rsidRPr="00CD53F4">
        <w:t>严重践踏和侵犯人权的行为可以是陷入冲突或冲突升级的早期迹象，也可以是冲突或冲突升级的后果，</w:t>
      </w:r>
    </w:p>
    <w:p w:rsidR="00544725" w:rsidRDefault="00544725">
      <w:pPr>
        <w:spacing w:line="240" w:lineRule="auto"/>
        <w:jc w:val="left"/>
        <w:rPr>
          <w:i/>
          <w:iCs/>
        </w:rPr>
      </w:pPr>
      <w:r>
        <w:rPr>
          <w:i/>
          <w:iCs/>
        </w:rPr>
        <w:br w:type="page"/>
      </w:r>
    </w:p>
    <w:p w:rsidR="004C7229" w:rsidRPr="00CD53F4" w:rsidRDefault="004C7229" w:rsidP="004C7229">
      <w:pPr>
        <w:pStyle w:val="SingleTxt"/>
      </w:pPr>
      <w:r w:rsidRPr="00CD53F4">
        <w:rPr>
          <w:i/>
          <w:iCs/>
        </w:rPr>
        <w:lastRenderedPageBreak/>
        <w:tab/>
      </w:r>
      <w:r w:rsidRPr="00CD53F4">
        <w:rPr>
          <w:rFonts w:eastAsia="楷体"/>
        </w:rPr>
        <w:t>表示严重关切</w:t>
      </w:r>
      <w:r w:rsidRPr="00CD53F4">
        <w:t>布隆迪暴力行为的增加以及严重的侵犯和践踏人权行为，非洲联盟委员会主席在</w:t>
      </w:r>
      <w:r w:rsidRPr="00CD53F4">
        <w:t>2015</w:t>
      </w:r>
      <w:r w:rsidRPr="00CD53F4">
        <w:t>年</w:t>
      </w:r>
      <w:r w:rsidRPr="00CD53F4">
        <w:t>11</w:t>
      </w:r>
      <w:r w:rsidRPr="00CD53F4">
        <w:t>月</w:t>
      </w:r>
      <w:r w:rsidRPr="00CD53F4">
        <w:t>4</w:t>
      </w:r>
      <w:r w:rsidRPr="00CD53F4">
        <w:t>日的声明中表达了同样的关切，联合国人权事务高级专员、主管政治事务的副秘书长和非洲联盟和平与安全事务专员在</w:t>
      </w:r>
      <w:r w:rsidRPr="00CD53F4">
        <w:t>2015</w:t>
      </w:r>
      <w:r w:rsidRPr="00CD53F4">
        <w:t>年</w:t>
      </w:r>
      <w:r w:rsidRPr="00CD53F4">
        <w:t>11</w:t>
      </w:r>
      <w:r w:rsidRPr="00CD53F4">
        <w:t>月</w:t>
      </w:r>
      <w:r w:rsidRPr="00CD53F4">
        <w:t>9</w:t>
      </w:r>
      <w:r w:rsidRPr="00CD53F4">
        <w:t>日向安全理事会所作的情况通报中对此作了报告，</w:t>
      </w:r>
    </w:p>
    <w:p w:rsidR="004C7229" w:rsidRPr="00CD53F4" w:rsidRDefault="004C7229" w:rsidP="004C7229">
      <w:pPr>
        <w:pStyle w:val="SingleTxt"/>
      </w:pPr>
      <w:r w:rsidRPr="00CD53F4">
        <w:rPr>
          <w:i/>
          <w:iCs/>
        </w:rPr>
        <w:tab/>
      </w:r>
      <w:r w:rsidRPr="00CD53F4">
        <w:rPr>
          <w:rFonts w:eastAsia="楷体"/>
        </w:rPr>
        <w:t>重申</w:t>
      </w:r>
      <w:r w:rsidRPr="00CD53F4">
        <w:t>一直作为《布隆迪宪法》基础的《阿鲁沙协定》是建设和平、民族和解及加强民主与法治的基石，</w:t>
      </w:r>
    </w:p>
    <w:p w:rsidR="004C7229" w:rsidRPr="00CD53F4" w:rsidRDefault="004C7229" w:rsidP="004C7229">
      <w:pPr>
        <w:pStyle w:val="SingleTxt"/>
        <w:rPr>
          <w:rFonts w:eastAsiaTheme="minorEastAsia"/>
          <w:i/>
          <w:iCs/>
        </w:rPr>
      </w:pPr>
      <w:r w:rsidRPr="00CD53F4">
        <w:rPr>
          <w:i/>
          <w:iCs/>
        </w:rPr>
        <w:tab/>
      </w:r>
      <w:r w:rsidRPr="00CD53F4">
        <w:rPr>
          <w:rFonts w:eastAsia="楷体"/>
        </w:rPr>
        <w:t>强调</w:t>
      </w:r>
      <w:r w:rsidRPr="00CD53F4">
        <w:t>调解、和平解决争端以及预防和解决冲突等工具可以发挥重要作用，防止争端升级为冲突，防止冲突进一步升级，并推动解决冲突，防止和</w:t>
      </w:r>
      <w:r w:rsidRPr="00CD53F4">
        <w:t xml:space="preserve"> (</w:t>
      </w:r>
      <w:r w:rsidRPr="00CD53F4">
        <w:t>或</w:t>
      </w:r>
      <w:r w:rsidRPr="00CD53F4">
        <w:t>)</w:t>
      </w:r>
      <w:r w:rsidRPr="00CD53F4">
        <w:rPr>
          <w:rFonts w:eastAsiaTheme="minorEastAsia"/>
        </w:rPr>
        <w:t xml:space="preserve"> </w:t>
      </w:r>
      <w:r w:rsidRPr="00CD53F4">
        <w:t>减少侵犯和践踏人权行为，</w:t>
      </w:r>
    </w:p>
    <w:p w:rsidR="004C7229" w:rsidRPr="00CD53F4" w:rsidRDefault="004C7229" w:rsidP="004C7229">
      <w:pPr>
        <w:pStyle w:val="SingleTxt"/>
      </w:pPr>
      <w:r w:rsidRPr="00CD53F4">
        <w:rPr>
          <w:i/>
          <w:iCs/>
        </w:rPr>
        <w:tab/>
      </w:r>
      <w:r w:rsidRPr="00CD53F4">
        <w:rPr>
          <w:rFonts w:eastAsia="楷体"/>
        </w:rPr>
        <w:t>赞赏地注意到</w:t>
      </w:r>
      <w:r w:rsidRPr="00CD53F4">
        <w:t>国际社会为寻求和平解决布隆迪所面临的危机而提供的支持，其中包括非洲联盟、东非共同体、非洲人权和人民权利委员会、前几任布隆迪问题独立专家以及建设和平委员会所做的努力，</w:t>
      </w:r>
    </w:p>
    <w:p w:rsidR="004C7229" w:rsidRPr="00CD53F4" w:rsidRDefault="004C7229" w:rsidP="004C7229">
      <w:pPr>
        <w:pStyle w:val="SingleTxt"/>
      </w:pPr>
      <w:r w:rsidRPr="00CD53F4">
        <w:rPr>
          <w:i/>
          <w:iCs/>
        </w:rPr>
        <w:tab/>
      </w:r>
      <w:r w:rsidRPr="00CD53F4">
        <w:rPr>
          <w:rFonts w:eastAsia="楷体"/>
        </w:rPr>
        <w:t>欢迎</w:t>
      </w:r>
      <w:r w:rsidRPr="00CD53F4">
        <w:t>安全理事会</w:t>
      </w:r>
      <w:r w:rsidRPr="00CD53F4">
        <w:t>2015</w:t>
      </w:r>
      <w:r w:rsidRPr="00CD53F4">
        <w:t>年</w:t>
      </w:r>
      <w:r w:rsidRPr="00CD53F4">
        <w:t>11</w:t>
      </w:r>
      <w:r w:rsidRPr="00CD53F4">
        <w:t>月</w:t>
      </w:r>
      <w:r w:rsidRPr="00CD53F4">
        <w:t>12</w:t>
      </w:r>
      <w:r w:rsidRPr="00CD53F4">
        <w:t>日第</w:t>
      </w:r>
      <w:r w:rsidRPr="00CD53F4">
        <w:t>2248(2015)</w:t>
      </w:r>
      <w:r w:rsidRPr="00CD53F4">
        <w:t>号决议，其中安理会除其他外，请秘书长在布隆迪部署一个小组，以协调并与布隆迪政府、非洲联盟和其他伙伴合作；欢迎秘书长任命一名预防冲突问题特别顾问来关注布隆迪，并欢迎秘书长</w:t>
      </w:r>
      <w:r w:rsidRPr="00CD53F4">
        <w:t>2015</w:t>
      </w:r>
      <w:r w:rsidRPr="00CD53F4">
        <w:t>年</w:t>
      </w:r>
      <w:r w:rsidRPr="00CD53F4">
        <w:t>12</w:t>
      </w:r>
      <w:r w:rsidRPr="00CD53F4">
        <w:t>月</w:t>
      </w:r>
      <w:r w:rsidRPr="00CD53F4">
        <w:t>1</w:t>
      </w:r>
      <w:r w:rsidRPr="00CD53F4">
        <w:t>日就布隆迪局势给安全理事会主席的信，</w:t>
      </w:r>
      <w:r w:rsidRPr="00544725">
        <w:rPr>
          <w:rStyle w:val="FootnoteReference"/>
        </w:rPr>
        <w:footnoteReference w:id="1"/>
      </w:r>
    </w:p>
    <w:p w:rsidR="004C7229" w:rsidRPr="00CD53F4" w:rsidRDefault="004C7229" w:rsidP="00544725">
      <w:pPr>
        <w:pStyle w:val="SingleTxt"/>
      </w:pPr>
      <w:r w:rsidRPr="00CD53F4">
        <w:rPr>
          <w:i/>
          <w:iCs/>
        </w:rPr>
        <w:tab/>
      </w:r>
      <w:r w:rsidRPr="00CD53F4">
        <w:rPr>
          <w:rFonts w:eastAsia="楷体"/>
        </w:rPr>
        <w:t>又欢迎</w:t>
      </w:r>
      <w:r w:rsidRPr="00CD53F4">
        <w:t>非洲联盟和平与安全理事会于</w:t>
      </w:r>
      <w:r w:rsidRPr="00CD53F4">
        <w:t>2015</w:t>
      </w:r>
      <w:r w:rsidRPr="00CD53F4">
        <w:t>年</w:t>
      </w:r>
      <w:r w:rsidRPr="00CD53F4">
        <w:t>11</w:t>
      </w:r>
      <w:r w:rsidRPr="00CD53F4">
        <w:t>月</w:t>
      </w:r>
      <w:r w:rsidRPr="00CD53F4">
        <w:t>13</w:t>
      </w:r>
      <w:r w:rsidRPr="00CD53F4">
        <w:t>日通过关于布隆迪局势的决定，其中表示：深为关切该国普遍的不安全状况和暴力问题及其人道主义后果，强烈谴责已犯下的侵犯和践踏人权行为，强烈谴责布隆迪政治领袖所发表的煽动性言论，这种言论可能加剧目前的紧张局势并助长布隆迪和该区域的暴力，产生无尽的后果；表示决心处理这些问题；并强调非洲联盟任命人权观察员和军事专家、对侵犯和践踏人权行为展开彻底调查、对助长暴力持续存在和妨碍寻求解决办法的人员予以制裁、开展应急规划等种种努力，以及为恢复对话以解决这些问题所做的进一步调解努力，</w:t>
      </w:r>
    </w:p>
    <w:p w:rsidR="004C7229" w:rsidRPr="00CD53F4" w:rsidRDefault="00544725" w:rsidP="004C7229">
      <w:pPr>
        <w:pStyle w:val="SingleTxt"/>
      </w:pPr>
      <w:r>
        <w:rPr>
          <w:rFonts w:eastAsia="楷体" w:hint="eastAsia"/>
        </w:rPr>
        <w:tab/>
      </w:r>
      <w:r w:rsidR="004C7229" w:rsidRPr="00CD53F4">
        <w:rPr>
          <w:rFonts w:eastAsia="楷体"/>
        </w:rPr>
        <w:t>赞赏地注意到</w:t>
      </w:r>
      <w:r w:rsidR="004C7229" w:rsidRPr="00CD53F4">
        <w:t>联合国常务副秘书长、非洲联盟主席、欧洲联盟外交与安全政策高级代表以及欧洲联盟委员会副主席</w:t>
      </w:r>
      <w:r w:rsidR="004C7229" w:rsidRPr="00CD53F4">
        <w:t>2015</w:t>
      </w:r>
      <w:r w:rsidR="004C7229" w:rsidRPr="00CD53F4">
        <w:t>年</w:t>
      </w:r>
      <w:r w:rsidR="004C7229" w:rsidRPr="00CD53F4">
        <w:t>11</w:t>
      </w:r>
      <w:r w:rsidR="004C7229" w:rsidRPr="00CD53F4">
        <w:t>月</w:t>
      </w:r>
      <w:r w:rsidR="004C7229" w:rsidRPr="00CD53F4">
        <w:t>12</w:t>
      </w:r>
      <w:r w:rsidR="004C7229" w:rsidRPr="00CD53F4">
        <w:t>日关于布隆迪的联合声明，</w:t>
      </w:r>
    </w:p>
    <w:p w:rsidR="004C7229" w:rsidRPr="00CD53F4" w:rsidRDefault="004C7229" w:rsidP="004C7229">
      <w:pPr>
        <w:pStyle w:val="SingleTxt"/>
      </w:pPr>
      <w:r w:rsidRPr="00CD53F4">
        <w:rPr>
          <w:i/>
          <w:iCs/>
        </w:rPr>
        <w:tab/>
      </w:r>
      <w:r w:rsidRPr="00CD53F4">
        <w:rPr>
          <w:rFonts w:eastAsia="楷体"/>
        </w:rPr>
        <w:t>又赞赏地注意到</w:t>
      </w:r>
      <w:r w:rsidRPr="00CD53F4">
        <w:t>防止灭绝种族问题特别顾问在</w:t>
      </w:r>
      <w:r w:rsidRPr="00CD53F4">
        <w:t>2015</w:t>
      </w:r>
      <w:r w:rsidRPr="00CD53F4">
        <w:t>年</w:t>
      </w:r>
      <w:r w:rsidRPr="00CD53F4">
        <w:t>12</w:t>
      </w:r>
      <w:r w:rsidRPr="00CD53F4">
        <w:t>月</w:t>
      </w:r>
      <w:r w:rsidRPr="00CD53F4">
        <w:t>9</w:t>
      </w:r>
      <w:r w:rsidRPr="00CD53F4">
        <w:t>日第一次缅怀灭绝种族罪受害者、受害者尊严和防止此种罪行国际日关于布隆迪的声明，并指出必须确保尊重人权和法治，以减少发生暴行罪的风险，</w:t>
      </w:r>
    </w:p>
    <w:p w:rsidR="004C7229" w:rsidRPr="00CD53F4" w:rsidRDefault="004C7229" w:rsidP="004C7229">
      <w:pPr>
        <w:pStyle w:val="SingleTxt"/>
      </w:pPr>
      <w:r w:rsidRPr="00CD53F4">
        <w:rPr>
          <w:i/>
          <w:iCs/>
        </w:rPr>
        <w:tab/>
      </w:r>
      <w:r w:rsidRPr="00CD53F4">
        <w:rPr>
          <w:rFonts w:eastAsia="楷体"/>
        </w:rPr>
        <w:t>还赞赏地注意到</w:t>
      </w:r>
      <w:r w:rsidRPr="00CD53F4">
        <w:t>一组特别程序任务负责人</w:t>
      </w:r>
      <w:r w:rsidRPr="00CD53F4">
        <w:t>2015</w:t>
      </w:r>
      <w:r w:rsidRPr="00CD53F4">
        <w:t>年</w:t>
      </w:r>
      <w:r w:rsidRPr="00CD53F4">
        <w:t>11</w:t>
      </w:r>
      <w:r w:rsidRPr="00CD53F4">
        <w:t>月</w:t>
      </w:r>
      <w:r w:rsidRPr="00CD53F4">
        <w:t>13</w:t>
      </w:r>
      <w:r w:rsidRPr="00CD53F4">
        <w:t>日所发表的声明，他们在声明中指出，布隆迪局势继续恶化，每天都有报告称发生了严重的侵犯人权行为，包括法外处决、任意逮捕和拘留、酷刑、攻击独立媒体、骚扰和杀害人权维护者、不合理地限制和平集会自由和言论自由，从而加剧了逾</w:t>
      </w:r>
      <w:r w:rsidRPr="00CD53F4">
        <w:t>20</w:t>
      </w:r>
      <w:r w:rsidRPr="00CD53F4">
        <w:t>万人因暴力而流离失所的情况，</w:t>
      </w:r>
    </w:p>
    <w:p w:rsidR="004C7229" w:rsidRPr="00CD53F4" w:rsidRDefault="004C7229" w:rsidP="004C7229">
      <w:pPr>
        <w:pStyle w:val="SingleTxt"/>
        <w:rPr>
          <w:spacing w:val="-2"/>
        </w:rPr>
      </w:pPr>
      <w:r w:rsidRPr="00CD53F4">
        <w:rPr>
          <w:i/>
          <w:iCs/>
        </w:rPr>
        <w:lastRenderedPageBreak/>
        <w:tab/>
      </w:r>
      <w:r w:rsidRPr="00CD53F4">
        <w:rPr>
          <w:rFonts w:eastAsia="楷体"/>
          <w:spacing w:val="-2"/>
        </w:rPr>
        <w:t>强调指出，</w:t>
      </w:r>
      <w:r w:rsidRPr="00CD53F4">
        <w:rPr>
          <w:spacing w:val="-2"/>
        </w:rPr>
        <w:t>开展包容各方、国际调解的对话以及解除所有非法武装团体和人员的武装，乃是有助于防止布隆迪境内再度发生侵犯和践踏人权行为的基本要素，</w:t>
      </w:r>
    </w:p>
    <w:p w:rsidR="004C7229" w:rsidRPr="00CD53F4" w:rsidRDefault="004C7229" w:rsidP="004C7229">
      <w:pPr>
        <w:pStyle w:val="SingleTxt"/>
      </w:pPr>
      <w:r w:rsidRPr="00CD53F4">
        <w:rPr>
          <w:i/>
          <w:iCs/>
        </w:rPr>
        <w:tab/>
      </w:r>
      <w:r w:rsidRPr="00CD53F4">
        <w:rPr>
          <w:rFonts w:eastAsia="楷体"/>
        </w:rPr>
        <w:t>强调</w:t>
      </w:r>
      <w:r w:rsidRPr="00CD53F4">
        <w:t>迫切需要与布隆迪政府和布隆迪国内外所有奉行和平的相关利益攸关方协调，开展布隆迪人之间的对话，以便找到一个协商一致和国家享有自主权的解决当前危机的方案，同时注意到已成立了布隆迪人之间对话全国委员会，并强调该委员会必须包容各方、运作透明并能迅速召集会议，</w:t>
      </w:r>
    </w:p>
    <w:p w:rsidR="004C7229" w:rsidRPr="00CD53F4" w:rsidRDefault="004C7229" w:rsidP="004C7229">
      <w:pPr>
        <w:pStyle w:val="SingleTxt"/>
      </w:pPr>
      <w:r w:rsidRPr="00CD53F4">
        <w:rPr>
          <w:i/>
          <w:iCs/>
        </w:rPr>
        <w:tab/>
      </w:r>
      <w:r w:rsidRPr="00CD53F4">
        <w:rPr>
          <w:rFonts w:eastAsia="楷体"/>
        </w:rPr>
        <w:t>呼吁</w:t>
      </w:r>
      <w:r w:rsidRPr="00CD53F4">
        <w:t>加强</w:t>
      </w:r>
      <w:r w:rsidRPr="00CD53F4">
        <w:rPr>
          <w:color w:val="000000"/>
        </w:rPr>
        <w:t>区域牵头的调解</w:t>
      </w:r>
      <w:r w:rsidRPr="00CD53F4">
        <w:t>努力，包括东非共同体和非洲联盟的调解努力，又呼吁与布隆迪政府和其他利益攸关方进行协商，并着重指出需要加快对话的筹备进程，包括在所有相关国际协助方的参与下，开展对话前协商，以便布隆迪人之间对话有充分的准备并取得成功，</w:t>
      </w:r>
    </w:p>
    <w:p w:rsidR="004C7229" w:rsidRPr="00CD53F4" w:rsidRDefault="004C7229" w:rsidP="004C7229">
      <w:pPr>
        <w:pStyle w:val="SingleTxt"/>
      </w:pPr>
      <w:r w:rsidRPr="00CD53F4">
        <w:rPr>
          <w:i/>
          <w:iCs/>
        </w:rPr>
        <w:tab/>
      </w:r>
      <w:r w:rsidRPr="00CD53F4">
        <w:rPr>
          <w:rFonts w:eastAsia="楷体"/>
        </w:rPr>
        <w:t>表示深为关切</w:t>
      </w:r>
      <w:r w:rsidRPr="00CD53F4">
        <w:t>最近的法外处决和杀戮未遂事件，包括与</w:t>
      </w:r>
      <w:r w:rsidRPr="00CD53F4">
        <w:t>2015</w:t>
      </w:r>
      <w:r w:rsidRPr="00CD53F4">
        <w:t>年</w:t>
      </w:r>
      <w:r w:rsidRPr="00CD53F4">
        <w:t>12</w:t>
      </w:r>
      <w:r w:rsidRPr="00CD53F4">
        <w:t>月</w:t>
      </w:r>
      <w:r w:rsidRPr="00CD53F4">
        <w:t>11</w:t>
      </w:r>
      <w:r w:rsidRPr="00CD53F4">
        <w:t>日的袭击有关的事件、</w:t>
      </w:r>
      <w:r w:rsidRPr="00CD53F4">
        <w:t>10</w:t>
      </w:r>
      <w:r w:rsidRPr="00CD53F4">
        <w:t>月杀害</w:t>
      </w:r>
      <w:r w:rsidRPr="00CD53F4">
        <w:t xml:space="preserve">Pierre </w:t>
      </w:r>
      <w:proofErr w:type="spellStart"/>
      <w:r w:rsidRPr="00CD53F4">
        <w:t>Claver</w:t>
      </w:r>
      <w:proofErr w:type="spellEnd"/>
      <w:r w:rsidRPr="00CD53F4">
        <w:t xml:space="preserve"> </w:t>
      </w:r>
      <w:proofErr w:type="spellStart"/>
      <w:r w:rsidRPr="00CD53F4">
        <w:t>Mbonimpa</w:t>
      </w:r>
      <w:proofErr w:type="spellEnd"/>
      <w:r w:rsidRPr="00CD53F4">
        <w:t>的女婿及</w:t>
      </w:r>
      <w:r w:rsidRPr="00CD53F4">
        <w:t>11</w:t>
      </w:r>
      <w:r w:rsidRPr="00CD53F4">
        <w:t>月杀害其子的事件、以及</w:t>
      </w:r>
      <w:r w:rsidRPr="00CD53F4">
        <w:t>8</w:t>
      </w:r>
      <w:r w:rsidRPr="00CD53F4">
        <w:t>月对</w:t>
      </w:r>
      <w:proofErr w:type="spellStart"/>
      <w:r w:rsidRPr="00CD53F4">
        <w:t>Mbonimpa</w:t>
      </w:r>
      <w:proofErr w:type="spellEnd"/>
      <w:r w:rsidRPr="00CD53F4">
        <w:t>先生本人未致命的枪击事件，注意到与这些事件有关的司法程序记录，并鼓励布隆迪当局允许或开展对所有这类事件的彻底和独立调查，确保将法外处决的所有责任人绳之以法，</w:t>
      </w:r>
    </w:p>
    <w:p w:rsidR="004C7229" w:rsidRPr="00CD53F4" w:rsidRDefault="004C7229" w:rsidP="004C7229">
      <w:pPr>
        <w:pStyle w:val="SingleTxt"/>
      </w:pPr>
      <w:r w:rsidRPr="00CD53F4">
        <w:rPr>
          <w:i/>
          <w:iCs/>
        </w:rPr>
        <w:tab/>
      </w:r>
      <w:r w:rsidRPr="00CD53F4">
        <w:rPr>
          <w:rFonts w:eastAsia="楷体"/>
        </w:rPr>
        <w:t>又深表关切的是，</w:t>
      </w:r>
      <w:r w:rsidRPr="00CD53F4">
        <w:t>近期有报告称，有</w:t>
      </w:r>
      <w:r w:rsidRPr="00CD53F4">
        <w:t>10</w:t>
      </w:r>
      <w:r w:rsidRPr="00CD53F4">
        <w:t>多家民间社会组织被关停，《</w:t>
      </w:r>
      <w:proofErr w:type="spellStart"/>
      <w:r w:rsidRPr="00CD53F4">
        <w:rPr>
          <w:iCs/>
        </w:rPr>
        <w:t>Iwacu</w:t>
      </w:r>
      <w:proofErr w:type="spellEnd"/>
      <w:r w:rsidRPr="00CD53F4">
        <w:rPr>
          <w:color w:val="333333"/>
          <w:szCs w:val="21"/>
        </w:rPr>
        <w:t>报</w:t>
      </w:r>
      <w:r w:rsidRPr="00CD53F4">
        <w:t>》等独立媒体的出版人遭到骚扰，非洲公共电台、</w:t>
      </w:r>
      <w:proofErr w:type="spellStart"/>
      <w:r w:rsidRPr="00CD53F4">
        <w:t>Isanganiro</w:t>
      </w:r>
      <w:proofErr w:type="spellEnd"/>
      <w:r w:rsidRPr="00CD53F4">
        <w:t>和</w:t>
      </w:r>
      <w:proofErr w:type="spellStart"/>
      <w:r w:rsidRPr="00CD53F4">
        <w:t>Bonesha</w:t>
      </w:r>
      <w:proofErr w:type="spellEnd"/>
      <w:r w:rsidRPr="00CD53F4">
        <w:t>等广播电台自</w:t>
      </w:r>
      <w:r w:rsidRPr="00CD53F4">
        <w:t>2015</w:t>
      </w:r>
      <w:r w:rsidRPr="00CD53F4">
        <w:t>年</w:t>
      </w:r>
      <w:r w:rsidRPr="00CD53F4">
        <w:t>6</w:t>
      </w:r>
      <w:r w:rsidRPr="00CD53F4">
        <w:t>月以来一直关闭；敦促布隆迪当局在法律上和实践中营造和维护一个安全和有利的环境，使记者和民间社会能够不受阻碍和安全地开展工作，</w:t>
      </w:r>
    </w:p>
    <w:p w:rsidR="004C7229" w:rsidRPr="00CD53F4" w:rsidRDefault="004C7229" w:rsidP="004C7229">
      <w:pPr>
        <w:pStyle w:val="SingleTxt"/>
      </w:pPr>
      <w:r w:rsidRPr="00CD53F4">
        <w:rPr>
          <w:i/>
          <w:iCs/>
        </w:rPr>
        <w:tab/>
      </w:r>
      <w:r w:rsidRPr="00CD53F4">
        <w:rPr>
          <w:rFonts w:eastAsia="楷体"/>
        </w:rPr>
        <w:t>重申</w:t>
      </w:r>
      <w:r w:rsidRPr="00CD53F4">
        <w:t>人权理事会的所有成员国在增进和保护人权方面应坚持最高标准，并敦促布隆迪政府注意这些标准，</w:t>
      </w:r>
    </w:p>
    <w:p w:rsidR="004C7229" w:rsidRPr="00CD53F4" w:rsidRDefault="004C7229" w:rsidP="004C7229">
      <w:pPr>
        <w:pStyle w:val="SingleTxt"/>
      </w:pPr>
      <w:r w:rsidRPr="00CD53F4">
        <w:tab/>
        <w:t>1.</w:t>
      </w:r>
      <w:r w:rsidRPr="00CD53F4">
        <w:rPr>
          <w:rFonts w:eastAsiaTheme="minorEastAsia"/>
        </w:rPr>
        <w:t xml:space="preserve">  </w:t>
      </w:r>
      <w:r w:rsidRPr="00CD53F4">
        <w:rPr>
          <w:rFonts w:eastAsia="楷体"/>
        </w:rPr>
        <w:t>深为关切</w:t>
      </w:r>
      <w:r w:rsidRPr="00CD53F4">
        <w:t>布隆迪人权和人道主义状况恶化；强调增进和保护人权仍然应当是任何解决布隆迪危机的方案的核心；</w:t>
      </w:r>
    </w:p>
    <w:p w:rsidR="004C7229" w:rsidRPr="00CD53F4" w:rsidRDefault="004C7229" w:rsidP="004C7229">
      <w:pPr>
        <w:pStyle w:val="SingleTxt"/>
      </w:pPr>
      <w:r w:rsidRPr="00CD53F4">
        <w:tab/>
        <w:t>2.</w:t>
      </w:r>
      <w:r w:rsidRPr="00CD53F4">
        <w:rPr>
          <w:rFonts w:eastAsiaTheme="minorEastAsia"/>
        </w:rPr>
        <w:t xml:space="preserve">  </w:t>
      </w:r>
      <w:r w:rsidRPr="00CD53F4">
        <w:rPr>
          <w:rFonts w:eastAsia="楷体"/>
        </w:rPr>
        <w:t>吁请</w:t>
      </w:r>
      <w:r w:rsidRPr="00CD53F4">
        <w:t>布隆迪政府根据该国承担的国际义务，尊重、保护和保障所有人的所有人权和基本自由，遵守法治，对暴力行为公开追究责任，并在联合国人权事务高级专员办事处履行任务的过程中与其全力合作；</w:t>
      </w:r>
    </w:p>
    <w:p w:rsidR="004C7229" w:rsidRPr="00CD53F4" w:rsidRDefault="004C7229" w:rsidP="004C7229">
      <w:pPr>
        <w:pStyle w:val="SingleTxt"/>
      </w:pPr>
      <w:r w:rsidRPr="00CD53F4">
        <w:tab/>
        <w:t>3.</w:t>
      </w:r>
      <w:r w:rsidRPr="00CD53F4">
        <w:rPr>
          <w:rFonts w:eastAsiaTheme="minorEastAsia"/>
        </w:rPr>
        <w:t xml:space="preserve">  </w:t>
      </w:r>
      <w:r w:rsidRPr="00CD53F4">
        <w:rPr>
          <w:rFonts w:eastAsia="楷体"/>
        </w:rPr>
        <w:t>强烈敦促</w:t>
      </w:r>
      <w:r w:rsidRPr="00CD53F4">
        <w:t>所有行为方在遵守《阿鲁沙协定》的基础上，创造有利于促进真诚和包容各方的对话、包括促进妇女有意义的参与的氛围，以便达成协商一致的政治解决方案，其目标是保卫和平、加强民主和确保在布隆迪人人享有人权；</w:t>
      </w:r>
    </w:p>
    <w:p w:rsidR="004C7229" w:rsidRPr="00CD53F4" w:rsidRDefault="004C7229" w:rsidP="004C7229">
      <w:pPr>
        <w:pStyle w:val="SingleTxt"/>
      </w:pPr>
      <w:r w:rsidRPr="00CD53F4">
        <w:tab/>
        <w:t>4.</w:t>
      </w:r>
      <w:r w:rsidRPr="00CD53F4">
        <w:rPr>
          <w:rFonts w:eastAsiaTheme="minorEastAsia"/>
        </w:rPr>
        <w:t xml:space="preserve">  </w:t>
      </w:r>
      <w:r w:rsidRPr="00CD53F4">
        <w:rPr>
          <w:rFonts w:eastAsia="楷体"/>
        </w:rPr>
        <w:t>强烈谴责</w:t>
      </w:r>
      <w:r w:rsidRPr="00CD53F4">
        <w:t>各行为方正在布隆迪犯下的严重侵犯和践踏人权行为，尤其是限制包括媒体自由在内的言论自由及和平集会与结社自由；安全部队对示威者和其他平民过度使用武力，包括对示威者使用实弹并造成死亡，法外处决，任意拘留抗议者，对被拘留者实施酷刑和虐待，骚扰和恐吓人权维护者、反对派成员和记者，包括各政党、包括多数党附属武装青年团体实施的这类行为，以及惩罚性暴力行为，包括定点暗杀等等；并强烈谴责实施这些行为背后的有罪不罚风气；</w:t>
      </w:r>
    </w:p>
    <w:p w:rsidR="004C7229" w:rsidRPr="00CD53F4" w:rsidRDefault="00544725" w:rsidP="004C7229">
      <w:pPr>
        <w:pStyle w:val="SingleTxt"/>
      </w:pPr>
      <w:r>
        <w:rPr>
          <w:rFonts w:hint="eastAsia"/>
        </w:rPr>
        <w:tab/>
      </w:r>
      <w:r w:rsidR="004C7229" w:rsidRPr="00CD53F4">
        <w:t>5.</w:t>
      </w:r>
      <w:r w:rsidR="004C7229" w:rsidRPr="00CD53F4">
        <w:rPr>
          <w:rFonts w:eastAsiaTheme="minorEastAsia"/>
        </w:rPr>
        <w:t xml:space="preserve">  </w:t>
      </w:r>
      <w:r w:rsidR="004C7229" w:rsidRPr="00CD53F4">
        <w:rPr>
          <w:rFonts w:eastAsia="楷体"/>
        </w:rPr>
        <w:t>重申坚决谴责</w:t>
      </w:r>
      <w:r w:rsidR="004C7229" w:rsidRPr="00CD53F4">
        <w:t>所有各方犯下的一切侵犯和践踏人权行为，以及该国某些行为方发表的煽动性言论；</w:t>
      </w:r>
    </w:p>
    <w:p w:rsidR="004C7229" w:rsidRPr="00CD53F4" w:rsidRDefault="004C7229" w:rsidP="004C7229">
      <w:pPr>
        <w:pStyle w:val="SingleTxt"/>
      </w:pPr>
      <w:r w:rsidRPr="00CD53F4">
        <w:tab/>
        <w:t>6.</w:t>
      </w:r>
      <w:r w:rsidRPr="00CD53F4">
        <w:rPr>
          <w:rFonts w:eastAsiaTheme="minorEastAsia"/>
        </w:rPr>
        <w:t xml:space="preserve">  </w:t>
      </w:r>
      <w:r w:rsidRPr="00CD53F4">
        <w:rPr>
          <w:rFonts w:eastAsia="楷体"/>
        </w:rPr>
        <w:t>痛惜</w:t>
      </w:r>
      <w:r w:rsidRPr="00CD53F4">
        <w:t>最近几周暴力行为令人担忧地卷土重来并不断升级，侵犯和践踏人权行为急剧增加；</w:t>
      </w:r>
    </w:p>
    <w:p w:rsidR="004C7229" w:rsidRPr="00CD53F4" w:rsidRDefault="004C7229" w:rsidP="004C7229">
      <w:pPr>
        <w:pStyle w:val="SingleTxt"/>
      </w:pPr>
      <w:r w:rsidRPr="00CD53F4">
        <w:tab/>
        <w:t>7.</w:t>
      </w:r>
      <w:r w:rsidRPr="00CD53F4">
        <w:rPr>
          <w:rFonts w:eastAsiaTheme="minorEastAsia"/>
        </w:rPr>
        <w:t xml:space="preserve">  </w:t>
      </w:r>
      <w:r w:rsidRPr="00CD53F4">
        <w:rPr>
          <w:rFonts w:eastAsia="楷体"/>
        </w:rPr>
        <w:t>强烈谴责</w:t>
      </w:r>
      <w:r w:rsidRPr="00CD53F4">
        <w:t>以行动助长暴力长期持续并阻碍推动和平解决危机的所有各方，包括</w:t>
      </w:r>
      <w:r w:rsidRPr="00CD53F4">
        <w:t xml:space="preserve"> “</w:t>
      </w:r>
      <w:r w:rsidRPr="00CD53F4">
        <w:t>远望者民兵</w:t>
      </w:r>
      <w:proofErr w:type="gramStart"/>
      <w:r w:rsidRPr="00CD53F4">
        <w:t>”(</w:t>
      </w:r>
      <w:proofErr w:type="spellStart"/>
      <w:proofErr w:type="gramEnd"/>
      <w:r w:rsidRPr="00CD53F4">
        <w:t>Imbonerakure</w:t>
      </w:r>
      <w:proofErr w:type="spellEnd"/>
      <w:r w:rsidRPr="00CD53F4">
        <w:t xml:space="preserve">) </w:t>
      </w:r>
      <w:r w:rsidRPr="00CD53F4">
        <w:t>等武装团体；</w:t>
      </w:r>
    </w:p>
    <w:p w:rsidR="004C7229" w:rsidRPr="00CD53F4" w:rsidRDefault="004C7229" w:rsidP="004C7229">
      <w:pPr>
        <w:pStyle w:val="SingleTxt"/>
      </w:pPr>
      <w:r w:rsidRPr="00CD53F4">
        <w:tab/>
        <w:t>8.</w:t>
      </w:r>
      <w:r w:rsidRPr="00CD53F4">
        <w:rPr>
          <w:rFonts w:eastAsiaTheme="minorEastAsia"/>
        </w:rPr>
        <w:t xml:space="preserve">  </w:t>
      </w:r>
      <w:r w:rsidRPr="00CD53F4">
        <w:rPr>
          <w:rFonts w:eastAsia="楷体"/>
        </w:rPr>
        <w:t>吁请</w:t>
      </w:r>
      <w:r w:rsidRPr="00CD53F4">
        <w:t>布隆迪政府和其他各方避免发表或采取任何有可能加剧紧张局势的言论或行动，公开谴责任何此类言论，以便考虑到该国的最大利益，充分尊重作为和平与民主的支柱的《阿鲁沙协定》的文字和精神；</w:t>
      </w:r>
    </w:p>
    <w:p w:rsidR="004C7229" w:rsidRPr="00CD53F4" w:rsidRDefault="004C7229" w:rsidP="004C7229">
      <w:pPr>
        <w:pStyle w:val="SingleTxt"/>
      </w:pPr>
      <w:r w:rsidRPr="00CD53F4">
        <w:tab/>
        <w:t>9.</w:t>
      </w:r>
      <w:r w:rsidRPr="00CD53F4">
        <w:rPr>
          <w:rFonts w:eastAsiaTheme="minorEastAsia"/>
        </w:rPr>
        <w:t xml:space="preserve">  </w:t>
      </w:r>
      <w:r w:rsidRPr="00CD53F4">
        <w:rPr>
          <w:rFonts w:eastAsia="楷体"/>
        </w:rPr>
        <w:t>吁请</w:t>
      </w:r>
      <w:r w:rsidRPr="00CD53F4">
        <w:rPr>
          <w:color w:val="000000"/>
        </w:rPr>
        <w:t>布隆迪当局承诺保护布隆迪人民免遭恐吓和暴力等非法行为，并根据</w:t>
      </w:r>
      <w:r w:rsidRPr="00CD53F4">
        <w:t>该国所承担的国际义务，尊重、保护和增进所有人的所有人权和基本自由，遵守法治，推动对一切侵犯和践踏人权行为公开追究责任；</w:t>
      </w:r>
    </w:p>
    <w:p w:rsidR="004C7229" w:rsidRPr="00CD53F4" w:rsidRDefault="004C7229" w:rsidP="004C7229">
      <w:pPr>
        <w:pStyle w:val="SingleTxt"/>
      </w:pPr>
      <w:r w:rsidRPr="00CD53F4">
        <w:tab/>
        <w:t>10.</w:t>
      </w:r>
      <w:r w:rsidRPr="00CD53F4">
        <w:rPr>
          <w:rFonts w:eastAsiaTheme="minorEastAsia"/>
        </w:rPr>
        <w:t xml:space="preserve">  </w:t>
      </w:r>
      <w:r w:rsidRPr="00CD53F4">
        <w:rPr>
          <w:rFonts w:eastAsia="楷体"/>
        </w:rPr>
        <w:t>又吁请</w:t>
      </w:r>
      <w:r w:rsidRPr="00CD53F4">
        <w:t>布隆迪当局对严重侵犯和践踏人权行为开展全面独立的调查，以便追究所有罪犯的责任，无论其属于什么派系；</w:t>
      </w:r>
    </w:p>
    <w:p w:rsidR="004C7229" w:rsidRPr="00CD53F4" w:rsidRDefault="004C7229" w:rsidP="004C7229">
      <w:pPr>
        <w:pStyle w:val="SingleTxt"/>
      </w:pPr>
      <w:r w:rsidRPr="00CD53F4">
        <w:tab/>
        <w:t>11.</w:t>
      </w:r>
      <w:r w:rsidRPr="00CD53F4">
        <w:rPr>
          <w:rFonts w:eastAsiaTheme="minorEastAsia"/>
        </w:rPr>
        <w:t xml:space="preserve">  </w:t>
      </w:r>
      <w:r w:rsidRPr="00CD53F4">
        <w:rPr>
          <w:rFonts w:eastAsia="楷体"/>
        </w:rPr>
        <w:t>还吁请</w:t>
      </w:r>
      <w:r w:rsidRPr="00CD53F4">
        <w:t>布隆迪当局确保公平的政治进程，并为举行自由、公平和透明的民主选举创造条件；</w:t>
      </w:r>
    </w:p>
    <w:p w:rsidR="004C7229" w:rsidRPr="00CD53F4" w:rsidRDefault="004C7229" w:rsidP="004C7229">
      <w:pPr>
        <w:pStyle w:val="SingleTxt"/>
      </w:pPr>
      <w:r w:rsidRPr="00CD53F4">
        <w:tab/>
        <w:t>12.</w:t>
      </w:r>
      <w:r w:rsidRPr="00CD53F4">
        <w:rPr>
          <w:rFonts w:eastAsiaTheme="minorEastAsia"/>
        </w:rPr>
        <w:t xml:space="preserve">  </w:t>
      </w:r>
      <w:r w:rsidRPr="00CD53F4">
        <w:rPr>
          <w:rFonts w:eastAsia="楷体"/>
        </w:rPr>
        <w:t>欢迎</w:t>
      </w:r>
      <w:r w:rsidRPr="00CD53F4">
        <w:t>在区域和次区域层面为监测布隆迪人权状况并推动改善这一状况所做的努力，包括东非共同体和非洲联盟和平与安全理事会所做的努力；</w:t>
      </w:r>
    </w:p>
    <w:p w:rsidR="004C7229" w:rsidRPr="00CD53F4" w:rsidRDefault="004C7229" w:rsidP="004C7229">
      <w:pPr>
        <w:pStyle w:val="SingleTxt"/>
      </w:pPr>
      <w:r w:rsidRPr="00CD53F4">
        <w:tab/>
        <w:t>13.</w:t>
      </w:r>
      <w:r w:rsidRPr="00CD53F4">
        <w:rPr>
          <w:rFonts w:eastAsiaTheme="minorEastAsia"/>
        </w:rPr>
        <w:t xml:space="preserve">  </w:t>
      </w:r>
      <w:r w:rsidRPr="00CD53F4">
        <w:rPr>
          <w:rFonts w:eastAsia="楷体"/>
        </w:rPr>
        <w:t>深为关切</w:t>
      </w:r>
      <w:r w:rsidRPr="00CD53F4">
        <w:t>逃往邻国的逾</w:t>
      </w:r>
      <w:r w:rsidRPr="00CD53F4">
        <w:t>22</w:t>
      </w:r>
      <w:r w:rsidRPr="00CD53F4">
        <w:t>万名布隆迪难民和无数境内流离失所者的困难处境；吁请接收国和国际社会继续提供保护和援助，同时满意地注意到在难民自愿返回方面取得的进展；</w:t>
      </w:r>
    </w:p>
    <w:p w:rsidR="004C7229" w:rsidRPr="00CD53F4" w:rsidRDefault="004C7229" w:rsidP="004C7229">
      <w:pPr>
        <w:pStyle w:val="SingleTxt"/>
        <w:rPr>
          <w:color w:val="000000"/>
        </w:rPr>
      </w:pPr>
      <w:r w:rsidRPr="00CD53F4">
        <w:tab/>
        <w:t xml:space="preserve">14.  </w:t>
      </w:r>
      <w:r w:rsidRPr="00CD53F4">
        <w:rPr>
          <w:rFonts w:eastAsia="楷体"/>
        </w:rPr>
        <w:t>尤其</w:t>
      </w:r>
      <w:r w:rsidRPr="00CD53F4">
        <w:rPr>
          <w:rFonts w:eastAsia="楷体"/>
          <w:color w:val="000000"/>
        </w:rPr>
        <w:t>欢迎</w:t>
      </w:r>
      <w:r w:rsidRPr="00CD53F4">
        <w:rPr>
          <w:color w:val="000000"/>
        </w:rPr>
        <w:t>非洲联盟向布隆迪紧急部署人权观察员并开展工作，非洲人权和人民权利委员会向布隆迪部署实况调查团，以及非洲人权和人民权利委员会实况调查团</w:t>
      </w:r>
      <w:r w:rsidRPr="00CD53F4">
        <w:rPr>
          <w:color w:val="000000"/>
        </w:rPr>
        <w:t>2015</w:t>
      </w:r>
      <w:r w:rsidRPr="00CD53F4">
        <w:rPr>
          <w:color w:val="000000"/>
        </w:rPr>
        <w:t>年</w:t>
      </w:r>
      <w:r w:rsidRPr="00CD53F4">
        <w:rPr>
          <w:color w:val="000000"/>
        </w:rPr>
        <w:t>12</w:t>
      </w:r>
      <w:r w:rsidRPr="00CD53F4">
        <w:rPr>
          <w:color w:val="000000"/>
        </w:rPr>
        <w:t>月</w:t>
      </w:r>
      <w:r w:rsidRPr="00CD53F4">
        <w:rPr>
          <w:color w:val="000000"/>
        </w:rPr>
        <w:t>13</w:t>
      </w:r>
      <w:r w:rsidRPr="00CD53F4">
        <w:rPr>
          <w:color w:val="000000"/>
        </w:rPr>
        <w:t>日发表的最后公报；吁请布隆迪当局与这些官员全力合作，给他们履行任务所需的出入自由；</w:t>
      </w:r>
    </w:p>
    <w:p w:rsidR="004C7229" w:rsidRPr="00CD53F4" w:rsidRDefault="004C7229" w:rsidP="004C7229">
      <w:pPr>
        <w:pStyle w:val="SingleTxt"/>
        <w:rPr>
          <w:color w:val="000000"/>
        </w:rPr>
      </w:pPr>
      <w:r w:rsidRPr="00CD53F4">
        <w:tab/>
        <w:t xml:space="preserve">15.  </w:t>
      </w:r>
      <w:r w:rsidRPr="00CD53F4">
        <w:rPr>
          <w:rFonts w:eastAsia="楷体"/>
        </w:rPr>
        <w:t>鼓励</w:t>
      </w:r>
      <w:r w:rsidRPr="00CD53F4">
        <w:rPr>
          <w:color w:val="000000"/>
        </w:rPr>
        <w:t>布隆迪政府与区域牵头的调解团合作，以便立即开展一个布隆迪国内外所有奉行和平的相关利益攸关方都参加的真正的包容各方的布隆迪人之间对话，以找到一个协商一致和国家享有自主权的解决当前危机的方案；</w:t>
      </w:r>
    </w:p>
    <w:p w:rsidR="004C7229" w:rsidRPr="00CD53F4" w:rsidRDefault="004C7229" w:rsidP="004C7229">
      <w:pPr>
        <w:pStyle w:val="SingleTxt"/>
      </w:pPr>
      <w:r w:rsidRPr="00CD53F4">
        <w:tab/>
        <w:t xml:space="preserve">16.  </w:t>
      </w:r>
      <w:r w:rsidRPr="00CD53F4">
        <w:rPr>
          <w:rFonts w:eastAsia="楷体"/>
        </w:rPr>
        <w:t>决定</w:t>
      </w:r>
      <w:r w:rsidRPr="00CD53F4">
        <w:t>在人权理事会第三十一和第三十三届会议上，按照理事会第</w:t>
      </w:r>
      <w:r w:rsidRPr="00CD53F4">
        <w:t>30/27</w:t>
      </w:r>
      <w:r w:rsidRPr="00CD53F4">
        <w:t>号决议的要求，加强关于布隆迪人权状况的互动对话，从而让其他利益攸关方，尤其是非洲联盟、非洲人权和人民权利委员会、民间社会和处理布隆迪人权问题的有关特别程序的代表参加对话；</w:t>
      </w:r>
    </w:p>
    <w:p w:rsidR="004C7229" w:rsidRPr="00CD53F4" w:rsidRDefault="004C7229" w:rsidP="004C7229">
      <w:pPr>
        <w:pStyle w:val="SingleTxt"/>
      </w:pPr>
      <w:r w:rsidRPr="00CD53F4">
        <w:tab/>
        <w:t xml:space="preserve">17.  </w:t>
      </w:r>
      <w:r w:rsidRPr="00CD53F4">
        <w:rPr>
          <w:color w:val="000000"/>
        </w:rPr>
        <w:t>请</w:t>
      </w:r>
      <w:r w:rsidRPr="00CD53F4">
        <w:t>联合国人权事务高级专员紧急组织并尽快派遣一个由现有独立专家组成的特派团；</w:t>
      </w:r>
    </w:p>
    <w:p w:rsidR="004C3F6C" w:rsidRDefault="004C3F6C">
      <w:pPr>
        <w:spacing w:line="240" w:lineRule="auto"/>
        <w:jc w:val="left"/>
      </w:pPr>
      <w:r>
        <w:br w:type="page"/>
      </w:r>
    </w:p>
    <w:p w:rsidR="004C7229" w:rsidRPr="00CD53F4" w:rsidRDefault="008F2941" w:rsidP="004C7229">
      <w:pPr>
        <w:pStyle w:val="SingleTxt"/>
        <w:rPr>
          <w:color w:val="000000"/>
        </w:rPr>
      </w:pPr>
      <w:r>
        <w:rPr>
          <w:rFonts w:hint="eastAsia"/>
        </w:rPr>
        <w:tab/>
      </w:r>
      <w:r w:rsidR="004C7229" w:rsidRPr="00CD53F4">
        <w:t>(a)</w:t>
      </w:r>
      <w:r w:rsidR="004C7229" w:rsidRPr="00CD53F4">
        <w:tab/>
      </w:r>
      <w:r w:rsidR="004C7229" w:rsidRPr="00CD53F4">
        <w:rPr>
          <w:color w:val="000000"/>
        </w:rPr>
        <w:t>迅速对侵犯和践踏人权行为展开调查，以防人权状况进一步恶化；</w:t>
      </w:r>
    </w:p>
    <w:p w:rsidR="004C7229" w:rsidRPr="00CD53F4" w:rsidRDefault="008F2941" w:rsidP="004C7229">
      <w:pPr>
        <w:pStyle w:val="SingleTxt"/>
      </w:pPr>
      <w:r>
        <w:rPr>
          <w:rFonts w:hint="eastAsia"/>
        </w:rPr>
        <w:tab/>
      </w:r>
      <w:r w:rsidR="004C7229" w:rsidRPr="00CD53F4">
        <w:t>(b)</w:t>
      </w:r>
      <w:r w:rsidR="004C7229" w:rsidRPr="00CD53F4">
        <w:tab/>
      </w:r>
      <w:r w:rsidR="004C7229" w:rsidRPr="00CD53F4">
        <w:t>就改善人权状况和为协助和解及《阿鲁沙协定》的落实工作提供技术援助的问题提出建议；</w:t>
      </w:r>
    </w:p>
    <w:p w:rsidR="004C7229" w:rsidRPr="00CD53F4" w:rsidRDefault="008F2941" w:rsidP="004C7229">
      <w:pPr>
        <w:pStyle w:val="SingleTxt"/>
        <w:rPr>
          <w:color w:val="000000"/>
        </w:rPr>
      </w:pPr>
      <w:r>
        <w:rPr>
          <w:rFonts w:hint="eastAsia"/>
        </w:rPr>
        <w:tab/>
      </w:r>
      <w:r w:rsidR="004C7229" w:rsidRPr="00CD53F4">
        <w:t>(c)</w:t>
      </w:r>
      <w:r w:rsidR="004C7229" w:rsidRPr="00CD53F4">
        <w:tab/>
      </w:r>
      <w:r w:rsidR="004C7229" w:rsidRPr="00CD53F4">
        <w:rPr>
          <w:color w:val="000000"/>
        </w:rPr>
        <w:t>与布隆迪当局和其他所有相关利益攸关方接触，包括与联合国机构、民间社会、难民、高级专员办事处驻布隆迪办事机构、非洲联盟当局及非洲人权和人民权利委员会接触，以便协助该国履行其人权义务，确保对侵犯和践踏人权行为追究责任，包括查明被指控的罪犯，采取适当的过渡时期司法措施，维护《阿鲁沙协定》的精神；</w:t>
      </w:r>
    </w:p>
    <w:p w:rsidR="004C7229" w:rsidRPr="00CD53F4" w:rsidRDefault="008F2941" w:rsidP="004C7229">
      <w:pPr>
        <w:pStyle w:val="SingleTxt"/>
      </w:pPr>
      <w:r>
        <w:rPr>
          <w:rFonts w:hint="eastAsia"/>
        </w:rPr>
        <w:tab/>
      </w:r>
      <w:r w:rsidR="004C7229" w:rsidRPr="00CD53F4">
        <w:t>(d)</w:t>
      </w:r>
      <w:r w:rsidR="004C7229" w:rsidRPr="00CD53F4">
        <w:tab/>
      </w:r>
      <w:r w:rsidR="004C7229" w:rsidRPr="00CD53F4">
        <w:t>确保本项工作与联合国、非洲联盟和其他有关的区域和国际实体开展的其他工作之间的互补和协调，同时在切实可行的情况下尽量借鉴非洲联盟和非洲人权和人民权利委员会的专长；</w:t>
      </w:r>
    </w:p>
    <w:p w:rsidR="004C7229" w:rsidRPr="00CD53F4" w:rsidRDefault="008F2941" w:rsidP="004C7229">
      <w:pPr>
        <w:pStyle w:val="SingleTxt"/>
        <w:rPr>
          <w:color w:val="000000"/>
        </w:rPr>
      </w:pPr>
      <w:r>
        <w:rPr>
          <w:rFonts w:hint="eastAsia"/>
        </w:rPr>
        <w:tab/>
      </w:r>
      <w:r w:rsidR="004C7229" w:rsidRPr="00CD53F4">
        <w:t>(e)</w:t>
      </w:r>
      <w:r w:rsidR="004C7229" w:rsidRPr="00CD53F4">
        <w:tab/>
      </w:r>
      <w:r w:rsidR="004C7229" w:rsidRPr="00CD53F4">
        <w:rPr>
          <w:color w:val="000000"/>
        </w:rPr>
        <w:t>请专家中的一名代表在人权理事会第三十一届会议上作口头介绍，并参加关于布隆迪人权状况的强化互动对话；在第三十三届会议上发布最后报告，并参加关于布隆迪人权状况的强化互动对话；</w:t>
      </w:r>
    </w:p>
    <w:p w:rsidR="004C7229" w:rsidRPr="00CD53F4" w:rsidRDefault="004C7229" w:rsidP="004C7229">
      <w:pPr>
        <w:pStyle w:val="SingleTxt"/>
      </w:pPr>
      <w:r w:rsidRPr="00CD53F4">
        <w:tab/>
        <w:t>18.</w:t>
      </w:r>
      <w:r w:rsidRPr="00CD53F4">
        <w:tab/>
      </w:r>
      <w:r w:rsidRPr="00CD53F4">
        <w:rPr>
          <w:rFonts w:eastAsia="楷体"/>
          <w:color w:val="000000"/>
        </w:rPr>
        <w:t>请</w:t>
      </w:r>
      <w:r w:rsidRPr="00CD53F4">
        <w:t>各方为高级专员办事处提供履行这一任务所需的一切资源；</w:t>
      </w:r>
    </w:p>
    <w:p w:rsidR="004C7229" w:rsidRPr="00CD53F4" w:rsidRDefault="004C7229" w:rsidP="00CD53F4">
      <w:pPr>
        <w:pStyle w:val="SingleTxt"/>
      </w:pPr>
      <w:r w:rsidRPr="00CD53F4">
        <w:rPr>
          <w:i/>
          <w:color w:val="000000"/>
        </w:rPr>
        <w:tab/>
      </w:r>
      <w:r w:rsidRPr="00CD53F4">
        <w:rPr>
          <w:color w:val="000000"/>
        </w:rPr>
        <w:t>19.</w:t>
      </w:r>
      <w:r w:rsidRPr="00CD53F4">
        <w:rPr>
          <w:i/>
          <w:color w:val="000000"/>
        </w:rPr>
        <w:tab/>
      </w:r>
      <w:r w:rsidRPr="00CD53F4">
        <w:rPr>
          <w:rFonts w:eastAsia="楷体"/>
          <w:color w:val="000000"/>
        </w:rPr>
        <w:t>决定</w:t>
      </w:r>
      <w:r w:rsidRPr="00CD53F4">
        <w:t>继续处理此事。</w:t>
      </w:r>
    </w:p>
    <w:p w:rsidR="004C7229" w:rsidRPr="00CD53F4" w:rsidRDefault="004C7229" w:rsidP="00CD53F4">
      <w:pPr>
        <w:pStyle w:val="SingleTxt"/>
        <w:ind w:left="6934"/>
        <w:jc w:val="left"/>
        <w:rPr>
          <w:rFonts w:eastAsia="楷体"/>
          <w:iCs/>
        </w:rPr>
      </w:pPr>
      <w:r w:rsidRPr="00CD53F4">
        <w:rPr>
          <w:rFonts w:eastAsia="楷体"/>
          <w:iCs/>
        </w:rPr>
        <w:t>2015</w:t>
      </w:r>
      <w:r w:rsidRPr="00CD53F4">
        <w:rPr>
          <w:rFonts w:eastAsia="楷体"/>
          <w:iCs/>
        </w:rPr>
        <w:t>年</w:t>
      </w:r>
      <w:r w:rsidRPr="00CD53F4">
        <w:rPr>
          <w:rFonts w:eastAsia="楷体"/>
          <w:iCs/>
        </w:rPr>
        <w:t>12</w:t>
      </w:r>
      <w:r w:rsidRPr="00CD53F4">
        <w:rPr>
          <w:rFonts w:eastAsia="楷体"/>
          <w:iCs/>
        </w:rPr>
        <w:t>月</w:t>
      </w:r>
      <w:r w:rsidRPr="00CD53F4">
        <w:rPr>
          <w:rFonts w:eastAsia="楷体"/>
          <w:iCs/>
        </w:rPr>
        <w:t>17</w:t>
      </w:r>
      <w:r w:rsidRPr="00CD53F4">
        <w:rPr>
          <w:rFonts w:eastAsia="楷体"/>
          <w:iCs/>
        </w:rPr>
        <w:t>日</w:t>
      </w:r>
      <w:r w:rsidR="00CD53F4">
        <w:rPr>
          <w:rFonts w:eastAsia="楷体" w:hint="eastAsia"/>
          <w:iCs/>
        </w:rPr>
        <w:br/>
      </w:r>
      <w:r w:rsidRPr="00CD53F4">
        <w:rPr>
          <w:rFonts w:eastAsia="楷体"/>
          <w:iCs/>
        </w:rPr>
        <w:t>第</w:t>
      </w:r>
      <w:r w:rsidRPr="00CD53F4">
        <w:rPr>
          <w:rFonts w:eastAsia="楷体"/>
          <w:iCs/>
        </w:rPr>
        <w:t>2</w:t>
      </w:r>
      <w:r w:rsidRPr="00CD53F4">
        <w:rPr>
          <w:rFonts w:eastAsia="楷体"/>
          <w:iCs/>
        </w:rPr>
        <w:t>次会议</w:t>
      </w:r>
    </w:p>
    <w:p w:rsidR="004C7229" w:rsidRPr="00CD53F4" w:rsidRDefault="004C7229" w:rsidP="004C7229">
      <w:pPr>
        <w:pStyle w:val="SingleTxt"/>
        <w:rPr>
          <w:i/>
        </w:rPr>
      </w:pPr>
    </w:p>
    <w:p w:rsidR="004C7229" w:rsidRPr="00CD53F4" w:rsidRDefault="004C7229" w:rsidP="004C7229">
      <w:pPr>
        <w:pStyle w:val="SingleTxt"/>
      </w:pPr>
      <w:r w:rsidRPr="00CD53F4">
        <w:t>[</w:t>
      </w:r>
      <w:r w:rsidRPr="00CD53F4">
        <w:rPr>
          <w:rFonts w:eastAsiaTheme="minorEastAsia"/>
        </w:rPr>
        <w:t>未经表决获得通过。</w:t>
      </w:r>
      <w:r w:rsidRPr="00CD53F4">
        <w:t>]</w:t>
      </w:r>
    </w:p>
    <w:p w:rsidR="004D01AA" w:rsidRPr="001632AD" w:rsidRDefault="001632AD" w:rsidP="001632AD">
      <w:pPr>
        <w:pStyle w:val="SingleTxt"/>
        <w:spacing w:after="0"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4D01AA" w:rsidRPr="001632AD" w:rsidSect="004D01AA">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53" w:rsidRDefault="003D1253">
      <w:r>
        <w:separator/>
      </w:r>
    </w:p>
  </w:endnote>
  <w:endnote w:type="continuationSeparator" w:id="0">
    <w:p w:rsidR="003D1253" w:rsidRDefault="003D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01AA" w:rsidTr="004D01AA">
      <w:trPr>
        <w:jc w:val="center"/>
      </w:trPr>
      <w:tc>
        <w:tcPr>
          <w:tcW w:w="5126" w:type="dxa"/>
          <w:shd w:val="clear" w:color="auto" w:fill="auto"/>
        </w:tcPr>
        <w:p w:rsidR="004D01AA" w:rsidRPr="004D01AA" w:rsidRDefault="004D01AA" w:rsidP="004D01A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83B6B">
            <w:rPr>
              <w:b w:val="0"/>
              <w:w w:val="103"/>
              <w:sz w:val="14"/>
            </w:rPr>
            <w:t>GE.15-22647 (C)</w:t>
          </w:r>
          <w:r>
            <w:rPr>
              <w:b w:val="0"/>
              <w:w w:val="103"/>
              <w:sz w:val="14"/>
            </w:rPr>
            <w:fldChar w:fldCharType="end"/>
          </w:r>
        </w:p>
      </w:tc>
      <w:tc>
        <w:tcPr>
          <w:tcW w:w="5127" w:type="dxa"/>
          <w:shd w:val="clear" w:color="auto" w:fill="auto"/>
        </w:tcPr>
        <w:p w:rsidR="004D01AA" w:rsidRPr="004D01AA" w:rsidRDefault="004D01AA" w:rsidP="004D01AA">
          <w:pPr>
            <w:pStyle w:val="Footer"/>
            <w:jc w:val="left"/>
            <w:rPr>
              <w:w w:val="103"/>
            </w:rPr>
          </w:pPr>
          <w:r>
            <w:rPr>
              <w:w w:val="103"/>
            </w:rPr>
            <w:fldChar w:fldCharType="begin"/>
          </w:r>
          <w:r>
            <w:rPr>
              <w:w w:val="103"/>
            </w:rPr>
            <w:instrText xml:space="preserve"> PAGE  \* Arabic  \* MERGEFORMAT </w:instrText>
          </w:r>
          <w:r>
            <w:rPr>
              <w:w w:val="103"/>
            </w:rPr>
            <w:fldChar w:fldCharType="separate"/>
          </w:r>
          <w:r w:rsidR="00E84FFF">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84FFF">
            <w:rPr>
              <w:w w:val="103"/>
            </w:rPr>
            <w:t>5</w:t>
          </w:r>
          <w:r>
            <w:rPr>
              <w:w w:val="103"/>
            </w:rPr>
            <w:fldChar w:fldCharType="end"/>
          </w:r>
        </w:p>
      </w:tc>
    </w:tr>
  </w:tbl>
  <w:p w:rsidR="004D01AA" w:rsidRPr="004D01AA" w:rsidRDefault="004D01AA" w:rsidP="004D0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01AA" w:rsidTr="004D01AA">
      <w:trPr>
        <w:jc w:val="center"/>
      </w:trPr>
      <w:tc>
        <w:tcPr>
          <w:tcW w:w="5126" w:type="dxa"/>
          <w:shd w:val="clear" w:color="auto" w:fill="auto"/>
        </w:tcPr>
        <w:p w:rsidR="004D01AA" w:rsidRPr="004D01AA" w:rsidRDefault="004D01AA" w:rsidP="004D01AA">
          <w:pPr>
            <w:pStyle w:val="Footer"/>
            <w:jc w:val="right"/>
          </w:pPr>
          <w:r>
            <w:fldChar w:fldCharType="begin"/>
          </w:r>
          <w:r>
            <w:instrText xml:space="preserve"> PAGE  \* Arabic  \* MERGEFORMAT </w:instrText>
          </w:r>
          <w:r>
            <w:fldChar w:fldCharType="separate"/>
          </w:r>
          <w:r w:rsidR="00E84FFF">
            <w:t>5</w:t>
          </w:r>
          <w:r>
            <w:fldChar w:fldCharType="end"/>
          </w:r>
          <w:r>
            <w:t>/</w:t>
          </w:r>
          <w:r w:rsidR="00E84FFF">
            <w:fldChar w:fldCharType="begin"/>
          </w:r>
          <w:r w:rsidR="00E84FFF">
            <w:instrText xml:space="preserve"> NUMPAGES  \* Arabic  \* MERGEFORMAT </w:instrText>
          </w:r>
          <w:r w:rsidR="00E84FFF">
            <w:fldChar w:fldCharType="separate"/>
          </w:r>
          <w:r w:rsidR="00E84FFF">
            <w:t>5</w:t>
          </w:r>
          <w:r w:rsidR="00E84FFF">
            <w:fldChar w:fldCharType="end"/>
          </w:r>
        </w:p>
      </w:tc>
      <w:tc>
        <w:tcPr>
          <w:tcW w:w="5127" w:type="dxa"/>
          <w:shd w:val="clear" w:color="auto" w:fill="auto"/>
        </w:tcPr>
        <w:p w:rsidR="004D01AA" w:rsidRPr="004D01AA" w:rsidRDefault="004D01AA" w:rsidP="004D01AA">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83B6B">
            <w:rPr>
              <w:b w:val="0"/>
              <w:w w:val="103"/>
              <w:sz w:val="14"/>
            </w:rPr>
            <w:t>GE.15-22647 (C)</w:t>
          </w:r>
          <w:r>
            <w:rPr>
              <w:b w:val="0"/>
              <w:w w:val="103"/>
              <w:sz w:val="14"/>
            </w:rPr>
            <w:fldChar w:fldCharType="end"/>
          </w:r>
        </w:p>
      </w:tc>
    </w:tr>
  </w:tbl>
  <w:p w:rsidR="004D01AA" w:rsidRPr="004D01AA" w:rsidRDefault="004D01AA" w:rsidP="004D0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D01AA" w:rsidTr="004D01AA">
      <w:tc>
        <w:tcPr>
          <w:tcW w:w="3873" w:type="dxa"/>
        </w:tcPr>
        <w:p w:rsidR="004D01AA" w:rsidRDefault="004D01AA" w:rsidP="004C7229">
          <w:pPr>
            <w:pStyle w:val="Footer"/>
            <w:rPr>
              <w:b w:val="0"/>
              <w:sz w:val="21"/>
            </w:rPr>
          </w:pPr>
          <w:r>
            <w:rPr>
              <w:b w:val="0"/>
              <w:sz w:val="21"/>
            </w:rPr>
            <w:fldChar w:fldCharType="begin"/>
          </w:r>
          <w:r>
            <w:rPr>
              <w:b w:val="0"/>
              <w:sz w:val="21"/>
            </w:rPr>
            <w:instrText xml:space="preserve"> DOCVARIABLE "jobn" \* MERGEFORMAT </w:instrText>
          </w:r>
          <w:r>
            <w:rPr>
              <w:b w:val="0"/>
              <w:sz w:val="21"/>
            </w:rPr>
            <w:fldChar w:fldCharType="separate"/>
          </w:r>
          <w:r w:rsidR="00883B6B">
            <w:rPr>
              <w:b w:val="0"/>
              <w:sz w:val="21"/>
            </w:rPr>
            <w:t>GE.15-22647 (C)</w:t>
          </w:r>
          <w:r>
            <w:rPr>
              <w:b w:val="0"/>
              <w:sz w:val="21"/>
            </w:rPr>
            <w:fldChar w:fldCharType="end"/>
          </w:r>
          <w:r w:rsidR="004C7229" w:rsidRPr="004C7229">
            <w:rPr>
              <w:b w:val="0"/>
              <w:sz w:val="21"/>
            </w:rPr>
            <w:t xml:space="preserve">    1</w:t>
          </w:r>
          <w:r w:rsidR="004C7229">
            <w:rPr>
              <w:rFonts w:hint="eastAsia"/>
              <w:b w:val="0"/>
              <w:sz w:val="21"/>
            </w:rPr>
            <w:t>2</w:t>
          </w:r>
          <w:r w:rsidR="004C7229" w:rsidRPr="004C7229">
            <w:rPr>
              <w:b w:val="0"/>
              <w:sz w:val="21"/>
            </w:rPr>
            <w:t>0116    120116</w:t>
          </w:r>
        </w:p>
        <w:p w:rsidR="004D01AA" w:rsidRPr="004D01AA" w:rsidRDefault="004D01AA" w:rsidP="004D01AA">
          <w:pPr>
            <w:spacing w:before="80" w:line="210" w:lineRule="exact"/>
            <w:rPr>
              <w:rFonts w:ascii="Barcode 3 of 9 by request" w:hAnsi="Barcode 3 of 9 by request"/>
              <w:sz w:val="24"/>
            </w:rPr>
          </w:pPr>
          <w:r>
            <w:rPr>
              <w:rFonts w:ascii="Barcode 3 of 9 by request" w:hAnsi="Barcode 3 of 9 by request"/>
              <w:sz w:val="24"/>
            </w:rPr>
            <w:t>*1522647*</w:t>
          </w:r>
        </w:p>
      </w:tc>
      <w:tc>
        <w:tcPr>
          <w:tcW w:w="5127" w:type="dxa"/>
        </w:tcPr>
        <w:p w:rsidR="004D01AA" w:rsidRDefault="004C7229" w:rsidP="004D01AA">
          <w:pPr>
            <w:pStyle w:val="Footer"/>
            <w:jc w:val="right"/>
            <w:rPr>
              <w:b w:val="0"/>
              <w:sz w:val="21"/>
            </w:rPr>
          </w:pPr>
          <w:r>
            <w:rPr>
              <w:b w:val="0"/>
              <w:sz w:val="21"/>
              <w:lang w:val="en-GB" w:eastAsia="en-GB"/>
            </w:rPr>
            <w:drawing>
              <wp:anchor distT="0" distB="0" distL="114300" distR="114300" simplePos="0" relativeHeight="251658240" behindDoc="0" locked="0" layoutInCell="1" allowOverlap="1" wp14:anchorId="19D6AC1B" wp14:editId="5B9555BC">
                <wp:simplePos x="0" y="0"/>
                <wp:positionH relativeFrom="column">
                  <wp:posOffset>3231515</wp:posOffset>
                </wp:positionH>
                <wp:positionV relativeFrom="paragraph">
                  <wp:posOffset>-335915</wp:posOffset>
                </wp:positionV>
                <wp:extent cx="694690" cy="694690"/>
                <wp:effectExtent l="0" t="0" r="0" b="0"/>
                <wp:wrapNone/>
                <wp:docPr id="3" name="图片 3" descr="http://undocs.org/m2/QRCode2.ashx?DS=A/HRC/RES/S-24/1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RES/S-24/1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4D01AA">
            <w:rPr>
              <w:b w:val="0"/>
              <w:sz w:val="21"/>
              <w:lang w:val="en-GB" w:eastAsia="en-GB"/>
            </w:rPr>
            <w:drawing>
              <wp:inline distT="0" distB="0" distL="0" distR="0" wp14:anchorId="669D0828" wp14:editId="314EC4F1">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4D01AA" w:rsidRPr="004D01AA" w:rsidRDefault="004D01AA" w:rsidP="004D01AA">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53" w:rsidRPr="00544725" w:rsidRDefault="00544725" w:rsidP="00544725">
      <w:pPr>
        <w:pStyle w:val="Footer"/>
        <w:spacing w:after="80"/>
        <w:ind w:left="792"/>
        <w:rPr>
          <w:sz w:val="16"/>
        </w:rPr>
      </w:pPr>
      <w:r w:rsidRPr="00544725">
        <w:rPr>
          <w:sz w:val="16"/>
        </w:rPr>
        <w:t>__________________</w:t>
      </w:r>
    </w:p>
  </w:footnote>
  <w:footnote w:type="continuationSeparator" w:id="0">
    <w:p w:rsidR="003D1253" w:rsidRPr="00544725" w:rsidRDefault="00544725" w:rsidP="00544725">
      <w:pPr>
        <w:pStyle w:val="Footer"/>
        <w:spacing w:after="80"/>
        <w:ind w:left="792"/>
        <w:rPr>
          <w:sz w:val="16"/>
        </w:rPr>
      </w:pPr>
      <w:r w:rsidRPr="00544725">
        <w:rPr>
          <w:sz w:val="16"/>
        </w:rPr>
        <w:t>__________________</w:t>
      </w:r>
    </w:p>
  </w:footnote>
  <w:footnote w:id="1">
    <w:p w:rsidR="004C7229" w:rsidRDefault="004C7229" w:rsidP="00544725">
      <w:pPr>
        <w:pStyle w:val="FootnoteText"/>
        <w:tabs>
          <w:tab w:val="clear" w:pos="418"/>
          <w:tab w:val="right" w:pos="1195"/>
          <w:tab w:val="left" w:pos="1264"/>
          <w:tab w:val="left" w:pos="1695"/>
          <w:tab w:val="left" w:pos="2126"/>
          <w:tab w:val="left" w:pos="2557"/>
        </w:tabs>
        <w:ind w:left="1264" w:right="1264" w:hanging="432"/>
      </w:pPr>
      <w:r>
        <w:tab/>
      </w:r>
      <w:r>
        <w:rPr>
          <w:rStyle w:val="FootnoteReference"/>
        </w:rPr>
        <w:footnoteRef/>
      </w:r>
      <w:r>
        <w:tab/>
        <w:t>S/2015/926</w:t>
      </w:r>
      <w:r>
        <w:rPr>
          <w:rFonts w:ascii="SimSun" w:hAnsi="SimSun" w:cs="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D01AA" w:rsidTr="004D01AA">
      <w:trPr>
        <w:trHeight w:hRule="exact" w:val="864"/>
        <w:jc w:val="center"/>
      </w:trPr>
      <w:tc>
        <w:tcPr>
          <w:tcW w:w="4882" w:type="dxa"/>
          <w:shd w:val="clear" w:color="auto" w:fill="auto"/>
          <w:vAlign w:val="bottom"/>
        </w:tcPr>
        <w:p w:rsidR="004D01AA" w:rsidRPr="004D01AA" w:rsidRDefault="004D01AA" w:rsidP="004D01AA">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883B6B">
            <w:rPr>
              <w:b/>
              <w:sz w:val="17"/>
            </w:rPr>
            <w:t>A/HRC/RES/S-24/1</w:t>
          </w:r>
          <w:r>
            <w:rPr>
              <w:b/>
              <w:sz w:val="17"/>
            </w:rPr>
            <w:fldChar w:fldCharType="end"/>
          </w:r>
        </w:p>
      </w:tc>
      <w:tc>
        <w:tcPr>
          <w:tcW w:w="5127" w:type="dxa"/>
          <w:shd w:val="clear" w:color="auto" w:fill="auto"/>
          <w:vAlign w:val="bottom"/>
        </w:tcPr>
        <w:p w:rsidR="004D01AA" w:rsidRDefault="004D01AA" w:rsidP="004D01AA">
          <w:pPr>
            <w:pStyle w:val="Header"/>
          </w:pPr>
        </w:p>
      </w:tc>
    </w:tr>
  </w:tbl>
  <w:p w:rsidR="004D01AA" w:rsidRPr="004D01AA" w:rsidRDefault="004D01AA" w:rsidP="004D0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D01AA" w:rsidTr="004D01AA">
      <w:trPr>
        <w:trHeight w:hRule="exact" w:val="864"/>
        <w:jc w:val="center"/>
      </w:trPr>
      <w:tc>
        <w:tcPr>
          <w:tcW w:w="4882" w:type="dxa"/>
          <w:shd w:val="clear" w:color="auto" w:fill="auto"/>
          <w:vAlign w:val="bottom"/>
        </w:tcPr>
        <w:p w:rsidR="004D01AA" w:rsidRDefault="004D01AA" w:rsidP="004D01AA">
          <w:pPr>
            <w:pStyle w:val="Header"/>
          </w:pPr>
        </w:p>
      </w:tc>
      <w:tc>
        <w:tcPr>
          <w:tcW w:w="5127" w:type="dxa"/>
          <w:shd w:val="clear" w:color="auto" w:fill="auto"/>
          <w:vAlign w:val="bottom"/>
        </w:tcPr>
        <w:p w:rsidR="004D01AA" w:rsidRPr="004D01AA" w:rsidRDefault="004D01AA" w:rsidP="004D01AA">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883B6B">
            <w:rPr>
              <w:b/>
              <w:sz w:val="17"/>
            </w:rPr>
            <w:t>A/HRC/RES/S-24/1</w:t>
          </w:r>
          <w:r>
            <w:rPr>
              <w:b/>
              <w:sz w:val="17"/>
            </w:rPr>
            <w:fldChar w:fldCharType="end"/>
          </w:r>
        </w:p>
      </w:tc>
    </w:tr>
  </w:tbl>
  <w:p w:rsidR="004D01AA" w:rsidRPr="004D01AA" w:rsidRDefault="004D01AA" w:rsidP="004D01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4D01AA" w:rsidTr="004D01AA">
      <w:trPr>
        <w:trHeight w:hRule="exact" w:val="864"/>
      </w:trPr>
      <w:tc>
        <w:tcPr>
          <w:tcW w:w="1267" w:type="dxa"/>
          <w:tcBorders>
            <w:bottom w:val="single" w:sz="4" w:space="0" w:color="auto"/>
          </w:tcBorders>
          <w:shd w:val="clear" w:color="auto" w:fill="auto"/>
          <w:vAlign w:val="bottom"/>
        </w:tcPr>
        <w:p w:rsidR="004D01AA" w:rsidRDefault="004D01AA" w:rsidP="004D01AA">
          <w:pPr>
            <w:pStyle w:val="Header"/>
            <w:spacing w:after="120"/>
          </w:pPr>
        </w:p>
      </w:tc>
      <w:tc>
        <w:tcPr>
          <w:tcW w:w="1872" w:type="dxa"/>
          <w:tcBorders>
            <w:bottom w:val="single" w:sz="4" w:space="0" w:color="auto"/>
          </w:tcBorders>
          <w:shd w:val="clear" w:color="auto" w:fill="auto"/>
          <w:vAlign w:val="bottom"/>
        </w:tcPr>
        <w:p w:rsidR="004D01AA" w:rsidRPr="004D01AA" w:rsidRDefault="004D01AA" w:rsidP="004D01AA">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4D01AA" w:rsidRDefault="004D01AA" w:rsidP="004D01AA">
          <w:pPr>
            <w:pStyle w:val="Header"/>
            <w:spacing w:after="120"/>
          </w:pPr>
        </w:p>
      </w:tc>
      <w:tc>
        <w:tcPr>
          <w:tcW w:w="6653" w:type="dxa"/>
          <w:gridSpan w:val="4"/>
          <w:tcBorders>
            <w:bottom w:val="single" w:sz="4" w:space="0" w:color="auto"/>
          </w:tcBorders>
          <w:shd w:val="clear" w:color="auto" w:fill="auto"/>
          <w:vAlign w:val="bottom"/>
        </w:tcPr>
        <w:p w:rsidR="004D01AA" w:rsidRPr="004D01AA" w:rsidRDefault="004D01AA" w:rsidP="004D01AA">
          <w:pPr>
            <w:spacing w:after="80" w:line="240" w:lineRule="auto"/>
            <w:jc w:val="right"/>
            <w:rPr>
              <w:position w:val="-4"/>
            </w:rPr>
          </w:pPr>
          <w:r>
            <w:rPr>
              <w:position w:val="-4"/>
              <w:sz w:val="40"/>
            </w:rPr>
            <w:t>A</w:t>
          </w:r>
          <w:r>
            <w:rPr>
              <w:position w:val="-4"/>
            </w:rPr>
            <w:t>/HRC/RES/S-24/1</w:t>
          </w:r>
        </w:p>
      </w:tc>
    </w:tr>
    <w:tr w:rsidR="004D01AA" w:rsidRPr="004D01AA" w:rsidTr="004D01AA">
      <w:trPr>
        <w:gridAfter w:val="1"/>
        <w:wAfter w:w="18" w:type="dxa"/>
        <w:trHeight w:hRule="exact" w:val="2880"/>
      </w:trPr>
      <w:tc>
        <w:tcPr>
          <w:tcW w:w="1267" w:type="dxa"/>
          <w:tcBorders>
            <w:top w:val="single" w:sz="4" w:space="0" w:color="auto"/>
            <w:bottom w:val="single" w:sz="12" w:space="0" w:color="auto"/>
          </w:tcBorders>
          <w:shd w:val="clear" w:color="auto" w:fill="auto"/>
        </w:tcPr>
        <w:p w:rsidR="004D01AA" w:rsidRPr="004D01AA" w:rsidRDefault="004D01AA" w:rsidP="004D01AA">
          <w:pPr>
            <w:pStyle w:val="Header"/>
            <w:spacing w:before="109"/>
            <w:ind w:left="-72"/>
          </w:pPr>
          <w:r>
            <w:t xml:space="preserve"> </w:t>
          </w:r>
          <w:r>
            <w:rPr>
              <w:lang w:val="en-GB" w:eastAsia="en-GB"/>
            </w:rPr>
            <w:drawing>
              <wp:inline distT="0" distB="0" distL="0" distR="0" wp14:anchorId="5B751C67" wp14:editId="36CF81EC">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D01AA" w:rsidRPr="004D01AA" w:rsidRDefault="004D01AA" w:rsidP="004D01AA">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4D01AA" w:rsidRPr="004D01AA" w:rsidRDefault="004D01AA" w:rsidP="004D01AA">
          <w:pPr>
            <w:pStyle w:val="Header"/>
            <w:spacing w:before="109"/>
          </w:pPr>
        </w:p>
      </w:tc>
      <w:tc>
        <w:tcPr>
          <w:tcW w:w="3280" w:type="dxa"/>
          <w:tcBorders>
            <w:top w:val="single" w:sz="4" w:space="0" w:color="auto"/>
            <w:bottom w:val="single" w:sz="12" w:space="0" w:color="auto"/>
          </w:tcBorders>
          <w:shd w:val="clear" w:color="auto" w:fill="auto"/>
        </w:tcPr>
        <w:p w:rsidR="004D01AA" w:rsidRDefault="004D01AA" w:rsidP="004D01AA">
          <w:pPr>
            <w:pStyle w:val="Distr"/>
          </w:pPr>
          <w:r>
            <w:t>Distr.: General</w:t>
          </w:r>
        </w:p>
        <w:p w:rsidR="004D01AA" w:rsidRDefault="004D01AA" w:rsidP="005E27C4">
          <w:pPr>
            <w:pStyle w:val="Publication"/>
          </w:pPr>
          <w:r>
            <w:t>22 December 2015</w:t>
          </w:r>
        </w:p>
        <w:p w:rsidR="004D01AA" w:rsidRDefault="005E27C4" w:rsidP="005E27C4">
          <w:pPr>
            <w:spacing w:line="240" w:lineRule="exact"/>
          </w:pPr>
          <w:r>
            <w:rPr>
              <w:rFonts w:hint="eastAsia"/>
            </w:rPr>
            <w:t>Chinese</w:t>
          </w:r>
        </w:p>
        <w:p w:rsidR="005E27C4" w:rsidRPr="004D01AA" w:rsidRDefault="005E27C4" w:rsidP="005E27C4">
          <w:pPr>
            <w:spacing w:line="240" w:lineRule="exact"/>
          </w:pPr>
          <w:r w:rsidRPr="00421156">
            <w:rPr>
              <w:sz w:val="20"/>
            </w:rPr>
            <w:t>Original: English</w:t>
          </w:r>
        </w:p>
      </w:tc>
    </w:tr>
  </w:tbl>
  <w:p w:rsidR="004D01AA" w:rsidRPr="004D01AA" w:rsidRDefault="004D01AA" w:rsidP="004D01A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640972C5"/>
    <w:multiLevelType w:val="hybridMultilevel"/>
    <w:tmpl w:val="E3AE2E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409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647*"/>
    <w:docVar w:name="CreationDt" w:val="12/01/2016 14:09:37"/>
    <w:docVar w:name="DocCategory" w:val="Doc"/>
    <w:docVar w:name="DocType" w:val="Final"/>
    <w:docVar w:name="DutyStation" w:val="Geneva"/>
    <w:docVar w:name="FooterJN" w:val="GE.15-22647 (C)"/>
    <w:docVar w:name="jobn" w:val="GE.15-22647 (C)"/>
    <w:docVar w:name="jobnDT" w:val="15-22647 (C)   120116"/>
    <w:docVar w:name="jobnDTDT" w:val="15-22647 (C)   120116   120116"/>
    <w:docVar w:name="JobNo" w:val="GE.1522647C"/>
    <w:docVar w:name="LocalDrive" w:val="0"/>
    <w:docVar w:name="OandT" w:val="tian"/>
    <w:docVar w:name="PaperSize" w:val="A4"/>
    <w:docVar w:name="sss1" w:val="A/HRC/RES/S-24/1"/>
    <w:docVar w:name="sss2" w:val="-"/>
    <w:docVar w:name="Symbol1" w:val="A/HRC/RES/S-24/1"/>
    <w:docVar w:name="Symbol2" w:val="-"/>
  </w:docVars>
  <w:rsids>
    <w:rsidRoot w:val="003D1253"/>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32AD"/>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4949"/>
    <w:rsid w:val="003A7B88"/>
    <w:rsid w:val="003C448D"/>
    <w:rsid w:val="003C7B20"/>
    <w:rsid w:val="003D075F"/>
    <w:rsid w:val="003D1253"/>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C3F6C"/>
    <w:rsid w:val="004C7229"/>
    <w:rsid w:val="004D01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4725"/>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3E00"/>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E27C4"/>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B6B"/>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1F7A"/>
    <w:rsid w:val="008F2941"/>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A63D4"/>
    <w:rsid w:val="009B1250"/>
    <w:rsid w:val="009B378F"/>
    <w:rsid w:val="009B52B0"/>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043E"/>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1811"/>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3030"/>
    <w:rsid w:val="00CA450F"/>
    <w:rsid w:val="00CA4BBC"/>
    <w:rsid w:val="00CA7E8C"/>
    <w:rsid w:val="00CB298A"/>
    <w:rsid w:val="00CB2B1E"/>
    <w:rsid w:val="00CC053E"/>
    <w:rsid w:val="00CC05C5"/>
    <w:rsid w:val="00CC1E2C"/>
    <w:rsid w:val="00CC213B"/>
    <w:rsid w:val="00CC3E8B"/>
    <w:rsid w:val="00CC4E84"/>
    <w:rsid w:val="00CC6304"/>
    <w:rsid w:val="00CD53F4"/>
    <w:rsid w:val="00CD5641"/>
    <w:rsid w:val="00CD76BE"/>
    <w:rsid w:val="00CE07C5"/>
    <w:rsid w:val="00CE11A2"/>
    <w:rsid w:val="00CE1F38"/>
    <w:rsid w:val="00CE474E"/>
    <w:rsid w:val="00CE4CEF"/>
    <w:rsid w:val="00CE64AC"/>
    <w:rsid w:val="00CE6C59"/>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84FFF"/>
    <w:rsid w:val="00E94E5A"/>
    <w:rsid w:val="00E95594"/>
    <w:rsid w:val="00E95A55"/>
    <w:rsid w:val="00EA0B27"/>
    <w:rsid w:val="00EA31C3"/>
    <w:rsid w:val="00EA4947"/>
    <w:rsid w:val="00EB33AC"/>
    <w:rsid w:val="00EC25DE"/>
    <w:rsid w:val="00EC669D"/>
    <w:rsid w:val="00EC6F21"/>
    <w:rsid w:val="00ED2708"/>
    <w:rsid w:val="00ED2D20"/>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82E"/>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rsid w:val="004C7229"/>
    <w:pPr>
      <w:suppressAutoHyphens/>
      <w:spacing w:after="120" w:line="240" w:lineRule="atLeast"/>
      <w:ind w:left="1134" w:right="1134"/>
    </w:pPr>
    <w:rPr>
      <w:rFonts w:eastAsia="Times New Roman"/>
      <w:kern w:val="0"/>
      <w:sz w:val="20"/>
      <w:lang w:val="en-GB" w:eastAsia="en-US"/>
    </w:rPr>
  </w:style>
  <w:style w:type="paragraph" w:customStyle="1" w:styleId="HChG">
    <w:name w:val="_ H _Ch_G"/>
    <w:basedOn w:val="Normal"/>
    <w:next w:val="Normal"/>
    <w:link w:val="HChGChar"/>
    <w:rsid w:val="004C7229"/>
    <w:pPr>
      <w:keepNext/>
      <w:keepLines/>
      <w:tabs>
        <w:tab w:val="right" w:pos="851"/>
      </w:tabs>
      <w:suppressAutoHyphens/>
      <w:spacing w:before="360" w:after="240" w:line="300" w:lineRule="exact"/>
      <w:ind w:left="1134" w:right="1134" w:hanging="1134"/>
      <w:jc w:val="left"/>
    </w:pPr>
    <w:rPr>
      <w:rFonts w:eastAsia="Times New Roman"/>
      <w:b/>
      <w:kern w:val="0"/>
      <w:sz w:val="28"/>
      <w:lang w:val="en-GB" w:eastAsia="en-US"/>
    </w:rPr>
  </w:style>
  <w:style w:type="character" w:customStyle="1" w:styleId="FootnoteTextChar">
    <w:name w:val="Footnote Text Char"/>
    <w:aliases w:val="5_G Char"/>
    <w:link w:val="FootnoteText"/>
    <w:rsid w:val="004C7229"/>
    <w:rPr>
      <w:rFonts w:eastAsia="SimSun"/>
      <w:noProof/>
      <w:kern w:val="14"/>
      <w:sz w:val="18"/>
      <w:lang w:val="en-US"/>
    </w:rPr>
  </w:style>
  <w:style w:type="paragraph" w:customStyle="1" w:styleId="H1G">
    <w:name w:val="_ H_1_G"/>
    <w:basedOn w:val="Normal"/>
    <w:next w:val="Normal"/>
    <w:link w:val="H1GChar"/>
    <w:rsid w:val="004C7229"/>
    <w:pPr>
      <w:keepNext/>
      <w:keepLines/>
      <w:tabs>
        <w:tab w:val="right" w:pos="851"/>
      </w:tabs>
      <w:suppressAutoHyphens/>
      <w:spacing w:before="360" w:after="240" w:line="270" w:lineRule="exact"/>
      <w:ind w:left="1134" w:right="1134" w:hanging="1134"/>
      <w:jc w:val="left"/>
    </w:pPr>
    <w:rPr>
      <w:rFonts w:eastAsia="Times New Roman"/>
      <w:b/>
      <w:kern w:val="0"/>
      <w:sz w:val="24"/>
      <w:lang w:val="en-GB" w:eastAsia="en-US"/>
    </w:rPr>
  </w:style>
  <w:style w:type="character" w:customStyle="1" w:styleId="SingleTxtGChar">
    <w:name w:val="_ Single Txt_G Char"/>
    <w:link w:val="SingleTxtG"/>
    <w:rsid w:val="004C7229"/>
    <w:rPr>
      <w:rFonts w:eastAsia="Times New Roman"/>
      <w:lang w:eastAsia="en-US"/>
    </w:rPr>
  </w:style>
  <w:style w:type="character" w:customStyle="1" w:styleId="HChGChar">
    <w:name w:val="_ H _Ch_G Char"/>
    <w:link w:val="HChG"/>
    <w:rsid w:val="004C7229"/>
    <w:rPr>
      <w:rFonts w:eastAsia="Times New Roman"/>
      <w:b/>
      <w:sz w:val="28"/>
      <w:lang w:eastAsia="en-US"/>
    </w:rPr>
  </w:style>
  <w:style w:type="character" w:customStyle="1" w:styleId="H1GChar">
    <w:name w:val="_ H_1_G Char"/>
    <w:link w:val="H1G"/>
    <w:rsid w:val="004C7229"/>
    <w:rPr>
      <w:rFonts w:eastAsia="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SingleTxtG">
    <w:name w:val="_ Single Txt_G"/>
    <w:basedOn w:val="Normal"/>
    <w:link w:val="SingleTxtGChar"/>
    <w:rsid w:val="004C7229"/>
    <w:pPr>
      <w:suppressAutoHyphens/>
      <w:spacing w:after="120" w:line="240" w:lineRule="atLeast"/>
      <w:ind w:left="1134" w:right="1134"/>
    </w:pPr>
    <w:rPr>
      <w:rFonts w:eastAsia="Times New Roman"/>
      <w:kern w:val="0"/>
      <w:sz w:val="20"/>
      <w:lang w:val="en-GB" w:eastAsia="en-US"/>
    </w:rPr>
  </w:style>
  <w:style w:type="paragraph" w:customStyle="1" w:styleId="HChG">
    <w:name w:val="_ H _Ch_G"/>
    <w:basedOn w:val="Normal"/>
    <w:next w:val="Normal"/>
    <w:link w:val="HChGChar"/>
    <w:rsid w:val="004C7229"/>
    <w:pPr>
      <w:keepNext/>
      <w:keepLines/>
      <w:tabs>
        <w:tab w:val="right" w:pos="851"/>
      </w:tabs>
      <w:suppressAutoHyphens/>
      <w:spacing w:before="360" w:after="240" w:line="300" w:lineRule="exact"/>
      <w:ind w:left="1134" w:right="1134" w:hanging="1134"/>
      <w:jc w:val="left"/>
    </w:pPr>
    <w:rPr>
      <w:rFonts w:eastAsia="Times New Roman"/>
      <w:b/>
      <w:kern w:val="0"/>
      <w:sz w:val="28"/>
      <w:lang w:val="en-GB" w:eastAsia="en-US"/>
    </w:rPr>
  </w:style>
  <w:style w:type="character" w:customStyle="1" w:styleId="FootnoteTextChar">
    <w:name w:val="Footnote Text Char"/>
    <w:aliases w:val="5_G Char"/>
    <w:link w:val="FootnoteText"/>
    <w:rsid w:val="004C7229"/>
    <w:rPr>
      <w:rFonts w:eastAsia="SimSun"/>
      <w:noProof/>
      <w:kern w:val="14"/>
      <w:sz w:val="18"/>
      <w:lang w:val="en-US"/>
    </w:rPr>
  </w:style>
  <w:style w:type="paragraph" w:customStyle="1" w:styleId="H1G">
    <w:name w:val="_ H_1_G"/>
    <w:basedOn w:val="Normal"/>
    <w:next w:val="Normal"/>
    <w:link w:val="H1GChar"/>
    <w:rsid w:val="004C7229"/>
    <w:pPr>
      <w:keepNext/>
      <w:keepLines/>
      <w:tabs>
        <w:tab w:val="right" w:pos="851"/>
      </w:tabs>
      <w:suppressAutoHyphens/>
      <w:spacing w:before="360" w:after="240" w:line="270" w:lineRule="exact"/>
      <w:ind w:left="1134" w:right="1134" w:hanging="1134"/>
      <w:jc w:val="left"/>
    </w:pPr>
    <w:rPr>
      <w:rFonts w:eastAsia="Times New Roman"/>
      <w:b/>
      <w:kern w:val="0"/>
      <w:sz w:val="24"/>
      <w:lang w:val="en-GB" w:eastAsia="en-US"/>
    </w:rPr>
  </w:style>
  <w:style w:type="character" w:customStyle="1" w:styleId="SingleTxtGChar">
    <w:name w:val="_ Single Txt_G Char"/>
    <w:link w:val="SingleTxtG"/>
    <w:rsid w:val="004C7229"/>
    <w:rPr>
      <w:rFonts w:eastAsia="Times New Roman"/>
      <w:lang w:eastAsia="en-US"/>
    </w:rPr>
  </w:style>
  <w:style w:type="character" w:customStyle="1" w:styleId="HChGChar">
    <w:name w:val="_ H _Ch_G Char"/>
    <w:link w:val="HChG"/>
    <w:rsid w:val="004C7229"/>
    <w:rPr>
      <w:rFonts w:eastAsia="Times New Roman"/>
      <w:b/>
      <w:sz w:val="28"/>
      <w:lang w:eastAsia="en-US"/>
    </w:rPr>
  </w:style>
  <w:style w:type="character" w:customStyle="1" w:styleId="H1GChar">
    <w:name w:val="_ H_1_G Char"/>
    <w:link w:val="H1G"/>
    <w:rsid w:val="004C7229"/>
    <w:rPr>
      <w:rFonts w:eastAsia="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9F578-00D8-4E5A-94EA-65B5A59A2B88}"/>
</file>

<file path=customXml/itemProps2.xml><?xml version="1.0" encoding="utf-8"?>
<ds:datastoreItem xmlns:ds="http://schemas.openxmlformats.org/officeDocument/2006/customXml" ds:itemID="{B0C9EE2C-EE2A-4590-89DA-E83844FA3464}"/>
</file>

<file path=customXml/itemProps3.xml><?xml version="1.0" encoding="utf-8"?>
<ds:datastoreItem xmlns:ds="http://schemas.openxmlformats.org/officeDocument/2006/customXml" ds:itemID="{0979C3BE-678B-47A6-AFBE-7AC80ED055AB}"/>
</file>

<file path=customXml/itemProps4.xml><?xml version="1.0" encoding="utf-8"?>
<ds:datastoreItem xmlns:ds="http://schemas.openxmlformats.org/officeDocument/2006/customXml" ds:itemID="{E5C09B33-CEE9-45B5-8D3D-FAD376C53051}"/>
</file>

<file path=docProps/app.xml><?xml version="1.0" encoding="utf-8"?>
<Properties xmlns="http://schemas.openxmlformats.org/officeDocument/2006/extended-properties" xmlns:vt="http://schemas.openxmlformats.org/officeDocument/2006/docPropsVTypes">
  <Template>A6827C2.dotm</Template>
  <TotalTime>3</TotalTime>
  <Pages>5</Pages>
  <Words>630</Words>
  <Characters>3596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resolution S-24/1 adopted on 17 December 2015 in Chinese</dc:title>
  <dc:creator>Tian H.</dc:creator>
  <cp:lastModifiedBy>Iuliia Somova</cp:lastModifiedBy>
  <cp:revision>2</cp:revision>
  <cp:lastPrinted>2016-01-12T15:05:00Z</cp:lastPrinted>
  <dcterms:created xsi:type="dcterms:W3CDTF">2016-01-15T09:53:00Z</dcterms:created>
  <dcterms:modified xsi:type="dcterms:W3CDTF">2016-01-15T09:53:00Z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1522647</vt:lpwstr>
  </property>
  <property fmtid="{D5CDD505-2E9C-101B-9397-08002B2CF9AE}" pid="3" name="ODSRefJobNo">
    <vt:lpwstr>1528899C</vt:lpwstr>
  </property>
  <property fmtid="{D5CDD505-2E9C-101B-9397-08002B2CF9AE}" pid="4" name="Symbol1">
    <vt:lpwstr>A/HRC/RES/S-24/1</vt:lpwstr>
  </property>
  <property fmtid="{D5CDD505-2E9C-101B-9397-08002B2CF9AE}" pid="5" name="Symbol2">
    <vt:lpwstr/>
  </property>
  <property fmtid="{D5CDD505-2E9C-101B-9397-08002B2CF9AE}" pid="6" name="Translator">
    <vt:lpwstr/>
  </property>
  <property fmtid="{D5CDD505-2E9C-101B-9397-08002B2CF9AE}" pid="7" name="Operator">
    <vt:lpwstr>tian</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December 2015</vt:lpwstr>
  </property>
  <property fmtid="{D5CDD505-2E9C-101B-9397-08002B2CF9AE}" pid="12" name="ContentTypeId">
    <vt:lpwstr>0x0101008822B9E06671B54FA89F14538B9B0FEA</vt:lpwstr>
  </property>
  <property fmtid="{D5CDD505-2E9C-101B-9397-08002B2CF9AE}" pid="13" name="Order">
    <vt:r8>3318400</vt:r8>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