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7" w:rsidRPr="00AE7C5F" w:rsidRDefault="005E70F7" w:rsidP="005E70F7">
      <w:pPr>
        <w:spacing w:line="60" w:lineRule="exact"/>
        <w:rPr>
          <w:color w:val="010000"/>
          <w:sz w:val="6"/>
        </w:rPr>
        <w:sectPr w:rsidR="005E70F7" w:rsidRPr="00AE7C5F" w:rsidSect="005E70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406BAB" w:rsidRPr="007527CE" w:rsidRDefault="00406BAB" w:rsidP="00406BAB">
      <w:pPr>
        <w:pStyle w:val="H1"/>
      </w:pPr>
      <w:r w:rsidRPr="007527CE">
        <w:lastRenderedPageBreak/>
        <w:t>Совет по правам человека</w:t>
      </w:r>
    </w:p>
    <w:p w:rsidR="00406BAB" w:rsidRPr="007527CE" w:rsidRDefault="00406BAB" w:rsidP="00406BAB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7527CE">
        <w:t>Двадцать четвертая специальная сессия</w:t>
      </w:r>
    </w:p>
    <w:p w:rsidR="00406BAB" w:rsidRPr="007527CE" w:rsidRDefault="00406BAB" w:rsidP="00406BAB">
      <w:r w:rsidRPr="007527CE">
        <w:t xml:space="preserve">17 </w:t>
      </w:r>
      <w:r>
        <w:t>декабря 2015 года</w:t>
      </w:r>
    </w:p>
    <w:p w:rsidR="00406BAB" w:rsidRPr="007527CE" w:rsidRDefault="00406BAB" w:rsidP="00406BAB">
      <w:pPr>
        <w:spacing w:line="120" w:lineRule="exact"/>
        <w:ind w:left="1267" w:right="1267"/>
        <w:rPr>
          <w:sz w:val="10"/>
        </w:rPr>
      </w:pPr>
    </w:p>
    <w:p w:rsidR="00406BAB" w:rsidRPr="007527CE" w:rsidRDefault="00406BAB" w:rsidP="00406BAB">
      <w:pPr>
        <w:spacing w:line="120" w:lineRule="exact"/>
        <w:ind w:left="1267" w:right="1267"/>
        <w:rPr>
          <w:sz w:val="10"/>
        </w:rPr>
      </w:pPr>
    </w:p>
    <w:p w:rsidR="00406BAB" w:rsidRPr="007527CE" w:rsidRDefault="00406BAB" w:rsidP="00406BAB">
      <w:pPr>
        <w:spacing w:line="120" w:lineRule="exact"/>
        <w:ind w:left="1267" w:right="1267"/>
        <w:rPr>
          <w:sz w:val="10"/>
        </w:rPr>
      </w:pPr>
    </w:p>
    <w:p w:rsidR="00406BAB" w:rsidRPr="00B2465B" w:rsidRDefault="00406BAB" w:rsidP="00406BA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7527CE">
        <w:tab/>
      </w:r>
      <w:r w:rsidRPr="007527CE">
        <w:tab/>
      </w:r>
      <w:r w:rsidR="00B2465B">
        <w:t>Резолюция, принятая Советом по правам человека 17 декабря 2015 года</w:t>
      </w:r>
    </w:p>
    <w:p w:rsidR="00406BAB" w:rsidRPr="007527CE" w:rsidRDefault="00406BAB" w:rsidP="00406BAB">
      <w:pPr>
        <w:pStyle w:val="SingleTxt"/>
        <w:spacing w:after="0" w:line="120" w:lineRule="exact"/>
        <w:rPr>
          <w:sz w:val="10"/>
        </w:rPr>
      </w:pPr>
    </w:p>
    <w:p w:rsidR="00406BAB" w:rsidRPr="007527CE" w:rsidRDefault="00406BAB" w:rsidP="00406BAB">
      <w:pPr>
        <w:pStyle w:val="SingleTxt"/>
        <w:spacing w:after="0" w:line="120" w:lineRule="exact"/>
        <w:rPr>
          <w:sz w:val="10"/>
        </w:rPr>
      </w:pPr>
    </w:p>
    <w:p w:rsidR="00406BAB" w:rsidRDefault="00406BAB" w:rsidP="00406BAB">
      <w:pPr>
        <w:pStyle w:val="H1"/>
        <w:tabs>
          <w:tab w:val="right" w:pos="1022"/>
          <w:tab w:val="left" w:pos="1260"/>
          <w:tab w:val="left" w:pos="1742"/>
          <w:tab w:val="left" w:pos="2259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2246" w:right="1267" w:hanging="2246"/>
      </w:pPr>
      <w:r>
        <w:tab/>
      </w:r>
      <w:r>
        <w:tab/>
      </w:r>
      <w:r w:rsidRPr="007527CE">
        <w:rPr>
          <w:lang w:val="en-GB"/>
        </w:rPr>
        <w:t>S</w:t>
      </w:r>
      <w:r w:rsidRPr="007527CE">
        <w:t>-24/</w:t>
      </w:r>
      <w:r w:rsidR="00B2465B" w:rsidRPr="00B2465B">
        <w:t>1</w:t>
      </w:r>
      <w:r w:rsidR="00D76AF9">
        <w:t>.</w:t>
      </w:r>
      <w:r w:rsidRPr="007527CE">
        <w:tab/>
        <w:t>Предотвращение ухудшения положения в области прав человека в Бурунди</w:t>
      </w:r>
    </w:p>
    <w:p w:rsidR="00406BAB" w:rsidRPr="0055071A" w:rsidRDefault="00406BAB" w:rsidP="00406BAB">
      <w:pPr>
        <w:pStyle w:val="SingleTxt"/>
        <w:spacing w:after="0" w:line="120" w:lineRule="exact"/>
        <w:rPr>
          <w:sz w:val="10"/>
        </w:rPr>
      </w:pPr>
    </w:p>
    <w:p w:rsidR="00406BAB" w:rsidRPr="0055071A" w:rsidRDefault="00406BAB" w:rsidP="00406BAB">
      <w:pPr>
        <w:pStyle w:val="SingleTxt"/>
        <w:spacing w:after="0" w:line="120" w:lineRule="exact"/>
        <w:rPr>
          <w:sz w:val="10"/>
        </w:rPr>
      </w:pPr>
    </w:p>
    <w:p w:rsidR="00406BAB" w:rsidRPr="0055071A" w:rsidRDefault="00406BAB" w:rsidP="00406BAB">
      <w:pPr>
        <w:pStyle w:val="SingleTxt"/>
        <w:rPr>
          <w:i/>
        </w:rPr>
      </w:pPr>
      <w:r w:rsidRPr="007527CE">
        <w:tab/>
      </w:r>
      <w:r w:rsidRPr="0055071A">
        <w:rPr>
          <w:i/>
        </w:rPr>
        <w:t>Совет по правам человека,</w:t>
      </w:r>
    </w:p>
    <w:p w:rsidR="00406BAB" w:rsidRPr="007527CE" w:rsidRDefault="00406BAB" w:rsidP="00406BAB">
      <w:pPr>
        <w:pStyle w:val="SingleTxt"/>
      </w:pPr>
      <w:r w:rsidRPr="007527CE">
        <w:rPr>
          <w:i/>
        </w:rPr>
        <w:tab/>
        <w:t xml:space="preserve">руководствуясь </w:t>
      </w:r>
      <w:r w:rsidRPr="007527CE">
        <w:rPr>
          <w:iCs/>
        </w:rPr>
        <w:t>принципами и целями Устава Организации Объединенных Наций,</w:t>
      </w:r>
    </w:p>
    <w:p w:rsidR="00406BAB" w:rsidRPr="007527CE" w:rsidRDefault="00406BAB" w:rsidP="00406BAB">
      <w:pPr>
        <w:pStyle w:val="SingleTxt"/>
      </w:pPr>
      <w:r w:rsidRPr="007527CE">
        <w:rPr>
          <w:i/>
        </w:rPr>
        <w:tab/>
      </w:r>
      <w:r w:rsidRPr="007527CE">
        <w:rPr>
          <w:i/>
          <w:iCs/>
        </w:rPr>
        <w:t>ссылаясь</w:t>
      </w:r>
      <w:r w:rsidRPr="007527CE">
        <w:t xml:space="preserve"> на Всеобщую декларацию прав человека, Международные пакты о правах человека и другие соответствующие международные договоры о правах человека,</w:t>
      </w:r>
    </w:p>
    <w:p w:rsidR="00406BAB" w:rsidRPr="007527CE" w:rsidRDefault="00406BAB" w:rsidP="00406BAB">
      <w:pPr>
        <w:pStyle w:val="SingleTxt"/>
      </w:pPr>
      <w:r w:rsidRPr="007527CE">
        <w:rPr>
          <w:i/>
        </w:rPr>
        <w:tab/>
      </w:r>
      <w:r w:rsidRPr="007527CE">
        <w:rPr>
          <w:i/>
          <w:iCs/>
        </w:rPr>
        <w:t>ссылаясь</w:t>
      </w:r>
      <w:r w:rsidRPr="007527CE">
        <w:t xml:space="preserve"> </w:t>
      </w:r>
      <w:r w:rsidRPr="007527CE">
        <w:rPr>
          <w:i/>
          <w:iCs/>
        </w:rPr>
        <w:t>также</w:t>
      </w:r>
      <w:r w:rsidRPr="007527CE">
        <w:t xml:space="preserve"> на резолюцию 60/251 Генеральной Ассамблеи от 15 марта 2006 года и резолюцию 5/1 Совета по правам человека от 18 июня 2007 года,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</w:rPr>
        <w:tab/>
        <w:t xml:space="preserve">ссылаясь далее </w:t>
      </w:r>
      <w:r w:rsidRPr="007527CE">
        <w:t>на резолюцию 30/27</w:t>
      </w:r>
      <w:r w:rsidRPr="007527CE">
        <w:rPr>
          <w:i/>
          <w:iCs/>
        </w:rPr>
        <w:t xml:space="preserve"> </w:t>
      </w:r>
      <w:r w:rsidRPr="007527CE">
        <w:t>Совета по правам человека от 2 октября 2015 года о технической помощи и создании потенциала в области прав человека в интересах Бурунди,</w:t>
      </w:r>
    </w:p>
    <w:p w:rsidR="00406BAB" w:rsidRPr="007527CE" w:rsidRDefault="00406BAB" w:rsidP="00406BAB">
      <w:pPr>
        <w:pStyle w:val="SingleTxt"/>
      </w:pPr>
      <w:r w:rsidRPr="007527CE">
        <w:tab/>
      </w:r>
      <w:r w:rsidRPr="007527CE">
        <w:rPr>
          <w:i/>
          <w:iCs/>
        </w:rPr>
        <w:t>вновь подтверждая,</w:t>
      </w:r>
      <w:r w:rsidRPr="007527CE">
        <w:t xml:space="preserve"> что государства несут основную ответственность за поощрение и защиту всех прав человека и основных свобод,</w:t>
      </w:r>
    </w:p>
    <w:p w:rsidR="00406BAB" w:rsidRPr="007527CE" w:rsidRDefault="00406BAB" w:rsidP="00406BAB">
      <w:pPr>
        <w:pStyle w:val="SingleTxt"/>
      </w:pPr>
      <w:r w:rsidRPr="007527CE">
        <w:rPr>
          <w:i/>
        </w:rPr>
        <w:tab/>
        <w:t xml:space="preserve">вновь </w:t>
      </w:r>
      <w:r w:rsidRPr="007527CE">
        <w:rPr>
          <w:i/>
          <w:iCs/>
        </w:rPr>
        <w:t>подтверждая также</w:t>
      </w:r>
      <w:r w:rsidRPr="007527CE">
        <w:rPr>
          <w:iCs/>
        </w:rPr>
        <w:t xml:space="preserve"> свою твердую приверженность суверенитету, политической независимости, территориальной целостности и единству Бурунди,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tab/>
      </w:r>
      <w:r w:rsidRPr="007527CE">
        <w:rPr>
          <w:i/>
        </w:rPr>
        <w:t>признавая</w:t>
      </w:r>
      <w:r w:rsidRPr="007527CE">
        <w:rPr>
          <w:iCs/>
        </w:rPr>
        <w:t>, что международное сообщество, включая</w:t>
      </w:r>
      <w:r w:rsidRPr="007527CE">
        <w:t xml:space="preserve"> Совет по правам человека, может сыграть важную и позитивную роль в предотвращении дальнейшего ухудшения положения в области прав челов</w:t>
      </w:r>
      <w:r>
        <w:t xml:space="preserve">ека в Бурунди </w:t>
      </w:r>
      <w:r w:rsidR="003E7E9A">
        <w:t xml:space="preserve">посредством </w:t>
      </w:r>
      <w:r>
        <w:t>заостр</w:t>
      </w:r>
      <w:r w:rsidR="003E7E9A">
        <w:t>ения</w:t>
      </w:r>
      <w:r>
        <w:t xml:space="preserve"> внимани</w:t>
      </w:r>
      <w:r w:rsidR="003E7E9A">
        <w:t>я</w:t>
      </w:r>
      <w:r w:rsidRPr="007527CE">
        <w:t xml:space="preserve"> на </w:t>
      </w:r>
      <w:r>
        <w:t xml:space="preserve">актах </w:t>
      </w:r>
      <w:r w:rsidRPr="007527CE">
        <w:t xml:space="preserve">нарушения и </w:t>
      </w:r>
      <w:r>
        <w:t>попрания</w:t>
      </w:r>
      <w:r w:rsidRPr="007527CE">
        <w:t xml:space="preserve"> прав человека и угрозе эскалации конфликта</w:t>
      </w:r>
      <w:r w:rsidRPr="007527CE">
        <w:rPr>
          <w:i/>
        </w:rPr>
        <w:t>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  <w:iCs/>
        </w:rPr>
        <w:tab/>
      </w:r>
      <w:r w:rsidRPr="007527CE">
        <w:rPr>
          <w:i/>
        </w:rPr>
        <w:t xml:space="preserve">признавая также </w:t>
      </w:r>
      <w:r w:rsidRPr="007527CE">
        <w:t xml:space="preserve">важность предотвращения </w:t>
      </w:r>
      <w:r>
        <w:t xml:space="preserve">актов </w:t>
      </w:r>
      <w:r w:rsidRPr="007527CE">
        <w:t>нарушени</w:t>
      </w:r>
      <w:r>
        <w:t>я</w:t>
      </w:r>
      <w:r w:rsidRPr="007527CE">
        <w:t xml:space="preserve"> и </w:t>
      </w:r>
      <w:r>
        <w:t>попрания</w:t>
      </w:r>
      <w:r w:rsidRPr="007527CE">
        <w:t xml:space="preserve"> прав человека в Бурунди, особенно в контексте массовых зверств, имевших место в регионе в прошлом,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  <w:iCs/>
        </w:rPr>
        <w:tab/>
      </w:r>
      <w:r w:rsidRPr="007527CE">
        <w:rPr>
          <w:i/>
        </w:rPr>
        <w:t>признавая</w:t>
      </w:r>
      <w:r w:rsidRPr="007527CE">
        <w:rPr>
          <w:iCs/>
        </w:rPr>
        <w:t>,</w:t>
      </w:r>
      <w:r w:rsidRPr="007527CE">
        <w:rPr>
          <w:i/>
        </w:rPr>
        <w:t xml:space="preserve"> </w:t>
      </w:r>
      <w:r w:rsidRPr="007527CE">
        <w:rPr>
          <w:iCs/>
        </w:rPr>
        <w:t xml:space="preserve">что </w:t>
      </w:r>
      <w:r>
        <w:rPr>
          <w:iCs/>
        </w:rPr>
        <w:t xml:space="preserve">акты </w:t>
      </w:r>
      <w:r w:rsidRPr="007527CE">
        <w:t>серьезн</w:t>
      </w:r>
      <w:r>
        <w:t>ого</w:t>
      </w:r>
      <w:r w:rsidRPr="007527CE">
        <w:t xml:space="preserve"> </w:t>
      </w:r>
      <w:r w:rsidR="00BC3D29">
        <w:t>попрания</w:t>
      </w:r>
      <w:r w:rsidR="00BC3D29" w:rsidRPr="007527CE">
        <w:t xml:space="preserve"> и </w:t>
      </w:r>
      <w:r w:rsidRPr="007527CE">
        <w:t xml:space="preserve">нарушения прав человека могут </w:t>
      </w:r>
      <w:r w:rsidR="00BC3D29">
        <w:t>быть не только следствием конфликта, но и</w:t>
      </w:r>
      <w:r w:rsidRPr="007527CE">
        <w:t xml:space="preserve"> </w:t>
      </w:r>
      <w:r>
        <w:t>ранним</w:t>
      </w:r>
      <w:r w:rsidRPr="007527CE">
        <w:t xml:space="preserve"> сигналом, предупреждающим о возможном </w:t>
      </w:r>
      <w:r w:rsidR="00BC3D29">
        <w:t>скатывании</w:t>
      </w:r>
      <w:r>
        <w:t xml:space="preserve"> в</w:t>
      </w:r>
      <w:r w:rsidRPr="007527CE">
        <w:t xml:space="preserve"> конфликт или эскалации конфликта</w:t>
      </w:r>
      <w:r>
        <w:t xml:space="preserve">, </w:t>
      </w:r>
    </w:p>
    <w:p w:rsidR="00406BAB" w:rsidRPr="007527CE" w:rsidRDefault="00406BAB" w:rsidP="00406BAB">
      <w:pPr>
        <w:pStyle w:val="SingleTxt"/>
        <w:pageBreakBefore/>
        <w:rPr>
          <w:i/>
        </w:rPr>
      </w:pPr>
      <w:r w:rsidRPr="007527CE">
        <w:rPr>
          <w:i/>
          <w:iCs/>
        </w:rPr>
        <w:lastRenderedPageBreak/>
        <w:tab/>
      </w:r>
      <w:r w:rsidRPr="007527CE">
        <w:rPr>
          <w:i/>
        </w:rPr>
        <w:t xml:space="preserve">выражая глубокую обеспокоенность </w:t>
      </w:r>
      <w:r w:rsidRPr="007527CE">
        <w:t xml:space="preserve">по поводу </w:t>
      </w:r>
      <w:r>
        <w:t>всплеска</w:t>
      </w:r>
      <w:r w:rsidRPr="007527CE">
        <w:t xml:space="preserve"> насилия и </w:t>
      </w:r>
      <w:r>
        <w:t xml:space="preserve">актов </w:t>
      </w:r>
      <w:r w:rsidRPr="007527CE">
        <w:t>серьезн</w:t>
      </w:r>
      <w:r>
        <w:t>ого</w:t>
      </w:r>
      <w:r w:rsidRPr="007527CE">
        <w:t xml:space="preserve"> нарушени</w:t>
      </w:r>
      <w:r>
        <w:t>я</w:t>
      </w:r>
      <w:r w:rsidRPr="007527CE">
        <w:t xml:space="preserve"> и </w:t>
      </w:r>
      <w:r>
        <w:t>попрания</w:t>
      </w:r>
      <w:r w:rsidRPr="007527CE">
        <w:t xml:space="preserve"> прав человека в Бурунди, которую разделила Председатель Комиссии Африканского союза в с</w:t>
      </w:r>
      <w:r>
        <w:t>воем заявлении от 4</w:t>
      </w:r>
      <w:r w:rsidR="00576941">
        <w:t> </w:t>
      </w:r>
      <w:r>
        <w:t>ноября 2015 </w:t>
      </w:r>
      <w:r w:rsidRPr="007527CE">
        <w:t xml:space="preserve">года и о которой в ходе </w:t>
      </w:r>
      <w:r w:rsidR="00DE3D3C" w:rsidRPr="007527CE">
        <w:t>брифинга</w:t>
      </w:r>
      <w:r w:rsidR="00DE3D3C">
        <w:t>,</w:t>
      </w:r>
      <w:r w:rsidR="00DE3D3C" w:rsidRPr="007527CE">
        <w:t xml:space="preserve"> </w:t>
      </w:r>
      <w:r w:rsidRPr="007527CE">
        <w:t>состоявшегося в Со</w:t>
      </w:r>
      <w:r>
        <w:t>вете Безопасности 9</w:t>
      </w:r>
      <w:r w:rsidR="00DE3D3C">
        <w:t> </w:t>
      </w:r>
      <w:r>
        <w:t>ноября 2015 </w:t>
      </w:r>
      <w:r w:rsidRPr="007527CE">
        <w:t>года</w:t>
      </w:r>
      <w:r w:rsidR="00DE3D3C">
        <w:t>,</w:t>
      </w:r>
      <w:r w:rsidRPr="007527CE">
        <w:t xml:space="preserve"> сообщили Верховный комиссар Организации Объединенных Наций по правам человека, заместитель Генерального секретаря по политическим вопросам и Комиссар по вопросам мира и безопасности Африканского союза,</w:t>
      </w:r>
      <w:r w:rsidRPr="007527CE">
        <w:rPr>
          <w:i/>
        </w:rPr>
        <w:t xml:space="preserve"> 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  <w:iCs/>
        </w:rPr>
        <w:tab/>
        <w:t>вновь подтверждая</w:t>
      </w:r>
      <w:r>
        <w:t>, что Арушско</w:t>
      </w:r>
      <w:r w:rsidRPr="007527CE">
        <w:t>е соглашени</w:t>
      </w:r>
      <w:r>
        <w:t>е</w:t>
      </w:r>
      <w:r w:rsidRPr="007527CE">
        <w:t>, котор</w:t>
      </w:r>
      <w:r>
        <w:t>о</w:t>
      </w:r>
      <w:r w:rsidRPr="007527CE">
        <w:t>е легл</w:t>
      </w:r>
      <w:r>
        <w:t>о</w:t>
      </w:r>
      <w:r w:rsidRPr="007527CE">
        <w:t xml:space="preserve"> в основу Конституции Бурунди, явля</w:t>
      </w:r>
      <w:r>
        <w:t>е</w:t>
      </w:r>
      <w:r w:rsidRPr="007527CE">
        <w:t xml:space="preserve">тся </w:t>
      </w:r>
      <w:r>
        <w:t>фундаментом для</w:t>
      </w:r>
      <w:r w:rsidRPr="007527CE">
        <w:t xml:space="preserve"> миростроительства, национального примирения и укрепления демократии и верховенства права,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</w:r>
      <w:r w:rsidRPr="007527CE">
        <w:rPr>
          <w:i/>
        </w:rPr>
        <w:t>подчеркивая</w:t>
      </w:r>
      <w:r w:rsidRPr="007527CE">
        <w:rPr>
          <w:iCs/>
        </w:rPr>
        <w:t xml:space="preserve">, что посредничество, мирное урегулирование споров, предотвращение и разрешение конфликтов могут, в числе прочих мер, сыграть </w:t>
      </w:r>
      <w:r>
        <w:rPr>
          <w:iCs/>
        </w:rPr>
        <w:t xml:space="preserve">важную роль </w:t>
      </w:r>
      <w:r w:rsidRPr="007527CE">
        <w:rPr>
          <w:iCs/>
        </w:rPr>
        <w:t>в предотвращении перерастания споров в конфликты и дальнейшей эскалации конфликтов, а также в содействи</w:t>
      </w:r>
      <w:r w:rsidR="008C115E">
        <w:rPr>
          <w:iCs/>
        </w:rPr>
        <w:t>и</w:t>
      </w:r>
      <w:r w:rsidRPr="007527CE">
        <w:rPr>
          <w:iCs/>
        </w:rPr>
        <w:t xml:space="preserve"> урегулированию конфликтов и в предотвращении и/или сокращении числа</w:t>
      </w:r>
      <w:r w:rsidRPr="007527CE">
        <w:t xml:space="preserve"> </w:t>
      </w:r>
      <w:r>
        <w:t xml:space="preserve">актов </w:t>
      </w:r>
      <w:r w:rsidRPr="007527CE">
        <w:t>нарушени</w:t>
      </w:r>
      <w:r>
        <w:t>я</w:t>
      </w:r>
      <w:r w:rsidRPr="007527CE">
        <w:t xml:space="preserve"> и </w:t>
      </w:r>
      <w:r>
        <w:t>попрания</w:t>
      </w:r>
      <w:r w:rsidRPr="007527CE">
        <w:t xml:space="preserve"> прав человека, 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</w:r>
      <w:r w:rsidRPr="007527CE">
        <w:rPr>
          <w:i/>
        </w:rPr>
        <w:t xml:space="preserve">с признательностью отмечая </w:t>
      </w:r>
      <w:r w:rsidRPr="007527CE">
        <w:rPr>
          <w:iCs/>
        </w:rPr>
        <w:t>поддержку международн</w:t>
      </w:r>
      <w:r>
        <w:rPr>
          <w:iCs/>
        </w:rPr>
        <w:t>ого</w:t>
      </w:r>
      <w:r w:rsidRPr="007527CE">
        <w:rPr>
          <w:iCs/>
        </w:rPr>
        <w:t xml:space="preserve"> сообществ</w:t>
      </w:r>
      <w:r>
        <w:rPr>
          <w:iCs/>
        </w:rPr>
        <w:t>а в деле</w:t>
      </w:r>
      <w:r w:rsidRPr="007527CE">
        <w:rPr>
          <w:iCs/>
        </w:rPr>
        <w:t xml:space="preserve"> поиск</w:t>
      </w:r>
      <w:r>
        <w:rPr>
          <w:iCs/>
        </w:rPr>
        <w:t>а</w:t>
      </w:r>
      <w:r w:rsidRPr="007527CE">
        <w:rPr>
          <w:iCs/>
        </w:rPr>
        <w:t xml:space="preserve"> мирного урегулирования кризиса, </w:t>
      </w:r>
      <w:r w:rsidRPr="007527CE">
        <w:t>с которым сталкивается Бурунди, включая, среди прочего, усилия Африканского союза, Восточноафриканского сообщества, Африканской комиссии по правам человека и народов, предыдущих независимых экспертов по Бурунди и Комиссии по миростроительству,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</w:r>
      <w:r w:rsidRPr="007527CE">
        <w:rPr>
          <w:i/>
        </w:rPr>
        <w:t xml:space="preserve">приветствуя </w:t>
      </w:r>
      <w:r w:rsidRPr="007527CE">
        <w:t>резолюцию 2248 (2015) Совета Безопасности от 12 ноября 2015 года, в которой Совет</w:t>
      </w:r>
      <w:r>
        <w:t>,</w:t>
      </w:r>
      <w:r w:rsidRPr="007527CE">
        <w:t xml:space="preserve"> среди прочего, предложил Генеральному секретарю направить в Бурунди группу для координации усилий и взаимодействия с правительством Бурунди, Африканским союзом и другими партнерами, а также назначение Генеральным секретарем специального советника по вопросам предотвращения конфликтов </w:t>
      </w:r>
      <w:r>
        <w:t>для</w:t>
      </w:r>
      <w:r w:rsidRPr="007527CE">
        <w:t xml:space="preserve"> сосредоточения внимания на Бурунди и письмо Генерального секретаря от 1 декабря 2015 года на имя Председателя Совета Безопасности, посвященное положению в Бурунди</w:t>
      </w:r>
      <w:r w:rsidRPr="00EB6859">
        <w:rPr>
          <w:vertAlign w:val="superscript"/>
          <w:lang w:val="en-GB"/>
        </w:rPr>
        <w:footnoteReference w:id="1"/>
      </w:r>
      <w:r w:rsidRPr="007527CE">
        <w:t>,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  <w:t>приветствуя также</w:t>
      </w:r>
      <w:r w:rsidRPr="007527CE">
        <w:t xml:space="preserve"> </w:t>
      </w:r>
      <w:r>
        <w:t>принятие</w:t>
      </w:r>
      <w:r w:rsidRPr="007527CE">
        <w:t xml:space="preserve"> Комиссией Африканского союза по вопросам мира и безопасности 13 ноября 2015 года ее решения о положении в Бурунди, в котором Комиссия выразила глубокую обеспокоенность в связи с повсеместным отсутствием безопасности и насилием в стране и сопряженными с этим гуманитарными последствиями, заявила о своем решительном осуждении </w:t>
      </w:r>
      <w:r>
        <w:t>совершенных актов</w:t>
      </w:r>
      <w:r w:rsidRPr="007527CE">
        <w:t xml:space="preserve"> нарушени</w:t>
      </w:r>
      <w:r>
        <w:t>я</w:t>
      </w:r>
      <w:r w:rsidRPr="007527CE">
        <w:t xml:space="preserve"> и </w:t>
      </w:r>
      <w:r>
        <w:t>попрания</w:t>
      </w:r>
      <w:r w:rsidRPr="007527CE">
        <w:t xml:space="preserve"> прав человека и решительном осуждении подстрекательских заявлений бурундийских политических руководителей, которые </w:t>
      </w:r>
      <w:r>
        <w:t>могут привести к</w:t>
      </w:r>
      <w:r w:rsidRPr="007527CE">
        <w:t xml:space="preserve"> обострени</w:t>
      </w:r>
      <w:r>
        <w:t>ю</w:t>
      </w:r>
      <w:r w:rsidRPr="007527CE">
        <w:t xml:space="preserve"> нынешней напряженности и создани</w:t>
      </w:r>
      <w:r>
        <w:t>ю атмосферы</w:t>
      </w:r>
      <w:r w:rsidRPr="007527CE">
        <w:t xml:space="preserve"> насилия</w:t>
      </w:r>
      <w:r>
        <w:t>, чреватой</w:t>
      </w:r>
      <w:r w:rsidRPr="007527CE">
        <w:t xml:space="preserve"> непредсказуемыми последствиями для Бурунди и региона; выра</w:t>
      </w:r>
      <w:r w:rsidR="007632DE">
        <w:t>жая</w:t>
      </w:r>
      <w:r w:rsidRPr="007527CE">
        <w:t xml:space="preserve"> </w:t>
      </w:r>
      <w:r>
        <w:t>свою решимость</w:t>
      </w:r>
      <w:r w:rsidRPr="007527CE">
        <w:t xml:space="preserve"> решать эти проблемы; и </w:t>
      </w:r>
      <w:r w:rsidR="007632DE">
        <w:t>отмечая</w:t>
      </w:r>
      <w:r w:rsidRPr="007527CE">
        <w:t xml:space="preserve"> усилия Африканского союза, направленные, среди прочего, на назначение наблюдателей за положением в области прав человека и военных экспертов, проведение тщательного расследования </w:t>
      </w:r>
      <w:r>
        <w:t xml:space="preserve">актов </w:t>
      </w:r>
      <w:r w:rsidRPr="007527CE">
        <w:t>нарушени</w:t>
      </w:r>
      <w:r>
        <w:t>я</w:t>
      </w:r>
      <w:r w:rsidRPr="007527CE">
        <w:t xml:space="preserve"> и </w:t>
      </w:r>
      <w:r>
        <w:t>попрания</w:t>
      </w:r>
      <w:r w:rsidRPr="007527CE">
        <w:t xml:space="preserve"> прав человека, введение санкций в отношении лиц, которые способствуют продолжению насилия и препятствуют поискам решения, планирование действий на случай </w:t>
      </w:r>
      <w:r w:rsidR="007632DE">
        <w:t>непредвиденных</w:t>
      </w:r>
      <w:r w:rsidRPr="007527CE">
        <w:t xml:space="preserve"> обстоятельств, а также дальнейшие посреднические усилия, </w:t>
      </w:r>
      <w:r>
        <w:t>прилагаемые для</w:t>
      </w:r>
      <w:r w:rsidRPr="007527CE">
        <w:t xml:space="preserve"> возобновления диалога в целях решения этих проблем,</w:t>
      </w:r>
    </w:p>
    <w:p w:rsidR="00406BAB" w:rsidRPr="007527CE" w:rsidRDefault="00406BAB" w:rsidP="00576941">
      <w:pPr>
        <w:pStyle w:val="SingleTxt"/>
        <w:pageBreakBefore/>
      </w:pPr>
      <w:r w:rsidRPr="007527CE">
        <w:rPr>
          <w:i/>
        </w:rPr>
        <w:lastRenderedPageBreak/>
        <w:tab/>
        <w:t>с признательностью принимая к сведению</w:t>
      </w:r>
      <w:r w:rsidRPr="007527CE">
        <w:rPr>
          <w:iCs/>
        </w:rPr>
        <w:t xml:space="preserve"> совместное заявление </w:t>
      </w:r>
      <w:r w:rsidRPr="007527CE">
        <w:t xml:space="preserve">по Бурунди от 12 ноября 2015 года, сделанное </w:t>
      </w:r>
      <w:r w:rsidR="0089613E">
        <w:t xml:space="preserve">первым </w:t>
      </w:r>
      <w:r w:rsidRPr="007527CE">
        <w:t>заместителем Генерального секретаря Организации Объединенных Наций, Председателем Африканского союза</w:t>
      </w:r>
      <w:r>
        <w:t>,</w:t>
      </w:r>
      <w:r w:rsidRPr="007527CE">
        <w:t xml:space="preserve"> Высоким представителем по иностранным делам и политике безопасности </w:t>
      </w:r>
      <w:r>
        <w:t xml:space="preserve">Европейского союза </w:t>
      </w:r>
      <w:r w:rsidRPr="007527CE">
        <w:t>и заместителем Председателя Европейской комиссии,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  <w:iCs/>
        </w:rPr>
        <w:tab/>
      </w:r>
      <w:r w:rsidRPr="007527CE">
        <w:rPr>
          <w:i/>
        </w:rPr>
        <w:t>с признательностью принимая к сведению</w:t>
      </w:r>
      <w:r w:rsidRPr="007527CE">
        <w:rPr>
          <w:iCs/>
        </w:rPr>
        <w:t xml:space="preserve"> </w:t>
      </w:r>
      <w:r w:rsidRPr="007527CE">
        <w:rPr>
          <w:i/>
        </w:rPr>
        <w:t xml:space="preserve">также </w:t>
      </w:r>
      <w:r w:rsidRPr="007527CE">
        <w:rPr>
          <w:iCs/>
        </w:rPr>
        <w:t>заявление</w:t>
      </w:r>
      <w:r w:rsidRPr="007527CE">
        <w:t xml:space="preserve"> Специального советника по предупреждению геноцида</w:t>
      </w:r>
      <w:r>
        <w:t>, посвященное</w:t>
      </w:r>
      <w:r w:rsidRPr="007527CE">
        <w:t xml:space="preserve"> Бурунди</w:t>
      </w:r>
      <w:r>
        <w:t xml:space="preserve"> и</w:t>
      </w:r>
      <w:r w:rsidRPr="007527CE">
        <w:t xml:space="preserve"> сделанное по случаю первого Международного дня памяти жертв преступления геноцида, чествования их достоинства и предупреждения этого преступления 9</w:t>
      </w:r>
      <w:r w:rsidR="00576941">
        <w:t> </w:t>
      </w:r>
      <w:r w:rsidRPr="007527CE">
        <w:t xml:space="preserve">декабря 2015 года, и отмечая также важную роль обеспечения соблюдения прав человека и верховенства права в снижении риска совершения </w:t>
      </w:r>
      <w:r>
        <w:t>особо жест</w:t>
      </w:r>
      <w:r w:rsidR="0047062B">
        <w:t>о</w:t>
      </w:r>
      <w:r>
        <w:t>ких</w:t>
      </w:r>
      <w:r w:rsidRPr="007527CE">
        <w:t xml:space="preserve"> преступлений,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  <w:iCs/>
        </w:rPr>
        <w:tab/>
      </w:r>
      <w:r w:rsidRPr="007527CE">
        <w:rPr>
          <w:i/>
        </w:rPr>
        <w:t xml:space="preserve">с признательностью принимая к сведению далее </w:t>
      </w:r>
      <w:r w:rsidRPr="007527CE">
        <w:t>заявление, котор</w:t>
      </w:r>
      <w:r>
        <w:t>о</w:t>
      </w:r>
      <w:r w:rsidRPr="007527CE">
        <w:t>е было сделано 13 ноября 2015 года группой мандатариев специальных процедур и в котором они отметили, что положение в Бурунди продолжает ухудшаться, о чем свидетельствуют ежедневные сообщения о серьезных нарушениях прав человека, включая внесудебные казни, произвольные аресты и задержания, пытки, напад</w:t>
      </w:r>
      <w:r>
        <w:t>ения</w:t>
      </w:r>
      <w:r w:rsidRPr="007527CE">
        <w:t xml:space="preserve"> на независимые средства массовой информации и преследования и убийства правозащитников, неоправданные ограничения свободы мирных собраний и выражения мнений, </w:t>
      </w:r>
      <w:r>
        <w:t xml:space="preserve">в результате чего число лиц, </w:t>
      </w:r>
      <w:r w:rsidRPr="007527CE">
        <w:t>перемещен</w:t>
      </w:r>
      <w:r>
        <w:t>ных вследствие</w:t>
      </w:r>
      <w:r w:rsidRPr="007527CE">
        <w:t xml:space="preserve"> насилия</w:t>
      </w:r>
      <w:r>
        <w:t>, превысило</w:t>
      </w:r>
      <w:r w:rsidRPr="007527CE">
        <w:t xml:space="preserve"> 200 000 человек,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</w:r>
      <w:r w:rsidRPr="007527CE">
        <w:rPr>
          <w:i/>
        </w:rPr>
        <w:t>подчеркивая</w:t>
      </w:r>
      <w:r w:rsidRPr="007527CE">
        <w:rPr>
          <w:iCs/>
        </w:rPr>
        <w:t xml:space="preserve">, что </w:t>
      </w:r>
      <w:r>
        <w:t>инклюзивный</w:t>
      </w:r>
      <w:r w:rsidRPr="007527CE">
        <w:t>, проводимый при международном посредничестве диалог и разоружение всех незаконн</w:t>
      </w:r>
      <w:r>
        <w:t>ых</w:t>
      </w:r>
      <w:r w:rsidRPr="007527CE">
        <w:t xml:space="preserve"> вооруженных группировок и лиц являются основными элементами, способствующими предотвращению дальнейших </w:t>
      </w:r>
      <w:r>
        <w:t xml:space="preserve">актов </w:t>
      </w:r>
      <w:r w:rsidRPr="007527CE">
        <w:t>нарушени</w:t>
      </w:r>
      <w:r>
        <w:t>я</w:t>
      </w:r>
      <w:r w:rsidRPr="007527CE">
        <w:t xml:space="preserve"> и </w:t>
      </w:r>
      <w:r>
        <w:t>попрания</w:t>
      </w:r>
      <w:r w:rsidRPr="007527CE">
        <w:t xml:space="preserve"> прав человека в Бурунди,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  <w:iCs/>
        </w:rPr>
        <w:tab/>
      </w:r>
      <w:r w:rsidRPr="007527CE">
        <w:rPr>
          <w:i/>
        </w:rPr>
        <w:t xml:space="preserve">подчеркивая </w:t>
      </w:r>
      <w:r w:rsidRPr="007527CE">
        <w:rPr>
          <w:iCs/>
        </w:rPr>
        <w:t>срочную необходимость организации общебурундийского диалога в координации с правительством Бурунди и всеми соответствующими заинтересованными и приверженными делу мира сторонами как в Бурунди, так за пределами этой страны, с тем чтобы найти основанное на консенсусе и национальной ответственности решение для преодоления нынешнего кризиса,</w:t>
      </w:r>
      <w:r w:rsidRPr="007527CE">
        <w:t xml:space="preserve"> </w:t>
      </w:r>
      <w:r w:rsidRPr="007527CE">
        <w:rPr>
          <w:iCs/>
        </w:rPr>
        <w:t>принимая к сведению создание Национальной комиссии по общебурундийскому диалогу</w:t>
      </w:r>
      <w:r w:rsidRPr="007527CE">
        <w:t xml:space="preserve"> и подчеркивая важность придания деятельности Комиссии </w:t>
      </w:r>
      <w:r>
        <w:t>инклюзивного</w:t>
      </w:r>
      <w:r w:rsidRPr="007527CE">
        <w:t xml:space="preserve"> и транспарентного характера и ее скорейшего созыва,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</w:r>
      <w:r w:rsidRPr="007527CE">
        <w:rPr>
          <w:i/>
        </w:rPr>
        <w:t>призывая к</w:t>
      </w:r>
      <w:r w:rsidRPr="007527CE">
        <w:rPr>
          <w:iCs/>
        </w:rPr>
        <w:t xml:space="preserve"> укреплению прил</w:t>
      </w:r>
      <w:r w:rsidRPr="007527CE">
        <w:t xml:space="preserve">агаемых на региональном уровне посреднических усилий, в том числе усилий Восточноафриканского сообщества и Африканского союза, призывая также к проведению консультаций с правительством Бурунди и другими заинтересованными сторонами и обращая особое внимание на необходимость ускорения процесса подготовки к проведению диалога, включая созыв предшествующей диалогу консультативной встречи с участием всех соответствующих международных </w:t>
      </w:r>
      <w:r w:rsidR="0001480C">
        <w:t>содействующих</w:t>
      </w:r>
      <w:r w:rsidRPr="007527CE">
        <w:t xml:space="preserve"> сторон, для обеспечения надлежащей подготовки общебурундийского диалога и его успешного проведения,</w:t>
      </w:r>
    </w:p>
    <w:p w:rsidR="00406BAB" w:rsidRPr="007527CE" w:rsidRDefault="00406BAB" w:rsidP="00406BAB">
      <w:pPr>
        <w:pStyle w:val="SingleTxt"/>
        <w:rPr>
          <w:i/>
        </w:rPr>
      </w:pPr>
      <w:r w:rsidRPr="007527CE">
        <w:rPr>
          <w:i/>
          <w:iCs/>
        </w:rPr>
        <w:tab/>
      </w:r>
      <w:r w:rsidRPr="007527CE">
        <w:rPr>
          <w:i/>
        </w:rPr>
        <w:t xml:space="preserve">выражая глубокую обеспокоенность </w:t>
      </w:r>
      <w:r w:rsidRPr="007527CE">
        <w:rPr>
          <w:iCs/>
        </w:rPr>
        <w:t>в связи с недавними внесудебными казнями и</w:t>
      </w:r>
      <w:r w:rsidRPr="007527CE">
        <w:rPr>
          <w:i/>
        </w:rPr>
        <w:t xml:space="preserve"> </w:t>
      </w:r>
      <w:r w:rsidRPr="007527CE">
        <w:t>покушениями на убийство, в том чи</w:t>
      </w:r>
      <w:r>
        <w:t>сле связанными с нападениями 11 </w:t>
      </w:r>
      <w:r w:rsidRPr="007527CE">
        <w:t xml:space="preserve">декабря 2015 года, убийствами зятя Пьера Клавера Мбонимпы в октябре и его сына в ноябре и нападением на самого г-на Мбонимпу, получившего несмертельные огнестрельные ранения, в августе того же года, принимая к сведению протоколы судебного разбирательства, </w:t>
      </w:r>
      <w:r>
        <w:t>проведенного</w:t>
      </w:r>
      <w:r w:rsidRPr="007527CE">
        <w:t xml:space="preserve"> в связи с этими инцидентами, и призывая бурундийские власти разрешить</w:t>
      </w:r>
      <w:r>
        <w:t xml:space="preserve"> </w:t>
      </w:r>
      <w:r w:rsidR="00825990">
        <w:t>провести</w:t>
      </w:r>
      <w:r w:rsidRPr="007527CE">
        <w:t xml:space="preserve"> или провести </w:t>
      </w:r>
      <w:r w:rsidR="00825990">
        <w:t xml:space="preserve">самим </w:t>
      </w:r>
      <w:r w:rsidRPr="007527CE">
        <w:t>тщательные и независимые расследования всех таких инцидентов, обеспечив при этом привлечение к ответственности всех лиц, виновных в совершении внесудебных казней,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</w:r>
      <w:r w:rsidRPr="007527CE">
        <w:rPr>
          <w:i/>
        </w:rPr>
        <w:t xml:space="preserve">выражая глубокую обеспокоенность также </w:t>
      </w:r>
      <w:r w:rsidRPr="007527CE">
        <w:rPr>
          <w:iCs/>
        </w:rPr>
        <w:t>в связи с недавними сообщениями о приостановлении деятельности более чем десяти организаций гражданского общества</w:t>
      </w:r>
      <w:r w:rsidRPr="007527CE">
        <w:t>, преследовании сотрудников редакций независимых средств массовой информации, включая газет</w:t>
      </w:r>
      <w:r>
        <w:t>у</w:t>
      </w:r>
      <w:r w:rsidRPr="007527CE">
        <w:t xml:space="preserve"> </w:t>
      </w:r>
      <w:r w:rsidRPr="006D38A9">
        <w:rPr>
          <w:iCs/>
        </w:rPr>
        <w:t>«Иваку»</w:t>
      </w:r>
      <w:r w:rsidRPr="006D38A9">
        <w:t>,</w:t>
      </w:r>
      <w:r w:rsidRPr="007527CE">
        <w:t xml:space="preserve"> и </w:t>
      </w:r>
      <w:r w:rsidR="00825990">
        <w:t xml:space="preserve">о </w:t>
      </w:r>
      <w:r w:rsidRPr="007527CE">
        <w:t>продолжающемс</w:t>
      </w:r>
      <w:r>
        <w:t>я запрете вещания радиостанций «</w:t>
      </w:r>
      <w:r w:rsidRPr="007527CE">
        <w:t>Радио пюблик африкен</w:t>
      </w:r>
      <w:r>
        <w:t>»</w:t>
      </w:r>
      <w:r w:rsidRPr="007527CE">
        <w:t xml:space="preserve">, </w:t>
      </w:r>
      <w:r>
        <w:t>«</w:t>
      </w:r>
      <w:r w:rsidRPr="007527CE">
        <w:t>Исанганиро</w:t>
      </w:r>
      <w:r>
        <w:t>»</w:t>
      </w:r>
      <w:r w:rsidRPr="007527CE">
        <w:t xml:space="preserve"> и </w:t>
      </w:r>
      <w:r>
        <w:t>«</w:t>
      </w:r>
      <w:r w:rsidRPr="007527CE">
        <w:t>Бонеша</w:t>
      </w:r>
      <w:r>
        <w:t>»</w:t>
      </w:r>
      <w:r w:rsidRPr="007527CE">
        <w:t xml:space="preserve">, закрытых в июне 2015 года, и </w:t>
      </w:r>
      <w:r>
        <w:t xml:space="preserve">настоятельно </w:t>
      </w:r>
      <w:r w:rsidRPr="007527CE">
        <w:t xml:space="preserve">призывая бурундийские власти создать и поддерживать де-юре и де-факто безопасные и благоприятные условия, при которых журналисты и гражданское общество </w:t>
      </w:r>
      <w:r>
        <w:t>могут</w:t>
      </w:r>
      <w:r w:rsidRPr="007527CE">
        <w:t xml:space="preserve"> действовать без каких-либо помех и угроз для безопасности,</w:t>
      </w:r>
    </w:p>
    <w:p w:rsidR="00406BAB" w:rsidRPr="007527CE" w:rsidRDefault="00406BAB" w:rsidP="00406BAB">
      <w:pPr>
        <w:pStyle w:val="SingleTxt"/>
      </w:pPr>
      <w:r w:rsidRPr="007527CE">
        <w:rPr>
          <w:i/>
          <w:iCs/>
        </w:rPr>
        <w:tab/>
      </w:r>
      <w:r w:rsidRPr="007527CE">
        <w:rPr>
          <w:i/>
        </w:rPr>
        <w:t>вновь подтверждая</w:t>
      </w:r>
      <w:r>
        <w:t xml:space="preserve">, что все государства – </w:t>
      </w:r>
      <w:r w:rsidRPr="007527CE">
        <w:t xml:space="preserve">члены Совета по правам человека должны поддерживать самые высокие стандарты в области поощрения и защиты прав человека, и </w:t>
      </w:r>
      <w:r>
        <w:t xml:space="preserve">настоятельно </w:t>
      </w:r>
      <w:r w:rsidRPr="007527CE">
        <w:t>призывая правительство Бурунди помнить о</w:t>
      </w:r>
      <w:r>
        <w:t>б этих</w:t>
      </w:r>
      <w:r w:rsidRPr="007527CE">
        <w:t xml:space="preserve"> стандартах,</w:t>
      </w:r>
    </w:p>
    <w:p w:rsidR="00406BAB" w:rsidRPr="007527CE" w:rsidRDefault="00406BAB" w:rsidP="00406BAB">
      <w:pPr>
        <w:pStyle w:val="SingleTxt"/>
      </w:pPr>
      <w:r w:rsidRPr="007527CE">
        <w:tab/>
        <w:t>1.</w:t>
      </w:r>
      <w:r w:rsidRPr="007527CE">
        <w:tab/>
      </w:r>
      <w:r w:rsidRPr="007527CE">
        <w:rPr>
          <w:i/>
        </w:rPr>
        <w:t>выражает свою глубокую обеспокоенность</w:t>
      </w:r>
      <w:r w:rsidRPr="007527CE">
        <w:rPr>
          <w:iCs/>
        </w:rPr>
        <w:t xml:space="preserve"> в связи с ухудшением положения в области прав человека и </w:t>
      </w:r>
      <w:r w:rsidRPr="007527CE">
        <w:t xml:space="preserve">гуманитарной ситуации в Бурунди и подчеркивает, что поощрение и защита прав человека должны </w:t>
      </w:r>
      <w:r>
        <w:t xml:space="preserve">по-прежнему лежать в основе </w:t>
      </w:r>
      <w:r w:rsidRPr="007527CE">
        <w:t>любо</w:t>
      </w:r>
      <w:r>
        <w:t>го</w:t>
      </w:r>
      <w:r w:rsidRPr="007527CE">
        <w:t xml:space="preserve"> вариант</w:t>
      </w:r>
      <w:r>
        <w:t>а</w:t>
      </w:r>
      <w:r w:rsidRPr="007527CE">
        <w:t xml:space="preserve"> урегулирования кризиса в Бурунди;</w:t>
      </w:r>
    </w:p>
    <w:p w:rsidR="00406BAB" w:rsidRPr="007527CE" w:rsidRDefault="00406BAB" w:rsidP="00406BAB">
      <w:pPr>
        <w:pStyle w:val="SingleTxt"/>
      </w:pPr>
      <w:r w:rsidRPr="007527CE">
        <w:tab/>
      </w:r>
      <w:r w:rsidR="005024D7" w:rsidRPr="007527CE">
        <w:t>2.</w:t>
      </w:r>
      <w:r w:rsidR="005024D7" w:rsidRPr="007527CE">
        <w:tab/>
      </w:r>
      <w:r w:rsidR="005024D7" w:rsidRPr="007527CE">
        <w:rPr>
          <w:i/>
        </w:rPr>
        <w:t xml:space="preserve">призывает </w:t>
      </w:r>
      <w:r w:rsidR="005024D7" w:rsidRPr="007527CE">
        <w:t xml:space="preserve">правительство Бурунди уважать, защищать и гарантировать все права человека и основные свободы для всех в соответствии с международными обязательствами страны, соблюдать принцип верховенства права и обеспечить транспарентность </w:t>
      </w:r>
      <w:r w:rsidR="005024D7">
        <w:t>процедур</w:t>
      </w:r>
      <w:r w:rsidR="005024D7" w:rsidRPr="007527CE">
        <w:t xml:space="preserve"> привлечения к ответственности за совершение актов насилия, а также оказывать всестороннее содействие Управлению Верховного комиссара </w:t>
      </w:r>
      <w:r w:rsidR="005024D7">
        <w:t xml:space="preserve">Организации Объединенных Наций по правам человека </w:t>
      </w:r>
      <w:r w:rsidR="005024D7" w:rsidRPr="007527CE">
        <w:t xml:space="preserve">в выполнении им своего мандата; </w:t>
      </w:r>
    </w:p>
    <w:p w:rsidR="00406BAB" w:rsidRPr="007527CE" w:rsidRDefault="00406BAB" w:rsidP="00406BAB">
      <w:pPr>
        <w:pStyle w:val="SingleTxt"/>
      </w:pPr>
      <w:r w:rsidRPr="007527CE">
        <w:tab/>
        <w:t>3.</w:t>
      </w:r>
      <w:r w:rsidRPr="007527CE">
        <w:tab/>
      </w:r>
      <w:r w:rsidRPr="007527CE">
        <w:rPr>
          <w:i/>
        </w:rPr>
        <w:t>настоятельно призывает</w:t>
      </w:r>
      <w:r w:rsidRPr="007527CE">
        <w:rPr>
          <w:iCs/>
        </w:rPr>
        <w:t xml:space="preserve"> все</w:t>
      </w:r>
      <w:r>
        <w:rPr>
          <w:iCs/>
        </w:rPr>
        <w:t xml:space="preserve">х субъектов </w:t>
      </w:r>
      <w:r w:rsidRPr="007527CE">
        <w:rPr>
          <w:iCs/>
        </w:rPr>
        <w:t xml:space="preserve">создавать благоприятные условия для поощрения подлинного и </w:t>
      </w:r>
      <w:r>
        <w:rPr>
          <w:iCs/>
        </w:rPr>
        <w:t>инклюзивного</w:t>
      </w:r>
      <w:r w:rsidRPr="007527CE">
        <w:rPr>
          <w:iCs/>
        </w:rPr>
        <w:t xml:space="preserve"> диалога</w:t>
      </w:r>
      <w:r w:rsidRPr="007527CE">
        <w:t xml:space="preserve">, </w:t>
      </w:r>
      <w:r>
        <w:t xml:space="preserve">включая </w:t>
      </w:r>
      <w:r w:rsidRPr="007527CE">
        <w:t>конструктивное участие женщин, на основе уважения Арушск</w:t>
      </w:r>
      <w:r>
        <w:t>ого</w:t>
      </w:r>
      <w:r w:rsidRPr="007527CE">
        <w:t xml:space="preserve"> соглашени</w:t>
      </w:r>
      <w:r>
        <w:t>я</w:t>
      </w:r>
      <w:r w:rsidRPr="007527CE">
        <w:t xml:space="preserve">, с тем чтобы достичь </w:t>
      </w:r>
      <w:r>
        <w:t xml:space="preserve">основанного на консенсусе </w:t>
      </w:r>
      <w:r w:rsidRPr="007527CE">
        <w:t>политического решения, котор</w:t>
      </w:r>
      <w:r>
        <w:t>о</w:t>
      </w:r>
      <w:r w:rsidRPr="007527CE">
        <w:t xml:space="preserve">е было </w:t>
      </w:r>
      <w:r>
        <w:t xml:space="preserve">бы </w:t>
      </w:r>
      <w:r w:rsidRPr="007527CE">
        <w:t xml:space="preserve">направлено на сохранение мира, укрепление демократии </w:t>
      </w:r>
      <w:r>
        <w:t xml:space="preserve">и </w:t>
      </w:r>
      <w:r w:rsidRPr="007527CE">
        <w:t>обеспечение осуществления прав человека для всех в Бурунди;</w:t>
      </w:r>
    </w:p>
    <w:p w:rsidR="00406BAB" w:rsidRPr="007527CE" w:rsidRDefault="00406BAB" w:rsidP="00406BAB">
      <w:pPr>
        <w:pStyle w:val="SingleTxt"/>
      </w:pPr>
      <w:r>
        <w:tab/>
      </w:r>
      <w:r w:rsidRPr="007527CE">
        <w:t>4.</w:t>
      </w:r>
      <w:r w:rsidRPr="007527CE">
        <w:tab/>
      </w:r>
      <w:r w:rsidRPr="007527CE">
        <w:rPr>
          <w:i/>
          <w:iCs/>
        </w:rPr>
        <w:t>решительно осуждает</w:t>
      </w:r>
      <w:r w:rsidRPr="007527CE">
        <w:t xml:space="preserve"> совершаемые любыми субъектами в Бурунди акты серьезного нарушения и </w:t>
      </w:r>
      <w:r>
        <w:t>попрания</w:t>
      </w:r>
      <w:r w:rsidRPr="007527CE">
        <w:t xml:space="preserve"> прав человека, в частности ограничения права на свободное выражение мнений, в том числе в средствах массовой информации, и права на мирные собрания и на свободу ассоциации, а также акты, связанные с чрезмерным применением силы в отношении демонстрантов и других гражданских лиц со стороны сотрудников сил безопасности, в том числе с применением боев</w:t>
      </w:r>
      <w:r>
        <w:t>ого</w:t>
      </w:r>
      <w:r w:rsidRPr="007527CE">
        <w:t xml:space="preserve"> </w:t>
      </w:r>
      <w:r>
        <w:t>оружия</w:t>
      </w:r>
      <w:r w:rsidRPr="007527CE">
        <w:t xml:space="preserve"> против демонстрантов, приводящим к гибели людей, внесудебными казнями, произвольными задержаниями протестующих, применением пыток к содержащимся под стражей лицам и </w:t>
      </w:r>
      <w:r w:rsidR="00230630">
        <w:t>неправомерным</w:t>
      </w:r>
      <w:r w:rsidRPr="007527CE">
        <w:t xml:space="preserve"> обращением с ними, притеснением и запугиванием правозащитников, членов оппозиции и журналистов, в том числе со стороны вооруженных молодежных групп, связанных с политическими партиями, в частности с партией большинства, а также акты карательного насилия, в том числе целенаправленные убийства, и безнаказанность, в условиях которой совершаются эти акты; </w:t>
      </w:r>
    </w:p>
    <w:p w:rsidR="00406BAB" w:rsidRPr="007527CE" w:rsidRDefault="00406BAB" w:rsidP="00406BAB">
      <w:pPr>
        <w:pStyle w:val="SingleTxt"/>
      </w:pPr>
      <w:r>
        <w:tab/>
      </w:r>
      <w:r w:rsidRPr="007527CE">
        <w:t>5.</w:t>
      </w:r>
      <w:r w:rsidRPr="007527CE">
        <w:tab/>
      </w:r>
      <w:r w:rsidRPr="007527CE">
        <w:rPr>
          <w:i/>
          <w:iCs/>
        </w:rPr>
        <w:t>вновь заявляет о своем решительном осуждении</w:t>
      </w:r>
      <w:r w:rsidRPr="007527CE">
        <w:t xml:space="preserve"> любых актов нарушения и </w:t>
      </w:r>
      <w:r>
        <w:t>попрания</w:t>
      </w:r>
      <w:r w:rsidRPr="007527CE">
        <w:t xml:space="preserve"> прав человека, совершаемых любыми сторонами, и подстрекательских заявлений некоторых субъектов в стране;</w:t>
      </w:r>
    </w:p>
    <w:p w:rsidR="00406BAB" w:rsidRPr="007527CE" w:rsidRDefault="00406BAB" w:rsidP="00406BAB">
      <w:pPr>
        <w:pStyle w:val="SingleTxt"/>
      </w:pPr>
      <w:r w:rsidRPr="007527CE">
        <w:tab/>
        <w:t>6.</w:t>
      </w:r>
      <w:r w:rsidRPr="007527CE">
        <w:tab/>
      </w:r>
      <w:r w:rsidRPr="007527CE">
        <w:rPr>
          <w:i/>
          <w:iCs/>
        </w:rPr>
        <w:t>с сожалением констатирует</w:t>
      </w:r>
      <w:r w:rsidRPr="007527CE">
        <w:t xml:space="preserve">, что за последние недели были отмечены вызывающие тревогу всплеск и эскалация насилия и резкое увеличение случаев нарушения и </w:t>
      </w:r>
      <w:r>
        <w:t>попрания</w:t>
      </w:r>
      <w:r w:rsidRPr="007527CE">
        <w:t xml:space="preserve"> прав человека;</w:t>
      </w:r>
    </w:p>
    <w:p w:rsidR="00406BAB" w:rsidRPr="007527CE" w:rsidRDefault="00406BAB" w:rsidP="00406BAB">
      <w:pPr>
        <w:pStyle w:val="SingleTxt"/>
      </w:pPr>
      <w:r w:rsidRPr="007527CE">
        <w:tab/>
        <w:t>7.</w:t>
      </w:r>
      <w:r w:rsidRPr="007527CE">
        <w:tab/>
      </w:r>
      <w:r w:rsidRPr="007527CE">
        <w:rPr>
          <w:i/>
          <w:iCs/>
        </w:rPr>
        <w:t>решительно осуждает</w:t>
      </w:r>
      <w:r w:rsidRPr="007527CE">
        <w:t xml:space="preserve"> действия любых сторон, в том числе вооруженных групп, таких как «Имбонеракуре», которые </w:t>
      </w:r>
      <w:r>
        <w:t>способствуют сохранению</w:t>
      </w:r>
      <w:r w:rsidRPr="007527CE">
        <w:t xml:space="preserve"> насили</w:t>
      </w:r>
      <w:r>
        <w:t>я</w:t>
      </w:r>
      <w:r w:rsidRPr="007527CE">
        <w:t xml:space="preserve"> и препятствуют достижению мирного урегулирования кризиса;</w:t>
      </w:r>
    </w:p>
    <w:p w:rsidR="00406BAB" w:rsidRPr="007527CE" w:rsidRDefault="00406BAB" w:rsidP="00406BAB">
      <w:pPr>
        <w:pStyle w:val="SingleTxt"/>
      </w:pPr>
      <w:r w:rsidRPr="007527CE">
        <w:tab/>
        <w:t>8.</w:t>
      </w:r>
      <w:r w:rsidRPr="007527CE">
        <w:tab/>
      </w:r>
      <w:r w:rsidRPr="007527CE">
        <w:rPr>
          <w:i/>
          <w:iCs/>
        </w:rPr>
        <w:t>призывает</w:t>
      </w:r>
      <w:r w:rsidRPr="007527CE">
        <w:t xml:space="preserve"> правительство Бурунди и другие стороны воздерживаться от любых заявлений или действий, которые могли бы обострить напряженность, а также публично осуждать любые такие заявления с учетом высших интересов страны и в полной мере следовать букве и духу Арушского соглашения, представляющего собой основу мира и демократии; </w:t>
      </w:r>
    </w:p>
    <w:p w:rsidR="00406BAB" w:rsidRPr="007527CE" w:rsidRDefault="00406BAB" w:rsidP="00406BAB">
      <w:pPr>
        <w:pStyle w:val="SingleTxt"/>
      </w:pPr>
      <w:r w:rsidRPr="007527CE">
        <w:tab/>
        <w:t>9.</w:t>
      </w:r>
      <w:r w:rsidRPr="007527CE">
        <w:tab/>
      </w:r>
      <w:r w:rsidRPr="007527CE">
        <w:rPr>
          <w:i/>
          <w:iCs/>
        </w:rPr>
        <w:t>призывает</w:t>
      </w:r>
      <w:r w:rsidRPr="007527CE">
        <w:t xml:space="preserve"> власти Бурунди </w:t>
      </w:r>
      <w:r>
        <w:t>гарантировать</w:t>
      </w:r>
      <w:r w:rsidRPr="007527CE">
        <w:t xml:space="preserve"> защиту бурундийского народа от незаконных актов запугивания и насилия, уважать, защищать и поощрять все права человека и основные свободы всех людей в соответствии с международными обязательствами страны, а также соблюдать принцип верховенства права и содействовать </w:t>
      </w:r>
      <w:r w:rsidR="00053E35">
        <w:t>применению</w:t>
      </w:r>
      <w:r w:rsidRPr="007527CE">
        <w:t xml:space="preserve"> транспарентных </w:t>
      </w:r>
      <w:r>
        <w:t>процедур</w:t>
      </w:r>
      <w:r w:rsidRPr="007527CE">
        <w:t xml:space="preserve"> привлечения к ответственности за любые акты нарушения и </w:t>
      </w:r>
      <w:r>
        <w:t>попрания</w:t>
      </w:r>
      <w:r w:rsidRPr="007527CE">
        <w:t xml:space="preserve"> прав человека;</w:t>
      </w:r>
    </w:p>
    <w:p w:rsidR="00406BAB" w:rsidRPr="007527CE" w:rsidRDefault="00406BAB" w:rsidP="00406BAB">
      <w:pPr>
        <w:pStyle w:val="SingleTxt"/>
      </w:pPr>
      <w:r w:rsidRPr="007527CE">
        <w:tab/>
        <w:t>10.</w:t>
      </w:r>
      <w:r w:rsidRPr="007527CE">
        <w:tab/>
      </w:r>
      <w:r w:rsidRPr="007527CE">
        <w:rPr>
          <w:i/>
          <w:iCs/>
        </w:rPr>
        <w:t>призывает также</w:t>
      </w:r>
      <w:r w:rsidRPr="007527CE">
        <w:t xml:space="preserve"> власти Бурунди </w:t>
      </w:r>
      <w:r>
        <w:t>проводить</w:t>
      </w:r>
      <w:r w:rsidRPr="007527CE">
        <w:t xml:space="preserve"> тщательные и независимые расследования по всем случаям серьезного нарушения и </w:t>
      </w:r>
      <w:r>
        <w:t>попрания</w:t>
      </w:r>
      <w:r w:rsidRPr="007527CE">
        <w:t xml:space="preserve"> прав человека для привлечения к ответственности всех виновных, независимо от их </w:t>
      </w:r>
      <w:r>
        <w:t xml:space="preserve">политических </w:t>
      </w:r>
      <w:r w:rsidRPr="007527CE">
        <w:t xml:space="preserve">связей; </w:t>
      </w:r>
    </w:p>
    <w:p w:rsidR="00406BAB" w:rsidRPr="007527CE" w:rsidRDefault="00406BAB" w:rsidP="00406BAB">
      <w:pPr>
        <w:pStyle w:val="SingleTxt"/>
      </w:pPr>
      <w:r w:rsidRPr="007527CE">
        <w:tab/>
        <w:t>11.</w:t>
      </w:r>
      <w:r w:rsidRPr="007527CE">
        <w:tab/>
      </w:r>
      <w:r w:rsidRPr="007527CE">
        <w:rPr>
          <w:i/>
          <w:iCs/>
        </w:rPr>
        <w:t>призывает далее</w:t>
      </w:r>
      <w:r w:rsidRPr="007527CE">
        <w:t xml:space="preserve"> власти Бурунди создать благоприятные условия для </w:t>
      </w:r>
      <w:r>
        <w:t>осуществления</w:t>
      </w:r>
      <w:r w:rsidRPr="007527CE">
        <w:t xml:space="preserve"> справедливых политических процессов и проведения свободных, справедливых и транспарентных демократических выборов;</w:t>
      </w:r>
    </w:p>
    <w:p w:rsidR="00406BAB" w:rsidRPr="007527CE" w:rsidRDefault="00406BAB" w:rsidP="00406BAB">
      <w:pPr>
        <w:pStyle w:val="SingleTxt"/>
      </w:pPr>
      <w:r w:rsidRPr="007527CE">
        <w:tab/>
        <w:t>12.</w:t>
      </w:r>
      <w:r w:rsidRPr="007527CE">
        <w:tab/>
      </w:r>
      <w:r w:rsidRPr="007527CE">
        <w:rPr>
          <w:i/>
          <w:iCs/>
        </w:rPr>
        <w:t>приветствует</w:t>
      </w:r>
      <w:r w:rsidRPr="007527CE">
        <w:t xml:space="preserve"> усилия, предпринимаемые на региональном и субрегиональном уровнях, в том числе Восточноафриканским сообществом и Комиссией Африканского союза по вопросам мира и безопасности, </w:t>
      </w:r>
      <w:r w:rsidR="00053E35">
        <w:t>в</w:t>
      </w:r>
      <w:r w:rsidRPr="007527CE">
        <w:t xml:space="preserve"> цел</w:t>
      </w:r>
      <w:r w:rsidR="00053E35">
        <w:t>ях</w:t>
      </w:r>
      <w:r w:rsidRPr="007527CE">
        <w:t xml:space="preserve"> отслеживания </w:t>
      </w:r>
      <w:r w:rsidR="00053E35">
        <w:t>положения</w:t>
      </w:r>
      <w:r w:rsidRPr="007527CE">
        <w:t xml:space="preserve"> в области прав человека в Бурунди и содействия </w:t>
      </w:r>
      <w:r w:rsidR="00053E35">
        <w:t>его</w:t>
      </w:r>
      <w:r w:rsidRPr="007527CE">
        <w:t xml:space="preserve"> улучшению;</w:t>
      </w:r>
    </w:p>
    <w:p w:rsidR="00406BAB" w:rsidRPr="007527CE" w:rsidRDefault="00406BAB" w:rsidP="00406BAB">
      <w:pPr>
        <w:pStyle w:val="SingleTxt"/>
      </w:pPr>
      <w:r w:rsidRPr="007527CE">
        <w:tab/>
        <w:t>13.</w:t>
      </w:r>
      <w:r w:rsidRPr="007527CE">
        <w:tab/>
      </w:r>
      <w:r w:rsidRPr="007527CE">
        <w:rPr>
          <w:i/>
          <w:iCs/>
        </w:rPr>
        <w:t>выражает глубокую обеспокоенность</w:t>
      </w:r>
      <w:r w:rsidRPr="007527CE">
        <w:t xml:space="preserve"> по поводу трудного положения более чем 220 000 бурундийских беженцев, которые были вынуждены </w:t>
      </w:r>
      <w:r>
        <w:t>бежать</w:t>
      </w:r>
      <w:r w:rsidRPr="007527CE">
        <w:t xml:space="preserve"> в соседние страны, и  бесчисленного множества внутренне перемещенных лиц, а также  призывает принимающие страны и международное сообщество продолжать предоставлять защиту и помощь, с удовлетворением отмечая при этом успехи в решении проблемы добровольного возвращения беженцев; </w:t>
      </w:r>
    </w:p>
    <w:p w:rsidR="00406BAB" w:rsidRPr="007527CE" w:rsidRDefault="00406BAB" w:rsidP="00406BAB">
      <w:pPr>
        <w:pStyle w:val="SingleTxt"/>
      </w:pPr>
      <w:r w:rsidRPr="007527CE">
        <w:tab/>
        <w:t>14.</w:t>
      </w:r>
      <w:r w:rsidRPr="007527CE">
        <w:tab/>
      </w:r>
      <w:r w:rsidRPr="007527CE">
        <w:rPr>
          <w:i/>
          <w:iCs/>
        </w:rPr>
        <w:t>приветствует</w:t>
      </w:r>
      <w:r>
        <w:rPr>
          <w:i/>
          <w:iCs/>
        </w:rPr>
        <w:t>,</w:t>
      </w:r>
      <w:r w:rsidRPr="007527CE">
        <w:t xml:space="preserve"> </w:t>
      </w:r>
      <w:r w:rsidRPr="007527CE">
        <w:rPr>
          <w:i/>
          <w:iCs/>
        </w:rPr>
        <w:t xml:space="preserve">в частности, </w:t>
      </w:r>
      <w:r w:rsidRPr="007527CE">
        <w:t>экстренн</w:t>
      </w:r>
      <w:r w:rsidR="00351C1E">
        <w:t>ое</w:t>
      </w:r>
      <w:r w:rsidRPr="007527CE">
        <w:t xml:space="preserve"> </w:t>
      </w:r>
      <w:r w:rsidR="00351C1E">
        <w:t>размещение</w:t>
      </w:r>
      <w:r w:rsidRPr="007527CE">
        <w:t xml:space="preserve"> и работу в Бурунди наблюдателей за положением в области прав человека Африканского союза, развертывание в Бурунди миссии по установлению фактов Африканской комиссии по правам человека и народов и заключительное коммюнике, представленное 13 декабря 2015 года миссией по установлению фактов Африканской комиссии по правам человека и народов, и призывает бурундийские власти всесторонне сотрудничать с указанными должностными лицами и гарантировать им право </w:t>
      </w:r>
      <w:r w:rsidR="00351C1E">
        <w:t>доступа</w:t>
      </w:r>
      <w:r w:rsidRPr="007527CE">
        <w:t xml:space="preserve">, необходимое для выполнения их мандата; </w:t>
      </w:r>
    </w:p>
    <w:p w:rsidR="00406BAB" w:rsidRPr="007527CE" w:rsidRDefault="00406BAB" w:rsidP="00406BAB">
      <w:pPr>
        <w:pStyle w:val="SingleTxt"/>
      </w:pPr>
      <w:r w:rsidRPr="007527CE">
        <w:tab/>
        <w:t>15.</w:t>
      </w:r>
      <w:r w:rsidRPr="007527CE">
        <w:tab/>
      </w:r>
      <w:r w:rsidRPr="007527CE">
        <w:rPr>
          <w:i/>
          <w:iCs/>
        </w:rPr>
        <w:t>призывает</w:t>
      </w:r>
      <w:r w:rsidRPr="007527CE">
        <w:t xml:space="preserve"> правительство Бурунди сотрудничать с выступающими посредниками региональными субъектами, с тем чтобы позволить им незамедлительно организовать проведение </w:t>
      </w:r>
      <w:r>
        <w:t>инклюзивного</w:t>
      </w:r>
      <w:r w:rsidRPr="007527CE">
        <w:t xml:space="preserve"> и подлинного общебурундийского диалога с привлечением всех соответствующих заинтересованных и приверженных делу мира сторон, как тех, которые находятся в Бурунди, так и тех, которые находятся за пределами страны, для того чтобы найти основанное на консенсусе и национальной ответственности решение для преодоления нынешнего кризиса;</w:t>
      </w:r>
    </w:p>
    <w:p w:rsidR="00406BAB" w:rsidRPr="007527CE" w:rsidRDefault="00406BAB" w:rsidP="00406BAB">
      <w:pPr>
        <w:pStyle w:val="SingleTxt"/>
      </w:pPr>
      <w:r w:rsidRPr="007527CE">
        <w:tab/>
        <w:t>16.</w:t>
      </w:r>
      <w:r w:rsidRPr="007527CE">
        <w:tab/>
      </w:r>
      <w:r w:rsidRPr="007527CE">
        <w:rPr>
          <w:i/>
          <w:iCs/>
        </w:rPr>
        <w:t>постановляет</w:t>
      </w:r>
      <w:r w:rsidRPr="007527CE">
        <w:t xml:space="preserve"> активизировать на </w:t>
      </w:r>
      <w:r>
        <w:t>своих</w:t>
      </w:r>
      <w:r w:rsidRPr="007527CE">
        <w:t xml:space="preserve"> тридцать первой и тридцать третьей сессиях интерактивный диалог о положении в области прав человека в Бурунди согласно призыву Совета по правам человека, изложенному в его резолюции 30/27, с тем чтобы вовлечь в него другие заинтересованные стороны, в частности представителей Африканского союза, Африканской комиссии по правам человека и народов, гражданского общества и соответствующих специальных процедур, которые занимаются проблемой прав человека в Бурунди; </w:t>
      </w:r>
    </w:p>
    <w:p w:rsidR="00406BAB" w:rsidRPr="007527CE" w:rsidRDefault="00406BAB" w:rsidP="00406BAB">
      <w:pPr>
        <w:pStyle w:val="SingleTxt"/>
      </w:pPr>
      <w:r w:rsidRPr="007527CE">
        <w:tab/>
        <w:t>17.</w:t>
      </w:r>
      <w:r w:rsidRPr="007527CE">
        <w:tab/>
      </w:r>
      <w:r w:rsidRPr="007527CE">
        <w:rPr>
          <w:i/>
          <w:iCs/>
        </w:rPr>
        <w:t>просит</w:t>
      </w:r>
      <w:r w:rsidRPr="007527CE">
        <w:t xml:space="preserve"> Верховного комиссара Организации Объединенных Наций по правам человека в срочном порядке организовать и как можно скорее направить в страну миссию, состоящую из действующих независимых экспертов, с тем чтобы:</w:t>
      </w:r>
    </w:p>
    <w:p w:rsidR="00406BAB" w:rsidRPr="007527CE" w:rsidRDefault="00406BAB" w:rsidP="00406BAB">
      <w:pPr>
        <w:pStyle w:val="SingleTxt"/>
      </w:pPr>
      <w:r>
        <w:tab/>
      </w:r>
      <w:r w:rsidRPr="00545FD2">
        <w:t>a)</w:t>
      </w:r>
      <w:r w:rsidRPr="007527CE">
        <w:tab/>
        <w:t xml:space="preserve">оперативно расследовать случаи нарушения и </w:t>
      </w:r>
      <w:r>
        <w:t>попрания</w:t>
      </w:r>
      <w:r w:rsidRPr="007527CE">
        <w:t xml:space="preserve"> прав человека для </w:t>
      </w:r>
      <w:r>
        <w:t>предотвращения</w:t>
      </w:r>
      <w:r w:rsidRPr="007527CE">
        <w:t xml:space="preserve"> дальнейшего ухудшения положения в области прав человека;</w:t>
      </w:r>
    </w:p>
    <w:p w:rsidR="00406BAB" w:rsidRPr="007527CE" w:rsidRDefault="00406BAB" w:rsidP="00406BAB">
      <w:pPr>
        <w:pStyle w:val="SingleTxt"/>
      </w:pPr>
      <w:r>
        <w:tab/>
      </w:r>
      <w:r w:rsidRPr="00545FD2">
        <w:t>b)</w:t>
      </w:r>
      <w:r w:rsidRPr="007527CE">
        <w:tab/>
        <w:t>вынести рекомендации в отношении улучшения положения в области прав человека и оказания технической помощи в целях содействия примирению и осуществлению Арушского соглашения;</w:t>
      </w:r>
    </w:p>
    <w:p w:rsidR="00406BAB" w:rsidRPr="007527CE" w:rsidRDefault="00406BAB" w:rsidP="00406BAB">
      <w:pPr>
        <w:pStyle w:val="SingleTxt"/>
      </w:pPr>
      <w:r>
        <w:tab/>
      </w:r>
      <w:r w:rsidRPr="00545FD2">
        <w:t>c)</w:t>
      </w:r>
      <w:r w:rsidRPr="007527CE">
        <w:tab/>
        <w:t xml:space="preserve">взаимодействовать с бурундийскими властями и всеми другими соответствующими заинтересованными сторонами, включая учреждения Организации Объединенных Наций, гражданское общество, беженцев, миссию Управления Верховного комиссара в Бурунди, официальных представителей Африканского союза и Африканскую комиссию по правам человека и народов, в частности для оказания помощи государству в выполнении им своих </w:t>
      </w:r>
      <w:r>
        <w:t xml:space="preserve">правозащитных </w:t>
      </w:r>
      <w:r w:rsidRPr="007527CE">
        <w:t xml:space="preserve">обязательств, </w:t>
      </w:r>
      <w:r w:rsidR="00325C27">
        <w:t>в</w:t>
      </w:r>
      <w:r w:rsidRPr="007527CE">
        <w:t xml:space="preserve"> привле</w:t>
      </w:r>
      <w:r w:rsidR="00325C27">
        <w:t>чении</w:t>
      </w:r>
      <w:r w:rsidRPr="007527CE">
        <w:t xml:space="preserve"> к ответственности лиц, нарушающих и </w:t>
      </w:r>
      <w:r>
        <w:t>попирающих</w:t>
      </w:r>
      <w:r w:rsidRPr="007527CE">
        <w:t xml:space="preserve"> права человека, в том числе путем выявления предполагаемых виновных, </w:t>
      </w:r>
      <w:r w:rsidR="00325C27">
        <w:t xml:space="preserve">в </w:t>
      </w:r>
      <w:r w:rsidRPr="007527CE">
        <w:t>принят</w:t>
      </w:r>
      <w:r w:rsidR="00325C27">
        <w:t>ии</w:t>
      </w:r>
      <w:r w:rsidRPr="007527CE">
        <w:t xml:space="preserve"> надлежащи</w:t>
      </w:r>
      <w:r w:rsidR="00325C27">
        <w:t>х</w:t>
      </w:r>
      <w:r w:rsidRPr="007527CE">
        <w:t xml:space="preserve"> мер по отправлению правосудия в переходный период и </w:t>
      </w:r>
      <w:r w:rsidR="00325C27">
        <w:t>в сохранении</w:t>
      </w:r>
      <w:r w:rsidRPr="007527CE">
        <w:t xml:space="preserve"> дух</w:t>
      </w:r>
      <w:r w:rsidR="00325C27">
        <w:t>а</w:t>
      </w:r>
      <w:r w:rsidRPr="007527CE">
        <w:t xml:space="preserve"> Арушского соглашения; </w:t>
      </w:r>
    </w:p>
    <w:p w:rsidR="00406BAB" w:rsidRPr="007527CE" w:rsidRDefault="00406BAB" w:rsidP="00406BAB">
      <w:pPr>
        <w:pStyle w:val="SingleTxt"/>
      </w:pPr>
      <w:r>
        <w:rPr>
          <w:i/>
        </w:rPr>
        <w:tab/>
      </w:r>
      <w:r w:rsidRPr="00545FD2">
        <w:t>d)</w:t>
      </w:r>
      <w:r w:rsidRPr="007527CE">
        <w:tab/>
        <w:t>обеспечить взаимодополняемость и координацию между этой работой и другими усилиями, предпринимаемыми Организацией Объединенных Наций, Африканским союзом и другими соответствующими региональными и международными субъектами, с максимально возможной опорой на практический опыт Африканского союза и Африканской комиссии по правам человека и народов;</w:t>
      </w:r>
    </w:p>
    <w:p w:rsidR="00406BAB" w:rsidRPr="007527CE" w:rsidRDefault="00406BAB" w:rsidP="00406BAB">
      <w:pPr>
        <w:pStyle w:val="SingleTxt"/>
      </w:pPr>
      <w:r>
        <w:tab/>
      </w:r>
      <w:r w:rsidRPr="00545FD2">
        <w:t>e)</w:t>
      </w:r>
      <w:r w:rsidRPr="007527CE">
        <w:tab/>
        <w:t>обеспечить устное изложение представителем экспертов обновленной информации и его участие в более масштабном интерактивном диалоге о положении в области прав человека в Бурунди на тридцать первой с</w:t>
      </w:r>
      <w:r>
        <w:t>ессии Совета по правам человека,</w:t>
      </w:r>
      <w:r w:rsidRPr="007527CE">
        <w:t xml:space="preserve"> а также подготовить заключительный доклад и принять участие в более масштабном интерактивном диалоге о положении в области прав человека в Бурунди на тридцать третьей сессии;</w:t>
      </w:r>
    </w:p>
    <w:p w:rsidR="00406BAB" w:rsidRPr="007527CE" w:rsidRDefault="00406BAB" w:rsidP="00406BAB">
      <w:pPr>
        <w:pStyle w:val="SingleTxt"/>
      </w:pPr>
      <w:r w:rsidRPr="007527CE">
        <w:tab/>
        <w:t>18.</w:t>
      </w:r>
      <w:r w:rsidRPr="007527CE">
        <w:tab/>
      </w:r>
      <w:r w:rsidRPr="007527CE">
        <w:rPr>
          <w:i/>
          <w:iCs/>
        </w:rPr>
        <w:t>просит</w:t>
      </w:r>
      <w:r w:rsidRPr="007527CE">
        <w:t xml:space="preserve"> </w:t>
      </w:r>
      <w:r w:rsidR="00325C27">
        <w:t>предоставить</w:t>
      </w:r>
      <w:r w:rsidRPr="007527CE">
        <w:t xml:space="preserve"> Управлению Верховного комиссара все необходимые ресурсы для выполнения настоящего мандата;</w:t>
      </w:r>
    </w:p>
    <w:p w:rsidR="005E70F7" w:rsidRDefault="00406BAB" w:rsidP="00406BAB">
      <w:pPr>
        <w:pStyle w:val="SingleTxt"/>
      </w:pPr>
      <w:r w:rsidRPr="007527CE">
        <w:tab/>
        <w:t>19.</w:t>
      </w:r>
      <w:r w:rsidRPr="007527CE">
        <w:tab/>
      </w:r>
      <w:r w:rsidRPr="007527CE">
        <w:rPr>
          <w:i/>
          <w:iCs/>
        </w:rPr>
        <w:t>постановляет</w:t>
      </w:r>
      <w:r w:rsidRPr="007527CE">
        <w:t xml:space="preserve"> продолжать заниматься этим вопросом.</w:t>
      </w:r>
    </w:p>
    <w:p w:rsidR="00325C27" w:rsidRDefault="00325C27" w:rsidP="00325C27">
      <w:pPr>
        <w:pStyle w:val="SingleTxt"/>
        <w:jc w:val="right"/>
        <w:rPr>
          <w:i/>
        </w:rPr>
      </w:pPr>
      <w:r w:rsidRPr="00325C27">
        <w:rPr>
          <w:i/>
        </w:rPr>
        <w:t>2-е заседание</w:t>
      </w:r>
      <w:r w:rsidR="00671BA3" w:rsidRPr="00160626">
        <w:rPr>
          <w:i/>
        </w:rPr>
        <w:br/>
      </w:r>
      <w:r w:rsidRPr="00325C27">
        <w:rPr>
          <w:i/>
        </w:rPr>
        <w:t>17 декабря 2015 года</w:t>
      </w:r>
    </w:p>
    <w:p w:rsidR="00325C27" w:rsidRPr="00160626" w:rsidRDefault="00325C27" w:rsidP="00325C27">
      <w:pPr>
        <w:pStyle w:val="SingleTxt"/>
      </w:pPr>
      <w:r w:rsidRPr="00160626">
        <w:t>[</w:t>
      </w:r>
      <w:r>
        <w:t>Принята без голосования</w:t>
      </w:r>
      <w:r w:rsidRPr="00160626">
        <w:t>.]</w:t>
      </w:r>
    </w:p>
    <w:p w:rsidR="00406BAB" w:rsidRPr="00406BAB" w:rsidRDefault="00406BAB" w:rsidP="00406BAB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406BAB" w:rsidRPr="00406BAB" w:rsidSect="005E70F7">
      <w:endnotePr>
        <w:numFmt w:val="decimal"/>
      </w:endnotePr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C5" w:rsidRDefault="000743C5" w:rsidP="008A1A7A">
      <w:pPr>
        <w:spacing w:line="240" w:lineRule="auto"/>
      </w:pPr>
      <w:r>
        <w:separator/>
      </w:r>
    </w:p>
  </w:endnote>
  <w:endnote w:type="continuationSeparator" w:id="0">
    <w:p w:rsidR="000743C5" w:rsidRDefault="000743C5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5E70F7" w:rsidTr="005E70F7">
      <w:trPr>
        <w:jc w:val="center"/>
      </w:trPr>
      <w:tc>
        <w:tcPr>
          <w:tcW w:w="5126" w:type="dxa"/>
          <w:shd w:val="clear" w:color="auto" w:fill="auto"/>
          <w:vAlign w:val="bottom"/>
        </w:tcPr>
        <w:p w:rsidR="005E70F7" w:rsidRPr="005E70F7" w:rsidRDefault="005E70F7" w:rsidP="005E70F7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64A52">
            <w:rPr>
              <w:noProof/>
            </w:rPr>
            <w:t>2</w:t>
          </w:r>
          <w:r>
            <w:fldChar w:fldCharType="end"/>
          </w:r>
          <w:r>
            <w:t>/</w:t>
          </w:r>
          <w:r w:rsidR="00164A52">
            <w:fldChar w:fldCharType="begin"/>
          </w:r>
          <w:r w:rsidR="00164A52">
            <w:instrText xml:space="preserve"> NUMPAGES  \* Arabic  \* MERGEFORMAT </w:instrText>
          </w:r>
          <w:r w:rsidR="00164A52">
            <w:fldChar w:fldCharType="separate"/>
          </w:r>
          <w:r w:rsidR="00164A52">
            <w:rPr>
              <w:noProof/>
            </w:rPr>
            <w:t>7</w:t>
          </w:r>
          <w:r w:rsidR="00164A52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5E70F7" w:rsidRPr="005E70F7" w:rsidRDefault="005E70F7" w:rsidP="005E70F7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EA0BE9">
            <w:rPr>
              <w:b w:val="0"/>
              <w:color w:val="000000"/>
              <w:sz w:val="14"/>
            </w:rPr>
            <w:t>GE.15-22647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5E70F7" w:rsidRPr="005E70F7" w:rsidRDefault="005E70F7" w:rsidP="005E70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5E70F7" w:rsidTr="005E70F7">
      <w:trPr>
        <w:jc w:val="center"/>
      </w:trPr>
      <w:tc>
        <w:tcPr>
          <w:tcW w:w="5126" w:type="dxa"/>
          <w:shd w:val="clear" w:color="auto" w:fill="auto"/>
          <w:vAlign w:val="bottom"/>
        </w:tcPr>
        <w:p w:rsidR="005E70F7" w:rsidRPr="005E70F7" w:rsidRDefault="005E70F7" w:rsidP="005E70F7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EA0BE9">
            <w:rPr>
              <w:b w:val="0"/>
              <w:color w:val="000000"/>
              <w:sz w:val="14"/>
            </w:rPr>
            <w:t>GE.15-22647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5E70F7" w:rsidRPr="005E70F7" w:rsidRDefault="005E70F7" w:rsidP="005E70F7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64A52">
            <w:rPr>
              <w:noProof/>
            </w:rPr>
            <w:t>3</w:t>
          </w:r>
          <w:r>
            <w:fldChar w:fldCharType="end"/>
          </w:r>
          <w:r>
            <w:t>/</w:t>
          </w:r>
          <w:r w:rsidR="00164A52">
            <w:fldChar w:fldCharType="begin"/>
          </w:r>
          <w:r w:rsidR="00164A52">
            <w:instrText xml:space="preserve"> NUMPAGES  \* Arabic  \* MERGEFORMAT </w:instrText>
          </w:r>
          <w:r w:rsidR="00164A52">
            <w:fldChar w:fldCharType="separate"/>
          </w:r>
          <w:r w:rsidR="00164A52">
            <w:rPr>
              <w:noProof/>
            </w:rPr>
            <w:t>7</w:t>
          </w:r>
          <w:r w:rsidR="00164A52">
            <w:rPr>
              <w:noProof/>
            </w:rPr>
            <w:fldChar w:fldCharType="end"/>
          </w:r>
        </w:p>
      </w:tc>
    </w:tr>
  </w:tbl>
  <w:p w:rsidR="005E70F7" w:rsidRPr="005E70F7" w:rsidRDefault="005E70F7" w:rsidP="005E70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5E70F7" w:rsidTr="005E70F7">
      <w:tc>
        <w:tcPr>
          <w:tcW w:w="3873" w:type="dxa"/>
        </w:tcPr>
        <w:p w:rsidR="005E70F7" w:rsidRDefault="005E70F7" w:rsidP="005E70F7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C268999" wp14:editId="1D799FD4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RES/S-24/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RES/S-24/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GE.15-22647 (R)</w:t>
          </w:r>
          <w:r>
            <w:rPr>
              <w:color w:val="010000"/>
            </w:rPr>
            <w:t xml:space="preserve">    0</w:t>
          </w:r>
          <w:r w:rsidR="00AE7C5F">
            <w:rPr>
              <w:color w:val="010000"/>
              <w:lang w:val="en-US"/>
            </w:rPr>
            <w:t>7</w:t>
          </w:r>
          <w:r>
            <w:rPr>
              <w:color w:val="010000"/>
            </w:rPr>
            <w:t>0116    080116</w:t>
          </w:r>
        </w:p>
        <w:p w:rsidR="005E70F7" w:rsidRPr="005E70F7" w:rsidRDefault="005E70F7" w:rsidP="005E70F7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*1522647*</w:t>
          </w:r>
        </w:p>
      </w:tc>
      <w:tc>
        <w:tcPr>
          <w:tcW w:w="5127" w:type="dxa"/>
        </w:tcPr>
        <w:p w:rsidR="005E70F7" w:rsidRDefault="005E70F7" w:rsidP="005E70F7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5DF55B69" wp14:editId="28C0AB5B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E70F7" w:rsidRPr="005E70F7" w:rsidRDefault="005E70F7" w:rsidP="005E70F7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C5" w:rsidRPr="00EB6859" w:rsidRDefault="00EB6859" w:rsidP="00EB6859">
      <w:pPr>
        <w:pStyle w:val="Footer"/>
        <w:spacing w:after="80"/>
        <w:ind w:left="792"/>
        <w:rPr>
          <w:sz w:val="16"/>
        </w:rPr>
      </w:pPr>
      <w:r w:rsidRPr="00EB6859">
        <w:rPr>
          <w:sz w:val="16"/>
        </w:rPr>
        <w:t>__________________</w:t>
      </w:r>
    </w:p>
  </w:footnote>
  <w:footnote w:type="continuationSeparator" w:id="0">
    <w:p w:rsidR="000743C5" w:rsidRPr="00EB6859" w:rsidRDefault="00EB6859" w:rsidP="00EB6859">
      <w:pPr>
        <w:pStyle w:val="Footer"/>
        <w:spacing w:after="80"/>
        <w:ind w:left="792"/>
        <w:rPr>
          <w:sz w:val="16"/>
        </w:rPr>
      </w:pPr>
      <w:r w:rsidRPr="00EB6859">
        <w:rPr>
          <w:sz w:val="16"/>
        </w:rPr>
        <w:t>__________________</w:t>
      </w:r>
    </w:p>
  </w:footnote>
  <w:footnote w:id="1">
    <w:p w:rsidR="00406BAB" w:rsidRDefault="00406BAB" w:rsidP="00EB6859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S/2015/926.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5E70F7" w:rsidTr="005E70F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5E70F7" w:rsidRPr="005E70F7" w:rsidRDefault="005E70F7" w:rsidP="005E70F7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EA0BE9">
            <w:rPr>
              <w:b/>
            </w:rPr>
            <w:t>A/HRC/RES/S-24/1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5E70F7" w:rsidRDefault="005E70F7" w:rsidP="005E70F7">
          <w:pPr>
            <w:pStyle w:val="Header"/>
          </w:pPr>
        </w:p>
      </w:tc>
    </w:tr>
  </w:tbl>
  <w:p w:rsidR="005E70F7" w:rsidRPr="005E70F7" w:rsidRDefault="005E70F7" w:rsidP="005E70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5E70F7" w:rsidTr="005E70F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5E70F7" w:rsidRDefault="005E70F7" w:rsidP="005E70F7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5E70F7" w:rsidRPr="005E70F7" w:rsidRDefault="005E70F7" w:rsidP="005E70F7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EA0BE9">
            <w:rPr>
              <w:b/>
            </w:rPr>
            <w:t>A/HRC/RES/S-24/1</w:t>
          </w:r>
          <w:r>
            <w:rPr>
              <w:b/>
            </w:rPr>
            <w:fldChar w:fldCharType="end"/>
          </w:r>
        </w:p>
      </w:tc>
    </w:tr>
  </w:tbl>
  <w:p w:rsidR="005E70F7" w:rsidRPr="005E70F7" w:rsidRDefault="005E70F7" w:rsidP="005E70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5E70F7" w:rsidTr="005E70F7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5E70F7" w:rsidRPr="005E70F7" w:rsidRDefault="005E70F7" w:rsidP="005E70F7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5E70F7" w:rsidRDefault="005E70F7" w:rsidP="005E70F7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5E70F7" w:rsidRPr="005E70F7" w:rsidRDefault="005E70F7" w:rsidP="005E70F7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/HRC/RES/S-24/1</w:t>
          </w:r>
        </w:p>
      </w:tc>
    </w:tr>
    <w:tr w:rsidR="005E70F7" w:rsidRPr="00AE7C5F" w:rsidTr="005E70F7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5E70F7" w:rsidRPr="005E70F7" w:rsidRDefault="005E70F7" w:rsidP="005E70F7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0C83C4A8" wp14:editId="361C0632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5E70F7" w:rsidRPr="005E70F7" w:rsidRDefault="005E70F7" w:rsidP="005E70F7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5E70F7" w:rsidRPr="005E70F7" w:rsidRDefault="005E70F7" w:rsidP="005E70F7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5E70F7" w:rsidRPr="00AE7C5F" w:rsidRDefault="005E70F7" w:rsidP="005E70F7">
          <w:pPr>
            <w:pStyle w:val="Distribution"/>
            <w:rPr>
              <w:color w:val="000000"/>
              <w:lang w:val="en-US"/>
            </w:rPr>
          </w:pPr>
          <w:r w:rsidRPr="00AE7C5F">
            <w:rPr>
              <w:color w:val="000000"/>
              <w:lang w:val="en-US"/>
            </w:rPr>
            <w:t>Distr.: General</w:t>
          </w:r>
        </w:p>
        <w:p w:rsidR="005E70F7" w:rsidRPr="00AE7C5F" w:rsidRDefault="005E70F7" w:rsidP="00AE7C5F">
          <w:pPr>
            <w:pStyle w:val="Publication"/>
            <w:rPr>
              <w:color w:val="000000"/>
              <w:lang w:val="en-US"/>
            </w:rPr>
          </w:pPr>
          <w:r w:rsidRPr="00AE7C5F">
            <w:rPr>
              <w:color w:val="000000"/>
              <w:lang w:val="en-US"/>
            </w:rPr>
            <w:t>22 December 2015</w:t>
          </w:r>
        </w:p>
        <w:p w:rsidR="005E70F7" w:rsidRPr="00AE7C5F" w:rsidRDefault="005E70F7" w:rsidP="005E70F7">
          <w:pPr>
            <w:rPr>
              <w:color w:val="000000"/>
              <w:lang w:val="en-US"/>
            </w:rPr>
          </w:pPr>
          <w:r w:rsidRPr="00AE7C5F">
            <w:rPr>
              <w:color w:val="000000"/>
              <w:lang w:val="en-US"/>
            </w:rPr>
            <w:t>Russian</w:t>
          </w:r>
        </w:p>
        <w:p w:rsidR="005E70F7" w:rsidRPr="00AE7C5F" w:rsidRDefault="005E70F7" w:rsidP="005E70F7">
          <w:pPr>
            <w:pStyle w:val="Original"/>
            <w:rPr>
              <w:color w:val="000000"/>
              <w:lang w:val="en-US"/>
            </w:rPr>
          </w:pPr>
          <w:r w:rsidRPr="00AE7C5F">
            <w:rPr>
              <w:color w:val="000000"/>
              <w:lang w:val="en-US"/>
            </w:rPr>
            <w:t>Original: English</w:t>
          </w:r>
        </w:p>
        <w:p w:rsidR="005E70F7" w:rsidRPr="00AE7C5F" w:rsidRDefault="005E70F7" w:rsidP="005E70F7">
          <w:pPr>
            <w:rPr>
              <w:lang w:val="en-US"/>
            </w:rPr>
          </w:pPr>
        </w:p>
      </w:tc>
    </w:tr>
  </w:tbl>
  <w:p w:rsidR="005E70F7" w:rsidRPr="00AE7C5F" w:rsidRDefault="005E70F7" w:rsidP="005E70F7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22647*"/>
    <w:docVar w:name="CreationDt" w:val="1/8/2016 10:33 AM"/>
    <w:docVar w:name="DocCategory" w:val="Doc"/>
    <w:docVar w:name="DocType" w:val="Final"/>
    <w:docVar w:name="DutyStation" w:val="Geneva"/>
    <w:docVar w:name="FooterJN" w:val="GE.15-22647"/>
    <w:docVar w:name="jobn" w:val="GE.15-22647 (R)"/>
    <w:docVar w:name="jobnDT" w:val="GE.15-22647 (R)   080116"/>
    <w:docVar w:name="jobnDTDT" w:val="GE.15-22647 (R)   080116   080116"/>
    <w:docVar w:name="JobNo" w:val="GE.1522647R"/>
    <w:docVar w:name="JobNo2" w:val="1528902R"/>
    <w:docVar w:name="LocalDrive" w:val="0"/>
    <w:docVar w:name="OandT" w:val="OS"/>
    <w:docVar w:name="PaperSize" w:val="A4"/>
    <w:docVar w:name="sss1" w:val="A/HRC/RES/S-24/1"/>
    <w:docVar w:name="sss2" w:val="-"/>
    <w:docVar w:name="Symbol1" w:val="A/HRC/RES/S-24/1"/>
    <w:docVar w:name="Symbol2" w:val="-"/>
  </w:docVars>
  <w:rsids>
    <w:rsidRoot w:val="000743C5"/>
    <w:rsid w:val="00004615"/>
    <w:rsid w:val="00004756"/>
    <w:rsid w:val="00010735"/>
    <w:rsid w:val="00013E03"/>
    <w:rsid w:val="0001480C"/>
    <w:rsid w:val="00015201"/>
    <w:rsid w:val="0001588C"/>
    <w:rsid w:val="000162FB"/>
    <w:rsid w:val="00024A67"/>
    <w:rsid w:val="00025CF3"/>
    <w:rsid w:val="0002669B"/>
    <w:rsid w:val="00033C1F"/>
    <w:rsid w:val="00041A49"/>
    <w:rsid w:val="000513EF"/>
    <w:rsid w:val="00053E35"/>
    <w:rsid w:val="0005420D"/>
    <w:rsid w:val="00055EA2"/>
    <w:rsid w:val="00067A5A"/>
    <w:rsid w:val="00067A90"/>
    <w:rsid w:val="00070C37"/>
    <w:rsid w:val="000738BD"/>
    <w:rsid w:val="000743C5"/>
    <w:rsid w:val="00076F88"/>
    <w:rsid w:val="0007796A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45BAE"/>
    <w:rsid w:val="00153645"/>
    <w:rsid w:val="00153E04"/>
    <w:rsid w:val="00153E8C"/>
    <w:rsid w:val="001565FD"/>
    <w:rsid w:val="00160626"/>
    <w:rsid w:val="00160648"/>
    <w:rsid w:val="00161F29"/>
    <w:rsid w:val="00162200"/>
    <w:rsid w:val="00162E88"/>
    <w:rsid w:val="00164A52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5CBD"/>
    <w:rsid w:val="00206603"/>
    <w:rsid w:val="002078A2"/>
    <w:rsid w:val="00211A7E"/>
    <w:rsid w:val="00212368"/>
    <w:rsid w:val="00215955"/>
    <w:rsid w:val="00217A24"/>
    <w:rsid w:val="00223C57"/>
    <w:rsid w:val="00227D15"/>
    <w:rsid w:val="00230630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5C27"/>
    <w:rsid w:val="00326F5F"/>
    <w:rsid w:val="00332D90"/>
    <w:rsid w:val="00333B06"/>
    <w:rsid w:val="00337D91"/>
    <w:rsid w:val="00343513"/>
    <w:rsid w:val="00346BFB"/>
    <w:rsid w:val="00350756"/>
    <w:rsid w:val="00351C1E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5193"/>
    <w:rsid w:val="003E7E9A"/>
    <w:rsid w:val="00401CDD"/>
    <w:rsid w:val="00402244"/>
    <w:rsid w:val="00406BAB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062B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4F799F"/>
    <w:rsid w:val="005024D7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5FD2"/>
    <w:rsid w:val="005469E1"/>
    <w:rsid w:val="0055087F"/>
    <w:rsid w:val="00552E08"/>
    <w:rsid w:val="00557DA1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6941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C74C9"/>
    <w:rsid w:val="005D38B6"/>
    <w:rsid w:val="005D7642"/>
    <w:rsid w:val="005E0A46"/>
    <w:rsid w:val="005E3D0D"/>
    <w:rsid w:val="005E70F7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7F1"/>
    <w:rsid w:val="006459C6"/>
    <w:rsid w:val="00646363"/>
    <w:rsid w:val="00647668"/>
    <w:rsid w:val="00655212"/>
    <w:rsid w:val="00657EE4"/>
    <w:rsid w:val="00671BA3"/>
    <w:rsid w:val="006816AA"/>
    <w:rsid w:val="00682A27"/>
    <w:rsid w:val="00684FCA"/>
    <w:rsid w:val="00695D67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58BE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2DE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25990"/>
    <w:rsid w:val="00830FF8"/>
    <w:rsid w:val="00833A04"/>
    <w:rsid w:val="00833B8D"/>
    <w:rsid w:val="00842DFF"/>
    <w:rsid w:val="0084324F"/>
    <w:rsid w:val="00843750"/>
    <w:rsid w:val="00844407"/>
    <w:rsid w:val="00853B24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862E4"/>
    <w:rsid w:val="0089613E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5E"/>
    <w:rsid w:val="008C11F5"/>
    <w:rsid w:val="008C2A03"/>
    <w:rsid w:val="008C3A6F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7D0"/>
    <w:rsid w:val="00952B5F"/>
    <w:rsid w:val="00953546"/>
    <w:rsid w:val="009541F6"/>
    <w:rsid w:val="0095649D"/>
    <w:rsid w:val="009565AD"/>
    <w:rsid w:val="00960332"/>
    <w:rsid w:val="00963BDB"/>
    <w:rsid w:val="0097006F"/>
    <w:rsid w:val="00970DDD"/>
    <w:rsid w:val="00984EE4"/>
    <w:rsid w:val="00990168"/>
    <w:rsid w:val="0099354F"/>
    <w:rsid w:val="00996CBB"/>
    <w:rsid w:val="009A120B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E7C5F"/>
    <w:rsid w:val="00AF0B91"/>
    <w:rsid w:val="00AF1A65"/>
    <w:rsid w:val="00AF37E3"/>
    <w:rsid w:val="00AF3B70"/>
    <w:rsid w:val="00B03D42"/>
    <w:rsid w:val="00B11766"/>
    <w:rsid w:val="00B17439"/>
    <w:rsid w:val="00B17940"/>
    <w:rsid w:val="00B17A11"/>
    <w:rsid w:val="00B20577"/>
    <w:rsid w:val="00B217F6"/>
    <w:rsid w:val="00B2296A"/>
    <w:rsid w:val="00B2465B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3D29"/>
    <w:rsid w:val="00BC5F6D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690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575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76AF9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E3D3C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55D9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0BE9"/>
    <w:rsid w:val="00EA1656"/>
    <w:rsid w:val="00EA1819"/>
    <w:rsid w:val="00EA255B"/>
    <w:rsid w:val="00EA4CD6"/>
    <w:rsid w:val="00EB1F66"/>
    <w:rsid w:val="00EB646E"/>
    <w:rsid w:val="00EB6859"/>
    <w:rsid w:val="00EC34C1"/>
    <w:rsid w:val="00EC6F5D"/>
    <w:rsid w:val="00EC7A61"/>
    <w:rsid w:val="00ED1C96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587B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0D85"/>
    <w:rsid w:val="00F624BD"/>
    <w:rsid w:val="00F62A5E"/>
    <w:rsid w:val="00F631B9"/>
    <w:rsid w:val="00F634A6"/>
    <w:rsid w:val="00F6634F"/>
    <w:rsid w:val="00F72CD1"/>
    <w:rsid w:val="00F7462A"/>
    <w:rsid w:val="00F74A39"/>
    <w:rsid w:val="00F8138E"/>
    <w:rsid w:val="00F85203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5E7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F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F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52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5E7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F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F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52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CD96B-ED61-4300-9AD6-73A4A668519F}"/>
</file>

<file path=customXml/itemProps2.xml><?xml version="1.0" encoding="utf-8"?>
<ds:datastoreItem xmlns:ds="http://schemas.openxmlformats.org/officeDocument/2006/customXml" ds:itemID="{79D766A6-F5A3-4096-81FE-335508EF6479}"/>
</file>

<file path=customXml/itemProps3.xml><?xml version="1.0" encoding="utf-8"?>
<ds:datastoreItem xmlns:ds="http://schemas.openxmlformats.org/officeDocument/2006/customXml" ds:itemID="{A00181B0-EB1B-41C0-BB6A-4DE85819728B}"/>
</file>

<file path=customXml/itemProps4.xml><?xml version="1.0" encoding="utf-8"?>
<ds:datastoreItem xmlns:ds="http://schemas.openxmlformats.org/officeDocument/2006/customXml" ds:itemID="{6740E556-A851-4CD5-B019-CFA2B75F30EA}"/>
</file>

<file path=docProps/app.xml><?xml version="1.0" encoding="utf-8"?>
<Properties xmlns="http://schemas.openxmlformats.org/officeDocument/2006/extended-properties" xmlns:vt="http://schemas.openxmlformats.org/officeDocument/2006/docPropsVTypes">
  <Template>547C2F15.dotm</Template>
  <TotalTime>0</TotalTime>
  <Pages>7</Pages>
  <Words>2637</Words>
  <Characters>15035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Council resolution S-24/1 adopted on 17 December 2015 in Russian</dc:title>
  <dc:creator>Ovchinnikova Olga</dc:creator>
  <cp:lastModifiedBy>Iuliia Somova</cp:lastModifiedBy>
  <cp:revision>2</cp:revision>
  <cp:lastPrinted>2016-01-08T10:31:00Z</cp:lastPrinted>
  <dcterms:created xsi:type="dcterms:W3CDTF">2016-01-15T09:54:00Z</dcterms:created>
  <dcterms:modified xsi:type="dcterms:W3CDTF">2016-01-15T09:54:00Z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1522647R</vt:lpwstr>
  </property>
  <property fmtid="{D5CDD505-2E9C-101B-9397-08002B2CF9AE}" pid="3" name="ODSRefJobNo">
    <vt:lpwstr>1528902R</vt:lpwstr>
  </property>
  <property fmtid="{D5CDD505-2E9C-101B-9397-08002B2CF9AE}" pid="4" name="Symbol1">
    <vt:lpwstr>A/HRC/RES/S-24/1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OS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22 December 2015</vt:lpwstr>
  </property>
  <property fmtid="{D5CDD505-2E9C-101B-9397-08002B2CF9AE}" pid="12" name="Original">
    <vt:lpwstr>English</vt:lpwstr>
  </property>
  <property fmtid="{D5CDD505-2E9C-101B-9397-08002B2CF9AE}" pid="13" name="Release Date">
    <vt:lpwstr>080116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3318500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