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2A" w:rsidRDefault="00FB1B2A" w:rsidP="00FB1B2A">
      <w:pPr>
        <w:jc w:val="center"/>
        <w:rPr>
          <w:rFonts w:ascii="Times New Roman" w:hAnsi="Times New Roman" w:cs="Times New Roman"/>
          <w:b/>
          <w:sz w:val="24"/>
          <w:lang w:val="en-AU"/>
        </w:rPr>
      </w:pPr>
      <w:r w:rsidRPr="00954A8C">
        <w:rPr>
          <w:rFonts w:ascii="Times New Roman" w:hAnsi="Times New Roman" w:cs="Times New Roman"/>
          <w:b/>
          <w:sz w:val="24"/>
          <w:lang w:val="en-AU"/>
        </w:rPr>
        <w:t>Human Rights Council: Open-ended intergovernmenta</w:t>
      </w:r>
      <w:r>
        <w:rPr>
          <w:rFonts w:ascii="Times New Roman" w:hAnsi="Times New Roman" w:cs="Times New Roman"/>
          <w:b/>
          <w:sz w:val="24"/>
          <w:lang w:val="en-AU"/>
        </w:rPr>
        <w:t xml:space="preserve">l working group to consider the </w:t>
      </w:r>
      <w:r w:rsidRPr="00954A8C">
        <w:rPr>
          <w:rFonts w:ascii="Times New Roman" w:hAnsi="Times New Roman" w:cs="Times New Roman"/>
          <w:b/>
          <w:sz w:val="24"/>
          <w:lang w:val="en-AU"/>
        </w:rPr>
        <w:t>possibility of elaborating an international regulatory framework on the regulation, monitoring and oversight of the activities of private military and security companies</w:t>
      </w:r>
    </w:p>
    <w:p w:rsidR="00FB1B2A" w:rsidRDefault="00FB1B2A" w:rsidP="00FB1B2A">
      <w:pPr>
        <w:pBdr>
          <w:bottom w:val="single" w:sz="6" w:space="1" w:color="auto"/>
        </w:pBdr>
        <w:jc w:val="center"/>
        <w:rPr>
          <w:rFonts w:ascii="Times New Roman" w:hAnsi="Times New Roman" w:cs="Times New Roman"/>
          <w:b/>
          <w:sz w:val="24"/>
          <w:lang w:val="en-AU"/>
        </w:rPr>
      </w:pPr>
    </w:p>
    <w:p w:rsidR="00FB1B2A" w:rsidRDefault="00FB1B2A" w:rsidP="00FB1B2A">
      <w:pPr>
        <w:jc w:val="center"/>
        <w:rPr>
          <w:rFonts w:ascii="Times New Roman" w:hAnsi="Times New Roman" w:cs="Times New Roman"/>
          <w:b/>
          <w:sz w:val="24"/>
          <w:lang w:val="en-AU"/>
        </w:rPr>
      </w:pPr>
    </w:p>
    <w:p w:rsidR="00FB1B2A" w:rsidRPr="00954A8C" w:rsidRDefault="00FB1B2A" w:rsidP="00FB1B2A">
      <w:pPr>
        <w:jc w:val="center"/>
        <w:rPr>
          <w:rFonts w:ascii="Times New Roman" w:hAnsi="Times New Roman" w:cs="Times New Roman"/>
          <w:b/>
          <w:sz w:val="24"/>
          <w:lang w:val="en-AU"/>
        </w:rPr>
      </w:pPr>
      <w:r>
        <w:rPr>
          <w:rFonts w:ascii="Times New Roman" w:hAnsi="Times New Roman" w:cs="Times New Roman"/>
          <w:b/>
          <w:sz w:val="24"/>
          <w:lang w:val="en-AU"/>
        </w:rPr>
        <w:t xml:space="preserve">Compilation of recommendations </w:t>
      </w:r>
      <w:r w:rsidR="003B1CB1">
        <w:rPr>
          <w:rFonts w:ascii="Times New Roman" w:hAnsi="Times New Roman" w:cs="Times New Roman"/>
          <w:b/>
          <w:sz w:val="24"/>
          <w:lang w:val="en-AU"/>
        </w:rPr>
        <w:t>from</w:t>
      </w:r>
      <w:r>
        <w:rPr>
          <w:rFonts w:ascii="Times New Roman" w:hAnsi="Times New Roman" w:cs="Times New Roman"/>
          <w:b/>
          <w:sz w:val="24"/>
          <w:lang w:val="en-AU"/>
        </w:rPr>
        <w:t xml:space="preserve"> five sessions </w:t>
      </w:r>
      <w:r w:rsidR="003B1CB1">
        <w:rPr>
          <w:rFonts w:ascii="Times New Roman" w:hAnsi="Times New Roman" w:cs="Times New Roman"/>
          <w:b/>
          <w:sz w:val="24"/>
          <w:lang w:val="en-AU"/>
        </w:rPr>
        <w:t>of the IGWG PMSCs</w:t>
      </w:r>
      <w:bookmarkStart w:id="0" w:name="_GoBack"/>
      <w:bookmarkEnd w:id="0"/>
    </w:p>
    <w:p w:rsidR="00417A4C" w:rsidRDefault="00417A4C" w:rsidP="00417A4C">
      <w:pPr>
        <w:pBdr>
          <w:bottom w:val="single" w:sz="6" w:space="1" w:color="auto"/>
        </w:pBdr>
        <w:rPr>
          <w:rFonts w:ascii="Times New Roman" w:hAnsi="Times New Roman" w:cs="Times New Roman"/>
          <w:sz w:val="24"/>
          <w:lang w:val="en-AU"/>
        </w:rPr>
      </w:pPr>
    </w:p>
    <w:p w:rsidR="00417A4C" w:rsidRPr="0033134E" w:rsidRDefault="00417A4C" w:rsidP="00417A4C">
      <w:pPr>
        <w:rPr>
          <w:rFonts w:ascii="Times New Roman" w:hAnsi="Times New Roman" w:cs="Times New Roman"/>
          <w:sz w:val="24"/>
          <w:lang w:val="en-AU"/>
        </w:rPr>
      </w:pPr>
    </w:p>
    <w:p w:rsidR="00417A4C" w:rsidRPr="0033134E" w:rsidRDefault="00417A4C" w:rsidP="00417A4C">
      <w:pPr>
        <w:jc w:val="center"/>
        <w:rPr>
          <w:rFonts w:ascii="Times New Roman" w:hAnsi="Times New Roman" w:cs="Times New Roman"/>
          <w:b/>
          <w:sz w:val="24"/>
          <w:lang w:val="en-AU"/>
        </w:rPr>
      </w:pPr>
      <w:r w:rsidRPr="0033134E">
        <w:rPr>
          <w:rFonts w:ascii="Times New Roman" w:hAnsi="Times New Roman" w:cs="Times New Roman"/>
          <w:b/>
          <w:sz w:val="24"/>
          <w:lang w:val="en-AU"/>
        </w:rPr>
        <w:t>First session: Geneva, 23-27 May 2011</w:t>
      </w:r>
    </w:p>
    <w:p w:rsidR="00417A4C" w:rsidRDefault="00417A4C" w:rsidP="00417A4C">
      <w:pPr>
        <w:jc w:val="center"/>
        <w:rPr>
          <w:rFonts w:ascii="Times New Roman" w:hAnsi="Times New Roman" w:cs="Times New Roman"/>
          <w:b/>
          <w:sz w:val="24"/>
          <w:lang w:val="en-AU"/>
        </w:rPr>
      </w:pPr>
      <w:r>
        <w:rPr>
          <w:rFonts w:ascii="Times New Roman" w:hAnsi="Times New Roman" w:cs="Times New Roman"/>
          <w:b/>
          <w:sz w:val="24"/>
          <w:lang w:val="en-AU"/>
        </w:rPr>
        <w:t>A/HRC/WG.10/1/CRP.2</w:t>
      </w:r>
    </w:p>
    <w:p w:rsidR="00417A4C" w:rsidRPr="00417A4C" w:rsidRDefault="00417A4C" w:rsidP="00417A4C">
      <w:pPr>
        <w:jc w:val="center"/>
        <w:rPr>
          <w:rFonts w:ascii="Times New Roman" w:hAnsi="Times New Roman" w:cs="Times New Roman"/>
          <w:b/>
          <w:sz w:val="24"/>
          <w:lang w:val="en-GB"/>
        </w:rPr>
      </w:pPr>
    </w:p>
    <w:tbl>
      <w:tblPr>
        <w:tblStyle w:val="TableGrid"/>
        <w:tblW w:w="11057" w:type="dxa"/>
        <w:tblInd w:w="-601" w:type="dxa"/>
        <w:tblLayout w:type="fixed"/>
        <w:tblLook w:val="04A0" w:firstRow="1" w:lastRow="0" w:firstColumn="1" w:lastColumn="0" w:noHBand="0" w:noVBand="1"/>
      </w:tblPr>
      <w:tblGrid>
        <w:gridCol w:w="1064"/>
        <w:gridCol w:w="8459"/>
        <w:gridCol w:w="1534"/>
      </w:tblGrid>
      <w:tr w:rsidR="00417A4C" w:rsidRPr="0033134E" w:rsidTr="00615921">
        <w:trPr>
          <w:trHeight w:val="144"/>
        </w:trPr>
        <w:tc>
          <w:tcPr>
            <w:tcW w:w="1064"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Paragraph</w:t>
            </w:r>
          </w:p>
        </w:tc>
        <w:tc>
          <w:tcPr>
            <w:tcW w:w="8459"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Quote</w:t>
            </w:r>
          </w:p>
        </w:tc>
        <w:tc>
          <w:tcPr>
            <w:tcW w:w="1534"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Pr>
                <w:rFonts w:ascii="Times New Roman" w:hAnsi="Times New Roman" w:cs="Times New Roman"/>
                <w:b/>
                <w:i/>
                <w:sz w:val="19"/>
                <w:szCs w:val="19"/>
                <w:lang w:val="en-AU"/>
              </w:rPr>
              <w:t>Comment</w:t>
            </w: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3</w:t>
            </w:r>
          </w:p>
        </w:tc>
        <w:tc>
          <w:tcPr>
            <w:tcW w:w="8459" w:type="dxa"/>
          </w:tcPr>
          <w:p w:rsidR="00417A4C" w:rsidRPr="0033134E" w:rsidRDefault="00417A4C" w:rsidP="00417A4C">
            <w:pPr>
              <w:pStyle w:val="NoSpacing"/>
              <w:numPr>
                <w:ilvl w:val="0"/>
                <w:numId w:val="1"/>
              </w:numPr>
              <w:rPr>
                <w:rFonts w:ascii="Times New Roman" w:hAnsi="Times New Roman" w:cs="Times New Roman"/>
                <w:lang w:val="en-AU"/>
              </w:rPr>
            </w:pPr>
            <w:r w:rsidRPr="0033134E">
              <w:rPr>
                <w:rFonts w:ascii="Times New Roman" w:hAnsi="Times New Roman" w:cs="Times New Roman"/>
                <w:lang w:val="en-AU"/>
              </w:rPr>
              <w:t xml:space="preserve">“Ensure that the rights of individuals are not negatively impacted upon by the activities carried out by such private military and security companies”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16</w:t>
            </w:r>
          </w:p>
        </w:tc>
        <w:tc>
          <w:tcPr>
            <w:tcW w:w="8459" w:type="dxa"/>
          </w:tcPr>
          <w:p w:rsidR="00417A4C" w:rsidRPr="0033134E" w:rsidRDefault="00417A4C" w:rsidP="00417A4C">
            <w:pPr>
              <w:pStyle w:val="NoSpacing"/>
              <w:numPr>
                <w:ilvl w:val="0"/>
                <w:numId w:val="1"/>
              </w:numPr>
              <w:rPr>
                <w:rFonts w:ascii="Times New Roman" w:hAnsi="Times New Roman" w:cs="Times New Roman"/>
                <w:lang w:val="en-AU"/>
              </w:rPr>
            </w:pPr>
            <w:r w:rsidRPr="0033134E">
              <w:rPr>
                <w:rFonts w:ascii="Times New Roman" w:hAnsi="Times New Roman" w:cs="Times New Roman"/>
                <w:lang w:val="en-AU"/>
              </w:rPr>
              <w:t>“Clearly define the term private military and security companies”</w:t>
            </w:r>
          </w:p>
          <w:p w:rsidR="00417A4C" w:rsidRPr="0033134E" w:rsidRDefault="00417A4C" w:rsidP="00417A4C">
            <w:pPr>
              <w:pStyle w:val="NoSpacing"/>
              <w:numPr>
                <w:ilvl w:val="0"/>
                <w:numId w:val="1"/>
              </w:numPr>
              <w:rPr>
                <w:rFonts w:ascii="Times New Roman" w:hAnsi="Times New Roman" w:cs="Times New Roman"/>
                <w:lang w:val="en-AU"/>
              </w:rPr>
            </w:pPr>
            <w:r w:rsidRPr="0033134E">
              <w:rPr>
                <w:rFonts w:ascii="Times New Roman" w:hAnsi="Times New Roman" w:cs="Times New Roman"/>
                <w:lang w:val="en-AU"/>
              </w:rPr>
              <w:t xml:space="preserve">“Distinguish between private military companies and private security companies” </w:t>
            </w:r>
          </w:p>
          <w:p w:rsidR="00417A4C" w:rsidRPr="0033134E" w:rsidRDefault="00417A4C" w:rsidP="00417A4C">
            <w:pPr>
              <w:pStyle w:val="NoSpacing"/>
              <w:numPr>
                <w:ilvl w:val="0"/>
                <w:numId w:val="1"/>
              </w:numPr>
              <w:rPr>
                <w:rFonts w:ascii="Times New Roman" w:hAnsi="Times New Roman" w:cs="Times New Roman"/>
                <w:lang w:val="en-AU"/>
              </w:rPr>
            </w:pPr>
            <w:r w:rsidRPr="0033134E">
              <w:rPr>
                <w:rFonts w:ascii="Times New Roman" w:hAnsi="Times New Roman" w:cs="Times New Roman"/>
                <w:lang w:val="en-AU"/>
              </w:rPr>
              <w:t xml:space="preserve">“Difference should be made between transnational and domestic PMSCs”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E73563" w:rsidRDefault="00417A4C" w:rsidP="00615921">
            <w:pPr>
              <w:pStyle w:val="NoSpacing"/>
              <w:spacing w:line="276" w:lineRule="auto"/>
              <w:jc w:val="right"/>
              <w:rPr>
                <w:rFonts w:ascii="Times New Roman" w:hAnsi="Times New Roman" w:cs="Times New Roman"/>
                <w:b/>
                <w:lang w:val="en-AU"/>
              </w:rPr>
            </w:pPr>
            <w:r w:rsidRPr="00E73563">
              <w:rPr>
                <w:rFonts w:ascii="Times New Roman" w:hAnsi="Times New Roman" w:cs="Times New Roman"/>
                <w:b/>
                <w:lang w:val="en-AU"/>
              </w:rPr>
              <w:t>21</w:t>
            </w:r>
          </w:p>
        </w:tc>
        <w:tc>
          <w:tcPr>
            <w:tcW w:w="8459" w:type="dxa"/>
          </w:tcPr>
          <w:p w:rsidR="00417A4C" w:rsidRPr="00E73563" w:rsidRDefault="00417A4C" w:rsidP="00417A4C">
            <w:pPr>
              <w:pStyle w:val="NoSpacing"/>
              <w:numPr>
                <w:ilvl w:val="0"/>
                <w:numId w:val="2"/>
              </w:numPr>
              <w:rPr>
                <w:rFonts w:ascii="Times New Roman" w:hAnsi="Times New Roman" w:cs="Times New Roman"/>
                <w:lang w:val="en-AU"/>
              </w:rPr>
            </w:pPr>
            <w:r w:rsidRPr="00E73563">
              <w:rPr>
                <w:rFonts w:ascii="Times New Roman" w:hAnsi="Times New Roman" w:cs="Times New Roman"/>
                <w:lang w:val="en-AU"/>
              </w:rPr>
              <w:t xml:space="preserve">“As clients, States can include the standards of the Code of Conduct in their contracts with PSCs, whereas as regulators, they can implement procedures and policies so that PSCs in their jurisdiction have to comply with the standards required by the Code of Conduct” </w:t>
            </w:r>
          </w:p>
          <w:p w:rsidR="00417A4C" w:rsidRPr="00E73563" w:rsidRDefault="00417A4C" w:rsidP="00615921">
            <w:pPr>
              <w:pStyle w:val="NoSpacing"/>
              <w:rPr>
                <w:rFonts w:ascii="Times New Roman" w:hAnsi="Times New Roman" w:cs="Times New Roman"/>
                <w:lang w:val="en-AU"/>
              </w:rPr>
            </w:pP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23</w:t>
            </w:r>
          </w:p>
        </w:tc>
        <w:tc>
          <w:tcPr>
            <w:tcW w:w="8459" w:type="dxa"/>
          </w:tcPr>
          <w:p w:rsidR="00417A4C" w:rsidRPr="0033134E" w:rsidRDefault="00417A4C" w:rsidP="00417A4C">
            <w:pPr>
              <w:pStyle w:val="NoSpacing"/>
              <w:numPr>
                <w:ilvl w:val="0"/>
                <w:numId w:val="2"/>
              </w:numPr>
              <w:rPr>
                <w:rFonts w:ascii="Times New Roman" w:hAnsi="Times New Roman" w:cs="Times New Roman"/>
                <w:lang w:val="en-AU"/>
              </w:rPr>
            </w:pPr>
            <w:r w:rsidRPr="0033134E">
              <w:rPr>
                <w:rFonts w:ascii="Times New Roman" w:hAnsi="Times New Roman" w:cs="Times New Roman"/>
                <w:lang w:val="en-AU"/>
              </w:rPr>
              <w:t xml:space="preserve">“Those mechanisms should be established by the business enterprises themselves to provide early on for avenues for remedy” </w:t>
            </w:r>
            <w:r>
              <w:rPr>
                <w:rFonts w:ascii="Times New Roman" w:hAnsi="Times New Roman" w:cs="Times New Roman"/>
                <w:lang w:val="en-AU"/>
              </w:rPr>
              <w:t>[</w:t>
            </w:r>
            <w:r w:rsidRPr="0033134E">
              <w:rPr>
                <w:rFonts w:ascii="Times New Roman" w:hAnsi="Times New Roman" w:cs="Times New Roman"/>
                <w:lang w:val="en-AU"/>
              </w:rPr>
              <w:t>referring to the “grievance mechanisms”</w:t>
            </w:r>
            <w:r>
              <w:rPr>
                <w:rFonts w:ascii="Times New Roman" w:hAnsi="Times New Roman" w:cs="Times New Roman"/>
                <w:lang w:val="en-AU"/>
              </w:rPr>
              <w:t>]</w:t>
            </w:r>
          </w:p>
          <w:p w:rsidR="00417A4C" w:rsidRPr="0033134E" w:rsidRDefault="00417A4C" w:rsidP="00417A4C">
            <w:pPr>
              <w:pStyle w:val="NoSpacing"/>
              <w:numPr>
                <w:ilvl w:val="0"/>
                <w:numId w:val="2"/>
              </w:numPr>
              <w:rPr>
                <w:rFonts w:ascii="Times New Roman" w:hAnsi="Times New Roman" w:cs="Times New Roman"/>
                <w:lang w:val="en-AU"/>
              </w:rPr>
            </w:pPr>
            <w:r w:rsidRPr="0033134E">
              <w:rPr>
                <w:rFonts w:ascii="Times New Roman" w:hAnsi="Times New Roman" w:cs="Times New Roman"/>
                <w:lang w:val="en-AU"/>
              </w:rPr>
              <w:t xml:space="preserve">“These grievance mechanisms should not replace domestic judicial avenues, but should constitute a complementary instrument” </w:t>
            </w:r>
          </w:p>
          <w:p w:rsidR="00417A4C" w:rsidRPr="0033134E" w:rsidRDefault="00417A4C" w:rsidP="00417A4C">
            <w:pPr>
              <w:pStyle w:val="NoSpacing"/>
              <w:numPr>
                <w:ilvl w:val="0"/>
                <w:numId w:val="2"/>
              </w:numPr>
              <w:rPr>
                <w:rFonts w:ascii="Times New Roman" w:hAnsi="Times New Roman" w:cs="Times New Roman"/>
                <w:lang w:val="en-AU"/>
              </w:rPr>
            </w:pPr>
            <w:r w:rsidRPr="0033134E">
              <w:rPr>
                <w:rFonts w:ascii="Times New Roman" w:hAnsi="Times New Roman" w:cs="Times New Roman"/>
                <w:lang w:val="en-AU"/>
              </w:rPr>
              <w:t xml:space="preserve">“Business enterprises, including PMSCs, acting in situations of conflict must adhere to a higher threshold of due diligence as the risk of gross human rights abuses is heightened in conflict-affected areas” </w:t>
            </w:r>
          </w:p>
          <w:p w:rsidR="00417A4C" w:rsidRPr="0033134E" w:rsidRDefault="00417A4C" w:rsidP="00417A4C">
            <w:pPr>
              <w:pStyle w:val="NoSpacing"/>
              <w:numPr>
                <w:ilvl w:val="0"/>
                <w:numId w:val="2"/>
              </w:numPr>
              <w:rPr>
                <w:rFonts w:ascii="Times New Roman" w:hAnsi="Times New Roman" w:cs="Times New Roman"/>
                <w:lang w:val="en-AU"/>
              </w:rPr>
            </w:pPr>
            <w:r w:rsidRPr="0033134E">
              <w:rPr>
                <w:rFonts w:ascii="Times New Roman" w:hAnsi="Times New Roman" w:cs="Times New Roman"/>
                <w:lang w:val="en-AU"/>
              </w:rPr>
              <w:t xml:space="preserve">“Business enterprises should respect human rights standards” </w:t>
            </w:r>
          </w:p>
          <w:p w:rsidR="00417A4C" w:rsidRPr="0033134E" w:rsidRDefault="00417A4C" w:rsidP="00417A4C">
            <w:pPr>
              <w:pStyle w:val="NoSpacing"/>
              <w:numPr>
                <w:ilvl w:val="0"/>
                <w:numId w:val="2"/>
              </w:numPr>
              <w:rPr>
                <w:rFonts w:ascii="Times New Roman" w:hAnsi="Times New Roman" w:cs="Times New Roman"/>
                <w:lang w:val="en-AU"/>
              </w:rPr>
            </w:pPr>
            <w:r w:rsidRPr="0033134E">
              <w:rPr>
                <w:rFonts w:ascii="Times New Roman" w:hAnsi="Times New Roman" w:cs="Times New Roman"/>
                <w:lang w:val="en-AU"/>
              </w:rPr>
              <w:t xml:space="preserve">“States are obliged to protect human rights standards and should therefore provide business enterprises with relevant guidance”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r w:rsidRPr="003F4914">
              <w:rPr>
                <w:rFonts w:ascii="Times New Roman" w:hAnsi="Times New Roman" w:cs="Times New Roman"/>
                <w:i/>
                <w:sz w:val="22"/>
                <w:szCs w:val="22"/>
                <w:lang w:val="en-AU"/>
              </w:rPr>
              <w:t xml:space="preserve"> </w:t>
            </w:r>
          </w:p>
        </w:tc>
      </w:tr>
      <w:tr w:rsidR="00417A4C" w:rsidRPr="003B1CB1" w:rsidTr="00615921">
        <w:trPr>
          <w:trHeight w:val="144"/>
        </w:trPr>
        <w:tc>
          <w:tcPr>
            <w:tcW w:w="1064" w:type="dxa"/>
          </w:tcPr>
          <w:p w:rsidR="00417A4C" w:rsidRPr="00E73563" w:rsidRDefault="00417A4C" w:rsidP="00615921">
            <w:pPr>
              <w:pStyle w:val="NoSpacing"/>
              <w:spacing w:line="276" w:lineRule="auto"/>
              <w:jc w:val="right"/>
              <w:rPr>
                <w:rFonts w:ascii="Times New Roman" w:hAnsi="Times New Roman" w:cs="Times New Roman"/>
                <w:b/>
                <w:lang w:val="en-AU"/>
              </w:rPr>
            </w:pPr>
            <w:r w:rsidRPr="00E73563">
              <w:rPr>
                <w:rFonts w:ascii="Times New Roman" w:hAnsi="Times New Roman" w:cs="Times New Roman"/>
                <w:b/>
                <w:lang w:val="en-AU"/>
              </w:rPr>
              <w:t>27</w:t>
            </w:r>
          </w:p>
        </w:tc>
        <w:tc>
          <w:tcPr>
            <w:tcW w:w="8459" w:type="dxa"/>
          </w:tcPr>
          <w:p w:rsidR="00417A4C" w:rsidRPr="00E73563" w:rsidRDefault="00417A4C" w:rsidP="00417A4C">
            <w:pPr>
              <w:pStyle w:val="NoSpacing"/>
              <w:numPr>
                <w:ilvl w:val="0"/>
                <w:numId w:val="3"/>
              </w:numPr>
              <w:rPr>
                <w:rFonts w:ascii="Times New Roman" w:hAnsi="Times New Roman" w:cs="Times New Roman"/>
                <w:lang w:val="en-AU"/>
              </w:rPr>
            </w:pPr>
            <w:r w:rsidRPr="00E73563">
              <w:rPr>
                <w:rFonts w:ascii="Times New Roman" w:hAnsi="Times New Roman" w:cs="Times New Roman"/>
                <w:lang w:val="en-AU"/>
              </w:rPr>
              <w:t xml:space="preserve">“The mechanism of an independent ombudsman operating in the corporate world to enforce the Code of Conduct could be an efficient solution” </w:t>
            </w:r>
          </w:p>
          <w:p w:rsidR="00417A4C" w:rsidRPr="00E73563"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30</w:t>
            </w:r>
          </w:p>
        </w:tc>
        <w:tc>
          <w:tcPr>
            <w:tcW w:w="8459" w:type="dxa"/>
          </w:tcPr>
          <w:p w:rsidR="00417A4C" w:rsidRPr="0033134E" w:rsidRDefault="00417A4C" w:rsidP="00417A4C">
            <w:pPr>
              <w:pStyle w:val="NoSpacing"/>
              <w:numPr>
                <w:ilvl w:val="0"/>
                <w:numId w:val="3"/>
              </w:numPr>
              <w:rPr>
                <w:rFonts w:ascii="Times New Roman" w:hAnsi="Times New Roman" w:cs="Times New Roman"/>
                <w:lang w:val="en-AU"/>
              </w:rPr>
            </w:pPr>
            <w:r w:rsidRPr="0033134E">
              <w:rPr>
                <w:rFonts w:ascii="Times New Roman" w:hAnsi="Times New Roman" w:cs="Times New Roman"/>
                <w:lang w:val="en-AU"/>
              </w:rPr>
              <w:t xml:space="preserve">“The Guiding Principles should be implemented by all relevant stakeholders”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34</w:t>
            </w:r>
          </w:p>
        </w:tc>
        <w:tc>
          <w:tcPr>
            <w:tcW w:w="8459" w:type="dxa"/>
          </w:tcPr>
          <w:p w:rsidR="00417A4C" w:rsidRPr="0033134E" w:rsidRDefault="00417A4C" w:rsidP="00417A4C">
            <w:pPr>
              <w:pStyle w:val="NoSpacing"/>
              <w:numPr>
                <w:ilvl w:val="0"/>
                <w:numId w:val="3"/>
              </w:numPr>
              <w:rPr>
                <w:rFonts w:ascii="Times New Roman" w:hAnsi="Times New Roman" w:cs="Times New Roman"/>
                <w:lang w:val="en-AU"/>
              </w:rPr>
            </w:pPr>
            <w:r w:rsidRPr="0033134E">
              <w:rPr>
                <w:rFonts w:ascii="Times New Roman" w:hAnsi="Times New Roman" w:cs="Times New Roman"/>
                <w:lang w:val="en-AU"/>
              </w:rPr>
              <w:t xml:space="preserve">“The use of firearms should be in accordance with the law and should previously be authorized by the relevant government authority”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35</w:t>
            </w:r>
          </w:p>
        </w:tc>
        <w:tc>
          <w:tcPr>
            <w:tcW w:w="8459" w:type="dxa"/>
          </w:tcPr>
          <w:p w:rsidR="00417A4C" w:rsidRPr="0033134E" w:rsidRDefault="00417A4C" w:rsidP="00417A4C">
            <w:pPr>
              <w:pStyle w:val="NoSpacing"/>
              <w:numPr>
                <w:ilvl w:val="0"/>
                <w:numId w:val="3"/>
              </w:numPr>
              <w:rPr>
                <w:rFonts w:ascii="Times New Roman" w:hAnsi="Times New Roman" w:cs="Times New Roman"/>
                <w:lang w:val="en-AU"/>
              </w:rPr>
            </w:pPr>
            <w:r w:rsidRPr="0033134E">
              <w:rPr>
                <w:rFonts w:ascii="Times New Roman" w:hAnsi="Times New Roman" w:cs="Times New Roman"/>
                <w:lang w:val="en-AU"/>
              </w:rPr>
              <w:t xml:space="preserve">“These companies should inform the government in advance of their activities abroad and that such activities should be carried out in strict compliance with the national constitution and the law, and in accordance with the principle of neutrality” </w:t>
            </w: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4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36</w:t>
            </w:r>
          </w:p>
        </w:tc>
        <w:tc>
          <w:tcPr>
            <w:tcW w:w="8459" w:type="dxa"/>
          </w:tcPr>
          <w:p w:rsidR="00417A4C" w:rsidRPr="0033134E" w:rsidRDefault="00417A4C" w:rsidP="00417A4C">
            <w:pPr>
              <w:pStyle w:val="NoSpacing"/>
              <w:numPr>
                <w:ilvl w:val="0"/>
                <w:numId w:val="3"/>
              </w:numPr>
              <w:rPr>
                <w:rFonts w:ascii="Times New Roman" w:hAnsi="Times New Roman" w:cs="Times New Roman"/>
                <w:lang w:val="en-AU"/>
              </w:rPr>
            </w:pPr>
            <w:r w:rsidRPr="0033134E">
              <w:rPr>
                <w:rFonts w:ascii="Times New Roman" w:hAnsi="Times New Roman" w:cs="Times New Roman"/>
                <w:lang w:val="en-AU"/>
              </w:rPr>
              <w:t xml:space="preserve">“As a home State for a number of PMSCs, it imposes strict export licencing requirements that cover a range of activities” </w:t>
            </w:r>
          </w:p>
          <w:p w:rsidR="00417A4C" w:rsidRPr="00FB1B2A" w:rsidRDefault="00417A4C" w:rsidP="00615921">
            <w:pPr>
              <w:pStyle w:val="NoSpacing"/>
              <w:numPr>
                <w:ilvl w:val="0"/>
                <w:numId w:val="3"/>
              </w:numPr>
              <w:rPr>
                <w:rFonts w:ascii="Times New Roman" w:hAnsi="Times New Roman" w:cs="Times New Roman"/>
                <w:lang w:val="en-AU"/>
              </w:rPr>
            </w:pPr>
            <w:r w:rsidRPr="0033134E">
              <w:rPr>
                <w:rFonts w:ascii="Times New Roman" w:hAnsi="Times New Roman" w:cs="Times New Roman"/>
                <w:lang w:val="en-AU"/>
              </w:rPr>
              <w:t xml:space="preserve">“Oversight mechanisms within a government when interacting with its own contractors” </w:t>
            </w: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701"/>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lastRenderedPageBreak/>
              <w:t>37</w:t>
            </w:r>
          </w:p>
        </w:tc>
        <w:tc>
          <w:tcPr>
            <w:tcW w:w="8459" w:type="dxa"/>
          </w:tcPr>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“Not allow for the possibility of establishing private military companies on its territory”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3311"/>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40</w:t>
            </w:r>
          </w:p>
        </w:tc>
        <w:tc>
          <w:tcPr>
            <w:tcW w:w="8459" w:type="dxa"/>
          </w:tcPr>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“States should establish a system of registration for PMSCs that is separate from regular businesses” </w:t>
            </w:r>
          </w:p>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“They should prohibit the registration of PMSCs in off-shore zones” </w:t>
            </w:r>
          </w:p>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“Creation of a reporting obligation for States concerning the main State contracts with PMSCs, as well as information on registration and licensing” </w:t>
            </w:r>
          </w:p>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“PMSCs can only employ legitimate ways of acquiring, importing and transporting weapons” </w:t>
            </w:r>
          </w:p>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“Limitations on the use of force and the use of weapons by PMSCs” </w:t>
            </w:r>
          </w:p>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“Provide appropriate training in international humanitarian law and in international human rights law, as well as in the national law of a country of operation” </w:t>
            </w:r>
          </w:p>
          <w:p w:rsidR="00417A4C" w:rsidRPr="0033134E" w:rsidRDefault="00417A4C" w:rsidP="00417A4C">
            <w:pPr>
              <w:pStyle w:val="NoSpacing"/>
              <w:numPr>
                <w:ilvl w:val="0"/>
                <w:numId w:val="4"/>
              </w:numPr>
              <w:rPr>
                <w:rFonts w:ascii="Times New Roman" w:hAnsi="Times New Roman" w:cs="Times New Roman"/>
                <w:lang w:val="en-AU"/>
              </w:rPr>
            </w:pPr>
            <w:r w:rsidRPr="0033134E">
              <w:rPr>
                <w:rFonts w:ascii="Times New Roman" w:hAnsi="Times New Roman" w:cs="Times New Roman"/>
                <w:lang w:val="en-AU"/>
              </w:rPr>
              <w:t xml:space="preserve">“From each State to define legislatively military and security functions which are in principle not subject to outsourcing”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661"/>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42</w:t>
            </w:r>
          </w:p>
        </w:tc>
        <w:tc>
          <w:tcPr>
            <w:tcW w:w="8459" w:type="dxa"/>
          </w:tcPr>
          <w:p w:rsidR="00417A4C" w:rsidRPr="0033134E" w:rsidRDefault="00417A4C" w:rsidP="00417A4C">
            <w:pPr>
              <w:pStyle w:val="NoSpacing"/>
              <w:numPr>
                <w:ilvl w:val="0"/>
                <w:numId w:val="5"/>
              </w:numPr>
              <w:rPr>
                <w:rFonts w:ascii="Times New Roman" w:hAnsi="Times New Roman" w:cs="Times New Roman"/>
                <w:lang w:val="en-AU"/>
              </w:rPr>
            </w:pPr>
            <w:r w:rsidRPr="0033134E">
              <w:rPr>
                <w:rFonts w:ascii="Times New Roman" w:hAnsi="Times New Roman" w:cs="Times New Roman"/>
                <w:lang w:val="en-AU"/>
              </w:rPr>
              <w:t xml:space="preserve">“Clarify how existing law covers PMSCs, as well as to identify potential gaps and possible avenues to close those gaps”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124"/>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44</w:t>
            </w:r>
          </w:p>
        </w:tc>
        <w:tc>
          <w:tcPr>
            <w:tcW w:w="8459" w:type="dxa"/>
          </w:tcPr>
          <w:p w:rsidR="00417A4C" w:rsidRPr="0033134E" w:rsidRDefault="00417A4C" w:rsidP="00417A4C">
            <w:pPr>
              <w:pStyle w:val="NoSpacing"/>
              <w:numPr>
                <w:ilvl w:val="0"/>
                <w:numId w:val="5"/>
              </w:numPr>
              <w:rPr>
                <w:rFonts w:ascii="Times New Roman" w:hAnsi="Times New Roman" w:cs="Times New Roman"/>
                <w:lang w:val="en-AU"/>
              </w:rPr>
            </w:pPr>
            <w:r w:rsidRPr="0033134E">
              <w:rPr>
                <w:rFonts w:ascii="Times New Roman" w:hAnsi="Times New Roman" w:cs="Times New Roman"/>
                <w:lang w:val="en-AU"/>
              </w:rPr>
              <w:t xml:space="preserve">“The rights of the victims should be at the core of any regulatory framework” </w:t>
            </w:r>
          </w:p>
          <w:p w:rsidR="00417A4C" w:rsidRPr="0033134E" w:rsidRDefault="00417A4C" w:rsidP="00417A4C">
            <w:pPr>
              <w:pStyle w:val="NoSpacing"/>
              <w:numPr>
                <w:ilvl w:val="0"/>
                <w:numId w:val="5"/>
              </w:numPr>
              <w:rPr>
                <w:rFonts w:ascii="Times New Roman" w:hAnsi="Times New Roman" w:cs="Times New Roman"/>
                <w:lang w:val="en-AU"/>
              </w:rPr>
            </w:pPr>
            <w:r w:rsidRPr="0033134E">
              <w:rPr>
                <w:rFonts w:ascii="Times New Roman" w:hAnsi="Times New Roman" w:cs="Times New Roman"/>
                <w:lang w:val="en-AU"/>
              </w:rPr>
              <w:t xml:space="preserve">“The elements contained in the draft convention as proposed by the Working Group on the use of mercenaries are crucial for a possible regulation of PMSCs and should therefore be further considered”   </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375"/>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47</w:t>
            </w:r>
          </w:p>
        </w:tc>
        <w:tc>
          <w:tcPr>
            <w:tcW w:w="8459" w:type="dxa"/>
          </w:tcPr>
          <w:p w:rsidR="00417A4C" w:rsidRDefault="00417A4C" w:rsidP="00417A4C">
            <w:pPr>
              <w:pStyle w:val="NoSpacing"/>
              <w:numPr>
                <w:ilvl w:val="0"/>
                <w:numId w:val="6"/>
              </w:numPr>
              <w:rPr>
                <w:rFonts w:ascii="Times New Roman" w:hAnsi="Times New Roman" w:cs="Times New Roman"/>
                <w:lang w:val="en-AU"/>
              </w:rPr>
            </w:pPr>
            <w:r w:rsidRPr="0033134E">
              <w:rPr>
                <w:rFonts w:ascii="Times New Roman" w:hAnsi="Times New Roman" w:cs="Times New Roman"/>
                <w:lang w:val="en-AU"/>
              </w:rPr>
              <w:t>“States should also provide remedies for victims, more particularly with regard to criminal, civil and/or administrative offences, liability of legal persons and entities</w:t>
            </w:r>
            <w:r>
              <w:rPr>
                <w:rFonts w:ascii="Times New Roman" w:hAnsi="Times New Roman" w:cs="Times New Roman"/>
                <w:lang w:val="en-AU"/>
              </w:rPr>
              <w:t>; should prosecute or extradite alleged offenders; should transfer criminal proceedings; and should notify the outcome of proceedings to victims”</w:t>
            </w:r>
          </w:p>
          <w:p w:rsidR="00417A4C" w:rsidRPr="00B127AA" w:rsidRDefault="00417A4C" w:rsidP="00615921">
            <w:pPr>
              <w:pStyle w:val="NoSpacing"/>
              <w:rPr>
                <w:rFonts w:ascii="Times New Roman" w:hAnsi="Times New Roman" w:cs="Times New Roman"/>
                <w:lang w:val="en-AU"/>
              </w:rPr>
            </w:pP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3311"/>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48</w:t>
            </w:r>
          </w:p>
        </w:tc>
        <w:tc>
          <w:tcPr>
            <w:tcW w:w="8459" w:type="dxa"/>
          </w:tcPr>
          <w:p w:rsidR="00417A4C" w:rsidRPr="0033134E" w:rsidRDefault="00417A4C" w:rsidP="00417A4C">
            <w:pPr>
              <w:pStyle w:val="NoSpacing"/>
              <w:numPr>
                <w:ilvl w:val="0"/>
                <w:numId w:val="7"/>
              </w:numPr>
              <w:rPr>
                <w:rFonts w:ascii="Times New Roman" w:hAnsi="Times New Roman" w:cs="Times New Roman"/>
                <w:lang w:val="en-AU"/>
              </w:rPr>
            </w:pPr>
            <w:r w:rsidRPr="0033134E">
              <w:rPr>
                <w:rFonts w:ascii="Times New Roman" w:hAnsi="Times New Roman" w:cs="Times New Roman"/>
                <w:lang w:val="en-AU"/>
              </w:rPr>
              <w:t xml:space="preserve">“Include in new human rights instruments relevant parts on compensation and reparation for the victims of serious violations of human rights” </w:t>
            </w:r>
          </w:p>
          <w:p w:rsidR="00417A4C" w:rsidRPr="0033134E" w:rsidRDefault="00417A4C" w:rsidP="00417A4C">
            <w:pPr>
              <w:pStyle w:val="NoSpacing"/>
              <w:numPr>
                <w:ilvl w:val="0"/>
                <w:numId w:val="7"/>
              </w:numPr>
              <w:rPr>
                <w:rFonts w:ascii="Times New Roman" w:hAnsi="Times New Roman" w:cs="Times New Roman"/>
                <w:lang w:val="en-AU"/>
              </w:rPr>
            </w:pPr>
            <w:r w:rsidRPr="0033134E">
              <w:rPr>
                <w:rFonts w:ascii="Times New Roman" w:hAnsi="Times New Roman" w:cs="Times New Roman"/>
                <w:lang w:val="en-AU"/>
              </w:rPr>
              <w:t xml:space="preserve">“Suggested human rights treaty bodies to include in their work the monitoring of these aspects” </w:t>
            </w:r>
          </w:p>
          <w:p w:rsidR="007B5321" w:rsidRPr="0033134E" w:rsidRDefault="007B5321" w:rsidP="007B5321">
            <w:pPr>
              <w:pStyle w:val="NoSpacing"/>
              <w:numPr>
                <w:ilvl w:val="0"/>
                <w:numId w:val="7"/>
              </w:numPr>
              <w:rPr>
                <w:rFonts w:ascii="Times New Roman" w:hAnsi="Times New Roman" w:cs="Times New Roman"/>
                <w:lang w:val="en-AU"/>
              </w:rPr>
            </w:pPr>
            <w:r w:rsidRPr="0033134E">
              <w:rPr>
                <w:rFonts w:ascii="Times New Roman" w:hAnsi="Times New Roman" w:cs="Times New Roman"/>
                <w:lang w:val="en-AU"/>
              </w:rPr>
              <w:t>“</w:t>
            </w:r>
            <w:r>
              <w:rPr>
                <w:rFonts w:ascii="Times New Roman" w:hAnsi="Times New Roman" w:cs="Times New Roman"/>
                <w:lang w:val="en-AU"/>
              </w:rPr>
              <w:t>T</w:t>
            </w:r>
            <w:r w:rsidRPr="0033134E">
              <w:rPr>
                <w:rFonts w:ascii="Times New Roman" w:hAnsi="Times New Roman" w:cs="Times New Roman"/>
                <w:lang w:val="en-AU"/>
              </w:rPr>
              <w:t xml:space="preserve">o take measures not only to hold accountable personnel of PMSCs for their acts, but to provide </w:t>
            </w:r>
            <w:r>
              <w:rPr>
                <w:rFonts w:ascii="Times New Roman" w:hAnsi="Times New Roman" w:cs="Times New Roman"/>
                <w:lang w:val="en-AU"/>
              </w:rPr>
              <w:t>effective remedies for victims</w:t>
            </w:r>
            <w:r w:rsidRPr="0033134E">
              <w:rPr>
                <w:rFonts w:ascii="Times New Roman" w:hAnsi="Times New Roman" w:cs="Times New Roman"/>
                <w:lang w:val="en-AU"/>
              </w:rPr>
              <w:t xml:space="preserve">” </w:t>
            </w:r>
            <w:r>
              <w:rPr>
                <w:rFonts w:ascii="Times New Roman" w:hAnsi="Times New Roman" w:cs="Times New Roman"/>
                <w:lang w:val="en-AU"/>
              </w:rPr>
              <w:t>[</w:t>
            </w:r>
            <w:r w:rsidRPr="0033134E">
              <w:rPr>
                <w:rFonts w:ascii="Times New Roman" w:hAnsi="Times New Roman" w:cs="Times New Roman"/>
                <w:lang w:val="en-AU"/>
              </w:rPr>
              <w:t xml:space="preserve">referring to </w:t>
            </w:r>
            <w:r>
              <w:rPr>
                <w:rFonts w:ascii="Times New Roman" w:hAnsi="Times New Roman" w:cs="Times New Roman"/>
                <w:lang w:val="en-AU"/>
              </w:rPr>
              <w:t>States]</w:t>
            </w:r>
          </w:p>
          <w:p w:rsidR="00417A4C" w:rsidRPr="0033134E" w:rsidRDefault="007B5321" w:rsidP="007B5321">
            <w:pPr>
              <w:pStyle w:val="NoSpacing"/>
              <w:numPr>
                <w:ilvl w:val="0"/>
                <w:numId w:val="7"/>
              </w:numPr>
              <w:rPr>
                <w:rFonts w:ascii="Times New Roman" w:hAnsi="Times New Roman" w:cs="Times New Roman"/>
                <w:lang w:val="en-AU"/>
              </w:rPr>
            </w:pPr>
            <w:r w:rsidRPr="0033134E">
              <w:rPr>
                <w:rFonts w:ascii="Times New Roman" w:hAnsi="Times New Roman" w:cs="Times New Roman"/>
                <w:lang w:val="en-AU"/>
              </w:rPr>
              <w:t xml:space="preserve"> </w:t>
            </w:r>
            <w:r w:rsidR="00417A4C" w:rsidRPr="0033134E">
              <w:rPr>
                <w:rFonts w:ascii="Times New Roman" w:hAnsi="Times New Roman" w:cs="Times New Roman"/>
                <w:lang w:val="en-AU"/>
              </w:rPr>
              <w:t xml:space="preserve">“Compensation must meet the needs of the victims, must be proportional to the damage caused, must include rehabilitation, reconciliation elements and should provide guarantees of non-repetition” </w:t>
            </w:r>
          </w:p>
          <w:p w:rsidR="00417A4C" w:rsidRPr="003F4914" w:rsidRDefault="00417A4C" w:rsidP="00417A4C">
            <w:pPr>
              <w:pStyle w:val="NoSpacing"/>
              <w:numPr>
                <w:ilvl w:val="0"/>
                <w:numId w:val="7"/>
              </w:numPr>
              <w:rPr>
                <w:rFonts w:ascii="Times New Roman" w:hAnsi="Times New Roman" w:cs="Times New Roman"/>
                <w:lang w:val="en-AU"/>
              </w:rPr>
            </w:pPr>
            <w:r w:rsidRPr="0033134E">
              <w:rPr>
                <w:rFonts w:ascii="Times New Roman" w:hAnsi="Times New Roman" w:cs="Times New Roman"/>
                <w:lang w:val="en-AU"/>
              </w:rPr>
              <w:t xml:space="preserve">“PMSCs are also affected by human rights violations, in which case the contractors would need to be provided with appropriate legal ways to ensure justice and to get compensated for their losses” </w:t>
            </w:r>
          </w:p>
        </w:tc>
        <w:tc>
          <w:tcPr>
            <w:tcW w:w="1534" w:type="dxa"/>
          </w:tcPr>
          <w:p w:rsidR="00417A4C" w:rsidRPr="003F4914" w:rsidRDefault="00417A4C" w:rsidP="00417A4C">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1388"/>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51</w:t>
            </w:r>
          </w:p>
        </w:tc>
        <w:tc>
          <w:tcPr>
            <w:tcW w:w="8459" w:type="dxa"/>
          </w:tcPr>
          <w:p w:rsidR="00417A4C" w:rsidRPr="0033134E" w:rsidRDefault="00417A4C" w:rsidP="00417A4C">
            <w:pPr>
              <w:pStyle w:val="NoSpacing"/>
              <w:numPr>
                <w:ilvl w:val="0"/>
                <w:numId w:val="8"/>
              </w:numPr>
              <w:rPr>
                <w:rFonts w:ascii="Times New Roman" w:hAnsi="Times New Roman" w:cs="Times New Roman"/>
                <w:lang w:val="en-AU"/>
              </w:rPr>
            </w:pPr>
            <w:r w:rsidRPr="0033134E">
              <w:rPr>
                <w:rFonts w:ascii="Times New Roman" w:hAnsi="Times New Roman" w:cs="Times New Roman"/>
                <w:lang w:val="en-AU"/>
              </w:rPr>
              <w:t xml:space="preserve">“Any solution needs to concentrate on the issue of effective remedies and the rights of victims” </w:t>
            </w:r>
            <w:r>
              <w:rPr>
                <w:rFonts w:ascii="Times New Roman" w:hAnsi="Times New Roman" w:cs="Times New Roman"/>
                <w:lang w:val="en-AU"/>
              </w:rPr>
              <w:t>[</w:t>
            </w:r>
            <w:r w:rsidRPr="0033134E">
              <w:rPr>
                <w:rFonts w:ascii="Times New Roman" w:hAnsi="Times New Roman" w:cs="Times New Roman"/>
                <w:lang w:val="en-AU"/>
              </w:rPr>
              <w:t>referring to “national legislation on accountability mechanisms and remedy for victims” and “the lack of sufficient norms, insufficient implementation or the failure to respect the applicable law”</w:t>
            </w:r>
            <w:r>
              <w:rPr>
                <w:rFonts w:ascii="Times New Roman" w:hAnsi="Times New Roman" w:cs="Times New Roman"/>
                <w:lang w:val="en-AU"/>
              </w:rPr>
              <w:t>]</w:t>
            </w: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r w:rsidR="00417A4C" w:rsidRPr="003B1CB1" w:rsidTr="00615921">
        <w:trPr>
          <w:trHeight w:val="853"/>
        </w:trPr>
        <w:tc>
          <w:tcPr>
            <w:tcW w:w="1064" w:type="dxa"/>
          </w:tcPr>
          <w:p w:rsidR="00417A4C" w:rsidRPr="0033134E" w:rsidRDefault="00417A4C" w:rsidP="00615921">
            <w:pPr>
              <w:pStyle w:val="NoSpacing"/>
              <w:spacing w:line="276" w:lineRule="auto"/>
              <w:jc w:val="right"/>
              <w:rPr>
                <w:rFonts w:ascii="Times New Roman" w:hAnsi="Times New Roman" w:cs="Times New Roman"/>
                <w:b/>
                <w:lang w:val="en-AU"/>
              </w:rPr>
            </w:pPr>
            <w:r w:rsidRPr="0033134E">
              <w:rPr>
                <w:rFonts w:ascii="Times New Roman" w:hAnsi="Times New Roman" w:cs="Times New Roman"/>
                <w:b/>
                <w:lang w:val="en-AU"/>
              </w:rPr>
              <w:t>53</w:t>
            </w:r>
          </w:p>
        </w:tc>
        <w:tc>
          <w:tcPr>
            <w:tcW w:w="8459" w:type="dxa"/>
          </w:tcPr>
          <w:p w:rsidR="00417A4C" w:rsidRPr="00A91082" w:rsidRDefault="00417A4C" w:rsidP="00417A4C">
            <w:pPr>
              <w:pStyle w:val="NoSpacing"/>
              <w:numPr>
                <w:ilvl w:val="0"/>
                <w:numId w:val="8"/>
              </w:numPr>
              <w:rPr>
                <w:rFonts w:ascii="Times New Roman" w:hAnsi="Times New Roman" w:cs="Times New Roman"/>
                <w:lang w:val="en-AU"/>
              </w:rPr>
            </w:pPr>
            <w:r w:rsidRPr="0033134E">
              <w:rPr>
                <w:rFonts w:ascii="Times New Roman" w:hAnsi="Times New Roman" w:cs="Times New Roman"/>
                <w:lang w:val="en-AU"/>
              </w:rPr>
              <w:t>“PMSC industry needs to be properly regulated to prevent and remedy possible human rights violations”</w:t>
            </w:r>
          </w:p>
          <w:p w:rsidR="00417A4C" w:rsidRPr="0033134E" w:rsidRDefault="00417A4C" w:rsidP="00615921">
            <w:pPr>
              <w:pStyle w:val="NoSpacing"/>
              <w:rPr>
                <w:rFonts w:ascii="Times New Roman" w:hAnsi="Times New Roman" w:cs="Times New Roman"/>
                <w:lang w:val="en-AU"/>
              </w:rPr>
            </w:pPr>
          </w:p>
        </w:tc>
        <w:tc>
          <w:tcPr>
            <w:tcW w:w="1534" w:type="dxa"/>
          </w:tcPr>
          <w:p w:rsidR="00417A4C" w:rsidRPr="003F4914" w:rsidRDefault="00417A4C" w:rsidP="00615921">
            <w:pPr>
              <w:pStyle w:val="NoSpacing"/>
              <w:spacing w:line="276" w:lineRule="auto"/>
              <w:jc w:val="left"/>
              <w:rPr>
                <w:rFonts w:ascii="Times New Roman" w:hAnsi="Times New Roman" w:cs="Times New Roman"/>
                <w:i/>
                <w:sz w:val="22"/>
                <w:szCs w:val="22"/>
                <w:lang w:val="en-AU"/>
              </w:rPr>
            </w:pPr>
          </w:p>
        </w:tc>
      </w:tr>
    </w:tbl>
    <w:p w:rsidR="00C15900" w:rsidRDefault="00C15900" w:rsidP="00417A4C">
      <w:pPr>
        <w:jc w:val="center"/>
        <w:rPr>
          <w:rFonts w:ascii="Times New Roman" w:hAnsi="Times New Roman" w:cs="Times New Roman"/>
          <w:b/>
          <w:sz w:val="24"/>
          <w:lang w:val="en-AU"/>
        </w:rPr>
      </w:pPr>
    </w:p>
    <w:p w:rsidR="00C15900" w:rsidRDefault="00C15900" w:rsidP="00417A4C">
      <w:pPr>
        <w:jc w:val="center"/>
        <w:rPr>
          <w:rFonts w:ascii="Times New Roman" w:hAnsi="Times New Roman" w:cs="Times New Roman"/>
          <w:b/>
          <w:sz w:val="24"/>
          <w:lang w:val="en-AU"/>
        </w:rPr>
      </w:pPr>
    </w:p>
    <w:p w:rsidR="00417A4C" w:rsidRPr="0033134E" w:rsidRDefault="00417A4C" w:rsidP="00417A4C">
      <w:pPr>
        <w:jc w:val="center"/>
        <w:rPr>
          <w:rFonts w:ascii="Times New Roman" w:hAnsi="Times New Roman" w:cs="Times New Roman"/>
          <w:b/>
          <w:sz w:val="24"/>
          <w:lang w:val="en-AU"/>
        </w:rPr>
      </w:pPr>
      <w:r w:rsidRPr="0033134E">
        <w:rPr>
          <w:rFonts w:ascii="Times New Roman" w:hAnsi="Times New Roman" w:cs="Times New Roman"/>
          <w:b/>
          <w:sz w:val="24"/>
          <w:lang w:val="en-AU"/>
        </w:rPr>
        <w:lastRenderedPageBreak/>
        <w:t>Second session: Geneva, 13-17 August 2012</w:t>
      </w:r>
    </w:p>
    <w:p w:rsidR="00417A4C" w:rsidRDefault="00417A4C" w:rsidP="00417A4C">
      <w:pPr>
        <w:jc w:val="center"/>
        <w:rPr>
          <w:rFonts w:ascii="Times New Roman" w:hAnsi="Times New Roman" w:cs="Times New Roman"/>
          <w:b/>
          <w:sz w:val="24"/>
          <w:lang w:val="en-AU"/>
        </w:rPr>
      </w:pPr>
      <w:r w:rsidRPr="0033134E">
        <w:rPr>
          <w:rFonts w:ascii="Times New Roman" w:hAnsi="Times New Roman" w:cs="Times New Roman"/>
          <w:b/>
          <w:sz w:val="24"/>
          <w:lang w:val="en-AU"/>
        </w:rPr>
        <w:t>A/HRC/22/41</w:t>
      </w:r>
    </w:p>
    <w:p w:rsidR="00417A4C" w:rsidRPr="0033134E" w:rsidRDefault="00417A4C" w:rsidP="00417A4C">
      <w:pPr>
        <w:jc w:val="center"/>
        <w:rPr>
          <w:rFonts w:ascii="Times New Roman" w:hAnsi="Times New Roman" w:cs="Times New Roman"/>
          <w:b/>
          <w:sz w:val="24"/>
          <w:lang w:val="en-AU"/>
        </w:rPr>
      </w:pPr>
    </w:p>
    <w:tbl>
      <w:tblPr>
        <w:tblStyle w:val="TableGrid"/>
        <w:tblW w:w="11057" w:type="dxa"/>
        <w:tblInd w:w="-601" w:type="dxa"/>
        <w:tblLayout w:type="fixed"/>
        <w:tblLook w:val="04A0" w:firstRow="1" w:lastRow="0" w:firstColumn="1" w:lastColumn="0" w:noHBand="0" w:noVBand="1"/>
      </w:tblPr>
      <w:tblGrid>
        <w:gridCol w:w="1057"/>
        <w:gridCol w:w="7"/>
        <w:gridCol w:w="8434"/>
        <w:gridCol w:w="1559"/>
      </w:tblGrid>
      <w:tr w:rsidR="00417A4C" w:rsidRPr="0033134E" w:rsidTr="00615921">
        <w:trPr>
          <w:trHeight w:val="144"/>
        </w:trPr>
        <w:tc>
          <w:tcPr>
            <w:tcW w:w="1064" w:type="dxa"/>
            <w:gridSpan w:val="2"/>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Paragraph</w:t>
            </w:r>
          </w:p>
        </w:tc>
        <w:tc>
          <w:tcPr>
            <w:tcW w:w="8434"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Quote</w:t>
            </w:r>
          </w:p>
        </w:tc>
        <w:tc>
          <w:tcPr>
            <w:tcW w:w="1559"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Pr>
                <w:rFonts w:ascii="Times New Roman" w:hAnsi="Times New Roman" w:cs="Times New Roman"/>
                <w:b/>
                <w:i/>
                <w:sz w:val="19"/>
                <w:szCs w:val="19"/>
                <w:lang w:val="en-AU"/>
              </w:rPr>
              <w:t>Comment</w:t>
            </w: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12</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“Need to adopt an international legal framework to regulate the activities of PMSCs”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417A4C">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19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w:t>
            </w:r>
            <w:r w:rsidRPr="00C15900">
              <w:rPr>
                <w:rFonts w:ascii="Times New Roman" w:hAnsi="Times New Roman" w:cs="Times New Roman"/>
                <w:lang w:val="en-AU"/>
              </w:rPr>
              <w:t>Support for stronger control of PMSCs, especially concerning their transnational activities”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20</w:t>
            </w:r>
          </w:p>
        </w:tc>
        <w:tc>
          <w:tcPr>
            <w:tcW w:w="8441" w:type="dxa"/>
            <w:gridSpan w:val="2"/>
          </w:tcPr>
          <w:p w:rsidR="00417A4C"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“PSMCs should not be contracted to directly participate in hostilities as long as they are not part of the armed forces”</w:t>
            </w:r>
          </w:p>
          <w:p w:rsidR="00417A4C" w:rsidRPr="00417A4C" w:rsidRDefault="00417A4C" w:rsidP="00417A4C">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22</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“Careful distinction should be made between private security companies, private military companies and mercenaries”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23</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 definition of PMSCs should focus either on the nature of the company or the type of services it provides in a particular case”</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 definitional categorization should depend on the type of services provided in a particular case”</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“Additional measures, including under the auspices of the Human Rights Council, these should complement existing initiatives and focus on human rights, taking into account and based on the viewpoints of all stakeholders”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34</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“Private security companies must be distinguished from private military companies that were involved in military operations”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37</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“Regulatory frameworks, be they national or international, should meet four key criteria: (a) effectiveness, in that they must have a genuine, significant and positive impact on performance, rather than just offering process without substantive change and, to that end, must be based on third party rather than self-regulation; (b) inclusiveness, in that they must impact on the performance of all companies, and not just  those  companies who are already achieving appropriate standards, although perhaps not in a fully measurable and independently verifiable manner; (c) transparency through robust, independent processes which addresses broader concerns about the integrity of voluntary or self-regulatory systems; and (d) affordability, in that regulation must be proportionate to operational need, and companies should only have to demonstrate conformity with one accepted and recognized standard”</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“Regulatory standards should cover elements of leadership, management and governance; operational processes; selection, screening and vetting of staff and sub-contractor organizations; collective and individual training, and maintenance of training records; procurement, licensing and management of firearms; rules for use of force; compliance with international and national law, including human rights obligations, and the specific regulatory requirements of the jurisdictions in which companies operate; reporting and documenting of incidents and grievance processes”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40</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“Legally binding instruments could</w:t>
            </w:r>
            <w:r w:rsidRPr="0033134E">
              <w:rPr>
                <w:rFonts w:ascii="Times New Roman" w:hAnsi="Times New Roman" w:cs="Times New Roman"/>
                <w:i/>
                <w:lang w:val="en-AU"/>
              </w:rPr>
              <w:t xml:space="preserve"> </w:t>
            </w:r>
            <w:r w:rsidRPr="0033134E">
              <w:rPr>
                <w:rFonts w:ascii="Times New Roman" w:hAnsi="Times New Roman" w:cs="Times New Roman"/>
                <w:lang w:val="en-AU"/>
              </w:rPr>
              <w:t xml:space="preserve">ultimately be a part of an effective regulatory framework for this industry, as experience has shown that there could not be effective enforcement of standards in this industry without the use of binding </w:t>
            </w:r>
            <w:r w:rsidRPr="0033134E">
              <w:rPr>
                <w:rFonts w:ascii="Times New Roman" w:hAnsi="Times New Roman" w:cs="Times New Roman"/>
                <w:lang w:val="en-AU"/>
              </w:rPr>
              <w:lastRenderedPageBreak/>
              <w:t>enforcement mechanisms”</w:t>
            </w:r>
          </w:p>
          <w:p w:rsidR="00417A4C" w:rsidRPr="00B127AA"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lastRenderedPageBreak/>
              <w:t>41</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“Finding common regulatory positions on specific aspects of regulation, such as licensing, export controls and remedies for human rights abuses and violations”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45</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 idea of establishing an international ombudsperson to assist States in making listing and de-listing decisions should be considered”</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46</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 convention could complement existing initiatives and fill regulatory gaps in areas such as accountability, remedies, licensing and oversight”</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 convention could also ensure that States would be prohibited from continuing to contract companies that had been involved in human rights violations”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47</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“PMSCs should not be considered in the same vein as other businesses”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w:t>
            </w:r>
            <w:r>
              <w:rPr>
                <w:rFonts w:ascii="Times New Roman" w:hAnsi="Times New Roman" w:cs="Times New Roman"/>
                <w:lang w:val="en-AU"/>
              </w:rPr>
              <w:t xml:space="preserve">A </w:t>
            </w:r>
            <w:r w:rsidRPr="0033134E">
              <w:rPr>
                <w:rFonts w:ascii="Times New Roman" w:hAnsi="Times New Roman" w:cs="Times New Roman"/>
                <w:lang w:val="en-AU"/>
              </w:rPr>
              <w:t>Step-by-step approach focused on first reaching substantive agreement on different areas before committing to a specific form of regulatory framework”</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53</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 certification system based on industry-specific standards the most effective way to address human rights problems involving PMSCs”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58</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“An independent body attached to the oversight mechanism of the International Code of Conduct would have an added value for victims”</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 most appropriate grievance mechanism to address serious human rights violations would be an international body composed of independent experts”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61</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w:t>
            </w:r>
            <w:r>
              <w:rPr>
                <w:rFonts w:ascii="Times New Roman" w:hAnsi="Times New Roman" w:cs="Times New Roman"/>
                <w:lang w:val="en-AU"/>
              </w:rPr>
              <w:t>A r</w:t>
            </w:r>
            <w:r w:rsidRPr="0033134E">
              <w:rPr>
                <w:rFonts w:ascii="Times New Roman" w:hAnsi="Times New Roman" w:cs="Times New Roman"/>
                <w:lang w:val="en-AU"/>
              </w:rPr>
              <w:t>eport by OHCHR, which could look into the human rights issues raised during the meeting and provide an objective, evidence-based analysis with respect to human rights challenges”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62</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“Distinguish between private military companies and private security companies”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63</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“There should be recognition that there is no “one size fits all” solution. […] PMSCs created a variety of challenges. It was important to take careful stock of existing initiatives before taking a decision on how to best address these challenges and review what States were doing at the national level”</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66</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 number of issues would require further clarification and better understanding. Gaps in international law related to accountability, redress and compensation for victims, the status of PMSCs and their personnel, and the extent to which States could be authorized to use PMSCs, needed to be addressed”</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67</w:t>
            </w:r>
          </w:p>
        </w:tc>
        <w:tc>
          <w:tcPr>
            <w:tcW w:w="8441" w:type="dxa"/>
            <w:gridSpan w:val="2"/>
          </w:tcPr>
          <w:p w:rsidR="00417A4C"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“Need to elaborate principles and elements of a future convention”</w:t>
            </w:r>
          </w:p>
          <w:p w:rsidR="00417A4C" w:rsidRPr="00417A4C" w:rsidRDefault="00417A4C" w:rsidP="00417A4C">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68</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“Time should be allowed to assess the effectiveness of the Montreux Document and the International Code of Conduct and efforts should be made to avoid duplication of work”</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 intergovernmental working group should have flexibility in moving forward and its future work should be directed to specific issues”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69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 xml:space="preserve">“In the absence of a consensus on how to proceed, a convention should not be the only option on the table” </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lastRenderedPageBreak/>
              <w:t>“Priority should be given by the Human Rights Council and the intergovernmental working group to addressing a range of substantive issues such as the definition of PMSCs, extraterritoriality, reparations and accountability”</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“Arms exports, granting of licences and issues of international humanitarian law and international criminal law were beyond the mandate of the Human Rights Council and should be discussed in more detail in other relevant forums”</w:t>
            </w:r>
          </w:p>
          <w:p w:rsidR="00417A4C" w:rsidRPr="0033134E" w:rsidRDefault="00417A4C" w:rsidP="00615921">
            <w:pPr>
              <w:rPr>
                <w:rFonts w:ascii="Times New Roman" w:hAnsi="Times New Roman" w:cs="Times New Roman"/>
                <w:lang w:val="en-AU"/>
              </w:rPr>
            </w:pPr>
          </w:p>
        </w:tc>
        <w:tc>
          <w:tcPr>
            <w:tcW w:w="1559" w:type="dxa"/>
          </w:tcPr>
          <w:p w:rsidR="00417A4C" w:rsidRDefault="00417A4C" w:rsidP="00615921">
            <w:pPr>
              <w:jc w:val="left"/>
              <w:rPr>
                <w:rFonts w:ascii="Times New Roman" w:hAnsi="Times New Roman" w:cs="Times New Roman"/>
                <w:i/>
                <w:sz w:val="22"/>
                <w:szCs w:val="22"/>
                <w:lang w:val="en-AU"/>
              </w:rPr>
            </w:pPr>
          </w:p>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lastRenderedPageBreak/>
              <w:t>72</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 starting point for the work of the intergovernmental working group should be a clear distinction between mercenaries and PMSCs”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74</w:t>
            </w:r>
          </w:p>
        </w:tc>
        <w:tc>
          <w:tcPr>
            <w:tcW w:w="8441" w:type="dxa"/>
            <w:gridSpan w:val="2"/>
          </w:tcPr>
          <w:p w:rsidR="00417A4C"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“The draft Convention prepared by the Working Group on the use of mercenaries would be complementary to the Montreux Document and that it should be finalized and adopted”</w:t>
            </w:r>
          </w:p>
          <w:p w:rsidR="00417A4C" w:rsidRPr="00417A4C" w:rsidRDefault="00417A4C" w:rsidP="00417A4C">
            <w:pPr>
              <w:rPr>
                <w:rFonts w:ascii="Times New Roman" w:hAnsi="Times New Roman" w:cs="Times New Roman"/>
                <w:lang w:val="en-AU"/>
              </w:rPr>
            </w:pPr>
          </w:p>
        </w:tc>
        <w:tc>
          <w:tcPr>
            <w:tcW w:w="1559" w:type="dxa"/>
          </w:tcPr>
          <w:p w:rsidR="00417A4C" w:rsidRDefault="00417A4C" w:rsidP="00615921">
            <w:pPr>
              <w:jc w:val="left"/>
              <w:rPr>
                <w:rFonts w:ascii="Times New Roman" w:hAnsi="Times New Roman" w:cs="Times New Roman"/>
                <w:i/>
                <w:sz w:val="22"/>
                <w:szCs w:val="22"/>
                <w:lang w:val="en-AU"/>
              </w:rPr>
            </w:pPr>
          </w:p>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77</w:t>
            </w:r>
          </w:p>
        </w:tc>
        <w:tc>
          <w:tcPr>
            <w:tcW w:w="8441" w:type="dxa"/>
            <w:gridSpan w:val="2"/>
          </w:tcPr>
          <w:p w:rsidR="00417A4C" w:rsidRPr="00964405" w:rsidRDefault="00417A4C" w:rsidP="00615921">
            <w:pPr>
              <w:rPr>
                <w:rFonts w:ascii="Times New Roman" w:hAnsi="Times New Roman" w:cs="Times New Roman"/>
                <w:spacing w:val="-2"/>
                <w:lang w:val="en-AU"/>
              </w:rPr>
            </w:pPr>
            <w:r w:rsidRPr="00964405">
              <w:rPr>
                <w:rFonts w:ascii="Times New Roman" w:hAnsi="Times New Roman" w:cs="Times New Roman"/>
                <w:b/>
                <w:lang w:val="en-AU"/>
              </w:rPr>
              <w:t>“</w:t>
            </w:r>
            <w:r w:rsidRPr="00964405">
              <w:rPr>
                <w:rFonts w:ascii="Times New Roman" w:hAnsi="Times New Roman" w:cs="Times New Roman"/>
                <w:b/>
                <w:spacing w:val="-2"/>
                <w:lang w:val="en-GB"/>
              </w:rPr>
              <w:t>In view of the initial constructive and substantive discussions held during the first two sessions of the open-ended inter-governmental working group, and in light of the complexities of the issues, it recommends to the Human Rights Council the following:</w:t>
            </w:r>
          </w:p>
          <w:p w:rsidR="00417A4C" w:rsidRPr="00964405" w:rsidRDefault="00417A4C" w:rsidP="00417A4C">
            <w:pPr>
              <w:pStyle w:val="ListParagraph"/>
              <w:numPr>
                <w:ilvl w:val="6"/>
                <w:numId w:val="11"/>
              </w:numPr>
              <w:rPr>
                <w:rFonts w:ascii="Times New Roman" w:hAnsi="Times New Roman" w:cs="Times New Roman"/>
                <w:spacing w:val="-2"/>
                <w:lang w:val="en-AU"/>
              </w:rPr>
            </w:pPr>
            <w:r w:rsidRPr="00964405">
              <w:rPr>
                <w:rFonts w:ascii="Times New Roman" w:hAnsi="Times New Roman" w:cs="Times New Roman"/>
                <w:b/>
                <w:lang w:val="en-GB"/>
              </w:rPr>
              <w:t>Continuation of the substantive discussions in the intergovernmental working group with the participation of experts and all relevant stakeholders for a further two year period;</w:t>
            </w:r>
          </w:p>
          <w:p w:rsidR="00417A4C" w:rsidRPr="00BA35BA" w:rsidRDefault="00417A4C" w:rsidP="00417A4C">
            <w:pPr>
              <w:pStyle w:val="ListParagraph"/>
              <w:numPr>
                <w:ilvl w:val="6"/>
                <w:numId w:val="11"/>
              </w:numPr>
              <w:rPr>
                <w:rFonts w:ascii="Times New Roman" w:hAnsi="Times New Roman" w:cs="Times New Roman"/>
                <w:spacing w:val="-2"/>
                <w:lang w:val="en-AU"/>
              </w:rPr>
            </w:pPr>
            <w:r w:rsidRPr="00964405">
              <w:rPr>
                <w:rFonts w:ascii="Times New Roman" w:hAnsi="Times New Roman" w:cs="Times New Roman"/>
                <w:b/>
                <w:lang w:val="en-GB"/>
              </w:rPr>
              <w:t>Consideration of the human rights aspects of, inter alia, the following:</w:t>
            </w:r>
          </w:p>
          <w:p w:rsidR="00417A4C" w:rsidRDefault="00417A4C" w:rsidP="00615921">
            <w:pPr>
              <w:pStyle w:val="ListParagraph"/>
              <w:ind w:left="643"/>
              <w:rPr>
                <w:rFonts w:ascii="Times New Roman" w:hAnsi="Times New Roman" w:cs="Times New Roman"/>
                <w:b/>
                <w:spacing w:val="-2"/>
                <w:lang w:val="en-GB"/>
              </w:rPr>
            </w:pPr>
            <w:r w:rsidRPr="00BA35BA">
              <w:rPr>
                <w:rFonts w:ascii="Times New Roman" w:hAnsi="Times New Roman" w:cs="Times New Roman"/>
                <w:b/>
                <w:spacing w:val="-2"/>
                <w:lang w:val="en-GB"/>
              </w:rPr>
              <w:t>(</w:t>
            </w:r>
            <w:proofErr w:type="spellStart"/>
            <w:r w:rsidRPr="00BA35BA">
              <w:rPr>
                <w:rFonts w:ascii="Times New Roman" w:hAnsi="Times New Roman" w:cs="Times New Roman"/>
                <w:b/>
                <w:spacing w:val="-2"/>
                <w:lang w:val="en-GB"/>
              </w:rPr>
              <w:t>i</w:t>
            </w:r>
            <w:proofErr w:type="spellEnd"/>
            <w:r w:rsidRPr="00BA35BA">
              <w:rPr>
                <w:rFonts w:ascii="Times New Roman" w:hAnsi="Times New Roman" w:cs="Times New Roman"/>
                <w:b/>
                <w:spacing w:val="-2"/>
                <w:lang w:val="en-GB"/>
              </w:rPr>
              <w:t>) Accountability and the provision of appropriate remedies for the victims;</w:t>
            </w:r>
          </w:p>
          <w:p w:rsidR="00417A4C" w:rsidRDefault="00417A4C" w:rsidP="00615921">
            <w:pPr>
              <w:pStyle w:val="ListParagraph"/>
              <w:ind w:left="643"/>
              <w:rPr>
                <w:rFonts w:ascii="Times New Roman" w:hAnsi="Times New Roman" w:cs="Times New Roman"/>
                <w:b/>
                <w:spacing w:val="-4"/>
                <w:lang w:val="en-GB"/>
              </w:rPr>
            </w:pPr>
            <w:r w:rsidRPr="00964405">
              <w:rPr>
                <w:rFonts w:ascii="Times New Roman" w:hAnsi="Times New Roman" w:cs="Times New Roman"/>
                <w:b/>
                <w:lang w:val="en-GB"/>
              </w:rPr>
              <w:t xml:space="preserve">(ii) </w:t>
            </w:r>
            <w:r w:rsidRPr="00964405">
              <w:rPr>
                <w:rFonts w:ascii="Times New Roman" w:hAnsi="Times New Roman" w:cs="Times New Roman"/>
                <w:b/>
                <w:spacing w:val="-4"/>
                <w:lang w:val="en-GB"/>
              </w:rPr>
              <w:t xml:space="preserve">To distinguish between the activities of private security companies and private military companies, as well as other possible activities relevant to this issue; </w:t>
            </w:r>
          </w:p>
          <w:p w:rsidR="00417A4C" w:rsidRPr="00BA35BA" w:rsidRDefault="00417A4C" w:rsidP="00615921">
            <w:pPr>
              <w:pStyle w:val="ListParagraph"/>
              <w:ind w:left="643"/>
              <w:rPr>
                <w:rFonts w:ascii="Times New Roman" w:hAnsi="Times New Roman" w:cs="Times New Roman"/>
                <w:b/>
                <w:lang w:val="en-GB"/>
              </w:rPr>
            </w:pPr>
            <w:r>
              <w:rPr>
                <w:rFonts w:ascii="Times New Roman" w:hAnsi="Times New Roman" w:cs="Times New Roman"/>
                <w:b/>
                <w:lang w:val="en-GB"/>
              </w:rPr>
              <w:t xml:space="preserve">(iii) </w:t>
            </w:r>
            <w:r w:rsidRPr="00964405">
              <w:rPr>
                <w:rFonts w:ascii="Times New Roman" w:hAnsi="Times New Roman" w:cs="Times New Roman"/>
                <w:b/>
                <w:lang w:val="en-GB"/>
              </w:rPr>
              <w:t>Review of all measures, including existing National legislation for registering, licensing and contracting PMSCs.</w:t>
            </w:r>
          </w:p>
          <w:p w:rsidR="00417A4C" w:rsidRPr="00BA35BA" w:rsidRDefault="00417A4C" w:rsidP="00417A4C">
            <w:pPr>
              <w:pStyle w:val="ListParagraph"/>
              <w:numPr>
                <w:ilvl w:val="6"/>
                <w:numId w:val="11"/>
              </w:numPr>
              <w:rPr>
                <w:rFonts w:ascii="Times New Roman" w:hAnsi="Times New Roman" w:cs="Times New Roman"/>
                <w:spacing w:val="-2"/>
                <w:lang w:val="en-AU"/>
              </w:rPr>
            </w:pPr>
            <w:r w:rsidRPr="00BA35BA">
              <w:rPr>
                <w:rFonts w:ascii="Times New Roman" w:hAnsi="Times New Roman" w:cs="Times New Roman"/>
                <w:b/>
                <w:lang w:val="en-GB"/>
              </w:rPr>
              <w:t>Consideration of the possibility of an international regulatory framework, including the option of elaborating a legally binding instrument on the regulation, monitoring and oversight of the activities of PMSCs, as well as other approaches and strategies, including international standards, and the way in which they might interact to protect human rights”</w:t>
            </w:r>
          </w:p>
          <w:p w:rsidR="00417A4C" w:rsidRPr="00964405" w:rsidRDefault="00417A4C" w:rsidP="00615921">
            <w:pPr>
              <w:pStyle w:val="NoSpacing"/>
              <w:rPr>
                <w:lang w:val="en-GB"/>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bl>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C15900" w:rsidRDefault="00C15900"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b/>
          <w:sz w:val="24"/>
          <w:lang w:val="en-AU"/>
        </w:rPr>
      </w:pPr>
    </w:p>
    <w:p w:rsidR="00417A4C" w:rsidRPr="0033134E" w:rsidRDefault="00417A4C" w:rsidP="00417A4C">
      <w:pPr>
        <w:jc w:val="center"/>
        <w:rPr>
          <w:rFonts w:ascii="Times New Roman" w:hAnsi="Times New Roman" w:cs="Times New Roman"/>
          <w:b/>
          <w:sz w:val="24"/>
          <w:lang w:val="en-AU"/>
        </w:rPr>
      </w:pPr>
      <w:r w:rsidRPr="0033134E">
        <w:rPr>
          <w:rFonts w:ascii="Times New Roman" w:hAnsi="Times New Roman" w:cs="Times New Roman"/>
          <w:b/>
          <w:sz w:val="24"/>
          <w:lang w:val="en-AU"/>
        </w:rPr>
        <w:lastRenderedPageBreak/>
        <w:t>Third session: Geneva, 21-25 July 2014</w:t>
      </w:r>
    </w:p>
    <w:p w:rsidR="00417A4C" w:rsidRDefault="00417A4C" w:rsidP="00417A4C">
      <w:pPr>
        <w:jc w:val="center"/>
        <w:rPr>
          <w:rFonts w:ascii="Times New Roman" w:hAnsi="Times New Roman" w:cs="Times New Roman"/>
          <w:b/>
          <w:sz w:val="24"/>
          <w:lang w:val="en-AU"/>
        </w:rPr>
      </w:pPr>
      <w:r w:rsidRPr="0033134E">
        <w:rPr>
          <w:rFonts w:ascii="Times New Roman" w:hAnsi="Times New Roman" w:cs="Times New Roman"/>
          <w:b/>
          <w:sz w:val="24"/>
          <w:lang w:val="en-AU"/>
        </w:rPr>
        <w:t>A/HRC/WG.10/3/2</w:t>
      </w:r>
    </w:p>
    <w:p w:rsidR="00417A4C" w:rsidRPr="0033134E" w:rsidRDefault="00417A4C" w:rsidP="00417A4C">
      <w:pPr>
        <w:jc w:val="center"/>
        <w:rPr>
          <w:rFonts w:ascii="Times New Roman" w:hAnsi="Times New Roman" w:cs="Times New Roman"/>
          <w:sz w:val="24"/>
          <w:lang w:val="en-AU"/>
        </w:rPr>
      </w:pPr>
    </w:p>
    <w:tbl>
      <w:tblPr>
        <w:tblStyle w:val="TableGrid"/>
        <w:tblW w:w="11057" w:type="dxa"/>
        <w:tblInd w:w="-601" w:type="dxa"/>
        <w:tblLayout w:type="fixed"/>
        <w:tblLook w:val="04A0" w:firstRow="1" w:lastRow="0" w:firstColumn="1" w:lastColumn="0" w:noHBand="0" w:noVBand="1"/>
      </w:tblPr>
      <w:tblGrid>
        <w:gridCol w:w="1057"/>
        <w:gridCol w:w="7"/>
        <w:gridCol w:w="8434"/>
        <w:gridCol w:w="1559"/>
      </w:tblGrid>
      <w:tr w:rsidR="00417A4C" w:rsidRPr="0033134E" w:rsidTr="00615921">
        <w:trPr>
          <w:trHeight w:val="144"/>
        </w:trPr>
        <w:tc>
          <w:tcPr>
            <w:tcW w:w="1064" w:type="dxa"/>
            <w:gridSpan w:val="2"/>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Paragraph</w:t>
            </w:r>
          </w:p>
        </w:tc>
        <w:tc>
          <w:tcPr>
            <w:tcW w:w="8434"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Quote</w:t>
            </w:r>
          </w:p>
        </w:tc>
        <w:tc>
          <w:tcPr>
            <w:tcW w:w="1559"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Pr>
                <w:rFonts w:ascii="Times New Roman" w:hAnsi="Times New Roman" w:cs="Times New Roman"/>
                <w:b/>
                <w:i/>
                <w:sz w:val="19"/>
                <w:szCs w:val="19"/>
                <w:lang w:val="en-AU"/>
              </w:rPr>
              <w:t>Comment</w:t>
            </w: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11</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w:t>
            </w:r>
            <w:r>
              <w:rPr>
                <w:rFonts w:ascii="Times New Roman" w:hAnsi="Times New Roman" w:cs="Times New Roman"/>
                <w:lang w:val="en-US"/>
              </w:rPr>
              <w:t xml:space="preserve">Urged </w:t>
            </w:r>
            <w:r w:rsidRPr="0033134E">
              <w:rPr>
                <w:rFonts w:ascii="Times New Roman" w:hAnsi="Times New Roman" w:cs="Times New Roman"/>
                <w:lang w:val="en-US"/>
              </w:rPr>
              <w:t>States to build on the earlier work done, engage in constructive interaction, develop a progressive framework and make collective progress”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“The working group should consider whether private military and private security companies should be treated as one entity or separate entities, given that they were usually engaged in different types of activities”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“Bridging the differences regarding which activities of PMSCs to regulate and how”</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15</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“An international legally binding instrument could fill such gaps; contribute to standard-setting; and improve the monitoring and oversight of the industry, challenges which could not be addressed by non-binding guiding principles and good practices alone” </w:t>
            </w:r>
            <w:r>
              <w:rPr>
                <w:rFonts w:ascii="Times New Roman" w:hAnsi="Times New Roman" w:cs="Times New Roman"/>
                <w:lang w:val="en-US"/>
              </w:rPr>
              <w:t>[</w:t>
            </w:r>
            <w:r w:rsidRPr="0033134E">
              <w:rPr>
                <w:rFonts w:ascii="Times New Roman" w:hAnsi="Times New Roman" w:cs="Times New Roman"/>
                <w:lang w:val="en-US"/>
              </w:rPr>
              <w:t>referring to the challenges raised: “collection and sharing of evidence between States; the extradition of suspects, which depended on the cooperation of other States; issues of extraterritorial jurisdiction; and the lack of effective remedies and accountability, including corporate accountability”</w:t>
            </w:r>
            <w:r>
              <w:rPr>
                <w:rFonts w:ascii="Times New Roman" w:hAnsi="Times New Roman" w:cs="Times New Roman"/>
                <w:lang w:val="en-US"/>
              </w:rPr>
              <w:t>]</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17</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“States could significantly improve protection through national legal and policy frameworks” </w:t>
            </w:r>
            <w:r>
              <w:rPr>
                <w:rFonts w:ascii="Times New Roman" w:hAnsi="Times New Roman" w:cs="Times New Roman"/>
                <w:lang w:val="en-US"/>
              </w:rPr>
              <w:t>[</w:t>
            </w:r>
            <w:r w:rsidRPr="0033134E">
              <w:rPr>
                <w:rFonts w:ascii="Times New Roman" w:hAnsi="Times New Roman" w:cs="Times New Roman"/>
                <w:lang w:val="en-US"/>
              </w:rPr>
              <w:t>“laws and policies regarding the registration, licensing, contracting screening, selection, training and oversight of PMSCs”</w:t>
            </w:r>
            <w:r>
              <w:rPr>
                <w:rFonts w:ascii="Times New Roman" w:hAnsi="Times New Roman" w:cs="Times New Roman"/>
                <w:lang w:val="en-US"/>
              </w:rPr>
              <w:t>]</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19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 xml:space="preserve">“Improving self-regulation mechanisms and national regulation might be more efficient” </w:t>
            </w:r>
            <w:r>
              <w:rPr>
                <w:rFonts w:ascii="Times New Roman" w:hAnsi="Times New Roman" w:cs="Times New Roman"/>
                <w:lang w:val="en-US"/>
              </w:rPr>
              <w:t>[</w:t>
            </w:r>
            <w:r w:rsidRPr="0033134E">
              <w:rPr>
                <w:rFonts w:ascii="Times New Roman" w:hAnsi="Times New Roman" w:cs="Times New Roman"/>
                <w:lang w:val="en-US"/>
              </w:rPr>
              <w:t>than “an international legally binding instrument”</w:t>
            </w:r>
            <w:r>
              <w:rPr>
                <w:rFonts w:ascii="Times New Roman" w:hAnsi="Times New Roman" w:cs="Times New Roman"/>
                <w:lang w:val="en-US"/>
              </w:rPr>
              <w:t>]</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23</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“Further efforts should focus on ensuring effective implementation of the Montreux Document and the international law underlying it”</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24</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 xml:space="preserve">“Efforts should focus on strengthening compliance with the </w:t>
            </w:r>
            <w:proofErr w:type="spellStart"/>
            <w:r w:rsidRPr="0033134E">
              <w:rPr>
                <w:rFonts w:ascii="Times New Roman" w:hAnsi="Times New Roman" w:cs="Times New Roman"/>
                <w:lang w:val="en-US"/>
              </w:rPr>
              <w:t>ICoC</w:t>
            </w:r>
            <w:proofErr w:type="spellEnd"/>
            <w:r w:rsidRPr="0033134E">
              <w:rPr>
                <w:rFonts w:ascii="Times New Roman" w:hAnsi="Times New Roman" w:cs="Times New Roman"/>
                <w:lang w:val="en-US"/>
              </w:rPr>
              <w:t xml:space="preserve"> and the Montreux Document”</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25</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“Need to work towards drafting binding legal instruments to fill existing regulatory gaps” </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“The implementation of the </w:t>
            </w:r>
            <w:proofErr w:type="spellStart"/>
            <w:r w:rsidRPr="0033134E">
              <w:rPr>
                <w:rFonts w:ascii="Times New Roman" w:hAnsi="Times New Roman" w:cs="Times New Roman"/>
                <w:lang w:val="en-US"/>
              </w:rPr>
              <w:t>ICoC</w:t>
            </w:r>
            <w:proofErr w:type="spellEnd"/>
            <w:r w:rsidRPr="0033134E">
              <w:rPr>
                <w:rFonts w:ascii="Times New Roman" w:hAnsi="Times New Roman" w:cs="Times New Roman"/>
                <w:lang w:val="en-US"/>
              </w:rPr>
              <w:t xml:space="preserve"> should have the support of a more independent and effective control mechanism”</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27</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“An international instrument would need to distinguish between different support services”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“A step-by-step approach might be the best way to achieve a successful regulatory framework”</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29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“Distinguishing between private security companies, private military companies and mercenaries”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“Consider the specific service, function or activity that the company carried out, as well as the circumstances within which it operated”</w:t>
            </w:r>
            <w:r>
              <w:rPr>
                <w:rFonts w:ascii="Times New Roman" w:hAnsi="Times New Roman" w:cs="Times New Roman"/>
                <w:lang w:val="en-US"/>
              </w:rPr>
              <w:t xml:space="preserve"> [</w:t>
            </w:r>
            <w:r w:rsidRPr="0033134E">
              <w:rPr>
                <w:rFonts w:ascii="Times New Roman" w:hAnsi="Times New Roman" w:cs="Times New Roman"/>
                <w:lang w:val="en-US"/>
              </w:rPr>
              <w:t>instead of “attempting to categorize companies as either security or military”</w:t>
            </w:r>
            <w:r>
              <w:rPr>
                <w:rFonts w:ascii="Times New Roman" w:hAnsi="Times New Roman" w:cs="Times New Roman"/>
                <w:lang w:val="en-US"/>
              </w:rPr>
              <w:t>]</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“Identifying the services of PMSCs which might be particularly susceptible to human rights abuses”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“Further consideration would have to be given to determine which companies, services or functions could potentially be covered under one international </w:t>
            </w:r>
            <w:r w:rsidRPr="0033134E">
              <w:rPr>
                <w:rFonts w:ascii="Times New Roman" w:hAnsi="Times New Roman" w:cs="Times New Roman"/>
                <w:lang w:val="en-US"/>
              </w:rPr>
              <w:lastRenderedPageBreak/>
              <w:t>instrument”</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lastRenderedPageBreak/>
              <w:t>31</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“Regulation must consider all types of clients of PMSCs, including States, corporations and NGOs, and access to non-judicial remedies”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w:t>
            </w:r>
            <w:r>
              <w:rPr>
                <w:rFonts w:ascii="Times New Roman" w:hAnsi="Times New Roman" w:cs="Times New Roman"/>
                <w:lang w:val="en-US"/>
              </w:rPr>
              <w:t>An i</w:t>
            </w:r>
            <w:r w:rsidRPr="0033134E">
              <w:rPr>
                <w:rFonts w:ascii="Times New Roman" w:hAnsi="Times New Roman" w:cs="Times New Roman"/>
                <w:lang w:val="en-US"/>
              </w:rPr>
              <w:t xml:space="preserve">ntegrated “smart mix” of regulation” </w:t>
            </w:r>
            <w:r>
              <w:rPr>
                <w:rFonts w:ascii="Times New Roman" w:hAnsi="Times New Roman" w:cs="Times New Roman"/>
                <w:lang w:val="en-US"/>
              </w:rPr>
              <w:t>[</w:t>
            </w:r>
            <w:r w:rsidRPr="0033134E">
              <w:rPr>
                <w:rFonts w:ascii="Times New Roman" w:hAnsi="Times New Roman" w:cs="Times New Roman"/>
                <w:lang w:val="en-US"/>
              </w:rPr>
              <w:t>including “access to remedies and effective oversight of self-regulation mechanisms”</w:t>
            </w:r>
            <w:r>
              <w:rPr>
                <w:rFonts w:ascii="Times New Roman" w:hAnsi="Times New Roman" w:cs="Times New Roman"/>
                <w:lang w:val="en-US"/>
              </w:rPr>
              <w:t>]</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32</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“An international instrument, building on existing international law and reflecting elements that could be identified across existing national legislation, would fill an important legal gap in the governance of PMSCs and provide a normative and institutional framework”</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“Model national laws could be developed consideration be given to the development of regional conventions”</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37</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“Discussing an international instrument, in particular for extraterritorial activities of PMSCs”</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38</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“Sharing good practices, with one delegation expressing interest in the provisions that other States used when contracting PSMCs, so as to prevent human rights abuses”</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39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 xml:space="preserve">“An international legal instrument could establish key elements to be reflected in all national legislation, including specific human rights criteria” </w:t>
            </w:r>
            <w:r>
              <w:rPr>
                <w:rFonts w:ascii="Times New Roman" w:hAnsi="Times New Roman" w:cs="Times New Roman"/>
                <w:lang w:val="en-US"/>
              </w:rPr>
              <w:t>[</w:t>
            </w:r>
            <w:r w:rsidRPr="0033134E">
              <w:rPr>
                <w:rFonts w:ascii="Times New Roman" w:hAnsi="Times New Roman" w:cs="Times New Roman"/>
                <w:lang w:val="en-US"/>
              </w:rPr>
              <w:t>referring to “the lack of uniformity in legislation at national level”</w:t>
            </w:r>
            <w:r>
              <w:rPr>
                <w:rFonts w:ascii="Times New Roman" w:hAnsi="Times New Roman" w:cs="Times New Roman"/>
                <w:lang w:val="en-US"/>
              </w:rPr>
              <w:t>]</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41</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w:t>
            </w:r>
            <w:r>
              <w:rPr>
                <w:rFonts w:ascii="Times New Roman" w:hAnsi="Times New Roman" w:cs="Times New Roman"/>
                <w:lang w:val="en-US"/>
              </w:rPr>
              <w:t>T</w:t>
            </w:r>
            <w:r w:rsidRPr="0033134E">
              <w:rPr>
                <w:rFonts w:ascii="Times New Roman" w:hAnsi="Times New Roman" w:cs="Times New Roman"/>
                <w:lang w:val="en-US"/>
              </w:rPr>
              <w:t>hat effective complaints mechanisms and remedies be adopted, implemented and overseen seriously”</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“The balance should be shifted in </w:t>
            </w:r>
            <w:proofErr w:type="spellStart"/>
            <w:r w:rsidRPr="0033134E">
              <w:rPr>
                <w:rFonts w:ascii="Times New Roman" w:hAnsi="Times New Roman" w:cs="Times New Roman"/>
                <w:lang w:val="en-US"/>
              </w:rPr>
              <w:t>favour</w:t>
            </w:r>
            <w:proofErr w:type="spellEnd"/>
            <w:r w:rsidRPr="0033134E">
              <w:rPr>
                <w:rFonts w:ascii="Times New Roman" w:hAnsi="Times New Roman" w:cs="Times New Roman"/>
                <w:lang w:val="en-US"/>
              </w:rPr>
              <w:t xml:space="preserve"> of victims and that resources should be spent on self-regulatory initiatives instead of being used to enable victims to obtain justice for abuses suffered”</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43</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“Possibilities for obtaining redress before regional human rights courts” </w:t>
            </w:r>
            <w:r>
              <w:rPr>
                <w:rFonts w:ascii="Times New Roman" w:hAnsi="Times New Roman" w:cs="Times New Roman"/>
                <w:lang w:val="en-US"/>
              </w:rPr>
              <w:t>[</w:t>
            </w:r>
            <w:r w:rsidRPr="0033134E">
              <w:rPr>
                <w:rFonts w:ascii="Times New Roman" w:hAnsi="Times New Roman" w:cs="Times New Roman"/>
                <w:lang w:val="en-US"/>
              </w:rPr>
              <w:t>considering that “in cases that implicated PMSCs, there was often dual attribution of responsibility to the company and to the State”</w:t>
            </w:r>
            <w:r>
              <w:rPr>
                <w:rFonts w:ascii="Times New Roman" w:hAnsi="Times New Roman" w:cs="Times New Roman"/>
                <w:lang w:val="en-US"/>
              </w:rPr>
              <w:t>]</w:t>
            </w:r>
            <w:r w:rsidRPr="0033134E">
              <w:rPr>
                <w:rFonts w:ascii="Times New Roman" w:hAnsi="Times New Roman" w:cs="Times New Roman"/>
                <w:lang w:val="en-US"/>
              </w:rPr>
              <w:t xml:space="preserve"> </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“Cooperation between States was essential, and an instrument facilitating cooperation in the specific area of PMSCs should be considered”</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44</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“A stronger role for national human rights commissions had to be considered”</w:t>
            </w:r>
          </w:p>
        </w:tc>
        <w:tc>
          <w:tcPr>
            <w:tcW w:w="1559" w:type="dxa"/>
          </w:tcPr>
          <w:p w:rsidR="00417A4C" w:rsidRDefault="00417A4C" w:rsidP="00615921">
            <w:pPr>
              <w:jc w:val="left"/>
              <w:rPr>
                <w:rFonts w:ascii="Times New Roman" w:hAnsi="Times New Roman" w:cs="Times New Roman"/>
                <w:i/>
                <w:sz w:val="22"/>
                <w:szCs w:val="22"/>
                <w:lang w:val="en-US"/>
              </w:rPr>
            </w:pPr>
          </w:p>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46</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“Gaps could be filled through model laws for national legislation, regional instruments and a treaty at the international level” </w:t>
            </w:r>
            <w:r>
              <w:rPr>
                <w:rFonts w:ascii="Times New Roman" w:hAnsi="Times New Roman" w:cs="Times New Roman"/>
                <w:lang w:val="en-US"/>
              </w:rPr>
              <w:t>[</w:t>
            </w:r>
            <w:r w:rsidRPr="0033134E">
              <w:rPr>
                <w:rFonts w:ascii="Times New Roman" w:hAnsi="Times New Roman" w:cs="Times New Roman"/>
                <w:lang w:val="en-US"/>
              </w:rPr>
              <w:t>referring to the “gaps in the governance of the activities of PMSCs”</w:t>
            </w:r>
            <w:r>
              <w:rPr>
                <w:rFonts w:ascii="Times New Roman" w:hAnsi="Times New Roman" w:cs="Times New Roman"/>
                <w:lang w:val="en-US"/>
              </w:rPr>
              <w:t>]</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“An international treaty, which constituted the highest source in international law, would fill a normative, institutional and procedural gap; transform existing soft law principles into treaty provisions; consolidate and reinforce existing inadequate and scattered laws; provide a distinctively tailored instrument for the governance of PMSCs; clarify rights for victims to claim and establish mechanisms for redress; establish clear lines of responsibility and accountability; and ensure a human rights-based approach”</w:t>
            </w: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47</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 xml:space="preserve">“Gaps could be addressed through a new treaty or through soft law instruments” </w:t>
            </w:r>
            <w:r>
              <w:rPr>
                <w:rFonts w:ascii="Times New Roman" w:hAnsi="Times New Roman" w:cs="Times New Roman"/>
                <w:lang w:val="en-US"/>
              </w:rPr>
              <w:t>[</w:t>
            </w:r>
            <w:r w:rsidRPr="0033134E">
              <w:rPr>
                <w:rFonts w:ascii="Times New Roman" w:hAnsi="Times New Roman" w:cs="Times New Roman"/>
                <w:lang w:val="en-US"/>
              </w:rPr>
              <w:t xml:space="preserve">referring to the “gaps related to the use of force in </w:t>
            </w:r>
            <w:proofErr w:type="spellStart"/>
            <w:r w:rsidRPr="0033134E">
              <w:rPr>
                <w:rFonts w:ascii="Times New Roman" w:hAnsi="Times New Roman" w:cs="Times New Roman"/>
                <w:lang w:val="en-US"/>
              </w:rPr>
              <w:t>self-defence</w:t>
            </w:r>
            <w:proofErr w:type="spellEnd"/>
            <w:r w:rsidRPr="0033134E">
              <w:rPr>
                <w:rFonts w:ascii="Times New Roman" w:hAnsi="Times New Roman" w:cs="Times New Roman"/>
                <w:lang w:val="en-US"/>
              </w:rPr>
              <w:t xml:space="preserve">; the capture and custody of pirates and robbers at sea; transport of weapons; and human rights </w:t>
            </w:r>
            <w:r w:rsidRPr="0033134E">
              <w:rPr>
                <w:rFonts w:ascii="Times New Roman" w:hAnsi="Times New Roman" w:cs="Times New Roman"/>
                <w:lang w:val="en-US"/>
              </w:rPr>
              <w:lastRenderedPageBreak/>
              <w:t>abuses committed by PMSCs”</w:t>
            </w:r>
            <w:r>
              <w:rPr>
                <w:rFonts w:ascii="Times New Roman" w:hAnsi="Times New Roman" w:cs="Times New Roman"/>
                <w:lang w:val="en-US"/>
              </w:rPr>
              <w:t>]</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“A soft law instrument, depending on the nature of the body adopting it and the level of support enjoyed, could gradually crystalize into binding customary international law”</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“Adopt one single regulatory instrument for armed security personnel acting both on land and at sea, or two separate instruments”</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“If the preference was to adopt a single instrument regulating the activities of PMSCs, it should at least include a section dealing with armed private personnel at sea”</w:t>
            </w:r>
          </w:p>
          <w:p w:rsidR="00417A4C" w:rsidRPr="0033134E" w:rsidRDefault="00417A4C" w:rsidP="00615921">
            <w:pPr>
              <w:rPr>
                <w:rFonts w:ascii="Times New Roman" w:hAnsi="Times New Roman" w:cs="Times New Roman"/>
                <w:lang w:val="en-US"/>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lastRenderedPageBreak/>
              <w:t>48</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“The working group should focus on streamlining elements for the elaboration of a legally binding instrument and further considering the draft of a possible convention on private military and security companies prepared by the Working Group on the use of mercenaries (see A/HRC/15/25, annex) in that regard”</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49</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“Self-regulatory initiatives were positive steps, but should be complemented by a carefully elaborated legally binding international instrument”</w:t>
            </w:r>
          </w:p>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“The mere existence of non-binding instruments should not preclude the development of a complementary binding instrument”</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AU"/>
              </w:rPr>
              <w:t>“</w:t>
            </w:r>
            <w:r>
              <w:rPr>
                <w:rFonts w:ascii="Times New Roman" w:hAnsi="Times New Roman" w:cs="Times New Roman"/>
                <w:lang w:val="en-AU"/>
              </w:rPr>
              <w:t>The following areas as possible s</w:t>
            </w:r>
            <w:proofErr w:type="spellStart"/>
            <w:r w:rsidRPr="0033134E">
              <w:rPr>
                <w:rFonts w:ascii="Times New Roman" w:hAnsi="Times New Roman" w:cs="Times New Roman"/>
                <w:lang w:val="en-US"/>
              </w:rPr>
              <w:t>tarting</w:t>
            </w:r>
            <w:proofErr w:type="spellEnd"/>
            <w:r w:rsidRPr="0033134E">
              <w:rPr>
                <w:rFonts w:ascii="Times New Roman" w:hAnsi="Times New Roman" w:cs="Times New Roman"/>
                <w:lang w:val="en-US"/>
              </w:rPr>
              <w:t xml:space="preserve"> points for discussion: activities that should not be outsourced or deemed problematic from a human rights perspective; key elements for national regulation, including licensing, monitoring and oversight, accountability and remedies; extraterritoriality and the issue of enforcement; judicial assistance between States, including collection of evidence and extradition”</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50</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“Patchy national legislation could be addressed by an increased focus on strengthening national-level approaches, e.g. through the development of model laws, and that protection gaps resulting from a lack of implementation of existing norms could be addressed through additional guidance for States or increased international cooperation”</w:t>
            </w:r>
          </w:p>
          <w:p w:rsidR="00417A4C" w:rsidRPr="0033134E"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AU"/>
              </w:rPr>
            </w:pPr>
          </w:p>
        </w:tc>
      </w:tr>
      <w:tr w:rsidR="00417A4C" w:rsidRPr="003B1CB1" w:rsidTr="00615921">
        <w:tc>
          <w:tcPr>
            <w:tcW w:w="1057" w:type="dxa"/>
          </w:tcPr>
          <w:p w:rsidR="00417A4C" w:rsidRPr="0033134E" w:rsidRDefault="00417A4C" w:rsidP="00615921">
            <w:pPr>
              <w:jc w:val="right"/>
              <w:rPr>
                <w:rFonts w:ascii="Times New Roman" w:hAnsi="Times New Roman" w:cs="Times New Roman"/>
                <w:b/>
                <w:lang w:val="en-AU"/>
              </w:rPr>
            </w:pPr>
            <w:r w:rsidRPr="0033134E">
              <w:rPr>
                <w:rFonts w:ascii="Times New Roman" w:hAnsi="Times New Roman" w:cs="Times New Roman"/>
                <w:b/>
                <w:lang w:val="en-AU"/>
              </w:rPr>
              <w:t>51</w:t>
            </w:r>
          </w:p>
        </w:tc>
        <w:tc>
          <w:tcPr>
            <w:tcW w:w="8441" w:type="dxa"/>
            <w:gridSpan w:val="2"/>
          </w:tcPr>
          <w:p w:rsidR="00417A4C" w:rsidRPr="0033134E" w:rsidRDefault="00417A4C" w:rsidP="00417A4C">
            <w:pPr>
              <w:pStyle w:val="ListParagraph"/>
              <w:numPr>
                <w:ilvl w:val="0"/>
                <w:numId w:val="8"/>
              </w:numPr>
              <w:rPr>
                <w:rFonts w:ascii="Times New Roman" w:hAnsi="Times New Roman" w:cs="Times New Roman"/>
                <w:lang w:val="en-US"/>
              </w:rPr>
            </w:pPr>
            <w:r w:rsidRPr="0033134E">
              <w:rPr>
                <w:rFonts w:ascii="Times New Roman" w:hAnsi="Times New Roman" w:cs="Times New Roman"/>
                <w:lang w:val="en-US"/>
              </w:rPr>
              <w:t>“For the working group to achieve broadly supported results, it should follow a multi-stakeholder approach in future discussions, including civil society, the private security industry and other United Nations entities working on similar issues”</w:t>
            </w:r>
          </w:p>
          <w:p w:rsidR="00417A4C" w:rsidRPr="0033134E" w:rsidRDefault="00417A4C" w:rsidP="00417A4C">
            <w:pPr>
              <w:pStyle w:val="ListParagraph"/>
              <w:numPr>
                <w:ilvl w:val="0"/>
                <w:numId w:val="8"/>
              </w:numPr>
              <w:rPr>
                <w:rFonts w:ascii="Times New Roman" w:hAnsi="Times New Roman" w:cs="Times New Roman"/>
                <w:lang w:val="en-AU"/>
              </w:rPr>
            </w:pPr>
            <w:r w:rsidRPr="0033134E">
              <w:rPr>
                <w:rFonts w:ascii="Times New Roman" w:hAnsi="Times New Roman" w:cs="Times New Roman"/>
                <w:lang w:val="en-US"/>
              </w:rPr>
              <w:t>“It was also suggested that the working group closely examine national certification processes and the relevant work of the International Organization for Standardization”</w:t>
            </w:r>
          </w:p>
        </w:tc>
        <w:tc>
          <w:tcPr>
            <w:tcW w:w="1559" w:type="dxa"/>
          </w:tcPr>
          <w:p w:rsidR="00417A4C" w:rsidRPr="003F4914" w:rsidRDefault="00417A4C" w:rsidP="00615921">
            <w:pPr>
              <w:jc w:val="left"/>
              <w:rPr>
                <w:rFonts w:ascii="Times New Roman" w:hAnsi="Times New Roman" w:cs="Times New Roman"/>
                <w:i/>
                <w:sz w:val="22"/>
                <w:szCs w:val="22"/>
                <w:lang w:val="en-AU"/>
              </w:rPr>
            </w:pPr>
          </w:p>
        </w:tc>
      </w:tr>
    </w:tbl>
    <w:p w:rsidR="00417A4C" w:rsidRPr="0033134E" w:rsidRDefault="00417A4C" w:rsidP="00417A4C">
      <w:pP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Default="00417A4C" w:rsidP="00417A4C">
      <w:pPr>
        <w:jc w:val="center"/>
        <w:rPr>
          <w:rFonts w:ascii="Times New Roman" w:hAnsi="Times New Roman" w:cs="Times New Roman"/>
          <w:sz w:val="24"/>
          <w:lang w:val="en-AU"/>
        </w:rPr>
      </w:pPr>
    </w:p>
    <w:p w:rsidR="00417A4C" w:rsidRPr="00C91DB4" w:rsidRDefault="00417A4C" w:rsidP="00417A4C">
      <w:pPr>
        <w:jc w:val="center"/>
        <w:rPr>
          <w:rFonts w:ascii="Times New Roman" w:hAnsi="Times New Roman" w:cs="Times New Roman"/>
          <w:b/>
          <w:sz w:val="24"/>
          <w:lang w:val="en-AU"/>
        </w:rPr>
      </w:pPr>
      <w:r w:rsidRPr="00C91DB4">
        <w:rPr>
          <w:rFonts w:ascii="Times New Roman" w:hAnsi="Times New Roman" w:cs="Times New Roman"/>
          <w:b/>
          <w:sz w:val="24"/>
          <w:lang w:val="en-AU"/>
        </w:rPr>
        <w:lastRenderedPageBreak/>
        <w:t>Fourth session: Geneva, 27 April – 1 May 2015</w:t>
      </w:r>
    </w:p>
    <w:p w:rsidR="00417A4C" w:rsidRDefault="00417A4C" w:rsidP="00417A4C">
      <w:pPr>
        <w:jc w:val="center"/>
        <w:rPr>
          <w:rFonts w:ascii="Times New Roman" w:hAnsi="Times New Roman" w:cs="Times New Roman"/>
          <w:b/>
          <w:sz w:val="24"/>
          <w:lang w:val="en-AU"/>
        </w:rPr>
      </w:pPr>
      <w:r>
        <w:rPr>
          <w:rFonts w:ascii="Times New Roman" w:hAnsi="Times New Roman" w:cs="Times New Roman"/>
          <w:b/>
          <w:sz w:val="24"/>
          <w:lang w:val="en-AU"/>
        </w:rPr>
        <w:t>A/HRC/30/47</w:t>
      </w:r>
    </w:p>
    <w:p w:rsidR="00417A4C" w:rsidRPr="00C91DB4" w:rsidRDefault="00417A4C" w:rsidP="00417A4C">
      <w:pPr>
        <w:jc w:val="center"/>
        <w:rPr>
          <w:rFonts w:ascii="Times New Roman" w:hAnsi="Times New Roman" w:cs="Times New Roman"/>
          <w:b/>
          <w:sz w:val="24"/>
          <w:lang w:val="en-AU"/>
        </w:rPr>
      </w:pPr>
    </w:p>
    <w:tbl>
      <w:tblPr>
        <w:tblStyle w:val="TableGrid"/>
        <w:tblW w:w="11057" w:type="dxa"/>
        <w:tblInd w:w="-601" w:type="dxa"/>
        <w:tblLayout w:type="fixed"/>
        <w:tblLook w:val="04A0" w:firstRow="1" w:lastRow="0" w:firstColumn="1" w:lastColumn="0" w:noHBand="0" w:noVBand="1"/>
      </w:tblPr>
      <w:tblGrid>
        <w:gridCol w:w="1057"/>
        <w:gridCol w:w="7"/>
        <w:gridCol w:w="8434"/>
        <w:gridCol w:w="1559"/>
      </w:tblGrid>
      <w:tr w:rsidR="00417A4C" w:rsidRPr="0033134E" w:rsidTr="00615921">
        <w:trPr>
          <w:trHeight w:val="144"/>
        </w:trPr>
        <w:tc>
          <w:tcPr>
            <w:tcW w:w="1064" w:type="dxa"/>
            <w:gridSpan w:val="2"/>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Paragraph</w:t>
            </w:r>
          </w:p>
        </w:tc>
        <w:tc>
          <w:tcPr>
            <w:tcW w:w="8434"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Quote</w:t>
            </w:r>
          </w:p>
        </w:tc>
        <w:tc>
          <w:tcPr>
            <w:tcW w:w="1559"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Pr>
                <w:rFonts w:ascii="Times New Roman" w:hAnsi="Times New Roman" w:cs="Times New Roman"/>
                <w:b/>
                <w:i/>
                <w:sz w:val="19"/>
                <w:szCs w:val="19"/>
                <w:lang w:val="en-AU"/>
              </w:rPr>
              <w:t>Comment</w:t>
            </w: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12</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“Need for victims to have the right to an effective remedy, including reparations, and for an international legally binding instrument in addition to national initiatives on the activities of private military and security companies”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“Such companies, given their specificities, should not be allowed to regulate their own behaviour, which could only be done by an independent authority”</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Pr>
                <w:rFonts w:ascii="Times New Roman" w:hAnsi="Times New Roman" w:cs="Times New Roman"/>
                <w:lang w:val="en-GB"/>
              </w:rPr>
              <w:t>Recommended that t</w:t>
            </w:r>
            <w:r w:rsidRPr="00C91DB4">
              <w:rPr>
                <w:rFonts w:ascii="Times New Roman" w:hAnsi="Times New Roman" w:cs="Times New Roman"/>
                <w:lang w:val="en-GB"/>
              </w:rPr>
              <w:t>he open-ended intergovernmental working group begin discussions on concrete elements for inclusion in a legally binding instrument during the fourth session”</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13</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“Norms should be elaborated in international law to (a) define private military and security companies; and (b) hold such companies accountable under international humanitarian and international human rights law”</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“The new instrument should complement national and regional mechanisms, particularly in the area of combating impunity and effective punishment”</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It should also include mechanisms for recourse in cases of violations. Such mechanisms would include a committee on the regulation, oversight and monitoring of private military and security companies, an enquiry and a complaint procedure and reporting mechanisms on compliance with new norms and standards in international human rights and humanitarian law by private military and security companies”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14</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“International regulation must be complemented by effective national laws and policies that would allow States to investigate and prosecute violations of international human rights and humanitarian law”</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Any regulatory gaps in areas such as accountability, remedies, licensing and oversight should be filled through an international legally binding instrument that would complement existing initiatives</w:t>
            </w:r>
            <w:r w:rsidRPr="00C91DB4">
              <w:rPr>
                <w:rFonts w:ascii="Times New Roman" w:hAnsi="Times New Roman" w:cs="Times New Roman"/>
                <w:lang w:val="en-AU"/>
              </w:rPr>
              <w:t xml:space="preserve">” </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21</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Private military companies and private security companies should be addressed separately, given their very broad and diverse range of activities”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“States and international organizations, as clients, could enhance standards in the operations of companies”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22</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Any international regulatory framework should focus on strengthening compliance with existing international law and on ensuring accountability”</w:t>
            </w:r>
          </w:p>
          <w:p w:rsidR="00417A4C" w:rsidRPr="00C91DB4" w:rsidRDefault="00417A4C" w:rsidP="00615921">
            <w:pPr>
              <w:pStyle w:val="ListParagraph"/>
              <w:ind w:left="360"/>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33</w:t>
            </w:r>
          </w:p>
        </w:tc>
        <w:tc>
          <w:tcPr>
            <w:tcW w:w="8441" w:type="dxa"/>
            <w:gridSpan w:val="2"/>
          </w:tcPr>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GB"/>
              </w:rPr>
              <w:t xml:space="preserve"> “Certain functions were inherent to the State, for which it retained ultimate responsibility regardless of whether or not it outsourced that function”</w:t>
            </w:r>
          </w:p>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AU"/>
              </w:rPr>
              <w:t>“</w:t>
            </w:r>
            <w:r w:rsidRPr="00D847E0">
              <w:rPr>
                <w:rFonts w:ascii="Times New Roman" w:hAnsi="Times New Roman" w:cs="Times New Roman"/>
                <w:lang w:val="en-GB"/>
              </w:rPr>
              <w:t>Intergovernmental organizations, as well as States, could become party to the convention”</w:t>
            </w:r>
          </w:p>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GB"/>
              </w:rPr>
              <w:t>“Obligation under that article [on implementation] would apply to domestic and international companies, as well as to services offered to States and to intergovernmental, non-State and corporate clients”</w:t>
            </w:r>
          </w:p>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GB"/>
              </w:rPr>
              <w:t>“New definition of a licence, which would serve as a modality for establishing and enforcing standards”</w:t>
            </w:r>
          </w:p>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AU"/>
              </w:rPr>
              <w:t>“</w:t>
            </w:r>
            <w:r w:rsidRPr="00D847E0">
              <w:rPr>
                <w:rFonts w:ascii="Times New Roman" w:hAnsi="Times New Roman" w:cs="Times New Roman"/>
                <w:lang w:val="en-GB"/>
              </w:rPr>
              <w:t>Registration should take place as a secondary step following licensing”</w:t>
            </w:r>
          </w:p>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GB"/>
              </w:rPr>
              <w:t>“New framework of regulation of jurisdiction”</w:t>
            </w:r>
          </w:p>
          <w:p w:rsidR="00417A4C" w:rsidRPr="00D847E0" w:rsidRDefault="00417A4C" w:rsidP="00417A4C">
            <w:pPr>
              <w:pStyle w:val="ListParagraph"/>
              <w:numPr>
                <w:ilvl w:val="0"/>
                <w:numId w:val="9"/>
              </w:numPr>
              <w:rPr>
                <w:rFonts w:ascii="Times New Roman" w:hAnsi="Times New Roman" w:cs="Times New Roman"/>
                <w:lang w:val="en-AU"/>
              </w:rPr>
            </w:pPr>
            <w:r w:rsidRPr="00D847E0">
              <w:rPr>
                <w:rFonts w:ascii="Times New Roman" w:hAnsi="Times New Roman" w:cs="Times New Roman"/>
                <w:lang w:val="en-AU"/>
              </w:rPr>
              <w:t>“</w:t>
            </w:r>
            <w:r w:rsidRPr="00D847E0">
              <w:rPr>
                <w:rFonts w:ascii="Times New Roman" w:hAnsi="Times New Roman" w:cs="Times New Roman"/>
                <w:lang w:val="en-GB"/>
              </w:rPr>
              <w:t xml:space="preserve">Establish a mechanism for the purposes of oversight and ensuring remedy and </w:t>
            </w:r>
            <w:r w:rsidRPr="00D847E0">
              <w:rPr>
                <w:rFonts w:ascii="Times New Roman" w:hAnsi="Times New Roman" w:cs="Times New Roman"/>
                <w:lang w:val="en-GB"/>
              </w:rPr>
              <w:lastRenderedPageBreak/>
              <w:t>reparations for victims”</w:t>
            </w:r>
          </w:p>
          <w:p w:rsidR="00417A4C" w:rsidRPr="00D847E0"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lastRenderedPageBreak/>
              <w:t>36</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“Need to strengthen domestic laws and their implementation, as well as to see how the International Code of Conduct and other initiatives translated into practice”</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Other options could be explored, including guidelines, possible plans of action, model laws, good practices and mutual legal assistance programmes”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38</w:t>
            </w:r>
          </w:p>
        </w:tc>
        <w:tc>
          <w:tcPr>
            <w:tcW w:w="8441" w:type="dxa"/>
            <w:gridSpan w:val="2"/>
          </w:tcPr>
          <w:p w:rsidR="00417A4C" w:rsidRPr="00C91DB4" w:rsidRDefault="00417A4C" w:rsidP="00417A4C">
            <w:pPr>
              <w:pStyle w:val="ListParagraph"/>
              <w:numPr>
                <w:ilvl w:val="0"/>
                <w:numId w:val="10"/>
              </w:numPr>
              <w:rPr>
                <w:rFonts w:ascii="Times New Roman" w:hAnsi="Times New Roman" w:cs="Times New Roman"/>
                <w:lang w:val="en-AU"/>
              </w:rPr>
            </w:pPr>
            <w:r w:rsidRPr="00C91DB4">
              <w:rPr>
                <w:rFonts w:ascii="Times New Roman" w:hAnsi="Times New Roman" w:cs="Times New Roman"/>
                <w:lang w:val="en-GB"/>
              </w:rPr>
              <w:t>“International convention would be the best mechanism to regulate the issue of private military and security companies”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International convention would be an effective mechanism for a better implementation of a system of control”</w:t>
            </w:r>
          </w:p>
          <w:p w:rsidR="00417A4C" w:rsidRPr="00C91DB4" w:rsidRDefault="00417A4C" w:rsidP="00615921">
            <w:pPr>
              <w:rPr>
                <w:rFonts w:ascii="Times New Roman" w:hAnsi="Times New Roman" w:cs="Times New Roman"/>
                <w:lang w:val="en-GB"/>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49</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“Companies [... involved in the administration of detention facilities] should be subject to regulation and be held accountable for any abuses committed”</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“Vet and train employees of private security companies, but also to make clients understand that they bore responsibility for contracting reliable companies only”</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57</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“A detailed code on use of force in the maritime environment was lacking and that that lacuna could not be filled in the proposed international regulatory framework”</w:t>
            </w:r>
          </w:p>
          <w:p w:rsidR="00417A4C" w:rsidRPr="00C91DB4" w:rsidRDefault="00417A4C" w:rsidP="00615921">
            <w:pPr>
              <w:rPr>
                <w:rFonts w:ascii="Times New Roman" w:hAnsi="Times New Roman" w:cs="Times New Roman"/>
                <w:lang w:val="en-GB"/>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60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w:t>
            </w:r>
            <w:r>
              <w:rPr>
                <w:rFonts w:ascii="Times New Roman" w:hAnsi="Times New Roman" w:cs="Times New Roman"/>
                <w:lang w:val="en-GB"/>
              </w:rPr>
              <w:t>To a</w:t>
            </w:r>
            <w:r w:rsidRPr="00C91DB4">
              <w:rPr>
                <w:rFonts w:ascii="Times New Roman" w:hAnsi="Times New Roman" w:cs="Times New Roman"/>
                <w:lang w:val="en-GB"/>
              </w:rPr>
              <w:t>cknowledge the work undertaken by IMO and that the Human Rights Council should not duplicate the work done by IMO”</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70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GB" w:eastAsia="en-GB"/>
              </w:rPr>
            </w:pPr>
            <w:r w:rsidRPr="00C91DB4">
              <w:rPr>
                <w:rFonts w:ascii="Times New Roman" w:hAnsi="Times New Roman" w:cs="Times New Roman"/>
                <w:lang w:val="en-GB"/>
              </w:rPr>
              <w:t>“</w:t>
            </w:r>
            <w:r>
              <w:rPr>
                <w:rFonts w:ascii="Times New Roman" w:hAnsi="Times New Roman" w:cs="Times New Roman"/>
                <w:lang w:val="en-GB"/>
              </w:rPr>
              <w:t>To e</w:t>
            </w:r>
            <w:r w:rsidRPr="00C91DB4">
              <w:rPr>
                <w:rFonts w:ascii="Times New Roman" w:hAnsi="Times New Roman" w:cs="Times New Roman"/>
                <w:lang w:val="en-GB"/>
              </w:rPr>
              <w:t>nsure that the contracted private security companies had adequate internal oversight and accountability mechanisms, including complaint and performance reporting mechanisms, as recommended by the Working Group on mercenaries”</w:t>
            </w:r>
          </w:p>
          <w:p w:rsidR="00417A4C" w:rsidRPr="00C91DB4" w:rsidRDefault="00417A4C" w:rsidP="00417A4C">
            <w:pPr>
              <w:pStyle w:val="ListParagraph"/>
              <w:numPr>
                <w:ilvl w:val="0"/>
                <w:numId w:val="9"/>
              </w:numPr>
              <w:rPr>
                <w:rFonts w:ascii="Times New Roman" w:hAnsi="Times New Roman" w:cs="Times New Roman"/>
                <w:lang w:val="en-GB" w:eastAsia="en-GB"/>
              </w:rPr>
            </w:pPr>
            <w:r w:rsidRPr="00C91DB4">
              <w:rPr>
                <w:rFonts w:ascii="Times New Roman" w:hAnsi="Times New Roman" w:cs="Times New Roman"/>
                <w:lang w:val="en-GB"/>
              </w:rPr>
              <w:t>“Key actors — including States in which private security companies were based or operated and the private armed security companies themselves — must also be involved in a formal process whereby a common and internationally agreed upon normative framework could be established”</w:t>
            </w:r>
          </w:p>
          <w:p w:rsidR="00417A4C" w:rsidRPr="00C91DB4" w:rsidRDefault="00417A4C" w:rsidP="00615921">
            <w:pPr>
              <w:rPr>
                <w:rFonts w:ascii="Times New Roman" w:hAnsi="Times New Roman" w:cs="Times New Roman"/>
                <w:lang w:val="en-GB" w:eastAsia="en-GB"/>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77</w:t>
            </w:r>
          </w:p>
        </w:tc>
        <w:tc>
          <w:tcPr>
            <w:tcW w:w="8441" w:type="dxa"/>
            <w:gridSpan w:val="2"/>
          </w:tcPr>
          <w:p w:rsidR="00417A4C" w:rsidRDefault="00417A4C" w:rsidP="00615921">
            <w:pPr>
              <w:rPr>
                <w:rFonts w:ascii="Times New Roman" w:hAnsi="Times New Roman" w:cs="Times New Roman"/>
                <w:lang w:val="en-GB" w:eastAsia="en-GB"/>
              </w:rPr>
            </w:pPr>
            <w:r w:rsidRPr="00964405">
              <w:rPr>
                <w:rFonts w:ascii="Times New Roman" w:hAnsi="Times New Roman" w:cs="Times New Roman"/>
                <w:b/>
                <w:lang w:val="en-GB"/>
              </w:rPr>
              <w:t xml:space="preserve"> “The Chair-Rapporteur suggested that the open-ended intergovernmental working group consider including the following text as part of its conclusions and recommendations: </w:t>
            </w:r>
          </w:p>
          <w:p w:rsidR="00417A4C" w:rsidRDefault="00417A4C" w:rsidP="00615921">
            <w:pPr>
              <w:rPr>
                <w:rFonts w:ascii="Times New Roman" w:hAnsi="Times New Roman" w:cs="Times New Roman"/>
                <w:b/>
                <w:lang w:val="en-GB"/>
              </w:rPr>
            </w:pPr>
          </w:p>
          <w:p w:rsidR="00417A4C" w:rsidRDefault="00417A4C" w:rsidP="00615921">
            <w:pPr>
              <w:rPr>
                <w:rFonts w:ascii="Times New Roman" w:hAnsi="Times New Roman" w:cs="Times New Roman"/>
                <w:lang w:val="en-GB" w:eastAsia="en-GB"/>
              </w:rPr>
            </w:pPr>
            <w:r w:rsidRPr="00964405">
              <w:rPr>
                <w:rFonts w:ascii="Times New Roman" w:hAnsi="Times New Roman" w:cs="Times New Roman"/>
                <w:b/>
                <w:lang w:val="en-GB"/>
              </w:rPr>
              <w:t xml:space="preserve">[Paragraph 1] The intergovernmental working group noted the multifaceted and diverse issues </w:t>
            </w:r>
            <w:proofErr w:type="gramStart"/>
            <w:r w:rsidRPr="00964405">
              <w:rPr>
                <w:rFonts w:ascii="Times New Roman" w:hAnsi="Times New Roman" w:cs="Times New Roman"/>
                <w:b/>
                <w:lang w:val="en-GB"/>
              </w:rPr>
              <w:t>raised</w:t>
            </w:r>
            <w:proofErr w:type="gramEnd"/>
            <w:r w:rsidRPr="00964405">
              <w:rPr>
                <w:rFonts w:ascii="Times New Roman" w:hAnsi="Times New Roman" w:cs="Times New Roman"/>
                <w:b/>
                <w:lang w:val="en-GB"/>
              </w:rPr>
              <w:t xml:space="preserve"> throughout its third and fourth sessions. These included: the distinction between the activities of private military companies and private security companies; measures for registering, licensing and contracting private military and security companies; ensuring accountability and provision of assistance and remedies for victims; possibility of an international regulatory framework; specificities of regulating sea-based private security activities; and the use of private security companies by the United Nations. The intergovernmental working group noted the initiatives undertaken by various stakeholders relating to those issues, while highlighting the challenges that remain.</w:t>
            </w:r>
          </w:p>
          <w:p w:rsidR="00417A4C" w:rsidRDefault="00417A4C" w:rsidP="00615921">
            <w:pPr>
              <w:rPr>
                <w:rFonts w:ascii="Times New Roman" w:hAnsi="Times New Roman" w:cs="Times New Roman"/>
                <w:b/>
                <w:lang w:val="en-GB"/>
              </w:rPr>
            </w:pPr>
          </w:p>
          <w:p w:rsidR="00417A4C" w:rsidRDefault="00417A4C" w:rsidP="00615921">
            <w:pPr>
              <w:rPr>
                <w:rFonts w:ascii="Times New Roman" w:hAnsi="Times New Roman" w:cs="Times New Roman"/>
                <w:lang w:val="en-GB" w:eastAsia="en-GB"/>
              </w:rPr>
            </w:pPr>
            <w:r w:rsidRPr="00964405">
              <w:rPr>
                <w:rFonts w:ascii="Times New Roman" w:hAnsi="Times New Roman" w:cs="Times New Roman"/>
                <w:b/>
                <w:lang w:val="en-GB"/>
              </w:rPr>
              <w:t xml:space="preserve">[Paragraph 2] Different views were offered as to how to achieve the shared goal of protecting human rights and ensuring accountability for violations and abuses relating to the activities of private military and security companies. </w:t>
            </w:r>
            <w:r w:rsidRPr="00964405">
              <w:rPr>
                <w:rFonts w:ascii="Times New Roman" w:hAnsi="Times New Roman" w:cs="Times New Roman"/>
                <w:b/>
                <w:lang w:val="en-GB"/>
              </w:rPr>
              <w:lastRenderedPageBreak/>
              <w:t>Some delegations proposed that the intergovernmental working group begin elaborating a legally binding instrument for the regulation, monitoring and oversight of private military and security companies, and submitted elements of a draft convention for the consideration of the intergovernmental working group. Other delegations proposed the consideration of the range of options to be explored to further develop an international regulatory framework, including international standards setting and development of guidelines, possibly actions plans or model laws, contract templates based on the Montreux Document, good practices and mutual legal assistance programmes.</w:t>
            </w:r>
            <w:r w:rsidRPr="00964405">
              <w:rPr>
                <w:rFonts w:ascii="Times New Roman" w:hAnsi="Times New Roman" w:cs="Times New Roman"/>
                <w:lang w:val="en-GB"/>
              </w:rPr>
              <w:t xml:space="preserve"> </w:t>
            </w:r>
          </w:p>
          <w:p w:rsidR="00417A4C" w:rsidRDefault="00417A4C" w:rsidP="00615921">
            <w:pPr>
              <w:rPr>
                <w:rFonts w:ascii="Times New Roman" w:hAnsi="Times New Roman" w:cs="Times New Roman"/>
                <w:lang w:val="en-GB" w:eastAsia="en-GB"/>
              </w:rPr>
            </w:pPr>
          </w:p>
          <w:p w:rsidR="00417A4C" w:rsidRPr="00964405" w:rsidRDefault="00417A4C" w:rsidP="00615921">
            <w:pPr>
              <w:rPr>
                <w:rFonts w:ascii="Times New Roman" w:hAnsi="Times New Roman" w:cs="Times New Roman"/>
                <w:lang w:val="en-GB" w:eastAsia="en-GB"/>
              </w:rPr>
            </w:pPr>
            <w:r w:rsidRPr="00964405">
              <w:rPr>
                <w:rFonts w:ascii="Times New Roman" w:hAnsi="Times New Roman" w:cs="Times New Roman"/>
                <w:b/>
                <w:lang w:val="en-GB"/>
              </w:rPr>
              <w:t>[Paragraph 3]</w:t>
            </w:r>
            <w:r w:rsidRPr="00964405">
              <w:rPr>
                <w:rFonts w:ascii="Times New Roman" w:hAnsi="Times New Roman" w:cs="Times New Roman"/>
                <w:lang w:val="en-GB"/>
              </w:rPr>
              <w:t xml:space="preserve"> </w:t>
            </w:r>
            <w:r w:rsidRPr="00964405">
              <w:rPr>
                <w:rFonts w:ascii="Times New Roman" w:hAnsi="Times New Roman" w:cs="Times New Roman"/>
                <w:b/>
                <w:lang w:val="en-GB"/>
              </w:rPr>
              <w:t>Taking account of Human Rights Council resolution 28/7</w:t>
            </w:r>
            <w:r w:rsidRPr="00964405">
              <w:rPr>
                <w:rFonts w:ascii="Times New Roman" w:hAnsi="Times New Roman" w:cs="Times New Roman"/>
                <w:b/>
                <w:lang w:val="de-CH"/>
              </w:rPr>
              <w:t xml:space="preserve"> </w:t>
            </w:r>
            <w:proofErr w:type="spellStart"/>
            <w:r w:rsidRPr="00964405">
              <w:rPr>
                <w:rFonts w:ascii="Times New Roman" w:hAnsi="Times New Roman" w:cs="Times New Roman"/>
                <w:b/>
                <w:lang w:val="de-CH"/>
              </w:rPr>
              <w:t>of</w:t>
            </w:r>
            <w:proofErr w:type="spellEnd"/>
            <w:r w:rsidRPr="00964405">
              <w:rPr>
                <w:rFonts w:ascii="Times New Roman" w:hAnsi="Times New Roman" w:cs="Times New Roman"/>
                <w:b/>
                <w:lang w:val="de-CH"/>
              </w:rPr>
              <w:t xml:space="preserve"> 26 March 2015</w:t>
            </w:r>
            <w:r w:rsidRPr="00964405">
              <w:rPr>
                <w:rFonts w:ascii="Times New Roman" w:hAnsi="Times New Roman" w:cs="Times New Roman"/>
                <w:b/>
                <w:lang w:val="en-GB"/>
              </w:rPr>
              <w:t>, the intergovernmental working group will continue its work on the a</w:t>
            </w:r>
            <w:proofErr w:type="spellStart"/>
            <w:r w:rsidRPr="00964405">
              <w:rPr>
                <w:rFonts w:ascii="Times New Roman" w:hAnsi="Times New Roman" w:cs="Times New Roman"/>
                <w:b/>
                <w:lang w:val="de-CH"/>
              </w:rPr>
              <w:t>bove</w:t>
            </w:r>
            <w:proofErr w:type="spellEnd"/>
            <w:r w:rsidRPr="00964405">
              <w:rPr>
                <w:rFonts w:ascii="Times New Roman" w:hAnsi="Times New Roman" w:cs="Times New Roman"/>
                <w:b/>
                <w:lang w:val="de-CH"/>
              </w:rPr>
              <w:t>-</w:t>
            </w:r>
            <w:r w:rsidRPr="00964405">
              <w:rPr>
                <w:rFonts w:ascii="Times New Roman" w:hAnsi="Times New Roman" w:cs="Times New Roman"/>
                <w:b/>
                <w:lang w:val="en-GB"/>
              </w:rPr>
              <w:t xml:space="preserve">mentioned issues and also recommends further consideration of human rights issues relating to, inter alia, </w:t>
            </w:r>
            <w:r w:rsidRPr="00964405">
              <w:rPr>
                <w:rFonts w:ascii="Times New Roman" w:hAnsi="Times New Roman" w:cs="Times New Roman"/>
                <w:b/>
                <w:lang w:val="de-CH"/>
              </w:rPr>
              <w:t xml:space="preserve">(a) </w:t>
            </w:r>
            <w:r w:rsidRPr="00964405">
              <w:rPr>
                <w:rFonts w:ascii="Times New Roman" w:hAnsi="Times New Roman" w:cs="Times New Roman"/>
                <w:b/>
                <w:lang w:val="en-GB"/>
              </w:rPr>
              <w:t xml:space="preserve">the operation of private military and security companies in the maritime context; </w:t>
            </w:r>
            <w:r w:rsidRPr="00964405">
              <w:rPr>
                <w:rFonts w:ascii="Times New Roman" w:hAnsi="Times New Roman" w:cs="Times New Roman"/>
                <w:b/>
                <w:lang w:val="de-CH"/>
              </w:rPr>
              <w:t xml:space="preserve">(b) </w:t>
            </w:r>
            <w:r w:rsidRPr="00964405">
              <w:rPr>
                <w:rFonts w:ascii="Times New Roman" w:hAnsi="Times New Roman" w:cs="Times New Roman"/>
                <w:b/>
                <w:lang w:val="en-GB"/>
              </w:rPr>
              <w:t xml:space="preserve">the use of private military and security companies by humanitarian actors; and </w:t>
            </w:r>
            <w:r w:rsidRPr="00964405">
              <w:rPr>
                <w:rFonts w:ascii="Times New Roman" w:hAnsi="Times New Roman" w:cs="Times New Roman"/>
                <w:b/>
                <w:lang w:val="de-CH"/>
              </w:rPr>
              <w:t xml:space="preserve">(c) </w:t>
            </w:r>
            <w:r w:rsidRPr="00964405">
              <w:rPr>
                <w:rFonts w:ascii="Times New Roman" w:hAnsi="Times New Roman" w:cs="Times New Roman"/>
                <w:b/>
                <w:lang w:val="en-GB"/>
              </w:rPr>
              <w:t>access to justice and remedies for victims of violations and abuses linked to the activities of private military and security companies”</w:t>
            </w:r>
          </w:p>
          <w:p w:rsidR="00417A4C" w:rsidRPr="00964405" w:rsidRDefault="00417A4C" w:rsidP="00615921">
            <w:pPr>
              <w:rPr>
                <w:rFonts w:ascii="Times New Roman" w:hAnsi="Times New Roman" w:cs="Times New Roman"/>
                <w:lang w:val="en-GB" w:eastAsia="en-GB"/>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Pr>
                <w:rFonts w:ascii="Times New Roman" w:hAnsi="Times New Roman" w:cs="Times New Roman"/>
                <w:b/>
                <w:lang w:val="en-AU"/>
              </w:rPr>
              <w:lastRenderedPageBreak/>
              <w:t>80</w:t>
            </w:r>
          </w:p>
        </w:tc>
        <w:tc>
          <w:tcPr>
            <w:tcW w:w="8441" w:type="dxa"/>
            <w:gridSpan w:val="2"/>
          </w:tcPr>
          <w:p w:rsidR="00417A4C" w:rsidRPr="00964405" w:rsidRDefault="00417A4C" w:rsidP="00615921">
            <w:pPr>
              <w:rPr>
                <w:rFonts w:ascii="Times New Roman" w:hAnsi="Times New Roman" w:cs="Times New Roman"/>
                <w:lang w:val="en-GB" w:eastAsia="en-GB"/>
              </w:rPr>
            </w:pPr>
            <w:r w:rsidRPr="00964405">
              <w:rPr>
                <w:rFonts w:ascii="Times New Roman" w:hAnsi="Times New Roman" w:cs="Times New Roman"/>
                <w:lang w:val="en-GB" w:eastAsia="en-GB"/>
              </w:rPr>
              <w:t xml:space="preserve"> “</w:t>
            </w:r>
            <w:r w:rsidRPr="00964405">
              <w:rPr>
                <w:rFonts w:ascii="Times New Roman" w:hAnsi="Times New Roman" w:cs="Times New Roman"/>
                <w:b/>
                <w:lang w:val="en-GB"/>
              </w:rPr>
              <w:t xml:space="preserve">The open-ended intergovernmental working group </w:t>
            </w:r>
            <w:proofErr w:type="spellStart"/>
            <w:r w:rsidRPr="00964405">
              <w:rPr>
                <w:rFonts w:ascii="Times New Roman" w:hAnsi="Times New Roman" w:cs="Times New Roman"/>
                <w:b/>
                <w:lang w:val="de-CH"/>
              </w:rPr>
              <w:t>noted</w:t>
            </w:r>
            <w:proofErr w:type="spellEnd"/>
            <w:r w:rsidRPr="00964405">
              <w:rPr>
                <w:rFonts w:ascii="Times New Roman" w:hAnsi="Times New Roman" w:cs="Times New Roman"/>
                <w:b/>
                <w:lang w:val="de-CH"/>
              </w:rPr>
              <w:t xml:space="preserve"> </w:t>
            </w:r>
            <w:r w:rsidRPr="00964405">
              <w:rPr>
                <w:rFonts w:ascii="Times New Roman" w:hAnsi="Times New Roman" w:cs="Times New Roman"/>
                <w:b/>
                <w:lang w:val="en-GB"/>
              </w:rPr>
              <w:t xml:space="preserve">the multifaceted and diverse issues </w:t>
            </w:r>
            <w:proofErr w:type="gramStart"/>
            <w:r w:rsidRPr="00964405">
              <w:rPr>
                <w:rFonts w:ascii="Times New Roman" w:hAnsi="Times New Roman" w:cs="Times New Roman"/>
                <w:b/>
                <w:lang w:val="en-GB"/>
              </w:rPr>
              <w:t>raised</w:t>
            </w:r>
            <w:proofErr w:type="gramEnd"/>
            <w:r w:rsidRPr="00964405">
              <w:rPr>
                <w:rFonts w:ascii="Times New Roman" w:hAnsi="Times New Roman" w:cs="Times New Roman"/>
                <w:b/>
                <w:lang w:val="en-GB"/>
              </w:rPr>
              <w:t xml:space="preserve"> throughout its third and fourth sessions. </w:t>
            </w:r>
            <w:proofErr w:type="spellStart"/>
            <w:r w:rsidRPr="00964405">
              <w:rPr>
                <w:rFonts w:ascii="Times New Roman" w:hAnsi="Times New Roman" w:cs="Times New Roman"/>
                <w:b/>
                <w:lang w:val="en-GB"/>
              </w:rPr>
              <w:t>Th</w:t>
            </w:r>
            <w:proofErr w:type="spellEnd"/>
            <w:r w:rsidRPr="00964405">
              <w:rPr>
                <w:rFonts w:ascii="Times New Roman" w:hAnsi="Times New Roman" w:cs="Times New Roman"/>
                <w:b/>
                <w:lang w:val="de-CH"/>
              </w:rPr>
              <w:t>e</w:t>
            </w:r>
            <w:r w:rsidRPr="00964405">
              <w:rPr>
                <w:rFonts w:ascii="Times New Roman" w:hAnsi="Times New Roman" w:cs="Times New Roman"/>
                <w:b/>
                <w:lang w:val="en-GB"/>
              </w:rPr>
              <w:t xml:space="preserve">se included: the distinction between the activities of private military companies and private security companies; measures for registering, licensing and contracting private military and security companies; ensuring accountability and provision of assistance and remedies for victims; possibility of an international regulatory framework; specificities of regulating sea-based private security activities; and the use of private security companies by the United Nations. The </w:t>
            </w:r>
            <w:proofErr w:type="spellStart"/>
            <w:r w:rsidRPr="00964405">
              <w:rPr>
                <w:rFonts w:ascii="Times New Roman" w:hAnsi="Times New Roman" w:cs="Times New Roman"/>
                <w:b/>
                <w:lang w:val="de-CH"/>
              </w:rPr>
              <w:t>intergovernmental</w:t>
            </w:r>
            <w:proofErr w:type="spellEnd"/>
            <w:r w:rsidRPr="00964405">
              <w:rPr>
                <w:rFonts w:ascii="Times New Roman" w:hAnsi="Times New Roman" w:cs="Times New Roman"/>
                <w:b/>
                <w:lang w:val="de-CH"/>
              </w:rPr>
              <w:t xml:space="preserve"> </w:t>
            </w:r>
            <w:r w:rsidRPr="00964405">
              <w:rPr>
                <w:rFonts w:ascii="Times New Roman" w:hAnsi="Times New Roman" w:cs="Times New Roman"/>
                <w:b/>
                <w:lang w:val="en-GB"/>
              </w:rPr>
              <w:t xml:space="preserve">working group </w:t>
            </w:r>
            <w:proofErr w:type="spellStart"/>
            <w:r w:rsidRPr="00964405">
              <w:rPr>
                <w:rFonts w:ascii="Times New Roman" w:hAnsi="Times New Roman" w:cs="Times New Roman"/>
                <w:b/>
                <w:lang w:val="de-CH"/>
              </w:rPr>
              <w:t>noted</w:t>
            </w:r>
            <w:proofErr w:type="spellEnd"/>
            <w:r w:rsidRPr="00964405">
              <w:rPr>
                <w:rFonts w:ascii="Times New Roman" w:hAnsi="Times New Roman" w:cs="Times New Roman"/>
                <w:b/>
                <w:lang w:val="de-CH"/>
              </w:rPr>
              <w:t xml:space="preserve"> </w:t>
            </w:r>
            <w:r w:rsidRPr="00964405">
              <w:rPr>
                <w:rFonts w:ascii="Times New Roman" w:hAnsi="Times New Roman" w:cs="Times New Roman"/>
                <w:b/>
                <w:lang w:val="en-GB"/>
              </w:rPr>
              <w:t xml:space="preserve">the initiatives undertaken by various stakeholders relating to those issues, while highlighting the challenges that remain” </w:t>
            </w:r>
          </w:p>
          <w:p w:rsidR="00417A4C" w:rsidRPr="00964405" w:rsidRDefault="00417A4C" w:rsidP="00615921">
            <w:pPr>
              <w:rPr>
                <w:rFonts w:ascii="Times New Roman" w:hAnsi="Times New Roman" w:cs="Times New Roman"/>
                <w:lang w:val="en-GB" w:eastAsia="en-GB"/>
              </w:rPr>
            </w:pPr>
          </w:p>
        </w:tc>
        <w:tc>
          <w:tcPr>
            <w:tcW w:w="1559" w:type="dxa"/>
          </w:tcPr>
          <w:p w:rsidR="00417A4C" w:rsidRPr="0043008A" w:rsidRDefault="00417A4C" w:rsidP="00615921">
            <w:pPr>
              <w:jc w:val="left"/>
              <w:rPr>
                <w:rFonts w:ascii="Times New Roman" w:hAnsi="Times New Roman" w:cs="Times New Roman"/>
                <w:i/>
                <w:sz w:val="22"/>
                <w:szCs w:val="22"/>
                <w:lang w:val="en-GB" w:eastAsia="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Pr>
                <w:rFonts w:ascii="Times New Roman" w:hAnsi="Times New Roman" w:cs="Times New Roman"/>
                <w:b/>
                <w:lang w:val="en-AU"/>
              </w:rPr>
              <w:t>81</w:t>
            </w:r>
          </w:p>
        </w:tc>
        <w:tc>
          <w:tcPr>
            <w:tcW w:w="8441" w:type="dxa"/>
            <w:gridSpan w:val="2"/>
          </w:tcPr>
          <w:p w:rsidR="00417A4C" w:rsidRDefault="00417A4C" w:rsidP="00615921">
            <w:pPr>
              <w:rPr>
                <w:rFonts w:ascii="Times New Roman" w:hAnsi="Times New Roman" w:cs="Times New Roman"/>
                <w:b/>
                <w:lang w:val="en-GB"/>
              </w:rPr>
            </w:pPr>
            <w:r w:rsidRPr="00964405">
              <w:rPr>
                <w:rFonts w:ascii="Times New Roman" w:hAnsi="Times New Roman" w:cs="Times New Roman"/>
                <w:b/>
                <w:lang w:val="en-GB"/>
              </w:rPr>
              <w:t>“The open-ended intergovernmental working group will continue its work on the above-mentioned issues and also recommend</w:t>
            </w:r>
            <w:r w:rsidRPr="00964405">
              <w:rPr>
                <w:rFonts w:ascii="Times New Roman" w:hAnsi="Times New Roman" w:cs="Times New Roman"/>
                <w:b/>
                <w:lang w:val="de-CH"/>
              </w:rPr>
              <w:t>s</w:t>
            </w:r>
            <w:r w:rsidRPr="00964405">
              <w:rPr>
                <w:rFonts w:ascii="Times New Roman" w:hAnsi="Times New Roman" w:cs="Times New Roman"/>
                <w:b/>
                <w:lang w:val="en-GB"/>
              </w:rPr>
              <w:t xml:space="preserve"> further consideration of related human rights issues”</w:t>
            </w:r>
          </w:p>
          <w:p w:rsidR="00417A4C" w:rsidRPr="00964405" w:rsidRDefault="00417A4C" w:rsidP="00615921">
            <w:pPr>
              <w:rPr>
                <w:rFonts w:ascii="Times New Roman" w:hAnsi="Times New Roman" w:cs="Times New Roman"/>
                <w:lang w:val="en-GB" w:eastAsia="en-GB"/>
              </w:rPr>
            </w:pPr>
          </w:p>
        </w:tc>
        <w:tc>
          <w:tcPr>
            <w:tcW w:w="1559" w:type="dxa"/>
          </w:tcPr>
          <w:p w:rsidR="00417A4C" w:rsidRPr="003F4914" w:rsidRDefault="00417A4C" w:rsidP="00615921">
            <w:pPr>
              <w:jc w:val="left"/>
              <w:rPr>
                <w:rFonts w:ascii="Times New Roman" w:hAnsi="Times New Roman" w:cs="Times New Roman"/>
                <w:i/>
                <w:szCs w:val="22"/>
                <w:lang w:val="en-GB" w:eastAsia="en-GB"/>
              </w:rPr>
            </w:pPr>
          </w:p>
        </w:tc>
      </w:tr>
      <w:tr w:rsidR="00417A4C" w:rsidRPr="003B1CB1" w:rsidTr="00615921">
        <w:tc>
          <w:tcPr>
            <w:tcW w:w="1057" w:type="dxa"/>
          </w:tcPr>
          <w:p w:rsidR="00417A4C" w:rsidRPr="003F4914" w:rsidRDefault="00F16FC8" w:rsidP="00615921">
            <w:pPr>
              <w:jc w:val="right"/>
              <w:rPr>
                <w:rFonts w:ascii="Times New Roman" w:hAnsi="Times New Roman" w:cs="Times New Roman"/>
                <w:b/>
                <w:lang w:val="en-AU"/>
              </w:rPr>
            </w:pPr>
            <w:r>
              <w:rPr>
                <w:rFonts w:ascii="Times New Roman" w:hAnsi="Times New Roman" w:cs="Times New Roman"/>
                <w:b/>
                <w:lang w:val="en-AU"/>
              </w:rPr>
              <w:t>Annex</w:t>
            </w:r>
            <w:r w:rsidR="00417A4C">
              <w:rPr>
                <w:rFonts w:ascii="Times New Roman" w:hAnsi="Times New Roman" w:cs="Times New Roman"/>
                <w:b/>
                <w:lang w:val="en-AU"/>
              </w:rPr>
              <w:t xml:space="preserve"> II</w:t>
            </w:r>
          </w:p>
        </w:tc>
        <w:tc>
          <w:tcPr>
            <w:tcW w:w="8441" w:type="dxa"/>
            <w:gridSpan w:val="2"/>
          </w:tcPr>
          <w:p w:rsidR="00417A4C" w:rsidRPr="0043008A" w:rsidRDefault="00417A4C" w:rsidP="00417A4C">
            <w:pPr>
              <w:pStyle w:val="ListParagraph"/>
              <w:numPr>
                <w:ilvl w:val="0"/>
                <w:numId w:val="9"/>
              </w:numPr>
              <w:rPr>
                <w:rFonts w:ascii="Times New Roman" w:hAnsi="Times New Roman" w:cs="Times New Roman"/>
                <w:lang w:val="en-GB" w:eastAsia="en-GB"/>
              </w:rPr>
            </w:pPr>
            <w:r w:rsidRPr="0043008A">
              <w:rPr>
                <w:rFonts w:ascii="Times New Roman" w:hAnsi="Times New Roman" w:cs="Times New Roman"/>
                <w:lang w:val="en-GB"/>
              </w:rPr>
              <w:t>“</w:t>
            </w:r>
            <w:r>
              <w:rPr>
                <w:rFonts w:ascii="Times New Roman" w:hAnsi="Times New Roman" w:cs="Times New Roman"/>
                <w:lang w:val="en-GB"/>
              </w:rPr>
              <w:t>T</w:t>
            </w:r>
            <w:r w:rsidRPr="0043008A">
              <w:rPr>
                <w:rFonts w:ascii="Times New Roman" w:hAnsi="Times New Roman" w:cs="Times New Roman"/>
                <w:lang w:val="en-GB"/>
              </w:rPr>
              <w:t xml:space="preserve">o look into progress made in other fora” </w:t>
            </w:r>
          </w:p>
          <w:p w:rsidR="00417A4C" w:rsidRPr="003E6B32" w:rsidRDefault="00417A4C" w:rsidP="00417A4C">
            <w:pPr>
              <w:pStyle w:val="ListParagraph"/>
              <w:numPr>
                <w:ilvl w:val="0"/>
                <w:numId w:val="9"/>
              </w:numPr>
              <w:rPr>
                <w:rFonts w:ascii="Times New Roman" w:hAnsi="Times New Roman" w:cs="Times New Roman"/>
                <w:lang w:val="en-GB" w:eastAsia="en-GB"/>
              </w:rPr>
            </w:pPr>
            <w:r w:rsidRPr="0043008A">
              <w:rPr>
                <w:rFonts w:ascii="Times New Roman" w:hAnsi="Times New Roman" w:cs="Times New Roman"/>
                <w:lang w:val="en-GB"/>
              </w:rPr>
              <w:t xml:space="preserve">“Not to duplicate the work carried by the International Maritime Organisation” </w:t>
            </w:r>
          </w:p>
          <w:p w:rsidR="00417A4C" w:rsidRPr="0043008A" w:rsidRDefault="00417A4C" w:rsidP="00417A4C">
            <w:pPr>
              <w:pStyle w:val="ListParagraph"/>
              <w:numPr>
                <w:ilvl w:val="0"/>
                <w:numId w:val="9"/>
              </w:numPr>
              <w:rPr>
                <w:rFonts w:ascii="Times New Roman" w:hAnsi="Times New Roman" w:cs="Times New Roman"/>
                <w:lang w:val="en-GB" w:eastAsia="en-GB"/>
              </w:rPr>
            </w:pPr>
            <w:r w:rsidRPr="0043008A">
              <w:rPr>
                <w:rFonts w:ascii="Times New Roman" w:hAnsi="Times New Roman" w:cs="Times New Roman"/>
                <w:lang w:val="en-GB"/>
              </w:rPr>
              <w:t xml:space="preserve">“Continuation of the substantive discussions in the intergovernmental working group with the participation of experts and all relevant stakeholders to take stock of progress at the national and international levels </w:t>
            </w:r>
            <w:r w:rsidRPr="0043008A">
              <w:rPr>
                <w:rFonts w:ascii="Times New Roman" w:hAnsi="Times New Roman" w:cs="Times New Roman"/>
                <w:lang w:val="en-US"/>
              </w:rPr>
              <w:t>—</w:t>
            </w:r>
            <w:r w:rsidRPr="0043008A">
              <w:rPr>
                <w:rFonts w:ascii="Times New Roman" w:hAnsi="Times New Roman" w:cs="Times New Roman"/>
                <w:lang w:val="en-GB"/>
              </w:rPr>
              <w:t xml:space="preserve"> including in widening the support to the Montreux Document and its Forum, and the development of the International Code of Conduct Association </w:t>
            </w:r>
            <w:r w:rsidRPr="0043008A">
              <w:rPr>
                <w:rFonts w:ascii="Times New Roman" w:hAnsi="Times New Roman" w:cs="Times New Roman"/>
                <w:lang w:val="en-US"/>
              </w:rPr>
              <w:t>—</w:t>
            </w:r>
            <w:r w:rsidRPr="0043008A">
              <w:rPr>
                <w:rFonts w:ascii="Times New Roman" w:hAnsi="Times New Roman" w:cs="Times New Roman"/>
                <w:lang w:val="en-GB"/>
              </w:rPr>
              <w:t xml:space="preserve"> regarding the regulation, monitoring and oversight of the activities of Private Military Companies and Private Security Companies”</w:t>
            </w:r>
          </w:p>
          <w:p w:rsidR="00417A4C" w:rsidRPr="0043008A" w:rsidRDefault="00417A4C" w:rsidP="00417A4C">
            <w:pPr>
              <w:pStyle w:val="ListParagraph"/>
              <w:numPr>
                <w:ilvl w:val="0"/>
                <w:numId w:val="9"/>
              </w:numPr>
              <w:rPr>
                <w:rFonts w:ascii="Times New Roman" w:hAnsi="Times New Roman" w:cs="Times New Roman"/>
                <w:lang w:val="en-GB" w:eastAsia="en-GB"/>
              </w:rPr>
            </w:pPr>
            <w:r w:rsidRPr="0043008A">
              <w:rPr>
                <w:rFonts w:ascii="Times New Roman" w:hAnsi="Times New Roman" w:cs="Times New Roman"/>
                <w:lang w:val="en-GB"/>
              </w:rPr>
              <w:t xml:space="preserve">“Review the implementation of the Guiding Principles on Business and Human Rights with particular emphasis on the third pillar regarding access to remedies, in the case of the activities carried out by private </w:t>
            </w:r>
            <w:r w:rsidRPr="0043008A">
              <w:rPr>
                <w:rFonts w:ascii="Times New Roman" w:hAnsi="Times New Roman" w:cs="Times New Roman"/>
                <w:lang w:val="en-US"/>
              </w:rPr>
              <w:t>m</w:t>
            </w:r>
            <w:proofErr w:type="spellStart"/>
            <w:r w:rsidRPr="0043008A">
              <w:rPr>
                <w:rFonts w:ascii="Times New Roman" w:hAnsi="Times New Roman" w:cs="Times New Roman"/>
                <w:lang w:val="en-GB"/>
              </w:rPr>
              <w:t>ilitary</w:t>
            </w:r>
            <w:proofErr w:type="spellEnd"/>
            <w:r w:rsidRPr="0043008A">
              <w:rPr>
                <w:rFonts w:ascii="Times New Roman" w:hAnsi="Times New Roman" w:cs="Times New Roman"/>
                <w:lang w:val="en-GB"/>
              </w:rPr>
              <w:t xml:space="preserve"> </w:t>
            </w:r>
            <w:r w:rsidRPr="0043008A">
              <w:rPr>
                <w:rFonts w:ascii="Times New Roman" w:hAnsi="Times New Roman" w:cs="Times New Roman"/>
                <w:lang w:val="en-US"/>
              </w:rPr>
              <w:t>c</w:t>
            </w:r>
            <w:proofErr w:type="spellStart"/>
            <w:r w:rsidRPr="0043008A">
              <w:rPr>
                <w:rFonts w:ascii="Times New Roman" w:hAnsi="Times New Roman" w:cs="Times New Roman"/>
                <w:lang w:val="en-GB"/>
              </w:rPr>
              <w:t>ompanies</w:t>
            </w:r>
            <w:proofErr w:type="spellEnd"/>
            <w:r w:rsidRPr="0043008A">
              <w:rPr>
                <w:rFonts w:ascii="Times New Roman" w:hAnsi="Times New Roman" w:cs="Times New Roman"/>
                <w:lang w:val="en-GB"/>
              </w:rPr>
              <w:t xml:space="preserve"> and </w:t>
            </w:r>
            <w:r w:rsidRPr="0043008A">
              <w:rPr>
                <w:rFonts w:ascii="Times New Roman" w:hAnsi="Times New Roman" w:cs="Times New Roman"/>
                <w:lang w:val="en-US"/>
              </w:rPr>
              <w:t>p</w:t>
            </w:r>
            <w:proofErr w:type="spellStart"/>
            <w:r w:rsidRPr="0043008A">
              <w:rPr>
                <w:rFonts w:ascii="Times New Roman" w:hAnsi="Times New Roman" w:cs="Times New Roman"/>
                <w:lang w:val="en-GB"/>
              </w:rPr>
              <w:t>rivate</w:t>
            </w:r>
            <w:proofErr w:type="spellEnd"/>
            <w:r w:rsidRPr="0043008A">
              <w:rPr>
                <w:rFonts w:ascii="Times New Roman" w:hAnsi="Times New Roman" w:cs="Times New Roman"/>
                <w:lang w:val="en-GB"/>
              </w:rPr>
              <w:t xml:space="preserve"> security companies”</w:t>
            </w:r>
          </w:p>
          <w:p w:rsidR="00417A4C" w:rsidRPr="0043008A" w:rsidRDefault="00417A4C" w:rsidP="00417A4C">
            <w:pPr>
              <w:pStyle w:val="ListParagraph"/>
              <w:numPr>
                <w:ilvl w:val="0"/>
                <w:numId w:val="9"/>
              </w:numPr>
              <w:rPr>
                <w:rFonts w:ascii="Times New Roman" w:hAnsi="Times New Roman" w:cs="Times New Roman"/>
                <w:lang w:val="en-GB" w:eastAsia="en-GB"/>
              </w:rPr>
            </w:pPr>
            <w:r w:rsidRPr="0043008A">
              <w:rPr>
                <w:rFonts w:ascii="Times New Roman" w:hAnsi="Times New Roman" w:cs="Times New Roman"/>
                <w:lang w:val="en-GB"/>
              </w:rPr>
              <w:t xml:space="preserve">“Consideration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w:t>
            </w:r>
            <w:r w:rsidRPr="0043008A">
              <w:rPr>
                <w:rFonts w:ascii="Times New Roman" w:hAnsi="Times New Roman" w:cs="Times New Roman"/>
                <w:lang w:val="en-GB"/>
              </w:rPr>
              <w:lastRenderedPageBreak/>
              <w:t>assistance programmes”</w:t>
            </w:r>
          </w:p>
          <w:p w:rsidR="00417A4C" w:rsidRPr="0043008A" w:rsidRDefault="00417A4C" w:rsidP="00417A4C">
            <w:pPr>
              <w:pStyle w:val="ListParagraph"/>
              <w:numPr>
                <w:ilvl w:val="0"/>
                <w:numId w:val="9"/>
              </w:numPr>
              <w:rPr>
                <w:rFonts w:ascii="Times New Roman" w:hAnsi="Times New Roman" w:cs="Times New Roman"/>
                <w:lang w:val="en-GB" w:eastAsia="en-GB"/>
              </w:rPr>
            </w:pPr>
            <w:r w:rsidRPr="0043008A">
              <w:rPr>
                <w:rFonts w:ascii="Times New Roman" w:hAnsi="Times New Roman" w:cs="Times New Roman"/>
                <w:lang w:val="en-GB"/>
              </w:rPr>
              <w:t xml:space="preserve">“Consideration of the tasking of a </w:t>
            </w:r>
            <w:r w:rsidRPr="0043008A">
              <w:rPr>
                <w:rFonts w:ascii="Times New Roman" w:hAnsi="Times New Roman" w:cs="Times New Roman"/>
                <w:lang w:val="en-US"/>
              </w:rPr>
              <w:t>h</w:t>
            </w:r>
            <w:proofErr w:type="spellStart"/>
            <w:r w:rsidRPr="0043008A">
              <w:rPr>
                <w:rFonts w:ascii="Times New Roman" w:hAnsi="Times New Roman" w:cs="Times New Roman"/>
                <w:lang w:val="en-GB"/>
              </w:rPr>
              <w:t>igh</w:t>
            </w:r>
            <w:proofErr w:type="spellEnd"/>
            <w:r w:rsidRPr="0043008A">
              <w:rPr>
                <w:rFonts w:ascii="Times New Roman" w:hAnsi="Times New Roman" w:cs="Times New Roman"/>
                <w:lang w:val="en-US"/>
              </w:rPr>
              <w:t>-l</w:t>
            </w:r>
            <w:proofErr w:type="spellStart"/>
            <w:r w:rsidRPr="0043008A">
              <w:rPr>
                <w:rFonts w:ascii="Times New Roman" w:hAnsi="Times New Roman" w:cs="Times New Roman"/>
                <w:lang w:val="en-GB"/>
              </w:rPr>
              <w:t>evel</w:t>
            </w:r>
            <w:proofErr w:type="spellEnd"/>
            <w:r w:rsidRPr="0043008A">
              <w:rPr>
                <w:rFonts w:ascii="Times New Roman" w:hAnsi="Times New Roman" w:cs="Times New Roman"/>
                <w:lang w:val="en-GB"/>
              </w:rPr>
              <w:t xml:space="preserve"> </w:t>
            </w:r>
            <w:r w:rsidRPr="0043008A">
              <w:rPr>
                <w:rFonts w:ascii="Times New Roman" w:hAnsi="Times New Roman" w:cs="Times New Roman"/>
                <w:lang w:val="en-US"/>
              </w:rPr>
              <w:t>g</w:t>
            </w:r>
            <w:proofErr w:type="spellStart"/>
            <w:r w:rsidRPr="0043008A">
              <w:rPr>
                <w:rFonts w:ascii="Times New Roman" w:hAnsi="Times New Roman" w:cs="Times New Roman"/>
                <w:lang w:val="en-GB"/>
              </w:rPr>
              <w:t>roup</w:t>
            </w:r>
            <w:proofErr w:type="spellEnd"/>
            <w:r w:rsidRPr="0043008A">
              <w:rPr>
                <w:rFonts w:ascii="Times New Roman" w:hAnsi="Times New Roman" w:cs="Times New Roman"/>
                <w:lang w:val="en-GB"/>
              </w:rPr>
              <w:t xml:space="preserve"> of </w:t>
            </w:r>
            <w:r w:rsidRPr="0043008A">
              <w:rPr>
                <w:rFonts w:ascii="Times New Roman" w:hAnsi="Times New Roman" w:cs="Times New Roman"/>
                <w:lang w:val="en-US"/>
              </w:rPr>
              <w:t>l</w:t>
            </w:r>
            <w:proofErr w:type="spellStart"/>
            <w:r w:rsidRPr="0043008A">
              <w:rPr>
                <w:rFonts w:ascii="Times New Roman" w:hAnsi="Times New Roman" w:cs="Times New Roman"/>
                <w:lang w:val="en-GB"/>
              </w:rPr>
              <w:t>egal</w:t>
            </w:r>
            <w:proofErr w:type="spellEnd"/>
            <w:r w:rsidRPr="0043008A">
              <w:rPr>
                <w:rFonts w:ascii="Times New Roman" w:hAnsi="Times New Roman" w:cs="Times New Roman"/>
                <w:lang w:val="en-GB"/>
              </w:rPr>
              <w:t xml:space="preserve"> </w:t>
            </w:r>
            <w:r w:rsidRPr="0043008A">
              <w:rPr>
                <w:rFonts w:ascii="Times New Roman" w:hAnsi="Times New Roman" w:cs="Times New Roman"/>
                <w:lang w:val="en-US"/>
              </w:rPr>
              <w:t>e</w:t>
            </w:r>
            <w:proofErr w:type="spellStart"/>
            <w:r w:rsidRPr="0043008A">
              <w:rPr>
                <w:rFonts w:ascii="Times New Roman" w:hAnsi="Times New Roman" w:cs="Times New Roman"/>
                <w:lang w:val="en-GB"/>
              </w:rPr>
              <w:t>xperts</w:t>
            </w:r>
            <w:proofErr w:type="spellEnd"/>
            <w:r w:rsidRPr="0043008A">
              <w:rPr>
                <w:rFonts w:ascii="Times New Roman" w:hAnsi="Times New Roman" w:cs="Times New Roman"/>
                <w:lang w:val="en-GB"/>
              </w:rPr>
              <w:t xml:space="preserve">/the Office of the </w:t>
            </w:r>
            <w:r w:rsidRPr="0043008A">
              <w:rPr>
                <w:rFonts w:ascii="Times New Roman" w:hAnsi="Times New Roman" w:cs="Times New Roman"/>
                <w:lang w:val="en-US"/>
              </w:rPr>
              <w:t xml:space="preserve">United Nations </w:t>
            </w:r>
            <w:r w:rsidRPr="0043008A">
              <w:rPr>
                <w:rFonts w:ascii="Times New Roman" w:hAnsi="Times New Roman" w:cs="Times New Roman"/>
                <w:lang w:val="en-GB"/>
              </w:rPr>
              <w:t xml:space="preserve">High Commissioner for Human Rights to prepare a document for consideration at the </w:t>
            </w:r>
            <w:proofErr w:type="spellStart"/>
            <w:r w:rsidRPr="0043008A">
              <w:rPr>
                <w:rFonts w:ascii="Times New Roman" w:hAnsi="Times New Roman" w:cs="Times New Roman"/>
                <w:lang w:val="en-US"/>
              </w:rPr>
              <w:t>fif</w:t>
            </w:r>
            <w:r w:rsidRPr="0043008A">
              <w:rPr>
                <w:rFonts w:ascii="Times New Roman" w:hAnsi="Times New Roman" w:cs="Times New Roman"/>
                <w:lang w:val="en-GB"/>
              </w:rPr>
              <w:t>th</w:t>
            </w:r>
            <w:proofErr w:type="spellEnd"/>
            <w:r w:rsidRPr="0043008A">
              <w:rPr>
                <w:rFonts w:ascii="Times New Roman" w:hAnsi="Times New Roman" w:cs="Times New Roman"/>
                <w:lang w:val="en-GB"/>
              </w:rPr>
              <w:t xml:space="preserve"> session to outline the modalities for each possible option, drawing when possible on past experience”</w:t>
            </w:r>
          </w:p>
          <w:p w:rsidR="00417A4C" w:rsidRPr="0043008A" w:rsidRDefault="00417A4C" w:rsidP="00615921">
            <w:pPr>
              <w:rPr>
                <w:rFonts w:ascii="Times New Roman" w:hAnsi="Times New Roman" w:cs="Times New Roman"/>
                <w:lang w:val="en-GB" w:eastAsia="en-GB"/>
              </w:rPr>
            </w:pPr>
          </w:p>
        </w:tc>
        <w:tc>
          <w:tcPr>
            <w:tcW w:w="1559" w:type="dxa"/>
          </w:tcPr>
          <w:p w:rsidR="00417A4C" w:rsidRPr="003F4914" w:rsidRDefault="00417A4C" w:rsidP="00615921">
            <w:pPr>
              <w:jc w:val="left"/>
              <w:rPr>
                <w:rFonts w:ascii="Times New Roman" w:hAnsi="Times New Roman" w:cs="Times New Roman"/>
                <w:i/>
                <w:sz w:val="22"/>
                <w:szCs w:val="22"/>
                <w:lang w:val="en-GB"/>
              </w:rPr>
            </w:pPr>
            <w:r>
              <w:rPr>
                <w:rFonts w:ascii="Times New Roman" w:hAnsi="Times New Roman" w:cs="Times New Roman"/>
                <w:i/>
                <w:sz w:val="22"/>
                <w:szCs w:val="22"/>
                <w:lang w:val="en-GB" w:eastAsia="en-GB"/>
              </w:rPr>
              <w:lastRenderedPageBreak/>
              <w:t xml:space="preserve"> </w:t>
            </w:r>
          </w:p>
        </w:tc>
      </w:tr>
      <w:tr w:rsidR="00417A4C" w:rsidRPr="0043008A" w:rsidTr="00615921">
        <w:tc>
          <w:tcPr>
            <w:tcW w:w="1057" w:type="dxa"/>
          </w:tcPr>
          <w:p w:rsidR="00417A4C" w:rsidRPr="003F4914" w:rsidRDefault="00F16FC8" w:rsidP="00615921">
            <w:pPr>
              <w:jc w:val="right"/>
              <w:rPr>
                <w:rFonts w:ascii="Times New Roman" w:hAnsi="Times New Roman" w:cs="Times New Roman"/>
                <w:b/>
                <w:lang w:val="en-AU"/>
              </w:rPr>
            </w:pPr>
            <w:r>
              <w:rPr>
                <w:rFonts w:ascii="Times New Roman" w:hAnsi="Times New Roman" w:cs="Times New Roman"/>
                <w:b/>
                <w:lang w:val="en-AU"/>
              </w:rPr>
              <w:lastRenderedPageBreak/>
              <w:t>Annex</w:t>
            </w:r>
            <w:r w:rsidR="00417A4C">
              <w:rPr>
                <w:rFonts w:ascii="Times New Roman" w:hAnsi="Times New Roman" w:cs="Times New Roman"/>
                <w:b/>
                <w:lang w:val="en-AU"/>
              </w:rPr>
              <w:t xml:space="preserve"> III</w:t>
            </w:r>
          </w:p>
        </w:tc>
        <w:tc>
          <w:tcPr>
            <w:tcW w:w="8441" w:type="dxa"/>
            <w:gridSpan w:val="2"/>
          </w:tcPr>
          <w:p w:rsidR="00417A4C" w:rsidRPr="0043008A" w:rsidRDefault="00417A4C" w:rsidP="00417A4C">
            <w:pPr>
              <w:pStyle w:val="ListParagraph"/>
              <w:numPr>
                <w:ilvl w:val="0"/>
                <w:numId w:val="9"/>
              </w:numPr>
              <w:rPr>
                <w:rFonts w:ascii="Times New Roman" w:hAnsi="Times New Roman" w:cs="Times New Roman"/>
                <w:lang w:val="fr-CH" w:eastAsia="en-GB"/>
              </w:rPr>
            </w:pPr>
            <w:r w:rsidRPr="0043008A">
              <w:rPr>
                <w:rFonts w:ascii="Times New Roman" w:hAnsi="Times New Roman" w:cs="Times New Roman"/>
                <w:lang w:val="fr-CH"/>
              </w:rPr>
              <w:t>“Nous appelons ce groupe de travail à poursuivre ses travaux dans le cadre du mandat qui a été mis en place et qui consiste en l’élaboration d’un instrument international à caractère contraignant”</w:t>
            </w:r>
          </w:p>
          <w:p w:rsidR="00417A4C" w:rsidRPr="0043008A" w:rsidRDefault="00417A4C" w:rsidP="00615921">
            <w:pPr>
              <w:rPr>
                <w:rFonts w:ascii="Times New Roman" w:hAnsi="Times New Roman" w:cs="Times New Roman"/>
                <w:lang w:val="fr-CH" w:eastAsia="en-GB"/>
              </w:rPr>
            </w:pPr>
          </w:p>
        </w:tc>
        <w:tc>
          <w:tcPr>
            <w:tcW w:w="1559" w:type="dxa"/>
          </w:tcPr>
          <w:p w:rsidR="00417A4C" w:rsidRPr="0043008A" w:rsidRDefault="00417A4C" w:rsidP="00615921">
            <w:pPr>
              <w:jc w:val="left"/>
              <w:rPr>
                <w:rFonts w:ascii="Times New Roman" w:hAnsi="Times New Roman" w:cs="Times New Roman"/>
                <w:i/>
                <w:sz w:val="22"/>
                <w:szCs w:val="22"/>
                <w:lang w:val="fr-CH" w:eastAsia="en-GB"/>
              </w:rPr>
            </w:pPr>
          </w:p>
        </w:tc>
      </w:tr>
    </w:tbl>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C15900" w:rsidRDefault="00C15900"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Default="00417A4C" w:rsidP="00417A4C">
      <w:pPr>
        <w:rPr>
          <w:rFonts w:ascii="Times New Roman" w:hAnsi="Times New Roman" w:cs="Times New Roman"/>
          <w:sz w:val="24"/>
          <w:lang w:val="fr-CH"/>
        </w:rPr>
      </w:pPr>
    </w:p>
    <w:p w:rsidR="00417A4C" w:rsidRPr="0043008A" w:rsidRDefault="00417A4C" w:rsidP="00417A4C">
      <w:pPr>
        <w:rPr>
          <w:rFonts w:ascii="Times New Roman" w:hAnsi="Times New Roman" w:cs="Times New Roman"/>
          <w:sz w:val="24"/>
          <w:lang w:val="fr-CH"/>
        </w:rPr>
      </w:pPr>
    </w:p>
    <w:p w:rsidR="00417A4C" w:rsidRPr="00C91DB4" w:rsidRDefault="00417A4C" w:rsidP="00417A4C">
      <w:pPr>
        <w:jc w:val="center"/>
        <w:rPr>
          <w:rFonts w:ascii="Times New Roman" w:hAnsi="Times New Roman" w:cs="Times New Roman"/>
          <w:b/>
          <w:sz w:val="24"/>
          <w:lang w:val="en-AU"/>
        </w:rPr>
      </w:pPr>
      <w:r w:rsidRPr="00C91DB4">
        <w:rPr>
          <w:rFonts w:ascii="Times New Roman" w:hAnsi="Times New Roman" w:cs="Times New Roman"/>
          <w:b/>
          <w:sz w:val="24"/>
          <w:lang w:val="en-AU"/>
        </w:rPr>
        <w:lastRenderedPageBreak/>
        <w:t>Fifth session: Geneva, 12-16 December 2016</w:t>
      </w:r>
    </w:p>
    <w:p w:rsidR="00417A4C" w:rsidRDefault="00417A4C" w:rsidP="00417A4C">
      <w:pPr>
        <w:jc w:val="center"/>
        <w:rPr>
          <w:rFonts w:ascii="Times New Roman" w:hAnsi="Times New Roman" w:cs="Times New Roman"/>
          <w:b/>
          <w:sz w:val="24"/>
          <w:lang w:val="en-AU"/>
        </w:rPr>
      </w:pPr>
      <w:r>
        <w:rPr>
          <w:rFonts w:ascii="Times New Roman" w:hAnsi="Times New Roman" w:cs="Times New Roman"/>
          <w:b/>
          <w:sz w:val="24"/>
          <w:lang w:val="en-AU"/>
        </w:rPr>
        <w:t>A/HRC/WG.10/5/2</w:t>
      </w:r>
    </w:p>
    <w:p w:rsidR="00417A4C" w:rsidRPr="00C91DB4" w:rsidRDefault="00417A4C" w:rsidP="00417A4C">
      <w:pPr>
        <w:jc w:val="center"/>
        <w:rPr>
          <w:rFonts w:ascii="Times New Roman" w:hAnsi="Times New Roman" w:cs="Times New Roman"/>
          <w:b/>
          <w:sz w:val="24"/>
          <w:lang w:val="en-AU"/>
        </w:rPr>
      </w:pPr>
    </w:p>
    <w:tbl>
      <w:tblPr>
        <w:tblStyle w:val="TableGrid"/>
        <w:tblW w:w="11057" w:type="dxa"/>
        <w:tblInd w:w="-601" w:type="dxa"/>
        <w:tblLayout w:type="fixed"/>
        <w:tblLook w:val="04A0" w:firstRow="1" w:lastRow="0" w:firstColumn="1" w:lastColumn="0" w:noHBand="0" w:noVBand="1"/>
      </w:tblPr>
      <w:tblGrid>
        <w:gridCol w:w="1057"/>
        <w:gridCol w:w="7"/>
        <w:gridCol w:w="8434"/>
        <w:gridCol w:w="1559"/>
      </w:tblGrid>
      <w:tr w:rsidR="00417A4C" w:rsidRPr="0033134E" w:rsidTr="00615921">
        <w:trPr>
          <w:trHeight w:val="144"/>
        </w:trPr>
        <w:tc>
          <w:tcPr>
            <w:tcW w:w="1064" w:type="dxa"/>
            <w:gridSpan w:val="2"/>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Paragraph</w:t>
            </w:r>
          </w:p>
        </w:tc>
        <w:tc>
          <w:tcPr>
            <w:tcW w:w="8434" w:type="dxa"/>
          </w:tcPr>
          <w:p w:rsidR="00417A4C" w:rsidRPr="003F4914" w:rsidRDefault="00417A4C" w:rsidP="00615921">
            <w:pPr>
              <w:pStyle w:val="NoSpacing"/>
              <w:spacing w:line="276" w:lineRule="auto"/>
              <w:jc w:val="center"/>
              <w:rPr>
                <w:rFonts w:ascii="Times New Roman" w:hAnsi="Times New Roman" w:cs="Times New Roman"/>
                <w:b/>
                <w:i/>
                <w:sz w:val="19"/>
                <w:szCs w:val="19"/>
                <w:lang w:val="en-AU"/>
              </w:rPr>
            </w:pPr>
            <w:r w:rsidRPr="003F4914">
              <w:rPr>
                <w:rFonts w:ascii="Times New Roman" w:hAnsi="Times New Roman" w:cs="Times New Roman"/>
                <w:b/>
                <w:i/>
                <w:sz w:val="19"/>
                <w:szCs w:val="19"/>
                <w:lang w:val="en-AU"/>
              </w:rPr>
              <w:t>Quote</w:t>
            </w:r>
          </w:p>
        </w:tc>
        <w:tc>
          <w:tcPr>
            <w:tcW w:w="1559" w:type="dxa"/>
          </w:tcPr>
          <w:p w:rsidR="00417A4C" w:rsidRPr="003F4914" w:rsidRDefault="00417A4C" w:rsidP="00417A4C">
            <w:pPr>
              <w:pStyle w:val="NoSpacing"/>
              <w:spacing w:line="276" w:lineRule="auto"/>
              <w:jc w:val="center"/>
              <w:rPr>
                <w:rFonts w:ascii="Times New Roman" w:hAnsi="Times New Roman" w:cs="Times New Roman"/>
                <w:b/>
                <w:i/>
                <w:sz w:val="19"/>
                <w:szCs w:val="19"/>
                <w:lang w:val="en-AU"/>
              </w:rPr>
            </w:pPr>
            <w:r>
              <w:rPr>
                <w:rFonts w:ascii="Times New Roman" w:hAnsi="Times New Roman" w:cs="Times New Roman"/>
                <w:b/>
                <w:i/>
                <w:sz w:val="19"/>
                <w:szCs w:val="19"/>
                <w:lang w:val="en-AU"/>
              </w:rPr>
              <w:t>Comment</w:t>
            </w: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3</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GB" w:eastAsia="en-GB"/>
              </w:rPr>
            </w:pPr>
            <w:r w:rsidRPr="00C91DB4">
              <w:rPr>
                <w:rFonts w:ascii="Times New Roman" w:hAnsi="Times New Roman" w:cs="Times New Roman"/>
                <w:lang w:val="en-GB"/>
              </w:rPr>
              <w:t>“Ensuring that victims’ rights were protected and that the wrongs caused to them by private military and security companies, whether operating at the national or the transnational level, were not left with impunity”</w:t>
            </w:r>
          </w:p>
          <w:p w:rsidR="00417A4C" w:rsidRPr="00C91DB4" w:rsidRDefault="00417A4C" w:rsidP="00417A4C">
            <w:pPr>
              <w:pStyle w:val="ListParagraph"/>
              <w:numPr>
                <w:ilvl w:val="0"/>
                <w:numId w:val="9"/>
              </w:numPr>
              <w:rPr>
                <w:rFonts w:ascii="Times New Roman" w:hAnsi="Times New Roman" w:cs="Times New Roman"/>
                <w:lang w:val="en-AU"/>
              </w:rPr>
            </w:pPr>
            <w:r>
              <w:rPr>
                <w:rFonts w:ascii="Times New Roman" w:hAnsi="Times New Roman" w:cs="Times New Roman"/>
                <w:lang w:val="en-GB"/>
              </w:rPr>
              <w:t>“The e</w:t>
            </w:r>
            <w:r w:rsidRPr="00C91DB4">
              <w:rPr>
                <w:rFonts w:ascii="Times New Roman" w:hAnsi="Times New Roman" w:cs="Times New Roman"/>
                <w:lang w:val="en-GB"/>
              </w:rPr>
              <w:t>stablishment of grievance procedures to deal with cases of alleged abuses and regular monitoring to ensure oversight, immediate cessation of abuses and accountability”</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8</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eastAsia="en-GB"/>
              </w:rPr>
              <w:t>“Building on this earlier work and of continuing to engage in constructive interaction with a view to making further progress”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10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“Certain functions should be the sole responsibility of States, including direct participation in hostilities, and detention and interrogation of prisoners of war”</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“Elaborating a legally binding international convention in order to complement existing national mechanisms and voluntary initiatives with regard to private military and security companies”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The new instrument should ensure that penalties are imposed and that remedies are commensurate with the scale of violations committed”</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Establishing mechanisms for recourse in cases of violations, including a committee on the regulation, oversight and monitoring of private military and security companies; an enquiry procedure and complaint procedure; and reporting mechanisms on compliance by private military and security companies with new norms and standards in international human rights law and international humanitarian law”</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11</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Pr>
                <w:rFonts w:ascii="Times New Roman" w:hAnsi="Times New Roman" w:cs="Times New Roman"/>
                <w:lang w:val="en-GB"/>
              </w:rPr>
              <w:t>“To c</w:t>
            </w:r>
            <w:r w:rsidRPr="00C91DB4">
              <w:rPr>
                <w:rFonts w:ascii="Times New Roman" w:hAnsi="Times New Roman" w:cs="Times New Roman"/>
                <w:lang w:val="en-GB"/>
              </w:rPr>
              <w:t>onsider the possibility of an international regulatory framework, including the option of elaborating a legally binding instrument on the regulation, monitoring and oversight of the activities of private military and security companies, and other approaches and strategies, including international standards, and the way in which they might interact to protect human rights”</w:t>
            </w:r>
          </w:p>
          <w:p w:rsidR="00417A4C" w:rsidRPr="00C91DB4" w:rsidRDefault="00417A4C" w:rsidP="00417A4C">
            <w:pPr>
              <w:pStyle w:val="ListParagraph"/>
              <w:numPr>
                <w:ilvl w:val="0"/>
                <w:numId w:val="9"/>
              </w:numPr>
              <w:rPr>
                <w:rFonts w:ascii="Times New Roman" w:hAnsi="Times New Roman" w:cs="Times New Roman"/>
                <w:lang w:val="en-AU"/>
              </w:rPr>
            </w:pPr>
            <w:r>
              <w:rPr>
                <w:rFonts w:ascii="Times New Roman" w:hAnsi="Times New Roman" w:cs="Times New Roman"/>
                <w:lang w:val="en-GB"/>
              </w:rPr>
              <w:t>“To c</w:t>
            </w:r>
            <w:r w:rsidRPr="00C91DB4">
              <w:rPr>
                <w:rFonts w:ascii="Times New Roman" w:hAnsi="Times New Roman" w:cs="Times New Roman"/>
                <w:lang w:val="en-GB"/>
              </w:rPr>
              <w:t>onsider the range of options to be explored to further develop an international regulatory framework, including international standards setting, the development of guidelines, possibly actions plans or model laws, contract templates based on the Montreux Document, good practices and mutual legal assistance programmes”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“Any international regulatory framework should focus on compliance and accountability, urging a continued focus on national regulation and enhanced international and multi-stakeholder collaboration and coordination”</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18</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“Intergovernmental organizations could also be party to a convention on private military and security companies, which would reinforce the notion of accountability and support the growing trend of such organizations becoming party to international instruments”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“Establishing an oversight mechanism to ensure remedy and reparations for victims”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International legally binding instrument on private military and security companies, which would complement national legislation and voluntary initiatives in providing effective and robust regulation of such companies”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lastRenderedPageBreak/>
              <w:t>20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w:t>
            </w:r>
            <w:r>
              <w:rPr>
                <w:rFonts w:ascii="Times New Roman" w:hAnsi="Times New Roman" w:cs="Times New Roman"/>
                <w:lang w:val="en-GB"/>
              </w:rPr>
              <w:t>That e</w:t>
            </w:r>
            <w:r w:rsidRPr="00C91DB4">
              <w:rPr>
                <w:rFonts w:ascii="Times New Roman" w:hAnsi="Times New Roman" w:cs="Times New Roman"/>
                <w:lang w:val="en-GB"/>
              </w:rPr>
              <w:t>very regulation needed effective implementation, noting the complementarity between soft law and hard law”</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22</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“Adopting and implementing adequate domestic legislation and regulatory framework”</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“While several States had enacted related national legislation, more States should do so”</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 xml:space="preserve">“Others </w:t>
            </w:r>
            <w:r w:rsidRPr="00C91DB4">
              <w:rPr>
                <w:rFonts w:ascii="Times New Roman" w:hAnsi="Times New Roman" w:cs="Times New Roman"/>
                <w:lang w:val="en-GB"/>
              </w:rPr>
              <w:t>should update existing national laws and corresponding regulatory frameworks to ensure that they were clearer and more robust”</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“States should take action to clearly delimit the services that may or may not be contracted out to private military and security companies”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Pr>
                <w:rFonts w:ascii="Times New Roman" w:hAnsi="Times New Roman" w:cs="Times New Roman"/>
                <w:lang w:val="en-GB"/>
              </w:rPr>
              <w:t>To e</w:t>
            </w:r>
            <w:r w:rsidRPr="00C91DB4">
              <w:rPr>
                <w:rFonts w:ascii="Times New Roman" w:hAnsi="Times New Roman" w:cs="Times New Roman"/>
                <w:lang w:val="en-GB"/>
              </w:rPr>
              <w:t>nsure the accountability of and oversight over such companies and their personnel for violations of international and national law”</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24</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“Sharing good practices and lessons learned by regional and global partners”</w:t>
            </w:r>
          </w:p>
          <w:p w:rsidR="00417A4C" w:rsidRPr="00C91DB4" w:rsidRDefault="00417A4C" w:rsidP="00417A4C">
            <w:pPr>
              <w:pStyle w:val="ListParagraph"/>
              <w:numPr>
                <w:ilvl w:val="0"/>
                <w:numId w:val="9"/>
              </w:numPr>
              <w:rPr>
                <w:rFonts w:ascii="Times New Roman" w:hAnsi="Times New Roman" w:cs="Times New Roman"/>
                <w:lang w:val="en-AU"/>
              </w:rPr>
            </w:pPr>
            <w:r>
              <w:rPr>
                <w:rFonts w:ascii="Times New Roman" w:hAnsi="Times New Roman" w:cs="Times New Roman"/>
                <w:lang w:val="en-GB"/>
              </w:rPr>
              <w:t>“To e</w:t>
            </w:r>
            <w:r w:rsidRPr="00C91DB4">
              <w:rPr>
                <w:rFonts w:ascii="Times New Roman" w:hAnsi="Times New Roman" w:cs="Times New Roman"/>
                <w:lang w:val="en-GB"/>
              </w:rPr>
              <w:t>nsure that legislation reflected operational realities on the ground”</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25</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“New tool that would be aimed at providing simple, concise and practical guidance for States, international organizations and non-governmental organizations on structuring their contracts and contracting procedures, drawing on international norms, standards and good practices”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28</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“The strengthening of legislation should go hand in hand with strengthening the national capacity, since international norms and good practices – be they binding or not – are incorporated into national legislation and regulation, thereby becoming part of the binding national legal framework and thus enforceable within the national judicial system”</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“Victims of abuses required easy and safe access not only to the justice system but to additional, non-judicial remedy procedures as well”</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32</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“Elaboration on existing challenges to implementation”</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Pr>
                <w:rFonts w:ascii="Times New Roman" w:hAnsi="Times New Roman" w:cs="Times New Roman"/>
                <w:lang w:val="en-GB"/>
              </w:rPr>
              <w:t>To e</w:t>
            </w:r>
            <w:r w:rsidRPr="00C91DB4">
              <w:rPr>
                <w:rFonts w:ascii="Times New Roman" w:hAnsi="Times New Roman" w:cs="Times New Roman"/>
                <w:lang w:val="en-GB"/>
              </w:rPr>
              <w:t xml:space="preserve">laborate on the ways this diversity was reflected in the tools to meet the needs of different companies” </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33</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Pr>
                <w:rFonts w:ascii="Times New Roman" w:hAnsi="Times New Roman" w:cs="Times New Roman"/>
                <w:lang w:val="en-GB"/>
              </w:rPr>
              <w:t>To f</w:t>
            </w:r>
            <w:r w:rsidRPr="00C91DB4">
              <w:rPr>
                <w:rFonts w:ascii="Times New Roman" w:hAnsi="Times New Roman" w:cs="Times New Roman"/>
                <w:lang w:val="en-GB"/>
              </w:rPr>
              <w:t xml:space="preserve">ocus on developing a plan of action to guide home, contracting and territorial States in improving national regulation of private military and security companies” </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The working group could make use of the DCAF contracting tool as a starting point for developing a set of best practices for national regulation of the said companies”</w:t>
            </w:r>
            <w:r w:rsidRPr="00C91DB4">
              <w:rPr>
                <w:rFonts w:ascii="Times New Roman" w:hAnsi="Times New Roman" w:cs="Times New Roman"/>
                <w:lang w:val="en-AU"/>
              </w:rPr>
              <w:t xml:space="preserve"> </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w:t>
            </w:r>
            <w:r>
              <w:rPr>
                <w:rFonts w:ascii="Times New Roman" w:hAnsi="Times New Roman" w:cs="Times New Roman"/>
                <w:lang w:val="en-GB"/>
              </w:rPr>
              <w:t>The n</w:t>
            </w:r>
            <w:r w:rsidRPr="00C91DB4">
              <w:rPr>
                <w:rFonts w:ascii="Times New Roman" w:hAnsi="Times New Roman" w:cs="Times New Roman"/>
                <w:lang w:val="en-GB"/>
              </w:rPr>
              <w:t>eed for the uniformity and objectivity of international standards”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w:t>
            </w:r>
            <w:r>
              <w:rPr>
                <w:rFonts w:ascii="Times New Roman" w:hAnsi="Times New Roman" w:cs="Times New Roman"/>
                <w:lang w:val="en-GB"/>
              </w:rPr>
              <w:t>The n</w:t>
            </w:r>
            <w:r w:rsidRPr="00C91DB4">
              <w:rPr>
                <w:rFonts w:ascii="Times New Roman" w:hAnsi="Times New Roman" w:cs="Times New Roman"/>
                <w:lang w:val="en-GB"/>
              </w:rPr>
              <w:t>eed for a universal legally binding framework that complemented and completed current efforts”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Legally binding instrument would fill existing gaps and would oblige private military and security companies to abide by international standards”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40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Ensuring access to justice and remedies for the victims of human rights abuses linked to the activities of private military and security companies”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 xml:space="preserve"> “</w:t>
            </w:r>
            <w:r w:rsidRPr="00C91DB4">
              <w:rPr>
                <w:rFonts w:ascii="Times New Roman" w:hAnsi="Times New Roman" w:cs="Times New Roman"/>
                <w:lang w:val="en-GB"/>
              </w:rPr>
              <w:t>Take appropriate steps not only to prevent the said companies from violating human rights, but also to investigate, punish and redress violations”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Pr>
                <w:rFonts w:ascii="Times New Roman" w:hAnsi="Times New Roman" w:cs="Times New Roman"/>
                <w:lang w:val="en-GB"/>
              </w:rPr>
              <w:t>A c</w:t>
            </w:r>
            <w:r w:rsidRPr="00C91DB4">
              <w:rPr>
                <w:rFonts w:ascii="Times New Roman" w:hAnsi="Times New Roman" w:cs="Times New Roman"/>
                <w:lang w:val="en-GB"/>
              </w:rPr>
              <w:t xml:space="preserve">larification or the development of additional standards and strengthening of cooperation among States to enforce existing norms to ensure that the companies </w:t>
            </w:r>
            <w:r w:rsidRPr="00C91DB4">
              <w:rPr>
                <w:rFonts w:ascii="Times New Roman" w:hAnsi="Times New Roman" w:cs="Times New Roman"/>
                <w:lang w:val="en-GB"/>
              </w:rPr>
              <w:lastRenderedPageBreak/>
              <w:t xml:space="preserve">were not able to exploit regulatory gaps” </w:t>
            </w:r>
            <w:r>
              <w:rPr>
                <w:rFonts w:ascii="Times New Roman" w:hAnsi="Times New Roman" w:cs="Times New Roman"/>
                <w:lang w:val="en-GB"/>
              </w:rPr>
              <w:t>[</w:t>
            </w:r>
            <w:r w:rsidRPr="00C91DB4">
              <w:rPr>
                <w:rFonts w:ascii="Times New Roman" w:hAnsi="Times New Roman" w:cs="Times New Roman"/>
                <w:lang w:val="en-GB"/>
              </w:rPr>
              <w:t>referring to the “challenges arose owing to the context in which the companies often operated, including conflict zones with weak governance or on the high seas”</w:t>
            </w:r>
            <w:r>
              <w:rPr>
                <w:rFonts w:ascii="Times New Roman" w:hAnsi="Times New Roman" w:cs="Times New Roman"/>
                <w:lang w:val="en-GB"/>
              </w:rPr>
              <w:t>]</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lastRenderedPageBreak/>
              <w:t>45</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To ensure access to justice, it was important to guarantee that (a) the judiciary – including the prosecutor – were independent, impartial and adequately resourced; (b) legislation clearly defined the right of claimants to file their claims and who may be liable, including the possible criminal liability of corporations; (c) practical obstacles, such as immunities of liability, were removed since they could deprive individuals of their access to justice; (d) courts had wide-reaching jurisdiction, including for crimes committed abroad; and (e) international mechanisms, such as tribunals and expert committees, existed in order to guide, assist and encourage States to take the necessary steps to ensure access to justice”</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46</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“Legally binding international instrument on private military and security companies would be useful to ensure accountability. While it would not solve all problems, since implementation through national law and courts was essential, it could help to underpin and promote the necessary changes at the national level”</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49</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“Legally binding instrument on private military and security companies, which should guarantee access to remedies and effective reparation for victims of violations, in accordance with international law”</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50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 xml:space="preserve">“The full range of remedy mechanisms should be available to victims” </w:t>
            </w:r>
            <w:r>
              <w:rPr>
                <w:rFonts w:ascii="Times New Roman" w:hAnsi="Times New Roman" w:cs="Times New Roman"/>
                <w:lang w:val="en-GB"/>
              </w:rPr>
              <w:t>[</w:t>
            </w:r>
            <w:r w:rsidRPr="00C91DB4">
              <w:rPr>
                <w:rFonts w:ascii="Times New Roman" w:hAnsi="Times New Roman" w:cs="Times New Roman"/>
                <w:lang w:val="en-GB"/>
              </w:rPr>
              <w:t>referring to the “complementary of judicial and non-judicial redress mechanisms”</w:t>
            </w:r>
            <w:r>
              <w:rPr>
                <w:rFonts w:ascii="Times New Roman" w:hAnsi="Times New Roman" w:cs="Times New Roman"/>
                <w:lang w:val="en-GB"/>
              </w:rPr>
              <w:t>]</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“Ensuring that the victims had access to the most appropriate type of mechanism, including in a cross-border setting”</w:t>
            </w:r>
          </w:p>
          <w:p w:rsidR="00417A4C" w:rsidRPr="00C91DB4" w:rsidRDefault="00417A4C" w:rsidP="00615921">
            <w:pPr>
              <w:rPr>
                <w:rFonts w:ascii="Times New Roman" w:hAnsi="Times New Roman" w:cs="Times New Roman"/>
                <w:lang w:val="en-AU"/>
              </w:rPr>
            </w:pP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Relationship between soft law instruments and binding norms should not be seen as mutually exclusive, but rather that implementation was the key”</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51</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w:t>
            </w:r>
            <w:r>
              <w:rPr>
                <w:rFonts w:ascii="Times New Roman" w:hAnsi="Times New Roman" w:cs="Times New Roman"/>
                <w:lang w:val="en-GB"/>
              </w:rPr>
              <w:t>The n</w:t>
            </w:r>
            <w:r w:rsidRPr="00C91DB4">
              <w:rPr>
                <w:rFonts w:ascii="Times New Roman" w:hAnsi="Times New Roman" w:cs="Times New Roman"/>
                <w:lang w:val="en-GB"/>
              </w:rPr>
              <w:t xml:space="preserve">eed to be creative, proposing such ideas as tax incentives to corporations that cooperate and were proactive in providing non-judicial grievance mechanisms” </w:t>
            </w:r>
            <w:r>
              <w:rPr>
                <w:rFonts w:ascii="Times New Roman" w:hAnsi="Times New Roman" w:cs="Times New Roman"/>
                <w:lang w:val="en-GB"/>
              </w:rPr>
              <w:t>[</w:t>
            </w:r>
            <w:r w:rsidRPr="00C91DB4">
              <w:rPr>
                <w:rFonts w:ascii="Times New Roman" w:hAnsi="Times New Roman" w:cs="Times New Roman"/>
                <w:lang w:val="en-GB"/>
              </w:rPr>
              <w:t>referring to the “type of measures that could be taken to incentivize companies to provide remedies”</w:t>
            </w:r>
            <w:r>
              <w:rPr>
                <w:rFonts w:ascii="Times New Roman" w:hAnsi="Times New Roman" w:cs="Times New Roman"/>
                <w:lang w:val="en-AU"/>
              </w:rPr>
              <w:t>]</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“Companies that did not cooperate could be placed on a list excluding them from public markets or from obtaining bank loans”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57</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 xml:space="preserve">The concepts of territorial State and contracting State, however, should be interpreted and refined specifically for the maritime context” </w:t>
            </w:r>
            <w:r>
              <w:rPr>
                <w:rFonts w:ascii="Times New Roman" w:hAnsi="Times New Roman" w:cs="Times New Roman"/>
                <w:lang w:val="en-GB"/>
              </w:rPr>
              <w:t>[</w:t>
            </w:r>
            <w:r w:rsidRPr="00C91DB4">
              <w:rPr>
                <w:rFonts w:ascii="Times New Roman" w:hAnsi="Times New Roman" w:cs="Times New Roman"/>
                <w:lang w:val="en-GB"/>
              </w:rPr>
              <w:t>“in that context, ‘territorial State’ meant a State ‘under whose jurisdiction private military and security companies operate’”</w:t>
            </w:r>
            <w:r>
              <w:rPr>
                <w:rFonts w:ascii="Times New Roman" w:hAnsi="Times New Roman" w:cs="Times New Roman"/>
                <w:lang w:val="en-GB"/>
              </w:rPr>
              <w:t>]</w:t>
            </w:r>
          </w:p>
          <w:p w:rsidR="00417A4C" w:rsidRPr="00417A4C" w:rsidRDefault="00417A4C" w:rsidP="00615921">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“T</w:t>
            </w:r>
            <w:r w:rsidRPr="00C91DB4">
              <w:rPr>
                <w:rFonts w:ascii="Times New Roman" w:hAnsi="Times New Roman" w:cs="Times New Roman"/>
                <w:lang w:val="en-GB"/>
              </w:rPr>
              <w:t>he concept of jurisdiction and the notions of territorial State and contracting State should be analysed and interpreted in the light of the maritime context specifically, taking into account the requirements of the law of the sea and the actual situation at sea”</w:t>
            </w: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58</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rPr>
              <w:t>“</w:t>
            </w:r>
            <w:r w:rsidRPr="00C91DB4">
              <w:rPr>
                <w:rFonts w:ascii="Times New Roman" w:hAnsi="Times New Roman" w:cs="Times New Roman"/>
                <w:lang w:val="en-GB"/>
              </w:rPr>
              <w:t>Further exploring under which circumstances private military and security companies were allowed to hold a person on board and of clearly drawing the line between lawful acts of deprivation of liberty by those companies and situations where they engaged in arrest and detention qualifying as an inherently State function, which was prohibited”</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w:t>
            </w:r>
            <w:r>
              <w:rPr>
                <w:rFonts w:ascii="Times New Roman" w:hAnsi="Times New Roman" w:cs="Times New Roman"/>
                <w:lang w:val="en-GB"/>
              </w:rPr>
              <w:t>To l</w:t>
            </w:r>
            <w:r w:rsidRPr="00C91DB4">
              <w:rPr>
                <w:rFonts w:ascii="Times New Roman" w:hAnsi="Times New Roman" w:cs="Times New Roman"/>
                <w:lang w:val="en-GB"/>
              </w:rPr>
              <w:t xml:space="preserve">ook at relevant rules from a specifically maritime perspective in relation to </w:t>
            </w:r>
            <w:r w:rsidRPr="00C91DB4">
              <w:rPr>
                <w:rFonts w:ascii="Times New Roman" w:hAnsi="Times New Roman" w:cs="Times New Roman"/>
                <w:lang w:val="en-GB"/>
              </w:rPr>
              <w:lastRenderedPageBreak/>
              <w:t>both the clarification and development of the existing legal framework and a possible new legal instrument on them</w:t>
            </w:r>
            <w:r w:rsidR="00C42DEE">
              <w:rPr>
                <w:rFonts w:ascii="Times New Roman" w:hAnsi="Times New Roman" w:cs="Times New Roman"/>
                <w:lang w:val="en-GB"/>
              </w:rPr>
              <w:t>”</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lastRenderedPageBreak/>
              <w:t>65</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“Particular attention should be paid to situations where clients and service providers were headquartered outside the areas where services were delivered”</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68</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rPr>
              <w:t>“Development of complementary national and international regulatory frameworks would contribute to the promotion of even greater respect for human rights”</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70</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eastAsia="de-CH"/>
              </w:rPr>
              <w:t xml:space="preserve">“A truly global and fair regulatory framework that took into account the circumstances in which private companies operated”  </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sz w:val="22"/>
                <w:szCs w:val="22"/>
                <w:lang w:val="en-GB"/>
              </w:rPr>
            </w:pPr>
          </w:p>
        </w:tc>
      </w:tr>
      <w:tr w:rsidR="00417A4C" w:rsidRPr="003B1CB1" w:rsidTr="00615921">
        <w:tc>
          <w:tcPr>
            <w:tcW w:w="1057" w:type="dxa"/>
          </w:tcPr>
          <w:p w:rsidR="00417A4C" w:rsidRPr="003F4914" w:rsidRDefault="00417A4C" w:rsidP="00615921">
            <w:pPr>
              <w:jc w:val="right"/>
              <w:rPr>
                <w:rFonts w:ascii="Times New Roman" w:hAnsi="Times New Roman" w:cs="Times New Roman"/>
                <w:b/>
                <w:lang w:val="en-AU"/>
              </w:rPr>
            </w:pPr>
            <w:r w:rsidRPr="003F4914">
              <w:rPr>
                <w:rFonts w:ascii="Times New Roman" w:hAnsi="Times New Roman" w:cs="Times New Roman"/>
                <w:b/>
                <w:lang w:val="en-AU"/>
              </w:rPr>
              <w:t>72</w:t>
            </w:r>
          </w:p>
        </w:tc>
        <w:tc>
          <w:tcPr>
            <w:tcW w:w="8441" w:type="dxa"/>
            <w:gridSpan w:val="2"/>
          </w:tcPr>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eastAsia="de-CH"/>
              </w:rPr>
              <w:t>“Regulation of private military and security companies should not be conflated with the broader process of transnational corporations and other business enterprises”</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eastAsia="de-CH"/>
              </w:rPr>
              <w:t>“</w:t>
            </w:r>
            <w:r w:rsidRPr="00C91DB4">
              <w:rPr>
                <w:rFonts w:ascii="Times New Roman" w:hAnsi="Times New Roman" w:cs="Times New Roman"/>
                <w:lang w:val="en-GB" w:eastAsia="de-CH"/>
              </w:rPr>
              <w:t>The intergovernmental working group should not be bogged down with the details of the differences and definitions between private security companies and private military companies, which could be elaborated in the instrument itself”</w:t>
            </w: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AU" w:eastAsia="de-CH"/>
              </w:rPr>
              <w:t>“</w:t>
            </w:r>
            <w:r w:rsidRPr="00C91DB4">
              <w:rPr>
                <w:rFonts w:ascii="Times New Roman" w:hAnsi="Times New Roman" w:cs="Times New Roman"/>
                <w:lang w:val="en-GB" w:eastAsia="de-CH"/>
              </w:rPr>
              <w:t>The intergovernmental working group should examine at its next session the options available to take the mandate forward”</w:t>
            </w:r>
          </w:p>
          <w:p w:rsidR="00417A4C" w:rsidRPr="00C91DB4" w:rsidRDefault="00417A4C" w:rsidP="00615921">
            <w:pPr>
              <w:rPr>
                <w:rFonts w:ascii="Times New Roman" w:hAnsi="Times New Roman" w:cs="Times New Roman"/>
                <w:lang w:val="en-AU"/>
              </w:rPr>
            </w:pPr>
          </w:p>
          <w:p w:rsidR="00417A4C" w:rsidRPr="00C91DB4" w:rsidRDefault="00417A4C" w:rsidP="00417A4C">
            <w:pPr>
              <w:pStyle w:val="ListParagraph"/>
              <w:numPr>
                <w:ilvl w:val="0"/>
                <w:numId w:val="9"/>
              </w:numPr>
              <w:rPr>
                <w:rFonts w:ascii="Times New Roman" w:hAnsi="Times New Roman" w:cs="Times New Roman"/>
                <w:lang w:val="en-AU"/>
              </w:rPr>
            </w:pPr>
            <w:r w:rsidRPr="00C91DB4">
              <w:rPr>
                <w:rFonts w:ascii="Times New Roman" w:hAnsi="Times New Roman" w:cs="Times New Roman"/>
                <w:lang w:val="en-GB" w:eastAsia="de-CH"/>
              </w:rPr>
              <w:t>“</w:t>
            </w:r>
            <w:r>
              <w:rPr>
                <w:rFonts w:ascii="Times New Roman" w:hAnsi="Times New Roman" w:cs="Times New Roman"/>
                <w:lang w:val="en-GB" w:eastAsia="de-CH"/>
              </w:rPr>
              <w:t>While t</w:t>
            </w:r>
            <w:r w:rsidRPr="00C91DB4">
              <w:rPr>
                <w:rFonts w:ascii="Times New Roman" w:hAnsi="Times New Roman" w:cs="Times New Roman"/>
                <w:lang w:val="en-GB" w:eastAsia="de-CH"/>
              </w:rPr>
              <w:t xml:space="preserve">he solution was not a binary approach of either having a legally binding instrument or not, in the interim, much could be done to encourage good practices and initiatives, such as </w:t>
            </w:r>
            <w:proofErr w:type="spellStart"/>
            <w:r w:rsidRPr="00C91DB4">
              <w:rPr>
                <w:rFonts w:ascii="Times New Roman" w:hAnsi="Times New Roman" w:cs="Times New Roman"/>
                <w:lang w:val="en-GB" w:eastAsia="de-CH"/>
              </w:rPr>
              <w:t>ICoCA</w:t>
            </w:r>
            <w:proofErr w:type="spellEnd"/>
            <w:r w:rsidRPr="00C91DB4">
              <w:rPr>
                <w:rFonts w:ascii="Times New Roman" w:hAnsi="Times New Roman" w:cs="Times New Roman"/>
                <w:lang w:val="en-GB" w:eastAsia="de-CH"/>
              </w:rPr>
              <w:t xml:space="preserve"> or self-regulation”</w:t>
            </w:r>
          </w:p>
          <w:p w:rsidR="00417A4C" w:rsidRPr="00C91DB4" w:rsidRDefault="00417A4C" w:rsidP="00615921">
            <w:pPr>
              <w:rPr>
                <w:rFonts w:ascii="Times New Roman" w:hAnsi="Times New Roman" w:cs="Times New Roman"/>
                <w:lang w:val="en-AU"/>
              </w:rPr>
            </w:pPr>
          </w:p>
        </w:tc>
        <w:tc>
          <w:tcPr>
            <w:tcW w:w="1559" w:type="dxa"/>
          </w:tcPr>
          <w:p w:rsidR="00417A4C" w:rsidRPr="003F4914" w:rsidRDefault="00417A4C" w:rsidP="00615921">
            <w:pPr>
              <w:jc w:val="left"/>
              <w:rPr>
                <w:rFonts w:ascii="Times New Roman" w:hAnsi="Times New Roman" w:cs="Times New Roman"/>
                <w:i/>
                <w:color w:val="000000"/>
                <w:sz w:val="22"/>
                <w:szCs w:val="22"/>
                <w:lang w:val="en-GB" w:eastAsia="de-CH"/>
              </w:rPr>
            </w:pPr>
          </w:p>
          <w:p w:rsidR="00417A4C" w:rsidRPr="003F4914" w:rsidRDefault="00417A4C" w:rsidP="00615921">
            <w:pPr>
              <w:jc w:val="left"/>
              <w:rPr>
                <w:rFonts w:ascii="Times New Roman" w:hAnsi="Times New Roman" w:cs="Times New Roman"/>
                <w:i/>
                <w:color w:val="000000"/>
                <w:sz w:val="22"/>
                <w:szCs w:val="22"/>
                <w:lang w:val="en-GB" w:eastAsia="de-CH"/>
              </w:rPr>
            </w:pPr>
          </w:p>
          <w:p w:rsidR="00417A4C" w:rsidRPr="003F4914" w:rsidRDefault="00417A4C" w:rsidP="00615921">
            <w:pPr>
              <w:jc w:val="left"/>
              <w:rPr>
                <w:rFonts w:ascii="Times New Roman" w:hAnsi="Times New Roman" w:cs="Times New Roman"/>
                <w:i/>
                <w:color w:val="000000"/>
                <w:sz w:val="22"/>
                <w:szCs w:val="22"/>
                <w:lang w:val="en-GB" w:eastAsia="de-CH"/>
              </w:rPr>
            </w:pPr>
          </w:p>
          <w:p w:rsidR="00417A4C" w:rsidRPr="003F4914" w:rsidRDefault="00417A4C" w:rsidP="00615921">
            <w:pPr>
              <w:jc w:val="left"/>
              <w:rPr>
                <w:rFonts w:ascii="Times New Roman" w:hAnsi="Times New Roman" w:cs="Times New Roman"/>
                <w:i/>
                <w:sz w:val="22"/>
                <w:szCs w:val="22"/>
                <w:lang w:val="en-GB"/>
              </w:rPr>
            </w:pPr>
          </w:p>
        </w:tc>
      </w:tr>
    </w:tbl>
    <w:p w:rsidR="00417A4C" w:rsidRPr="0033134E" w:rsidRDefault="00417A4C" w:rsidP="00417A4C">
      <w:pPr>
        <w:rPr>
          <w:rFonts w:ascii="Times New Roman" w:hAnsi="Times New Roman" w:cs="Times New Roman"/>
          <w:sz w:val="24"/>
          <w:lang w:val="en-AU"/>
        </w:rPr>
      </w:pPr>
    </w:p>
    <w:p w:rsidR="00417A4C" w:rsidRPr="00C15900" w:rsidRDefault="00417A4C" w:rsidP="00417A4C">
      <w:pPr>
        <w:rPr>
          <w:lang w:val="en-GB"/>
        </w:rPr>
      </w:pPr>
    </w:p>
    <w:p w:rsidR="00B4048F" w:rsidRPr="00C15900" w:rsidRDefault="003B1CB1">
      <w:pPr>
        <w:rPr>
          <w:lang w:val="en-GB"/>
        </w:rPr>
      </w:pPr>
    </w:p>
    <w:sectPr w:rsidR="00B4048F" w:rsidRPr="00C15900" w:rsidSect="00520382">
      <w:footerReference w:type="default" r:id="rId8"/>
      <w:pgSz w:w="11900" w:h="16840"/>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A8" w:rsidRDefault="00C15900">
      <w:r>
        <w:separator/>
      </w:r>
    </w:p>
  </w:endnote>
  <w:endnote w:type="continuationSeparator" w:id="0">
    <w:p w:rsidR="00D97FA8" w:rsidRDefault="00C1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63383629"/>
      <w:docPartObj>
        <w:docPartGallery w:val="Page Numbers (Bottom of Page)"/>
        <w:docPartUnique/>
      </w:docPartObj>
    </w:sdtPr>
    <w:sdtEndPr>
      <w:rPr>
        <w:noProof/>
      </w:rPr>
    </w:sdtEndPr>
    <w:sdtContent>
      <w:p w:rsidR="0072361B" w:rsidRPr="0072361B" w:rsidRDefault="00417A4C">
        <w:pPr>
          <w:pStyle w:val="Footer"/>
          <w:jc w:val="right"/>
          <w:rPr>
            <w:rFonts w:ascii="Times New Roman" w:hAnsi="Times New Roman" w:cs="Times New Roman"/>
            <w:sz w:val="20"/>
            <w:szCs w:val="20"/>
          </w:rPr>
        </w:pPr>
        <w:r w:rsidRPr="0072361B">
          <w:rPr>
            <w:rFonts w:ascii="Times New Roman" w:hAnsi="Times New Roman" w:cs="Times New Roman"/>
            <w:sz w:val="20"/>
            <w:szCs w:val="20"/>
          </w:rPr>
          <w:fldChar w:fldCharType="begin"/>
        </w:r>
        <w:r w:rsidRPr="0072361B">
          <w:rPr>
            <w:rFonts w:ascii="Times New Roman" w:hAnsi="Times New Roman" w:cs="Times New Roman"/>
            <w:sz w:val="20"/>
            <w:szCs w:val="20"/>
          </w:rPr>
          <w:instrText xml:space="preserve"> PAGE   \* MERGEFORMAT </w:instrText>
        </w:r>
        <w:r w:rsidRPr="0072361B">
          <w:rPr>
            <w:rFonts w:ascii="Times New Roman" w:hAnsi="Times New Roman" w:cs="Times New Roman"/>
            <w:sz w:val="20"/>
            <w:szCs w:val="20"/>
          </w:rPr>
          <w:fldChar w:fldCharType="separate"/>
        </w:r>
        <w:r w:rsidR="003B1CB1">
          <w:rPr>
            <w:rFonts w:ascii="Times New Roman" w:hAnsi="Times New Roman" w:cs="Times New Roman"/>
            <w:noProof/>
            <w:sz w:val="20"/>
            <w:szCs w:val="20"/>
          </w:rPr>
          <w:t>1</w:t>
        </w:r>
        <w:r w:rsidRPr="0072361B">
          <w:rPr>
            <w:rFonts w:ascii="Times New Roman" w:hAnsi="Times New Roman" w:cs="Times New Roman"/>
            <w:noProof/>
            <w:sz w:val="20"/>
            <w:szCs w:val="20"/>
          </w:rPr>
          <w:fldChar w:fldCharType="end"/>
        </w:r>
        <w:r w:rsidRPr="0072361B">
          <w:rPr>
            <w:rFonts w:ascii="Times New Roman" w:hAnsi="Times New Roman" w:cs="Times New Roman"/>
            <w:noProof/>
            <w:sz w:val="20"/>
            <w:szCs w:val="20"/>
          </w:rPr>
          <w:t>/16</w:t>
        </w:r>
      </w:p>
    </w:sdtContent>
  </w:sdt>
  <w:p w:rsidR="0072361B" w:rsidRDefault="003B1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A8" w:rsidRDefault="00C15900">
      <w:r>
        <w:separator/>
      </w:r>
    </w:p>
  </w:footnote>
  <w:footnote w:type="continuationSeparator" w:id="0">
    <w:p w:rsidR="00D97FA8" w:rsidRDefault="00C1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40F"/>
    <w:multiLevelType w:val="hybridMultilevel"/>
    <w:tmpl w:val="2A767998"/>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A62F01"/>
    <w:multiLevelType w:val="hybridMultilevel"/>
    <w:tmpl w:val="1B5A9670"/>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2F4C31"/>
    <w:multiLevelType w:val="hybridMultilevel"/>
    <w:tmpl w:val="7F0A39E2"/>
    <w:lvl w:ilvl="0" w:tplc="5172076E">
      <w:start w:val="1"/>
      <w:numFmt w:val="bullet"/>
      <w:lvlText w:val="-"/>
      <w:lvlJc w:val="left"/>
      <w:pPr>
        <w:ind w:left="360" w:hanging="360"/>
      </w:pPr>
      <w:rPr>
        <w:rFonts w:ascii="Cambria" w:hAnsi="Cambria" w:hint="default"/>
      </w:rPr>
    </w:lvl>
    <w:lvl w:ilvl="1" w:tplc="040C0003">
      <w:start w:val="1"/>
      <w:numFmt w:val="bullet"/>
      <w:lvlText w:val="o"/>
      <w:lvlJc w:val="left"/>
      <w:pPr>
        <w:ind w:left="786"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7385B8B"/>
    <w:multiLevelType w:val="hybridMultilevel"/>
    <w:tmpl w:val="2A346006"/>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10645BA"/>
    <w:multiLevelType w:val="hybridMultilevel"/>
    <w:tmpl w:val="56B82A8A"/>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2C47CB"/>
    <w:multiLevelType w:val="hybridMultilevel"/>
    <w:tmpl w:val="DBC0ED8C"/>
    <w:lvl w:ilvl="0" w:tplc="9C3C383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CB72170"/>
    <w:multiLevelType w:val="hybridMultilevel"/>
    <w:tmpl w:val="4274E7EE"/>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27A36A5"/>
    <w:multiLevelType w:val="hybridMultilevel"/>
    <w:tmpl w:val="03BA3BB8"/>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814FC3"/>
    <w:multiLevelType w:val="hybridMultilevel"/>
    <w:tmpl w:val="5C7EC7A4"/>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CFA0B29"/>
    <w:multiLevelType w:val="hybridMultilevel"/>
    <w:tmpl w:val="BC9083D4"/>
    <w:lvl w:ilvl="0" w:tplc="5172076E">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1456D5"/>
    <w:multiLevelType w:val="hybridMultilevel"/>
    <w:tmpl w:val="11C62D32"/>
    <w:lvl w:ilvl="0" w:tplc="0809000F">
      <w:start w:val="1"/>
      <w:numFmt w:val="decimal"/>
      <w:lvlText w:val="%1."/>
      <w:lvlJc w:val="left"/>
      <w:pPr>
        <w:ind w:left="1689"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4DE134A">
      <w:start w:val="4"/>
      <w:numFmt w:val="upperRoman"/>
      <w:lvlText w:val="%6."/>
      <w:lvlJc w:val="left"/>
      <w:pPr>
        <w:ind w:left="3933" w:hanging="720"/>
      </w:pPr>
      <w:rPr>
        <w:rFonts w:hint="default"/>
      </w:rPr>
    </w:lvl>
    <w:lvl w:ilvl="6" w:tplc="666EFC98">
      <w:start w:val="1"/>
      <w:numFmt w:val="lowerLetter"/>
      <w:lvlText w:val="(%7)"/>
      <w:lvlJc w:val="left"/>
      <w:pPr>
        <w:ind w:left="643" w:hanging="360"/>
      </w:pPr>
      <w:rPr>
        <w:rFonts w:hint="default"/>
        <w:b/>
      </w:r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4"/>
  </w:num>
  <w:num w:numId="2">
    <w:abstractNumId w:val="3"/>
  </w:num>
  <w:num w:numId="3">
    <w:abstractNumId w:val="7"/>
  </w:num>
  <w:num w:numId="4">
    <w:abstractNumId w:val="1"/>
  </w:num>
  <w:num w:numId="5">
    <w:abstractNumId w:val="0"/>
  </w:num>
  <w:num w:numId="6">
    <w:abstractNumId w:val="8"/>
  </w:num>
  <w:num w:numId="7">
    <w:abstractNumId w:val="9"/>
  </w:num>
  <w:num w:numId="8">
    <w:abstractNumId w:val="6"/>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4C"/>
    <w:rsid w:val="00257172"/>
    <w:rsid w:val="00300494"/>
    <w:rsid w:val="003B1CB1"/>
    <w:rsid w:val="00417A4C"/>
    <w:rsid w:val="00596DDE"/>
    <w:rsid w:val="007B5321"/>
    <w:rsid w:val="009D3F0D"/>
    <w:rsid w:val="00C15900"/>
    <w:rsid w:val="00C42DEE"/>
    <w:rsid w:val="00D97FA8"/>
    <w:rsid w:val="00F16FC8"/>
    <w:rsid w:val="00FB1B2A"/>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4C"/>
    <w:pPr>
      <w:spacing w:after="0" w:line="240" w:lineRule="auto"/>
      <w:jc w:val="both"/>
    </w:pPr>
    <w:rPr>
      <w:rFonts w:ascii="Helvetica" w:eastAsiaTheme="minorEastAsia" w:hAnsi="Helvetica"/>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A4C"/>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A4C"/>
    <w:pPr>
      <w:ind w:left="720"/>
      <w:contextualSpacing/>
    </w:pPr>
  </w:style>
  <w:style w:type="paragraph" w:styleId="NoSpacing">
    <w:name w:val="No Spacing"/>
    <w:uiPriority w:val="1"/>
    <w:qFormat/>
    <w:rsid w:val="00417A4C"/>
    <w:pPr>
      <w:spacing w:after="0" w:line="240" w:lineRule="auto"/>
      <w:jc w:val="both"/>
    </w:pPr>
    <w:rPr>
      <w:rFonts w:ascii="Helvetica" w:eastAsiaTheme="minorEastAsia" w:hAnsi="Helvetica"/>
      <w:szCs w:val="24"/>
      <w:lang w:val="fr-FR" w:eastAsia="fr-FR"/>
    </w:rPr>
  </w:style>
  <w:style w:type="paragraph" w:styleId="Footer">
    <w:name w:val="footer"/>
    <w:basedOn w:val="Normal"/>
    <w:link w:val="FooterChar"/>
    <w:uiPriority w:val="99"/>
    <w:unhideWhenUsed/>
    <w:rsid w:val="00417A4C"/>
    <w:pPr>
      <w:tabs>
        <w:tab w:val="center" w:pos="4513"/>
        <w:tab w:val="right" w:pos="9026"/>
      </w:tabs>
    </w:pPr>
  </w:style>
  <w:style w:type="character" w:customStyle="1" w:styleId="FooterChar">
    <w:name w:val="Footer Char"/>
    <w:basedOn w:val="DefaultParagraphFont"/>
    <w:link w:val="Footer"/>
    <w:uiPriority w:val="99"/>
    <w:rsid w:val="00417A4C"/>
    <w:rPr>
      <w:rFonts w:ascii="Helvetica" w:eastAsiaTheme="minorEastAsia" w:hAnsi="Helvetica"/>
      <w:szCs w:val="24"/>
      <w:lang w:val="fr-FR" w:eastAsia="fr-FR"/>
    </w:rPr>
  </w:style>
  <w:style w:type="paragraph" w:styleId="BalloonText">
    <w:name w:val="Balloon Text"/>
    <w:basedOn w:val="Normal"/>
    <w:link w:val="BalloonTextChar"/>
    <w:uiPriority w:val="99"/>
    <w:semiHidden/>
    <w:unhideWhenUsed/>
    <w:rsid w:val="00C15900"/>
    <w:rPr>
      <w:rFonts w:ascii="Tahoma" w:hAnsi="Tahoma" w:cs="Tahoma"/>
      <w:sz w:val="16"/>
      <w:szCs w:val="16"/>
    </w:rPr>
  </w:style>
  <w:style w:type="character" w:customStyle="1" w:styleId="BalloonTextChar">
    <w:name w:val="Balloon Text Char"/>
    <w:basedOn w:val="DefaultParagraphFont"/>
    <w:link w:val="BalloonText"/>
    <w:uiPriority w:val="99"/>
    <w:semiHidden/>
    <w:rsid w:val="00C15900"/>
    <w:rPr>
      <w:rFonts w:ascii="Tahoma" w:eastAsiaTheme="minorEastAsi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4C"/>
    <w:pPr>
      <w:spacing w:after="0" w:line="240" w:lineRule="auto"/>
      <w:jc w:val="both"/>
    </w:pPr>
    <w:rPr>
      <w:rFonts w:ascii="Helvetica" w:eastAsiaTheme="minorEastAsia" w:hAnsi="Helvetica"/>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A4C"/>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A4C"/>
    <w:pPr>
      <w:ind w:left="720"/>
      <w:contextualSpacing/>
    </w:pPr>
  </w:style>
  <w:style w:type="paragraph" w:styleId="NoSpacing">
    <w:name w:val="No Spacing"/>
    <w:uiPriority w:val="1"/>
    <w:qFormat/>
    <w:rsid w:val="00417A4C"/>
    <w:pPr>
      <w:spacing w:after="0" w:line="240" w:lineRule="auto"/>
      <w:jc w:val="both"/>
    </w:pPr>
    <w:rPr>
      <w:rFonts w:ascii="Helvetica" w:eastAsiaTheme="minorEastAsia" w:hAnsi="Helvetica"/>
      <w:szCs w:val="24"/>
      <w:lang w:val="fr-FR" w:eastAsia="fr-FR"/>
    </w:rPr>
  </w:style>
  <w:style w:type="paragraph" w:styleId="Footer">
    <w:name w:val="footer"/>
    <w:basedOn w:val="Normal"/>
    <w:link w:val="FooterChar"/>
    <w:uiPriority w:val="99"/>
    <w:unhideWhenUsed/>
    <w:rsid w:val="00417A4C"/>
    <w:pPr>
      <w:tabs>
        <w:tab w:val="center" w:pos="4513"/>
        <w:tab w:val="right" w:pos="9026"/>
      </w:tabs>
    </w:pPr>
  </w:style>
  <w:style w:type="character" w:customStyle="1" w:styleId="FooterChar">
    <w:name w:val="Footer Char"/>
    <w:basedOn w:val="DefaultParagraphFont"/>
    <w:link w:val="Footer"/>
    <w:uiPriority w:val="99"/>
    <w:rsid w:val="00417A4C"/>
    <w:rPr>
      <w:rFonts w:ascii="Helvetica" w:eastAsiaTheme="minorEastAsia" w:hAnsi="Helvetica"/>
      <w:szCs w:val="24"/>
      <w:lang w:val="fr-FR" w:eastAsia="fr-FR"/>
    </w:rPr>
  </w:style>
  <w:style w:type="paragraph" w:styleId="BalloonText">
    <w:name w:val="Balloon Text"/>
    <w:basedOn w:val="Normal"/>
    <w:link w:val="BalloonTextChar"/>
    <w:uiPriority w:val="99"/>
    <w:semiHidden/>
    <w:unhideWhenUsed/>
    <w:rsid w:val="00C15900"/>
    <w:rPr>
      <w:rFonts w:ascii="Tahoma" w:hAnsi="Tahoma" w:cs="Tahoma"/>
      <w:sz w:val="16"/>
      <w:szCs w:val="16"/>
    </w:rPr>
  </w:style>
  <w:style w:type="character" w:customStyle="1" w:styleId="BalloonTextChar">
    <w:name w:val="Balloon Text Char"/>
    <w:basedOn w:val="DefaultParagraphFont"/>
    <w:link w:val="BalloonText"/>
    <w:uiPriority w:val="99"/>
    <w:semiHidden/>
    <w:rsid w:val="00C15900"/>
    <w:rPr>
      <w:rFonts w:ascii="Tahoma" w:eastAsiaTheme="minorEastAsi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D76167-FF26-4831-A615-85EC3A571D01}"/>
</file>

<file path=customXml/itemProps2.xml><?xml version="1.0" encoding="utf-8"?>
<ds:datastoreItem xmlns:ds="http://schemas.openxmlformats.org/officeDocument/2006/customXml" ds:itemID="{A40A0CE1-4E99-4921-A48B-ED0E6FE63791}"/>
</file>

<file path=customXml/itemProps3.xml><?xml version="1.0" encoding="utf-8"?>
<ds:datastoreItem xmlns:ds="http://schemas.openxmlformats.org/officeDocument/2006/customXml" ds:itemID="{2486CC1D-D65D-4F9F-89BC-804167DB12E3}"/>
</file>

<file path=docProps/app.xml><?xml version="1.0" encoding="utf-8"?>
<Properties xmlns="http://schemas.openxmlformats.org/officeDocument/2006/extended-properties" xmlns:vt="http://schemas.openxmlformats.org/officeDocument/2006/docPropsVTypes">
  <Template>Normal.dotm</Template>
  <TotalTime>1</TotalTime>
  <Pages>16</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Recomendations from 5sessions</dc:title>
  <dc:creator>Rolds Intern2 OHCHR</dc:creator>
  <cp:lastModifiedBy>Pradeep Wagle</cp:lastModifiedBy>
  <cp:revision>3</cp:revision>
  <cp:lastPrinted>2017-05-09T13:07:00Z</cp:lastPrinted>
  <dcterms:created xsi:type="dcterms:W3CDTF">2017-05-10T07:30:00Z</dcterms:created>
  <dcterms:modified xsi:type="dcterms:W3CDTF">2017-05-23T07:20:00Z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