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4C" w:rsidRDefault="005B1C4C">
      <w:pPr>
        <w:pStyle w:val="Standard1"/>
        <w:widowControl w:val="0"/>
        <w:spacing w:after="0"/>
        <w:rPr>
          <w:rFonts w:ascii="Times New Roman" w:hAnsi="Times New Roman"/>
          <w:sz w:val="24"/>
          <w:szCs w:val="24"/>
        </w:rPr>
      </w:pPr>
      <w:bookmarkStart w:id="0" w:name="_GoBack"/>
      <w:bookmarkEnd w:id="0"/>
    </w:p>
    <w:p w:rsidR="005B1C4C" w:rsidRDefault="005B1C4C">
      <w:pPr>
        <w:pStyle w:val="Standard1"/>
        <w:widowControl w:val="0"/>
        <w:spacing w:after="0"/>
        <w:rPr>
          <w:rFonts w:ascii="Times New Roman" w:hAnsi="Times New Roman"/>
          <w:sz w:val="24"/>
          <w:szCs w:val="24"/>
        </w:rPr>
      </w:pPr>
    </w:p>
    <w:p w:rsidR="005B1C4C" w:rsidRDefault="005B1C4C">
      <w:pPr>
        <w:pStyle w:val="Standard1"/>
        <w:widowControl w:val="0"/>
        <w:spacing w:after="0"/>
        <w:rPr>
          <w:rFonts w:ascii="Times New Roman" w:hAnsi="Times New Roman"/>
          <w:sz w:val="24"/>
          <w:szCs w:val="24"/>
        </w:rPr>
      </w:pPr>
    </w:p>
    <w:p w:rsidR="005B1C4C" w:rsidRDefault="00F27B5A">
      <w:pPr>
        <w:pStyle w:val="Standard1"/>
        <w:widowControl w:val="0"/>
        <w:spacing w:after="0"/>
        <w:jc w:val="center"/>
      </w:pPr>
      <w:r>
        <w:rPr>
          <w:rFonts w:ascii="Times New Roman" w:hAnsi="Times New Roman"/>
          <w:b/>
          <w:noProof/>
          <w:sz w:val="24"/>
          <w:szCs w:val="24"/>
          <w:lang w:val="en-GB" w:eastAsia="en-GB"/>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-636843</wp:posOffset>
            </wp:positionV>
            <wp:extent cx="1142277" cy="723235"/>
            <wp:effectExtent l="0" t="0" r="723" b="665"/>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42277" cy="723235"/>
                    </a:xfrm>
                    <a:prstGeom prst="rect">
                      <a:avLst/>
                    </a:prstGeom>
                    <a:noFill/>
                    <a:ln>
                      <a:noFill/>
                      <a:prstDash/>
                    </a:ln>
                  </pic:spPr>
                </pic:pic>
              </a:graphicData>
            </a:graphic>
          </wp:anchor>
        </w:drawing>
      </w:r>
    </w:p>
    <w:p w:rsidR="005B1C4C" w:rsidRPr="0036224B" w:rsidRDefault="00F27B5A">
      <w:pPr>
        <w:pStyle w:val="Standard1"/>
        <w:jc w:val="center"/>
        <w:rPr>
          <w:lang w:val="en-GB"/>
        </w:rPr>
      </w:pPr>
      <w:r>
        <w:rPr>
          <w:rFonts w:ascii="Times New Roman" w:hAnsi="Times New Roman"/>
          <w:b/>
          <w:sz w:val="24"/>
          <w:szCs w:val="24"/>
          <w:lang w:val="en-GB"/>
        </w:rPr>
        <w:t>European Union</w:t>
      </w:r>
    </w:p>
    <w:p w:rsidR="005B1C4C" w:rsidRDefault="005B1C4C">
      <w:pPr>
        <w:pStyle w:val="Standard1"/>
        <w:jc w:val="center"/>
        <w:rPr>
          <w:rFonts w:ascii="Times New Roman" w:hAnsi="Times New Roman"/>
          <w:b/>
          <w:sz w:val="24"/>
          <w:szCs w:val="24"/>
          <w:lang w:val="en-GB"/>
        </w:rPr>
      </w:pPr>
    </w:p>
    <w:p w:rsidR="005B1C4C" w:rsidRPr="0036224B" w:rsidRDefault="00F27B5A">
      <w:pPr>
        <w:pStyle w:val="Standard1"/>
        <w:spacing w:before="120" w:after="120" w:line="360" w:lineRule="auto"/>
        <w:jc w:val="center"/>
        <w:rPr>
          <w:lang w:val="en-GB"/>
        </w:rPr>
      </w:pPr>
      <w:r>
        <w:rPr>
          <w:rFonts w:ascii="Times New Roman" w:hAnsi="Times New Roman"/>
          <w:b/>
          <w:sz w:val="24"/>
          <w:szCs w:val="24"/>
          <w:lang w:val="en-GB"/>
        </w:rPr>
        <w:t xml:space="preserve">UNITED NATIONS </w:t>
      </w:r>
      <w:r>
        <w:rPr>
          <w:rFonts w:ascii="Times New Roman" w:hAnsi="Times New Roman"/>
          <w:b/>
          <w:sz w:val="24"/>
          <w:szCs w:val="24"/>
          <w:lang w:val="en-GB"/>
        </w:rPr>
        <w:br/>
      </w:r>
    </w:p>
    <w:p w:rsidR="005B1C4C" w:rsidRDefault="005B1C4C">
      <w:pPr>
        <w:pStyle w:val="Standard1"/>
        <w:spacing w:before="120" w:after="120" w:line="360" w:lineRule="auto"/>
        <w:jc w:val="center"/>
        <w:rPr>
          <w:rFonts w:ascii="Times New Roman" w:hAnsi="Times New Roman"/>
          <w:b/>
          <w:sz w:val="24"/>
          <w:szCs w:val="24"/>
          <w:lang w:val="en-GB"/>
        </w:rPr>
      </w:pPr>
    </w:p>
    <w:p w:rsidR="005B1C4C" w:rsidRDefault="005B1C4C">
      <w:pPr>
        <w:pStyle w:val="Standard1"/>
        <w:spacing w:before="120" w:after="120" w:line="360" w:lineRule="auto"/>
        <w:jc w:val="center"/>
        <w:rPr>
          <w:rFonts w:ascii="Times New Roman" w:hAnsi="Times New Roman"/>
          <w:b/>
          <w:sz w:val="24"/>
          <w:szCs w:val="24"/>
          <w:lang w:val="en-GB"/>
        </w:rPr>
      </w:pPr>
    </w:p>
    <w:p w:rsidR="005B1C4C" w:rsidRPr="0036224B" w:rsidRDefault="005E377F">
      <w:pPr>
        <w:pStyle w:val="Standard1"/>
        <w:spacing w:before="120" w:after="120" w:line="360" w:lineRule="auto"/>
        <w:jc w:val="center"/>
        <w:rPr>
          <w:lang w:val="en-GB"/>
        </w:rPr>
      </w:pPr>
      <w:r>
        <w:rPr>
          <w:rFonts w:ascii="Times New Roman" w:hAnsi="Times New Roman"/>
          <w:b/>
          <w:sz w:val="24"/>
          <w:szCs w:val="24"/>
          <w:lang w:val="en-GB"/>
        </w:rPr>
        <w:t>2</w:t>
      </w:r>
      <w:r>
        <w:rPr>
          <w:rFonts w:ascii="Times New Roman" w:hAnsi="Times New Roman"/>
          <w:b/>
          <w:sz w:val="24"/>
          <w:szCs w:val="24"/>
          <w:vertAlign w:val="superscript"/>
          <w:lang w:val="en-GB"/>
        </w:rPr>
        <w:t>nd</w:t>
      </w:r>
      <w:r w:rsidR="00F27B5A">
        <w:rPr>
          <w:rFonts w:ascii="Times New Roman" w:hAnsi="Times New Roman"/>
          <w:b/>
          <w:sz w:val="24"/>
          <w:szCs w:val="24"/>
          <w:vertAlign w:val="superscript"/>
          <w:lang w:val="en-GB"/>
        </w:rPr>
        <w:t xml:space="preserve"> </w:t>
      </w:r>
      <w:r w:rsidR="00F27B5A">
        <w:rPr>
          <w:rFonts w:ascii="Times New Roman" w:hAnsi="Times New Roman"/>
          <w:b/>
          <w:sz w:val="24"/>
          <w:szCs w:val="24"/>
          <w:lang w:val="en-GB"/>
        </w:rPr>
        <w:t>session of the Open-ended intergovernmental working group to elaborate the content of an international regulatory framework on the regulation, monitoring and oversight of the activities of private military and security companies</w:t>
      </w:r>
    </w:p>
    <w:p w:rsidR="005B1C4C" w:rsidRDefault="005B1C4C">
      <w:pPr>
        <w:pStyle w:val="Standard1"/>
        <w:jc w:val="center"/>
        <w:rPr>
          <w:rFonts w:ascii="Times New Roman" w:hAnsi="Times New Roman"/>
          <w:b/>
          <w:sz w:val="24"/>
          <w:szCs w:val="24"/>
          <w:lang w:val="en-GB"/>
        </w:rPr>
      </w:pPr>
    </w:p>
    <w:p w:rsidR="005B1C4C" w:rsidRDefault="005B1C4C">
      <w:pPr>
        <w:pStyle w:val="Standard1"/>
        <w:spacing w:line="360" w:lineRule="auto"/>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Pr="0036224B" w:rsidRDefault="00F27B5A">
      <w:pPr>
        <w:pStyle w:val="Standard1"/>
        <w:jc w:val="center"/>
        <w:rPr>
          <w:lang w:val="en-GB"/>
        </w:rPr>
      </w:pPr>
      <w:r>
        <w:rPr>
          <w:rFonts w:ascii="Times New Roman" w:hAnsi="Times New Roman"/>
          <w:b/>
          <w:sz w:val="24"/>
          <w:szCs w:val="24"/>
          <w:lang w:val="en-GB"/>
        </w:rPr>
        <w:t>Intervention by the European Union</w:t>
      </w:r>
    </w:p>
    <w:p w:rsidR="005B1C4C" w:rsidRDefault="005B1C4C">
      <w:pPr>
        <w:pStyle w:val="Standard1"/>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Default="005B1C4C">
      <w:pPr>
        <w:pStyle w:val="Standard1"/>
        <w:jc w:val="center"/>
        <w:rPr>
          <w:rFonts w:ascii="Times New Roman" w:hAnsi="Times New Roman"/>
          <w:b/>
          <w:sz w:val="24"/>
          <w:szCs w:val="24"/>
          <w:lang w:val="en-GB"/>
        </w:rPr>
      </w:pPr>
    </w:p>
    <w:p w:rsidR="005B1C4C" w:rsidRPr="0036224B" w:rsidRDefault="00F27B5A">
      <w:pPr>
        <w:pStyle w:val="Standard1"/>
        <w:jc w:val="center"/>
        <w:rPr>
          <w:lang w:val="en-GB"/>
        </w:rPr>
      </w:pPr>
      <w:r w:rsidRPr="00CD39A4">
        <w:rPr>
          <w:rFonts w:ascii="Times New Roman" w:hAnsi="Times New Roman"/>
          <w:b/>
          <w:sz w:val="24"/>
          <w:szCs w:val="24"/>
          <w:lang w:val="en-GB"/>
        </w:rPr>
        <w:t>Geneva, 2</w:t>
      </w:r>
      <w:r w:rsidR="005E377F">
        <w:rPr>
          <w:rFonts w:ascii="Times New Roman" w:hAnsi="Times New Roman"/>
          <w:b/>
          <w:sz w:val="24"/>
          <w:szCs w:val="24"/>
          <w:lang w:val="en-GB"/>
        </w:rPr>
        <w:t>6</w:t>
      </w:r>
      <w:r w:rsidRPr="00CD39A4">
        <w:rPr>
          <w:rFonts w:ascii="Times New Roman" w:hAnsi="Times New Roman"/>
          <w:b/>
          <w:sz w:val="24"/>
          <w:szCs w:val="24"/>
          <w:lang w:val="en-GB"/>
        </w:rPr>
        <w:t xml:space="preserve"> </w:t>
      </w:r>
      <w:r w:rsidR="005E377F">
        <w:rPr>
          <w:rFonts w:ascii="Times New Roman" w:hAnsi="Times New Roman"/>
          <w:b/>
          <w:sz w:val="24"/>
          <w:szCs w:val="24"/>
          <w:lang w:val="en-GB"/>
        </w:rPr>
        <w:t xml:space="preserve">April </w:t>
      </w:r>
      <w:r w:rsidRPr="00CD39A4">
        <w:rPr>
          <w:rFonts w:ascii="Times New Roman" w:hAnsi="Times New Roman"/>
          <w:b/>
          <w:sz w:val="24"/>
          <w:szCs w:val="24"/>
          <w:lang w:val="en-GB"/>
        </w:rPr>
        <w:t>20</w:t>
      </w:r>
      <w:r w:rsidR="005E377F">
        <w:rPr>
          <w:rFonts w:ascii="Times New Roman" w:hAnsi="Times New Roman"/>
          <w:b/>
          <w:sz w:val="24"/>
          <w:szCs w:val="24"/>
          <w:lang w:val="en-GB"/>
        </w:rPr>
        <w:t>21</w:t>
      </w:r>
      <w:r>
        <w:rPr>
          <w:rFonts w:ascii="Times New Roman" w:hAnsi="Times New Roman"/>
          <w:b/>
          <w:sz w:val="24"/>
          <w:szCs w:val="24"/>
          <w:lang w:val="en-GB"/>
        </w:rPr>
        <w:br/>
      </w:r>
      <w:r>
        <w:rPr>
          <w:rFonts w:ascii="Times New Roman" w:hAnsi="Times New Roman"/>
          <w:b/>
          <w:sz w:val="24"/>
          <w:szCs w:val="24"/>
          <w:lang w:val="en-GB"/>
        </w:rPr>
        <w:br/>
      </w:r>
      <w:r>
        <w:rPr>
          <w:rFonts w:ascii="Times New Roman" w:hAnsi="Times New Roman"/>
          <w:b/>
          <w:sz w:val="24"/>
          <w:szCs w:val="24"/>
          <w:lang w:val="en-US"/>
        </w:rPr>
        <w:t>- CHECK AGAINST DELIVERY -</w:t>
      </w:r>
    </w:p>
    <w:p w:rsidR="005B1C4C" w:rsidRDefault="005B1C4C">
      <w:pPr>
        <w:pStyle w:val="Standard1"/>
        <w:spacing w:after="0" w:line="360" w:lineRule="auto"/>
        <w:jc w:val="center"/>
        <w:rPr>
          <w:rFonts w:ascii="Times New Roman" w:hAnsi="Times New Roman"/>
          <w:b/>
          <w:sz w:val="24"/>
          <w:szCs w:val="24"/>
          <w:lang w:val="en-GB"/>
        </w:rPr>
      </w:pPr>
    </w:p>
    <w:p w:rsidR="00CB3BE5" w:rsidRDefault="00CB3BE5">
      <w:pPr>
        <w:pStyle w:val="Standard1"/>
        <w:spacing w:line="240" w:lineRule="auto"/>
        <w:jc w:val="center"/>
        <w:rPr>
          <w:rFonts w:ascii="Times New Roman" w:hAnsi="Times New Roman"/>
          <w:b/>
          <w:sz w:val="24"/>
          <w:szCs w:val="24"/>
          <w:lang w:val="en-GB"/>
        </w:rPr>
      </w:pPr>
    </w:p>
    <w:p w:rsidR="00CB3BE5" w:rsidRDefault="00CB3BE5">
      <w:pPr>
        <w:pStyle w:val="Standard1"/>
        <w:spacing w:line="240" w:lineRule="auto"/>
        <w:jc w:val="center"/>
        <w:rPr>
          <w:b/>
          <w:lang w:val="en-GB"/>
        </w:rPr>
      </w:pPr>
    </w:p>
    <w:p w:rsidR="005B1C4C" w:rsidRPr="0036224B" w:rsidRDefault="005B1C4C">
      <w:pPr>
        <w:pStyle w:val="Standard1"/>
        <w:spacing w:line="240" w:lineRule="auto"/>
        <w:jc w:val="center"/>
        <w:rPr>
          <w:lang w:val="en-GB"/>
        </w:rPr>
      </w:pPr>
    </w:p>
    <w:p w:rsidR="005B1C4C" w:rsidRPr="0036224B" w:rsidRDefault="005E377F">
      <w:pPr>
        <w:pStyle w:val="Standard1"/>
        <w:spacing w:line="360" w:lineRule="auto"/>
        <w:jc w:val="center"/>
        <w:rPr>
          <w:lang w:val="en-GB"/>
        </w:rPr>
      </w:pPr>
      <w:r>
        <w:rPr>
          <w:rFonts w:ascii="Times New Roman" w:hAnsi="Times New Roman"/>
          <w:b/>
          <w:sz w:val="24"/>
          <w:szCs w:val="24"/>
          <w:lang w:val="en-GB"/>
        </w:rPr>
        <w:t>2</w:t>
      </w:r>
      <w:r>
        <w:rPr>
          <w:rFonts w:ascii="Times New Roman" w:hAnsi="Times New Roman"/>
          <w:b/>
          <w:sz w:val="24"/>
          <w:szCs w:val="24"/>
          <w:vertAlign w:val="superscript"/>
          <w:lang w:val="en-GB"/>
        </w:rPr>
        <w:t>nd</w:t>
      </w:r>
      <w:r w:rsidR="00F27B5A">
        <w:rPr>
          <w:rFonts w:ascii="Times New Roman" w:hAnsi="Times New Roman"/>
          <w:b/>
          <w:sz w:val="24"/>
          <w:szCs w:val="24"/>
          <w:lang w:val="en-GB"/>
        </w:rPr>
        <w:t xml:space="preserve"> session of the Open-ended intergovernmental working group to elaborate the content of an international regulatory framework on the regulation, monitoring and oversight of the activities of private military and security companies</w:t>
      </w:r>
      <w:r w:rsidR="004F36FC">
        <w:rPr>
          <w:rFonts w:ascii="Times New Roman" w:hAnsi="Times New Roman"/>
          <w:b/>
          <w:sz w:val="24"/>
          <w:szCs w:val="24"/>
          <w:lang w:val="en-GB"/>
        </w:rPr>
        <w:t xml:space="preserve"> </w:t>
      </w:r>
    </w:p>
    <w:p w:rsidR="005B1C4C" w:rsidRDefault="00F27B5A">
      <w:pPr>
        <w:pStyle w:val="NormalWeb"/>
        <w:jc w:val="center"/>
      </w:pPr>
      <w:r>
        <w:rPr>
          <w:b/>
        </w:rPr>
        <w:t>EU intervention</w:t>
      </w:r>
    </w:p>
    <w:p w:rsidR="00F32A0D" w:rsidRDefault="00F32A0D" w:rsidP="00527DFC">
      <w:pPr>
        <w:pStyle w:val="NoSpacing"/>
        <w:spacing w:line="360" w:lineRule="auto"/>
        <w:jc w:val="both"/>
        <w:rPr>
          <w:rFonts w:asciiTheme="minorHAnsi" w:hAnsiTheme="minorHAnsi" w:cstheme="minorHAnsi"/>
          <w:sz w:val="24"/>
          <w:szCs w:val="24"/>
          <w:lang w:val="en-GB"/>
        </w:rPr>
      </w:pPr>
    </w:p>
    <w:p w:rsidR="00DE16F5" w:rsidRDefault="00DE16F5" w:rsidP="00527DFC">
      <w:pPr>
        <w:pStyle w:val="NoSpacing"/>
        <w:spacing w:line="360" w:lineRule="auto"/>
        <w:jc w:val="both"/>
        <w:rPr>
          <w:rFonts w:asciiTheme="minorHAnsi" w:hAnsiTheme="minorHAnsi" w:cstheme="minorHAnsi"/>
          <w:sz w:val="24"/>
          <w:szCs w:val="24"/>
          <w:lang w:val="en-GB"/>
        </w:rPr>
      </w:pPr>
    </w:p>
    <w:p w:rsidR="006F0227" w:rsidRDefault="006F0227" w:rsidP="006F0227">
      <w:pPr>
        <w:pStyle w:val="NoSpacing"/>
        <w:spacing w:line="360" w:lineRule="auto"/>
        <w:jc w:val="both"/>
        <w:rPr>
          <w:rFonts w:asciiTheme="minorHAnsi" w:hAnsiTheme="minorHAnsi" w:cstheme="minorHAnsi"/>
          <w:sz w:val="24"/>
          <w:szCs w:val="24"/>
          <w:lang w:val="en-GB"/>
        </w:rPr>
      </w:pPr>
      <w:r w:rsidRPr="006F0227">
        <w:rPr>
          <w:rFonts w:asciiTheme="minorHAnsi" w:hAnsiTheme="minorHAnsi" w:cstheme="minorHAnsi"/>
          <w:sz w:val="24"/>
          <w:szCs w:val="24"/>
          <w:lang w:val="en-GB"/>
        </w:rPr>
        <w:t xml:space="preserve">The European Union would like to congratulate the new Chair-Rapporteur </w:t>
      </w:r>
      <w:r w:rsidR="002A64C9">
        <w:rPr>
          <w:rFonts w:asciiTheme="minorHAnsi" w:hAnsiTheme="minorHAnsi" w:cstheme="minorHAnsi"/>
          <w:sz w:val="24"/>
          <w:szCs w:val="24"/>
          <w:lang w:val="en-GB"/>
        </w:rPr>
        <w:t>on</w:t>
      </w:r>
      <w:r w:rsidRPr="006F0227">
        <w:rPr>
          <w:rFonts w:asciiTheme="minorHAnsi" w:hAnsiTheme="minorHAnsi" w:cstheme="minorHAnsi"/>
          <w:sz w:val="24"/>
          <w:szCs w:val="24"/>
          <w:lang w:val="en-GB"/>
        </w:rPr>
        <w:t xml:space="preserve"> his election. We would </w:t>
      </w:r>
      <w:r w:rsidR="002A64C9">
        <w:rPr>
          <w:rFonts w:asciiTheme="minorHAnsi" w:hAnsiTheme="minorHAnsi" w:cstheme="minorHAnsi"/>
          <w:sz w:val="24"/>
          <w:szCs w:val="24"/>
          <w:lang w:val="en-GB"/>
        </w:rPr>
        <w:t xml:space="preserve">also </w:t>
      </w:r>
      <w:r w:rsidRPr="006F0227">
        <w:rPr>
          <w:rFonts w:asciiTheme="minorHAnsi" w:hAnsiTheme="minorHAnsi" w:cstheme="minorHAnsi"/>
          <w:sz w:val="24"/>
          <w:szCs w:val="24"/>
          <w:lang w:val="en-GB"/>
        </w:rPr>
        <w:t>like to thank the Chair-Rapporteur and the Secretariat for their efforts in holding th</w:t>
      </w:r>
      <w:r w:rsidR="002A64C9">
        <w:rPr>
          <w:rFonts w:asciiTheme="minorHAnsi" w:hAnsiTheme="minorHAnsi" w:cstheme="minorHAnsi"/>
          <w:sz w:val="24"/>
          <w:szCs w:val="24"/>
          <w:lang w:val="en-GB"/>
        </w:rPr>
        <w:t xml:space="preserve">is session in a hybrid format under </w:t>
      </w:r>
      <w:r w:rsidRPr="006F0227">
        <w:rPr>
          <w:rFonts w:asciiTheme="minorHAnsi" w:hAnsiTheme="minorHAnsi" w:cstheme="minorHAnsi"/>
          <w:sz w:val="24"/>
          <w:szCs w:val="24"/>
          <w:lang w:val="en-GB"/>
        </w:rPr>
        <w:t xml:space="preserve">such difficult circumstances. </w:t>
      </w:r>
    </w:p>
    <w:p w:rsidR="00ED4759" w:rsidRDefault="00ED4759" w:rsidP="006F0227">
      <w:pPr>
        <w:pStyle w:val="NoSpacing"/>
        <w:spacing w:line="360" w:lineRule="auto"/>
        <w:jc w:val="both"/>
        <w:rPr>
          <w:rFonts w:asciiTheme="minorHAnsi" w:hAnsiTheme="minorHAnsi" w:cstheme="minorHAnsi"/>
          <w:sz w:val="24"/>
          <w:szCs w:val="24"/>
          <w:lang w:val="en-GB"/>
        </w:rPr>
      </w:pPr>
    </w:p>
    <w:p w:rsidR="006F0227" w:rsidRPr="006F0227" w:rsidRDefault="00ED4759" w:rsidP="00ED4759">
      <w:pPr>
        <w:pStyle w:val="NoSpacing"/>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As you know, the EU had expressed </w:t>
      </w:r>
      <w:r w:rsidRPr="006F0227">
        <w:rPr>
          <w:rFonts w:asciiTheme="minorHAnsi" w:hAnsiTheme="minorHAnsi" w:cstheme="minorHAnsi"/>
          <w:sz w:val="24"/>
          <w:szCs w:val="24"/>
          <w:lang w:val="en-GB"/>
        </w:rPr>
        <w:t>strong concerns</w:t>
      </w:r>
      <w:r w:rsidRPr="00ED4759">
        <w:rPr>
          <w:rFonts w:asciiTheme="minorHAnsi" w:hAnsiTheme="minorHAnsi" w:cstheme="minorHAnsi"/>
          <w:sz w:val="24"/>
          <w:szCs w:val="24"/>
          <w:lang w:val="en-GB"/>
        </w:rPr>
        <w:t xml:space="preserve"> </w:t>
      </w:r>
      <w:r w:rsidRPr="006F0227">
        <w:rPr>
          <w:rFonts w:asciiTheme="minorHAnsi" w:hAnsiTheme="minorHAnsi" w:cstheme="minorHAnsi"/>
          <w:sz w:val="24"/>
          <w:szCs w:val="24"/>
          <w:lang w:val="en-GB"/>
        </w:rPr>
        <w:t>durin</w:t>
      </w:r>
      <w:r>
        <w:rPr>
          <w:rFonts w:asciiTheme="minorHAnsi" w:hAnsiTheme="minorHAnsi" w:cstheme="minorHAnsi"/>
          <w:sz w:val="24"/>
          <w:szCs w:val="24"/>
          <w:lang w:val="en-GB"/>
        </w:rPr>
        <w:t>g the informal negotiations in 2020 on the renewal of the mandate</w:t>
      </w:r>
      <w:r w:rsidR="00B426ED">
        <w:rPr>
          <w:rFonts w:asciiTheme="minorHAnsi" w:hAnsiTheme="minorHAnsi" w:cstheme="minorHAnsi"/>
          <w:sz w:val="24"/>
          <w:szCs w:val="24"/>
          <w:lang w:val="en-GB"/>
        </w:rPr>
        <w:t xml:space="preserve">, </w:t>
      </w:r>
      <w:r w:rsidR="00B426ED" w:rsidRPr="00B426ED">
        <w:rPr>
          <w:rFonts w:asciiTheme="minorHAnsi" w:hAnsiTheme="minorHAnsi" w:cstheme="minorHAnsi"/>
          <w:sz w:val="24"/>
          <w:szCs w:val="24"/>
          <w:lang w:val="en-GB"/>
        </w:rPr>
        <w:t>particularly on its duration</w:t>
      </w:r>
      <w:r>
        <w:rPr>
          <w:rFonts w:asciiTheme="minorHAnsi" w:hAnsiTheme="minorHAnsi" w:cstheme="minorHAnsi"/>
          <w:sz w:val="24"/>
          <w:szCs w:val="24"/>
          <w:lang w:val="en-GB"/>
        </w:rPr>
        <w:t xml:space="preserve">. Indeed, the EU regretted that the last </w:t>
      </w:r>
      <w:r w:rsidR="00B27598">
        <w:rPr>
          <w:rFonts w:asciiTheme="minorHAnsi" w:hAnsiTheme="minorHAnsi" w:cstheme="minorHAnsi"/>
          <w:sz w:val="24"/>
          <w:szCs w:val="24"/>
          <w:lang w:val="en-GB"/>
        </w:rPr>
        <w:t xml:space="preserve">three-year </w:t>
      </w:r>
      <w:r w:rsidR="006F0227" w:rsidRPr="006F0227">
        <w:rPr>
          <w:rFonts w:asciiTheme="minorHAnsi" w:hAnsiTheme="minorHAnsi" w:cstheme="minorHAnsi"/>
          <w:sz w:val="24"/>
          <w:szCs w:val="24"/>
          <w:lang w:val="en-GB"/>
        </w:rPr>
        <w:t xml:space="preserve">mandate </w:t>
      </w:r>
      <w:r>
        <w:rPr>
          <w:rFonts w:asciiTheme="minorHAnsi" w:hAnsiTheme="minorHAnsi" w:cstheme="minorHAnsi"/>
          <w:sz w:val="24"/>
          <w:szCs w:val="24"/>
          <w:lang w:val="en-GB"/>
        </w:rPr>
        <w:t xml:space="preserve">has </w:t>
      </w:r>
      <w:r w:rsidR="006F0227" w:rsidRPr="006F0227">
        <w:rPr>
          <w:rFonts w:asciiTheme="minorHAnsi" w:hAnsiTheme="minorHAnsi" w:cstheme="minorHAnsi"/>
          <w:sz w:val="24"/>
          <w:szCs w:val="24"/>
          <w:lang w:val="en-GB"/>
        </w:rPr>
        <w:t xml:space="preserve">delivered little, with only one session held out of the three expected, and </w:t>
      </w:r>
      <w:r w:rsidR="002A64C9">
        <w:rPr>
          <w:rFonts w:asciiTheme="minorHAnsi" w:hAnsiTheme="minorHAnsi" w:cstheme="minorHAnsi"/>
          <w:sz w:val="24"/>
          <w:szCs w:val="24"/>
          <w:lang w:val="en-GB"/>
        </w:rPr>
        <w:t xml:space="preserve">with </w:t>
      </w:r>
      <w:r w:rsidR="006F0227" w:rsidRPr="006F0227">
        <w:rPr>
          <w:rFonts w:asciiTheme="minorHAnsi" w:hAnsiTheme="minorHAnsi" w:cstheme="minorHAnsi"/>
          <w:sz w:val="24"/>
          <w:szCs w:val="24"/>
          <w:lang w:val="en-GB"/>
        </w:rPr>
        <w:t>no new discussion docum</w:t>
      </w:r>
      <w:r w:rsidR="002A64C9">
        <w:rPr>
          <w:rFonts w:asciiTheme="minorHAnsi" w:hAnsiTheme="minorHAnsi" w:cstheme="minorHAnsi"/>
          <w:sz w:val="24"/>
          <w:szCs w:val="24"/>
          <w:lang w:val="en-GB"/>
        </w:rPr>
        <w:t xml:space="preserve">ents or reference documents being </w:t>
      </w:r>
      <w:r w:rsidR="006F0227" w:rsidRPr="006F0227">
        <w:rPr>
          <w:rFonts w:asciiTheme="minorHAnsi" w:hAnsiTheme="minorHAnsi" w:cstheme="minorHAnsi"/>
          <w:sz w:val="24"/>
          <w:szCs w:val="24"/>
          <w:lang w:val="en-GB"/>
        </w:rPr>
        <w:t>produced or updated.</w:t>
      </w:r>
    </w:p>
    <w:p w:rsidR="006F0227" w:rsidRPr="006F0227" w:rsidRDefault="006F0227" w:rsidP="006F0227">
      <w:pPr>
        <w:pStyle w:val="NoSpacing"/>
        <w:spacing w:line="360" w:lineRule="auto"/>
        <w:jc w:val="both"/>
        <w:rPr>
          <w:rFonts w:asciiTheme="minorHAnsi" w:hAnsiTheme="minorHAnsi" w:cstheme="minorHAnsi"/>
          <w:sz w:val="24"/>
          <w:szCs w:val="24"/>
          <w:lang w:val="en-GB"/>
        </w:rPr>
      </w:pPr>
    </w:p>
    <w:p w:rsidR="008F156D" w:rsidRDefault="00906B52" w:rsidP="006F0227">
      <w:pPr>
        <w:pStyle w:val="NoSpacing"/>
        <w:spacing w:line="360" w:lineRule="auto"/>
        <w:jc w:val="both"/>
        <w:rPr>
          <w:rFonts w:asciiTheme="minorHAnsi" w:hAnsiTheme="minorHAnsi" w:cstheme="minorHAnsi"/>
          <w:sz w:val="24"/>
          <w:szCs w:val="24"/>
          <w:lang w:val="en-GB"/>
        </w:rPr>
      </w:pPr>
      <w:r w:rsidRPr="00906B52">
        <w:rPr>
          <w:rFonts w:asciiTheme="minorHAnsi" w:hAnsiTheme="minorHAnsi" w:cstheme="minorHAnsi"/>
          <w:sz w:val="24"/>
          <w:szCs w:val="24"/>
          <w:lang w:val="en-GB"/>
        </w:rPr>
        <w:t xml:space="preserve">It is worth noting that we made requests during the recent meeting with regional coordinators held on </w:t>
      </w:r>
      <w:r>
        <w:rPr>
          <w:rFonts w:asciiTheme="minorHAnsi" w:hAnsiTheme="minorHAnsi" w:cstheme="minorHAnsi"/>
          <w:sz w:val="24"/>
          <w:szCs w:val="24"/>
          <w:lang w:val="en-GB"/>
        </w:rPr>
        <w:t>30</w:t>
      </w:r>
      <w:r w:rsidRPr="00906B52">
        <w:rPr>
          <w:rFonts w:asciiTheme="minorHAnsi" w:hAnsiTheme="minorHAnsi" w:cstheme="minorHAnsi"/>
          <w:sz w:val="24"/>
          <w:szCs w:val="24"/>
          <w:lang w:val="en-GB"/>
        </w:rPr>
        <w:t xml:space="preserve"> March, and reiterated at the informal consultation on </w:t>
      </w:r>
      <w:r>
        <w:rPr>
          <w:rFonts w:asciiTheme="minorHAnsi" w:hAnsiTheme="minorHAnsi" w:cstheme="minorHAnsi"/>
          <w:sz w:val="24"/>
          <w:szCs w:val="24"/>
          <w:lang w:val="en-GB"/>
        </w:rPr>
        <w:t>13</w:t>
      </w:r>
      <w:r w:rsidRPr="00906B52">
        <w:rPr>
          <w:rFonts w:asciiTheme="minorHAnsi" w:hAnsiTheme="minorHAnsi" w:cstheme="minorHAnsi"/>
          <w:sz w:val="24"/>
          <w:szCs w:val="24"/>
          <w:lang w:val="en-GB"/>
        </w:rPr>
        <w:t xml:space="preserve"> April, for an updated di</w:t>
      </w:r>
      <w:r>
        <w:rPr>
          <w:rFonts w:asciiTheme="minorHAnsi" w:hAnsiTheme="minorHAnsi" w:cstheme="minorHAnsi"/>
          <w:sz w:val="24"/>
          <w:szCs w:val="24"/>
          <w:lang w:val="en-GB"/>
        </w:rPr>
        <w:t xml:space="preserve">scussion document on elements. </w:t>
      </w:r>
      <w:r w:rsidRPr="00906B52">
        <w:rPr>
          <w:rFonts w:asciiTheme="minorHAnsi" w:hAnsiTheme="minorHAnsi" w:cstheme="minorHAnsi"/>
          <w:sz w:val="24"/>
          <w:szCs w:val="24"/>
          <w:lang w:val="en-GB"/>
        </w:rPr>
        <w:t xml:space="preserve">This is the document which should have factored in work already done in 2019 to allow stakeholders to engage constructively in the discussions. We regret that these requests have remained </w:t>
      </w:r>
      <w:r w:rsidR="00526BA4" w:rsidRPr="00906B52">
        <w:rPr>
          <w:rFonts w:asciiTheme="minorHAnsi" w:hAnsiTheme="minorHAnsi" w:cstheme="minorHAnsi"/>
          <w:sz w:val="24"/>
          <w:szCs w:val="24"/>
          <w:lang w:val="en-GB"/>
        </w:rPr>
        <w:t>un</w:t>
      </w:r>
      <w:r w:rsidR="00526BA4">
        <w:rPr>
          <w:rFonts w:asciiTheme="minorHAnsi" w:hAnsiTheme="minorHAnsi" w:cstheme="minorHAnsi"/>
          <w:sz w:val="24"/>
          <w:szCs w:val="24"/>
          <w:lang w:val="en-GB"/>
        </w:rPr>
        <w:t>fulfilled</w:t>
      </w:r>
      <w:r w:rsidRPr="00906B52">
        <w:rPr>
          <w:rFonts w:asciiTheme="minorHAnsi" w:hAnsiTheme="minorHAnsi" w:cstheme="minorHAnsi"/>
          <w:sz w:val="24"/>
          <w:szCs w:val="24"/>
          <w:lang w:val="en-GB"/>
        </w:rPr>
        <w:t>.</w:t>
      </w:r>
    </w:p>
    <w:p w:rsidR="00DA260F" w:rsidRPr="006F0227" w:rsidRDefault="00DA260F" w:rsidP="006F0227">
      <w:pPr>
        <w:pStyle w:val="NoSpacing"/>
        <w:spacing w:line="360" w:lineRule="auto"/>
        <w:jc w:val="both"/>
        <w:rPr>
          <w:rFonts w:asciiTheme="minorHAnsi" w:hAnsiTheme="minorHAnsi" w:cstheme="minorHAnsi"/>
          <w:sz w:val="24"/>
          <w:szCs w:val="24"/>
          <w:lang w:val="en-GB"/>
        </w:rPr>
      </w:pPr>
    </w:p>
    <w:p w:rsidR="006F0227" w:rsidRPr="006F0227" w:rsidRDefault="006F0227" w:rsidP="006F0227">
      <w:pPr>
        <w:pStyle w:val="NoSpacing"/>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Chair-Rapporteur</w:t>
      </w:r>
    </w:p>
    <w:p w:rsidR="006F0227" w:rsidRPr="006F0227" w:rsidRDefault="006F0227" w:rsidP="006F0227">
      <w:pPr>
        <w:pStyle w:val="NoSpacing"/>
        <w:spacing w:line="360" w:lineRule="auto"/>
        <w:jc w:val="both"/>
        <w:rPr>
          <w:rFonts w:asciiTheme="minorHAnsi" w:hAnsiTheme="minorHAnsi" w:cstheme="minorHAnsi"/>
          <w:sz w:val="24"/>
          <w:szCs w:val="24"/>
          <w:lang w:val="en-GB"/>
        </w:rPr>
      </w:pPr>
      <w:r w:rsidRPr="006F0227">
        <w:rPr>
          <w:rFonts w:asciiTheme="minorHAnsi" w:hAnsiTheme="minorHAnsi" w:cstheme="minorHAnsi"/>
          <w:sz w:val="24"/>
          <w:szCs w:val="24"/>
          <w:lang w:val="en-GB"/>
        </w:rPr>
        <w:lastRenderedPageBreak/>
        <w:t xml:space="preserve">This working group was mandated to elaborate the content of an international regulatory framework on the regulation, monitoring and oversights of the activities of private </w:t>
      </w:r>
      <w:r w:rsidR="00D12F67">
        <w:rPr>
          <w:rFonts w:asciiTheme="minorHAnsi" w:hAnsiTheme="minorHAnsi" w:cstheme="minorHAnsi"/>
          <w:sz w:val="24"/>
          <w:szCs w:val="24"/>
          <w:lang w:val="en-GB"/>
        </w:rPr>
        <w:t>military and security companies. It is worthy</w:t>
      </w:r>
      <w:r w:rsidRPr="006F0227">
        <w:rPr>
          <w:rFonts w:asciiTheme="minorHAnsi" w:hAnsiTheme="minorHAnsi" w:cstheme="minorHAnsi"/>
          <w:sz w:val="24"/>
          <w:szCs w:val="24"/>
          <w:lang w:val="en-GB"/>
        </w:rPr>
        <w:t xml:space="preserve"> </w:t>
      </w:r>
      <w:r w:rsidR="00D12F67">
        <w:rPr>
          <w:rFonts w:asciiTheme="minorHAnsi" w:hAnsiTheme="minorHAnsi" w:cstheme="minorHAnsi"/>
          <w:sz w:val="24"/>
          <w:szCs w:val="24"/>
          <w:lang w:val="en-GB"/>
        </w:rPr>
        <w:t xml:space="preserve">of </w:t>
      </w:r>
      <w:r w:rsidRPr="006F0227">
        <w:rPr>
          <w:rFonts w:asciiTheme="minorHAnsi" w:hAnsiTheme="minorHAnsi" w:cstheme="minorHAnsi"/>
          <w:sz w:val="24"/>
          <w:szCs w:val="24"/>
          <w:lang w:val="en-GB"/>
        </w:rPr>
        <w:t>not</w:t>
      </w:r>
      <w:r w:rsidR="00D12F67">
        <w:rPr>
          <w:rFonts w:asciiTheme="minorHAnsi" w:hAnsiTheme="minorHAnsi" w:cstheme="minorHAnsi"/>
          <w:sz w:val="24"/>
          <w:szCs w:val="24"/>
          <w:lang w:val="en-GB"/>
        </w:rPr>
        <w:t>e</w:t>
      </w:r>
      <w:r w:rsidRPr="006F0227">
        <w:rPr>
          <w:rFonts w:asciiTheme="minorHAnsi" w:hAnsiTheme="minorHAnsi" w:cstheme="minorHAnsi"/>
          <w:sz w:val="24"/>
          <w:szCs w:val="24"/>
          <w:lang w:val="en-GB"/>
        </w:rPr>
        <w:t xml:space="preserve"> that the current mandate does not make any presumptions about the ultimate legal nature of the potential future framework and</w:t>
      </w:r>
      <w:r w:rsidR="003009E4">
        <w:rPr>
          <w:rFonts w:asciiTheme="minorHAnsi" w:hAnsiTheme="minorHAnsi" w:cstheme="minorHAnsi"/>
          <w:sz w:val="24"/>
          <w:szCs w:val="24"/>
          <w:lang w:val="en-GB"/>
        </w:rPr>
        <w:t>, in line with resolution 15/26,</w:t>
      </w:r>
      <w:r w:rsidRPr="006F0227">
        <w:rPr>
          <w:rFonts w:asciiTheme="minorHAnsi" w:hAnsiTheme="minorHAnsi" w:cstheme="minorHAnsi"/>
          <w:sz w:val="24"/>
          <w:szCs w:val="24"/>
          <w:lang w:val="en-GB"/>
        </w:rPr>
        <w:t xml:space="preserve"> </w:t>
      </w:r>
      <w:r w:rsidR="00A13762">
        <w:rPr>
          <w:rFonts w:asciiTheme="minorHAnsi" w:hAnsiTheme="minorHAnsi" w:cstheme="minorHAnsi"/>
          <w:sz w:val="24"/>
          <w:szCs w:val="24"/>
          <w:lang w:val="en-GB"/>
        </w:rPr>
        <w:t xml:space="preserve">to date </w:t>
      </w:r>
      <w:r w:rsidR="003009E4">
        <w:rPr>
          <w:rFonts w:asciiTheme="minorHAnsi" w:hAnsiTheme="minorHAnsi" w:cstheme="minorHAnsi"/>
          <w:sz w:val="24"/>
          <w:szCs w:val="24"/>
          <w:lang w:val="en-GB"/>
        </w:rPr>
        <w:t>there is still a difference of views on the nature of a potential new international regulatory framework</w:t>
      </w:r>
      <w:r w:rsidRPr="006F0227">
        <w:rPr>
          <w:rFonts w:asciiTheme="minorHAnsi" w:hAnsiTheme="minorHAnsi" w:cstheme="minorHAnsi"/>
          <w:sz w:val="24"/>
          <w:szCs w:val="24"/>
          <w:lang w:val="en-GB"/>
        </w:rPr>
        <w:t>.</w:t>
      </w:r>
      <w:r w:rsidR="00ED4759">
        <w:rPr>
          <w:rFonts w:asciiTheme="minorHAnsi" w:hAnsiTheme="minorHAnsi" w:cstheme="minorHAnsi"/>
          <w:sz w:val="24"/>
          <w:szCs w:val="24"/>
          <w:lang w:val="en-GB"/>
        </w:rPr>
        <w:t xml:space="preserve"> </w:t>
      </w:r>
      <w:r w:rsidR="00B426ED" w:rsidRPr="00B426ED">
        <w:rPr>
          <w:rFonts w:asciiTheme="minorHAnsi" w:hAnsiTheme="minorHAnsi" w:cstheme="minorHAnsi"/>
          <w:sz w:val="24"/>
          <w:szCs w:val="24"/>
          <w:lang w:val="en-GB"/>
        </w:rPr>
        <w:t>The EU will carefully assess the content and added value of any possible proposal of a non-binding international regulatory framewor</w:t>
      </w:r>
      <w:r w:rsidR="00B426ED">
        <w:rPr>
          <w:rFonts w:asciiTheme="minorHAnsi" w:hAnsiTheme="minorHAnsi" w:cstheme="minorHAnsi"/>
          <w:sz w:val="24"/>
          <w:szCs w:val="24"/>
          <w:lang w:val="en-GB"/>
        </w:rPr>
        <w:t>k to regulate PMSCs’ activities. I</w:t>
      </w:r>
      <w:r w:rsidR="00B426ED" w:rsidRPr="00B426ED">
        <w:rPr>
          <w:rFonts w:asciiTheme="minorHAnsi" w:hAnsiTheme="minorHAnsi" w:cstheme="minorHAnsi"/>
          <w:sz w:val="24"/>
          <w:szCs w:val="24"/>
          <w:lang w:val="en-GB"/>
        </w:rPr>
        <w:t>ts content would need to be in line with international human rights law and international humanitarian law.</w:t>
      </w:r>
    </w:p>
    <w:p w:rsidR="00B426ED" w:rsidRDefault="00B426ED" w:rsidP="00B426ED">
      <w:pPr>
        <w:pStyle w:val="NoSpacing"/>
        <w:spacing w:line="360" w:lineRule="auto"/>
        <w:jc w:val="both"/>
        <w:rPr>
          <w:rFonts w:asciiTheme="minorHAnsi" w:hAnsiTheme="minorHAnsi" w:cstheme="minorHAnsi"/>
          <w:sz w:val="24"/>
          <w:szCs w:val="24"/>
          <w:lang w:val="en-GB"/>
        </w:rPr>
      </w:pPr>
    </w:p>
    <w:p w:rsidR="007022A4" w:rsidRDefault="007022A4" w:rsidP="00B426ED">
      <w:pPr>
        <w:pStyle w:val="NoSpacing"/>
        <w:spacing w:line="360" w:lineRule="auto"/>
        <w:jc w:val="both"/>
        <w:rPr>
          <w:rFonts w:asciiTheme="minorHAnsi" w:hAnsiTheme="minorHAnsi" w:cstheme="minorHAnsi"/>
          <w:sz w:val="24"/>
          <w:szCs w:val="24"/>
          <w:lang w:val="en-GB"/>
        </w:rPr>
      </w:pPr>
    </w:p>
    <w:p w:rsidR="00B426ED" w:rsidRDefault="00B426ED" w:rsidP="00B426ED">
      <w:pPr>
        <w:pStyle w:val="NoSpacing"/>
        <w:spacing w:line="360" w:lineRule="auto"/>
        <w:jc w:val="both"/>
        <w:rPr>
          <w:rFonts w:asciiTheme="minorHAnsi" w:hAnsiTheme="minorHAnsi" w:cstheme="minorHAnsi"/>
          <w:sz w:val="24"/>
          <w:szCs w:val="24"/>
          <w:lang w:val="en-GB"/>
        </w:rPr>
      </w:pPr>
      <w:r w:rsidRPr="006F0227">
        <w:rPr>
          <w:rFonts w:asciiTheme="minorHAnsi" w:hAnsiTheme="minorHAnsi" w:cstheme="minorHAnsi"/>
          <w:sz w:val="24"/>
          <w:szCs w:val="24"/>
          <w:lang w:val="en-GB"/>
        </w:rPr>
        <w:t>The debate on PMSCs is complex and fast evolving and demands a multifaceted response to the challenges faced. PMSCs have to operate under precise contractual obligations, monitoring and controls. Safeguards and check</w:t>
      </w:r>
      <w:r>
        <w:rPr>
          <w:rFonts w:asciiTheme="minorHAnsi" w:hAnsiTheme="minorHAnsi" w:cstheme="minorHAnsi"/>
          <w:sz w:val="24"/>
          <w:szCs w:val="24"/>
          <w:lang w:val="en-GB"/>
        </w:rPr>
        <w:t>s</w:t>
      </w:r>
      <w:r w:rsidRPr="006F0227">
        <w:rPr>
          <w:rFonts w:asciiTheme="minorHAnsi" w:hAnsiTheme="minorHAnsi" w:cstheme="minorHAnsi"/>
          <w:sz w:val="24"/>
          <w:szCs w:val="24"/>
          <w:lang w:val="en-GB"/>
        </w:rPr>
        <w:t xml:space="preserve"> </w:t>
      </w:r>
      <w:r>
        <w:rPr>
          <w:rFonts w:asciiTheme="minorHAnsi" w:hAnsiTheme="minorHAnsi" w:cstheme="minorHAnsi"/>
          <w:sz w:val="24"/>
          <w:szCs w:val="24"/>
          <w:lang w:val="en-GB"/>
        </w:rPr>
        <w:t>must</w:t>
      </w:r>
      <w:r w:rsidRPr="006F0227">
        <w:rPr>
          <w:rFonts w:asciiTheme="minorHAnsi" w:hAnsiTheme="minorHAnsi" w:cstheme="minorHAnsi"/>
          <w:sz w:val="24"/>
          <w:szCs w:val="24"/>
          <w:lang w:val="en-GB"/>
        </w:rPr>
        <w:t xml:space="preserve"> be in place to prevent excessive use of force. Regulations for PMSCs must be in line with existing international humanitarian law and international human rights law. </w:t>
      </w:r>
    </w:p>
    <w:p w:rsidR="00B426ED" w:rsidRPr="006F0227" w:rsidRDefault="00B426ED" w:rsidP="00B426ED">
      <w:pPr>
        <w:pStyle w:val="NoSpacing"/>
        <w:spacing w:line="360" w:lineRule="auto"/>
        <w:jc w:val="both"/>
        <w:rPr>
          <w:rFonts w:asciiTheme="minorHAnsi" w:hAnsiTheme="minorHAnsi" w:cstheme="minorHAnsi"/>
          <w:sz w:val="24"/>
          <w:szCs w:val="24"/>
          <w:lang w:val="en-GB"/>
        </w:rPr>
      </w:pPr>
    </w:p>
    <w:p w:rsidR="00545150" w:rsidRDefault="00B426ED" w:rsidP="006F0227">
      <w:pPr>
        <w:pStyle w:val="NoSpacing"/>
        <w:spacing w:line="360" w:lineRule="auto"/>
        <w:jc w:val="both"/>
        <w:rPr>
          <w:rFonts w:asciiTheme="minorHAnsi" w:hAnsiTheme="minorHAnsi" w:cstheme="minorHAnsi"/>
          <w:sz w:val="24"/>
          <w:szCs w:val="24"/>
          <w:lang w:val="en-GB"/>
        </w:rPr>
      </w:pPr>
      <w:r w:rsidRPr="006F0227">
        <w:rPr>
          <w:rFonts w:asciiTheme="minorHAnsi" w:hAnsiTheme="minorHAnsi" w:cstheme="minorHAnsi"/>
          <w:sz w:val="24"/>
          <w:szCs w:val="24"/>
          <w:lang w:val="en-GB"/>
        </w:rPr>
        <w:t xml:space="preserve">While we all naturally agree on the need to protect human rights and ensure accountability for violations and abuses, we would like to recall that PMSCs do not </w:t>
      </w:r>
      <w:r w:rsidRPr="006F0227">
        <w:rPr>
          <w:rFonts w:asciiTheme="minorHAnsi" w:hAnsiTheme="minorHAnsi" w:cstheme="minorHAnsi"/>
          <w:sz w:val="24"/>
          <w:szCs w:val="24"/>
          <w:lang w:val="en-GB"/>
        </w:rPr>
        <w:lastRenderedPageBreak/>
        <w:t>operate in a vacuum and that an international legal framework exists</w:t>
      </w:r>
      <w:r>
        <w:rPr>
          <w:rFonts w:asciiTheme="minorHAnsi" w:hAnsiTheme="minorHAnsi" w:cstheme="minorHAnsi"/>
          <w:sz w:val="24"/>
          <w:szCs w:val="24"/>
          <w:lang w:val="en-GB"/>
        </w:rPr>
        <w:t>. States have the primary responsibility to regulate PMSCs, including to, inter alia, protect and respect human rights</w:t>
      </w:r>
      <w:r w:rsidRPr="006F0227">
        <w:rPr>
          <w:rFonts w:asciiTheme="minorHAnsi" w:hAnsiTheme="minorHAnsi" w:cstheme="minorHAnsi"/>
          <w:sz w:val="24"/>
          <w:szCs w:val="24"/>
          <w:lang w:val="en-GB"/>
        </w:rPr>
        <w:t xml:space="preserve">. In this regard, the Montreux Document plays an </w:t>
      </w:r>
      <w:r>
        <w:rPr>
          <w:rFonts w:asciiTheme="minorHAnsi" w:hAnsiTheme="minorHAnsi" w:cstheme="minorHAnsi"/>
          <w:sz w:val="24"/>
          <w:szCs w:val="24"/>
          <w:lang w:val="en-GB"/>
        </w:rPr>
        <w:t>important</w:t>
      </w:r>
      <w:r w:rsidRPr="006F0227">
        <w:rPr>
          <w:rFonts w:asciiTheme="minorHAnsi" w:hAnsiTheme="minorHAnsi" w:cstheme="minorHAnsi"/>
          <w:sz w:val="24"/>
          <w:szCs w:val="24"/>
          <w:lang w:val="en-GB"/>
        </w:rPr>
        <w:t xml:space="preserve"> role in reaffirming the existing obligations of States under international law, in particular under international human rights law and international humanitarian law, relating to the activities of PMSCs during armed conflict. Therefore, the EU supports the Montreux Document and its universalisation</w:t>
      </w:r>
      <w:r w:rsidR="0036758F">
        <w:rPr>
          <w:rFonts w:asciiTheme="minorHAnsi" w:hAnsiTheme="minorHAnsi" w:cstheme="minorHAnsi"/>
          <w:sz w:val="24"/>
          <w:szCs w:val="24"/>
          <w:lang w:val="en-GB"/>
        </w:rPr>
        <w:t xml:space="preserve">. </w:t>
      </w:r>
      <w:r w:rsidR="00D202B3">
        <w:rPr>
          <w:rFonts w:asciiTheme="minorHAnsi" w:hAnsiTheme="minorHAnsi" w:cstheme="minorHAnsi"/>
          <w:sz w:val="24"/>
          <w:szCs w:val="24"/>
          <w:lang w:val="en-GB"/>
        </w:rPr>
        <w:t xml:space="preserve">We </w:t>
      </w:r>
      <w:r w:rsidR="00BC6241">
        <w:rPr>
          <w:rFonts w:asciiTheme="minorHAnsi" w:hAnsiTheme="minorHAnsi" w:cstheme="minorHAnsi"/>
          <w:sz w:val="24"/>
          <w:szCs w:val="24"/>
          <w:lang w:val="en-GB"/>
        </w:rPr>
        <w:t xml:space="preserve">encourage </w:t>
      </w:r>
      <w:r w:rsidR="007E1513">
        <w:rPr>
          <w:rFonts w:asciiTheme="minorHAnsi" w:hAnsiTheme="minorHAnsi" w:cstheme="minorHAnsi"/>
          <w:sz w:val="24"/>
          <w:szCs w:val="24"/>
          <w:lang w:val="en-GB"/>
        </w:rPr>
        <w:t>States that</w:t>
      </w:r>
      <w:r w:rsidR="004B48F7">
        <w:rPr>
          <w:rFonts w:asciiTheme="minorHAnsi" w:hAnsiTheme="minorHAnsi" w:cstheme="minorHAnsi"/>
          <w:sz w:val="24"/>
          <w:szCs w:val="24"/>
          <w:lang w:val="en-GB"/>
        </w:rPr>
        <w:t xml:space="preserve"> have</w:t>
      </w:r>
      <w:r w:rsidR="007E1513">
        <w:rPr>
          <w:rFonts w:asciiTheme="minorHAnsi" w:hAnsiTheme="minorHAnsi" w:cstheme="minorHAnsi"/>
          <w:sz w:val="24"/>
          <w:szCs w:val="24"/>
          <w:lang w:val="en-GB"/>
        </w:rPr>
        <w:t xml:space="preserve"> not yet endorsed the Montreux Document to do so in the near future. </w:t>
      </w:r>
    </w:p>
    <w:p w:rsidR="00545150" w:rsidRDefault="00545150" w:rsidP="006F0227">
      <w:pPr>
        <w:pStyle w:val="NoSpacing"/>
        <w:spacing w:line="360" w:lineRule="auto"/>
        <w:jc w:val="both"/>
        <w:rPr>
          <w:rFonts w:asciiTheme="minorHAnsi" w:hAnsiTheme="minorHAnsi" w:cstheme="minorHAnsi"/>
          <w:sz w:val="24"/>
          <w:szCs w:val="24"/>
          <w:lang w:val="en-GB"/>
        </w:rPr>
      </w:pPr>
    </w:p>
    <w:p w:rsidR="006F0227" w:rsidRDefault="003B1C2E" w:rsidP="006F0227">
      <w:pPr>
        <w:pStyle w:val="NoSpacing"/>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W</w:t>
      </w:r>
      <w:r w:rsidR="006F0227" w:rsidRPr="006F0227">
        <w:rPr>
          <w:rFonts w:asciiTheme="minorHAnsi" w:hAnsiTheme="minorHAnsi" w:cstheme="minorHAnsi"/>
          <w:sz w:val="24"/>
          <w:szCs w:val="24"/>
          <w:lang w:val="en-GB"/>
        </w:rPr>
        <w:t>e are pleased to note that the Co-Chairs of the Montreux Document Forum</w:t>
      </w:r>
      <w:r w:rsidR="00045823">
        <w:rPr>
          <w:rFonts w:asciiTheme="minorHAnsi" w:hAnsiTheme="minorHAnsi" w:cstheme="minorHAnsi"/>
          <w:sz w:val="24"/>
          <w:szCs w:val="24"/>
          <w:lang w:val="en-GB"/>
        </w:rPr>
        <w:t xml:space="preserve"> (MDF)</w:t>
      </w:r>
      <w:r w:rsidR="006F0227" w:rsidRPr="006F0227">
        <w:rPr>
          <w:rFonts w:asciiTheme="minorHAnsi" w:hAnsiTheme="minorHAnsi" w:cstheme="minorHAnsi"/>
          <w:sz w:val="24"/>
          <w:szCs w:val="24"/>
          <w:lang w:val="en-GB"/>
        </w:rPr>
        <w:t xml:space="preserve">, the </w:t>
      </w:r>
      <w:r w:rsidR="00045823" w:rsidRPr="006F0227">
        <w:rPr>
          <w:rFonts w:asciiTheme="minorHAnsi" w:hAnsiTheme="minorHAnsi" w:cstheme="minorHAnsi"/>
          <w:sz w:val="24"/>
          <w:szCs w:val="24"/>
          <w:lang w:val="en-GB"/>
        </w:rPr>
        <w:t xml:space="preserve">International Code of Conduct Association </w:t>
      </w:r>
      <w:r w:rsidR="00045823">
        <w:rPr>
          <w:rFonts w:asciiTheme="minorHAnsi" w:hAnsiTheme="minorHAnsi" w:cstheme="minorHAnsi"/>
          <w:sz w:val="24"/>
          <w:szCs w:val="24"/>
          <w:lang w:val="en-GB"/>
        </w:rPr>
        <w:t>(</w:t>
      </w:r>
      <w:r w:rsidR="006F0227" w:rsidRPr="006F0227">
        <w:rPr>
          <w:rFonts w:asciiTheme="minorHAnsi" w:hAnsiTheme="minorHAnsi" w:cstheme="minorHAnsi"/>
          <w:sz w:val="24"/>
          <w:szCs w:val="24"/>
          <w:lang w:val="en-GB"/>
        </w:rPr>
        <w:t>ICoCA</w:t>
      </w:r>
      <w:r w:rsidR="00045823">
        <w:rPr>
          <w:rFonts w:asciiTheme="minorHAnsi" w:hAnsiTheme="minorHAnsi" w:cstheme="minorHAnsi"/>
          <w:sz w:val="24"/>
          <w:szCs w:val="24"/>
          <w:lang w:val="en-GB"/>
        </w:rPr>
        <w:t>)</w:t>
      </w:r>
      <w:r w:rsidR="006F0227" w:rsidRPr="006F0227">
        <w:rPr>
          <w:rFonts w:asciiTheme="minorHAnsi" w:hAnsiTheme="minorHAnsi" w:cstheme="minorHAnsi"/>
          <w:sz w:val="24"/>
          <w:szCs w:val="24"/>
          <w:lang w:val="en-GB"/>
        </w:rPr>
        <w:t xml:space="preserve">, academics, and relevant experts have been invited to participate in this session. We </w:t>
      </w:r>
      <w:r w:rsidR="00F1098C">
        <w:rPr>
          <w:rFonts w:asciiTheme="minorHAnsi" w:hAnsiTheme="minorHAnsi" w:cstheme="minorHAnsi"/>
          <w:sz w:val="24"/>
          <w:szCs w:val="24"/>
          <w:lang w:val="en-GB"/>
        </w:rPr>
        <w:t>also</w:t>
      </w:r>
      <w:r w:rsidR="00F1098C" w:rsidRPr="006F0227">
        <w:rPr>
          <w:rFonts w:asciiTheme="minorHAnsi" w:hAnsiTheme="minorHAnsi" w:cstheme="minorHAnsi"/>
          <w:sz w:val="24"/>
          <w:szCs w:val="24"/>
          <w:lang w:val="en-GB"/>
        </w:rPr>
        <w:t xml:space="preserve"> </w:t>
      </w:r>
      <w:r w:rsidR="006F0227" w:rsidRPr="006F0227">
        <w:rPr>
          <w:rFonts w:asciiTheme="minorHAnsi" w:hAnsiTheme="minorHAnsi" w:cstheme="minorHAnsi"/>
          <w:sz w:val="24"/>
          <w:szCs w:val="24"/>
          <w:lang w:val="en-GB"/>
        </w:rPr>
        <w:t xml:space="preserve">believe that the participation of </w:t>
      </w:r>
      <w:r w:rsidR="00334ABE" w:rsidRPr="00334ABE">
        <w:rPr>
          <w:rFonts w:asciiTheme="minorHAnsi" w:hAnsiTheme="minorHAnsi" w:cstheme="minorHAnsi"/>
          <w:sz w:val="24"/>
          <w:szCs w:val="24"/>
          <w:lang w:val="en-GB"/>
        </w:rPr>
        <w:t xml:space="preserve">the Co-Chairs of the </w:t>
      </w:r>
      <w:r w:rsidR="00263C69">
        <w:rPr>
          <w:rFonts w:asciiTheme="minorHAnsi" w:hAnsiTheme="minorHAnsi" w:cstheme="minorHAnsi"/>
          <w:sz w:val="24"/>
          <w:szCs w:val="24"/>
          <w:lang w:val="en-GB"/>
        </w:rPr>
        <w:t>MDF</w:t>
      </w:r>
      <w:r w:rsidR="00334ABE" w:rsidRPr="00334ABE">
        <w:rPr>
          <w:rFonts w:asciiTheme="minorHAnsi" w:hAnsiTheme="minorHAnsi" w:cstheme="minorHAnsi"/>
          <w:sz w:val="24"/>
          <w:szCs w:val="24"/>
          <w:lang w:val="en-GB"/>
        </w:rPr>
        <w:t xml:space="preserve">, the ICoCA, </w:t>
      </w:r>
      <w:r w:rsidR="006F0227" w:rsidRPr="006F0227">
        <w:rPr>
          <w:rFonts w:asciiTheme="minorHAnsi" w:hAnsiTheme="minorHAnsi" w:cstheme="minorHAnsi"/>
          <w:sz w:val="24"/>
          <w:szCs w:val="24"/>
          <w:lang w:val="en-GB"/>
        </w:rPr>
        <w:t>relevant experts as well as ensuring that the process remains inclusive, including participation from civil society organis</w:t>
      </w:r>
      <w:r w:rsidR="00D12F67">
        <w:rPr>
          <w:rFonts w:asciiTheme="minorHAnsi" w:hAnsiTheme="minorHAnsi" w:cstheme="minorHAnsi"/>
          <w:sz w:val="24"/>
          <w:szCs w:val="24"/>
          <w:lang w:val="en-GB"/>
        </w:rPr>
        <w:t>ations and business communities</w:t>
      </w:r>
      <w:r w:rsidR="006F0227" w:rsidRPr="006F0227">
        <w:rPr>
          <w:rFonts w:asciiTheme="minorHAnsi" w:hAnsiTheme="minorHAnsi" w:cstheme="minorHAnsi"/>
          <w:sz w:val="24"/>
          <w:szCs w:val="24"/>
          <w:lang w:val="en-GB"/>
        </w:rPr>
        <w:t xml:space="preserve"> throughout the session’s activities</w:t>
      </w:r>
      <w:r w:rsidR="00D12F67">
        <w:rPr>
          <w:rFonts w:asciiTheme="minorHAnsi" w:hAnsiTheme="minorHAnsi" w:cstheme="minorHAnsi"/>
          <w:sz w:val="24"/>
          <w:szCs w:val="24"/>
          <w:lang w:val="en-GB"/>
        </w:rPr>
        <w:t>,</w:t>
      </w:r>
      <w:r w:rsidR="006F0227" w:rsidRPr="006F0227">
        <w:rPr>
          <w:rFonts w:asciiTheme="minorHAnsi" w:hAnsiTheme="minorHAnsi" w:cstheme="minorHAnsi"/>
          <w:sz w:val="24"/>
          <w:szCs w:val="24"/>
          <w:lang w:val="en-GB"/>
        </w:rPr>
        <w:t xml:space="preserve"> would enrich the discussion and </w:t>
      </w:r>
      <w:r w:rsidR="00B426ED">
        <w:rPr>
          <w:rFonts w:asciiTheme="minorHAnsi" w:hAnsiTheme="minorHAnsi" w:cstheme="minorHAnsi"/>
          <w:sz w:val="24"/>
          <w:szCs w:val="24"/>
          <w:lang w:val="en-GB"/>
        </w:rPr>
        <w:t xml:space="preserve">could </w:t>
      </w:r>
      <w:r w:rsidR="006F0227" w:rsidRPr="006F0227">
        <w:rPr>
          <w:rFonts w:asciiTheme="minorHAnsi" w:hAnsiTheme="minorHAnsi" w:cstheme="minorHAnsi"/>
          <w:sz w:val="24"/>
          <w:szCs w:val="24"/>
          <w:lang w:val="en-GB"/>
        </w:rPr>
        <w:t>contribute to the elaboration of the content of the international regulatory framework in a meaningful way.</w:t>
      </w:r>
    </w:p>
    <w:p w:rsidR="008955BA" w:rsidRDefault="008955BA" w:rsidP="008955BA">
      <w:pPr>
        <w:pStyle w:val="NoSpacing"/>
        <w:spacing w:line="360" w:lineRule="auto"/>
        <w:jc w:val="both"/>
        <w:rPr>
          <w:rFonts w:asciiTheme="minorHAnsi" w:hAnsiTheme="minorHAnsi" w:cstheme="minorHAnsi"/>
          <w:sz w:val="24"/>
          <w:szCs w:val="24"/>
          <w:lang w:val="en-GB"/>
        </w:rPr>
      </w:pPr>
    </w:p>
    <w:p w:rsidR="00DE16F5" w:rsidRDefault="008955BA" w:rsidP="008955BA">
      <w:pPr>
        <w:pStyle w:val="NoSpacing"/>
        <w:spacing w:line="360" w:lineRule="auto"/>
        <w:jc w:val="both"/>
        <w:rPr>
          <w:rFonts w:asciiTheme="minorHAnsi" w:hAnsiTheme="minorHAnsi" w:cstheme="minorHAnsi"/>
          <w:sz w:val="24"/>
          <w:szCs w:val="24"/>
          <w:lang w:val="en-GB"/>
        </w:rPr>
      </w:pPr>
      <w:r w:rsidRPr="006F0227">
        <w:rPr>
          <w:rFonts w:asciiTheme="minorHAnsi" w:hAnsiTheme="minorHAnsi" w:cstheme="minorHAnsi"/>
          <w:sz w:val="24"/>
          <w:szCs w:val="24"/>
          <w:lang w:val="en-GB"/>
        </w:rPr>
        <w:t xml:space="preserve">We hope that the discussions in this second session of the working group [mandated to </w:t>
      </w:r>
      <w:r w:rsidRPr="006F0227">
        <w:rPr>
          <w:rFonts w:asciiTheme="minorHAnsi" w:hAnsiTheme="minorHAnsi" w:cstheme="minorHAnsi"/>
          <w:sz w:val="24"/>
          <w:szCs w:val="24"/>
          <w:lang w:val="en-GB"/>
        </w:rPr>
        <w:lastRenderedPageBreak/>
        <w:t xml:space="preserve">elaborate the content of an international regulatory framework] will continue to complement and strengthen existing initiatives such as the </w:t>
      </w:r>
      <w:r w:rsidR="00CE4DE9">
        <w:rPr>
          <w:rFonts w:asciiTheme="minorHAnsi" w:hAnsiTheme="minorHAnsi" w:cstheme="minorHAnsi"/>
          <w:sz w:val="24"/>
          <w:szCs w:val="24"/>
          <w:lang w:val="en-GB"/>
        </w:rPr>
        <w:t>MDF</w:t>
      </w:r>
      <w:r w:rsidRPr="006F0227">
        <w:rPr>
          <w:rFonts w:asciiTheme="minorHAnsi" w:hAnsiTheme="minorHAnsi" w:cstheme="minorHAnsi"/>
          <w:sz w:val="24"/>
          <w:szCs w:val="24"/>
          <w:lang w:val="en-GB"/>
        </w:rPr>
        <w:t xml:space="preserve"> and </w:t>
      </w:r>
      <w:r w:rsidR="00045823">
        <w:rPr>
          <w:rFonts w:asciiTheme="minorHAnsi" w:hAnsiTheme="minorHAnsi" w:cstheme="minorHAnsi"/>
          <w:sz w:val="24"/>
          <w:szCs w:val="24"/>
          <w:lang w:val="en-GB"/>
        </w:rPr>
        <w:t>the ICoCA</w:t>
      </w:r>
      <w:r w:rsidRPr="006F0227">
        <w:rPr>
          <w:rFonts w:asciiTheme="minorHAnsi" w:hAnsiTheme="minorHAnsi" w:cstheme="minorHAnsi"/>
          <w:sz w:val="24"/>
          <w:szCs w:val="24"/>
          <w:lang w:val="en-GB"/>
        </w:rPr>
        <w:t>.</w:t>
      </w:r>
      <w:r w:rsidR="00DE16F5">
        <w:rPr>
          <w:rFonts w:asciiTheme="minorHAnsi" w:hAnsiTheme="minorHAnsi" w:cstheme="minorHAnsi"/>
          <w:sz w:val="24"/>
          <w:szCs w:val="24"/>
          <w:lang w:val="en-GB"/>
        </w:rPr>
        <w:t xml:space="preserve"> </w:t>
      </w:r>
    </w:p>
    <w:p w:rsidR="00DE16F5" w:rsidRDefault="00DE16F5" w:rsidP="008955BA">
      <w:pPr>
        <w:pStyle w:val="NoSpacing"/>
        <w:spacing w:line="360" w:lineRule="auto"/>
        <w:jc w:val="both"/>
        <w:rPr>
          <w:rFonts w:asciiTheme="minorHAnsi" w:hAnsiTheme="minorHAnsi" w:cstheme="minorHAnsi"/>
          <w:sz w:val="24"/>
          <w:szCs w:val="24"/>
          <w:lang w:val="en-GB"/>
        </w:rPr>
      </w:pPr>
    </w:p>
    <w:p w:rsidR="00DE16F5" w:rsidRDefault="00334ABE" w:rsidP="008955BA">
      <w:pPr>
        <w:pStyle w:val="NoSpacing"/>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In conclusion, w</w:t>
      </w:r>
      <w:r w:rsidR="00DE16F5" w:rsidRPr="00DE16F5">
        <w:rPr>
          <w:rFonts w:asciiTheme="minorHAnsi" w:hAnsiTheme="minorHAnsi" w:cstheme="minorHAnsi"/>
          <w:sz w:val="24"/>
          <w:szCs w:val="24"/>
          <w:lang w:val="en-GB"/>
        </w:rPr>
        <w:t xml:space="preserve">hile </w:t>
      </w:r>
      <w:r w:rsidR="007E1513">
        <w:rPr>
          <w:rFonts w:asciiTheme="minorHAnsi" w:hAnsiTheme="minorHAnsi" w:cstheme="minorHAnsi"/>
          <w:sz w:val="24"/>
          <w:szCs w:val="24"/>
          <w:lang w:val="en-GB"/>
        </w:rPr>
        <w:t xml:space="preserve">we request the IGWG to deliver shortly on its mandate, </w:t>
      </w:r>
      <w:r w:rsidR="00D85CA0">
        <w:rPr>
          <w:rFonts w:asciiTheme="minorHAnsi" w:hAnsiTheme="minorHAnsi" w:cstheme="minorHAnsi"/>
          <w:sz w:val="24"/>
          <w:szCs w:val="24"/>
          <w:lang w:val="en-GB"/>
        </w:rPr>
        <w:t xml:space="preserve">we </w:t>
      </w:r>
      <w:r w:rsidR="00DE16F5" w:rsidRPr="00DE16F5">
        <w:rPr>
          <w:rFonts w:asciiTheme="minorHAnsi" w:hAnsiTheme="minorHAnsi" w:cstheme="minorHAnsi"/>
          <w:sz w:val="24"/>
          <w:szCs w:val="24"/>
          <w:lang w:val="en-GB"/>
        </w:rPr>
        <w:t>continue to engage constructively in the proceedings of th</w:t>
      </w:r>
      <w:r w:rsidR="00D352AB">
        <w:rPr>
          <w:rFonts w:asciiTheme="minorHAnsi" w:hAnsiTheme="minorHAnsi" w:cstheme="minorHAnsi"/>
          <w:sz w:val="24"/>
          <w:szCs w:val="24"/>
          <w:lang w:val="en-GB"/>
        </w:rPr>
        <w:t>is</w:t>
      </w:r>
      <w:r w:rsidR="00DE16F5" w:rsidRPr="00DE16F5">
        <w:rPr>
          <w:rFonts w:asciiTheme="minorHAnsi" w:hAnsiTheme="minorHAnsi" w:cstheme="minorHAnsi"/>
          <w:sz w:val="24"/>
          <w:szCs w:val="24"/>
          <w:lang w:val="en-GB"/>
        </w:rPr>
        <w:t xml:space="preserve"> IGWG</w:t>
      </w:r>
      <w:r w:rsidR="007E1513">
        <w:rPr>
          <w:rFonts w:asciiTheme="minorHAnsi" w:hAnsiTheme="minorHAnsi" w:cstheme="minorHAnsi"/>
          <w:sz w:val="24"/>
          <w:szCs w:val="24"/>
          <w:lang w:val="en-GB"/>
        </w:rPr>
        <w:t xml:space="preserve"> and</w:t>
      </w:r>
      <w:r w:rsidR="007E1513" w:rsidRPr="00DE16F5">
        <w:rPr>
          <w:rFonts w:asciiTheme="minorHAnsi" w:hAnsiTheme="minorHAnsi" w:cstheme="minorHAnsi"/>
          <w:sz w:val="24"/>
          <w:szCs w:val="24"/>
          <w:lang w:val="en-GB"/>
        </w:rPr>
        <w:t xml:space="preserve"> </w:t>
      </w:r>
      <w:r w:rsidR="00D352AB">
        <w:rPr>
          <w:rFonts w:asciiTheme="minorHAnsi" w:hAnsiTheme="minorHAnsi" w:cstheme="minorHAnsi"/>
          <w:sz w:val="24"/>
          <w:szCs w:val="24"/>
          <w:lang w:val="en-GB"/>
        </w:rPr>
        <w:t>we</w:t>
      </w:r>
      <w:r w:rsidR="00AB0289">
        <w:rPr>
          <w:rFonts w:asciiTheme="minorHAnsi" w:hAnsiTheme="minorHAnsi" w:cstheme="minorHAnsi"/>
          <w:sz w:val="24"/>
          <w:szCs w:val="24"/>
          <w:lang w:val="en-GB"/>
        </w:rPr>
        <w:t xml:space="preserve"> </w:t>
      </w:r>
      <w:r w:rsidR="00D352AB">
        <w:rPr>
          <w:rFonts w:asciiTheme="minorHAnsi" w:hAnsiTheme="minorHAnsi" w:cstheme="minorHAnsi"/>
          <w:sz w:val="24"/>
          <w:szCs w:val="24"/>
          <w:lang w:val="en-GB"/>
        </w:rPr>
        <w:t xml:space="preserve">will </w:t>
      </w:r>
      <w:r w:rsidR="00AB0289">
        <w:rPr>
          <w:rFonts w:asciiTheme="minorHAnsi" w:hAnsiTheme="minorHAnsi" w:cstheme="minorHAnsi"/>
          <w:sz w:val="24"/>
          <w:szCs w:val="24"/>
          <w:lang w:val="en-GB"/>
        </w:rPr>
        <w:t xml:space="preserve">re-assess our position </w:t>
      </w:r>
      <w:r w:rsidR="00DE16F5" w:rsidRPr="00DE16F5">
        <w:rPr>
          <w:rFonts w:asciiTheme="minorHAnsi" w:hAnsiTheme="minorHAnsi" w:cstheme="minorHAnsi"/>
          <w:sz w:val="24"/>
          <w:szCs w:val="24"/>
          <w:lang w:val="en-GB"/>
        </w:rPr>
        <w:t>according to substance and progress achieved</w:t>
      </w:r>
      <w:r w:rsidR="00AB0289">
        <w:rPr>
          <w:rFonts w:asciiTheme="minorHAnsi" w:hAnsiTheme="minorHAnsi" w:cstheme="minorHAnsi"/>
          <w:sz w:val="24"/>
          <w:szCs w:val="24"/>
          <w:lang w:val="en-GB"/>
        </w:rPr>
        <w:t xml:space="preserve"> by the IGWG</w:t>
      </w:r>
      <w:r w:rsidR="00DE16F5">
        <w:rPr>
          <w:rFonts w:asciiTheme="minorHAnsi" w:hAnsiTheme="minorHAnsi" w:cstheme="minorHAnsi"/>
          <w:sz w:val="24"/>
          <w:szCs w:val="24"/>
          <w:lang w:val="en-GB"/>
        </w:rPr>
        <w:t xml:space="preserve">. </w:t>
      </w:r>
    </w:p>
    <w:p w:rsidR="00B426ED" w:rsidRPr="006F0227" w:rsidRDefault="00B426ED" w:rsidP="008955BA">
      <w:pPr>
        <w:pStyle w:val="NoSpacing"/>
        <w:spacing w:line="360" w:lineRule="auto"/>
        <w:jc w:val="both"/>
        <w:rPr>
          <w:rFonts w:asciiTheme="minorHAnsi" w:hAnsiTheme="minorHAnsi" w:cstheme="minorHAnsi"/>
          <w:sz w:val="24"/>
          <w:szCs w:val="24"/>
          <w:lang w:val="en-GB"/>
        </w:rPr>
      </w:pPr>
    </w:p>
    <w:p w:rsidR="00222F58" w:rsidRDefault="00DE16F5" w:rsidP="006F0227">
      <w:pPr>
        <w:pStyle w:val="NoSpacing"/>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We</w:t>
      </w:r>
      <w:r w:rsidRPr="00DE16F5">
        <w:rPr>
          <w:rFonts w:asciiTheme="minorHAnsi" w:hAnsiTheme="minorHAnsi" w:cstheme="minorHAnsi"/>
          <w:sz w:val="24"/>
          <w:szCs w:val="24"/>
          <w:lang w:val="en-GB"/>
        </w:rPr>
        <w:t xml:space="preserve"> look forward to following the discussion during this session</w:t>
      </w:r>
      <w:r>
        <w:rPr>
          <w:rFonts w:asciiTheme="minorHAnsi" w:hAnsiTheme="minorHAnsi" w:cstheme="minorHAnsi"/>
          <w:sz w:val="24"/>
          <w:szCs w:val="24"/>
          <w:lang w:val="en-GB"/>
        </w:rPr>
        <w:t xml:space="preserve">. </w:t>
      </w:r>
    </w:p>
    <w:p w:rsidR="00B426ED" w:rsidRDefault="00B426ED" w:rsidP="00527DFC">
      <w:pPr>
        <w:pStyle w:val="NoSpacing"/>
        <w:spacing w:line="360" w:lineRule="auto"/>
        <w:jc w:val="both"/>
        <w:rPr>
          <w:rFonts w:asciiTheme="minorHAnsi" w:hAnsiTheme="minorHAnsi" w:cstheme="minorHAnsi"/>
          <w:sz w:val="24"/>
          <w:szCs w:val="24"/>
          <w:lang w:val="en-GB"/>
        </w:rPr>
      </w:pPr>
    </w:p>
    <w:p w:rsidR="007440BD" w:rsidRDefault="007440BD" w:rsidP="00527DFC">
      <w:pPr>
        <w:pStyle w:val="NoSpacing"/>
        <w:spacing w:line="360" w:lineRule="auto"/>
        <w:jc w:val="both"/>
        <w:rPr>
          <w:rFonts w:asciiTheme="minorHAnsi" w:hAnsiTheme="minorHAnsi" w:cstheme="minorHAnsi"/>
          <w:sz w:val="24"/>
          <w:szCs w:val="24"/>
          <w:lang w:val="en-GB"/>
        </w:rPr>
      </w:pPr>
      <w:r w:rsidRPr="009A6436">
        <w:rPr>
          <w:rFonts w:asciiTheme="minorHAnsi" w:hAnsiTheme="minorHAnsi" w:cstheme="minorHAnsi"/>
          <w:sz w:val="24"/>
          <w:szCs w:val="24"/>
          <w:lang w:val="en-GB"/>
        </w:rPr>
        <w:t>Thank you</w:t>
      </w:r>
      <w:r w:rsidR="00DD39C8" w:rsidRPr="009A6436">
        <w:rPr>
          <w:rFonts w:asciiTheme="minorHAnsi" w:hAnsiTheme="minorHAnsi" w:cstheme="minorHAnsi"/>
          <w:sz w:val="24"/>
          <w:szCs w:val="24"/>
          <w:lang w:val="en-GB"/>
        </w:rPr>
        <w:t xml:space="preserve"> </w:t>
      </w:r>
    </w:p>
    <w:p w:rsidR="00ED4759" w:rsidRPr="009A6436" w:rsidRDefault="00ED4759" w:rsidP="00B426ED">
      <w:pPr>
        <w:pStyle w:val="NoSpacing"/>
        <w:spacing w:line="360" w:lineRule="auto"/>
        <w:jc w:val="both"/>
        <w:rPr>
          <w:rFonts w:asciiTheme="minorHAnsi" w:hAnsiTheme="minorHAnsi" w:cstheme="minorHAnsi"/>
          <w:sz w:val="24"/>
          <w:szCs w:val="24"/>
          <w:lang w:val="en-GB"/>
        </w:rPr>
      </w:pPr>
    </w:p>
    <w:sectPr w:rsidR="00ED4759" w:rsidRPr="009A6436">
      <w:pgSz w:w="11906" w:h="16838"/>
      <w:pgMar w:top="1134"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D4" w:rsidRDefault="00F27B5A">
      <w:r>
        <w:separator/>
      </w:r>
    </w:p>
  </w:endnote>
  <w:endnote w:type="continuationSeparator" w:id="0">
    <w:p w:rsidR="003F5AD4" w:rsidRDefault="00F2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D4" w:rsidRDefault="00F27B5A">
      <w:r>
        <w:rPr>
          <w:color w:val="000000"/>
        </w:rPr>
        <w:separator/>
      </w:r>
    </w:p>
  </w:footnote>
  <w:footnote w:type="continuationSeparator" w:id="0">
    <w:p w:rsidR="003F5AD4" w:rsidRDefault="00F2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653F"/>
    <w:multiLevelType w:val="multilevel"/>
    <w:tmpl w:val="F0DA6774"/>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21380A00"/>
    <w:multiLevelType w:val="hybridMultilevel"/>
    <w:tmpl w:val="A2483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0E77A3"/>
    <w:multiLevelType w:val="multilevel"/>
    <w:tmpl w:val="F132CA10"/>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 w15:restartNumberingAfterBreak="0">
    <w:nsid w:val="3720049A"/>
    <w:multiLevelType w:val="multilevel"/>
    <w:tmpl w:val="68C0F07A"/>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B1C4C"/>
    <w:rsid w:val="00045823"/>
    <w:rsid w:val="00045988"/>
    <w:rsid w:val="0006591A"/>
    <w:rsid w:val="00072970"/>
    <w:rsid w:val="00076F12"/>
    <w:rsid w:val="000874A9"/>
    <w:rsid w:val="0009730B"/>
    <w:rsid w:val="000A1E02"/>
    <w:rsid w:val="000A38DF"/>
    <w:rsid w:val="000E1EE2"/>
    <w:rsid w:val="000F0BA3"/>
    <w:rsid w:val="000F7DB1"/>
    <w:rsid w:val="001176A1"/>
    <w:rsid w:val="001251C3"/>
    <w:rsid w:val="00125E90"/>
    <w:rsid w:val="00163DBA"/>
    <w:rsid w:val="00174CAA"/>
    <w:rsid w:val="00197BD8"/>
    <w:rsid w:val="00197E8E"/>
    <w:rsid w:val="001A32A7"/>
    <w:rsid w:val="001C4148"/>
    <w:rsid w:val="00202D32"/>
    <w:rsid w:val="00222F58"/>
    <w:rsid w:val="00235085"/>
    <w:rsid w:val="002622D6"/>
    <w:rsid w:val="00263C69"/>
    <w:rsid w:val="0028791D"/>
    <w:rsid w:val="002A5B13"/>
    <w:rsid w:val="002A64C9"/>
    <w:rsid w:val="002B3A94"/>
    <w:rsid w:val="002D4049"/>
    <w:rsid w:val="002F4BB6"/>
    <w:rsid w:val="003009E4"/>
    <w:rsid w:val="003136F7"/>
    <w:rsid w:val="00324F7D"/>
    <w:rsid w:val="00334ABE"/>
    <w:rsid w:val="003365AA"/>
    <w:rsid w:val="0036224B"/>
    <w:rsid w:val="0036758F"/>
    <w:rsid w:val="003816BC"/>
    <w:rsid w:val="00384A47"/>
    <w:rsid w:val="003B1C2E"/>
    <w:rsid w:val="003B2383"/>
    <w:rsid w:val="003C1BAB"/>
    <w:rsid w:val="003C3F34"/>
    <w:rsid w:val="003D137B"/>
    <w:rsid w:val="003E05FF"/>
    <w:rsid w:val="003E6D25"/>
    <w:rsid w:val="003F15C5"/>
    <w:rsid w:val="003F494C"/>
    <w:rsid w:val="003F5AD4"/>
    <w:rsid w:val="003F65C5"/>
    <w:rsid w:val="00401383"/>
    <w:rsid w:val="00403A68"/>
    <w:rsid w:val="004339FA"/>
    <w:rsid w:val="0049070B"/>
    <w:rsid w:val="004B293B"/>
    <w:rsid w:val="004B48F7"/>
    <w:rsid w:val="004D1CE3"/>
    <w:rsid w:val="004F36FC"/>
    <w:rsid w:val="005041E9"/>
    <w:rsid w:val="00512577"/>
    <w:rsid w:val="0052655F"/>
    <w:rsid w:val="00526BA4"/>
    <w:rsid w:val="00527DFC"/>
    <w:rsid w:val="00545150"/>
    <w:rsid w:val="005455F2"/>
    <w:rsid w:val="005530E0"/>
    <w:rsid w:val="00556B49"/>
    <w:rsid w:val="00574907"/>
    <w:rsid w:val="00582744"/>
    <w:rsid w:val="005A033F"/>
    <w:rsid w:val="005A51D2"/>
    <w:rsid w:val="005B1C4C"/>
    <w:rsid w:val="005B2342"/>
    <w:rsid w:val="005C334A"/>
    <w:rsid w:val="005D5408"/>
    <w:rsid w:val="005E1A3E"/>
    <w:rsid w:val="005E377F"/>
    <w:rsid w:val="005E44F9"/>
    <w:rsid w:val="005E5C34"/>
    <w:rsid w:val="00607F72"/>
    <w:rsid w:val="00613F64"/>
    <w:rsid w:val="00616745"/>
    <w:rsid w:val="00655478"/>
    <w:rsid w:val="006731FB"/>
    <w:rsid w:val="00673E25"/>
    <w:rsid w:val="006773A0"/>
    <w:rsid w:val="00681ACC"/>
    <w:rsid w:val="006901F9"/>
    <w:rsid w:val="00692F5A"/>
    <w:rsid w:val="00695DA7"/>
    <w:rsid w:val="006A4311"/>
    <w:rsid w:val="006A4320"/>
    <w:rsid w:val="006B1B5E"/>
    <w:rsid w:val="006B3BF9"/>
    <w:rsid w:val="006E5A96"/>
    <w:rsid w:val="006F0227"/>
    <w:rsid w:val="007022A4"/>
    <w:rsid w:val="00705269"/>
    <w:rsid w:val="00712D0C"/>
    <w:rsid w:val="00715CEB"/>
    <w:rsid w:val="00727F04"/>
    <w:rsid w:val="007420B4"/>
    <w:rsid w:val="007440BD"/>
    <w:rsid w:val="007534F7"/>
    <w:rsid w:val="00776F89"/>
    <w:rsid w:val="007813F4"/>
    <w:rsid w:val="0079273C"/>
    <w:rsid w:val="007E1513"/>
    <w:rsid w:val="007E3A82"/>
    <w:rsid w:val="007E6ECB"/>
    <w:rsid w:val="007E7C53"/>
    <w:rsid w:val="00800058"/>
    <w:rsid w:val="00806F6E"/>
    <w:rsid w:val="008141C2"/>
    <w:rsid w:val="0087533C"/>
    <w:rsid w:val="008955BA"/>
    <w:rsid w:val="008A4192"/>
    <w:rsid w:val="008B5EAA"/>
    <w:rsid w:val="008F156D"/>
    <w:rsid w:val="008F4612"/>
    <w:rsid w:val="008F54C4"/>
    <w:rsid w:val="0090540A"/>
    <w:rsid w:val="00906B52"/>
    <w:rsid w:val="00911FCB"/>
    <w:rsid w:val="00917FA7"/>
    <w:rsid w:val="0092399B"/>
    <w:rsid w:val="0095557B"/>
    <w:rsid w:val="00963A66"/>
    <w:rsid w:val="009672CB"/>
    <w:rsid w:val="00981521"/>
    <w:rsid w:val="00986FED"/>
    <w:rsid w:val="0099483C"/>
    <w:rsid w:val="009A3272"/>
    <w:rsid w:val="009A6436"/>
    <w:rsid w:val="009B1C79"/>
    <w:rsid w:val="009C7E13"/>
    <w:rsid w:val="009E394D"/>
    <w:rsid w:val="00A01912"/>
    <w:rsid w:val="00A13762"/>
    <w:rsid w:val="00A15DC2"/>
    <w:rsid w:val="00A226F3"/>
    <w:rsid w:val="00A24A3D"/>
    <w:rsid w:val="00A338D1"/>
    <w:rsid w:val="00A45731"/>
    <w:rsid w:val="00A6107A"/>
    <w:rsid w:val="00A63E71"/>
    <w:rsid w:val="00A74356"/>
    <w:rsid w:val="00A769BA"/>
    <w:rsid w:val="00A7780E"/>
    <w:rsid w:val="00AB0289"/>
    <w:rsid w:val="00AC199D"/>
    <w:rsid w:val="00AC48BC"/>
    <w:rsid w:val="00AD31A0"/>
    <w:rsid w:val="00AD551C"/>
    <w:rsid w:val="00B27598"/>
    <w:rsid w:val="00B426ED"/>
    <w:rsid w:val="00B56A45"/>
    <w:rsid w:val="00B57E38"/>
    <w:rsid w:val="00B95F82"/>
    <w:rsid w:val="00BA23DF"/>
    <w:rsid w:val="00BC0FEB"/>
    <w:rsid w:val="00BC4A2C"/>
    <w:rsid w:val="00BC6241"/>
    <w:rsid w:val="00BD1A68"/>
    <w:rsid w:val="00BF42DA"/>
    <w:rsid w:val="00BF6555"/>
    <w:rsid w:val="00C23FCF"/>
    <w:rsid w:val="00C765C9"/>
    <w:rsid w:val="00C76CB4"/>
    <w:rsid w:val="00C84B3F"/>
    <w:rsid w:val="00CA1AFB"/>
    <w:rsid w:val="00CB3BE5"/>
    <w:rsid w:val="00CB5520"/>
    <w:rsid w:val="00CC0333"/>
    <w:rsid w:val="00CD39A4"/>
    <w:rsid w:val="00CD7F17"/>
    <w:rsid w:val="00CE419C"/>
    <w:rsid w:val="00CE4DE9"/>
    <w:rsid w:val="00CF1AE9"/>
    <w:rsid w:val="00CF413D"/>
    <w:rsid w:val="00CF4F96"/>
    <w:rsid w:val="00CF6801"/>
    <w:rsid w:val="00D12F67"/>
    <w:rsid w:val="00D202B3"/>
    <w:rsid w:val="00D2130E"/>
    <w:rsid w:val="00D308C9"/>
    <w:rsid w:val="00D352AB"/>
    <w:rsid w:val="00D50312"/>
    <w:rsid w:val="00D63C04"/>
    <w:rsid w:val="00D70588"/>
    <w:rsid w:val="00D82E97"/>
    <w:rsid w:val="00D85CA0"/>
    <w:rsid w:val="00DA260F"/>
    <w:rsid w:val="00DC4FDD"/>
    <w:rsid w:val="00DC52C5"/>
    <w:rsid w:val="00DC7C1A"/>
    <w:rsid w:val="00DD39C8"/>
    <w:rsid w:val="00DD3FC1"/>
    <w:rsid w:val="00DE16F5"/>
    <w:rsid w:val="00DE1E07"/>
    <w:rsid w:val="00DE5F66"/>
    <w:rsid w:val="00DF2BD2"/>
    <w:rsid w:val="00E00685"/>
    <w:rsid w:val="00E01667"/>
    <w:rsid w:val="00E04F4E"/>
    <w:rsid w:val="00E32766"/>
    <w:rsid w:val="00E513A5"/>
    <w:rsid w:val="00E742F3"/>
    <w:rsid w:val="00E77514"/>
    <w:rsid w:val="00EA569E"/>
    <w:rsid w:val="00EC07D8"/>
    <w:rsid w:val="00ED4759"/>
    <w:rsid w:val="00EE5A87"/>
    <w:rsid w:val="00F1098C"/>
    <w:rsid w:val="00F10C42"/>
    <w:rsid w:val="00F27836"/>
    <w:rsid w:val="00F27B5A"/>
    <w:rsid w:val="00F32A0D"/>
    <w:rsid w:val="00F36402"/>
    <w:rsid w:val="00F3678E"/>
    <w:rsid w:val="00F50DD8"/>
    <w:rsid w:val="00F56049"/>
    <w:rsid w:val="00F67E76"/>
    <w:rsid w:val="00F74F8F"/>
    <w:rsid w:val="00F75094"/>
    <w:rsid w:val="00F802AC"/>
    <w:rsid w:val="00F914CB"/>
    <w:rsid w:val="00F97594"/>
    <w:rsid w:val="00FD1022"/>
    <w:rsid w:val="00FE474F"/>
    <w:rsid w:val="00FF27A7"/>
    <w:rsid w:val="00FF3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5F934-72AF-40F9-8A1D-DA734831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suppressAutoHyphens/>
      <w:spacing w:after="200" w:line="276" w:lineRule="auto"/>
    </w:pPr>
    <w:rPr>
      <w:lang w:val="da-DK"/>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
    <w:name w:val="List"/>
    <w:basedOn w:val="Textbody"/>
    <w:rPr>
      <w:rFonts w:cs="Arial"/>
    </w:rPr>
  </w:style>
  <w:style w:type="paragraph" w:styleId="Caption">
    <w:name w:val="caption"/>
    <w:basedOn w:val="Standard1"/>
    <w:pPr>
      <w:suppressLineNumbers/>
      <w:spacing w:before="120" w:after="120"/>
    </w:pPr>
    <w:rPr>
      <w:rFonts w:cs="Arial"/>
      <w:i/>
      <w:iCs/>
      <w:sz w:val="24"/>
      <w:szCs w:val="24"/>
    </w:rPr>
  </w:style>
  <w:style w:type="paragraph" w:customStyle="1" w:styleId="Index">
    <w:name w:val="Index"/>
    <w:basedOn w:val="Standard1"/>
    <w:pPr>
      <w:suppressLineNumbers/>
    </w:pPr>
    <w:rPr>
      <w:rFonts w:cs="Arial"/>
    </w:rPr>
  </w:style>
  <w:style w:type="paragraph" w:styleId="Header">
    <w:name w:val="header"/>
    <w:basedOn w:val="Standard1"/>
    <w:pPr>
      <w:suppressLineNumbers/>
      <w:tabs>
        <w:tab w:val="center" w:pos="4819"/>
        <w:tab w:val="right" w:pos="9638"/>
      </w:tabs>
      <w:spacing w:after="0" w:line="240" w:lineRule="auto"/>
    </w:pPr>
  </w:style>
  <w:style w:type="paragraph" w:styleId="Footer">
    <w:name w:val="footer"/>
    <w:basedOn w:val="Standard1"/>
    <w:pPr>
      <w:suppressLineNumbers/>
      <w:tabs>
        <w:tab w:val="center" w:pos="4819"/>
        <w:tab w:val="right" w:pos="9638"/>
      </w:tabs>
      <w:spacing w:after="0" w:line="240" w:lineRule="auto"/>
    </w:pPr>
  </w:style>
  <w:style w:type="paragraph" w:customStyle="1" w:styleId="RKnormal">
    <w:name w:val="RKnormal"/>
    <w:basedOn w:val="Standard1"/>
    <w:pPr>
      <w:tabs>
        <w:tab w:val="left" w:pos="2835"/>
      </w:tabs>
      <w:spacing w:after="0" w:line="240" w:lineRule="atLeast"/>
    </w:pPr>
    <w:rPr>
      <w:sz w:val="24"/>
      <w:szCs w:val="20"/>
      <w:lang w:val="sv-SE"/>
    </w:rPr>
  </w:style>
  <w:style w:type="paragraph" w:styleId="DocumentMap">
    <w:name w:val="Document Map"/>
    <w:basedOn w:val="Standard1"/>
    <w:pPr>
      <w:shd w:val="clear" w:color="auto" w:fill="000080"/>
    </w:pPr>
    <w:rPr>
      <w:rFonts w:ascii="Tahoma" w:hAnsi="Tahoma" w:cs="Tahoma"/>
      <w:sz w:val="20"/>
      <w:szCs w:val="20"/>
    </w:rPr>
  </w:style>
  <w:style w:type="paragraph" w:styleId="FootnoteText">
    <w:name w:val="footnote text"/>
    <w:basedOn w:val="Standard1"/>
    <w:pPr>
      <w:spacing w:after="0" w:line="240" w:lineRule="auto"/>
    </w:pPr>
    <w:rPr>
      <w:rFonts w:ascii="Times New Roman" w:hAnsi="Times New Roman"/>
      <w:sz w:val="20"/>
      <w:szCs w:val="20"/>
      <w:lang w:val="en-GB" w:eastAsia="en-GB"/>
    </w:rPr>
  </w:style>
  <w:style w:type="paragraph" w:styleId="NormalWeb">
    <w:name w:val="Normal (Web)"/>
    <w:basedOn w:val="Standard1"/>
    <w:pPr>
      <w:spacing w:before="100" w:after="100" w:line="240" w:lineRule="auto"/>
    </w:pPr>
    <w:rPr>
      <w:rFonts w:ascii="Times New Roman" w:hAnsi="Times New Roman"/>
      <w:sz w:val="24"/>
      <w:szCs w:val="24"/>
      <w:lang w:val="en-GB" w:eastAsia="en-GB"/>
    </w:rPr>
  </w:style>
  <w:style w:type="paragraph" w:customStyle="1" w:styleId="5Normal">
    <w:name w:val="5 Normal"/>
    <w:basedOn w:val="Standard1"/>
    <w:pPr>
      <w:spacing w:after="120" w:line="240" w:lineRule="auto"/>
      <w:ind w:right="57"/>
      <w:jc w:val="both"/>
    </w:pPr>
    <w:rPr>
      <w:rFonts w:ascii="Verdana" w:hAnsi="Verdana"/>
      <w:sz w:val="20"/>
      <w:szCs w:val="20"/>
      <w:lang w:val="en-GB" w:eastAsia="en-GB"/>
    </w:rPr>
  </w:style>
  <w:style w:type="paragraph" w:styleId="ListParagraph">
    <w:name w:val="List Paragraph"/>
    <w:basedOn w:val="Standard1"/>
    <w:pPr>
      <w:ind w:left="720"/>
    </w:pPr>
    <w:rPr>
      <w:rFonts w:cs="F"/>
      <w:lang w:val="en-GB"/>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styleId="PageNumber">
    <w:name w:val="page number"/>
    <w:basedOn w:val="DefaultParagraphFont"/>
    <w:rPr>
      <w:rFonts w:ascii="Times New Roman" w:hAnsi="Times New Roman" w:cs="Times New Roman"/>
      <w:sz w:val="22"/>
    </w:rPr>
  </w:style>
  <w:style w:type="character" w:customStyle="1" w:styleId="RKnormalChar">
    <w:name w:val="RKnormal Char"/>
    <w:rPr>
      <w:sz w:val="24"/>
      <w:lang w:val="sv-SE" w:eastAsia="en-US"/>
    </w:rPr>
  </w:style>
  <w:style w:type="character" w:customStyle="1" w:styleId="DocumentMapChar">
    <w:name w:val="Document Map Char"/>
    <w:basedOn w:val="DefaultParagraphFont"/>
    <w:rPr>
      <w:rFonts w:ascii="Times New Roman" w:hAnsi="Times New Roman" w:cs="Times New Roman"/>
      <w:sz w:val="2"/>
      <w:lang w:val="da-DK"/>
    </w:rPr>
  </w:style>
  <w:style w:type="character" w:customStyle="1" w:styleId="FootnoteTextChar">
    <w:name w:val="Footnote Text Char"/>
    <w:basedOn w:val="DefaultParagraphFont"/>
    <w:rPr>
      <w:rFonts w:cs="Times New Roman"/>
      <w:sz w:val="20"/>
      <w:szCs w:val="20"/>
      <w:lang w:val="da-DK"/>
    </w:rPr>
  </w:style>
  <w:style w:type="character" w:styleId="FootnoteReference">
    <w:name w:val="footnote reference"/>
    <w:basedOn w:val="DefaultParagraphFont"/>
    <w:rPr>
      <w:rFonts w:cs="Times New Roman"/>
      <w:position w:val="0"/>
      <w:vertAlign w:val="superscript"/>
    </w:rPr>
  </w:style>
  <w:style w:type="character" w:customStyle="1" w:styleId="5NormalChar">
    <w:name w:val="5 Normal Char"/>
    <w:basedOn w:val="DefaultParagraphFont"/>
    <w:rPr>
      <w:rFonts w:ascii="Verdana" w:hAnsi="Verdana" w:cs="Times New Roman"/>
      <w:lang w:eastAsia="en-GB" w:bidi="ar-SA"/>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NoSpacing">
    <w:name w:val="No Spacing"/>
    <w:uiPriority w:val="1"/>
    <w:qFormat/>
    <w:rsid w:val="00527DFC"/>
    <w:pPr>
      <w:suppressAutoHyphens/>
    </w:pPr>
  </w:style>
  <w:style w:type="paragraph" w:customStyle="1" w:styleId="Default">
    <w:name w:val="Default"/>
    <w:rsid w:val="00ED4759"/>
    <w:pPr>
      <w:widowControl/>
      <w:autoSpaceDE w:val="0"/>
      <w:adjustRightInd w:val="0"/>
      <w:textAlignment w:val="auto"/>
    </w:pPr>
    <w:rPr>
      <w:rFonts w:ascii="Times New Roman" w:eastAsiaTheme="minorHAnsi" w:hAnsi="Times New Roman"/>
      <w:color w:val="000000"/>
      <w:kern w:val="0"/>
      <w:sz w:val="24"/>
      <w:szCs w:val="24"/>
      <w:lang w:val="en-GB"/>
    </w:rPr>
  </w:style>
  <w:style w:type="paragraph" w:styleId="BalloonText">
    <w:name w:val="Balloon Text"/>
    <w:basedOn w:val="Normal"/>
    <w:link w:val="BalloonTextChar"/>
    <w:uiPriority w:val="99"/>
    <w:semiHidden/>
    <w:unhideWhenUsed/>
    <w:rsid w:val="00ED4759"/>
    <w:rPr>
      <w:rFonts w:ascii="Tahoma" w:hAnsi="Tahoma" w:cs="Tahoma"/>
      <w:sz w:val="16"/>
      <w:szCs w:val="16"/>
    </w:rPr>
  </w:style>
  <w:style w:type="character" w:customStyle="1" w:styleId="BalloonTextChar">
    <w:name w:val="Balloon Text Char"/>
    <w:basedOn w:val="DefaultParagraphFont"/>
    <w:link w:val="BalloonText"/>
    <w:uiPriority w:val="99"/>
    <w:semiHidden/>
    <w:rsid w:val="00ED4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5537-658A-44D4-8C8C-1074EE5EA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A7A40-320E-4247-8A6C-279420BDBA2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2BBAAE-58D9-4DE5-B40E-857CD669FEB3}">
  <ds:schemaRefs>
    <ds:schemaRef ds:uri="http://schemas.microsoft.com/sharepoint/v3/contenttype/forms"/>
  </ds:schemaRefs>
</ds:datastoreItem>
</file>

<file path=customXml/itemProps4.xml><?xml version="1.0" encoding="utf-8"?>
<ds:datastoreItem xmlns:ds="http://schemas.openxmlformats.org/officeDocument/2006/customXml" ds:itemID="{C3F60BFA-82C3-467D-B2D4-5F8F98FB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4137</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European Union</vt:lpstr>
      <vt:lpstr>European Union</vt:lpstr>
    </vt:vector>
  </TitlesOfParts>
  <Company>EEAS</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im-hjem</dc:creator>
  <cp:lastModifiedBy>OHCHR</cp:lastModifiedBy>
  <cp:revision>2</cp:revision>
  <cp:lastPrinted>2019-05-16T07:34:00Z</cp:lastPrinted>
  <dcterms:created xsi:type="dcterms:W3CDTF">2021-04-23T15:32:00Z</dcterms:created>
  <dcterms:modified xsi:type="dcterms:W3CDTF">2021-04-23T15:32:00Z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