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B7EB6" w14:textId="002D4DD0" w:rsidR="00617B66" w:rsidRPr="00466167" w:rsidRDefault="00265C3D" w:rsidP="00324C70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lang w:eastAsia="pt-PT"/>
        </w:rPr>
      </w:pPr>
      <w:r w:rsidRPr="00265C3D">
        <w:rPr>
          <w:rFonts w:ascii="Arial" w:eastAsia="Times New Roman" w:hAnsi="Arial" w:cs="Arial"/>
          <w:lang w:val="en-US" w:eastAsia="pt-PT"/>
        </w:rPr>
        <w:t>2nd session of the new IGWG on PMSCs</w:t>
      </w:r>
      <w:r w:rsidR="00324C70" w:rsidRPr="00466167">
        <w:rPr>
          <w:rFonts w:ascii="Arial" w:eastAsia="Times New Roman" w:hAnsi="Arial" w:cs="Arial"/>
          <w:lang w:val="en-US" w:eastAsia="pt-PT"/>
        </w:rPr>
        <w:t xml:space="preserve"> (</w:t>
      </w:r>
      <w:r>
        <w:rPr>
          <w:rFonts w:ascii="Arial" w:eastAsia="Times New Roman" w:hAnsi="Arial" w:cs="Arial"/>
          <w:lang w:val="en-US" w:eastAsia="pt-PT"/>
        </w:rPr>
        <w:t>Geneva, 26</w:t>
      </w:r>
      <w:r w:rsidR="00617B66" w:rsidRPr="00466167">
        <w:rPr>
          <w:rFonts w:ascii="Arial" w:eastAsia="Times New Roman" w:hAnsi="Arial" w:cs="Arial"/>
          <w:lang w:val="en-US" w:eastAsia="pt-PT"/>
        </w:rPr>
        <w:t xml:space="preserve"> </w:t>
      </w:r>
      <w:r>
        <w:rPr>
          <w:rFonts w:ascii="Arial" w:eastAsia="Times New Roman" w:hAnsi="Arial" w:cs="Arial"/>
          <w:lang w:val="en-US" w:eastAsia="pt-PT"/>
        </w:rPr>
        <w:t xml:space="preserve">to 30 </w:t>
      </w:r>
      <w:r w:rsidR="005F079A">
        <w:rPr>
          <w:rFonts w:ascii="Arial" w:eastAsia="Times New Roman" w:hAnsi="Arial" w:cs="Arial"/>
          <w:lang w:val="en-US" w:eastAsia="pt-PT"/>
        </w:rPr>
        <w:t xml:space="preserve">April </w:t>
      </w:r>
      <w:r w:rsidR="005F079A" w:rsidRPr="00466167">
        <w:rPr>
          <w:rFonts w:ascii="Arial" w:eastAsia="Times New Roman" w:hAnsi="Arial" w:cs="Arial"/>
          <w:lang w:val="en-US" w:eastAsia="pt-PT"/>
        </w:rPr>
        <w:t>2020</w:t>
      </w:r>
      <w:r w:rsidR="00324C70" w:rsidRPr="00466167">
        <w:rPr>
          <w:rFonts w:ascii="Arial" w:eastAsia="Times New Roman" w:hAnsi="Arial" w:cs="Arial"/>
          <w:lang w:val="en-US" w:eastAsia="pt-PT"/>
        </w:rPr>
        <w:t>)</w:t>
      </w:r>
    </w:p>
    <w:p w14:paraId="1058E4D6" w14:textId="76711F21" w:rsidR="00617B66" w:rsidRPr="00466167" w:rsidRDefault="00265C3D" w:rsidP="00324C70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val="en-US" w:eastAsia="pt-PT"/>
        </w:rPr>
      </w:pPr>
      <w:r>
        <w:rPr>
          <w:rFonts w:ascii="Arial" w:eastAsia="Times New Roman" w:hAnsi="Arial" w:cs="Arial"/>
          <w:b/>
          <w:bCs/>
          <w:u w:val="single"/>
          <w:lang w:val="en-US" w:eastAsia="pt-PT"/>
        </w:rPr>
        <w:t xml:space="preserve">General </w:t>
      </w:r>
      <w:r w:rsidR="00617B66" w:rsidRPr="00466167">
        <w:rPr>
          <w:rFonts w:ascii="Arial" w:eastAsia="Times New Roman" w:hAnsi="Arial" w:cs="Arial"/>
          <w:b/>
          <w:bCs/>
          <w:u w:val="single"/>
          <w:lang w:val="en-US" w:eastAsia="pt-PT"/>
        </w:rPr>
        <w:t>Statement from Brazil (national capacity)</w:t>
      </w:r>
    </w:p>
    <w:p w14:paraId="421EF7D2" w14:textId="77777777" w:rsidR="00265C3D" w:rsidRDefault="00265C3D" w:rsidP="00265C3D">
      <w:pPr>
        <w:pStyle w:val="NormalWeb"/>
        <w:shd w:val="clear" w:color="auto" w:fill="FFFFFF"/>
        <w:spacing w:line="360" w:lineRule="auto"/>
        <w:rPr>
          <w:rFonts w:ascii="Arial" w:hAnsi="Arial" w:cs="Arial"/>
          <w:lang w:val="de-CH"/>
        </w:rPr>
      </w:pPr>
    </w:p>
    <w:p w14:paraId="1DDFFE37" w14:textId="6902B8BC" w:rsid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265C3D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 xml:space="preserve">ister Chair Rapporteur, </w:t>
      </w:r>
    </w:p>
    <w:p w14:paraId="287604BA" w14:textId="650EDDCE" w:rsid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delegates and participants,</w:t>
      </w:r>
    </w:p>
    <w:p w14:paraId="7339FB62" w14:textId="77777777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</w:p>
    <w:p w14:paraId="7791E9F0" w14:textId="719624F6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265C3D">
        <w:rPr>
          <w:rFonts w:ascii="Arial" w:hAnsi="Arial" w:cs="Arial"/>
          <w:lang w:val="en-US"/>
        </w:rPr>
        <w:t>As a member of the Human Rights Council, Brazil was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pleased to join the consensus in the adoption of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resolution 45/16, which renewed, for a period of three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years, the mandate of the Open Ended Intergovernmental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Working Group, as stated in resolution HRC 36/11.</w:t>
      </w:r>
    </w:p>
    <w:p w14:paraId="2DEBF082" w14:textId="44D84B22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r w:rsidRPr="00265C3D">
        <w:rPr>
          <w:rFonts w:ascii="Arial" w:hAnsi="Arial" w:cs="Arial"/>
          <w:lang w:val="en-US"/>
        </w:rPr>
        <w:t>We thank the African Group for its support to this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agenda, and commend South Africa for its leadership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role, as chair-rapporteur and facilitator of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discussions.</w:t>
      </w:r>
    </w:p>
    <w:p w14:paraId="0961BFDD" w14:textId="4119B7D2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 </w:t>
      </w:r>
      <w:r w:rsidRPr="00265C3D">
        <w:rPr>
          <w:rFonts w:ascii="Arial" w:hAnsi="Arial" w:cs="Arial"/>
          <w:lang w:val="en-US"/>
        </w:rPr>
        <w:t>We hope that the constructive spirit and flexibility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of all relevant stakeholders that prevailed in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activities of the first session will once again</w:t>
      </w:r>
      <w:r>
        <w:rPr>
          <w:rFonts w:ascii="Arial" w:hAnsi="Arial" w:cs="Arial"/>
          <w:lang w:val="en-US"/>
        </w:rPr>
        <w:t xml:space="preserve"> preponderate</w:t>
      </w:r>
      <w:r w:rsidRPr="00265C3D">
        <w:rPr>
          <w:rFonts w:ascii="Arial" w:hAnsi="Arial" w:cs="Arial"/>
          <w:lang w:val="en-US"/>
        </w:rPr>
        <w:t xml:space="preserve"> on this second session.</w:t>
      </w:r>
    </w:p>
    <w:p w14:paraId="7C97DE9F" w14:textId="5C56C9B1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</w:t>
      </w:r>
      <w:r w:rsidRPr="00265C3D">
        <w:rPr>
          <w:rFonts w:ascii="Arial" w:hAnsi="Arial" w:cs="Arial"/>
          <w:lang w:val="en-US"/>
        </w:rPr>
        <w:t xml:space="preserve"> As a matter of principle, we understand that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work of IGWG should be guided by the strict mandate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given by the HRC, in the sense that (</w:t>
      </w:r>
      <w:proofErr w:type="spellStart"/>
      <w:r w:rsidRPr="00265C3D">
        <w:rPr>
          <w:rFonts w:ascii="Arial" w:hAnsi="Arial" w:cs="Arial"/>
          <w:lang w:val="en-US"/>
        </w:rPr>
        <w:t>i</w:t>
      </w:r>
      <w:proofErr w:type="spellEnd"/>
      <w:r w:rsidRPr="00265C3D">
        <w:rPr>
          <w:rFonts w:ascii="Arial" w:hAnsi="Arial" w:cs="Arial"/>
          <w:lang w:val="en-US"/>
        </w:rPr>
        <w:t>) it does apply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in general to the activities of security companies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outside the context of conflict zones and humanitarian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settings, and (ii) its work should remain independent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from deliberations and recommendations of other HRC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mandated IGWGs and special procedures.</w:t>
      </w:r>
    </w:p>
    <w:p w14:paraId="36F1805B" w14:textId="5D92D6AC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</w:t>
      </w:r>
      <w:r w:rsidRPr="00265C3D">
        <w:rPr>
          <w:rFonts w:ascii="Arial" w:hAnsi="Arial" w:cs="Arial"/>
          <w:lang w:val="en-US"/>
        </w:rPr>
        <w:t xml:space="preserve"> We understand it would be useful to have more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clarity</w:t>
      </w:r>
      <w:r>
        <w:rPr>
          <w:rFonts w:ascii="Arial" w:hAnsi="Arial" w:cs="Arial"/>
          <w:lang w:val="en-US"/>
        </w:rPr>
        <w:t>,</w:t>
      </w:r>
      <w:r w:rsidRPr="00265C3D">
        <w:rPr>
          <w:rFonts w:ascii="Arial" w:hAnsi="Arial" w:cs="Arial"/>
          <w:lang w:val="en-US"/>
        </w:rPr>
        <w:t xml:space="preserve"> at this early stage</w:t>
      </w:r>
      <w:r>
        <w:rPr>
          <w:rFonts w:ascii="Arial" w:hAnsi="Arial" w:cs="Arial"/>
          <w:lang w:val="en-US"/>
        </w:rPr>
        <w:t>,</w:t>
      </w:r>
      <w:r w:rsidRPr="00265C3D">
        <w:rPr>
          <w:rFonts w:ascii="Arial" w:hAnsi="Arial" w:cs="Arial"/>
          <w:lang w:val="en-US"/>
        </w:rPr>
        <w:t xml:space="preserve"> on possible linkages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between the International Convention against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Recruitment, Use, Financing and Training of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Mercenaries, and the instrument under consideration of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the IGWG on PMSCs.</w:t>
      </w:r>
    </w:p>
    <w:p w14:paraId="69D60271" w14:textId="77777777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</w:p>
    <w:p w14:paraId="6912FCD9" w14:textId="789A56CE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6.</w:t>
      </w:r>
      <w:r w:rsidRPr="00265C3D">
        <w:rPr>
          <w:rFonts w:ascii="Arial" w:hAnsi="Arial" w:cs="Arial"/>
          <w:lang w:val="en-US"/>
        </w:rPr>
        <w:t xml:space="preserve"> In 2021 we commemorate the 10th anniversary of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UN Guiding Principles on Business and Human Rights.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Efforts to implement the UNGPs, including their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aspects related to prevention of violations and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abuses, training and capacity building, accountability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and remedy to victims should be considered, as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appropriate, in the development of the substance of a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future instrument for the PMSCs.</w:t>
      </w:r>
    </w:p>
    <w:p w14:paraId="5563A005" w14:textId="26B1A18E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7. </w:t>
      </w:r>
      <w:r w:rsidRPr="00265C3D">
        <w:rPr>
          <w:rFonts w:ascii="Arial" w:hAnsi="Arial" w:cs="Arial"/>
          <w:lang w:val="en-US"/>
        </w:rPr>
        <w:t>We should recognize the role of the Montreux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Document, as a key, voluntary initiative dedicated to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the issue of the PMSCs.</w:t>
      </w:r>
    </w:p>
    <w:p w14:paraId="020E9C16" w14:textId="0AAE2CF8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</w:t>
      </w:r>
      <w:r w:rsidRPr="00265C3D">
        <w:rPr>
          <w:rFonts w:ascii="Arial" w:hAnsi="Arial" w:cs="Arial"/>
          <w:lang w:val="en-US"/>
        </w:rPr>
        <w:t xml:space="preserve"> Even though Brazil is not one of the 57 states that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formally support the Montreux Document, we are of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view that it constitutes a valuable source of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inspiration to our discussions, as it seeks to compile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pertinent international legal obligations and good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practices for states related to operations of private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military and security companies during armed conflict.</w:t>
      </w:r>
    </w:p>
    <w:p w14:paraId="287DD17F" w14:textId="1EEE04B1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9. </w:t>
      </w:r>
      <w:r w:rsidRPr="00265C3D">
        <w:rPr>
          <w:rFonts w:ascii="Arial" w:hAnsi="Arial" w:cs="Arial"/>
          <w:lang w:val="en-US"/>
        </w:rPr>
        <w:t>Notwithstanding the abovementioned binding and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non-binding frameworks, in the understanding that gaps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remain in the international regulatory framework for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the protection and promotion of human rights in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context of activities performed by PMSCs, Brazil will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continue to engage constructively in the deliberations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of this IGWG.</w:t>
      </w:r>
    </w:p>
    <w:p w14:paraId="6EBD4539" w14:textId="4E0FD6D4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10.</w:t>
      </w:r>
      <w:r w:rsidRPr="00265C3D">
        <w:rPr>
          <w:rFonts w:ascii="Arial" w:hAnsi="Arial" w:cs="Arial"/>
          <w:lang w:val="en-US"/>
        </w:rPr>
        <w:t xml:space="preserve"> The issues on the agenda of this IGWG are of special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concern to Brazil, bearing in mind the increasing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number of PMSCs working in humanitarian settings,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enlargement of the scope of their functions - bearing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in mind the advances of military technology -, as well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the alleged higher incidence in recent years of human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rights violations and abuses perpetrated by such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non-state actors.</w:t>
      </w:r>
    </w:p>
    <w:p w14:paraId="68553DC8" w14:textId="6270419A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11. </w:t>
      </w:r>
      <w:r w:rsidRPr="00265C3D">
        <w:rPr>
          <w:rFonts w:ascii="Arial" w:hAnsi="Arial" w:cs="Arial"/>
          <w:lang w:val="en-US"/>
        </w:rPr>
        <w:t>In relation to the substance of the discussions, we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have noticed that the same "discussion document" -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with the 8 elements that were discussed during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previous session - remain the basis of the IGWG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deliberations.</w:t>
      </w:r>
    </w:p>
    <w:p w14:paraId="73AEC3D6" w14:textId="18B134F2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12.</w:t>
      </w:r>
      <w:r w:rsidRPr="00265C3D">
        <w:rPr>
          <w:rFonts w:ascii="Arial" w:hAnsi="Arial" w:cs="Arial"/>
          <w:lang w:val="en-US"/>
        </w:rPr>
        <w:t xml:space="preserve"> In this sense, it is relevant to reiterate some of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our suggestions and concerns raised on previous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occasions and that directly stem from the "discussion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document", including the following:</w:t>
      </w:r>
    </w:p>
    <w:p w14:paraId="129BE9C6" w14:textId="77777777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</w:p>
    <w:p w14:paraId="212D2BD3" w14:textId="6DACCD6D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265C3D">
        <w:rPr>
          <w:rFonts w:ascii="Arial" w:hAnsi="Arial" w:cs="Arial"/>
          <w:lang w:val="en-US"/>
        </w:rPr>
        <w:lastRenderedPageBreak/>
        <w:t>(a) a clear definition of functions which may not be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delegated to non-state actors, such as direct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participation in hostilities, detention, intelligence,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law enforcement or questioning of persons deprived of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 xml:space="preserve">their liberty, including prisoners of </w:t>
      </w:r>
      <w:proofErr w:type="gramStart"/>
      <w:r w:rsidRPr="00265C3D">
        <w:rPr>
          <w:rFonts w:ascii="Arial" w:hAnsi="Arial" w:cs="Arial"/>
          <w:lang w:val="en-US"/>
        </w:rPr>
        <w:t>war;</w:t>
      </w:r>
      <w:proofErr w:type="gramEnd"/>
      <w:r w:rsidRPr="00265C3D">
        <w:rPr>
          <w:rFonts w:ascii="Arial" w:hAnsi="Arial" w:cs="Arial"/>
          <w:lang w:val="en-US"/>
        </w:rPr>
        <w:t xml:space="preserve"> </w:t>
      </w:r>
    </w:p>
    <w:p w14:paraId="7E4293F0" w14:textId="3D652E44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265C3D">
        <w:rPr>
          <w:rFonts w:ascii="Arial" w:hAnsi="Arial" w:cs="Arial"/>
          <w:lang w:val="en-US"/>
        </w:rPr>
        <w:t>(b) the need of safeguards stating that the rules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under the future instrument are not to be implemented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"selectively</w:t>
      </w:r>
      <w:proofErr w:type="gramStart"/>
      <w:r w:rsidRPr="00265C3D">
        <w:rPr>
          <w:rFonts w:ascii="Arial" w:hAnsi="Arial" w:cs="Arial"/>
          <w:lang w:val="en-US"/>
        </w:rPr>
        <w:t>";</w:t>
      </w:r>
      <w:proofErr w:type="gramEnd"/>
      <w:r w:rsidRPr="00265C3D">
        <w:rPr>
          <w:rFonts w:ascii="Arial" w:hAnsi="Arial" w:cs="Arial"/>
          <w:lang w:val="en-US"/>
        </w:rPr>
        <w:t xml:space="preserve"> </w:t>
      </w:r>
    </w:p>
    <w:p w14:paraId="2AB31581" w14:textId="1951CFED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265C3D">
        <w:rPr>
          <w:rFonts w:ascii="Arial" w:hAnsi="Arial" w:cs="Arial"/>
          <w:lang w:val="en-US"/>
        </w:rPr>
        <w:t>(c) given the incidence of difficulties for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victims to seek justice and reparations to abuses of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PMSCs, including as a result of legal restrictions or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state institutional fragilities, alternative solutions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could be considered in order to allow accountability.</w:t>
      </w:r>
      <w:r>
        <w:rPr>
          <w:rFonts w:ascii="Arial" w:hAnsi="Arial" w:cs="Arial"/>
          <w:lang w:val="en-US"/>
        </w:rPr>
        <w:t xml:space="preserve"> </w:t>
      </w:r>
    </w:p>
    <w:p w14:paraId="1D59BDFA" w14:textId="5B52F493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265C3D">
        <w:rPr>
          <w:rFonts w:ascii="Arial" w:hAnsi="Arial" w:cs="Arial"/>
          <w:lang w:val="en-US"/>
        </w:rPr>
        <w:t>(d) further clarifications are needed to refine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concepts of "home state" and "state of nationality",</w:t>
      </w:r>
      <w:r>
        <w:rPr>
          <w:rFonts w:ascii="Arial" w:hAnsi="Arial" w:cs="Arial"/>
          <w:lang w:val="en-US"/>
        </w:rPr>
        <w:t xml:space="preserve"> i</w:t>
      </w:r>
      <w:r w:rsidRPr="00265C3D">
        <w:rPr>
          <w:rFonts w:ascii="Arial" w:hAnsi="Arial" w:cs="Arial"/>
          <w:lang w:val="en-US"/>
        </w:rPr>
        <w:t>ncluding in relation to an alternative, broader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 xml:space="preserve">concept of "state of origin". </w:t>
      </w:r>
      <w:r w:rsidR="005F079A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nd</w:t>
      </w:r>
    </w:p>
    <w:p w14:paraId="1C014198" w14:textId="187D9DBF" w:rsid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265C3D">
        <w:rPr>
          <w:rFonts w:ascii="Arial" w:hAnsi="Arial" w:cs="Arial"/>
          <w:lang w:val="en-US"/>
        </w:rPr>
        <w:t>(e) how to separate and define the "nature of a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company" in comparison to "the kind of service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 xml:space="preserve">provided by a company in the context of </w:t>
      </w:r>
      <w:proofErr w:type="gramStart"/>
      <w:r w:rsidRPr="00265C3D">
        <w:rPr>
          <w:rFonts w:ascii="Arial" w:hAnsi="Arial" w:cs="Arial"/>
          <w:lang w:val="en-US"/>
        </w:rPr>
        <w:t>a</w:t>
      </w:r>
      <w:proofErr w:type="gramEnd"/>
      <w:r w:rsidRPr="00265C3D">
        <w:rPr>
          <w:rFonts w:ascii="Arial" w:hAnsi="Arial" w:cs="Arial"/>
          <w:lang w:val="en-US"/>
        </w:rPr>
        <w:t xml:space="preserve"> armed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conflict - which, in the end, may be essential to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define the civil or military status of its staff.</w:t>
      </w:r>
    </w:p>
    <w:p w14:paraId="141F94FC" w14:textId="43415BA2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13. </w:t>
      </w:r>
      <w:r w:rsidRPr="00265C3D">
        <w:rPr>
          <w:rFonts w:ascii="Arial" w:hAnsi="Arial" w:cs="Arial"/>
          <w:lang w:val="en-US"/>
        </w:rPr>
        <w:t xml:space="preserve">Brazil is open to consider </w:t>
      </w:r>
      <w:r w:rsidRPr="00265C3D">
        <w:rPr>
          <w:rFonts w:ascii="Arial" w:hAnsi="Arial" w:cs="Arial"/>
          <w:lang w:val="en-US"/>
        </w:rPr>
        <w:t>suggestions</w:t>
      </w:r>
      <w:r w:rsidRPr="00265C3D">
        <w:rPr>
          <w:rFonts w:ascii="Arial" w:hAnsi="Arial" w:cs="Arial"/>
          <w:lang w:val="en-US"/>
        </w:rPr>
        <w:t xml:space="preserve"> on new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elements to the discussion document, bearing in mind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that the nature of the instrument to be developed by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 xml:space="preserve">the IGWG, be it binding or </w:t>
      </w:r>
      <w:r w:rsidR="005F079A" w:rsidRPr="00265C3D">
        <w:rPr>
          <w:rFonts w:ascii="Arial" w:hAnsi="Arial" w:cs="Arial"/>
          <w:lang w:val="en-US"/>
        </w:rPr>
        <w:t>non-binding</w:t>
      </w:r>
      <w:r w:rsidRPr="00265C3D">
        <w:rPr>
          <w:rFonts w:ascii="Arial" w:hAnsi="Arial" w:cs="Arial"/>
          <w:lang w:val="en-US"/>
        </w:rPr>
        <w:t>, is still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subject to discussion.</w:t>
      </w:r>
    </w:p>
    <w:p w14:paraId="13FE48C1" w14:textId="499FB882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14. </w:t>
      </w:r>
      <w:r w:rsidRPr="00265C3D">
        <w:rPr>
          <w:rFonts w:ascii="Arial" w:hAnsi="Arial" w:cs="Arial"/>
          <w:lang w:val="en-US"/>
        </w:rPr>
        <w:t>On the way forward, in the case the IGWG mandates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the chair rapporteur to revise the discussion document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 xml:space="preserve">to reflect the </w:t>
      </w:r>
      <w:r w:rsidR="005F079A" w:rsidRPr="00265C3D">
        <w:rPr>
          <w:rFonts w:ascii="Arial" w:hAnsi="Arial" w:cs="Arial"/>
          <w:lang w:val="en-US"/>
        </w:rPr>
        <w:t>recommendation</w:t>
      </w:r>
      <w:r w:rsidRPr="00265C3D">
        <w:rPr>
          <w:rFonts w:ascii="Arial" w:hAnsi="Arial" w:cs="Arial"/>
          <w:lang w:val="en-US"/>
        </w:rPr>
        <w:t xml:space="preserve"> for the </w:t>
      </w:r>
      <w:r w:rsidR="005F079A" w:rsidRPr="00265C3D">
        <w:rPr>
          <w:rFonts w:ascii="Arial" w:hAnsi="Arial" w:cs="Arial"/>
          <w:lang w:val="en-US"/>
        </w:rPr>
        <w:t>participants</w:t>
      </w:r>
      <w:r w:rsidRPr="00265C3D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we recommend that such an exercise be done as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transparently as possible, including by properly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identifying</w:t>
      </w:r>
      <w:r w:rsidRPr="00265C3D">
        <w:rPr>
          <w:rFonts w:ascii="Arial" w:hAnsi="Arial" w:cs="Arial"/>
          <w:lang w:val="en-US"/>
        </w:rPr>
        <w:t xml:space="preserve"> the authorship of each suggestion that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 xml:space="preserve">was </w:t>
      </w:r>
      <w:r>
        <w:rPr>
          <w:rFonts w:ascii="Arial" w:hAnsi="Arial" w:cs="Arial"/>
          <w:lang w:val="en-US"/>
        </w:rPr>
        <w:t xml:space="preserve">taken into </w:t>
      </w:r>
      <w:r w:rsidR="005F079A">
        <w:rPr>
          <w:rFonts w:ascii="Arial" w:hAnsi="Arial" w:cs="Arial"/>
          <w:lang w:val="en-US"/>
        </w:rPr>
        <w:t>consideration</w:t>
      </w:r>
      <w:r w:rsidRPr="00265C3D">
        <w:rPr>
          <w:rFonts w:ascii="Arial" w:hAnsi="Arial" w:cs="Arial"/>
          <w:lang w:val="en-US"/>
        </w:rPr>
        <w:t>.</w:t>
      </w:r>
    </w:p>
    <w:p w14:paraId="7AD9C129" w14:textId="47D89417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15. </w:t>
      </w:r>
      <w:r w:rsidRPr="00265C3D">
        <w:rPr>
          <w:rFonts w:ascii="Arial" w:hAnsi="Arial" w:cs="Arial"/>
          <w:lang w:val="en-US"/>
        </w:rPr>
        <w:t>We see as positive that the discussions, in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early stages of our deliberations in the IGWG, are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held as inclusively as possible, since the HRC mandate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requires the IGWG to be "open ended" in nature.</w:t>
      </w:r>
    </w:p>
    <w:p w14:paraId="0ED436F0" w14:textId="77777777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</w:p>
    <w:p w14:paraId="6A46D505" w14:textId="69D32BCA" w:rsidR="00617B66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16.</w:t>
      </w:r>
      <w:r w:rsidRPr="00265C3D">
        <w:rPr>
          <w:rFonts w:ascii="Arial" w:hAnsi="Arial" w:cs="Arial"/>
          <w:lang w:val="en-US"/>
        </w:rPr>
        <w:t xml:space="preserve"> Nevertheless, a moment should be foreseen to the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 xml:space="preserve">future in which direct </w:t>
      </w:r>
      <w:r w:rsidRPr="00265C3D">
        <w:rPr>
          <w:rFonts w:ascii="Arial" w:hAnsi="Arial" w:cs="Arial"/>
          <w:lang w:val="en-US"/>
        </w:rPr>
        <w:t>intergovernmental</w:t>
      </w:r>
      <w:r w:rsidRPr="00265C3D"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negotiations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are to take place, in order to finalize the work of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the IGWG and deliver a balanced and feasible output</w:t>
      </w:r>
      <w:r>
        <w:rPr>
          <w:rFonts w:ascii="Arial" w:hAnsi="Arial" w:cs="Arial"/>
          <w:lang w:val="en-US"/>
        </w:rPr>
        <w:t xml:space="preserve"> </w:t>
      </w:r>
      <w:r w:rsidRPr="00265C3D">
        <w:rPr>
          <w:rFonts w:ascii="Arial" w:hAnsi="Arial" w:cs="Arial"/>
          <w:lang w:val="en-US"/>
        </w:rPr>
        <w:t>for consideration of the HRC.</w:t>
      </w:r>
    </w:p>
    <w:p w14:paraId="680F161D" w14:textId="12E3FC2A" w:rsidR="00265C3D" w:rsidRPr="00265C3D" w:rsidRDefault="00265C3D" w:rsidP="00265C3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you.</w:t>
      </w:r>
    </w:p>
    <w:sectPr w:rsidR="00265C3D" w:rsidRPr="00265C3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18992" w14:textId="77777777" w:rsidR="00F45DD2" w:rsidRDefault="00F45DD2" w:rsidP="00466167">
      <w:r>
        <w:separator/>
      </w:r>
    </w:p>
  </w:endnote>
  <w:endnote w:type="continuationSeparator" w:id="0">
    <w:p w14:paraId="337F746E" w14:textId="77777777" w:rsidR="00F45DD2" w:rsidRDefault="00F45DD2" w:rsidP="0046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69822077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F376BF0" w14:textId="77777777" w:rsidR="00466167" w:rsidRDefault="00466167" w:rsidP="004F72D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C34CE4D" w14:textId="77777777" w:rsidR="00466167" w:rsidRDefault="00466167" w:rsidP="004661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16354603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082E911" w14:textId="77777777" w:rsidR="00466167" w:rsidRDefault="00466167" w:rsidP="004F72D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9341F8B" w14:textId="77777777" w:rsidR="00466167" w:rsidRDefault="00466167" w:rsidP="0046616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9239" w14:textId="77777777" w:rsidR="00F45DD2" w:rsidRDefault="00F45DD2" w:rsidP="00466167">
      <w:r>
        <w:separator/>
      </w:r>
    </w:p>
  </w:footnote>
  <w:footnote w:type="continuationSeparator" w:id="0">
    <w:p w14:paraId="1CE5EC16" w14:textId="77777777" w:rsidR="00F45DD2" w:rsidRDefault="00F45DD2" w:rsidP="0046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4CE6"/>
    <w:multiLevelType w:val="hybridMultilevel"/>
    <w:tmpl w:val="9C12D716"/>
    <w:lvl w:ilvl="0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3433550"/>
    <w:multiLevelType w:val="hybridMultilevel"/>
    <w:tmpl w:val="E29E46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7C64"/>
    <w:multiLevelType w:val="hybridMultilevel"/>
    <w:tmpl w:val="9E1C02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34B7"/>
    <w:multiLevelType w:val="hybridMultilevel"/>
    <w:tmpl w:val="300CB9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90140"/>
    <w:multiLevelType w:val="hybridMultilevel"/>
    <w:tmpl w:val="4A2E56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540B0"/>
    <w:multiLevelType w:val="hybridMultilevel"/>
    <w:tmpl w:val="F942F5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6"/>
    <w:rsid w:val="001C795D"/>
    <w:rsid w:val="00265C3D"/>
    <w:rsid w:val="002A7D26"/>
    <w:rsid w:val="00324C70"/>
    <w:rsid w:val="003318E9"/>
    <w:rsid w:val="00415C9E"/>
    <w:rsid w:val="00466167"/>
    <w:rsid w:val="004B1333"/>
    <w:rsid w:val="004C4620"/>
    <w:rsid w:val="00522DBA"/>
    <w:rsid w:val="005F079A"/>
    <w:rsid w:val="00617B66"/>
    <w:rsid w:val="00651698"/>
    <w:rsid w:val="009A46ED"/>
    <w:rsid w:val="00A81B78"/>
    <w:rsid w:val="00CA220C"/>
    <w:rsid w:val="00CE2330"/>
    <w:rsid w:val="00EB4B2A"/>
    <w:rsid w:val="00F15FF1"/>
    <w:rsid w:val="00F45DD2"/>
    <w:rsid w:val="00F67F70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94BF1"/>
  <w15:chartTrackingRefBased/>
  <w15:docId w15:val="{BDDBE0D5-CCF8-4844-8697-13DF182C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617B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617B6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unhideWhenUsed/>
    <w:rsid w:val="00617B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1C795D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466167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6167"/>
  </w:style>
  <w:style w:type="character" w:styleId="Nmerodepgina">
    <w:name w:val="page number"/>
    <w:basedOn w:val="Tipodeletrapredefinidodopargrafo"/>
    <w:uiPriority w:val="99"/>
    <w:semiHidden/>
    <w:unhideWhenUsed/>
    <w:rsid w:val="0046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023958-0CAB-4B42-A3A0-2D55F574496A}"/>
</file>

<file path=customXml/itemProps2.xml><?xml version="1.0" encoding="utf-8"?>
<ds:datastoreItem xmlns:ds="http://schemas.openxmlformats.org/officeDocument/2006/customXml" ds:itemID="{FC334A4D-7D58-4732-8E77-2A8A1DBBD132}"/>
</file>

<file path=customXml/itemProps3.xml><?xml version="1.0" encoding="utf-8"?>
<ds:datastoreItem xmlns:ds="http://schemas.openxmlformats.org/officeDocument/2006/customXml" ds:itemID="{8989AACB-5AFA-407C-A90B-6F8D12413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 Ferreira</dc:creator>
  <cp:keywords/>
  <dc:description/>
  <cp:lastModifiedBy>Nero Ferreira</cp:lastModifiedBy>
  <cp:revision>2</cp:revision>
  <dcterms:created xsi:type="dcterms:W3CDTF">2021-04-24T14:26:00Z</dcterms:created>
  <dcterms:modified xsi:type="dcterms:W3CDTF">2021-04-24T14:26:00Z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