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17"/>
        </w:rPr>
      </w:pPr>
    </w:p>
    <w:p>
      <w:pPr>
        <w:pStyle w:val="Heading1"/>
        <w:spacing w:before="59"/>
        <w:ind w:left="104" w:right="247"/>
      </w:pPr>
      <w:r>
        <w:rPr/>
        <w:drawing>
          <wp:anchor distT="0" distB="0" distL="0" distR="0" allowOverlap="1" layoutInCell="1" locked="0" behindDoc="1" simplePos="0" relativeHeight="268430231">
            <wp:simplePos x="0" y="0"/>
            <wp:positionH relativeFrom="page">
              <wp:posOffset>2151815</wp:posOffset>
            </wp:positionH>
            <wp:positionV relativeFrom="paragraph">
              <wp:posOffset>-1585267</wp:posOffset>
            </wp:positionV>
            <wp:extent cx="3465195" cy="2134412"/>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3465195" cy="2134412"/>
                    </a:xfrm>
                    <a:prstGeom prst="rect">
                      <a:avLst/>
                    </a:prstGeom>
                  </pic:spPr>
                </pic:pic>
              </a:graphicData>
            </a:graphic>
          </wp:anchor>
        </w:drawing>
      </w:r>
      <w:r>
        <w:rPr>
          <w:u w:val="single"/>
        </w:rPr>
        <w:t>Sixth Submission by the International Corporate Accountability Roundtable to the </w:t>
      </w:r>
      <w:r>
        <w:rPr>
          <w:w w:val="71"/>
          <w:u w:val="single"/>
        </w:rPr>
        <w:t>Open-­‐ </w:t>
      </w:r>
      <w:r>
        <w:rPr>
          <w:u w:val="single"/>
        </w:rPr>
        <w:t>Ended Intergovernmental Working Group on Transnational Corporations and Other Business Enterprises with Respect to Human Rights</w:t>
      </w:r>
    </w:p>
    <w:p>
      <w:pPr>
        <w:pStyle w:val="BodyText"/>
        <w:spacing w:before="2"/>
        <w:rPr>
          <w:b/>
          <w:sz w:val="19"/>
        </w:rPr>
      </w:pPr>
    </w:p>
    <w:p>
      <w:pPr>
        <w:spacing w:before="58"/>
        <w:ind w:left="104" w:right="247" w:firstLine="0"/>
        <w:jc w:val="left"/>
        <w:rPr>
          <w:b/>
          <w:sz w:val="24"/>
        </w:rPr>
      </w:pPr>
      <w:r>
        <w:rPr>
          <w:b/>
          <w:sz w:val="24"/>
        </w:rPr>
        <w:t>1 September 2016</w:t>
      </w:r>
    </w:p>
    <w:p>
      <w:pPr>
        <w:pStyle w:val="BodyText"/>
        <w:spacing w:before="11"/>
        <w:rPr>
          <w:b/>
          <w:sz w:val="23"/>
        </w:rPr>
      </w:pPr>
    </w:p>
    <w:p>
      <w:pPr>
        <w:pStyle w:val="BodyText"/>
        <w:spacing w:before="1"/>
        <w:ind w:left="104" w:right="194"/>
      </w:pPr>
      <w:r>
        <w:rPr/>
        <w:t>The International Corporate Accountability Roundtable is a civil society organization working to ensure that governments create, implement, and enforce laws and policies to protect against </w:t>
      </w:r>
      <w:r>
        <w:rPr>
          <w:w w:val="88"/>
        </w:rPr>
        <w:t>business-­‐related  </w:t>
      </w:r>
      <w:r>
        <w:rPr/>
        <w:t>human rights abuse.</w:t>
      </w:r>
    </w:p>
    <w:p>
      <w:pPr>
        <w:pStyle w:val="BodyText"/>
        <w:spacing w:before="11"/>
        <w:rPr>
          <w:sz w:val="23"/>
        </w:rPr>
      </w:pPr>
    </w:p>
    <w:p>
      <w:pPr>
        <w:pStyle w:val="BodyText"/>
        <w:spacing w:before="1"/>
        <w:ind w:left="104" w:right="288"/>
      </w:pPr>
      <w:r>
        <w:rPr/>
        <w:t>ICAR appreciates the opportunity to provide input into the process of establishing the scope, nature, form, and content of the proposed international binding instrument to address </w:t>
      </w:r>
      <w:r>
        <w:rPr>
          <w:w w:val="88"/>
        </w:rPr>
        <w:t>business-­‐related </w:t>
      </w:r>
      <w:r>
        <w:rPr/>
        <w:t>human rights violations. We believe that this process must develop alongside increasing efforts toward implementing business and human rights frameworks, including the</w:t>
      </w:r>
    </w:p>
    <w:p>
      <w:pPr>
        <w:pStyle w:val="BodyText"/>
        <w:ind w:left="104" w:right="544"/>
      </w:pPr>
      <w:r>
        <w:rPr/>
        <w:t>U.N. Guiding Principles on Business and Human Rights (UNGPs), at the domestic level in the form of National Action Plans (NAPs) on business and human rights. As such, we are encouraged to see continued </w:t>
      </w:r>
      <w:r>
        <w:rPr>
          <w:w w:val="83"/>
        </w:rPr>
        <w:t>high-­‐level </w:t>
      </w:r>
      <w:r>
        <w:rPr/>
        <w:t>engagement with the development of NAPs as the OEIWG negotiations continue.</w:t>
      </w:r>
    </w:p>
    <w:p>
      <w:pPr>
        <w:pStyle w:val="BodyText"/>
        <w:spacing w:before="11"/>
        <w:rPr>
          <w:sz w:val="23"/>
        </w:rPr>
      </w:pPr>
    </w:p>
    <w:p>
      <w:pPr>
        <w:pStyle w:val="BodyText"/>
        <w:spacing w:line="242" w:lineRule="auto" w:before="1"/>
        <w:ind w:left="104" w:right="273"/>
      </w:pPr>
      <w:r>
        <w:rPr/>
        <w:t>In this, our sixth submission to the OEIWG, we reiterate the content of our previous submissions and outline specific process and content considerations integral for the OEIWG to uphold in the elaboration of an international binding instrument.</w:t>
      </w:r>
    </w:p>
    <w:p>
      <w:pPr>
        <w:pStyle w:val="BodyText"/>
        <w:spacing w:before="8"/>
        <w:rPr>
          <w:sz w:val="23"/>
        </w:rPr>
      </w:pPr>
    </w:p>
    <w:p>
      <w:pPr>
        <w:pStyle w:val="Heading2"/>
        <w:numPr>
          <w:ilvl w:val="0"/>
          <w:numId w:val="1"/>
        </w:numPr>
        <w:tabs>
          <w:tab w:pos="345" w:val="left" w:leader="none"/>
        </w:tabs>
        <w:spacing w:line="240" w:lineRule="auto" w:before="1" w:after="0"/>
        <w:ind w:left="104" w:right="944" w:firstLine="0"/>
        <w:jc w:val="left"/>
      </w:pPr>
      <w:r>
        <w:rPr>
          <w:i/>
          <w:u w:val="single"/>
        </w:rPr>
        <w:t>Provide for inclusive, meaningful, and informed engagement from a broad range of </w:t>
      </w:r>
      <w:r>
        <w:rPr>
          <w:u w:val="single"/>
        </w:rPr>
        <w:t>stakeholder groups</w:t>
      </w:r>
    </w:p>
    <w:p>
      <w:pPr>
        <w:pStyle w:val="BodyText"/>
        <w:spacing w:before="2"/>
        <w:rPr>
          <w:b/>
          <w:i/>
          <w:sz w:val="19"/>
        </w:rPr>
      </w:pPr>
    </w:p>
    <w:p>
      <w:pPr>
        <w:pStyle w:val="BodyText"/>
        <w:spacing w:before="58"/>
        <w:ind w:left="104" w:right="247"/>
      </w:pPr>
      <w:r>
        <w:rPr/>
        <w:t>ICAR urges the OEIWG to provide for inclusive, meaningful, and informed engagement across stakeholder groups, including disempowered or </w:t>
      </w:r>
      <w:r>
        <w:rPr>
          <w:w w:val="77"/>
        </w:rPr>
        <w:t>at-­‐risk </w:t>
      </w:r>
      <w:r>
        <w:rPr/>
        <w:t>stakeholders, human rights defenders, and </w:t>
      </w:r>
      <w:r>
        <w:rPr>
          <w:w w:val="88"/>
        </w:rPr>
        <w:t>non-­‐governmental </w:t>
      </w:r>
      <w:r>
        <w:rPr/>
        <w:t>organization (NGOs) without ECOSOC status. In particular, proactive steps should be taken to ensure that affected </w:t>
      </w:r>
      <w:r>
        <w:rPr>
          <w:w w:val="87"/>
        </w:rPr>
        <w:t>rights-­‐holders </w:t>
      </w:r>
      <w:r>
        <w:rPr/>
        <w:t>have a voice in the negotiation process and can participate in the design and implementation of the binding instrument.</w:t>
      </w:r>
    </w:p>
    <w:p>
      <w:pPr>
        <w:pStyle w:val="BodyText"/>
        <w:ind w:left="104" w:right="205"/>
        <w:jc w:val="both"/>
      </w:pPr>
      <w:r>
        <w:rPr/>
        <w:t>Additionally, given the variation of State positions in relation to the binding instrument and the specific contexts of home and host States, ICAR expects the OEIWG to provide for inclusive and respectful dialogue across State parties.</w:t>
      </w:r>
    </w:p>
    <w:p>
      <w:pPr>
        <w:pStyle w:val="BodyText"/>
        <w:spacing w:before="11"/>
        <w:rPr>
          <w:sz w:val="23"/>
        </w:rPr>
      </w:pPr>
    </w:p>
    <w:p>
      <w:pPr>
        <w:pStyle w:val="Heading2"/>
        <w:numPr>
          <w:ilvl w:val="0"/>
          <w:numId w:val="1"/>
        </w:numPr>
        <w:tabs>
          <w:tab w:pos="345" w:val="left" w:leader="none"/>
        </w:tabs>
        <w:spacing w:line="240" w:lineRule="auto" w:before="1" w:after="0"/>
        <w:ind w:left="344" w:right="0" w:hanging="240"/>
        <w:jc w:val="left"/>
        <w:rPr>
          <w:i/>
        </w:rPr>
      </w:pPr>
      <w:r>
        <w:rPr>
          <w:i/>
          <w:u w:val="single"/>
        </w:rPr>
        <w:t>Provide for transparency throughout the treaty</w:t>
      </w:r>
      <w:r>
        <w:rPr>
          <w:i/>
          <w:spacing w:val="-3"/>
          <w:u w:val="single"/>
        </w:rPr>
        <w:t> </w:t>
      </w:r>
      <w:r>
        <w:rPr>
          <w:i/>
          <w:u w:val="single"/>
        </w:rPr>
        <w:t>process</w:t>
      </w:r>
    </w:p>
    <w:p>
      <w:pPr>
        <w:pStyle w:val="BodyText"/>
        <w:spacing w:before="2"/>
        <w:rPr>
          <w:b/>
          <w:i/>
          <w:sz w:val="19"/>
        </w:rPr>
      </w:pPr>
    </w:p>
    <w:p>
      <w:pPr>
        <w:pStyle w:val="BodyText"/>
        <w:spacing w:before="58"/>
        <w:ind w:left="104" w:right="145"/>
      </w:pPr>
      <w:r>
        <w:rPr/>
        <w:t>In order for interested stakeholders and State parties to fully and effectively participate in the creation of the binding instrument, ICAR expects the OEIWG to ensure that the process and timeline of the development of the treaty are clearly and publicly delineated. Additionally, ICAR</w:t>
      </w:r>
    </w:p>
    <w:p>
      <w:pPr>
        <w:spacing w:after="0"/>
        <w:sectPr>
          <w:footerReference w:type="default" r:id="rId5"/>
          <w:type w:val="continuous"/>
          <w:pgSz w:w="12240" w:h="15840"/>
          <w:pgMar w:footer="763" w:top="180" w:bottom="960" w:left="1340" w:right="1320"/>
          <w:pgNumType w:start="1"/>
        </w:sectPr>
      </w:pPr>
    </w:p>
    <w:p>
      <w:pPr>
        <w:pStyle w:val="BodyText"/>
        <w:spacing w:before="34"/>
        <w:ind w:left="124" w:right="191"/>
      </w:pPr>
      <w:r>
        <w:rPr/>
        <w:t>urges the OEIGW to ensure that all information produced and contributing to the development of the instrument is made public and accessible to all interested parties. Such transparency promotes accountability by establishing process expectations that can be used as leverage points for stakeholders to ensure compliance and legitimacy. Ultimately, transparency is integral to the building of trust in the process and in the treaty itself.</w:t>
      </w:r>
    </w:p>
    <w:p>
      <w:pPr>
        <w:pStyle w:val="BodyText"/>
        <w:spacing w:before="11"/>
        <w:rPr>
          <w:sz w:val="23"/>
        </w:rPr>
      </w:pPr>
    </w:p>
    <w:p>
      <w:pPr>
        <w:pStyle w:val="Heading2"/>
        <w:numPr>
          <w:ilvl w:val="0"/>
          <w:numId w:val="2"/>
        </w:numPr>
        <w:tabs>
          <w:tab w:pos="365" w:val="left" w:leader="none"/>
        </w:tabs>
        <w:spacing w:line="240" w:lineRule="auto" w:before="1" w:after="0"/>
        <w:ind w:left="124" w:right="115" w:firstLine="0"/>
        <w:jc w:val="left"/>
      </w:pPr>
      <w:r>
        <w:rPr>
          <w:i/>
          <w:u w:val="single"/>
        </w:rPr>
        <w:t>Ensure that the instrument complements </w:t>
      </w:r>
      <w:r>
        <w:rPr>
          <w:i/>
          <w:w w:val="87"/>
          <w:u w:val="single"/>
        </w:rPr>
        <w:t>domestic-­‐level </w:t>
      </w:r>
      <w:r>
        <w:rPr>
          <w:i/>
          <w:u w:val="single"/>
        </w:rPr>
        <w:t>implementation of </w:t>
      </w:r>
      <w:r>
        <w:rPr>
          <w:i/>
          <w:spacing w:val="-1"/>
          <w:u w:val="single"/>
        </w:rPr>
        <w:t>business</w:t>
      </w:r>
      <w:r>
        <w:rPr>
          <w:i/>
          <w:u w:val="single"/>
        </w:rPr>
        <w:t> and </w:t>
      </w:r>
      <w:r>
        <w:rPr>
          <w:u w:val="single"/>
        </w:rPr>
        <w:t>human rights frameworks, including the UN Guiding Principles on Business and Human Rights, </w:t>
      </w:r>
      <w:r>
        <w:rPr>
          <w:u w:val="single"/>
        </w:rPr>
        <w:t>in the form of National Action Plans</w:t>
      </w:r>
    </w:p>
    <w:p>
      <w:pPr>
        <w:pStyle w:val="BodyText"/>
        <w:spacing w:before="2"/>
        <w:rPr>
          <w:b/>
          <w:i/>
          <w:sz w:val="19"/>
        </w:rPr>
      </w:pPr>
    </w:p>
    <w:p>
      <w:pPr>
        <w:pStyle w:val="BodyText"/>
        <w:spacing w:line="235" w:lineRule="auto" w:before="63"/>
        <w:ind w:left="124" w:right="171"/>
        <w:rPr>
          <w:sz w:val="16"/>
        </w:rPr>
      </w:pPr>
      <w:r>
        <w:rPr/>
        <w:t>In line with our </w:t>
      </w:r>
      <w:r>
        <w:rPr>
          <w:color w:val="0000FF"/>
          <w:u w:val="single" w:color="0000FF"/>
        </w:rPr>
        <w:t>third submission</w:t>
      </w:r>
      <w:r>
        <w:rPr/>
        <w:t>, ICAR continues to stress that the international binding instrument must complement </w:t>
      </w:r>
      <w:r>
        <w:rPr>
          <w:w w:val="87"/>
        </w:rPr>
        <w:t>domestic-­‐level </w:t>
      </w:r>
      <w:r>
        <w:rPr/>
        <w:t>implementation of the UNGPs and other business and human rights frameworks through NAPs. We echo the comments of both the UN High Commissioner for Human Rights and Ambassador María Fernanda Espinosa Garcés, </w:t>
      </w:r>
      <w:r>
        <w:rPr>
          <w:w w:val="74"/>
        </w:rPr>
        <w:t>Chair-­‐ </w:t>
      </w:r>
      <w:r>
        <w:rPr/>
        <w:t>Rapporteur at the opening of the first session of the OEIWG on 6 July 2016, which expressed that the intergovernmental process was a complementary step not in conflict or competition with continued advocacy for and implementation of the UNGPs, including in the form of NAPs.</w:t>
      </w:r>
      <w:r>
        <w:rPr>
          <w:position w:val="11"/>
          <w:sz w:val="16"/>
        </w:rPr>
        <w:t>1</w:t>
      </w:r>
    </w:p>
    <w:p>
      <w:pPr>
        <w:pStyle w:val="BodyText"/>
        <w:spacing w:before="8"/>
        <w:rPr>
          <w:sz w:val="23"/>
        </w:rPr>
      </w:pPr>
    </w:p>
    <w:p>
      <w:pPr>
        <w:pStyle w:val="BodyText"/>
        <w:spacing w:line="292" w:lineRule="exact"/>
        <w:ind w:left="124" w:right="158"/>
        <w:rPr>
          <w:sz w:val="16"/>
        </w:rPr>
      </w:pPr>
      <w:r>
        <w:rPr/>
        <w:t>ICAR has continued to conduct research into how NAPs can be complementary to the current OEIWG process.</w:t>
      </w:r>
      <w:r>
        <w:rPr>
          <w:position w:val="11"/>
          <w:sz w:val="16"/>
        </w:rPr>
        <w:t>2 </w:t>
      </w:r>
      <w:r>
        <w:rPr/>
        <w:t>NAPs provide a critical framework for the promulgation of national laws, regulations, and policies integral to a State’s fulfillment of its duty to protect human rights from </w:t>
      </w:r>
      <w:r>
        <w:rPr>
          <w:w w:val="88"/>
        </w:rPr>
        <w:t>business-­‐related </w:t>
      </w:r>
      <w:r>
        <w:rPr>
          <w:w w:val="99"/>
        </w:rPr>
        <w:t>harm.</w:t>
      </w:r>
      <w:r>
        <w:rPr>
          <w:w w:val="99"/>
          <w:position w:val="11"/>
          <w:sz w:val="16"/>
        </w:rPr>
        <w:t>3 </w:t>
      </w:r>
      <w:r>
        <w:rPr/>
        <w:t>Similarly, National Baseline Assessments (NBAs) and </w:t>
      </w:r>
      <w:r>
        <w:rPr>
          <w:w w:val="89"/>
        </w:rPr>
        <w:t>multi-­‐stakeholder </w:t>
      </w:r>
      <w:r>
        <w:rPr/>
        <w:t>consultations conducted during the NAP process provide key insight into how businesses are negatively impacting human rights and what gaps exist in law, policy, and regulation in preventing and redressing corporate human rights abuse.</w:t>
      </w:r>
      <w:r>
        <w:rPr>
          <w:position w:val="11"/>
          <w:sz w:val="16"/>
        </w:rPr>
        <w:t>4</w:t>
      </w:r>
    </w:p>
    <w:p>
      <w:pPr>
        <w:pStyle w:val="BodyText"/>
        <w:spacing w:before="5"/>
      </w:pPr>
    </w:p>
    <w:p>
      <w:pPr>
        <w:pStyle w:val="BodyText"/>
        <w:ind w:left="124" w:right="901"/>
      </w:pPr>
      <w:r>
        <w:rPr/>
        <w:t>As such, ICAR reiterates its request to the OEIWG to: (1) carefully consider current State practice and initiatives that are part of NAPs processes and (2) ensure that the binding instrument considers and responds to existing protection gaps identified through NAPs processes, such as NBAs and </w:t>
      </w:r>
      <w:r>
        <w:rPr>
          <w:w w:val="89"/>
        </w:rPr>
        <w:t>multi-­‐stakeholder  </w:t>
      </w:r>
      <w:r>
        <w:rPr/>
        <w:t>consultations.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0"/>
        </w:rPr>
      </w:pPr>
      <w:r>
        <w:rPr/>
        <w:pict>
          <v:line style="position:absolute;mso-position-horizontal-relative:page;mso-position-vertical-relative:paragraph;z-index:1048;mso-wrap-distance-left:0;mso-wrap-distance-right:0" from="72.234299pt,14.909204pt" to="216.234299pt,14.909204pt" stroked="true" strokeweight=".48pt" strokecolor="#000000">
            <w10:wrap type="topAndBottom"/>
          </v:line>
        </w:pict>
      </w:r>
    </w:p>
    <w:p>
      <w:pPr>
        <w:spacing w:line="252" w:lineRule="auto" w:before="40"/>
        <w:ind w:left="124" w:right="92" w:firstLine="0"/>
        <w:jc w:val="left"/>
        <w:rPr>
          <w:sz w:val="19"/>
        </w:rPr>
      </w:pPr>
      <w:r>
        <w:rPr>
          <w:w w:val="105"/>
          <w:position w:val="10"/>
          <w:sz w:val="13"/>
        </w:rPr>
        <w:t>1 </w:t>
      </w:r>
      <w:r>
        <w:rPr>
          <w:i/>
          <w:w w:val="105"/>
          <w:sz w:val="19"/>
        </w:rPr>
        <w:t>See</w:t>
      </w:r>
      <w:r>
        <w:rPr>
          <w:w w:val="105"/>
          <w:sz w:val="19"/>
        </w:rPr>
        <w:t>, opening statements of Zeid Ra’ad Al Hussein, UN High Commissioner for Human Rights and Ambassador María Fernanda Espinosa Garcés, Permanent Representative of Ecuador to the UN in Geneva. UN O</w:t>
      </w:r>
      <w:r>
        <w:rPr>
          <w:w w:val="105"/>
          <w:sz w:val="16"/>
        </w:rPr>
        <w:t>FFICE OF THE </w:t>
      </w:r>
      <w:r>
        <w:rPr>
          <w:w w:val="105"/>
          <w:sz w:val="19"/>
        </w:rPr>
        <w:t>H</w:t>
      </w:r>
      <w:r>
        <w:rPr>
          <w:w w:val="105"/>
          <w:sz w:val="16"/>
        </w:rPr>
        <w:t>IGH </w:t>
      </w:r>
      <w:r>
        <w:rPr>
          <w:w w:val="99"/>
          <w:sz w:val="19"/>
        </w:rPr>
        <w:t>C</w:t>
      </w:r>
      <w:r>
        <w:rPr>
          <w:w w:val="99"/>
          <w:sz w:val="16"/>
        </w:rPr>
        <w:t>OMMISSIONER </w:t>
      </w:r>
      <w:r>
        <w:rPr>
          <w:w w:val="99"/>
          <w:sz w:val="16"/>
        </w:rPr>
        <w:t>FOR </w:t>
      </w:r>
      <w:r>
        <w:rPr>
          <w:w w:val="99"/>
          <w:sz w:val="19"/>
        </w:rPr>
        <w:t>H</w:t>
      </w:r>
      <w:r>
        <w:rPr>
          <w:w w:val="99"/>
          <w:sz w:val="16"/>
        </w:rPr>
        <w:t>UMAN </w:t>
      </w:r>
      <w:r>
        <w:rPr>
          <w:w w:val="100"/>
          <w:sz w:val="19"/>
        </w:rPr>
        <w:t>R</w:t>
      </w:r>
      <w:r>
        <w:rPr>
          <w:w w:val="100"/>
          <w:sz w:val="16"/>
        </w:rPr>
        <w:t>IGHTS</w:t>
      </w:r>
      <w:r>
        <w:rPr>
          <w:w w:val="100"/>
          <w:sz w:val="19"/>
        </w:rPr>
        <w:t>, </w:t>
      </w:r>
      <w:r>
        <w:rPr>
          <w:i/>
          <w:w w:val="103"/>
          <w:sz w:val="19"/>
        </w:rPr>
        <w:t>OEIWG ‘First </w:t>
      </w:r>
      <w:r>
        <w:rPr>
          <w:i/>
          <w:w w:val="88"/>
          <w:sz w:val="19"/>
        </w:rPr>
        <w:t>Session-­‐Oral </w:t>
      </w:r>
      <w:r>
        <w:rPr>
          <w:i/>
          <w:w w:val="103"/>
          <w:sz w:val="19"/>
        </w:rPr>
        <w:t>Statements and Presentations’, available at </w:t>
      </w:r>
      <w:hyperlink r:id="rId7">
        <w:r>
          <w:rPr>
            <w:w w:val="105"/>
            <w:sz w:val="19"/>
          </w:rPr>
          <w:t>http://www.ohchr.org/EN/HRBodies/HRC/WGTransCorp/Session1/Pages/Statements.aspx</w:t>
        </w:r>
      </w:hyperlink>
      <w:r>
        <w:rPr>
          <w:w w:val="105"/>
          <w:sz w:val="19"/>
        </w:rPr>
        <w:t> (last visited Aug. 2, 2016).</w:t>
      </w:r>
    </w:p>
    <w:p>
      <w:pPr>
        <w:spacing w:line="233" w:lineRule="exact" w:before="0"/>
        <w:ind w:left="124" w:right="92" w:firstLine="0"/>
        <w:jc w:val="left"/>
        <w:rPr>
          <w:sz w:val="16"/>
        </w:rPr>
      </w:pPr>
      <w:r>
        <w:rPr>
          <w:position w:val="10"/>
          <w:sz w:val="13"/>
        </w:rPr>
        <w:t>2  </w:t>
      </w:r>
      <w:r>
        <w:rPr>
          <w:sz w:val="19"/>
        </w:rPr>
        <w:t>I</w:t>
      </w:r>
      <w:r>
        <w:rPr>
          <w:sz w:val="16"/>
        </w:rPr>
        <w:t>NT</w:t>
      </w:r>
      <w:r>
        <w:rPr>
          <w:sz w:val="19"/>
        </w:rPr>
        <w:t>’</w:t>
      </w:r>
      <w:r>
        <w:rPr>
          <w:sz w:val="16"/>
        </w:rPr>
        <w:t>L </w:t>
      </w:r>
      <w:r>
        <w:rPr>
          <w:sz w:val="19"/>
        </w:rPr>
        <w:t>C</w:t>
      </w:r>
      <w:r>
        <w:rPr>
          <w:sz w:val="16"/>
        </w:rPr>
        <w:t>ORPORATE </w:t>
      </w:r>
      <w:r>
        <w:rPr>
          <w:sz w:val="19"/>
        </w:rPr>
        <w:t>A</w:t>
      </w:r>
      <w:r>
        <w:rPr>
          <w:sz w:val="16"/>
        </w:rPr>
        <w:t>CCOUNTABILITY </w:t>
      </w:r>
      <w:r>
        <w:rPr>
          <w:sz w:val="19"/>
        </w:rPr>
        <w:t>R</w:t>
      </w:r>
      <w:r>
        <w:rPr>
          <w:sz w:val="16"/>
        </w:rPr>
        <w:t>OUNDTABLE </w:t>
      </w:r>
      <w:r>
        <w:rPr>
          <w:sz w:val="19"/>
        </w:rPr>
        <w:t>(ICAR) &amp; D</w:t>
      </w:r>
      <w:r>
        <w:rPr>
          <w:sz w:val="16"/>
        </w:rPr>
        <w:t>ANISH </w:t>
      </w:r>
      <w:r>
        <w:rPr>
          <w:sz w:val="19"/>
        </w:rPr>
        <w:t>I</w:t>
      </w:r>
      <w:r>
        <w:rPr>
          <w:sz w:val="16"/>
        </w:rPr>
        <w:t>NST</w:t>
      </w:r>
      <w:r>
        <w:rPr>
          <w:sz w:val="19"/>
        </w:rPr>
        <w:t>. </w:t>
      </w:r>
      <w:r>
        <w:rPr>
          <w:sz w:val="16"/>
        </w:rPr>
        <w:t>FOR </w:t>
      </w:r>
      <w:r>
        <w:rPr>
          <w:sz w:val="19"/>
        </w:rPr>
        <w:t>H</w:t>
      </w:r>
      <w:r>
        <w:rPr>
          <w:sz w:val="16"/>
        </w:rPr>
        <w:t>UMAN </w:t>
      </w:r>
      <w:r>
        <w:rPr>
          <w:sz w:val="19"/>
        </w:rPr>
        <w:t>R</w:t>
      </w:r>
      <w:r>
        <w:rPr>
          <w:sz w:val="16"/>
        </w:rPr>
        <w:t>IGHTS</w:t>
      </w:r>
      <w:r>
        <w:rPr>
          <w:sz w:val="19"/>
        </w:rPr>
        <w:t>, N</w:t>
      </w:r>
      <w:r>
        <w:rPr>
          <w:sz w:val="16"/>
        </w:rPr>
        <w:t>ATIONAL </w:t>
      </w:r>
      <w:r>
        <w:rPr>
          <w:sz w:val="19"/>
        </w:rPr>
        <w:t>A</w:t>
      </w:r>
      <w:r>
        <w:rPr>
          <w:sz w:val="16"/>
        </w:rPr>
        <w:t>CTION </w:t>
      </w:r>
      <w:r>
        <w:rPr>
          <w:sz w:val="19"/>
        </w:rPr>
        <w:t>P</w:t>
      </w:r>
      <w:r>
        <w:rPr>
          <w:sz w:val="16"/>
        </w:rPr>
        <w:t>LANS ON </w:t>
      </w:r>
      <w:r>
        <w:rPr>
          <w:sz w:val="19"/>
        </w:rPr>
        <w:t>B</w:t>
      </w:r>
      <w:r>
        <w:rPr>
          <w:sz w:val="16"/>
        </w:rPr>
        <w:t>USINESS</w:t>
      </w:r>
    </w:p>
    <w:p>
      <w:pPr>
        <w:spacing w:before="13"/>
        <w:ind w:left="124" w:right="191" w:firstLine="0"/>
        <w:jc w:val="left"/>
        <w:rPr>
          <w:sz w:val="16"/>
        </w:rPr>
      </w:pPr>
      <w:r>
        <w:rPr>
          <w:sz w:val="16"/>
        </w:rPr>
        <w:t>AND </w:t>
      </w:r>
      <w:r>
        <w:rPr>
          <w:sz w:val="19"/>
        </w:rPr>
        <w:t>H</w:t>
      </w:r>
      <w:r>
        <w:rPr>
          <w:sz w:val="16"/>
        </w:rPr>
        <w:t>UMAN </w:t>
      </w:r>
      <w:r>
        <w:rPr>
          <w:sz w:val="19"/>
        </w:rPr>
        <w:t>R</w:t>
      </w:r>
      <w:r>
        <w:rPr>
          <w:sz w:val="16"/>
        </w:rPr>
        <w:t>IGHTS</w:t>
      </w:r>
      <w:r>
        <w:rPr>
          <w:sz w:val="19"/>
        </w:rPr>
        <w:t>: A T</w:t>
      </w:r>
      <w:r>
        <w:rPr>
          <w:sz w:val="16"/>
        </w:rPr>
        <w:t>OOLKIT FOR THE </w:t>
      </w:r>
      <w:r>
        <w:rPr>
          <w:sz w:val="19"/>
        </w:rPr>
        <w:t>D</w:t>
      </w:r>
      <w:r>
        <w:rPr>
          <w:sz w:val="16"/>
        </w:rPr>
        <w:t>EVELOPMENT</w:t>
      </w:r>
      <w:r>
        <w:rPr>
          <w:sz w:val="19"/>
        </w:rPr>
        <w:t>, I</w:t>
      </w:r>
      <w:r>
        <w:rPr>
          <w:sz w:val="16"/>
        </w:rPr>
        <w:t>MPLEMENTATION</w:t>
      </w:r>
      <w:r>
        <w:rPr>
          <w:sz w:val="19"/>
        </w:rPr>
        <w:t>, </w:t>
      </w:r>
      <w:r>
        <w:rPr>
          <w:sz w:val="16"/>
        </w:rPr>
        <w:t>AND </w:t>
      </w:r>
      <w:r>
        <w:rPr>
          <w:sz w:val="19"/>
        </w:rPr>
        <w:t>R</w:t>
      </w:r>
      <w:r>
        <w:rPr>
          <w:sz w:val="16"/>
        </w:rPr>
        <w:t>EVIEW OF </w:t>
      </w:r>
      <w:r>
        <w:rPr>
          <w:sz w:val="19"/>
        </w:rPr>
        <w:t>S</w:t>
      </w:r>
      <w:r>
        <w:rPr>
          <w:sz w:val="16"/>
        </w:rPr>
        <w:t>TATE </w:t>
      </w:r>
      <w:r>
        <w:rPr>
          <w:sz w:val="19"/>
        </w:rPr>
        <w:t>C</w:t>
      </w:r>
      <w:r>
        <w:rPr>
          <w:sz w:val="16"/>
        </w:rPr>
        <w:t>OMMITMENTS TO </w:t>
      </w:r>
      <w:r>
        <w:rPr>
          <w:sz w:val="19"/>
        </w:rPr>
        <w:t>B</w:t>
      </w:r>
      <w:r>
        <w:rPr>
          <w:sz w:val="16"/>
        </w:rPr>
        <w:t>USINESS AND</w:t>
      </w:r>
    </w:p>
    <w:p>
      <w:pPr>
        <w:spacing w:line="252" w:lineRule="auto" w:before="13"/>
        <w:ind w:left="124" w:right="423" w:firstLine="0"/>
        <w:jc w:val="left"/>
        <w:rPr>
          <w:sz w:val="19"/>
        </w:rPr>
      </w:pPr>
      <w:r>
        <w:rPr>
          <w:w w:val="105"/>
          <w:sz w:val="19"/>
        </w:rPr>
        <w:t>H</w:t>
      </w:r>
      <w:r>
        <w:rPr>
          <w:w w:val="105"/>
          <w:sz w:val="16"/>
        </w:rPr>
        <w:t>UMAN </w:t>
      </w:r>
      <w:r>
        <w:rPr>
          <w:w w:val="105"/>
          <w:sz w:val="19"/>
        </w:rPr>
        <w:t>R</w:t>
      </w:r>
      <w:r>
        <w:rPr>
          <w:w w:val="105"/>
          <w:sz w:val="16"/>
        </w:rPr>
        <w:t>IGHTS </w:t>
      </w:r>
      <w:r>
        <w:rPr>
          <w:w w:val="105"/>
          <w:sz w:val="19"/>
        </w:rPr>
        <w:t>F</w:t>
      </w:r>
      <w:r>
        <w:rPr>
          <w:w w:val="105"/>
          <w:sz w:val="16"/>
        </w:rPr>
        <w:t>RAMEWORKS </w:t>
      </w:r>
      <w:r>
        <w:rPr>
          <w:w w:val="105"/>
          <w:sz w:val="19"/>
        </w:rPr>
        <w:t>(2014); Sara Blackwell &amp; Nicole Vander Meulen, </w:t>
      </w:r>
      <w:r>
        <w:rPr>
          <w:i/>
          <w:w w:val="105"/>
          <w:sz w:val="19"/>
        </w:rPr>
        <w:t>Two Roads Converged: The Mutual </w:t>
      </w:r>
      <w:r>
        <w:rPr>
          <w:i/>
          <w:w w:val="105"/>
          <w:sz w:val="19"/>
        </w:rPr>
        <w:t>Complementarity of Binding Business &amp; Human Rights Treaty and National Action Plans on Business and Human Rights</w:t>
      </w:r>
      <w:r>
        <w:rPr>
          <w:w w:val="105"/>
          <w:sz w:val="19"/>
        </w:rPr>
        <w:t>, 6 N</w:t>
      </w:r>
      <w:r>
        <w:rPr>
          <w:w w:val="105"/>
          <w:sz w:val="16"/>
        </w:rPr>
        <w:t>OTRE </w:t>
      </w:r>
      <w:r>
        <w:rPr>
          <w:w w:val="105"/>
          <w:sz w:val="19"/>
        </w:rPr>
        <w:t>D</w:t>
      </w:r>
      <w:r>
        <w:rPr>
          <w:w w:val="105"/>
          <w:sz w:val="16"/>
        </w:rPr>
        <w:t>AME </w:t>
      </w:r>
      <w:r>
        <w:rPr>
          <w:w w:val="105"/>
          <w:sz w:val="19"/>
        </w:rPr>
        <w:t>J. </w:t>
      </w:r>
      <w:r>
        <w:rPr>
          <w:w w:val="105"/>
          <w:sz w:val="16"/>
        </w:rPr>
        <w:t>OF </w:t>
      </w:r>
      <w:r>
        <w:rPr>
          <w:w w:val="105"/>
          <w:sz w:val="19"/>
        </w:rPr>
        <w:t>I</w:t>
      </w:r>
      <w:r>
        <w:rPr>
          <w:w w:val="105"/>
          <w:sz w:val="16"/>
        </w:rPr>
        <w:t>NT</w:t>
      </w:r>
      <w:r>
        <w:rPr>
          <w:w w:val="105"/>
          <w:sz w:val="19"/>
        </w:rPr>
        <w:t>’</w:t>
      </w:r>
      <w:r>
        <w:rPr>
          <w:w w:val="105"/>
          <w:sz w:val="16"/>
        </w:rPr>
        <w:t>L </w:t>
      </w:r>
      <w:r>
        <w:rPr>
          <w:w w:val="105"/>
          <w:sz w:val="19"/>
        </w:rPr>
        <w:t>&amp; C</w:t>
      </w:r>
      <w:r>
        <w:rPr>
          <w:w w:val="105"/>
          <w:sz w:val="16"/>
        </w:rPr>
        <w:t>OMP</w:t>
      </w:r>
      <w:r>
        <w:rPr>
          <w:w w:val="105"/>
          <w:sz w:val="19"/>
        </w:rPr>
        <w:t>. L. (</w:t>
      </w:r>
      <w:r>
        <w:rPr>
          <w:i/>
          <w:w w:val="105"/>
          <w:sz w:val="19"/>
        </w:rPr>
        <w:t>forthcoming</w:t>
      </w:r>
      <w:r>
        <w:rPr>
          <w:w w:val="105"/>
          <w:sz w:val="19"/>
        </w:rPr>
        <w:t>).</w:t>
      </w:r>
    </w:p>
    <w:p>
      <w:pPr>
        <w:spacing w:line="218" w:lineRule="exact" w:before="0"/>
        <w:ind w:left="124" w:right="191" w:firstLine="0"/>
        <w:jc w:val="left"/>
        <w:rPr>
          <w:sz w:val="19"/>
        </w:rPr>
      </w:pPr>
      <w:r>
        <w:rPr>
          <w:w w:val="105"/>
          <w:position w:val="10"/>
          <w:sz w:val="13"/>
        </w:rPr>
        <w:t>3 </w:t>
      </w:r>
      <w:r>
        <w:rPr>
          <w:i/>
          <w:w w:val="105"/>
          <w:sz w:val="19"/>
        </w:rPr>
        <w:t>Id. </w:t>
      </w:r>
      <w:r>
        <w:rPr>
          <w:w w:val="105"/>
          <w:sz w:val="19"/>
        </w:rPr>
        <w:t>at 56.</w:t>
      </w:r>
    </w:p>
    <w:p>
      <w:pPr>
        <w:spacing w:line="260" w:lineRule="exact" w:before="0"/>
        <w:ind w:left="124" w:right="191" w:firstLine="0"/>
        <w:jc w:val="left"/>
        <w:rPr>
          <w:sz w:val="19"/>
        </w:rPr>
      </w:pPr>
      <w:r>
        <w:rPr>
          <w:w w:val="99"/>
          <w:position w:val="10"/>
          <w:sz w:val="13"/>
        </w:rPr>
        <w:t>4</w:t>
      </w:r>
      <w:r>
        <w:rPr>
          <w:position w:val="10"/>
          <w:sz w:val="13"/>
        </w:rPr>
        <w:t> </w:t>
      </w:r>
      <w:r>
        <w:rPr>
          <w:spacing w:val="-14"/>
          <w:position w:val="10"/>
          <w:sz w:val="13"/>
        </w:rPr>
        <w:t> </w:t>
      </w:r>
      <w:r>
        <w:rPr>
          <w:i/>
          <w:w w:val="103"/>
          <w:sz w:val="19"/>
        </w:rPr>
        <w:t>I</w:t>
      </w:r>
      <w:r>
        <w:rPr>
          <w:i/>
          <w:spacing w:val="1"/>
          <w:w w:val="103"/>
          <w:sz w:val="19"/>
        </w:rPr>
        <w:t>d</w:t>
      </w:r>
      <w:r>
        <w:rPr>
          <w:i/>
          <w:w w:val="103"/>
          <w:sz w:val="19"/>
        </w:rPr>
        <w:t>.</w:t>
      </w:r>
      <w:r>
        <w:rPr>
          <w:i/>
          <w:spacing w:val="3"/>
          <w:sz w:val="19"/>
        </w:rPr>
        <w:t> </w:t>
      </w:r>
      <w:r>
        <w:rPr>
          <w:spacing w:val="1"/>
          <w:w w:val="103"/>
          <w:sz w:val="19"/>
        </w:rPr>
        <w:t>a</w:t>
      </w:r>
      <w:r>
        <w:rPr>
          <w:w w:val="103"/>
          <w:sz w:val="19"/>
        </w:rPr>
        <w:t>t</w:t>
      </w:r>
      <w:r>
        <w:rPr>
          <w:spacing w:val="3"/>
          <w:sz w:val="19"/>
        </w:rPr>
        <w:t> </w:t>
      </w:r>
      <w:r>
        <w:rPr>
          <w:spacing w:val="1"/>
          <w:w w:val="103"/>
          <w:sz w:val="19"/>
        </w:rPr>
        <w:t>1</w:t>
      </w:r>
      <w:r>
        <w:rPr>
          <w:w w:val="34"/>
          <w:sz w:val="19"/>
        </w:rPr>
        <w:t>-­‐</w:t>
      </w:r>
      <w:r>
        <w:rPr>
          <w:spacing w:val="1"/>
          <w:w w:val="103"/>
          <w:sz w:val="19"/>
        </w:rPr>
        <w:t>2.</w:t>
      </w:r>
    </w:p>
    <w:p>
      <w:pPr>
        <w:spacing w:after="0" w:line="260" w:lineRule="exact"/>
        <w:jc w:val="left"/>
        <w:rPr>
          <w:sz w:val="19"/>
        </w:rPr>
        <w:sectPr>
          <w:pgSz w:w="12240" w:h="15840"/>
          <w:pgMar w:header="0" w:footer="763" w:top="1340" w:bottom="960" w:left="1320" w:right="1320"/>
        </w:sectPr>
      </w:pPr>
    </w:p>
    <w:p>
      <w:pPr>
        <w:pStyle w:val="Heading2"/>
        <w:numPr>
          <w:ilvl w:val="0"/>
          <w:numId w:val="2"/>
        </w:numPr>
        <w:tabs>
          <w:tab w:pos="365" w:val="left" w:leader="none"/>
        </w:tabs>
        <w:spacing w:line="240" w:lineRule="auto" w:before="34" w:after="0"/>
        <w:ind w:left="124" w:right="1454" w:firstLine="0"/>
        <w:jc w:val="left"/>
      </w:pPr>
      <w:r>
        <w:rPr>
          <w:i/>
          <w:u w:val="single"/>
        </w:rPr>
        <w:t>Ensure that the instrument applies to all enterprises, regardless of their size or </w:t>
      </w:r>
      <w:r>
        <w:rPr>
          <w:u w:val="single"/>
        </w:rPr>
        <w:t>geographical scope</w:t>
      </w:r>
    </w:p>
    <w:p>
      <w:pPr>
        <w:pStyle w:val="BodyText"/>
        <w:spacing w:before="2"/>
        <w:rPr>
          <w:b/>
          <w:i/>
          <w:sz w:val="19"/>
        </w:rPr>
      </w:pPr>
    </w:p>
    <w:p>
      <w:pPr>
        <w:pStyle w:val="BodyText"/>
        <w:spacing w:line="292" w:lineRule="exact" w:before="53"/>
        <w:ind w:left="124" w:right="266"/>
      </w:pPr>
      <w:r>
        <w:rPr/>
        <w:t>As reflected in our </w:t>
      </w:r>
      <w:r>
        <w:rPr>
          <w:color w:val="0000FF"/>
          <w:u w:val="single" w:color="0000FF"/>
        </w:rPr>
        <w:t>first submission</w:t>
      </w:r>
      <w:r>
        <w:rPr/>
        <w:t>, ICAR urges the OEIWG to clarify that the provision “business enterprises that have a transnational character in their operational activities”</w:t>
      </w:r>
      <w:r>
        <w:rPr>
          <w:position w:val="11"/>
          <w:sz w:val="16"/>
        </w:rPr>
        <w:t>5 </w:t>
      </w:r>
      <w:r>
        <w:rPr/>
        <w:t>includes all enterprises that engage in transnational commerce or whose operational activities singularly or cumulatively have a substantial effect on transnational commerce.</w:t>
      </w:r>
    </w:p>
    <w:p>
      <w:pPr>
        <w:pStyle w:val="BodyText"/>
        <w:spacing w:before="5"/>
      </w:pPr>
    </w:p>
    <w:p>
      <w:pPr>
        <w:pStyle w:val="BodyText"/>
        <w:ind w:left="124" w:right="138"/>
      </w:pPr>
      <w:r>
        <w:rPr/>
        <w:t>ICAR also expects the OEIWG to continue to navigate negotiations for an international binding instrument with openness to the inclusion of locally registered businesses under locally relevant law. This consideration is necessary given that domestic businesses may impact human rights through their operations just as severely and on a similarly large scale as transnational corporations.</w:t>
      </w:r>
    </w:p>
    <w:p>
      <w:pPr>
        <w:pStyle w:val="BodyText"/>
        <w:spacing w:before="11"/>
        <w:rPr>
          <w:sz w:val="23"/>
        </w:rPr>
      </w:pPr>
    </w:p>
    <w:p>
      <w:pPr>
        <w:pStyle w:val="BodyText"/>
        <w:spacing w:before="1"/>
        <w:ind w:left="124" w:right="255"/>
      </w:pPr>
      <w:r>
        <w:rPr/>
        <w:t>From a </w:t>
      </w:r>
      <w:r>
        <w:rPr>
          <w:w w:val="88"/>
        </w:rPr>
        <w:t>rights-­‐holder’s </w:t>
      </w:r>
      <w:r>
        <w:rPr/>
        <w:t>perspective, the nationality or scope of operations of the responsible business entity is irrelevant. ICAR has previously provided examples of complaints filed against locally registered businesses whose domestic operations have negatively impacted human rights. Situations in which domestic corporations violate human rights at home continue to proliferate, for example:</w:t>
      </w:r>
    </w:p>
    <w:p>
      <w:pPr>
        <w:pStyle w:val="BodyText"/>
        <w:spacing w:before="11"/>
        <w:rPr>
          <w:sz w:val="23"/>
        </w:rPr>
      </w:pPr>
    </w:p>
    <w:p>
      <w:pPr>
        <w:pStyle w:val="Heading1"/>
        <w:spacing w:line="291" w:lineRule="exact" w:before="1"/>
      </w:pPr>
      <w:r>
        <w:rPr/>
        <w:t>Americas</w:t>
      </w:r>
    </w:p>
    <w:p>
      <w:pPr>
        <w:pStyle w:val="ListParagraph"/>
        <w:numPr>
          <w:ilvl w:val="1"/>
          <w:numId w:val="2"/>
        </w:numPr>
        <w:tabs>
          <w:tab w:pos="1205" w:val="left" w:leader="none"/>
        </w:tabs>
        <w:spacing w:line="240" w:lineRule="auto" w:before="0" w:after="0"/>
        <w:ind w:left="1204" w:right="509" w:hanging="360"/>
        <w:jc w:val="left"/>
        <w:rPr>
          <w:sz w:val="24"/>
        </w:rPr>
      </w:pPr>
      <w:r>
        <w:rPr>
          <w:sz w:val="24"/>
        </w:rPr>
        <w:t>A pipeline owned by a </w:t>
      </w:r>
      <w:r>
        <w:rPr>
          <w:color w:val="0000FF"/>
          <w:spacing w:val="-1"/>
          <w:w w:val="84"/>
          <w:sz w:val="24"/>
        </w:rPr>
        <w:t>State-­‐owned</w:t>
      </w:r>
      <w:r>
        <w:rPr>
          <w:color w:val="0000FF"/>
          <w:w w:val="84"/>
          <w:sz w:val="24"/>
        </w:rPr>
        <w:t> </w:t>
      </w:r>
      <w:r>
        <w:rPr>
          <w:color w:val="0000FF"/>
          <w:sz w:val="24"/>
        </w:rPr>
        <w:t>Peruvian oil company </w:t>
      </w:r>
      <w:r>
        <w:rPr>
          <w:sz w:val="24"/>
        </w:rPr>
        <w:t>ruptured and contaminated rivers depended upon by indigenous communities for</w:t>
      </w:r>
      <w:r>
        <w:rPr>
          <w:spacing w:val="-2"/>
          <w:sz w:val="24"/>
        </w:rPr>
        <w:t> </w:t>
      </w:r>
      <w:r>
        <w:rPr>
          <w:sz w:val="24"/>
        </w:rPr>
        <w:t>subsistence.</w:t>
      </w:r>
    </w:p>
    <w:p>
      <w:pPr>
        <w:pStyle w:val="ListParagraph"/>
        <w:numPr>
          <w:ilvl w:val="1"/>
          <w:numId w:val="2"/>
        </w:numPr>
        <w:tabs>
          <w:tab w:pos="1205" w:val="left" w:leader="none"/>
        </w:tabs>
        <w:spacing w:line="244" w:lineRule="auto" w:before="0" w:after="0"/>
        <w:ind w:left="1204" w:right="263" w:hanging="360"/>
        <w:jc w:val="left"/>
        <w:rPr>
          <w:sz w:val="24"/>
        </w:rPr>
      </w:pPr>
      <w:r>
        <w:rPr>
          <w:sz w:val="24"/>
        </w:rPr>
        <w:t>A </w:t>
      </w:r>
      <w:r>
        <w:rPr>
          <w:color w:val="0000FF"/>
          <w:sz w:val="24"/>
        </w:rPr>
        <w:t>United States tobacco company </w:t>
      </w:r>
      <w:r>
        <w:rPr>
          <w:sz w:val="24"/>
        </w:rPr>
        <w:t>purchases from farmers who use local child</w:t>
      </w:r>
      <w:r>
        <w:rPr>
          <w:spacing w:val="-3"/>
          <w:sz w:val="24"/>
        </w:rPr>
        <w:t> </w:t>
      </w:r>
      <w:r>
        <w:rPr>
          <w:sz w:val="24"/>
        </w:rPr>
        <w:t>labor in their South Carolina fields.</w:t>
      </w:r>
    </w:p>
    <w:p>
      <w:pPr>
        <w:pStyle w:val="BodyText"/>
        <w:spacing w:before="6"/>
        <w:rPr>
          <w:sz w:val="23"/>
        </w:rPr>
      </w:pPr>
    </w:p>
    <w:p>
      <w:pPr>
        <w:pStyle w:val="Heading1"/>
        <w:spacing w:line="291" w:lineRule="exact"/>
      </w:pPr>
      <w:r>
        <w:rPr/>
        <w:t>Africa &amp; Middle East</w:t>
      </w:r>
    </w:p>
    <w:p>
      <w:pPr>
        <w:pStyle w:val="ListParagraph"/>
        <w:numPr>
          <w:ilvl w:val="1"/>
          <w:numId w:val="2"/>
        </w:numPr>
        <w:tabs>
          <w:tab w:pos="1259" w:val="left" w:leader="none"/>
        </w:tabs>
        <w:spacing w:line="244" w:lineRule="auto" w:before="0" w:after="0"/>
        <w:ind w:left="1204" w:right="805" w:hanging="360"/>
        <w:jc w:val="left"/>
        <w:rPr>
          <w:sz w:val="24"/>
        </w:rPr>
      </w:pPr>
      <w:r>
        <w:rPr>
          <w:sz w:val="24"/>
        </w:rPr>
        <w:t>A </w:t>
      </w:r>
      <w:r>
        <w:rPr>
          <w:color w:val="0000FF"/>
          <w:sz w:val="24"/>
        </w:rPr>
        <w:t>Nigerian mining company </w:t>
      </w:r>
      <w:r>
        <w:rPr>
          <w:sz w:val="24"/>
        </w:rPr>
        <w:t>deceitfully took land from a rural community and polluted their only source of</w:t>
      </w:r>
      <w:r>
        <w:rPr>
          <w:spacing w:val="-1"/>
          <w:sz w:val="24"/>
        </w:rPr>
        <w:t> </w:t>
      </w:r>
      <w:r>
        <w:rPr>
          <w:sz w:val="24"/>
        </w:rPr>
        <w:t>water.</w:t>
      </w:r>
    </w:p>
    <w:p>
      <w:pPr>
        <w:pStyle w:val="ListParagraph"/>
        <w:numPr>
          <w:ilvl w:val="1"/>
          <w:numId w:val="2"/>
        </w:numPr>
        <w:tabs>
          <w:tab w:pos="1259" w:val="left" w:leader="none"/>
        </w:tabs>
        <w:spacing w:line="244" w:lineRule="auto" w:before="0" w:after="0"/>
        <w:ind w:left="1204" w:right="413" w:hanging="360"/>
        <w:jc w:val="left"/>
        <w:rPr>
          <w:sz w:val="24"/>
        </w:rPr>
      </w:pPr>
      <w:r>
        <w:rPr>
          <w:sz w:val="24"/>
        </w:rPr>
        <w:t>A </w:t>
      </w:r>
      <w:r>
        <w:rPr>
          <w:color w:val="0000FF"/>
          <w:sz w:val="24"/>
        </w:rPr>
        <w:t>Saudi construction company </w:t>
      </w:r>
      <w:r>
        <w:rPr>
          <w:sz w:val="24"/>
        </w:rPr>
        <w:t>has delayed paying wages to several of its workers for up to nine</w:t>
      </w:r>
      <w:r>
        <w:rPr>
          <w:spacing w:val="-1"/>
          <w:sz w:val="24"/>
        </w:rPr>
        <w:t> </w:t>
      </w:r>
      <w:r>
        <w:rPr>
          <w:sz w:val="24"/>
        </w:rPr>
        <w:t>months.</w:t>
      </w:r>
    </w:p>
    <w:p>
      <w:pPr>
        <w:pStyle w:val="BodyText"/>
        <w:spacing w:before="6"/>
        <w:rPr>
          <w:sz w:val="23"/>
        </w:rPr>
      </w:pPr>
    </w:p>
    <w:p>
      <w:pPr>
        <w:pStyle w:val="Heading1"/>
        <w:spacing w:line="291" w:lineRule="exact"/>
      </w:pPr>
      <w:r>
        <w:rPr/>
        <w:t>Asia &amp; Pacific</w:t>
      </w:r>
    </w:p>
    <w:p>
      <w:pPr>
        <w:pStyle w:val="ListParagraph"/>
        <w:numPr>
          <w:ilvl w:val="1"/>
          <w:numId w:val="2"/>
        </w:numPr>
        <w:tabs>
          <w:tab w:pos="1259" w:val="left" w:leader="none"/>
        </w:tabs>
        <w:spacing w:line="244" w:lineRule="auto" w:before="0" w:after="0"/>
        <w:ind w:left="1204" w:right="645" w:hanging="360"/>
        <w:jc w:val="left"/>
        <w:rPr>
          <w:sz w:val="24"/>
        </w:rPr>
      </w:pPr>
      <w:r>
        <w:rPr>
          <w:sz w:val="24"/>
        </w:rPr>
        <w:t>A </w:t>
      </w:r>
      <w:r>
        <w:rPr>
          <w:color w:val="0000FF"/>
          <w:sz w:val="24"/>
        </w:rPr>
        <w:t>Chinese electronics company </w:t>
      </w:r>
      <w:r>
        <w:rPr>
          <w:sz w:val="24"/>
        </w:rPr>
        <w:t>violated labor rights by firing employees after a strike.</w:t>
      </w:r>
    </w:p>
    <w:p>
      <w:pPr>
        <w:pStyle w:val="BodyText"/>
        <w:spacing w:before="6"/>
        <w:rPr>
          <w:sz w:val="23"/>
        </w:rPr>
      </w:pPr>
    </w:p>
    <w:p>
      <w:pPr>
        <w:pStyle w:val="Heading1"/>
      </w:pPr>
      <w:r>
        <w:rPr/>
        <w:t>Europe &amp; Central Asia</w:t>
      </w:r>
    </w:p>
    <w:p>
      <w:pPr>
        <w:pStyle w:val="ListParagraph"/>
        <w:numPr>
          <w:ilvl w:val="1"/>
          <w:numId w:val="2"/>
        </w:numPr>
        <w:tabs>
          <w:tab w:pos="1259" w:val="left" w:leader="none"/>
        </w:tabs>
        <w:spacing w:line="240" w:lineRule="auto" w:before="0" w:after="0"/>
        <w:ind w:left="1204" w:right="688" w:hanging="360"/>
        <w:jc w:val="left"/>
        <w:rPr>
          <w:sz w:val="19"/>
        </w:rPr>
      </w:pPr>
      <w:r>
        <w:rPr>
          <w:sz w:val="24"/>
        </w:rPr>
        <w:t>A </w:t>
      </w:r>
      <w:r>
        <w:rPr>
          <w:color w:val="0000FF"/>
          <w:spacing w:val="-1"/>
          <w:w w:val="81"/>
          <w:sz w:val="24"/>
        </w:rPr>
        <w:t>State-­‐run</w:t>
      </w:r>
      <w:r>
        <w:rPr>
          <w:color w:val="0000FF"/>
          <w:w w:val="81"/>
          <w:sz w:val="24"/>
        </w:rPr>
        <w:t> </w:t>
      </w:r>
      <w:r>
        <w:rPr>
          <w:color w:val="0000FF"/>
          <w:sz w:val="24"/>
        </w:rPr>
        <w:t>mining company in Romania </w:t>
      </w:r>
      <w:r>
        <w:rPr>
          <w:sz w:val="24"/>
        </w:rPr>
        <w:t>is proceeding to expropriate villagers’ homes without fair compensation to make way for a new mining project.</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9"/>
        </w:rPr>
      </w:pPr>
      <w:r>
        <w:rPr/>
        <w:pict>
          <v:line style="position:absolute;mso-position-horizontal-relative:page;mso-position-vertical-relative:paragraph;z-index:1072;mso-wrap-distance-left:0;mso-wrap-distance-right:0" from="72.234299pt,14.189219pt" to="216.234299pt,14.189219pt" stroked="true" strokeweight=".47999pt" strokecolor="#000000">
            <w10:wrap type="topAndBottom"/>
          </v:line>
        </w:pict>
      </w:r>
    </w:p>
    <w:p>
      <w:pPr>
        <w:spacing w:before="35"/>
        <w:ind w:left="124" w:right="191" w:firstLine="0"/>
        <w:jc w:val="left"/>
        <w:rPr>
          <w:sz w:val="19"/>
        </w:rPr>
      </w:pPr>
      <w:r>
        <w:rPr>
          <w:w w:val="105"/>
          <w:position w:val="10"/>
          <w:sz w:val="13"/>
        </w:rPr>
        <w:t>5 </w:t>
      </w:r>
      <w:r>
        <w:rPr>
          <w:w w:val="105"/>
          <w:sz w:val="19"/>
        </w:rPr>
        <w:t>Human Rights Council Res. 26/9, U.N. D</w:t>
      </w:r>
      <w:r>
        <w:rPr>
          <w:w w:val="105"/>
          <w:sz w:val="16"/>
        </w:rPr>
        <w:t>OC</w:t>
      </w:r>
      <w:r>
        <w:rPr>
          <w:w w:val="105"/>
          <w:sz w:val="19"/>
        </w:rPr>
        <w:t>. A/HRC/26/L.22/Rev.1, at 2 (Jun. 26, 2014).</w:t>
      </w:r>
    </w:p>
    <w:p>
      <w:pPr>
        <w:spacing w:after="0"/>
        <w:jc w:val="left"/>
        <w:rPr>
          <w:sz w:val="19"/>
        </w:rPr>
        <w:sectPr>
          <w:pgSz w:w="12240" w:h="15840"/>
          <w:pgMar w:header="0" w:footer="763" w:top="1340" w:bottom="960" w:left="1320" w:right="1320"/>
        </w:sectPr>
      </w:pPr>
    </w:p>
    <w:p>
      <w:pPr>
        <w:pStyle w:val="Heading2"/>
        <w:numPr>
          <w:ilvl w:val="0"/>
          <w:numId w:val="2"/>
        </w:numPr>
        <w:tabs>
          <w:tab w:pos="365" w:val="left" w:leader="none"/>
        </w:tabs>
        <w:spacing w:line="240" w:lineRule="auto" w:before="34" w:after="0"/>
        <w:ind w:left="124" w:right="343" w:firstLine="0"/>
        <w:jc w:val="left"/>
      </w:pPr>
      <w:r>
        <w:rPr>
          <w:i/>
          <w:u w:val="single"/>
        </w:rPr>
        <w:t>Recognize the State as an economic actor responsible for the actions of enterprises that it </w:t>
      </w:r>
      <w:r>
        <w:rPr>
          <w:u w:val="single"/>
        </w:rPr>
        <w:t>contracts with, owns, or</w:t>
      </w:r>
      <w:r>
        <w:rPr>
          <w:spacing w:val="-1"/>
          <w:u w:val="single"/>
        </w:rPr>
        <w:t> </w:t>
      </w:r>
      <w:r>
        <w:rPr>
          <w:u w:val="single"/>
        </w:rPr>
        <w:t>operates</w:t>
      </w:r>
    </w:p>
    <w:p>
      <w:pPr>
        <w:pStyle w:val="BodyText"/>
        <w:spacing w:before="2"/>
        <w:rPr>
          <w:b/>
          <w:i/>
          <w:sz w:val="19"/>
        </w:rPr>
      </w:pPr>
    </w:p>
    <w:p>
      <w:pPr>
        <w:pStyle w:val="BodyText"/>
        <w:spacing w:line="292" w:lineRule="exact" w:before="53"/>
        <w:ind w:left="124" w:right="285"/>
        <w:rPr>
          <w:sz w:val="16"/>
        </w:rPr>
      </w:pPr>
      <w:r>
        <w:rPr/>
        <w:t>The UNGPs affirms the duty of the State to protect against human rights abuses by business entities. This duty extends to situations where “a commercial ‘nexus’ exists between public actors and businesses, such as when government bodies purchase goods and services through public procurement, and in connection with </w:t>
      </w:r>
      <w:r>
        <w:rPr>
          <w:w w:val="89"/>
        </w:rPr>
        <w:t>‘contracting-­‐out’ </w:t>
      </w:r>
      <w:r>
        <w:rPr/>
        <w:t>and </w:t>
      </w:r>
      <w:r>
        <w:rPr>
          <w:w w:val="99"/>
        </w:rPr>
        <w:t>privatization.”</w:t>
      </w:r>
      <w:r>
        <w:rPr>
          <w:w w:val="99"/>
          <w:position w:val="11"/>
          <w:sz w:val="16"/>
        </w:rPr>
        <w:t>6 </w:t>
      </w:r>
      <w:r>
        <w:rPr/>
        <w:t>Through extensive research into public purchasing laws, policies, and practices, ICAR has found that most States are currently not taking sufficient steps to prevent human rights abuses linked to their purchasing activities.</w:t>
      </w:r>
      <w:r>
        <w:rPr>
          <w:position w:val="11"/>
          <w:sz w:val="16"/>
        </w:rPr>
        <w:t>7</w:t>
      </w:r>
    </w:p>
    <w:p>
      <w:pPr>
        <w:pStyle w:val="BodyText"/>
        <w:spacing w:before="5"/>
      </w:pPr>
    </w:p>
    <w:p>
      <w:pPr>
        <w:pStyle w:val="BodyText"/>
        <w:ind w:left="124" w:right="155"/>
      </w:pPr>
      <w:r>
        <w:rPr/>
        <w:t>In relation to public procurement, there are a number of key gaps in government law, policy, and practice that must be addressed in order for governments to fulfill their duty to protect. Examples of gaps include: (1) the lack of clear legal requirements and policies that explicitly refer or otherwise give adequate effect to the duty to protect human rights in public procurement and (2) the limited scope of human rights protections provided for in the minority of jurisdictions that do contemplate the State duty to protect within public purchasing.</w:t>
      </w:r>
    </w:p>
    <w:p>
      <w:pPr>
        <w:pStyle w:val="BodyText"/>
        <w:spacing w:before="11"/>
        <w:rPr>
          <w:sz w:val="23"/>
        </w:rPr>
      </w:pPr>
    </w:p>
    <w:p>
      <w:pPr>
        <w:pStyle w:val="BodyText"/>
        <w:spacing w:before="1"/>
        <w:ind w:left="124" w:right="376" w:firstLine="54"/>
      </w:pPr>
      <w:r>
        <w:rPr/>
        <w:t>As such, ICAR urges the OEIWG to ensure that the binding instrument requires States to take human rights into consideration when making purchasing decisions, including by requiring contractors to conduct human rights due diligence and to disclose their supply chains. The binding instrument should also require that the scope of protections within procurement practices include all internationally recognized human rights throughout the supply chain.</w:t>
      </w:r>
    </w:p>
    <w:p>
      <w:pPr>
        <w:pStyle w:val="BodyText"/>
        <w:spacing w:before="11"/>
        <w:rPr>
          <w:sz w:val="23"/>
        </w:rPr>
      </w:pPr>
    </w:p>
    <w:p>
      <w:pPr>
        <w:pStyle w:val="Heading2"/>
        <w:numPr>
          <w:ilvl w:val="0"/>
          <w:numId w:val="2"/>
        </w:numPr>
        <w:tabs>
          <w:tab w:pos="365" w:val="left" w:leader="none"/>
        </w:tabs>
        <w:spacing w:line="240" w:lineRule="auto" w:before="1" w:after="0"/>
        <w:ind w:left="124" w:right="434" w:firstLine="0"/>
        <w:jc w:val="left"/>
      </w:pPr>
      <w:r>
        <w:rPr>
          <w:i/>
          <w:u w:val="single"/>
        </w:rPr>
        <w:t>Remove legal and practical barriers that prevent victims from accessing effective judicial </w:t>
      </w:r>
      <w:r>
        <w:rPr>
          <w:u w:val="single"/>
        </w:rPr>
        <w:t>remedies</w:t>
      </w:r>
    </w:p>
    <w:p>
      <w:pPr>
        <w:pStyle w:val="BodyText"/>
        <w:spacing w:before="2"/>
        <w:rPr>
          <w:b/>
          <w:i/>
          <w:sz w:val="19"/>
        </w:rPr>
      </w:pPr>
    </w:p>
    <w:p>
      <w:pPr>
        <w:pStyle w:val="BodyText"/>
        <w:spacing w:line="292" w:lineRule="exact" w:before="53"/>
        <w:ind w:left="124" w:right="221"/>
        <w:rPr>
          <w:sz w:val="16"/>
        </w:rPr>
      </w:pPr>
      <w:r>
        <w:rPr/>
        <w:t>The UNGPs identify access to remedy as one of the three essential pillars of the international business and human rights framework. States cannot fulfill their duty to protect individuals from corporate human rights abuse, and corporations cannot uphold their responsibility to respect human rights, if victims of human rights violations do not have full and effective access to judicial remedies. However, as illustrated in ICAR’s report, </w:t>
      </w:r>
      <w:r>
        <w:rPr>
          <w:i/>
        </w:rPr>
        <w:t>The Third Pillar: Access to Judicial </w:t>
      </w:r>
      <w:r>
        <w:rPr>
          <w:i/>
        </w:rPr>
        <w:t>Remedies for Human Rights Violations by Transnational Business</w:t>
      </w:r>
      <w:r>
        <w:rPr/>
        <w:t>, a multitude of barriers in accessing remedy exist across numerous home State jurisdictions, including the United States, Canada, and major jurisdictions in Europe.</w:t>
      </w:r>
      <w:r>
        <w:rPr>
          <w:position w:val="11"/>
          <w:sz w:val="16"/>
        </w:rPr>
        <w:t>8</w:t>
      </w:r>
    </w:p>
    <w:p>
      <w:pPr>
        <w:pStyle w:val="BodyText"/>
        <w:spacing w:before="5"/>
      </w:pPr>
    </w:p>
    <w:p>
      <w:pPr>
        <w:pStyle w:val="BodyText"/>
        <w:ind w:left="124" w:right="738"/>
      </w:pPr>
      <w:r>
        <w:rPr/>
        <w:t>As such, ICAR reiterated its calls for increased access to judicial remedy in our </w:t>
      </w:r>
      <w:r>
        <w:rPr>
          <w:color w:val="0000FF"/>
          <w:u w:val="single" w:color="0000FF"/>
        </w:rPr>
        <w:t>second </w:t>
      </w:r>
      <w:r>
        <w:rPr/>
        <w:t>and </w:t>
      </w:r>
      <w:r>
        <w:rPr>
          <w:color w:val="0000FF"/>
          <w:u w:val="single" w:color="0000FF"/>
        </w:rPr>
        <w:t>fourth </w:t>
      </w:r>
      <w:r>
        <w:rPr/>
        <w:t>submissions to the OEIWG. Specifically, ICAR urges the OEIWG to design a binding</w:t>
      </w:r>
    </w:p>
    <w:p>
      <w:pPr>
        <w:pStyle w:val="BodyText"/>
        <w:spacing w:before="10"/>
        <w:rPr>
          <w:sz w:val="28"/>
        </w:rPr>
      </w:pPr>
      <w:r>
        <w:rPr/>
        <w:pict>
          <v:line style="position:absolute;mso-position-horizontal-relative:page;mso-position-vertical-relative:paragraph;z-index:1096;mso-wrap-distance-left:0;mso-wrap-distance-right:0" from="72.234299pt,19.817348pt" to="216.234299pt,19.817348pt" stroked="true" strokeweight=".48pt" strokecolor="#000000">
            <w10:wrap type="topAndBottom"/>
          </v:line>
        </w:pict>
      </w:r>
    </w:p>
    <w:p>
      <w:pPr>
        <w:pStyle w:val="ListParagraph"/>
        <w:numPr>
          <w:ilvl w:val="0"/>
          <w:numId w:val="3"/>
        </w:numPr>
        <w:tabs>
          <w:tab w:pos="236" w:val="left" w:leader="none"/>
        </w:tabs>
        <w:spacing w:line="254" w:lineRule="auto" w:before="40" w:after="0"/>
        <w:ind w:left="124" w:right="623" w:firstLine="0"/>
        <w:jc w:val="left"/>
        <w:rPr>
          <w:sz w:val="19"/>
        </w:rPr>
      </w:pPr>
      <w:r>
        <w:rPr>
          <w:sz w:val="19"/>
        </w:rPr>
        <w:t>I</w:t>
      </w:r>
      <w:r>
        <w:rPr>
          <w:sz w:val="16"/>
        </w:rPr>
        <w:t>NTERNATIONAL </w:t>
      </w:r>
      <w:r>
        <w:rPr>
          <w:sz w:val="19"/>
        </w:rPr>
        <w:t>L</w:t>
      </w:r>
      <w:r>
        <w:rPr>
          <w:sz w:val="16"/>
        </w:rPr>
        <w:t>EARNING </w:t>
      </w:r>
      <w:r>
        <w:rPr>
          <w:sz w:val="19"/>
        </w:rPr>
        <w:t>L</w:t>
      </w:r>
      <w:r>
        <w:rPr>
          <w:sz w:val="16"/>
        </w:rPr>
        <w:t>AB ON </w:t>
      </w:r>
      <w:r>
        <w:rPr>
          <w:sz w:val="19"/>
        </w:rPr>
        <w:t>P</w:t>
      </w:r>
      <w:r>
        <w:rPr>
          <w:sz w:val="16"/>
        </w:rPr>
        <w:t>UBLIC </w:t>
      </w:r>
      <w:r>
        <w:rPr>
          <w:sz w:val="19"/>
        </w:rPr>
        <w:t>P</w:t>
      </w:r>
      <w:r>
        <w:rPr>
          <w:sz w:val="16"/>
        </w:rPr>
        <w:t>ROCUREMENT AND </w:t>
      </w:r>
      <w:r>
        <w:rPr>
          <w:sz w:val="19"/>
        </w:rPr>
        <w:t>H</w:t>
      </w:r>
      <w:r>
        <w:rPr>
          <w:sz w:val="16"/>
        </w:rPr>
        <w:t>UMAN </w:t>
      </w:r>
      <w:r>
        <w:rPr>
          <w:sz w:val="19"/>
        </w:rPr>
        <w:t>R</w:t>
      </w:r>
      <w:r>
        <w:rPr>
          <w:sz w:val="16"/>
        </w:rPr>
        <w:t>IGHTS</w:t>
      </w:r>
      <w:r>
        <w:rPr>
          <w:sz w:val="19"/>
        </w:rPr>
        <w:t>, P</w:t>
      </w:r>
      <w:r>
        <w:rPr>
          <w:sz w:val="16"/>
        </w:rPr>
        <w:t>UBLIC </w:t>
      </w:r>
      <w:r>
        <w:rPr>
          <w:sz w:val="19"/>
        </w:rPr>
        <w:t>P</w:t>
      </w:r>
      <w:r>
        <w:rPr>
          <w:sz w:val="16"/>
        </w:rPr>
        <w:t>ROCUREMENT AND </w:t>
      </w:r>
      <w:r>
        <w:rPr>
          <w:sz w:val="19"/>
        </w:rPr>
        <w:t>H</w:t>
      </w:r>
      <w:r>
        <w:rPr>
          <w:sz w:val="16"/>
        </w:rPr>
        <w:t>UMAN </w:t>
      </w:r>
      <w:r>
        <w:rPr>
          <w:sz w:val="19"/>
        </w:rPr>
        <w:t>R</w:t>
      </w:r>
      <w:r>
        <w:rPr>
          <w:sz w:val="16"/>
        </w:rPr>
        <w:t>IGHTS</w:t>
      </w:r>
      <w:r>
        <w:rPr>
          <w:sz w:val="19"/>
        </w:rPr>
        <w:t>: A S</w:t>
      </w:r>
      <w:r>
        <w:rPr>
          <w:sz w:val="16"/>
        </w:rPr>
        <w:t>URVEY OF </w:t>
      </w:r>
      <w:r>
        <w:rPr>
          <w:sz w:val="19"/>
        </w:rPr>
        <w:t>T</w:t>
      </w:r>
      <w:r>
        <w:rPr>
          <w:sz w:val="16"/>
        </w:rPr>
        <w:t>WENTY </w:t>
      </w:r>
      <w:r>
        <w:rPr>
          <w:sz w:val="19"/>
        </w:rPr>
        <w:t>J</w:t>
      </w:r>
      <w:r>
        <w:rPr>
          <w:sz w:val="16"/>
        </w:rPr>
        <w:t>URISDICTIONS</w:t>
      </w:r>
      <w:r>
        <w:rPr>
          <w:spacing w:val="20"/>
          <w:sz w:val="16"/>
        </w:rPr>
        <w:t> </w:t>
      </w:r>
      <w:r>
        <w:rPr>
          <w:sz w:val="19"/>
        </w:rPr>
        <w:t>(2016)</w:t>
      </w:r>
    </w:p>
    <w:p>
      <w:pPr>
        <w:pStyle w:val="ListParagraph"/>
        <w:numPr>
          <w:ilvl w:val="0"/>
          <w:numId w:val="3"/>
        </w:numPr>
        <w:tabs>
          <w:tab w:pos="236" w:val="left" w:leader="none"/>
        </w:tabs>
        <w:spacing w:line="231" w:lineRule="exact" w:before="0" w:after="0"/>
        <w:ind w:left="235" w:right="0" w:hanging="111"/>
        <w:jc w:val="left"/>
        <w:rPr>
          <w:sz w:val="16"/>
        </w:rPr>
      </w:pPr>
      <w:r>
        <w:rPr>
          <w:i/>
          <w:sz w:val="19"/>
        </w:rPr>
        <w:t>Id; </w:t>
      </w:r>
      <w:r>
        <w:rPr>
          <w:sz w:val="19"/>
        </w:rPr>
        <w:t>R</w:t>
      </w:r>
      <w:r>
        <w:rPr>
          <w:sz w:val="16"/>
        </w:rPr>
        <w:t>OBERT </w:t>
      </w:r>
      <w:r>
        <w:rPr>
          <w:sz w:val="19"/>
        </w:rPr>
        <w:t>S</w:t>
      </w:r>
      <w:r>
        <w:rPr>
          <w:sz w:val="16"/>
        </w:rPr>
        <w:t>TUMBERG</w:t>
      </w:r>
      <w:r>
        <w:rPr>
          <w:sz w:val="19"/>
        </w:rPr>
        <w:t>, A</w:t>
      </w:r>
      <w:r>
        <w:rPr>
          <w:sz w:val="16"/>
        </w:rPr>
        <w:t>NITA </w:t>
      </w:r>
      <w:r>
        <w:rPr>
          <w:sz w:val="19"/>
        </w:rPr>
        <w:t>R</w:t>
      </w:r>
      <w:r>
        <w:rPr>
          <w:sz w:val="16"/>
        </w:rPr>
        <w:t>AMASASTRY</w:t>
      </w:r>
      <w:r>
        <w:rPr>
          <w:sz w:val="19"/>
        </w:rPr>
        <w:t>, &amp; M</w:t>
      </w:r>
      <w:r>
        <w:rPr>
          <w:sz w:val="16"/>
        </w:rPr>
        <w:t>EG </w:t>
      </w:r>
      <w:r>
        <w:rPr>
          <w:sz w:val="19"/>
        </w:rPr>
        <w:t>R</w:t>
      </w:r>
      <w:r>
        <w:rPr>
          <w:sz w:val="16"/>
        </w:rPr>
        <w:t>OGGENSACK</w:t>
      </w:r>
      <w:r>
        <w:rPr>
          <w:sz w:val="19"/>
        </w:rPr>
        <w:t>, T</w:t>
      </w:r>
      <w:r>
        <w:rPr>
          <w:sz w:val="16"/>
        </w:rPr>
        <w:t>URNING </w:t>
      </w:r>
      <w:r>
        <w:rPr>
          <w:sz w:val="19"/>
        </w:rPr>
        <w:t>A B</w:t>
      </w:r>
      <w:r>
        <w:rPr>
          <w:sz w:val="16"/>
        </w:rPr>
        <w:t>LIND </w:t>
      </w:r>
      <w:r>
        <w:rPr>
          <w:sz w:val="19"/>
        </w:rPr>
        <w:t>E</w:t>
      </w:r>
      <w:r>
        <w:rPr>
          <w:sz w:val="16"/>
        </w:rPr>
        <w:t>YE</w:t>
      </w:r>
      <w:r>
        <w:rPr>
          <w:sz w:val="19"/>
        </w:rPr>
        <w:t>? R</w:t>
      </w:r>
      <w:r>
        <w:rPr>
          <w:sz w:val="16"/>
        </w:rPr>
        <w:t>ESPECTING </w:t>
      </w:r>
      <w:r>
        <w:rPr>
          <w:sz w:val="19"/>
        </w:rPr>
        <w:t>H</w:t>
      </w:r>
      <w:r>
        <w:rPr>
          <w:sz w:val="16"/>
        </w:rPr>
        <w:t>UMAN </w:t>
      </w:r>
      <w:r>
        <w:rPr>
          <w:sz w:val="19"/>
        </w:rPr>
        <w:t>R</w:t>
      </w:r>
      <w:r>
        <w:rPr>
          <w:sz w:val="16"/>
        </w:rPr>
        <w:t>IGHTS</w:t>
      </w:r>
      <w:r>
        <w:rPr>
          <w:spacing w:val="18"/>
          <w:sz w:val="16"/>
        </w:rPr>
        <w:t> </w:t>
      </w:r>
      <w:r>
        <w:rPr>
          <w:sz w:val="16"/>
        </w:rPr>
        <w:t>IN</w:t>
      </w:r>
    </w:p>
    <w:p>
      <w:pPr>
        <w:spacing w:line="217" w:lineRule="exact" w:before="8"/>
        <w:ind w:left="124" w:right="191" w:firstLine="0"/>
        <w:jc w:val="left"/>
        <w:rPr>
          <w:sz w:val="19"/>
        </w:rPr>
      </w:pPr>
      <w:r>
        <w:rPr>
          <w:sz w:val="19"/>
        </w:rPr>
        <w:t>G</w:t>
      </w:r>
      <w:r>
        <w:rPr>
          <w:sz w:val="16"/>
        </w:rPr>
        <w:t>OVERNMENT </w:t>
      </w:r>
      <w:r>
        <w:rPr>
          <w:sz w:val="19"/>
        </w:rPr>
        <w:t>P</w:t>
      </w:r>
      <w:r>
        <w:rPr>
          <w:sz w:val="16"/>
        </w:rPr>
        <w:t>URCHASING </w:t>
      </w:r>
      <w:r>
        <w:rPr>
          <w:sz w:val="19"/>
        </w:rPr>
        <w:t>(2014).</w:t>
      </w:r>
    </w:p>
    <w:p>
      <w:pPr>
        <w:pStyle w:val="ListParagraph"/>
        <w:numPr>
          <w:ilvl w:val="0"/>
          <w:numId w:val="3"/>
        </w:numPr>
        <w:tabs>
          <w:tab w:pos="236" w:val="left" w:leader="none"/>
        </w:tabs>
        <w:spacing w:line="260" w:lineRule="exact" w:before="0" w:after="0"/>
        <w:ind w:left="235" w:right="0" w:hanging="111"/>
        <w:jc w:val="left"/>
        <w:rPr>
          <w:sz w:val="16"/>
        </w:rPr>
      </w:pPr>
      <w:r>
        <w:rPr>
          <w:sz w:val="19"/>
        </w:rPr>
        <w:t>G</w:t>
      </w:r>
      <w:r>
        <w:rPr>
          <w:sz w:val="16"/>
        </w:rPr>
        <w:t>WYNNE </w:t>
      </w:r>
      <w:r>
        <w:rPr>
          <w:sz w:val="19"/>
        </w:rPr>
        <w:t>S</w:t>
      </w:r>
      <w:r>
        <w:rPr>
          <w:sz w:val="16"/>
        </w:rPr>
        <w:t>KINNER</w:t>
      </w:r>
      <w:r>
        <w:rPr>
          <w:sz w:val="19"/>
        </w:rPr>
        <w:t>, R</w:t>
      </w:r>
      <w:r>
        <w:rPr>
          <w:sz w:val="16"/>
        </w:rPr>
        <w:t>OBERT </w:t>
      </w:r>
      <w:r>
        <w:rPr>
          <w:sz w:val="19"/>
        </w:rPr>
        <w:t>M</w:t>
      </w:r>
      <w:r>
        <w:rPr>
          <w:sz w:val="16"/>
        </w:rPr>
        <w:t>C</w:t>
      </w:r>
      <w:r>
        <w:rPr>
          <w:sz w:val="19"/>
        </w:rPr>
        <w:t>C</w:t>
      </w:r>
      <w:r>
        <w:rPr>
          <w:sz w:val="16"/>
        </w:rPr>
        <w:t>ORQUODALE</w:t>
      </w:r>
      <w:r>
        <w:rPr>
          <w:sz w:val="19"/>
        </w:rPr>
        <w:t>, &amp; O</w:t>
      </w:r>
      <w:r>
        <w:rPr>
          <w:sz w:val="16"/>
        </w:rPr>
        <w:t>LIVIER </w:t>
      </w:r>
      <w:r>
        <w:rPr>
          <w:sz w:val="19"/>
        </w:rPr>
        <w:t>D</w:t>
      </w:r>
      <w:r>
        <w:rPr>
          <w:sz w:val="16"/>
        </w:rPr>
        <w:t>E </w:t>
      </w:r>
      <w:r>
        <w:rPr>
          <w:sz w:val="19"/>
        </w:rPr>
        <w:t>S</w:t>
      </w:r>
      <w:r>
        <w:rPr>
          <w:sz w:val="16"/>
        </w:rPr>
        <w:t>CHUTTER</w:t>
      </w:r>
      <w:r>
        <w:rPr>
          <w:sz w:val="19"/>
        </w:rPr>
        <w:t>, T</w:t>
      </w:r>
      <w:r>
        <w:rPr>
          <w:sz w:val="16"/>
        </w:rPr>
        <w:t>HE </w:t>
      </w:r>
      <w:r>
        <w:rPr>
          <w:sz w:val="19"/>
        </w:rPr>
        <w:t>T</w:t>
      </w:r>
      <w:r>
        <w:rPr>
          <w:sz w:val="16"/>
        </w:rPr>
        <w:t>HIRD </w:t>
      </w:r>
      <w:r>
        <w:rPr>
          <w:sz w:val="19"/>
        </w:rPr>
        <w:t>P</w:t>
      </w:r>
      <w:r>
        <w:rPr>
          <w:sz w:val="16"/>
        </w:rPr>
        <w:t>ILLAR</w:t>
      </w:r>
      <w:r>
        <w:rPr>
          <w:sz w:val="19"/>
        </w:rPr>
        <w:t>: A</w:t>
      </w:r>
      <w:r>
        <w:rPr>
          <w:sz w:val="16"/>
        </w:rPr>
        <w:t>CCESS TO </w:t>
      </w:r>
      <w:r>
        <w:rPr>
          <w:sz w:val="19"/>
        </w:rPr>
        <w:t>J</w:t>
      </w:r>
      <w:r>
        <w:rPr>
          <w:sz w:val="16"/>
        </w:rPr>
        <w:t>UDICIAL </w:t>
      </w:r>
      <w:r>
        <w:rPr>
          <w:sz w:val="19"/>
        </w:rPr>
        <w:t>R</w:t>
      </w:r>
      <w:r>
        <w:rPr>
          <w:sz w:val="16"/>
        </w:rPr>
        <w:t>EMEDIES</w:t>
      </w:r>
      <w:r>
        <w:rPr>
          <w:spacing w:val="8"/>
          <w:sz w:val="16"/>
        </w:rPr>
        <w:t> </w:t>
      </w:r>
      <w:r>
        <w:rPr>
          <w:sz w:val="16"/>
        </w:rPr>
        <w:t>FOR</w:t>
      </w:r>
    </w:p>
    <w:p>
      <w:pPr>
        <w:spacing w:before="13"/>
        <w:ind w:left="124" w:right="191" w:firstLine="0"/>
        <w:jc w:val="left"/>
        <w:rPr>
          <w:sz w:val="19"/>
        </w:rPr>
      </w:pPr>
      <w:r>
        <w:rPr>
          <w:sz w:val="19"/>
        </w:rPr>
        <w:t>H</w:t>
      </w:r>
      <w:r>
        <w:rPr>
          <w:sz w:val="16"/>
        </w:rPr>
        <w:t>UMAN </w:t>
      </w:r>
      <w:r>
        <w:rPr>
          <w:sz w:val="19"/>
        </w:rPr>
        <w:t>R</w:t>
      </w:r>
      <w:r>
        <w:rPr>
          <w:sz w:val="16"/>
        </w:rPr>
        <w:t>IGHTS </w:t>
      </w:r>
      <w:r>
        <w:rPr>
          <w:sz w:val="19"/>
        </w:rPr>
        <w:t>V</w:t>
      </w:r>
      <w:r>
        <w:rPr>
          <w:sz w:val="16"/>
        </w:rPr>
        <w:t>IOLATIONS BY </w:t>
      </w:r>
      <w:r>
        <w:rPr>
          <w:sz w:val="19"/>
        </w:rPr>
        <w:t>T</w:t>
      </w:r>
      <w:r>
        <w:rPr>
          <w:sz w:val="16"/>
        </w:rPr>
        <w:t>RANSNATIONAL </w:t>
      </w:r>
      <w:r>
        <w:rPr>
          <w:sz w:val="19"/>
        </w:rPr>
        <w:t>B</w:t>
      </w:r>
      <w:r>
        <w:rPr>
          <w:sz w:val="16"/>
        </w:rPr>
        <w:t>USINESS </w:t>
      </w:r>
      <w:r>
        <w:rPr>
          <w:sz w:val="19"/>
        </w:rPr>
        <w:t>(2013).</w:t>
      </w:r>
    </w:p>
    <w:p>
      <w:pPr>
        <w:spacing w:after="0"/>
        <w:jc w:val="left"/>
        <w:rPr>
          <w:sz w:val="19"/>
        </w:rPr>
        <w:sectPr>
          <w:pgSz w:w="12240" w:h="15840"/>
          <w:pgMar w:header="0" w:footer="763" w:top="1340" w:bottom="960" w:left="1320" w:right="1320"/>
        </w:sectPr>
      </w:pPr>
    </w:p>
    <w:p>
      <w:pPr>
        <w:pStyle w:val="BodyText"/>
        <w:spacing w:before="34"/>
        <w:ind w:left="124" w:right="173"/>
      </w:pPr>
      <w:r>
        <w:rPr/>
        <w:t>instrument that recognizes the </w:t>
      </w:r>
      <w:r>
        <w:rPr>
          <w:w w:val="85"/>
        </w:rPr>
        <w:t>cross-­‐border </w:t>
      </w:r>
      <w:r>
        <w:rPr/>
        <w:t>nature of business activity in an increasingly global economy and identifies the situations in which States have a legal obligation to apply their laws extraterritorially. ICAR also expects the binding instrument to obligate State parties to develop and enhance existing criminal and civil laws relevant to corporate accountability in the human rights context and to remove or limit practical barriers that prevent victims from bringing and prosecuting a case in their courts.</w:t>
      </w:r>
    </w:p>
    <w:p>
      <w:pPr>
        <w:pStyle w:val="BodyText"/>
        <w:spacing w:before="11"/>
        <w:rPr>
          <w:sz w:val="23"/>
        </w:rPr>
      </w:pPr>
    </w:p>
    <w:p>
      <w:pPr>
        <w:pStyle w:val="Heading2"/>
        <w:numPr>
          <w:ilvl w:val="0"/>
          <w:numId w:val="2"/>
        </w:numPr>
        <w:tabs>
          <w:tab w:pos="365" w:val="left" w:leader="none"/>
        </w:tabs>
        <w:spacing w:line="240" w:lineRule="auto" w:before="1" w:after="0"/>
        <w:ind w:left="124" w:right="837" w:firstLine="0"/>
        <w:jc w:val="left"/>
      </w:pPr>
      <w:r>
        <w:rPr>
          <w:i/>
          <w:u w:val="single"/>
        </w:rPr>
        <w:t>Incorporate clear standards for human rights due diligence and harmonize emerging </w:t>
      </w:r>
      <w:r>
        <w:rPr>
          <w:u w:val="single"/>
        </w:rPr>
        <w:t>international</w:t>
      </w:r>
      <w:r>
        <w:rPr>
          <w:spacing w:val="-8"/>
          <w:u w:val="single"/>
        </w:rPr>
        <w:t> </w:t>
      </w:r>
      <w:r>
        <w:rPr>
          <w:u w:val="single"/>
        </w:rPr>
        <w:t>approaches</w:t>
      </w:r>
    </w:p>
    <w:p>
      <w:pPr>
        <w:pStyle w:val="BodyText"/>
        <w:spacing w:before="2"/>
        <w:rPr>
          <w:b/>
          <w:i/>
          <w:sz w:val="19"/>
        </w:rPr>
      </w:pPr>
    </w:p>
    <w:p>
      <w:pPr>
        <w:pStyle w:val="BodyText"/>
        <w:spacing w:line="235" w:lineRule="auto" w:before="63"/>
        <w:ind w:left="124" w:right="96"/>
        <w:rPr>
          <w:sz w:val="16"/>
        </w:rPr>
      </w:pPr>
      <w:r>
        <w:rPr/>
        <w:t>As reflected in our </w:t>
      </w:r>
      <w:r>
        <w:rPr>
          <w:color w:val="0000FF"/>
          <w:u w:val="single" w:color="0000FF"/>
        </w:rPr>
        <w:t>fifth submission</w:t>
      </w:r>
      <w:r>
        <w:rPr/>
        <w:t>, due diligence requirements are crucial in assessing a business enterprise’s respect for human rights and in identifying, preventing, and mitigating human rights abuse caused by business operations. The implementation of due diligence mechanisms to protect human rights is an emerging trend, and many States have begun to impose legal obligations on business enterprises to detect and prevent harm to workers and the public within business enterprise groups, subsidiaries, agents, and subcontractors.</w:t>
      </w:r>
      <w:r>
        <w:rPr>
          <w:position w:val="11"/>
          <w:sz w:val="16"/>
        </w:rPr>
        <w:t>9</w:t>
      </w:r>
    </w:p>
    <w:p>
      <w:pPr>
        <w:pStyle w:val="BodyText"/>
        <w:spacing w:before="8"/>
        <w:rPr>
          <w:sz w:val="23"/>
        </w:rPr>
      </w:pPr>
    </w:p>
    <w:p>
      <w:pPr>
        <w:pStyle w:val="BodyText"/>
        <w:spacing w:line="292" w:lineRule="exact"/>
        <w:ind w:left="124" w:right="179"/>
        <w:rPr>
          <w:sz w:val="16"/>
        </w:rPr>
      </w:pPr>
      <w:r>
        <w:rPr/>
        <w:t>ICAR continues to urge the OEIWG to ensure policy coherence across State parties by designing a binding instrument that incorporates clear standards for human rights due diligence and that enhances harmonization across international approaches. The instrument should also establish the extraterritorial application of human rights due diligence requirements in order to reach all of the actors that form an enterprise’s value chain. ICAR also continues to stress the need to develop modes of human rights due diligence requirements focused on securities laws, conditioned benefits, and investment, as these are prime subject areas for embedding human rights due diligence principles in State action.</w:t>
      </w:r>
      <w:r>
        <w:rPr>
          <w:position w:val="11"/>
          <w:sz w:val="16"/>
        </w:rPr>
        <w:t>10</w:t>
      </w:r>
    </w:p>
    <w:p>
      <w:pPr>
        <w:pStyle w:val="BodyText"/>
        <w:spacing w:before="5"/>
      </w:pPr>
    </w:p>
    <w:p>
      <w:pPr>
        <w:pStyle w:val="BodyText"/>
        <w:ind w:left="124" w:right="371"/>
      </w:pPr>
      <w:r>
        <w:rPr/>
        <w:t>As constructive deliberations on the content, scope, nature, and form of the future international binding instrument continue, ICAR urges the OIEGW to consider and implement the above recommendations in order to ensure that the development of the instrument is inclusive, transparent, and </w:t>
      </w:r>
      <w:r>
        <w:rPr>
          <w:w w:val="85"/>
        </w:rPr>
        <w:t>rights-­‐based </w:t>
      </w:r>
      <w:r>
        <w:rPr/>
        <w:t>while at the same time providing a framework to effectively prevent and redress </w:t>
      </w:r>
      <w:r>
        <w:rPr>
          <w:w w:val="89"/>
        </w:rPr>
        <w:t>corporate-­‐related </w:t>
      </w:r>
      <w:r>
        <w:rPr/>
        <w:t>human rights  abuses.</w:t>
      </w:r>
    </w:p>
    <w:p>
      <w:pPr>
        <w:pStyle w:val="BodyText"/>
        <w:spacing w:before="11"/>
        <w:rPr>
          <w:sz w:val="23"/>
        </w:rPr>
      </w:pPr>
    </w:p>
    <w:p>
      <w:pPr>
        <w:pStyle w:val="BodyText"/>
        <w:spacing w:before="1"/>
        <w:ind w:left="124" w:right="191"/>
      </w:pPr>
      <w:r>
        <w:rPr/>
        <w:t>Sincerely,</w:t>
      </w:r>
    </w:p>
    <w:p>
      <w:pPr>
        <w:pStyle w:val="BodyText"/>
        <w:ind w:left="124"/>
        <w:rPr>
          <w:sz w:val="20"/>
        </w:rPr>
      </w:pPr>
      <w:r>
        <w:rPr>
          <w:sz w:val="20"/>
        </w:rPr>
        <w:drawing>
          <wp:inline distT="0" distB="0" distL="0" distR="0">
            <wp:extent cx="2360199" cy="608647"/>
            <wp:effectExtent l="0" t="0" r="0" b="0"/>
            <wp:docPr id="3" name="image2.png" descr=""/>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2360199" cy="608647"/>
                    </a:xfrm>
                    <a:prstGeom prst="rect">
                      <a:avLst/>
                    </a:prstGeom>
                  </pic:spPr>
                </pic:pic>
              </a:graphicData>
            </a:graphic>
          </wp:inline>
        </w:drawing>
      </w:r>
      <w:r>
        <w:rPr>
          <w:sz w:val="20"/>
        </w:rPr>
      </w:r>
    </w:p>
    <w:p>
      <w:pPr>
        <w:pStyle w:val="BodyText"/>
        <w:spacing w:before="1"/>
        <w:ind w:left="124" w:right="191"/>
      </w:pPr>
      <w:r>
        <w:rPr/>
        <w:t>Amol Mehra, Esq.</w:t>
      </w:r>
    </w:p>
    <w:p>
      <w:pPr>
        <w:pStyle w:val="BodyText"/>
        <w:ind w:left="124" w:right="2937"/>
      </w:pPr>
      <w:r>
        <w:rPr/>
        <w:t>Director, International Corporate Accountability Roundtable (ICAR) </w:t>
      </w:r>
      <w:hyperlink r:id="rId9">
        <w:r>
          <w:rPr>
            <w:color w:val="0000FF"/>
            <w:u w:val="single" w:color="0000FF"/>
          </w:rPr>
          <w:t>www.icar.ngo</w:t>
        </w:r>
      </w:hyperlink>
    </w:p>
    <w:p>
      <w:pPr>
        <w:pStyle w:val="BodyText"/>
        <w:spacing w:before="3"/>
        <w:rPr>
          <w:sz w:val="18"/>
        </w:rPr>
      </w:pPr>
      <w:r>
        <w:rPr/>
        <w:pict>
          <v:line style="position:absolute;mso-position-horizontal-relative:page;mso-position-vertical-relative:paragraph;z-index:1120;mso-wrap-distance-left:0;mso-wrap-distance-right:0" from="72.234299pt,13.337347pt" to="216.234299pt,13.337347pt" stroked="true" strokeweight=".48pt" strokecolor="#000000">
            <w10:wrap type="topAndBottom"/>
          </v:line>
        </w:pict>
      </w:r>
    </w:p>
    <w:p>
      <w:pPr>
        <w:pStyle w:val="ListParagraph"/>
        <w:numPr>
          <w:ilvl w:val="0"/>
          <w:numId w:val="3"/>
        </w:numPr>
        <w:tabs>
          <w:tab w:pos="236" w:val="left" w:leader="none"/>
        </w:tabs>
        <w:spacing w:line="260" w:lineRule="exact" w:before="40" w:after="0"/>
        <w:ind w:left="235" w:right="0" w:hanging="111"/>
        <w:jc w:val="left"/>
        <w:rPr>
          <w:sz w:val="19"/>
        </w:rPr>
      </w:pPr>
      <w:r>
        <w:rPr>
          <w:i/>
          <w:sz w:val="19"/>
        </w:rPr>
        <w:t>See, e.g., </w:t>
      </w:r>
      <w:r>
        <w:rPr>
          <w:sz w:val="19"/>
        </w:rPr>
        <w:t>O</w:t>
      </w:r>
      <w:r>
        <w:rPr>
          <w:sz w:val="16"/>
        </w:rPr>
        <w:t>LIVIER </w:t>
      </w:r>
      <w:r>
        <w:rPr>
          <w:sz w:val="19"/>
        </w:rPr>
        <w:t>D</w:t>
      </w:r>
      <w:r>
        <w:rPr>
          <w:sz w:val="16"/>
        </w:rPr>
        <w:t>E </w:t>
      </w:r>
      <w:r>
        <w:rPr>
          <w:sz w:val="19"/>
        </w:rPr>
        <w:t>S</w:t>
      </w:r>
      <w:r>
        <w:rPr>
          <w:sz w:val="16"/>
        </w:rPr>
        <w:t>CHUTTER</w:t>
      </w:r>
      <w:r>
        <w:rPr>
          <w:sz w:val="19"/>
        </w:rPr>
        <w:t>, E</w:t>
      </w:r>
      <w:r>
        <w:rPr>
          <w:sz w:val="16"/>
        </w:rPr>
        <w:t>T </w:t>
      </w:r>
      <w:r>
        <w:rPr>
          <w:sz w:val="19"/>
        </w:rPr>
        <w:t>A</w:t>
      </w:r>
      <w:r>
        <w:rPr>
          <w:sz w:val="16"/>
        </w:rPr>
        <w:t>L</w:t>
      </w:r>
      <w:r>
        <w:rPr>
          <w:sz w:val="19"/>
        </w:rPr>
        <w:t>, H</w:t>
      </w:r>
      <w:r>
        <w:rPr>
          <w:sz w:val="16"/>
        </w:rPr>
        <w:t>UMAN </w:t>
      </w:r>
      <w:r>
        <w:rPr>
          <w:sz w:val="19"/>
        </w:rPr>
        <w:t>R</w:t>
      </w:r>
      <w:r>
        <w:rPr>
          <w:sz w:val="16"/>
        </w:rPr>
        <w:t>IGHTS </w:t>
      </w:r>
      <w:r>
        <w:rPr>
          <w:sz w:val="19"/>
        </w:rPr>
        <w:t>D</w:t>
      </w:r>
      <w:r>
        <w:rPr>
          <w:sz w:val="16"/>
        </w:rPr>
        <w:t>UE </w:t>
      </w:r>
      <w:r>
        <w:rPr>
          <w:sz w:val="19"/>
        </w:rPr>
        <w:t>D</w:t>
      </w:r>
      <w:r>
        <w:rPr>
          <w:sz w:val="16"/>
        </w:rPr>
        <w:t>ILIGENCE</w:t>
      </w:r>
      <w:r>
        <w:rPr>
          <w:sz w:val="19"/>
        </w:rPr>
        <w:t>: T</w:t>
      </w:r>
      <w:r>
        <w:rPr>
          <w:sz w:val="16"/>
        </w:rPr>
        <w:t>HE </w:t>
      </w:r>
      <w:r>
        <w:rPr>
          <w:sz w:val="19"/>
        </w:rPr>
        <w:t>R</w:t>
      </w:r>
      <w:r>
        <w:rPr>
          <w:sz w:val="16"/>
        </w:rPr>
        <w:t>OLE OF </w:t>
      </w:r>
      <w:r>
        <w:rPr>
          <w:sz w:val="19"/>
        </w:rPr>
        <w:t>S</w:t>
      </w:r>
      <w:r>
        <w:rPr>
          <w:sz w:val="16"/>
        </w:rPr>
        <w:t>TATES </w:t>
      </w:r>
      <w:r>
        <w:rPr>
          <w:sz w:val="19"/>
        </w:rPr>
        <w:t>50 </w:t>
      </w:r>
      <w:r>
        <w:rPr>
          <w:spacing w:val="38"/>
          <w:sz w:val="19"/>
        </w:rPr>
        <w:t> </w:t>
      </w:r>
      <w:r>
        <w:rPr>
          <w:sz w:val="19"/>
        </w:rPr>
        <w:t>(2012).</w:t>
      </w:r>
    </w:p>
    <w:p>
      <w:pPr>
        <w:spacing w:line="240" w:lineRule="exact" w:before="16"/>
        <w:ind w:left="124" w:right="191" w:firstLine="0"/>
        <w:jc w:val="left"/>
        <w:rPr>
          <w:i/>
          <w:sz w:val="19"/>
        </w:rPr>
      </w:pPr>
      <w:r>
        <w:rPr>
          <w:w w:val="105"/>
          <w:position w:val="10"/>
          <w:sz w:val="13"/>
        </w:rPr>
        <w:t>10</w:t>
      </w:r>
      <w:r>
        <w:rPr>
          <w:spacing w:val="-5"/>
          <w:w w:val="105"/>
          <w:position w:val="10"/>
          <w:sz w:val="13"/>
        </w:rPr>
        <w:t> </w:t>
      </w:r>
      <w:r>
        <w:rPr>
          <w:w w:val="105"/>
          <w:sz w:val="19"/>
        </w:rPr>
        <w:t>For</w:t>
      </w:r>
      <w:r>
        <w:rPr>
          <w:spacing w:val="-18"/>
          <w:w w:val="105"/>
          <w:sz w:val="19"/>
        </w:rPr>
        <w:t> </w:t>
      </w:r>
      <w:r>
        <w:rPr>
          <w:w w:val="105"/>
          <w:sz w:val="19"/>
        </w:rPr>
        <w:t>more</w:t>
      </w:r>
      <w:r>
        <w:rPr>
          <w:spacing w:val="-18"/>
          <w:w w:val="105"/>
          <w:sz w:val="19"/>
        </w:rPr>
        <w:t> </w:t>
      </w:r>
      <w:r>
        <w:rPr>
          <w:w w:val="105"/>
          <w:sz w:val="19"/>
        </w:rPr>
        <w:t>substantial</w:t>
      </w:r>
      <w:r>
        <w:rPr>
          <w:spacing w:val="-18"/>
          <w:w w:val="105"/>
          <w:sz w:val="19"/>
        </w:rPr>
        <w:t> </w:t>
      </w:r>
      <w:r>
        <w:rPr>
          <w:w w:val="105"/>
          <w:sz w:val="19"/>
        </w:rPr>
        <w:t>argumentation</w:t>
      </w:r>
      <w:r>
        <w:rPr>
          <w:spacing w:val="-18"/>
          <w:w w:val="105"/>
          <w:sz w:val="19"/>
        </w:rPr>
        <w:t> </w:t>
      </w:r>
      <w:r>
        <w:rPr>
          <w:w w:val="105"/>
          <w:sz w:val="19"/>
        </w:rPr>
        <w:t>on</w:t>
      </w:r>
      <w:r>
        <w:rPr>
          <w:spacing w:val="-18"/>
          <w:w w:val="105"/>
          <w:sz w:val="19"/>
        </w:rPr>
        <w:t> </w:t>
      </w:r>
      <w:r>
        <w:rPr>
          <w:w w:val="105"/>
          <w:sz w:val="19"/>
        </w:rPr>
        <w:t>this</w:t>
      </w:r>
      <w:r>
        <w:rPr>
          <w:spacing w:val="-18"/>
          <w:w w:val="105"/>
          <w:sz w:val="19"/>
        </w:rPr>
        <w:t> </w:t>
      </w:r>
      <w:r>
        <w:rPr>
          <w:w w:val="105"/>
          <w:sz w:val="19"/>
        </w:rPr>
        <w:t>point,</w:t>
      </w:r>
      <w:r>
        <w:rPr>
          <w:spacing w:val="-18"/>
          <w:w w:val="105"/>
          <w:sz w:val="19"/>
        </w:rPr>
        <w:t> </w:t>
      </w:r>
      <w:r>
        <w:rPr>
          <w:w w:val="105"/>
          <w:sz w:val="19"/>
        </w:rPr>
        <w:t>see</w:t>
      </w:r>
      <w:r>
        <w:rPr>
          <w:spacing w:val="-17"/>
          <w:w w:val="105"/>
          <w:sz w:val="19"/>
        </w:rPr>
        <w:t> </w:t>
      </w:r>
      <w:r>
        <w:rPr>
          <w:w w:val="105"/>
          <w:sz w:val="19"/>
        </w:rPr>
        <w:t>I</w:t>
      </w:r>
      <w:r>
        <w:rPr>
          <w:w w:val="105"/>
          <w:sz w:val="16"/>
        </w:rPr>
        <w:t>NTERNATIONAL</w:t>
      </w:r>
      <w:r>
        <w:rPr>
          <w:spacing w:val="-16"/>
          <w:w w:val="105"/>
          <w:sz w:val="16"/>
        </w:rPr>
        <w:t> </w:t>
      </w:r>
      <w:r>
        <w:rPr>
          <w:w w:val="105"/>
          <w:sz w:val="19"/>
        </w:rPr>
        <w:t>C</w:t>
      </w:r>
      <w:r>
        <w:rPr>
          <w:w w:val="105"/>
          <w:sz w:val="16"/>
        </w:rPr>
        <w:t>ORPORATE</w:t>
      </w:r>
      <w:r>
        <w:rPr>
          <w:spacing w:val="-16"/>
          <w:w w:val="105"/>
          <w:sz w:val="16"/>
        </w:rPr>
        <w:t> </w:t>
      </w:r>
      <w:r>
        <w:rPr>
          <w:w w:val="105"/>
          <w:sz w:val="19"/>
        </w:rPr>
        <w:t>A</w:t>
      </w:r>
      <w:r>
        <w:rPr>
          <w:w w:val="105"/>
          <w:sz w:val="16"/>
        </w:rPr>
        <w:t>CCOUNTABILITY</w:t>
      </w:r>
      <w:r>
        <w:rPr>
          <w:spacing w:val="-16"/>
          <w:w w:val="105"/>
          <w:sz w:val="16"/>
        </w:rPr>
        <w:t> </w:t>
      </w:r>
      <w:r>
        <w:rPr>
          <w:w w:val="105"/>
          <w:sz w:val="19"/>
        </w:rPr>
        <w:t>R</w:t>
      </w:r>
      <w:r>
        <w:rPr>
          <w:w w:val="105"/>
          <w:sz w:val="16"/>
        </w:rPr>
        <w:t>OUNDTABLE</w:t>
      </w:r>
      <w:r>
        <w:rPr>
          <w:w w:val="105"/>
          <w:sz w:val="19"/>
        </w:rPr>
        <w:t>,</w:t>
      </w:r>
      <w:r>
        <w:rPr>
          <w:spacing w:val="-23"/>
          <w:w w:val="105"/>
          <w:sz w:val="19"/>
        </w:rPr>
        <w:t> </w:t>
      </w:r>
      <w:r>
        <w:rPr>
          <w:i/>
          <w:w w:val="105"/>
          <w:sz w:val="19"/>
        </w:rPr>
        <w:t>Fifth </w:t>
      </w:r>
      <w:r>
        <w:rPr>
          <w:i/>
          <w:w w:val="103"/>
          <w:sz w:val="19"/>
        </w:rPr>
        <w:t>Submission by the ICAR to the </w:t>
      </w:r>
      <w:r>
        <w:rPr>
          <w:i/>
          <w:w w:val="86"/>
          <w:sz w:val="19"/>
        </w:rPr>
        <w:t>Open-­‐ended  </w:t>
      </w:r>
      <w:r>
        <w:rPr>
          <w:i/>
          <w:w w:val="103"/>
          <w:sz w:val="19"/>
        </w:rPr>
        <w:t>Intergovernmental Working </w:t>
      </w:r>
      <w:r>
        <w:rPr>
          <w:i/>
          <w:spacing w:val="1"/>
          <w:w w:val="103"/>
          <w:sz w:val="19"/>
        </w:rPr>
        <w:t>Group</w:t>
      </w:r>
      <w:r>
        <w:rPr>
          <w:i/>
          <w:w w:val="103"/>
          <w:sz w:val="19"/>
        </w:rPr>
        <w:t> on Transnational Corporations  </w:t>
      </w:r>
      <w:r>
        <w:rPr>
          <w:i/>
          <w:spacing w:val="31"/>
          <w:w w:val="103"/>
          <w:sz w:val="19"/>
        </w:rPr>
        <w:t> </w:t>
      </w:r>
      <w:r>
        <w:rPr>
          <w:i/>
          <w:w w:val="103"/>
          <w:sz w:val="19"/>
        </w:rPr>
        <w:t>and</w:t>
      </w:r>
    </w:p>
    <w:p>
      <w:pPr>
        <w:spacing w:line="254" w:lineRule="auto" w:before="16"/>
        <w:ind w:left="124" w:right="1052" w:firstLine="0"/>
        <w:jc w:val="left"/>
        <w:rPr>
          <w:sz w:val="19"/>
        </w:rPr>
      </w:pPr>
      <w:r>
        <w:rPr>
          <w:i/>
          <w:spacing w:val="1"/>
          <w:w w:val="103"/>
          <w:sz w:val="19"/>
        </w:rPr>
        <w:t>othe</w:t>
      </w:r>
      <w:r>
        <w:rPr>
          <w:i/>
          <w:w w:val="103"/>
          <w:sz w:val="19"/>
        </w:rPr>
        <w:t>r</w:t>
      </w:r>
      <w:r>
        <w:rPr>
          <w:i/>
          <w:spacing w:val="3"/>
          <w:sz w:val="19"/>
        </w:rPr>
        <w:t> </w:t>
      </w:r>
      <w:r>
        <w:rPr>
          <w:i/>
          <w:spacing w:val="1"/>
          <w:w w:val="103"/>
          <w:sz w:val="19"/>
        </w:rPr>
        <w:t>Bus</w:t>
      </w:r>
      <w:r>
        <w:rPr>
          <w:i/>
          <w:w w:val="103"/>
          <w:sz w:val="19"/>
        </w:rPr>
        <w:t>i</w:t>
      </w:r>
      <w:r>
        <w:rPr>
          <w:i/>
          <w:spacing w:val="1"/>
          <w:w w:val="103"/>
          <w:sz w:val="19"/>
        </w:rPr>
        <w:t>nes</w:t>
      </w:r>
      <w:r>
        <w:rPr>
          <w:i/>
          <w:w w:val="103"/>
          <w:sz w:val="19"/>
        </w:rPr>
        <w:t>s</w:t>
      </w:r>
      <w:r>
        <w:rPr>
          <w:i/>
          <w:spacing w:val="3"/>
          <w:sz w:val="19"/>
        </w:rPr>
        <w:t> </w:t>
      </w:r>
      <w:r>
        <w:rPr>
          <w:i/>
          <w:spacing w:val="1"/>
          <w:w w:val="103"/>
          <w:sz w:val="19"/>
        </w:rPr>
        <w:t>Enterpr</w:t>
      </w:r>
      <w:r>
        <w:rPr>
          <w:i/>
          <w:w w:val="103"/>
          <w:sz w:val="19"/>
        </w:rPr>
        <w:t>i</w:t>
      </w:r>
      <w:r>
        <w:rPr>
          <w:i/>
          <w:spacing w:val="1"/>
          <w:w w:val="103"/>
          <w:sz w:val="19"/>
        </w:rPr>
        <w:t>se</w:t>
      </w:r>
      <w:r>
        <w:rPr>
          <w:i/>
          <w:w w:val="103"/>
          <w:sz w:val="19"/>
        </w:rPr>
        <w:t>s</w:t>
      </w:r>
      <w:r>
        <w:rPr>
          <w:i/>
          <w:spacing w:val="3"/>
          <w:sz w:val="19"/>
        </w:rPr>
        <w:t> </w:t>
      </w:r>
      <w:r>
        <w:rPr>
          <w:i/>
          <w:spacing w:val="2"/>
          <w:w w:val="103"/>
          <w:sz w:val="19"/>
        </w:rPr>
        <w:t>w</w:t>
      </w:r>
      <w:r>
        <w:rPr>
          <w:i/>
          <w:w w:val="103"/>
          <w:sz w:val="19"/>
        </w:rPr>
        <w:t>i</w:t>
      </w:r>
      <w:r>
        <w:rPr>
          <w:i/>
          <w:spacing w:val="1"/>
          <w:w w:val="103"/>
          <w:sz w:val="19"/>
        </w:rPr>
        <w:t>t</w:t>
      </w:r>
      <w:r>
        <w:rPr>
          <w:i/>
          <w:w w:val="103"/>
          <w:sz w:val="19"/>
        </w:rPr>
        <w:t>h</w:t>
      </w:r>
      <w:r>
        <w:rPr>
          <w:i/>
          <w:spacing w:val="3"/>
          <w:sz w:val="19"/>
        </w:rPr>
        <w:t> </w:t>
      </w:r>
      <w:r>
        <w:rPr>
          <w:i/>
          <w:spacing w:val="1"/>
          <w:w w:val="103"/>
          <w:sz w:val="19"/>
        </w:rPr>
        <w:t>Respec</w:t>
      </w:r>
      <w:r>
        <w:rPr>
          <w:i/>
          <w:w w:val="103"/>
          <w:sz w:val="19"/>
        </w:rPr>
        <w:t>t</w:t>
      </w:r>
      <w:r>
        <w:rPr>
          <w:i/>
          <w:spacing w:val="3"/>
          <w:sz w:val="19"/>
        </w:rPr>
        <w:t> </w:t>
      </w:r>
      <w:r>
        <w:rPr>
          <w:i/>
          <w:spacing w:val="1"/>
          <w:w w:val="103"/>
          <w:sz w:val="19"/>
        </w:rPr>
        <w:t>t</w:t>
      </w:r>
      <w:r>
        <w:rPr>
          <w:i/>
          <w:w w:val="103"/>
          <w:sz w:val="19"/>
        </w:rPr>
        <w:t>o</w:t>
      </w:r>
      <w:r>
        <w:rPr>
          <w:i/>
          <w:spacing w:val="3"/>
          <w:sz w:val="19"/>
        </w:rPr>
        <w:t> </w:t>
      </w:r>
      <w:r>
        <w:rPr>
          <w:i/>
          <w:spacing w:val="2"/>
          <w:w w:val="103"/>
          <w:sz w:val="19"/>
        </w:rPr>
        <w:t>H</w:t>
      </w:r>
      <w:r>
        <w:rPr>
          <w:i/>
          <w:spacing w:val="1"/>
          <w:w w:val="103"/>
          <w:sz w:val="19"/>
        </w:rPr>
        <w:t>u</w:t>
      </w:r>
      <w:r>
        <w:rPr>
          <w:i/>
          <w:spacing w:val="2"/>
          <w:w w:val="103"/>
          <w:sz w:val="19"/>
        </w:rPr>
        <w:t>m</w:t>
      </w:r>
      <w:r>
        <w:rPr>
          <w:i/>
          <w:spacing w:val="1"/>
          <w:w w:val="103"/>
          <w:sz w:val="19"/>
        </w:rPr>
        <w:t>a</w:t>
      </w:r>
      <w:r>
        <w:rPr>
          <w:i/>
          <w:w w:val="103"/>
          <w:sz w:val="19"/>
        </w:rPr>
        <w:t>n</w:t>
      </w:r>
      <w:r>
        <w:rPr>
          <w:i/>
          <w:spacing w:val="3"/>
          <w:sz w:val="19"/>
        </w:rPr>
        <w:t> </w:t>
      </w:r>
      <w:r>
        <w:rPr>
          <w:i/>
          <w:spacing w:val="1"/>
          <w:w w:val="103"/>
          <w:sz w:val="19"/>
        </w:rPr>
        <w:t>R</w:t>
      </w:r>
      <w:r>
        <w:rPr>
          <w:i/>
          <w:w w:val="103"/>
          <w:sz w:val="19"/>
        </w:rPr>
        <w:t>i</w:t>
      </w:r>
      <w:r>
        <w:rPr>
          <w:i/>
          <w:spacing w:val="1"/>
          <w:w w:val="103"/>
          <w:sz w:val="19"/>
        </w:rPr>
        <w:t>ght</w:t>
      </w:r>
      <w:r>
        <w:rPr>
          <w:i/>
          <w:w w:val="103"/>
          <w:sz w:val="19"/>
        </w:rPr>
        <w:t>s</w:t>
      </w:r>
      <w:r>
        <w:rPr>
          <w:i/>
          <w:spacing w:val="3"/>
          <w:sz w:val="19"/>
        </w:rPr>
        <w:t> </w:t>
      </w:r>
      <w:r>
        <w:rPr>
          <w:w w:val="103"/>
          <w:sz w:val="19"/>
        </w:rPr>
        <w:t>(J</w:t>
      </w:r>
      <w:r>
        <w:rPr>
          <w:spacing w:val="1"/>
          <w:w w:val="103"/>
          <w:sz w:val="19"/>
        </w:rPr>
        <w:t>un</w:t>
      </w:r>
      <w:r>
        <w:rPr>
          <w:w w:val="103"/>
          <w:sz w:val="19"/>
        </w:rPr>
        <w:t>e</w:t>
      </w:r>
      <w:r>
        <w:rPr>
          <w:spacing w:val="3"/>
          <w:sz w:val="19"/>
        </w:rPr>
        <w:t> </w:t>
      </w:r>
      <w:r>
        <w:rPr>
          <w:spacing w:val="1"/>
          <w:w w:val="103"/>
          <w:sz w:val="19"/>
        </w:rPr>
        <w:t>30</w:t>
      </w:r>
      <w:r>
        <w:rPr>
          <w:w w:val="103"/>
          <w:sz w:val="19"/>
        </w:rPr>
        <w:t>,</w:t>
      </w:r>
      <w:r>
        <w:rPr>
          <w:spacing w:val="3"/>
          <w:sz w:val="19"/>
        </w:rPr>
        <w:t> </w:t>
      </w:r>
      <w:r>
        <w:rPr>
          <w:spacing w:val="1"/>
          <w:w w:val="103"/>
          <w:sz w:val="19"/>
        </w:rPr>
        <w:t>2015</w:t>
      </w:r>
      <w:r>
        <w:rPr>
          <w:w w:val="103"/>
          <w:sz w:val="19"/>
        </w:rPr>
        <w:t>),</w:t>
      </w:r>
      <w:r>
        <w:rPr>
          <w:spacing w:val="2"/>
          <w:sz w:val="19"/>
        </w:rPr>
        <w:t> </w:t>
      </w:r>
      <w:hyperlink r:id="rId10">
        <w:r>
          <w:rPr>
            <w:spacing w:val="1"/>
            <w:w w:val="103"/>
            <w:sz w:val="19"/>
          </w:rPr>
          <w:t>http</w:t>
        </w:r>
        <w:r>
          <w:rPr>
            <w:w w:val="103"/>
            <w:sz w:val="19"/>
          </w:rPr>
          <w:t>:</w:t>
        </w:r>
        <w:r>
          <w:rPr>
            <w:spacing w:val="1"/>
            <w:w w:val="103"/>
            <w:sz w:val="19"/>
          </w:rPr>
          <w:t>//</w:t>
        </w:r>
        <w:r>
          <w:rPr>
            <w:w w:val="103"/>
            <w:sz w:val="19"/>
          </w:rPr>
          <w:t>i</w:t>
        </w:r>
        <w:r>
          <w:rPr>
            <w:spacing w:val="1"/>
            <w:w w:val="103"/>
            <w:sz w:val="19"/>
          </w:rPr>
          <w:t>car</w:t>
        </w:r>
        <w:r>
          <w:rPr>
            <w:w w:val="103"/>
            <w:sz w:val="19"/>
          </w:rPr>
          <w:t>.</w:t>
        </w:r>
        <w:r>
          <w:rPr>
            <w:spacing w:val="1"/>
            <w:w w:val="103"/>
            <w:sz w:val="19"/>
          </w:rPr>
          <w:t>ngo/</w:t>
        </w:r>
        <w:r>
          <w:rPr>
            <w:spacing w:val="2"/>
            <w:w w:val="103"/>
            <w:sz w:val="19"/>
          </w:rPr>
          <w:t>w</w:t>
        </w:r>
        <w:r>
          <w:rPr>
            <w:spacing w:val="1"/>
            <w:w w:val="103"/>
            <w:sz w:val="19"/>
          </w:rPr>
          <w:t>p</w:t>
        </w:r>
        <w:r>
          <w:rPr>
            <w:w w:val="34"/>
            <w:sz w:val="19"/>
          </w:rPr>
          <w:t>-­‐</w:t>
        </w:r>
      </w:hyperlink>
      <w:r>
        <w:rPr>
          <w:w w:val="34"/>
          <w:sz w:val="19"/>
        </w:rPr>
        <w:t> </w:t>
      </w:r>
      <w:r>
        <w:rPr>
          <w:spacing w:val="1"/>
          <w:w w:val="103"/>
          <w:sz w:val="19"/>
        </w:rPr>
        <w:t>content/up</w:t>
      </w:r>
      <w:r>
        <w:rPr>
          <w:w w:val="103"/>
          <w:sz w:val="19"/>
        </w:rPr>
        <w:t>l</w:t>
      </w:r>
      <w:r>
        <w:rPr>
          <w:spacing w:val="1"/>
          <w:w w:val="103"/>
          <w:sz w:val="19"/>
        </w:rPr>
        <w:t>oads/2015/06/</w:t>
      </w:r>
      <w:r>
        <w:rPr>
          <w:w w:val="103"/>
          <w:sz w:val="19"/>
        </w:rPr>
        <w:t>I</w:t>
      </w:r>
      <w:r>
        <w:rPr>
          <w:spacing w:val="1"/>
          <w:w w:val="103"/>
          <w:sz w:val="19"/>
        </w:rPr>
        <w:t>G</w:t>
      </w:r>
      <w:r>
        <w:rPr>
          <w:spacing w:val="2"/>
          <w:w w:val="103"/>
          <w:sz w:val="19"/>
        </w:rPr>
        <w:t>WG</w:t>
      </w:r>
      <w:r>
        <w:rPr>
          <w:w w:val="34"/>
          <w:sz w:val="19"/>
        </w:rPr>
        <w:t>-­‐</w:t>
      </w:r>
      <w:r>
        <w:rPr>
          <w:spacing w:val="1"/>
          <w:w w:val="103"/>
          <w:sz w:val="19"/>
        </w:rPr>
        <w:t>Sub</w:t>
      </w:r>
      <w:r>
        <w:rPr>
          <w:spacing w:val="2"/>
          <w:w w:val="103"/>
          <w:sz w:val="19"/>
        </w:rPr>
        <w:t>m</w:t>
      </w:r>
      <w:r>
        <w:rPr>
          <w:w w:val="103"/>
          <w:sz w:val="19"/>
        </w:rPr>
        <w:t>i</w:t>
      </w:r>
      <w:r>
        <w:rPr>
          <w:spacing w:val="1"/>
          <w:w w:val="103"/>
          <w:sz w:val="19"/>
        </w:rPr>
        <w:t>ss</w:t>
      </w:r>
      <w:r>
        <w:rPr>
          <w:w w:val="103"/>
          <w:sz w:val="19"/>
        </w:rPr>
        <w:t>i</w:t>
      </w:r>
      <w:r>
        <w:rPr>
          <w:spacing w:val="1"/>
          <w:w w:val="103"/>
          <w:sz w:val="19"/>
        </w:rPr>
        <w:t>on</w:t>
      </w:r>
      <w:r>
        <w:rPr>
          <w:w w:val="34"/>
          <w:sz w:val="19"/>
        </w:rPr>
        <w:t>-­‐</w:t>
      </w:r>
      <w:r>
        <w:rPr>
          <w:spacing w:val="1"/>
          <w:w w:val="103"/>
          <w:sz w:val="19"/>
        </w:rPr>
        <w:t>5</w:t>
      </w:r>
      <w:r>
        <w:rPr>
          <w:w w:val="34"/>
          <w:sz w:val="19"/>
        </w:rPr>
        <w:t>-­‐</w:t>
      </w:r>
      <w:r>
        <w:rPr>
          <w:w w:val="103"/>
          <w:sz w:val="19"/>
        </w:rPr>
        <w:t>I</w:t>
      </w:r>
      <w:r>
        <w:rPr>
          <w:spacing w:val="1"/>
          <w:w w:val="103"/>
          <w:sz w:val="19"/>
        </w:rPr>
        <w:t>nternat</w:t>
      </w:r>
      <w:r>
        <w:rPr>
          <w:w w:val="103"/>
          <w:sz w:val="19"/>
        </w:rPr>
        <w:t>i</w:t>
      </w:r>
      <w:r>
        <w:rPr>
          <w:spacing w:val="1"/>
          <w:w w:val="103"/>
          <w:sz w:val="19"/>
        </w:rPr>
        <w:t>ona</w:t>
      </w:r>
      <w:r>
        <w:rPr>
          <w:w w:val="103"/>
          <w:sz w:val="19"/>
        </w:rPr>
        <w:t>l</w:t>
      </w:r>
      <w:r>
        <w:rPr>
          <w:w w:val="34"/>
          <w:sz w:val="19"/>
        </w:rPr>
        <w:t>-­‐</w:t>
      </w:r>
      <w:r>
        <w:rPr>
          <w:spacing w:val="1"/>
          <w:w w:val="103"/>
          <w:sz w:val="19"/>
        </w:rPr>
        <w:t>Corporate</w:t>
      </w:r>
      <w:r>
        <w:rPr>
          <w:w w:val="34"/>
          <w:sz w:val="19"/>
        </w:rPr>
        <w:t>-­</w:t>
      </w:r>
      <w:r>
        <w:rPr>
          <w:spacing w:val="1"/>
          <w:w w:val="34"/>
          <w:sz w:val="19"/>
        </w:rPr>
        <w:t>‐</w:t>
      </w:r>
      <w:r>
        <w:rPr>
          <w:spacing w:val="1"/>
          <w:w w:val="103"/>
          <w:sz w:val="19"/>
        </w:rPr>
        <w:t>Accoun</w:t>
      </w:r>
      <w:r>
        <w:rPr>
          <w:w w:val="103"/>
          <w:sz w:val="19"/>
        </w:rPr>
        <w:t>t</w:t>
      </w:r>
      <w:r>
        <w:rPr>
          <w:spacing w:val="1"/>
          <w:w w:val="103"/>
          <w:sz w:val="19"/>
        </w:rPr>
        <w:t>ab</w:t>
      </w:r>
      <w:r>
        <w:rPr>
          <w:w w:val="103"/>
          <w:sz w:val="19"/>
        </w:rPr>
        <w:t>ili</w:t>
      </w:r>
      <w:r>
        <w:rPr>
          <w:spacing w:val="1"/>
          <w:w w:val="103"/>
          <w:sz w:val="19"/>
        </w:rPr>
        <w:t>ty</w:t>
      </w:r>
      <w:r>
        <w:rPr>
          <w:w w:val="34"/>
          <w:sz w:val="19"/>
        </w:rPr>
        <w:t>-­‐</w:t>
      </w:r>
      <w:r>
        <w:rPr>
          <w:spacing w:val="1"/>
          <w:w w:val="103"/>
          <w:sz w:val="19"/>
        </w:rPr>
        <w:t>Round</w:t>
      </w:r>
      <w:r>
        <w:rPr>
          <w:w w:val="103"/>
          <w:sz w:val="19"/>
        </w:rPr>
        <w:t>t</w:t>
      </w:r>
      <w:r>
        <w:rPr>
          <w:spacing w:val="1"/>
          <w:w w:val="103"/>
          <w:sz w:val="19"/>
        </w:rPr>
        <w:t>ab</w:t>
      </w:r>
      <w:r>
        <w:rPr>
          <w:w w:val="103"/>
          <w:sz w:val="19"/>
        </w:rPr>
        <w:t>l</w:t>
      </w:r>
      <w:r>
        <w:rPr>
          <w:spacing w:val="1"/>
          <w:w w:val="103"/>
          <w:sz w:val="19"/>
        </w:rPr>
        <w:t>e</w:t>
      </w:r>
      <w:r>
        <w:rPr>
          <w:w w:val="103"/>
          <w:sz w:val="19"/>
        </w:rPr>
        <w:t>.</w:t>
      </w:r>
      <w:r>
        <w:rPr>
          <w:spacing w:val="1"/>
          <w:w w:val="103"/>
          <w:sz w:val="19"/>
        </w:rPr>
        <w:t>pdf</w:t>
      </w:r>
      <w:r>
        <w:rPr>
          <w:w w:val="103"/>
          <w:sz w:val="19"/>
        </w:rPr>
        <w:t>.</w:t>
      </w:r>
    </w:p>
    <w:sectPr>
      <w:pgSz w:w="12240" w:h="15840"/>
      <w:pgMar w:header="0" w:footer="763" w:top="1340" w:bottom="96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Cambria">
    <w:altName w:val="Cambria"/>
    <w:charset w:val="0"/>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31.514221pt;margin-top:742.868347pt;width:10.65pt;height:14pt;mso-position-horizontal-relative:page;mso-position-vertical-relative:page;z-index:-5224" type="#_x0000_t202" filled="false" stroked="false">
          <v:textbox inset="0,0,0,0">
            <w:txbxContent>
              <w:p>
                <w:pPr>
                  <w:pStyle w:val="BodyText"/>
                  <w:spacing w:line="268" w:lineRule="exact"/>
                  <w:ind w:left="40"/>
                  <w:rPr>
                    <w:rFonts w:ascii="Cambria"/>
                  </w:rPr>
                </w:pPr>
                <w:r>
                  <w:rPr/>
                  <w:fldChar w:fldCharType="begin"/>
                </w:r>
                <w:r>
                  <w:rPr>
                    <w:rFonts w:ascii="Cambria"/>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6"/>
      <w:numFmt w:val="decimal"/>
      <w:lvlText w:val="%1"/>
      <w:lvlJc w:val="left"/>
      <w:pPr>
        <w:ind w:left="124" w:hanging="112"/>
        <w:jc w:val="left"/>
      </w:pPr>
      <w:rPr>
        <w:rFonts w:hint="default" w:ascii="Calibri" w:hAnsi="Calibri" w:eastAsia="Calibri" w:cs="Calibri"/>
        <w:w w:val="99"/>
        <w:position w:val="10"/>
        <w:sz w:val="13"/>
        <w:szCs w:val="13"/>
      </w:rPr>
    </w:lvl>
    <w:lvl w:ilvl="1">
      <w:start w:val="1"/>
      <w:numFmt w:val="bullet"/>
      <w:lvlText w:val="•"/>
      <w:lvlJc w:val="left"/>
      <w:pPr>
        <w:ind w:left="1068" w:hanging="112"/>
      </w:pPr>
      <w:rPr>
        <w:rFonts w:hint="default"/>
      </w:rPr>
    </w:lvl>
    <w:lvl w:ilvl="2">
      <w:start w:val="1"/>
      <w:numFmt w:val="bullet"/>
      <w:lvlText w:val="•"/>
      <w:lvlJc w:val="left"/>
      <w:pPr>
        <w:ind w:left="2016" w:hanging="112"/>
      </w:pPr>
      <w:rPr>
        <w:rFonts w:hint="default"/>
      </w:rPr>
    </w:lvl>
    <w:lvl w:ilvl="3">
      <w:start w:val="1"/>
      <w:numFmt w:val="bullet"/>
      <w:lvlText w:val="•"/>
      <w:lvlJc w:val="left"/>
      <w:pPr>
        <w:ind w:left="2964" w:hanging="112"/>
      </w:pPr>
      <w:rPr>
        <w:rFonts w:hint="default"/>
      </w:rPr>
    </w:lvl>
    <w:lvl w:ilvl="4">
      <w:start w:val="1"/>
      <w:numFmt w:val="bullet"/>
      <w:lvlText w:val="•"/>
      <w:lvlJc w:val="left"/>
      <w:pPr>
        <w:ind w:left="3912" w:hanging="112"/>
      </w:pPr>
      <w:rPr>
        <w:rFonts w:hint="default"/>
      </w:rPr>
    </w:lvl>
    <w:lvl w:ilvl="5">
      <w:start w:val="1"/>
      <w:numFmt w:val="bullet"/>
      <w:lvlText w:val="•"/>
      <w:lvlJc w:val="left"/>
      <w:pPr>
        <w:ind w:left="4860" w:hanging="112"/>
      </w:pPr>
      <w:rPr>
        <w:rFonts w:hint="default"/>
      </w:rPr>
    </w:lvl>
    <w:lvl w:ilvl="6">
      <w:start w:val="1"/>
      <w:numFmt w:val="bullet"/>
      <w:lvlText w:val="•"/>
      <w:lvlJc w:val="left"/>
      <w:pPr>
        <w:ind w:left="5808" w:hanging="112"/>
      </w:pPr>
      <w:rPr>
        <w:rFonts w:hint="default"/>
      </w:rPr>
    </w:lvl>
    <w:lvl w:ilvl="7">
      <w:start w:val="1"/>
      <w:numFmt w:val="bullet"/>
      <w:lvlText w:val="•"/>
      <w:lvlJc w:val="left"/>
      <w:pPr>
        <w:ind w:left="6756" w:hanging="112"/>
      </w:pPr>
      <w:rPr>
        <w:rFonts w:hint="default"/>
      </w:rPr>
    </w:lvl>
    <w:lvl w:ilvl="8">
      <w:start w:val="1"/>
      <w:numFmt w:val="bullet"/>
      <w:lvlText w:val="•"/>
      <w:lvlJc w:val="left"/>
      <w:pPr>
        <w:ind w:left="7704" w:hanging="112"/>
      </w:pPr>
      <w:rPr>
        <w:rFonts w:hint="default"/>
      </w:rPr>
    </w:lvl>
  </w:abstractNum>
  <w:abstractNum w:abstractNumId="1">
    <w:multiLevelType w:val="hybridMultilevel"/>
    <w:lvl w:ilvl="0">
      <w:start w:val="3"/>
      <w:numFmt w:val="decimal"/>
      <w:lvlText w:val="%1."/>
      <w:lvlJc w:val="left"/>
      <w:pPr>
        <w:ind w:left="124" w:hanging="240"/>
        <w:jc w:val="left"/>
      </w:pPr>
      <w:rPr>
        <w:rFonts w:hint="default"/>
        <w:spacing w:val="-1"/>
        <w:w w:val="33"/>
        <w:u w:val="single" w:color="000000"/>
      </w:rPr>
    </w:lvl>
    <w:lvl w:ilvl="1">
      <w:start w:val="1"/>
      <w:numFmt w:val="bullet"/>
      <w:lvlText w:val=""/>
      <w:lvlJc w:val="left"/>
      <w:pPr>
        <w:ind w:left="1204" w:hanging="360"/>
      </w:pPr>
      <w:rPr>
        <w:rFonts w:hint="default" w:ascii="Symbol" w:hAnsi="Symbol" w:eastAsia="Symbol" w:cs="Symbol"/>
        <w:w w:val="100"/>
      </w:rPr>
    </w:lvl>
    <w:lvl w:ilvl="2">
      <w:start w:val="1"/>
      <w:numFmt w:val="bullet"/>
      <w:lvlText w:val="•"/>
      <w:lvlJc w:val="left"/>
      <w:pPr>
        <w:ind w:left="2133" w:hanging="360"/>
      </w:pPr>
      <w:rPr>
        <w:rFonts w:hint="default"/>
      </w:rPr>
    </w:lvl>
    <w:lvl w:ilvl="3">
      <w:start w:val="1"/>
      <w:numFmt w:val="bullet"/>
      <w:lvlText w:val="•"/>
      <w:lvlJc w:val="left"/>
      <w:pPr>
        <w:ind w:left="3066" w:hanging="360"/>
      </w:pPr>
      <w:rPr>
        <w:rFonts w:hint="default"/>
      </w:rPr>
    </w:lvl>
    <w:lvl w:ilvl="4">
      <w:start w:val="1"/>
      <w:numFmt w:val="bullet"/>
      <w:lvlText w:val="•"/>
      <w:lvlJc w:val="left"/>
      <w:pPr>
        <w:ind w:left="4000" w:hanging="360"/>
      </w:pPr>
      <w:rPr>
        <w:rFonts w:hint="default"/>
      </w:rPr>
    </w:lvl>
    <w:lvl w:ilvl="5">
      <w:start w:val="1"/>
      <w:numFmt w:val="bullet"/>
      <w:lvlText w:val="•"/>
      <w:lvlJc w:val="left"/>
      <w:pPr>
        <w:ind w:left="4933" w:hanging="360"/>
      </w:pPr>
      <w:rPr>
        <w:rFonts w:hint="default"/>
      </w:rPr>
    </w:lvl>
    <w:lvl w:ilvl="6">
      <w:start w:val="1"/>
      <w:numFmt w:val="bullet"/>
      <w:lvlText w:val="•"/>
      <w:lvlJc w:val="left"/>
      <w:pPr>
        <w:ind w:left="5866" w:hanging="360"/>
      </w:pPr>
      <w:rPr>
        <w:rFonts w:hint="default"/>
      </w:rPr>
    </w:lvl>
    <w:lvl w:ilvl="7">
      <w:start w:val="1"/>
      <w:numFmt w:val="bullet"/>
      <w:lvlText w:val="•"/>
      <w:lvlJc w:val="left"/>
      <w:pPr>
        <w:ind w:left="6800" w:hanging="360"/>
      </w:pPr>
      <w:rPr>
        <w:rFonts w:hint="default"/>
      </w:rPr>
    </w:lvl>
    <w:lvl w:ilvl="8">
      <w:start w:val="1"/>
      <w:numFmt w:val="bullet"/>
      <w:lvlText w:val="•"/>
      <w:lvlJc w:val="left"/>
      <w:pPr>
        <w:ind w:left="7733" w:hanging="360"/>
      </w:pPr>
      <w:rPr>
        <w:rFonts w:hint="default"/>
      </w:rPr>
    </w:lvl>
  </w:abstractNum>
  <w:abstractNum w:abstractNumId="0">
    <w:multiLevelType w:val="hybridMultilevel"/>
    <w:lvl w:ilvl="0">
      <w:start w:val="1"/>
      <w:numFmt w:val="decimal"/>
      <w:lvlText w:val="%1."/>
      <w:lvlJc w:val="left"/>
      <w:pPr>
        <w:ind w:left="104" w:hanging="240"/>
        <w:jc w:val="left"/>
      </w:pPr>
      <w:rPr>
        <w:rFonts w:hint="default"/>
        <w:spacing w:val="-1"/>
        <w:u w:val="single" w:color="000000"/>
      </w:rPr>
    </w:lvl>
    <w:lvl w:ilvl="1">
      <w:start w:val="1"/>
      <w:numFmt w:val="bullet"/>
      <w:lvlText w:val="•"/>
      <w:lvlJc w:val="left"/>
      <w:pPr>
        <w:ind w:left="1048" w:hanging="240"/>
      </w:pPr>
      <w:rPr>
        <w:rFonts w:hint="default"/>
      </w:rPr>
    </w:lvl>
    <w:lvl w:ilvl="2">
      <w:start w:val="1"/>
      <w:numFmt w:val="bullet"/>
      <w:lvlText w:val="•"/>
      <w:lvlJc w:val="left"/>
      <w:pPr>
        <w:ind w:left="1996" w:hanging="240"/>
      </w:pPr>
      <w:rPr>
        <w:rFonts w:hint="default"/>
      </w:rPr>
    </w:lvl>
    <w:lvl w:ilvl="3">
      <w:start w:val="1"/>
      <w:numFmt w:val="bullet"/>
      <w:lvlText w:val="•"/>
      <w:lvlJc w:val="left"/>
      <w:pPr>
        <w:ind w:left="2944" w:hanging="240"/>
      </w:pPr>
      <w:rPr>
        <w:rFonts w:hint="default"/>
      </w:rPr>
    </w:lvl>
    <w:lvl w:ilvl="4">
      <w:start w:val="1"/>
      <w:numFmt w:val="bullet"/>
      <w:lvlText w:val="•"/>
      <w:lvlJc w:val="left"/>
      <w:pPr>
        <w:ind w:left="3892" w:hanging="240"/>
      </w:pPr>
      <w:rPr>
        <w:rFonts w:hint="default"/>
      </w:rPr>
    </w:lvl>
    <w:lvl w:ilvl="5">
      <w:start w:val="1"/>
      <w:numFmt w:val="bullet"/>
      <w:lvlText w:val="•"/>
      <w:lvlJc w:val="left"/>
      <w:pPr>
        <w:ind w:left="4840" w:hanging="240"/>
      </w:pPr>
      <w:rPr>
        <w:rFonts w:hint="default"/>
      </w:rPr>
    </w:lvl>
    <w:lvl w:ilvl="6">
      <w:start w:val="1"/>
      <w:numFmt w:val="bullet"/>
      <w:lvlText w:val="•"/>
      <w:lvlJc w:val="left"/>
      <w:pPr>
        <w:ind w:left="5788" w:hanging="240"/>
      </w:pPr>
      <w:rPr>
        <w:rFonts w:hint="default"/>
      </w:rPr>
    </w:lvl>
    <w:lvl w:ilvl="7">
      <w:start w:val="1"/>
      <w:numFmt w:val="bullet"/>
      <w:lvlText w:val="•"/>
      <w:lvlJc w:val="left"/>
      <w:pPr>
        <w:ind w:left="6736" w:hanging="240"/>
      </w:pPr>
      <w:rPr>
        <w:rFonts w:hint="default"/>
      </w:rPr>
    </w:lvl>
    <w:lvl w:ilvl="8">
      <w:start w:val="1"/>
      <w:numFmt w:val="bullet"/>
      <w:lvlText w:val="•"/>
      <w:lvlJc w:val="left"/>
      <w:pPr>
        <w:ind w:left="7684" w:hanging="240"/>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4"/>
      <w:szCs w:val="24"/>
    </w:rPr>
  </w:style>
  <w:style w:styleId="Heading1" w:type="paragraph">
    <w:name w:val="Heading 1"/>
    <w:basedOn w:val="Normal"/>
    <w:uiPriority w:val="1"/>
    <w:qFormat/>
    <w:pPr>
      <w:ind w:left="484" w:right="191"/>
      <w:outlineLvl w:val="1"/>
    </w:pPr>
    <w:rPr>
      <w:rFonts w:ascii="Calibri" w:hAnsi="Calibri" w:eastAsia="Calibri" w:cs="Calibri"/>
      <w:b/>
      <w:bCs/>
      <w:sz w:val="24"/>
      <w:szCs w:val="24"/>
    </w:rPr>
  </w:style>
  <w:style w:styleId="Heading2" w:type="paragraph">
    <w:name w:val="Heading 2"/>
    <w:basedOn w:val="Normal"/>
    <w:uiPriority w:val="1"/>
    <w:qFormat/>
    <w:pPr>
      <w:spacing w:before="1"/>
      <w:ind w:left="124"/>
      <w:outlineLvl w:val="2"/>
    </w:pPr>
    <w:rPr>
      <w:rFonts w:ascii="Calibri" w:hAnsi="Calibri" w:eastAsia="Calibri" w:cs="Calibri"/>
      <w:b/>
      <w:bCs/>
      <w:i/>
      <w:sz w:val="24"/>
      <w:szCs w:val="24"/>
    </w:rPr>
  </w:style>
  <w:style w:styleId="ListParagraph" w:type="paragraph">
    <w:name w:val="List Paragraph"/>
    <w:basedOn w:val="Normal"/>
    <w:uiPriority w:val="1"/>
    <w:qFormat/>
    <w:pPr>
      <w:ind w:left="124"/>
    </w:pPr>
    <w:rPr>
      <w:rFonts w:ascii="Calibri" w:hAnsi="Calibri" w:eastAsia="Calibri" w:cs="Calibri"/>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theme" Target="theme/theme1.xml"/><Relationship Id="rId7" Type="http://schemas.openxmlformats.org/officeDocument/2006/relationships/hyperlink" Target="http://www.ohchr.org/EN/HRBodies/HRC/WGTransCorp/Session1/Pages/Statements.aspx" TargetMode="External"/><Relationship Id="rId12"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numbering" Target="numbering.xml"/><Relationship Id="rId5" Type="http://schemas.openxmlformats.org/officeDocument/2006/relationships/footer" Target="footer1.xml"/><Relationship Id="rId10" Type="http://schemas.openxmlformats.org/officeDocument/2006/relationships/hyperlink" Target="http://icar.ngo/wp-" TargetMode="External"/><Relationship Id="rId4" Type="http://schemas.openxmlformats.org/officeDocument/2006/relationships/settings" Target="settings.xml"/><Relationship Id="rId9" Type="http://schemas.openxmlformats.org/officeDocument/2006/relationships/hyperlink" Target="http://www.icar.ngo/"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467392-A348-4F02-91CD-F04A6F673FD4}"/>
</file>

<file path=customXml/itemProps2.xml><?xml version="1.0" encoding="utf-8"?>
<ds:datastoreItem xmlns:ds="http://schemas.openxmlformats.org/officeDocument/2006/customXml" ds:itemID="{477884D2-45AA-4A88-A7DB-98C8A34845B9}"/>
</file>

<file path=customXml/itemProps3.xml><?xml version="1.0" encoding="utf-8"?>
<ds:datastoreItem xmlns:ds="http://schemas.openxmlformats.org/officeDocument/2006/customXml" ds:itemID="{75A306B2-5A74-4E70-B347-D10BC172D910}"/>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2016-09-01T08:39:56Z</dcterms:created>
  <dcterms:modified xsi:type="dcterms:W3CDTF">2016-09-01T08:39:56Z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3812100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