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9CF99" w14:textId="3936F003" w:rsidR="00485588" w:rsidRDefault="00485588" w:rsidP="00485588">
      <w:pPr>
        <w:jc w:val="center"/>
        <w:rPr>
          <w:rFonts w:ascii="Verdana" w:hAnsi="Verdana"/>
          <w:b/>
          <w:sz w:val="20"/>
          <w:szCs w:val="20"/>
        </w:rPr>
      </w:pPr>
      <w:r w:rsidRPr="00773A40">
        <w:rPr>
          <w:rFonts w:ascii="Verdana" w:hAnsi="Verdana"/>
          <w:b/>
          <w:sz w:val="20"/>
          <w:szCs w:val="20"/>
        </w:rPr>
        <w:t>International Commission of Jurists</w:t>
      </w:r>
    </w:p>
    <w:p w14:paraId="0BA2628F" w14:textId="77777777" w:rsidR="00851B01" w:rsidRPr="00773A40" w:rsidRDefault="00851B01" w:rsidP="00485588">
      <w:pPr>
        <w:jc w:val="center"/>
        <w:rPr>
          <w:rFonts w:ascii="Verdana" w:hAnsi="Verdana"/>
          <w:b/>
          <w:sz w:val="20"/>
          <w:szCs w:val="20"/>
        </w:rPr>
      </w:pPr>
    </w:p>
    <w:p w14:paraId="77DE12FF" w14:textId="77777777" w:rsidR="00485588" w:rsidRPr="00773A40" w:rsidRDefault="00485588" w:rsidP="00485588">
      <w:pPr>
        <w:jc w:val="center"/>
        <w:rPr>
          <w:rFonts w:ascii="Verdana" w:hAnsi="Verdana"/>
          <w:b/>
          <w:sz w:val="20"/>
          <w:szCs w:val="20"/>
        </w:rPr>
      </w:pPr>
      <w:r w:rsidRPr="00773A40">
        <w:rPr>
          <w:rFonts w:ascii="Verdana" w:hAnsi="Verdana"/>
          <w:b/>
          <w:sz w:val="20"/>
          <w:szCs w:val="20"/>
        </w:rPr>
        <w:t>Proposals for Elements of a legally binding instrument on Transnational Corporations and other Business Enterprises</w:t>
      </w:r>
    </w:p>
    <w:p w14:paraId="1D8BA87D" w14:textId="77777777" w:rsidR="00485588" w:rsidRDefault="00485588" w:rsidP="00485588">
      <w:pPr>
        <w:spacing w:after="200" w:line="276" w:lineRule="auto"/>
        <w:rPr>
          <w:rFonts w:ascii="Verdana" w:hAnsi="Verdana"/>
          <w:b/>
          <w:sz w:val="20"/>
          <w:szCs w:val="20"/>
        </w:rPr>
      </w:pPr>
    </w:p>
    <w:p w14:paraId="11CB93F6" w14:textId="77777777" w:rsidR="00485588" w:rsidRDefault="00485588" w:rsidP="00485588">
      <w:pPr>
        <w:spacing w:after="200" w:line="276" w:lineRule="auto"/>
        <w:rPr>
          <w:rFonts w:ascii="Verdana" w:eastAsia="Calibri" w:hAnsi="Verdana" w:cs="Times New Roman"/>
          <w:b/>
          <w:sz w:val="20"/>
          <w:szCs w:val="20"/>
          <w:lang w:val="en-GB"/>
        </w:rPr>
      </w:pPr>
      <w:r w:rsidRPr="00773A40">
        <w:rPr>
          <w:rFonts w:ascii="Verdana" w:hAnsi="Verdana"/>
          <w:b/>
          <w:sz w:val="20"/>
          <w:szCs w:val="20"/>
        </w:rPr>
        <w:t>ADVANCE UNEDITED DOCUMENT</w:t>
      </w:r>
      <w:r>
        <w:rPr>
          <w:rFonts w:ascii="Verdana" w:hAnsi="Verdana"/>
          <w:b/>
          <w:sz w:val="20"/>
          <w:szCs w:val="20"/>
        </w:rPr>
        <w:t>- PART VII</w:t>
      </w:r>
    </w:p>
    <w:p w14:paraId="2964C03B" w14:textId="77777777" w:rsidR="00851B01" w:rsidRDefault="00851B01" w:rsidP="0072716A">
      <w:pPr>
        <w:spacing w:after="200" w:line="276" w:lineRule="auto"/>
        <w:rPr>
          <w:rFonts w:ascii="Verdana" w:eastAsia="Calibri" w:hAnsi="Verdana" w:cs="Times New Roman"/>
          <w:b/>
          <w:sz w:val="20"/>
          <w:szCs w:val="20"/>
          <w:lang w:val="en-GB"/>
        </w:rPr>
      </w:pPr>
    </w:p>
    <w:p w14:paraId="49F801F5" w14:textId="6FABB5A7" w:rsidR="0072716A" w:rsidRPr="00A942C7" w:rsidRDefault="0072716A" w:rsidP="0072716A">
      <w:pPr>
        <w:spacing w:after="200" w:line="276" w:lineRule="auto"/>
        <w:rPr>
          <w:rFonts w:ascii="Verdana" w:eastAsia="Calibri" w:hAnsi="Verdana" w:cs="Times New Roman"/>
          <w:b/>
          <w:sz w:val="20"/>
          <w:szCs w:val="20"/>
          <w:lang w:val="en-GB"/>
        </w:rPr>
      </w:pPr>
      <w:r w:rsidRPr="00A942C7">
        <w:rPr>
          <w:rFonts w:ascii="Verdana" w:eastAsia="Calibri" w:hAnsi="Verdana" w:cs="Times New Roman"/>
          <w:b/>
          <w:sz w:val="20"/>
          <w:szCs w:val="20"/>
          <w:lang w:val="en-GB"/>
        </w:rPr>
        <w:t>6.</w:t>
      </w:r>
      <w:r w:rsidRPr="00A942C7">
        <w:rPr>
          <w:rFonts w:ascii="Verdana" w:eastAsia="Calibri" w:hAnsi="Verdana" w:cs="Times New Roman"/>
          <w:b/>
          <w:sz w:val="20"/>
          <w:szCs w:val="20"/>
          <w:lang w:val="en-GB"/>
        </w:rPr>
        <w:tab/>
        <w:t>International cooperation for investigation and enforcement</w:t>
      </w:r>
    </w:p>
    <w:p w14:paraId="4A6FF9AE" w14:textId="77777777" w:rsidR="0072716A" w:rsidRPr="00A942C7" w:rsidRDefault="0072716A" w:rsidP="0072716A">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t xml:space="preserve">The general obligation of international cooperation to assist States to better promote and protect human rights is one running throughout international human rights law, beginning with the UN Charter itself.  Articles 55 and 56 of the Charter state a general pledge of all Members “to take joint and separate action in cooperation with the Organizations” to achieve certain purposes, including “universal respect for, and observance of, human rights and fundamental freedoms….” Particular obligations of international cooperation appear throughout international human rights law instruments. </w:t>
      </w:r>
    </w:p>
    <w:p w14:paraId="44CA74B5" w14:textId="7242581B" w:rsidR="0072716A" w:rsidRPr="00A942C7" w:rsidRDefault="0072716A" w:rsidP="0072716A">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t xml:space="preserve">The need to guarantee people’s access to justice and remedies in cases of alleged violations of their rights with the involvement of business enterprises raises a number of practical issues relating to investigations, trial and sanctions across jurisdictions. To effectively investigate allegations of human rights abuses committed abroad it will often be necessary to obtain the cooperation of police and judicial authorities in the territorial State. An effective investigation in accordance with international standards is essential to determine if prosecution is appropriate and likely to be successful. Gathering the necessary evidence in the context of transnational offences is particularly challenging. Cooperation among States </w:t>
      </w:r>
      <w:r w:rsidR="00851B01">
        <w:rPr>
          <w:rFonts w:ascii="Verdana" w:eastAsia="Calibri" w:hAnsi="Verdana" w:cs="Times New Roman"/>
          <w:sz w:val="20"/>
          <w:szCs w:val="20"/>
          <w:lang w:val="en-GB"/>
        </w:rPr>
        <w:t xml:space="preserve">in this field </w:t>
      </w:r>
      <w:r w:rsidRPr="00A942C7">
        <w:rPr>
          <w:rFonts w:ascii="Verdana" w:eastAsia="Calibri" w:hAnsi="Verdana" w:cs="Times New Roman"/>
          <w:sz w:val="20"/>
          <w:szCs w:val="20"/>
          <w:lang w:val="en-GB"/>
        </w:rPr>
        <w:t>is thus essential, as it is in the context of other transnational crimes such as the bribery of foreign public officials.</w:t>
      </w:r>
    </w:p>
    <w:p w14:paraId="25EC1E32" w14:textId="77777777" w:rsidR="0072716A" w:rsidRPr="00A942C7" w:rsidRDefault="0072716A" w:rsidP="0072716A">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t>In the area of international legal and judicial cooperation and mutual legal assistance, there are a number of instruments of regional and international scope but they constitute at best a patchy system of rules that so far has not enabled efficient cooperation across the board.</w:t>
      </w:r>
    </w:p>
    <w:p w14:paraId="6E4F20DA" w14:textId="77777777" w:rsidR="0072716A" w:rsidRPr="00A942C7" w:rsidRDefault="0072716A" w:rsidP="0072716A">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t xml:space="preserve">The International Covenant on Economic, Social and Cultural Rights, in article 2(1) requires that each State Party Covenant “undertakes to take steps, individually and through international assistance and co-operation, especially economic and technical” to realize the rights in the Covenant. The Convention on the Rights of Persons with Disabilities also requires that States “undertake appropriate and effective measures” of international cooperation. The Convention against Torture and Other Cruel, Inhuman or Degrading Treatment or Punishment requires States parties to provide each other “the greatest measure of assistance in connection with criminal proceedings” relating to torture, including “the supply of all evidence at their disposal necessary for the proceedings”. A similar obligation is contained in the International Convention for the Protection of all Persons from Enforced Disappearances. The first two Optional Protocols to the Convention on the Rights of the Child also oblige States party to cooperate in </w:t>
      </w:r>
      <w:r w:rsidRPr="00A942C7">
        <w:rPr>
          <w:rFonts w:ascii="Verdana" w:eastAsia="Calibri" w:hAnsi="Verdana" w:cs="Times New Roman"/>
          <w:sz w:val="20"/>
          <w:szCs w:val="20"/>
          <w:lang w:val="en-GB"/>
        </w:rPr>
        <w:lastRenderedPageBreak/>
        <w:t>order to prevent and punish the sale of children, child prostitution, child pornography, and the involvement of children in armed conflict.</w:t>
      </w:r>
      <w:r w:rsidRPr="00A942C7">
        <w:rPr>
          <w:rFonts w:ascii="Verdana" w:eastAsia="Calibri" w:hAnsi="Verdana" w:cs="Times New Roman"/>
          <w:sz w:val="20"/>
          <w:szCs w:val="20"/>
          <w:vertAlign w:val="superscript"/>
          <w:lang w:val="en-GB"/>
        </w:rPr>
        <w:t xml:space="preserve"> </w:t>
      </w:r>
      <w:r w:rsidRPr="00A942C7">
        <w:rPr>
          <w:rFonts w:ascii="Verdana" w:eastAsia="Calibri" w:hAnsi="Verdana" w:cs="Times New Roman"/>
          <w:sz w:val="20"/>
          <w:szCs w:val="20"/>
          <w:vertAlign w:val="superscript"/>
          <w:lang w:val="en-GB"/>
        </w:rPr>
        <w:footnoteReference w:id="1"/>
      </w:r>
      <w:r w:rsidRPr="00A942C7">
        <w:rPr>
          <w:rFonts w:ascii="Verdana" w:eastAsia="Calibri" w:hAnsi="Verdana" w:cs="Times New Roman"/>
          <w:sz w:val="20"/>
          <w:szCs w:val="20"/>
          <w:lang w:val="en-GB"/>
        </w:rPr>
        <w:t xml:space="preserve"> </w:t>
      </w:r>
    </w:p>
    <w:p w14:paraId="6CAC5057" w14:textId="77777777" w:rsidR="0072716A" w:rsidRPr="00A942C7" w:rsidRDefault="0072716A" w:rsidP="0072716A">
      <w:pPr>
        <w:spacing w:after="200" w:line="276" w:lineRule="auto"/>
        <w:rPr>
          <w:rFonts w:ascii="Verdana" w:eastAsia="Calibri" w:hAnsi="Verdana" w:cs="Times New Roman"/>
          <w:bCs/>
          <w:sz w:val="20"/>
          <w:szCs w:val="20"/>
          <w:lang w:val="en-GB"/>
        </w:rPr>
      </w:pPr>
      <w:r w:rsidRPr="00A942C7">
        <w:rPr>
          <w:rFonts w:ascii="Verdana" w:eastAsia="Calibri" w:hAnsi="Verdana" w:cs="Times New Roman"/>
          <w:sz w:val="20"/>
          <w:szCs w:val="20"/>
          <w:lang w:val="en-GB"/>
        </w:rPr>
        <w:t xml:space="preserve">The </w:t>
      </w:r>
      <w:r w:rsidRPr="00A942C7">
        <w:rPr>
          <w:rFonts w:ascii="Verdana" w:eastAsia="Calibri" w:hAnsi="Verdana" w:cs="Times New Roman"/>
          <w:bCs/>
          <w:sz w:val="20"/>
          <w:szCs w:val="20"/>
          <w:lang w:val="en-GB"/>
        </w:rPr>
        <w:t>Optional Protocol to the Convention on the Rights of the Child on the sale of children, child prostitution and child pornography, determines that States parties must co-operate in connection with investigations, or criminal and extradition proceedings in relation to the offences set forth in the Protocol, “including assistance in obtaining evidence at their disposal necessary for the proceedings”.</w:t>
      </w:r>
      <w:r w:rsidRPr="00A942C7">
        <w:rPr>
          <w:rFonts w:ascii="Verdana" w:eastAsia="Calibri" w:hAnsi="Verdana" w:cs="Times New Roman"/>
          <w:bCs/>
          <w:sz w:val="20"/>
          <w:szCs w:val="20"/>
          <w:vertAlign w:val="superscript"/>
          <w:lang w:val="en-GB"/>
        </w:rPr>
        <w:footnoteReference w:id="2"/>
      </w:r>
      <w:r w:rsidRPr="00A942C7">
        <w:rPr>
          <w:rFonts w:ascii="Verdana" w:eastAsia="Calibri" w:hAnsi="Verdana" w:cs="Times New Roman"/>
          <w:bCs/>
          <w:sz w:val="20"/>
          <w:szCs w:val="20"/>
          <w:lang w:val="en-GB"/>
        </w:rPr>
        <w:t xml:space="preserve"> In addition, under Article 6(2), States must fulfil their obligations arising from other treaties of mutual legal assistance that may exist between them. </w:t>
      </w:r>
    </w:p>
    <w:p w14:paraId="29931145" w14:textId="77777777" w:rsidR="0072716A" w:rsidRPr="00A942C7" w:rsidRDefault="0072716A" w:rsidP="0072716A">
      <w:pPr>
        <w:spacing w:after="200" w:line="276" w:lineRule="auto"/>
        <w:rPr>
          <w:rFonts w:ascii="Verdana" w:eastAsia="Calibri" w:hAnsi="Verdana" w:cs="Times New Roman"/>
          <w:sz w:val="20"/>
          <w:szCs w:val="20"/>
          <w:lang w:val="en-GB"/>
        </w:rPr>
      </w:pPr>
      <w:r w:rsidRPr="00A942C7">
        <w:rPr>
          <w:rFonts w:ascii="Verdana" w:eastAsia="Calibri" w:hAnsi="Verdana" w:cs="Times New Roman"/>
          <w:bCs/>
          <w:sz w:val="20"/>
          <w:szCs w:val="20"/>
          <w:lang w:val="en-GB"/>
        </w:rPr>
        <w:t>T</w:t>
      </w:r>
      <w:r w:rsidRPr="00A942C7">
        <w:rPr>
          <w:rFonts w:ascii="Verdana" w:eastAsia="Calibri" w:hAnsi="Verdana" w:cs="Times New Roman"/>
          <w:sz w:val="20"/>
          <w:szCs w:val="20"/>
          <w:lang w:val="en-GB"/>
        </w:rPr>
        <w:t>he UN Convention against Transnational Organized Crime,</w:t>
      </w:r>
      <w:r w:rsidRPr="00A942C7">
        <w:rPr>
          <w:rFonts w:ascii="Verdana" w:eastAsia="Calibri" w:hAnsi="Verdana" w:cs="Times New Roman"/>
          <w:bCs/>
          <w:sz w:val="20"/>
          <w:szCs w:val="20"/>
          <w:lang w:val="en-GB"/>
        </w:rPr>
        <w:t xml:space="preserve"> the UN Convention against Corruption and the OECD Convention on Combating Bribery of Foreign Public Officials contain extensive provisions on State cooperation and mutual legal assistance </w:t>
      </w:r>
      <w:r w:rsidRPr="00A942C7">
        <w:rPr>
          <w:rFonts w:ascii="Verdana" w:eastAsia="Calibri" w:hAnsi="Verdana" w:cs="Times New Roman"/>
          <w:sz w:val="20"/>
          <w:szCs w:val="20"/>
          <w:lang w:val="en-GB"/>
        </w:rPr>
        <w:t>that are useful precedents to take into account. Such cooperation extends to areas relating to exchange of information and data, judicial and administrative proceedings, gathering and securing evidence.</w:t>
      </w:r>
    </w:p>
    <w:p w14:paraId="0A0A3AB1" w14:textId="77777777" w:rsidR="0072716A" w:rsidRPr="00A942C7" w:rsidRDefault="0072716A" w:rsidP="0072716A">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t xml:space="preserve">Beyond State cooperation and mutual legal assistance for investigation, international cooperation is also essential for the execution of civil judgments, or criminal orders for forfeiture and the like. Once prosecution has concluded and a conviction has been secured, or a civil suit has been successful, the resulting orders need to be enforced so that plaintiffs and victims obtain redress. Enforceability of judicial decisions is an essential element of an effective judicial remedy. </w:t>
      </w:r>
    </w:p>
    <w:p w14:paraId="457A5BBC" w14:textId="763AFEEA" w:rsidR="0072716A" w:rsidRPr="00A942C7" w:rsidRDefault="0072716A" w:rsidP="0072716A">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t>There are some international instruments on mutual legal assistance and judicial cooperation in the enforcement of foreign judgments that have been concluded in the framework of The Hague Conference on Private International Law,</w:t>
      </w:r>
      <w:r w:rsidRPr="00A942C7">
        <w:rPr>
          <w:rFonts w:ascii="Verdana" w:eastAsia="Calibri" w:hAnsi="Verdana" w:cs="Times New Roman"/>
          <w:sz w:val="20"/>
          <w:szCs w:val="20"/>
          <w:vertAlign w:val="superscript"/>
          <w:lang w:val="en-GB"/>
        </w:rPr>
        <w:footnoteReference w:id="3"/>
      </w:r>
      <w:r w:rsidRPr="00A942C7">
        <w:rPr>
          <w:rFonts w:ascii="Verdana" w:eastAsia="Calibri" w:hAnsi="Verdana" w:cs="Times New Roman"/>
          <w:sz w:val="20"/>
          <w:szCs w:val="20"/>
          <w:lang w:val="en-GB"/>
        </w:rPr>
        <w:t xml:space="preserve"> although none of these have entered into force. The 1971 </w:t>
      </w:r>
      <w:r w:rsidRPr="00A942C7">
        <w:rPr>
          <w:rFonts w:ascii="Verdana" w:eastAsia="Calibri" w:hAnsi="Verdana" w:cs="Times New Roman"/>
          <w:i/>
          <w:sz w:val="20"/>
          <w:szCs w:val="20"/>
          <w:lang w:val="en-GB"/>
        </w:rPr>
        <w:t>Convention on the Recognition and Enforcement of Foreign Judgments in Civil and Commercial Matters</w:t>
      </w:r>
      <w:r w:rsidRPr="00A942C7">
        <w:rPr>
          <w:rFonts w:ascii="Verdana" w:eastAsia="Calibri" w:hAnsi="Verdana" w:cs="Times New Roman"/>
          <w:sz w:val="20"/>
          <w:szCs w:val="20"/>
          <w:lang w:val="en-GB"/>
        </w:rPr>
        <w:t>, which provided that any judicial decision adopted by a Court of a Contracting State shall be entitled to recognition and enforcement in another Contracting State if the court issuing the decision has jurisdiction and if the judgment is final.</w:t>
      </w:r>
      <w:r w:rsidRPr="00A942C7">
        <w:rPr>
          <w:rFonts w:ascii="Verdana" w:eastAsia="Calibri" w:hAnsi="Verdana" w:cs="Times New Roman"/>
          <w:sz w:val="20"/>
          <w:szCs w:val="20"/>
          <w:vertAlign w:val="superscript"/>
          <w:lang w:val="en-GB"/>
        </w:rPr>
        <w:footnoteReference w:id="4"/>
      </w:r>
      <w:r w:rsidRPr="00A942C7">
        <w:rPr>
          <w:rFonts w:ascii="Verdana" w:eastAsia="Calibri" w:hAnsi="Verdana" w:cs="Times New Roman"/>
          <w:sz w:val="20"/>
          <w:szCs w:val="20"/>
          <w:lang w:val="en-GB"/>
        </w:rPr>
        <w:t xml:space="preserve"> The Convention has been ratified only by Cyprus, Netherlands, Portugal and Kuwait. The </w:t>
      </w:r>
      <w:r w:rsidRPr="00A942C7">
        <w:rPr>
          <w:rFonts w:ascii="Verdana" w:eastAsia="Calibri" w:hAnsi="Verdana" w:cs="Times New Roman"/>
          <w:i/>
          <w:sz w:val="20"/>
          <w:szCs w:val="20"/>
          <w:lang w:val="en-GB"/>
        </w:rPr>
        <w:t>Brussels I</w:t>
      </w:r>
      <w:r w:rsidRPr="00A942C7">
        <w:rPr>
          <w:rFonts w:ascii="Verdana" w:eastAsia="Calibri" w:hAnsi="Verdana" w:cs="Times New Roman"/>
          <w:sz w:val="20"/>
          <w:szCs w:val="20"/>
          <w:lang w:val="en-GB"/>
        </w:rPr>
        <w:t xml:space="preserve"> regulation has in practice superseded this agreement in relation to the three ratifying States that are members of the EU. </w:t>
      </w:r>
    </w:p>
    <w:p w14:paraId="021E276C" w14:textId="77777777" w:rsidR="0072716A" w:rsidRPr="00A942C7" w:rsidRDefault="0072716A" w:rsidP="0072716A">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lastRenderedPageBreak/>
        <w:t xml:space="preserve">Negotiations in 2001 led to the conclusion of The </w:t>
      </w:r>
      <w:r w:rsidRPr="00A942C7">
        <w:rPr>
          <w:rFonts w:ascii="Verdana" w:eastAsia="Calibri" w:hAnsi="Verdana" w:cs="Times New Roman"/>
          <w:i/>
          <w:sz w:val="20"/>
          <w:szCs w:val="20"/>
          <w:lang w:val="en-GB"/>
        </w:rPr>
        <w:t>Hague Convention on Choice of Court Agreements</w:t>
      </w:r>
      <w:r w:rsidRPr="00A942C7">
        <w:rPr>
          <w:rFonts w:ascii="Verdana" w:eastAsia="Calibri" w:hAnsi="Verdana" w:cs="Times New Roman"/>
          <w:sz w:val="20"/>
          <w:szCs w:val="20"/>
          <w:lang w:val="en-GB"/>
        </w:rPr>
        <w:t>.</w:t>
      </w:r>
      <w:r w:rsidRPr="00A942C7">
        <w:rPr>
          <w:rFonts w:ascii="Verdana" w:eastAsia="Calibri" w:hAnsi="Verdana" w:cs="Times New Roman"/>
          <w:sz w:val="20"/>
          <w:szCs w:val="20"/>
          <w:vertAlign w:val="superscript"/>
          <w:lang w:val="en-GB"/>
        </w:rPr>
        <w:footnoteReference w:id="5"/>
      </w:r>
      <w:r w:rsidRPr="00A942C7">
        <w:rPr>
          <w:rFonts w:ascii="Verdana" w:eastAsia="Calibri" w:hAnsi="Verdana" w:cs="Times New Roman"/>
          <w:sz w:val="20"/>
          <w:szCs w:val="20"/>
          <w:lang w:val="en-GB"/>
        </w:rPr>
        <w:t xml:space="preserve"> Under Article 8 of this Convention, a judgment given by a designated court of a Contracting State shall be recognized and enforced in other Contracting States without any other review of the merits of the case and the judgment. This Convention only applies to civil and commercial matters, excluding, for instance, interim measures of protection from its purview. Currently, only Mexico has acceded to it. The United States and the European Union signed the Convention in 2009 but are yet to deposit instruments of ratification.</w:t>
      </w:r>
      <w:r w:rsidRPr="00A942C7">
        <w:rPr>
          <w:rFonts w:ascii="Verdana" w:eastAsia="Calibri" w:hAnsi="Verdana" w:cs="Times New Roman"/>
          <w:sz w:val="20"/>
          <w:szCs w:val="20"/>
          <w:vertAlign w:val="superscript"/>
          <w:lang w:val="en-GB"/>
        </w:rPr>
        <w:footnoteReference w:id="6"/>
      </w:r>
    </w:p>
    <w:p w14:paraId="59DB11D4" w14:textId="505241A1" w:rsidR="0072716A" w:rsidRPr="00A942C7" w:rsidRDefault="0072716A" w:rsidP="0072716A">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t xml:space="preserve">Other international instruments contain obligations for States to cooperate with other States in the recognition and enforcement of judicial decisions and procedures. For example, the </w:t>
      </w:r>
      <w:r w:rsidRPr="00A942C7">
        <w:rPr>
          <w:rFonts w:ascii="Verdana" w:eastAsia="Calibri" w:hAnsi="Verdana" w:cs="Times New Roman"/>
          <w:i/>
          <w:sz w:val="20"/>
          <w:szCs w:val="20"/>
          <w:lang w:val="en-GB"/>
        </w:rPr>
        <w:t>Convention on Civil Liability for Oil Pollution Damage</w:t>
      </w:r>
      <w:r w:rsidRPr="00A942C7">
        <w:rPr>
          <w:rFonts w:ascii="Verdana" w:eastAsia="Calibri" w:hAnsi="Verdana" w:cs="Times New Roman"/>
          <w:sz w:val="20"/>
          <w:szCs w:val="20"/>
          <w:lang w:val="en-GB"/>
        </w:rPr>
        <w:t xml:space="preserve"> (1969), replaced by the Protocol of 1992,</w:t>
      </w:r>
      <w:r w:rsidRPr="00A942C7">
        <w:rPr>
          <w:rFonts w:ascii="Verdana" w:eastAsia="Calibri" w:hAnsi="Verdana" w:cs="Times New Roman"/>
          <w:sz w:val="20"/>
          <w:szCs w:val="20"/>
          <w:vertAlign w:val="superscript"/>
          <w:lang w:val="en-GB"/>
        </w:rPr>
        <w:footnoteReference w:id="7"/>
      </w:r>
      <w:r w:rsidRPr="00A942C7">
        <w:rPr>
          <w:rFonts w:ascii="Verdana" w:eastAsia="Calibri" w:hAnsi="Verdana" w:cs="Times New Roman"/>
          <w:sz w:val="20"/>
          <w:szCs w:val="20"/>
          <w:lang w:val="en-GB"/>
        </w:rPr>
        <w:t xml:space="preserve"> provides that a final judgement in a contracting state shall be recognised in any other contracting state unless it was obtained by fraud or fair trial rules were not respected. </w:t>
      </w:r>
    </w:p>
    <w:p w14:paraId="4447E9AE" w14:textId="77777777" w:rsidR="0072716A" w:rsidRPr="00A942C7" w:rsidRDefault="0072716A" w:rsidP="0072716A">
      <w:pPr>
        <w:spacing w:after="200" w:line="276" w:lineRule="auto"/>
        <w:rPr>
          <w:rFonts w:ascii="Verdana" w:eastAsia="Calibri" w:hAnsi="Verdana" w:cs="Times New Roman"/>
          <w:bCs/>
          <w:sz w:val="20"/>
          <w:szCs w:val="20"/>
          <w:lang w:val="en-GB"/>
        </w:rPr>
      </w:pPr>
      <w:r w:rsidRPr="00A942C7">
        <w:rPr>
          <w:rFonts w:ascii="Verdana" w:eastAsia="Calibri" w:hAnsi="Verdana" w:cs="Times New Roman"/>
          <w:bCs/>
          <w:sz w:val="20"/>
          <w:szCs w:val="20"/>
          <w:lang w:val="en-GB"/>
        </w:rPr>
        <w:t xml:space="preserve">Article 18 of the United Nations </w:t>
      </w:r>
      <w:r w:rsidRPr="00A942C7">
        <w:rPr>
          <w:rFonts w:ascii="Verdana" w:eastAsia="Calibri" w:hAnsi="Verdana" w:cs="Times New Roman"/>
          <w:bCs/>
          <w:i/>
          <w:sz w:val="20"/>
          <w:szCs w:val="20"/>
          <w:lang w:val="en-GB"/>
        </w:rPr>
        <w:t>Convention against Transnational Organized Crime</w:t>
      </w:r>
      <w:r w:rsidRPr="00A942C7">
        <w:rPr>
          <w:rFonts w:ascii="Verdana" w:eastAsia="Calibri" w:hAnsi="Verdana" w:cs="Times New Roman"/>
          <w:bCs/>
          <w:sz w:val="20"/>
          <w:szCs w:val="20"/>
          <w:lang w:val="en-GB"/>
        </w:rPr>
        <w:t xml:space="preserve"> in turn provides that State Parties have the obligation to afford one another the necessary co-operation and mutual assistance in investigations, prosecutions and proceedings in relation to the offences covered by the Convention. Although the Convention does not directly refer to the recognition and enforcement of judgments, under Article 16(12) a State Party shall consider the enforcement of a judgment imposed by another Party when a request for extradition, submitted with the purpose of enforcing a sentence, is refused because the person sought is a national of the requested State Party.</w:t>
      </w:r>
    </w:p>
    <w:p w14:paraId="15DC85C4" w14:textId="77777777" w:rsidR="0072716A" w:rsidRPr="00A942C7" w:rsidRDefault="0072716A" w:rsidP="0072716A">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t>These instruments form a patchy framework for international cooperation in the investigation, prosecution and enforcement of judicial sentences. This system is in clear and pressing need of improvement to respond to the challenges of guaranteeing access to effective remedies for victims in business-related human rights abuses caused or contributed to by business enterprises.</w:t>
      </w:r>
    </w:p>
    <w:p w14:paraId="4804639B" w14:textId="77777777" w:rsidR="0072716A" w:rsidRPr="00A942C7" w:rsidRDefault="0072716A" w:rsidP="0072716A">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lastRenderedPageBreak/>
        <w:t>Under the foregoing and other bilateral arrangements, some States have developed useful and effective practices that should be considered as a basis for replication or adaptation. These practices include frameworks for exchange of information and expertise between law enforcement and judicial bodies to detect and evaluate risks, cooperation in joint bodies of peer review of regulations, technical assistance and capacity building.</w:t>
      </w:r>
      <w:r w:rsidRPr="00A942C7">
        <w:rPr>
          <w:rFonts w:ascii="Verdana" w:eastAsia="Calibri" w:hAnsi="Verdana" w:cs="Times New Roman"/>
          <w:sz w:val="20"/>
          <w:szCs w:val="20"/>
          <w:vertAlign w:val="superscript"/>
          <w:lang w:val="en-GB"/>
        </w:rPr>
        <w:footnoteReference w:id="8"/>
      </w:r>
      <w:r w:rsidRPr="00A942C7">
        <w:rPr>
          <w:rFonts w:ascii="Verdana" w:eastAsia="Calibri" w:hAnsi="Verdana" w:cs="Times New Roman"/>
          <w:sz w:val="20"/>
          <w:szCs w:val="20"/>
          <w:lang w:val="en-GB"/>
        </w:rPr>
        <w:t xml:space="preserve"> To complete the existing international legal framework and take advantage of the good practice in several related areas of work, the prospective treaty should contain a number of provisions on international cooperation, mutual legal assistance, and recognition and enforcement of judicial decisions.</w:t>
      </w:r>
    </w:p>
    <w:tbl>
      <w:tblPr>
        <w:tblStyle w:val="TableGrid"/>
        <w:tblW w:w="0" w:type="auto"/>
        <w:tblInd w:w="675" w:type="dxa"/>
        <w:tblLook w:val="04A0" w:firstRow="1" w:lastRow="0" w:firstColumn="1" w:lastColumn="0" w:noHBand="0" w:noVBand="1"/>
      </w:tblPr>
      <w:tblGrid>
        <w:gridCol w:w="7797"/>
      </w:tblGrid>
      <w:tr w:rsidR="0072716A" w:rsidRPr="00A942C7" w14:paraId="5187CA7A" w14:textId="77777777" w:rsidTr="00851B01">
        <w:tc>
          <w:tcPr>
            <w:tcW w:w="7797" w:type="dxa"/>
          </w:tcPr>
          <w:p w14:paraId="6B6DFC03" w14:textId="77777777" w:rsidR="0072716A" w:rsidRPr="00A942C7" w:rsidRDefault="0072716A" w:rsidP="002E6E1D">
            <w:pPr>
              <w:rPr>
                <w:rFonts w:ascii="Verdana" w:hAnsi="Verdana" w:cs="Times New Roman"/>
                <w:sz w:val="20"/>
                <w:szCs w:val="20"/>
              </w:rPr>
            </w:pPr>
          </w:p>
          <w:p w14:paraId="7569DC99" w14:textId="77777777" w:rsidR="0072716A" w:rsidRPr="00A942C7" w:rsidRDefault="0072716A" w:rsidP="002E6E1D">
            <w:pPr>
              <w:rPr>
                <w:rFonts w:ascii="Verdana" w:hAnsi="Verdana" w:cs="Times New Roman"/>
                <w:sz w:val="20"/>
                <w:szCs w:val="20"/>
              </w:rPr>
            </w:pPr>
            <w:r w:rsidRPr="00A942C7">
              <w:rPr>
                <w:rFonts w:ascii="Verdana" w:hAnsi="Verdana" w:cs="Times New Roman"/>
                <w:sz w:val="20"/>
                <w:szCs w:val="20"/>
              </w:rPr>
              <w:t>The following elements should be included and developed in the treaty:</w:t>
            </w:r>
          </w:p>
          <w:p w14:paraId="7940CDCB" w14:textId="77777777" w:rsidR="0072716A" w:rsidRPr="00A942C7" w:rsidRDefault="0072716A" w:rsidP="002E6E1D">
            <w:pPr>
              <w:rPr>
                <w:rFonts w:ascii="Verdana" w:hAnsi="Verdana" w:cs="Times New Roman"/>
                <w:sz w:val="20"/>
                <w:szCs w:val="20"/>
              </w:rPr>
            </w:pPr>
          </w:p>
          <w:p w14:paraId="4623DA75" w14:textId="77777777" w:rsidR="0072716A" w:rsidRPr="00A942C7" w:rsidRDefault="0072716A" w:rsidP="002E6E1D">
            <w:pPr>
              <w:rPr>
                <w:rFonts w:ascii="Verdana" w:hAnsi="Verdana" w:cs="Times New Roman"/>
                <w:sz w:val="20"/>
                <w:szCs w:val="20"/>
              </w:rPr>
            </w:pPr>
            <w:r w:rsidRPr="00A942C7">
              <w:rPr>
                <w:rFonts w:ascii="Verdana" w:hAnsi="Verdana" w:cs="Times New Roman"/>
                <w:sz w:val="20"/>
                <w:szCs w:val="20"/>
              </w:rPr>
              <w:t>The general obligation of States party to cooperate with and provide the necessary and mutual legal assistance in respect to identification, investigation, prosecution and enforcement of relevant judicial orders in cases of human rights abuses committed by or with the participation of business enterprises under their jurisdiction.</w:t>
            </w:r>
          </w:p>
          <w:p w14:paraId="6880A221" w14:textId="77777777" w:rsidR="0072716A" w:rsidRPr="00A942C7" w:rsidRDefault="0072716A" w:rsidP="002E6E1D">
            <w:pPr>
              <w:rPr>
                <w:rFonts w:ascii="Verdana" w:hAnsi="Verdana" w:cs="Times New Roman"/>
                <w:sz w:val="20"/>
                <w:szCs w:val="20"/>
              </w:rPr>
            </w:pPr>
          </w:p>
          <w:p w14:paraId="29D8ADD9" w14:textId="74C40174" w:rsidR="0072716A" w:rsidRPr="00A942C7" w:rsidRDefault="0072716A" w:rsidP="002E6E1D">
            <w:pPr>
              <w:rPr>
                <w:rFonts w:ascii="Verdana" w:hAnsi="Verdana" w:cs="Times New Roman"/>
                <w:sz w:val="20"/>
                <w:szCs w:val="20"/>
              </w:rPr>
            </w:pPr>
            <w:r w:rsidRPr="00A942C7">
              <w:rPr>
                <w:rFonts w:ascii="Verdana" w:hAnsi="Verdana" w:cs="Times New Roman"/>
                <w:sz w:val="20"/>
                <w:szCs w:val="20"/>
              </w:rPr>
              <w:t xml:space="preserve">States should enter into bilateral or multilateral arrangements to enable and facilitate the request and lending of mutual legal assistance between their law enforcement bodies and to enable the latter to carry out joint or coordinated cross-border investigations when necessary, or the gathering of evidence for </w:t>
            </w:r>
            <w:r w:rsidR="00851B01">
              <w:rPr>
                <w:rFonts w:ascii="Verdana" w:hAnsi="Verdana" w:cs="Times New Roman"/>
                <w:sz w:val="20"/>
                <w:szCs w:val="20"/>
              </w:rPr>
              <w:t>use in civil claims proceedings.</w:t>
            </w:r>
          </w:p>
          <w:p w14:paraId="789219D9" w14:textId="77777777" w:rsidR="0072716A" w:rsidRPr="00A942C7" w:rsidRDefault="0072716A" w:rsidP="002E6E1D">
            <w:pPr>
              <w:rPr>
                <w:rFonts w:ascii="Verdana" w:hAnsi="Verdana" w:cs="Times New Roman"/>
                <w:sz w:val="20"/>
                <w:szCs w:val="20"/>
              </w:rPr>
            </w:pPr>
          </w:p>
          <w:p w14:paraId="17F686A1" w14:textId="77777777" w:rsidR="0072716A" w:rsidRPr="00A942C7" w:rsidRDefault="0072716A" w:rsidP="002E6E1D">
            <w:pPr>
              <w:rPr>
                <w:rFonts w:ascii="Verdana" w:hAnsi="Verdana" w:cs="Times New Roman"/>
                <w:sz w:val="20"/>
                <w:szCs w:val="20"/>
              </w:rPr>
            </w:pPr>
            <w:r w:rsidRPr="00A942C7">
              <w:rPr>
                <w:rFonts w:ascii="Verdana" w:hAnsi="Verdana" w:cs="Times New Roman"/>
                <w:sz w:val="20"/>
                <w:szCs w:val="20"/>
              </w:rPr>
              <w:t>States party should establish mechanisms, jointly or in a coordinated fashion with other States party, to facilitate the exchange of information and the request and provision of legal assistance,</w:t>
            </w:r>
          </w:p>
          <w:p w14:paraId="67979E6F" w14:textId="77777777" w:rsidR="0072716A" w:rsidRPr="00A942C7" w:rsidRDefault="0072716A" w:rsidP="002E6E1D">
            <w:pPr>
              <w:rPr>
                <w:rFonts w:ascii="Verdana" w:hAnsi="Verdana" w:cs="Times New Roman"/>
                <w:sz w:val="20"/>
                <w:szCs w:val="20"/>
              </w:rPr>
            </w:pPr>
          </w:p>
          <w:p w14:paraId="3EA60142" w14:textId="77777777" w:rsidR="0072716A" w:rsidRPr="00A942C7" w:rsidRDefault="0072716A" w:rsidP="002E6E1D">
            <w:pPr>
              <w:rPr>
                <w:rFonts w:ascii="Verdana" w:hAnsi="Verdana" w:cs="Times New Roman"/>
                <w:sz w:val="20"/>
                <w:szCs w:val="20"/>
              </w:rPr>
            </w:pPr>
            <w:r w:rsidRPr="00A942C7">
              <w:rPr>
                <w:rFonts w:ascii="Verdana" w:hAnsi="Verdana" w:cs="Times New Roman"/>
                <w:sz w:val="20"/>
                <w:szCs w:val="20"/>
              </w:rPr>
              <w:t>States should provide adequate training, information and support to their law enforcement agencies and judicial bodies to make efficient use of arrangement for mutual legal assistance, through the establishment of networks, holding of workshops and other initiatives.</w:t>
            </w:r>
          </w:p>
          <w:p w14:paraId="018B2143" w14:textId="77777777" w:rsidR="0072716A" w:rsidRPr="00A942C7" w:rsidRDefault="0072716A" w:rsidP="002E6E1D">
            <w:pPr>
              <w:rPr>
                <w:rFonts w:ascii="Verdana" w:hAnsi="Verdana" w:cs="Times New Roman"/>
                <w:sz w:val="20"/>
                <w:szCs w:val="20"/>
              </w:rPr>
            </w:pPr>
          </w:p>
        </w:tc>
      </w:tr>
    </w:tbl>
    <w:p w14:paraId="616F7A91" w14:textId="77777777" w:rsidR="0072716A" w:rsidRDefault="0072716A" w:rsidP="0072716A"/>
    <w:p w14:paraId="0CBE0696" w14:textId="77777777" w:rsidR="001E0506" w:rsidRDefault="001E0506"/>
    <w:sectPr w:rsidR="001E0506" w:rsidSect="00EC6B50">
      <w:footnotePr>
        <w:numStart w:val="69"/>
      </w:foot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F5440" w14:textId="77777777" w:rsidR="00AD2177" w:rsidRDefault="00AD2177" w:rsidP="0072716A">
      <w:r>
        <w:separator/>
      </w:r>
    </w:p>
  </w:endnote>
  <w:endnote w:type="continuationSeparator" w:id="0">
    <w:p w14:paraId="5537BC2D" w14:textId="77777777" w:rsidR="00AD2177" w:rsidRDefault="00AD2177" w:rsidP="0072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7B6F1" w14:textId="77777777" w:rsidR="00AD2177" w:rsidRDefault="00AD2177" w:rsidP="0072716A">
      <w:r>
        <w:separator/>
      </w:r>
    </w:p>
  </w:footnote>
  <w:footnote w:type="continuationSeparator" w:id="0">
    <w:p w14:paraId="4C2F794A" w14:textId="77777777" w:rsidR="00AD2177" w:rsidRDefault="00AD2177" w:rsidP="0072716A">
      <w:r>
        <w:continuationSeparator/>
      </w:r>
    </w:p>
  </w:footnote>
  <w:footnote w:id="1">
    <w:p w14:paraId="62B63E8D" w14:textId="0F1D93FB" w:rsidR="0072716A" w:rsidRPr="001E4206" w:rsidRDefault="00004B13" w:rsidP="0072716A">
      <w:pPr>
        <w:pStyle w:val="FootnoteText"/>
        <w:rPr>
          <w:rFonts w:ascii="Verdana" w:hAnsi="Verdana"/>
          <w:sz w:val="18"/>
          <w:szCs w:val="18"/>
        </w:rPr>
      </w:pPr>
      <w:r>
        <w:rPr>
          <w:rStyle w:val="FootnoteReference"/>
        </w:rPr>
        <w:footnoteRef/>
      </w:r>
      <w:r w:rsidR="0072716A" w:rsidRPr="001E4206">
        <w:rPr>
          <w:rFonts w:ascii="Verdana" w:hAnsi="Verdana"/>
          <w:sz w:val="18"/>
          <w:szCs w:val="18"/>
        </w:rPr>
        <w:t xml:space="preserve"> Universal Declaration of Human Rights Articles 22 and 29; Convention on the Rights of People with Disabilities-CRPD, article 32; CAT article 9(1); CESCR (articles 2(1); 11(1), 22); among others. </w:t>
      </w:r>
    </w:p>
  </w:footnote>
  <w:footnote w:id="2">
    <w:p w14:paraId="048AA0D6" w14:textId="77777777" w:rsidR="0072716A" w:rsidRPr="001E4206" w:rsidRDefault="0072716A" w:rsidP="0072716A">
      <w:pPr>
        <w:pStyle w:val="FootnoteText"/>
        <w:jc w:val="both"/>
        <w:rPr>
          <w:rFonts w:ascii="Verdana" w:hAnsi="Verdana"/>
          <w:bCs/>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w:t>
      </w:r>
      <w:r w:rsidRPr="001E4206">
        <w:rPr>
          <w:rFonts w:ascii="Verdana" w:hAnsi="Verdana"/>
          <w:bCs/>
          <w:sz w:val="18"/>
          <w:szCs w:val="18"/>
        </w:rPr>
        <w:t xml:space="preserve">Optional Protocol to the Convention on the Rights of the Child on the sale of children, child prostitution and child pornography, Adopted and opened for signature, ratification and accession by General Assembly resolution A/RES/54/263 of 25 May 2000 entered into force on 18 January 2002, article 6. Available Online: </w:t>
      </w:r>
      <w:hyperlink r:id="rId1" w:history="1">
        <w:r w:rsidRPr="001E4206">
          <w:rPr>
            <w:rStyle w:val="Hyperlink1"/>
            <w:rFonts w:ascii="Verdana" w:hAnsi="Verdana"/>
            <w:bCs/>
            <w:sz w:val="18"/>
            <w:szCs w:val="18"/>
          </w:rPr>
          <w:t>http://www.ohchr.org/EN/ProfessionalInterest/Pages/OPSCCRC.aspx</w:t>
        </w:r>
      </w:hyperlink>
      <w:r w:rsidRPr="001E4206">
        <w:rPr>
          <w:rStyle w:val="Hyperlink1"/>
          <w:rFonts w:ascii="Verdana" w:hAnsi="Verdana"/>
          <w:bCs/>
          <w:sz w:val="18"/>
          <w:szCs w:val="18"/>
        </w:rPr>
        <w:t>.</w:t>
      </w:r>
      <w:r w:rsidRPr="001E4206">
        <w:rPr>
          <w:rFonts w:ascii="Verdana" w:hAnsi="Verdana"/>
          <w:bCs/>
          <w:sz w:val="18"/>
          <w:szCs w:val="18"/>
        </w:rPr>
        <w:t xml:space="preserve"> </w:t>
      </w:r>
    </w:p>
  </w:footnote>
  <w:footnote w:id="3">
    <w:p w14:paraId="5548DDA6" w14:textId="77777777" w:rsidR="0072716A" w:rsidRPr="001E4206" w:rsidRDefault="0072716A" w:rsidP="0072716A">
      <w:pPr>
        <w:pStyle w:val="FootnoteText"/>
        <w:jc w:val="both"/>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For example the Convention on the Jurisdiction of the Selected Forum in the Case of International Sales of Goods (1958), and the Convention on the Choice of Court (1965).</w:t>
      </w:r>
    </w:p>
  </w:footnote>
  <w:footnote w:id="4">
    <w:p w14:paraId="676C1413" w14:textId="77777777" w:rsidR="0072716A" w:rsidRPr="001E4206" w:rsidRDefault="0072716A" w:rsidP="0072716A">
      <w:pPr>
        <w:pStyle w:val="FootnoteText"/>
        <w:jc w:val="both"/>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The Hague Conference on Private International Law, Convention on the Recognition and Enforcement of Foreign Judgments in Civil and Commercial Matters, Concluded on February 1971, art. 4. Available Online: </w:t>
      </w:r>
      <w:hyperlink r:id="rId2" w:history="1">
        <w:r w:rsidRPr="001E4206">
          <w:rPr>
            <w:rStyle w:val="Hyperlink1"/>
            <w:rFonts w:ascii="Verdana" w:hAnsi="Verdana"/>
            <w:sz w:val="18"/>
            <w:szCs w:val="18"/>
          </w:rPr>
          <w:t>http://www.hcch.net/index_en.php?act=conventions.text&amp;cid=78</w:t>
        </w:r>
      </w:hyperlink>
      <w:r w:rsidRPr="001E4206">
        <w:rPr>
          <w:rFonts w:ascii="Verdana" w:hAnsi="Verdana"/>
          <w:sz w:val="18"/>
          <w:szCs w:val="18"/>
        </w:rPr>
        <w:t xml:space="preserve"> (accessed 28 March 2014).</w:t>
      </w:r>
    </w:p>
  </w:footnote>
  <w:footnote w:id="5">
    <w:p w14:paraId="384B16E3" w14:textId="77777777" w:rsidR="0072716A" w:rsidRPr="001E4206" w:rsidRDefault="0072716A" w:rsidP="0072716A">
      <w:pPr>
        <w:pStyle w:val="FootnoteText"/>
        <w:jc w:val="both"/>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Hague Conference on Private International Law, Convention on Choice of Court Agreements, concluded 30 of June 2005. Available Online: </w:t>
      </w:r>
      <w:hyperlink r:id="rId3" w:history="1">
        <w:r w:rsidRPr="001E4206">
          <w:rPr>
            <w:rStyle w:val="Hyperlink1"/>
            <w:rFonts w:ascii="Verdana" w:hAnsi="Verdana"/>
            <w:sz w:val="18"/>
            <w:szCs w:val="18"/>
          </w:rPr>
          <w:t>http://www.hcch.net/upload/conventions/txt37en.pdf</w:t>
        </w:r>
      </w:hyperlink>
      <w:r w:rsidRPr="001E4206">
        <w:rPr>
          <w:rFonts w:ascii="Verdana" w:hAnsi="Verdana"/>
          <w:sz w:val="18"/>
          <w:szCs w:val="18"/>
        </w:rPr>
        <w:t xml:space="preserve"> (accessed 28 March 2014).</w:t>
      </w:r>
    </w:p>
  </w:footnote>
  <w:footnote w:id="6">
    <w:p w14:paraId="33B9D137" w14:textId="77777777" w:rsidR="0072716A" w:rsidRPr="001E4206" w:rsidRDefault="0072716A" w:rsidP="0072716A">
      <w:pPr>
        <w:pStyle w:val="FootnoteText"/>
        <w:jc w:val="both"/>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See: </w:t>
      </w:r>
      <w:hyperlink r:id="rId4" w:history="1">
        <w:r w:rsidRPr="001E4206">
          <w:rPr>
            <w:rStyle w:val="Hyperlink1"/>
            <w:rFonts w:ascii="Verdana" w:hAnsi="Verdana"/>
            <w:sz w:val="18"/>
            <w:szCs w:val="18"/>
          </w:rPr>
          <w:t>http://www.hcch.net/index_en.php?act=conventions.status&amp;cid=98</w:t>
        </w:r>
      </w:hyperlink>
      <w:r w:rsidRPr="001E4206">
        <w:rPr>
          <w:rFonts w:ascii="Verdana" w:hAnsi="Verdana"/>
          <w:sz w:val="18"/>
          <w:szCs w:val="18"/>
        </w:rPr>
        <w:t xml:space="preserve"> (accessed 28 March 2014).</w:t>
      </w:r>
    </w:p>
  </w:footnote>
  <w:footnote w:id="7">
    <w:p w14:paraId="7A9C0125" w14:textId="77777777" w:rsidR="0072716A" w:rsidRPr="001E4206" w:rsidRDefault="0072716A" w:rsidP="0072716A">
      <w:pPr>
        <w:pStyle w:val="FootnoteText"/>
        <w:jc w:val="both"/>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Article 10:</w:t>
      </w:r>
    </w:p>
    <w:p w14:paraId="4DE4E44C" w14:textId="77777777" w:rsidR="0072716A" w:rsidRPr="001E4206" w:rsidRDefault="0072716A" w:rsidP="0072716A">
      <w:pPr>
        <w:pStyle w:val="FootnoteText"/>
        <w:jc w:val="both"/>
        <w:rPr>
          <w:rFonts w:ascii="Verdana" w:hAnsi="Verdana"/>
          <w:sz w:val="18"/>
          <w:szCs w:val="18"/>
        </w:rPr>
      </w:pPr>
      <w:r w:rsidRPr="001E4206">
        <w:rPr>
          <w:rFonts w:ascii="Verdana" w:hAnsi="Verdana"/>
          <w:sz w:val="18"/>
          <w:szCs w:val="18"/>
        </w:rPr>
        <w:t xml:space="preserve">“1. Any judgment given by a Court with jurisdiction in accordance with Article IX which is enforceable in the State of origin where it is no longer subject to ordinary forms of review, shall be recognized in any Contracting State, except: </w:t>
      </w:r>
    </w:p>
    <w:p w14:paraId="61171B30" w14:textId="77777777" w:rsidR="0072716A" w:rsidRPr="001E4206" w:rsidRDefault="0072716A" w:rsidP="0072716A">
      <w:pPr>
        <w:pStyle w:val="FootnoteText"/>
        <w:jc w:val="both"/>
        <w:rPr>
          <w:rFonts w:ascii="Verdana" w:hAnsi="Verdana"/>
          <w:sz w:val="18"/>
          <w:szCs w:val="18"/>
        </w:rPr>
      </w:pPr>
      <w:r w:rsidRPr="001E4206">
        <w:rPr>
          <w:rFonts w:ascii="Verdana" w:hAnsi="Verdana"/>
          <w:sz w:val="18"/>
          <w:szCs w:val="18"/>
        </w:rPr>
        <w:t xml:space="preserve">(a) where the judgment was obtained by fraud; or </w:t>
      </w:r>
    </w:p>
    <w:p w14:paraId="4E7AE9A3" w14:textId="77777777" w:rsidR="0072716A" w:rsidRPr="001E4206" w:rsidRDefault="0072716A" w:rsidP="0072716A">
      <w:pPr>
        <w:pStyle w:val="FootnoteText"/>
        <w:jc w:val="both"/>
        <w:rPr>
          <w:rFonts w:ascii="Verdana" w:hAnsi="Verdana"/>
          <w:sz w:val="18"/>
          <w:szCs w:val="18"/>
        </w:rPr>
      </w:pPr>
      <w:r w:rsidRPr="001E4206">
        <w:rPr>
          <w:rFonts w:ascii="Verdana" w:hAnsi="Verdana"/>
          <w:sz w:val="18"/>
          <w:szCs w:val="18"/>
        </w:rPr>
        <w:t xml:space="preserve">(b) where the defendant was not given reasonable notice and a fair opportunity to present his case. </w:t>
      </w:r>
    </w:p>
    <w:p w14:paraId="5C61ECF4" w14:textId="77777777" w:rsidR="0072716A" w:rsidRPr="001E4206" w:rsidRDefault="0072716A" w:rsidP="0072716A">
      <w:pPr>
        <w:pStyle w:val="FootnoteText"/>
        <w:jc w:val="both"/>
        <w:rPr>
          <w:rFonts w:ascii="Verdana" w:hAnsi="Verdana"/>
          <w:sz w:val="18"/>
          <w:szCs w:val="18"/>
        </w:rPr>
      </w:pPr>
      <w:r w:rsidRPr="001E4206">
        <w:rPr>
          <w:rFonts w:ascii="Verdana" w:hAnsi="Verdana"/>
          <w:sz w:val="18"/>
          <w:szCs w:val="18"/>
        </w:rPr>
        <w:t xml:space="preserve">“2. A judgment recognized under paragraph 1 of this Article shall be enforceable in each Contracting State as soon as the formalities required in that State have been complied with. The formalities shall not permit the merits of the case to be re-opened.” </w:t>
      </w:r>
    </w:p>
    <w:p w14:paraId="33CC2535" w14:textId="77777777" w:rsidR="0072716A" w:rsidRPr="001E4206" w:rsidRDefault="0072716A" w:rsidP="0072716A">
      <w:pPr>
        <w:pStyle w:val="FootnoteText"/>
        <w:jc w:val="both"/>
        <w:rPr>
          <w:rFonts w:ascii="Verdana" w:hAnsi="Verdana"/>
          <w:sz w:val="18"/>
          <w:szCs w:val="18"/>
        </w:rPr>
      </w:pPr>
      <w:r w:rsidRPr="001E4206">
        <w:rPr>
          <w:rFonts w:ascii="Verdana" w:hAnsi="Verdana"/>
          <w:sz w:val="18"/>
          <w:szCs w:val="18"/>
        </w:rPr>
        <w:t xml:space="preserve">Convention on Civil Liability for Oil Pollution Damage, adopted </w:t>
      </w:r>
      <w:r w:rsidRPr="001E4206">
        <w:rPr>
          <w:rFonts w:ascii="Verdana" w:hAnsi="Verdana"/>
          <w:bCs/>
          <w:sz w:val="18"/>
          <w:szCs w:val="18"/>
        </w:rPr>
        <w:t xml:space="preserve">9 November 1969; Entry into force: 19 June 1975; replaced by 1992 Protocol: adopted 27 November 1992; Entry into force: 30 May 1996. Available Online: </w:t>
      </w:r>
      <w:hyperlink r:id="rId5" w:history="1">
        <w:r w:rsidRPr="001E4206">
          <w:rPr>
            <w:rStyle w:val="Hyperlink1"/>
            <w:rFonts w:ascii="Verdana" w:hAnsi="Verdana"/>
            <w:bCs/>
            <w:sz w:val="18"/>
            <w:szCs w:val="18"/>
          </w:rPr>
          <w:t>http://www.iopcfunds.org/uploads/tx_iopcpublications/Text_of_Conventions_e.pdf</w:t>
        </w:r>
      </w:hyperlink>
      <w:r w:rsidRPr="001E4206">
        <w:rPr>
          <w:rFonts w:ascii="Verdana" w:hAnsi="Verdana"/>
          <w:bCs/>
          <w:sz w:val="18"/>
          <w:szCs w:val="18"/>
        </w:rPr>
        <w:t xml:space="preserve"> </w:t>
      </w:r>
      <w:r w:rsidRPr="001E4206">
        <w:rPr>
          <w:rFonts w:ascii="Verdana" w:hAnsi="Verdana"/>
          <w:sz w:val="18"/>
          <w:szCs w:val="18"/>
        </w:rPr>
        <w:t>(accessed 28 March 2014).</w:t>
      </w:r>
    </w:p>
  </w:footnote>
  <w:footnote w:id="8">
    <w:p w14:paraId="39BC308E" w14:textId="0E01F1A4" w:rsidR="0072716A" w:rsidRPr="001E4206" w:rsidRDefault="0072716A" w:rsidP="0072716A">
      <w:pPr>
        <w:pStyle w:val="FootnoteText"/>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OHCHR Report </w:t>
      </w:r>
      <w:r w:rsidR="00F5152C">
        <w:rPr>
          <w:rFonts w:ascii="Verdana" w:hAnsi="Verdana"/>
          <w:sz w:val="18"/>
          <w:szCs w:val="18"/>
        </w:rPr>
        <w:t xml:space="preserve">Improving Accountability and Access to a Remedy, </w:t>
      </w:r>
      <w:bookmarkStart w:id="0" w:name="_GoBack"/>
      <w:bookmarkEnd w:id="0"/>
      <w:r w:rsidRPr="001E4206">
        <w:rPr>
          <w:rFonts w:ascii="Verdana" w:hAnsi="Verdana"/>
          <w:sz w:val="18"/>
          <w:szCs w:val="18"/>
        </w:rPr>
        <w:t>Addendum A/HRC/32/19/Add.1, paras 36-38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Start w:val="69"/>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6A"/>
    <w:rsid w:val="00004B13"/>
    <w:rsid w:val="001E0506"/>
    <w:rsid w:val="00485588"/>
    <w:rsid w:val="004A28AC"/>
    <w:rsid w:val="0072716A"/>
    <w:rsid w:val="00851B01"/>
    <w:rsid w:val="00AD2177"/>
    <w:rsid w:val="00EC6B50"/>
    <w:rsid w:val="00F51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ACE8D8"/>
  <w14:defaultImageDpi w14:val="300"/>
  <w15:docId w15:val="{EB1FFC8F-26BB-44C7-85AA-C9F9A14C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7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2716A"/>
  </w:style>
  <w:style w:type="character" w:customStyle="1" w:styleId="FootnoteTextChar">
    <w:name w:val="Footnote Text Char"/>
    <w:basedOn w:val="DefaultParagraphFont"/>
    <w:link w:val="FootnoteText"/>
    <w:uiPriority w:val="99"/>
    <w:rsid w:val="0072716A"/>
  </w:style>
  <w:style w:type="character" w:styleId="FootnoteReference">
    <w:name w:val="footnote reference"/>
    <w:aliases w:val="4_G"/>
    <w:basedOn w:val="DefaultParagraphFont"/>
    <w:uiPriority w:val="99"/>
    <w:unhideWhenUsed/>
    <w:rsid w:val="0072716A"/>
    <w:rPr>
      <w:vertAlign w:val="superscript"/>
    </w:rPr>
  </w:style>
  <w:style w:type="character" w:customStyle="1" w:styleId="Hyperlink1">
    <w:name w:val="Hyperlink1"/>
    <w:basedOn w:val="DefaultParagraphFont"/>
    <w:uiPriority w:val="99"/>
    <w:unhideWhenUsed/>
    <w:rsid w:val="0072716A"/>
    <w:rPr>
      <w:color w:val="0000FF"/>
      <w:u w:val="single"/>
    </w:rPr>
  </w:style>
  <w:style w:type="table" w:styleId="TableGrid">
    <w:name w:val="Table Grid"/>
    <w:basedOn w:val="TableNormal"/>
    <w:uiPriority w:val="59"/>
    <w:rsid w:val="0072716A"/>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27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hcch.net/upload/conventions/txt37en.pdf" TargetMode="External"/><Relationship Id="rId2" Type="http://schemas.openxmlformats.org/officeDocument/2006/relationships/hyperlink" Target="http://www.hcch.net/index_en.php?act=conventions.text&amp;cid=78" TargetMode="External"/><Relationship Id="rId1" Type="http://schemas.openxmlformats.org/officeDocument/2006/relationships/hyperlink" Target="http://www.ohchr.org/EN/ProfessionalInterest/Pages/OPSCCRC.aspx" TargetMode="External"/><Relationship Id="rId5" Type="http://schemas.openxmlformats.org/officeDocument/2006/relationships/hyperlink" Target="http://www.iopcfunds.org/uploads/tx_iopcpublications/Text_of_Conventions_e.pdf" TargetMode="External"/><Relationship Id="rId4" Type="http://schemas.openxmlformats.org/officeDocument/2006/relationships/hyperlink" Target="http://www.hcch.net/index_en.php?act=conventions.status&amp;cid=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6AA8F-C7BE-4A01-A01B-CC182BFD2EC6}"/>
</file>

<file path=customXml/itemProps2.xml><?xml version="1.0" encoding="utf-8"?>
<ds:datastoreItem xmlns:ds="http://schemas.openxmlformats.org/officeDocument/2006/customXml" ds:itemID="{0EE549CC-4FC2-41AE-B1CD-A56968E629F2}"/>
</file>

<file path=customXml/itemProps3.xml><?xml version="1.0" encoding="utf-8"?>
<ds:datastoreItem xmlns:ds="http://schemas.openxmlformats.org/officeDocument/2006/customXml" ds:itemID="{DE02605A-D967-4485-9DB6-10F83D8DBE94}"/>
</file>

<file path=docProps/app.xml><?xml version="1.0" encoding="utf-8"?>
<Properties xmlns="http://schemas.openxmlformats.org/officeDocument/2006/extended-properties" xmlns:vt="http://schemas.openxmlformats.org/officeDocument/2006/docPropsVTypes">
  <Template>Normal</Template>
  <TotalTime>13</TotalTime>
  <Pages>4</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ICJ</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LOPEZ</dc:creator>
  <cp:keywords/>
  <dc:description/>
  <cp:lastModifiedBy>Carlos Lopez</cp:lastModifiedBy>
  <cp:revision>5</cp:revision>
  <dcterms:created xsi:type="dcterms:W3CDTF">2016-10-10T14:10:00Z</dcterms:created>
  <dcterms:modified xsi:type="dcterms:W3CDTF">2016-10-16T17:01:00Z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3787100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