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FC" w:rsidRPr="00C46082" w:rsidRDefault="00A53664" w:rsidP="005306F0">
      <w:pPr>
        <w:pStyle w:val="Noparagraphstyle"/>
        <w:spacing w:line="240" w:lineRule="auto"/>
        <w:jc w:val="both"/>
        <w:rPr>
          <w:sz w:val="22"/>
          <w:szCs w:val="22"/>
        </w:rPr>
      </w:pPr>
      <w:r w:rsidRPr="00C46082">
        <w:rPr>
          <w:noProof/>
          <w:sz w:val="22"/>
          <w:szCs w:val="22"/>
          <w:lang w:val="en-GB" w:eastAsia="en-GB"/>
        </w:rPr>
        <w:drawing>
          <wp:anchor distT="0" distB="0" distL="114300" distR="114300" simplePos="0" relativeHeight="251657728" behindDoc="0" locked="0" layoutInCell="1" allowOverlap="1" wp14:anchorId="127AD1BF" wp14:editId="0CCD3D3E">
            <wp:simplePos x="0" y="0"/>
            <wp:positionH relativeFrom="column">
              <wp:posOffset>4311650</wp:posOffset>
            </wp:positionH>
            <wp:positionV relativeFrom="paragraph">
              <wp:posOffset>-614045</wp:posOffset>
            </wp:positionV>
            <wp:extent cx="1327785" cy="1388745"/>
            <wp:effectExtent l="0" t="0" r="5715" b="1905"/>
            <wp:wrapSquare wrapText="bothSides"/>
            <wp:docPr id="12" name="Picture 12" descr="Portrait Colour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rtrait Colour 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785" cy="1388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0FC" w:rsidRPr="00C46082" w:rsidRDefault="00F630FC" w:rsidP="005306F0">
      <w:pPr>
        <w:pStyle w:val="Noparagraphstyle"/>
        <w:spacing w:line="240" w:lineRule="auto"/>
        <w:jc w:val="both"/>
        <w:rPr>
          <w:sz w:val="22"/>
          <w:szCs w:val="22"/>
        </w:rPr>
      </w:pPr>
    </w:p>
    <w:p w:rsidR="00F630FC" w:rsidRPr="00C46082" w:rsidRDefault="00F630FC" w:rsidP="005306F0">
      <w:pPr>
        <w:pStyle w:val="Noparagraphstyle"/>
        <w:spacing w:line="240" w:lineRule="auto"/>
        <w:jc w:val="both"/>
        <w:rPr>
          <w:sz w:val="22"/>
          <w:szCs w:val="22"/>
        </w:rPr>
      </w:pPr>
    </w:p>
    <w:p w:rsidR="00F630FC" w:rsidRPr="00C46082" w:rsidRDefault="005306F0" w:rsidP="005306F0">
      <w:pPr>
        <w:pStyle w:val="Noparagraphstyle"/>
        <w:spacing w:line="240" w:lineRule="auto"/>
        <w:jc w:val="both"/>
        <w:rPr>
          <w:sz w:val="22"/>
          <w:szCs w:val="22"/>
        </w:rPr>
      </w:pPr>
      <w:r w:rsidRPr="00C46082">
        <w:rPr>
          <w:sz w:val="22"/>
          <w:szCs w:val="22"/>
        </w:rPr>
        <w:t>30</w:t>
      </w:r>
      <w:r w:rsidR="00E217A7" w:rsidRPr="00C46082">
        <w:rPr>
          <w:sz w:val="22"/>
          <w:szCs w:val="22"/>
        </w:rPr>
        <w:t xml:space="preserve"> August 2016</w:t>
      </w:r>
    </w:p>
    <w:p w:rsidR="00F630FC" w:rsidRPr="00C46082" w:rsidRDefault="00F630FC" w:rsidP="005306F0">
      <w:pPr>
        <w:pStyle w:val="Noparagraphstyle"/>
        <w:spacing w:line="240" w:lineRule="auto"/>
        <w:jc w:val="both"/>
        <w:rPr>
          <w:sz w:val="22"/>
          <w:szCs w:val="22"/>
          <w:highlight w:val="yellow"/>
        </w:rPr>
      </w:pPr>
    </w:p>
    <w:p w:rsidR="005306F0" w:rsidRPr="00C46082" w:rsidRDefault="005306F0" w:rsidP="005306F0">
      <w:pPr>
        <w:jc w:val="center"/>
        <w:rPr>
          <w:rFonts w:ascii="Arial" w:hAnsi="Arial" w:cs="Arial"/>
          <w:b/>
        </w:rPr>
      </w:pPr>
    </w:p>
    <w:p w:rsidR="000D6D0B" w:rsidRPr="00C46082" w:rsidRDefault="005306F0" w:rsidP="005306F0">
      <w:pPr>
        <w:jc w:val="center"/>
        <w:rPr>
          <w:rFonts w:ascii="Arial" w:hAnsi="Arial" w:cs="Arial"/>
          <w:b/>
        </w:rPr>
      </w:pPr>
      <w:r w:rsidRPr="00C46082">
        <w:rPr>
          <w:rFonts w:ascii="Arial" w:hAnsi="Arial" w:cs="Arial"/>
          <w:b/>
        </w:rPr>
        <w:t>SUBMISSION TO UN OPEN ENDED INTER-GOVERNMENTAL WORKING GROUP ON TRANSNATIONAL CORPORATIONS &amp; OTHER BUSINESS ENTERPRISES WITH RESPECT TO HUMAN RIGHTS</w:t>
      </w:r>
    </w:p>
    <w:p w:rsidR="005306F0" w:rsidRDefault="005306F0" w:rsidP="005306F0">
      <w:pPr>
        <w:jc w:val="center"/>
        <w:rPr>
          <w:rFonts w:ascii="Arial" w:hAnsi="Arial" w:cs="Arial"/>
          <w:b/>
        </w:rPr>
      </w:pPr>
    </w:p>
    <w:p w:rsidR="004A2506" w:rsidRPr="00A44230" w:rsidRDefault="004A2506" w:rsidP="005306F0">
      <w:pPr>
        <w:jc w:val="center"/>
        <w:rPr>
          <w:rFonts w:ascii="Arial" w:hAnsi="Arial" w:cs="Arial"/>
          <w:b/>
        </w:rPr>
      </w:pPr>
    </w:p>
    <w:p w:rsidR="005306F0" w:rsidRPr="00A44230" w:rsidRDefault="005306F0" w:rsidP="00A44230">
      <w:pPr>
        <w:jc w:val="center"/>
        <w:rPr>
          <w:rFonts w:ascii="Arial" w:hAnsi="Arial" w:cs="Arial"/>
        </w:rPr>
      </w:pPr>
      <w:r w:rsidRPr="00A44230">
        <w:rPr>
          <w:rFonts w:ascii="Arial" w:hAnsi="Arial" w:cs="Arial"/>
        </w:rPr>
        <w:t>SUBMITTED BY ASSOCIATE PROFESSOR JUSTINE NOLAN</w:t>
      </w:r>
    </w:p>
    <w:p w:rsidR="00A44230" w:rsidRPr="00A44230" w:rsidRDefault="005306F0" w:rsidP="00A44230">
      <w:pPr>
        <w:spacing w:line="360" w:lineRule="auto"/>
        <w:jc w:val="center"/>
        <w:rPr>
          <w:rFonts w:ascii="Arial" w:hAnsi="Arial" w:cs="Arial"/>
        </w:rPr>
      </w:pPr>
      <w:r w:rsidRPr="00A44230">
        <w:rPr>
          <w:rFonts w:ascii="Arial" w:hAnsi="Arial" w:cs="Arial"/>
        </w:rPr>
        <w:t>UNSW, FACULTY OF LAW &amp; AUSTRALIAN HUMAN RIGHTS CENTRE</w:t>
      </w:r>
    </w:p>
    <w:p w:rsidR="00A44230" w:rsidRPr="00A44230" w:rsidRDefault="00665422" w:rsidP="00A44230">
      <w:pPr>
        <w:spacing w:line="360" w:lineRule="auto"/>
        <w:jc w:val="center"/>
      </w:pPr>
      <w:hyperlink r:id="rId10" w:history="1">
        <w:r w:rsidR="00A44230" w:rsidRPr="00A44230">
          <w:rPr>
            <w:rStyle w:val="Hyperlink"/>
          </w:rPr>
          <w:t>justine.nolan@unsw.edu.au</w:t>
        </w:r>
      </w:hyperlink>
      <w:r w:rsidR="00A44230">
        <w:rPr>
          <w:rStyle w:val="Hyperlink"/>
        </w:rPr>
        <w:t xml:space="preserve"> /@</w:t>
      </w:r>
      <w:proofErr w:type="spellStart"/>
      <w:r w:rsidR="00A44230">
        <w:rPr>
          <w:rStyle w:val="Hyperlink"/>
        </w:rPr>
        <w:t>justine_nolan</w:t>
      </w:r>
      <w:proofErr w:type="spellEnd"/>
    </w:p>
    <w:p w:rsidR="005306F0" w:rsidRPr="00C46082" w:rsidRDefault="005306F0" w:rsidP="005306F0">
      <w:pPr>
        <w:jc w:val="center"/>
        <w:rPr>
          <w:rFonts w:ascii="Arial" w:hAnsi="Arial" w:cs="Arial"/>
        </w:rPr>
      </w:pPr>
    </w:p>
    <w:p w:rsidR="005306F0" w:rsidRPr="00C46082" w:rsidRDefault="005306F0" w:rsidP="005306F0">
      <w:pPr>
        <w:jc w:val="both"/>
        <w:rPr>
          <w:b/>
          <w:sz w:val="22"/>
          <w:szCs w:val="22"/>
        </w:rPr>
      </w:pPr>
    </w:p>
    <w:p w:rsidR="005306F0" w:rsidRPr="00D859FB" w:rsidRDefault="005306F0" w:rsidP="00D859FB">
      <w:pPr>
        <w:jc w:val="center"/>
        <w:rPr>
          <w:rFonts w:ascii="Arial" w:hAnsi="Arial" w:cs="Arial"/>
          <w:b/>
          <w:u w:val="single"/>
        </w:rPr>
      </w:pPr>
      <w:r w:rsidRPr="00D859FB">
        <w:rPr>
          <w:rFonts w:ascii="Arial" w:hAnsi="Arial" w:cs="Arial"/>
          <w:b/>
          <w:u w:val="single"/>
        </w:rPr>
        <w:t>Regulating Supply Chains in a Business and Human Rights Treaty</w:t>
      </w:r>
    </w:p>
    <w:p w:rsidR="000D6D0B" w:rsidRPr="00C46082" w:rsidRDefault="000D6D0B" w:rsidP="005306F0">
      <w:pPr>
        <w:jc w:val="both"/>
        <w:rPr>
          <w:b/>
          <w:sz w:val="22"/>
          <w:szCs w:val="22"/>
        </w:rPr>
      </w:pPr>
    </w:p>
    <w:p w:rsidR="005306F0" w:rsidRPr="00C46082" w:rsidRDefault="005306F0" w:rsidP="005306F0">
      <w:pPr>
        <w:pStyle w:val="ListParagraph"/>
        <w:numPr>
          <w:ilvl w:val="0"/>
          <w:numId w:val="5"/>
        </w:numPr>
        <w:autoSpaceDE w:val="0"/>
        <w:autoSpaceDN w:val="0"/>
        <w:adjustRightInd w:val="0"/>
        <w:jc w:val="both"/>
        <w:rPr>
          <w:rFonts w:ascii="Times New Roman" w:hAnsi="Times New Roman" w:cs="Times New Roman"/>
        </w:rPr>
      </w:pPr>
      <w:r w:rsidRPr="00C46082">
        <w:rPr>
          <w:rFonts w:ascii="Times New Roman" w:hAnsi="Times New Roman" w:cs="Times New Roman"/>
        </w:rPr>
        <w:t xml:space="preserve">In considering the development of a business and human rights treaty, the inclusion of provisions aimed at regulating corporate human rights responsibilities in supply chains, </w:t>
      </w:r>
      <w:r w:rsidR="00A44230">
        <w:rPr>
          <w:rFonts w:ascii="Times New Roman" w:hAnsi="Times New Roman" w:cs="Times New Roman"/>
        </w:rPr>
        <w:t>is</w:t>
      </w:r>
      <w:r w:rsidRPr="00C46082">
        <w:rPr>
          <w:rFonts w:ascii="Times New Roman" w:hAnsi="Times New Roman" w:cs="Times New Roman"/>
        </w:rPr>
        <w:t xml:space="preserve"> essential given not only the preponderance and reliance on supply chains in bringing goods to market but also because of their potential as a repository of corporate human rights violations. At the annual conference of the </w:t>
      </w:r>
      <w:r w:rsidR="00A44230">
        <w:rPr>
          <w:rFonts w:ascii="Times New Roman" w:hAnsi="Times New Roman" w:cs="Times New Roman"/>
        </w:rPr>
        <w:t>ILO</w:t>
      </w:r>
      <w:r w:rsidRPr="00C46082">
        <w:rPr>
          <w:rFonts w:ascii="Times New Roman" w:hAnsi="Times New Roman" w:cs="Times New Roman"/>
        </w:rPr>
        <w:t xml:space="preserve"> in June 2016, the question of whether global supply chains need new rules and regulations figured prominently on the agenda. The final ILO conference conclusions highlight the need for a more formal examination of governance gaps within global supply chain and consideration of whether new international standards are required to protect workers in supply chains. Specifically, the ILO conference noted that governments have a responsibility to:</w:t>
      </w:r>
    </w:p>
    <w:p w:rsidR="005306F0" w:rsidRPr="00FC5970" w:rsidRDefault="005306F0" w:rsidP="005306F0">
      <w:pPr>
        <w:autoSpaceDE w:val="0"/>
        <w:autoSpaceDN w:val="0"/>
        <w:adjustRightInd w:val="0"/>
        <w:ind w:left="720"/>
        <w:jc w:val="both"/>
        <w:rPr>
          <w:sz w:val="20"/>
          <w:szCs w:val="20"/>
        </w:rPr>
      </w:pPr>
      <w:r w:rsidRPr="00FC5970">
        <w:rPr>
          <w:sz w:val="20"/>
          <w:szCs w:val="20"/>
        </w:rPr>
        <w:t>[c]</w:t>
      </w:r>
      <w:proofErr w:type="spellStart"/>
      <w:r w:rsidRPr="00FC5970">
        <w:rPr>
          <w:sz w:val="20"/>
          <w:szCs w:val="20"/>
        </w:rPr>
        <w:t>reate</w:t>
      </w:r>
      <w:proofErr w:type="spellEnd"/>
      <w:r w:rsidRPr="00FC5970">
        <w:rPr>
          <w:sz w:val="20"/>
          <w:szCs w:val="20"/>
        </w:rPr>
        <w:t xml:space="preserve"> an enabling environment to help enterprises strengthen their</w:t>
      </w:r>
      <w:r w:rsidR="00A44230">
        <w:rPr>
          <w:sz w:val="20"/>
          <w:szCs w:val="20"/>
        </w:rPr>
        <w:t xml:space="preserve"> contribution to sustainability </w:t>
      </w:r>
      <w:r w:rsidRPr="00FC5970">
        <w:rPr>
          <w:sz w:val="20"/>
          <w:szCs w:val="20"/>
        </w:rPr>
        <w:t>and decent work throughout their business operations, help them to identify sector-specific risks and implement due diligence procedures in their management systems. Governments should also clearly communicate on what they expect from enterprises with respect to responsible business conduct and could consider whether further measures, including regulation, are needed if these expectations are not met.</w:t>
      </w:r>
      <w:r w:rsidRPr="00FC5970">
        <w:rPr>
          <w:rStyle w:val="FootnoteReference"/>
          <w:sz w:val="20"/>
          <w:szCs w:val="20"/>
        </w:rPr>
        <w:footnoteReference w:id="1"/>
      </w:r>
    </w:p>
    <w:p w:rsidR="005306F0" w:rsidRPr="00C46082" w:rsidRDefault="005306F0" w:rsidP="005306F0">
      <w:pPr>
        <w:autoSpaceDE w:val="0"/>
        <w:autoSpaceDN w:val="0"/>
        <w:adjustRightInd w:val="0"/>
        <w:ind w:left="720"/>
        <w:jc w:val="both"/>
        <w:rPr>
          <w:sz w:val="22"/>
          <w:szCs w:val="22"/>
        </w:rPr>
      </w:pPr>
    </w:p>
    <w:p w:rsidR="00C46082" w:rsidRPr="00C46082" w:rsidRDefault="005306F0" w:rsidP="005306F0">
      <w:pPr>
        <w:pStyle w:val="ListParagraph"/>
        <w:numPr>
          <w:ilvl w:val="0"/>
          <w:numId w:val="5"/>
        </w:numPr>
        <w:autoSpaceDE w:val="0"/>
        <w:autoSpaceDN w:val="0"/>
        <w:adjustRightInd w:val="0"/>
        <w:jc w:val="both"/>
        <w:rPr>
          <w:rFonts w:ascii="Times New Roman" w:hAnsi="Times New Roman" w:cs="Times New Roman"/>
        </w:rPr>
      </w:pPr>
      <w:r w:rsidRPr="00C46082">
        <w:rPr>
          <w:rFonts w:ascii="Times New Roman" w:hAnsi="Times New Roman" w:cs="Times New Roman"/>
        </w:rPr>
        <w:t xml:space="preserve"> </w:t>
      </w:r>
      <w:r w:rsidR="00C46082" w:rsidRPr="00C46082">
        <w:rPr>
          <w:rFonts w:ascii="Times New Roman" w:hAnsi="Times New Roman" w:cs="Times New Roman"/>
        </w:rPr>
        <w:t>Preceding the</w:t>
      </w:r>
      <w:r w:rsidRPr="00C46082">
        <w:rPr>
          <w:rFonts w:ascii="Times New Roman" w:hAnsi="Times New Roman" w:cs="Times New Roman"/>
        </w:rPr>
        <w:t xml:space="preserve"> ILO’s 2016</w:t>
      </w:r>
      <w:r w:rsidR="00C46082" w:rsidRPr="00C46082">
        <w:rPr>
          <w:rFonts w:ascii="Times New Roman" w:hAnsi="Times New Roman" w:cs="Times New Roman"/>
        </w:rPr>
        <w:t xml:space="preserve"> supply chains </w:t>
      </w:r>
      <w:r w:rsidRPr="00C46082">
        <w:rPr>
          <w:rFonts w:ascii="Times New Roman" w:hAnsi="Times New Roman" w:cs="Times New Roman"/>
        </w:rPr>
        <w:t xml:space="preserve">discussions </w:t>
      </w:r>
      <w:r w:rsidR="00C46082" w:rsidRPr="00C46082">
        <w:rPr>
          <w:rFonts w:ascii="Times New Roman" w:hAnsi="Times New Roman" w:cs="Times New Roman"/>
        </w:rPr>
        <w:t xml:space="preserve">was the development </w:t>
      </w:r>
      <w:r w:rsidR="00D859FB" w:rsidRPr="00C46082">
        <w:rPr>
          <w:rFonts w:ascii="Times New Roman" w:hAnsi="Times New Roman" w:cs="Times New Roman"/>
        </w:rPr>
        <w:t>of a</w:t>
      </w:r>
      <w:r w:rsidRPr="00C46082">
        <w:rPr>
          <w:rFonts w:ascii="Times New Roman" w:hAnsi="Times New Roman" w:cs="Times New Roman"/>
        </w:rPr>
        <w:t xml:space="preserve"> number of different legislative initiatives focused on increasing corporate </w:t>
      </w:r>
      <w:r w:rsidRPr="00C46082">
        <w:rPr>
          <w:rFonts w:ascii="Times New Roman" w:hAnsi="Times New Roman" w:cs="Times New Roman"/>
        </w:rPr>
        <w:lastRenderedPageBreak/>
        <w:t xml:space="preserve">reporting of human </w:t>
      </w:r>
      <w:r w:rsidR="00C46082" w:rsidRPr="00C46082">
        <w:rPr>
          <w:rFonts w:ascii="Times New Roman" w:hAnsi="Times New Roman" w:cs="Times New Roman"/>
        </w:rPr>
        <w:t xml:space="preserve">rights impacts in supply chains. In 2015, the </w:t>
      </w:r>
      <w:r w:rsidR="00A44230">
        <w:rPr>
          <w:rFonts w:ascii="Times New Roman" w:hAnsi="Times New Roman" w:cs="Times New Roman"/>
        </w:rPr>
        <w:t>UK</w:t>
      </w:r>
      <w:r w:rsidR="00C46082" w:rsidRPr="00C46082">
        <w:rPr>
          <w:rFonts w:ascii="Times New Roman" w:hAnsi="Times New Roman" w:cs="Times New Roman"/>
        </w:rPr>
        <w:t xml:space="preserve"> passed the Modern Slavery Act, which mandates transparency in supply chains.</w:t>
      </w:r>
      <w:r w:rsidR="00C46082" w:rsidRPr="00C46082">
        <w:rPr>
          <w:rStyle w:val="FootnoteReference"/>
          <w:rFonts w:ascii="Times New Roman" w:hAnsi="Times New Roman" w:cs="Times New Roman"/>
        </w:rPr>
        <w:footnoteReference w:id="2"/>
      </w:r>
      <w:r w:rsidR="00C46082" w:rsidRPr="00C46082">
        <w:rPr>
          <w:rFonts w:ascii="Times New Roman" w:hAnsi="Times New Roman" w:cs="Times New Roman"/>
        </w:rPr>
        <w:t xml:space="preserve"> The UK legislation was modelled on, but is potentially broader than, the California Transparency in Supply Chains Act passed a few years earlier.</w:t>
      </w:r>
      <w:r w:rsidR="00C46082" w:rsidRPr="00C46082">
        <w:rPr>
          <w:rStyle w:val="FootnoteReference"/>
          <w:rFonts w:ascii="Times New Roman" w:hAnsi="Times New Roman" w:cs="Times New Roman"/>
        </w:rPr>
        <w:footnoteReference w:id="3"/>
      </w:r>
      <w:r w:rsidR="00C46082" w:rsidRPr="00C46082">
        <w:rPr>
          <w:rFonts w:ascii="Times New Roman" w:hAnsi="Times New Roman" w:cs="Times New Roman"/>
        </w:rPr>
        <w:t xml:space="preserve"> Another example of transparency legislation is s.1502 of the US Dodd-Frank Act, which requires all listed companies to report on the sources of minerals used in their products that originate from the Democratic Republic of Congo or adjoining countries.</w:t>
      </w:r>
      <w:r w:rsidR="00C46082" w:rsidRPr="00C46082">
        <w:rPr>
          <w:rStyle w:val="FootnoteReference"/>
          <w:rFonts w:ascii="Times New Roman" w:hAnsi="Times New Roman" w:cs="Times New Roman"/>
        </w:rPr>
        <w:footnoteReference w:id="4"/>
      </w:r>
      <w:r w:rsidR="00C46082" w:rsidRPr="00C46082">
        <w:rPr>
          <w:rFonts w:ascii="Times New Roman" w:hAnsi="Times New Roman" w:cs="Times New Roman"/>
        </w:rPr>
        <w:t xml:space="preserve"> While these American and British legislative developments mandate disclosure, they do not directly impose civil or criminal liability on lead firms for the downstream acts of other companies in their supply chain.  However, transparency legislation can also be crafted to expressly attach legal liability up and down a supply chain for particular wrongdoings occurring anywhere in that chain.  An example of this approach can be found in Australian legislation</w:t>
      </w:r>
      <w:r w:rsidR="00C46082" w:rsidRPr="00C46082">
        <w:rPr>
          <w:rStyle w:val="FootnoteReference"/>
          <w:rFonts w:ascii="Times New Roman" w:hAnsi="Times New Roman" w:cs="Times New Roman"/>
        </w:rPr>
        <w:footnoteReference w:id="5"/>
      </w:r>
      <w:r w:rsidR="00C46082" w:rsidRPr="00C46082">
        <w:rPr>
          <w:rFonts w:ascii="Times New Roman" w:hAnsi="Times New Roman" w:cs="Times New Roman"/>
        </w:rPr>
        <w:t xml:space="preserve"> which establishes </w:t>
      </w:r>
      <w:r w:rsidR="00C46082" w:rsidRPr="00C46082">
        <w:rPr>
          <w:rFonts w:ascii="Times New Roman" w:hAnsi="Times New Roman" w:cs="Times New Roman"/>
          <w:spacing w:val="2"/>
          <w:shd w:val="clear" w:color="auto" w:fill="FFFFFF"/>
        </w:rPr>
        <w:t>a regulatory framework for improving the rights of homeworkers in the Australian apparel industry and requires the insertion of contractual tracking mechanisms in supplier contracts to follow production and mandate disclosure up and down the supply chain. Liability for contraventions of the laws is imposed on lead companies in order to shift the overarching legal responsibility to the top of the supply chain.</w:t>
      </w:r>
      <w:r w:rsidR="00C46082" w:rsidRPr="00C46082">
        <w:rPr>
          <w:rStyle w:val="apple-converted-space"/>
          <w:rFonts w:ascii="Times New Roman" w:hAnsi="Times New Roman" w:cs="Times New Roman"/>
          <w:spacing w:val="2"/>
          <w:shd w:val="clear" w:color="auto" w:fill="FFFFFF"/>
        </w:rPr>
        <w:t xml:space="preserve"> Another </w:t>
      </w:r>
      <w:r w:rsidR="00C46082" w:rsidRPr="00C46082">
        <w:rPr>
          <w:rFonts w:ascii="Times New Roman" w:hAnsi="Times New Roman" w:cs="Times New Roman"/>
        </w:rPr>
        <w:t>model of transnational supply chain regulation which combines due diligence requirements with civil and criminal liability is exemplified by the Illegal Logging Prohibition Act recently established in Australia.</w:t>
      </w:r>
      <w:r w:rsidR="00C46082" w:rsidRPr="00C46082">
        <w:rPr>
          <w:rStyle w:val="FootnoteReference"/>
          <w:rFonts w:ascii="Times New Roman" w:hAnsi="Times New Roman" w:cs="Times New Roman"/>
        </w:rPr>
        <w:footnoteReference w:id="6"/>
      </w:r>
      <w:r w:rsidR="00C46082" w:rsidRPr="00C46082">
        <w:rPr>
          <w:rFonts w:ascii="Times New Roman" w:hAnsi="Times New Roman" w:cs="Times New Roman"/>
        </w:rPr>
        <w:t xml:space="preserve"> This Act incorporates due diligence requirements which obligate the importers and processors of timber to initiate verification and certification processes in order to ensure the imported timber was not illegally logged.</w:t>
      </w:r>
      <w:r w:rsidR="00C46082" w:rsidRPr="00C46082">
        <w:rPr>
          <w:rStyle w:val="FootnoteReference"/>
          <w:rFonts w:ascii="Times New Roman" w:hAnsi="Times New Roman" w:cs="Times New Roman"/>
        </w:rPr>
        <w:footnoteReference w:id="7"/>
      </w:r>
      <w:r w:rsidR="00C46082" w:rsidRPr="00C46082">
        <w:rPr>
          <w:rFonts w:ascii="Times New Roman" w:hAnsi="Times New Roman" w:cs="Times New Roman"/>
        </w:rPr>
        <w:t xml:space="preserve"> If an importer or processor intentionally, knowingly or recklessly imports or processes illegally logged timber they could face significant penalties, including up to five years imprisonment and/or heavy fines.  This hybrid legislation deliberately targets the firm at the top end of the supply chain (and utilizes civil and criminal liability) as a means of deterring illegal activities downstream. It is a potentially useful model for overcoming regulatory challenges that may arise in host states </w:t>
      </w:r>
      <w:r w:rsidR="00C46082" w:rsidRPr="00C46082">
        <w:rPr>
          <w:rFonts w:ascii="Times New Roman" w:hAnsi="Times New Roman" w:cs="Times New Roman"/>
        </w:rPr>
        <w:lastRenderedPageBreak/>
        <w:t xml:space="preserve">including an unwillingness or inability to enforce their own </w:t>
      </w:r>
      <w:proofErr w:type="spellStart"/>
      <w:r w:rsidR="00C46082" w:rsidRPr="00C46082">
        <w:rPr>
          <w:rFonts w:ascii="Times New Roman" w:hAnsi="Times New Roman" w:cs="Times New Roman"/>
        </w:rPr>
        <w:t>labo</w:t>
      </w:r>
      <w:r w:rsidR="00D859FB">
        <w:rPr>
          <w:rFonts w:ascii="Times New Roman" w:hAnsi="Times New Roman" w:cs="Times New Roman"/>
        </w:rPr>
        <w:t>u</w:t>
      </w:r>
      <w:r w:rsidR="00C46082" w:rsidRPr="00C46082">
        <w:rPr>
          <w:rFonts w:ascii="Times New Roman" w:hAnsi="Times New Roman" w:cs="Times New Roman"/>
        </w:rPr>
        <w:t>r</w:t>
      </w:r>
      <w:proofErr w:type="spellEnd"/>
      <w:r w:rsidR="00C46082" w:rsidRPr="00C46082">
        <w:rPr>
          <w:rFonts w:ascii="Times New Roman" w:hAnsi="Times New Roman" w:cs="Times New Roman"/>
        </w:rPr>
        <w:t>, human rights and environmental laws.</w:t>
      </w:r>
    </w:p>
    <w:p w:rsidR="005306F0" w:rsidRPr="00C46082" w:rsidRDefault="00C46082" w:rsidP="005306F0">
      <w:pPr>
        <w:pStyle w:val="ListParagraph"/>
        <w:numPr>
          <w:ilvl w:val="0"/>
          <w:numId w:val="5"/>
        </w:numPr>
        <w:autoSpaceDE w:val="0"/>
        <w:autoSpaceDN w:val="0"/>
        <w:adjustRightInd w:val="0"/>
        <w:jc w:val="both"/>
        <w:rPr>
          <w:rFonts w:ascii="Times New Roman" w:hAnsi="Times New Roman" w:cs="Times New Roman"/>
        </w:rPr>
      </w:pPr>
      <w:r w:rsidRPr="00C46082">
        <w:rPr>
          <w:rFonts w:ascii="Times New Roman" w:hAnsi="Times New Roman" w:cs="Times New Roman"/>
        </w:rPr>
        <w:t>A number of key questions arise when considering the development of r</w:t>
      </w:r>
      <w:r w:rsidR="005306F0" w:rsidRPr="00C46082">
        <w:rPr>
          <w:rFonts w:ascii="Times New Roman" w:hAnsi="Times New Roman" w:cs="Times New Roman"/>
        </w:rPr>
        <w:t>egulatory provisions aimed at protecting the rig</w:t>
      </w:r>
      <w:r w:rsidRPr="00C46082">
        <w:rPr>
          <w:rFonts w:ascii="Times New Roman" w:hAnsi="Times New Roman" w:cs="Times New Roman"/>
        </w:rPr>
        <w:t xml:space="preserve">hts of workers in supply chains: </w:t>
      </w:r>
      <w:r w:rsidR="005306F0" w:rsidRPr="00C46082">
        <w:rPr>
          <w:rFonts w:ascii="Times New Roman" w:hAnsi="Times New Roman" w:cs="Times New Roman"/>
        </w:rPr>
        <w:t>how broadly should a sup</w:t>
      </w:r>
      <w:r w:rsidRPr="00C46082">
        <w:rPr>
          <w:rFonts w:ascii="Times New Roman" w:hAnsi="Times New Roman" w:cs="Times New Roman"/>
        </w:rPr>
        <w:t>ply chain be described</w:t>
      </w:r>
      <w:r w:rsidR="005306F0" w:rsidRPr="00C46082">
        <w:rPr>
          <w:rFonts w:ascii="Times New Roman" w:hAnsi="Times New Roman" w:cs="Times New Roman"/>
        </w:rPr>
        <w:t xml:space="preserve">; how prescriptively should due diligence be defined; should due diligence processes vary from sector to sector or be narrowly focused on specific issues such as forced labor; and if due diligence applies separately to all entities within a supply chain, should lead firms in the chain be subject to specific requirements holding them accountable for both reporting on downstream activities and potentially liable for wrongdoings in that chain? </w:t>
      </w:r>
    </w:p>
    <w:p w:rsidR="005306F0" w:rsidRPr="00C46082" w:rsidRDefault="005306F0" w:rsidP="005306F0">
      <w:pPr>
        <w:autoSpaceDE w:val="0"/>
        <w:autoSpaceDN w:val="0"/>
        <w:adjustRightInd w:val="0"/>
        <w:jc w:val="both"/>
        <w:rPr>
          <w:sz w:val="22"/>
          <w:szCs w:val="22"/>
        </w:rPr>
      </w:pPr>
    </w:p>
    <w:p w:rsidR="00D859FB" w:rsidRPr="00D859FB" w:rsidRDefault="005306F0" w:rsidP="00D859FB">
      <w:pPr>
        <w:pStyle w:val="Body"/>
        <w:numPr>
          <w:ilvl w:val="0"/>
          <w:numId w:val="5"/>
        </w:numPr>
        <w:ind w:left="714" w:hanging="357"/>
        <w:jc w:val="both"/>
        <w:rPr>
          <w:rFonts w:ascii="Times New Roman" w:eastAsiaTheme="minorHAnsi" w:hAnsi="Times New Roman" w:cs="Times New Roman"/>
          <w:b/>
          <w:bCs/>
          <w:color w:val="auto"/>
          <w:bdr w:val="none" w:sz="0" w:space="0" w:color="auto"/>
          <w:lang w:val="en-AU"/>
        </w:rPr>
      </w:pPr>
      <w:r w:rsidRPr="00C46082">
        <w:rPr>
          <w:rFonts w:ascii="Times New Roman" w:eastAsiaTheme="minorHAnsi" w:hAnsi="Times New Roman" w:cs="Times New Roman"/>
          <w:b/>
          <w:bCs/>
          <w:color w:val="auto"/>
          <w:bdr w:val="none" w:sz="0" w:space="0" w:color="auto"/>
          <w:lang w:val="en-AU"/>
        </w:rPr>
        <w:t>Defining a supply chain</w:t>
      </w:r>
      <w:r w:rsidR="00C46082" w:rsidRPr="00C46082">
        <w:rPr>
          <w:rFonts w:ascii="Times New Roman" w:eastAsiaTheme="minorHAnsi" w:hAnsi="Times New Roman" w:cs="Times New Roman"/>
          <w:b/>
          <w:bCs/>
          <w:color w:val="auto"/>
          <w:bdr w:val="none" w:sz="0" w:space="0" w:color="auto"/>
          <w:lang w:val="en-AU"/>
        </w:rPr>
        <w:t xml:space="preserve">. </w:t>
      </w:r>
      <w:r w:rsidRPr="00C46082">
        <w:rPr>
          <w:rFonts w:ascii="Times New Roman" w:eastAsiaTheme="minorHAnsi" w:hAnsi="Times New Roman" w:cs="Times New Roman"/>
          <w:bCs/>
          <w:color w:val="auto"/>
          <w:bdr w:val="none" w:sz="0" w:space="0" w:color="auto"/>
          <w:lang w:val="en-AU"/>
        </w:rPr>
        <w:t>In defining a supply chain, treaty drafters should look to soft and hard law guidelines that are already in place and include a comprehensive definition of a supply chain, not limited to the first tier suppliers. For example, the OECD Due Diligence Guidance</w:t>
      </w:r>
      <w:r w:rsidRPr="00C46082">
        <w:rPr>
          <w:rStyle w:val="FootnoteReference"/>
          <w:rFonts w:ascii="Times New Roman" w:eastAsiaTheme="minorHAnsi" w:hAnsi="Times New Roman" w:cs="Times New Roman"/>
          <w:bCs/>
          <w:color w:val="auto"/>
          <w:bdr w:val="none" w:sz="0" w:space="0" w:color="auto"/>
          <w:lang w:val="en-AU"/>
        </w:rPr>
        <w:footnoteReference w:id="8"/>
      </w:r>
      <w:r w:rsidRPr="00C46082">
        <w:rPr>
          <w:rFonts w:ascii="Times New Roman" w:eastAsiaTheme="minorHAnsi" w:hAnsi="Times New Roman" w:cs="Times New Roman"/>
          <w:bCs/>
          <w:color w:val="auto"/>
          <w:bdr w:val="none" w:sz="0" w:space="0" w:color="auto"/>
          <w:lang w:val="en-AU"/>
        </w:rPr>
        <w:t xml:space="preserve"> adopts a deep approach and includes all suppliers from the sourcing of raw material to the final product in its supply chain definition; the US Foreign Corrupt Practices Act</w:t>
      </w:r>
      <w:r w:rsidRPr="00C46082">
        <w:rPr>
          <w:rStyle w:val="FootnoteReference"/>
          <w:rFonts w:ascii="Times New Roman" w:eastAsiaTheme="minorHAnsi" w:hAnsi="Times New Roman" w:cs="Times New Roman"/>
          <w:bCs/>
          <w:color w:val="auto"/>
          <w:bdr w:val="none" w:sz="0" w:space="0" w:color="auto"/>
          <w:lang w:val="en-AU"/>
        </w:rPr>
        <w:footnoteReference w:id="9"/>
      </w:r>
      <w:r w:rsidRPr="00C46082">
        <w:rPr>
          <w:rFonts w:ascii="Times New Roman" w:eastAsiaTheme="minorHAnsi" w:hAnsi="Times New Roman" w:cs="Times New Roman"/>
          <w:bCs/>
          <w:color w:val="auto"/>
          <w:bdr w:val="none" w:sz="0" w:space="0" w:color="auto"/>
          <w:lang w:val="en-AU"/>
        </w:rPr>
        <w:t xml:space="preserve"> attaches liability to a company through its supply chain vendors.</w:t>
      </w:r>
      <w:r w:rsidRPr="00C46082">
        <w:rPr>
          <w:rStyle w:val="FootnoteReference"/>
          <w:rFonts w:ascii="Times New Roman" w:eastAsiaTheme="minorHAnsi" w:hAnsi="Times New Roman" w:cs="Times New Roman"/>
          <w:bCs/>
          <w:color w:val="auto"/>
          <w:bdr w:val="none" w:sz="0" w:space="0" w:color="auto"/>
          <w:lang w:val="en-AU"/>
        </w:rPr>
        <w:footnoteReference w:id="10"/>
      </w:r>
      <w:r w:rsidRPr="00C46082">
        <w:rPr>
          <w:rFonts w:ascii="Times New Roman" w:eastAsiaTheme="minorHAnsi" w:hAnsi="Times New Roman" w:cs="Times New Roman"/>
          <w:bCs/>
          <w:color w:val="auto"/>
          <w:bdr w:val="none" w:sz="0" w:space="0" w:color="auto"/>
          <w:lang w:val="en-AU"/>
        </w:rPr>
        <w:t xml:space="preserve"> The broad and inclusive approach of defining a supply chain as set out in the OECD Due Diligence Guidance is an approach to be recommended.</w:t>
      </w:r>
    </w:p>
    <w:p w:rsidR="00C46082" w:rsidRPr="00C46082" w:rsidRDefault="005306F0" w:rsidP="00FC5970">
      <w:pPr>
        <w:pStyle w:val="Body"/>
        <w:numPr>
          <w:ilvl w:val="0"/>
          <w:numId w:val="5"/>
        </w:numPr>
        <w:jc w:val="both"/>
        <w:rPr>
          <w:rFonts w:ascii="Times New Roman" w:eastAsiaTheme="minorHAnsi" w:hAnsi="Times New Roman" w:cs="Times New Roman"/>
          <w:b/>
          <w:bCs/>
          <w:color w:val="auto"/>
          <w:bdr w:val="none" w:sz="0" w:space="0" w:color="auto"/>
          <w:lang w:val="en-AU"/>
        </w:rPr>
      </w:pPr>
      <w:r w:rsidRPr="00C46082">
        <w:rPr>
          <w:rFonts w:ascii="Times New Roman" w:eastAsiaTheme="minorHAnsi" w:hAnsi="Times New Roman" w:cs="Times New Roman"/>
          <w:b/>
          <w:bCs/>
          <w:color w:val="auto"/>
          <w:bdr w:val="none" w:sz="0" w:space="0" w:color="auto"/>
          <w:lang w:val="en-AU"/>
        </w:rPr>
        <w:t>Defining due diligence</w:t>
      </w:r>
      <w:r w:rsidR="00C46082" w:rsidRPr="00C46082">
        <w:rPr>
          <w:rFonts w:ascii="Times New Roman" w:eastAsiaTheme="minorHAnsi" w:hAnsi="Times New Roman" w:cs="Times New Roman"/>
          <w:b/>
          <w:bCs/>
          <w:color w:val="auto"/>
          <w:bdr w:val="none" w:sz="0" w:space="0" w:color="auto"/>
          <w:lang w:val="en-AU"/>
        </w:rPr>
        <w:t xml:space="preserve">. </w:t>
      </w:r>
      <w:r w:rsidRPr="00C46082">
        <w:rPr>
          <w:rFonts w:ascii="Times New Roman" w:hAnsi="Times New Roman" w:cs="Times New Roman"/>
          <w:color w:val="auto"/>
        </w:rPr>
        <w:t>The Guiding Principles provide a broad framework that sets out the general parameters of what companies should take into account in conducting human rights due diligence assessments.</w:t>
      </w:r>
      <w:r w:rsidRPr="00C46082">
        <w:rPr>
          <w:rStyle w:val="FootnoteReference"/>
          <w:rFonts w:ascii="Times New Roman" w:hAnsi="Times New Roman" w:cs="Times New Roman"/>
          <w:color w:val="auto"/>
        </w:rPr>
        <w:footnoteReference w:id="11"/>
      </w:r>
      <w:r w:rsidRPr="00C46082">
        <w:rPr>
          <w:rFonts w:ascii="Times New Roman" w:hAnsi="Times New Roman" w:cs="Times New Roman"/>
          <w:color w:val="auto"/>
        </w:rPr>
        <w:t xml:space="preserve"> </w:t>
      </w:r>
      <w:r w:rsidRPr="00C46082">
        <w:rPr>
          <w:rFonts w:ascii="Times New Roman" w:eastAsiaTheme="minorHAnsi" w:hAnsi="Times New Roman" w:cs="Times New Roman"/>
          <w:bCs/>
          <w:color w:val="auto"/>
          <w:bdr w:val="none" w:sz="0" w:space="0" w:color="auto"/>
          <w:lang w:val="en-AU"/>
        </w:rPr>
        <w:t>They state that the “process should include assessing actual and potential human rights impacts, integrating and acting upon the findings, tracking responses, and communicating how impacts are addressed.”</w:t>
      </w:r>
      <w:r w:rsidRPr="00C46082">
        <w:rPr>
          <w:rStyle w:val="FootnoteReference"/>
          <w:rFonts w:ascii="Times New Roman" w:eastAsiaTheme="minorHAnsi" w:hAnsi="Times New Roman" w:cs="Times New Roman"/>
          <w:bCs/>
          <w:color w:val="auto"/>
          <w:bdr w:val="none" w:sz="0" w:space="0" w:color="auto"/>
          <w:lang w:val="en-AU"/>
        </w:rPr>
        <w:footnoteReference w:id="12"/>
      </w:r>
      <w:r w:rsidRPr="00C46082">
        <w:rPr>
          <w:rFonts w:ascii="Times New Roman" w:eastAsiaTheme="minorHAnsi" w:hAnsi="Times New Roman" w:cs="Times New Roman"/>
          <w:bCs/>
          <w:color w:val="auto"/>
          <w:bdr w:val="none" w:sz="0" w:space="0" w:color="auto"/>
          <w:lang w:val="en-AU"/>
        </w:rPr>
        <w:t xml:space="preserve"> However, the term “impacts” – the crucial element to which due diligence is addressed – is not defined and it may be clearer to refer to violations of international human rights in future </w:t>
      </w:r>
      <w:r w:rsidRPr="00C46082">
        <w:rPr>
          <w:rFonts w:ascii="Times New Roman" w:eastAsiaTheme="minorHAnsi" w:hAnsi="Times New Roman" w:cs="Times New Roman"/>
          <w:bCs/>
          <w:color w:val="auto"/>
          <w:bdr w:val="none" w:sz="0" w:space="0" w:color="auto"/>
          <w:lang w:val="en-AU"/>
        </w:rPr>
        <w:lastRenderedPageBreak/>
        <w:t>legislation.</w:t>
      </w:r>
      <w:r w:rsidRPr="00C46082">
        <w:rPr>
          <w:rStyle w:val="FootnoteReference"/>
          <w:rFonts w:ascii="Times New Roman" w:eastAsiaTheme="minorHAnsi" w:hAnsi="Times New Roman" w:cs="Times New Roman"/>
          <w:bCs/>
          <w:color w:val="auto"/>
          <w:bdr w:val="none" w:sz="0" w:space="0" w:color="auto"/>
          <w:lang w:val="en-AU"/>
        </w:rPr>
        <w:footnoteReference w:id="13"/>
      </w:r>
      <w:r w:rsidRPr="00C46082">
        <w:rPr>
          <w:rFonts w:ascii="Times New Roman" w:eastAsiaTheme="minorHAnsi" w:hAnsi="Times New Roman" w:cs="Times New Roman"/>
          <w:bCs/>
          <w:color w:val="auto"/>
          <w:bdr w:val="none" w:sz="0" w:space="0" w:color="auto"/>
          <w:lang w:val="en-AU"/>
        </w:rPr>
        <w:t xml:space="preserve"> Some of the legislative approaches to mandating due diligence are narrowly targeted towards a particular issue. For example, the Dodd-Frank Act requires companies to conduct due diligence on the source and chain of custody of conflict minerals emanating from the DRC. The Illegal Logging Prohibition Act is prescriptive in its approach to mandating due diligence as related specifically to the source of certain imported timber into Australia. S</w:t>
      </w:r>
      <w:proofErr w:type="spellStart"/>
      <w:r w:rsidRPr="00C46082">
        <w:rPr>
          <w:rFonts w:ascii="Times New Roman" w:hAnsi="Times New Roman" w:cs="Times New Roman"/>
          <w:color w:val="auto"/>
        </w:rPr>
        <w:t>upply</w:t>
      </w:r>
      <w:proofErr w:type="spellEnd"/>
      <w:r w:rsidRPr="00C46082">
        <w:rPr>
          <w:rFonts w:ascii="Times New Roman" w:hAnsi="Times New Roman" w:cs="Times New Roman"/>
          <w:color w:val="auto"/>
        </w:rPr>
        <w:t xml:space="preserve"> chain arrangements are not static</w:t>
      </w:r>
      <w:r w:rsidRPr="00C46082">
        <w:rPr>
          <w:rStyle w:val="FootnoteReference"/>
          <w:rFonts w:ascii="Times New Roman" w:hAnsi="Times New Roman" w:cs="Times New Roman"/>
          <w:color w:val="auto"/>
        </w:rPr>
        <w:footnoteReference w:id="14"/>
      </w:r>
      <w:r w:rsidRPr="00C46082">
        <w:rPr>
          <w:rFonts w:ascii="Times New Roman" w:hAnsi="Times New Roman" w:cs="Times New Roman"/>
          <w:color w:val="auto"/>
        </w:rPr>
        <w:t xml:space="preserve">  and will vary from sector to sector and amongst firms. Treaties by nature tend to be broad and somewhat abstract and </w:t>
      </w:r>
      <w:r w:rsidRPr="00C46082">
        <w:rPr>
          <w:rFonts w:ascii="Times New Roman" w:eastAsiaTheme="minorHAnsi" w:hAnsi="Times New Roman" w:cs="Times New Roman"/>
          <w:bCs/>
          <w:color w:val="auto"/>
          <w:bdr w:val="none" w:sz="0" w:space="0" w:color="auto"/>
          <w:lang w:val="en-AU"/>
        </w:rPr>
        <w:t>the supply chain provisions would necessarily reflect this broadness but will differ in one clear respect from the Guiding Principles</w:t>
      </w:r>
      <w:r w:rsidR="00A44230">
        <w:rPr>
          <w:rFonts w:ascii="Times New Roman" w:eastAsiaTheme="minorHAnsi" w:hAnsi="Times New Roman" w:cs="Times New Roman"/>
          <w:bCs/>
          <w:color w:val="auto"/>
          <w:bdr w:val="none" w:sz="0" w:space="0" w:color="auto"/>
          <w:lang w:val="en-AU"/>
        </w:rPr>
        <w:t>’</w:t>
      </w:r>
      <w:r w:rsidRPr="00C46082">
        <w:rPr>
          <w:rFonts w:ascii="Times New Roman" w:eastAsiaTheme="minorHAnsi" w:hAnsi="Times New Roman" w:cs="Times New Roman"/>
          <w:bCs/>
          <w:color w:val="auto"/>
          <w:bdr w:val="none" w:sz="0" w:space="0" w:color="auto"/>
          <w:lang w:val="en-AU"/>
        </w:rPr>
        <w:t xml:space="preserve"> due diligence guidance because such treaty provisions </w:t>
      </w:r>
      <w:r w:rsidR="00D859FB" w:rsidRPr="00C46082">
        <w:rPr>
          <w:rFonts w:ascii="Times New Roman" w:eastAsiaTheme="minorHAnsi" w:hAnsi="Times New Roman" w:cs="Times New Roman"/>
          <w:bCs/>
          <w:color w:val="auto"/>
          <w:bdr w:val="none" w:sz="0" w:space="0" w:color="auto"/>
          <w:lang w:val="en-AU"/>
        </w:rPr>
        <w:t>would not</w:t>
      </w:r>
      <w:r w:rsidRPr="00C46082">
        <w:rPr>
          <w:rFonts w:ascii="Times New Roman" w:eastAsiaTheme="minorHAnsi" w:hAnsi="Times New Roman" w:cs="Times New Roman"/>
          <w:bCs/>
          <w:color w:val="auto"/>
          <w:bdr w:val="none" w:sz="0" w:space="0" w:color="auto"/>
          <w:lang w:val="en-AU"/>
        </w:rPr>
        <w:t xml:space="preserve"> be optional but rather be cast as a legal obligation. In order to capture sector specificities, one option may be to attach sector specific guidelines or ‘regulations’ to a treaty (to be drafted a later date), setting out a narrower set of investigative issues to consider when conducting due diligence. </w:t>
      </w:r>
    </w:p>
    <w:p w:rsidR="00C46082" w:rsidRPr="00C46082" w:rsidRDefault="005306F0" w:rsidP="00FC5970">
      <w:pPr>
        <w:pStyle w:val="Body"/>
        <w:numPr>
          <w:ilvl w:val="0"/>
          <w:numId w:val="5"/>
        </w:numPr>
        <w:jc w:val="both"/>
        <w:rPr>
          <w:rFonts w:ascii="Times New Roman" w:eastAsiaTheme="minorHAnsi" w:hAnsi="Times New Roman" w:cs="Times New Roman"/>
          <w:b/>
          <w:bCs/>
          <w:color w:val="auto"/>
          <w:bdr w:val="none" w:sz="0" w:space="0" w:color="auto"/>
          <w:lang w:val="en-AU"/>
        </w:rPr>
      </w:pPr>
      <w:r w:rsidRPr="00C46082">
        <w:rPr>
          <w:rFonts w:ascii="Times New Roman" w:eastAsiaTheme="minorHAnsi" w:hAnsi="Times New Roman" w:cs="Times New Roman"/>
          <w:b/>
          <w:bCs/>
          <w:color w:val="auto"/>
          <w:bdr w:val="none" w:sz="0" w:space="0" w:color="auto"/>
          <w:lang w:val="en-AU"/>
        </w:rPr>
        <w:t>Accountability for human rights violations in a supply chain</w:t>
      </w:r>
      <w:r w:rsidR="00C46082" w:rsidRPr="00C46082">
        <w:rPr>
          <w:rFonts w:ascii="Times New Roman" w:eastAsiaTheme="minorHAnsi" w:hAnsi="Times New Roman" w:cs="Times New Roman"/>
          <w:b/>
          <w:bCs/>
          <w:color w:val="auto"/>
          <w:bdr w:val="none" w:sz="0" w:space="0" w:color="auto"/>
          <w:lang w:val="en-AU"/>
        </w:rPr>
        <w:t xml:space="preserve">. </w:t>
      </w:r>
      <w:r w:rsidRPr="00C46082">
        <w:rPr>
          <w:rFonts w:ascii="Times New Roman" w:hAnsi="Times New Roman" w:cs="Times New Roman"/>
        </w:rPr>
        <w:t xml:space="preserve">The various legislative models discussed above use different techniques to connect due diligence requirements with legal liability. Some aim to make corporate practices transparent and allow legal sanctions to be attributed indirectly via other legal principles, such as consumer law. Others directly incorporate civil or criminal penalties in the legislation. Due diligence provisions that directly incorporate penalties are more likely to be an effective deterrent against corporations operating in a manner that violates international human rights. Contractual risk-allocation may be effective in certain circumstances in shielding or indemnifying a firm for the wrongdoings of its suppliers, but such risk allocation would not protect the company or its officers from criminal liability. Moreover, contractual indemnification does not remove responsibility in the terms set out in the Guiding Principles where a firm has the leverage to effect change, and also does not prevent reputational risk. In the face of a human rights scandal, investors and consumers are unlikely to be appeased by corporate recourse to a legal indemnification clause. A treaty </w:t>
      </w:r>
      <w:r w:rsidRPr="00C46082">
        <w:rPr>
          <w:rFonts w:ascii="Times New Roman" w:eastAsiaTheme="minorHAnsi" w:hAnsi="Times New Roman" w:cs="Times New Roman"/>
          <w:bdr w:val="none" w:sz="0" w:space="0" w:color="auto"/>
          <w:lang w:val="en-AU"/>
        </w:rPr>
        <w:t>might also provide that demonstrated good faith due diligence could be raised as a defence to, or at least a proportional mitigation of, criminal or civil liability.</w:t>
      </w:r>
      <w:r w:rsidRPr="00C46082">
        <w:rPr>
          <w:rStyle w:val="FootnoteReference"/>
          <w:rFonts w:ascii="Times New Roman" w:eastAsiaTheme="minorHAnsi" w:hAnsi="Times New Roman" w:cs="Times New Roman"/>
          <w:bdr w:val="none" w:sz="0" w:space="0" w:color="auto"/>
          <w:lang w:val="en-AU"/>
        </w:rPr>
        <w:footnoteReference w:id="15"/>
      </w:r>
      <w:r w:rsidRPr="00C46082">
        <w:rPr>
          <w:rFonts w:ascii="Times New Roman" w:eastAsiaTheme="minorHAnsi" w:hAnsi="Times New Roman" w:cs="Times New Roman"/>
          <w:bdr w:val="none" w:sz="0" w:space="0" w:color="auto"/>
          <w:lang w:val="en-AU"/>
        </w:rPr>
        <w:t xml:space="preserve"> Guidance in this respect could be obtained from various anti-bribery and corruption laws that have been implemented both nationally and internationally. The UK Bribery Act 2010, for example, takes into account the fact that companies implemented “adequate </w:t>
      </w:r>
      <w:r w:rsidRPr="00C46082">
        <w:rPr>
          <w:rFonts w:ascii="Times New Roman" w:eastAsiaTheme="minorHAnsi" w:hAnsi="Times New Roman" w:cs="Times New Roman"/>
          <w:bdr w:val="none" w:sz="0" w:space="0" w:color="auto"/>
          <w:lang w:val="en-AU"/>
        </w:rPr>
        <w:lastRenderedPageBreak/>
        <w:t>procedures” to prevent bribery in their operations as a defence to a charge of a company’s failure to prevent bribery.</w:t>
      </w:r>
      <w:r w:rsidRPr="00C46082">
        <w:rPr>
          <w:rStyle w:val="FootnoteReference"/>
          <w:rFonts w:ascii="Times New Roman" w:eastAsiaTheme="minorHAnsi" w:hAnsi="Times New Roman" w:cs="Times New Roman"/>
          <w:bdr w:val="none" w:sz="0" w:space="0" w:color="auto"/>
          <w:lang w:val="en-AU"/>
        </w:rPr>
        <w:footnoteReference w:id="16"/>
      </w:r>
      <w:r w:rsidRPr="00C46082">
        <w:rPr>
          <w:rFonts w:ascii="Times New Roman" w:eastAsiaTheme="minorHAnsi" w:hAnsi="Times New Roman" w:cs="Times New Roman"/>
          <w:bdr w:val="none" w:sz="0" w:space="0" w:color="auto"/>
          <w:lang w:val="en-AU"/>
        </w:rPr>
        <w:t xml:space="preserve"> Provisions incorporating both penalties for, and defences to, alleged misconduct could give business a strong incentive to exercise due diligence, without depriving them of the ability to defend themselves, or depriving victims of a remedy for serious violations of human rights.</w:t>
      </w:r>
      <w:r w:rsidRPr="00C46082">
        <w:rPr>
          <w:rStyle w:val="FootnoteReference"/>
          <w:rFonts w:ascii="Times New Roman" w:eastAsiaTheme="minorHAnsi" w:hAnsi="Times New Roman" w:cs="Times New Roman"/>
          <w:bdr w:val="none" w:sz="0" w:space="0" w:color="auto"/>
          <w:lang w:val="en-AU"/>
        </w:rPr>
        <w:footnoteReference w:id="17"/>
      </w:r>
      <w:r w:rsidRPr="00C46082">
        <w:rPr>
          <w:rFonts w:ascii="Times New Roman" w:eastAsiaTheme="minorHAnsi" w:hAnsi="Times New Roman" w:cs="Times New Roman"/>
          <w:bdr w:val="none" w:sz="0" w:space="0" w:color="auto"/>
          <w:lang w:val="en-AU"/>
        </w:rPr>
        <w:t xml:space="preserve"> </w:t>
      </w:r>
    </w:p>
    <w:p w:rsidR="00C46082" w:rsidRPr="00C46082" w:rsidRDefault="005306F0" w:rsidP="00FC5970">
      <w:pPr>
        <w:pStyle w:val="Body"/>
        <w:numPr>
          <w:ilvl w:val="0"/>
          <w:numId w:val="5"/>
        </w:numPr>
        <w:jc w:val="both"/>
        <w:rPr>
          <w:rFonts w:ascii="Times New Roman" w:eastAsiaTheme="minorHAnsi" w:hAnsi="Times New Roman" w:cs="Times New Roman"/>
          <w:b/>
          <w:bCs/>
          <w:color w:val="auto"/>
          <w:bdr w:val="none" w:sz="0" w:space="0" w:color="auto"/>
          <w:lang w:val="en-AU"/>
        </w:rPr>
      </w:pPr>
      <w:r w:rsidRPr="00C46082">
        <w:rPr>
          <w:rFonts w:ascii="Times New Roman" w:eastAsiaTheme="minorHAnsi" w:hAnsi="Times New Roman" w:cs="Times New Roman"/>
          <w:b/>
          <w:bdr w:val="none" w:sz="0" w:space="0" w:color="auto"/>
          <w:lang w:val="en-AU"/>
        </w:rPr>
        <w:t>In summary, inclusion of supply chain accountability provisions in a future business and human rights treaty should take account of the following factors:</w:t>
      </w:r>
    </w:p>
    <w:p w:rsidR="00C46082" w:rsidRPr="00C46082" w:rsidRDefault="005306F0" w:rsidP="00FC5970">
      <w:pPr>
        <w:pStyle w:val="Body"/>
        <w:numPr>
          <w:ilvl w:val="1"/>
          <w:numId w:val="5"/>
        </w:numPr>
        <w:jc w:val="both"/>
        <w:rPr>
          <w:rFonts w:ascii="Times New Roman" w:eastAsiaTheme="minorHAnsi" w:hAnsi="Times New Roman" w:cs="Times New Roman"/>
          <w:b/>
          <w:bCs/>
          <w:color w:val="auto"/>
          <w:bdr w:val="none" w:sz="0" w:space="0" w:color="auto"/>
          <w:lang w:val="en-AU"/>
        </w:rPr>
      </w:pPr>
      <w:r w:rsidRPr="00C46082">
        <w:rPr>
          <w:rFonts w:ascii="Times New Roman" w:eastAsiaTheme="minorHAnsi" w:hAnsi="Times New Roman" w:cs="Times New Roman"/>
          <w:bdr w:val="none" w:sz="0" w:space="0" w:color="auto"/>
          <w:lang w:val="en-AU"/>
        </w:rPr>
        <w:t>the definition of a supply chain should extend beyond the first tier of suppliers;</w:t>
      </w:r>
    </w:p>
    <w:p w:rsidR="00C46082" w:rsidRPr="00C46082" w:rsidRDefault="005306F0" w:rsidP="00FC5970">
      <w:pPr>
        <w:pStyle w:val="Body"/>
        <w:numPr>
          <w:ilvl w:val="1"/>
          <w:numId w:val="5"/>
        </w:numPr>
        <w:jc w:val="both"/>
        <w:rPr>
          <w:rFonts w:ascii="Times New Roman" w:eastAsiaTheme="minorHAnsi" w:hAnsi="Times New Roman" w:cs="Times New Roman"/>
          <w:b/>
          <w:bCs/>
          <w:color w:val="auto"/>
          <w:bdr w:val="none" w:sz="0" w:space="0" w:color="auto"/>
          <w:lang w:val="en-AU"/>
        </w:rPr>
      </w:pPr>
      <w:r w:rsidRPr="00C46082">
        <w:rPr>
          <w:rFonts w:ascii="Times New Roman" w:eastAsiaTheme="minorHAnsi" w:hAnsi="Times New Roman" w:cs="Times New Roman"/>
          <w:bdr w:val="none" w:sz="0" w:space="0" w:color="auto"/>
          <w:lang w:val="en-AU"/>
        </w:rPr>
        <w:t xml:space="preserve">the requirements of due diligence could borrow from the framework set out in the Guiding Principles but the provision should also encourage the development of sector specific guidelines which </w:t>
      </w:r>
      <w:r w:rsidRPr="00C46082">
        <w:rPr>
          <w:rFonts w:ascii="Times New Roman" w:eastAsiaTheme="minorHAnsi" w:hAnsi="Times New Roman" w:cs="Times New Roman"/>
          <w:bCs/>
          <w:bdr w:val="none" w:sz="0" w:space="0" w:color="auto"/>
          <w:lang w:val="en-AU"/>
        </w:rPr>
        <w:t>to provide more specificity around due diligence requirements (see the Illegal Logging Prohibition Act);</w:t>
      </w:r>
    </w:p>
    <w:p w:rsidR="00C46082" w:rsidRPr="00C46082" w:rsidRDefault="005306F0" w:rsidP="00FC5970">
      <w:pPr>
        <w:pStyle w:val="Body"/>
        <w:numPr>
          <w:ilvl w:val="1"/>
          <w:numId w:val="5"/>
        </w:numPr>
        <w:jc w:val="both"/>
        <w:rPr>
          <w:rFonts w:ascii="Times New Roman" w:eastAsiaTheme="minorHAnsi" w:hAnsi="Times New Roman" w:cs="Times New Roman"/>
          <w:b/>
          <w:bCs/>
          <w:color w:val="auto"/>
          <w:bdr w:val="none" w:sz="0" w:space="0" w:color="auto"/>
          <w:lang w:val="en-AU"/>
        </w:rPr>
      </w:pPr>
      <w:r w:rsidRPr="00C46082">
        <w:rPr>
          <w:rFonts w:ascii="Times New Roman" w:eastAsiaTheme="minorHAnsi" w:hAnsi="Times New Roman" w:cs="Times New Roman"/>
          <w:color w:val="auto"/>
          <w:bdr w:val="none" w:sz="0" w:space="0" w:color="auto"/>
          <w:lang w:val="en-AU"/>
        </w:rPr>
        <w:t>the provision should include penalties for non-compliance – options may include civil penalties (fines) for  non-compliant reporting or inadequate due diligence and civil and criminal liability for violations such as non-payment of wages, trafficking and slavery (along the lines of the legislative models set out in the European chain liability regimes or the Illegal Logging Prohibition Act);</w:t>
      </w:r>
    </w:p>
    <w:p w:rsidR="00C46082" w:rsidRPr="00C46082" w:rsidRDefault="005306F0" w:rsidP="00FC5970">
      <w:pPr>
        <w:pStyle w:val="Body"/>
        <w:numPr>
          <w:ilvl w:val="1"/>
          <w:numId w:val="5"/>
        </w:numPr>
        <w:jc w:val="both"/>
        <w:rPr>
          <w:rFonts w:ascii="Times New Roman" w:eastAsiaTheme="minorHAnsi" w:hAnsi="Times New Roman" w:cs="Times New Roman"/>
          <w:b/>
          <w:bCs/>
          <w:color w:val="auto"/>
          <w:bdr w:val="none" w:sz="0" w:space="0" w:color="auto"/>
          <w:lang w:val="en-AU"/>
        </w:rPr>
      </w:pPr>
      <w:r w:rsidRPr="00C46082">
        <w:rPr>
          <w:rFonts w:ascii="Times New Roman" w:eastAsiaTheme="minorHAnsi" w:hAnsi="Times New Roman" w:cs="Times New Roman"/>
          <w:color w:val="auto"/>
          <w:bdr w:val="none" w:sz="0" w:space="0" w:color="auto"/>
          <w:lang w:val="en-AU"/>
        </w:rPr>
        <w:t xml:space="preserve">the provision could </w:t>
      </w:r>
      <w:r w:rsidRPr="00C46082">
        <w:rPr>
          <w:rFonts w:ascii="Times New Roman" w:hAnsi="Times New Roman" w:cs="Times New Roman"/>
        </w:rPr>
        <w:t xml:space="preserve">provide a defense for companies that could demonstrate they had robust due diligence programs in place; and </w:t>
      </w:r>
    </w:p>
    <w:p w:rsidR="005306F0" w:rsidRPr="00C46082" w:rsidRDefault="005306F0" w:rsidP="00FC5970">
      <w:pPr>
        <w:pStyle w:val="Body"/>
        <w:numPr>
          <w:ilvl w:val="1"/>
          <w:numId w:val="5"/>
        </w:numPr>
        <w:jc w:val="both"/>
        <w:rPr>
          <w:rStyle w:val="apple-converted-space"/>
          <w:rFonts w:ascii="Times New Roman" w:eastAsiaTheme="minorHAnsi" w:hAnsi="Times New Roman" w:cs="Times New Roman"/>
          <w:b/>
          <w:bCs/>
          <w:color w:val="auto"/>
          <w:bdr w:val="none" w:sz="0" w:space="0" w:color="auto"/>
          <w:lang w:val="en-AU"/>
        </w:rPr>
      </w:pPr>
      <w:bookmarkStart w:id="0" w:name="_GoBack"/>
      <w:bookmarkEnd w:id="0"/>
      <w:r w:rsidRPr="00C46082">
        <w:rPr>
          <w:rFonts w:ascii="Times New Roman" w:eastAsiaTheme="minorHAnsi" w:hAnsi="Times New Roman" w:cs="Times New Roman"/>
          <w:color w:val="auto"/>
          <w:bdr w:val="none" w:sz="0" w:space="0" w:color="auto"/>
          <w:lang w:val="en-AU"/>
        </w:rPr>
        <w:t xml:space="preserve">innovative provisions that </w:t>
      </w:r>
      <w:r w:rsidRPr="00C46082">
        <w:rPr>
          <w:rStyle w:val="apple-converted-space"/>
          <w:rFonts w:ascii="Times New Roman" w:hAnsi="Times New Roman" w:cs="Times New Roman"/>
          <w:color w:val="auto"/>
          <w:spacing w:val="2"/>
          <w:shd w:val="clear" w:color="auto" w:fill="FFFFFF"/>
        </w:rPr>
        <w:t>mandate disclosure requirements that operate up and down the supply chain; reversal of the onus of proof and deeming all workers to be ‘employed’  in the supply chain and a mix of public and private monitoring schemes (as per the Australian homeworkers legislation) should be considered.</w:t>
      </w:r>
    </w:p>
    <w:p w:rsidR="005306F0" w:rsidRPr="00C46082" w:rsidRDefault="005306F0" w:rsidP="00FC5970">
      <w:pPr>
        <w:spacing w:after="200" w:line="276" w:lineRule="auto"/>
        <w:jc w:val="both"/>
        <w:rPr>
          <w:sz w:val="22"/>
          <w:szCs w:val="22"/>
        </w:rPr>
      </w:pPr>
    </w:p>
    <w:sectPr w:rsidR="005306F0" w:rsidRPr="00C46082" w:rsidSect="00F630FC">
      <w:headerReference w:type="default" r:id="rId11"/>
      <w:footerReference w:type="default" r:id="rId12"/>
      <w:pgSz w:w="11906" w:h="16838"/>
      <w:pgMar w:top="1979" w:right="2268" w:bottom="1701" w:left="1814" w:header="709" w:footer="9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3C1" w:rsidRDefault="00E673C1">
      <w:r>
        <w:separator/>
      </w:r>
    </w:p>
  </w:endnote>
  <w:endnote w:type="continuationSeparator" w:id="0">
    <w:p w:rsidR="00E673C1" w:rsidRDefault="00E6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L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97995"/>
      <w:docPartObj>
        <w:docPartGallery w:val="Page Numbers (Bottom of Page)"/>
        <w:docPartUnique/>
      </w:docPartObj>
    </w:sdtPr>
    <w:sdtEndPr>
      <w:rPr>
        <w:noProof/>
      </w:rPr>
    </w:sdtEndPr>
    <w:sdtContent>
      <w:p w:rsidR="00D859FB" w:rsidRDefault="00D859FB">
        <w:pPr>
          <w:pStyle w:val="Footer"/>
          <w:jc w:val="center"/>
        </w:pPr>
        <w:r>
          <w:fldChar w:fldCharType="begin"/>
        </w:r>
        <w:r>
          <w:instrText xml:space="preserve"> PAGE   \* MERGEFORMAT </w:instrText>
        </w:r>
        <w:r>
          <w:fldChar w:fldCharType="separate"/>
        </w:r>
        <w:r w:rsidR="00665422">
          <w:rPr>
            <w:noProof/>
          </w:rPr>
          <w:t>5</w:t>
        </w:r>
        <w:r>
          <w:rPr>
            <w:noProof/>
          </w:rPr>
          <w:fldChar w:fldCharType="end"/>
        </w:r>
      </w:p>
    </w:sdtContent>
  </w:sdt>
  <w:p w:rsidR="009C114A" w:rsidRDefault="009C1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3C1" w:rsidRDefault="00E673C1">
      <w:r>
        <w:separator/>
      </w:r>
    </w:p>
  </w:footnote>
  <w:footnote w:type="continuationSeparator" w:id="0">
    <w:p w:rsidR="00E673C1" w:rsidRDefault="00E673C1">
      <w:r>
        <w:continuationSeparator/>
      </w:r>
    </w:p>
  </w:footnote>
  <w:footnote w:id="1">
    <w:p w:rsidR="005306F0" w:rsidRPr="00665422" w:rsidRDefault="005306F0" w:rsidP="005306F0">
      <w:pPr>
        <w:pStyle w:val="FootnoteText"/>
        <w:rPr>
          <w:lang w:val="es-ES"/>
        </w:rPr>
      </w:pPr>
      <w:r>
        <w:rPr>
          <w:rStyle w:val="FootnoteReference"/>
        </w:rPr>
        <w:footnoteRef/>
      </w:r>
      <w:r>
        <w:t xml:space="preserve"> </w:t>
      </w:r>
      <w:r w:rsidRPr="00D7667C">
        <w:rPr>
          <w:rFonts w:ascii="Times New Roman" w:hAnsi="Times New Roman" w:cs="Times New Roman"/>
        </w:rPr>
        <w:t xml:space="preserve">International </w:t>
      </w:r>
      <w:proofErr w:type="spellStart"/>
      <w:r w:rsidRPr="00D7667C">
        <w:rPr>
          <w:rFonts w:ascii="Times New Roman" w:hAnsi="Times New Roman" w:cs="Times New Roman"/>
        </w:rPr>
        <w:t>Labour</w:t>
      </w:r>
      <w:proofErr w:type="spellEnd"/>
      <w:r w:rsidRPr="00D7667C">
        <w:rPr>
          <w:rFonts w:ascii="Times New Roman" w:hAnsi="Times New Roman" w:cs="Times New Roman"/>
        </w:rPr>
        <w:t xml:space="preserve"> Conference, Provisional Record, 105th Session, Geneva, ‘Fourth </w:t>
      </w:r>
      <w:r>
        <w:rPr>
          <w:rFonts w:ascii="Times New Roman" w:hAnsi="Times New Roman" w:cs="Times New Roman"/>
        </w:rPr>
        <w:t>I</w:t>
      </w:r>
      <w:r w:rsidRPr="00D7667C">
        <w:rPr>
          <w:rFonts w:ascii="Times New Roman" w:hAnsi="Times New Roman" w:cs="Times New Roman"/>
        </w:rPr>
        <w:t xml:space="preserve">tem on the </w:t>
      </w:r>
      <w:r>
        <w:rPr>
          <w:rFonts w:ascii="Times New Roman" w:hAnsi="Times New Roman" w:cs="Times New Roman"/>
        </w:rPr>
        <w:t>A</w:t>
      </w:r>
      <w:r w:rsidRPr="00D7667C">
        <w:rPr>
          <w:rFonts w:ascii="Times New Roman" w:hAnsi="Times New Roman" w:cs="Times New Roman"/>
        </w:rPr>
        <w:t xml:space="preserve">genda: Decent work in </w:t>
      </w:r>
      <w:r>
        <w:rPr>
          <w:rFonts w:ascii="Times New Roman" w:hAnsi="Times New Roman" w:cs="Times New Roman"/>
        </w:rPr>
        <w:t>G</w:t>
      </w:r>
      <w:r w:rsidRPr="00D7667C">
        <w:rPr>
          <w:rFonts w:ascii="Times New Roman" w:hAnsi="Times New Roman" w:cs="Times New Roman"/>
        </w:rPr>
        <w:t xml:space="preserve">lobal </w:t>
      </w:r>
      <w:r>
        <w:rPr>
          <w:rFonts w:ascii="Times New Roman" w:hAnsi="Times New Roman" w:cs="Times New Roman"/>
        </w:rPr>
        <w:t>S</w:t>
      </w:r>
      <w:r w:rsidRPr="00D7667C">
        <w:rPr>
          <w:rFonts w:ascii="Times New Roman" w:hAnsi="Times New Roman" w:cs="Times New Roman"/>
        </w:rPr>
        <w:t xml:space="preserve">upply </w:t>
      </w:r>
      <w:r>
        <w:rPr>
          <w:rFonts w:ascii="Times New Roman" w:hAnsi="Times New Roman" w:cs="Times New Roman"/>
        </w:rPr>
        <w:t>C</w:t>
      </w:r>
      <w:r w:rsidRPr="00D7667C">
        <w:rPr>
          <w:rFonts w:ascii="Times New Roman" w:hAnsi="Times New Roman" w:cs="Times New Roman"/>
        </w:rPr>
        <w:t>hains Reports of the Committee on Decent Work in Global Supply Chains: Resolution and conclusions submitted for adoption by the Conference’</w:t>
      </w:r>
      <w:r>
        <w:rPr>
          <w:rFonts w:ascii="Times New Roman" w:hAnsi="Times New Roman" w:cs="Times New Roman"/>
        </w:rPr>
        <w:t xml:space="preserve"> (</w:t>
      </w:r>
      <w:r w:rsidRPr="00D7667C">
        <w:rPr>
          <w:rFonts w:ascii="Times New Roman" w:hAnsi="Times New Roman" w:cs="Times New Roman"/>
        </w:rPr>
        <w:t>May–June 2016</w:t>
      </w:r>
      <w:r>
        <w:rPr>
          <w:rFonts w:ascii="Times New Roman" w:hAnsi="Times New Roman" w:cs="Times New Roman"/>
        </w:rPr>
        <w:t>)</w:t>
      </w:r>
      <w:r w:rsidRPr="00D7667C">
        <w:rPr>
          <w:rFonts w:ascii="Times New Roman" w:hAnsi="Times New Roman" w:cs="Times New Roman"/>
        </w:rPr>
        <w:t xml:space="preserve"> para. </w:t>
      </w:r>
      <w:r w:rsidRPr="00665422">
        <w:rPr>
          <w:rFonts w:ascii="Times New Roman" w:hAnsi="Times New Roman" w:cs="Times New Roman"/>
          <w:lang w:val="es-ES"/>
        </w:rPr>
        <w:t>16(e), http://www.ilo.org/wcmsp5/groups/public/---ed_norm/---relconf/documents/meetingdocument/wcms_489115.pdf.</w:t>
      </w:r>
    </w:p>
  </w:footnote>
  <w:footnote w:id="2">
    <w:p w:rsidR="00C46082" w:rsidRPr="009B6783" w:rsidRDefault="00C46082" w:rsidP="00C46082">
      <w:pPr>
        <w:pStyle w:val="FootnoteText"/>
        <w:rPr>
          <w:rFonts w:ascii="Times New Roman" w:hAnsi="Times New Roman" w:cs="Times New Roman"/>
          <w:color w:val="auto"/>
          <w:lang w:val="en-AU"/>
        </w:rPr>
      </w:pPr>
      <w:r w:rsidRPr="009B6783">
        <w:rPr>
          <w:rStyle w:val="FootnoteReference"/>
          <w:rFonts w:ascii="Times New Roman" w:hAnsi="Times New Roman" w:cs="Times New Roman"/>
          <w:color w:val="auto"/>
        </w:rPr>
        <w:footnoteRef/>
      </w:r>
      <w:r w:rsidRPr="009B6783">
        <w:rPr>
          <w:rFonts w:ascii="Times New Roman" w:hAnsi="Times New Roman" w:cs="Times New Roman"/>
          <w:color w:val="auto"/>
        </w:rPr>
        <w:t xml:space="preserve"> </w:t>
      </w:r>
      <w:r w:rsidRPr="009B6783">
        <w:rPr>
          <w:rFonts w:ascii="Times New Roman" w:hAnsi="Times New Roman" w:cs="Times New Roman"/>
          <w:i/>
          <w:color w:val="auto"/>
        </w:rPr>
        <w:t>Modern Slavery Act</w:t>
      </w:r>
      <w:r w:rsidRPr="009B6783">
        <w:rPr>
          <w:rFonts w:ascii="Times New Roman" w:hAnsi="Times New Roman" w:cs="Times New Roman"/>
          <w:color w:val="auto"/>
        </w:rPr>
        <w:t xml:space="preserve"> 2015 (c.30) (UK), s.54.</w:t>
      </w:r>
    </w:p>
  </w:footnote>
  <w:footnote w:id="3">
    <w:p w:rsidR="00C46082" w:rsidRPr="009B6783" w:rsidRDefault="00C46082" w:rsidP="00C46082">
      <w:pPr>
        <w:pStyle w:val="FootnoteText"/>
        <w:rPr>
          <w:rFonts w:ascii="Times New Roman" w:hAnsi="Times New Roman" w:cs="Times New Roman"/>
          <w:color w:val="auto"/>
        </w:rPr>
      </w:pPr>
      <w:r w:rsidRPr="009B6783">
        <w:rPr>
          <w:rStyle w:val="FootnoteReference"/>
          <w:rFonts w:ascii="Times New Roman" w:hAnsi="Times New Roman" w:cs="Times New Roman"/>
          <w:color w:val="auto"/>
        </w:rPr>
        <w:footnoteRef/>
      </w:r>
      <w:r w:rsidRPr="009B6783">
        <w:rPr>
          <w:rFonts w:ascii="Times New Roman" w:hAnsi="Times New Roman" w:cs="Times New Roman"/>
          <w:color w:val="auto"/>
        </w:rPr>
        <w:t xml:space="preserve"> </w:t>
      </w:r>
      <w:r w:rsidRPr="009B6783">
        <w:rPr>
          <w:rFonts w:ascii="Times New Roman" w:hAnsi="Times New Roman" w:cs="Times New Roman"/>
          <w:i/>
          <w:color w:val="auto"/>
        </w:rPr>
        <w:t>California Transparency in Supply Chains Act</w:t>
      </w:r>
      <w:r w:rsidRPr="009B6783">
        <w:rPr>
          <w:rFonts w:ascii="Times New Roman" w:hAnsi="Times New Roman" w:cs="Times New Roman"/>
          <w:color w:val="auto"/>
        </w:rPr>
        <w:t>, Ca. Civ. Code § 1714.43</w:t>
      </w:r>
      <w:proofErr w:type="gramStart"/>
      <w:r w:rsidRPr="009B6783">
        <w:rPr>
          <w:rFonts w:ascii="Times New Roman" w:hAnsi="Times New Roman" w:cs="Times New Roman"/>
          <w:color w:val="auto"/>
        </w:rPr>
        <w:t>..</w:t>
      </w:r>
      <w:proofErr w:type="gramEnd"/>
    </w:p>
  </w:footnote>
  <w:footnote w:id="4">
    <w:p w:rsidR="00C46082" w:rsidRPr="009B6783" w:rsidRDefault="00C46082" w:rsidP="00C46082">
      <w:pPr>
        <w:autoSpaceDE w:val="0"/>
        <w:autoSpaceDN w:val="0"/>
        <w:adjustRightInd w:val="0"/>
        <w:rPr>
          <w:sz w:val="20"/>
          <w:szCs w:val="20"/>
        </w:rPr>
      </w:pPr>
      <w:r w:rsidRPr="009B6783">
        <w:rPr>
          <w:rStyle w:val="FootnoteReference"/>
          <w:sz w:val="20"/>
          <w:szCs w:val="20"/>
        </w:rPr>
        <w:footnoteRef/>
      </w:r>
      <w:r w:rsidRPr="009B6783">
        <w:rPr>
          <w:sz w:val="20"/>
          <w:szCs w:val="20"/>
        </w:rPr>
        <w:t xml:space="preserve"> </w:t>
      </w:r>
      <w:r w:rsidRPr="009B6783">
        <w:rPr>
          <w:bCs/>
          <w:i/>
          <w:sz w:val="20"/>
          <w:szCs w:val="20"/>
        </w:rPr>
        <w:t>Dodd</w:t>
      </w:r>
      <w:r w:rsidRPr="009B6783">
        <w:rPr>
          <w:i/>
          <w:sz w:val="20"/>
          <w:szCs w:val="20"/>
        </w:rPr>
        <w:t>-</w:t>
      </w:r>
      <w:r w:rsidRPr="009B6783">
        <w:rPr>
          <w:bCs/>
          <w:i/>
          <w:sz w:val="20"/>
          <w:szCs w:val="20"/>
        </w:rPr>
        <w:t>Frank</w:t>
      </w:r>
      <w:r w:rsidRPr="009B6783">
        <w:rPr>
          <w:i/>
          <w:sz w:val="20"/>
          <w:szCs w:val="20"/>
        </w:rPr>
        <w:t xml:space="preserve"> Wall Street Reform and Consumer Protection </w:t>
      </w:r>
      <w:r w:rsidRPr="009B6783">
        <w:rPr>
          <w:bCs/>
          <w:i/>
          <w:sz w:val="20"/>
          <w:szCs w:val="20"/>
        </w:rPr>
        <w:t>Act</w:t>
      </w:r>
      <w:r w:rsidRPr="009B6783">
        <w:rPr>
          <w:bCs/>
          <w:sz w:val="20"/>
          <w:szCs w:val="20"/>
        </w:rPr>
        <w:t>,</w:t>
      </w:r>
      <w:r w:rsidRPr="009B6783">
        <w:rPr>
          <w:sz w:val="20"/>
          <w:szCs w:val="20"/>
        </w:rPr>
        <w:t xml:space="preserve"> Pub. </w:t>
      </w:r>
      <w:proofErr w:type="gramStart"/>
      <w:r w:rsidRPr="009B6783">
        <w:rPr>
          <w:sz w:val="20"/>
          <w:szCs w:val="20"/>
        </w:rPr>
        <w:t>L. No. 111-203, 124 Stat. 1376 (2010).</w:t>
      </w:r>
      <w:proofErr w:type="gramEnd"/>
      <w:r w:rsidRPr="009B6783">
        <w:rPr>
          <w:sz w:val="20"/>
          <w:szCs w:val="20"/>
        </w:rPr>
        <w:t xml:space="preserve"> In addition, s. 1504 of the Act </w:t>
      </w:r>
      <w:proofErr w:type="gramStart"/>
      <w:r w:rsidRPr="009B6783">
        <w:rPr>
          <w:sz w:val="20"/>
          <w:szCs w:val="20"/>
        </w:rPr>
        <w:t>addresses</w:t>
      </w:r>
      <w:proofErr w:type="gramEnd"/>
      <w:r w:rsidRPr="009B6783">
        <w:rPr>
          <w:sz w:val="20"/>
          <w:szCs w:val="20"/>
        </w:rPr>
        <w:t xml:space="preserve"> financial transparency by requiring all listed oil and mining companies to disclose the revenues they pay to governments worldwide. </w:t>
      </w:r>
    </w:p>
  </w:footnote>
  <w:footnote w:id="5">
    <w:p w:rsidR="00C46082" w:rsidRPr="009B6783" w:rsidRDefault="00C46082" w:rsidP="00C46082">
      <w:pPr>
        <w:pStyle w:val="FootnoteText"/>
        <w:rPr>
          <w:rFonts w:ascii="Times New Roman" w:hAnsi="Times New Roman" w:cs="Times New Roman"/>
          <w:color w:val="auto"/>
          <w:lang w:val="en-AU"/>
        </w:rPr>
      </w:pPr>
      <w:r w:rsidRPr="009B6783">
        <w:rPr>
          <w:rStyle w:val="FootnoteReference"/>
          <w:rFonts w:ascii="Times New Roman" w:hAnsi="Times New Roman" w:cs="Times New Roman"/>
          <w:color w:val="auto"/>
        </w:rPr>
        <w:footnoteRef/>
      </w:r>
      <w:r w:rsidRPr="009B6783">
        <w:rPr>
          <w:rFonts w:ascii="Times New Roman" w:hAnsi="Times New Roman" w:cs="Times New Roman"/>
          <w:color w:val="auto"/>
        </w:rPr>
        <w:t xml:space="preserve"> The </w:t>
      </w:r>
      <w:proofErr w:type="spellStart"/>
      <w:r w:rsidRPr="009B6783">
        <w:rPr>
          <w:rFonts w:ascii="Times New Roman" w:hAnsi="Times New Roman" w:cs="Times New Roman"/>
          <w:color w:val="auto"/>
        </w:rPr>
        <w:t>FairWear</w:t>
      </w:r>
      <w:proofErr w:type="spellEnd"/>
      <w:r w:rsidRPr="009B6783">
        <w:rPr>
          <w:rFonts w:ascii="Times New Roman" w:hAnsi="Times New Roman" w:cs="Times New Roman"/>
          <w:color w:val="auto"/>
        </w:rPr>
        <w:t xml:space="preserve"> campaign (http://fairwear.org.au/) was a significant force that led to the introduction of successive legislative amendments including: </w:t>
      </w:r>
      <w:r w:rsidRPr="009B6783">
        <w:rPr>
          <w:rFonts w:ascii="Times New Roman" w:hAnsi="Times New Roman" w:cs="Times New Roman"/>
          <w:i/>
          <w:color w:val="auto"/>
          <w:lang w:val="en-AU"/>
        </w:rPr>
        <w:t xml:space="preserve">Industrial Relations (Ethical Clothing Trade) Act </w:t>
      </w:r>
      <w:r w:rsidRPr="007E1402">
        <w:rPr>
          <w:rFonts w:ascii="Times New Roman" w:hAnsi="Times New Roman" w:cs="Times New Roman"/>
          <w:i/>
          <w:color w:val="auto"/>
          <w:lang w:val="en-AU"/>
        </w:rPr>
        <w:t>2001</w:t>
      </w:r>
      <w:r w:rsidRPr="009B6783">
        <w:rPr>
          <w:rFonts w:ascii="Times New Roman" w:hAnsi="Times New Roman" w:cs="Times New Roman"/>
          <w:color w:val="auto"/>
          <w:lang w:val="en-AU"/>
        </w:rPr>
        <w:t xml:space="preserve"> (NSW) and s</w:t>
      </w:r>
      <w:r>
        <w:rPr>
          <w:rFonts w:ascii="Times New Roman" w:hAnsi="Times New Roman" w:cs="Times New Roman"/>
          <w:color w:val="auto"/>
          <w:lang w:val="en-AU"/>
        </w:rPr>
        <w:t xml:space="preserve"> </w:t>
      </w:r>
      <w:r w:rsidRPr="009B6783">
        <w:rPr>
          <w:rFonts w:ascii="Times New Roman" w:hAnsi="Times New Roman" w:cs="Times New Roman"/>
          <w:color w:val="auto"/>
          <w:lang w:val="en-AU"/>
        </w:rPr>
        <w:t xml:space="preserve">175B </w:t>
      </w:r>
      <w:r w:rsidRPr="009B6783">
        <w:rPr>
          <w:rFonts w:ascii="Times New Roman" w:hAnsi="Times New Roman" w:cs="Times New Roman"/>
          <w:i/>
          <w:color w:val="auto"/>
          <w:lang w:val="en-AU"/>
        </w:rPr>
        <w:t xml:space="preserve">Workers Compensation Act </w:t>
      </w:r>
      <w:r w:rsidRPr="007E1402">
        <w:rPr>
          <w:rFonts w:ascii="Times New Roman" w:hAnsi="Times New Roman" w:cs="Times New Roman"/>
          <w:i/>
          <w:color w:val="auto"/>
          <w:lang w:val="en-AU"/>
        </w:rPr>
        <w:t>1987</w:t>
      </w:r>
      <w:r w:rsidRPr="009B6783">
        <w:rPr>
          <w:rFonts w:ascii="Times New Roman" w:hAnsi="Times New Roman" w:cs="Times New Roman"/>
          <w:color w:val="auto"/>
          <w:lang w:val="en-AU"/>
        </w:rPr>
        <w:t xml:space="preserve"> (NSW)</w:t>
      </w:r>
      <w:r w:rsidR="00A44230">
        <w:rPr>
          <w:rFonts w:ascii="Times New Roman" w:hAnsi="Times New Roman" w:cs="Times New Roman"/>
          <w:color w:val="auto"/>
          <w:lang w:val="en-AU"/>
        </w:rPr>
        <w:t xml:space="preserve">. </w:t>
      </w:r>
      <w:r w:rsidRPr="009B6783">
        <w:rPr>
          <w:rFonts w:ascii="Times New Roman" w:hAnsi="Times New Roman" w:cs="Times New Roman"/>
          <w:color w:val="auto"/>
          <w:lang w:val="en-AU"/>
        </w:rPr>
        <w:t>Also see generally</w:t>
      </w:r>
      <w:r w:rsidR="00A44230" w:rsidRPr="00163782">
        <w:rPr>
          <w:rFonts w:ascii="Times New Roman" w:hAnsi="Times New Roman" w:cs="Times New Roman"/>
          <w:color w:val="auto"/>
          <w:lang w:val="en-AU"/>
        </w:rPr>
        <w:t xml:space="preserve">. </w:t>
      </w:r>
      <w:proofErr w:type="spellStart"/>
      <w:r w:rsidR="00A44230" w:rsidRPr="00163782">
        <w:rPr>
          <w:rFonts w:ascii="Times New Roman" w:hAnsi="Times New Roman" w:cs="Times New Roman"/>
          <w:color w:val="auto"/>
          <w:lang w:val="en-AU"/>
        </w:rPr>
        <w:t>Nossar</w:t>
      </w:r>
      <w:proofErr w:type="spellEnd"/>
      <w:r w:rsidR="00A44230" w:rsidRPr="00163782">
        <w:rPr>
          <w:rFonts w:ascii="Times New Roman" w:hAnsi="Times New Roman" w:cs="Times New Roman"/>
          <w:color w:val="auto"/>
          <w:lang w:val="en-AU"/>
        </w:rPr>
        <w:t>, R. Johnstone and M. Quinlan</w:t>
      </w:r>
      <w:r w:rsidR="00A44230">
        <w:rPr>
          <w:rFonts w:ascii="Times New Roman" w:hAnsi="Times New Roman" w:cs="Times New Roman"/>
          <w:color w:val="auto"/>
          <w:lang w:val="en-AU"/>
        </w:rPr>
        <w:t xml:space="preserve"> ‘Protective Legal Regulation for home-based workers in Australian textile, clothing and footwear supply chains’ </w:t>
      </w:r>
      <w:r w:rsidR="00A44230">
        <w:rPr>
          <w:rFonts w:ascii="Times New Roman" w:hAnsi="Times New Roman" w:cs="Times New Roman"/>
          <w:i/>
          <w:color w:val="auto"/>
          <w:lang w:val="en-AU"/>
        </w:rPr>
        <w:t xml:space="preserve">Journal of Industrial Relations </w:t>
      </w:r>
      <w:r w:rsidR="00A44230">
        <w:rPr>
          <w:rFonts w:ascii="Times New Roman" w:hAnsi="Times New Roman" w:cs="Times New Roman"/>
          <w:color w:val="auto"/>
          <w:lang w:val="en-AU"/>
        </w:rPr>
        <w:t>2015, Vol. 57(4) 585-603</w:t>
      </w:r>
      <w:r w:rsidRPr="009B6783">
        <w:rPr>
          <w:rFonts w:ascii="Times New Roman" w:hAnsi="Times New Roman" w:cs="Times New Roman"/>
          <w:color w:val="auto"/>
          <w:lang w:val="en-AU"/>
        </w:rPr>
        <w:t>.</w:t>
      </w:r>
    </w:p>
  </w:footnote>
  <w:footnote w:id="6">
    <w:p w:rsidR="00C46082" w:rsidRPr="009B6783" w:rsidRDefault="00C46082" w:rsidP="00C46082">
      <w:pPr>
        <w:pStyle w:val="FootnoteText"/>
        <w:rPr>
          <w:rFonts w:ascii="Times New Roman" w:hAnsi="Times New Roman" w:cs="Times New Roman"/>
          <w:color w:val="auto"/>
          <w:lang w:val="en-AU"/>
        </w:rPr>
      </w:pPr>
      <w:r w:rsidRPr="009B6783">
        <w:rPr>
          <w:rStyle w:val="FootnoteReference"/>
          <w:rFonts w:ascii="Times New Roman" w:hAnsi="Times New Roman" w:cs="Times New Roman"/>
          <w:color w:val="auto"/>
        </w:rPr>
        <w:footnoteRef/>
      </w:r>
      <w:r w:rsidRPr="009B6783">
        <w:rPr>
          <w:rFonts w:ascii="Times New Roman" w:hAnsi="Times New Roman" w:cs="Times New Roman"/>
          <w:color w:val="auto"/>
        </w:rPr>
        <w:t xml:space="preserve"> </w:t>
      </w:r>
      <w:proofErr w:type="gramStart"/>
      <w:r w:rsidRPr="009B6783">
        <w:rPr>
          <w:rFonts w:ascii="Times New Roman" w:hAnsi="Times New Roman" w:cs="Times New Roman"/>
          <w:i/>
          <w:color w:val="auto"/>
        </w:rPr>
        <w:t xml:space="preserve">Illegal Logging Prohibition Act </w:t>
      </w:r>
      <w:r w:rsidRPr="007E1402">
        <w:rPr>
          <w:rFonts w:ascii="Times New Roman" w:hAnsi="Times New Roman" w:cs="Times New Roman"/>
          <w:i/>
          <w:color w:val="auto"/>
        </w:rPr>
        <w:t>2012</w:t>
      </w:r>
      <w:r w:rsidRPr="009B6783">
        <w:rPr>
          <w:rFonts w:ascii="Times New Roman" w:hAnsi="Times New Roman" w:cs="Times New Roman"/>
          <w:color w:val="auto"/>
        </w:rPr>
        <w:t xml:space="preserve"> (</w:t>
      </w:r>
      <w:proofErr w:type="spellStart"/>
      <w:r w:rsidRPr="009B6783">
        <w:rPr>
          <w:rFonts w:ascii="Times New Roman" w:hAnsi="Times New Roman" w:cs="Times New Roman"/>
          <w:color w:val="auto"/>
        </w:rPr>
        <w:t>Cth</w:t>
      </w:r>
      <w:proofErr w:type="spellEnd"/>
      <w:r w:rsidRPr="009B6783">
        <w:rPr>
          <w:rFonts w:ascii="Times New Roman" w:hAnsi="Times New Roman" w:cs="Times New Roman"/>
          <w:color w:val="auto"/>
        </w:rPr>
        <w:t>)</w:t>
      </w:r>
      <w:r>
        <w:rPr>
          <w:rFonts w:ascii="Times New Roman" w:hAnsi="Times New Roman" w:cs="Times New Roman"/>
          <w:color w:val="auto"/>
        </w:rPr>
        <w:t>.</w:t>
      </w:r>
      <w:proofErr w:type="gramEnd"/>
    </w:p>
  </w:footnote>
  <w:footnote w:id="7">
    <w:p w:rsidR="00C46082" w:rsidRPr="009B6783" w:rsidRDefault="00C46082" w:rsidP="00C46082">
      <w:pPr>
        <w:pStyle w:val="FootnoteText"/>
        <w:rPr>
          <w:rFonts w:ascii="Times New Roman" w:hAnsi="Times New Roman" w:cs="Times New Roman"/>
          <w:color w:val="auto"/>
          <w:lang w:val="en-AU"/>
        </w:rPr>
      </w:pPr>
      <w:r w:rsidRPr="009B6783">
        <w:rPr>
          <w:rStyle w:val="FootnoteReference"/>
          <w:rFonts w:ascii="Times New Roman" w:hAnsi="Times New Roman" w:cs="Times New Roman"/>
          <w:color w:val="auto"/>
        </w:rPr>
        <w:footnoteRef/>
      </w:r>
      <w:r w:rsidRPr="009B6783">
        <w:rPr>
          <w:rFonts w:ascii="Times New Roman" w:hAnsi="Times New Roman" w:cs="Times New Roman"/>
          <w:color w:val="auto"/>
        </w:rPr>
        <w:t xml:space="preserve"> </w:t>
      </w:r>
      <w:r w:rsidRPr="009B6783">
        <w:rPr>
          <w:rStyle w:val="apple-converted-space"/>
          <w:rFonts w:ascii="Times New Roman" w:hAnsi="Times New Roman" w:cs="Times New Roman"/>
          <w:color w:val="auto"/>
          <w:shd w:val="clear" w:color="auto" w:fill="FFFFFF"/>
        </w:rPr>
        <w:t> </w:t>
      </w:r>
      <w:r w:rsidRPr="009B6783">
        <w:rPr>
          <w:rFonts w:ascii="Times New Roman" w:hAnsi="Times New Roman" w:cs="Times New Roman"/>
          <w:color w:val="auto"/>
        </w:rPr>
        <w:t xml:space="preserve">The </w:t>
      </w:r>
      <w:r w:rsidRPr="009B6783">
        <w:rPr>
          <w:rFonts w:ascii="Times New Roman" w:hAnsi="Times New Roman" w:cs="Times New Roman"/>
          <w:i/>
          <w:color w:val="auto"/>
        </w:rPr>
        <w:t>Illegal Logging Prohibition Amendment Regulation</w:t>
      </w:r>
      <w:r w:rsidRPr="009B6783">
        <w:rPr>
          <w:rFonts w:ascii="Times New Roman" w:hAnsi="Times New Roman" w:cs="Times New Roman"/>
          <w:color w:val="auto"/>
        </w:rPr>
        <w:t xml:space="preserve"> 2013 requires that importers and processors undertake due diligence from 30 November 2014. There is an 18 month transition period during which the Australian government will seek to assist and educate companies about the due diligence requirements. Section 7 sets out the four step due diligence process.</w:t>
      </w:r>
    </w:p>
  </w:footnote>
  <w:footnote w:id="8">
    <w:p w:rsidR="005306F0" w:rsidRPr="009B6783" w:rsidRDefault="005306F0" w:rsidP="005306F0">
      <w:pPr>
        <w:pStyle w:val="FootnoteText"/>
        <w:rPr>
          <w:rFonts w:ascii="Times New Roman" w:hAnsi="Times New Roman" w:cs="Times New Roman"/>
          <w:color w:val="auto"/>
          <w:lang w:val="en-AU"/>
        </w:rPr>
      </w:pPr>
      <w:r w:rsidRPr="009B6783">
        <w:rPr>
          <w:rStyle w:val="FootnoteReference"/>
          <w:rFonts w:ascii="Times New Roman" w:hAnsi="Times New Roman" w:cs="Times New Roman"/>
          <w:color w:val="auto"/>
        </w:rPr>
        <w:footnoteRef/>
      </w:r>
      <w:r w:rsidRPr="009B6783">
        <w:rPr>
          <w:rFonts w:ascii="Times New Roman" w:hAnsi="Times New Roman" w:cs="Times New Roman"/>
          <w:color w:val="auto"/>
        </w:rPr>
        <w:t xml:space="preserve"> </w:t>
      </w:r>
      <w:proofErr w:type="gramStart"/>
      <w:r w:rsidRPr="009B6783">
        <w:rPr>
          <w:rFonts w:ascii="Times New Roman" w:hAnsi="Times New Roman" w:cs="Times New Roman"/>
          <w:color w:val="auto"/>
          <w:lang w:val="en-AU"/>
        </w:rPr>
        <w:t>OECD</w:t>
      </w:r>
      <w:r>
        <w:rPr>
          <w:rFonts w:ascii="Times New Roman" w:hAnsi="Times New Roman" w:cs="Times New Roman"/>
          <w:color w:val="auto"/>
          <w:lang w:val="en-AU"/>
        </w:rPr>
        <w:t xml:space="preserve"> (2013)</w:t>
      </w:r>
      <w:r w:rsidRPr="009B6783">
        <w:rPr>
          <w:rFonts w:ascii="Times New Roman" w:hAnsi="Times New Roman" w:cs="Times New Roman"/>
          <w:color w:val="auto"/>
          <w:lang w:val="en-AU"/>
        </w:rPr>
        <w:t>,</w:t>
      </w:r>
      <w:r>
        <w:rPr>
          <w:rFonts w:ascii="Times New Roman" w:eastAsiaTheme="minorHAnsi" w:hAnsi="Times New Roman" w:cs="Times New Roman"/>
          <w:bCs/>
          <w:color w:val="auto"/>
          <w:bdr w:val="none" w:sz="0" w:space="0" w:color="auto"/>
          <w:lang w:val="en-AU"/>
        </w:rPr>
        <w:t xml:space="preserve"> </w:t>
      </w:r>
      <w:r w:rsidRPr="007E1402">
        <w:rPr>
          <w:rFonts w:ascii="Times New Roman" w:eastAsiaTheme="minorHAnsi" w:hAnsi="Times New Roman" w:cs="Times New Roman"/>
          <w:bCs/>
          <w:i/>
          <w:color w:val="auto"/>
          <w:bdr w:val="none" w:sz="0" w:space="0" w:color="auto"/>
          <w:lang w:val="en-AU"/>
        </w:rPr>
        <w:t>Due Diligence Guidance</w:t>
      </w:r>
      <w:r>
        <w:rPr>
          <w:rFonts w:ascii="Times New Roman" w:eastAsiaTheme="minorHAnsi" w:hAnsi="Times New Roman" w:cs="Times New Roman"/>
          <w:bCs/>
          <w:color w:val="auto"/>
          <w:bdr w:val="none" w:sz="0" w:space="0" w:color="auto"/>
          <w:lang w:val="en-AU"/>
        </w:rPr>
        <w:t xml:space="preserve">, n. </w:t>
      </w:r>
      <w:r>
        <w:rPr>
          <w:rFonts w:ascii="Times New Roman" w:eastAsiaTheme="minorHAnsi" w:hAnsi="Times New Roman" w:cs="Times New Roman"/>
          <w:bCs/>
          <w:color w:val="auto"/>
          <w:bdr w:val="none" w:sz="0" w:space="0" w:color="auto"/>
          <w:lang w:val="en-AU"/>
        </w:rPr>
        <w:fldChar w:fldCharType="begin"/>
      </w:r>
      <w:r>
        <w:rPr>
          <w:rFonts w:ascii="Times New Roman" w:eastAsiaTheme="minorHAnsi" w:hAnsi="Times New Roman" w:cs="Times New Roman"/>
          <w:bCs/>
          <w:color w:val="auto"/>
          <w:bdr w:val="none" w:sz="0" w:space="0" w:color="auto"/>
          <w:lang w:val="en-AU"/>
        </w:rPr>
        <w:instrText xml:space="preserve"> NOTEREF _Ref333317705 \h </w:instrText>
      </w:r>
      <w:r>
        <w:rPr>
          <w:rFonts w:ascii="Times New Roman" w:eastAsiaTheme="minorHAnsi" w:hAnsi="Times New Roman" w:cs="Times New Roman"/>
          <w:bCs/>
          <w:color w:val="auto"/>
          <w:bdr w:val="none" w:sz="0" w:space="0" w:color="auto"/>
          <w:lang w:val="en-AU"/>
        </w:rPr>
      </w:r>
      <w:r>
        <w:rPr>
          <w:rFonts w:ascii="Times New Roman" w:eastAsiaTheme="minorHAnsi" w:hAnsi="Times New Roman" w:cs="Times New Roman"/>
          <w:bCs/>
          <w:color w:val="auto"/>
          <w:bdr w:val="none" w:sz="0" w:space="0" w:color="auto"/>
          <w:lang w:val="en-AU"/>
        </w:rPr>
        <w:fldChar w:fldCharType="separate"/>
      </w:r>
      <w:r>
        <w:rPr>
          <w:rFonts w:ascii="Times New Roman" w:eastAsiaTheme="minorHAnsi" w:hAnsi="Times New Roman" w:cs="Times New Roman"/>
          <w:bCs/>
          <w:color w:val="auto"/>
          <w:bdr w:val="none" w:sz="0" w:space="0" w:color="auto"/>
          <w:lang w:val="en-AU"/>
        </w:rPr>
        <w:t>8</w:t>
      </w:r>
      <w:r>
        <w:rPr>
          <w:rFonts w:ascii="Times New Roman" w:eastAsiaTheme="minorHAnsi" w:hAnsi="Times New Roman" w:cs="Times New Roman"/>
          <w:bCs/>
          <w:color w:val="auto"/>
          <w:bdr w:val="none" w:sz="0" w:space="0" w:color="auto"/>
          <w:lang w:val="en-AU"/>
        </w:rPr>
        <w:fldChar w:fldCharType="end"/>
      </w:r>
      <w:r w:rsidRPr="009B6783">
        <w:rPr>
          <w:rFonts w:ascii="Times New Roman" w:eastAsiaTheme="minorHAnsi" w:hAnsi="Times New Roman" w:cs="Times New Roman"/>
          <w:bCs/>
          <w:color w:val="auto"/>
          <w:bdr w:val="none" w:sz="0" w:space="0" w:color="auto"/>
          <w:lang w:val="en-AU"/>
        </w:rPr>
        <w:t>.</w:t>
      </w:r>
      <w:proofErr w:type="gramEnd"/>
      <w:r w:rsidRPr="009B6783">
        <w:rPr>
          <w:rFonts w:ascii="Times New Roman" w:eastAsiaTheme="minorHAnsi" w:hAnsi="Times New Roman" w:cs="Times New Roman"/>
          <w:bCs/>
          <w:color w:val="auto"/>
          <w:bdr w:val="none" w:sz="0" w:space="0" w:color="auto"/>
          <w:lang w:val="en-AU"/>
        </w:rPr>
        <w:t xml:space="preserve"> Also see, OECD</w:t>
      </w:r>
      <w:r>
        <w:rPr>
          <w:rFonts w:ascii="Times New Roman" w:eastAsiaTheme="minorHAnsi" w:hAnsi="Times New Roman" w:cs="Times New Roman"/>
          <w:bCs/>
          <w:color w:val="auto"/>
          <w:bdr w:val="none" w:sz="0" w:space="0" w:color="auto"/>
          <w:lang w:val="en-AU"/>
        </w:rPr>
        <w:t xml:space="preserve"> (2015)</w:t>
      </w:r>
      <w:r w:rsidRPr="009B6783">
        <w:rPr>
          <w:rFonts w:ascii="Times New Roman" w:eastAsiaTheme="minorHAnsi" w:hAnsi="Times New Roman" w:cs="Times New Roman"/>
          <w:bCs/>
          <w:color w:val="auto"/>
          <w:bdr w:val="none" w:sz="0" w:space="0" w:color="auto"/>
          <w:lang w:val="en-AU"/>
        </w:rPr>
        <w:t xml:space="preserve">, </w:t>
      </w:r>
      <w:r w:rsidRPr="007E1402">
        <w:rPr>
          <w:rFonts w:ascii="Times New Roman" w:eastAsiaTheme="minorHAnsi" w:hAnsi="Times New Roman" w:cs="Times New Roman"/>
          <w:bCs/>
          <w:i/>
          <w:color w:val="auto"/>
          <w:bdr w:val="none" w:sz="0" w:space="0" w:color="auto"/>
          <w:lang w:val="en-AU"/>
        </w:rPr>
        <w:t>Due Diligence Guidance for the Responsible Supply Chains in the Garment and Footwear Sector, Draft for Consultation</w:t>
      </w:r>
      <w:r w:rsidRPr="009B6783">
        <w:rPr>
          <w:rFonts w:ascii="Times New Roman" w:eastAsiaTheme="minorHAnsi" w:hAnsi="Times New Roman" w:cs="Times New Roman"/>
          <w:bCs/>
          <w:color w:val="auto"/>
          <w:bdr w:val="none" w:sz="0" w:space="0" w:color="auto"/>
          <w:lang w:val="en-AU"/>
        </w:rPr>
        <w:t>, https://www.oecd.org/daf/inv/mne/Due-Diligence-Guidance-Responsible-Supply-Chains-Textiles-Footwear.pdf</w:t>
      </w:r>
      <w:r>
        <w:rPr>
          <w:rFonts w:ascii="Times New Roman" w:eastAsiaTheme="minorHAnsi" w:hAnsi="Times New Roman" w:cs="Times New Roman"/>
          <w:bCs/>
          <w:color w:val="auto"/>
          <w:bdr w:val="none" w:sz="0" w:space="0" w:color="auto"/>
          <w:lang w:val="en-AU"/>
        </w:rPr>
        <w:t>.</w:t>
      </w:r>
    </w:p>
  </w:footnote>
  <w:footnote w:id="9">
    <w:p w:rsidR="005306F0" w:rsidRPr="009B6783" w:rsidRDefault="005306F0" w:rsidP="005306F0">
      <w:pPr>
        <w:pStyle w:val="FootnoteText"/>
        <w:rPr>
          <w:rFonts w:ascii="Times New Roman" w:hAnsi="Times New Roman" w:cs="Times New Roman"/>
          <w:color w:val="auto"/>
          <w:lang w:val="en-AU"/>
        </w:rPr>
      </w:pPr>
      <w:r w:rsidRPr="009B6783">
        <w:rPr>
          <w:rStyle w:val="FootnoteReference"/>
          <w:rFonts w:ascii="Times New Roman" w:hAnsi="Times New Roman" w:cs="Times New Roman"/>
          <w:color w:val="auto"/>
        </w:rPr>
        <w:footnoteRef/>
      </w:r>
      <w:r w:rsidRPr="009B6783">
        <w:rPr>
          <w:rFonts w:ascii="Times New Roman" w:hAnsi="Times New Roman" w:cs="Times New Roman"/>
          <w:color w:val="auto"/>
        </w:rPr>
        <w:t xml:space="preserve"> </w:t>
      </w:r>
      <w:proofErr w:type="gramStart"/>
      <w:r w:rsidRPr="007E1402">
        <w:rPr>
          <w:rFonts w:ascii="Times New Roman" w:hAnsi="Times New Roman" w:cs="Times New Roman"/>
          <w:i/>
          <w:color w:val="auto"/>
        </w:rPr>
        <w:t>Foreign Corrupt Practices Act 1977</w:t>
      </w:r>
      <w:r w:rsidRPr="009B6783">
        <w:rPr>
          <w:rFonts w:ascii="Times New Roman" w:hAnsi="Times New Roman" w:cs="Times New Roman"/>
          <w:color w:val="auto"/>
        </w:rPr>
        <w:t>, as amended, 15 U.S.C. §§ 78dd-1.</w:t>
      </w:r>
      <w:proofErr w:type="gramEnd"/>
    </w:p>
  </w:footnote>
  <w:footnote w:id="10">
    <w:p w:rsidR="005306F0" w:rsidRPr="009B6783" w:rsidRDefault="005306F0" w:rsidP="005306F0">
      <w:pPr>
        <w:pStyle w:val="FootnoteText"/>
        <w:rPr>
          <w:rFonts w:ascii="Times New Roman" w:hAnsi="Times New Roman" w:cs="Times New Roman"/>
          <w:color w:val="auto"/>
          <w:lang w:val="en-AU"/>
        </w:rPr>
      </w:pPr>
      <w:r w:rsidRPr="009B6783">
        <w:rPr>
          <w:rStyle w:val="FootnoteReference"/>
          <w:rFonts w:ascii="Times New Roman" w:hAnsi="Times New Roman" w:cs="Times New Roman"/>
          <w:color w:val="auto"/>
        </w:rPr>
        <w:footnoteRef/>
      </w:r>
      <w:r w:rsidRPr="009B6783">
        <w:rPr>
          <w:rFonts w:ascii="Times New Roman" w:hAnsi="Times New Roman" w:cs="Times New Roman"/>
          <w:color w:val="auto"/>
        </w:rPr>
        <w:t xml:space="preserve"> </w:t>
      </w:r>
      <w:r>
        <w:rPr>
          <w:rFonts w:ascii="Times New Roman" w:hAnsi="Times New Roman" w:cs="Times New Roman"/>
          <w:color w:val="auto"/>
          <w:lang w:val="en-AU"/>
        </w:rPr>
        <w:t xml:space="preserve">The US </w:t>
      </w:r>
      <w:r w:rsidRPr="009B6783">
        <w:rPr>
          <w:rFonts w:ascii="Times New Roman" w:hAnsi="Times New Roman" w:cs="Times New Roman"/>
          <w:color w:val="auto"/>
          <w:shd w:val="clear" w:color="auto" w:fill="FFFFFF" w:themeFill="background1"/>
        </w:rPr>
        <w:t>Department of Justice has stated that one of the best practices of a FCPA compliance program includes the right to conduct audits of the books and records of the agents, business partners and supplier or contractors to ensure compliance</w:t>
      </w:r>
      <w:r>
        <w:rPr>
          <w:rFonts w:ascii="Times New Roman" w:hAnsi="Times New Roman" w:cs="Times New Roman"/>
          <w:color w:val="auto"/>
          <w:shd w:val="clear" w:color="auto" w:fill="FFFFFF" w:themeFill="background1"/>
        </w:rPr>
        <w:t xml:space="preserve">. See: </w:t>
      </w:r>
      <w:r w:rsidRPr="00B941F8">
        <w:rPr>
          <w:rFonts w:ascii="Times New Roman" w:hAnsi="Times New Roman" w:cs="Times New Roman"/>
          <w:i/>
          <w:color w:val="auto"/>
          <w:shd w:val="clear" w:color="auto" w:fill="FFFFFF" w:themeFill="background1"/>
        </w:rPr>
        <w:t xml:space="preserve">USA v </w:t>
      </w:r>
      <w:proofErr w:type="spellStart"/>
      <w:r w:rsidRPr="00B941F8">
        <w:rPr>
          <w:rFonts w:ascii="Times New Roman" w:hAnsi="Times New Roman" w:cs="Times New Roman"/>
          <w:i/>
          <w:color w:val="auto"/>
          <w:shd w:val="clear" w:color="auto" w:fill="FFFFFF" w:themeFill="background1"/>
        </w:rPr>
        <w:t>Panalpina</w:t>
      </w:r>
      <w:proofErr w:type="spellEnd"/>
      <w:r w:rsidRPr="00B941F8">
        <w:rPr>
          <w:rFonts w:ascii="Times New Roman" w:hAnsi="Times New Roman" w:cs="Times New Roman"/>
          <w:i/>
          <w:color w:val="auto"/>
          <w:shd w:val="clear" w:color="auto" w:fill="FFFFFF" w:themeFill="background1"/>
        </w:rPr>
        <w:t xml:space="preserve"> World Transport (Holdings)</w:t>
      </w:r>
      <w:r>
        <w:rPr>
          <w:rFonts w:ascii="Times New Roman" w:hAnsi="Times New Roman" w:cs="Times New Roman"/>
          <w:color w:val="auto"/>
          <w:shd w:val="clear" w:color="auto" w:fill="FFFFFF" w:themeFill="background1"/>
        </w:rPr>
        <w:t xml:space="preserve"> Docket Number 10-CR-769, a Deferred Prosecution Agreement. </w:t>
      </w:r>
    </w:p>
  </w:footnote>
  <w:footnote w:id="11">
    <w:p w:rsidR="005306F0" w:rsidRPr="009B6783" w:rsidRDefault="005306F0" w:rsidP="005306F0">
      <w:pPr>
        <w:pStyle w:val="FootnoteText"/>
        <w:rPr>
          <w:rFonts w:ascii="Times New Roman" w:hAnsi="Times New Roman" w:cs="Times New Roman"/>
          <w:color w:val="auto"/>
          <w:lang w:val="en-AU"/>
        </w:rPr>
      </w:pPr>
      <w:r w:rsidRPr="009B6783">
        <w:rPr>
          <w:rStyle w:val="FootnoteReference"/>
          <w:rFonts w:ascii="Times New Roman" w:hAnsi="Times New Roman" w:cs="Times New Roman"/>
          <w:color w:val="auto"/>
        </w:rPr>
        <w:footnoteRef/>
      </w:r>
      <w:r w:rsidRPr="009B6783">
        <w:rPr>
          <w:rFonts w:ascii="Times New Roman" w:hAnsi="Times New Roman" w:cs="Times New Roman"/>
          <w:color w:val="auto"/>
        </w:rPr>
        <w:t xml:space="preserve"> </w:t>
      </w:r>
      <w:r w:rsidR="00D859FB" w:rsidRPr="009B6783">
        <w:rPr>
          <w:rFonts w:ascii="Times New Roman" w:hAnsi="Times New Roman" w:cs="Times New Roman"/>
          <w:color w:val="auto"/>
        </w:rPr>
        <w:t>Human Rights Council,</w:t>
      </w:r>
      <w:r w:rsidR="00D859FB" w:rsidRPr="009B6783">
        <w:rPr>
          <w:rFonts w:ascii="Times New Roman" w:hAnsi="Times New Roman" w:cs="Times New Roman"/>
          <w:bCs/>
          <w:color w:val="auto"/>
          <w:lang w:val="en-GB"/>
        </w:rPr>
        <w:t xml:space="preserve"> </w:t>
      </w:r>
      <w:r w:rsidR="00D859FB">
        <w:rPr>
          <w:rFonts w:ascii="Times New Roman" w:hAnsi="Times New Roman" w:cs="Times New Roman"/>
          <w:bCs/>
          <w:color w:val="auto"/>
          <w:lang w:val="en-GB"/>
        </w:rPr>
        <w:t>‘</w:t>
      </w:r>
      <w:r w:rsidR="00D859FB" w:rsidRPr="009B6783">
        <w:rPr>
          <w:rFonts w:ascii="Times New Roman" w:hAnsi="Times New Roman" w:cs="Times New Roman"/>
          <w:bCs/>
          <w:color w:val="auto"/>
          <w:lang w:val="en-GB"/>
        </w:rPr>
        <w:t xml:space="preserve">Guiding Principles on Business and Human Rights: Implementing the United Nations </w:t>
      </w:r>
      <w:r w:rsidR="00D859FB">
        <w:rPr>
          <w:rFonts w:ascii="Times New Roman" w:hAnsi="Times New Roman" w:cs="Times New Roman"/>
          <w:bCs/>
          <w:color w:val="auto"/>
          <w:lang w:val="en-GB"/>
        </w:rPr>
        <w:t>“</w:t>
      </w:r>
      <w:r w:rsidR="00D859FB" w:rsidRPr="009B6783">
        <w:rPr>
          <w:rFonts w:ascii="Times New Roman" w:hAnsi="Times New Roman" w:cs="Times New Roman"/>
          <w:bCs/>
          <w:color w:val="auto"/>
          <w:lang w:val="en-GB"/>
        </w:rPr>
        <w:t>Protect, Respect and Remedy</w:t>
      </w:r>
      <w:r w:rsidR="00D859FB">
        <w:rPr>
          <w:rFonts w:ascii="Times New Roman" w:hAnsi="Times New Roman" w:cs="Times New Roman"/>
          <w:bCs/>
          <w:color w:val="auto"/>
          <w:lang w:val="en-GB"/>
        </w:rPr>
        <w:t>”</w:t>
      </w:r>
      <w:r w:rsidR="00D859FB" w:rsidRPr="009B6783">
        <w:rPr>
          <w:rFonts w:ascii="Times New Roman" w:hAnsi="Times New Roman" w:cs="Times New Roman"/>
          <w:bCs/>
          <w:color w:val="auto"/>
          <w:lang w:val="en-GB"/>
        </w:rPr>
        <w:t xml:space="preserve"> Framework</w:t>
      </w:r>
      <w:r w:rsidR="00D859FB">
        <w:rPr>
          <w:rFonts w:ascii="Times New Roman" w:hAnsi="Times New Roman" w:cs="Times New Roman"/>
          <w:bCs/>
          <w:color w:val="auto"/>
          <w:lang w:val="en-GB"/>
        </w:rPr>
        <w:t xml:space="preserve">: </w:t>
      </w:r>
      <w:r w:rsidR="00D859FB" w:rsidRPr="009B6783">
        <w:rPr>
          <w:rFonts w:ascii="Times New Roman" w:hAnsi="Times New Roman" w:cs="Times New Roman"/>
          <w:bCs/>
          <w:color w:val="auto"/>
          <w:lang w:val="en-GB"/>
        </w:rPr>
        <w:t>Report of the Special Representative of the Secretary-General on the issue of Human Rights and Transnational Corporations and Other Business Enterprises</w:t>
      </w:r>
      <w:r w:rsidR="00D859FB">
        <w:rPr>
          <w:rFonts w:ascii="Times New Roman" w:hAnsi="Times New Roman" w:cs="Times New Roman"/>
          <w:bCs/>
          <w:color w:val="auto"/>
          <w:lang w:val="en-GB"/>
        </w:rPr>
        <w:t xml:space="preserve">’, </w:t>
      </w:r>
      <w:r w:rsidR="00D859FB" w:rsidRPr="009B6783">
        <w:rPr>
          <w:rFonts w:ascii="Times New Roman" w:hAnsi="Times New Roman" w:cs="Times New Roman"/>
          <w:color w:val="auto"/>
          <w:lang w:val="en-GB"/>
        </w:rPr>
        <w:t>A/HRC/17/31 (21 March 2011)</w:t>
      </w:r>
      <w:r w:rsidRPr="009B6783">
        <w:rPr>
          <w:rFonts w:ascii="Times New Roman" w:hAnsi="Times New Roman" w:cs="Times New Roman"/>
          <w:color w:val="auto"/>
          <w:lang w:val="en-AU"/>
        </w:rPr>
        <w:t>, Principles</w:t>
      </w:r>
      <w:r>
        <w:rPr>
          <w:rFonts w:ascii="Times New Roman" w:hAnsi="Times New Roman" w:cs="Times New Roman"/>
          <w:color w:val="auto"/>
          <w:lang w:val="en-AU"/>
        </w:rPr>
        <w:t xml:space="preserve"> </w:t>
      </w:r>
      <w:r w:rsidRPr="009B6783">
        <w:rPr>
          <w:rFonts w:ascii="Times New Roman" w:hAnsi="Times New Roman" w:cs="Times New Roman"/>
          <w:color w:val="auto"/>
          <w:lang w:val="en-AU"/>
        </w:rPr>
        <w:t>17-20.</w:t>
      </w:r>
    </w:p>
  </w:footnote>
  <w:footnote w:id="12">
    <w:p w:rsidR="005306F0" w:rsidRPr="009B6783" w:rsidRDefault="005306F0" w:rsidP="005306F0">
      <w:pPr>
        <w:pStyle w:val="FootnoteText"/>
        <w:rPr>
          <w:rFonts w:ascii="Times New Roman" w:hAnsi="Times New Roman" w:cs="Times New Roman"/>
          <w:color w:val="auto"/>
          <w:lang w:val="en-AU"/>
        </w:rPr>
      </w:pPr>
      <w:r w:rsidRPr="009B6783">
        <w:rPr>
          <w:rStyle w:val="FootnoteReference"/>
          <w:rFonts w:ascii="Times New Roman" w:hAnsi="Times New Roman" w:cs="Times New Roman"/>
          <w:color w:val="auto"/>
        </w:rPr>
        <w:footnoteRef/>
      </w:r>
      <w:r w:rsidRPr="009B6783">
        <w:rPr>
          <w:rFonts w:ascii="Times New Roman" w:hAnsi="Times New Roman" w:cs="Times New Roman"/>
          <w:color w:val="auto"/>
        </w:rPr>
        <w:t xml:space="preserve"> </w:t>
      </w:r>
      <w:proofErr w:type="gramStart"/>
      <w:r w:rsidRPr="009B6783">
        <w:rPr>
          <w:rFonts w:ascii="Times New Roman" w:hAnsi="Times New Roman" w:cs="Times New Roman"/>
          <w:color w:val="auto"/>
          <w:lang w:val="en-AU"/>
        </w:rPr>
        <w:t xml:space="preserve">Human Rights Council, </w:t>
      </w:r>
      <w:r>
        <w:rPr>
          <w:rFonts w:ascii="Times New Roman" w:hAnsi="Times New Roman" w:cs="Times New Roman"/>
          <w:color w:val="auto"/>
          <w:lang w:val="en-AU"/>
        </w:rPr>
        <w:t>‘</w:t>
      </w:r>
      <w:r w:rsidRPr="009B6783">
        <w:rPr>
          <w:rFonts w:ascii="Times New Roman" w:hAnsi="Times New Roman" w:cs="Times New Roman"/>
          <w:color w:val="auto"/>
          <w:lang w:val="en-AU"/>
        </w:rPr>
        <w:t>Guiding Principles</w:t>
      </w:r>
      <w:r>
        <w:rPr>
          <w:rFonts w:ascii="Times New Roman" w:hAnsi="Times New Roman" w:cs="Times New Roman"/>
          <w:color w:val="auto"/>
          <w:lang w:val="en-AU"/>
        </w:rPr>
        <w:t>’</w:t>
      </w:r>
      <w:r w:rsidRPr="009B6783">
        <w:rPr>
          <w:rFonts w:ascii="Times New Roman" w:hAnsi="Times New Roman" w:cs="Times New Roman"/>
          <w:color w:val="auto"/>
          <w:lang w:val="en-AU"/>
        </w:rPr>
        <w:t>, n</w:t>
      </w:r>
      <w:r>
        <w:rPr>
          <w:rFonts w:ascii="Times New Roman" w:hAnsi="Times New Roman" w:cs="Times New Roman"/>
          <w:color w:val="auto"/>
          <w:lang w:val="en-AU"/>
        </w:rPr>
        <w:t xml:space="preserve">. </w:t>
      </w:r>
      <w:r w:rsidR="00D859FB">
        <w:rPr>
          <w:rFonts w:ascii="Times New Roman" w:hAnsi="Times New Roman" w:cs="Times New Roman"/>
          <w:color w:val="auto"/>
          <w:lang w:val="en-AU"/>
        </w:rPr>
        <w:t>11</w:t>
      </w:r>
      <w:r w:rsidRPr="009B6783">
        <w:rPr>
          <w:rFonts w:ascii="Times New Roman" w:hAnsi="Times New Roman" w:cs="Times New Roman"/>
          <w:color w:val="auto"/>
          <w:lang w:val="en-AU"/>
        </w:rPr>
        <w:t>, Principle</w:t>
      </w:r>
      <w:r>
        <w:rPr>
          <w:rFonts w:ascii="Times New Roman" w:hAnsi="Times New Roman" w:cs="Times New Roman"/>
          <w:color w:val="auto"/>
          <w:lang w:val="en-AU"/>
        </w:rPr>
        <w:t xml:space="preserve"> </w:t>
      </w:r>
      <w:r w:rsidRPr="009B6783">
        <w:rPr>
          <w:rFonts w:ascii="Times New Roman" w:hAnsi="Times New Roman" w:cs="Times New Roman"/>
          <w:color w:val="auto"/>
          <w:lang w:val="en-AU"/>
        </w:rPr>
        <w:t>17.</w:t>
      </w:r>
      <w:proofErr w:type="gramEnd"/>
    </w:p>
  </w:footnote>
  <w:footnote w:id="13">
    <w:p w:rsidR="005306F0" w:rsidRPr="00D7667C" w:rsidRDefault="005306F0" w:rsidP="005306F0">
      <w:pPr>
        <w:pStyle w:val="FootnoteText"/>
        <w:rPr>
          <w:rFonts w:ascii="Times New Roman" w:hAnsi="Times New Roman" w:cs="Times New Roman"/>
          <w:lang w:val="en-AU"/>
        </w:rPr>
      </w:pPr>
      <w:r w:rsidRPr="00D7667C">
        <w:rPr>
          <w:rStyle w:val="FootnoteReference"/>
          <w:rFonts w:ascii="Times New Roman" w:hAnsi="Times New Roman" w:cs="Times New Roman"/>
        </w:rPr>
        <w:footnoteRef/>
      </w:r>
      <w:r w:rsidRPr="00D7667C">
        <w:rPr>
          <w:rFonts w:ascii="Times New Roman" w:hAnsi="Times New Roman" w:cs="Times New Roman"/>
        </w:rPr>
        <w:t xml:space="preserve"> </w:t>
      </w:r>
      <w:r w:rsidRPr="00D7667C">
        <w:rPr>
          <w:rFonts w:ascii="Times New Roman" w:hAnsi="Times New Roman" w:cs="Times New Roman"/>
          <w:lang w:val="en-AU"/>
        </w:rPr>
        <w:t>S. Deva</w:t>
      </w:r>
      <w:r>
        <w:rPr>
          <w:rFonts w:ascii="Times New Roman" w:hAnsi="Times New Roman" w:cs="Times New Roman"/>
          <w:lang w:val="en-AU"/>
        </w:rPr>
        <w:t>,</w:t>
      </w:r>
      <w:r w:rsidRPr="00D7667C">
        <w:rPr>
          <w:rFonts w:ascii="Times New Roman" w:hAnsi="Times New Roman" w:cs="Times New Roman"/>
          <w:lang w:val="en-AU"/>
        </w:rPr>
        <w:t xml:space="preserve"> </w:t>
      </w:r>
      <w:r>
        <w:rPr>
          <w:rFonts w:ascii="Times New Roman" w:hAnsi="Times New Roman" w:cs="Times New Roman"/>
          <w:lang w:val="en-AU"/>
        </w:rPr>
        <w:t>‘</w:t>
      </w:r>
      <w:r w:rsidRPr="00D7667C">
        <w:rPr>
          <w:rFonts w:ascii="Times New Roman" w:hAnsi="Times New Roman" w:cs="Times New Roman"/>
        </w:rPr>
        <w:t xml:space="preserve">Treating </w:t>
      </w:r>
      <w:r>
        <w:rPr>
          <w:rFonts w:ascii="Times New Roman" w:hAnsi="Times New Roman" w:cs="Times New Roman"/>
        </w:rPr>
        <w:t>H</w:t>
      </w:r>
      <w:r w:rsidRPr="00D7667C">
        <w:rPr>
          <w:rFonts w:ascii="Times New Roman" w:hAnsi="Times New Roman" w:cs="Times New Roman"/>
        </w:rPr>
        <w:t xml:space="preserve">uman </w:t>
      </w:r>
      <w:r>
        <w:rPr>
          <w:rFonts w:ascii="Times New Roman" w:hAnsi="Times New Roman" w:cs="Times New Roman"/>
        </w:rPr>
        <w:t>R</w:t>
      </w:r>
      <w:r w:rsidRPr="00D7667C">
        <w:rPr>
          <w:rFonts w:ascii="Times New Roman" w:hAnsi="Times New Roman" w:cs="Times New Roman"/>
        </w:rPr>
        <w:t xml:space="preserve">ights </w:t>
      </w:r>
      <w:r>
        <w:rPr>
          <w:rFonts w:ascii="Times New Roman" w:hAnsi="Times New Roman" w:cs="Times New Roman"/>
        </w:rPr>
        <w:t>L</w:t>
      </w:r>
      <w:r w:rsidRPr="00D7667C">
        <w:rPr>
          <w:rFonts w:ascii="Times New Roman" w:hAnsi="Times New Roman" w:cs="Times New Roman"/>
        </w:rPr>
        <w:t xml:space="preserve">ightly: </w:t>
      </w:r>
      <w:r>
        <w:rPr>
          <w:rFonts w:ascii="Times New Roman" w:hAnsi="Times New Roman" w:cs="Times New Roman"/>
        </w:rPr>
        <w:t>A</w:t>
      </w:r>
      <w:r w:rsidRPr="00D7667C">
        <w:rPr>
          <w:rFonts w:ascii="Times New Roman" w:hAnsi="Times New Roman" w:cs="Times New Roman"/>
        </w:rPr>
        <w:t xml:space="preserve"> </w:t>
      </w:r>
      <w:r>
        <w:rPr>
          <w:rFonts w:ascii="Times New Roman" w:hAnsi="Times New Roman" w:cs="Times New Roman"/>
        </w:rPr>
        <w:t>C</w:t>
      </w:r>
      <w:r w:rsidRPr="00D7667C">
        <w:rPr>
          <w:rFonts w:ascii="Times New Roman" w:hAnsi="Times New Roman" w:cs="Times New Roman"/>
        </w:rPr>
        <w:t xml:space="preserve">ritique of the </w:t>
      </w:r>
      <w:r>
        <w:rPr>
          <w:rFonts w:ascii="Times New Roman" w:hAnsi="Times New Roman" w:cs="Times New Roman"/>
        </w:rPr>
        <w:t>C</w:t>
      </w:r>
      <w:r w:rsidRPr="00D7667C">
        <w:rPr>
          <w:rFonts w:ascii="Times New Roman" w:hAnsi="Times New Roman" w:cs="Times New Roman"/>
        </w:rPr>
        <w:t xml:space="preserve">onsensus </w:t>
      </w:r>
      <w:r>
        <w:rPr>
          <w:rFonts w:ascii="Times New Roman" w:hAnsi="Times New Roman" w:cs="Times New Roman"/>
        </w:rPr>
        <w:t>R</w:t>
      </w:r>
      <w:r w:rsidRPr="00D7667C">
        <w:rPr>
          <w:rFonts w:ascii="Times New Roman" w:hAnsi="Times New Roman" w:cs="Times New Roman"/>
        </w:rPr>
        <w:t xml:space="preserve">hetoric and the </w:t>
      </w:r>
      <w:r>
        <w:rPr>
          <w:rFonts w:ascii="Times New Roman" w:hAnsi="Times New Roman" w:cs="Times New Roman"/>
        </w:rPr>
        <w:t>L</w:t>
      </w:r>
      <w:r w:rsidRPr="00D7667C">
        <w:rPr>
          <w:rFonts w:ascii="Times New Roman" w:hAnsi="Times New Roman" w:cs="Times New Roman"/>
        </w:rPr>
        <w:t xml:space="preserve">anguage </w:t>
      </w:r>
      <w:r>
        <w:rPr>
          <w:rFonts w:ascii="Times New Roman" w:hAnsi="Times New Roman" w:cs="Times New Roman"/>
        </w:rPr>
        <w:t>E</w:t>
      </w:r>
      <w:r w:rsidRPr="00D7667C">
        <w:rPr>
          <w:rFonts w:ascii="Times New Roman" w:hAnsi="Times New Roman" w:cs="Times New Roman"/>
        </w:rPr>
        <w:t>mployed by the Guiding Principles</w:t>
      </w:r>
      <w:r>
        <w:rPr>
          <w:rFonts w:ascii="Times New Roman" w:hAnsi="Times New Roman" w:cs="Times New Roman"/>
        </w:rPr>
        <w:t>’</w:t>
      </w:r>
      <w:r w:rsidRPr="00D7667C">
        <w:rPr>
          <w:rFonts w:ascii="Times New Roman" w:hAnsi="Times New Roman" w:cs="Times New Roman"/>
        </w:rPr>
        <w:t xml:space="preserve"> in S. Deva and D. Bilchitz</w:t>
      </w:r>
      <w:r>
        <w:rPr>
          <w:rFonts w:ascii="Times New Roman" w:hAnsi="Times New Roman" w:cs="Times New Roman"/>
        </w:rPr>
        <w:t>,</w:t>
      </w:r>
      <w:r w:rsidRPr="00D7667C">
        <w:rPr>
          <w:rFonts w:ascii="Times New Roman" w:hAnsi="Times New Roman" w:cs="Times New Roman"/>
        </w:rPr>
        <w:t xml:space="preserve"> </w:t>
      </w:r>
      <w:r w:rsidRPr="00D7667C">
        <w:rPr>
          <w:rFonts w:ascii="Times New Roman" w:hAnsi="Times New Roman" w:cs="Times New Roman"/>
          <w:i/>
        </w:rPr>
        <w:t>Human Rights Obligations of Business: Beyond the Corporate Responsibility to Respect?</w:t>
      </w:r>
      <w:r w:rsidRPr="00D7667C">
        <w:rPr>
          <w:rFonts w:ascii="Times New Roman" w:hAnsi="Times New Roman" w:cs="Times New Roman"/>
        </w:rPr>
        <w:t xml:space="preserve"> </w:t>
      </w:r>
      <w:r>
        <w:rPr>
          <w:rFonts w:ascii="Times New Roman" w:hAnsi="Times New Roman" w:cs="Times New Roman"/>
        </w:rPr>
        <w:t>(</w:t>
      </w:r>
      <w:r w:rsidRPr="00D7667C">
        <w:rPr>
          <w:rFonts w:ascii="Times New Roman" w:hAnsi="Times New Roman" w:cs="Times New Roman"/>
        </w:rPr>
        <w:t>Cambridge University Press, 2013</w:t>
      </w:r>
      <w:r>
        <w:rPr>
          <w:rFonts w:ascii="Times New Roman" w:hAnsi="Times New Roman" w:cs="Times New Roman"/>
        </w:rPr>
        <w:t>),</w:t>
      </w:r>
      <w:r w:rsidRPr="00D7667C">
        <w:rPr>
          <w:rFonts w:ascii="Times New Roman" w:hAnsi="Times New Roman" w:cs="Times New Roman"/>
        </w:rPr>
        <w:t xml:space="preserve"> 78-104.</w:t>
      </w:r>
    </w:p>
  </w:footnote>
  <w:footnote w:id="14">
    <w:p w:rsidR="005306F0" w:rsidRPr="009B6783" w:rsidRDefault="005306F0" w:rsidP="005306F0">
      <w:pPr>
        <w:pStyle w:val="FootnoteText"/>
        <w:rPr>
          <w:rFonts w:ascii="Times New Roman" w:hAnsi="Times New Roman" w:cs="Times New Roman"/>
          <w:color w:val="auto"/>
          <w:lang w:val="en-AU"/>
        </w:rPr>
      </w:pPr>
      <w:r w:rsidRPr="009B6783">
        <w:rPr>
          <w:rStyle w:val="FootnoteReference"/>
          <w:rFonts w:ascii="Times New Roman" w:hAnsi="Times New Roman" w:cs="Times New Roman"/>
          <w:color w:val="auto"/>
        </w:rPr>
        <w:footnoteRef/>
      </w:r>
      <w:r w:rsidRPr="009B6783">
        <w:rPr>
          <w:rFonts w:ascii="Times New Roman" w:hAnsi="Times New Roman" w:cs="Times New Roman"/>
          <w:color w:val="auto"/>
        </w:rPr>
        <w:t xml:space="preserve"> G</w:t>
      </w:r>
      <w:r>
        <w:rPr>
          <w:rFonts w:ascii="Times New Roman" w:hAnsi="Times New Roman" w:cs="Times New Roman"/>
          <w:color w:val="auto"/>
        </w:rPr>
        <w:t>.</w:t>
      </w:r>
      <w:r w:rsidRPr="009B6783">
        <w:rPr>
          <w:rFonts w:ascii="Times New Roman" w:hAnsi="Times New Roman" w:cs="Times New Roman"/>
          <w:color w:val="auto"/>
        </w:rPr>
        <w:t xml:space="preserve"> </w:t>
      </w:r>
      <w:proofErr w:type="spellStart"/>
      <w:r w:rsidRPr="009B6783">
        <w:rPr>
          <w:rFonts w:ascii="Times New Roman" w:hAnsi="Times New Roman" w:cs="Times New Roman"/>
          <w:color w:val="auto"/>
        </w:rPr>
        <w:t>Gereffi</w:t>
      </w:r>
      <w:proofErr w:type="spellEnd"/>
      <w:r w:rsidRPr="009B6783">
        <w:rPr>
          <w:rFonts w:ascii="Times New Roman" w:hAnsi="Times New Roman" w:cs="Times New Roman"/>
          <w:color w:val="auto"/>
        </w:rPr>
        <w:t>, J</w:t>
      </w:r>
      <w:r>
        <w:rPr>
          <w:rFonts w:ascii="Times New Roman" w:hAnsi="Times New Roman" w:cs="Times New Roman"/>
          <w:color w:val="auto"/>
        </w:rPr>
        <w:t>.</w:t>
      </w:r>
      <w:r w:rsidRPr="009B6783">
        <w:rPr>
          <w:rFonts w:ascii="Times New Roman" w:hAnsi="Times New Roman" w:cs="Times New Roman"/>
          <w:color w:val="auto"/>
        </w:rPr>
        <w:t xml:space="preserve"> Humphrey and T</w:t>
      </w:r>
      <w:r>
        <w:rPr>
          <w:rFonts w:ascii="Times New Roman" w:hAnsi="Times New Roman" w:cs="Times New Roman"/>
          <w:color w:val="auto"/>
        </w:rPr>
        <w:t>.</w:t>
      </w:r>
      <w:r w:rsidRPr="009B6783">
        <w:rPr>
          <w:rFonts w:ascii="Times New Roman" w:hAnsi="Times New Roman" w:cs="Times New Roman"/>
          <w:color w:val="auto"/>
        </w:rPr>
        <w:t xml:space="preserve"> Sturgeon</w:t>
      </w:r>
      <w:r>
        <w:rPr>
          <w:rFonts w:ascii="Times New Roman" w:hAnsi="Times New Roman" w:cs="Times New Roman"/>
          <w:color w:val="auto"/>
        </w:rPr>
        <w:t>,</w:t>
      </w:r>
      <w:r w:rsidRPr="009B6783">
        <w:rPr>
          <w:rFonts w:ascii="Times New Roman" w:hAnsi="Times New Roman" w:cs="Times New Roman"/>
          <w:color w:val="auto"/>
        </w:rPr>
        <w:t xml:space="preserve"> </w:t>
      </w:r>
      <w:r>
        <w:rPr>
          <w:rFonts w:ascii="Times New Roman" w:hAnsi="Times New Roman" w:cs="Times New Roman"/>
          <w:color w:val="auto"/>
        </w:rPr>
        <w:t>‘</w:t>
      </w:r>
      <w:r w:rsidRPr="009B6783">
        <w:rPr>
          <w:rFonts w:ascii="Times New Roman" w:hAnsi="Times New Roman" w:cs="Times New Roman"/>
          <w:color w:val="auto"/>
        </w:rPr>
        <w:t xml:space="preserve">The </w:t>
      </w:r>
      <w:r>
        <w:rPr>
          <w:rFonts w:ascii="Times New Roman" w:hAnsi="Times New Roman" w:cs="Times New Roman"/>
          <w:color w:val="auto"/>
        </w:rPr>
        <w:t>G</w:t>
      </w:r>
      <w:r w:rsidRPr="009B6783">
        <w:rPr>
          <w:rFonts w:ascii="Times New Roman" w:hAnsi="Times New Roman" w:cs="Times New Roman"/>
          <w:color w:val="auto"/>
        </w:rPr>
        <w:t xml:space="preserve">overnance of </w:t>
      </w:r>
      <w:r>
        <w:rPr>
          <w:rFonts w:ascii="Times New Roman" w:hAnsi="Times New Roman" w:cs="Times New Roman"/>
          <w:color w:val="auto"/>
        </w:rPr>
        <w:t>G</w:t>
      </w:r>
      <w:r w:rsidRPr="009B6783">
        <w:rPr>
          <w:rFonts w:ascii="Times New Roman" w:hAnsi="Times New Roman" w:cs="Times New Roman"/>
          <w:color w:val="auto"/>
        </w:rPr>
        <w:t xml:space="preserve">lobal </w:t>
      </w:r>
      <w:r>
        <w:rPr>
          <w:rFonts w:ascii="Times New Roman" w:hAnsi="Times New Roman" w:cs="Times New Roman"/>
          <w:color w:val="auto"/>
        </w:rPr>
        <w:t>V</w:t>
      </w:r>
      <w:r w:rsidRPr="009B6783">
        <w:rPr>
          <w:rFonts w:ascii="Times New Roman" w:hAnsi="Times New Roman" w:cs="Times New Roman"/>
          <w:color w:val="auto"/>
        </w:rPr>
        <w:t xml:space="preserve">alue </w:t>
      </w:r>
      <w:r>
        <w:rPr>
          <w:rFonts w:ascii="Times New Roman" w:hAnsi="Times New Roman" w:cs="Times New Roman"/>
          <w:color w:val="auto"/>
        </w:rPr>
        <w:t>C</w:t>
      </w:r>
      <w:r w:rsidRPr="009B6783">
        <w:rPr>
          <w:rFonts w:ascii="Times New Roman" w:hAnsi="Times New Roman" w:cs="Times New Roman"/>
          <w:color w:val="auto"/>
        </w:rPr>
        <w:t>hains</w:t>
      </w:r>
      <w:r>
        <w:rPr>
          <w:rFonts w:ascii="Times New Roman" w:hAnsi="Times New Roman" w:cs="Times New Roman"/>
          <w:color w:val="auto"/>
        </w:rPr>
        <w:t>’ (2005) 12(1)</w:t>
      </w:r>
      <w:r w:rsidRPr="009B6783">
        <w:rPr>
          <w:rFonts w:ascii="Times New Roman" w:hAnsi="Times New Roman" w:cs="Times New Roman"/>
          <w:color w:val="auto"/>
        </w:rPr>
        <w:t xml:space="preserve"> </w:t>
      </w:r>
      <w:r w:rsidRPr="009B6783">
        <w:rPr>
          <w:rFonts w:ascii="Times New Roman" w:hAnsi="Times New Roman" w:cs="Times New Roman"/>
          <w:i/>
          <w:color w:val="auto"/>
        </w:rPr>
        <w:t>Review of International Political Economy</w:t>
      </w:r>
      <w:r w:rsidRPr="009B6783">
        <w:rPr>
          <w:rFonts w:ascii="Times New Roman" w:hAnsi="Times New Roman" w:cs="Times New Roman"/>
          <w:color w:val="auto"/>
        </w:rPr>
        <w:t xml:space="preserve"> 78–</w:t>
      </w:r>
      <w:proofErr w:type="gramStart"/>
      <w:r w:rsidRPr="009B6783">
        <w:rPr>
          <w:rFonts w:ascii="Times New Roman" w:hAnsi="Times New Roman" w:cs="Times New Roman"/>
          <w:color w:val="auto"/>
        </w:rPr>
        <w:t>104 ,</w:t>
      </w:r>
      <w:proofErr w:type="gramEnd"/>
      <w:r w:rsidRPr="009B6783">
        <w:rPr>
          <w:rFonts w:ascii="Times New Roman" w:hAnsi="Times New Roman" w:cs="Times New Roman"/>
          <w:color w:val="auto"/>
        </w:rPr>
        <w:t xml:space="preserve"> 96.</w:t>
      </w:r>
    </w:p>
  </w:footnote>
  <w:footnote w:id="15">
    <w:p w:rsidR="005306F0" w:rsidRPr="00D7667C" w:rsidRDefault="005306F0" w:rsidP="005306F0">
      <w:pPr>
        <w:pStyle w:val="FootnoteText"/>
        <w:rPr>
          <w:rFonts w:ascii="Times New Roman" w:hAnsi="Times New Roman" w:cs="Times New Roman"/>
          <w:lang w:val="en-AU"/>
        </w:rPr>
      </w:pPr>
      <w:r w:rsidRPr="00D7667C">
        <w:rPr>
          <w:rStyle w:val="FootnoteReference"/>
          <w:rFonts w:ascii="Times New Roman" w:hAnsi="Times New Roman" w:cs="Times New Roman"/>
        </w:rPr>
        <w:footnoteRef/>
      </w:r>
      <w:r>
        <w:rPr>
          <w:rFonts w:ascii="Times New Roman" w:hAnsi="Times New Roman" w:cs="Times New Roman"/>
        </w:rPr>
        <w:t xml:space="preserve"> </w:t>
      </w:r>
      <w:r w:rsidRPr="00D7667C">
        <w:rPr>
          <w:rFonts w:ascii="Times New Roman" w:hAnsi="Times New Roman" w:cs="Times New Roman"/>
          <w:lang w:val="en-AU"/>
        </w:rPr>
        <w:t>S. Michalowski</w:t>
      </w:r>
      <w:r>
        <w:rPr>
          <w:rFonts w:ascii="Times New Roman" w:hAnsi="Times New Roman" w:cs="Times New Roman"/>
          <w:lang w:val="en-AU"/>
        </w:rPr>
        <w:t>,</w:t>
      </w:r>
      <w:r w:rsidRPr="00D7667C">
        <w:rPr>
          <w:rFonts w:ascii="Times New Roman" w:hAnsi="Times New Roman" w:cs="Times New Roman"/>
          <w:lang w:val="en-AU"/>
        </w:rPr>
        <w:t xml:space="preserve"> </w:t>
      </w:r>
      <w:r>
        <w:rPr>
          <w:rFonts w:ascii="Times New Roman" w:hAnsi="Times New Roman" w:cs="Times New Roman"/>
          <w:lang w:val="en-AU"/>
        </w:rPr>
        <w:t>‘</w:t>
      </w:r>
      <w:r w:rsidRPr="00D7667C">
        <w:rPr>
          <w:rFonts w:ascii="Times New Roman" w:hAnsi="Times New Roman" w:cs="Times New Roman"/>
        </w:rPr>
        <w:t xml:space="preserve">Due </w:t>
      </w:r>
      <w:r>
        <w:rPr>
          <w:rFonts w:ascii="Times New Roman" w:hAnsi="Times New Roman" w:cs="Times New Roman"/>
        </w:rPr>
        <w:t>D</w:t>
      </w:r>
      <w:r w:rsidRPr="00D7667C">
        <w:rPr>
          <w:rFonts w:ascii="Times New Roman" w:hAnsi="Times New Roman" w:cs="Times New Roman"/>
        </w:rPr>
        <w:t xml:space="preserve">iligence and </w:t>
      </w:r>
      <w:r>
        <w:rPr>
          <w:rFonts w:ascii="Times New Roman" w:hAnsi="Times New Roman" w:cs="Times New Roman"/>
        </w:rPr>
        <w:t>C</w:t>
      </w:r>
      <w:r w:rsidRPr="00D7667C">
        <w:rPr>
          <w:rFonts w:ascii="Times New Roman" w:hAnsi="Times New Roman" w:cs="Times New Roman"/>
        </w:rPr>
        <w:t xml:space="preserve">omplicity: </w:t>
      </w:r>
      <w:r>
        <w:rPr>
          <w:rFonts w:ascii="Times New Roman" w:hAnsi="Times New Roman" w:cs="Times New Roman"/>
        </w:rPr>
        <w:t>A</w:t>
      </w:r>
      <w:r w:rsidRPr="00D7667C">
        <w:rPr>
          <w:rFonts w:ascii="Times New Roman" w:hAnsi="Times New Roman" w:cs="Times New Roman"/>
        </w:rPr>
        <w:t xml:space="preserve"> </w:t>
      </w:r>
      <w:r>
        <w:rPr>
          <w:rFonts w:ascii="Times New Roman" w:hAnsi="Times New Roman" w:cs="Times New Roman"/>
        </w:rPr>
        <w:t>R</w:t>
      </w:r>
      <w:r w:rsidRPr="00D7667C">
        <w:rPr>
          <w:rFonts w:ascii="Times New Roman" w:hAnsi="Times New Roman" w:cs="Times New Roman"/>
        </w:rPr>
        <w:t xml:space="preserve">elationship in </w:t>
      </w:r>
      <w:r>
        <w:rPr>
          <w:rFonts w:ascii="Times New Roman" w:hAnsi="Times New Roman" w:cs="Times New Roman"/>
        </w:rPr>
        <w:t>N</w:t>
      </w:r>
      <w:r w:rsidRPr="00D7667C">
        <w:rPr>
          <w:rFonts w:ascii="Times New Roman" w:hAnsi="Times New Roman" w:cs="Times New Roman"/>
        </w:rPr>
        <w:t xml:space="preserve">eed of </w:t>
      </w:r>
      <w:r>
        <w:rPr>
          <w:rFonts w:ascii="Times New Roman" w:hAnsi="Times New Roman" w:cs="Times New Roman"/>
        </w:rPr>
        <w:t>C</w:t>
      </w:r>
      <w:r w:rsidRPr="00D7667C">
        <w:rPr>
          <w:rFonts w:ascii="Times New Roman" w:hAnsi="Times New Roman" w:cs="Times New Roman"/>
        </w:rPr>
        <w:t>larification</w:t>
      </w:r>
      <w:r>
        <w:rPr>
          <w:rFonts w:ascii="Times New Roman" w:hAnsi="Times New Roman" w:cs="Times New Roman"/>
        </w:rPr>
        <w:t>’</w:t>
      </w:r>
      <w:r w:rsidRPr="00D7667C">
        <w:rPr>
          <w:rFonts w:ascii="Times New Roman" w:hAnsi="Times New Roman" w:cs="Times New Roman"/>
        </w:rPr>
        <w:t xml:space="preserve"> </w:t>
      </w:r>
      <w:r w:rsidRPr="00E33BEE">
        <w:rPr>
          <w:rFonts w:ascii="Times New Roman" w:hAnsi="Times New Roman" w:cs="Times New Roman"/>
        </w:rPr>
        <w:t>in S. Deva and D. Bilchitz</w:t>
      </w:r>
      <w:r>
        <w:rPr>
          <w:rFonts w:ascii="Times New Roman" w:hAnsi="Times New Roman" w:cs="Times New Roman"/>
        </w:rPr>
        <w:t>,</w:t>
      </w:r>
      <w:r w:rsidRPr="00E33BEE">
        <w:rPr>
          <w:rFonts w:ascii="Times New Roman" w:hAnsi="Times New Roman" w:cs="Times New Roman"/>
        </w:rPr>
        <w:t xml:space="preserve"> </w:t>
      </w:r>
      <w:r w:rsidRPr="00E33BEE">
        <w:rPr>
          <w:rFonts w:ascii="Times New Roman" w:hAnsi="Times New Roman" w:cs="Times New Roman"/>
          <w:i/>
        </w:rPr>
        <w:t>Human Rights Obligations of Business: Beyond the Corporate Responsibility to Respect?</w:t>
      </w:r>
      <w:r w:rsidRPr="006905FA">
        <w:rPr>
          <w:rFonts w:ascii="Times New Roman" w:hAnsi="Times New Roman" w:cs="Times New Roman"/>
        </w:rPr>
        <w:t xml:space="preserve"> </w:t>
      </w:r>
      <w:r>
        <w:rPr>
          <w:rFonts w:ascii="Times New Roman" w:hAnsi="Times New Roman" w:cs="Times New Roman"/>
        </w:rPr>
        <w:t>(</w:t>
      </w:r>
      <w:r w:rsidRPr="006905FA">
        <w:rPr>
          <w:rFonts w:ascii="Times New Roman" w:hAnsi="Times New Roman" w:cs="Times New Roman"/>
        </w:rPr>
        <w:t>Cambridge University Press, 2013</w:t>
      </w:r>
      <w:r>
        <w:rPr>
          <w:rFonts w:ascii="Times New Roman" w:hAnsi="Times New Roman" w:cs="Times New Roman"/>
        </w:rPr>
        <w:t xml:space="preserve">), </w:t>
      </w:r>
      <w:r w:rsidRPr="0021016C">
        <w:rPr>
          <w:rFonts w:ascii="Times New Roman" w:hAnsi="Times New Roman" w:cs="Times New Roman"/>
        </w:rPr>
        <w:t>218-242.</w:t>
      </w:r>
    </w:p>
  </w:footnote>
  <w:footnote w:id="16">
    <w:p w:rsidR="005306F0" w:rsidRPr="009B6783" w:rsidRDefault="005306F0" w:rsidP="005306F0">
      <w:pPr>
        <w:pStyle w:val="FootnoteText"/>
        <w:rPr>
          <w:rFonts w:ascii="Times New Roman" w:hAnsi="Times New Roman" w:cs="Times New Roman"/>
          <w:color w:val="auto"/>
          <w:lang w:val="en-AU"/>
        </w:rPr>
      </w:pPr>
      <w:r w:rsidRPr="009B6783">
        <w:rPr>
          <w:rStyle w:val="FootnoteReference"/>
          <w:rFonts w:ascii="Times New Roman" w:hAnsi="Times New Roman" w:cs="Times New Roman"/>
          <w:color w:val="auto"/>
        </w:rPr>
        <w:footnoteRef/>
      </w:r>
      <w:r w:rsidRPr="009B6783">
        <w:rPr>
          <w:rFonts w:ascii="Times New Roman" w:hAnsi="Times New Roman" w:cs="Times New Roman"/>
          <w:color w:val="auto"/>
        </w:rPr>
        <w:t xml:space="preserve"> </w:t>
      </w:r>
      <w:r w:rsidRPr="009B6783">
        <w:rPr>
          <w:rFonts w:ascii="Times New Roman" w:hAnsi="Times New Roman" w:cs="Times New Roman"/>
          <w:color w:val="auto"/>
          <w:lang w:val="en-AU"/>
        </w:rPr>
        <w:t xml:space="preserve">D. Cassel </w:t>
      </w:r>
      <w:r>
        <w:rPr>
          <w:rFonts w:ascii="Times New Roman" w:hAnsi="Times New Roman" w:cs="Times New Roman"/>
          <w:color w:val="auto"/>
          <w:lang w:val="en-AU"/>
        </w:rPr>
        <w:t>and</w:t>
      </w:r>
      <w:r w:rsidRPr="009B6783">
        <w:rPr>
          <w:rFonts w:ascii="Times New Roman" w:hAnsi="Times New Roman" w:cs="Times New Roman"/>
          <w:color w:val="auto"/>
          <w:lang w:val="en-AU"/>
        </w:rPr>
        <w:t xml:space="preserve"> A. </w:t>
      </w:r>
      <w:proofErr w:type="spellStart"/>
      <w:r w:rsidRPr="009B6783">
        <w:rPr>
          <w:rFonts w:ascii="Times New Roman" w:hAnsi="Times New Roman" w:cs="Times New Roman"/>
          <w:color w:val="auto"/>
        </w:rPr>
        <w:t>Ramasastry</w:t>
      </w:r>
      <w:proofErr w:type="spellEnd"/>
      <w:r w:rsidRPr="009B6783">
        <w:rPr>
          <w:rFonts w:ascii="Times New Roman" w:hAnsi="Times New Roman" w:cs="Times New Roman"/>
          <w:color w:val="auto"/>
        </w:rPr>
        <w:t xml:space="preserve">, </w:t>
      </w:r>
      <w:r>
        <w:rPr>
          <w:rFonts w:ascii="Times New Roman" w:hAnsi="Times New Roman" w:cs="Times New Roman"/>
          <w:color w:val="auto"/>
        </w:rPr>
        <w:t>‘</w:t>
      </w:r>
      <w:r w:rsidRPr="009B6783">
        <w:rPr>
          <w:rFonts w:ascii="Times New Roman" w:hAnsi="Times New Roman" w:cs="Times New Roman"/>
          <w:color w:val="auto"/>
        </w:rPr>
        <w:t>White Paper: Options For A Treaty On Business And Human Rights</w:t>
      </w:r>
      <w:r>
        <w:rPr>
          <w:rFonts w:ascii="Times New Roman" w:hAnsi="Times New Roman" w:cs="Times New Roman"/>
          <w:color w:val="auto"/>
        </w:rPr>
        <w:t>’</w:t>
      </w:r>
      <w:r w:rsidRPr="009B6783">
        <w:rPr>
          <w:rFonts w:ascii="Times New Roman" w:hAnsi="Times New Roman" w:cs="Times New Roman"/>
          <w:color w:val="auto"/>
        </w:rPr>
        <w:t xml:space="preserve"> March 2015,</w:t>
      </w:r>
      <w:r>
        <w:rPr>
          <w:rFonts w:ascii="Times New Roman" w:hAnsi="Times New Roman" w:cs="Times New Roman"/>
          <w:color w:val="auto"/>
        </w:rPr>
        <w:t xml:space="preserve"> </w:t>
      </w:r>
      <w:r w:rsidRPr="009B6783">
        <w:rPr>
          <w:rFonts w:ascii="Times New Roman" w:hAnsi="Times New Roman" w:cs="Times New Roman"/>
          <w:color w:val="auto"/>
          <w:lang w:val="en-AU"/>
        </w:rPr>
        <w:t>99</w:t>
      </w:r>
      <w:proofErr w:type="gramStart"/>
      <w:r w:rsidRPr="009B6783">
        <w:rPr>
          <w:rFonts w:ascii="Times New Roman" w:hAnsi="Times New Roman" w:cs="Times New Roman"/>
          <w:color w:val="auto"/>
          <w:lang w:val="en-AU"/>
        </w:rPr>
        <w:t>.</w:t>
      </w:r>
      <w:r w:rsidRPr="009B6783">
        <w:rPr>
          <w:rFonts w:ascii="Times New Roman" w:eastAsiaTheme="minorHAnsi" w:hAnsi="Times New Roman" w:cs="Times New Roman"/>
          <w:bdr w:val="none" w:sz="0" w:space="0" w:color="auto"/>
          <w:lang w:val="en-AU"/>
        </w:rPr>
        <w:t>.</w:t>
      </w:r>
      <w:proofErr w:type="gramEnd"/>
    </w:p>
  </w:footnote>
  <w:footnote w:id="17">
    <w:p w:rsidR="005306F0" w:rsidRPr="009B6783" w:rsidRDefault="005306F0" w:rsidP="005306F0">
      <w:pPr>
        <w:pStyle w:val="FootnoteText"/>
        <w:rPr>
          <w:rFonts w:ascii="Times New Roman" w:hAnsi="Times New Roman" w:cs="Times New Roman"/>
          <w:color w:val="auto"/>
          <w:lang w:val="en-AU"/>
        </w:rPr>
      </w:pPr>
      <w:r w:rsidRPr="009B6783">
        <w:rPr>
          <w:rStyle w:val="FootnoteReference"/>
          <w:rFonts w:ascii="Times New Roman" w:hAnsi="Times New Roman" w:cs="Times New Roman"/>
          <w:color w:val="auto"/>
        </w:rPr>
        <w:footnoteRef/>
      </w:r>
      <w:r w:rsidRPr="009B6783">
        <w:rPr>
          <w:rFonts w:ascii="Times New Roman" w:hAnsi="Times New Roman" w:cs="Times New Roman"/>
          <w:color w:val="auto"/>
        </w:rPr>
        <w:t xml:space="preserve"> </w:t>
      </w:r>
      <w:r>
        <w:rPr>
          <w:rFonts w:ascii="Times New Roman" w:hAnsi="Times New Roman" w:cs="Times New Roman"/>
          <w:color w:val="auto"/>
          <w:lang w:val="en-AU"/>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FC" w:rsidRDefault="00F630FC">
    <w:pPr>
      <w:pStyle w:val="Header"/>
      <w:rPr>
        <w:lang w:val="en-US"/>
      </w:rPr>
    </w:pPr>
  </w:p>
  <w:p w:rsidR="00F630FC" w:rsidRDefault="00F630F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725F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B472F5"/>
    <w:multiLevelType w:val="hybridMultilevel"/>
    <w:tmpl w:val="FF0C32B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A1368AC"/>
    <w:multiLevelType w:val="hybridMultilevel"/>
    <w:tmpl w:val="425EA612"/>
    <w:lvl w:ilvl="0" w:tplc="9892A764">
      <w:start w:val="1"/>
      <w:numFmt w:val="upp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EE25FB5"/>
    <w:multiLevelType w:val="hybridMultilevel"/>
    <w:tmpl w:val="187C8D98"/>
    <w:lvl w:ilvl="0" w:tplc="40346F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E010DD1"/>
    <w:multiLevelType w:val="hybridMultilevel"/>
    <w:tmpl w:val="589A9D96"/>
    <w:lvl w:ilvl="0" w:tplc="40346F58">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854"/>
    <w:rsid w:val="0001351B"/>
    <w:rsid w:val="00073CB5"/>
    <w:rsid w:val="00077E9D"/>
    <w:rsid w:val="000D6D0B"/>
    <w:rsid w:val="000D7CC4"/>
    <w:rsid w:val="00125408"/>
    <w:rsid w:val="00133BED"/>
    <w:rsid w:val="002C1AB6"/>
    <w:rsid w:val="003329F7"/>
    <w:rsid w:val="003545A9"/>
    <w:rsid w:val="003A7953"/>
    <w:rsid w:val="0041592D"/>
    <w:rsid w:val="00435A79"/>
    <w:rsid w:val="004A2506"/>
    <w:rsid w:val="004D1DDF"/>
    <w:rsid w:val="00517C07"/>
    <w:rsid w:val="005306F0"/>
    <w:rsid w:val="0062749D"/>
    <w:rsid w:val="00665422"/>
    <w:rsid w:val="006E300A"/>
    <w:rsid w:val="00733A92"/>
    <w:rsid w:val="00747854"/>
    <w:rsid w:val="00793F7F"/>
    <w:rsid w:val="00836AEA"/>
    <w:rsid w:val="008A7934"/>
    <w:rsid w:val="008C3B37"/>
    <w:rsid w:val="009B2BB2"/>
    <w:rsid w:val="009C114A"/>
    <w:rsid w:val="00A44230"/>
    <w:rsid w:val="00A53664"/>
    <w:rsid w:val="00A62FCB"/>
    <w:rsid w:val="00A842DE"/>
    <w:rsid w:val="00A936EA"/>
    <w:rsid w:val="00AF56DF"/>
    <w:rsid w:val="00C46082"/>
    <w:rsid w:val="00CF3AF5"/>
    <w:rsid w:val="00D71884"/>
    <w:rsid w:val="00D859FB"/>
    <w:rsid w:val="00D87D52"/>
    <w:rsid w:val="00E20E6E"/>
    <w:rsid w:val="00E217A7"/>
    <w:rsid w:val="00E673C1"/>
    <w:rsid w:val="00E86AA3"/>
    <w:rsid w:val="00EC5368"/>
    <w:rsid w:val="00F00734"/>
    <w:rsid w:val="00F205B0"/>
    <w:rsid w:val="00F33011"/>
    <w:rsid w:val="00F630FC"/>
    <w:rsid w:val="00FC5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paragraph" w:customStyle="1" w:styleId="a4UNSW">
    <w:name w:val="a4UNSW"/>
    <w:basedOn w:val="Noparagraphstyle"/>
    <w:pPr>
      <w:spacing w:after="57" w:line="180" w:lineRule="atLeast"/>
      <w:jc w:val="distribute"/>
    </w:pPr>
    <w:rPr>
      <w:rFonts w:ascii="Optima LT Std" w:hAnsi="Optima LT Std" w:cs="Optima LT Std"/>
      <w:sz w:val="14"/>
      <w:szCs w:val="14"/>
    </w:rPr>
  </w:style>
  <w:style w:type="paragraph" w:customStyle="1" w:styleId="A4AddressPhone">
    <w:name w:val="A4 Address/Phone"/>
    <w:basedOn w:val="Noparagraphstyle"/>
    <w:pPr>
      <w:spacing w:line="180" w:lineRule="atLeast"/>
      <w:jc w:val="distribute"/>
    </w:pPr>
    <w:rPr>
      <w:rFonts w:ascii="Optima LT Std" w:hAnsi="Optima LT Std" w:cs="Optima LT Std"/>
      <w:sz w:val="14"/>
      <w:szCs w:val="14"/>
    </w:rPr>
  </w:style>
  <w:style w:type="paragraph" w:styleId="BalloonText">
    <w:name w:val="Balloon Text"/>
    <w:basedOn w:val="Normal"/>
    <w:semiHidden/>
    <w:rsid w:val="00BC4CBE"/>
    <w:rPr>
      <w:rFonts w:ascii="Tahoma" w:hAnsi="Tahoma" w:cs="Tahoma"/>
      <w:sz w:val="16"/>
      <w:szCs w:val="16"/>
    </w:rPr>
  </w:style>
  <w:style w:type="paragraph" w:customStyle="1" w:styleId="BasicParagraph">
    <w:name w:val="[Basic Paragraph]"/>
    <w:basedOn w:val="Noparagraphstyle"/>
    <w:uiPriority w:val="99"/>
    <w:rsid w:val="00977986"/>
    <w:pPr>
      <w:widowControl w:val="0"/>
    </w:pPr>
    <w:rPr>
      <w:rFonts w:ascii="MinionPro-Regular" w:hAnsi="MinionPro-Regular" w:cs="MinionPro-Regular"/>
      <w:lang w:val="en-GB" w:eastAsia="en-US"/>
    </w:rPr>
  </w:style>
  <w:style w:type="paragraph" w:customStyle="1" w:styleId="Default">
    <w:name w:val="Default"/>
    <w:rsid w:val="008C3B37"/>
    <w:pPr>
      <w:autoSpaceDE w:val="0"/>
      <w:autoSpaceDN w:val="0"/>
      <w:adjustRightInd w:val="0"/>
    </w:pPr>
    <w:rPr>
      <w:color w:val="000000"/>
      <w:sz w:val="24"/>
      <w:szCs w:val="24"/>
    </w:rPr>
  </w:style>
  <w:style w:type="character" w:styleId="Hyperlink">
    <w:name w:val="Hyperlink"/>
    <w:basedOn w:val="DefaultParagraphFont"/>
    <w:uiPriority w:val="99"/>
    <w:rsid w:val="005306F0"/>
    <w:rPr>
      <w:color w:val="0000FF" w:themeColor="hyperlink"/>
      <w:u w:val="single"/>
    </w:rPr>
  </w:style>
  <w:style w:type="paragraph" w:styleId="FootnoteText">
    <w:name w:val="footnote text"/>
    <w:aliases w:val="Footnote Text Char Char,Footnote Text Char Char Char Char,Footnote Text Char1,Footnote Text Char Char Char1,Footnote Text Char Char Char Char Char,Footnote Text Char Char1"/>
    <w:link w:val="FootnoteTextChar"/>
    <w:uiPriority w:val="99"/>
    <w:rsid w:val="005306F0"/>
    <w:pPr>
      <w:pBdr>
        <w:top w:val="nil"/>
        <w:left w:val="nil"/>
        <w:bottom w:val="nil"/>
        <w:right w:val="nil"/>
        <w:between w:val="nil"/>
        <w:bar w:val="nil"/>
      </w:pBdr>
    </w:pPr>
    <w:rPr>
      <w:rFonts w:ascii="Calibri" w:eastAsia="Calibri" w:hAnsi="Calibri" w:cs="Calibri"/>
      <w:color w:val="000000"/>
      <w:u w:color="000000"/>
      <w:bdr w:val="nil"/>
      <w:lang w:val="en-US" w:eastAsia="de-CH"/>
    </w:rPr>
  </w:style>
  <w:style w:type="character" w:customStyle="1" w:styleId="FootnoteTextChar">
    <w:name w:val="Footnote Text Char"/>
    <w:aliases w:val="Footnote Text Char Char Char,Footnote Text Char Char Char Char Char1,Footnote Text Char1 Char,Footnote Text Char Char Char1 Char,Footnote Text Char Char Char Char Char Char,Footnote Text Char Char1 Char"/>
    <w:basedOn w:val="DefaultParagraphFont"/>
    <w:link w:val="FootnoteText"/>
    <w:uiPriority w:val="99"/>
    <w:rsid w:val="005306F0"/>
    <w:rPr>
      <w:rFonts w:ascii="Calibri" w:eastAsia="Calibri" w:hAnsi="Calibri" w:cs="Calibri"/>
      <w:color w:val="000000"/>
      <w:u w:color="000000"/>
      <w:bdr w:val="nil"/>
      <w:lang w:val="en-US" w:eastAsia="de-CH"/>
    </w:rPr>
  </w:style>
  <w:style w:type="character" w:styleId="FootnoteReference">
    <w:name w:val="footnote reference"/>
    <w:aliases w:val="4_G,Standard + Block,Erste Zeile:  1 cm"/>
    <w:basedOn w:val="DefaultParagraphFont"/>
    <w:uiPriority w:val="99"/>
    <w:unhideWhenUsed/>
    <w:rsid w:val="005306F0"/>
    <w:rPr>
      <w:vertAlign w:val="superscript"/>
    </w:rPr>
  </w:style>
  <w:style w:type="paragraph" w:customStyle="1" w:styleId="Body">
    <w:name w:val="Body"/>
    <w:rsid w:val="005306F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de-CH"/>
    </w:rPr>
  </w:style>
  <w:style w:type="paragraph" w:styleId="ListParagraph">
    <w:name w:val="List Paragraph"/>
    <w:uiPriority w:val="34"/>
    <w:qFormat/>
    <w:rsid w:val="005306F0"/>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de-CH"/>
    </w:rPr>
  </w:style>
  <w:style w:type="character" w:customStyle="1" w:styleId="apple-converted-space">
    <w:name w:val="apple-converted-space"/>
    <w:basedOn w:val="DefaultParagraphFont"/>
    <w:rsid w:val="005306F0"/>
  </w:style>
  <w:style w:type="character" w:styleId="Strong">
    <w:name w:val="Strong"/>
    <w:basedOn w:val="DefaultParagraphFont"/>
    <w:uiPriority w:val="22"/>
    <w:qFormat/>
    <w:rsid w:val="005306F0"/>
    <w:rPr>
      <w:b/>
      <w:bCs/>
    </w:rPr>
  </w:style>
  <w:style w:type="paragraph" w:styleId="NormalWeb">
    <w:name w:val="Normal (Web)"/>
    <w:basedOn w:val="Normal"/>
    <w:uiPriority w:val="99"/>
    <w:unhideWhenUsed/>
    <w:rsid w:val="005306F0"/>
    <w:pPr>
      <w:spacing w:before="100" w:beforeAutospacing="1" w:after="100" w:afterAutospacing="1"/>
    </w:pPr>
  </w:style>
  <w:style w:type="character" w:customStyle="1" w:styleId="FooterChar">
    <w:name w:val="Footer Char"/>
    <w:basedOn w:val="DefaultParagraphFont"/>
    <w:link w:val="Footer"/>
    <w:uiPriority w:val="99"/>
    <w:rsid w:val="00D859F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paragraph" w:customStyle="1" w:styleId="a4UNSW">
    <w:name w:val="a4UNSW"/>
    <w:basedOn w:val="Noparagraphstyle"/>
    <w:pPr>
      <w:spacing w:after="57" w:line="180" w:lineRule="atLeast"/>
      <w:jc w:val="distribute"/>
    </w:pPr>
    <w:rPr>
      <w:rFonts w:ascii="Optima LT Std" w:hAnsi="Optima LT Std" w:cs="Optima LT Std"/>
      <w:sz w:val="14"/>
      <w:szCs w:val="14"/>
    </w:rPr>
  </w:style>
  <w:style w:type="paragraph" w:customStyle="1" w:styleId="A4AddressPhone">
    <w:name w:val="A4 Address/Phone"/>
    <w:basedOn w:val="Noparagraphstyle"/>
    <w:pPr>
      <w:spacing w:line="180" w:lineRule="atLeast"/>
      <w:jc w:val="distribute"/>
    </w:pPr>
    <w:rPr>
      <w:rFonts w:ascii="Optima LT Std" w:hAnsi="Optima LT Std" w:cs="Optima LT Std"/>
      <w:sz w:val="14"/>
      <w:szCs w:val="14"/>
    </w:rPr>
  </w:style>
  <w:style w:type="paragraph" w:styleId="BalloonText">
    <w:name w:val="Balloon Text"/>
    <w:basedOn w:val="Normal"/>
    <w:semiHidden/>
    <w:rsid w:val="00BC4CBE"/>
    <w:rPr>
      <w:rFonts w:ascii="Tahoma" w:hAnsi="Tahoma" w:cs="Tahoma"/>
      <w:sz w:val="16"/>
      <w:szCs w:val="16"/>
    </w:rPr>
  </w:style>
  <w:style w:type="paragraph" w:customStyle="1" w:styleId="BasicParagraph">
    <w:name w:val="[Basic Paragraph]"/>
    <w:basedOn w:val="Noparagraphstyle"/>
    <w:uiPriority w:val="99"/>
    <w:rsid w:val="00977986"/>
    <w:pPr>
      <w:widowControl w:val="0"/>
    </w:pPr>
    <w:rPr>
      <w:rFonts w:ascii="MinionPro-Regular" w:hAnsi="MinionPro-Regular" w:cs="MinionPro-Regular"/>
      <w:lang w:val="en-GB" w:eastAsia="en-US"/>
    </w:rPr>
  </w:style>
  <w:style w:type="paragraph" w:customStyle="1" w:styleId="Default">
    <w:name w:val="Default"/>
    <w:rsid w:val="008C3B37"/>
    <w:pPr>
      <w:autoSpaceDE w:val="0"/>
      <w:autoSpaceDN w:val="0"/>
      <w:adjustRightInd w:val="0"/>
    </w:pPr>
    <w:rPr>
      <w:color w:val="000000"/>
      <w:sz w:val="24"/>
      <w:szCs w:val="24"/>
    </w:rPr>
  </w:style>
  <w:style w:type="character" w:styleId="Hyperlink">
    <w:name w:val="Hyperlink"/>
    <w:basedOn w:val="DefaultParagraphFont"/>
    <w:uiPriority w:val="99"/>
    <w:rsid w:val="005306F0"/>
    <w:rPr>
      <w:color w:val="0000FF" w:themeColor="hyperlink"/>
      <w:u w:val="single"/>
    </w:rPr>
  </w:style>
  <w:style w:type="paragraph" w:styleId="FootnoteText">
    <w:name w:val="footnote text"/>
    <w:aliases w:val="Footnote Text Char Char,Footnote Text Char Char Char Char,Footnote Text Char1,Footnote Text Char Char Char1,Footnote Text Char Char Char Char Char,Footnote Text Char Char1"/>
    <w:link w:val="FootnoteTextChar"/>
    <w:uiPriority w:val="99"/>
    <w:rsid w:val="005306F0"/>
    <w:pPr>
      <w:pBdr>
        <w:top w:val="nil"/>
        <w:left w:val="nil"/>
        <w:bottom w:val="nil"/>
        <w:right w:val="nil"/>
        <w:between w:val="nil"/>
        <w:bar w:val="nil"/>
      </w:pBdr>
    </w:pPr>
    <w:rPr>
      <w:rFonts w:ascii="Calibri" w:eastAsia="Calibri" w:hAnsi="Calibri" w:cs="Calibri"/>
      <w:color w:val="000000"/>
      <w:u w:color="000000"/>
      <w:bdr w:val="nil"/>
      <w:lang w:val="en-US" w:eastAsia="de-CH"/>
    </w:rPr>
  </w:style>
  <w:style w:type="character" w:customStyle="1" w:styleId="FootnoteTextChar">
    <w:name w:val="Footnote Text Char"/>
    <w:aliases w:val="Footnote Text Char Char Char,Footnote Text Char Char Char Char Char1,Footnote Text Char1 Char,Footnote Text Char Char Char1 Char,Footnote Text Char Char Char Char Char Char,Footnote Text Char Char1 Char"/>
    <w:basedOn w:val="DefaultParagraphFont"/>
    <w:link w:val="FootnoteText"/>
    <w:uiPriority w:val="99"/>
    <w:rsid w:val="005306F0"/>
    <w:rPr>
      <w:rFonts w:ascii="Calibri" w:eastAsia="Calibri" w:hAnsi="Calibri" w:cs="Calibri"/>
      <w:color w:val="000000"/>
      <w:u w:color="000000"/>
      <w:bdr w:val="nil"/>
      <w:lang w:val="en-US" w:eastAsia="de-CH"/>
    </w:rPr>
  </w:style>
  <w:style w:type="character" w:styleId="FootnoteReference">
    <w:name w:val="footnote reference"/>
    <w:aliases w:val="4_G,Standard + Block,Erste Zeile:  1 cm"/>
    <w:basedOn w:val="DefaultParagraphFont"/>
    <w:uiPriority w:val="99"/>
    <w:unhideWhenUsed/>
    <w:rsid w:val="005306F0"/>
    <w:rPr>
      <w:vertAlign w:val="superscript"/>
    </w:rPr>
  </w:style>
  <w:style w:type="paragraph" w:customStyle="1" w:styleId="Body">
    <w:name w:val="Body"/>
    <w:rsid w:val="005306F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de-CH"/>
    </w:rPr>
  </w:style>
  <w:style w:type="paragraph" w:styleId="ListParagraph">
    <w:name w:val="List Paragraph"/>
    <w:uiPriority w:val="34"/>
    <w:qFormat/>
    <w:rsid w:val="005306F0"/>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de-CH"/>
    </w:rPr>
  </w:style>
  <w:style w:type="character" w:customStyle="1" w:styleId="apple-converted-space">
    <w:name w:val="apple-converted-space"/>
    <w:basedOn w:val="DefaultParagraphFont"/>
    <w:rsid w:val="005306F0"/>
  </w:style>
  <w:style w:type="character" w:styleId="Strong">
    <w:name w:val="Strong"/>
    <w:basedOn w:val="DefaultParagraphFont"/>
    <w:uiPriority w:val="22"/>
    <w:qFormat/>
    <w:rsid w:val="005306F0"/>
    <w:rPr>
      <w:b/>
      <w:bCs/>
    </w:rPr>
  </w:style>
  <w:style w:type="paragraph" w:styleId="NormalWeb">
    <w:name w:val="Normal (Web)"/>
    <w:basedOn w:val="Normal"/>
    <w:uiPriority w:val="99"/>
    <w:unhideWhenUsed/>
    <w:rsid w:val="005306F0"/>
    <w:pPr>
      <w:spacing w:before="100" w:beforeAutospacing="1" w:after="100" w:afterAutospacing="1"/>
    </w:pPr>
  </w:style>
  <w:style w:type="character" w:customStyle="1" w:styleId="FooterChar">
    <w:name w:val="Footer Char"/>
    <w:basedOn w:val="DefaultParagraphFont"/>
    <w:link w:val="Footer"/>
    <w:uiPriority w:val="99"/>
    <w:rsid w:val="00D859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686310">
      <w:bodyDiv w:val="1"/>
      <w:marLeft w:val="0"/>
      <w:marRight w:val="0"/>
      <w:marTop w:val="0"/>
      <w:marBottom w:val="0"/>
      <w:divBdr>
        <w:top w:val="none" w:sz="0" w:space="0" w:color="auto"/>
        <w:left w:val="none" w:sz="0" w:space="0" w:color="auto"/>
        <w:bottom w:val="none" w:sz="0" w:space="0" w:color="auto"/>
        <w:right w:val="none" w:sz="0" w:space="0" w:color="auto"/>
      </w:divBdr>
    </w:div>
    <w:div w:id="200239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justine.nolan@unsw.edu.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67F1A2-9F99-4B78-8E72-3E530E436580}"/>
</file>

<file path=customXml/itemProps2.xml><?xml version="1.0" encoding="utf-8"?>
<ds:datastoreItem xmlns:ds="http://schemas.openxmlformats.org/officeDocument/2006/customXml" ds:itemID="{2E97BB9C-51D0-41AF-A025-A301CB286DA8}"/>
</file>

<file path=customXml/itemProps3.xml><?xml version="1.0" encoding="utf-8"?>
<ds:datastoreItem xmlns:ds="http://schemas.openxmlformats.org/officeDocument/2006/customXml" ds:itemID="{7C86F394-F909-4A60-93AC-92613252328C}"/>
</file>

<file path=customXml/itemProps4.xml><?xml version="1.0" encoding="utf-8"?>
<ds:datastoreItem xmlns:ds="http://schemas.openxmlformats.org/officeDocument/2006/customXml" ds:itemID="{A9F10A4A-E22D-48D2-B279-3D082526B1E5}"/>
</file>

<file path=docProps/app.xml><?xml version="1.0" encoding="utf-8"?>
<Properties xmlns="http://schemas.openxmlformats.org/officeDocument/2006/extended-properties" xmlns:vt="http://schemas.openxmlformats.org/officeDocument/2006/docPropsVTypes">
  <Template>Normal.dotm</Template>
  <TotalTime>0</TotalTime>
  <Pages>5</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s3013049</dc:creator>
  <cp:lastModifiedBy>Eimear Farrell</cp:lastModifiedBy>
  <cp:revision>2</cp:revision>
  <cp:lastPrinted>2011-07-08T03:50:00Z</cp:lastPrinted>
  <dcterms:created xsi:type="dcterms:W3CDTF">2016-10-17T11:21:00Z</dcterms:created>
  <dcterms:modified xsi:type="dcterms:W3CDTF">2016-10-17T11:21:00Z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3812400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