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D1D1" w14:textId="77777777" w:rsidR="002B0B4D" w:rsidRDefault="002B0B4D">
      <w:pPr>
        <w:pStyle w:val="Standard"/>
        <w:rPr>
          <w:rFonts w:ascii="Times New Roman" w:hAnsi="Times New Roman"/>
          <w:sz w:val="16"/>
        </w:rPr>
      </w:pPr>
      <w:bookmarkStart w:id="0" w:name="_GoBack"/>
      <w:bookmarkEnd w:id="0"/>
    </w:p>
    <w:p w14:paraId="3B2A03A3" w14:textId="77777777" w:rsidR="002B0B4D" w:rsidRDefault="002B0B4D">
      <w:pPr>
        <w:pStyle w:val="Standard"/>
        <w:spacing w:after="113"/>
        <w:rPr>
          <w:rFonts w:ascii="Times New Roman" w:hAnsi="Times New Roman"/>
          <w:sz w:val="16"/>
        </w:rPr>
      </w:pPr>
    </w:p>
    <w:tbl>
      <w:tblPr>
        <w:tblW w:w="10632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1"/>
        <w:gridCol w:w="4561"/>
      </w:tblGrid>
      <w:tr w:rsidR="002B0B4D" w14:paraId="0BDEFFA0" w14:textId="77777777">
        <w:tc>
          <w:tcPr>
            <w:tcW w:w="60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A4D58" w14:textId="77777777" w:rsidR="002B0B4D" w:rsidRDefault="004375F0">
            <w:pPr>
              <w:pStyle w:val="Intestazio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Rue Amat 6</w:t>
            </w:r>
          </w:p>
          <w:p w14:paraId="32D60D99" w14:textId="77777777" w:rsidR="002B0B4D" w:rsidRDefault="004375F0">
            <w:pPr>
              <w:pStyle w:val="Intestazione"/>
              <w:spacing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CH-1202 Genève</w:t>
            </w:r>
          </w:p>
          <w:p w14:paraId="58D47E3F" w14:textId="77777777" w:rsidR="002B0B4D" w:rsidRDefault="004375F0">
            <w:pPr>
              <w:pStyle w:val="Intestazio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Tel. +41 (0)22 731 59 63</w:t>
            </w:r>
          </w:p>
          <w:p w14:paraId="6AFC24A8" w14:textId="77777777" w:rsidR="002B0B4D" w:rsidRDefault="004375F0">
            <w:pPr>
              <w:pStyle w:val="Intestazione"/>
              <w:spacing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Fax +41 (0)22 731 91 52</w:t>
            </w:r>
          </w:p>
          <w:p w14:paraId="66171ED7" w14:textId="77777777" w:rsidR="002B0B4D" w:rsidRDefault="004375F0">
            <w:pPr>
              <w:pStyle w:val="Intestazio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E-mail: contact@cetim.ch</w:t>
            </w:r>
          </w:p>
          <w:p w14:paraId="200707D5" w14:textId="77777777" w:rsidR="002B0B4D" w:rsidRDefault="004375F0">
            <w:pPr>
              <w:pStyle w:val="Intestazione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Site Web: </w:t>
            </w:r>
            <w:hyperlink r:id="rId7" w:history="1">
              <w:r>
                <w:rPr>
                  <w:rStyle w:val="Internetlink"/>
                  <w:rFonts w:ascii="Times New Roman" w:hAnsi="Times New Roman"/>
                  <w:sz w:val="22"/>
                  <w:szCs w:val="22"/>
                </w:rPr>
                <w:t>www.cetim.ch</w:t>
              </w:r>
            </w:hyperlink>
          </w:p>
          <w:p w14:paraId="48C4352B" w14:textId="77777777" w:rsidR="002B0B4D" w:rsidRDefault="002B0B4D">
            <w:pPr>
              <w:pStyle w:val="Intestazio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894B4" w14:textId="77777777" w:rsidR="002B0B4D" w:rsidRDefault="004375F0">
            <w:pPr>
              <w:pStyle w:val="Textbody"/>
              <w:tabs>
                <w:tab w:val="left" w:pos="56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ASSEMBLÉE GÉNÉRALE</w:t>
            </w:r>
          </w:p>
          <w:p w14:paraId="57AD8E50" w14:textId="77777777" w:rsidR="002B0B4D" w:rsidRDefault="004375F0">
            <w:pPr>
              <w:pStyle w:val="Standard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CONSEIL DES DROITS DE L'HOMME</w:t>
            </w:r>
          </w:p>
          <w:p w14:paraId="3839737F" w14:textId="77777777" w:rsidR="002B0B4D" w:rsidRDefault="004375F0">
            <w:pPr>
              <w:pStyle w:val="Standard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en-GB" w:bidi="ar-S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  <w:lang w:bidi="ar-SA"/>
              </w:rPr>
              <w:t>ème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bidi="ar-SA"/>
              </w:rPr>
              <w:t xml:space="preserve"> session du Groupe de travail intergouvernemental chargé d'élaborer un instrument international juridiquement contraignant sur les sociétés transnationales et autres entreprises (14-18 octobre 2019)</w:t>
            </w:r>
          </w:p>
          <w:p w14:paraId="0F10A036" w14:textId="77777777" w:rsidR="002B0B4D" w:rsidRDefault="004375F0">
            <w:pPr>
              <w:pStyle w:val="Standard"/>
              <w:snapToGrid w:val="0"/>
              <w:spacing w:line="200" w:lineRule="atLeast"/>
              <w:ind w:left="10" w:right="-50" w:hanging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bidi="ar-SA"/>
              </w:rPr>
              <w:t>Débat sur les articles 10, 11 et 12</w:t>
            </w:r>
          </w:p>
        </w:tc>
      </w:tr>
    </w:tbl>
    <w:p w14:paraId="050165F6" w14:textId="77777777" w:rsidR="002B0B4D" w:rsidRDefault="002B0B4D">
      <w:pPr>
        <w:pStyle w:val="Textbody"/>
        <w:tabs>
          <w:tab w:val="left" w:pos="5728"/>
        </w:tabs>
        <w:spacing w:after="0" w:line="240" w:lineRule="auto"/>
        <w:jc w:val="both"/>
        <w:rPr>
          <w:rFonts w:ascii="Times New Roman" w:hAnsi="Times New Roman" w:cs="Calibri"/>
          <w:color w:val="000000"/>
          <w:lang w:bidi="ar-SA"/>
        </w:rPr>
      </w:pPr>
    </w:p>
    <w:p w14:paraId="21B130C3" w14:textId="77777777" w:rsidR="002B0B4D" w:rsidRDefault="002B0B4D">
      <w:pPr>
        <w:pStyle w:val="Textbody"/>
        <w:tabs>
          <w:tab w:val="left" w:pos="5616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5A86AA1" w14:textId="77777777" w:rsidR="002B0B4D" w:rsidRDefault="002B0B4D">
      <w:pPr>
        <w:pStyle w:val="Textbody"/>
        <w:tabs>
          <w:tab w:val="left" w:pos="5616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0F6865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Déclaration orale</w:t>
      </w:r>
    </w:p>
    <w:p w14:paraId="6F24D696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Vérifier à l'audition</w:t>
      </w:r>
    </w:p>
    <w:p w14:paraId="734927E8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588CF361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3261B312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Article 7</w:t>
      </w:r>
    </w:p>
    <w:p w14:paraId="691F836B" w14:textId="77777777" w:rsidR="002B0B4D" w:rsidRDefault="004375F0">
      <w:pPr>
        <w:pStyle w:val="Standard"/>
        <w:jc w:val="both"/>
        <w:rPr>
          <w:rFonts w:hint="eastAsia"/>
        </w:rPr>
      </w:pPr>
      <w:r>
        <w:rPr>
          <w:rStyle w:val="Policepardfaut"/>
          <w:rFonts w:ascii="Times New Roman" w:eastAsia="Calibri" w:hAnsi="Times New Roman" w:cs="Times New Roman"/>
          <w:color w:val="000000"/>
          <w:szCs w:val="22"/>
        </w:rPr>
        <w:t xml:space="preserve">L’article 7.1 doit contenir une référence explicite </w:t>
      </w:r>
      <w:r>
        <w:rPr>
          <w:rStyle w:val="Policepardfaut"/>
          <w:rFonts w:ascii="Times New Roman" w:eastAsia="Calibri" w:hAnsi="Times New Roman" w:cs="Times New Roman"/>
          <w:b/>
          <w:bCs/>
          <w:color w:val="000000"/>
          <w:szCs w:val="22"/>
        </w:rPr>
        <w:t xml:space="preserve">aux chaînes de valeur </w:t>
      </w:r>
      <w:r>
        <w:rPr>
          <w:rStyle w:val="Policepardfaut"/>
          <w:rFonts w:ascii="Times New Roman" w:eastAsia="Calibri" w:hAnsi="Times New Roman" w:cs="Times New Roman"/>
          <w:color w:val="000000"/>
          <w:szCs w:val="22"/>
        </w:rPr>
        <w:t>des STN, sans lesquelles il ne sera pas possible de lier la responsabilité des activités menées par différentes entités.</w:t>
      </w:r>
    </w:p>
    <w:p w14:paraId="79017D74" w14:textId="77777777" w:rsidR="002B0B4D" w:rsidRDefault="002B0B4D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4936C653" w14:textId="77777777" w:rsidR="002B0B4D" w:rsidRDefault="004375F0">
      <w:pPr>
        <w:pStyle w:val="Textbody"/>
        <w:spacing w:after="0" w:line="240" w:lineRule="auto"/>
        <w:jc w:val="both"/>
        <w:rPr>
          <w:rFonts w:hint="eastAsia"/>
        </w:rPr>
      </w:pPr>
      <w:r>
        <w:rPr>
          <w:rStyle w:val="Policepardfaut"/>
          <w:rFonts w:ascii="Times New Roman" w:eastAsia="Calibri" w:hAnsi="Times New Roman" w:cs="Times New Roman"/>
          <w:b/>
          <w:bCs/>
          <w:color w:val="000000"/>
          <w:szCs w:val="22"/>
        </w:rPr>
        <w:t xml:space="preserve">L'interdiction du </w:t>
      </w:r>
      <w:r>
        <w:rPr>
          <w:rStyle w:val="Policepardfaut"/>
          <w:rFonts w:ascii="Times New Roman" w:eastAsia="Calibri" w:hAnsi="Times New Roman" w:cs="Times New Roman"/>
          <w:b/>
          <w:bCs/>
          <w:i/>
          <w:iCs/>
          <w:color w:val="000000"/>
          <w:szCs w:val="22"/>
        </w:rPr>
        <w:t>forum non-conveniens</w:t>
      </w:r>
      <w:r>
        <w:rPr>
          <w:rStyle w:val="Policepardfaut"/>
          <w:rFonts w:ascii="Times New Roman" w:eastAsia="Calibri" w:hAnsi="Times New Roman" w:cs="Times New Roman"/>
          <w:color w:val="000000"/>
          <w:szCs w:val="22"/>
        </w:rPr>
        <w:t xml:space="preserve"> doit être incluse dans l’article 7 chaque fois que le lien est établi entre les STN poursuivies et les violations commises. </w:t>
      </w:r>
      <w:r>
        <w:rPr>
          <w:rStyle w:val="Policepardfaut"/>
          <w:rFonts w:ascii="Times New Roman" w:eastAsia="Calibri" w:hAnsi="Times New Roman" w:cs="Times New Roman"/>
          <w:b/>
          <w:bCs/>
          <w:color w:val="000000"/>
          <w:szCs w:val="22"/>
        </w:rPr>
        <w:t xml:space="preserve">L’inclusion du </w:t>
      </w:r>
      <w:r>
        <w:rPr>
          <w:rStyle w:val="Policepardfaut"/>
          <w:rFonts w:ascii="Times New Roman" w:eastAsia="Calibri" w:hAnsi="Times New Roman" w:cs="Times New Roman"/>
          <w:b/>
          <w:bCs/>
          <w:i/>
          <w:iCs/>
          <w:color w:val="000000"/>
          <w:szCs w:val="22"/>
        </w:rPr>
        <w:t>forum necessitatis</w:t>
      </w:r>
      <w:r>
        <w:rPr>
          <w:rStyle w:val="Policepardfaut"/>
          <w:rFonts w:ascii="Times New Roman" w:eastAsia="Calibri" w:hAnsi="Times New Roman" w:cs="Times New Roman"/>
          <w:color w:val="000000"/>
          <w:szCs w:val="22"/>
        </w:rPr>
        <w:t xml:space="preserve"> est aussi nécessaire chaque fois que le lien est établi entre les STN poursuivies et les violations commises, du moins dans les cas où il n'y a pas d'accès à la justice dans aucun des États où les sociétés concernées ont leur domicile.</w:t>
      </w:r>
    </w:p>
    <w:p w14:paraId="5563294E" w14:textId="77777777" w:rsidR="002B0B4D" w:rsidRDefault="002B0B4D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14:paraId="5834764B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Style w:val="Policepardfaut"/>
          <w:rFonts w:eastAsia="Calibri" w:cs="Times New Roman"/>
          <w:color w:val="000000"/>
          <w:szCs w:val="22"/>
        </w:rPr>
        <w:t xml:space="preserve">Il conviendrait également d'inclure dans l’article 7 une clause établissant que les </w:t>
      </w:r>
      <w:r>
        <w:rPr>
          <w:rStyle w:val="Policepardfaut"/>
          <w:rFonts w:eastAsia="Calibri" w:cs="Times New Roman"/>
          <w:b/>
          <w:bCs/>
          <w:color w:val="000000"/>
          <w:szCs w:val="22"/>
        </w:rPr>
        <w:t>seuls tribunaux compétents pour traiter des litiges commerciaux ayant une incidence sur les droits humains seront les tribunaux nationaux compétents</w:t>
      </w:r>
      <w:r>
        <w:rPr>
          <w:rStyle w:val="Policepardfaut"/>
          <w:rFonts w:eastAsia="Calibri" w:cs="Times New Roman"/>
          <w:color w:val="000000"/>
          <w:szCs w:val="22"/>
        </w:rPr>
        <w:t xml:space="preserve"> et non les structures d'arbitrage, tels que les mécanismes de règlement des différends entre investisseurs et États, qui sont dévolues aux intérêts des STN.</w:t>
      </w:r>
    </w:p>
    <w:p w14:paraId="6FAAF6BB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0CC85BD3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Style w:val="Policepardfaut"/>
          <w:rFonts w:eastAsia="Calibri" w:cs="Times New Roman"/>
          <w:color w:val="000000"/>
          <w:szCs w:val="22"/>
          <w:u w:val="single"/>
        </w:rPr>
        <w:t>Article 8</w:t>
      </w:r>
    </w:p>
    <w:p w14:paraId="7D7752BD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Style w:val="Policepardfaut"/>
          <w:rFonts w:eastAsia="Calibri" w:cs="Times New Roman"/>
          <w:color w:val="000000"/>
          <w:szCs w:val="22"/>
        </w:rPr>
        <w:t>S’agissant de l’article 8.2, la notion de délai raisonnable reste bien trop vague pour garantir aux communautés et personnes affectées une protection adéquate. Il faut la remplacer par « un délai suffisant », notion plus protectrice.</w:t>
      </w:r>
    </w:p>
    <w:p w14:paraId="65AE197D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6314C1ED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Style w:val="Policepardfaut"/>
          <w:rFonts w:eastAsia="Calibri" w:cs="Times New Roman"/>
          <w:color w:val="000000"/>
          <w:szCs w:val="22"/>
          <w:u w:val="single"/>
        </w:rPr>
        <w:t>Article 9</w:t>
      </w:r>
    </w:p>
    <w:p w14:paraId="2E60820E" w14:textId="77777777" w:rsidR="002B0B4D" w:rsidRDefault="004375F0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  <w:r>
        <w:rPr>
          <w:rStyle w:val="Policepardfaut"/>
          <w:rFonts w:eastAsia="Calibri" w:cs="Times New Roman"/>
          <w:color w:val="000000"/>
          <w:szCs w:val="22"/>
        </w:rPr>
        <w:t>L'article 9 ne permet pas une résolution claire des conflits entre les différentes législations nationales. Il faut y remédier. Une</w:t>
      </w:r>
      <w:r>
        <w:rPr>
          <w:rStyle w:val="Policepardfaut"/>
          <w:rFonts w:eastAsia="Calibri" w:cs="Times New Roman"/>
          <w:b/>
          <w:bCs/>
          <w:color w:val="000000"/>
          <w:szCs w:val="22"/>
        </w:rPr>
        <w:t xml:space="preserve"> référence explicite aux chaînes de valeur des STN </w:t>
      </w:r>
      <w:r>
        <w:rPr>
          <w:rStyle w:val="Policepardfaut"/>
          <w:rFonts w:eastAsia="Calibri" w:cs="Times New Roman"/>
          <w:color w:val="000000"/>
          <w:szCs w:val="22"/>
        </w:rPr>
        <w:t>devrait également être faite.</w:t>
      </w:r>
    </w:p>
    <w:p w14:paraId="476A2E93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4F898EEC" w14:textId="77777777" w:rsidR="002B0B4D" w:rsidRDefault="002B0B4D">
      <w:pPr>
        <w:pStyle w:val="Textbody"/>
        <w:spacing w:after="0" w:line="240" w:lineRule="auto"/>
        <w:ind w:right="-567"/>
        <w:jc w:val="both"/>
        <w:rPr>
          <w:rFonts w:ascii="Times New Roman" w:hAnsi="Times New Roman"/>
        </w:rPr>
      </w:pPr>
    </w:p>
    <w:p w14:paraId="6B3CE58C" w14:textId="77777777" w:rsidR="002B0B4D" w:rsidRDefault="004375F0">
      <w:pPr>
        <w:pStyle w:val="Standard"/>
        <w:ind w:right="-567"/>
        <w:jc w:val="both"/>
        <w:rPr>
          <w:rFonts w:hint="eastAsia"/>
        </w:rPr>
      </w:pPr>
      <w:r>
        <w:rPr>
          <w:rStyle w:val="systrantokenpunctuation"/>
          <w:rFonts w:ascii="Times New Roman" w:hAnsi="Times New Roman"/>
          <w:i/>
          <w:iCs/>
        </w:rPr>
        <w:t>Genève, le 16 octobre 2019</w:t>
      </w:r>
    </w:p>
    <w:sectPr w:rsidR="002B0B4D">
      <w:headerReference w:type="first" r:id="rId8"/>
      <w:footerReference w:type="first" r:id="rId9"/>
      <w:pgSz w:w="11906" w:h="16838"/>
      <w:pgMar w:top="1418" w:right="1134" w:bottom="1077" w:left="1418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B4286" w14:textId="77777777" w:rsidR="009970B3" w:rsidRDefault="009970B3">
      <w:pPr>
        <w:rPr>
          <w:rFonts w:hint="eastAsia"/>
        </w:rPr>
      </w:pPr>
      <w:r>
        <w:separator/>
      </w:r>
    </w:p>
  </w:endnote>
  <w:endnote w:type="continuationSeparator" w:id="0">
    <w:p w14:paraId="4C3CCAD5" w14:textId="77777777" w:rsidR="009970B3" w:rsidRDefault="009970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altName w:val="Arial Unicode MS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iberation Mono">
    <w:charset w:val="00"/>
    <w:family w:val="modern"/>
    <w:pitch w:val="default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Univers Condensed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C671" w14:textId="77777777" w:rsidR="00FC5888" w:rsidRDefault="004375F0">
    <w:pPr>
      <w:pStyle w:val="Pidipagina"/>
      <w:spacing w:after="80"/>
      <w:ind w:left="-170" w:right="-170"/>
      <w:jc w:val="center"/>
      <w:rPr>
        <w:rFonts w:hint="eastAsia"/>
      </w:rPr>
    </w:pPr>
    <w:r>
      <w:t>CCP(CHF): 12-19850-1   CCP(Euro): 91-13687-6      Banque: BCG, L 750 16 55, 1211 Genève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5FCBC" w14:textId="77777777" w:rsidR="009970B3" w:rsidRDefault="009970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6561E3" w14:textId="77777777" w:rsidR="009970B3" w:rsidRDefault="009970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8" w:type="dxa"/>
      <w:tblInd w:w="-4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8538"/>
    </w:tblGrid>
    <w:tr w:rsidR="00FC5888" w14:paraId="06B48867" w14:textId="77777777">
      <w:trPr>
        <w:trHeight w:val="1274"/>
      </w:trPr>
      <w:tc>
        <w:tcPr>
          <w:tcW w:w="1700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</w:tcPr>
        <w:p w14:paraId="4C4DEF6E" w14:textId="77777777" w:rsidR="00FC5888" w:rsidRDefault="004375F0">
          <w:pPr>
            <w:pStyle w:val="Intestazione"/>
            <w:snapToGrid w:val="0"/>
            <w:rPr>
              <w:rFonts w:ascii="Univers Condensed" w:hAnsi="Univers Condensed" w:hint="eastAsia"/>
            </w:rPr>
          </w:pPr>
          <w:r>
            <w:rPr>
              <w:rFonts w:ascii="Univers Condensed" w:hAnsi="Univers Condensed"/>
              <w:noProof/>
              <w:lang w:val="it-IT" w:eastAsia="it-IT" w:bidi="ar-SA"/>
            </w:rPr>
            <w:drawing>
              <wp:anchor distT="0" distB="0" distL="114300" distR="114300" simplePos="0" relativeHeight="251659264" behindDoc="0" locked="0" layoutInCell="1" allowOverlap="1" wp14:anchorId="0003E2AB" wp14:editId="301B6787">
                <wp:simplePos x="0" y="0"/>
                <wp:positionH relativeFrom="column">
                  <wp:posOffset>-374760</wp:posOffset>
                </wp:positionH>
                <wp:positionV relativeFrom="paragraph">
                  <wp:posOffset>-108000</wp:posOffset>
                </wp:positionV>
                <wp:extent cx="1214280" cy="1214280"/>
                <wp:effectExtent l="0" t="0" r="4920" b="4920"/>
                <wp:wrapSquare wrapText="bothSides"/>
                <wp:docPr id="1" name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280" cy="1214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38" w:type="dxa"/>
          <w:shd w:val="clear" w:color="auto" w:fill="FFFFFF"/>
          <w:tcMar>
            <w:top w:w="0" w:type="dxa"/>
            <w:left w:w="70" w:type="dxa"/>
            <w:bottom w:w="0" w:type="dxa"/>
            <w:right w:w="70" w:type="dxa"/>
          </w:tcMar>
        </w:tcPr>
        <w:p w14:paraId="64E732B0" w14:textId="77777777" w:rsidR="00FC5888" w:rsidRDefault="004375F0">
          <w:pPr>
            <w:pStyle w:val="Intestazione"/>
            <w:snapToGrid w:val="0"/>
            <w:spacing w:before="40" w:after="120"/>
            <w:rPr>
              <w:rFonts w:ascii="Garamond" w:hAnsi="Garamond"/>
              <w:spacing w:val="24"/>
              <w:sz w:val="56"/>
            </w:rPr>
          </w:pPr>
          <w:r>
            <w:rPr>
              <w:rFonts w:ascii="Garamond" w:hAnsi="Garamond"/>
              <w:spacing w:val="24"/>
              <w:sz w:val="56"/>
            </w:rPr>
            <w:t>Centre Europe - Tiers Monde</w:t>
          </w:r>
        </w:p>
        <w:p w14:paraId="14908114" w14:textId="77777777" w:rsidR="00FC5888" w:rsidRDefault="004375F0">
          <w:pPr>
            <w:pStyle w:val="Intestazione"/>
            <w:spacing w:before="227"/>
            <w:rPr>
              <w:rFonts w:ascii="Calibri" w:hAnsi="Calibri"/>
              <w:sz w:val="22"/>
            </w:rPr>
          </w:pPr>
          <w:r>
            <w:rPr>
              <w:rFonts w:ascii="Calibri" w:hAnsi="Calibri"/>
              <w:sz w:val="22"/>
            </w:rPr>
            <w:t xml:space="preserve">Centre de recherches et de publications sur les relations entre le Tiers Monde et l'Europe   </w:t>
          </w:r>
        </w:p>
      </w:tc>
    </w:tr>
  </w:tbl>
  <w:p w14:paraId="56E18A5E" w14:textId="77777777" w:rsidR="00FC5888" w:rsidRDefault="009970B3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E016D"/>
    <w:multiLevelType w:val="multilevel"/>
    <w:tmpl w:val="BB80B7C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72B84224"/>
    <w:multiLevelType w:val="multilevel"/>
    <w:tmpl w:val="34121C4A"/>
    <w:styleLink w:val="WWNum2"/>
    <w:lvl w:ilvl="0">
      <w:numFmt w:val="bullet"/>
      <w:lvlText w:val="-"/>
      <w:lvlJc w:val="left"/>
      <w:pPr>
        <w:ind w:left="36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hideSpellingErrors/>
  <w:hideGrammaticalErrors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2B0B4D"/>
    <w:rsid w:val="003E6E8F"/>
    <w:rsid w:val="004375F0"/>
    <w:rsid w:val="004D593C"/>
    <w:rsid w:val="009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71BAF"/>
  <w15:docId w15:val="{6D6A6B16-157A-49EA-8F76-C04D8E3B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071"/>
      </w:tabs>
    </w:pPr>
  </w:style>
  <w:style w:type="paragraph" w:styleId="Pidipagina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Corpsdetexte2">
    <w:name w:val="Corps de texte 2"/>
    <w:basedOn w:val="Standard"/>
    <w:pPr>
      <w:jc w:val="both"/>
    </w:pPr>
    <w:rPr>
      <w:sz w:val="22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2"/>
      <w:szCs w:val="22"/>
    </w:rPr>
  </w:style>
  <w:style w:type="character" w:customStyle="1" w:styleId="systrantokenpunctuation">
    <w:name w:val="systran_token_punctuation"/>
    <w:basedOn w:val="Policepardfaut1"/>
  </w:style>
  <w:style w:type="character" w:customStyle="1" w:styleId="Policepardfaut1">
    <w:name w:val="Police par défaut1"/>
  </w:style>
  <w:style w:type="character" w:customStyle="1" w:styleId="Policepardfaut">
    <w:name w:val="Police par défaut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NoList1">
    <w:name w:val="No List_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etim.ch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6DEDB3-23DA-4B65-BF5F-84906DA7698A}"/>
</file>

<file path=customXml/itemProps2.xml><?xml version="1.0" encoding="utf-8"?>
<ds:datastoreItem xmlns:ds="http://schemas.openxmlformats.org/officeDocument/2006/customXml" ds:itemID="{DCE29972-8B9A-4837-A7EC-E9C050FF8D30}"/>
</file>

<file path=customXml/itemProps3.xml><?xml version="1.0" encoding="utf-8"?>
<ds:datastoreItem xmlns:ds="http://schemas.openxmlformats.org/officeDocument/2006/customXml" ds:itemID="{90660934-4E78-428A-87CB-6268998386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Macintosh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Raffaele Morgantini</cp:lastModifiedBy>
  <cp:revision>2</cp:revision>
  <cp:lastPrinted>2019-06-13T09:25:00Z</cp:lastPrinted>
  <dcterms:created xsi:type="dcterms:W3CDTF">2019-10-17T11:50:00Z</dcterms:created>
  <dcterms:modified xsi:type="dcterms:W3CDTF">2019-10-17T11:50:00Z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5333500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