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9B0A" w14:textId="77777777" w:rsidR="005E7D99" w:rsidRDefault="00360ACC">
      <w:pPr>
        <w:pStyle w:val="NormalWeb"/>
        <w:spacing w:before="280" w:beforeAutospacing="0" w:after="280" w:afterAutospacing="0" w:line="276" w:lineRule="auto"/>
        <w:jc w:val="center"/>
      </w:pPr>
      <w:r>
        <w:rPr>
          <w:rFonts w:ascii="Calibri" w:hAnsi="Calibri" w:cs="Calibri"/>
          <w:b/>
          <w:bCs/>
          <w:color w:val="000000"/>
        </w:rPr>
        <w:t>Oral Intervention</w:t>
      </w:r>
    </w:p>
    <w:p w14:paraId="0479D67B" w14:textId="77777777" w:rsidR="005E7D99" w:rsidRDefault="00360ACC">
      <w:pPr>
        <w:pStyle w:val="NormalWeb"/>
        <w:spacing w:line="276" w:lineRule="auto"/>
        <w:jc w:val="center"/>
      </w:pPr>
      <w:r>
        <w:rPr>
          <w:rFonts w:ascii="Calibri" w:hAnsi="Calibri" w:cs="Calibri"/>
          <w:b/>
          <w:bCs/>
          <w:color w:val="000000"/>
        </w:rPr>
        <w:t>Article 7 (Adjudicative Jurisdiction), Item 4</w:t>
      </w:r>
    </w:p>
    <w:p w14:paraId="5125EC4C" w14:textId="77777777" w:rsidR="005E7D99" w:rsidRDefault="00360ACC">
      <w:pPr>
        <w:pStyle w:val="NormalWeb"/>
        <w:spacing w:line="276" w:lineRule="auto"/>
        <w:jc w:val="center"/>
        <w:rPr>
          <w:rFonts w:ascii="Calibri" w:hAnsi="Calibri" w:cs="Calibri"/>
          <w:b/>
          <w:bCs/>
          <w:color w:val="000000"/>
        </w:rPr>
      </w:pPr>
      <w:r>
        <w:rPr>
          <w:rFonts w:ascii="Calibri" w:hAnsi="Calibri" w:cs="Calibri"/>
          <w:b/>
          <w:bCs/>
          <w:color w:val="000000"/>
        </w:rPr>
        <w:t>Wednesday, 16 October 2019 (3:00 – 6:00)</w:t>
      </w:r>
    </w:p>
    <w:p w14:paraId="36E7019E" w14:textId="77777777" w:rsidR="005E7D99" w:rsidRDefault="005E7D99">
      <w:pPr>
        <w:pStyle w:val="NormalWeb"/>
        <w:spacing w:line="276" w:lineRule="auto"/>
        <w:jc w:val="center"/>
        <w:rPr>
          <w:rFonts w:ascii="Calibri" w:hAnsi="Calibri" w:cs="Calibri"/>
          <w:b/>
          <w:bCs/>
          <w:color w:val="000000"/>
        </w:rPr>
      </w:pPr>
    </w:p>
    <w:p w14:paraId="5735D45A" w14:textId="77777777" w:rsidR="005E7D99" w:rsidRDefault="00360ACC">
      <w:pPr>
        <w:pStyle w:val="NormalWeb"/>
        <w:spacing w:line="276" w:lineRule="auto"/>
        <w:jc w:val="both"/>
        <w:rPr>
          <w:rFonts w:asciiTheme="minorHAnsi" w:hAnsiTheme="minorHAnsi" w:cstheme="minorHAnsi"/>
        </w:rPr>
      </w:pPr>
      <w:r>
        <w:rPr>
          <w:rFonts w:asciiTheme="minorHAnsi" w:hAnsiTheme="minorHAnsi" w:cstheme="minorHAnsi"/>
          <w:color w:val="000000"/>
        </w:rPr>
        <w:t>Thank you, Mr. Chair. </w:t>
      </w:r>
    </w:p>
    <w:p w14:paraId="47206540" w14:textId="77777777" w:rsidR="005E7D99" w:rsidRDefault="00360ACC">
      <w:pPr>
        <w:pStyle w:val="NormalWeb"/>
        <w:spacing w:line="276" w:lineRule="auto"/>
        <w:jc w:val="both"/>
        <w:rPr>
          <w:rFonts w:asciiTheme="minorHAnsi" w:hAnsiTheme="minorHAnsi" w:cstheme="minorHAnsi"/>
          <w:color w:val="000000"/>
        </w:rPr>
      </w:pPr>
      <w:r>
        <w:rPr>
          <w:rFonts w:asciiTheme="minorHAnsi" w:hAnsiTheme="minorHAnsi" w:cstheme="minorHAnsi"/>
          <w:color w:val="000000"/>
        </w:rPr>
        <w:t xml:space="preserve">I deliver this on behalf of </w:t>
      </w:r>
      <w:proofErr w:type="spellStart"/>
      <w:r>
        <w:rPr>
          <w:rFonts w:asciiTheme="minorHAnsi" w:hAnsiTheme="minorHAnsi" w:cstheme="minorHAnsi"/>
          <w:color w:val="000000"/>
        </w:rPr>
        <w:t>Manushya</w:t>
      </w:r>
      <w:proofErr w:type="spellEnd"/>
      <w:r>
        <w:rPr>
          <w:rFonts w:asciiTheme="minorHAnsi" w:hAnsiTheme="minorHAnsi" w:cstheme="minorHAnsi"/>
          <w:color w:val="000000"/>
        </w:rPr>
        <w:t xml:space="preserve"> Foundation, ESCR-Net, and FIDH.  </w:t>
      </w:r>
    </w:p>
    <w:p w14:paraId="40D918F3" w14:textId="77777777" w:rsidR="005E7D99" w:rsidRDefault="00360ACC">
      <w:pPr>
        <w:pStyle w:val="NormalWeb"/>
        <w:spacing w:line="276" w:lineRule="auto"/>
        <w:jc w:val="both"/>
      </w:pPr>
      <w:r>
        <w:rPr>
          <w:rFonts w:asciiTheme="minorHAnsi" w:hAnsiTheme="minorHAnsi" w:cstheme="minorHAnsi"/>
          <w:color w:val="000000"/>
        </w:rPr>
        <w:t xml:space="preserve">We welcome the language added to Article 7 which rightly has been named ‘adjudicative jurisdiction’ since it deals only with the circumstances in which a State has jurisdiction over a dispute and does not refer to ‘prescriptive jurisdiction’. The criteria </w:t>
      </w:r>
      <w:r>
        <w:rPr>
          <w:rFonts w:asciiTheme="minorHAnsi" w:hAnsiTheme="minorHAnsi" w:cstheme="minorHAnsi"/>
          <w:color w:val="000000"/>
        </w:rPr>
        <w:t xml:space="preserve">for domicile have been clarified in line with existing law, including with regards to the concept of “substantive business interest” already used in certain legal systems and case law. </w:t>
      </w:r>
    </w:p>
    <w:p w14:paraId="4FF312D8" w14:textId="37384AD7" w:rsidR="00100F29" w:rsidRDefault="00360ACC">
      <w:pPr>
        <w:pStyle w:val="NormalWeb"/>
        <w:spacing w:line="276" w:lineRule="auto"/>
        <w:jc w:val="both"/>
        <w:rPr>
          <w:rFonts w:asciiTheme="minorHAnsi" w:hAnsiTheme="minorHAnsi" w:cstheme="minorHAnsi"/>
          <w:color w:val="000000"/>
        </w:rPr>
      </w:pPr>
      <w:r>
        <w:rPr>
          <w:rFonts w:asciiTheme="minorHAnsi" w:hAnsiTheme="minorHAnsi" w:cstheme="minorHAnsi"/>
          <w:color w:val="000000"/>
        </w:rPr>
        <w:t>Additional language should however be included in Article 7 to further</w:t>
      </w:r>
      <w:r>
        <w:rPr>
          <w:rFonts w:asciiTheme="minorHAnsi" w:hAnsiTheme="minorHAnsi" w:cstheme="minorHAnsi"/>
          <w:color w:val="000000"/>
        </w:rPr>
        <w:t xml:space="preserve"> guarantee access to remedy </w:t>
      </w:r>
      <w:r>
        <w:rPr>
          <w:rFonts w:asciiTheme="minorHAnsi" w:hAnsiTheme="minorHAnsi" w:cstheme="minorHAnsi"/>
          <w:color w:val="000000"/>
        </w:rPr>
        <w:t>and effec</w:t>
      </w:r>
      <w:r>
        <w:rPr>
          <w:rFonts w:asciiTheme="minorHAnsi" w:hAnsiTheme="minorHAnsi" w:cstheme="minorHAnsi"/>
          <w:color w:val="000000"/>
        </w:rPr>
        <w:t>tively address States’ extraterritorial obligations (ETOs)</w:t>
      </w:r>
      <w:r w:rsidR="00100F29">
        <w:rPr>
          <w:rFonts w:asciiTheme="minorHAnsi" w:hAnsiTheme="minorHAnsi" w:cstheme="minorHAnsi"/>
          <w:color w:val="000000"/>
        </w:rPr>
        <w:t xml:space="preserve">, as well as to guarantee the </w:t>
      </w:r>
      <w:r w:rsidR="00100F29">
        <w:rPr>
          <w:rFonts w:asciiTheme="minorHAnsi" w:hAnsiTheme="minorHAnsi" w:cstheme="minorHAnsi"/>
          <w:color w:val="000000"/>
        </w:rPr>
        <w:t xml:space="preserve">claimant’s </w:t>
      </w:r>
      <w:r w:rsidR="00100F29">
        <w:rPr>
          <w:rFonts w:asciiTheme="minorHAnsi" w:hAnsiTheme="minorHAnsi" w:cstheme="minorHAnsi"/>
          <w:color w:val="000000"/>
        </w:rPr>
        <w:t xml:space="preserve">unimpeded </w:t>
      </w:r>
      <w:r w:rsidR="00100F29">
        <w:rPr>
          <w:rFonts w:asciiTheme="minorHAnsi" w:hAnsiTheme="minorHAnsi" w:cstheme="minorHAnsi"/>
          <w:color w:val="000000"/>
        </w:rPr>
        <w:t xml:space="preserve">access </w:t>
      </w:r>
      <w:r w:rsidR="00100F29">
        <w:rPr>
          <w:rFonts w:asciiTheme="minorHAnsi" w:hAnsiTheme="minorHAnsi" w:cstheme="minorHAnsi"/>
          <w:color w:val="000000"/>
        </w:rPr>
        <w:t xml:space="preserve">to </w:t>
      </w:r>
      <w:r w:rsidR="00100F29">
        <w:rPr>
          <w:rFonts w:asciiTheme="minorHAnsi" w:hAnsiTheme="minorHAnsi" w:cstheme="minorHAnsi"/>
          <w:color w:val="000000"/>
        </w:rPr>
        <w:t xml:space="preserve">remedy </w:t>
      </w:r>
      <w:r w:rsidR="00100F29">
        <w:rPr>
          <w:rFonts w:asciiTheme="minorHAnsi" w:hAnsiTheme="minorHAnsi" w:cstheme="minorHAnsi"/>
          <w:color w:val="000000"/>
        </w:rPr>
        <w:t xml:space="preserve">– </w:t>
      </w:r>
      <w:r w:rsidR="00100F29" w:rsidRPr="00CA219D">
        <w:rPr>
          <w:rFonts w:asciiTheme="minorHAnsi" w:hAnsiTheme="minorHAnsi" w:cstheme="minorHAnsi"/>
          <w:color w:val="000000"/>
        </w:rPr>
        <w:t>detail</w:t>
      </w:r>
      <w:r w:rsidR="00100F29">
        <w:rPr>
          <w:rFonts w:asciiTheme="minorHAnsi" w:hAnsiTheme="minorHAnsi" w:cstheme="minorHAnsi"/>
          <w:color w:val="000000"/>
        </w:rPr>
        <w:t xml:space="preserve">ing </w:t>
      </w:r>
      <w:r w:rsidR="00100F29" w:rsidRPr="00CA219D">
        <w:rPr>
          <w:rFonts w:asciiTheme="minorHAnsi" w:hAnsiTheme="minorHAnsi" w:cstheme="minorHAnsi"/>
          <w:color w:val="000000"/>
        </w:rPr>
        <w:t xml:space="preserve">how </w:t>
      </w:r>
      <w:r w:rsidR="00100F29">
        <w:rPr>
          <w:rFonts w:asciiTheme="minorHAnsi" w:hAnsiTheme="minorHAnsi" w:cstheme="minorHAnsi"/>
          <w:color w:val="000000"/>
        </w:rPr>
        <w:t>the Treaty</w:t>
      </w:r>
      <w:r w:rsidR="00100F29" w:rsidRPr="00CA219D">
        <w:rPr>
          <w:rFonts w:asciiTheme="minorHAnsi" w:hAnsiTheme="minorHAnsi" w:cstheme="minorHAnsi"/>
          <w:color w:val="000000"/>
        </w:rPr>
        <w:t xml:space="preserve"> will address the issue of forum non</w:t>
      </w:r>
      <w:r>
        <w:rPr>
          <w:rFonts w:asciiTheme="minorHAnsi" w:hAnsiTheme="minorHAnsi" w:cstheme="minorHAnsi"/>
          <w:color w:val="000000"/>
        </w:rPr>
        <w:t>-</w:t>
      </w:r>
      <w:proofErr w:type="spellStart"/>
      <w:r w:rsidR="00100F29" w:rsidRPr="00CA219D">
        <w:rPr>
          <w:rFonts w:asciiTheme="minorHAnsi" w:hAnsiTheme="minorHAnsi" w:cstheme="minorHAnsi"/>
          <w:color w:val="000000"/>
        </w:rPr>
        <w:t>conveniens</w:t>
      </w:r>
      <w:proofErr w:type="spellEnd"/>
      <w:r w:rsidR="00100F29">
        <w:rPr>
          <w:rFonts w:asciiTheme="minorHAnsi" w:hAnsiTheme="minorHAnsi" w:cstheme="minorHAnsi"/>
          <w:color w:val="000000"/>
        </w:rPr>
        <w:t>.</w:t>
      </w:r>
    </w:p>
    <w:p w14:paraId="639EEDCE" w14:textId="49BC8A2A" w:rsidR="005E7D99" w:rsidRDefault="00100F29">
      <w:pPr>
        <w:pStyle w:val="NormalWeb"/>
        <w:spacing w:line="276" w:lineRule="auto"/>
        <w:jc w:val="both"/>
      </w:pPr>
      <w:r>
        <w:rPr>
          <w:rFonts w:asciiTheme="minorHAnsi" w:hAnsiTheme="minorHAnsi" w:cstheme="minorHAnsi"/>
          <w:color w:val="000000"/>
        </w:rPr>
        <w:t>Additionally,</w:t>
      </w:r>
      <w:r w:rsidR="00360ACC">
        <w:rPr>
          <w:rFonts w:asciiTheme="minorHAnsi" w:hAnsiTheme="minorHAnsi" w:cstheme="minorHAnsi"/>
          <w:color w:val="000000"/>
        </w:rPr>
        <w:t xml:space="preserve"> </w:t>
      </w:r>
      <w:r>
        <w:rPr>
          <w:rFonts w:asciiTheme="minorHAnsi" w:hAnsiTheme="minorHAnsi" w:cstheme="minorHAnsi"/>
          <w:color w:val="000000"/>
        </w:rPr>
        <w:t>i</w:t>
      </w:r>
      <w:r w:rsidR="00360ACC">
        <w:rPr>
          <w:rFonts w:asciiTheme="minorHAnsi" w:hAnsiTheme="minorHAnsi" w:cstheme="minorHAnsi"/>
          <w:color w:val="000000"/>
        </w:rPr>
        <w:t>t is imperative for the future instrument to better clarify that domestic courts of state parties are able to exercise jurisdiction over claims concerning bus</w:t>
      </w:r>
      <w:r w:rsidR="00360ACC">
        <w:rPr>
          <w:rFonts w:asciiTheme="minorHAnsi" w:hAnsiTheme="minorHAnsi" w:cstheme="minorHAnsi"/>
          <w:color w:val="000000"/>
        </w:rPr>
        <w:t>iness related human rights abuse even when the defendant enterprise is not domiciled within the jurisdiction of the state, if no other effective forum guaranteeing fair trial is available even if jurisdiction criteria are not strictly met. This would expli</w:t>
      </w:r>
      <w:r w:rsidR="00360ACC">
        <w:rPr>
          <w:rFonts w:asciiTheme="minorHAnsi" w:hAnsiTheme="minorHAnsi" w:cstheme="minorHAnsi"/>
          <w:color w:val="000000"/>
        </w:rPr>
        <w:t xml:space="preserve">citly recognize the application of the forum </w:t>
      </w:r>
      <w:proofErr w:type="spellStart"/>
      <w:r w:rsidR="00360ACC">
        <w:rPr>
          <w:rFonts w:asciiTheme="minorHAnsi" w:hAnsiTheme="minorHAnsi" w:cstheme="minorHAnsi"/>
          <w:color w:val="000000"/>
        </w:rPr>
        <w:t>necessitatis</w:t>
      </w:r>
      <w:proofErr w:type="spellEnd"/>
      <w:r w:rsidR="00360ACC">
        <w:rPr>
          <w:rFonts w:asciiTheme="minorHAnsi" w:hAnsiTheme="minorHAnsi" w:cstheme="minorHAnsi"/>
          <w:color w:val="000000"/>
        </w:rPr>
        <w:t xml:space="preserve"> </w:t>
      </w:r>
      <w:r w:rsidR="00360ACC">
        <w:rPr>
          <w:rFonts w:asciiTheme="minorHAnsi" w:hAnsiTheme="minorHAnsi" w:cstheme="minorHAnsi"/>
          <w:color w:val="000000"/>
        </w:rPr>
        <w:t xml:space="preserve"> doctrine. </w:t>
      </w:r>
      <w:r w:rsidR="00360ACC">
        <w:rPr>
          <w:rFonts w:asciiTheme="minorHAnsi" w:hAnsiTheme="minorHAnsi" w:cstheme="minorHAnsi"/>
        </w:rPr>
        <w:t xml:space="preserve"> </w:t>
      </w:r>
    </w:p>
    <w:p w14:paraId="6315D545" w14:textId="77777777" w:rsidR="005E7D99" w:rsidRDefault="00360ACC">
      <w:pPr>
        <w:pStyle w:val="NormalWeb"/>
        <w:spacing w:line="276" w:lineRule="auto"/>
        <w:jc w:val="both"/>
        <w:rPr>
          <w:rFonts w:asciiTheme="minorHAnsi" w:hAnsiTheme="minorHAnsi" w:cstheme="minorHAnsi"/>
          <w:highlight w:val="lightGray"/>
        </w:rPr>
      </w:pPr>
      <w:r>
        <w:rPr>
          <w:rFonts w:ascii="Calibri" w:hAnsi="Calibri" w:cstheme="minorHAnsi"/>
          <w:highlight w:val="lightGray"/>
        </w:rPr>
        <w:t>Such clause could read as follows:</w:t>
      </w:r>
    </w:p>
    <w:p w14:paraId="57A3A550" w14:textId="77777777" w:rsidR="005E7D99" w:rsidRDefault="00360ACC">
      <w:pPr>
        <w:pStyle w:val="NormalWeb"/>
        <w:spacing w:line="276" w:lineRule="auto"/>
        <w:ind w:left="283"/>
        <w:jc w:val="both"/>
        <w:rPr>
          <w:rFonts w:asciiTheme="minorHAnsi" w:hAnsiTheme="minorHAnsi" w:cstheme="minorHAnsi"/>
          <w:i/>
          <w:iCs/>
          <w:highlight w:val="lightGray"/>
        </w:rPr>
      </w:pPr>
      <w:r>
        <w:rPr>
          <w:rFonts w:ascii="Calibri" w:hAnsi="Calibri" w:cstheme="minorHAnsi"/>
          <w:i/>
          <w:iCs/>
          <w:highlight w:val="lightGray"/>
        </w:rPr>
        <w:t>“Where no court of a State party has jurisdiction under this Article, the courts of any other State Party may, on an exceptional basis,</w:t>
      </w:r>
      <w:r>
        <w:rPr>
          <w:rFonts w:ascii="Calibri" w:hAnsi="Calibri" w:cstheme="minorHAnsi"/>
          <w:i/>
          <w:iCs/>
          <w:highlight w:val="lightGray"/>
        </w:rPr>
        <w:t xml:space="preserve"> hear the case if the right to a fair trial or the right to access to justice so requires, despite the absence of substantial connection: </w:t>
      </w:r>
    </w:p>
    <w:p w14:paraId="3C09C175" w14:textId="77777777" w:rsidR="005E7D99" w:rsidRDefault="00360ACC">
      <w:pPr>
        <w:pStyle w:val="NormalWeb"/>
        <w:spacing w:line="276" w:lineRule="auto"/>
        <w:ind w:left="283"/>
        <w:jc w:val="both"/>
        <w:rPr>
          <w:rFonts w:asciiTheme="minorHAnsi" w:hAnsiTheme="minorHAnsi" w:cstheme="minorHAnsi"/>
          <w:i/>
          <w:iCs/>
          <w:highlight w:val="lightGray"/>
        </w:rPr>
      </w:pPr>
      <w:r>
        <w:rPr>
          <w:rFonts w:ascii="Calibri" w:hAnsi="Calibri" w:cstheme="minorHAnsi"/>
          <w:i/>
          <w:iCs/>
          <w:highlight w:val="lightGray"/>
        </w:rPr>
        <w:t>(a) if proceedings cannot reasonably be required to be brought or conducted or would be impossible in a third State w</w:t>
      </w:r>
      <w:r>
        <w:rPr>
          <w:rFonts w:ascii="Calibri" w:hAnsi="Calibri" w:cstheme="minorHAnsi"/>
          <w:i/>
          <w:iCs/>
          <w:highlight w:val="lightGray"/>
        </w:rPr>
        <w:t xml:space="preserve">ith which the dispute is closely connected; or </w:t>
      </w:r>
    </w:p>
    <w:p w14:paraId="5D4F85B6" w14:textId="77777777" w:rsidR="005E7D99" w:rsidRDefault="00360ACC">
      <w:pPr>
        <w:pStyle w:val="NormalWeb"/>
        <w:spacing w:line="276" w:lineRule="auto"/>
        <w:ind w:left="283"/>
        <w:jc w:val="both"/>
        <w:rPr>
          <w:rFonts w:asciiTheme="minorHAnsi" w:hAnsiTheme="minorHAnsi" w:cstheme="minorHAnsi"/>
          <w:i/>
          <w:iCs/>
          <w:highlight w:val="lightGray"/>
        </w:rPr>
      </w:pPr>
      <w:r>
        <w:rPr>
          <w:rFonts w:ascii="Calibri" w:hAnsi="Calibri" w:cstheme="minorHAnsi"/>
          <w:i/>
          <w:iCs/>
          <w:highlight w:val="lightGray"/>
        </w:rPr>
        <w:lastRenderedPageBreak/>
        <w:t>(b) if a judgment given on the claim in a third State would not be entitled to recognition and enforcement in the State party of the court seized under the law of that State and such recognition and enforceme</w:t>
      </w:r>
      <w:r>
        <w:rPr>
          <w:rFonts w:ascii="Calibri" w:hAnsi="Calibri" w:cstheme="minorHAnsi"/>
          <w:i/>
          <w:iCs/>
          <w:highlight w:val="lightGray"/>
        </w:rPr>
        <w:t>nt is necessary to ensure that the rights of the claimant are satisfied”</w:t>
      </w:r>
    </w:p>
    <w:p w14:paraId="4EC979A6" w14:textId="56F72A09" w:rsidR="005E7D99" w:rsidRDefault="00100F29">
      <w:pPr>
        <w:pStyle w:val="NormalWeb"/>
        <w:spacing w:line="276" w:lineRule="auto"/>
        <w:jc w:val="both"/>
      </w:pPr>
      <w:r>
        <w:rPr>
          <w:rFonts w:asciiTheme="minorHAnsi" w:hAnsiTheme="minorHAnsi" w:cstheme="minorHAnsi"/>
          <w:color w:val="000000"/>
        </w:rPr>
        <w:t>Several</w:t>
      </w:r>
      <w:r w:rsidR="00360ACC">
        <w:rPr>
          <w:rFonts w:asciiTheme="minorHAnsi" w:hAnsiTheme="minorHAnsi" w:cstheme="minorHAnsi"/>
          <w:color w:val="000000"/>
        </w:rPr>
        <w:t xml:space="preserve"> States already </w:t>
      </w:r>
      <w:r w:rsidR="00360ACC">
        <w:rPr>
          <w:rFonts w:asciiTheme="minorHAnsi" w:hAnsiTheme="minorHAnsi" w:cstheme="minorHAnsi"/>
          <w:color w:val="000000"/>
        </w:rPr>
        <w:t xml:space="preserve"> have a national provision on forum </w:t>
      </w:r>
      <w:proofErr w:type="spellStart"/>
      <w:r w:rsidR="00360ACC">
        <w:rPr>
          <w:rFonts w:asciiTheme="minorHAnsi" w:hAnsiTheme="minorHAnsi" w:cstheme="minorHAnsi"/>
          <w:color w:val="000000"/>
        </w:rPr>
        <w:t>necessitatis</w:t>
      </w:r>
      <w:proofErr w:type="spellEnd"/>
      <w:r w:rsidR="00360ACC">
        <w:rPr>
          <w:rFonts w:asciiTheme="minorHAnsi" w:hAnsiTheme="minorHAnsi" w:cstheme="minorHAnsi"/>
          <w:color w:val="000000"/>
        </w:rPr>
        <w:t xml:space="preserve"> that could serve as inspiration for the future instrument. </w:t>
      </w:r>
    </w:p>
    <w:p w14:paraId="224CA9AD" w14:textId="6194F154" w:rsidR="005E7D99" w:rsidRDefault="00360ACC">
      <w:pPr>
        <w:pStyle w:val="NormalWeb"/>
        <w:spacing w:line="276" w:lineRule="auto"/>
        <w:jc w:val="both"/>
      </w:pPr>
      <w:r>
        <w:rPr>
          <w:rFonts w:asciiTheme="minorHAnsi" w:hAnsiTheme="minorHAnsi" w:cstheme="minorHAnsi"/>
          <w:color w:val="000000"/>
        </w:rPr>
        <w:t>This would explicitly ensure that victims of transnational human rights abuses are not deprived of access</w:t>
      </w:r>
      <w:r w:rsidR="00100F29">
        <w:rPr>
          <w:rFonts w:asciiTheme="minorHAnsi" w:hAnsiTheme="minorHAnsi" w:cstheme="minorHAnsi"/>
          <w:color w:val="000000"/>
        </w:rPr>
        <w:t xml:space="preserve"> to</w:t>
      </w:r>
      <w:r>
        <w:rPr>
          <w:rFonts w:asciiTheme="minorHAnsi" w:hAnsiTheme="minorHAnsi" w:cstheme="minorHAnsi"/>
          <w:color w:val="000000"/>
        </w:rPr>
        <w:t xml:space="preserve"> a prompt, accessible and effective judici</w:t>
      </w:r>
      <w:r>
        <w:rPr>
          <w:rFonts w:asciiTheme="minorHAnsi" w:hAnsiTheme="minorHAnsi" w:cstheme="minorHAnsi"/>
          <w:color w:val="000000"/>
        </w:rPr>
        <w:t>al remedy</w:t>
      </w:r>
      <w:r w:rsidR="00100F29">
        <w:rPr>
          <w:rFonts w:asciiTheme="minorHAnsi" w:hAnsiTheme="minorHAnsi" w:cstheme="minorHAnsi"/>
          <w:color w:val="000000"/>
        </w:rPr>
        <w:t xml:space="preserve">. </w:t>
      </w:r>
    </w:p>
    <w:p w14:paraId="7216198D" w14:textId="77777777" w:rsidR="005E7D99" w:rsidRDefault="00360ACC">
      <w:pPr>
        <w:pStyle w:val="NormalWeb"/>
        <w:spacing w:before="280" w:beforeAutospacing="0" w:after="280" w:afterAutospacing="0" w:line="276" w:lineRule="auto"/>
        <w:jc w:val="both"/>
      </w:pPr>
      <w:r>
        <w:rPr>
          <w:rFonts w:asciiTheme="minorHAnsi" w:hAnsiTheme="minorHAnsi" w:cstheme="minorHAnsi"/>
          <w:color w:val="000000"/>
        </w:rPr>
        <w:t>Finally, the treaty should address the issue of corporate veil doctrine,</w:t>
      </w:r>
      <w:r>
        <w:rPr>
          <w:rFonts w:asciiTheme="minorHAnsi" w:hAnsiTheme="minorHAnsi" w:cstheme="minorHAnsi"/>
          <w:color w:val="000000"/>
        </w:rPr>
        <w:t xml:space="preserve"> </w:t>
      </w:r>
      <w:r>
        <w:rPr>
          <w:rFonts w:asciiTheme="minorHAnsi" w:hAnsiTheme="minorHAnsi" w:cstheme="minorHAnsi"/>
          <w:color w:val="000000"/>
        </w:rPr>
        <w:t>frequently used to avoid liability and other forms of responsibility of “parent companies” and shareholders of</w:t>
      </w:r>
      <w:r>
        <w:rPr>
          <w:rFonts w:asciiTheme="minorHAnsi" w:hAnsiTheme="minorHAnsi" w:cstheme="minorHAnsi"/>
          <w:color w:val="000000"/>
        </w:rPr>
        <w:t xml:space="preserve"> transnation</w:t>
      </w:r>
      <w:bookmarkStart w:id="0" w:name="_GoBack"/>
      <w:bookmarkEnd w:id="0"/>
      <w:r>
        <w:rPr>
          <w:rFonts w:asciiTheme="minorHAnsi" w:hAnsiTheme="minorHAnsi" w:cstheme="minorHAnsi"/>
          <w:color w:val="000000"/>
        </w:rPr>
        <w:t>al enterprises involved in human rights violations.</w:t>
      </w:r>
    </w:p>
    <w:sectPr w:rsidR="005E7D99">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99"/>
    <w:rsid w:val="00100F29"/>
    <w:rsid w:val="00360ACC"/>
    <w:rsid w:val="005E7D99"/>
  </w:rsids>
  <m:mathPr>
    <m:mathFont m:val="Cambria Math"/>
    <m:brkBin m:val="before"/>
    <m:brkBinSub m:val="--"/>
    <m:smallFrac m:val="0"/>
    <m:dispDef/>
    <m:lMargin m:val="0"/>
    <m:rMargin m:val="0"/>
    <m:defJc m:val="centerGroup"/>
    <m:wrapIndent m:val="1440"/>
    <m:intLim m:val="subSup"/>
    <m:naryLim m:val="undOvr"/>
  </m:mathPr>
  <w:themeFontLang w:val="en-US" w:eastAsia=""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B086"/>
  <w15:docId w15:val="{B7464853-1406-450A-B209-1B278D19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
    <w:name w:val="Titre"/>
    <w:basedOn w:val="Normal"/>
    <w:next w:val="BodyText"/>
    <w:qFormat/>
    <w:pPr>
      <w:keepNext/>
      <w:spacing w:before="240" w:after="120"/>
    </w:pPr>
    <w:rPr>
      <w:rFonts w:ascii="Liberation Sans" w:eastAsia="Noto Sans CJK SC Regular" w:hAnsi="Liberation Sans" w:cs="FreeSans"/>
      <w:sz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NormalWeb">
    <w:name w:val="Normal (Web)"/>
    <w:basedOn w:val="Normal"/>
    <w:uiPriority w:val="99"/>
    <w:unhideWhenUsed/>
    <w:qFormat/>
    <w:rsid w:val="004233B4"/>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69C6E8-01F6-4AD7-903C-8021FB3B86F9}"/>
</file>

<file path=customXml/itemProps2.xml><?xml version="1.0" encoding="utf-8"?>
<ds:datastoreItem xmlns:ds="http://schemas.openxmlformats.org/officeDocument/2006/customXml" ds:itemID="{614BB27E-A0EA-45BB-B0DD-9FE4C8025C95}"/>
</file>

<file path=customXml/itemProps3.xml><?xml version="1.0" encoding="utf-8"?>
<ds:datastoreItem xmlns:ds="http://schemas.openxmlformats.org/officeDocument/2006/customXml" ds:itemID="{76095423-91BE-4704-8803-1F29E7B005F7}"/>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palamyemiliemanushya@hotmail.com</dc:creator>
  <dc:description/>
  <cp:lastModifiedBy>palamyemiliemanushya@hotmail.com</cp:lastModifiedBy>
  <cp:revision>2</cp:revision>
  <dcterms:created xsi:type="dcterms:W3CDTF">2019-10-16T14:11:00Z</dcterms:created>
  <dcterms:modified xsi:type="dcterms:W3CDTF">2019-10-16T14:11:00Z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ies>
</file>