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1B658" w14:textId="77777777" w:rsidR="00053686" w:rsidRDefault="00053686">
      <w:pPr>
        <w:pStyle w:val="Standard"/>
        <w:rPr>
          <w:rFonts w:ascii="Times New Roman" w:hAnsi="Times New Roman"/>
          <w:sz w:val="16"/>
        </w:rPr>
      </w:pPr>
      <w:bookmarkStart w:id="0" w:name="_GoBack"/>
      <w:bookmarkEnd w:id="0"/>
    </w:p>
    <w:p w14:paraId="5FAD4EFE" w14:textId="77777777" w:rsidR="00053686" w:rsidRDefault="00053686">
      <w:pPr>
        <w:pStyle w:val="Standard"/>
        <w:spacing w:after="113"/>
        <w:rPr>
          <w:rFonts w:ascii="Times New Roman" w:hAnsi="Times New Roman"/>
          <w:sz w:val="16"/>
        </w:rPr>
      </w:pPr>
    </w:p>
    <w:tbl>
      <w:tblPr>
        <w:tblW w:w="10632" w:type="dxa"/>
        <w:tblInd w:w="-426" w:type="dxa"/>
        <w:tblLayout w:type="fixed"/>
        <w:tblCellMar>
          <w:left w:w="10" w:type="dxa"/>
          <w:right w:w="10" w:type="dxa"/>
        </w:tblCellMar>
        <w:tblLook w:val="0000" w:firstRow="0" w:lastRow="0" w:firstColumn="0" w:lastColumn="0" w:noHBand="0" w:noVBand="0"/>
      </w:tblPr>
      <w:tblGrid>
        <w:gridCol w:w="6071"/>
        <w:gridCol w:w="4561"/>
      </w:tblGrid>
      <w:tr w:rsidR="00053686" w14:paraId="505997C4" w14:textId="77777777">
        <w:tc>
          <w:tcPr>
            <w:tcW w:w="6071" w:type="dxa"/>
            <w:shd w:val="clear" w:color="auto" w:fill="FFFFFF"/>
            <w:tcMar>
              <w:top w:w="0" w:type="dxa"/>
              <w:left w:w="70" w:type="dxa"/>
              <w:bottom w:w="0" w:type="dxa"/>
              <w:right w:w="70" w:type="dxa"/>
            </w:tcMar>
          </w:tcPr>
          <w:p w14:paraId="16BC5E63" w14:textId="77777777" w:rsidR="00053686" w:rsidRDefault="007E3F12">
            <w:pPr>
              <w:pStyle w:val="Intestazione"/>
              <w:rPr>
                <w:rFonts w:ascii="Times New Roman" w:hAnsi="Times New Roman"/>
                <w:sz w:val="22"/>
                <w:szCs w:val="22"/>
              </w:rPr>
            </w:pPr>
            <w:r>
              <w:rPr>
                <w:rFonts w:ascii="Times New Roman" w:hAnsi="Times New Roman"/>
                <w:sz w:val="22"/>
                <w:szCs w:val="22"/>
              </w:rPr>
              <w:t>Rue Amat 6</w:t>
            </w:r>
          </w:p>
          <w:p w14:paraId="537DB5F5" w14:textId="77777777" w:rsidR="00053686" w:rsidRDefault="007E3F12">
            <w:pPr>
              <w:pStyle w:val="Intestazione"/>
              <w:spacing w:after="40"/>
              <w:rPr>
                <w:rFonts w:ascii="Times New Roman" w:hAnsi="Times New Roman"/>
                <w:sz w:val="22"/>
                <w:szCs w:val="22"/>
              </w:rPr>
            </w:pPr>
            <w:r>
              <w:rPr>
                <w:rFonts w:ascii="Times New Roman" w:hAnsi="Times New Roman"/>
                <w:sz w:val="22"/>
                <w:szCs w:val="22"/>
              </w:rPr>
              <w:t>CH-1202 Genève</w:t>
            </w:r>
          </w:p>
          <w:p w14:paraId="18BA6879" w14:textId="77777777" w:rsidR="00053686" w:rsidRDefault="007E3F12">
            <w:pPr>
              <w:pStyle w:val="Intestazione"/>
              <w:rPr>
                <w:rFonts w:ascii="Times New Roman" w:hAnsi="Times New Roman"/>
                <w:sz w:val="22"/>
                <w:szCs w:val="22"/>
              </w:rPr>
            </w:pPr>
            <w:r>
              <w:rPr>
                <w:rFonts w:ascii="Times New Roman" w:hAnsi="Times New Roman"/>
                <w:sz w:val="22"/>
                <w:szCs w:val="22"/>
              </w:rPr>
              <w:t>Tel. +41 (0)22 731 59 63</w:t>
            </w:r>
          </w:p>
          <w:p w14:paraId="4246B616" w14:textId="77777777" w:rsidR="00053686" w:rsidRDefault="007E3F12">
            <w:pPr>
              <w:pStyle w:val="Intestazione"/>
              <w:spacing w:after="40"/>
              <w:rPr>
                <w:rFonts w:ascii="Times New Roman" w:hAnsi="Times New Roman"/>
                <w:sz w:val="22"/>
                <w:szCs w:val="22"/>
              </w:rPr>
            </w:pPr>
            <w:r>
              <w:rPr>
                <w:rFonts w:ascii="Times New Roman" w:hAnsi="Times New Roman"/>
                <w:sz w:val="22"/>
                <w:szCs w:val="22"/>
              </w:rPr>
              <w:t>Fax +41 (0)22 731 91 52</w:t>
            </w:r>
          </w:p>
          <w:p w14:paraId="2DC43273" w14:textId="77777777" w:rsidR="00053686" w:rsidRDefault="007E3F12">
            <w:pPr>
              <w:pStyle w:val="Intestazione"/>
              <w:rPr>
                <w:rFonts w:ascii="Times New Roman" w:hAnsi="Times New Roman"/>
                <w:sz w:val="22"/>
                <w:szCs w:val="22"/>
              </w:rPr>
            </w:pPr>
            <w:r>
              <w:rPr>
                <w:rFonts w:ascii="Times New Roman" w:hAnsi="Times New Roman"/>
                <w:sz w:val="22"/>
                <w:szCs w:val="22"/>
              </w:rPr>
              <w:t>E-mail: contact@cetim.ch</w:t>
            </w:r>
          </w:p>
          <w:p w14:paraId="5AD0320E" w14:textId="77777777" w:rsidR="00053686" w:rsidRDefault="007E3F12">
            <w:pPr>
              <w:pStyle w:val="Intestazione"/>
              <w:rPr>
                <w:rFonts w:hint="eastAsia"/>
              </w:rPr>
            </w:pPr>
            <w:r>
              <w:rPr>
                <w:rFonts w:ascii="Times New Roman" w:hAnsi="Times New Roman"/>
                <w:sz w:val="22"/>
                <w:szCs w:val="22"/>
              </w:rPr>
              <w:t xml:space="preserve">Site Web: </w:t>
            </w:r>
            <w:hyperlink r:id="rId7" w:history="1">
              <w:r>
                <w:rPr>
                  <w:rStyle w:val="Internetlink"/>
                  <w:rFonts w:ascii="Times New Roman" w:hAnsi="Times New Roman"/>
                  <w:sz w:val="22"/>
                  <w:szCs w:val="22"/>
                </w:rPr>
                <w:t>www.cetim.ch</w:t>
              </w:r>
            </w:hyperlink>
          </w:p>
          <w:p w14:paraId="001D197C" w14:textId="77777777" w:rsidR="00053686" w:rsidRDefault="00053686">
            <w:pPr>
              <w:pStyle w:val="Intestazione"/>
              <w:rPr>
                <w:rFonts w:ascii="Times New Roman" w:hAnsi="Times New Roman"/>
                <w:sz w:val="22"/>
                <w:szCs w:val="22"/>
              </w:rPr>
            </w:pPr>
          </w:p>
        </w:tc>
        <w:tc>
          <w:tcPr>
            <w:tcW w:w="4561" w:type="dxa"/>
            <w:shd w:val="clear" w:color="auto" w:fill="FFFFFF"/>
            <w:tcMar>
              <w:top w:w="0" w:type="dxa"/>
              <w:left w:w="70" w:type="dxa"/>
              <w:bottom w:w="0" w:type="dxa"/>
              <w:right w:w="70" w:type="dxa"/>
            </w:tcMar>
          </w:tcPr>
          <w:p w14:paraId="776747B7" w14:textId="77777777" w:rsidR="00053686" w:rsidRDefault="007E3F12">
            <w:pPr>
              <w:pStyle w:val="Textbody"/>
              <w:tabs>
                <w:tab w:val="left" w:pos="5616"/>
              </w:tabs>
              <w:spacing w:after="0" w:line="240" w:lineRule="auto"/>
              <w:jc w:val="both"/>
              <w:rPr>
                <w:rFonts w:ascii="Times New Roman" w:hAnsi="Times New Roman" w:cs="Times New Roman"/>
                <w:b/>
              </w:rPr>
            </w:pPr>
            <w:r>
              <w:rPr>
                <w:rFonts w:ascii="Times New Roman" w:hAnsi="Times New Roman" w:cs="Times New Roman"/>
                <w:b/>
              </w:rPr>
              <w:t>ASSEMBLÉE GÉNÉRALE</w:t>
            </w:r>
          </w:p>
          <w:p w14:paraId="503734FC" w14:textId="77777777" w:rsidR="00053686" w:rsidRDefault="007E3F12">
            <w:pPr>
              <w:pStyle w:val="Standard"/>
              <w:spacing w:line="200" w:lineRule="atLeast"/>
              <w:jc w:val="both"/>
              <w:rPr>
                <w:rFonts w:ascii="Times New Roman" w:hAnsi="Times New Roman" w:cs="Times New Roman"/>
                <w:b/>
                <w:bCs/>
              </w:rPr>
            </w:pPr>
            <w:r>
              <w:rPr>
                <w:rFonts w:ascii="Times New Roman" w:hAnsi="Times New Roman" w:cs="Times New Roman"/>
                <w:b/>
                <w:bCs/>
              </w:rPr>
              <w:t>CONSEIL DES DROITS DE L'HOMME</w:t>
            </w:r>
          </w:p>
          <w:p w14:paraId="70F8995C" w14:textId="77777777" w:rsidR="00053686" w:rsidRDefault="007E3F12">
            <w:pPr>
              <w:pStyle w:val="Standard"/>
              <w:snapToGrid w:val="0"/>
              <w:spacing w:line="200" w:lineRule="atLeast"/>
              <w:jc w:val="both"/>
              <w:rPr>
                <w:rFonts w:ascii="Times New Roman" w:hAnsi="Times New Roman" w:cs="Times New Roman"/>
                <w:color w:val="000000"/>
                <w:shd w:val="clear" w:color="auto" w:fill="FFFFFF"/>
                <w:lang w:val="en-GB" w:bidi="ar-SA"/>
              </w:rPr>
            </w:pPr>
            <w:r>
              <w:rPr>
                <w:rFonts w:ascii="Times New Roman" w:hAnsi="Times New Roman" w:cs="Times New Roman"/>
                <w:i/>
                <w:iCs/>
                <w:color w:val="000000"/>
                <w:lang w:bidi="ar-SA"/>
              </w:rPr>
              <w:t>5</w:t>
            </w:r>
            <w:r>
              <w:rPr>
                <w:rFonts w:ascii="Times New Roman" w:hAnsi="Times New Roman" w:cs="Times New Roman"/>
                <w:i/>
                <w:iCs/>
                <w:color w:val="000000"/>
                <w:vertAlign w:val="superscript"/>
                <w:lang w:bidi="ar-SA"/>
              </w:rPr>
              <w:t>ème</w:t>
            </w:r>
            <w:r>
              <w:rPr>
                <w:rFonts w:ascii="Times New Roman" w:hAnsi="Times New Roman" w:cs="Times New Roman"/>
                <w:i/>
                <w:iCs/>
                <w:color w:val="000000"/>
                <w:lang w:bidi="ar-SA"/>
              </w:rPr>
              <w:t xml:space="preserve"> session du Groupe de travail intergouvernemental chargé d'élaborer un instrument international juridiquement contraignant sur les sociétés transnationales et autres entreprises (14-18 octobre 2019)</w:t>
            </w:r>
          </w:p>
          <w:p w14:paraId="0C205B42" w14:textId="77777777" w:rsidR="00053686" w:rsidRDefault="007E3F12">
            <w:pPr>
              <w:pStyle w:val="Standard"/>
              <w:snapToGrid w:val="0"/>
              <w:spacing w:line="200" w:lineRule="atLeast"/>
              <w:ind w:left="10" w:right="-50" w:hanging="20"/>
              <w:jc w:val="both"/>
              <w:rPr>
                <w:rFonts w:ascii="Times New Roman" w:hAnsi="Times New Roman" w:cs="Times New Roman"/>
                <w:b/>
                <w:bCs/>
                <w:i/>
                <w:iCs/>
                <w:color w:val="000000"/>
                <w:lang w:bidi="ar-SA"/>
              </w:rPr>
            </w:pPr>
            <w:r>
              <w:rPr>
                <w:rFonts w:ascii="Times New Roman" w:hAnsi="Times New Roman" w:cs="Times New Roman"/>
                <w:b/>
                <w:bCs/>
                <w:i/>
                <w:iCs/>
                <w:color w:val="000000"/>
                <w:lang w:bidi="ar-SA"/>
              </w:rPr>
              <w:t>Débat sur le préambule et articles 1 et 2</w:t>
            </w:r>
          </w:p>
        </w:tc>
      </w:tr>
    </w:tbl>
    <w:p w14:paraId="18201B2A" w14:textId="77777777" w:rsidR="00053686" w:rsidRDefault="00053686">
      <w:pPr>
        <w:pStyle w:val="Textbody"/>
        <w:tabs>
          <w:tab w:val="left" w:pos="5728"/>
        </w:tabs>
        <w:spacing w:after="0" w:line="240" w:lineRule="auto"/>
        <w:jc w:val="both"/>
        <w:rPr>
          <w:rFonts w:ascii="Times New Roman" w:hAnsi="Times New Roman" w:cs="Calibri"/>
          <w:color w:val="000000"/>
          <w:lang w:bidi="ar-SA"/>
        </w:rPr>
      </w:pPr>
    </w:p>
    <w:p w14:paraId="22BECF62" w14:textId="77777777" w:rsidR="00053686" w:rsidRDefault="00053686">
      <w:pPr>
        <w:pStyle w:val="Textbody"/>
        <w:tabs>
          <w:tab w:val="left" w:pos="5616"/>
        </w:tabs>
        <w:spacing w:after="0" w:line="240" w:lineRule="auto"/>
        <w:jc w:val="both"/>
        <w:rPr>
          <w:rFonts w:ascii="Times New Roman" w:hAnsi="Times New Roman" w:cs="Times New Roman"/>
          <w:i/>
          <w:iCs/>
        </w:rPr>
      </w:pPr>
    </w:p>
    <w:p w14:paraId="0D26B421" w14:textId="77777777" w:rsidR="00053686" w:rsidRDefault="007E3F12">
      <w:pPr>
        <w:pStyle w:val="Textbody"/>
        <w:spacing w:after="0" w:line="240" w:lineRule="auto"/>
        <w:ind w:right="-567"/>
        <w:jc w:val="both"/>
        <w:rPr>
          <w:rFonts w:ascii="Times New Roman" w:hAnsi="Times New Roman"/>
          <w:b/>
          <w:bCs/>
          <w:i/>
          <w:iCs/>
          <w:u w:val="single"/>
        </w:rPr>
      </w:pPr>
      <w:r>
        <w:rPr>
          <w:rFonts w:ascii="Times New Roman" w:hAnsi="Times New Roman"/>
          <w:b/>
          <w:bCs/>
          <w:i/>
          <w:iCs/>
          <w:u w:val="single"/>
        </w:rPr>
        <w:t>Déclaration orale</w:t>
      </w:r>
    </w:p>
    <w:p w14:paraId="20D8FB14" w14:textId="77777777" w:rsidR="00053686" w:rsidRDefault="007E3F12">
      <w:pPr>
        <w:pStyle w:val="Textbody"/>
        <w:spacing w:after="0" w:line="240" w:lineRule="auto"/>
        <w:ind w:right="-567"/>
        <w:jc w:val="both"/>
        <w:rPr>
          <w:rFonts w:ascii="Times New Roman" w:hAnsi="Times New Roman"/>
          <w:i/>
          <w:iCs/>
        </w:rPr>
      </w:pPr>
      <w:r>
        <w:rPr>
          <w:rFonts w:ascii="Times New Roman" w:hAnsi="Times New Roman"/>
          <w:i/>
          <w:iCs/>
        </w:rPr>
        <w:t>Vérifier à l'audition</w:t>
      </w:r>
    </w:p>
    <w:p w14:paraId="3F2504BC" w14:textId="77777777" w:rsidR="00053686" w:rsidRDefault="00053686">
      <w:pPr>
        <w:pStyle w:val="Textbody"/>
        <w:spacing w:after="0" w:line="240" w:lineRule="auto"/>
        <w:ind w:right="-567"/>
        <w:jc w:val="both"/>
        <w:rPr>
          <w:rFonts w:ascii="Times New Roman" w:hAnsi="Times New Roman"/>
        </w:rPr>
      </w:pPr>
    </w:p>
    <w:p w14:paraId="0A336B4E" w14:textId="77777777" w:rsidR="00053686" w:rsidRDefault="007E3F12">
      <w:pPr>
        <w:pStyle w:val="Textbody"/>
        <w:spacing w:after="0" w:line="240" w:lineRule="auto"/>
        <w:ind w:right="-567"/>
        <w:jc w:val="both"/>
        <w:rPr>
          <w:rFonts w:ascii="Times New Roman" w:hAnsi="Times New Roman"/>
        </w:rPr>
      </w:pPr>
      <w:r>
        <w:rPr>
          <w:rFonts w:ascii="Times New Roman" w:hAnsi="Times New Roman"/>
        </w:rPr>
        <w:t>Monsieur le Président,</w:t>
      </w:r>
    </w:p>
    <w:p w14:paraId="71A83BFE" w14:textId="77777777" w:rsidR="00053686" w:rsidRDefault="007E3F12">
      <w:pPr>
        <w:pStyle w:val="Textbody"/>
        <w:spacing w:after="0" w:line="240" w:lineRule="auto"/>
        <w:ind w:right="-567"/>
        <w:jc w:val="both"/>
        <w:rPr>
          <w:rFonts w:ascii="Times New Roman" w:hAnsi="Times New Roman"/>
        </w:rPr>
      </w:pPr>
      <w:r>
        <w:rPr>
          <w:rStyle w:val="Policepardfaut"/>
          <w:rFonts w:eastAsia="Calibri" w:cs="Times New Roman"/>
          <w:color w:val="000000"/>
          <w:szCs w:val="22"/>
          <w:lang w:eastAsia="es-ES"/>
        </w:rPr>
        <w:t>Il y a une confusion dans l’usage des termes « STN », « autres entreprises », « toutes les entreprises », etc. non seulement dans le préambule et les articles 1 et 2 mais également dans tout le projet révisé. C’est pourquoi, il faudra une harmonisation de ces termes et parler de « STN et autres entreprises à caractère international » dans tout le projet de traité, conformément à la résolution 26/9 du Conseil des droits de l’homme..</w:t>
      </w:r>
    </w:p>
    <w:p w14:paraId="5E126300" w14:textId="77777777" w:rsidR="00053686" w:rsidRDefault="00053686">
      <w:pPr>
        <w:pStyle w:val="Textbody"/>
        <w:spacing w:after="0" w:line="240" w:lineRule="auto"/>
        <w:ind w:right="-567"/>
        <w:jc w:val="both"/>
        <w:rPr>
          <w:rFonts w:ascii="Times New Roman" w:hAnsi="Times New Roman"/>
        </w:rPr>
      </w:pPr>
    </w:p>
    <w:p w14:paraId="026CEE37" w14:textId="77777777" w:rsidR="00053686" w:rsidRDefault="007E3F12">
      <w:pPr>
        <w:pStyle w:val="Textbody"/>
        <w:spacing w:after="0" w:line="240" w:lineRule="auto"/>
        <w:ind w:right="-567"/>
        <w:jc w:val="both"/>
        <w:rPr>
          <w:rFonts w:ascii="Times New Roman" w:hAnsi="Times New Roman"/>
        </w:rPr>
      </w:pPr>
      <w:r>
        <w:rPr>
          <w:rStyle w:val="Policepardfaut"/>
          <w:rFonts w:eastAsia="Calibri" w:cs="Times New Roman"/>
          <w:color w:val="000000"/>
          <w:szCs w:val="22"/>
          <w:u w:val="single"/>
          <w:lang w:eastAsia="es-ES"/>
        </w:rPr>
        <w:t>Préambule</w:t>
      </w:r>
    </w:p>
    <w:p w14:paraId="27FB6715" w14:textId="77777777" w:rsidR="00053686" w:rsidRDefault="007E3F12">
      <w:pPr>
        <w:pStyle w:val="Textbody"/>
        <w:spacing w:after="0" w:line="240" w:lineRule="auto"/>
        <w:ind w:right="-567"/>
        <w:jc w:val="both"/>
        <w:rPr>
          <w:rFonts w:ascii="Times New Roman" w:hAnsi="Times New Roman"/>
        </w:rPr>
      </w:pPr>
      <w:r>
        <w:rPr>
          <w:rStyle w:val="Policepardfaut"/>
          <w:rFonts w:eastAsia="Calibri" w:cs="Times New Roman"/>
          <w:color w:val="000000"/>
          <w:szCs w:val="22"/>
          <w:lang w:eastAsia="es-ES"/>
        </w:rPr>
        <w:t>Il convient de mentionner nominalement dans le préambule tous les instruments internationaux existants en matière de droits humains, droit du travail et du droit humanitaire et droit de l’environnement.</w:t>
      </w:r>
    </w:p>
    <w:p w14:paraId="72AE65D2" w14:textId="77777777" w:rsidR="00053686" w:rsidRDefault="00053686">
      <w:pPr>
        <w:pStyle w:val="Textbody"/>
        <w:spacing w:after="0" w:line="240" w:lineRule="auto"/>
        <w:ind w:right="-567"/>
        <w:jc w:val="both"/>
        <w:rPr>
          <w:rFonts w:ascii="Times New Roman" w:hAnsi="Times New Roman"/>
        </w:rPr>
      </w:pPr>
    </w:p>
    <w:p w14:paraId="27852E4A" w14:textId="77777777" w:rsidR="00053686" w:rsidRDefault="007E3F12">
      <w:pPr>
        <w:pStyle w:val="Textbody"/>
        <w:spacing w:after="0" w:line="240" w:lineRule="auto"/>
        <w:ind w:right="-567"/>
        <w:jc w:val="both"/>
        <w:rPr>
          <w:rFonts w:ascii="Times New Roman" w:hAnsi="Times New Roman"/>
        </w:rPr>
      </w:pPr>
      <w:r>
        <w:rPr>
          <w:rStyle w:val="Policepardfaut"/>
          <w:rFonts w:eastAsia="Calibri" w:cs="Times New Roman"/>
          <w:color w:val="000000"/>
          <w:szCs w:val="22"/>
          <w:lang w:eastAsia="es-ES"/>
        </w:rPr>
        <w:t>Il faudra ajouter deux nouveaux paragraphes dans le préambule pour :</w:t>
      </w:r>
    </w:p>
    <w:p w14:paraId="3B4D903E" w14:textId="77777777" w:rsidR="00053686" w:rsidRDefault="007E3F12">
      <w:pPr>
        <w:pStyle w:val="Textbody"/>
        <w:spacing w:after="0" w:line="240" w:lineRule="auto"/>
        <w:ind w:left="709" w:right="-567"/>
        <w:jc w:val="both"/>
        <w:rPr>
          <w:rFonts w:ascii="Times New Roman" w:hAnsi="Times New Roman"/>
        </w:rPr>
      </w:pPr>
      <w:r>
        <w:rPr>
          <w:rStyle w:val="Policepardfaut"/>
          <w:rFonts w:eastAsia="Calibri" w:cs="Times New Roman"/>
          <w:color w:val="000000"/>
          <w:szCs w:val="22"/>
          <w:lang w:eastAsia="es-ES"/>
        </w:rPr>
        <w:t>1) affirmer de la primauté du droit international en matière de droits humains sur les traités commerciaux et d'investissement ;</w:t>
      </w:r>
    </w:p>
    <w:p w14:paraId="29A37FAE" w14:textId="77777777" w:rsidR="00053686" w:rsidRDefault="007E3F12">
      <w:pPr>
        <w:pStyle w:val="Textbody"/>
        <w:spacing w:after="0" w:line="240" w:lineRule="auto"/>
        <w:ind w:left="709" w:right="-567"/>
        <w:jc w:val="both"/>
        <w:rPr>
          <w:rFonts w:ascii="Times New Roman" w:hAnsi="Times New Roman"/>
        </w:rPr>
      </w:pPr>
      <w:r>
        <w:rPr>
          <w:rStyle w:val="Policepardfaut"/>
          <w:rFonts w:eastAsia="Calibri" w:cs="Times New Roman"/>
          <w:color w:val="000000"/>
          <w:szCs w:val="22"/>
          <w:lang w:eastAsia="es-ES"/>
        </w:rPr>
        <w:t xml:space="preserve">2)  inclure une référence à l’influence indue des STN, inspirée de la Convention-cadre de l'OMS pour la lutte antitabac (article 5.3 de la Convention) : </w:t>
      </w:r>
      <w:r>
        <w:rPr>
          <w:rStyle w:val="Policepardfaut"/>
          <w:rFonts w:eastAsia="Calibri" w:cs="Times New Roman"/>
          <w:i/>
          <w:iCs/>
          <w:color w:val="000000"/>
          <w:szCs w:val="22"/>
          <w:lang w:eastAsia="es-ES"/>
        </w:rPr>
        <w:t>Soulignant que, lorsqu'ils définissent et mettent en œuvre leurs politiques publiques en matière de réglementation des STN, les États parties prennent des mesures pour protéger ces politiques contre les intérêts commerciaux et autres intérêts particuliers, et contre toute ingérence indue des STN.</w:t>
      </w:r>
    </w:p>
    <w:p w14:paraId="0065F1EF" w14:textId="77777777" w:rsidR="00053686" w:rsidRDefault="00053686">
      <w:pPr>
        <w:pStyle w:val="Textbody"/>
        <w:spacing w:after="0" w:line="240" w:lineRule="auto"/>
        <w:ind w:right="-567"/>
        <w:jc w:val="both"/>
        <w:rPr>
          <w:rFonts w:ascii="Times New Roman" w:hAnsi="Times New Roman"/>
        </w:rPr>
      </w:pPr>
    </w:p>
    <w:p w14:paraId="61FF0862" w14:textId="77777777" w:rsidR="00053686" w:rsidRDefault="007E3F12">
      <w:pPr>
        <w:pStyle w:val="Textbody"/>
        <w:spacing w:after="0" w:line="240" w:lineRule="auto"/>
        <w:ind w:right="-567"/>
        <w:jc w:val="both"/>
        <w:rPr>
          <w:rFonts w:ascii="Times New Roman" w:hAnsi="Times New Roman"/>
        </w:rPr>
      </w:pPr>
      <w:r>
        <w:rPr>
          <w:rStyle w:val="Policepardfaut"/>
          <w:rFonts w:eastAsia="Calibri" w:cs="Times New Roman"/>
          <w:color w:val="000000"/>
          <w:szCs w:val="22"/>
          <w:u w:val="single"/>
          <w:lang w:eastAsia="es-ES"/>
        </w:rPr>
        <w:t>Art. 1.1 et 1.2</w:t>
      </w:r>
    </w:p>
    <w:p w14:paraId="0FF1780A" w14:textId="77777777" w:rsidR="00053686" w:rsidRDefault="007E3F12">
      <w:pPr>
        <w:pStyle w:val="Textbody"/>
        <w:spacing w:after="0" w:line="240" w:lineRule="auto"/>
        <w:ind w:right="-567"/>
        <w:jc w:val="both"/>
        <w:rPr>
          <w:rFonts w:ascii="Times New Roman" w:hAnsi="Times New Roman"/>
        </w:rPr>
      </w:pPr>
      <w:r>
        <w:rPr>
          <w:rStyle w:val="Policepardfaut"/>
          <w:rFonts w:eastAsia="Calibri" w:cs="Times New Roman"/>
          <w:color w:val="000000"/>
          <w:szCs w:val="22"/>
          <w:lang w:eastAsia="es-ES"/>
        </w:rPr>
        <w:t>Nous proposons de remplacer l'expression « victimes » par « communautés et personnes affectées » ou les utiliser en parallèle avec cette expression.</w:t>
      </w:r>
    </w:p>
    <w:p w14:paraId="3D96D0BB" w14:textId="77777777" w:rsidR="00053686" w:rsidRDefault="00053686">
      <w:pPr>
        <w:pStyle w:val="Textbody"/>
        <w:spacing w:after="0" w:line="240" w:lineRule="auto"/>
        <w:ind w:right="-567"/>
        <w:jc w:val="both"/>
        <w:rPr>
          <w:rFonts w:ascii="Times New Roman" w:hAnsi="Times New Roman"/>
        </w:rPr>
      </w:pPr>
    </w:p>
    <w:p w14:paraId="5DD25925" w14:textId="77777777" w:rsidR="00053686" w:rsidRDefault="007E3F12">
      <w:pPr>
        <w:pStyle w:val="Textbody"/>
        <w:spacing w:after="0" w:line="240" w:lineRule="auto"/>
        <w:ind w:right="-567"/>
        <w:jc w:val="both"/>
        <w:rPr>
          <w:rFonts w:ascii="Times New Roman" w:hAnsi="Times New Roman"/>
        </w:rPr>
      </w:pPr>
      <w:r>
        <w:rPr>
          <w:rStyle w:val="Policepardfaut"/>
          <w:rFonts w:eastAsia="Calibri" w:cs="Times New Roman"/>
          <w:color w:val="000000"/>
          <w:szCs w:val="22"/>
          <w:u w:val="single"/>
          <w:lang w:eastAsia="es-ES"/>
        </w:rPr>
        <w:t>Art. 1.4</w:t>
      </w:r>
    </w:p>
    <w:p w14:paraId="69B2B7A8" w14:textId="77777777" w:rsidR="00053686" w:rsidRDefault="007E3F12">
      <w:pPr>
        <w:pStyle w:val="Textbody"/>
        <w:spacing w:after="0" w:line="240" w:lineRule="auto"/>
        <w:ind w:right="-567"/>
        <w:jc w:val="both"/>
        <w:rPr>
          <w:rFonts w:ascii="Times New Roman" w:hAnsi="Times New Roman"/>
        </w:rPr>
      </w:pPr>
      <w:r>
        <w:rPr>
          <w:rStyle w:val="Policepardfaut"/>
          <w:rFonts w:eastAsia="Calibri" w:cs="Times New Roman"/>
          <w:color w:val="000000"/>
          <w:szCs w:val="22"/>
          <w:lang w:eastAsia="es-ES"/>
        </w:rPr>
        <w:t>Le terme « relation contractuelle » peut être interprété de manière restrictive d'un point de vue juridique. De plus, ce dernier impliquera pour les communautés ou individus concernés le fardeau excessif de devoir prouver l'existence de cette « relation contractuelle », créant ainsi un obstacle insurmontable à un accès effectif à la justice. C’est pourquoi, nous proposons le remplacement du terme « relation contractuelle » par « relations d’affaires »  ou « chaîne de valeur »</w:t>
      </w:r>
    </w:p>
    <w:p w14:paraId="083C925C" w14:textId="77777777" w:rsidR="00053686" w:rsidRDefault="00053686">
      <w:pPr>
        <w:pStyle w:val="Textbody"/>
        <w:spacing w:after="0" w:line="240" w:lineRule="auto"/>
        <w:ind w:right="-567"/>
        <w:jc w:val="both"/>
        <w:rPr>
          <w:rFonts w:ascii="Times New Roman" w:hAnsi="Times New Roman"/>
        </w:rPr>
      </w:pPr>
    </w:p>
    <w:p w14:paraId="16C77D3C" w14:textId="77777777" w:rsidR="00053686" w:rsidRDefault="007E3F12">
      <w:pPr>
        <w:pStyle w:val="Standard"/>
        <w:ind w:right="-567"/>
        <w:jc w:val="both"/>
        <w:rPr>
          <w:rFonts w:hint="eastAsia"/>
        </w:rPr>
      </w:pPr>
      <w:r>
        <w:rPr>
          <w:rStyle w:val="systrantokenpunctuation"/>
          <w:rFonts w:ascii="Times New Roman" w:hAnsi="Times New Roman"/>
          <w:i/>
          <w:iCs/>
        </w:rPr>
        <w:t>Genève, le 14 octobre 2019</w:t>
      </w:r>
    </w:p>
    <w:sectPr w:rsidR="00053686">
      <w:headerReference w:type="first" r:id="rId8"/>
      <w:footerReference w:type="first" r:id="rId9"/>
      <w:pgSz w:w="11906" w:h="16838"/>
      <w:pgMar w:top="1418" w:right="1134" w:bottom="1077" w:left="1418" w:header="851"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AEA0" w14:textId="77777777" w:rsidR="004932D2" w:rsidRDefault="004932D2">
      <w:pPr>
        <w:rPr>
          <w:rFonts w:hint="eastAsia"/>
        </w:rPr>
      </w:pPr>
      <w:r>
        <w:separator/>
      </w:r>
    </w:p>
  </w:endnote>
  <w:endnote w:type="continuationSeparator" w:id="0">
    <w:p w14:paraId="7AC4DE77" w14:textId="77777777" w:rsidR="004932D2" w:rsidRDefault="004932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00"/>
    <w:family w:val="roman"/>
    <w:pitch w:val="variable"/>
  </w:font>
  <w:font w:name="NSimSun">
    <w:altName w:val="Arial Unicode MS"/>
    <w:charset w:val="86"/>
    <w:family w:val="modern"/>
    <w:pitch w:val="fixed"/>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Liberation Mono">
    <w:charset w:val="00"/>
    <w:family w:val="modern"/>
    <w:pitch w:val="default"/>
  </w:font>
  <w:font w:name="OpenSymbol">
    <w:altName w:val="Arial Unicode MS"/>
    <w:charset w:val="00"/>
    <w:family w:val="roman"/>
    <w:pitch w:val="variable"/>
  </w:font>
  <w:font w:name="Calibri">
    <w:panose1 w:val="020F0502020204030204"/>
    <w:charset w:val="00"/>
    <w:family w:val="auto"/>
    <w:pitch w:val="variable"/>
    <w:sig w:usb0="E00002FF" w:usb1="4000ACFF" w:usb2="00000001" w:usb3="00000000" w:csb0="0000019F" w:csb1="00000000"/>
  </w:font>
  <w:font w:name="Univers Condensed">
    <w:altName w:val="Arial"/>
    <w:charset w:val="00"/>
    <w:family w:val="swiss"/>
    <w:pitch w:val="variable"/>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8FF9" w14:textId="77777777" w:rsidR="00EC2CEC" w:rsidRDefault="007E3F12">
    <w:pPr>
      <w:pStyle w:val="Pidipagina"/>
      <w:spacing w:after="80"/>
      <w:ind w:left="-170" w:right="-170"/>
      <w:jc w:val="center"/>
      <w:rPr>
        <w:rFonts w:hint="eastAsia"/>
      </w:rPr>
    </w:pPr>
    <w:r>
      <w:t>CCP(CHF): 12-19850-1   CCP(Euro): 91-13687-6      Banque: BCG, L 750 16 55, 1211 Genève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40DC7" w14:textId="77777777" w:rsidR="004932D2" w:rsidRDefault="004932D2">
      <w:pPr>
        <w:rPr>
          <w:rFonts w:hint="eastAsia"/>
        </w:rPr>
      </w:pPr>
      <w:r>
        <w:rPr>
          <w:color w:val="000000"/>
        </w:rPr>
        <w:separator/>
      </w:r>
    </w:p>
  </w:footnote>
  <w:footnote w:type="continuationSeparator" w:id="0">
    <w:p w14:paraId="141C00A5" w14:textId="77777777" w:rsidR="004932D2" w:rsidRDefault="004932D2">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38" w:type="dxa"/>
      <w:tblInd w:w="-40" w:type="dxa"/>
      <w:tblLayout w:type="fixed"/>
      <w:tblCellMar>
        <w:left w:w="10" w:type="dxa"/>
        <w:right w:w="10" w:type="dxa"/>
      </w:tblCellMar>
      <w:tblLook w:val="0000" w:firstRow="0" w:lastRow="0" w:firstColumn="0" w:lastColumn="0" w:noHBand="0" w:noVBand="0"/>
    </w:tblPr>
    <w:tblGrid>
      <w:gridCol w:w="1700"/>
      <w:gridCol w:w="8538"/>
    </w:tblGrid>
    <w:tr w:rsidR="00EC2CEC" w14:paraId="522FDADF" w14:textId="77777777">
      <w:trPr>
        <w:trHeight w:val="1274"/>
      </w:trPr>
      <w:tc>
        <w:tcPr>
          <w:tcW w:w="1700" w:type="dxa"/>
          <w:shd w:val="clear" w:color="auto" w:fill="FFFFFF"/>
          <w:tcMar>
            <w:top w:w="0" w:type="dxa"/>
            <w:left w:w="70" w:type="dxa"/>
            <w:bottom w:w="0" w:type="dxa"/>
            <w:right w:w="70" w:type="dxa"/>
          </w:tcMar>
        </w:tcPr>
        <w:p w14:paraId="6F856863" w14:textId="77777777" w:rsidR="00EC2CEC" w:rsidRDefault="007E3F12">
          <w:pPr>
            <w:pStyle w:val="Intestazione"/>
            <w:snapToGrid w:val="0"/>
            <w:rPr>
              <w:rFonts w:ascii="Univers Condensed" w:hAnsi="Univers Condensed" w:hint="eastAsia"/>
            </w:rPr>
          </w:pPr>
          <w:r>
            <w:rPr>
              <w:rFonts w:ascii="Univers Condensed" w:hAnsi="Univers Condensed"/>
              <w:noProof/>
              <w:lang w:val="it-IT" w:eastAsia="it-IT" w:bidi="ar-SA"/>
            </w:rPr>
            <w:drawing>
              <wp:anchor distT="0" distB="0" distL="114300" distR="114300" simplePos="0" relativeHeight="251659264" behindDoc="0" locked="0" layoutInCell="1" allowOverlap="1" wp14:anchorId="1793F419" wp14:editId="22082E16">
                <wp:simplePos x="0" y="0"/>
                <wp:positionH relativeFrom="column">
                  <wp:posOffset>-374760</wp:posOffset>
                </wp:positionH>
                <wp:positionV relativeFrom="paragraph">
                  <wp:posOffset>-108000</wp:posOffset>
                </wp:positionV>
                <wp:extent cx="1214280" cy="1214280"/>
                <wp:effectExtent l="0" t="0" r="4920" b="4920"/>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14280" cy="1214280"/>
                        </a:xfrm>
                        <a:prstGeom prst="rect">
                          <a:avLst/>
                        </a:prstGeom>
                      </pic:spPr>
                    </pic:pic>
                  </a:graphicData>
                </a:graphic>
              </wp:anchor>
            </w:drawing>
          </w:r>
        </w:p>
      </w:tc>
      <w:tc>
        <w:tcPr>
          <w:tcW w:w="8538" w:type="dxa"/>
          <w:shd w:val="clear" w:color="auto" w:fill="FFFFFF"/>
          <w:tcMar>
            <w:top w:w="0" w:type="dxa"/>
            <w:left w:w="70" w:type="dxa"/>
            <w:bottom w:w="0" w:type="dxa"/>
            <w:right w:w="70" w:type="dxa"/>
          </w:tcMar>
        </w:tcPr>
        <w:p w14:paraId="6C029D31" w14:textId="77777777" w:rsidR="00EC2CEC" w:rsidRDefault="007E3F12">
          <w:pPr>
            <w:pStyle w:val="Intestazione"/>
            <w:snapToGrid w:val="0"/>
            <w:spacing w:before="40" w:after="120"/>
            <w:rPr>
              <w:rFonts w:ascii="Garamond" w:hAnsi="Garamond"/>
              <w:spacing w:val="24"/>
              <w:sz w:val="56"/>
            </w:rPr>
          </w:pPr>
          <w:r>
            <w:rPr>
              <w:rFonts w:ascii="Garamond" w:hAnsi="Garamond"/>
              <w:spacing w:val="24"/>
              <w:sz w:val="56"/>
            </w:rPr>
            <w:t>Centre Europe - Tiers Monde</w:t>
          </w:r>
        </w:p>
        <w:p w14:paraId="3B554B20" w14:textId="77777777" w:rsidR="00EC2CEC" w:rsidRDefault="007E3F12">
          <w:pPr>
            <w:pStyle w:val="Intestazione"/>
            <w:spacing w:before="227"/>
            <w:rPr>
              <w:rFonts w:ascii="Calibri" w:hAnsi="Calibri"/>
              <w:sz w:val="22"/>
            </w:rPr>
          </w:pPr>
          <w:r>
            <w:rPr>
              <w:rFonts w:ascii="Calibri" w:hAnsi="Calibri"/>
              <w:sz w:val="22"/>
            </w:rPr>
            <w:t xml:space="preserve">Centre de recherches et de publications sur les relations entre le Tiers Monde et l'Europe   </w:t>
          </w:r>
        </w:p>
      </w:tc>
    </w:tr>
  </w:tbl>
  <w:p w14:paraId="10EC8B76" w14:textId="77777777" w:rsidR="00EC2CEC" w:rsidRDefault="004932D2">
    <w:pPr>
      <w:pStyle w:val="Intestazione"/>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B489F"/>
    <w:multiLevelType w:val="multilevel"/>
    <w:tmpl w:val="66229886"/>
    <w:styleLink w:val="WWNum2"/>
    <w:lvl w:ilvl="0">
      <w:numFmt w:val="bullet"/>
      <w:lvlText w:val="-"/>
      <w:lvlJc w:val="left"/>
      <w:pPr>
        <w:ind w:left="360" w:firstLine="0"/>
      </w:pPr>
      <w:rPr>
        <w:rFonts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1CF6708"/>
    <w:multiLevelType w:val="multilevel"/>
    <w:tmpl w:val="CC24369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hideSpellingErrors/>
  <w:hideGrammaticalErrors/>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86"/>
    <w:rsid w:val="00015FAA"/>
    <w:rsid w:val="00053686"/>
    <w:rsid w:val="004932D2"/>
    <w:rsid w:val="007E3F12"/>
    <w:rsid w:val="009B14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E4B7D1"/>
  <w15:docId w15:val="{30B55ADE-DA41-4E2B-87B5-06518D7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Heading"/>
    <w:next w:val="Textbody"/>
    <w:uiPriority w:val="9"/>
    <w:semiHidden/>
    <w:unhideWhenUsed/>
    <w:qFormat/>
    <w:pPr>
      <w:spacing w:before="200"/>
      <w:outlineLvl w:val="1"/>
    </w:pPr>
    <w:rPr>
      <w:rFonts w:ascii="Liberation Serif" w:eastAsia="SimSun" w:hAnsi="Liberation Serif"/>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071"/>
      </w:tabs>
    </w:pPr>
  </w:style>
  <w:style w:type="paragraph" w:styleId="Pidipagina">
    <w:name w:val="footer"/>
    <w:basedOn w:val="Standard"/>
    <w:pPr>
      <w:tabs>
        <w:tab w:val="center" w:pos="4819"/>
        <w:tab w:val="right" w:pos="9071"/>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Corpsdetexte2">
    <w:name w:val="Corps de texte 2"/>
    <w:basedOn w:val="Standard"/>
    <w:pPr>
      <w:jc w:val="both"/>
    </w:pPr>
    <w:rPr>
      <w:sz w:val="22"/>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ListLabel73">
    <w:name w:val="ListLabel 73"/>
    <w:rPr>
      <w:rFonts w:cs="Times New Roman"/>
      <w:sz w:val="24"/>
    </w:rPr>
  </w:style>
  <w:style w:type="character" w:customStyle="1" w:styleId="ListLabel1">
    <w:name w:val="ListLabel 1"/>
    <w:rPr>
      <w:rFonts w:ascii="Times New Roman" w:eastAsia="Times New Roman" w:hAnsi="Times New Roman" w:cs="Times New Roman"/>
      <w:sz w:val="22"/>
      <w:szCs w:val="22"/>
    </w:rPr>
  </w:style>
  <w:style w:type="character" w:customStyle="1" w:styleId="systrantokenpunctuation">
    <w:name w:val="systran_token_punctuation"/>
    <w:basedOn w:val="Policepardfaut1"/>
  </w:style>
  <w:style w:type="character" w:customStyle="1" w:styleId="Policepardfaut1">
    <w:name w:val="Police par défaut1"/>
  </w:style>
  <w:style w:type="character" w:customStyle="1" w:styleId="Policepardfaut">
    <w:name w:val="Police par défaut"/>
  </w:style>
  <w:style w:type="numbering" w:customStyle="1" w:styleId="WWNum2">
    <w:name w:val="WWNum2"/>
    <w:basedOn w:val="Nessunelenco"/>
    <w:pPr>
      <w:numPr>
        <w:numId w:val="1"/>
      </w:numPr>
    </w:pPr>
  </w:style>
  <w:style w:type="numbering" w:customStyle="1" w:styleId="NoList1">
    <w:name w:val="No List_1"/>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etim.ch/"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F1E3AC-9000-41E2-9B5A-94841B1D4DA2}"/>
</file>

<file path=customXml/itemProps2.xml><?xml version="1.0" encoding="utf-8"?>
<ds:datastoreItem xmlns:ds="http://schemas.openxmlformats.org/officeDocument/2006/customXml" ds:itemID="{F3D20DAF-6660-416A-A929-6D0379F47B4F}"/>
</file>

<file path=customXml/itemProps3.xml><?xml version="1.0" encoding="utf-8"?>
<ds:datastoreItem xmlns:ds="http://schemas.openxmlformats.org/officeDocument/2006/customXml" ds:itemID="{352E13B4-EF75-41EE-996A-EE0D8DD841A1}"/>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Macintosh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Raffaele Morgantini</cp:lastModifiedBy>
  <cp:revision>2</cp:revision>
  <cp:lastPrinted>2019-06-13T09:25:00Z</cp:lastPrinted>
  <dcterms:created xsi:type="dcterms:W3CDTF">2019-10-17T11:49:00Z</dcterms:created>
  <dcterms:modified xsi:type="dcterms:W3CDTF">2019-10-17T11:49:00Z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5334100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