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36" w:rsidRPr="00581782" w:rsidRDefault="007B3336" w:rsidP="007B3336">
      <w:pPr>
        <w:widowControl w:val="0"/>
        <w:autoSpaceDE w:val="0"/>
        <w:autoSpaceDN w:val="0"/>
        <w:adjustRightInd w:val="0"/>
        <w:spacing w:after="240" w:line="276" w:lineRule="auto"/>
        <w:jc w:val="both"/>
        <w:rPr>
          <w:rFonts w:ascii="Times New Roman" w:hAnsi="Times New Roman" w:cs="Times New Roman"/>
          <w:sz w:val="28"/>
          <w:szCs w:val="28"/>
        </w:rPr>
      </w:pPr>
      <w:r w:rsidRPr="00581782">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3B419425" wp14:editId="5DDD14D3">
            <wp:simplePos x="0" y="0"/>
            <wp:positionH relativeFrom="column">
              <wp:posOffset>1943100</wp:posOffset>
            </wp:positionH>
            <wp:positionV relativeFrom="paragraph">
              <wp:posOffset>-114300</wp:posOffset>
            </wp:positionV>
            <wp:extent cx="1438275" cy="1222375"/>
            <wp:effectExtent l="0" t="0" r="9525" b="0"/>
            <wp:wrapSquare wrapText="bothSides"/>
            <wp:docPr id="2" name="Picture 2" descr="http://upload.wikimedia.org/wikipedia/commons/thumb/8/8e/Coat_of_arms_of_Namibia.svg/345px-Coat_of_arms_of_Nami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upload.wikimedia.org/wikipedia/commons/thumb/8/8e/Coat_of_arms_of_Namibia.svg/345px-Coat_of_arms_of_Namibia.svg.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38275"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3336" w:rsidRPr="00581782" w:rsidRDefault="007B3336" w:rsidP="007B3336">
      <w:pPr>
        <w:widowControl w:val="0"/>
        <w:autoSpaceDE w:val="0"/>
        <w:autoSpaceDN w:val="0"/>
        <w:adjustRightInd w:val="0"/>
        <w:spacing w:after="240" w:line="276" w:lineRule="auto"/>
        <w:jc w:val="both"/>
        <w:rPr>
          <w:rFonts w:ascii="Times New Roman" w:hAnsi="Times New Roman" w:cs="Times New Roman"/>
          <w:sz w:val="28"/>
          <w:szCs w:val="28"/>
        </w:rPr>
      </w:pPr>
    </w:p>
    <w:p w:rsidR="007B3336" w:rsidRPr="00581782" w:rsidRDefault="007B3336" w:rsidP="007B3336">
      <w:pPr>
        <w:widowControl w:val="0"/>
        <w:autoSpaceDE w:val="0"/>
        <w:autoSpaceDN w:val="0"/>
        <w:adjustRightInd w:val="0"/>
        <w:spacing w:after="240" w:line="276" w:lineRule="auto"/>
        <w:jc w:val="both"/>
        <w:rPr>
          <w:rFonts w:ascii="Times New Roman" w:hAnsi="Times New Roman" w:cs="Times New Roman"/>
          <w:sz w:val="28"/>
          <w:szCs w:val="28"/>
        </w:rPr>
      </w:pPr>
    </w:p>
    <w:p w:rsidR="007B3336" w:rsidRPr="00581782" w:rsidRDefault="007B3336" w:rsidP="007B3336">
      <w:pPr>
        <w:widowControl w:val="0"/>
        <w:autoSpaceDE w:val="0"/>
        <w:autoSpaceDN w:val="0"/>
        <w:adjustRightInd w:val="0"/>
        <w:spacing w:after="240" w:line="276" w:lineRule="auto"/>
        <w:jc w:val="both"/>
        <w:rPr>
          <w:rFonts w:ascii="Times New Roman" w:hAnsi="Times New Roman" w:cs="Times New Roman"/>
          <w:sz w:val="28"/>
          <w:szCs w:val="28"/>
        </w:rPr>
      </w:pPr>
    </w:p>
    <w:p w:rsidR="007B3336" w:rsidRPr="007B3336" w:rsidRDefault="007B3336" w:rsidP="007B3336">
      <w:pPr>
        <w:spacing w:line="276" w:lineRule="auto"/>
        <w:jc w:val="both"/>
        <w:rPr>
          <w:rFonts w:ascii="Times New Roman" w:hAnsi="Times New Roman" w:cs="Times New Roman"/>
          <w:sz w:val="28"/>
          <w:szCs w:val="28"/>
        </w:rPr>
      </w:pPr>
      <w:r w:rsidRPr="00581782">
        <w:rPr>
          <w:rFonts w:ascii="Times New Roman" w:hAnsi="Times New Roman" w:cs="Times New Roman"/>
          <w:sz w:val="28"/>
          <w:szCs w:val="28"/>
        </w:rPr>
        <w:t xml:space="preserve">Statement by </w:t>
      </w:r>
      <w:r>
        <w:rPr>
          <w:rFonts w:ascii="Times New Roman" w:hAnsi="Times New Roman" w:cs="Times New Roman"/>
          <w:b/>
          <w:i/>
          <w:sz w:val="28"/>
          <w:szCs w:val="28"/>
        </w:rPr>
        <w:t xml:space="preserve">Gladice Pickering – Ministry of Justice and Office of the </w:t>
      </w:r>
      <w:r w:rsidRPr="007B3336">
        <w:rPr>
          <w:rFonts w:ascii="Times New Roman" w:hAnsi="Times New Roman" w:cs="Times New Roman"/>
          <w:b/>
          <w:i/>
          <w:sz w:val="28"/>
          <w:szCs w:val="28"/>
        </w:rPr>
        <w:t xml:space="preserve">Attorney-General, </w:t>
      </w:r>
      <w:r w:rsidR="001A017E">
        <w:rPr>
          <w:rFonts w:ascii="Times New Roman" w:hAnsi="Times New Roman" w:cs="Times New Roman"/>
          <w:sz w:val="28"/>
          <w:szCs w:val="28"/>
        </w:rPr>
        <w:t>5</w:t>
      </w:r>
      <w:r w:rsidRPr="007B3336">
        <w:rPr>
          <w:rFonts w:ascii="Times New Roman" w:hAnsi="Times New Roman" w:cs="Times New Roman"/>
          <w:sz w:val="28"/>
          <w:szCs w:val="28"/>
          <w:vertAlign w:val="superscript"/>
        </w:rPr>
        <w:t>th</w:t>
      </w:r>
      <w:r w:rsidRPr="007B3336">
        <w:rPr>
          <w:rFonts w:ascii="Times New Roman" w:hAnsi="Times New Roman" w:cs="Times New Roman"/>
          <w:sz w:val="28"/>
          <w:szCs w:val="28"/>
        </w:rPr>
        <w:t xml:space="preserve"> session of the WG on Transnational Corporati</w:t>
      </w:r>
      <w:r w:rsidR="001A017E">
        <w:rPr>
          <w:rFonts w:ascii="Times New Roman" w:hAnsi="Times New Roman" w:cs="Times New Roman"/>
          <w:sz w:val="28"/>
          <w:szCs w:val="28"/>
        </w:rPr>
        <w:t>ons and Human Rights, Geneva, 16 October 2019</w:t>
      </w:r>
    </w:p>
    <w:p w:rsidR="00B25265" w:rsidRPr="007B3336" w:rsidRDefault="00B25265" w:rsidP="00B25265">
      <w:pPr>
        <w:spacing w:line="276" w:lineRule="auto"/>
        <w:jc w:val="both"/>
        <w:rPr>
          <w:rFonts w:ascii="Times New Roman" w:hAnsi="Times New Roman" w:cs="Times New Roman"/>
          <w:sz w:val="28"/>
          <w:szCs w:val="28"/>
        </w:rPr>
      </w:pPr>
    </w:p>
    <w:p w:rsidR="00B25265" w:rsidRPr="007B3336" w:rsidRDefault="00B25265" w:rsidP="00B25265">
      <w:pPr>
        <w:spacing w:line="276" w:lineRule="auto"/>
        <w:jc w:val="both"/>
        <w:rPr>
          <w:rFonts w:ascii="Times New Roman" w:hAnsi="Times New Roman" w:cs="Times New Roman"/>
          <w:sz w:val="28"/>
          <w:szCs w:val="28"/>
        </w:rPr>
      </w:pPr>
    </w:p>
    <w:p w:rsidR="00B25265" w:rsidRDefault="00542718" w:rsidP="00B2526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Thank you </w:t>
      </w:r>
      <w:r w:rsidR="007B3336">
        <w:rPr>
          <w:rFonts w:ascii="Times New Roman" w:hAnsi="Times New Roman" w:cs="Times New Roman"/>
          <w:sz w:val="28"/>
          <w:szCs w:val="28"/>
        </w:rPr>
        <w:t>Mr</w:t>
      </w:r>
      <w:r>
        <w:rPr>
          <w:rFonts w:ascii="Times New Roman" w:hAnsi="Times New Roman" w:cs="Times New Roman"/>
          <w:sz w:val="28"/>
          <w:szCs w:val="28"/>
        </w:rPr>
        <w:t xml:space="preserve"> Chair and thank you to the panellist for their insights. </w:t>
      </w:r>
    </w:p>
    <w:p w:rsidR="001A017E" w:rsidRDefault="001A017E" w:rsidP="00B25265">
      <w:pPr>
        <w:spacing w:line="276" w:lineRule="auto"/>
        <w:jc w:val="both"/>
        <w:rPr>
          <w:rFonts w:ascii="Times New Roman" w:hAnsi="Times New Roman" w:cs="Times New Roman"/>
          <w:sz w:val="28"/>
          <w:szCs w:val="28"/>
        </w:rPr>
      </w:pPr>
    </w:p>
    <w:p w:rsidR="001A017E" w:rsidRDefault="00A00EDC" w:rsidP="00B2526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Namibia welcomes the improvements to Article 6 </w:t>
      </w:r>
      <w:r w:rsidR="00227080">
        <w:rPr>
          <w:rFonts w:ascii="Times New Roman" w:hAnsi="Times New Roman" w:cs="Times New Roman"/>
          <w:sz w:val="28"/>
          <w:szCs w:val="28"/>
        </w:rPr>
        <w:t xml:space="preserve">on legal liability </w:t>
      </w:r>
      <w:r>
        <w:rPr>
          <w:rFonts w:ascii="Times New Roman" w:hAnsi="Times New Roman" w:cs="Times New Roman"/>
          <w:sz w:val="28"/>
          <w:szCs w:val="28"/>
        </w:rPr>
        <w:t>and</w:t>
      </w:r>
      <w:r w:rsidR="001A017E">
        <w:rPr>
          <w:rFonts w:ascii="Times New Roman" w:hAnsi="Times New Roman" w:cs="Times New Roman"/>
          <w:sz w:val="28"/>
          <w:szCs w:val="28"/>
        </w:rPr>
        <w:t xml:space="preserve"> comments as follows: </w:t>
      </w:r>
    </w:p>
    <w:p w:rsidR="001A017E" w:rsidRDefault="001A017E" w:rsidP="00B25265">
      <w:pPr>
        <w:spacing w:line="276" w:lineRule="auto"/>
        <w:jc w:val="both"/>
        <w:rPr>
          <w:rFonts w:ascii="Times New Roman" w:hAnsi="Times New Roman" w:cs="Times New Roman"/>
          <w:sz w:val="28"/>
          <w:szCs w:val="28"/>
        </w:rPr>
      </w:pPr>
    </w:p>
    <w:p w:rsidR="001A017E" w:rsidRDefault="001A017E" w:rsidP="00B25265">
      <w:pPr>
        <w:spacing w:line="276" w:lineRule="auto"/>
        <w:jc w:val="both"/>
        <w:rPr>
          <w:rFonts w:ascii="Times New Roman" w:hAnsi="Times New Roman" w:cs="Times New Roman"/>
          <w:sz w:val="28"/>
          <w:szCs w:val="28"/>
        </w:rPr>
      </w:pPr>
      <w:r>
        <w:rPr>
          <w:rFonts w:ascii="Times New Roman" w:hAnsi="Times New Roman" w:cs="Times New Roman"/>
          <w:sz w:val="28"/>
          <w:szCs w:val="28"/>
        </w:rPr>
        <w:t>As indicated yesterday, there is a close connection between the human rights due diligence requirement</w:t>
      </w:r>
      <w:r w:rsidR="00DD4C2C">
        <w:rPr>
          <w:rFonts w:ascii="Times New Roman" w:hAnsi="Times New Roman" w:cs="Times New Roman"/>
          <w:sz w:val="28"/>
          <w:szCs w:val="28"/>
        </w:rPr>
        <w:t xml:space="preserve"> contained in Article 5</w:t>
      </w:r>
      <w:r>
        <w:rPr>
          <w:rFonts w:ascii="Times New Roman" w:hAnsi="Times New Roman" w:cs="Times New Roman"/>
          <w:sz w:val="28"/>
          <w:szCs w:val="28"/>
        </w:rPr>
        <w:t xml:space="preserve"> and the </w:t>
      </w:r>
      <w:r w:rsidR="00227080">
        <w:rPr>
          <w:rFonts w:ascii="Times New Roman" w:hAnsi="Times New Roman" w:cs="Times New Roman"/>
          <w:sz w:val="28"/>
          <w:szCs w:val="28"/>
        </w:rPr>
        <w:t xml:space="preserve">legal </w:t>
      </w:r>
      <w:r>
        <w:rPr>
          <w:rFonts w:ascii="Times New Roman" w:hAnsi="Times New Roman" w:cs="Times New Roman"/>
          <w:sz w:val="28"/>
          <w:szCs w:val="28"/>
        </w:rPr>
        <w:t>liability of TNCs and OBEs. In this regard, we propose that administrative penalties be imposed when companies fail to comply with human rights due diligence requirements i</w:t>
      </w:r>
      <w:r w:rsidR="00DD4C2C">
        <w:rPr>
          <w:rFonts w:ascii="Times New Roman" w:hAnsi="Times New Roman" w:cs="Times New Roman"/>
          <w:sz w:val="28"/>
          <w:szCs w:val="28"/>
        </w:rPr>
        <w:t>n all instances</w:t>
      </w:r>
      <w:r w:rsidR="00227080">
        <w:rPr>
          <w:rFonts w:ascii="Times New Roman" w:hAnsi="Times New Roman" w:cs="Times New Roman"/>
          <w:sz w:val="28"/>
          <w:szCs w:val="28"/>
        </w:rPr>
        <w:t>,</w:t>
      </w:r>
      <w:r w:rsidR="00DD4C2C">
        <w:rPr>
          <w:rFonts w:ascii="Times New Roman" w:hAnsi="Times New Roman" w:cs="Times New Roman"/>
          <w:sz w:val="28"/>
          <w:szCs w:val="28"/>
        </w:rPr>
        <w:t xml:space="preserve"> as established</w:t>
      </w:r>
      <w:r w:rsidR="00227080">
        <w:rPr>
          <w:rFonts w:ascii="Times New Roman" w:hAnsi="Times New Roman" w:cs="Times New Roman"/>
          <w:sz w:val="28"/>
          <w:szCs w:val="28"/>
        </w:rPr>
        <w:t xml:space="preserve">. </w:t>
      </w:r>
    </w:p>
    <w:p w:rsidR="001A017E" w:rsidRDefault="00227080" w:rsidP="00B25265">
      <w:pPr>
        <w:spacing w:line="276" w:lineRule="auto"/>
        <w:jc w:val="both"/>
        <w:rPr>
          <w:rFonts w:ascii="Times New Roman" w:hAnsi="Times New Roman" w:cs="Times New Roman"/>
          <w:sz w:val="28"/>
          <w:szCs w:val="28"/>
        </w:rPr>
      </w:pPr>
      <w:r>
        <w:rPr>
          <w:rFonts w:ascii="Times New Roman" w:hAnsi="Times New Roman" w:cs="Times New Roman"/>
          <w:sz w:val="28"/>
          <w:szCs w:val="28"/>
        </w:rPr>
        <w:t>It is worthwhile to look at</w:t>
      </w:r>
      <w:r w:rsidR="001A017E">
        <w:rPr>
          <w:rFonts w:ascii="Times New Roman" w:hAnsi="Times New Roman" w:cs="Times New Roman"/>
          <w:sz w:val="28"/>
          <w:szCs w:val="28"/>
        </w:rPr>
        <w:t xml:space="preserve"> some </w:t>
      </w:r>
      <w:r>
        <w:rPr>
          <w:rFonts w:ascii="Times New Roman" w:hAnsi="Times New Roman" w:cs="Times New Roman"/>
          <w:sz w:val="28"/>
          <w:szCs w:val="28"/>
        </w:rPr>
        <w:t xml:space="preserve">effective practices already employed by </w:t>
      </w:r>
      <w:r w:rsidR="001A017E">
        <w:rPr>
          <w:rFonts w:ascii="Times New Roman" w:hAnsi="Times New Roman" w:cs="Times New Roman"/>
          <w:sz w:val="28"/>
          <w:szCs w:val="28"/>
        </w:rPr>
        <w:t xml:space="preserve">States </w:t>
      </w:r>
      <w:r w:rsidR="00974413">
        <w:rPr>
          <w:rFonts w:ascii="Times New Roman" w:hAnsi="Times New Roman" w:cs="Times New Roman"/>
          <w:sz w:val="28"/>
          <w:szCs w:val="28"/>
        </w:rPr>
        <w:t>in this regard and w</w:t>
      </w:r>
      <w:r>
        <w:rPr>
          <w:rFonts w:ascii="Times New Roman" w:hAnsi="Times New Roman" w:cs="Times New Roman"/>
          <w:sz w:val="28"/>
          <w:szCs w:val="28"/>
        </w:rPr>
        <w:t>e recommend that more emphasis should be placed on</w:t>
      </w:r>
      <w:r w:rsidR="001A017E">
        <w:rPr>
          <w:rFonts w:ascii="Times New Roman" w:hAnsi="Times New Roman" w:cs="Times New Roman"/>
          <w:sz w:val="28"/>
          <w:szCs w:val="28"/>
        </w:rPr>
        <w:t xml:space="preserve"> the supply</w:t>
      </w:r>
      <w:r w:rsidR="00B23445">
        <w:rPr>
          <w:rFonts w:ascii="Times New Roman" w:hAnsi="Times New Roman" w:cs="Times New Roman"/>
          <w:sz w:val="28"/>
          <w:szCs w:val="28"/>
        </w:rPr>
        <w:t xml:space="preserve"> and value chains </w:t>
      </w:r>
      <w:r w:rsidR="001A017E">
        <w:rPr>
          <w:rFonts w:ascii="Times New Roman" w:hAnsi="Times New Roman" w:cs="Times New Roman"/>
          <w:sz w:val="28"/>
          <w:szCs w:val="28"/>
        </w:rPr>
        <w:t xml:space="preserve">and </w:t>
      </w:r>
      <w:r w:rsidR="00DD4C2C">
        <w:rPr>
          <w:rFonts w:ascii="Times New Roman" w:hAnsi="Times New Roman" w:cs="Times New Roman"/>
          <w:sz w:val="28"/>
          <w:szCs w:val="28"/>
        </w:rPr>
        <w:t>how these c</w:t>
      </w:r>
      <w:r w:rsidR="00D2799E">
        <w:rPr>
          <w:rFonts w:ascii="Times New Roman" w:hAnsi="Times New Roman" w:cs="Times New Roman"/>
          <w:sz w:val="28"/>
          <w:szCs w:val="28"/>
        </w:rPr>
        <w:t xml:space="preserve">an be used to ensure compliance with due diligence requirements. </w:t>
      </w:r>
    </w:p>
    <w:p w:rsidR="00974413" w:rsidRDefault="00974413" w:rsidP="00B25265">
      <w:pPr>
        <w:spacing w:line="276" w:lineRule="auto"/>
        <w:jc w:val="both"/>
        <w:rPr>
          <w:rFonts w:ascii="Times New Roman" w:hAnsi="Times New Roman" w:cs="Times New Roman"/>
          <w:sz w:val="28"/>
          <w:szCs w:val="28"/>
        </w:rPr>
      </w:pPr>
    </w:p>
    <w:p w:rsidR="00974413" w:rsidRDefault="00974413" w:rsidP="00B25265">
      <w:pPr>
        <w:spacing w:line="276" w:lineRule="auto"/>
        <w:jc w:val="both"/>
        <w:rPr>
          <w:rFonts w:ascii="Times New Roman" w:hAnsi="Times New Roman" w:cs="Times New Roman"/>
          <w:sz w:val="28"/>
          <w:szCs w:val="28"/>
        </w:rPr>
      </w:pPr>
      <w:r>
        <w:rPr>
          <w:rFonts w:ascii="Times New Roman" w:hAnsi="Times New Roman" w:cs="Times New Roman"/>
          <w:sz w:val="28"/>
          <w:szCs w:val="28"/>
        </w:rPr>
        <w:t>We</w:t>
      </w:r>
      <w:r>
        <w:rPr>
          <w:rFonts w:ascii="Times New Roman" w:hAnsi="Times New Roman" w:cs="Times New Roman"/>
          <w:sz w:val="28"/>
          <w:szCs w:val="28"/>
        </w:rPr>
        <w:t xml:space="preserve"> advise that Article 6(2) be clarified to specify in what circumstances the legal persona and the natural persona will become liable for violations and abuses. In some legal systems, the laws are clear on the circumstances in which the personas become liable. </w:t>
      </w:r>
    </w:p>
    <w:p w:rsidR="00D2799E" w:rsidRDefault="00D2799E" w:rsidP="00B25265">
      <w:pPr>
        <w:spacing w:line="276" w:lineRule="auto"/>
        <w:jc w:val="both"/>
        <w:rPr>
          <w:rFonts w:ascii="Times New Roman" w:hAnsi="Times New Roman" w:cs="Times New Roman"/>
          <w:sz w:val="28"/>
          <w:szCs w:val="28"/>
        </w:rPr>
      </w:pPr>
    </w:p>
    <w:p w:rsidR="00D2799E" w:rsidRDefault="00D2799E" w:rsidP="00B2526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We </w:t>
      </w:r>
      <w:r w:rsidR="00974413">
        <w:rPr>
          <w:rFonts w:ascii="Times New Roman" w:hAnsi="Times New Roman" w:cs="Times New Roman"/>
          <w:sz w:val="28"/>
          <w:szCs w:val="28"/>
        </w:rPr>
        <w:t xml:space="preserve">further </w:t>
      </w:r>
      <w:r>
        <w:rPr>
          <w:rFonts w:ascii="Times New Roman" w:hAnsi="Times New Roman" w:cs="Times New Roman"/>
          <w:sz w:val="28"/>
          <w:szCs w:val="28"/>
        </w:rPr>
        <w:t>submit that compliance with d</w:t>
      </w:r>
      <w:r w:rsidR="00C375D9">
        <w:rPr>
          <w:rFonts w:ascii="Times New Roman" w:hAnsi="Times New Roman" w:cs="Times New Roman"/>
          <w:sz w:val="28"/>
          <w:szCs w:val="28"/>
        </w:rPr>
        <w:t>ue diligence requirements</w:t>
      </w:r>
      <w:r>
        <w:rPr>
          <w:rFonts w:ascii="Times New Roman" w:hAnsi="Times New Roman" w:cs="Times New Roman"/>
          <w:sz w:val="28"/>
          <w:szCs w:val="28"/>
        </w:rPr>
        <w:t xml:space="preserve"> </w:t>
      </w:r>
      <w:r w:rsidR="00C375D9">
        <w:rPr>
          <w:rFonts w:ascii="Times New Roman" w:hAnsi="Times New Roman" w:cs="Times New Roman"/>
          <w:sz w:val="28"/>
          <w:szCs w:val="28"/>
        </w:rPr>
        <w:t>can</w:t>
      </w:r>
      <w:r>
        <w:rPr>
          <w:rFonts w:ascii="Times New Roman" w:hAnsi="Times New Roman" w:cs="Times New Roman"/>
          <w:sz w:val="28"/>
          <w:szCs w:val="28"/>
        </w:rPr>
        <w:t>not exonerate businesses from legal liability in the case of abuse of rights</w:t>
      </w:r>
      <w:r w:rsidR="00C375D9">
        <w:rPr>
          <w:rFonts w:ascii="Times New Roman" w:hAnsi="Times New Roman" w:cs="Times New Roman"/>
          <w:sz w:val="28"/>
          <w:szCs w:val="28"/>
        </w:rPr>
        <w:t xml:space="preserve"> and damages caused</w:t>
      </w:r>
      <w:r>
        <w:rPr>
          <w:rFonts w:ascii="Times New Roman" w:hAnsi="Times New Roman" w:cs="Times New Roman"/>
          <w:sz w:val="28"/>
          <w:szCs w:val="28"/>
        </w:rPr>
        <w:t xml:space="preserve">. The due diligence compliance is but a preventative </w:t>
      </w:r>
      <w:r>
        <w:rPr>
          <w:rFonts w:ascii="Times New Roman" w:hAnsi="Times New Roman" w:cs="Times New Roman"/>
          <w:sz w:val="28"/>
          <w:szCs w:val="28"/>
        </w:rPr>
        <w:lastRenderedPageBreak/>
        <w:t>measure in minimizing</w:t>
      </w:r>
      <w:r w:rsidR="00C375D9">
        <w:rPr>
          <w:rFonts w:ascii="Times New Roman" w:hAnsi="Times New Roman" w:cs="Times New Roman"/>
          <w:sz w:val="28"/>
          <w:szCs w:val="28"/>
        </w:rPr>
        <w:t xml:space="preserve"> the risk of abuse and damages and a</w:t>
      </w:r>
      <w:r w:rsidR="00D55BEB">
        <w:rPr>
          <w:rFonts w:ascii="Times New Roman" w:hAnsi="Times New Roman" w:cs="Times New Roman"/>
          <w:sz w:val="28"/>
          <w:szCs w:val="28"/>
        </w:rPr>
        <w:t>iding the foreseeability aspect</w:t>
      </w:r>
      <w:r w:rsidR="00C375D9">
        <w:rPr>
          <w:rFonts w:ascii="Times New Roman" w:hAnsi="Times New Roman" w:cs="Times New Roman"/>
          <w:sz w:val="28"/>
          <w:szCs w:val="28"/>
        </w:rPr>
        <w:t xml:space="preserve">. </w:t>
      </w:r>
      <w:r>
        <w:rPr>
          <w:rFonts w:ascii="Times New Roman" w:hAnsi="Times New Roman" w:cs="Times New Roman"/>
          <w:sz w:val="28"/>
          <w:szCs w:val="28"/>
        </w:rPr>
        <w:t xml:space="preserve">That is why on going behaviour-based due diligence is the preferred option. Suitable remedial measures, including psychosocial and rehabilitative therapy, should still be available </w:t>
      </w:r>
      <w:r w:rsidR="00974413">
        <w:rPr>
          <w:rFonts w:ascii="Times New Roman" w:hAnsi="Times New Roman" w:cs="Times New Roman"/>
          <w:sz w:val="28"/>
          <w:szCs w:val="28"/>
        </w:rPr>
        <w:t>to the victims where rights are</w:t>
      </w:r>
      <w:r>
        <w:rPr>
          <w:rFonts w:ascii="Times New Roman" w:hAnsi="Times New Roman" w:cs="Times New Roman"/>
          <w:sz w:val="28"/>
          <w:szCs w:val="28"/>
        </w:rPr>
        <w:t xml:space="preserve"> abused</w:t>
      </w:r>
      <w:r w:rsidR="00974413">
        <w:rPr>
          <w:rFonts w:ascii="Times New Roman" w:hAnsi="Times New Roman" w:cs="Times New Roman"/>
          <w:sz w:val="28"/>
          <w:szCs w:val="28"/>
        </w:rPr>
        <w:t xml:space="preserve"> and damages caused</w:t>
      </w:r>
      <w:r>
        <w:rPr>
          <w:rFonts w:ascii="Times New Roman" w:hAnsi="Times New Roman" w:cs="Times New Roman"/>
          <w:sz w:val="28"/>
          <w:szCs w:val="28"/>
        </w:rPr>
        <w:t xml:space="preserve">. In this regard, particular attention should be paid to the rights of children who might have suffered abuse during early childhood, but are only able to articulate their claims later in life. </w:t>
      </w:r>
      <w:r w:rsidR="002E40DF">
        <w:rPr>
          <w:rFonts w:ascii="Times New Roman" w:hAnsi="Times New Roman" w:cs="Times New Roman"/>
          <w:sz w:val="28"/>
          <w:szCs w:val="28"/>
        </w:rPr>
        <w:t>We particularly welcome Article 6(5) on the requirement for insurance and financial guarantees.</w:t>
      </w:r>
    </w:p>
    <w:p w:rsidR="00DD4C2C" w:rsidRDefault="00DD4C2C" w:rsidP="00B25265">
      <w:pPr>
        <w:spacing w:line="276" w:lineRule="auto"/>
        <w:jc w:val="both"/>
        <w:rPr>
          <w:rFonts w:ascii="Times New Roman" w:hAnsi="Times New Roman" w:cs="Times New Roman"/>
          <w:sz w:val="28"/>
          <w:szCs w:val="28"/>
        </w:rPr>
      </w:pPr>
    </w:p>
    <w:p w:rsidR="00DD4C2C" w:rsidRDefault="00DD4C2C" w:rsidP="00DD4C2C">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Mr.</w:t>
      </w:r>
      <w:proofErr w:type="spellEnd"/>
      <w:r>
        <w:rPr>
          <w:rFonts w:ascii="Times New Roman" w:hAnsi="Times New Roman" w:cs="Times New Roman"/>
          <w:sz w:val="28"/>
          <w:szCs w:val="28"/>
        </w:rPr>
        <w:t xml:space="preserve"> Chair,</w:t>
      </w:r>
    </w:p>
    <w:p w:rsidR="004A30A6" w:rsidRDefault="004A30A6" w:rsidP="00DD4C2C">
      <w:pPr>
        <w:spacing w:line="276" w:lineRule="auto"/>
        <w:jc w:val="both"/>
        <w:rPr>
          <w:rFonts w:ascii="Times New Roman" w:hAnsi="Times New Roman" w:cs="Times New Roman"/>
          <w:sz w:val="28"/>
          <w:szCs w:val="28"/>
        </w:rPr>
      </w:pPr>
    </w:p>
    <w:p w:rsidR="00227080" w:rsidRDefault="006C6319" w:rsidP="0022708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On </w:t>
      </w:r>
      <w:r w:rsidR="004A30A6">
        <w:rPr>
          <w:rFonts w:ascii="Times New Roman" w:hAnsi="Times New Roman" w:cs="Times New Roman"/>
          <w:sz w:val="28"/>
          <w:szCs w:val="28"/>
        </w:rPr>
        <w:t>Article 6(6)</w:t>
      </w:r>
      <w:r>
        <w:rPr>
          <w:rFonts w:ascii="Times New Roman" w:hAnsi="Times New Roman" w:cs="Times New Roman"/>
          <w:sz w:val="28"/>
          <w:szCs w:val="28"/>
        </w:rPr>
        <w:t>, we believe the text</w:t>
      </w:r>
      <w:r w:rsidR="004A30A6">
        <w:rPr>
          <w:rFonts w:ascii="Times New Roman" w:hAnsi="Times New Roman" w:cs="Times New Roman"/>
          <w:sz w:val="28"/>
          <w:szCs w:val="28"/>
        </w:rPr>
        <w:t xml:space="preserve"> can benefit from additional wording that depicts the ability of parent or holding companies to exercise control or influence over subsidiary companies with which it has business relations. </w:t>
      </w:r>
      <w:r w:rsidR="00227080">
        <w:rPr>
          <w:rFonts w:ascii="Times New Roman" w:hAnsi="Times New Roman" w:cs="Times New Roman"/>
          <w:sz w:val="28"/>
          <w:szCs w:val="28"/>
        </w:rPr>
        <w:t xml:space="preserve">We also reiterate the calls for liability of business entities to not be limited to “contractual relationships” but to the “business relationship”. </w:t>
      </w:r>
    </w:p>
    <w:p w:rsidR="004A30A6" w:rsidRDefault="00B23445" w:rsidP="00DD4C2C">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The insights shared by </w:t>
      </w:r>
      <w:proofErr w:type="spellStart"/>
      <w:r>
        <w:rPr>
          <w:rFonts w:ascii="Times New Roman" w:hAnsi="Times New Roman" w:cs="Times New Roman"/>
          <w:sz w:val="28"/>
          <w:szCs w:val="28"/>
        </w:rPr>
        <w:t>Ms.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Aparac</w:t>
      </w:r>
      <w:proofErr w:type="spellEnd"/>
      <w:r>
        <w:rPr>
          <w:rFonts w:ascii="Times New Roman" w:hAnsi="Times New Roman" w:cs="Times New Roman"/>
          <w:sz w:val="28"/>
          <w:szCs w:val="28"/>
        </w:rPr>
        <w:t xml:space="preserve"> </w:t>
      </w:r>
      <w:r w:rsidR="00227080">
        <w:rPr>
          <w:rFonts w:ascii="Times New Roman" w:hAnsi="Times New Roman" w:cs="Times New Roman"/>
          <w:sz w:val="28"/>
          <w:szCs w:val="28"/>
        </w:rPr>
        <w:t xml:space="preserve">and </w:t>
      </w:r>
      <w:proofErr w:type="spellStart"/>
      <w:r w:rsidR="00227080">
        <w:rPr>
          <w:rFonts w:ascii="Times New Roman" w:hAnsi="Times New Roman" w:cs="Times New Roman"/>
          <w:sz w:val="28"/>
          <w:szCs w:val="28"/>
        </w:rPr>
        <w:t>Mr.</w:t>
      </w:r>
      <w:proofErr w:type="spellEnd"/>
      <w:r w:rsidR="00227080">
        <w:rPr>
          <w:rFonts w:ascii="Times New Roman" w:hAnsi="Times New Roman" w:cs="Times New Roman"/>
          <w:sz w:val="28"/>
          <w:szCs w:val="28"/>
        </w:rPr>
        <w:t xml:space="preserve"> </w:t>
      </w:r>
      <w:proofErr w:type="spellStart"/>
      <w:r w:rsidR="00227080">
        <w:rPr>
          <w:rFonts w:ascii="Times New Roman" w:hAnsi="Times New Roman" w:cs="Times New Roman"/>
          <w:sz w:val="28"/>
          <w:szCs w:val="28"/>
        </w:rPr>
        <w:t>Meeran</w:t>
      </w:r>
      <w:proofErr w:type="spellEnd"/>
      <w:r w:rsidR="00227080">
        <w:rPr>
          <w:rFonts w:ascii="Times New Roman" w:hAnsi="Times New Roman" w:cs="Times New Roman"/>
          <w:sz w:val="28"/>
          <w:szCs w:val="28"/>
        </w:rPr>
        <w:t xml:space="preserve">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particularly insightful on this point. </w:t>
      </w:r>
    </w:p>
    <w:p w:rsidR="00DD4C2C" w:rsidRDefault="00DD4C2C" w:rsidP="00DD4C2C">
      <w:pPr>
        <w:spacing w:line="276" w:lineRule="auto"/>
        <w:jc w:val="both"/>
        <w:rPr>
          <w:rFonts w:ascii="Times New Roman" w:hAnsi="Times New Roman" w:cs="Times New Roman"/>
          <w:sz w:val="28"/>
          <w:szCs w:val="28"/>
        </w:rPr>
      </w:pPr>
    </w:p>
    <w:p w:rsidR="002F0BAD" w:rsidRPr="002E40DF" w:rsidRDefault="000851C0" w:rsidP="00B25265">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We reserve our comments regarding the list</w:t>
      </w:r>
      <w:r w:rsidR="00DD4C2C">
        <w:rPr>
          <w:rFonts w:ascii="Times New Roman" w:hAnsi="Times New Roman" w:cs="Times New Roman"/>
          <w:sz w:val="28"/>
          <w:szCs w:val="28"/>
        </w:rPr>
        <w:t xml:space="preserve"> of criminal offences in Article 6(7), </w:t>
      </w:r>
      <w:r w:rsidR="002E40DF">
        <w:rPr>
          <w:rFonts w:ascii="Times New Roman" w:hAnsi="Times New Roman" w:cs="Times New Roman"/>
          <w:sz w:val="28"/>
          <w:szCs w:val="28"/>
        </w:rPr>
        <w:t xml:space="preserve">pending further consultations, but </w:t>
      </w:r>
      <w:r w:rsidR="002E40DF">
        <w:rPr>
          <w:rFonts w:ascii="Times New Roman" w:hAnsi="Times New Roman" w:cs="Times New Roman"/>
          <w:sz w:val="28"/>
          <w:szCs w:val="28"/>
          <w:lang w:val="en-US"/>
        </w:rPr>
        <w:t>w</w:t>
      </w:r>
      <w:r w:rsidR="00DD4C2C">
        <w:rPr>
          <w:rFonts w:ascii="Times New Roman" w:hAnsi="Times New Roman" w:cs="Times New Roman"/>
          <w:sz w:val="28"/>
          <w:szCs w:val="28"/>
          <w:lang w:val="en-US"/>
        </w:rPr>
        <w:t xml:space="preserve">e </w:t>
      </w:r>
      <w:r w:rsidR="00A00EDC">
        <w:rPr>
          <w:rFonts w:ascii="Times New Roman" w:hAnsi="Times New Roman" w:cs="Times New Roman"/>
          <w:sz w:val="28"/>
          <w:szCs w:val="28"/>
          <w:lang w:val="en-US"/>
        </w:rPr>
        <w:t>want to know if the</w:t>
      </w:r>
      <w:r w:rsidR="00DD4C2C">
        <w:rPr>
          <w:rFonts w:ascii="Times New Roman" w:hAnsi="Times New Roman" w:cs="Times New Roman"/>
          <w:sz w:val="28"/>
          <w:szCs w:val="28"/>
          <w:lang w:val="en-US"/>
        </w:rPr>
        <w:t xml:space="preserve"> list</w:t>
      </w:r>
      <w:r w:rsidR="00A00EDC">
        <w:rPr>
          <w:rFonts w:ascii="Times New Roman" w:hAnsi="Times New Roman" w:cs="Times New Roman"/>
          <w:sz w:val="28"/>
          <w:szCs w:val="28"/>
          <w:lang w:val="en-US"/>
        </w:rPr>
        <w:t xml:space="preserve"> in this Article</w:t>
      </w:r>
      <w:r w:rsidR="00DD4C2C">
        <w:rPr>
          <w:rFonts w:ascii="Times New Roman" w:hAnsi="Times New Roman" w:cs="Times New Roman"/>
          <w:sz w:val="28"/>
          <w:szCs w:val="28"/>
          <w:lang w:val="en-US"/>
        </w:rPr>
        <w:t xml:space="preserve"> is open to further a</w:t>
      </w:r>
      <w:r w:rsidR="00A00EDC">
        <w:rPr>
          <w:rFonts w:ascii="Times New Roman" w:hAnsi="Times New Roman" w:cs="Times New Roman"/>
          <w:sz w:val="28"/>
          <w:szCs w:val="28"/>
          <w:lang w:val="en-US"/>
        </w:rPr>
        <w:t>dditions or is it a closed list and w</w:t>
      </w:r>
      <w:r w:rsidR="004A30A6">
        <w:rPr>
          <w:rFonts w:ascii="Times New Roman" w:hAnsi="Times New Roman" w:cs="Times New Roman"/>
          <w:sz w:val="28"/>
          <w:szCs w:val="28"/>
          <w:lang w:val="en-US"/>
        </w:rPr>
        <w:t>e would like to see the addition of environmental crimes as this is of critical importa</w:t>
      </w:r>
      <w:r w:rsidR="00B23445">
        <w:rPr>
          <w:rFonts w:ascii="Times New Roman" w:hAnsi="Times New Roman" w:cs="Times New Roman"/>
          <w:sz w:val="28"/>
          <w:szCs w:val="28"/>
          <w:lang w:val="en-US"/>
        </w:rPr>
        <w:t>nce to States who are particularly at risk of destruction and contamination of the</w:t>
      </w:r>
      <w:r w:rsidR="00542718">
        <w:rPr>
          <w:rFonts w:ascii="Times New Roman" w:hAnsi="Times New Roman" w:cs="Times New Roman"/>
          <w:sz w:val="28"/>
          <w:szCs w:val="28"/>
          <w:lang w:val="en-US"/>
        </w:rPr>
        <w:t>ir</w:t>
      </w:r>
      <w:r w:rsidR="00B23445">
        <w:rPr>
          <w:rFonts w:ascii="Times New Roman" w:hAnsi="Times New Roman" w:cs="Times New Roman"/>
          <w:sz w:val="28"/>
          <w:szCs w:val="28"/>
          <w:lang w:val="en-US"/>
        </w:rPr>
        <w:t xml:space="preserve"> </w:t>
      </w:r>
      <w:r w:rsidR="00542718">
        <w:rPr>
          <w:rFonts w:ascii="Times New Roman" w:hAnsi="Times New Roman" w:cs="Times New Roman"/>
          <w:sz w:val="28"/>
          <w:szCs w:val="28"/>
          <w:lang w:val="en-US"/>
        </w:rPr>
        <w:t>ecosystems</w:t>
      </w:r>
      <w:r w:rsidR="00B23445">
        <w:rPr>
          <w:rFonts w:ascii="Times New Roman" w:hAnsi="Times New Roman" w:cs="Times New Roman"/>
          <w:sz w:val="28"/>
          <w:szCs w:val="28"/>
          <w:lang w:val="en-US"/>
        </w:rPr>
        <w:t xml:space="preserve">. </w:t>
      </w:r>
    </w:p>
    <w:p w:rsidR="002F0BAD" w:rsidRDefault="002F0BAD" w:rsidP="00B25265">
      <w:pPr>
        <w:spacing w:line="276" w:lineRule="auto"/>
        <w:jc w:val="both"/>
        <w:rPr>
          <w:rFonts w:ascii="Times New Roman" w:hAnsi="Times New Roman" w:cs="Times New Roman"/>
          <w:sz w:val="28"/>
          <w:szCs w:val="28"/>
        </w:rPr>
      </w:pPr>
    </w:p>
    <w:p w:rsidR="002F0BAD" w:rsidRDefault="002F0BAD" w:rsidP="00B25265">
      <w:pPr>
        <w:spacing w:line="276" w:lineRule="auto"/>
        <w:jc w:val="both"/>
        <w:rPr>
          <w:rFonts w:ascii="Times New Roman" w:hAnsi="Times New Roman" w:cs="Times New Roman"/>
          <w:sz w:val="28"/>
          <w:szCs w:val="28"/>
        </w:rPr>
      </w:pPr>
    </w:p>
    <w:p w:rsidR="00500784" w:rsidRDefault="00500784" w:rsidP="00B2526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I thank you. </w:t>
      </w:r>
    </w:p>
    <w:p w:rsidR="002F4E16" w:rsidRDefault="002F4E16" w:rsidP="00B25265">
      <w:pPr>
        <w:spacing w:line="276" w:lineRule="auto"/>
        <w:jc w:val="both"/>
        <w:rPr>
          <w:rFonts w:ascii="Times New Roman" w:hAnsi="Times New Roman" w:cs="Times New Roman"/>
          <w:sz w:val="28"/>
          <w:szCs w:val="28"/>
        </w:rPr>
      </w:pPr>
    </w:p>
    <w:p w:rsidR="002F4E16" w:rsidRPr="00B25265" w:rsidRDefault="002F4E16" w:rsidP="00B25265">
      <w:pPr>
        <w:spacing w:line="276" w:lineRule="auto"/>
        <w:jc w:val="both"/>
        <w:rPr>
          <w:rFonts w:ascii="Times New Roman" w:hAnsi="Times New Roman" w:cs="Times New Roman"/>
          <w:sz w:val="28"/>
          <w:szCs w:val="28"/>
        </w:rPr>
      </w:pPr>
    </w:p>
    <w:sectPr w:rsidR="002F4E16" w:rsidRPr="00B25265" w:rsidSect="00104A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65"/>
    <w:rsid w:val="00014A49"/>
    <w:rsid w:val="000851C0"/>
    <w:rsid w:val="00104A3C"/>
    <w:rsid w:val="00156BA5"/>
    <w:rsid w:val="001A017E"/>
    <w:rsid w:val="00227080"/>
    <w:rsid w:val="002E40DF"/>
    <w:rsid w:val="002F0BAD"/>
    <w:rsid w:val="002F4E16"/>
    <w:rsid w:val="002F6F43"/>
    <w:rsid w:val="003C3896"/>
    <w:rsid w:val="00457A4E"/>
    <w:rsid w:val="004A30A6"/>
    <w:rsid w:val="00500784"/>
    <w:rsid w:val="00542718"/>
    <w:rsid w:val="005B079E"/>
    <w:rsid w:val="00641C17"/>
    <w:rsid w:val="006773D7"/>
    <w:rsid w:val="006A2EAC"/>
    <w:rsid w:val="006B2ECF"/>
    <w:rsid w:val="006C6319"/>
    <w:rsid w:val="007B3336"/>
    <w:rsid w:val="008B552F"/>
    <w:rsid w:val="009105EB"/>
    <w:rsid w:val="00974413"/>
    <w:rsid w:val="0097519D"/>
    <w:rsid w:val="009E0A4C"/>
    <w:rsid w:val="00A00EDC"/>
    <w:rsid w:val="00B23445"/>
    <w:rsid w:val="00B25265"/>
    <w:rsid w:val="00C375D9"/>
    <w:rsid w:val="00D2799E"/>
    <w:rsid w:val="00D55BEB"/>
    <w:rsid w:val="00DA4C2E"/>
    <w:rsid w:val="00DD4C2C"/>
    <w:rsid w:val="00E843B5"/>
    <w:rsid w:val="00EA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9532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BAD"/>
    <w:pPr>
      <w:spacing w:before="100" w:beforeAutospacing="1" w:after="100" w:afterAutospacing="1"/>
    </w:pPr>
    <w:rPr>
      <w:rFonts w:ascii="Times" w:hAnsi="Times"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BAD"/>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localhost/Users/gladice/Documents/http://upload.wikimedia.org/wikipedia/commons/thumb/8/8e/Coat_of_arms_of_Namibia.svg/345px-Coat_of_arms_of_Namibia.svg.png" TargetMode="Externa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CB06D9-CC60-4D74-9A1B-60B3E9DDD1CC}"/>
</file>

<file path=customXml/itemProps2.xml><?xml version="1.0" encoding="utf-8"?>
<ds:datastoreItem xmlns:ds="http://schemas.openxmlformats.org/officeDocument/2006/customXml" ds:itemID="{B00709FF-6157-4D4D-81D4-27FD03C65996}"/>
</file>

<file path=customXml/itemProps3.xml><?xml version="1.0" encoding="utf-8"?>
<ds:datastoreItem xmlns:ds="http://schemas.openxmlformats.org/officeDocument/2006/customXml" ds:itemID="{94481675-EE67-464A-8348-A8F00D710240}"/>
</file>

<file path=docProps/app.xml><?xml version="1.0" encoding="utf-8"?>
<Properties xmlns="http://schemas.openxmlformats.org/officeDocument/2006/extended-properties" xmlns:vt="http://schemas.openxmlformats.org/officeDocument/2006/docPropsVTypes">
  <Template>Normal.dotm</Template>
  <TotalTime>38</TotalTime>
  <Pages>2</Pages>
  <Words>442</Words>
  <Characters>2521</Characters>
  <Application>Microsoft Macintosh Word</Application>
  <DocSecurity>0</DocSecurity>
  <Lines>21</Lines>
  <Paragraphs>5</Paragraphs>
  <ScaleCrop>false</ScaleCrop>
  <Company>MINISTRY OF JUSTICE</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Gladice Pickering</dc:creator>
  <cp:keywords/>
  <dc:description/>
  <cp:lastModifiedBy>Gladice Pickering</cp:lastModifiedBy>
  <cp:revision>11</cp:revision>
  <dcterms:created xsi:type="dcterms:W3CDTF">2019-10-16T08:58:00Z</dcterms:created>
  <dcterms:modified xsi:type="dcterms:W3CDTF">2019-10-16T09:33:00Z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