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56ADF" w14:textId="77777777" w:rsidR="005648D4" w:rsidRPr="00485E0B" w:rsidRDefault="005648D4" w:rsidP="00485E0B">
      <w:pPr>
        <w:jc w:val="center"/>
        <w:rPr>
          <w:rFonts w:asciiTheme="majorBidi" w:hAnsiTheme="majorBidi" w:cstheme="majorBidi"/>
          <w:b/>
          <w:bCs/>
          <w:sz w:val="24"/>
          <w:szCs w:val="24"/>
        </w:rPr>
      </w:pPr>
      <w:bookmarkStart w:id="0" w:name="_GoBack"/>
      <w:bookmarkEnd w:id="0"/>
      <w:r w:rsidRPr="00485E0B">
        <w:rPr>
          <w:rFonts w:asciiTheme="majorBidi" w:hAnsiTheme="majorBidi" w:cstheme="majorBidi"/>
          <w:b/>
          <w:bCs/>
          <w:sz w:val="24"/>
          <w:szCs w:val="24"/>
        </w:rPr>
        <w:t>INFORMATION NOTE</w:t>
      </w:r>
    </w:p>
    <w:p w14:paraId="5AE56AE0" w14:textId="77777777" w:rsidR="009D7E91" w:rsidRPr="00485E0B" w:rsidRDefault="005648D4" w:rsidP="00485E0B">
      <w:pPr>
        <w:jc w:val="center"/>
        <w:rPr>
          <w:rFonts w:asciiTheme="majorBidi" w:hAnsiTheme="majorBidi" w:cstheme="majorBidi"/>
          <w:b/>
          <w:bCs/>
          <w:sz w:val="24"/>
          <w:szCs w:val="24"/>
        </w:rPr>
      </w:pPr>
      <w:r w:rsidRPr="00485E0B">
        <w:rPr>
          <w:rFonts w:asciiTheme="majorBidi" w:hAnsiTheme="majorBidi" w:cstheme="majorBidi"/>
          <w:b/>
          <w:bCs/>
          <w:sz w:val="24"/>
          <w:szCs w:val="24"/>
        </w:rPr>
        <w:t>on activities of the Armenian Human Rights Defender in the state of emergency</w:t>
      </w:r>
    </w:p>
    <w:p w14:paraId="5AE56AE1" w14:textId="77777777" w:rsidR="009D7E91" w:rsidRPr="00485E0B" w:rsidRDefault="009D7E91" w:rsidP="00485E0B">
      <w:pPr>
        <w:jc w:val="both"/>
        <w:rPr>
          <w:rFonts w:asciiTheme="majorBidi" w:hAnsiTheme="majorBidi" w:cstheme="majorBidi"/>
          <w:sz w:val="24"/>
          <w:szCs w:val="24"/>
        </w:rPr>
      </w:pPr>
    </w:p>
    <w:p w14:paraId="5AE56AE2"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On 16 March 2020, the Armenian Government approved the Decree “On declaring state of emergency in the Republic of Armenia” in response to the outbreak of the novel coronavirus (COVID-</w:t>
      </w:r>
      <w:r w:rsidRPr="00485E0B">
        <w:rPr>
          <w:rFonts w:asciiTheme="majorBidi" w:hAnsiTheme="majorBidi" w:cstheme="majorBidi"/>
          <w:sz w:val="24"/>
          <w:szCs w:val="24"/>
        </w:rPr>
        <w:lastRenderedPageBreak/>
        <w:t xml:space="preserve">19) in the world and in Armenia, as well as the declaration by the Head of WHO on the recognition of the spread of this disease as a pandemic. Further, the RA Government decision on Declaring State of Emergency in the Republic of Armenia was amended several times, and extended the restrictions </w:t>
      </w:r>
      <w:r w:rsidR="005648D4" w:rsidRPr="00485E0B">
        <w:rPr>
          <w:rFonts w:asciiTheme="majorBidi" w:hAnsiTheme="majorBidi" w:cstheme="majorBidi"/>
          <w:sz w:val="24"/>
          <w:szCs w:val="24"/>
        </w:rPr>
        <w:t>impo</w:t>
      </w:r>
      <w:r w:rsidR="00675787" w:rsidRPr="00485E0B">
        <w:rPr>
          <w:rFonts w:asciiTheme="majorBidi" w:hAnsiTheme="majorBidi" w:cstheme="majorBidi"/>
          <w:sz w:val="24"/>
          <w:szCs w:val="24"/>
        </w:rPr>
        <w:t>sed by the decision till July 13</w:t>
      </w:r>
      <w:r w:rsidRPr="00485E0B">
        <w:rPr>
          <w:rFonts w:asciiTheme="majorBidi" w:hAnsiTheme="majorBidi" w:cstheme="majorBidi"/>
          <w:sz w:val="24"/>
          <w:szCs w:val="24"/>
        </w:rPr>
        <w:t>, 2020.</w:t>
      </w:r>
    </w:p>
    <w:p w14:paraId="5AE56AE3"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 xml:space="preserve">Since the first COVID-19 case has been reported in the Republic of Armenia, a working group on the COVID-19 and state of emergency within the HRDO was established. The aim of the WG is to operatively and rapidly response to the emergency calls received through the hot line. Hence, the Office continues to work in a 24/7 regime. </w:t>
      </w:r>
      <w:r w:rsidRPr="00485E0B">
        <w:rPr>
          <w:rFonts w:asciiTheme="majorBidi" w:hAnsiTheme="majorBidi" w:cstheme="majorBidi"/>
          <w:sz w:val="24"/>
          <w:szCs w:val="24"/>
        </w:rPr>
        <w:lastRenderedPageBreak/>
        <w:t>Moreover, a specialized working group on domestic violence prevention issues was established as well.</w:t>
      </w:r>
    </w:p>
    <w:p w14:paraId="5AE56AE4"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It should be emphasized that these days the number of applications, complaints and inquiries addressed to the HRD is significantly higher than in ordinary circumstances. Complaints mostly relate to issues on: (1) entering and leaving Armenia; </w:t>
      </w:r>
      <w:r w:rsidRPr="00485E0B">
        <w:rPr>
          <w:rFonts w:asciiTheme="majorBidi" w:hAnsiTheme="majorBidi" w:cstheme="majorBidi"/>
          <w:sz w:val="24"/>
          <w:szCs w:val="24"/>
        </w:rPr>
        <w:lastRenderedPageBreak/>
        <w:t>(2) salaries; (3) human rights in closed institutions (penitentiary institutions, psychiatric establishments, etc.); (4) lack of possibility to pay for utilities (water, gas and electricity) due to isolation or self-isolation, restoration of interrupted supplies, etc.</w:t>
      </w:r>
    </w:p>
    <w:p w14:paraId="5AE56AE5" w14:textId="77777777" w:rsidR="0086736B" w:rsidRPr="00485E0B" w:rsidRDefault="0086736B" w:rsidP="00485E0B">
      <w:pPr>
        <w:jc w:val="both"/>
        <w:rPr>
          <w:rFonts w:asciiTheme="majorBidi" w:hAnsiTheme="majorBidi" w:cstheme="majorBidi"/>
          <w:b/>
          <w:bCs/>
          <w:sz w:val="24"/>
          <w:szCs w:val="24"/>
          <w:u w:val="single"/>
        </w:rPr>
      </w:pPr>
      <w:r w:rsidRPr="00485E0B">
        <w:rPr>
          <w:rFonts w:asciiTheme="majorBidi" w:hAnsiTheme="majorBidi" w:cstheme="majorBidi"/>
          <w:b/>
          <w:bCs/>
          <w:sz w:val="24"/>
          <w:szCs w:val="24"/>
          <w:u w:val="single"/>
        </w:rPr>
        <w:lastRenderedPageBreak/>
        <w:t>Activities of the Human Right’s Defender’s Office (HRDO) with regard to providing legal opinions</w:t>
      </w:r>
    </w:p>
    <w:p w14:paraId="5AE56AE6"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All the legal initiative and amendments related to the COVID-19 pandemic have been provided for the HRD’s legal opinion takin into account its independent mandate and role in protection of human rights and prevention of torture. </w:t>
      </w:r>
    </w:p>
    <w:p w14:paraId="5AE56AE7"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 xml:space="preserve">One of the main observations of the HRD concerns the legal status of isolation. In particular, it underlined that the isolation of a certain person based on the instruction of the state authority (not a general call of the Government addressed to the population based on the well-known principle “stay home”) must be as deprivation of liberty, rather than restriction of freedom of movement. </w:t>
      </w:r>
    </w:p>
    <w:p w14:paraId="5AE56AE8" w14:textId="77777777" w:rsidR="009D7E91" w:rsidRPr="00485E0B" w:rsidRDefault="009D7E91"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As for the draft legal acts with regard to COVID-19 and State of Emergency, the HRD raised a number of issues related to the interconnection of freedom of movement and deprivation of liberty. In particular, it was highlighted, that:</w:t>
      </w:r>
    </w:p>
    <w:p w14:paraId="5AE56AE9" w14:textId="77777777" w:rsidR="009D7E91" w:rsidRPr="00485E0B" w:rsidRDefault="009D7E91" w:rsidP="00485E0B">
      <w:pPr>
        <w:pStyle w:val="ListParagraph"/>
        <w:numPr>
          <w:ilvl w:val="0"/>
          <w:numId w:val="3"/>
        </w:numPr>
        <w:jc w:val="both"/>
        <w:rPr>
          <w:rFonts w:asciiTheme="majorBidi" w:hAnsiTheme="majorBidi" w:cstheme="majorBidi"/>
          <w:sz w:val="24"/>
          <w:szCs w:val="24"/>
        </w:rPr>
      </w:pPr>
      <w:r w:rsidRPr="00485E0B">
        <w:rPr>
          <w:rFonts w:asciiTheme="majorBidi" w:hAnsiTheme="majorBidi" w:cstheme="majorBidi"/>
          <w:sz w:val="24"/>
          <w:szCs w:val="24"/>
        </w:rPr>
        <w:t>legal grounds for any restriction related to the deprivation of liberty should be regulated by the law adopted by the Parliament;</w:t>
      </w:r>
    </w:p>
    <w:p w14:paraId="5AE56AEA" w14:textId="77777777" w:rsidR="009D7E91" w:rsidRPr="00485E0B" w:rsidRDefault="009D7E91" w:rsidP="00485E0B">
      <w:pPr>
        <w:pStyle w:val="ListParagraph"/>
        <w:numPr>
          <w:ilvl w:val="0"/>
          <w:numId w:val="3"/>
        </w:numPr>
        <w:jc w:val="both"/>
        <w:rPr>
          <w:rFonts w:asciiTheme="majorBidi" w:hAnsiTheme="majorBidi" w:cstheme="majorBidi"/>
          <w:sz w:val="24"/>
          <w:szCs w:val="24"/>
        </w:rPr>
      </w:pPr>
      <w:r w:rsidRPr="00485E0B">
        <w:rPr>
          <w:rFonts w:asciiTheme="majorBidi" w:hAnsiTheme="majorBidi" w:cstheme="majorBidi"/>
          <w:sz w:val="24"/>
          <w:szCs w:val="24"/>
        </w:rPr>
        <w:lastRenderedPageBreak/>
        <w:t>grounds for the deprivation of liberty should be also precisely regulated, according to the RA Constitution and well-known international documents ratified by Armenia (e.g. ECHR);</w:t>
      </w:r>
    </w:p>
    <w:p w14:paraId="5AE56AEB" w14:textId="77777777" w:rsidR="009D7E91" w:rsidRPr="00485E0B" w:rsidRDefault="009D7E91" w:rsidP="00485E0B">
      <w:pPr>
        <w:pStyle w:val="ListParagraph"/>
        <w:numPr>
          <w:ilvl w:val="0"/>
          <w:numId w:val="3"/>
        </w:numPr>
        <w:jc w:val="both"/>
        <w:rPr>
          <w:rFonts w:asciiTheme="majorBidi" w:hAnsiTheme="majorBidi" w:cstheme="majorBidi"/>
          <w:sz w:val="24"/>
          <w:szCs w:val="24"/>
        </w:rPr>
      </w:pPr>
      <w:r w:rsidRPr="00485E0B">
        <w:rPr>
          <w:rFonts w:asciiTheme="majorBidi" w:hAnsiTheme="majorBidi" w:cstheme="majorBidi"/>
          <w:sz w:val="24"/>
          <w:szCs w:val="24"/>
        </w:rPr>
        <w:t>procedure for the deprivation of liberty should be prescribed by law, as directly required by the Constitution;</w:t>
      </w:r>
    </w:p>
    <w:p w14:paraId="5AE56AEC" w14:textId="77777777" w:rsidR="009D7E91" w:rsidRPr="00485E0B" w:rsidRDefault="009D7E91" w:rsidP="00485E0B">
      <w:pPr>
        <w:pStyle w:val="ListParagraph"/>
        <w:numPr>
          <w:ilvl w:val="0"/>
          <w:numId w:val="3"/>
        </w:numPr>
        <w:jc w:val="both"/>
        <w:rPr>
          <w:rFonts w:asciiTheme="majorBidi" w:hAnsiTheme="majorBidi" w:cstheme="majorBidi"/>
          <w:sz w:val="24"/>
          <w:szCs w:val="24"/>
        </w:rPr>
      </w:pPr>
      <w:r w:rsidRPr="00485E0B">
        <w:rPr>
          <w:rFonts w:asciiTheme="majorBidi" w:hAnsiTheme="majorBidi" w:cstheme="majorBidi"/>
          <w:sz w:val="24"/>
          <w:szCs w:val="24"/>
        </w:rPr>
        <w:lastRenderedPageBreak/>
        <w:t>application of minimum rights and guarantees under Article 27 of the RA Constitution and Article 5 of the ECHR should be prescribed by law ensured in practice.</w:t>
      </w:r>
    </w:p>
    <w:p w14:paraId="5AE56AED"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In this regard, the Human Rights Defender made a reference to the Advice of the SPT to States Parties and NPMs relating to the Coronavirus Pandemic, by stating that since quarantine facilities </w:t>
      </w:r>
      <w:r w:rsidRPr="00485E0B">
        <w:rPr>
          <w:rFonts w:asciiTheme="majorBidi" w:hAnsiTheme="majorBidi" w:cstheme="majorBidi"/>
          <w:sz w:val="24"/>
          <w:szCs w:val="24"/>
        </w:rPr>
        <w:lastRenderedPageBreak/>
        <w:t xml:space="preserve">are de facto a form of deprivation of liberty, all those so held should be able to benefit from the fundamental safeguards against ill-treatment. Furthermore, the Defender highlighted the need of having right oriented restrictions with precise legal proceedings and guarantees, which was not ensured in the initial stages. Following that observation, the Government changed the mentioned approach. </w:t>
      </w:r>
    </w:p>
    <w:p w14:paraId="5AE56AEE"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 xml:space="preserve">In order to combat the virus and minimize the risk of infection, amendments and supplements were made in the RA Law on Legal Regime of State of Emergency, giving the possibility to supervise the movement of people isolated in their homes and identify their location by using the personal data generated through electronic means of communication. </w:t>
      </w:r>
    </w:p>
    <w:p w14:paraId="5AE56AEF"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The Defender provided legal opinion on the regulations imposing the above-mentioned restrictions considering the necessity to ensure right to protection of personal data, inviolability of private and family life, as well as freedom and secrecy of communications based on the principles of “legal certainty”, “proportionality”, “necessity in democratic society” and “prescribed by law”.</w:t>
      </w:r>
    </w:p>
    <w:p w14:paraId="5AE56AF0"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 xml:space="preserve">Another comment related to disproportional restriction on the freedom of media allowing publishing only information provided by state authorities. This clause was further removed inter alia based on the observations of the Defender. However, the Minister of Justice underlined that this restriction may be recovered if there will be any abuses by media representatives. Therefore, the </w:t>
      </w:r>
      <w:r w:rsidRPr="00485E0B">
        <w:rPr>
          <w:rFonts w:asciiTheme="majorBidi" w:hAnsiTheme="majorBidi" w:cstheme="majorBidi"/>
          <w:sz w:val="24"/>
          <w:szCs w:val="24"/>
        </w:rPr>
        <w:lastRenderedPageBreak/>
        <w:t>Office of the Human Rights Defender is conducting monitoring of media in the respective perspective, in order to present grounded arguments on suggestions of restrictions if there will be any.</w:t>
      </w:r>
    </w:p>
    <w:p w14:paraId="5AE56AF1" w14:textId="77777777" w:rsidR="0086736B" w:rsidRPr="00485E0B" w:rsidRDefault="0086736B" w:rsidP="00485E0B">
      <w:pPr>
        <w:jc w:val="both"/>
        <w:rPr>
          <w:rFonts w:asciiTheme="majorBidi" w:hAnsiTheme="majorBidi" w:cstheme="majorBidi"/>
          <w:b/>
          <w:bCs/>
          <w:sz w:val="24"/>
          <w:szCs w:val="24"/>
          <w:u w:val="single"/>
        </w:rPr>
      </w:pPr>
      <w:r w:rsidRPr="00485E0B">
        <w:rPr>
          <w:rFonts w:asciiTheme="majorBidi" w:hAnsiTheme="majorBidi" w:cstheme="majorBidi"/>
          <w:b/>
          <w:bCs/>
          <w:sz w:val="24"/>
          <w:szCs w:val="24"/>
          <w:u w:val="single"/>
        </w:rPr>
        <w:t>Activities in the field of preventing domestic violence</w:t>
      </w:r>
    </w:p>
    <w:p w14:paraId="5AE56AF2"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The restrictions imposed during the State of Emergency aimed at preventing the spread of </w:t>
      </w:r>
      <w:r w:rsidRPr="00485E0B">
        <w:rPr>
          <w:rFonts w:asciiTheme="majorBidi" w:hAnsiTheme="majorBidi" w:cstheme="majorBidi"/>
          <w:sz w:val="24"/>
          <w:szCs w:val="24"/>
        </w:rPr>
        <w:lastRenderedPageBreak/>
        <w:t>novel coronavirus (COVID-19) increase the risk of violence in the family, especially against, women, children and the elderly.</w:t>
      </w:r>
    </w:p>
    <w:p w14:paraId="5AE56AF3"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Following the declaration of the State of Emergency in the country, the Human Rights Defender’s Office has received 13 complaints on violence against women, children and a case against an elderly man. As a comparison, last year during </w:t>
      </w:r>
      <w:r w:rsidRPr="00485E0B">
        <w:rPr>
          <w:rFonts w:asciiTheme="majorBidi" w:hAnsiTheme="majorBidi" w:cstheme="majorBidi"/>
          <w:sz w:val="24"/>
          <w:szCs w:val="24"/>
        </w:rPr>
        <w:lastRenderedPageBreak/>
        <w:t>the same period 5 such complaints were received. Besides, we should consider that these cases are latent or hidden.</w:t>
      </w:r>
    </w:p>
    <w:p w14:paraId="5AE56AF4"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Since the first days of the State of Emergency, domestic violence issues have been subject of separate discussion at the Defender’s Office. However, during these days, the prevention of domes</w:t>
      </w:r>
      <w:r w:rsidRPr="00485E0B">
        <w:rPr>
          <w:rFonts w:asciiTheme="majorBidi" w:hAnsiTheme="majorBidi" w:cstheme="majorBidi"/>
          <w:sz w:val="24"/>
          <w:szCs w:val="24"/>
        </w:rPr>
        <w:lastRenderedPageBreak/>
        <w:t>tic violence requires more professional approaches, which will ensure proper and coordinated preventive activities, as well as a full identification of the problems and solutions. Therefore, the Human Rights Defender established a specialized working group on domestic violence prevention issues.</w:t>
      </w:r>
    </w:p>
    <w:p w14:paraId="5AE56AF5"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 xml:space="preserve">The working group is tasked to pay special attention to violence against women, children and the elderly. Moreover, the working group will discuss both written and oral complaints, as well as will conduct monitor (media publications, work of state bodies, etc). The HRDO is in contact with law enforcement bodies and relevant NGOs: more effective information exchange will be carried out and joint discussions will be held on the </w:t>
      </w:r>
      <w:r w:rsidRPr="00485E0B">
        <w:rPr>
          <w:rFonts w:asciiTheme="majorBidi" w:hAnsiTheme="majorBidi" w:cstheme="majorBidi"/>
          <w:sz w:val="24"/>
          <w:szCs w:val="24"/>
        </w:rPr>
        <w:lastRenderedPageBreak/>
        <w:t>issues with regard to domestic violence prevention.</w:t>
      </w:r>
    </w:p>
    <w:p w14:paraId="5AE56AF6" w14:textId="77777777" w:rsidR="0086736B" w:rsidRPr="00485E0B" w:rsidRDefault="0086736B" w:rsidP="00485E0B">
      <w:pPr>
        <w:jc w:val="both"/>
        <w:rPr>
          <w:rFonts w:asciiTheme="majorBidi" w:hAnsiTheme="majorBidi" w:cstheme="majorBidi"/>
          <w:b/>
          <w:bCs/>
          <w:sz w:val="24"/>
          <w:szCs w:val="24"/>
          <w:u w:val="single"/>
        </w:rPr>
      </w:pPr>
      <w:r w:rsidRPr="00485E0B">
        <w:rPr>
          <w:rFonts w:asciiTheme="majorBidi" w:hAnsiTheme="majorBidi" w:cstheme="majorBidi"/>
          <w:b/>
          <w:bCs/>
          <w:sz w:val="24"/>
          <w:szCs w:val="24"/>
          <w:u w:val="single"/>
        </w:rPr>
        <w:t>A guide on Frequently asked questions (FAQ) on COVID-19 and human rights in the State of Emergency</w:t>
      </w:r>
    </w:p>
    <w:p w14:paraId="5AE56AF7" w14:textId="77777777" w:rsidR="0086736B"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The Human Rights Defender has published a guide on frequently asked questions on the new Coronavirus and human rights in the state of </w:t>
      </w:r>
      <w:r w:rsidRPr="00485E0B">
        <w:rPr>
          <w:rFonts w:asciiTheme="majorBidi" w:hAnsiTheme="majorBidi" w:cstheme="majorBidi"/>
          <w:sz w:val="24"/>
          <w:szCs w:val="24"/>
        </w:rPr>
        <w:lastRenderedPageBreak/>
        <w:t xml:space="preserve">emergency. The guide provides information on various issues starting from means of protection from the new Coronavirus to the legal regime of the state of emergency and restrictions in the penitentiary institutions. It also presents essential information on the main restrictions in force and the rights that cannot be restricted. The guide shows how to apply to the Human Rights Defenders in </w:t>
      </w:r>
      <w:r w:rsidRPr="00485E0B">
        <w:rPr>
          <w:rFonts w:asciiTheme="majorBidi" w:hAnsiTheme="majorBidi" w:cstheme="majorBidi"/>
          <w:sz w:val="24"/>
          <w:szCs w:val="24"/>
        </w:rPr>
        <w:lastRenderedPageBreak/>
        <w:t>the state of emergency and gives useful links and hotlines of other competent state bodies.</w:t>
      </w:r>
    </w:p>
    <w:p w14:paraId="5AE56AF8" w14:textId="77777777" w:rsidR="009D7E91" w:rsidRPr="00485E0B" w:rsidRDefault="0086736B"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The mentioned guide has been translated into Yazidi, Kurdish, Assyrian, Russian, English and Indian to be accessible for the national minorities in Armenia. It has also been printed in Braille and </w:t>
      </w:r>
      <w:r w:rsidRPr="00485E0B">
        <w:rPr>
          <w:rFonts w:asciiTheme="majorBidi" w:hAnsiTheme="majorBidi" w:cstheme="majorBidi"/>
          <w:sz w:val="24"/>
          <w:szCs w:val="24"/>
        </w:rPr>
        <w:lastRenderedPageBreak/>
        <w:t>has already been sent to persons with visual impairments. The audio version is also available.</w:t>
      </w:r>
      <w:r w:rsidR="009D7E91" w:rsidRPr="00485E0B">
        <w:rPr>
          <w:rFonts w:asciiTheme="majorBidi" w:hAnsiTheme="majorBidi" w:cstheme="majorBidi"/>
          <w:sz w:val="24"/>
          <w:szCs w:val="24"/>
          <w:vertAlign w:val="superscript"/>
        </w:rPr>
        <w:footnoteReference w:id="1"/>
      </w:r>
    </w:p>
    <w:p w14:paraId="5AE56AF9" w14:textId="77777777" w:rsidR="0034673F" w:rsidRPr="00485E0B" w:rsidRDefault="00D10C83" w:rsidP="00485E0B">
      <w:pPr>
        <w:jc w:val="both"/>
        <w:rPr>
          <w:rFonts w:asciiTheme="majorBidi" w:hAnsiTheme="majorBidi" w:cstheme="majorBidi"/>
          <w:b/>
          <w:bCs/>
          <w:sz w:val="24"/>
          <w:szCs w:val="24"/>
          <w:u w:val="single"/>
        </w:rPr>
      </w:pPr>
      <w:r>
        <w:rPr>
          <w:rFonts w:asciiTheme="majorBidi" w:hAnsiTheme="majorBidi" w:cstheme="majorBidi"/>
          <w:b/>
          <w:bCs/>
          <w:sz w:val="24"/>
          <w:szCs w:val="24"/>
          <w:u w:val="single"/>
        </w:rPr>
        <w:t>Activities of the HRD with regard to</w:t>
      </w:r>
      <w:r w:rsidR="0034673F" w:rsidRPr="00485E0B">
        <w:rPr>
          <w:rFonts w:asciiTheme="majorBidi" w:hAnsiTheme="majorBidi" w:cstheme="majorBidi"/>
          <w:b/>
          <w:bCs/>
          <w:sz w:val="24"/>
          <w:szCs w:val="24"/>
          <w:u w:val="single"/>
        </w:rPr>
        <w:t xml:space="preserve"> places of deprivation of liberty</w:t>
      </w:r>
    </w:p>
    <w:p w14:paraId="5AE56AFA" w14:textId="77777777" w:rsidR="0034673F" w:rsidRPr="00485E0B"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 xml:space="preserve">Statement of principles relating to the treatment of persons deprived of their liberty in the context of the coronavirus disease (COVID-19) pandemic of European Committee for the Prevention of Torture and Inhuman or Degrading Treatment or Punishment as well as Advice of the Subcommittee on Prevention of Torture to States Parties and National Preventive Mechanisms relating to the Coronavirus Pandemic have been translated to </w:t>
      </w:r>
      <w:r w:rsidRPr="00485E0B">
        <w:rPr>
          <w:rFonts w:asciiTheme="majorBidi" w:hAnsiTheme="majorBidi" w:cstheme="majorBidi"/>
          <w:sz w:val="24"/>
          <w:szCs w:val="24"/>
        </w:rPr>
        <w:lastRenderedPageBreak/>
        <w:t>Armenian by the HRDO and presented to all competent bodies.</w:t>
      </w:r>
    </w:p>
    <w:p w14:paraId="5AE56AFB" w14:textId="77777777" w:rsidR="0034673F"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Human Rights Defender addressed letters on the prevention of COVID-19 in places of deprivation of liberty to the Prosecutor General’s Office, Ministry of Justice, Ministry of Health, Supreme Judicial Council and Police. The letters reflect the statements and criteria of the CPT and SPT and </w:t>
      </w:r>
      <w:r w:rsidRPr="00485E0B">
        <w:rPr>
          <w:rFonts w:asciiTheme="majorBidi" w:hAnsiTheme="majorBidi" w:cstheme="majorBidi"/>
          <w:sz w:val="24"/>
          <w:szCs w:val="24"/>
        </w:rPr>
        <w:lastRenderedPageBreak/>
        <w:t>emphasize the need of special attention for the vulnerable or at-risk groups of detained persons such as older persons, persons with pre-existing medical conditions, pregnant women and juveniles by highlighting the need to resort alternative measures to the deprivation of liberty.</w:t>
      </w:r>
    </w:p>
    <w:p w14:paraId="5AE56AFC" w14:textId="77777777" w:rsidR="0034673F"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In response to the Human Rights Defender’s letter, the Prosecutor General has informed that at </w:t>
      </w:r>
      <w:r w:rsidRPr="00485E0B">
        <w:rPr>
          <w:rFonts w:asciiTheme="majorBidi" w:hAnsiTheme="majorBidi" w:cstheme="majorBidi"/>
          <w:sz w:val="24"/>
          <w:szCs w:val="24"/>
        </w:rPr>
        <w:lastRenderedPageBreak/>
        <w:t xml:space="preserve">his instruction the prosecutors have been examining the cases of at-risk persons deprived of liberty persons (elder people, persons with pre-existing medical conditions, persons who receive stationary treatment, etc.) to consider the possibilities of implementing alternative measures of restraint to deprivation of liberty. According to the Prosecutor General until April 16, 2020 by the initiative of prosecutors 21 persons were released from the </w:t>
      </w:r>
      <w:r w:rsidRPr="00485E0B">
        <w:rPr>
          <w:rFonts w:asciiTheme="majorBidi" w:hAnsiTheme="majorBidi" w:cstheme="majorBidi"/>
          <w:sz w:val="24"/>
          <w:szCs w:val="24"/>
        </w:rPr>
        <w:lastRenderedPageBreak/>
        <w:t>detention on remand and 2 persons from imprisonment.</w:t>
      </w:r>
    </w:p>
    <w:p w14:paraId="5AE56AFD" w14:textId="77777777" w:rsidR="00993781" w:rsidRPr="00485E0B" w:rsidRDefault="00993781" w:rsidP="00485E0B">
      <w:pPr>
        <w:jc w:val="both"/>
        <w:rPr>
          <w:rFonts w:asciiTheme="majorBidi" w:hAnsiTheme="majorBidi" w:cstheme="majorBidi"/>
          <w:sz w:val="24"/>
          <w:szCs w:val="24"/>
        </w:rPr>
      </w:pPr>
      <w:r w:rsidRPr="00993781">
        <w:rPr>
          <w:rFonts w:asciiTheme="majorBidi" w:hAnsiTheme="majorBidi" w:cstheme="majorBidi"/>
          <w:sz w:val="24"/>
          <w:szCs w:val="24"/>
        </w:rPr>
        <w:t>According to the letter of the Ministry of Justice of the Republic of Armenia dated May 15, 2020, as of May 11, 2020, 88 people over the age of 60 were detained in penitentiaries.</w:t>
      </w:r>
    </w:p>
    <w:p w14:paraId="5AE56AFE" w14:textId="77777777" w:rsidR="0034673F" w:rsidRPr="00485E0B"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t xml:space="preserve">The Human Rights Defender addressed questionnaires on the medical and sanitary measures taken </w:t>
      </w:r>
      <w:r w:rsidRPr="00485E0B">
        <w:rPr>
          <w:rFonts w:asciiTheme="majorBidi" w:hAnsiTheme="majorBidi" w:cstheme="majorBidi"/>
          <w:sz w:val="24"/>
          <w:szCs w:val="24"/>
        </w:rPr>
        <w:lastRenderedPageBreak/>
        <w:t xml:space="preserve">in special institutions in the context of prevention of the COVID-19 spread, the methods of detection of persons who may be contagious, frequency of measuring the body temperature of persons deprived of liberty and staff representatives, availability of personal protective equipment, disinfectants, etc. </w:t>
      </w:r>
    </w:p>
    <w:p w14:paraId="5AE56AFF" w14:textId="77777777" w:rsidR="00BE1983" w:rsidRPr="00485E0B" w:rsidRDefault="0034673F"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One of the psychiatric establishments raised an issue of financial shortage to hire additional medical personnel for working in the state of emergency. The issue is under the Human Rights Defender’s attention as well.</w:t>
      </w:r>
      <w:r w:rsidR="00BE1983" w:rsidRPr="00485E0B">
        <w:rPr>
          <w:rFonts w:asciiTheme="majorBidi" w:hAnsiTheme="majorBidi" w:cstheme="majorBidi"/>
          <w:sz w:val="24"/>
          <w:szCs w:val="24"/>
        </w:rPr>
        <w:t xml:space="preserve"> </w:t>
      </w:r>
    </w:p>
    <w:p w14:paraId="5AE56B00" w14:textId="77777777" w:rsidR="00BE1983" w:rsidRPr="00485E0B" w:rsidRDefault="00BE1983" w:rsidP="00485E0B">
      <w:pPr>
        <w:jc w:val="both"/>
        <w:rPr>
          <w:rFonts w:asciiTheme="majorBidi" w:hAnsiTheme="majorBidi" w:cstheme="majorBidi"/>
          <w:b/>
          <w:bCs/>
          <w:sz w:val="24"/>
          <w:szCs w:val="24"/>
          <w:u w:val="single"/>
        </w:rPr>
      </w:pPr>
      <w:r w:rsidRPr="00485E0B">
        <w:rPr>
          <w:rFonts w:asciiTheme="majorBidi" w:hAnsiTheme="majorBidi" w:cstheme="majorBidi"/>
          <w:b/>
          <w:bCs/>
          <w:sz w:val="24"/>
          <w:szCs w:val="24"/>
          <w:u w:val="single"/>
        </w:rPr>
        <w:t>Cooperation with national and international actors</w:t>
      </w:r>
    </w:p>
    <w:p w14:paraId="5AE56B01"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 xml:space="preserve">The Human Rights Defender maintains an effective cooperation with the Commandant of the Republic of Armenia, and so do the representatives of their Offices. In the framework of rapid responses and general monitoring, the HRDO cooperates with all competent bodies. As for places of deprivation of liberty a constant contact is maintained with the Ministry of Justice, Penitentiary Service, medical personnel working in the </w:t>
      </w:r>
      <w:r w:rsidRPr="00485E0B">
        <w:rPr>
          <w:rFonts w:asciiTheme="majorBidi" w:hAnsiTheme="majorBidi" w:cstheme="majorBidi"/>
          <w:sz w:val="24"/>
          <w:szCs w:val="24"/>
        </w:rPr>
        <w:lastRenderedPageBreak/>
        <w:t>penitentiary institutions, administrations of psychiatric establishments and with the Police.</w:t>
      </w:r>
    </w:p>
    <w:p w14:paraId="5AE56B02"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t>The HRDO receives calls from penitentiary institutions and from psychiatric organizations related to the situation caused by Coronavirus pandemic. So far, the Office has received calls from the persons deprived of liberty, their relatives, advo</w:t>
      </w:r>
      <w:r w:rsidRPr="00485E0B">
        <w:rPr>
          <w:rFonts w:asciiTheme="majorBidi" w:hAnsiTheme="majorBidi" w:cstheme="majorBidi"/>
          <w:sz w:val="24"/>
          <w:szCs w:val="24"/>
        </w:rPr>
        <w:lastRenderedPageBreak/>
        <w:t xml:space="preserve">cates, as well as from the staff of penitentiary institutions and psychiatric organizations. Raised issues concern the restrictions imposed on contacts with outside word (granting visits and short leaves), provision of food and other supplies to the persons deprived of their liberty from their relatives, review of cases of pre-trial detention, etc. </w:t>
      </w:r>
    </w:p>
    <w:p w14:paraId="5AE56B03"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 xml:space="preserve">Some calls from representatives of medical units in penitentiary institutions informed about lack of personal protective equipment and means of personal hygiene in those institutions. In this relation the HRDO collaborated with the contact persons of the Ministry of Justice and representatives of international organizations to address the shortcomings. </w:t>
      </w:r>
    </w:p>
    <w:p w14:paraId="5AE56B04"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The HRDO maintains an effective cooperation with the international organizations. The representatives of the Human Rights Defender as NPM cooperate with the Delegations of the European Union, UN Agencies and ICRC in Armenia concerning the COVID-19 spread and its prevention in places of deprivation of liberty by keeping every day contact and by sharing relevant information.</w:t>
      </w:r>
    </w:p>
    <w:p w14:paraId="5AE56B05" w14:textId="77777777" w:rsidR="00BE1983" w:rsidRPr="00485E0B" w:rsidRDefault="00BE1983" w:rsidP="00485E0B">
      <w:pPr>
        <w:jc w:val="both"/>
        <w:rPr>
          <w:rFonts w:asciiTheme="majorBidi" w:hAnsiTheme="majorBidi" w:cstheme="majorBidi"/>
          <w:sz w:val="24"/>
          <w:szCs w:val="24"/>
        </w:rPr>
      </w:pPr>
      <w:r w:rsidRPr="00485E0B">
        <w:rPr>
          <w:rFonts w:asciiTheme="majorBidi" w:hAnsiTheme="majorBidi" w:cstheme="majorBidi"/>
          <w:sz w:val="24"/>
          <w:szCs w:val="24"/>
        </w:rPr>
        <w:lastRenderedPageBreak/>
        <w:t>In the frames of cooperation with the UN Agencies in Armenia (UNDP, UNFPA, etc.) Personal Protective Equipment (PPE) and disinfectants were provided to the HRDO. Also, a special training has been conducted for the relevant staff of the Human Rights Defender on proper exploitation of PPE.</w:t>
      </w:r>
    </w:p>
    <w:sectPr w:rsidR="00BE1983" w:rsidRPr="00485E0B" w:rsidSect="008C4655">
      <w:pgSz w:w="12240" w:h="15840"/>
      <w:pgMar w:top="851"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56B08" w14:textId="77777777" w:rsidR="005F040D" w:rsidRDefault="005F040D" w:rsidP="009D7E91">
      <w:pPr>
        <w:spacing w:after="0" w:line="240" w:lineRule="auto"/>
      </w:pPr>
      <w:r>
        <w:separator/>
      </w:r>
    </w:p>
  </w:endnote>
  <w:endnote w:type="continuationSeparator" w:id="0">
    <w:p w14:paraId="5AE56B09" w14:textId="77777777" w:rsidR="005F040D" w:rsidRDefault="005F040D" w:rsidP="009D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56B06" w14:textId="77777777" w:rsidR="005F040D" w:rsidRDefault="005F040D" w:rsidP="009D7E91">
      <w:pPr>
        <w:spacing w:after="0" w:line="240" w:lineRule="auto"/>
      </w:pPr>
      <w:r>
        <w:separator/>
      </w:r>
    </w:p>
  </w:footnote>
  <w:footnote w:type="continuationSeparator" w:id="0">
    <w:p w14:paraId="5AE56B07" w14:textId="77777777" w:rsidR="005F040D" w:rsidRDefault="005F040D" w:rsidP="009D7E91">
      <w:pPr>
        <w:spacing w:after="0" w:line="240" w:lineRule="auto"/>
      </w:pPr>
      <w:r>
        <w:continuationSeparator/>
      </w:r>
    </w:p>
  </w:footnote>
  <w:footnote w:id="1">
    <w:p w14:paraId="5AE56B0A" w14:textId="77777777" w:rsidR="009D7E91" w:rsidRPr="009E7FE0" w:rsidRDefault="009D7E91" w:rsidP="009D7E91">
      <w:pPr>
        <w:pStyle w:val="FootnoteText"/>
        <w:rPr>
          <w:lang w:val="hy-AM"/>
        </w:rPr>
      </w:pPr>
      <w:r>
        <w:rPr>
          <w:rStyle w:val="FootnoteReference"/>
        </w:rPr>
        <w:footnoteRef/>
      </w:r>
      <w:r>
        <w:rPr>
          <w:lang w:val="hy-AM"/>
        </w:rPr>
        <w:t xml:space="preserve"> </w:t>
      </w:r>
      <w:r>
        <w:rPr>
          <w:lang w:val="en-US"/>
        </w:rPr>
        <w:t xml:space="preserve">See Frequently asked questions about the new coronavirus and human rights in the state of emergency </w:t>
      </w:r>
      <w:hyperlink r:id="rId1" w:history="1">
        <w:r w:rsidRPr="0034599B">
          <w:rPr>
            <w:rStyle w:val="Hyperlink"/>
          </w:rPr>
          <w:t>https://www.ombuds.am/images/files/432082d18098a7a17bd88873277492da.pdf</w:t>
        </w:r>
      </w:hyperlink>
      <w:r>
        <w:rPr>
          <w:lang w:val="hy-AM"/>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5ED"/>
    <w:multiLevelType w:val="hybridMultilevel"/>
    <w:tmpl w:val="9C76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F7AE9"/>
    <w:multiLevelType w:val="hybridMultilevel"/>
    <w:tmpl w:val="01EC0A28"/>
    <w:lvl w:ilvl="0" w:tplc="04090001">
      <w:start w:val="1"/>
      <w:numFmt w:val="bullet"/>
      <w:lvlText w:val=""/>
      <w:lvlJc w:val="left"/>
      <w:pPr>
        <w:ind w:left="720" w:hanging="360"/>
      </w:pPr>
      <w:rPr>
        <w:rFonts w:ascii="Symbol" w:hAnsi="Symbo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8508B"/>
    <w:multiLevelType w:val="hybridMultilevel"/>
    <w:tmpl w:val="8EAE2928"/>
    <w:lvl w:ilvl="0" w:tplc="C49C0AD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E6"/>
    <w:rsid w:val="00343AE6"/>
    <w:rsid w:val="0034673F"/>
    <w:rsid w:val="0037223D"/>
    <w:rsid w:val="00485E0B"/>
    <w:rsid w:val="005648D4"/>
    <w:rsid w:val="005F040D"/>
    <w:rsid w:val="00675787"/>
    <w:rsid w:val="00721049"/>
    <w:rsid w:val="0078575A"/>
    <w:rsid w:val="0086736B"/>
    <w:rsid w:val="008C4655"/>
    <w:rsid w:val="00993781"/>
    <w:rsid w:val="009B492E"/>
    <w:rsid w:val="009D7E91"/>
    <w:rsid w:val="00BE1983"/>
    <w:rsid w:val="00C12402"/>
    <w:rsid w:val="00D10C83"/>
    <w:rsid w:val="00E7649A"/>
    <w:rsid w:val="00F04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6ADF"/>
  <w15:chartTrackingRefBased/>
  <w15:docId w15:val="{B8969D28-204F-4722-8EF1-548A79FD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E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List Paragraph1,Bullet1,Bullets,References,IBL List Paragraph,List Paragraph nowy,Resume Title"/>
    <w:basedOn w:val="Normal"/>
    <w:link w:val="ListParagraphChar"/>
    <w:uiPriority w:val="34"/>
    <w:qFormat/>
    <w:rsid w:val="009D7E91"/>
    <w:pPr>
      <w:ind w:left="720"/>
      <w:contextualSpacing/>
    </w:pPr>
  </w:style>
  <w:style w:type="character" w:styleId="Hyperlink">
    <w:name w:val="Hyperlink"/>
    <w:uiPriority w:val="99"/>
    <w:rsid w:val="009D7E91"/>
    <w:rPr>
      <w:color w:val="0000FF"/>
      <w:u w:val="single"/>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n"/>
    <w:basedOn w:val="Normal"/>
    <w:link w:val="FootnoteTextChar"/>
    <w:uiPriority w:val="99"/>
    <w:qFormat/>
    <w:rsid w:val="009D7E9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n Char"/>
    <w:basedOn w:val="DefaultParagraphFont"/>
    <w:link w:val="FootnoteText"/>
    <w:uiPriority w:val="99"/>
    <w:rsid w:val="009D7E91"/>
    <w:rPr>
      <w:rFonts w:ascii="Times New Roman" w:eastAsia="Times New Roman" w:hAnsi="Times New Roman" w:cs="Times New Roman"/>
      <w:sz w:val="20"/>
      <w:szCs w:val="20"/>
      <w:lang w:val="en-GB"/>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
    <w:link w:val="4GCharCharChar"/>
    <w:uiPriority w:val="99"/>
    <w:qFormat/>
    <w:rsid w:val="009D7E9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9D7E91"/>
    <w:pPr>
      <w:spacing w:after="160" w:line="240" w:lineRule="exact"/>
      <w:jc w:val="both"/>
    </w:pPr>
    <w:rPr>
      <w:vertAlign w:val="superscript"/>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List Paragraph1 Char,Bullet1 Char,Bullets Char"/>
    <w:link w:val="ListParagraph"/>
    <w:uiPriority w:val="34"/>
    <w:locked/>
    <w:rsid w:val="009D7E91"/>
  </w:style>
  <w:style w:type="paragraph" w:styleId="BalloonText">
    <w:name w:val="Balloon Text"/>
    <w:basedOn w:val="Normal"/>
    <w:link w:val="BalloonTextChar"/>
    <w:uiPriority w:val="99"/>
    <w:semiHidden/>
    <w:unhideWhenUsed/>
    <w:rsid w:val="00785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mbuds.am/images/files/432082d18098a7a17bd88873277492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58BCA0-56F0-462E-B82F-884B17873D8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4974208-342C-42B0-8003-2ECEB383376E}"/>
</file>

<file path=customXml/itemProps3.xml><?xml version="1.0" encoding="utf-8"?>
<ds:datastoreItem xmlns:ds="http://schemas.openxmlformats.org/officeDocument/2006/customXml" ds:itemID="{DA4E3E70-5413-4BCA-BA0C-0D4CE3FC6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 Santrosyan</dc:creator>
  <cp:keywords/>
  <dc:description/>
  <cp:lastModifiedBy>THEISSEN Gunnar</cp:lastModifiedBy>
  <cp:revision>2</cp:revision>
  <cp:lastPrinted>2020-06-15T10:02:00Z</cp:lastPrinted>
  <dcterms:created xsi:type="dcterms:W3CDTF">2020-06-30T11:53:00Z</dcterms:created>
  <dcterms:modified xsi:type="dcterms:W3CDTF">2020-06-30T11:53:00Z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