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84317C" w:rsidRPr="0084317C" w:rsidRDefault="0084317C" w:rsidP="005C4F31">
      <w:pPr>
        <w:ind w:left="851" w:hanging="851"/>
        <w:rPr>
          <w:b/>
          <w:sz w:val="24"/>
          <w:szCs w:val="24"/>
        </w:rPr>
      </w:pPr>
    </w:p>
    <w:p w:rsidR="00F54784" w:rsidRPr="00A54A27" w:rsidRDefault="003F5B39" w:rsidP="00F17A4A">
      <w:pPr>
        <w:tabs>
          <w:tab w:val="left" w:pos="851"/>
          <w:tab w:val="left" w:pos="1134"/>
        </w:tabs>
        <w:ind w:left="1134" w:hanging="1134"/>
        <w:rPr>
          <w:b/>
          <w:sz w:val="24"/>
          <w:szCs w:val="24"/>
          <w:u w:val="single"/>
        </w:rPr>
      </w:pPr>
      <w:r w:rsidRPr="0084317C">
        <w:rPr>
          <w:b/>
          <w:sz w:val="24"/>
          <w:szCs w:val="24"/>
        </w:rPr>
        <w:t>S</w:t>
      </w:r>
      <w:r w:rsidR="00F54784" w:rsidRPr="0084317C">
        <w:rPr>
          <w:b/>
          <w:sz w:val="24"/>
          <w:szCs w:val="24"/>
        </w:rPr>
        <w:t xml:space="preserve">ubject: </w:t>
      </w:r>
      <w:r w:rsidR="002675D5">
        <w:rPr>
          <w:b/>
          <w:sz w:val="24"/>
          <w:szCs w:val="24"/>
        </w:rPr>
        <w:tab/>
      </w:r>
      <w:r w:rsidR="00FB3668" w:rsidRPr="00FB3668">
        <w:rPr>
          <w:b/>
          <w:sz w:val="24"/>
          <w:szCs w:val="24"/>
          <w:u w:val="single"/>
        </w:rPr>
        <w:t>Extension of the</w:t>
      </w:r>
      <w:r w:rsidR="00FB3668" w:rsidRPr="002675D5">
        <w:rPr>
          <w:b/>
          <w:sz w:val="24"/>
          <w:szCs w:val="24"/>
          <w:u w:val="single"/>
        </w:rPr>
        <w:t xml:space="preserve"> </w:t>
      </w:r>
      <w:r w:rsidR="00FB3668">
        <w:rPr>
          <w:b/>
          <w:sz w:val="24"/>
          <w:szCs w:val="24"/>
          <w:u w:val="single"/>
        </w:rPr>
        <w:t xml:space="preserve">deadline </w:t>
      </w:r>
      <w:r w:rsidR="00A209BE" w:rsidRPr="002675D5">
        <w:rPr>
          <w:b/>
          <w:sz w:val="24"/>
          <w:szCs w:val="24"/>
          <w:u w:val="single"/>
        </w:rPr>
        <w:t>for a</w:t>
      </w:r>
      <w:r w:rsidR="009A4B7B" w:rsidRPr="002675D5">
        <w:rPr>
          <w:b/>
          <w:sz w:val="24"/>
          <w:szCs w:val="24"/>
          <w:u w:val="single"/>
        </w:rPr>
        <w:t xml:space="preserve">pplications for </w:t>
      </w:r>
      <w:r w:rsidR="00C72E15">
        <w:rPr>
          <w:b/>
          <w:sz w:val="24"/>
          <w:szCs w:val="24"/>
          <w:u w:val="single"/>
        </w:rPr>
        <w:t>two</w:t>
      </w:r>
      <w:r w:rsidR="00FB3668">
        <w:rPr>
          <w:b/>
          <w:sz w:val="24"/>
          <w:szCs w:val="24"/>
          <w:u w:val="single"/>
        </w:rPr>
        <w:t xml:space="preserve"> </w:t>
      </w:r>
      <w:r w:rsidR="00EA6D25">
        <w:rPr>
          <w:b/>
          <w:sz w:val="24"/>
          <w:szCs w:val="24"/>
          <w:u w:val="single"/>
        </w:rPr>
        <w:t>vacancies</w:t>
      </w:r>
      <w:r w:rsidR="002675D5" w:rsidRPr="002675D5">
        <w:rPr>
          <w:b/>
          <w:sz w:val="24"/>
          <w:szCs w:val="24"/>
          <w:u w:val="single"/>
        </w:rPr>
        <w:t xml:space="preserve"> </w:t>
      </w:r>
      <w:r w:rsidR="00B27284">
        <w:rPr>
          <w:b/>
          <w:sz w:val="24"/>
          <w:szCs w:val="24"/>
          <w:u w:val="single"/>
        </w:rPr>
        <w:t xml:space="preserve">of </w:t>
      </w:r>
      <w:r w:rsidR="00DF76F9">
        <w:rPr>
          <w:b/>
          <w:sz w:val="24"/>
          <w:szCs w:val="24"/>
          <w:u w:val="single"/>
        </w:rPr>
        <w:t>Working Group members</w:t>
      </w:r>
      <w:r w:rsidR="00B27284">
        <w:rPr>
          <w:b/>
          <w:sz w:val="24"/>
          <w:szCs w:val="24"/>
          <w:u w:val="single"/>
        </w:rPr>
        <w:t xml:space="preserve"> </w:t>
      </w:r>
      <w:r w:rsidR="002675D5" w:rsidRPr="002675D5">
        <w:rPr>
          <w:b/>
          <w:sz w:val="24"/>
          <w:szCs w:val="24"/>
          <w:u w:val="single"/>
        </w:rPr>
        <w:t xml:space="preserve">to be </w:t>
      </w:r>
      <w:r w:rsidR="00B27284">
        <w:rPr>
          <w:b/>
          <w:sz w:val="24"/>
          <w:szCs w:val="24"/>
          <w:u w:val="single"/>
        </w:rPr>
        <w:t xml:space="preserve">appointed </w:t>
      </w:r>
      <w:r w:rsidR="005C4F31" w:rsidRPr="00F47F0B">
        <w:rPr>
          <w:b/>
          <w:sz w:val="24"/>
          <w:szCs w:val="24"/>
          <w:u w:val="single"/>
        </w:rPr>
        <w:t>at</w:t>
      </w:r>
      <w:r w:rsidR="002202EA" w:rsidRPr="00F47F0B">
        <w:rPr>
          <w:b/>
          <w:sz w:val="24"/>
          <w:szCs w:val="24"/>
          <w:u w:val="single"/>
        </w:rPr>
        <w:t xml:space="preserve"> </w:t>
      </w:r>
      <w:r w:rsidR="005C4F31" w:rsidRPr="009E345D">
        <w:rPr>
          <w:b/>
          <w:sz w:val="24"/>
          <w:szCs w:val="24"/>
          <w:u w:val="single"/>
        </w:rPr>
        <w:t xml:space="preserve">the </w:t>
      </w:r>
      <w:r w:rsidR="00F22E73">
        <w:rPr>
          <w:b/>
          <w:sz w:val="24"/>
          <w:szCs w:val="24"/>
          <w:u w:val="single"/>
        </w:rPr>
        <w:t>4</w:t>
      </w:r>
      <w:r w:rsidR="00D26FC5">
        <w:rPr>
          <w:b/>
          <w:sz w:val="24"/>
          <w:szCs w:val="24"/>
          <w:u w:val="single"/>
        </w:rPr>
        <w:t>5</w:t>
      </w:r>
      <w:r w:rsidR="009110F8">
        <w:rPr>
          <w:b/>
          <w:sz w:val="24"/>
          <w:szCs w:val="24"/>
          <w:u w:val="single"/>
        </w:rPr>
        <w:t>th</w:t>
      </w:r>
      <w:r w:rsidR="004F6E1B">
        <w:rPr>
          <w:b/>
          <w:sz w:val="24"/>
          <w:szCs w:val="24"/>
          <w:u w:val="single"/>
        </w:rPr>
        <w:t xml:space="preserve"> </w:t>
      </w:r>
      <w:r w:rsidR="00DD2471">
        <w:rPr>
          <w:b/>
          <w:sz w:val="24"/>
          <w:szCs w:val="24"/>
          <w:u w:val="single"/>
        </w:rPr>
        <w:t>s</w:t>
      </w:r>
      <w:r w:rsidR="005C4F31" w:rsidRPr="009E345D">
        <w:rPr>
          <w:b/>
          <w:sz w:val="24"/>
          <w:szCs w:val="24"/>
          <w:u w:val="single"/>
        </w:rPr>
        <w:t>ession of the Human Rights Council</w:t>
      </w:r>
      <w:r w:rsidR="00B657C5" w:rsidRPr="009E345D">
        <w:rPr>
          <w:b/>
          <w:sz w:val="24"/>
          <w:szCs w:val="24"/>
          <w:u w:val="single"/>
        </w:rPr>
        <w:t xml:space="preserve"> </w:t>
      </w:r>
    </w:p>
    <w:p w:rsidR="0084317C" w:rsidRPr="0084317C" w:rsidRDefault="0084317C" w:rsidP="009E3DA8">
      <w:pPr>
        <w:rPr>
          <w:b/>
          <w:sz w:val="24"/>
          <w:szCs w:val="24"/>
        </w:rPr>
      </w:pPr>
    </w:p>
    <w:p w:rsidR="004C6638" w:rsidRDefault="00F54784" w:rsidP="00A131DC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The Secretariat of the Human Rights Council presents its compliments to all Permanent Missions to the United Nations Office at Geneva, international organizations or their offices, national institutions, non-</w:t>
      </w:r>
      <w:bookmarkStart w:id="0" w:name="_GoBack"/>
      <w:bookmarkEnd w:id="0"/>
      <w:r w:rsidRPr="0084317C">
        <w:rPr>
          <w:sz w:val="24"/>
          <w:szCs w:val="24"/>
        </w:rPr>
        <w:t xml:space="preserve">governmental organizations and other human rights bodies, and has the honour to inform </w:t>
      </w:r>
      <w:r w:rsidR="003F5B39" w:rsidRPr="0084317C">
        <w:rPr>
          <w:sz w:val="24"/>
          <w:szCs w:val="24"/>
        </w:rPr>
        <w:t xml:space="preserve">them </w:t>
      </w:r>
      <w:r w:rsidRPr="00C61F64">
        <w:rPr>
          <w:sz w:val="24"/>
          <w:szCs w:val="24"/>
        </w:rPr>
        <w:t>that</w:t>
      </w:r>
      <w:r w:rsidR="003B3C5A">
        <w:rPr>
          <w:sz w:val="24"/>
          <w:szCs w:val="24"/>
        </w:rPr>
        <w:t xml:space="preserve">, further to its note verbale dated </w:t>
      </w:r>
      <w:r w:rsidR="00D26FC5">
        <w:rPr>
          <w:sz w:val="24"/>
          <w:szCs w:val="24"/>
        </w:rPr>
        <w:t xml:space="preserve">22 June </w:t>
      </w:r>
      <w:r w:rsidR="00B55591">
        <w:rPr>
          <w:sz w:val="24"/>
          <w:szCs w:val="24"/>
        </w:rPr>
        <w:t>2020</w:t>
      </w:r>
      <w:r w:rsidR="003B3C5A">
        <w:rPr>
          <w:sz w:val="24"/>
          <w:szCs w:val="24"/>
        </w:rPr>
        <w:t xml:space="preserve">, </w:t>
      </w:r>
      <w:r w:rsidR="00E1451D" w:rsidRPr="008C6282">
        <w:rPr>
          <w:b/>
          <w:sz w:val="24"/>
          <w:szCs w:val="24"/>
          <w:u w:val="single"/>
        </w:rPr>
        <w:t xml:space="preserve">the </w:t>
      </w:r>
      <w:r w:rsidR="003B3C5A" w:rsidRPr="008C6282">
        <w:rPr>
          <w:b/>
          <w:sz w:val="24"/>
          <w:szCs w:val="24"/>
          <w:u w:val="single"/>
        </w:rPr>
        <w:t>deadline to apply</w:t>
      </w:r>
      <w:r w:rsidR="003B3C5A">
        <w:rPr>
          <w:sz w:val="24"/>
          <w:szCs w:val="24"/>
        </w:rPr>
        <w:t xml:space="preserve"> </w:t>
      </w:r>
      <w:r w:rsidR="00DF76F9">
        <w:rPr>
          <w:sz w:val="24"/>
          <w:szCs w:val="24"/>
        </w:rPr>
        <w:t xml:space="preserve">only </w:t>
      </w:r>
      <w:r w:rsidR="003B3C5A">
        <w:rPr>
          <w:sz w:val="24"/>
          <w:szCs w:val="24"/>
        </w:rPr>
        <w:t xml:space="preserve">for the </w:t>
      </w:r>
      <w:r w:rsidR="00E1451D" w:rsidRPr="00E1451D">
        <w:rPr>
          <w:sz w:val="24"/>
          <w:szCs w:val="24"/>
        </w:rPr>
        <w:t xml:space="preserve">following </w:t>
      </w:r>
      <w:r w:rsidR="00C72E15">
        <w:rPr>
          <w:sz w:val="24"/>
          <w:szCs w:val="24"/>
        </w:rPr>
        <w:t>two</w:t>
      </w:r>
      <w:r w:rsidR="003B3C5A">
        <w:rPr>
          <w:sz w:val="24"/>
          <w:szCs w:val="24"/>
        </w:rPr>
        <w:t xml:space="preserve"> </w:t>
      </w:r>
      <w:r w:rsidR="008C6282">
        <w:rPr>
          <w:sz w:val="24"/>
          <w:szCs w:val="24"/>
        </w:rPr>
        <w:t>post</w:t>
      </w:r>
      <w:r w:rsidR="00495695">
        <w:rPr>
          <w:sz w:val="24"/>
          <w:szCs w:val="24"/>
        </w:rPr>
        <w:t>s</w:t>
      </w:r>
      <w:r w:rsidR="008C6282">
        <w:rPr>
          <w:sz w:val="24"/>
          <w:szCs w:val="24"/>
        </w:rPr>
        <w:t xml:space="preserve"> of </w:t>
      </w:r>
      <w:r w:rsidR="00FF51A7">
        <w:rPr>
          <w:sz w:val="24"/>
          <w:szCs w:val="24"/>
        </w:rPr>
        <w:t>Working Group members</w:t>
      </w:r>
      <w:r w:rsidR="000512B1">
        <w:rPr>
          <w:sz w:val="24"/>
          <w:szCs w:val="24"/>
        </w:rPr>
        <w:t xml:space="preserve"> </w:t>
      </w:r>
      <w:r w:rsidR="003B3C5A" w:rsidRPr="008C6282">
        <w:rPr>
          <w:b/>
          <w:sz w:val="24"/>
          <w:szCs w:val="24"/>
          <w:u w:val="single"/>
        </w:rPr>
        <w:t xml:space="preserve">has been extended </w:t>
      </w:r>
      <w:r w:rsidR="003B3C5A" w:rsidRPr="00C72E15">
        <w:rPr>
          <w:b/>
          <w:sz w:val="24"/>
          <w:szCs w:val="24"/>
          <w:u w:val="single"/>
        </w:rPr>
        <w:t xml:space="preserve">to </w:t>
      </w:r>
      <w:r w:rsidR="00C72E15" w:rsidRPr="00C72E15">
        <w:rPr>
          <w:b/>
          <w:sz w:val="24"/>
          <w:szCs w:val="24"/>
          <w:u w:val="single"/>
        </w:rPr>
        <w:t>11</w:t>
      </w:r>
      <w:r w:rsidR="004F6E1B" w:rsidRPr="00C72E15">
        <w:rPr>
          <w:b/>
          <w:sz w:val="24"/>
          <w:szCs w:val="24"/>
          <w:u w:val="single"/>
        </w:rPr>
        <w:t xml:space="preserve"> </w:t>
      </w:r>
      <w:r w:rsidR="00D26FC5" w:rsidRPr="00C72E15">
        <w:rPr>
          <w:b/>
          <w:sz w:val="24"/>
          <w:szCs w:val="24"/>
          <w:u w:val="single"/>
        </w:rPr>
        <w:t xml:space="preserve">August </w:t>
      </w:r>
      <w:r w:rsidR="004F6E1B" w:rsidRPr="00C72E15">
        <w:rPr>
          <w:b/>
          <w:sz w:val="24"/>
          <w:szCs w:val="24"/>
          <w:u w:val="single"/>
        </w:rPr>
        <w:t xml:space="preserve">2020 </w:t>
      </w:r>
      <w:r w:rsidR="00F50E70">
        <w:rPr>
          <w:b/>
          <w:sz w:val="24"/>
          <w:szCs w:val="24"/>
          <w:u w:val="single"/>
        </w:rPr>
        <w:t>(</w:t>
      </w:r>
      <w:r w:rsidR="00F22E73">
        <w:rPr>
          <w:b/>
          <w:sz w:val="24"/>
          <w:szCs w:val="24"/>
          <w:u w:val="single"/>
        </w:rPr>
        <w:t>1</w:t>
      </w:r>
      <w:r w:rsidR="003B3C5A" w:rsidRPr="008C6282">
        <w:rPr>
          <w:b/>
          <w:sz w:val="24"/>
          <w:szCs w:val="24"/>
          <w:u w:val="single"/>
        </w:rPr>
        <w:t>2 noon Greenwich Mean Time / GMT)</w:t>
      </w:r>
      <w:r w:rsidR="00307392" w:rsidRPr="0084317C">
        <w:rPr>
          <w:sz w:val="24"/>
          <w:szCs w:val="24"/>
        </w:rPr>
        <w:t>:</w:t>
      </w:r>
    </w:p>
    <w:p w:rsidR="003A3E25" w:rsidRDefault="003A3E25" w:rsidP="003A3E25">
      <w:pPr>
        <w:shd w:val="clear" w:color="auto" w:fill="FFFFFF"/>
        <w:outlineLvl w:val="3"/>
        <w:rPr>
          <w:b/>
          <w:bCs/>
          <w:sz w:val="24"/>
          <w:szCs w:val="24"/>
          <w:lang w:eastAsia="en-GB"/>
        </w:rPr>
      </w:pPr>
    </w:p>
    <w:p w:rsidR="00D26FC5" w:rsidRPr="00A64227" w:rsidRDefault="00D26FC5" w:rsidP="00D26FC5">
      <w:pPr>
        <w:numPr>
          <w:ilvl w:val="0"/>
          <w:numId w:val="36"/>
        </w:numPr>
        <w:spacing w:after="120"/>
        <w:ind w:left="576" w:hanging="288"/>
        <w:jc w:val="both"/>
        <w:rPr>
          <w:b/>
          <w:sz w:val="24"/>
          <w:szCs w:val="24"/>
        </w:rPr>
      </w:pPr>
      <w:r w:rsidRPr="00A64227">
        <w:rPr>
          <w:rFonts w:eastAsia="MS Mincho"/>
          <w:b/>
          <w:color w:val="000000"/>
          <w:sz w:val="24"/>
          <w:szCs w:val="24"/>
          <w:lang w:eastAsia="ja-JP"/>
        </w:rPr>
        <w:t>Working Group on Enforced or Involuntary Disappearances, member from African States</w:t>
      </w:r>
      <w:r w:rsidRPr="00A64227">
        <w:rPr>
          <w:rFonts w:eastAsia="MS Mincho"/>
          <w:color w:val="000000"/>
          <w:sz w:val="24"/>
          <w:szCs w:val="24"/>
          <w:lang w:eastAsia="ja-JP"/>
        </w:rPr>
        <w:t xml:space="preserve"> (</w:t>
      </w:r>
      <w:hyperlink r:id="rId11" w:history="1">
        <w:r w:rsidRPr="00A64227">
          <w:rPr>
            <w:rFonts w:eastAsia="MS Mincho"/>
            <w:color w:val="0000FF"/>
            <w:sz w:val="24"/>
            <w:szCs w:val="24"/>
            <w:u w:val="single"/>
            <w:lang w:eastAsia="ja-JP"/>
          </w:rPr>
          <w:t>HRC resolution 36/6</w:t>
        </w:r>
      </w:hyperlink>
      <w:r w:rsidRPr="00A64227">
        <w:rPr>
          <w:rFonts w:eastAsia="MS Mincho"/>
          <w:color w:val="000000"/>
          <w:sz w:val="24"/>
          <w:szCs w:val="24"/>
          <w:lang w:eastAsia="ja-JP"/>
        </w:rPr>
        <w:t>)</w:t>
      </w:r>
      <w:r w:rsidR="003D0614" w:rsidRPr="00A64227">
        <w:rPr>
          <w:rFonts w:eastAsia="Calibri"/>
          <w:sz w:val="24"/>
          <w:szCs w:val="24"/>
          <w:vertAlign w:val="superscript"/>
          <w:lang w:val="fr-CH"/>
        </w:rPr>
        <w:footnoteReference w:id="1"/>
      </w:r>
    </w:p>
    <w:p w:rsidR="00D26FC5" w:rsidRPr="00A64227" w:rsidRDefault="00D26FC5" w:rsidP="00D26FC5">
      <w:pPr>
        <w:numPr>
          <w:ilvl w:val="0"/>
          <w:numId w:val="36"/>
        </w:numPr>
        <w:spacing w:after="120"/>
        <w:ind w:left="576" w:hanging="288"/>
        <w:jc w:val="both"/>
        <w:rPr>
          <w:b/>
          <w:sz w:val="24"/>
          <w:szCs w:val="24"/>
        </w:rPr>
      </w:pPr>
      <w:r w:rsidRPr="00A64227">
        <w:rPr>
          <w:rFonts w:eastAsia="MS Mincho"/>
          <w:b/>
          <w:color w:val="000000"/>
          <w:sz w:val="24"/>
          <w:szCs w:val="24"/>
          <w:lang w:eastAsia="ja-JP"/>
        </w:rPr>
        <w:t xml:space="preserve">Working Group on the use of </w:t>
      </w:r>
      <w:r w:rsidRPr="00A64227">
        <w:rPr>
          <w:rFonts w:eastAsia="MS Mincho"/>
          <w:b/>
          <w:bCs/>
          <w:color w:val="000000"/>
          <w:sz w:val="24"/>
          <w:szCs w:val="24"/>
          <w:lang w:eastAsia="ja-JP"/>
        </w:rPr>
        <w:t>mercenaries</w:t>
      </w:r>
      <w:r w:rsidRPr="00A64227">
        <w:rPr>
          <w:rFonts w:eastAsia="MS Mincho"/>
          <w:b/>
          <w:color w:val="000000"/>
          <w:sz w:val="24"/>
          <w:szCs w:val="24"/>
          <w:lang w:eastAsia="ja-JP"/>
        </w:rPr>
        <w:t xml:space="preserve"> as a means of violating human rights and impeding the exercise of the right of peoples to self-determination, member from Asia-Pacific States</w:t>
      </w:r>
      <w:r w:rsidRPr="00A64227">
        <w:rPr>
          <w:rFonts w:eastAsia="MS Mincho"/>
          <w:color w:val="000000"/>
          <w:sz w:val="24"/>
          <w:szCs w:val="24"/>
          <w:lang w:eastAsia="ja-JP"/>
        </w:rPr>
        <w:t xml:space="preserve"> (</w:t>
      </w:r>
      <w:hyperlink r:id="rId12" w:history="1">
        <w:r w:rsidRPr="00A64227">
          <w:rPr>
            <w:rFonts w:eastAsia="MS Mincho"/>
            <w:color w:val="0000FF"/>
            <w:sz w:val="24"/>
            <w:szCs w:val="24"/>
            <w:u w:val="single"/>
            <w:lang w:eastAsia="ja-JP"/>
          </w:rPr>
          <w:t>HRC resolution 42/9</w:t>
        </w:r>
      </w:hyperlink>
      <w:r w:rsidRPr="00A64227">
        <w:rPr>
          <w:rFonts w:eastAsia="MS Mincho"/>
          <w:color w:val="000000"/>
          <w:sz w:val="24"/>
          <w:szCs w:val="24"/>
          <w:lang w:eastAsia="ja-JP"/>
        </w:rPr>
        <w:t>)</w:t>
      </w:r>
    </w:p>
    <w:p w:rsidR="00D97933" w:rsidRPr="0002638F" w:rsidRDefault="00D97933" w:rsidP="0023008B">
      <w:pPr>
        <w:jc w:val="both"/>
        <w:rPr>
          <w:sz w:val="24"/>
          <w:szCs w:val="24"/>
        </w:rPr>
      </w:pPr>
    </w:p>
    <w:p w:rsidR="00A131DC" w:rsidRDefault="00BA69B9" w:rsidP="00A131D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Additional</w:t>
      </w:r>
      <w:r w:rsidR="004C6638" w:rsidRPr="0084317C">
        <w:rPr>
          <w:sz w:val="24"/>
          <w:szCs w:val="24"/>
        </w:rPr>
        <w:t xml:space="preserve"> information on the selection and appointment procedure</w:t>
      </w:r>
      <w:r w:rsidR="00C77F58" w:rsidRPr="0084317C">
        <w:rPr>
          <w:sz w:val="24"/>
          <w:szCs w:val="24"/>
        </w:rPr>
        <w:t xml:space="preserve"> </w:t>
      </w:r>
      <w:r w:rsidR="00307392" w:rsidRPr="0084317C">
        <w:rPr>
          <w:sz w:val="24"/>
          <w:szCs w:val="24"/>
        </w:rPr>
        <w:t>is</w:t>
      </w:r>
      <w:r w:rsidR="004C6638" w:rsidRPr="0084317C">
        <w:rPr>
          <w:sz w:val="24"/>
          <w:szCs w:val="24"/>
        </w:rPr>
        <w:t xml:space="preserve"> available at the following web page:</w:t>
      </w:r>
      <w:r w:rsidR="00B27284">
        <w:rPr>
          <w:sz w:val="24"/>
          <w:szCs w:val="24"/>
        </w:rPr>
        <w:t xml:space="preserve"> </w:t>
      </w:r>
      <w:hyperlink r:id="rId13" w:history="1">
        <w:r w:rsidR="00522E50" w:rsidRPr="001B6B18">
          <w:rPr>
            <w:rStyle w:val="Hyperlink"/>
            <w:sz w:val="24"/>
            <w:szCs w:val="24"/>
          </w:rPr>
          <w:t>http://www.ohchr.org/EN/HRBodies/SP/Pages/Nominations.aspx</w:t>
        </w:r>
      </w:hyperlink>
      <w:r w:rsidR="00A131DC">
        <w:rPr>
          <w:sz w:val="24"/>
          <w:szCs w:val="24"/>
        </w:rPr>
        <w:t>.</w:t>
      </w:r>
    </w:p>
    <w:p w:rsidR="00A131DC" w:rsidRDefault="00A131DC" w:rsidP="00A131DC">
      <w:pPr>
        <w:ind w:firstLine="851"/>
        <w:jc w:val="both"/>
        <w:rPr>
          <w:sz w:val="24"/>
          <w:szCs w:val="24"/>
        </w:rPr>
      </w:pPr>
    </w:p>
    <w:p w:rsidR="004C6638" w:rsidRPr="0084317C" w:rsidRDefault="004C6638" w:rsidP="00D26FC5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>I</w:t>
      </w:r>
      <w:r w:rsidR="00116B96">
        <w:rPr>
          <w:sz w:val="24"/>
          <w:szCs w:val="24"/>
        </w:rPr>
        <w:t>n case of t</w:t>
      </w:r>
      <w:r w:rsidRPr="0084317C">
        <w:rPr>
          <w:sz w:val="24"/>
          <w:szCs w:val="24"/>
        </w:rPr>
        <w:t>echnical difficulties, the Secretariat may be contacted by email</w:t>
      </w:r>
      <w:r w:rsidR="00114734">
        <w:rPr>
          <w:sz w:val="24"/>
          <w:szCs w:val="24"/>
        </w:rPr>
        <w:t xml:space="preserve"> at</w:t>
      </w:r>
      <w:r w:rsidRPr="0084317C">
        <w:rPr>
          <w:b/>
          <w:color w:val="094EE7"/>
          <w:sz w:val="24"/>
          <w:szCs w:val="24"/>
        </w:rPr>
        <w:t xml:space="preserve"> </w:t>
      </w:r>
      <w:hyperlink r:id="rId14" w:history="1">
        <w:r w:rsidRPr="001B6B18">
          <w:rPr>
            <w:rStyle w:val="Hyperlink"/>
            <w:sz w:val="24"/>
            <w:szCs w:val="24"/>
          </w:rPr>
          <w:t>hrcspecialprocedures@ohchr.org</w:t>
        </w:r>
      </w:hyperlink>
      <w:r w:rsidR="000160D4">
        <w:rPr>
          <w:color w:val="094EE7"/>
          <w:sz w:val="24"/>
          <w:szCs w:val="24"/>
        </w:rPr>
        <w:t xml:space="preserve"> </w:t>
      </w:r>
      <w:r w:rsidRPr="0084317C">
        <w:rPr>
          <w:sz w:val="24"/>
          <w:szCs w:val="24"/>
        </w:rPr>
        <w:t>or by fax</w:t>
      </w:r>
      <w:r w:rsidR="00114734">
        <w:rPr>
          <w:sz w:val="24"/>
          <w:szCs w:val="24"/>
        </w:rPr>
        <w:t xml:space="preserve"> at</w:t>
      </w:r>
      <w:r w:rsidRPr="0084317C">
        <w:rPr>
          <w:color w:val="094EE7"/>
          <w:sz w:val="24"/>
          <w:szCs w:val="24"/>
        </w:rPr>
        <w:t xml:space="preserve"> </w:t>
      </w:r>
      <w:r w:rsidRPr="00522E50">
        <w:rPr>
          <w:color w:val="0000FF"/>
          <w:sz w:val="24"/>
          <w:szCs w:val="24"/>
        </w:rPr>
        <w:t>+ 41 22 917 90</w:t>
      </w:r>
      <w:r w:rsidR="00AC584C">
        <w:rPr>
          <w:color w:val="0000FF"/>
          <w:sz w:val="24"/>
          <w:szCs w:val="24"/>
        </w:rPr>
        <w:t>08</w:t>
      </w:r>
      <w:r w:rsidR="00625BB1" w:rsidRPr="00014D73">
        <w:rPr>
          <w:color w:val="000000"/>
          <w:sz w:val="24"/>
          <w:szCs w:val="24"/>
        </w:rPr>
        <w:t>.</w:t>
      </w:r>
    </w:p>
    <w:p w:rsidR="004C6638" w:rsidRPr="0084317C" w:rsidRDefault="004C6638" w:rsidP="004C6638">
      <w:pPr>
        <w:ind w:firstLine="851"/>
        <w:rPr>
          <w:color w:val="094EE7"/>
          <w:sz w:val="24"/>
          <w:szCs w:val="24"/>
        </w:rPr>
      </w:pPr>
    </w:p>
    <w:p w:rsidR="005B6E28" w:rsidRPr="0084317C" w:rsidRDefault="003E7638" w:rsidP="00116B96">
      <w:pPr>
        <w:ind w:firstLine="851"/>
        <w:jc w:val="both"/>
        <w:rPr>
          <w:sz w:val="24"/>
          <w:szCs w:val="24"/>
        </w:rPr>
      </w:pPr>
      <w:r w:rsidRPr="0084317C">
        <w:rPr>
          <w:sz w:val="24"/>
          <w:szCs w:val="24"/>
        </w:rPr>
        <w:t xml:space="preserve">The Secretariat of the Human Rights Council avails itself of this opportunity to </w:t>
      </w:r>
      <w:r w:rsidR="00307392" w:rsidRPr="0084317C">
        <w:rPr>
          <w:sz w:val="24"/>
          <w:szCs w:val="24"/>
        </w:rPr>
        <w:t>renew</w:t>
      </w:r>
      <w:r w:rsidRPr="0084317C">
        <w:rPr>
          <w:sz w:val="24"/>
          <w:szCs w:val="24"/>
        </w:rPr>
        <w:t xml:space="preserve"> to all Permanent Missions to the United Nations Office at Geneva, international organizations or their offices, national institutions, non-governmental organizations and other human rights bodies the assurances of its highest consideration. </w:t>
      </w:r>
    </w:p>
    <w:p w:rsidR="0059387A" w:rsidRPr="0084317C" w:rsidRDefault="0059387A" w:rsidP="005B6E28">
      <w:pPr>
        <w:ind w:firstLine="851"/>
        <w:rPr>
          <w:sz w:val="24"/>
          <w:szCs w:val="24"/>
        </w:rPr>
      </w:pPr>
    </w:p>
    <w:p w:rsidR="003E7638" w:rsidRDefault="00D26FC5" w:rsidP="00D26FC5">
      <w:pPr>
        <w:spacing w:line="72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30</w:t>
      </w:r>
      <w:r w:rsidR="004F6E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July </w:t>
      </w:r>
      <w:r w:rsidR="004F6E1B">
        <w:rPr>
          <w:sz w:val="24"/>
          <w:szCs w:val="24"/>
        </w:rPr>
        <w:t>2020</w:t>
      </w:r>
    </w:p>
    <w:p w:rsidR="00C66330" w:rsidRDefault="00C66330" w:rsidP="005B6E28">
      <w:pPr>
        <w:spacing w:line="720" w:lineRule="auto"/>
        <w:ind w:firstLine="851"/>
        <w:jc w:val="right"/>
        <w:rPr>
          <w:sz w:val="24"/>
          <w:szCs w:val="24"/>
        </w:rPr>
      </w:pPr>
    </w:p>
    <w:sectPr w:rsidR="00C66330" w:rsidSect="00B35C49">
      <w:headerReference w:type="default" r:id="rId15"/>
      <w:footerReference w:type="default" r:id="rId16"/>
      <w:headerReference w:type="first" r:id="rId17"/>
      <w:pgSz w:w="11906" w:h="16838" w:code="9"/>
      <w:pgMar w:top="1440" w:right="1133" w:bottom="1440" w:left="1440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142" w:rsidRDefault="00614142">
      <w:r>
        <w:separator/>
      </w:r>
    </w:p>
  </w:endnote>
  <w:endnote w:type="continuationSeparator" w:id="0">
    <w:p w:rsidR="00614142" w:rsidRDefault="0061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142" w:rsidRDefault="00614142">
      <w:r>
        <w:separator/>
      </w:r>
    </w:p>
  </w:footnote>
  <w:footnote w:type="continuationSeparator" w:id="0">
    <w:p w:rsidR="00614142" w:rsidRDefault="00614142">
      <w:r>
        <w:continuationSeparator/>
      </w:r>
    </w:p>
  </w:footnote>
  <w:footnote w:id="1">
    <w:p w:rsidR="003D0614" w:rsidRPr="005A07CB" w:rsidRDefault="003D0614" w:rsidP="003D0614">
      <w:pPr>
        <w:pStyle w:val="FootnoteText"/>
        <w:jc w:val="both"/>
        <w:rPr>
          <w:sz w:val="22"/>
          <w:szCs w:val="22"/>
        </w:rPr>
      </w:pPr>
      <w:r w:rsidRPr="005A07CB">
        <w:rPr>
          <w:rStyle w:val="FootnoteReference"/>
          <w:sz w:val="22"/>
          <w:szCs w:val="22"/>
        </w:rPr>
        <w:footnoteRef/>
      </w:r>
      <w:r w:rsidRPr="005A07CB">
        <w:rPr>
          <w:sz w:val="22"/>
          <w:szCs w:val="22"/>
        </w:rPr>
        <w:t xml:space="preserve"> The appointment of th</w:t>
      </w:r>
      <w:r>
        <w:rPr>
          <w:sz w:val="22"/>
          <w:szCs w:val="22"/>
        </w:rPr>
        <w:t>is</w:t>
      </w:r>
      <w:r w:rsidRPr="005A07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special procedure </w:t>
      </w:r>
      <w:r w:rsidRPr="005A07CB">
        <w:rPr>
          <w:sz w:val="22"/>
          <w:szCs w:val="22"/>
        </w:rPr>
        <w:t xml:space="preserve">mandate holder will be made provided the mandate </w:t>
      </w:r>
      <w:r>
        <w:rPr>
          <w:sz w:val="22"/>
          <w:szCs w:val="22"/>
        </w:rPr>
        <w:t>itself is</w:t>
      </w:r>
      <w:r w:rsidRPr="005A07CB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5A07CB">
        <w:rPr>
          <w:sz w:val="22"/>
          <w:szCs w:val="22"/>
        </w:rPr>
        <w:t xml:space="preserve">xtended by the Human Rights Council.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6214F4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>
      <w:rPr>
        <w:sz w:val="14"/>
        <w:szCs w:val="14"/>
        <w:lang w:val="en-GB"/>
      </w:rPr>
      <w:tab/>
      <w:t xml:space="preserve">PAGE </w:t>
    </w:r>
    <w:r w:rsidR="00EA6E5A" w:rsidRPr="0028624E">
      <w:rPr>
        <w:sz w:val="14"/>
        <w:szCs w:val="14"/>
        <w:lang w:val="en-GB"/>
      </w:rPr>
      <w:fldChar w:fldCharType="begin"/>
    </w:r>
    <w:r w:rsidR="00EA6E5A" w:rsidRPr="0028624E">
      <w:rPr>
        <w:sz w:val="14"/>
        <w:szCs w:val="14"/>
        <w:lang w:val="en-GB"/>
      </w:rPr>
      <w:instrText xml:space="preserve"> PAGE   \* MERGEFORMAT </w:instrText>
    </w:r>
    <w:r w:rsidR="00EA6E5A" w:rsidRPr="0028624E">
      <w:rPr>
        <w:sz w:val="14"/>
        <w:szCs w:val="14"/>
        <w:lang w:val="en-GB"/>
      </w:rPr>
      <w:fldChar w:fldCharType="separate"/>
    </w:r>
    <w:r w:rsidR="00C72E15">
      <w:rPr>
        <w:noProof/>
        <w:sz w:val="14"/>
        <w:szCs w:val="14"/>
        <w:lang w:val="en-GB"/>
      </w:rPr>
      <w:t>2</w:t>
    </w:r>
    <w:r w:rsidR="00EA6E5A" w:rsidRPr="0028624E">
      <w:rPr>
        <w:noProof/>
        <w:sz w:val="14"/>
        <w:szCs w:val="14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6214F4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D26FC5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D26FC5">
      <w:rPr>
        <w:sz w:val="14"/>
        <w:szCs w:val="14"/>
        <w:lang w:val="fr-CH"/>
      </w:rPr>
      <w:t>www.ohchr.org • FAX:  +41 22 917 90</w:t>
    </w:r>
    <w:r w:rsidR="00B94F6B" w:rsidRPr="00D26FC5">
      <w:rPr>
        <w:sz w:val="14"/>
        <w:szCs w:val="14"/>
        <w:lang w:val="fr-CH"/>
      </w:rPr>
      <w:t>08</w:t>
    </w:r>
    <w:r w:rsidRPr="00D26FC5">
      <w:rPr>
        <w:sz w:val="14"/>
        <w:szCs w:val="14"/>
        <w:lang w:val="fr-CH"/>
      </w:rPr>
      <w:t xml:space="preserve"> • E-MAIL:  hrc</w:t>
    </w:r>
    <w:r w:rsidR="00A209BE" w:rsidRPr="00D26FC5">
      <w:rPr>
        <w:sz w:val="14"/>
        <w:szCs w:val="14"/>
        <w:lang w:val="fr-CH"/>
      </w:rPr>
      <w:t>specialprocedures</w:t>
    </w:r>
    <w:r w:rsidRPr="00D26FC5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F6194E"/>
    <w:multiLevelType w:val="hybridMultilevel"/>
    <w:tmpl w:val="F7D43CC4"/>
    <w:lvl w:ilvl="0" w:tplc="61346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9480F74"/>
    <w:multiLevelType w:val="hybridMultilevel"/>
    <w:tmpl w:val="02F0119E"/>
    <w:lvl w:ilvl="0" w:tplc="2AB4947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0" w15:restartNumberingAfterBreak="0">
    <w:nsid w:val="1D2A0DF8"/>
    <w:multiLevelType w:val="hybridMultilevel"/>
    <w:tmpl w:val="92E83C34"/>
    <w:lvl w:ilvl="0" w:tplc="F79CB4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8F4F5F"/>
    <w:multiLevelType w:val="hybridMultilevel"/>
    <w:tmpl w:val="D3D4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7" w15:restartNumberingAfterBreak="0">
    <w:nsid w:val="41772BD4"/>
    <w:multiLevelType w:val="hybridMultilevel"/>
    <w:tmpl w:val="C45C92F0"/>
    <w:lvl w:ilvl="0" w:tplc="781C2C4C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E66043"/>
    <w:multiLevelType w:val="hybridMultilevel"/>
    <w:tmpl w:val="3624516A"/>
    <w:lvl w:ilvl="0" w:tplc="A47CD2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F7B21"/>
    <w:multiLevelType w:val="hybridMultilevel"/>
    <w:tmpl w:val="CD18A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4EA3"/>
    <w:multiLevelType w:val="hybridMultilevel"/>
    <w:tmpl w:val="19D8E3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2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9" w15:restartNumberingAfterBreak="0">
    <w:nsid w:val="5F494052"/>
    <w:multiLevelType w:val="hybridMultilevel"/>
    <w:tmpl w:val="0D18970C"/>
    <w:lvl w:ilvl="0" w:tplc="9A54F4D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6A964140"/>
    <w:multiLevelType w:val="multilevel"/>
    <w:tmpl w:val="0D6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19A0281"/>
    <w:multiLevelType w:val="hybridMultilevel"/>
    <w:tmpl w:val="54D620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B3589F"/>
    <w:multiLevelType w:val="hybridMultilevel"/>
    <w:tmpl w:val="3536D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5"/>
  </w:num>
  <w:num w:numId="3">
    <w:abstractNumId w:val="25"/>
  </w:num>
  <w:num w:numId="4">
    <w:abstractNumId w:val="11"/>
  </w:num>
  <w:num w:numId="5">
    <w:abstractNumId w:val="26"/>
  </w:num>
  <w:num w:numId="6">
    <w:abstractNumId w:val="15"/>
  </w:num>
  <w:num w:numId="7">
    <w:abstractNumId w:val="2"/>
  </w:num>
  <w:num w:numId="8">
    <w:abstractNumId w:val="16"/>
  </w:num>
  <w:num w:numId="9">
    <w:abstractNumId w:val="4"/>
  </w:num>
  <w:num w:numId="10">
    <w:abstractNumId w:val="1"/>
  </w:num>
  <w:num w:numId="11">
    <w:abstractNumId w:val="13"/>
  </w:num>
  <w:num w:numId="12">
    <w:abstractNumId w:val="31"/>
  </w:num>
  <w:num w:numId="13">
    <w:abstractNumId w:val="34"/>
  </w:num>
  <w:num w:numId="14">
    <w:abstractNumId w:val="22"/>
  </w:num>
  <w:num w:numId="15">
    <w:abstractNumId w:val="7"/>
  </w:num>
  <w:num w:numId="16">
    <w:abstractNumId w:val="0"/>
  </w:num>
  <w:num w:numId="17">
    <w:abstractNumId w:val="28"/>
  </w:num>
  <w:num w:numId="18">
    <w:abstractNumId w:val="9"/>
  </w:num>
  <w:num w:numId="19">
    <w:abstractNumId w:val="21"/>
  </w:num>
  <w:num w:numId="20">
    <w:abstractNumId w:val="5"/>
  </w:num>
  <w:num w:numId="21">
    <w:abstractNumId w:val="27"/>
  </w:num>
  <w:num w:numId="22">
    <w:abstractNumId w:val="24"/>
  </w:num>
  <w:num w:numId="23">
    <w:abstractNumId w:val="6"/>
  </w:num>
  <w:num w:numId="24">
    <w:abstractNumId w:val="12"/>
  </w:num>
  <w:num w:numId="25">
    <w:abstractNumId w:val="30"/>
  </w:num>
  <w:num w:numId="26">
    <w:abstractNumId w:val="19"/>
  </w:num>
  <w:num w:numId="27">
    <w:abstractNumId w:val="14"/>
  </w:num>
  <w:num w:numId="28">
    <w:abstractNumId w:val="33"/>
  </w:num>
  <w:num w:numId="29">
    <w:abstractNumId w:val="32"/>
  </w:num>
  <w:num w:numId="30">
    <w:abstractNumId w:val="29"/>
  </w:num>
  <w:num w:numId="31">
    <w:abstractNumId w:val="3"/>
  </w:num>
  <w:num w:numId="32">
    <w:abstractNumId w:val="2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0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17C"/>
    <w:rsid w:val="0001193E"/>
    <w:rsid w:val="000138F6"/>
    <w:rsid w:val="00014D73"/>
    <w:rsid w:val="00014D8E"/>
    <w:rsid w:val="000160D4"/>
    <w:rsid w:val="0002638F"/>
    <w:rsid w:val="00026D1F"/>
    <w:rsid w:val="000512B1"/>
    <w:rsid w:val="00077294"/>
    <w:rsid w:val="0008479D"/>
    <w:rsid w:val="000875C6"/>
    <w:rsid w:val="000A2B89"/>
    <w:rsid w:val="000A6F03"/>
    <w:rsid w:val="000C6BB9"/>
    <w:rsid w:val="000D34F2"/>
    <w:rsid w:val="000E42EE"/>
    <w:rsid w:val="000F60AE"/>
    <w:rsid w:val="00106F64"/>
    <w:rsid w:val="00114734"/>
    <w:rsid w:val="00114C16"/>
    <w:rsid w:val="00115798"/>
    <w:rsid w:val="001159DA"/>
    <w:rsid w:val="00116B96"/>
    <w:rsid w:val="001205D6"/>
    <w:rsid w:val="00126D6E"/>
    <w:rsid w:val="00126F94"/>
    <w:rsid w:val="00137853"/>
    <w:rsid w:val="0015594B"/>
    <w:rsid w:val="00194332"/>
    <w:rsid w:val="001A464B"/>
    <w:rsid w:val="001B6B18"/>
    <w:rsid w:val="001E3384"/>
    <w:rsid w:val="001E7290"/>
    <w:rsid w:val="001F1FD2"/>
    <w:rsid w:val="002028A9"/>
    <w:rsid w:val="0021296A"/>
    <w:rsid w:val="002202EA"/>
    <w:rsid w:val="00221893"/>
    <w:rsid w:val="002267E9"/>
    <w:rsid w:val="00226C3C"/>
    <w:rsid w:val="00227E2F"/>
    <w:rsid w:val="0023008B"/>
    <w:rsid w:val="00235A1A"/>
    <w:rsid w:val="002431DB"/>
    <w:rsid w:val="00244042"/>
    <w:rsid w:val="0025174E"/>
    <w:rsid w:val="00264DC7"/>
    <w:rsid w:val="002675D5"/>
    <w:rsid w:val="0028624E"/>
    <w:rsid w:val="002863A2"/>
    <w:rsid w:val="00297767"/>
    <w:rsid w:val="002A05A2"/>
    <w:rsid w:val="002A0E4E"/>
    <w:rsid w:val="002B19A0"/>
    <w:rsid w:val="002B1E4D"/>
    <w:rsid w:val="002D251B"/>
    <w:rsid w:val="002E65F4"/>
    <w:rsid w:val="002F004B"/>
    <w:rsid w:val="002F5916"/>
    <w:rsid w:val="00307392"/>
    <w:rsid w:val="0031063D"/>
    <w:rsid w:val="003302A8"/>
    <w:rsid w:val="003313A3"/>
    <w:rsid w:val="00335FB9"/>
    <w:rsid w:val="00346EB6"/>
    <w:rsid w:val="00356299"/>
    <w:rsid w:val="00396E4C"/>
    <w:rsid w:val="003A3957"/>
    <w:rsid w:val="003A3E25"/>
    <w:rsid w:val="003B3C5A"/>
    <w:rsid w:val="003C37C3"/>
    <w:rsid w:val="003C4370"/>
    <w:rsid w:val="003D0614"/>
    <w:rsid w:val="003D3D66"/>
    <w:rsid w:val="003E3AE8"/>
    <w:rsid w:val="003E7638"/>
    <w:rsid w:val="003F2AC1"/>
    <w:rsid w:val="003F5B39"/>
    <w:rsid w:val="003F697D"/>
    <w:rsid w:val="004001AF"/>
    <w:rsid w:val="00406D7C"/>
    <w:rsid w:val="00415EFC"/>
    <w:rsid w:val="00440E30"/>
    <w:rsid w:val="00442A8C"/>
    <w:rsid w:val="00443DF5"/>
    <w:rsid w:val="00447412"/>
    <w:rsid w:val="00455707"/>
    <w:rsid w:val="00455C6D"/>
    <w:rsid w:val="00456419"/>
    <w:rsid w:val="00460258"/>
    <w:rsid w:val="0046144E"/>
    <w:rsid w:val="0047157F"/>
    <w:rsid w:val="00472771"/>
    <w:rsid w:val="00482F36"/>
    <w:rsid w:val="00485D7B"/>
    <w:rsid w:val="00495695"/>
    <w:rsid w:val="004C044F"/>
    <w:rsid w:val="004C4583"/>
    <w:rsid w:val="004C6638"/>
    <w:rsid w:val="004D707F"/>
    <w:rsid w:val="004E0AB6"/>
    <w:rsid w:val="004E49EC"/>
    <w:rsid w:val="004E4D86"/>
    <w:rsid w:val="004F1837"/>
    <w:rsid w:val="004F1DD8"/>
    <w:rsid w:val="004F6E1B"/>
    <w:rsid w:val="004F73C3"/>
    <w:rsid w:val="00512BFD"/>
    <w:rsid w:val="00522E50"/>
    <w:rsid w:val="00530EF5"/>
    <w:rsid w:val="005526F8"/>
    <w:rsid w:val="0055573E"/>
    <w:rsid w:val="00562D63"/>
    <w:rsid w:val="00570A1B"/>
    <w:rsid w:val="00576638"/>
    <w:rsid w:val="00580C32"/>
    <w:rsid w:val="005849E6"/>
    <w:rsid w:val="00585F8E"/>
    <w:rsid w:val="005871D9"/>
    <w:rsid w:val="005903CC"/>
    <w:rsid w:val="0059378D"/>
    <w:rsid w:val="0059387A"/>
    <w:rsid w:val="005957ED"/>
    <w:rsid w:val="005A0B07"/>
    <w:rsid w:val="005B24B7"/>
    <w:rsid w:val="005B4535"/>
    <w:rsid w:val="005B6E28"/>
    <w:rsid w:val="005C078E"/>
    <w:rsid w:val="005C437F"/>
    <w:rsid w:val="005C4F31"/>
    <w:rsid w:val="005E7C37"/>
    <w:rsid w:val="0060068B"/>
    <w:rsid w:val="00614142"/>
    <w:rsid w:val="0061543E"/>
    <w:rsid w:val="006214F4"/>
    <w:rsid w:val="00625BB1"/>
    <w:rsid w:val="00625F76"/>
    <w:rsid w:val="00627A52"/>
    <w:rsid w:val="00636BD7"/>
    <w:rsid w:val="00636E70"/>
    <w:rsid w:val="006412EA"/>
    <w:rsid w:val="00642BA1"/>
    <w:rsid w:val="00645695"/>
    <w:rsid w:val="006605E5"/>
    <w:rsid w:val="006617A4"/>
    <w:rsid w:val="006617F7"/>
    <w:rsid w:val="00667227"/>
    <w:rsid w:val="00674991"/>
    <w:rsid w:val="006749F6"/>
    <w:rsid w:val="006762F4"/>
    <w:rsid w:val="00682D26"/>
    <w:rsid w:val="00682DDB"/>
    <w:rsid w:val="006834E4"/>
    <w:rsid w:val="006943BB"/>
    <w:rsid w:val="006A101E"/>
    <w:rsid w:val="006B1101"/>
    <w:rsid w:val="006B1BD6"/>
    <w:rsid w:val="006B5A71"/>
    <w:rsid w:val="006C6EC7"/>
    <w:rsid w:val="006D6DE7"/>
    <w:rsid w:val="006F0CF0"/>
    <w:rsid w:val="006F2EB3"/>
    <w:rsid w:val="006F790C"/>
    <w:rsid w:val="007109CC"/>
    <w:rsid w:val="00712363"/>
    <w:rsid w:val="007210F6"/>
    <w:rsid w:val="0072113A"/>
    <w:rsid w:val="00723438"/>
    <w:rsid w:val="00733660"/>
    <w:rsid w:val="00733C89"/>
    <w:rsid w:val="00741EBC"/>
    <w:rsid w:val="007432E5"/>
    <w:rsid w:val="007450E8"/>
    <w:rsid w:val="00747DF4"/>
    <w:rsid w:val="00771EB2"/>
    <w:rsid w:val="00776BDB"/>
    <w:rsid w:val="00780E7B"/>
    <w:rsid w:val="00790CBE"/>
    <w:rsid w:val="007B081B"/>
    <w:rsid w:val="007C0C2A"/>
    <w:rsid w:val="007C4A8E"/>
    <w:rsid w:val="007C5EE5"/>
    <w:rsid w:val="007D1657"/>
    <w:rsid w:val="00803300"/>
    <w:rsid w:val="008316AA"/>
    <w:rsid w:val="00842220"/>
    <w:rsid w:val="008427AA"/>
    <w:rsid w:val="0084317C"/>
    <w:rsid w:val="008536BA"/>
    <w:rsid w:val="008553DE"/>
    <w:rsid w:val="008568EA"/>
    <w:rsid w:val="008656FA"/>
    <w:rsid w:val="00874280"/>
    <w:rsid w:val="0087585C"/>
    <w:rsid w:val="008774E3"/>
    <w:rsid w:val="008A29E6"/>
    <w:rsid w:val="008B4DD7"/>
    <w:rsid w:val="008C2924"/>
    <w:rsid w:val="008C60C0"/>
    <w:rsid w:val="008C6282"/>
    <w:rsid w:val="008E46C1"/>
    <w:rsid w:val="008F72A1"/>
    <w:rsid w:val="009110F8"/>
    <w:rsid w:val="00922993"/>
    <w:rsid w:val="009240B2"/>
    <w:rsid w:val="00925A9D"/>
    <w:rsid w:val="00944040"/>
    <w:rsid w:val="00944E25"/>
    <w:rsid w:val="00946959"/>
    <w:rsid w:val="009545B5"/>
    <w:rsid w:val="009731E2"/>
    <w:rsid w:val="0097440D"/>
    <w:rsid w:val="00983F2F"/>
    <w:rsid w:val="00996E9F"/>
    <w:rsid w:val="0099712E"/>
    <w:rsid w:val="009A4B7B"/>
    <w:rsid w:val="009B459A"/>
    <w:rsid w:val="009B74DE"/>
    <w:rsid w:val="009C2941"/>
    <w:rsid w:val="009D6FDE"/>
    <w:rsid w:val="009D76A9"/>
    <w:rsid w:val="009E345D"/>
    <w:rsid w:val="009E3DA8"/>
    <w:rsid w:val="009F18EC"/>
    <w:rsid w:val="009F2043"/>
    <w:rsid w:val="00A01741"/>
    <w:rsid w:val="00A11409"/>
    <w:rsid w:val="00A131DC"/>
    <w:rsid w:val="00A16461"/>
    <w:rsid w:val="00A209BE"/>
    <w:rsid w:val="00A21EF1"/>
    <w:rsid w:val="00A34DA7"/>
    <w:rsid w:val="00A3761B"/>
    <w:rsid w:val="00A439B9"/>
    <w:rsid w:val="00A54482"/>
    <w:rsid w:val="00A54A27"/>
    <w:rsid w:val="00A61AEF"/>
    <w:rsid w:val="00A61E26"/>
    <w:rsid w:val="00A62815"/>
    <w:rsid w:val="00A63977"/>
    <w:rsid w:val="00A86B19"/>
    <w:rsid w:val="00A95960"/>
    <w:rsid w:val="00A96E5E"/>
    <w:rsid w:val="00AA17D9"/>
    <w:rsid w:val="00AC3341"/>
    <w:rsid w:val="00AC50E4"/>
    <w:rsid w:val="00AC584C"/>
    <w:rsid w:val="00AC68C5"/>
    <w:rsid w:val="00AC7BE4"/>
    <w:rsid w:val="00AD4CA9"/>
    <w:rsid w:val="00AD62C5"/>
    <w:rsid w:val="00AE307F"/>
    <w:rsid w:val="00AE3BB9"/>
    <w:rsid w:val="00AF05F1"/>
    <w:rsid w:val="00AF1C27"/>
    <w:rsid w:val="00AF291B"/>
    <w:rsid w:val="00AF3113"/>
    <w:rsid w:val="00B04529"/>
    <w:rsid w:val="00B0674A"/>
    <w:rsid w:val="00B14752"/>
    <w:rsid w:val="00B16DE2"/>
    <w:rsid w:val="00B27284"/>
    <w:rsid w:val="00B35C49"/>
    <w:rsid w:val="00B42B30"/>
    <w:rsid w:val="00B458F6"/>
    <w:rsid w:val="00B46949"/>
    <w:rsid w:val="00B54DD5"/>
    <w:rsid w:val="00B55591"/>
    <w:rsid w:val="00B657C5"/>
    <w:rsid w:val="00B7425B"/>
    <w:rsid w:val="00B830CF"/>
    <w:rsid w:val="00B84F46"/>
    <w:rsid w:val="00B8548D"/>
    <w:rsid w:val="00B94F6B"/>
    <w:rsid w:val="00BA597F"/>
    <w:rsid w:val="00BA69B9"/>
    <w:rsid w:val="00BA7D43"/>
    <w:rsid w:val="00BC4364"/>
    <w:rsid w:val="00BD6119"/>
    <w:rsid w:val="00BF7242"/>
    <w:rsid w:val="00C04A21"/>
    <w:rsid w:val="00C12BED"/>
    <w:rsid w:val="00C133AD"/>
    <w:rsid w:val="00C162CB"/>
    <w:rsid w:val="00C23DDD"/>
    <w:rsid w:val="00C35851"/>
    <w:rsid w:val="00C37F77"/>
    <w:rsid w:val="00C50344"/>
    <w:rsid w:val="00C56D57"/>
    <w:rsid w:val="00C616CE"/>
    <w:rsid w:val="00C61F64"/>
    <w:rsid w:val="00C64254"/>
    <w:rsid w:val="00C66330"/>
    <w:rsid w:val="00C72045"/>
    <w:rsid w:val="00C72310"/>
    <w:rsid w:val="00C72E15"/>
    <w:rsid w:val="00C74811"/>
    <w:rsid w:val="00C772EF"/>
    <w:rsid w:val="00C77F58"/>
    <w:rsid w:val="00C82CCE"/>
    <w:rsid w:val="00CA2030"/>
    <w:rsid w:val="00CA67DC"/>
    <w:rsid w:val="00CB1C6E"/>
    <w:rsid w:val="00CC5BEF"/>
    <w:rsid w:val="00D00DDC"/>
    <w:rsid w:val="00D02F61"/>
    <w:rsid w:val="00D122FA"/>
    <w:rsid w:val="00D12DB4"/>
    <w:rsid w:val="00D16FB7"/>
    <w:rsid w:val="00D1791F"/>
    <w:rsid w:val="00D224D3"/>
    <w:rsid w:val="00D26C3D"/>
    <w:rsid w:val="00D26FC5"/>
    <w:rsid w:val="00D32E5B"/>
    <w:rsid w:val="00D331D4"/>
    <w:rsid w:val="00D3608E"/>
    <w:rsid w:val="00D36635"/>
    <w:rsid w:val="00D5082F"/>
    <w:rsid w:val="00D67524"/>
    <w:rsid w:val="00D67DEA"/>
    <w:rsid w:val="00D70178"/>
    <w:rsid w:val="00D8301A"/>
    <w:rsid w:val="00D84C7E"/>
    <w:rsid w:val="00D968C8"/>
    <w:rsid w:val="00D97933"/>
    <w:rsid w:val="00DA4415"/>
    <w:rsid w:val="00DA4D39"/>
    <w:rsid w:val="00DA52A3"/>
    <w:rsid w:val="00DB3CB2"/>
    <w:rsid w:val="00DB5616"/>
    <w:rsid w:val="00DD2471"/>
    <w:rsid w:val="00DD4909"/>
    <w:rsid w:val="00DD4B43"/>
    <w:rsid w:val="00DD5EB3"/>
    <w:rsid w:val="00DF76F9"/>
    <w:rsid w:val="00E1451D"/>
    <w:rsid w:val="00E14775"/>
    <w:rsid w:val="00E15347"/>
    <w:rsid w:val="00E23FC8"/>
    <w:rsid w:val="00E406BD"/>
    <w:rsid w:val="00E47C1C"/>
    <w:rsid w:val="00E563C5"/>
    <w:rsid w:val="00E60057"/>
    <w:rsid w:val="00E679E8"/>
    <w:rsid w:val="00E872EB"/>
    <w:rsid w:val="00E90718"/>
    <w:rsid w:val="00EA4EF4"/>
    <w:rsid w:val="00EA6B3E"/>
    <w:rsid w:val="00EA6D25"/>
    <w:rsid w:val="00EA6E5A"/>
    <w:rsid w:val="00EB3D91"/>
    <w:rsid w:val="00EB773F"/>
    <w:rsid w:val="00ED00B2"/>
    <w:rsid w:val="00EE1CE5"/>
    <w:rsid w:val="00EE5BA8"/>
    <w:rsid w:val="00F006B5"/>
    <w:rsid w:val="00F056D3"/>
    <w:rsid w:val="00F17A4A"/>
    <w:rsid w:val="00F22CF6"/>
    <w:rsid w:val="00F22E73"/>
    <w:rsid w:val="00F2678A"/>
    <w:rsid w:val="00F26DC9"/>
    <w:rsid w:val="00F33FC2"/>
    <w:rsid w:val="00F44F23"/>
    <w:rsid w:val="00F46337"/>
    <w:rsid w:val="00F47B64"/>
    <w:rsid w:val="00F47F0B"/>
    <w:rsid w:val="00F50E70"/>
    <w:rsid w:val="00F54784"/>
    <w:rsid w:val="00F611C6"/>
    <w:rsid w:val="00F80A14"/>
    <w:rsid w:val="00F80D28"/>
    <w:rsid w:val="00FB3668"/>
    <w:rsid w:val="00FB41B6"/>
    <w:rsid w:val="00FB4D1C"/>
    <w:rsid w:val="00FB63F7"/>
    <w:rsid w:val="00FB7826"/>
    <w:rsid w:val="00FC1DDB"/>
    <w:rsid w:val="00FE6E4C"/>
    <w:rsid w:val="00FF3CEE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  <w14:docId w14:val="199B96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styleId="FollowedHyperlink">
    <w:name w:val="FollowedHyperlink"/>
    <w:rsid w:val="0002638F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3B3C5A"/>
    <w:rPr>
      <w:b/>
      <w:bCs/>
    </w:rPr>
  </w:style>
  <w:style w:type="paragraph" w:styleId="FootnoteText">
    <w:name w:val="footnote text"/>
    <w:basedOn w:val="Normal"/>
    <w:link w:val="FootnoteTextChar"/>
    <w:unhideWhenUsed/>
    <w:rsid w:val="00A62815"/>
  </w:style>
  <w:style w:type="character" w:customStyle="1" w:styleId="FootnoteTextChar">
    <w:name w:val="Footnote Text Char"/>
    <w:basedOn w:val="DefaultParagraphFont"/>
    <w:link w:val="FootnoteText"/>
    <w:rsid w:val="00A628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hchr.org/EN/HRBodies/SP/Pages/Nomination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docs.org/en/A/HRC/RES/42/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en/A/HRC/RES/36/6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rcspecialprocedures@ohch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01ADC-BBF5-4E41-89C2-6DCC1A1A73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CFA77-2D2B-44D8-9DFE-AD3FF8F96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07E7FD-F1AF-4EA9-B81C-E20D51F0C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208103B-77E9-4A2D-A234-FC71D8219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1873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2020-07-30T07:52:00Z</dcterms:created>
  <dcterms:modified xsi:type="dcterms:W3CDTF">2020-07-30T13:54:00Z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