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3B31799C" w14:textId="77777777" w:rsidR="00AC141E" w:rsidRDefault="00AC141E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0461F261" w14:textId="2AA16D55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D44DAB">
        <w:rPr>
          <w:b/>
          <w:sz w:val="24"/>
          <w:szCs w:val="24"/>
          <w:u w:val="single"/>
        </w:rPr>
        <w:t>forty-eighth</w:t>
      </w:r>
      <w:r w:rsidRPr="00A64227">
        <w:rPr>
          <w:b/>
          <w:sz w:val="24"/>
          <w:szCs w:val="24"/>
          <w:u w:val="single"/>
        </w:rPr>
        <w:t xml:space="preserve"> session of the Council</w:t>
      </w:r>
    </w:p>
    <w:p w14:paraId="3C9C3314" w14:textId="77777777" w:rsidR="002E3722" w:rsidRPr="00A64227" w:rsidRDefault="002E3722" w:rsidP="002E3722">
      <w:pPr>
        <w:rPr>
          <w:b/>
          <w:sz w:val="24"/>
          <w:szCs w:val="24"/>
        </w:rPr>
      </w:pP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21999FD3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 w:rsidR="003E2D0C">
        <w:rPr>
          <w:sz w:val="24"/>
          <w:szCs w:val="24"/>
        </w:rPr>
        <w:t>two</w:t>
      </w:r>
      <w:r w:rsidR="00516F37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C141E">
        <w:rPr>
          <w:sz w:val="24"/>
          <w:szCs w:val="24"/>
        </w:rPr>
        <w:t>forty-</w:t>
      </w:r>
      <w:r w:rsidR="00D44DAB">
        <w:rPr>
          <w:sz w:val="24"/>
          <w:szCs w:val="24"/>
        </w:rPr>
        <w:t>eighth</w:t>
      </w:r>
      <w:r w:rsidR="002E3722" w:rsidRPr="00A64227">
        <w:rPr>
          <w:sz w:val="24"/>
          <w:szCs w:val="24"/>
        </w:rPr>
        <w:t xml:space="preserve"> session of the Council </w:t>
      </w:r>
      <w:r w:rsidR="00516F37">
        <w:rPr>
          <w:sz w:val="24"/>
          <w:szCs w:val="24"/>
        </w:rPr>
        <w:t>(</w:t>
      </w:r>
      <w:r w:rsidR="00D44DAB">
        <w:rPr>
          <w:sz w:val="24"/>
          <w:szCs w:val="24"/>
        </w:rPr>
        <w:t xml:space="preserve">13 September – 1 October </w:t>
      </w:r>
      <w:r w:rsidR="00516F37" w:rsidRPr="00516F37">
        <w:rPr>
          <w:sz w:val="24"/>
          <w:szCs w:val="24"/>
        </w:rPr>
        <w:t>2021</w:t>
      </w:r>
      <w:r w:rsidR="0042657A">
        <w:rPr>
          <w:sz w:val="24"/>
          <w:szCs w:val="24"/>
        </w:rPr>
        <w:t>).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207DA6A2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69906B25" w14:textId="035A8094" w:rsidR="004E4B36" w:rsidRPr="004E4B36" w:rsidRDefault="004E4B36" w:rsidP="004E4B36">
      <w:pPr>
        <w:pStyle w:val="ListParagraph"/>
        <w:numPr>
          <w:ilvl w:val="0"/>
          <w:numId w:val="28"/>
        </w:numPr>
        <w:spacing w:after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4B36">
        <w:rPr>
          <w:rFonts w:ascii="Times New Roman" w:hAnsi="Times New Roman"/>
          <w:b/>
          <w:color w:val="000000" w:themeColor="text1"/>
          <w:sz w:val="24"/>
          <w:szCs w:val="24"/>
        </w:rPr>
        <w:t>Special Rapporteur in the field of </w:t>
      </w:r>
      <w:r w:rsidRPr="004E4B3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cultural rights </w:t>
      </w:r>
      <w:r w:rsidRPr="004E4B36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hyperlink r:id="rId12" w:history="1">
        <w:r w:rsidRPr="004E4B36">
          <w:rPr>
            <w:rStyle w:val="Hyperlink"/>
            <w:rFonts w:ascii="Times New Roman" w:hAnsi="Times New Roman"/>
            <w:bCs/>
            <w:sz w:val="24"/>
            <w:szCs w:val="24"/>
          </w:rPr>
          <w:t>HRC res</w:t>
        </w:r>
        <w:r w:rsidR="00362EA0">
          <w:rPr>
            <w:rStyle w:val="Hyperlink"/>
            <w:rFonts w:ascii="Times New Roman" w:hAnsi="Times New Roman"/>
            <w:bCs/>
            <w:sz w:val="24"/>
            <w:szCs w:val="24"/>
          </w:rPr>
          <w:t>olution</w:t>
        </w:r>
        <w:r w:rsidRPr="004E4B36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46/9</w:t>
        </w:r>
      </w:hyperlink>
      <w:r w:rsidRPr="004E4B3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439AAE" w14:textId="77777777" w:rsidR="004E4B36" w:rsidRPr="004E4B36" w:rsidRDefault="004E4B36" w:rsidP="004E4B36">
      <w:pPr>
        <w:pStyle w:val="ListParagraph"/>
        <w:spacing w:after="60" w:line="240" w:lineRule="auto"/>
        <w:ind w:left="357"/>
        <w:contextualSpacing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6B4FBE" w14:textId="15FA4A1B" w:rsidR="004E4B36" w:rsidRPr="004E4B36" w:rsidRDefault="004E4B36" w:rsidP="004E4B36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4E4B36">
        <w:rPr>
          <w:rFonts w:ascii="Times New Roman" w:hAnsi="Times New Roman"/>
          <w:b/>
          <w:color w:val="000000" w:themeColor="text1"/>
          <w:sz w:val="24"/>
          <w:szCs w:val="24"/>
        </w:rPr>
        <w:t>Working Group on the issue of human rights and transnational corporations and other business enterprises, member from Latin American and Caribbean States</w:t>
      </w:r>
      <w:r w:rsidRPr="004E4B36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hyperlink r:id="rId13" w:history="1">
        <w:r w:rsidRPr="004E4B36">
          <w:rPr>
            <w:rStyle w:val="Hyperlink"/>
            <w:rFonts w:ascii="Times New Roman" w:hAnsi="Times New Roman"/>
            <w:sz w:val="24"/>
            <w:szCs w:val="24"/>
          </w:rPr>
          <w:t>HRC res</w:t>
        </w:r>
        <w:r w:rsidR="00362EA0">
          <w:rPr>
            <w:rStyle w:val="Hyperlink"/>
            <w:rFonts w:ascii="Times New Roman" w:hAnsi="Times New Roman"/>
            <w:sz w:val="24"/>
            <w:szCs w:val="24"/>
          </w:rPr>
          <w:t>olution</w:t>
        </w:r>
        <w:r w:rsidRPr="004E4B36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bookmarkStart w:id="0" w:name="_GoBack"/>
        <w:bookmarkEnd w:id="0"/>
        <w:r w:rsidRPr="004E4B36">
          <w:rPr>
            <w:rStyle w:val="Hyperlink"/>
            <w:rFonts w:ascii="Times New Roman" w:hAnsi="Times New Roman"/>
            <w:sz w:val="24"/>
            <w:szCs w:val="24"/>
          </w:rPr>
          <w:t>44/15</w:t>
        </w:r>
      </w:hyperlink>
      <w:r w:rsidRPr="004E4B36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32F3EEA" w14:textId="77777777" w:rsidR="00D827EC" w:rsidRDefault="00D827EC" w:rsidP="00D827EC">
      <w:pPr>
        <w:jc w:val="both"/>
        <w:rPr>
          <w:sz w:val="24"/>
          <w:szCs w:val="24"/>
        </w:rPr>
      </w:pPr>
    </w:p>
    <w:p w14:paraId="468D3A26" w14:textId="5634B236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4E4B36">
        <w:rPr>
          <w:b/>
          <w:sz w:val="24"/>
          <w:szCs w:val="24"/>
          <w:u w:val="single"/>
        </w:rPr>
        <w:t xml:space="preserve">11 June </w:t>
      </w:r>
      <w:r w:rsidR="00516F37">
        <w:rPr>
          <w:b/>
          <w:sz w:val="24"/>
          <w:szCs w:val="24"/>
          <w:u w:val="single"/>
        </w:rPr>
        <w:t>2021</w:t>
      </w:r>
      <w:r w:rsidRPr="00A64227">
        <w:rPr>
          <w:b/>
          <w:sz w:val="24"/>
          <w:szCs w:val="24"/>
          <w:u w:val="single"/>
        </w:rPr>
        <w:t xml:space="preserve">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2BD11014" w:rsidR="002E3722" w:rsidRPr="002E3722" w:rsidRDefault="00362EA0" w:rsidP="008210FA">
      <w:pPr>
        <w:jc w:val="both"/>
        <w:rPr>
          <w:sz w:val="24"/>
          <w:szCs w:val="24"/>
        </w:rPr>
      </w:pPr>
      <w:hyperlink r:id="rId14" w:history="1">
        <w:r w:rsidR="004A2C5A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4A2C5A">
        <w:rPr>
          <w:sz w:val="24"/>
          <w:szCs w:val="24"/>
        </w:rPr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178E3D76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15" w:history="1">
        <w:r w:rsidR="004A2C5A"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 w:rsidR="004A2C5A">
        <w:rPr>
          <w:sz w:val="24"/>
          <w:szCs w:val="24"/>
        </w:rPr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5A942E73" w14:textId="0B188284" w:rsidR="00C5184D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hyperlink r:id="rId16" w:history="1">
        <w:r w:rsidRPr="00A64227">
          <w:rPr>
            <w:rStyle w:val="Hyperlink"/>
            <w:sz w:val="24"/>
            <w:szCs w:val="24"/>
          </w:rPr>
          <w:t>hrcspecialprocedures@ohchr.org</w:t>
        </w:r>
      </w:hyperlink>
      <w:r w:rsidRPr="00124FEE">
        <w:rPr>
          <w:color w:val="000000" w:themeColor="text1"/>
          <w:sz w:val="24"/>
          <w:szCs w:val="24"/>
        </w:rPr>
        <w:t>.</w:t>
      </w:r>
    </w:p>
    <w:p w14:paraId="4653C936" w14:textId="175AEC7E" w:rsidR="00C5184D" w:rsidRDefault="00C5184D" w:rsidP="00C5184D">
      <w:pPr>
        <w:rPr>
          <w:sz w:val="24"/>
          <w:szCs w:val="24"/>
        </w:rPr>
      </w:pPr>
    </w:p>
    <w:p w14:paraId="162F6961" w14:textId="33EA6C48" w:rsidR="002E3722" w:rsidRPr="00C5184D" w:rsidRDefault="00C5184D" w:rsidP="00C5184D">
      <w:pPr>
        <w:tabs>
          <w:tab w:val="left" w:pos="61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E3722" w:rsidRPr="00C5184D" w:rsidSect="004009C2">
      <w:headerReference w:type="default" r:id="rId17"/>
      <w:footerReference w:type="default" r:id="rId18"/>
      <w:headerReference w:type="first" r:id="rId19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B86D" w14:textId="77777777" w:rsidR="005E4BDD" w:rsidRDefault="005E4BDD">
      <w:r>
        <w:separator/>
      </w:r>
    </w:p>
  </w:endnote>
  <w:endnote w:type="continuationSeparator" w:id="0">
    <w:p w14:paraId="36667744" w14:textId="77777777" w:rsidR="005E4BDD" w:rsidRDefault="005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1FE39" w14:textId="77777777" w:rsidR="005E4BDD" w:rsidRDefault="005E4BDD">
      <w:r>
        <w:separator/>
      </w:r>
    </w:p>
  </w:footnote>
  <w:footnote w:type="continuationSeparator" w:id="0">
    <w:p w14:paraId="06A57394" w14:textId="77777777" w:rsidR="005E4BDD" w:rsidRDefault="005E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9F97" w14:textId="09CF7FFA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4E4B36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77777777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2E3722"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539E3"/>
    <w:rsid w:val="00190D13"/>
    <w:rsid w:val="00194332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D1B96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96E4C"/>
    <w:rsid w:val="00397748"/>
    <w:rsid w:val="003A3957"/>
    <w:rsid w:val="003B269D"/>
    <w:rsid w:val="003C37C3"/>
    <w:rsid w:val="003D3D66"/>
    <w:rsid w:val="003D4DB6"/>
    <w:rsid w:val="003E2D0C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A2C5A"/>
    <w:rsid w:val="004A702E"/>
    <w:rsid w:val="004B6689"/>
    <w:rsid w:val="004C044F"/>
    <w:rsid w:val="004C3C6D"/>
    <w:rsid w:val="004D4035"/>
    <w:rsid w:val="004D6742"/>
    <w:rsid w:val="004E0AB6"/>
    <w:rsid w:val="004E49EC"/>
    <w:rsid w:val="004E4B36"/>
    <w:rsid w:val="004E4D86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4794"/>
    <w:rsid w:val="005B7418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17858"/>
    <w:rsid w:val="007210F6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9019E5"/>
    <w:rsid w:val="009240B2"/>
    <w:rsid w:val="00925A9D"/>
    <w:rsid w:val="00943D30"/>
    <w:rsid w:val="00944040"/>
    <w:rsid w:val="00944E25"/>
    <w:rsid w:val="00991DD7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BBF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5DF5"/>
    <w:rsid w:val="00C64254"/>
    <w:rsid w:val="00C725D7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5347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F006B5"/>
    <w:rsid w:val="00F0632F"/>
    <w:rsid w:val="00F20492"/>
    <w:rsid w:val="00F207CC"/>
    <w:rsid w:val="00F21A6B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A/HRC/RES/44/1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undocs.org/A/HRC/RES/46/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rcspecialprocedures@ohchr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hchr.org/EN/HRBodies/HRC/SP/Pages/BasicInformationSelectionIndependentExperts.aspx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Bodies/HRC/SP/Pages/Nomination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851EB0-9190-43C9-9C81-40E2758CF5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B134C5-9A4A-4579-9F8D-26D98A89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1682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2021-04-27T12:40:00Z</dcterms:created>
  <dcterms:modified xsi:type="dcterms:W3CDTF">2021-04-30T11:22:00Z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