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2A039C" w:rsidRPr="00D43F59" w14:paraId="2109C050" w14:textId="77777777" w:rsidTr="009768A4">
        <w:trPr>
          <w:trHeight w:val="851"/>
        </w:trPr>
        <w:tc>
          <w:tcPr>
            <w:tcW w:w="1259" w:type="dxa"/>
            <w:tcBorders>
              <w:top w:val="nil"/>
              <w:left w:val="nil"/>
              <w:bottom w:val="single" w:sz="4" w:space="0" w:color="auto"/>
              <w:right w:val="nil"/>
            </w:tcBorders>
          </w:tcPr>
          <w:p w14:paraId="6FF3B2BA" w14:textId="77777777" w:rsidR="002A039C" w:rsidRPr="002A039C" w:rsidRDefault="002A039C" w:rsidP="002A039C">
            <w:pPr>
              <w:spacing w:after="80" w:line="340" w:lineRule="exact"/>
            </w:pPr>
          </w:p>
        </w:tc>
        <w:tc>
          <w:tcPr>
            <w:tcW w:w="2236" w:type="dxa"/>
            <w:tcBorders>
              <w:top w:val="nil"/>
              <w:left w:val="nil"/>
              <w:bottom w:val="single" w:sz="4" w:space="0" w:color="auto"/>
              <w:right w:val="nil"/>
            </w:tcBorders>
            <w:vAlign w:val="bottom"/>
          </w:tcPr>
          <w:p w14:paraId="731C8653" w14:textId="77777777" w:rsidR="002A039C" w:rsidRPr="00D43F59" w:rsidRDefault="002A039C" w:rsidP="002A039C">
            <w:pPr>
              <w:spacing w:after="80" w:line="340" w:lineRule="exact"/>
              <w:rPr>
                <w:sz w:val="28"/>
                <w:szCs w:val="28"/>
              </w:rPr>
            </w:pPr>
            <w:r w:rsidRPr="00D43F59">
              <w:rPr>
                <w:sz w:val="28"/>
                <w:szCs w:val="28"/>
              </w:rPr>
              <w:t>United Nations</w:t>
            </w:r>
          </w:p>
        </w:tc>
        <w:tc>
          <w:tcPr>
            <w:tcW w:w="6144" w:type="dxa"/>
            <w:gridSpan w:val="2"/>
            <w:tcBorders>
              <w:top w:val="nil"/>
              <w:left w:val="nil"/>
              <w:bottom w:val="single" w:sz="4" w:space="0" w:color="auto"/>
              <w:right w:val="nil"/>
            </w:tcBorders>
            <w:vAlign w:val="bottom"/>
          </w:tcPr>
          <w:p w14:paraId="285A08A1" w14:textId="77777777" w:rsidR="002A039C" w:rsidRPr="00D43F59" w:rsidRDefault="002A039C" w:rsidP="002A039C">
            <w:pPr>
              <w:jc w:val="right"/>
            </w:pPr>
            <w:r w:rsidRPr="00D43F59">
              <w:rPr>
                <w:sz w:val="40"/>
              </w:rPr>
              <w:t>CAT</w:t>
            </w:r>
            <w:r w:rsidRPr="00D43F59">
              <w:t>/OP/40/2</w:t>
            </w:r>
          </w:p>
        </w:tc>
      </w:tr>
      <w:tr w:rsidR="002A039C" w:rsidRPr="00D43F59" w14:paraId="27376108" w14:textId="77777777" w:rsidTr="009768A4">
        <w:trPr>
          <w:trHeight w:val="2835"/>
        </w:trPr>
        <w:tc>
          <w:tcPr>
            <w:tcW w:w="1259" w:type="dxa"/>
            <w:tcBorders>
              <w:top w:val="single" w:sz="4" w:space="0" w:color="auto"/>
              <w:left w:val="nil"/>
              <w:bottom w:val="single" w:sz="12" w:space="0" w:color="auto"/>
              <w:right w:val="nil"/>
            </w:tcBorders>
          </w:tcPr>
          <w:p w14:paraId="0E237CE8" w14:textId="77777777" w:rsidR="002A039C" w:rsidRPr="00D43F59" w:rsidRDefault="00F23E66" w:rsidP="002A039C">
            <w:pPr>
              <w:spacing w:before="120"/>
              <w:jc w:val="center"/>
            </w:pPr>
            <w:r w:rsidRPr="00D43F59">
              <w:rPr>
                <w:noProof/>
                <w:lang w:eastAsia="en-GB"/>
              </w:rPr>
              <w:drawing>
                <wp:inline distT="0" distB="0" distL="0" distR="0" wp14:anchorId="7942CFE7" wp14:editId="132EB6D3">
                  <wp:extent cx="709295" cy="59182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59182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027B7A78" w14:textId="77777777" w:rsidR="002A039C" w:rsidRPr="00D43F59" w:rsidRDefault="002A039C" w:rsidP="002A039C">
            <w:pPr>
              <w:spacing w:before="120" w:line="380" w:lineRule="exact"/>
              <w:rPr>
                <w:rFonts w:ascii="Times New Roman Bold" w:hAnsi="Times New Roman Bold"/>
                <w:b/>
                <w:sz w:val="34"/>
                <w:szCs w:val="40"/>
              </w:rPr>
            </w:pPr>
            <w:r w:rsidRPr="00D43F59">
              <w:rPr>
                <w:rFonts w:ascii="Times New Roman Bold" w:hAnsi="Times New Roman Bold"/>
                <w:b/>
                <w:sz w:val="34"/>
                <w:szCs w:val="40"/>
              </w:rPr>
              <w:t>Optional Protocol to the</w:t>
            </w:r>
            <w:r w:rsidRPr="00D43F59">
              <w:rPr>
                <w:rFonts w:ascii="Times New Roman Bold" w:hAnsi="Times New Roman Bold"/>
                <w:b/>
                <w:sz w:val="34"/>
                <w:szCs w:val="40"/>
              </w:rPr>
              <w:br/>
              <w:t>Convention against Torture</w:t>
            </w:r>
            <w:r w:rsidRPr="00D43F59">
              <w:rPr>
                <w:rFonts w:ascii="Times New Roman Bold" w:hAnsi="Times New Roman Bold"/>
                <w:b/>
                <w:sz w:val="34"/>
                <w:szCs w:val="40"/>
              </w:rPr>
              <w:br/>
              <w:t>and Other Cruel, Inhuman</w:t>
            </w:r>
            <w:r w:rsidRPr="00D43F59">
              <w:rPr>
                <w:rFonts w:ascii="Times New Roman Bold" w:hAnsi="Times New Roman Bold"/>
                <w:b/>
                <w:sz w:val="34"/>
                <w:szCs w:val="40"/>
              </w:rPr>
              <w:br/>
              <w:t>or Degrading Treatment</w:t>
            </w:r>
            <w:r w:rsidRPr="00D43F59">
              <w:rPr>
                <w:rFonts w:ascii="Times New Roman Bold" w:hAnsi="Times New Roman Bold"/>
                <w:b/>
                <w:sz w:val="34"/>
                <w:szCs w:val="40"/>
              </w:rPr>
              <w:br/>
              <w:t>or Punishment</w:t>
            </w:r>
          </w:p>
        </w:tc>
        <w:tc>
          <w:tcPr>
            <w:tcW w:w="2930" w:type="dxa"/>
            <w:tcBorders>
              <w:top w:val="single" w:sz="4" w:space="0" w:color="auto"/>
              <w:left w:val="nil"/>
              <w:bottom w:val="single" w:sz="12" w:space="0" w:color="auto"/>
              <w:right w:val="nil"/>
            </w:tcBorders>
          </w:tcPr>
          <w:p w14:paraId="56160B2F" w14:textId="77777777" w:rsidR="002A039C" w:rsidRPr="00D43F59" w:rsidRDefault="002A039C" w:rsidP="002A039C">
            <w:pPr>
              <w:spacing w:before="240" w:line="240" w:lineRule="exact"/>
            </w:pPr>
            <w:r w:rsidRPr="00D43F59">
              <w:t>Distr.: General</w:t>
            </w:r>
          </w:p>
          <w:p w14:paraId="26B7EFC2" w14:textId="5CF80F97" w:rsidR="002A039C" w:rsidRPr="00D43F59" w:rsidRDefault="005F2834" w:rsidP="002A039C">
            <w:pPr>
              <w:spacing w:line="240" w:lineRule="exact"/>
            </w:pPr>
            <w:r w:rsidRPr="00D43F59">
              <w:t>2 April</w:t>
            </w:r>
            <w:r w:rsidR="002A039C" w:rsidRPr="00D43F59">
              <w:t xml:space="preserve"> 2020</w:t>
            </w:r>
          </w:p>
          <w:p w14:paraId="79759C3F" w14:textId="77777777" w:rsidR="002A039C" w:rsidRPr="00D43F59" w:rsidRDefault="002A039C" w:rsidP="002A039C">
            <w:pPr>
              <w:spacing w:line="240" w:lineRule="exact"/>
            </w:pPr>
          </w:p>
          <w:p w14:paraId="2FF814A0" w14:textId="77777777" w:rsidR="002A039C" w:rsidRPr="00D43F59" w:rsidRDefault="002A039C" w:rsidP="002A039C">
            <w:pPr>
              <w:spacing w:line="240" w:lineRule="exact"/>
            </w:pPr>
            <w:r w:rsidRPr="00D43F59">
              <w:t>Original: English</w:t>
            </w:r>
          </w:p>
          <w:p w14:paraId="5B3BFBCA" w14:textId="77777777" w:rsidR="002A039C" w:rsidRPr="00D43F59" w:rsidRDefault="002A039C" w:rsidP="002A039C">
            <w:pPr>
              <w:spacing w:line="240" w:lineRule="exact"/>
            </w:pPr>
          </w:p>
        </w:tc>
      </w:tr>
    </w:tbl>
    <w:p w14:paraId="129231EC" w14:textId="77777777" w:rsidR="00702831" w:rsidRPr="00D43F59" w:rsidRDefault="00702831" w:rsidP="00702831">
      <w:pPr>
        <w:spacing w:line="240" w:lineRule="auto"/>
        <w:rPr>
          <w:sz w:val="24"/>
          <w:szCs w:val="24"/>
        </w:rPr>
      </w:pPr>
      <w:r w:rsidRPr="00D43F59">
        <w:rPr>
          <w:b/>
          <w:sz w:val="24"/>
          <w:szCs w:val="24"/>
        </w:rPr>
        <w:t>Subcommittee on Preventi</w:t>
      </w:r>
      <w:r w:rsidR="004429CE" w:rsidRPr="00D43F59">
        <w:rPr>
          <w:b/>
          <w:sz w:val="24"/>
          <w:szCs w:val="24"/>
        </w:rPr>
        <w:t xml:space="preserve">on of Torture and Other Cruel, </w:t>
      </w:r>
    </w:p>
    <w:p w14:paraId="0D91DF30" w14:textId="77777777" w:rsidR="002C0014" w:rsidRPr="00D43F59" w:rsidRDefault="00702831" w:rsidP="004429CE">
      <w:pPr>
        <w:spacing w:line="240" w:lineRule="auto"/>
        <w:rPr>
          <w:sz w:val="24"/>
          <w:szCs w:val="24"/>
        </w:rPr>
      </w:pPr>
      <w:r w:rsidRPr="00D43F59">
        <w:rPr>
          <w:b/>
          <w:sz w:val="24"/>
          <w:szCs w:val="24"/>
        </w:rPr>
        <w:t xml:space="preserve">Inhuman or Degrading Treatment or Punishment </w:t>
      </w:r>
    </w:p>
    <w:p w14:paraId="302BED9C" w14:textId="28027D99" w:rsidR="00702831" w:rsidRPr="00D43F59" w:rsidRDefault="004429CE" w:rsidP="004429CE">
      <w:pPr>
        <w:pStyle w:val="HChG"/>
      </w:pPr>
      <w:r w:rsidRPr="00D43F59">
        <w:rPr>
          <w:color w:val="000000"/>
          <w:szCs w:val="22"/>
          <w:lang w:eastAsia="en-GB"/>
        </w:rPr>
        <w:tab/>
      </w:r>
      <w:r w:rsidRPr="00D43F59">
        <w:rPr>
          <w:color w:val="000000"/>
          <w:szCs w:val="22"/>
          <w:lang w:eastAsia="en-GB"/>
        </w:rPr>
        <w:tab/>
      </w:r>
      <w:bookmarkStart w:id="0" w:name="_GoBack"/>
      <w:r w:rsidR="00702831" w:rsidRPr="00D43F59">
        <w:rPr>
          <w:color w:val="000000"/>
          <w:szCs w:val="22"/>
          <w:lang w:eastAsia="en-GB"/>
        </w:rPr>
        <w:t xml:space="preserve">Advice of the Subcommittee to </w:t>
      </w:r>
      <w:r w:rsidR="00702831" w:rsidRPr="00D43F59">
        <w:t xml:space="preserve">States </w:t>
      </w:r>
      <w:r w:rsidR="001E6482" w:rsidRPr="00D43F59">
        <w:t>p</w:t>
      </w:r>
      <w:r w:rsidR="00702831" w:rsidRPr="00D43F59">
        <w:t xml:space="preserve">arties and </w:t>
      </w:r>
      <w:r w:rsidR="001E6482" w:rsidRPr="00D43F59">
        <w:t>n</w:t>
      </w:r>
      <w:r w:rsidR="00702831" w:rsidRPr="00D43F59">
        <w:t xml:space="preserve">ational </w:t>
      </w:r>
      <w:r w:rsidR="001E6482" w:rsidRPr="00D43F59">
        <w:t>p</w:t>
      </w:r>
      <w:r w:rsidR="00702831" w:rsidRPr="00D43F59">
        <w:t xml:space="preserve">reventive </w:t>
      </w:r>
      <w:r w:rsidR="001E6482" w:rsidRPr="00D43F59">
        <w:t>m</w:t>
      </w:r>
      <w:r w:rsidR="00702831" w:rsidRPr="00D43F59">
        <w:t xml:space="preserve">echanisms </w:t>
      </w:r>
      <w:bookmarkEnd w:id="0"/>
      <w:r w:rsidR="00702831" w:rsidRPr="00D43F59">
        <w:t xml:space="preserve">relating to the </w:t>
      </w:r>
      <w:r w:rsidR="001E6482" w:rsidRPr="00D43F59">
        <w:t>c</w:t>
      </w:r>
      <w:r w:rsidR="00702831" w:rsidRPr="00D43F59">
        <w:t xml:space="preserve">oronavirus </w:t>
      </w:r>
      <w:r w:rsidR="00383A84">
        <w:t xml:space="preserve">disease </w:t>
      </w:r>
      <w:r w:rsidR="001E6482" w:rsidRPr="00D43F59">
        <w:t>(COVID-19) p</w:t>
      </w:r>
      <w:r w:rsidR="00702831" w:rsidRPr="00D43F59">
        <w:t>andemic</w:t>
      </w:r>
      <w:r w:rsidR="001E6482" w:rsidRPr="00D43F59">
        <w:rPr>
          <w:rStyle w:val="FootnoteReference"/>
          <w:bCs/>
          <w:sz w:val="20"/>
          <w:szCs w:val="24"/>
        </w:rPr>
        <w:footnoteReference w:customMarkFollows="1" w:id="2"/>
        <w:t>*</w:t>
      </w:r>
    </w:p>
    <w:p w14:paraId="204743DA" w14:textId="5D37E9FF" w:rsidR="00702831" w:rsidRPr="00D43F59" w:rsidRDefault="00323A25" w:rsidP="00F75CC8">
      <w:pPr>
        <w:pStyle w:val="HChG"/>
      </w:pPr>
      <w:r w:rsidRPr="00D43F59">
        <w:tab/>
        <w:t>I.</w:t>
      </w:r>
      <w:r w:rsidRPr="00D43F59">
        <w:tab/>
      </w:r>
      <w:r w:rsidRPr="00D43F59">
        <w:tab/>
      </w:r>
      <w:r w:rsidR="00702831" w:rsidRPr="00D43F59">
        <w:t>Introduction</w:t>
      </w:r>
    </w:p>
    <w:p w14:paraId="6902D54A" w14:textId="2E01505D" w:rsidR="00702831" w:rsidRPr="00D43F59" w:rsidRDefault="00702831" w:rsidP="004429CE">
      <w:pPr>
        <w:pStyle w:val="ParaNoG"/>
        <w:numPr>
          <w:ilvl w:val="0"/>
          <w:numId w:val="8"/>
        </w:numPr>
        <w:tabs>
          <w:tab w:val="num" w:pos="0"/>
        </w:tabs>
        <w:ind w:left="1134" w:firstLine="0"/>
        <w:rPr>
          <w:rFonts w:eastAsia="Calibri"/>
        </w:rPr>
      </w:pPr>
      <w:r w:rsidRPr="00D43F59">
        <w:rPr>
          <w:rFonts w:eastAsia="Calibri"/>
        </w:rPr>
        <w:t xml:space="preserve">Within the space of a few short weeks, </w:t>
      </w:r>
      <w:r w:rsidR="00EC6FCB" w:rsidRPr="00D43F59">
        <w:rPr>
          <w:rFonts w:eastAsia="Calibri"/>
        </w:rPr>
        <w:t>c</w:t>
      </w:r>
      <w:r w:rsidRPr="00D43F59">
        <w:rPr>
          <w:rFonts w:eastAsia="Calibri"/>
        </w:rPr>
        <w:t xml:space="preserve">oronavirus </w:t>
      </w:r>
      <w:r w:rsidR="00383A84">
        <w:rPr>
          <w:rFonts w:eastAsia="Calibri"/>
        </w:rPr>
        <w:t xml:space="preserve">disease </w:t>
      </w:r>
      <w:r w:rsidRPr="00D43F59">
        <w:rPr>
          <w:rFonts w:eastAsia="Calibri"/>
        </w:rPr>
        <w:t xml:space="preserve">(COVID-19) has had a profound impact on daily life, with many </w:t>
      </w:r>
      <w:r w:rsidR="00D8795D" w:rsidRPr="00D43F59">
        <w:rPr>
          <w:rFonts w:eastAsia="Calibri"/>
        </w:rPr>
        <w:t xml:space="preserve">impositions of </w:t>
      </w:r>
      <w:r w:rsidRPr="00D43F59">
        <w:rPr>
          <w:rFonts w:eastAsia="Calibri"/>
        </w:rPr>
        <w:t xml:space="preserve">severe restrictions upon personal </w:t>
      </w:r>
      <w:r w:rsidRPr="00D43F59">
        <w:t>movement</w:t>
      </w:r>
      <w:r w:rsidRPr="00D43F59">
        <w:rPr>
          <w:rFonts w:eastAsia="Calibri"/>
        </w:rPr>
        <w:t xml:space="preserve"> and </w:t>
      </w:r>
      <w:r w:rsidRPr="00D43F59">
        <w:t>personal</w:t>
      </w:r>
      <w:r w:rsidRPr="00D43F59">
        <w:rPr>
          <w:rFonts w:eastAsia="Calibri"/>
        </w:rPr>
        <w:t xml:space="preserve"> freedoms</w:t>
      </w:r>
      <w:r w:rsidR="00022260" w:rsidRPr="00D43F59">
        <w:rPr>
          <w:rFonts w:eastAsia="Calibri"/>
        </w:rPr>
        <w:t xml:space="preserve">, </w:t>
      </w:r>
      <w:r w:rsidR="00383A84">
        <w:rPr>
          <w:rFonts w:eastAsia="Calibri"/>
        </w:rPr>
        <w:t>aimed at</w:t>
      </w:r>
      <w:r w:rsidR="001B0341" w:rsidRPr="00D43F59">
        <w:rPr>
          <w:rFonts w:eastAsia="Calibri"/>
        </w:rPr>
        <w:t xml:space="preserve"> enabl</w:t>
      </w:r>
      <w:r w:rsidR="00383A84">
        <w:rPr>
          <w:rFonts w:eastAsia="Calibri"/>
        </w:rPr>
        <w:t>ing</w:t>
      </w:r>
      <w:r w:rsidR="001B0341" w:rsidRPr="00D43F59">
        <w:rPr>
          <w:rFonts w:eastAsia="Calibri"/>
        </w:rPr>
        <w:t xml:space="preserve"> the authorities </w:t>
      </w:r>
      <w:r w:rsidRPr="00D43F59">
        <w:rPr>
          <w:rFonts w:eastAsia="Calibri"/>
        </w:rPr>
        <w:t>to better combat the</w:t>
      </w:r>
      <w:r w:rsidR="001B0341" w:rsidRPr="00D43F59">
        <w:rPr>
          <w:rFonts w:eastAsia="Calibri"/>
        </w:rPr>
        <w:t xml:space="preserve"> pandemic through</w:t>
      </w:r>
      <w:r w:rsidRPr="00D43F59">
        <w:rPr>
          <w:rFonts w:eastAsia="Calibri"/>
        </w:rPr>
        <w:t xml:space="preserve"> public health emergency </w:t>
      </w:r>
      <w:r w:rsidR="001B0341" w:rsidRPr="00D43F59">
        <w:rPr>
          <w:rFonts w:eastAsia="Calibri"/>
        </w:rPr>
        <w:t>measures</w:t>
      </w:r>
      <w:r w:rsidRPr="00D43F59">
        <w:rPr>
          <w:rFonts w:eastAsia="Calibri"/>
        </w:rPr>
        <w:t xml:space="preserve">. </w:t>
      </w:r>
    </w:p>
    <w:p w14:paraId="2CBD6295" w14:textId="0374C9AC" w:rsidR="0072728A" w:rsidRPr="00D43F59" w:rsidRDefault="00702831" w:rsidP="004429CE">
      <w:pPr>
        <w:pStyle w:val="ParaNoG"/>
        <w:numPr>
          <w:ilvl w:val="0"/>
          <w:numId w:val="8"/>
        </w:numPr>
        <w:tabs>
          <w:tab w:val="num" w:pos="0"/>
        </w:tabs>
        <w:ind w:left="1134" w:firstLine="0"/>
        <w:rPr>
          <w:rFonts w:eastAsia="Calibri"/>
        </w:rPr>
      </w:pPr>
      <w:r w:rsidRPr="00D43F59">
        <w:rPr>
          <w:rFonts w:eastAsia="Calibri"/>
        </w:rPr>
        <w:t>Persons deprived of their liberty comprise a particularly vulnerable group</w:t>
      </w:r>
      <w:r w:rsidR="00022260" w:rsidRPr="00D43F59">
        <w:rPr>
          <w:rFonts w:eastAsia="Calibri"/>
        </w:rPr>
        <w:t>,</w:t>
      </w:r>
      <w:r w:rsidRPr="00D43F59">
        <w:rPr>
          <w:rFonts w:eastAsia="Calibri"/>
        </w:rPr>
        <w:t xml:space="preserve"> </w:t>
      </w:r>
      <w:r w:rsidR="001B0341" w:rsidRPr="00D43F59">
        <w:rPr>
          <w:rFonts w:eastAsia="Calibri"/>
        </w:rPr>
        <w:t xml:space="preserve">owing </w:t>
      </w:r>
      <w:r w:rsidRPr="00D43F59">
        <w:rPr>
          <w:rFonts w:eastAsia="Calibri"/>
        </w:rPr>
        <w:t xml:space="preserve">to the nature of the restrictions </w:t>
      </w:r>
      <w:r w:rsidR="00022260" w:rsidRPr="00D43F59">
        <w:rPr>
          <w:rFonts w:eastAsia="Calibri"/>
        </w:rPr>
        <w:t xml:space="preserve">that </w:t>
      </w:r>
      <w:r w:rsidRPr="00D43F59">
        <w:rPr>
          <w:rFonts w:eastAsia="Calibri"/>
        </w:rPr>
        <w:t xml:space="preserve">are already placed upon them and their limited capacity to take precautionary measures. Within prisons and other </w:t>
      </w:r>
      <w:r w:rsidRPr="00D43F59">
        <w:rPr>
          <w:rFonts w:eastAsia="Calibri"/>
        </w:rPr>
        <w:lastRenderedPageBreak/>
        <w:t xml:space="preserve">detention settings, many of which are </w:t>
      </w:r>
      <w:proofErr w:type="gramStart"/>
      <w:r w:rsidRPr="00D43F59">
        <w:rPr>
          <w:rFonts w:eastAsia="Calibri"/>
        </w:rPr>
        <w:t>severely</w:t>
      </w:r>
      <w:proofErr w:type="gramEnd"/>
      <w:r w:rsidRPr="00D43F59">
        <w:rPr>
          <w:rFonts w:eastAsia="Calibri"/>
        </w:rPr>
        <w:t xml:space="preserve"> overcrowded and insanitary, there are also increasingly acute problems. </w:t>
      </w:r>
    </w:p>
    <w:p w14:paraId="787BBAC7" w14:textId="104CBCF9" w:rsidR="00F51FDD" w:rsidRPr="00D43F59" w:rsidRDefault="0072728A" w:rsidP="004429CE">
      <w:pPr>
        <w:pStyle w:val="ParaNoG"/>
        <w:numPr>
          <w:ilvl w:val="0"/>
          <w:numId w:val="8"/>
        </w:numPr>
        <w:tabs>
          <w:tab w:val="num" w:pos="0"/>
        </w:tabs>
        <w:ind w:left="1134" w:firstLine="0"/>
        <w:rPr>
          <w:rFonts w:eastAsia="Calibri"/>
        </w:rPr>
      </w:pPr>
      <w:r w:rsidRPr="00D43F59">
        <w:rPr>
          <w:rFonts w:eastAsia="Calibri"/>
        </w:rPr>
        <w:t xml:space="preserve">In several countries measures taken to combat the pandemic in places of deprivation of liberty have already led to disturbances </w:t>
      </w:r>
      <w:r w:rsidR="00F51FDD" w:rsidRPr="00D43F59">
        <w:rPr>
          <w:rFonts w:eastAsia="Calibri"/>
        </w:rPr>
        <w:t xml:space="preserve">both inside and outside of </w:t>
      </w:r>
      <w:r w:rsidRPr="00D43F59">
        <w:rPr>
          <w:rFonts w:eastAsia="Calibri"/>
        </w:rPr>
        <w:t xml:space="preserve">detention facilities and </w:t>
      </w:r>
      <w:r w:rsidR="00F51FDD" w:rsidRPr="00D43F59">
        <w:rPr>
          <w:rFonts w:eastAsia="Calibri"/>
        </w:rPr>
        <w:t xml:space="preserve">to </w:t>
      </w:r>
      <w:r w:rsidRPr="00D43F59">
        <w:t>the</w:t>
      </w:r>
      <w:r w:rsidRPr="00D43F59">
        <w:rPr>
          <w:rFonts w:eastAsia="Calibri"/>
        </w:rPr>
        <w:t xml:space="preserve"> loss of li</w:t>
      </w:r>
      <w:r w:rsidR="00F51FDD" w:rsidRPr="00D43F59">
        <w:rPr>
          <w:rFonts w:eastAsia="Calibri"/>
        </w:rPr>
        <w:t>fe</w:t>
      </w:r>
      <w:r w:rsidRPr="00D43F59">
        <w:rPr>
          <w:rFonts w:eastAsia="Calibri"/>
        </w:rPr>
        <w:t xml:space="preserve">. Against this background, </w:t>
      </w:r>
      <w:r w:rsidR="00F51FDD" w:rsidRPr="00D43F59">
        <w:rPr>
          <w:rFonts w:eastAsia="Calibri"/>
        </w:rPr>
        <w:t xml:space="preserve">it is essential that </w:t>
      </w:r>
      <w:r w:rsidRPr="00D43F59">
        <w:rPr>
          <w:rFonts w:eastAsia="Calibri"/>
        </w:rPr>
        <w:t xml:space="preserve">State authorities </w:t>
      </w:r>
      <w:r w:rsidR="00DC0FB5" w:rsidRPr="00D43F59">
        <w:rPr>
          <w:rFonts w:eastAsia="Calibri"/>
        </w:rPr>
        <w:t xml:space="preserve">take </w:t>
      </w:r>
      <w:r w:rsidRPr="00D43F59">
        <w:rPr>
          <w:rFonts w:eastAsia="Calibri"/>
        </w:rPr>
        <w:t xml:space="preserve">full account of </w:t>
      </w:r>
      <w:r w:rsidR="00DC0FB5" w:rsidRPr="00D43F59">
        <w:rPr>
          <w:rFonts w:eastAsia="Calibri"/>
        </w:rPr>
        <w:t xml:space="preserve">all the </w:t>
      </w:r>
      <w:r w:rsidRPr="00D43F59">
        <w:rPr>
          <w:rFonts w:eastAsia="Calibri"/>
        </w:rPr>
        <w:t>right</w:t>
      </w:r>
      <w:r w:rsidR="00DC0FB5" w:rsidRPr="00D43F59">
        <w:rPr>
          <w:rFonts w:eastAsia="Calibri"/>
        </w:rPr>
        <w:t>s</w:t>
      </w:r>
      <w:r w:rsidRPr="00D43F59">
        <w:rPr>
          <w:rFonts w:eastAsia="Calibri"/>
        </w:rPr>
        <w:t xml:space="preserve"> of person</w:t>
      </w:r>
      <w:r w:rsidR="00CE6B49">
        <w:rPr>
          <w:rFonts w:eastAsia="Calibri"/>
        </w:rPr>
        <w:t>s</w:t>
      </w:r>
      <w:r w:rsidRPr="00D43F59">
        <w:rPr>
          <w:rFonts w:eastAsia="Calibri"/>
        </w:rPr>
        <w:t xml:space="preserve"> deprived of liberty </w:t>
      </w:r>
      <w:r w:rsidR="00DC0FB5" w:rsidRPr="00D43F59">
        <w:rPr>
          <w:rFonts w:eastAsia="Calibri"/>
        </w:rPr>
        <w:t>and their families</w:t>
      </w:r>
      <w:r w:rsidR="00D30612" w:rsidRPr="00D43F59">
        <w:rPr>
          <w:rFonts w:eastAsia="Calibri"/>
        </w:rPr>
        <w:t>, as well as</w:t>
      </w:r>
      <w:r w:rsidR="00312F33">
        <w:rPr>
          <w:rFonts w:eastAsia="Calibri"/>
        </w:rPr>
        <w:t xml:space="preserve"> of all </w:t>
      </w:r>
      <w:r w:rsidR="00312F33">
        <w:t xml:space="preserve">staff and personnel working in detention facilities, including </w:t>
      </w:r>
      <w:r w:rsidR="00F51FDD" w:rsidRPr="00D43F59">
        <w:rPr>
          <w:rFonts w:eastAsia="Calibri"/>
        </w:rPr>
        <w:t>health</w:t>
      </w:r>
      <w:r w:rsidR="00D30612" w:rsidRPr="00D43F59">
        <w:rPr>
          <w:rFonts w:eastAsia="Calibri"/>
        </w:rPr>
        <w:t>-</w:t>
      </w:r>
      <w:r w:rsidR="00F51FDD" w:rsidRPr="00D43F59">
        <w:rPr>
          <w:rFonts w:eastAsia="Calibri"/>
        </w:rPr>
        <w:t>care staff</w:t>
      </w:r>
      <w:r w:rsidR="00D30612" w:rsidRPr="00D43F59">
        <w:rPr>
          <w:rFonts w:eastAsia="Calibri"/>
        </w:rPr>
        <w:t>,</w:t>
      </w:r>
      <w:r w:rsidR="00F51FDD" w:rsidRPr="00D43F59">
        <w:rPr>
          <w:rFonts w:eastAsia="Calibri"/>
        </w:rPr>
        <w:t xml:space="preserve"> </w:t>
      </w:r>
      <w:r w:rsidR="00DC0FB5" w:rsidRPr="00D43F59">
        <w:rPr>
          <w:rFonts w:eastAsia="Calibri"/>
        </w:rPr>
        <w:t xml:space="preserve">when taking measures to combat the pandemic. </w:t>
      </w:r>
    </w:p>
    <w:p w14:paraId="3DB95D87" w14:textId="52CFCA36" w:rsidR="0072728A" w:rsidRPr="00D43F59" w:rsidRDefault="009B2339" w:rsidP="004429CE">
      <w:pPr>
        <w:pStyle w:val="ParaNoG"/>
        <w:numPr>
          <w:ilvl w:val="0"/>
          <w:numId w:val="8"/>
        </w:numPr>
        <w:tabs>
          <w:tab w:val="num" w:pos="0"/>
        </w:tabs>
        <w:ind w:left="1134" w:firstLine="0"/>
        <w:rPr>
          <w:rFonts w:eastAsia="Calibri"/>
        </w:rPr>
      </w:pPr>
      <w:r w:rsidRPr="00D43F59">
        <w:rPr>
          <w:rFonts w:eastAsia="Calibri"/>
        </w:rPr>
        <w:t>Measures taken to help address the risk to detainees and to staff in places of detention should reflect the approaches set out in th</w:t>
      </w:r>
      <w:r w:rsidR="00D30612" w:rsidRPr="00D43F59">
        <w:rPr>
          <w:rFonts w:eastAsia="Calibri"/>
        </w:rPr>
        <w:t>e present advice</w:t>
      </w:r>
      <w:r w:rsidRPr="00D43F59">
        <w:rPr>
          <w:rFonts w:eastAsia="Calibri"/>
        </w:rPr>
        <w:t xml:space="preserve">, and in particular the principles </w:t>
      </w:r>
      <w:r w:rsidR="00D840BF" w:rsidRPr="00D43F59">
        <w:rPr>
          <w:rFonts w:eastAsia="Calibri"/>
        </w:rPr>
        <w:t>of</w:t>
      </w:r>
      <w:r w:rsidRPr="00D43F59">
        <w:rPr>
          <w:rFonts w:eastAsia="Calibri"/>
        </w:rPr>
        <w:t xml:space="preserve"> </w:t>
      </w:r>
      <w:r w:rsidR="00D30612" w:rsidRPr="00D43F59">
        <w:rPr>
          <w:rFonts w:eastAsia="Calibri"/>
        </w:rPr>
        <w:t>“</w:t>
      </w:r>
      <w:r w:rsidR="00D840BF" w:rsidRPr="00D43F59">
        <w:rPr>
          <w:rFonts w:eastAsia="Calibri"/>
        </w:rPr>
        <w:t>do no harm</w:t>
      </w:r>
      <w:r w:rsidR="00D30612" w:rsidRPr="00D43F59">
        <w:rPr>
          <w:rFonts w:eastAsia="Calibri"/>
        </w:rPr>
        <w:t>”</w:t>
      </w:r>
      <w:r w:rsidR="00D840BF" w:rsidRPr="00D43F59">
        <w:rPr>
          <w:rFonts w:eastAsia="Calibri"/>
        </w:rPr>
        <w:t xml:space="preserve"> and </w:t>
      </w:r>
      <w:r w:rsidR="00D30612" w:rsidRPr="00D43F59">
        <w:rPr>
          <w:rFonts w:eastAsia="Calibri"/>
        </w:rPr>
        <w:t>“</w:t>
      </w:r>
      <w:r w:rsidRPr="00D43F59">
        <w:rPr>
          <w:rFonts w:eastAsia="Calibri"/>
        </w:rPr>
        <w:t>equivalence of care</w:t>
      </w:r>
      <w:r w:rsidR="00D30612" w:rsidRPr="00D43F59">
        <w:rPr>
          <w:rFonts w:eastAsia="Calibri"/>
        </w:rPr>
        <w:t>”</w:t>
      </w:r>
      <w:r w:rsidRPr="00D43F59">
        <w:rPr>
          <w:rFonts w:eastAsia="Calibri"/>
        </w:rPr>
        <w:t xml:space="preserve">. </w:t>
      </w:r>
      <w:r w:rsidR="00F51FDD" w:rsidRPr="00D43F59">
        <w:rPr>
          <w:rFonts w:eastAsia="Calibri"/>
        </w:rPr>
        <w:t xml:space="preserve">It is </w:t>
      </w:r>
      <w:r w:rsidRPr="00D43F59">
        <w:rPr>
          <w:rFonts w:eastAsia="Calibri"/>
        </w:rPr>
        <w:t xml:space="preserve">also </w:t>
      </w:r>
      <w:r w:rsidR="00F51FDD" w:rsidRPr="00D43F59">
        <w:rPr>
          <w:rFonts w:eastAsia="Calibri"/>
        </w:rPr>
        <w:t xml:space="preserve">important that there </w:t>
      </w:r>
      <w:r w:rsidR="00D30612" w:rsidRPr="00D43F59">
        <w:rPr>
          <w:rFonts w:eastAsia="Calibri"/>
        </w:rPr>
        <w:t>be</w:t>
      </w:r>
      <w:r w:rsidR="00F51FDD" w:rsidRPr="00D43F59">
        <w:rPr>
          <w:rFonts w:eastAsia="Calibri"/>
        </w:rPr>
        <w:t xml:space="preserve"> t</w:t>
      </w:r>
      <w:r w:rsidR="00DC0FB5" w:rsidRPr="00D43F59">
        <w:rPr>
          <w:rFonts w:eastAsia="Calibri"/>
        </w:rPr>
        <w:t xml:space="preserve">ransparent </w:t>
      </w:r>
      <w:r w:rsidR="00DC0FB5" w:rsidRPr="00D43F59">
        <w:t>communication</w:t>
      </w:r>
      <w:r w:rsidR="00DC0FB5" w:rsidRPr="00D43F59">
        <w:rPr>
          <w:rFonts w:eastAsia="Calibri"/>
        </w:rPr>
        <w:t xml:space="preserve"> </w:t>
      </w:r>
      <w:r w:rsidR="00D840BF" w:rsidRPr="00D43F59">
        <w:rPr>
          <w:rFonts w:eastAsia="Calibri"/>
        </w:rPr>
        <w:t xml:space="preserve">to all </w:t>
      </w:r>
      <w:r w:rsidR="00F51FDD" w:rsidRPr="00D43F59">
        <w:rPr>
          <w:rFonts w:eastAsia="Calibri"/>
        </w:rPr>
        <w:t xml:space="preserve">persons deprived of liberty, their families and the media concerning the measures being taken and the reasons for them.  </w:t>
      </w:r>
    </w:p>
    <w:p w14:paraId="0B45D9FD" w14:textId="09209502" w:rsidR="00702831" w:rsidRPr="00D43F59" w:rsidRDefault="00702831" w:rsidP="004429CE">
      <w:pPr>
        <w:pStyle w:val="ParaNoG"/>
        <w:numPr>
          <w:ilvl w:val="0"/>
          <w:numId w:val="8"/>
        </w:numPr>
        <w:tabs>
          <w:tab w:val="num" w:pos="0"/>
        </w:tabs>
        <w:ind w:left="1134" w:firstLine="0"/>
        <w:rPr>
          <w:rFonts w:eastAsia="Calibri"/>
        </w:rPr>
      </w:pPr>
      <w:r w:rsidRPr="00D43F59">
        <w:rPr>
          <w:rFonts w:eastAsia="Calibri"/>
        </w:rPr>
        <w:t>The prohibition of torture</w:t>
      </w:r>
      <w:r w:rsidR="00383A84">
        <w:rPr>
          <w:rFonts w:eastAsia="Calibri"/>
        </w:rPr>
        <w:t xml:space="preserve"> and other</w:t>
      </w:r>
      <w:r w:rsidRPr="00D43F59">
        <w:rPr>
          <w:rFonts w:eastAsia="Calibri"/>
        </w:rPr>
        <w:t xml:space="preserve"> cruel</w:t>
      </w:r>
      <w:r w:rsidR="0070234F" w:rsidRPr="00D43F59">
        <w:rPr>
          <w:rFonts w:eastAsia="Calibri"/>
        </w:rPr>
        <w:t>,</w:t>
      </w:r>
      <w:r w:rsidRPr="00D43F59">
        <w:rPr>
          <w:rFonts w:eastAsia="Calibri"/>
        </w:rPr>
        <w:t xml:space="preserve"> inhuman or degrading treatment or punishment cannot be derogated from, even during exceptional circumstances and emergencies </w:t>
      </w:r>
      <w:r w:rsidR="0070234F" w:rsidRPr="00D43F59">
        <w:rPr>
          <w:rFonts w:eastAsia="Calibri"/>
        </w:rPr>
        <w:t xml:space="preserve">that </w:t>
      </w:r>
      <w:r w:rsidRPr="00D43F59">
        <w:rPr>
          <w:rFonts w:eastAsia="Calibri"/>
        </w:rPr>
        <w:t>threaten the life of the nation.</w:t>
      </w:r>
      <w:r w:rsidRPr="00D43F59">
        <w:rPr>
          <w:rFonts w:eastAsia="Calibri"/>
          <w:vertAlign w:val="superscript"/>
        </w:rPr>
        <w:footnoteReference w:id="3"/>
      </w:r>
      <w:r w:rsidRPr="00D43F59">
        <w:rPr>
          <w:rFonts w:eastAsia="Calibri"/>
        </w:rPr>
        <w:t xml:space="preserve"> The </w:t>
      </w:r>
      <w:r w:rsidR="00EC6FCB" w:rsidRPr="00D43F59">
        <w:rPr>
          <w:rFonts w:eastAsia="Calibri"/>
        </w:rPr>
        <w:t>Subcommittee</w:t>
      </w:r>
      <w:r w:rsidRPr="00D43F59">
        <w:rPr>
          <w:rFonts w:eastAsia="Calibri"/>
        </w:rPr>
        <w:t xml:space="preserve"> has already issued guidance confirming that formal places of quarantine fall within the mandate</w:t>
      </w:r>
      <w:r w:rsidR="009B6A1D" w:rsidRPr="00D43F59">
        <w:rPr>
          <w:rFonts w:eastAsia="Calibri"/>
        </w:rPr>
        <w:t xml:space="preserve"> of the </w:t>
      </w:r>
      <w:r w:rsidR="009B6A1D" w:rsidRPr="00D43F59">
        <w:t>Optional Protocol to the Convention against Torture and Other Cruel, Inhuman or Degrading Treatment or Punishment</w:t>
      </w:r>
      <w:r w:rsidR="0070234F" w:rsidRPr="00D43F59">
        <w:t xml:space="preserve"> (CAT/OP/40/1)</w:t>
      </w:r>
      <w:r w:rsidRPr="00D43F59">
        <w:rPr>
          <w:rFonts w:eastAsia="Calibri"/>
        </w:rPr>
        <w:t xml:space="preserve">. It inexorably follows that </w:t>
      </w:r>
      <w:r w:rsidR="00B0570B" w:rsidRPr="00D43F59">
        <w:rPr>
          <w:rFonts w:eastAsia="Calibri"/>
        </w:rPr>
        <w:t xml:space="preserve">all other places </w:t>
      </w:r>
      <w:r w:rsidRPr="00D43F59">
        <w:rPr>
          <w:rFonts w:eastAsia="Calibri"/>
        </w:rPr>
        <w:t xml:space="preserve">from which persons are prevented from leaving for similar purposes fall within the scope of the mandate </w:t>
      </w:r>
      <w:r w:rsidR="009B6A1D" w:rsidRPr="00D43F59">
        <w:rPr>
          <w:rFonts w:eastAsia="Calibri"/>
        </w:rPr>
        <w:t xml:space="preserve">of the Optional Protocol </w:t>
      </w:r>
      <w:r w:rsidRPr="00D43F59">
        <w:rPr>
          <w:rFonts w:eastAsia="Calibri"/>
        </w:rPr>
        <w:t xml:space="preserve">and thus within the sphere of oversight of both the </w:t>
      </w:r>
      <w:r w:rsidR="00EC6FCB" w:rsidRPr="00D43F59">
        <w:rPr>
          <w:rFonts w:eastAsia="Calibri"/>
        </w:rPr>
        <w:t>Subcommittee</w:t>
      </w:r>
      <w:r w:rsidRPr="00D43F59">
        <w:rPr>
          <w:rFonts w:eastAsia="Calibri"/>
        </w:rPr>
        <w:t xml:space="preserve"> and of </w:t>
      </w:r>
      <w:r w:rsidR="00DE3724" w:rsidRPr="00D43F59">
        <w:rPr>
          <w:rFonts w:eastAsia="Calibri"/>
        </w:rPr>
        <w:t xml:space="preserve">the </w:t>
      </w:r>
      <w:r w:rsidR="00EC6FCB" w:rsidRPr="00D43F59">
        <w:rPr>
          <w:rFonts w:eastAsia="Calibri"/>
        </w:rPr>
        <w:t>n</w:t>
      </w:r>
      <w:r w:rsidRPr="00D43F59">
        <w:rPr>
          <w:rFonts w:eastAsia="Calibri"/>
        </w:rPr>
        <w:t xml:space="preserve">ational </w:t>
      </w:r>
      <w:r w:rsidR="00EC6FCB" w:rsidRPr="00D43F59">
        <w:rPr>
          <w:rFonts w:eastAsia="Calibri"/>
        </w:rPr>
        <w:t>p</w:t>
      </w:r>
      <w:r w:rsidRPr="00D43F59">
        <w:rPr>
          <w:rFonts w:eastAsia="Calibri"/>
        </w:rPr>
        <w:t xml:space="preserve">reventive </w:t>
      </w:r>
      <w:r w:rsidR="00EC6FCB" w:rsidRPr="00D43F59">
        <w:rPr>
          <w:rFonts w:eastAsia="Calibri"/>
        </w:rPr>
        <w:t>m</w:t>
      </w:r>
      <w:r w:rsidRPr="00D43F59">
        <w:rPr>
          <w:rFonts w:eastAsia="Calibri"/>
        </w:rPr>
        <w:t>echanisms established within the framework</w:t>
      </w:r>
      <w:r w:rsidR="00EC6FCB" w:rsidRPr="00D43F59">
        <w:rPr>
          <w:rFonts w:eastAsia="Calibri"/>
        </w:rPr>
        <w:t xml:space="preserve"> of the Optional Protocol</w:t>
      </w:r>
      <w:r w:rsidRPr="00D43F59">
        <w:rPr>
          <w:rFonts w:eastAsia="Calibri"/>
        </w:rPr>
        <w:t>.</w:t>
      </w:r>
    </w:p>
    <w:p w14:paraId="11C87F80" w14:textId="4D11DE77" w:rsidR="00D840BF" w:rsidRPr="00D43F59" w:rsidRDefault="00702831" w:rsidP="004429CE">
      <w:pPr>
        <w:pStyle w:val="ParaNoG"/>
        <w:numPr>
          <w:ilvl w:val="0"/>
          <w:numId w:val="8"/>
        </w:numPr>
        <w:tabs>
          <w:tab w:val="num" w:pos="0"/>
        </w:tabs>
        <w:ind w:left="1134" w:firstLine="0"/>
      </w:pPr>
      <w:r w:rsidRPr="00D43F59">
        <w:rPr>
          <w:rFonts w:eastAsia="Calibri"/>
        </w:rPr>
        <w:t xml:space="preserve">Numerous </w:t>
      </w:r>
      <w:r w:rsidR="00EC6FCB" w:rsidRPr="00D43F59">
        <w:rPr>
          <w:rFonts w:eastAsia="Calibri"/>
        </w:rPr>
        <w:t>national preventive mechanisms</w:t>
      </w:r>
      <w:r w:rsidRPr="00D43F59">
        <w:rPr>
          <w:rFonts w:eastAsia="Calibri"/>
        </w:rPr>
        <w:t xml:space="preserve"> have asked the </w:t>
      </w:r>
      <w:r w:rsidR="00EC6FCB" w:rsidRPr="00D43F59">
        <w:rPr>
          <w:rFonts w:eastAsia="Calibri"/>
        </w:rPr>
        <w:t>Subcommittee</w:t>
      </w:r>
      <w:r w:rsidRPr="00D43F59">
        <w:rPr>
          <w:rFonts w:eastAsia="Calibri"/>
        </w:rPr>
        <w:t xml:space="preserve"> for further advice regarding their response to this</w:t>
      </w:r>
      <w:r w:rsidRPr="00D43F59">
        <w:t xml:space="preserve"> situation. Naturally, as autonomous bodies, </w:t>
      </w:r>
      <w:r w:rsidR="00EC6FCB" w:rsidRPr="00D43F59">
        <w:t>national preventive mechanisms</w:t>
      </w:r>
      <w:r w:rsidRPr="00D43F59">
        <w:t xml:space="preserve"> are free to determine how best to respond to the challenges posed by the </w:t>
      </w:r>
      <w:r w:rsidR="00322811" w:rsidRPr="00D43F59">
        <w:t xml:space="preserve">pandemic </w:t>
      </w:r>
      <w:r w:rsidRPr="00D43F59">
        <w:t xml:space="preserve">within their respective jurisdictions. The </w:t>
      </w:r>
      <w:r w:rsidR="00EC6FCB" w:rsidRPr="00D43F59">
        <w:t>Subcommittee</w:t>
      </w:r>
      <w:r w:rsidRPr="00D43F59">
        <w:t xml:space="preserve"> remains available to respond to any specific </w:t>
      </w:r>
      <w:r w:rsidRPr="00D43F59">
        <w:lastRenderedPageBreak/>
        <w:t xml:space="preserve">request for guidance that it may </w:t>
      </w:r>
      <w:r w:rsidR="00322811" w:rsidRPr="00D43F59">
        <w:t xml:space="preserve">be </w:t>
      </w:r>
      <w:r w:rsidR="00664A0D" w:rsidRPr="00D43F59">
        <w:t>asked to give</w:t>
      </w:r>
      <w:r w:rsidRPr="00D43F59">
        <w:t xml:space="preserve">. The </w:t>
      </w:r>
      <w:r w:rsidR="00EC6FCB" w:rsidRPr="00D43F59">
        <w:t>Subcommittee</w:t>
      </w:r>
      <w:r w:rsidRPr="00D43F59">
        <w:t xml:space="preserve"> is aware that a number of valuable statements have already been issued by various global and regional organi</w:t>
      </w:r>
      <w:r w:rsidR="009B6A1D" w:rsidRPr="00D43F59">
        <w:t>z</w:t>
      </w:r>
      <w:r w:rsidRPr="00D43F59">
        <w:t>ations</w:t>
      </w:r>
      <w:r w:rsidR="00540D22" w:rsidRPr="00D43F59">
        <w:t>,</w:t>
      </w:r>
      <w:r w:rsidRPr="00D43F59">
        <w:t xml:space="preserve"> which it commends to the consideration of States </w:t>
      </w:r>
      <w:r w:rsidR="00540D22" w:rsidRPr="00D43F59">
        <w:t>p</w:t>
      </w:r>
      <w:r w:rsidRPr="00D43F59">
        <w:t xml:space="preserve">arties and </w:t>
      </w:r>
      <w:r w:rsidR="00EC6FCB" w:rsidRPr="00D43F59">
        <w:t>national preventive mechanisms</w:t>
      </w:r>
      <w:r w:rsidRPr="00D43F59">
        <w:t>.</w:t>
      </w:r>
      <w:r w:rsidRPr="00D43F59">
        <w:rPr>
          <w:vertAlign w:val="superscript"/>
        </w:rPr>
        <w:footnoteReference w:id="4"/>
      </w:r>
      <w:r w:rsidRPr="00D43F59">
        <w:t xml:space="preserve"> The purpose of th</w:t>
      </w:r>
      <w:r w:rsidR="00322811" w:rsidRPr="00D43F59">
        <w:t xml:space="preserve">e present </w:t>
      </w:r>
      <w:r w:rsidR="00317CF4" w:rsidRPr="00D43F59">
        <w:t>a</w:t>
      </w:r>
      <w:r w:rsidRPr="00D43F59">
        <w:t>dvice is</w:t>
      </w:r>
      <w:r w:rsidR="00322811" w:rsidRPr="00D43F59">
        <w:t xml:space="preserve"> </w:t>
      </w:r>
      <w:r w:rsidR="00D840BF" w:rsidRPr="00D43F59">
        <w:t xml:space="preserve">also </w:t>
      </w:r>
      <w:r w:rsidR="00322811" w:rsidRPr="00D43F59">
        <w:t xml:space="preserve">to </w:t>
      </w:r>
      <w:r w:rsidRPr="00D43F59">
        <w:t xml:space="preserve">offer general guidance within the framework of the </w:t>
      </w:r>
      <w:r w:rsidR="000C6B1A" w:rsidRPr="00D43F59">
        <w:t xml:space="preserve">Optional Protocol </w:t>
      </w:r>
      <w:r w:rsidRPr="00D43F59">
        <w:t xml:space="preserve">for all those responsible for, and undertaking preventive visits to, places of deprivation of liberty. </w:t>
      </w:r>
    </w:p>
    <w:p w14:paraId="53D01B01" w14:textId="719229E3" w:rsidR="00702831" w:rsidRPr="00D43F59" w:rsidRDefault="00C122C5" w:rsidP="004429CE">
      <w:pPr>
        <w:pStyle w:val="ParaNoG"/>
        <w:numPr>
          <w:ilvl w:val="0"/>
          <w:numId w:val="8"/>
        </w:numPr>
        <w:tabs>
          <w:tab w:val="num" w:pos="0"/>
        </w:tabs>
        <w:ind w:left="1134" w:firstLine="0"/>
      </w:pPr>
      <w:r w:rsidRPr="00D43F59">
        <w:t>T</w:t>
      </w:r>
      <w:r w:rsidR="00702831" w:rsidRPr="00D43F59">
        <w:t xml:space="preserve">he </w:t>
      </w:r>
      <w:r w:rsidR="00EC6FCB" w:rsidRPr="00D43F59">
        <w:t>Subcommittee</w:t>
      </w:r>
      <w:r w:rsidR="00702831" w:rsidRPr="00D43F59">
        <w:t xml:space="preserve"> would emphasi</w:t>
      </w:r>
      <w:r w:rsidR="00EB655F" w:rsidRPr="00D43F59">
        <w:t>z</w:t>
      </w:r>
      <w:r w:rsidR="00702831" w:rsidRPr="00D43F59">
        <w:t>e that whil</w:t>
      </w:r>
      <w:r w:rsidR="00EB655F" w:rsidRPr="00D43F59">
        <w:t>e</w:t>
      </w:r>
      <w:r w:rsidR="00702831" w:rsidRPr="00D43F59">
        <w:t xml:space="preserve"> the manner in which preventive visiting is conducted will almost certainly be affected by necessary measures taken in the interests of public health, this does not mean that preventive visiting should cease. On the contrary, the potential exposure to the risk of ill-treatment faced by those in places of detention may be heightened as a consequence of such </w:t>
      </w:r>
      <w:r w:rsidRPr="00D43F59">
        <w:t xml:space="preserve">public health </w:t>
      </w:r>
      <w:r w:rsidR="00702831" w:rsidRPr="00D43F59">
        <w:t>measures</w:t>
      </w:r>
      <w:r w:rsidRPr="00D43F59">
        <w:t xml:space="preserve"> taken</w:t>
      </w:r>
      <w:r w:rsidR="00702831" w:rsidRPr="00D43F59">
        <w:t xml:space="preserve">. The </w:t>
      </w:r>
      <w:r w:rsidR="00EC6FCB" w:rsidRPr="00D43F59">
        <w:t>Subcommittee</w:t>
      </w:r>
      <w:r w:rsidR="00702831" w:rsidRPr="00D43F59">
        <w:t xml:space="preserve"> considers that </w:t>
      </w:r>
      <w:r w:rsidR="00EC6FCB" w:rsidRPr="00D43F59">
        <w:t>national preventive mechanisms</w:t>
      </w:r>
      <w:r w:rsidR="00702831" w:rsidRPr="00D43F59">
        <w:t xml:space="preserve"> should continue to undertake visits of a preventive nature, respecting necessary limitations on the manner in which their visits are undertaken. It is particularly important at this time that </w:t>
      </w:r>
      <w:r w:rsidR="00EC6FCB" w:rsidRPr="00D43F59">
        <w:t>national preventive mechanisms</w:t>
      </w:r>
      <w:r w:rsidR="00702831" w:rsidRPr="00D43F59">
        <w:t xml:space="preserve"> ensure that effective measures are taken to reduce the possibility of detainees suffering forms of inhuman and degrading treatment as a result of the very real pressures </w:t>
      </w:r>
      <w:r w:rsidR="00317CF4" w:rsidRPr="00D43F59">
        <w:t>that</w:t>
      </w:r>
      <w:r w:rsidR="00702831" w:rsidRPr="00D43F59">
        <w:t xml:space="preserve"> detention systems and those responsible for them now face. </w:t>
      </w:r>
    </w:p>
    <w:p w14:paraId="71A8D678" w14:textId="519E34CF" w:rsidR="00702831" w:rsidRPr="00D43F59" w:rsidRDefault="001E688C" w:rsidP="001E688C">
      <w:pPr>
        <w:pStyle w:val="HChG"/>
      </w:pPr>
      <w:r w:rsidRPr="00D43F59">
        <w:lastRenderedPageBreak/>
        <w:tab/>
        <w:t>II.</w:t>
      </w:r>
      <w:r w:rsidRPr="00D43F59">
        <w:tab/>
      </w:r>
      <w:r w:rsidR="00702831" w:rsidRPr="00D43F59">
        <w:t xml:space="preserve">Measures to be taken by authorities concerning </w:t>
      </w:r>
      <w:r w:rsidR="003A2340" w:rsidRPr="00D43F59">
        <w:t xml:space="preserve">all places of deprivation of liberty, </w:t>
      </w:r>
      <w:r w:rsidR="00702831" w:rsidRPr="00D43F59">
        <w:t xml:space="preserve">including </w:t>
      </w:r>
      <w:r w:rsidR="003A2340" w:rsidRPr="00D43F59">
        <w:t xml:space="preserve">detention facilities, </w:t>
      </w:r>
      <w:r w:rsidR="00702831" w:rsidRPr="00D43F59">
        <w:t>immigration detention</w:t>
      </w:r>
      <w:r w:rsidR="00B92C31" w:rsidRPr="00D43F59">
        <w:t xml:space="preserve"> centres</w:t>
      </w:r>
      <w:r w:rsidR="00702831" w:rsidRPr="00D43F59">
        <w:t>, closed refugee</w:t>
      </w:r>
      <w:r w:rsidR="00052BEF" w:rsidRPr="00D43F59">
        <w:t xml:space="preserve"> camps, psychiatric hospitals</w:t>
      </w:r>
      <w:r w:rsidR="00702831" w:rsidRPr="00D43F59">
        <w:t xml:space="preserve"> and </w:t>
      </w:r>
      <w:r w:rsidR="003A2340" w:rsidRPr="00D43F59">
        <w:t>other medical settings</w:t>
      </w:r>
    </w:p>
    <w:p w14:paraId="7538A304" w14:textId="42BAA104" w:rsidR="00702831" w:rsidRPr="006408B5" w:rsidRDefault="00702831" w:rsidP="00F75CC8">
      <w:pPr>
        <w:pStyle w:val="ParaNoG"/>
        <w:numPr>
          <w:ilvl w:val="0"/>
          <w:numId w:val="8"/>
        </w:numPr>
        <w:tabs>
          <w:tab w:val="num" w:pos="0"/>
        </w:tabs>
        <w:ind w:left="1134" w:firstLine="0"/>
        <w:rPr>
          <w:rFonts w:eastAsia="Calibri"/>
        </w:rPr>
      </w:pPr>
      <w:r w:rsidRPr="00D43F59">
        <w:rPr>
          <w:rFonts w:eastAsia="Calibri"/>
        </w:rPr>
        <w:t>It is axiomatic that the State is responsible for the health</w:t>
      </w:r>
      <w:r w:rsidR="00A7751E" w:rsidRPr="00D43F59">
        <w:rPr>
          <w:rFonts w:eastAsia="Calibri"/>
        </w:rPr>
        <w:t xml:space="preserve"> </w:t>
      </w:r>
      <w:r w:rsidRPr="00D43F59">
        <w:rPr>
          <w:rFonts w:eastAsia="Calibri"/>
        </w:rPr>
        <w:t>care of those who</w:t>
      </w:r>
      <w:r w:rsidR="00C122C5" w:rsidRPr="00D43F59">
        <w:rPr>
          <w:rFonts w:eastAsia="Calibri"/>
        </w:rPr>
        <w:t>m</w:t>
      </w:r>
      <w:r w:rsidRPr="00D43F59">
        <w:rPr>
          <w:rFonts w:eastAsia="Calibri"/>
        </w:rPr>
        <w:t xml:space="preserve"> it holds in custody</w:t>
      </w:r>
      <w:r w:rsidR="00A7751E" w:rsidRPr="00D43F59">
        <w:rPr>
          <w:rFonts w:eastAsia="Calibri"/>
        </w:rPr>
        <w:t>,</w:t>
      </w:r>
      <w:r w:rsidRPr="00D43F59">
        <w:rPr>
          <w:rFonts w:eastAsia="Calibri"/>
        </w:rPr>
        <w:t xml:space="preserve"> and that it has a duty of care to its </w:t>
      </w:r>
      <w:r w:rsidR="00312F33">
        <w:t xml:space="preserve">staff and personnel working in </w:t>
      </w:r>
      <w:r w:rsidRPr="00D43F59">
        <w:rPr>
          <w:rFonts w:eastAsia="Calibri"/>
        </w:rPr>
        <w:t xml:space="preserve">detention </w:t>
      </w:r>
      <w:r w:rsidR="00312F33">
        <w:rPr>
          <w:rFonts w:eastAsia="Calibri"/>
        </w:rPr>
        <w:t>facilities, including</w:t>
      </w:r>
      <w:r w:rsidRPr="00D43F59">
        <w:rPr>
          <w:rFonts w:eastAsia="Calibri"/>
        </w:rPr>
        <w:t xml:space="preserve"> health-care staff. </w:t>
      </w:r>
      <w:r w:rsidR="00A7751E" w:rsidRPr="00D43F59">
        <w:rPr>
          <w:rFonts w:eastAsia="Calibri"/>
        </w:rPr>
        <w:t>As set out in rule 24 of t</w:t>
      </w:r>
      <w:r w:rsidRPr="00D43F59">
        <w:rPr>
          <w:rFonts w:eastAsia="Calibri"/>
        </w:rPr>
        <w:t xml:space="preserve">he </w:t>
      </w:r>
      <w:r w:rsidR="00A7751E" w:rsidRPr="00D43F59">
        <w:rPr>
          <w:rFonts w:eastAsia="Calibri"/>
        </w:rPr>
        <w:t xml:space="preserve">United Nations Standard Minimum Rules for the Treatment of Prisoners (the </w:t>
      </w:r>
      <w:r w:rsidRPr="00D43F59">
        <w:rPr>
          <w:rFonts w:eastAsia="Calibri"/>
        </w:rPr>
        <w:t xml:space="preserve">Nelson Mandela </w:t>
      </w:r>
      <w:r w:rsidR="00C122C5" w:rsidRPr="00D43F59">
        <w:rPr>
          <w:rFonts w:eastAsia="Calibri"/>
        </w:rPr>
        <w:t>Rules</w:t>
      </w:r>
      <w:r w:rsidR="00A7751E" w:rsidRPr="00D43F59">
        <w:rPr>
          <w:rFonts w:eastAsia="Calibri"/>
        </w:rPr>
        <w:t>)</w:t>
      </w:r>
      <w:r w:rsidR="006408B5">
        <w:rPr>
          <w:rFonts w:eastAsia="Calibri"/>
        </w:rPr>
        <w:t xml:space="preserve">, </w:t>
      </w:r>
      <w:r w:rsidR="006408B5">
        <w:rPr>
          <w:rFonts w:eastAsia="Calibri"/>
          <w:iCs/>
        </w:rPr>
        <w:t>p</w:t>
      </w:r>
      <w:r w:rsidRPr="006408B5">
        <w:rPr>
          <w:rFonts w:eastAsia="Calibri"/>
          <w:iCs/>
        </w:rPr>
        <w:t>risoners should enjoy the same standards of health care that are available in the community, and should have access to necessary health-care services free of charge without discrimination on the grounds of their legal status</w:t>
      </w:r>
      <w:r w:rsidRPr="006408B5">
        <w:rPr>
          <w:rFonts w:eastAsia="Calibri"/>
        </w:rPr>
        <w:t>.</w:t>
      </w:r>
    </w:p>
    <w:p w14:paraId="18D2C02D" w14:textId="39588B98" w:rsidR="00702831" w:rsidRPr="00D43F59" w:rsidRDefault="00702831" w:rsidP="004429CE">
      <w:pPr>
        <w:pStyle w:val="ParaNoG"/>
        <w:numPr>
          <w:ilvl w:val="0"/>
          <w:numId w:val="8"/>
        </w:numPr>
        <w:tabs>
          <w:tab w:val="num" w:pos="0"/>
        </w:tabs>
        <w:ind w:left="1134" w:firstLine="0"/>
        <w:rPr>
          <w:rFonts w:eastAsia="Calibri"/>
        </w:rPr>
      </w:pPr>
      <w:r w:rsidRPr="00D43F59">
        <w:rPr>
          <w:rFonts w:eastAsia="Calibri"/>
        </w:rPr>
        <w:t xml:space="preserve">Given the heightened risk of contagion </w:t>
      </w:r>
      <w:r w:rsidR="004E616E" w:rsidRPr="00D43F59">
        <w:rPr>
          <w:rFonts w:eastAsia="Calibri"/>
        </w:rPr>
        <w:t xml:space="preserve">among </w:t>
      </w:r>
      <w:r w:rsidRPr="00D43F59">
        <w:rPr>
          <w:rFonts w:eastAsia="Calibri"/>
        </w:rPr>
        <w:t>those in custodial and other detenti</w:t>
      </w:r>
      <w:r w:rsidR="003A2340" w:rsidRPr="00D43F59">
        <w:rPr>
          <w:rFonts w:eastAsia="Calibri"/>
        </w:rPr>
        <w:t xml:space="preserve">on </w:t>
      </w:r>
      <w:r w:rsidR="003A2340" w:rsidRPr="00D43F59">
        <w:t>settings</w:t>
      </w:r>
      <w:r w:rsidR="003A2340" w:rsidRPr="00D43F59">
        <w:rPr>
          <w:rFonts w:eastAsia="Calibri"/>
        </w:rPr>
        <w:t xml:space="preserve">, the </w:t>
      </w:r>
      <w:r w:rsidR="00EC6FCB" w:rsidRPr="00D43F59">
        <w:rPr>
          <w:rFonts w:eastAsia="Calibri"/>
        </w:rPr>
        <w:t>Subcommittee</w:t>
      </w:r>
      <w:r w:rsidR="003A2340" w:rsidRPr="00D43F59">
        <w:rPr>
          <w:rFonts w:eastAsia="Calibri"/>
        </w:rPr>
        <w:t xml:space="preserve"> urges all S</w:t>
      </w:r>
      <w:r w:rsidRPr="00D43F59">
        <w:rPr>
          <w:rFonts w:eastAsia="Calibri"/>
        </w:rPr>
        <w:t>tates to:</w:t>
      </w:r>
    </w:p>
    <w:p w14:paraId="68232B3A" w14:textId="5841D131" w:rsidR="00702831" w:rsidRPr="00D43F59" w:rsidRDefault="004429CE" w:rsidP="00F75CC8">
      <w:pPr>
        <w:pStyle w:val="SingleTxtG"/>
        <w:ind w:firstLine="567"/>
        <w:rPr>
          <w:rFonts w:eastAsia="Calibri"/>
        </w:rPr>
      </w:pPr>
      <w:r w:rsidRPr="00D43F59">
        <w:rPr>
          <w:rFonts w:eastAsia="Calibri"/>
        </w:rPr>
        <w:t>(</w:t>
      </w:r>
      <w:r w:rsidR="000C6B1A" w:rsidRPr="00D43F59">
        <w:rPr>
          <w:rFonts w:eastAsia="Calibri"/>
        </w:rPr>
        <w:t>a</w:t>
      </w:r>
      <w:r w:rsidRPr="00D43F59">
        <w:rPr>
          <w:rFonts w:eastAsia="Calibri"/>
        </w:rPr>
        <w:t>)</w:t>
      </w:r>
      <w:r w:rsidRPr="00D43F59">
        <w:rPr>
          <w:rFonts w:eastAsia="Calibri"/>
        </w:rPr>
        <w:tab/>
      </w:r>
      <w:r w:rsidR="00702831" w:rsidRPr="00D43F59">
        <w:rPr>
          <w:rFonts w:eastAsia="Calibri"/>
        </w:rPr>
        <w:t xml:space="preserve">Conduct urgent </w:t>
      </w:r>
      <w:r w:rsidR="00C93C17" w:rsidRPr="00D43F59">
        <w:rPr>
          <w:rFonts w:eastAsia="Calibri"/>
        </w:rPr>
        <w:t>a</w:t>
      </w:r>
      <w:r w:rsidR="00702831" w:rsidRPr="00D43F59">
        <w:rPr>
          <w:rFonts w:eastAsia="Calibri"/>
        </w:rPr>
        <w:t xml:space="preserve">ssessments to identify those </w:t>
      </w:r>
      <w:r w:rsidR="00C93C17" w:rsidRPr="00D43F59">
        <w:rPr>
          <w:rFonts w:eastAsia="Calibri"/>
        </w:rPr>
        <w:t>individual</w:t>
      </w:r>
      <w:r w:rsidR="00383A84">
        <w:rPr>
          <w:rFonts w:eastAsia="Calibri"/>
        </w:rPr>
        <w:t>s</w:t>
      </w:r>
      <w:r w:rsidR="00C93C17" w:rsidRPr="00D43F59">
        <w:rPr>
          <w:rFonts w:eastAsia="Calibri"/>
        </w:rPr>
        <w:t xml:space="preserve"> </w:t>
      </w:r>
      <w:r w:rsidR="00702831" w:rsidRPr="00D43F59">
        <w:rPr>
          <w:rFonts w:eastAsia="Calibri"/>
        </w:rPr>
        <w:t>most at risk within the detained populations</w:t>
      </w:r>
      <w:r w:rsidR="006270D9" w:rsidRPr="00D43F59">
        <w:rPr>
          <w:rFonts w:eastAsia="Calibri"/>
        </w:rPr>
        <w:t>, taking account of all particular vulnerable groups</w:t>
      </w:r>
      <w:r w:rsidR="008969C3" w:rsidRPr="00D43F59">
        <w:rPr>
          <w:rFonts w:eastAsia="Calibri"/>
        </w:rPr>
        <w:t>;</w:t>
      </w:r>
    </w:p>
    <w:p w14:paraId="283E48B5" w14:textId="700336C4" w:rsidR="00702831" w:rsidRPr="00D43F59" w:rsidRDefault="004429CE" w:rsidP="00F75CC8">
      <w:pPr>
        <w:pStyle w:val="SingleTxtG"/>
        <w:ind w:firstLine="567"/>
        <w:rPr>
          <w:rFonts w:eastAsia="Calibri"/>
        </w:rPr>
      </w:pPr>
      <w:r w:rsidRPr="00D43F59">
        <w:rPr>
          <w:rFonts w:eastAsia="Calibri"/>
        </w:rPr>
        <w:t>(</w:t>
      </w:r>
      <w:r w:rsidR="000C6B1A" w:rsidRPr="00D43F59">
        <w:rPr>
          <w:rFonts w:eastAsia="Calibri"/>
        </w:rPr>
        <w:t>b</w:t>
      </w:r>
      <w:r w:rsidRPr="00D43F59">
        <w:rPr>
          <w:rFonts w:eastAsia="Calibri"/>
        </w:rPr>
        <w:t>)</w:t>
      </w:r>
      <w:r w:rsidRPr="00D43F59">
        <w:rPr>
          <w:rFonts w:eastAsia="Calibri"/>
        </w:rPr>
        <w:tab/>
      </w:r>
      <w:r w:rsidR="00702831" w:rsidRPr="00D43F59">
        <w:rPr>
          <w:rFonts w:eastAsia="Calibri"/>
        </w:rPr>
        <w:t>Reduce prison populations</w:t>
      </w:r>
      <w:r w:rsidR="003A2340" w:rsidRPr="00D43F59">
        <w:rPr>
          <w:rFonts w:eastAsia="Calibri"/>
        </w:rPr>
        <w:t xml:space="preserve"> and other detention populations</w:t>
      </w:r>
      <w:r w:rsidR="00C57585" w:rsidRPr="00D43F59">
        <w:rPr>
          <w:rFonts w:eastAsia="Calibri"/>
        </w:rPr>
        <w:t>,</w:t>
      </w:r>
      <w:r w:rsidR="00702831" w:rsidRPr="00D43F59">
        <w:rPr>
          <w:rFonts w:eastAsia="Calibri"/>
        </w:rPr>
        <w:t xml:space="preserve"> wherever possible</w:t>
      </w:r>
      <w:r w:rsidR="00C57585" w:rsidRPr="00D43F59">
        <w:rPr>
          <w:rFonts w:eastAsia="Calibri"/>
        </w:rPr>
        <w:t>,</w:t>
      </w:r>
      <w:r w:rsidR="00702831" w:rsidRPr="00D43F59">
        <w:rPr>
          <w:rFonts w:eastAsia="Calibri"/>
        </w:rPr>
        <w:t xml:space="preserve"> by implementing schemes of early, provisional or temporary release for those detainees for whom it is safe to do so, taking full account of </w:t>
      </w:r>
      <w:r w:rsidR="00C57585" w:rsidRPr="00D43F59">
        <w:rPr>
          <w:rFonts w:eastAsia="Calibri"/>
        </w:rPr>
        <w:t xml:space="preserve">the </w:t>
      </w:r>
      <w:r w:rsidR="00702831" w:rsidRPr="00D43F59">
        <w:rPr>
          <w:rFonts w:eastAsia="Calibri"/>
        </w:rPr>
        <w:t>non-custodial measures indicated</w:t>
      </w:r>
      <w:r w:rsidR="00C57585" w:rsidRPr="00D43F59">
        <w:rPr>
          <w:rFonts w:eastAsia="Calibri"/>
        </w:rPr>
        <w:t>,</w:t>
      </w:r>
      <w:r w:rsidR="00702831" w:rsidRPr="00D43F59">
        <w:rPr>
          <w:rFonts w:eastAsia="Calibri"/>
        </w:rPr>
        <w:t xml:space="preserve"> as provided for in the </w:t>
      </w:r>
      <w:r w:rsidR="00777B4D" w:rsidRPr="00D43F59">
        <w:rPr>
          <w:rFonts w:eastAsia="Calibri"/>
        </w:rPr>
        <w:t xml:space="preserve">United Nations Standard Minimum Rules for Non-custodial Measures (the </w:t>
      </w:r>
      <w:r w:rsidR="00702831" w:rsidRPr="00D43F59">
        <w:rPr>
          <w:rFonts w:eastAsia="Calibri"/>
        </w:rPr>
        <w:t>Tokyo Rules</w:t>
      </w:r>
      <w:r w:rsidR="00777B4D" w:rsidRPr="00D43F59">
        <w:rPr>
          <w:rFonts w:eastAsia="Calibri"/>
        </w:rPr>
        <w:t>)</w:t>
      </w:r>
      <w:r w:rsidR="008969C3" w:rsidRPr="00D43F59">
        <w:rPr>
          <w:rFonts w:eastAsia="Calibri"/>
        </w:rPr>
        <w:t>;</w:t>
      </w:r>
    </w:p>
    <w:p w14:paraId="78780C29" w14:textId="0D55D619" w:rsidR="00702831" w:rsidRPr="00D43F59" w:rsidRDefault="004429CE" w:rsidP="00F75CC8">
      <w:pPr>
        <w:pStyle w:val="SingleTxtG"/>
        <w:ind w:firstLine="567"/>
        <w:rPr>
          <w:rFonts w:eastAsia="Calibri"/>
        </w:rPr>
      </w:pPr>
      <w:r w:rsidRPr="00D43F59">
        <w:rPr>
          <w:rFonts w:eastAsia="Calibri"/>
        </w:rPr>
        <w:t>(</w:t>
      </w:r>
      <w:r w:rsidR="000C6B1A" w:rsidRPr="00D43F59">
        <w:rPr>
          <w:rFonts w:eastAsia="Calibri"/>
        </w:rPr>
        <w:t>c</w:t>
      </w:r>
      <w:r w:rsidRPr="00D43F59">
        <w:rPr>
          <w:rFonts w:eastAsia="Calibri"/>
        </w:rPr>
        <w:t>)</w:t>
      </w:r>
      <w:r w:rsidRPr="00D43F59">
        <w:rPr>
          <w:rFonts w:eastAsia="Calibri"/>
        </w:rPr>
        <w:tab/>
      </w:r>
      <w:r w:rsidR="00702831" w:rsidRPr="00D43F59">
        <w:rPr>
          <w:rFonts w:eastAsia="Calibri"/>
        </w:rPr>
        <w:t>P</w:t>
      </w:r>
      <w:r w:rsidR="00C122C5" w:rsidRPr="00D43F59">
        <w:rPr>
          <w:rFonts w:eastAsia="Calibri"/>
        </w:rPr>
        <w:t>lace p</w:t>
      </w:r>
      <w:r w:rsidR="00702831" w:rsidRPr="00D43F59">
        <w:rPr>
          <w:rFonts w:eastAsia="Calibri"/>
        </w:rPr>
        <w:t xml:space="preserve">articular emphasis on places of detention where occupancy exceeds the official capacity, and where the official capacity is based on </w:t>
      </w:r>
      <w:r w:rsidR="0056626C" w:rsidRPr="00D43F59">
        <w:rPr>
          <w:rFonts w:eastAsia="Calibri"/>
        </w:rPr>
        <w:t xml:space="preserve">a calculation of </w:t>
      </w:r>
      <w:r w:rsidR="00702831" w:rsidRPr="00D43F59">
        <w:rPr>
          <w:rFonts w:eastAsia="Calibri"/>
        </w:rPr>
        <w:t xml:space="preserve">square metreage per person </w:t>
      </w:r>
      <w:r w:rsidR="0056626C" w:rsidRPr="00D43F59">
        <w:rPr>
          <w:rFonts w:eastAsia="Calibri"/>
        </w:rPr>
        <w:t xml:space="preserve">that </w:t>
      </w:r>
      <w:r w:rsidR="00702831" w:rsidRPr="00D43F59">
        <w:rPr>
          <w:rFonts w:eastAsia="Calibri"/>
        </w:rPr>
        <w:t>does not permit social distancing in accordance with the standard guidance given to the general population as a whole</w:t>
      </w:r>
      <w:r w:rsidR="008969C3" w:rsidRPr="00D43F59">
        <w:rPr>
          <w:rFonts w:eastAsia="Calibri"/>
        </w:rPr>
        <w:t>;</w:t>
      </w:r>
    </w:p>
    <w:p w14:paraId="30777AE1" w14:textId="62D7EAB4" w:rsidR="00702831" w:rsidRPr="00D43F59" w:rsidRDefault="004429CE" w:rsidP="00F75CC8">
      <w:pPr>
        <w:pStyle w:val="SingleTxtG"/>
        <w:ind w:firstLine="567"/>
        <w:rPr>
          <w:rFonts w:eastAsia="Calibri"/>
        </w:rPr>
      </w:pPr>
      <w:r w:rsidRPr="00D43F59">
        <w:rPr>
          <w:rFonts w:eastAsia="Calibri"/>
        </w:rPr>
        <w:lastRenderedPageBreak/>
        <w:t>(</w:t>
      </w:r>
      <w:r w:rsidR="000C6B1A" w:rsidRPr="00D43F59">
        <w:rPr>
          <w:rFonts w:eastAsia="Calibri"/>
        </w:rPr>
        <w:t>d</w:t>
      </w:r>
      <w:r w:rsidRPr="00D43F59">
        <w:rPr>
          <w:rFonts w:eastAsia="Calibri"/>
        </w:rPr>
        <w:t>)</w:t>
      </w:r>
      <w:r w:rsidRPr="00D43F59">
        <w:rPr>
          <w:rFonts w:eastAsia="Calibri"/>
        </w:rPr>
        <w:tab/>
      </w:r>
      <w:r w:rsidR="00702831" w:rsidRPr="00D43F59">
        <w:rPr>
          <w:rFonts w:eastAsia="Calibri"/>
        </w:rPr>
        <w:t>Review all cases of pretrial detention in order to determine whether it is strictly necessary in the light of the prevailing public health emergency and to extend the use of bail for all but the most serious of cases</w:t>
      </w:r>
      <w:r w:rsidR="008969C3" w:rsidRPr="00D43F59">
        <w:rPr>
          <w:rFonts w:eastAsia="Calibri"/>
        </w:rPr>
        <w:t>;</w:t>
      </w:r>
    </w:p>
    <w:p w14:paraId="72B1D87C" w14:textId="1053F800"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e</w:t>
      </w:r>
      <w:r w:rsidRPr="00D43F59">
        <w:rPr>
          <w:rFonts w:eastAsia="Calibri"/>
        </w:rPr>
        <w:t>)</w:t>
      </w:r>
      <w:r w:rsidRPr="00D43F59">
        <w:rPr>
          <w:rFonts w:eastAsia="Calibri"/>
        </w:rPr>
        <w:tab/>
      </w:r>
      <w:r w:rsidR="00100AB2" w:rsidRPr="00D43F59">
        <w:rPr>
          <w:rFonts w:eastAsia="Calibri"/>
        </w:rPr>
        <w:t xml:space="preserve">Review the use of immigration detention </w:t>
      </w:r>
      <w:r w:rsidR="00B83B6D" w:rsidRPr="00D43F59">
        <w:rPr>
          <w:rFonts w:eastAsia="Calibri"/>
        </w:rPr>
        <w:t xml:space="preserve">centres </w:t>
      </w:r>
      <w:r w:rsidR="00100AB2" w:rsidRPr="00D43F59">
        <w:rPr>
          <w:rFonts w:eastAsia="Calibri"/>
        </w:rPr>
        <w:t xml:space="preserve">and closed refugee camps with a view to reducing their populations to the lowest possible level; </w:t>
      </w:r>
    </w:p>
    <w:p w14:paraId="2BCB0994" w14:textId="29B87478"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f</w:t>
      </w:r>
      <w:r w:rsidRPr="00D43F59">
        <w:rPr>
          <w:rFonts w:eastAsia="Calibri"/>
        </w:rPr>
        <w:t>)</w:t>
      </w:r>
      <w:r w:rsidRPr="00D43F59">
        <w:rPr>
          <w:rFonts w:eastAsia="Calibri"/>
        </w:rPr>
        <w:tab/>
      </w:r>
      <w:r w:rsidR="00892878">
        <w:rPr>
          <w:rFonts w:eastAsia="Calibri"/>
        </w:rPr>
        <w:t>Consider that r</w:t>
      </w:r>
      <w:r w:rsidR="00100AB2" w:rsidRPr="00D43F59">
        <w:rPr>
          <w:rFonts w:eastAsia="Calibri"/>
        </w:rPr>
        <w:t xml:space="preserve">elease from detention should be subject to screening in order to ensure that appropriate measures are put in place for those who are either positive </w:t>
      </w:r>
      <w:r w:rsidR="000478DE" w:rsidRPr="00D43F59">
        <w:rPr>
          <w:rFonts w:eastAsia="Calibri"/>
        </w:rPr>
        <w:t xml:space="preserve">for COVID-19 </w:t>
      </w:r>
      <w:r w:rsidR="0087413B">
        <w:rPr>
          <w:rFonts w:eastAsia="Calibri"/>
        </w:rPr>
        <w:t xml:space="preserve">virus </w:t>
      </w:r>
      <w:r w:rsidR="00100AB2" w:rsidRPr="00D43F59">
        <w:rPr>
          <w:rFonts w:eastAsia="Calibri"/>
        </w:rPr>
        <w:t>or are particularly vulnerable to infection;</w:t>
      </w:r>
    </w:p>
    <w:p w14:paraId="273B4869" w14:textId="7FF68A76"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g</w:t>
      </w:r>
      <w:r w:rsidRPr="00D43F59">
        <w:rPr>
          <w:rFonts w:eastAsia="Calibri"/>
        </w:rPr>
        <w:t>)</w:t>
      </w:r>
      <w:r w:rsidRPr="00D43F59">
        <w:rPr>
          <w:rFonts w:eastAsia="Calibri"/>
        </w:rPr>
        <w:tab/>
      </w:r>
      <w:r w:rsidR="00100AB2" w:rsidRPr="00D43F59">
        <w:rPr>
          <w:rFonts w:eastAsia="Calibri"/>
        </w:rPr>
        <w:t>Ensure that any restrictions on existing regimes are minimi</w:t>
      </w:r>
      <w:r w:rsidR="00A220FE" w:rsidRPr="00D43F59">
        <w:rPr>
          <w:rFonts w:eastAsia="Calibri"/>
        </w:rPr>
        <w:t>z</w:t>
      </w:r>
      <w:r w:rsidR="00100AB2" w:rsidRPr="00D43F59">
        <w:rPr>
          <w:rFonts w:eastAsia="Calibri"/>
        </w:rPr>
        <w:t xml:space="preserve">ed, proportionate to the nature of the health emergency, and in accordance with law; </w:t>
      </w:r>
    </w:p>
    <w:p w14:paraId="2855AF39" w14:textId="302ADC63"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h</w:t>
      </w:r>
      <w:r w:rsidRPr="00D43F59">
        <w:rPr>
          <w:rFonts w:eastAsia="Calibri"/>
        </w:rPr>
        <w:t>)</w:t>
      </w:r>
      <w:r w:rsidRPr="00D43F59">
        <w:rPr>
          <w:rFonts w:eastAsia="Calibri"/>
        </w:rPr>
        <w:tab/>
      </w:r>
      <w:r w:rsidR="00100AB2" w:rsidRPr="00D43F59">
        <w:rPr>
          <w:rFonts w:eastAsia="Calibri"/>
        </w:rPr>
        <w:t>Ensure that the existing complaints mechanisms remain functioning and effective;</w:t>
      </w:r>
    </w:p>
    <w:p w14:paraId="7A2FF7B1" w14:textId="25C9333D" w:rsidR="00100AB2" w:rsidRPr="00D43F59" w:rsidRDefault="004429CE" w:rsidP="00F75CC8">
      <w:pPr>
        <w:pStyle w:val="SingleTxtG"/>
        <w:ind w:firstLine="567"/>
        <w:rPr>
          <w:rFonts w:eastAsia="Calibri"/>
        </w:rPr>
      </w:pPr>
      <w:r w:rsidRPr="00D43F59">
        <w:rPr>
          <w:rFonts w:eastAsia="Calibri"/>
        </w:rPr>
        <w:t>(</w:t>
      </w:r>
      <w:proofErr w:type="spellStart"/>
      <w:r w:rsidR="000C6B1A" w:rsidRPr="00D43F59">
        <w:rPr>
          <w:rFonts w:eastAsia="Calibri"/>
        </w:rPr>
        <w:t>i</w:t>
      </w:r>
      <w:proofErr w:type="spellEnd"/>
      <w:r w:rsidRPr="00D43F59">
        <w:rPr>
          <w:rFonts w:eastAsia="Calibri"/>
        </w:rPr>
        <w:t>)</w:t>
      </w:r>
      <w:r w:rsidRPr="00D43F59">
        <w:rPr>
          <w:rFonts w:eastAsia="Calibri"/>
        </w:rPr>
        <w:tab/>
      </w:r>
      <w:r w:rsidR="00100AB2" w:rsidRPr="00D43F59">
        <w:rPr>
          <w:rFonts w:eastAsia="Calibri"/>
        </w:rPr>
        <w:t>Respect the minimum requirements for daily outdoor exercise, whil</w:t>
      </w:r>
      <w:r w:rsidR="004867AE" w:rsidRPr="00D43F59">
        <w:rPr>
          <w:rFonts w:eastAsia="Calibri"/>
        </w:rPr>
        <w:t>e</w:t>
      </w:r>
      <w:r w:rsidR="00100AB2" w:rsidRPr="00D43F59">
        <w:rPr>
          <w:rFonts w:eastAsia="Calibri"/>
        </w:rPr>
        <w:t xml:space="preserve"> also taking account of the measures necessary to tackle the current pandemic;</w:t>
      </w:r>
    </w:p>
    <w:p w14:paraId="1D3E4746" w14:textId="30E4B410"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j</w:t>
      </w:r>
      <w:r w:rsidRPr="00D43F59">
        <w:rPr>
          <w:rFonts w:eastAsia="Calibri"/>
        </w:rPr>
        <w:t>)</w:t>
      </w:r>
      <w:r w:rsidRPr="00D43F59">
        <w:rPr>
          <w:rFonts w:eastAsia="Calibri"/>
        </w:rPr>
        <w:tab/>
      </w:r>
      <w:r w:rsidR="00100AB2" w:rsidRPr="00D43F59">
        <w:rPr>
          <w:rFonts w:eastAsia="Calibri"/>
        </w:rPr>
        <w:t>Ensure that sufficient facilities and supplies are provided free of charge to all who remain in detention</w:t>
      </w:r>
      <w:r w:rsidR="002913B1" w:rsidRPr="00D43F59">
        <w:rPr>
          <w:rFonts w:eastAsia="Calibri"/>
        </w:rPr>
        <w:t>,</w:t>
      </w:r>
      <w:r w:rsidR="00100AB2" w:rsidRPr="00D43F59">
        <w:rPr>
          <w:rFonts w:eastAsia="Calibri"/>
        </w:rPr>
        <w:t xml:space="preserve"> in order to allow detainees the same level of personal hygiene as is to be followed by the population as a whole;</w:t>
      </w:r>
    </w:p>
    <w:p w14:paraId="79411993" w14:textId="2B7C90A3"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k</w:t>
      </w:r>
      <w:r w:rsidRPr="00D43F59">
        <w:rPr>
          <w:rFonts w:eastAsia="Calibri"/>
        </w:rPr>
        <w:t>)</w:t>
      </w:r>
      <w:r w:rsidRPr="00D43F59">
        <w:rPr>
          <w:rFonts w:eastAsia="Calibri"/>
        </w:rPr>
        <w:tab/>
      </w:r>
      <w:r w:rsidR="002913B1" w:rsidRPr="00D43F59">
        <w:rPr>
          <w:rFonts w:eastAsia="Calibri"/>
        </w:rPr>
        <w:t>P</w:t>
      </w:r>
      <w:r w:rsidR="00100AB2" w:rsidRPr="00D43F59">
        <w:rPr>
          <w:rFonts w:eastAsia="Calibri"/>
        </w:rPr>
        <w:t>rovide sufficient compensatory alternative methods</w:t>
      </w:r>
      <w:r w:rsidR="002913B1" w:rsidRPr="00D43F59">
        <w:rPr>
          <w:rFonts w:eastAsia="Calibri"/>
        </w:rPr>
        <w:t>, where visiting regimes are restricted for health-related reasons,</w:t>
      </w:r>
      <w:r w:rsidR="00100AB2" w:rsidRPr="00D43F59">
        <w:rPr>
          <w:rFonts w:eastAsia="Calibri"/>
        </w:rPr>
        <w:t xml:space="preserve"> for detainees to maintain contact with families and the outside world, </w:t>
      </w:r>
      <w:r w:rsidR="002913B1" w:rsidRPr="00D43F59">
        <w:rPr>
          <w:rFonts w:eastAsia="Calibri"/>
        </w:rPr>
        <w:t>including</w:t>
      </w:r>
      <w:r w:rsidR="00100AB2" w:rsidRPr="00D43F59">
        <w:rPr>
          <w:rFonts w:eastAsia="Calibri"/>
        </w:rPr>
        <w:t xml:space="preserve"> telephone, </w:t>
      </w:r>
      <w:r w:rsidR="002913B1" w:rsidRPr="00D43F59">
        <w:rPr>
          <w:rFonts w:eastAsia="Calibri"/>
        </w:rPr>
        <w:t>I</w:t>
      </w:r>
      <w:r w:rsidR="00100AB2" w:rsidRPr="00D43F59">
        <w:rPr>
          <w:rFonts w:eastAsia="Calibri"/>
        </w:rPr>
        <w:t>nternet</w:t>
      </w:r>
      <w:r w:rsidR="002913B1" w:rsidRPr="00D43F59">
        <w:rPr>
          <w:rFonts w:eastAsia="Calibri"/>
        </w:rPr>
        <w:t xml:space="preserve"> and </w:t>
      </w:r>
      <w:r w:rsidR="00100AB2" w:rsidRPr="00D43F59">
        <w:rPr>
          <w:rFonts w:eastAsia="Calibri"/>
        </w:rPr>
        <w:t xml:space="preserve">email, video communication and other appropriate electronic means. Such </w:t>
      </w:r>
      <w:r w:rsidR="002913B1" w:rsidRPr="00D43F59">
        <w:rPr>
          <w:rFonts w:eastAsia="Calibri"/>
        </w:rPr>
        <w:t xml:space="preserve">methods of </w:t>
      </w:r>
      <w:r w:rsidR="00100AB2" w:rsidRPr="00D43F59">
        <w:rPr>
          <w:rFonts w:eastAsia="Calibri"/>
        </w:rPr>
        <w:t xml:space="preserve">contact should be both facilitated and encouraged, </w:t>
      </w:r>
      <w:r w:rsidR="002913B1" w:rsidRPr="00D43F59">
        <w:rPr>
          <w:rFonts w:eastAsia="Calibri"/>
        </w:rPr>
        <w:t>as well as</w:t>
      </w:r>
      <w:r w:rsidR="00100AB2" w:rsidRPr="00D43F59">
        <w:rPr>
          <w:rFonts w:eastAsia="Calibri"/>
        </w:rPr>
        <w:t xml:space="preserve"> frequent and </w:t>
      </w:r>
      <w:r w:rsidR="002913B1" w:rsidRPr="00D43F59">
        <w:rPr>
          <w:rFonts w:eastAsia="Calibri"/>
        </w:rPr>
        <w:t xml:space="preserve">provided </w:t>
      </w:r>
      <w:r w:rsidR="00100AB2" w:rsidRPr="00D43F59">
        <w:rPr>
          <w:rFonts w:eastAsia="Calibri"/>
        </w:rPr>
        <w:t>free</w:t>
      </w:r>
      <w:r w:rsidR="002913B1" w:rsidRPr="00D43F59">
        <w:rPr>
          <w:rFonts w:eastAsia="Calibri"/>
        </w:rPr>
        <w:t xml:space="preserve"> of charge</w:t>
      </w:r>
      <w:r w:rsidR="00100AB2" w:rsidRPr="00D43F59">
        <w:rPr>
          <w:rFonts w:eastAsia="Calibri"/>
        </w:rPr>
        <w:t>;</w:t>
      </w:r>
    </w:p>
    <w:p w14:paraId="517F11BD" w14:textId="64C597CD"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l</w:t>
      </w:r>
      <w:r w:rsidRPr="00D43F59">
        <w:rPr>
          <w:rFonts w:eastAsia="Calibri"/>
        </w:rPr>
        <w:t>)</w:t>
      </w:r>
      <w:r w:rsidRPr="00D43F59">
        <w:rPr>
          <w:rFonts w:eastAsia="Calibri"/>
        </w:rPr>
        <w:tab/>
      </w:r>
      <w:r w:rsidR="00100AB2" w:rsidRPr="00D43F59">
        <w:rPr>
          <w:rFonts w:eastAsia="Calibri"/>
        </w:rPr>
        <w:t>Enable family members or relatives to continue to provide food and other supplies for the detainees, in accordance with local practices and with due respect for necessary protective measures;</w:t>
      </w:r>
    </w:p>
    <w:p w14:paraId="12D86AE3" w14:textId="759140E6"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m</w:t>
      </w:r>
      <w:r w:rsidRPr="00D43F59">
        <w:rPr>
          <w:rFonts w:eastAsia="Calibri"/>
        </w:rPr>
        <w:t>)</w:t>
      </w:r>
      <w:r w:rsidRPr="00D43F59">
        <w:rPr>
          <w:rFonts w:eastAsia="Calibri"/>
        </w:rPr>
        <w:tab/>
      </w:r>
      <w:r w:rsidR="00100AB2" w:rsidRPr="00D43F59">
        <w:rPr>
          <w:rFonts w:eastAsia="Calibri"/>
        </w:rPr>
        <w:t xml:space="preserve">Accommodate those who are a greatest risk within the remaining detained populations in ways </w:t>
      </w:r>
      <w:r w:rsidR="00273AF2" w:rsidRPr="00D43F59">
        <w:rPr>
          <w:rFonts w:eastAsia="Calibri"/>
        </w:rPr>
        <w:t xml:space="preserve">that </w:t>
      </w:r>
      <w:r w:rsidR="00100AB2" w:rsidRPr="00D43F59">
        <w:rPr>
          <w:rFonts w:eastAsia="Calibri"/>
        </w:rPr>
        <w:t>reflect that enhanced risk, whil</w:t>
      </w:r>
      <w:r w:rsidR="00273AF2" w:rsidRPr="00D43F59">
        <w:rPr>
          <w:rFonts w:eastAsia="Calibri"/>
        </w:rPr>
        <w:t>e</w:t>
      </w:r>
      <w:r w:rsidR="00100AB2" w:rsidRPr="00D43F59">
        <w:rPr>
          <w:rFonts w:eastAsia="Calibri"/>
        </w:rPr>
        <w:t xml:space="preserve"> fully respecting their rights within the detention setting;</w:t>
      </w:r>
    </w:p>
    <w:p w14:paraId="1389372C" w14:textId="6073ACD1" w:rsidR="00100AB2" w:rsidRPr="00D43F59" w:rsidRDefault="004429CE" w:rsidP="00F75CC8">
      <w:pPr>
        <w:pStyle w:val="SingleTxtG"/>
        <w:ind w:firstLine="567"/>
        <w:rPr>
          <w:rFonts w:eastAsia="Calibri"/>
        </w:rPr>
      </w:pPr>
      <w:r w:rsidRPr="00D43F59">
        <w:rPr>
          <w:rFonts w:eastAsia="Calibri"/>
        </w:rPr>
        <w:lastRenderedPageBreak/>
        <w:t>(</w:t>
      </w:r>
      <w:r w:rsidR="000C6B1A" w:rsidRPr="00D43F59">
        <w:rPr>
          <w:rFonts w:eastAsia="Calibri"/>
        </w:rPr>
        <w:t>n</w:t>
      </w:r>
      <w:r w:rsidRPr="00D43F59">
        <w:rPr>
          <w:rFonts w:eastAsia="Calibri"/>
        </w:rPr>
        <w:t>)</w:t>
      </w:r>
      <w:r w:rsidRPr="00D43F59">
        <w:rPr>
          <w:rFonts w:eastAsia="Calibri"/>
        </w:rPr>
        <w:tab/>
      </w:r>
      <w:r w:rsidR="00100AB2" w:rsidRPr="00D43F59">
        <w:rPr>
          <w:rFonts w:eastAsia="Calibri"/>
        </w:rPr>
        <w:t>Prevent the use of medical isolation taking the form of disciplinary solitary confinement; medical isolation must be on the basis of an independent medical evaluation, proportionate, limited in time and subject to procedural safeguards;</w:t>
      </w:r>
    </w:p>
    <w:p w14:paraId="12164903" w14:textId="50B9B21B"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o</w:t>
      </w:r>
      <w:r w:rsidRPr="00D43F59">
        <w:rPr>
          <w:rFonts w:eastAsia="Calibri"/>
        </w:rPr>
        <w:t>)</w:t>
      </w:r>
      <w:r w:rsidRPr="00D43F59">
        <w:rPr>
          <w:rFonts w:eastAsia="Calibri"/>
        </w:rPr>
        <w:tab/>
      </w:r>
      <w:r w:rsidR="00100AB2" w:rsidRPr="00D43F59">
        <w:rPr>
          <w:rFonts w:eastAsia="Calibri"/>
        </w:rPr>
        <w:t>Provide medical care to detainees who are in need of it, outside of the detention facility, whenever possible;</w:t>
      </w:r>
    </w:p>
    <w:p w14:paraId="7BFBAA23" w14:textId="328DDE7C"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p</w:t>
      </w:r>
      <w:r w:rsidRPr="00D43F59">
        <w:rPr>
          <w:rFonts w:eastAsia="Calibri"/>
        </w:rPr>
        <w:t>)</w:t>
      </w:r>
      <w:r w:rsidRPr="00D43F59">
        <w:rPr>
          <w:rFonts w:eastAsia="Calibri"/>
        </w:rPr>
        <w:tab/>
      </w:r>
      <w:r w:rsidR="00100AB2" w:rsidRPr="00D43F59">
        <w:rPr>
          <w:rFonts w:eastAsia="Calibri"/>
        </w:rPr>
        <w:t>Ensure that fundamental safeguards against ill-treatment</w:t>
      </w:r>
      <w:r w:rsidR="00E664AA">
        <w:rPr>
          <w:rFonts w:eastAsia="Calibri"/>
        </w:rPr>
        <w:t>,</w:t>
      </w:r>
      <w:r w:rsidR="00100AB2" w:rsidRPr="00D43F59">
        <w:rPr>
          <w:rFonts w:eastAsia="Calibri"/>
        </w:rPr>
        <w:t xml:space="preserve"> including the right of </w:t>
      </w:r>
      <w:bookmarkStart w:id="1" w:name="_Hlk35703735"/>
      <w:r w:rsidR="00100AB2" w:rsidRPr="00D43F59">
        <w:rPr>
          <w:rFonts w:eastAsia="Calibri"/>
        </w:rPr>
        <w:t xml:space="preserve">access to independent medical advice, </w:t>
      </w:r>
      <w:r w:rsidR="003172DD" w:rsidRPr="00D43F59">
        <w:rPr>
          <w:rFonts w:eastAsia="Calibri"/>
        </w:rPr>
        <w:t xml:space="preserve">the right </w:t>
      </w:r>
      <w:r w:rsidR="00100AB2" w:rsidRPr="00D43F59">
        <w:rPr>
          <w:rFonts w:eastAsia="Calibri"/>
        </w:rPr>
        <w:t xml:space="preserve">to legal assistance and </w:t>
      </w:r>
      <w:r w:rsidR="003172DD" w:rsidRPr="00D43F59">
        <w:rPr>
          <w:rFonts w:eastAsia="Calibri"/>
        </w:rPr>
        <w:t xml:space="preserve">the right </w:t>
      </w:r>
      <w:r w:rsidR="00100AB2" w:rsidRPr="00D43F59">
        <w:rPr>
          <w:rFonts w:eastAsia="Calibri"/>
        </w:rPr>
        <w:t>to ensure that third parties are notified of detention</w:t>
      </w:r>
      <w:r w:rsidR="00E664AA">
        <w:rPr>
          <w:rFonts w:eastAsia="Calibri"/>
        </w:rPr>
        <w:t>,</w:t>
      </w:r>
      <w:r w:rsidR="00100AB2" w:rsidRPr="00D43F59">
        <w:rPr>
          <w:rFonts w:eastAsia="Calibri"/>
        </w:rPr>
        <w:t xml:space="preserve"> remain available and operable, restrictions on access notwithstanding;</w:t>
      </w:r>
    </w:p>
    <w:bookmarkEnd w:id="1"/>
    <w:p w14:paraId="00BB0DCF" w14:textId="5743AE58"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q</w:t>
      </w:r>
      <w:r w:rsidRPr="00D43F59">
        <w:rPr>
          <w:rFonts w:eastAsia="Calibri"/>
        </w:rPr>
        <w:t>)</w:t>
      </w:r>
      <w:r w:rsidRPr="00D43F59">
        <w:rPr>
          <w:rFonts w:eastAsia="Calibri"/>
        </w:rPr>
        <w:tab/>
      </w:r>
      <w:r w:rsidR="00100AB2" w:rsidRPr="00D43F59">
        <w:rPr>
          <w:rFonts w:eastAsia="Calibri"/>
        </w:rPr>
        <w:t>Ensure that all detainees and staff receive reliable, accurate and up</w:t>
      </w:r>
      <w:r w:rsidR="00754B63" w:rsidRPr="00D43F59">
        <w:rPr>
          <w:rFonts w:eastAsia="Calibri"/>
        </w:rPr>
        <w:t>-</w:t>
      </w:r>
      <w:r w:rsidR="00100AB2" w:rsidRPr="00D43F59">
        <w:rPr>
          <w:rFonts w:eastAsia="Calibri"/>
        </w:rPr>
        <w:t>to</w:t>
      </w:r>
      <w:r w:rsidR="00754B63" w:rsidRPr="00D43F59">
        <w:rPr>
          <w:rFonts w:eastAsia="Calibri"/>
        </w:rPr>
        <w:t>-</w:t>
      </w:r>
      <w:r w:rsidR="00100AB2" w:rsidRPr="00D43F59">
        <w:rPr>
          <w:rFonts w:eastAsia="Calibri"/>
        </w:rPr>
        <w:t>date information concerning all measures being taken, their duration and the reasons for them;</w:t>
      </w:r>
    </w:p>
    <w:p w14:paraId="230D72E0" w14:textId="6400E33C"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r</w:t>
      </w:r>
      <w:r w:rsidRPr="00D43F59">
        <w:rPr>
          <w:rFonts w:eastAsia="Calibri"/>
        </w:rPr>
        <w:t>)</w:t>
      </w:r>
      <w:r w:rsidRPr="00D43F59">
        <w:rPr>
          <w:rFonts w:eastAsia="Calibri"/>
        </w:rPr>
        <w:tab/>
      </w:r>
      <w:r w:rsidR="00100AB2" w:rsidRPr="00D43F59">
        <w:rPr>
          <w:rFonts w:eastAsia="Calibri"/>
        </w:rPr>
        <w:t xml:space="preserve">Ensure that appropriate measures are taken to protect the health of </w:t>
      </w:r>
      <w:r w:rsidR="00312F33">
        <w:t xml:space="preserve">staff and personnel working in </w:t>
      </w:r>
      <w:r w:rsidR="00100AB2" w:rsidRPr="00D43F59">
        <w:rPr>
          <w:rFonts w:eastAsia="Calibri"/>
        </w:rPr>
        <w:t xml:space="preserve">detention </w:t>
      </w:r>
      <w:r w:rsidR="00312F33">
        <w:rPr>
          <w:rFonts w:eastAsia="Calibri"/>
        </w:rPr>
        <w:t>facilities, including</w:t>
      </w:r>
      <w:r w:rsidR="00100AB2" w:rsidRPr="00D43F59">
        <w:rPr>
          <w:rFonts w:eastAsia="Calibri"/>
        </w:rPr>
        <w:t xml:space="preserve"> </w:t>
      </w:r>
      <w:r w:rsidR="00312F33">
        <w:rPr>
          <w:rFonts w:eastAsia="Calibri"/>
        </w:rPr>
        <w:t>health-care</w:t>
      </w:r>
      <w:r w:rsidR="00100AB2" w:rsidRPr="00D43F59">
        <w:rPr>
          <w:rFonts w:eastAsia="Calibri"/>
        </w:rPr>
        <w:t xml:space="preserve"> staff</w:t>
      </w:r>
      <w:r w:rsidR="00CA2702">
        <w:rPr>
          <w:rFonts w:eastAsia="Calibri"/>
        </w:rPr>
        <w:t>,</w:t>
      </w:r>
      <w:r w:rsidR="00100AB2" w:rsidRPr="00D43F59">
        <w:rPr>
          <w:rFonts w:eastAsia="Calibri"/>
        </w:rPr>
        <w:t xml:space="preserve"> and that they are properly equipped and supported </w:t>
      </w:r>
      <w:r w:rsidR="006B0674" w:rsidRPr="00D43F59">
        <w:rPr>
          <w:rFonts w:eastAsia="Calibri"/>
        </w:rPr>
        <w:t xml:space="preserve">while </w:t>
      </w:r>
      <w:r w:rsidR="00100AB2" w:rsidRPr="00D43F59">
        <w:rPr>
          <w:rFonts w:eastAsia="Calibri"/>
        </w:rPr>
        <w:t xml:space="preserve">undertaking their duties; </w:t>
      </w:r>
    </w:p>
    <w:p w14:paraId="55FCC973" w14:textId="3E329C3E"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s</w:t>
      </w:r>
      <w:r w:rsidRPr="00D43F59">
        <w:rPr>
          <w:rFonts w:eastAsia="Calibri"/>
        </w:rPr>
        <w:t>)</w:t>
      </w:r>
      <w:r w:rsidRPr="00D43F59">
        <w:rPr>
          <w:rFonts w:eastAsia="Calibri"/>
        </w:rPr>
        <w:tab/>
      </w:r>
      <w:r w:rsidR="00100AB2" w:rsidRPr="00D43F59">
        <w:rPr>
          <w:rFonts w:eastAsia="Calibri"/>
        </w:rPr>
        <w:t xml:space="preserve">Make available appropriate psychological support to all detainees and staff who are affected by these measures; </w:t>
      </w:r>
    </w:p>
    <w:p w14:paraId="5DC93075" w14:textId="71829264" w:rsidR="00100AB2" w:rsidRPr="00D43F59" w:rsidRDefault="004429CE" w:rsidP="00F75CC8">
      <w:pPr>
        <w:pStyle w:val="SingleTxtG"/>
        <w:ind w:firstLine="567"/>
        <w:rPr>
          <w:rFonts w:eastAsia="Calibri"/>
        </w:rPr>
      </w:pPr>
      <w:r w:rsidRPr="00D43F59">
        <w:rPr>
          <w:rFonts w:eastAsia="Calibri"/>
        </w:rPr>
        <w:t>(</w:t>
      </w:r>
      <w:r w:rsidR="000C6B1A" w:rsidRPr="00D43F59">
        <w:rPr>
          <w:rFonts w:eastAsia="Calibri"/>
        </w:rPr>
        <w:t>t</w:t>
      </w:r>
      <w:r w:rsidRPr="00D43F59">
        <w:rPr>
          <w:rFonts w:eastAsia="Calibri"/>
        </w:rPr>
        <w:t>)</w:t>
      </w:r>
      <w:r w:rsidRPr="00D43F59">
        <w:rPr>
          <w:rFonts w:eastAsia="Calibri"/>
        </w:rPr>
        <w:tab/>
      </w:r>
      <w:r w:rsidR="00100AB2" w:rsidRPr="00D43F59">
        <w:rPr>
          <w:rFonts w:eastAsia="Calibri"/>
        </w:rPr>
        <w:t xml:space="preserve">Ensure that, if applicable, all the above considerations are taken into account </w:t>
      </w:r>
      <w:r w:rsidR="006B0674" w:rsidRPr="00D43F59">
        <w:rPr>
          <w:rFonts w:eastAsia="Calibri"/>
        </w:rPr>
        <w:t xml:space="preserve">with </w:t>
      </w:r>
      <w:r w:rsidR="00100AB2" w:rsidRPr="00D43F59">
        <w:rPr>
          <w:rFonts w:eastAsia="Calibri"/>
        </w:rPr>
        <w:t>regard to patients who are involuntarily admitted to psychiatric hospitals.</w:t>
      </w:r>
    </w:p>
    <w:p w14:paraId="0A54DB6A" w14:textId="77777777" w:rsidR="00702831" w:rsidRPr="00D43F59" w:rsidRDefault="001E688C" w:rsidP="001E688C">
      <w:pPr>
        <w:pStyle w:val="HChG"/>
        <w:rPr>
          <w:rFonts w:eastAsia="Calibri"/>
        </w:rPr>
      </w:pPr>
      <w:r w:rsidRPr="00D43F59">
        <w:rPr>
          <w:rFonts w:eastAsia="Calibri"/>
        </w:rPr>
        <w:tab/>
        <w:t>III.</w:t>
      </w:r>
      <w:r w:rsidRPr="00D43F59">
        <w:rPr>
          <w:rFonts w:eastAsia="Calibri"/>
        </w:rPr>
        <w:tab/>
      </w:r>
      <w:r w:rsidR="00702831" w:rsidRPr="00D43F59">
        <w:rPr>
          <w:rFonts w:eastAsia="Calibri"/>
        </w:rPr>
        <w:t>Measures to be taken by authorities in respect of those in official places of quarantine</w:t>
      </w:r>
    </w:p>
    <w:p w14:paraId="74721BFD" w14:textId="5F708E11" w:rsidR="00702831" w:rsidRPr="00D43F59" w:rsidRDefault="00702831" w:rsidP="004429CE">
      <w:pPr>
        <w:pStyle w:val="ParaNoG"/>
        <w:numPr>
          <w:ilvl w:val="0"/>
          <w:numId w:val="8"/>
        </w:numPr>
        <w:tabs>
          <w:tab w:val="num" w:pos="0"/>
        </w:tabs>
        <w:ind w:left="1134" w:firstLine="0"/>
        <w:rPr>
          <w:rFonts w:eastAsia="Calibri"/>
        </w:rPr>
      </w:pPr>
      <w:r w:rsidRPr="00D43F59">
        <w:rPr>
          <w:rFonts w:eastAsia="Calibri"/>
        </w:rPr>
        <w:t xml:space="preserve">The </w:t>
      </w:r>
      <w:r w:rsidR="00EC6FCB" w:rsidRPr="00D43F59">
        <w:rPr>
          <w:rFonts w:eastAsia="Calibri"/>
        </w:rPr>
        <w:t>Subcommittee</w:t>
      </w:r>
      <w:r w:rsidRPr="00D43F59">
        <w:rPr>
          <w:rFonts w:eastAsia="Calibri"/>
        </w:rPr>
        <w:t xml:space="preserve"> has already </w:t>
      </w:r>
      <w:r w:rsidR="00AF5189" w:rsidRPr="00D43F59">
        <w:rPr>
          <w:rFonts w:eastAsia="Calibri"/>
        </w:rPr>
        <w:t xml:space="preserve">issued advice </w:t>
      </w:r>
      <w:r w:rsidRPr="00D43F59">
        <w:rPr>
          <w:rFonts w:eastAsia="Calibri"/>
        </w:rPr>
        <w:t>on the situation of those held in quarantine</w:t>
      </w:r>
      <w:r w:rsidR="008721E1">
        <w:rPr>
          <w:rFonts w:eastAsia="Calibri"/>
        </w:rPr>
        <w:t xml:space="preserve"> </w:t>
      </w:r>
      <w:r w:rsidR="000F5750" w:rsidRPr="00D43F59">
        <w:rPr>
          <w:rFonts w:eastAsia="Calibri"/>
        </w:rPr>
        <w:t>(CAT/OP/40/1)</w:t>
      </w:r>
      <w:r w:rsidR="00F35792" w:rsidRPr="00D43F59">
        <w:rPr>
          <w:rFonts w:eastAsia="Calibri"/>
        </w:rPr>
        <w:t>.</w:t>
      </w:r>
      <w:r w:rsidRPr="00D43F59">
        <w:rPr>
          <w:rFonts w:eastAsia="Calibri"/>
        </w:rPr>
        <w:t xml:space="preserve"> To th</w:t>
      </w:r>
      <w:r w:rsidR="00F75655" w:rsidRPr="00D43F59">
        <w:rPr>
          <w:rFonts w:eastAsia="Calibri"/>
        </w:rPr>
        <w:t>at advice</w:t>
      </w:r>
      <w:r w:rsidR="0044089D" w:rsidRPr="00D43F59">
        <w:rPr>
          <w:rFonts w:eastAsia="Calibri"/>
        </w:rPr>
        <w:t>,</w:t>
      </w:r>
      <w:r w:rsidRPr="00D43F59">
        <w:rPr>
          <w:rFonts w:eastAsia="Calibri"/>
        </w:rPr>
        <w:t xml:space="preserve"> </w:t>
      </w:r>
      <w:r w:rsidR="00F75655" w:rsidRPr="00D43F59">
        <w:rPr>
          <w:rFonts w:eastAsia="Calibri"/>
        </w:rPr>
        <w:t>the Subcommittee</w:t>
      </w:r>
      <w:r w:rsidR="003977F8" w:rsidRPr="00D43F59">
        <w:rPr>
          <w:rFonts w:eastAsia="Calibri"/>
        </w:rPr>
        <w:t xml:space="preserve"> </w:t>
      </w:r>
      <w:r w:rsidRPr="00D43F59">
        <w:rPr>
          <w:rFonts w:eastAsia="Calibri"/>
        </w:rPr>
        <w:t xml:space="preserve">would </w:t>
      </w:r>
      <w:r w:rsidR="003977F8" w:rsidRPr="00D43F59">
        <w:rPr>
          <w:rFonts w:eastAsia="Calibri"/>
        </w:rPr>
        <w:t xml:space="preserve">further </w:t>
      </w:r>
      <w:r w:rsidRPr="00D43F59">
        <w:rPr>
          <w:rFonts w:eastAsia="Calibri"/>
        </w:rPr>
        <w:t>add that:</w:t>
      </w:r>
    </w:p>
    <w:p w14:paraId="58A8B8BD" w14:textId="4B40020A" w:rsidR="00702831" w:rsidRPr="00D43F59" w:rsidRDefault="004429CE" w:rsidP="00F75CC8">
      <w:pPr>
        <w:pStyle w:val="SingleTxtG"/>
        <w:ind w:firstLine="567"/>
        <w:rPr>
          <w:rFonts w:eastAsia="Calibri"/>
        </w:rPr>
      </w:pPr>
      <w:r w:rsidRPr="00D43F59">
        <w:rPr>
          <w:rFonts w:eastAsia="Calibri"/>
        </w:rPr>
        <w:t>(</w:t>
      </w:r>
      <w:r w:rsidR="00F75655" w:rsidRPr="00D43F59">
        <w:rPr>
          <w:rFonts w:eastAsia="Calibri"/>
        </w:rPr>
        <w:t>a</w:t>
      </w:r>
      <w:r w:rsidRPr="00D43F59">
        <w:rPr>
          <w:rFonts w:eastAsia="Calibri"/>
        </w:rPr>
        <w:t>)</w:t>
      </w:r>
      <w:r w:rsidRPr="00D43F59">
        <w:rPr>
          <w:rFonts w:eastAsia="Calibri"/>
        </w:rPr>
        <w:tab/>
      </w:r>
      <w:r w:rsidR="00702831" w:rsidRPr="00D43F59">
        <w:rPr>
          <w:rFonts w:eastAsia="Calibri"/>
        </w:rPr>
        <w:t xml:space="preserve">Those </w:t>
      </w:r>
      <w:r w:rsidR="00AF5189" w:rsidRPr="00D43F59">
        <w:rPr>
          <w:rFonts w:eastAsia="Calibri"/>
        </w:rPr>
        <w:t xml:space="preserve">individuals </w:t>
      </w:r>
      <w:r w:rsidR="00702831" w:rsidRPr="00D43F59">
        <w:rPr>
          <w:rFonts w:eastAsia="Calibri"/>
        </w:rPr>
        <w:t xml:space="preserve">who are being temporarily held in quarantine are to be treated at all times as free agents, except for the limitations necessarily </w:t>
      </w:r>
      <w:r w:rsidR="00702831" w:rsidRPr="00D43F59">
        <w:rPr>
          <w:rFonts w:eastAsia="Calibri"/>
        </w:rPr>
        <w:lastRenderedPageBreak/>
        <w:t xml:space="preserve">placed upon them </w:t>
      </w:r>
      <w:r w:rsidR="0059189C" w:rsidRPr="00D43F59">
        <w:rPr>
          <w:rFonts w:eastAsia="Calibri"/>
        </w:rPr>
        <w:t xml:space="preserve">in accordance with </w:t>
      </w:r>
      <w:r w:rsidR="00F75655" w:rsidRPr="00D43F59">
        <w:rPr>
          <w:rFonts w:eastAsia="Calibri"/>
        </w:rPr>
        <w:t xml:space="preserve">the </w:t>
      </w:r>
      <w:r w:rsidR="0059189C" w:rsidRPr="00D43F59">
        <w:rPr>
          <w:rFonts w:eastAsia="Calibri"/>
        </w:rPr>
        <w:t>law and on the bas</w:t>
      </w:r>
      <w:r w:rsidR="00F75655" w:rsidRPr="00D43F59">
        <w:rPr>
          <w:rFonts w:eastAsia="Calibri"/>
        </w:rPr>
        <w:t>is of</w:t>
      </w:r>
      <w:r w:rsidR="0059189C" w:rsidRPr="00D43F59">
        <w:rPr>
          <w:rFonts w:eastAsia="Calibri"/>
        </w:rPr>
        <w:t xml:space="preserve"> scientific evidence </w:t>
      </w:r>
      <w:r w:rsidR="00702831" w:rsidRPr="00D43F59">
        <w:rPr>
          <w:rFonts w:eastAsia="Calibri"/>
        </w:rPr>
        <w:t>for quarantine purposes</w:t>
      </w:r>
      <w:r w:rsidR="003977F8" w:rsidRPr="00D43F59">
        <w:rPr>
          <w:rFonts w:eastAsia="Calibri"/>
        </w:rPr>
        <w:t>;</w:t>
      </w:r>
    </w:p>
    <w:p w14:paraId="5BC40001" w14:textId="6B5E7E77" w:rsidR="00100AB2" w:rsidRPr="00D43F59" w:rsidRDefault="004429CE" w:rsidP="00F75CC8">
      <w:pPr>
        <w:pStyle w:val="SingleTxtG"/>
        <w:ind w:firstLine="567"/>
        <w:rPr>
          <w:rFonts w:eastAsia="Calibri"/>
        </w:rPr>
      </w:pPr>
      <w:r w:rsidRPr="00D43F59">
        <w:rPr>
          <w:rFonts w:eastAsia="Calibri"/>
        </w:rPr>
        <w:t>(</w:t>
      </w:r>
      <w:r w:rsidR="00F75655" w:rsidRPr="00D43F59">
        <w:rPr>
          <w:rFonts w:eastAsia="Calibri"/>
        </w:rPr>
        <w:t>b</w:t>
      </w:r>
      <w:r w:rsidRPr="00D43F59">
        <w:rPr>
          <w:rFonts w:eastAsia="Calibri"/>
        </w:rPr>
        <w:t>)</w:t>
      </w:r>
      <w:r w:rsidRPr="00D43F59">
        <w:rPr>
          <w:rFonts w:eastAsia="Calibri"/>
        </w:rPr>
        <w:tab/>
      </w:r>
      <w:r w:rsidR="00AF5189" w:rsidRPr="00D43F59">
        <w:rPr>
          <w:rFonts w:eastAsia="Calibri"/>
        </w:rPr>
        <w:t>Those being temporarily held in quarantine</w:t>
      </w:r>
      <w:r w:rsidR="00100AB2" w:rsidRPr="00D43F59">
        <w:rPr>
          <w:rFonts w:eastAsia="Calibri"/>
        </w:rPr>
        <w:t xml:space="preserve"> are not to be viewed or treated as if they were detainees;</w:t>
      </w:r>
    </w:p>
    <w:p w14:paraId="0940FBEF" w14:textId="232689FA" w:rsidR="00100AB2" w:rsidRPr="00D43F59" w:rsidRDefault="004429CE" w:rsidP="00F75CC8">
      <w:pPr>
        <w:pStyle w:val="SingleTxtG"/>
        <w:ind w:firstLine="567"/>
        <w:rPr>
          <w:rFonts w:eastAsia="Calibri"/>
        </w:rPr>
      </w:pPr>
      <w:r w:rsidRPr="00D43F59">
        <w:rPr>
          <w:rFonts w:eastAsia="Calibri"/>
        </w:rPr>
        <w:t>(</w:t>
      </w:r>
      <w:r w:rsidR="006E5371" w:rsidRPr="00D43F59">
        <w:rPr>
          <w:rFonts w:eastAsia="Calibri"/>
        </w:rPr>
        <w:t>c</w:t>
      </w:r>
      <w:r w:rsidRPr="00D43F59">
        <w:rPr>
          <w:rFonts w:eastAsia="Calibri"/>
        </w:rPr>
        <w:t>)</w:t>
      </w:r>
      <w:r w:rsidRPr="00D43F59">
        <w:rPr>
          <w:rFonts w:eastAsia="Calibri"/>
        </w:rPr>
        <w:tab/>
      </w:r>
      <w:r w:rsidR="00100AB2" w:rsidRPr="00D43F59">
        <w:rPr>
          <w:rFonts w:eastAsia="Calibri"/>
        </w:rPr>
        <w:t>Quarantine facilities should be of a sufficient size and have sufficient facilities to permit internal freedom of movement and a range of purposive activities;</w:t>
      </w:r>
    </w:p>
    <w:p w14:paraId="1D0DC3F0" w14:textId="18880148" w:rsidR="00100AB2" w:rsidRPr="00D43F59" w:rsidRDefault="004429CE" w:rsidP="00F75CC8">
      <w:pPr>
        <w:pStyle w:val="SingleTxtG"/>
        <w:ind w:firstLine="567"/>
        <w:rPr>
          <w:rFonts w:eastAsia="Calibri"/>
        </w:rPr>
      </w:pPr>
      <w:r w:rsidRPr="00D43F59">
        <w:rPr>
          <w:rFonts w:eastAsia="Calibri"/>
        </w:rPr>
        <w:t>(</w:t>
      </w:r>
      <w:r w:rsidR="006E5371" w:rsidRPr="00D43F59">
        <w:rPr>
          <w:rFonts w:eastAsia="Calibri"/>
        </w:rPr>
        <w:t>d</w:t>
      </w:r>
      <w:r w:rsidRPr="00D43F59">
        <w:rPr>
          <w:rFonts w:eastAsia="Calibri"/>
        </w:rPr>
        <w:t>)</w:t>
      </w:r>
      <w:r w:rsidRPr="00D43F59">
        <w:rPr>
          <w:rFonts w:eastAsia="Calibri"/>
        </w:rPr>
        <w:tab/>
      </w:r>
      <w:r w:rsidR="00100AB2" w:rsidRPr="00D43F59">
        <w:rPr>
          <w:rFonts w:eastAsia="Calibri"/>
        </w:rPr>
        <w:t>Communication with families and friends through appropriate means should be encouraged and facilitated;</w:t>
      </w:r>
    </w:p>
    <w:p w14:paraId="342285EF" w14:textId="5BF1D14E" w:rsidR="00100AB2" w:rsidRPr="00D43F59" w:rsidRDefault="004429CE" w:rsidP="00CA2C40">
      <w:pPr>
        <w:pStyle w:val="SingleTxtG"/>
        <w:ind w:firstLine="567"/>
        <w:rPr>
          <w:rFonts w:eastAsia="Calibri"/>
        </w:rPr>
      </w:pPr>
      <w:r w:rsidRPr="00D43F59">
        <w:rPr>
          <w:rFonts w:eastAsia="Calibri"/>
        </w:rPr>
        <w:t>(</w:t>
      </w:r>
      <w:r w:rsidR="006E5371" w:rsidRPr="00D43F59">
        <w:rPr>
          <w:rFonts w:eastAsia="Calibri"/>
        </w:rPr>
        <w:t>e</w:t>
      </w:r>
      <w:r w:rsidRPr="00D43F59">
        <w:rPr>
          <w:rFonts w:eastAsia="Calibri"/>
        </w:rPr>
        <w:t>)</w:t>
      </w:r>
      <w:r w:rsidRPr="00D43F59">
        <w:rPr>
          <w:rFonts w:eastAsia="Calibri"/>
        </w:rPr>
        <w:tab/>
      </w:r>
      <w:r w:rsidR="00100AB2" w:rsidRPr="00D43F59">
        <w:rPr>
          <w:rFonts w:eastAsia="Calibri"/>
        </w:rPr>
        <w:t xml:space="preserve">Since quarantine facilities are </w:t>
      </w:r>
      <w:r w:rsidR="00CA2C40" w:rsidRPr="00D43F59">
        <w:rPr>
          <w:rFonts w:eastAsia="Calibri"/>
        </w:rPr>
        <w:t xml:space="preserve">a </w:t>
      </w:r>
      <w:r w:rsidR="00100AB2" w:rsidRPr="00F75CC8">
        <w:rPr>
          <w:rFonts w:eastAsia="Calibri"/>
          <w:iCs/>
        </w:rPr>
        <w:t>de facto</w:t>
      </w:r>
      <w:r w:rsidR="00100AB2" w:rsidRPr="00D43F59">
        <w:rPr>
          <w:rFonts w:eastAsia="Calibri"/>
        </w:rPr>
        <w:t xml:space="preserve"> form of deprivation of liberty</w:t>
      </w:r>
      <w:r w:rsidR="00CA2C40" w:rsidRPr="00D43F59">
        <w:rPr>
          <w:rFonts w:eastAsia="Calibri"/>
        </w:rPr>
        <w:t>,</w:t>
      </w:r>
      <w:r w:rsidR="00100AB2" w:rsidRPr="00D43F59">
        <w:rPr>
          <w:rFonts w:eastAsia="Calibri"/>
        </w:rPr>
        <w:t xml:space="preserve"> all those so held should be able to benefit from the fundamental safeguards against ill-treatment, including information of the reasons for their being quarantined, the right of access to independent medical advice, </w:t>
      </w:r>
      <w:r w:rsidR="00CA2C40" w:rsidRPr="00D43F59">
        <w:rPr>
          <w:rFonts w:eastAsia="Calibri"/>
        </w:rPr>
        <w:t xml:space="preserve">the right </w:t>
      </w:r>
      <w:r w:rsidR="00100AB2" w:rsidRPr="00D43F59">
        <w:rPr>
          <w:rFonts w:eastAsia="Calibri"/>
        </w:rPr>
        <w:t xml:space="preserve">to legal assistance and </w:t>
      </w:r>
      <w:r w:rsidR="00CA2C40" w:rsidRPr="00D43F59">
        <w:rPr>
          <w:rFonts w:eastAsia="Calibri"/>
        </w:rPr>
        <w:t xml:space="preserve">the right </w:t>
      </w:r>
      <w:r w:rsidR="00100AB2" w:rsidRPr="00D43F59">
        <w:rPr>
          <w:rFonts w:eastAsia="Calibri"/>
        </w:rPr>
        <w:t>to ensure that third parties are notified of their being in quarantine, in a manner consonant with their status and situation;</w:t>
      </w:r>
    </w:p>
    <w:p w14:paraId="2B79010F" w14:textId="1BCD1F73" w:rsidR="00100AB2" w:rsidRPr="00D43F59" w:rsidRDefault="004429CE" w:rsidP="00F75CC8">
      <w:pPr>
        <w:pStyle w:val="SingleTxtG"/>
        <w:ind w:firstLine="567"/>
        <w:rPr>
          <w:rFonts w:eastAsia="Calibri"/>
        </w:rPr>
      </w:pPr>
      <w:r w:rsidRPr="00D43F59">
        <w:rPr>
          <w:rFonts w:eastAsia="Calibri"/>
        </w:rPr>
        <w:t>(</w:t>
      </w:r>
      <w:r w:rsidR="006E5371" w:rsidRPr="00D43F59">
        <w:rPr>
          <w:rFonts w:eastAsia="Calibri"/>
        </w:rPr>
        <w:t>f</w:t>
      </w:r>
      <w:r w:rsidRPr="00D43F59">
        <w:rPr>
          <w:rFonts w:eastAsia="Calibri"/>
        </w:rPr>
        <w:t>)</w:t>
      </w:r>
      <w:r w:rsidRPr="00D43F59">
        <w:rPr>
          <w:rFonts w:eastAsia="Calibri"/>
        </w:rPr>
        <w:tab/>
      </w:r>
      <w:r w:rsidR="00CA2C40" w:rsidRPr="00D43F59">
        <w:rPr>
          <w:rFonts w:eastAsia="Calibri"/>
        </w:rPr>
        <w:t>A</w:t>
      </w:r>
      <w:r w:rsidR="00100AB2" w:rsidRPr="00D43F59">
        <w:rPr>
          <w:rFonts w:eastAsia="Calibri"/>
        </w:rPr>
        <w:t xml:space="preserve">ll appropriate measures </w:t>
      </w:r>
      <w:r w:rsidR="00CA2C40" w:rsidRPr="00D43F59">
        <w:rPr>
          <w:rFonts w:eastAsia="Calibri"/>
        </w:rPr>
        <w:t>must be</w:t>
      </w:r>
      <w:r w:rsidR="00100AB2" w:rsidRPr="00D43F59">
        <w:rPr>
          <w:rFonts w:eastAsia="Calibri"/>
        </w:rPr>
        <w:t xml:space="preserve"> taken to </w:t>
      </w:r>
      <w:r w:rsidR="003250D6" w:rsidRPr="00D43F59">
        <w:rPr>
          <w:rFonts w:eastAsia="Calibri"/>
        </w:rPr>
        <w:t xml:space="preserve">ensure that </w:t>
      </w:r>
      <w:r w:rsidR="00100AB2" w:rsidRPr="00D43F59">
        <w:rPr>
          <w:rFonts w:eastAsia="Calibri"/>
        </w:rPr>
        <w:t>those who are</w:t>
      </w:r>
      <w:r w:rsidR="00CA2C40" w:rsidRPr="00D43F59">
        <w:rPr>
          <w:rFonts w:eastAsia="Calibri"/>
        </w:rPr>
        <w:t>,</w:t>
      </w:r>
      <w:r w:rsidR="00100AB2" w:rsidRPr="00D43F59">
        <w:rPr>
          <w:rFonts w:eastAsia="Calibri"/>
        </w:rPr>
        <w:t xml:space="preserve"> </w:t>
      </w:r>
      <w:r w:rsidR="00CA2C40" w:rsidRPr="00D43F59">
        <w:rPr>
          <w:rFonts w:eastAsia="Calibri"/>
        </w:rPr>
        <w:t xml:space="preserve">or </w:t>
      </w:r>
      <w:r w:rsidR="00100AB2" w:rsidRPr="00D43F59">
        <w:rPr>
          <w:rFonts w:eastAsia="Calibri"/>
        </w:rPr>
        <w:t>have been</w:t>
      </w:r>
      <w:r w:rsidR="00CA2C40" w:rsidRPr="00D43F59">
        <w:rPr>
          <w:rFonts w:eastAsia="Calibri"/>
        </w:rPr>
        <w:t>,</w:t>
      </w:r>
      <w:r w:rsidR="00100AB2" w:rsidRPr="00D43F59">
        <w:rPr>
          <w:rFonts w:eastAsia="Calibri"/>
        </w:rPr>
        <w:t xml:space="preserve"> in quarantine </w:t>
      </w:r>
      <w:r w:rsidR="003250D6" w:rsidRPr="00D43F59">
        <w:rPr>
          <w:rFonts w:eastAsia="Calibri"/>
        </w:rPr>
        <w:t xml:space="preserve">do not </w:t>
      </w:r>
      <w:r w:rsidR="00100AB2" w:rsidRPr="00D43F59">
        <w:rPr>
          <w:rFonts w:eastAsia="Calibri"/>
        </w:rPr>
        <w:t>suffer</w:t>
      </w:r>
      <w:r w:rsidR="003250D6" w:rsidRPr="00D43F59">
        <w:rPr>
          <w:rFonts w:eastAsia="Calibri"/>
        </w:rPr>
        <w:t xml:space="preserve"> from</w:t>
      </w:r>
      <w:r w:rsidR="00100AB2" w:rsidRPr="00D43F59">
        <w:rPr>
          <w:rFonts w:eastAsia="Calibri"/>
        </w:rPr>
        <w:t xml:space="preserve"> any form of marginali</w:t>
      </w:r>
      <w:r w:rsidR="00CA2C40" w:rsidRPr="00D43F59">
        <w:rPr>
          <w:rFonts w:eastAsia="Calibri"/>
        </w:rPr>
        <w:t>z</w:t>
      </w:r>
      <w:r w:rsidR="00100AB2" w:rsidRPr="00D43F59">
        <w:rPr>
          <w:rFonts w:eastAsia="Calibri"/>
        </w:rPr>
        <w:t>ation or discrimination, including once they have returned to the community;</w:t>
      </w:r>
    </w:p>
    <w:p w14:paraId="5C2A711E" w14:textId="273C36FA" w:rsidR="00100AB2" w:rsidRPr="00D43F59" w:rsidRDefault="004429CE" w:rsidP="00F75CC8">
      <w:pPr>
        <w:pStyle w:val="SingleTxtG"/>
        <w:ind w:firstLine="567"/>
        <w:rPr>
          <w:rFonts w:eastAsia="Calibri"/>
        </w:rPr>
      </w:pPr>
      <w:r w:rsidRPr="00D43F59">
        <w:rPr>
          <w:rFonts w:eastAsia="Calibri"/>
        </w:rPr>
        <w:t>(</w:t>
      </w:r>
      <w:r w:rsidR="006E5371" w:rsidRPr="00D43F59">
        <w:rPr>
          <w:rFonts w:eastAsia="Calibri"/>
        </w:rPr>
        <w:t>g</w:t>
      </w:r>
      <w:r w:rsidRPr="00D43F59">
        <w:rPr>
          <w:rFonts w:eastAsia="Calibri"/>
        </w:rPr>
        <w:t>)</w:t>
      </w:r>
      <w:r w:rsidRPr="00D43F59">
        <w:rPr>
          <w:rFonts w:eastAsia="Calibri"/>
        </w:rPr>
        <w:tab/>
      </w:r>
      <w:r w:rsidR="00100AB2" w:rsidRPr="00D43F59">
        <w:rPr>
          <w:rFonts w:eastAsia="Calibri"/>
        </w:rPr>
        <w:t>Appropriate psychological support should be available for those who need it, both during and after their period of quarantine.</w:t>
      </w:r>
    </w:p>
    <w:p w14:paraId="63426F7A" w14:textId="4C15D123" w:rsidR="00702831" w:rsidRPr="00D43F59" w:rsidRDefault="001E688C" w:rsidP="001E688C">
      <w:pPr>
        <w:pStyle w:val="HChG"/>
      </w:pPr>
      <w:r w:rsidRPr="00D43F59">
        <w:tab/>
        <w:t>IV.</w:t>
      </w:r>
      <w:r w:rsidRPr="00D43F59">
        <w:tab/>
      </w:r>
      <w:r w:rsidR="00702831" w:rsidRPr="00D43F59">
        <w:t xml:space="preserve">Measures to be taken by </w:t>
      </w:r>
      <w:r w:rsidR="00EC6FCB" w:rsidRPr="00D43F59">
        <w:t>national preventive mechanisms</w:t>
      </w:r>
    </w:p>
    <w:p w14:paraId="06BB8486" w14:textId="40D307B5" w:rsidR="00702831" w:rsidRPr="00D43F59" w:rsidRDefault="00EC6FCB" w:rsidP="004429CE">
      <w:pPr>
        <w:pStyle w:val="ParaNoG"/>
        <w:numPr>
          <w:ilvl w:val="0"/>
          <w:numId w:val="8"/>
        </w:numPr>
        <w:tabs>
          <w:tab w:val="num" w:pos="0"/>
        </w:tabs>
        <w:ind w:left="1134" w:firstLine="0"/>
        <w:rPr>
          <w:rFonts w:eastAsia="Calibri"/>
        </w:rPr>
      </w:pPr>
      <w:r w:rsidRPr="00D43F59">
        <w:rPr>
          <w:rFonts w:eastAsia="Calibri"/>
        </w:rPr>
        <w:t>National preventive mechanisms</w:t>
      </w:r>
      <w:r w:rsidR="00702831" w:rsidRPr="00D43F59">
        <w:rPr>
          <w:rFonts w:eastAsia="Calibri"/>
        </w:rPr>
        <w:t xml:space="preserve"> should continue exercis</w:t>
      </w:r>
      <w:r w:rsidR="00AB58A6" w:rsidRPr="00D43F59">
        <w:rPr>
          <w:rFonts w:eastAsia="Calibri"/>
        </w:rPr>
        <w:t>ing</w:t>
      </w:r>
      <w:r w:rsidR="00702831" w:rsidRPr="00D43F59">
        <w:rPr>
          <w:rFonts w:eastAsia="Calibri"/>
        </w:rPr>
        <w:t xml:space="preserve"> their visiting mandate during the </w:t>
      </w:r>
      <w:r w:rsidR="0094081B" w:rsidRPr="00D43F59">
        <w:rPr>
          <w:rFonts w:eastAsia="Calibri"/>
        </w:rPr>
        <w:t>COVID-19</w:t>
      </w:r>
      <w:r w:rsidR="00702831" w:rsidRPr="00D43F59">
        <w:rPr>
          <w:rFonts w:eastAsia="Calibri"/>
        </w:rPr>
        <w:t xml:space="preserve"> pandemic</w:t>
      </w:r>
      <w:r w:rsidR="003A3BC4">
        <w:rPr>
          <w:rFonts w:eastAsia="Calibri"/>
        </w:rPr>
        <w:t>;</w:t>
      </w:r>
      <w:r w:rsidR="00AB58A6" w:rsidRPr="00D43F59">
        <w:rPr>
          <w:rFonts w:eastAsia="Calibri"/>
        </w:rPr>
        <w:t xml:space="preserve"> </w:t>
      </w:r>
      <w:r w:rsidR="003A3BC4">
        <w:rPr>
          <w:rFonts w:eastAsia="Calibri"/>
        </w:rPr>
        <w:t>however,</w:t>
      </w:r>
      <w:r w:rsidR="00AB58A6" w:rsidRPr="00D43F59">
        <w:rPr>
          <w:rFonts w:eastAsia="Calibri"/>
        </w:rPr>
        <w:t xml:space="preserve"> </w:t>
      </w:r>
      <w:r w:rsidR="00702831" w:rsidRPr="00D43F59">
        <w:rPr>
          <w:rFonts w:eastAsia="Calibri"/>
        </w:rPr>
        <w:t xml:space="preserve">the </w:t>
      </w:r>
      <w:r w:rsidR="0069144F" w:rsidRPr="00D43F59">
        <w:rPr>
          <w:rFonts w:eastAsia="Calibri"/>
        </w:rPr>
        <w:t>manner in which the</w:t>
      </w:r>
      <w:r w:rsidR="00A442E9" w:rsidRPr="00D43F59">
        <w:rPr>
          <w:rFonts w:eastAsia="Calibri"/>
        </w:rPr>
        <w:t>y do so</w:t>
      </w:r>
      <w:r w:rsidR="00C93C17" w:rsidRPr="00D43F59">
        <w:rPr>
          <w:rFonts w:eastAsia="Calibri"/>
        </w:rPr>
        <w:t xml:space="preserve"> must</w:t>
      </w:r>
      <w:r w:rsidR="00A442E9" w:rsidRPr="00D43F59">
        <w:rPr>
          <w:rFonts w:eastAsia="Calibri"/>
        </w:rPr>
        <w:t xml:space="preserve"> take </w:t>
      </w:r>
      <w:r w:rsidR="0094081B" w:rsidRPr="00D43F59">
        <w:rPr>
          <w:rFonts w:eastAsia="Calibri"/>
        </w:rPr>
        <w:t xml:space="preserve">into </w:t>
      </w:r>
      <w:r w:rsidR="00A442E9" w:rsidRPr="00D43F59">
        <w:rPr>
          <w:rFonts w:eastAsia="Calibri"/>
        </w:rPr>
        <w:t xml:space="preserve">account </w:t>
      </w:r>
      <w:r w:rsidR="0094081B" w:rsidRPr="00D43F59">
        <w:rPr>
          <w:rFonts w:eastAsia="Calibri"/>
        </w:rPr>
        <w:t>the</w:t>
      </w:r>
      <w:r w:rsidR="00A442E9" w:rsidRPr="00D43F59">
        <w:rPr>
          <w:rFonts w:eastAsia="Calibri"/>
        </w:rPr>
        <w:t xml:space="preserve"> legitimate </w:t>
      </w:r>
      <w:r w:rsidR="00702831" w:rsidRPr="00D43F59">
        <w:t>restrictions</w:t>
      </w:r>
      <w:r w:rsidR="00702831" w:rsidRPr="00D43F59">
        <w:rPr>
          <w:rFonts w:eastAsia="Calibri"/>
        </w:rPr>
        <w:t xml:space="preserve"> currently imposed</w:t>
      </w:r>
      <w:r w:rsidR="0069144F" w:rsidRPr="00D43F59">
        <w:rPr>
          <w:rFonts w:eastAsia="Calibri"/>
        </w:rPr>
        <w:t xml:space="preserve"> on </w:t>
      </w:r>
      <w:r w:rsidR="00702831" w:rsidRPr="00D43F59">
        <w:rPr>
          <w:rFonts w:eastAsia="Calibri"/>
        </w:rPr>
        <w:t xml:space="preserve">social contact. </w:t>
      </w:r>
      <w:r w:rsidRPr="00D43F59">
        <w:rPr>
          <w:rFonts w:eastAsia="Calibri"/>
        </w:rPr>
        <w:t>National preventive mechanisms</w:t>
      </w:r>
      <w:r w:rsidR="00702831" w:rsidRPr="00D43F59">
        <w:rPr>
          <w:rFonts w:eastAsia="Calibri"/>
        </w:rPr>
        <w:t xml:space="preserve"> cannot be </w:t>
      </w:r>
      <w:r w:rsidR="00A442E9" w:rsidRPr="00D43F59">
        <w:rPr>
          <w:rFonts w:eastAsia="Calibri"/>
        </w:rPr>
        <w:t xml:space="preserve">completely </w:t>
      </w:r>
      <w:r w:rsidR="00702831" w:rsidRPr="00D43F59">
        <w:rPr>
          <w:rFonts w:eastAsia="Calibri"/>
        </w:rPr>
        <w:t xml:space="preserve">denied access to official places of detention, including places of quarantine, </w:t>
      </w:r>
      <w:r w:rsidR="00AB58A6" w:rsidRPr="00D43F59">
        <w:rPr>
          <w:rFonts w:eastAsia="Calibri"/>
        </w:rPr>
        <w:t xml:space="preserve">even if </w:t>
      </w:r>
      <w:r w:rsidR="00702831" w:rsidRPr="00D43F59">
        <w:rPr>
          <w:rFonts w:eastAsia="Calibri"/>
        </w:rPr>
        <w:t xml:space="preserve">temporary restrictions are permissible in accordance with </w:t>
      </w:r>
      <w:r w:rsidR="003904C2" w:rsidRPr="00D43F59">
        <w:rPr>
          <w:rFonts w:eastAsia="Calibri"/>
        </w:rPr>
        <w:t>a</w:t>
      </w:r>
      <w:r w:rsidR="00702831" w:rsidRPr="00D43F59">
        <w:rPr>
          <w:rFonts w:eastAsia="Calibri"/>
        </w:rPr>
        <w:t>rticle 14</w:t>
      </w:r>
      <w:r w:rsidR="003904C2" w:rsidRPr="00D43F59">
        <w:rPr>
          <w:rFonts w:eastAsia="Calibri"/>
        </w:rPr>
        <w:t xml:space="preserve"> </w:t>
      </w:r>
      <w:r w:rsidR="00702831" w:rsidRPr="00D43F59">
        <w:rPr>
          <w:rFonts w:eastAsia="Calibri"/>
        </w:rPr>
        <w:t>(2)</w:t>
      </w:r>
      <w:r w:rsidR="003904C2" w:rsidRPr="00D43F59">
        <w:rPr>
          <w:rFonts w:eastAsia="Calibri"/>
        </w:rPr>
        <w:t xml:space="preserve"> of the Optional Protocol</w:t>
      </w:r>
      <w:r w:rsidR="00702831" w:rsidRPr="00D43F59">
        <w:rPr>
          <w:rFonts w:eastAsia="Calibri"/>
        </w:rPr>
        <w:t xml:space="preserve">. </w:t>
      </w:r>
    </w:p>
    <w:p w14:paraId="62D7BD0E" w14:textId="25756B07" w:rsidR="00702831" w:rsidRPr="00D43F59" w:rsidRDefault="00702831" w:rsidP="004429CE">
      <w:pPr>
        <w:pStyle w:val="ParaNoG"/>
        <w:numPr>
          <w:ilvl w:val="0"/>
          <w:numId w:val="8"/>
        </w:numPr>
        <w:tabs>
          <w:tab w:val="num" w:pos="0"/>
        </w:tabs>
        <w:ind w:left="1134" w:firstLine="0"/>
        <w:rPr>
          <w:rFonts w:eastAsia="Calibri"/>
        </w:rPr>
      </w:pPr>
      <w:r w:rsidRPr="00D43F59">
        <w:rPr>
          <w:rFonts w:eastAsia="Calibri"/>
        </w:rPr>
        <w:lastRenderedPageBreak/>
        <w:t xml:space="preserve">The objective of the </w:t>
      </w:r>
      <w:r w:rsidR="00100B54" w:rsidRPr="00D43F59">
        <w:rPr>
          <w:rFonts w:eastAsia="Calibri"/>
        </w:rPr>
        <w:t>Optional Protocol</w:t>
      </w:r>
      <w:r w:rsidRPr="00D43F59">
        <w:rPr>
          <w:rFonts w:eastAsia="Calibri"/>
        </w:rPr>
        <w:t xml:space="preserve">, as set out in </w:t>
      </w:r>
      <w:r w:rsidR="00100B54" w:rsidRPr="00D43F59">
        <w:rPr>
          <w:rFonts w:eastAsia="Calibri"/>
        </w:rPr>
        <w:t>a</w:t>
      </w:r>
      <w:r w:rsidRPr="00D43F59">
        <w:rPr>
          <w:rFonts w:eastAsia="Calibri"/>
        </w:rPr>
        <w:t xml:space="preserve">rticle 1, is to establish </w:t>
      </w:r>
      <w:r w:rsidR="00100B54" w:rsidRPr="00D43F59">
        <w:rPr>
          <w:rFonts w:eastAsia="Calibri"/>
        </w:rPr>
        <w:t xml:space="preserve">a </w:t>
      </w:r>
      <w:r w:rsidRPr="00D43F59">
        <w:rPr>
          <w:rFonts w:eastAsia="Calibri"/>
        </w:rPr>
        <w:t>system of regular visits</w:t>
      </w:r>
      <w:r w:rsidR="0094081B" w:rsidRPr="00D43F59">
        <w:rPr>
          <w:rFonts w:eastAsia="Calibri"/>
        </w:rPr>
        <w:t>, whereas</w:t>
      </w:r>
      <w:r w:rsidRPr="00D43F59">
        <w:rPr>
          <w:rFonts w:eastAsia="Calibri"/>
        </w:rPr>
        <w:t xml:space="preserve"> the purpose, as set out in the </w:t>
      </w:r>
      <w:r w:rsidR="003A3BC4">
        <w:rPr>
          <w:rFonts w:eastAsia="Calibri"/>
        </w:rPr>
        <w:t>p</w:t>
      </w:r>
      <w:r w:rsidRPr="00D43F59">
        <w:rPr>
          <w:rFonts w:eastAsia="Calibri"/>
        </w:rPr>
        <w:t xml:space="preserve">reamble, is the protection of persons </w:t>
      </w:r>
      <w:r w:rsidRPr="00D43F59">
        <w:t>deprived</w:t>
      </w:r>
      <w:r w:rsidRPr="00D43F59">
        <w:rPr>
          <w:rFonts w:eastAsia="Calibri"/>
        </w:rPr>
        <w:t xml:space="preserve"> of their liberty against torture and other inhuman or degrading treatment or punishment, this being a non-</w:t>
      </w:r>
      <w:proofErr w:type="spellStart"/>
      <w:r w:rsidRPr="00D43F59">
        <w:rPr>
          <w:rFonts w:eastAsia="Calibri"/>
        </w:rPr>
        <w:t>derogable</w:t>
      </w:r>
      <w:proofErr w:type="spellEnd"/>
      <w:r w:rsidRPr="00D43F59">
        <w:rPr>
          <w:rFonts w:eastAsia="Calibri"/>
        </w:rPr>
        <w:t xml:space="preserve"> obligation under international law. In the current context, this suggests that it is incumbent on </w:t>
      </w:r>
      <w:r w:rsidR="00EC6FCB" w:rsidRPr="00D43F59">
        <w:rPr>
          <w:rFonts w:eastAsia="Calibri"/>
        </w:rPr>
        <w:t>national preventive mechanisms</w:t>
      </w:r>
      <w:r w:rsidRPr="00D43F59">
        <w:rPr>
          <w:rFonts w:eastAsia="Calibri"/>
        </w:rPr>
        <w:t xml:space="preserve"> to devise methods </w:t>
      </w:r>
      <w:r w:rsidR="00AB0D9E" w:rsidRPr="00D43F59">
        <w:rPr>
          <w:rFonts w:eastAsia="Calibri"/>
        </w:rPr>
        <w:t>for</w:t>
      </w:r>
      <w:r w:rsidRPr="00D43F59">
        <w:rPr>
          <w:rFonts w:eastAsia="Calibri"/>
        </w:rPr>
        <w:t xml:space="preserve"> fulfilling their preventive mandate in relation to places of detention </w:t>
      </w:r>
      <w:r w:rsidR="00AB0D9E" w:rsidRPr="00D43F59">
        <w:rPr>
          <w:rFonts w:eastAsia="Calibri"/>
        </w:rPr>
        <w:t xml:space="preserve">that </w:t>
      </w:r>
      <w:r w:rsidRPr="00D43F59">
        <w:rPr>
          <w:rFonts w:eastAsia="Calibri"/>
        </w:rPr>
        <w:t>minimi</w:t>
      </w:r>
      <w:r w:rsidR="00AB0D9E" w:rsidRPr="00D43F59">
        <w:rPr>
          <w:rFonts w:eastAsia="Calibri"/>
        </w:rPr>
        <w:t>z</w:t>
      </w:r>
      <w:r w:rsidRPr="00D43F59">
        <w:rPr>
          <w:rFonts w:eastAsia="Calibri"/>
        </w:rPr>
        <w:t xml:space="preserve">e the need for social contact but </w:t>
      </w:r>
      <w:r w:rsidR="00AB0D9E" w:rsidRPr="00D43F59">
        <w:rPr>
          <w:rFonts w:eastAsia="Calibri"/>
        </w:rPr>
        <w:t xml:space="preserve">that </w:t>
      </w:r>
      <w:r w:rsidRPr="00D43F59">
        <w:rPr>
          <w:rFonts w:eastAsia="Calibri"/>
        </w:rPr>
        <w:t xml:space="preserve">nevertheless offer effective opportunities for preventive engagement. </w:t>
      </w:r>
    </w:p>
    <w:p w14:paraId="097C9AA8" w14:textId="77777777" w:rsidR="00702831" w:rsidRPr="00D43F59" w:rsidRDefault="00702831" w:rsidP="004429CE">
      <w:pPr>
        <w:pStyle w:val="ParaNoG"/>
        <w:numPr>
          <w:ilvl w:val="0"/>
          <w:numId w:val="8"/>
        </w:numPr>
        <w:tabs>
          <w:tab w:val="num" w:pos="0"/>
        </w:tabs>
        <w:ind w:left="1134" w:firstLine="0"/>
        <w:rPr>
          <w:rFonts w:eastAsia="Calibri"/>
        </w:rPr>
      </w:pPr>
      <w:r w:rsidRPr="00D43F59">
        <w:t>Such</w:t>
      </w:r>
      <w:r w:rsidRPr="00D43F59">
        <w:rPr>
          <w:rFonts w:eastAsia="Calibri"/>
        </w:rPr>
        <w:t xml:space="preserve"> measures might include:</w:t>
      </w:r>
    </w:p>
    <w:p w14:paraId="0C45C6F9" w14:textId="14D8EC60" w:rsidR="00702831" w:rsidRPr="00D43F59" w:rsidRDefault="001E688C" w:rsidP="009D40D6">
      <w:pPr>
        <w:pStyle w:val="SingleTxtG"/>
        <w:ind w:firstLine="567"/>
        <w:rPr>
          <w:rFonts w:eastAsia="Calibri"/>
        </w:rPr>
      </w:pPr>
      <w:r w:rsidRPr="00D43F59">
        <w:rPr>
          <w:rFonts w:eastAsia="Calibri"/>
        </w:rPr>
        <w:t>(</w:t>
      </w:r>
      <w:r w:rsidR="00BB46D8" w:rsidRPr="00D43F59">
        <w:rPr>
          <w:rFonts w:eastAsia="Calibri"/>
        </w:rPr>
        <w:t>a</w:t>
      </w:r>
      <w:r w:rsidRPr="00D43F59">
        <w:rPr>
          <w:rFonts w:eastAsia="Calibri"/>
        </w:rPr>
        <w:t>)</w:t>
      </w:r>
      <w:r w:rsidRPr="00D43F59">
        <w:rPr>
          <w:rFonts w:eastAsia="Calibri"/>
        </w:rPr>
        <w:tab/>
      </w:r>
      <w:r w:rsidR="00702831" w:rsidRPr="00D43F59">
        <w:rPr>
          <w:rFonts w:eastAsia="Calibri"/>
        </w:rPr>
        <w:t xml:space="preserve">Discussing </w:t>
      </w:r>
      <w:r w:rsidR="008A489C" w:rsidRPr="00D43F59">
        <w:rPr>
          <w:rFonts w:eastAsia="Calibri"/>
        </w:rPr>
        <w:t xml:space="preserve">the implementation and operation of the measures outlined in </w:t>
      </w:r>
      <w:r w:rsidR="003A3BC4">
        <w:rPr>
          <w:rFonts w:eastAsia="Calibri"/>
        </w:rPr>
        <w:t>sections</w:t>
      </w:r>
      <w:r w:rsidR="008A489C" w:rsidRPr="00D43F59">
        <w:rPr>
          <w:rFonts w:eastAsia="Calibri"/>
        </w:rPr>
        <w:t xml:space="preserve"> II and III above </w:t>
      </w:r>
      <w:r w:rsidR="00702831" w:rsidRPr="00D43F59">
        <w:rPr>
          <w:rFonts w:eastAsia="Calibri"/>
        </w:rPr>
        <w:t>with relevant national authorities</w:t>
      </w:r>
      <w:r w:rsidR="0068083C" w:rsidRPr="00D43F59">
        <w:rPr>
          <w:rFonts w:eastAsia="Calibri"/>
        </w:rPr>
        <w:t>;</w:t>
      </w:r>
    </w:p>
    <w:p w14:paraId="6BEEEAD0" w14:textId="13214898" w:rsidR="00702831" w:rsidRPr="00D43F59" w:rsidRDefault="001E688C" w:rsidP="00F75CC8">
      <w:pPr>
        <w:pStyle w:val="SingleTxtG"/>
        <w:ind w:firstLine="567"/>
        <w:rPr>
          <w:rFonts w:eastAsia="Calibri"/>
        </w:rPr>
      </w:pPr>
      <w:r w:rsidRPr="00D43F59">
        <w:rPr>
          <w:rFonts w:eastAsia="Calibri"/>
        </w:rPr>
        <w:t>(</w:t>
      </w:r>
      <w:r w:rsidR="00BB46D8" w:rsidRPr="00D43F59">
        <w:rPr>
          <w:rFonts w:eastAsia="Calibri"/>
        </w:rPr>
        <w:t>b</w:t>
      </w:r>
      <w:r w:rsidRPr="00D43F59">
        <w:rPr>
          <w:rFonts w:eastAsia="Calibri"/>
        </w:rPr>
        <w:t>)</w:t>
      </w:r>
      <w:r w:rsidRPr="00D43F59">
        <w:rPr>
          <w:rFonts w:eastAsia="Calibri"/>
        </w:rPr>
        <w:tab/>
      </w:r>
      <w:r w:rsidR="00702831" w:rsidRPr="00D43F59">
        <w:rPr>
          <w:rFonts w:eastAsia="Calibri"/>
        </w:rPr>
        <w:t>Increas</w:t>
      </w:r>
      <w:r w:rsidR="00F5538B" w:rsidRPr="00D43F59">
        <w:rPr>
          <w:rFonts w:eastAsia="Calibri"/>
        </w:rPr>
        <w:t>ing</w:t>
      </w:r>
      <w:r w:rsidR="00702831" w:rsidRPr="00D43F59">
        <w:rPr>
          <w:rFonts w:eastAsia="Calibri"/>
        </w:rPr>
        <w:t xml:space="preserve"> </w:t>
      </w:r>
      <w:r w:rsidR="00F5538B" w:rsidRPr="00D43F59">
        <w:rPr>
          <w:rFonts w:eastAsia="Calibri"/>
        </w:rPr>
        <w:t xml:space="preserve">the </w:t>
      </w:r>
      <w:r w:rsidR="00702831" w:rsidRPr="00D43F59">
        <w:rPr>
          <w:rFonts w:eastAsia="Calibri"/>
        </w:rPr>
        <w:t xml:space="preserve">collection and scrutiny of </w:t>
      </w:r>
      <w:r w:rsidR="003E0041" w:rsidRPr="00D43F59">
        <w:rPr>
          <w:rFonts w:eastAsia="Calibri"/>
        </w:rPr>
        <w:t xml:space="preserve">individual and collective </w:t>
      </w:r>
      <w:r w:rsidR="00702831" w:rsidRPr="00D43F59">
        <w:rPr>
          <w:rFonts w:eastAsia="Calibri"/>
        </w:rPr>
        <w:t>data relating to places of detention</w:t>
      </w:r>
      <w:r w:rsidR="0068083C" w:rsidRPr="00D43F59">
        <w:rPr>
          <w:rFonts w:eastAsia="Calibri"/>
        </w:rPr>
        <w:t>;</w:t>
      </w:r>
    </w:p>
    <w:p w14:paraId="47B31BC8" w14:textId="7EEA9E32" w:rsidR="00702831" w:rsidRPr="00D43F59" w:rsidRDefault="001E688C" w:rsidP="00F75CC8">
      <w:pPr>
        <w:pStyle w:val="SingleTxtG"/>
        <w:ind w:firstLine="567"/>
        <w:rPr>
          <w:rFonts w:eastAsia="Calibri"/>
        </w:rPr>
      </w:pPr>
      <w:r w:rsidRPr="00D43F59">
        <w:rPr>
          <w:rFonts w:eastAsia="Calibri"/>
        </w:rPr>
        <w:t>(</w:t>
      </w:r>
      <w:r w:rsidR="00BB46D8" w:rsidRPr="00D43F59">
        <w:rPr>
          <w:rFonts w:eastAsia="Calibri"/>
        </w:rPr>
        <w:t>c</w:t>
      </w:r>
      <w:r w:rsidRPr="00D43F59">
        <w:rPr>
          <w:rFonts w:eastAsia="Calibri"/>
        </w:rPr>
        <w:t>)</w:t>
      </w:r>
      <w:r w:rsidRPr="00D43F59">
        <w:rPr>
          <w:rFonts w:eastAsia="Calibri"/>
        </w:rPr>
        <w:tab/>
      </w:r>
      <w:r w:rsidR="00B8529F" w:rsidRPr="00D43F59">
        <w:rPr>
          <w:rFonts w:eastAsia="Calibri"/>
        </w:rPr>
        <w:t xml:space="preserve">Using </w:t>
      </w:r>
      <w:r w:rsidR="00702831" w:rsidRPr="00D43F59">
        <w:rPr>
          <w:rFonts w:eastAsia="Calibri"/>
        </w:rPr>
        <w:t xml:space="preserve">electronic </w:t>
      </w:r>
      <w:r w:rsidR="00F5538B" w:rsidRPr="00D43F59">
        <w:rPr>
          <w:rFonts w:eastAsia="Calibri"/>
        </w:rPr>
        <w:t xml:space="preserve">forms of </w:t>
      </w:r>
      <w:r w:rsidR="00702831" w:rsidRPr="00D43F59">
        <w:rPr>
          <w:rFonts w:eastAsia="Calibri"/>
        </w:rPr>
        <w:t>communication with those in places of detention</w:t>
      </w:r>
      <w:r w:rsidR="00B8529F" w:rsidRPr="00D43F59">
        <w:rPr>
          <w:rFonts w:eastAsia="Calibri"/>
        </w:rPr>
        <w:t>;</w:t>
      </w:r>
    </w:p>
    <w:p w14:paraId="3D3DA8FD" w14:textId="01AC3DD1" w:rsidR="00702831" w:rsidRPr="00D43F59" w:rsidRDefault="001E688C" w:rsidP="00F75CC8">
      <w:pPr>
        <w:pStyle w:val="SingleTxtG"/>
        <w:ind w:firstLine="567"/>
        <w:rPr>
          <w:rFonts w:eastAsia="Calibri"/>
        </w:rPr>
      </w:pPr>
      <w:r w:rsidRPr="00D43F59">
        <w:rPr>
          <w:rFonts w:eastAsia="Calibri"/>
        </w:rPr>
        <w:t>(</w:t>
      </w:r>
      <w:r w:rsidR="00BB46D8" w:rsidRPr="00D43F59">
        <w:rPr>
          <w:rFonts w:eastAsia="Calibri"/>
        </w:rPr>
        <w:t>d</w:t>
      </w:r>
      <w:r w:rsidRPr="00D43F59">
        <w:rPr>
          <w:rFonts w:eastAsia="Calibri"/>
        </w:rPr>
        <w:t>)</w:t>
      </w:r>
      <w:r w:rsidRPr="00D43F59">
        <w:rPr>
          <w:rFonts w:eastAsia="Calibri"/>
        </w:rPr>
        <w:tab/>
      </w:r>
      <w:r w:rsidR="00B8529F" w:rsidRPr="00D43F59">
        <w:rPr>
          <w:rFonts w:eastAsia="Calibri"/>
        </w:rPr>
        <w:t>Es</w:t>
      </w:r>
      <w:r w:rsidR="00702831" w:rsidRPr="00D43F59">
        <w:rPr>
          <w:rFonts w:eastAsia="Calibri"/>
        </w:rPr>
        <w:t>tablish</w:t>
      </w:r>
      <w:r w:rsidR="00B8529F" w:rsidRPr="00D43F59">
        <w:rPr>
          <w:rFonts w:eastAsia="Calibri"/>
        </w:rPr>
        <w:t xml:space="preserve">ing </w:t>
      </w:r>
      <w:r w:rsidR="00F5538B" w:rsidRPr="00D43F59">
        <w:rPr>
          <w:rFonts w:eastAsia="Calibri"/>
        </w:rPr>
        <w:t xml:space="preserve">national prevention mechanism </w:t>
      </w:r>
      <w:r w:rsidR="00702831" w:rsidRPr="00D43F59">
        <w:rPr>
          <w:rFonts w:eastAsia="Calibri"/>
        </w:rPr>
        <w:t>hotlines within places of detention</w:t>
      </w:r>
      <w:r w:rsidR="00F5538B" w:rsidRPr="00D43F59">
        <w:rPr>
          <w:rFonts w:eastAsia="Calibri"/>
        </w:rPr>
        <w:t>,</w:t>
      </w:r>
      <w:r w:rsidR="00702831" w:rsidRPr="00D43F59">
        <w:rPr>
          <w:rFonts w:eastAsia="Calibri"/>
        </w:rPr>
        <w:t xml:space="preserve"> and </w:t>
      </w:r>
      <w:r w:rsidR="004B4DCD" w:rsidRPr="00D43F59">
        <w:rPr>
          <w:rFonts w:eastAsia="Calibri"/>
        </w:rPr>
        <w:t>providing</w:t>
      </w:r>
      <w:r w:rsidR="003A4C06" w:rsidRPr="00D43F59">
        <w:rPr>
          <w:rFonts w:eastAsia="Calibri"/>
        </w:rPr>
        <w:t xml:space="preserve"> </w:t>
      </w:r>
      <w:r w:rsidR="00702831" w:rsidRPr="00D43F59">
        <w:rPr>
          <w:rFonts w:eastAsia="Calibri"/>
        </w:rPr>
        <w:t xml:space="preserve">secure email </w:t>
      </w:r>
      <w:r w:rsidR="004B4DCD" w:rsidRPr="00D43F59">
        <w:rPr>
          <w:rFonts w:eastAsia="Calibri"/>
        </w:rPr>
        <w:t xml:space="preserve">access </w:t>
      </w:r>
      <w:r w:rsidR="00702831" w:rsidRPr="00D43F59">
        <w:rPr>
          <w:rFonts w:eastAsia="Calibri"/>
        </w:rPr>
        <w:t>and postal facilities</w:t>
      </w:r>
      <w:r w:rsidR="00B8529F" w:rsidRPr="00D43F59">
        <w:rPr>
          <w:rFonts w:eastAsia="Calibri"/>
        </w:rPr>
        <w:t>;</w:t>
      </w:r>
    </w:p>
    <w:p w14:paraId="0188C9E1" w14:textId="7F84726F" w:rsidR="00702831" w:rsidRPr="00D43F59" w:rsidRDefault="001E688C" w:rsidP="00F75CC8">
      <w:pPr>
        <w:pStyle w:val="SingleTxtG"/>
        <w:ind w:firstLine="567"/>
        <w:rPr>
          <w:rFonts w:eastAsia="Calibri"/>
        </w:rPr>
      </w:pPr>
      <w:r w:rsidRPr="00D43F59">
        <w:rPr>
          <w:rFonts w:eastAsia="Calibri"/>
        </w:rPr>
        <w:t>(</w:t>
      </w:r>
      <w:r w:rsidR="00BB46D8" w:rsidRPr="00D43F59">
        <w:rPr>
          <w:rFonts w:eastAsia="Calibri"/>
        </w:rPr>
        <w:t>e</w:t>
      </w:r>
      <w:r w:rsidRPr="00D43F59">
        <w:rPr>
          <w:rFonts w:eastAsia="Calibri"/>
        </w:rPr>
        <w:t>)</w:t>
      </w:r>
      <w:r w:rsidRPr="00D43F59">
        <w:rPr>
          <w:rFonts w:eastAsia="Calibri"/>
        </w:rPr>
        <w:tab/>
      </w:r>
      <w:r w:rsidR="00702831" w:rsidRPr="00D43F59">
        <w:rPr>
          <w:rFonts w:eastAsia="Calibri"/>
        </w:rPr>
        <w:t xml:space="preserve">Tracking the </w:t>
      </w:r>
      <w:r w:rsidR="00B8529F" w:rsidRPr="00D43F59">
        <w:rPr>
          <w:rFonts w:eastAsia="Calibri"/>
        </w:rPr>
        <w:t xml:space="preserve">setting up </w:t>
      </w:r>
      <w:r w:rsidR="00702831" w:rsidRPr="00D43F59">
        <w:rPr>
          <w:rFonts w:eastAsia="Calibri"/>
        </w:rPr>
        <w:t>of new</w:t>
      </w:r>
      <w:r w:rsidR="009D40D6" w:rsidRPr="00D43F59">
        <w:rPr>
          <w:rFonts w:eastAsia="Calibri"/>
        </w:rPr>
        <w:t xml:space="preserve"> and </w:t>
      </w:r>
      <w:r w:rsidR="00702831" w:rsidRPr="00D43F59">
        <w:rPr>
          <w:rFonts w:eastAsia="Calibri"/>
        </w:rPr>
        <w:t>temporary places of detention</w:t>
      </w:r>
      <w:r w:rsidR="00B8529F" w:rsidRPr="00D43F59">
        <w:rPr>
          <w:rFonts w:eastAsia="Calibri"/>
        </w:rPr>
        <w:t>;</w:t>
      </w:r>
    </w:p>
    <w:p w14:paraId="77B579A7" w14:textId="4E7D5B35" w:rsidR="00702831" w:rsidRPr="00D43F59" w:rsidRDefault="001E688C" w:rsidP="00F75CC8">
      <w:pPr>
        <w:pStyle w:val="SingleTxtG"/>
        <w:ind w:firstLine="567"/>
        <w:rPr>
          <w:rFonts w:eastAsia="Calibri"/>
        </w:rPr>
      </w:pPr>
      <w:r w:rsidRPr="00D43F59">
        <w:rPr>
          <w:rFonts w:eastAsia="Calibri"/>
        </w:rPr>
        <w:t>(</w:t>
      </w:r>
      <w:r w:rsidR="00BB46D8" w:rsidRPr="00D43F59">
        <w:rPr>
          <w:rFonts w:eastAsia="Calibri"/>
        </w:rPr>
        <w:t>f</w:t>
      </w:r>
      <w:r w:rsidRPr="00D43F59">
        <w:rPr>
          <w:rFonts w:eastAsia="Calibri"/>
        </w:rPr>
        <w:t>)</w:t>
      </w:r>
      <w:r w:rsidRPr="00D43F59">
        <w:rPr>
          <w:rFonts w:eastAsia="Calibri"/>
        </w:rPr>
        <w:tab/>
      </w:r>
      <w:r w:rsidR="00702831" w:rsidRPr="00D43F59">
        <w:rPr>
          <w:rFonts w:eastAsia="Calibri"/>
        </w:rPr>
        <w:t xml:space="preserve">Enhancing the distribution of information concerning the work of the </w:t>
      </w:r>
      <w:r w:rsidR="009D40D6" w:rsidRPr="00D43F59">
        <w:rPr>
          <w:rFonts w:eastAsia="Calibri"/>
        </w:rPr>
        <w:t xml:space="preserve">national preventive mechanism </w:t>
      </w:r>
      <w:r w:rsidR="00702831" w:rsidRPr="00D43F59">
        <w:rPr>
          <w:rFonts w:eastAsia="Calibri"/>
        </w:rPr>
        <w:t>within places of detention</w:t>
      </w:r>
      <w:r w:rsidR="008721E1">
        <w:rPr>
          <w:rFonts w:eastAsia="Calibri"/>
        </w:rPr>
        <w:t>,</w:t>
      </w:r>
      <w:r w:rsidR="00702831" w:rsidRPr="00D43F59">
        <w:rPr>
          <w:rFonts w:eastAsia="Calibri"/>
        </w:rPr>
        <w:t xml:space="preserve"> and ensuring there are channels allowing prompt and confidential communication</w:t>
      </w:r>
      <w:r w:rsidR="00B8529F" w:rsidRPr="00D43F59">
        <w:rPr>
          <w:rFonts w:eastAsia="Calibri"/>
        </w:rPr>
        <w:t>;</w:t>
      </w:r>
    </w:p>
    <w:p w14:paraId="0808EF5D" w14:textId="1B5E253E" w:rsidR="00702831" w:rsidRPr="00D43F59" w:rsidRDefault="001E688C" w:rsidP="00F75CC8">
      <w:pPr>
        <w:pStyle w:val="SingleTxtG"/>
        <w:ind w:firstLine="567"/>
        <w:rPr>
          <w:rFonts w:eastAsia="Calibri"/>
        </w:rPr>
      </w:pPr>
      <w:r w:rsidRPr="00D43F59">
        <w:rPr>
          <w:rFonts w:eastAsia="Calibri"/>
        </w:rPr>
        <w:t>(</w:t>
      </w:r>
      <w:r w:rsidR="00BB46D8" w:rsidRPr="00D43F59">
        <w:rPr>
          <w:rFonts w:eastAsia="Calibri"/>
        </w:rPr>
        <w:t>g</w:t>
      </w:r>
      <w:r w:rsidRPr="00D43F59">
        <w:rPr>
          <w:rFonts w:eastAsia="Calibri"/>
        </w:rPr>
        <w:t>)</w:t>
      </w:r>
      <w:r w:rsidRPr="00D43F59">
        <w:rPr>
          <w:rFonts w:eastAsia="Calibri"/>
        </w:rPr>
        <w:tab/>
      </w:r>
      <w:r w:rsidR="00702831" w:rsidRPr="00D43F59">
        <w:rPr>
          <w:rFonts w:eastAsia="Calibri"/>
        </w:rPr>
        <w:t>Seeking to contact third parties (e.g.</w:t>
      </w:r>
      <w:r w:rsidR="00FB72B9" w:rsidRPr="00D43F59">
        <w:rPr>
          <w:rFonts w:eastAsia="Calibri"/>
        </w:rPr>
        <w:t>,</w:t>
      </w:r>
      <w:r w:rsidR="00702831" w:rsidRPr="00D43F59">
        <w:rPr>
          <w:rFonts w:eastAsia="Calibri"/>
        </w:rPr>
        <w:t xml:space="preserve"> families and lawyers) who may be able to provide additional information concerning the situation within places of detention</w:t>
      </w:r>
      <w:r w:rsidR="00B8529F" w:rsidRPr="00D43F59">
        <w:rPr>
          <w:rFonts w:eastAsia="Calibri"/>
        </w:rPr>
        <w:t>;</w:t>
      </w:r>
      <w:r w:rsidR="0068083C" w:rsidRPr="00D43F59">
        <w:rPr>
          <w:rFonts w:eastAsia="Calibri"/>
        </w:rPr>
        <w:t xml:space="preserve"> </w:t>
      </w:r>
    </w:p>
    <w:p w14:paraId="59D36CD2" w14:textId="41C0457A" w:rsidR="00702831" w:rsidRPr="00D43F59" w:rsidRDefault="001E688C" w:rsidP="00F75CC8">
      <w:pPr>
        <w:pStyle w:val="SingleTxtG"/>
        <w:ind w:firstLine="567"/>
        <w:rPr>
          <w:rFonts w:eastAsia="Calibri"/>
        </w:rPr>
      </w:pPr>
      <w:r w:rsidRPr="00D43F59">
        <w:rPr>
          <w:rFonts w:eastAsia="Calibri"/>
        </w:rPr>
        <w:t>(</w:t>
      </w:r>
      <w:r w:rsidR="00BB46D8" w:rsidRPr="00D43F59">
        <w:rPr>
          <w:rFonts w:eastAsia="Calibri"/>
        </w:rPr>
        <w:t>h</w:t>
      </w:r>
      <w:r w:rsidRPr="00D43F59">
        <w:rPr>
          <w:rFonts w:eastAsia="Calibri"/>
        </w:rPr>
        <w:t>)</w:t>
      </w:r>
      <w:r w:rsidRPr="00D43F59">
        <w:rPr>
          <w:rFonts w:eastAsia="Calibri"/>
        </w:rPr>
        <w:tab/>
      </w:r>
      <w:r w:rsidR="00702831" w:rsidRPr="00D43F59">
        <w:rPr>
          <w:rFonts w:eastAsia="Calibri"/>
        </w:rPr>
        <w:t xml:space="preserve">Enhancing cooperation with </w:t>
      </w:r>
      <w:r w:rsidR="009B6A1D" w:rsidRPr="00D43F59">
        <w:rPr>
          <w:rFonts w:eastAsia="Calibri"/>
        </w:rPr>
        <w:t>non-governmental organizations</w:t>
      </w:r>
      <w:r w:rsidR="00702831" w:rsidRPr="00D43F59">
        <w:rPr>
          <w:rFonts w:eastAsia="Calibri"/>
        </w:rPr>
        <w:t xml:space="preserve"> and relief organi</w:t>
      </w:r>
      <w:r w:rsidR="009B6A1D" w:rsidRPr="00D43F59">
        <w:rPr>
          <w:rFonts w:eastAsia="Calibri"/>
        </w:rPr>
        <w:t>z</w:t>
      </w:r>
      <w:r w:rsidR="00702831" w:rsidRPr="00D43F59">
        <w:rPr>
          <w:rFonts w:eastAsia="Calibri"/>
        </w:rPr>
        <w:t>ations working with those deprived of their liberty.</w:t>
      </w:r>
    </w:p>
    <w:p w14:paraId="1F028A4F" w14:textId="2C5D4111" w:rsidR="00702831" w:rsidRPr="00D43F59" w:rsidRDefault="00AF5189" w:rsidP="00AF5189">
      <w:pPr>
        <w:pStyle w:val="HChG"/>
      </w:pPr>
      <w:r w:rsidRPr="00D43F59">
        <w:lastRenderedPageBreak/>
        <w:tab/>
        <w:t>V.</w:t>
      </w:r>
      <w:r w:rsidRPr="00D43F59">
        <w:tab/>
      </w:r>
      <w:r w:rsidR="00702831" w:rsidRPr="00D43F59">
        <w:t>Conclusion</w:t>
      </w:r>
    </w:p>
    <w:p w14:paraId="3F80C042" w14:textId="639B5066" w:rsidR="00702831" w:rsidRPr="00D43F59" w:rsidRDefault="00702831" w:rsidP="004429CE">
      <w:pPr>
        <w:pStyle w:val="ParaNoG"/>
        <w:numPr>
          <w:ilvl w:val="0"/>
          <w:numId w:val="8"/>
        </w:numPr>
        <w:tabs>
          <w:tab w:val="num" w:pos="0"/>
        </w:tabs>
        <w:ind w:left="1134" w:firstLine="0"/>
        <w:rPr>
          <w:rFonts w:eastAsia="Calibri"/>
        </w:rPr>
      </w:pPr>
      <w:r w:rsidRPr="00D43F59">
        <w:rPr>
          <w:rFonts w:eastAsia="Calibri"/>
        </w:rPr>
        <w:t xml:space="preserve">It is not possible to </w:t>
      </w:r>
      <w:r w:rsidR="00D316AA" w:rsidRPr="00D43F59">
        <w:rPr>
          <w:rFonts w:eastAsia="Calibri"/>
        </w:rPr>
        <w:t xml:space="preserve">accurately </w:t>
      </w:r>
      <w:r w:rsidRPr="00D43F59">
        <w:rPr>
          <w:rFonts w:eastAsia="Calibri"/>
        </w:rPr>
        <w:t xml:space="preserve">predict how long the current pandemic will last, or what its full effects will be. What is clear is that it is already having a profound effect on all members of society and will continue to do so for a considerable time to come. The </w:t>
      </w:r>
      <w:r w:rsidR="00EC6FCB" w:rsidRPr="00D43F59">
        <w:rPr>
          <w:rFonts w:eastAsia="Calibri"/>
        </w:rPr>
        <w:t>Subcommittee</w:t>
      </w:r>
      <w:r w:rsidRPr="00D43F59">
        <w:rPr>
          <w:rFonts w:eastAsia="Calibri"/>
        </w:rPr>
        <w:t xml:space="preserve"> and </w:t>
      </w:r>
      <w:r w:rsidR="00EC6FCB" w:rsidRPr="00D43F59">
        <w:rPr>
          <w:rFonts w:eastAsia="Calibri"/>
        </w:rPr>
        <w:t>national preventive mechanisms</w:t>
      </w:r>
      <w:r w:rsidRPr="00D43F59">
        <w:rPr>
          <w:rFonts w:eastAsia="Calibri"/>
        </w:rPr>
        <w:t xml:space="preserve"> must be conscious of the </w:t>
      </w:r>
      <w:r w:rsidR="00D316AA" w:rsidRPr="00D43F59">
        <w:rPr>
          <w:rFonts w:eastAsia="Calibri"/>
        </w:rPr>
        <w:t>“</w:t>
      </w:r>
      <w:r w:rsidRPr="00D43F59">
        <w:rPr>
          <w:rFonts w:eastAsia="Calibri"/>
        </w:rPr>
        <w:t>do no harm</w:t>
      </w:r>
      <w:r w:rsidR="00D316AA" w:rsidRPr="00D43F59">
        <w:rPr>
          <w:rFonts w:eastAsia="Calibri"/>
        </w:rPr>
        <w:t>”</w:t>
      </w:r>
      <w:r w:rsidRPr="00D43F59">
        <w:rPr>
          <w:rFonts w:eastAsia="Calibri"/>
        </w:rPr>
        <w:t xml:space="preserve"> principle as they undertake their work. This may mean that </w:t>
      </w:r>
      <w:r w:rsidR="00EC6FCB" w:rsidRPr="00D43F59">
        <w:rPr>
          <w:rFonts w:eastAsia="Calibri"/>
        </w:rPr>
        <w:t>national preventive mechanisms</w:t>
      </w:r>
      <w:r w:rsidR="00DD170C" w:rsidRPr="00D43F59">
        <w:rPr>
          <w:rFonts w:eastAsia="Calibri"/>
        </w:rPr>
        <w:t xml:space="preserve"> should adapt </w:t>
      </w:r>
      <w:r w:rsidR="00C36400" w:rsidRPr="00D43F59">
        <w:rPr>
          <w:rFonts w:eastAsia="Calibri"/>
        </w:rPr>
        <w:t xml:space="preserve">their </w:t>
      </w:r>
      <w:r w:rsidRPr="00D43F59">
        <w:rPr>
          <w:rFonts w:eastAsia="Calibri"/>
        </w:rPr>
        <w:t xml:space="preserve">working methods </w:t>
      </w:r>
      <w:r w:rsidR="00DD170C" w:rsidRPr="00D43F59">
        <w:rPr>
          <w:rFonts w:eastAsia="Calibri"/>
        </w:rPr>
        <w:t xml:space="preserve">to meet the situation </w:t>
      </w:r>
      <w:r w:rsidR="0069144F" w:rsidRPr="00D43F59">
        <w:rPr>
          <w:rFonts w:eastAsia="Calibri"/>
        </w:rPr>
        <w:t xml:space="preserve">caused by the </w:t>
      </w:r>
      <w:r w:rsidR="00DD170C" w:rsidRPr="00D43F59">
        <w:rPr>
          <w:rFonts w:eastAsia="Calibri"/>
        </w:rPr>
        <w:t xml:space="preserve">pandemic in order to </w:t>
      </w:r>
      <w:r w:rsidRPr="00D43F59">
        <w:rPr>
          <w:rFonts w:eastAsia="Calibri"/>
        </w:rPr>
        <w:t>safeguard the public</w:t>
      </w:r>
      <w:r w:rsidR="00312F33">
        <w:rPr>
          <w:rFonts w:eastAsia="Calibri"/>
        </w:rPr>
        <w:t>;</w:t>
      </w:r>
      <w:r w:rsidRPr="00D43F59">
        <w:rPr>
          <w:rFonts w:eastAsia="Calibri"/>
        </w:rPr>
        <w:t xml:space="preserve"> </w:t>
      </w:r>
      <w:r w:rsidR="00312F33">
        <w:rPr>
          <w:rFonts w:eastAsia="Calibri"/>
        </w:rPr>
        <w:t xml:space="preserve">staff and personnel working in </w:t>
      </w:r>
      <w:r w:rsidR="00312F33">
        <w:t>detention facilities, including health-care</w:t>
      </w:r>
      <w:r w:rsidRPr="00D43F59">
        <w:rPr>
          <w:rFonts w:eastAsia="Calibri"/>
        </w:rPr>
        <w:t xml:space="preserve"> staff</w:t>
      </w:r>
      <w:r w:rsidR="00312F33">
        <w:rPr>
          <w:rFonts w:eastAsia="Calibri"/>
        </w:rPr>
        <w:t>;</w:t>
      </w:r>
      <w:r w:rsidRPr="00D43F59">
        <w:rPr>
          <w:rFonts w:eastAsia="Calibri"/>
        </w:rPr>
        <w:t xml:space="preserve"> detainees</w:t>
      </w:r>
      <w:r w:rsidR="00312F33">
        <w:rPr>
          <w:rFonts w:eastAsia="Calibri"/>
        </w:rPr>
        <w:t>;</w:t>
      </w:r>
      <w:r w:rsidRPr="00D43F59">
        <w:rPr>
          <w:rFonts w:eastAsia="Calibri"/>
        </w:rPr>
        <w:t xml:space="preserve"> and themselves. The overriding criterion must be that of effectiveness in securing the prevention of ill-treatment of those subject to detaining measures. The parameters of prevention have been widened by the extraordinary measures </w:t>
      </w:r>
      <w:r w:rsidR="00D316AA" w:rsidRPr="00D43F59">
        <w:rPr>
          <w:rFonts w:eastAsia="Calibri"/>
        </w:rPr>
        <w:t>that S</w:t>
      </w:r>
      <w:r w:rsidRPr="00D43F59">
        <w:rPr>
          <w:rFonts w:eastAsia="Calibri"/>
        </w:rPr>
        <w:t xml:space="preserve">tates have had to take. It is the responsibility of the </w:t>
      </w:r>
      <w:r w:rsidR="00EC6FCB" w:rsidRPr="00D43F59">
        <w:rPr>
          <w:rFonts w:eastAsia="Calibri"/>
        </w:rPr>
        <w:t>Subcommittee</w:t>
      </w:r>
      <w:r w:rsidRPr="00D43F59">
        <w:rPr>
          <w:rFonts w:eastAsia="Calibri"/>
        </w:rPr>
        <w:t xml:space="preserve"> and of </w:t>
      </w:r>
      <w:r w:rsidR="00EC6FCB" w:rsidRPr="00D43F59">
        <w:rPr>
          <w:rFonts w:eastAsia="Calibri"/>
        </w:rPr>
        <w:t>national preventive mechanisms</w:t>
      </w:r>
      <w:r w:rsidRPr="00D43F59">
        <w:rPr>
          <w:rFonts w:eastAsia="Calibri"/>
        </w:rPr>
        <w:t xml:space="preserve"> to respond in imaginative and creative ways to the </w:t>
      </w:r>
      <w:r w:rsidR="00DD170C" w:rsidRPr="00D43F59">
        <w:rPr>
          <w:rFonts w:eastAsia="Calibri"/>
        </w:rPr>
        <w:t xml:space="preserve">novel </w:t>
      </w:r>
      <w:r w:rsidRPr="00D43F59">
        <w:rPr>
          <w:rFonts w:eastAsia="Calibri"/>
        </w:rPr>
        <w:t xml:space="preserve">challenges </w:t>
      </w:r>
      <w:r w:rsidR="0068083C" w:rsidRPr="00D43F59">
        <w:rPr>
          <w:rFonts w:eastAsia="Calibri"/>
        </w:rPr>
        <w:t xml:space="preserve">they face </w:t>
      </w:r>
      <w:r w:rsidR="00DD170C" w:rsidRPr="00D43F59">
        <w:rPr>
          <w:rFonts w:eastAsia="Calibri"/>
        </w:rPr>
        <w:t>in</w:t>
      </w:r>
      <w:r w:rsidRPr="00D43F59">
        <w:rPr>
          <w:rFonts w:eastAsia="Calibri"/>
        </w:rPr>
        <w:t xml:space="preserve"> the exercise of their mandates</w:t>
      </w:r>
      <w:r w:rsidR="00D316AA" w:rsidRPr="00D43F59">
        <w:rPr>
          <w:rFonts w:eastAsia="Calibri"/>
        </w:rPr>
        <w:t xml:space="preserve"> related to the Optional Protocol</w:t>
      </w:r>
      <w:r w:rsidRPr="00D43F59">
        <w:rPr>
          <w:rFonts w:eastAsia="Calibri"/>
        </w:rPr>
        <w:t xml:space="preserve">. </w:t>
      </w:r>
    </w:p>
    <w:p w14:paraId="495C695C" w14:textId="77777777" w:rsidR="00790C3E" w:rsidRPr="00E10804" w:rsidRDefault="00563586" w:rsidP="004429CE">
      <w:pPr>
        <w:pStyle w:val="SingleTxtG"/>
        <w:spacing w:before="240" w:after="0"/>
        <w:jc w:val="center"/>
        <w:rPr>
          <w:u w:val="single"/>
        </w:rPr>
      </w:pPr>
      <w:r>
        <w:rPr>
          <w:u w:val="single"/>
        </w:rPr>
        <w:tab/>
      </w:r>
      <w:r>
        <w:rPr>
          <w:u w:val="single"/>
        </w:rPr>
        <w:tab/>
      </w:r>
      <w:r>
        <w:rPr>
          <w:u w:val="single"/>
        </w:rPr>
        <w:tab/>
      </w:r>
    </w:p>
    <w:sectPr w:rsidR="00790C3E" w:rsidRPr="00E10804" w:rsidSect="00A9606C">
      <w:headerReference w:type="even" r:id="rId9"/>
      <w:headerReference w:type="default" r:id="rId10"/>
      <w:footerReference w:type="even" r:id="rId11"/>
      <w:footerReference w:type="default" r:id="rId12"/>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A86FE" w14:textId="77777777" w:rsidR="004725A4" w:rsidRDefault="004725A4"/>
  </w:endnote>
  <w:endnote w:type="continuationSeparator" w:id="0">
    <w:p w14:paraId="2F525073" w14:textId="77777777" w:rsidR="004725A4" w:rsidRDefault="004725A4"/>
  </w:endnote>
  <w:endnote w:type="continuationNotice" w:id="1">
    <w:p w14:paraId="08C1517F" w14:textId="77777777" w:rsidR="004725A4" w:rsidRDefault="00472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8E3F5" w14:textId="1DF9E408" w:rsidR="00373F88" w:rsidRPr="008E2D17" w:rsidRDefault="00373F88" w:rsidP="00A9606C">
    <w:pPr>
      <w:pStyle w:val="Footer"/>
      <w:tabs>
        <w:tab w:val="right" w:pos="9638"/>
      </w:tabs>
      <w:jc w:val="both"/>
      <w:rPr>
        <w:b/>
        <w:sz w:val="18"/>
      </w:rPr>
    </w:pPr>
    <w:r w:rsidRPr="008E2D17">
      <w:rPr>
        <w:b/>
        <w:sz w:val="18"/>
      </w:rPr>
      <w:fldChar w:fldCharType="begin"/>
    </w:r>
    <w:r w:rsidRPr="008E2D17">
      <w:rPr>
        <w:b/>
        <w:sz w:val="18"/>
      </w:rPr>
      <w:instrText xml:space="preserve"> PAGE  \* MERGEFORMAT </w:instrText>
    </w:r>
    <w:r w:rsidRPr="008E2D17">
      <w:rPr>
        <w:b/>
        <w:sz w:val="18"/>
      </w:rPr>
      <w:fldChar w:fldCharType="separate"/>
    </w:r>
    <w:r w:rsidR="00BF691E">
      <w:rPr>
        <w:b/>
        <w:noProof/>
        <w:sz w:val="18"/>
      </w:rPr>
      <w:t>4</w:t>
    </w:r>
    <w:r w:rsidRPr="008E2D17">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91D4" w14:textId="24ED6F95" w:rsidR="00373F88" w:rsidRPr="008E2D17" w:rsidRDefault="00373F88" w:rsidP="00A9606C">
    <w:pPr>
      <w:pStyle w:val="Footer"/>
      <w:tabs>
        <w:tab w:val="right" w:pos="9638"/>
      </w:tabs>
      <w:jc w:val="right"/>
    </w:pPr>
    <w:r w:rsidRPr="008E2D17">
      <w:rPr>
        <w:b/>
        <w:sz w:val="18"/>
      </w:rPr>
      <w:fldChar w:fldCharType="begin"/>
    </w:r>
    <w:r w:rsidRPr="008E2D17">
      <w:rPr>
        <w:b/>
        <w:sz w:val="18"/>
      </w:rPr>
      <w:instrText xml:space="preserve"> PAGE  \* MERGEFORMAT </w:instrText>
    </w:r>
    <w:r w:rsidRPr="008E2D17">
      <w:rPr>
        <w:b/>
        <w:sz w:val="18"/>
      </w:rPr>
      <w:fldChar w:fldCharType="separate"/>
    </w:r>
    <w:r w:rsidR="00BF691E">
      <w:rPr>
        <w:b/>
        <w:noProof/>
        <w:sz w:val="18"/>
      </w:rPr>
      <w:t>5</w:t>
    </w:r>
    <w:r w:rsidRPr="008E2D1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D8D67" w14:textId="77777777" w:rsidR="004725A4" w:rsidRPr="000B175B" w:rsidRDefault="004725A4" w:rsidP="000B175B">
      <w:pPr>
        <w:tabs>
          <w:tab w:val="right" w:pos="2155"/>
        </w:tabs>
        <w:spacing w:after="80"/>
        <w:ind w:left="680"/>
        <w:rPr>
          <w:u w:val="single"/>
        </w:rPr>
      </w:pPr>
      <w:r>
        <w:rPr>
          <w:u w:val="single"/>
        </w:rPr>
        <w:tab/>
      </w:r>
    </w:p>
  </w:footnote>
  <w:footnote w:type="continuationSeparator" w:id="0">
    <w:p w14:paraId="638086FB" w14:textId="77777777" w:rsidR="004725A4" w:rsidRPr="00FC68B7" w:rsidRDefault="004725A4" w:rsidP="00FC68B7">
      <w:pPr>
        <w:tabs>
          <w:tab w:val="left" w:pos="2155"/>
        </w:tabs>
        <w:spacing w:after="80"/>
        <w:ind w:left="680"/>
        <w:rPr>
          <w:u w:val="single"/>
        </w:rPr>
      </w:pPr>
      <w:r>
        <w:rPr>
          <w:u w:val="single"/>
        </w:rPr>
        <w:tab/>
      </w:r>
    </w:p>
  </w:footnote>
  <w:footnote w:type="continuationNotice" w:id="1">
    <w:p w14:paraId="7B705479" w14:textId="77777777" w:rsidR="004725A4" w:rsidRDefault="004725A4"/>
  </w:footnote>
  <w:footnote w:id="2">
    <w:p w14:paraId="380A2453" w14:textId="77777777" w:rsidR="001E6482" w:rsidRPr="00D43F59" w:rsidRDefault="001E6482" w:rsidP="001E6482">
      <w:pPr>
        <w:pStyle w:val="FootnoteText"/>
        <w:rPr>
          <w:lang w:val="en-US"/>
        </w:rPr>
      </w:pPr>
      <w:r>
        <w:rPr>
          <w:rStyle w:val="FootnoteReference"/>
        </w:rPr>
        <w:tab/>
      </w:r>
      <w:r w:rsidRPr="00D43F59">
        <w:rPr>
          <w:rStyle w:val="FootnoteReference"/>
          <w:sz w:val="20"/>
        </w:rPr>
        <w:t>*</w:t>
      </w:r>
      <w:r w:rsidRPr="00D43F59">
        <w:rPr>
          <w:rStyle w:val="FootnoteReference"/>
          <w:sz w:val="20"/>
        </w:rPr>
        <w:tab/>
      </w:r>
      <w:r w:rsidRPr="00D43F59">
        <w:rPr>
          <w:rStyle w:val="EndnoteTextChar"/>
        </w:rPr>
        <w:t xml:space="preserve">Adopted by the Subcommittee on 25 March 2020, </w:t>
      </w:r>
      <w:r w:rsidRPr="00D43F59">
        <w:t>pursuant to article 11 (b) of the Optional Protocol to the Convention against Torture and Other Cruel, Inhuman or Degrading Treatment or Punishment</w:t>
      </w:r>
      <w:r w:rsidRPr="00D43F59">
        <w:rPr>
          <w:rStyle w:val="EndnoteTextChar"/>
        </w:rPr>
        <w:t>.</w:t>
      </w:r>
    </w:p>
  </w:footnote>
  <w:footnote w:id="3">
    <w:p w14:paraId="78205166" w14:textId="7A412E4B" w:rsidR="0044089D" w:rsidRPr="00D43F59" w:rsidRDefault="00702831" w:rsidP="00702831">
      <w:pPr>
        <w:pStyle w:val="FootnoteText"/>
      </w:pPr>
      <w:r w:rsidRPr="00D43F59">
        <w:tab/>
      </w:r>
      <w:r w:rsidRPr="00D43F59">
        <w:rPr>
          <w:rStyle w:val="FootnoteReference"/>
        </w:rPr>
        <w:footnoteRef/>
      </w:r>
      <w:r w:rsidR="004429CE" w:rsidRPr="00D43F59">
        <w:rPr>
          <w:vertAlign w:val="superscript"/>
        </w:rPr>
        <w:tab/>
      </w:r>
      <w:r w:rsidRPr="00D43F59">
        <w:t xml:space="preserve">See </w:t>
      </w:r>
      <w:r w:rsidR="00383A84">
        <w:t>a</w:t>
      </w:r>
      <w:r w:rsidRPr="00D43F59">
        <w:t>rticle 2</w:t>
      </w:r>
      <w:r w:rsidR="00C153BB" w:rsidRPr="00D43F59">
        <w:t xml:space="preserve"> </w:t>
      </w:r>
      <w:r w:rsidRPr="00D43F59">
        <w:t xml:space="preserve">(2) </w:t>
      </w:r>
      <w:r w:rsidR="00C153BB" w:rsidRPr="00D43F59">
        <w:t xml:space="preserve">of the Convention against Torture </w:t>
      </w:r>
      <w:r w:rsidRPr="00D43F59">
        <w:t xml:space="preserve">and </w:t>
      </w:r>
      <w:r w:rsidR="00383A84">
        <w:t>a</w:t>
      </w:r>
      <w:r w:rsidRPr="00D43F59">
        <w:t>rticles 4 and 7</w:t>
      </w:r>
      <w:r w:rsidR="00C153BB" w:rsidRPr="00D43F59">
        <w:t xml:space="preserve"> of the International Covenant on Civil and Political Rights</w:t>
      </w:r>
      <w:r w:rsidRPr="00D43F59">
        <w:t>.</w:t>
      </w:r>
    </w:p>
  </w:footnote>
  <w:footnote w:id="4">
    <w:p w14:paraId="44EF61D2" w14:textId="4738F732" w:rsidR="0044089D" w:rsidRPr="00D43F59" w:rsidRDefault="00D84673" w:rsidP="00D84673">
      <w:pPr>
        <w:pStyle w:val="FootnoteText"/>
      </w:pPr>
      <w:r w:rsidRPr="00D43F59">
        <w:tab/>
      </w:r>
      <w:r w:rsidR="00702831" w:rsidRPr="00D43F59">
        <w:rPr>
          <w:rStyle w:val="FootnoteReference"/>
        </w:rPr>
        <w:footnoteRef/>
      </w:r>
      <w:r w:rsidR="004429CE" w:rsidRPr="00D43F59">
        <w:rPr>
          <w:vertAlign w:val="superscript"/>
        </w:rPr>
        <w:tab/>
      </w:r>
      <w:r w:rsidR="00702831" w:rsidRPr="00D43F59">
        <w:t xml:space="preserve">See, for example, </w:t>
      </w:r>
      <w:r w:rsidR="00540D22" w:rsidRPr="00D43F59">
        <w:t>World Health Organization, “</w:t>
      </w:r>
      <w:r w:rsidR="00702831" w:rsidRPr="00D43F59">
        <w:t>Preparedness, prevention and control of COVID-19 in prisons and other places of detention</w:t>
      </w:r>
      <w:r w:rsidR="00540D22" w:rsidRPr="00D43F59">
        <w:t>:</w:t>
      </w:r>
      <w:r w:rsidR="004C7C82" w:rsidRPr="00D43F59">
        <w:t xml:space="preserve"> </w:t>
      </w:r>
      <w:r w:rsidR="00540D22" w:rsidRPr="00D43F59">
        <w:t>i</w:t>
      </w:r>
      <w:r w:rsidR="00702831" w:rsidRPr="00D43F59">
        <w:t>nterim guidance</w:t>
      </w:r>
      <w:r w:rsidR="00540D22" w:rsidRPr="00D43F59">
        <w:t>”</w:t>
      </w:r>
      <w:r w:rsidR="00702831" w:rsidRPr="00D43F59">
        <w:t>, 15 March 2020</w:t>
      </w:r>
      <w:r w:rsidR="00540D22" w:rsidRPr="00D43F59">
        <w:t>;</w:t>
      </w:r>
      <w:r w:rsidR="00702831" w:rsidRPr="00D43F59">
        <w:t xml:space="preserve"> and </w:t>
      </w:r>
      <w:r w:rsidR="00540D22" w:rsidRPr="00D43F59">
        <w:t>European Committee for the Prevention of Torture and Inhuman or Degrading Treatment or Punishment, “</w:t>
      </w:r>
      <w:r w:rsidR="00702831" w:rsidRPr="00D43F59">
        <w:t>Statement of principles relating to the treatment of persons deprived of their liberty in the context of the coronavirus disease (COVID-19) pandemic</w:t>
      </w:r>
      <w:r w:rsidR="00540D22" w:rsidRPr="00D43F59">
        <w:t>”,</w:t>
      </w:r>
      <w:r w:rsidR="00702831" w:rsidRPr="00D43F59">
        <w:t xml:space="preserve"> </w:t>
      </w:r>
      <w:r w:rsidR="00882B02" w:rsidRPr="00D43F59">
        <w:t>CPT/</w:t>
      </w:r>
      <w:proofErr w:type="gramStart"/>
      <w:r w:rsidR="00882B02" w:rsidRPr="00D43F59">
        <w:t>Inf(</w:t>
      </w:r>
      <w:proofErr w:type="gramEnd"/>
      <w:r w:rsidR="00882B02" w:rsidRPr="00D43F59">
        <w:t xml:space="preserve">2020)13, </w:t>
      </w:r>
      <w:r w:rsidR="00702831" w:rsidRPr="00D43F59">
        <w:t xml:space="preserve">20 March 2020. </w:t>
      </w:r>
      <w:r w:rsidR="00882B02" w:rsidRPr="00D43F59">
        <w:t xml:space="preserve">Available at </w:t>
      </w:r>
      <w:hyperlink r:id="rId1" w:history="1">
        <w:r w:rsidR="00882B02" w:rsidRPr="00D43F59">
          <w:rPr>
            <w:rStyle w:val="Hyperlink"/>
          </w:rPr>
          <w:t>https://rm.coe.int/16809cfa4b</w:t>
        </w:r>
      </w:hyperlink>
      <w:r w:rsidR="00882B02" w:rsidRPr="00D43F5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B78F" w14:textId="77777777" w:rsidR="00A9606C" w:rsidRDefault="00A9606C">
    <w:pPr>
      <w:pStyle w:val="Header"/>
    </w:pPr>
    <w:r>
      <w:t>CAT/OP/40/2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1D9" w14:textId="77777777" w:rsidR="00A9606C" w:rsidRDefault="00A9606C" w:rsidP="00A9606C">
    <w:pPr>
      <w:pStyle w:val="Header"/>
      <w:jc w:val="right"/>
    </w:pPr>
    <w:r>
      <w:t>CAT/OP/40/2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E24"/>
    <w:multiLevelType w:val="hybridMultilevel"/>
    <w:tmpl w:val="35869CE4"/>
    <w:lvl w:ilvl="0" w:tplc="3CCE26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179B9"/>
    <w:multiLevelType w:val="hybridMultilevel"/>
    <w:tmpl w:val="235866F0"/>
    <w:lvl w:ilvl="0" w:tplc="08090011">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 w15:restartNumberingAfterBreak="0">
    <w:nsid w:val="264154AC"/>
    <w:multiLevelType w:val="hybridMultilevel"/>
    <w:tmpl w:val="C45C82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E05707"/>
    <w:multiLevelType w:val="hybridMultilevel"/>
    <w:tmpl w:val="C7907718"/>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D25AEA"/>
    <w:multiLevelType w:val="hybridMultilevel"/>
    <w:tmpl w:val="529E107E"/>
    <w:lvl w:ilvl="0" w:tplc="DDC6888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3AEB00E4"/>
    <w:multiLevelType w:val="hybridMultilevel"/>
    <w:tmpl w:val="B4907634"/>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9D0A30"/>
    <w:multiLevelType w:val="hybridMultilevel"/>
    <w:tmpl w:val="816A4D4C"/>
    <w:lvl w:ilvl="0" w:tplc="29D05FB8">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50059C0"/>
    <w:multiLevelType w:val="hybridMultilevel"/>
    <w:tmpl w:val="B9103CA4"/>
    <w:lvl w:ilvl="0" w:tplc="08090011">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45533AD4"/>
    <w:multiLevelType w:val="hybridMultilevel"/>
    <w:tmpl w:val="984662D2"/>
    <w:lvl w:ilvl="0" w:tplc="3FBC76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7E53F6"/>
    <w:multiLevelType w:val="hybridMultilevel"/>
    <w:tmpl w:val="443E68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1339FF"/>
    <w:multiLevelType w:val="hybridMultilevel"/>
    <w:tmpl w:val="1A720438"/>
    <w:lvl w:ilvl="0" w:tplc="277C20E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5BFB0215"/>
    <w:multiLevelType w:val="hybridMultilevel"/>
    <w:tmpl w:val="D8E45C8A"/>
    <w:lvl w:ilvl="0" w:tplc="08090011">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602F2DA6"/>
    <w:multiLevelType w:val="hybridMultilevel"/>
    <w:tmpl w:val="2856C4D6"/>
    <w:lvl w:ilvl="0" w:tplc="B6E2727C">
      <w:start w:val="1"/>
      <w:numFmt w:val="lowerLetter"/>
      <w:lvlText w:val="(%1)"/>
      <w:lvlJc w:val="left"/>
      <w:pPr>
        <w:ind w:left="1512" w:hanging="360"/>
      </w:pPr>
      <w:rPr>
        <w:rFonts w:ascii="Times New Roman" w:eastAsia="Times New Roman" w:hAnsi="Times New Roman" w:cs="Times New Roman"/>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4" w15:restartNumberingAfterBreak="0">
    <w:nsid w:val="61B23F35"/>
    <w:multiLevelType w:val="hybridMultilevel"/>
    <w:tmpl w:val="50761D16"/>
    <w:lvl w:ilvl="0" w:tplc="06506A3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6560727A"/>
    <w:multiLevelType w:val="hybridMultilevel"/>
    <w:tmpl w:val="1452CCC6"/>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1B28B7"/>
    <w:multiLevelType w:val="hybridMultilevel"/>
    <w:tmpl w:val="0C6604D8"/>
    <w:lvl w:ilvl="0" w:tplc="F8626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790C1322"/>
    <w:multiLevelType w:val="hybridMultilevel"/>
    <w:tmpl w:val="472CF4FA"/>
    <w:lvl w:ilvl="0" w:tplc="08090011">
      <w:start w:val="1"/>
      <w:numFmt w:val="decimal"/>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19" w15:restartNumberingAfterBreak="0">
    <w:nsid w:val="7B9D7941"/>
    <w:multiLevelType w:val="hybridMultilevel"/>
    <w:tmpl w:val="AD16B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AA69FA"/>
    <w:multiLevelType w:val="hybridMultilevel"/>
    <w:tmpl w:val="FEDE107A"/>
    <w:lvl w:ilvl="0" w:tplc="036A6A0E">
      <w:start w:val="1"/>
      <w:numFmt w:val="lowerLetter"/>
      <w:lvlText w:val="%1)"/>
      <w:lvlJc w:val="left"/>
      <w:pPr>
        <w:tabs>
          <w:tab w:val="num" w:pos="2061"/>
        </w:tabs>
        <w:ind w:left="2061" w:hanging="36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num w:numId="1">
    <w:abstractNumId w:val="1"/>
  </w:num>
  <w:num w:numId="2">
    <w:abstractNumId w:val="16"/>
  </w:num>
  <w:num w:numId="3">
    <w:abstractNumId w:val="19"/>
  </w:num>
  <w:num w:numId="4">
    <w:abstractNumId w:val="6"/>
  </w:num>
  <w:num w:numId="5">
    <w:abstractNumId w:val="4"/>
  </w:num>
  <w:num w:numId="6">
    <w:abstractNumId w:val="15"/>
  </w:num>
  <w:num w:numId="7">
    <w:abstractNumId w:val="9"/>
  </w:num>
  <w:num w:numId="8">
    <w:abstractNumId w:val="11"/>
  </w:num>
  <w:num w:numId="9">
    <w:abstractNumId w:val="10"/>
  </w:num>
  <w:num w:numId="10">
    <w:abstractNumId w:val="8"/>
  </w:num>
  <w:num w:numId="11">
    <w:abstractNumId w:val="5"/>
  </w:num>
  <w:num w:numId="12">
    <w:abstractNumId w:val="3"/>
  </w:num>
  <w:num w:numId="13">
    <w:abstractNumId w:val="2"/>
  </w:num>
  <w:num w:numId="14">
    <w:abstractNumId w:val="18"/>
  </w:num>
  <w:num w:numId="15">
    <w:abstractNumId w:val="20"/>
  </w:num>
  <w:num w:numId="16">
    <w:abstractNumId w:val="0"/>
  </w:num>
  <w:num w:numId="17">
    <w:abstractNumId w:val="14"/>
  </w:num>
  <w:num w:numId="18">
    <w:abstractNumId w:val="13"/>
  </w:num>
  <w:num w:numId="19">
    <w:abstractNumId w:val="17"/>
  </w:num>
  <w:num w:numId="20">
    <w:abstractNumId w:val="7"/>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17"/>
    <w:rsid w:val="000066C5"/>
    <w:rsid w:val="00007E5C"/>
    <w:rsid w:val="00017AAB"/>
    <w:rsid w:val="00022260"/>
    <w:rsid w:val="00031225"/>
    <w:rsid w:val="00037DE5"/>
    <w:rsid w:val="000407E8"/>
    <w:rsid w:val="00042537"/>
    <w:rsid w:val="00045B06"/>
    <w:rsid w:val="00045EC6"/>
    <w:rsid w:val="000478DE"/>
    <w:rsid w:val="00050F6B"/>
    <w:rsid w:val="00052BEF"/>
    <w:rsid w:val="00060BE3"/>
    <w:rsid w:val="00062A6C"/>
    <w:rsid w:val="000650BD"/>
    <w:rsid w:val="00070AB7"/>
    <w:rsid w:val="00072C8C"/>
    <w:rsid w:val="00076AD5"/>
    <w:rsid w:val="00091419"/>
    <w:rsid w:val="000931C0"/>
    <w:rsid w:val="00094492"/>
    <w:rsid w:val="00095697"/>
    <w:rsid w:val="000B175B"/>
    <w:rsid w:val="000B3A0F"/>
    <w:rsid w:val="000C11CF"/>
    <w:rsid w:val="000C6B1A"/>
    <w:rsid w:val="000E0415"/>
    <w:rsid w:val="000F3C64"/>
    <w:rsid w:val="000F5750"/>
    <w:rsid w:val="00100AB2"/>
    <w:rsid w:val="00100B54"/>
    <w:rsid w:val="001426E6"/>
    <w:rsid w:val="001510EC"/>
    <w:rsid w:val="00172EF0"/>
    <w:rsid w:val="001775C3"/>
    <w:rsid w:val="00183E03"/>
    <w:rsid w:val="00185E63"/>
    <w:rsid w:val="0019691D"/>
    <w:rsid w:val="001B0341"/>
    <w:rsid w:val="001B35A2"/>
    <w:rsid w:val="001B4049"/>
    <w:rsid w:val="001B4B04"/>
    <w:rsid w:val="001C6663"/>
    <w:rsid w:val="001C7895"/>
    <w:rsid w:val="001D26DF"/>
    <w:rsid w:val="001D2FDC"/>
    <w:rsid w:val="001E6482"/>
    <w:rsid w:val="001E688C"/>
    <w:rsid w:val="001E7F89"/>
    <w:rsid w:val="00203CAA"/>
    <w:rsid w:val="00207D6E"/>
    <w:rsid w:val="00211E0B"/>
    <w:rsid w:val="002150A7"/>
    <w:rsid w:val="00215B8A"/>
    <w:rsid w:val="00220404"/>
    <w:rsid w:val="002216B0"/>
    <w:rsid w:val="00237785"/>
    <w:rsid w:val="00241466"/>
    <w:rsid w:val="00266404"/>
    <w:rsid w:val="00273AF2"/>
    <w:rsid w:val="002913B1"/>
    <w:rsid w:val="002A039C"/>
    <w:rsid w:val="002C0014"/>
    <w:rsid w:val="002D08AF"/>
    <w:rsid w:val="002E48D3"/>
    <w:rsid w:val="00306BCA"/>
    <w:rsid w:val="003107FA"/>
    <w:rsid w:val="00312F33"/>
    <w:rsid w:val="0031317F"/>
    <w:rsid w:val="00314C62"/>
    <w:rsid w:val="003172DD"/>
    <w:rsid w:val="00317CF4"/>
    <w:rsid w:val="00322811"/>
    <w:rsid w:val="003229D8"/>
    <w:rsid w:val="00323A25"/>
    <w:rsid w:val="003250D6"/>
    <w:rsid w:val="00334C4C"/>
    <w:rsid w:val="0034788F"/>
    <w:rsid w:val="00350732"/>
    <w:rsid w:val="00360895"/>
    <w:rsid w:val="00365447"/>
    <w:rsid w:val="00373F88"/>
    <w:rsid w:val="00383A84"/>
    <w:rsid w:val="003904C2"/>
    <w:rsid w:val="0039277A"/>
    <w:rsid w:val="003972E0"/>
    <w:rsid w:val="003977F8"/>
    <w:rsid w:val="003A2340"/>
    <w:rsid w:val="003A3BC4"/>
    <w:rsid w:val="003A4C06"/>
    <w:rsid w:val="003C0BEE"/>
    <w:rsid w:val="003C2CC4"/>
    <w:rsid w:val="003D4B23"/>
    <w:rsid w:val="003E0041"/>
    <w:rsid w:val="003E3DBA"/>
    <w:rsid w:val="003E6AE5"/>
    <w:rsid w:val="003F5EEC"/>
    <w:rsid w:val="004325CB"/>
    <w:rsid w:val="0044089D"/>
    <w:rsid w:val="004429CE"/>
    <w:rsid w:val="00446DE4"/>
    <w:rsid w:val="004500BC"/>
    <w:rsid w:val="00451865"/>
    <w:rsid w:val="0046585C"/>
    <w:rsid w:val="004725A4"/>
    <w:rsid w:val="004733D9"/>
    <w:rsid w:val="00473FF8"/>
    <w:rsid w:val="004867AE"/>
    <w:rsid w:val="004B45D2"/>
    <w:rsid w:val="004B4DCD"/>
    <w:rsid w:val="004C7C82"/>
    <w:rsid w:val="004C7F14"/>
    <w:rsid w:val="004D2704"/>
    <w:rsid w:val="004D66D4"/>
    <w:rsid w:val="004E4FA0"/>
    <w:rsid w:val="004E616E"/>
    <w:rsid w:val="00504EA2"/>
    <w:rsid w:val="0050626D"/>
    <w:rsid w:val="00511D09"/>
    <w:rsid w:val="00540D22"/>
    <w:rsid w:val="005420F2"/>
    <w:rsid w:val="005566A1"/>
    <w:rsid w:val="005572FC"/>
    <w:rsid w:val="00561D53"/>
    <w:rsid w:val="005629E1"/>
    <w:rsid w:val="00563586"/>
    <w:rsid w:val="0056626C"/>
    <w:rsid w:val="00580219"/>
    <w:rsid w:val="00587F8C"/>
    <w:rsid w:val="0059189C"/>
    <w:rsid w:val="0059775E"/>
    <w:rsid w:val="005A2E63"/>
    <w:rsid w:val="005A6030"/>
    <w:rsid w:val="005B3DB3"/>
    <w:rsid w:val="005C03ED"/>
    <w:rsid w:val="005F2834"/>
    <w:rsid w:val="005F351B"/>
    <w:rsid w:val="00601039"/>
    <w:rsid w:val="006103A3"/>
    <w:rsid w:val="00611FC4"/>
    <w:rsid w:val="006176FB"/>
    <w:rsid w:val="006270D9"/>
    <w:rsid w:val="00635508"/>
    <w:rsid w:val="00637CC7"/>
    <w:rsid w:val="006408B5"/>
    <w:rsid w:val="00640B26"/>
    <w:rsid w:val="006541F9"/>
    <w:rsid w:val="00655CDE"/>
    <w:rsid w:val="00656D10"/>
    <w:rsid w:val="00663D79"/>
    <w:rsid w:val="00664A0D"/>
    <w:rsid w:val="00665183"/>
    <w:rsid w:val="0068083C"/>
    <w:rsid w:val="0069144F"/>
    <w:rsid w:val="006A6FDB"/>
    <w:rsid w:val="006A7392"/>
    <w:rsid w:val="006B0674"/>
    <w:rsid w:val="006C0D34"/>
    <w:rsid w:val="006C67B0"/>
    <w:rsid w:val="006C790E"/>
    <w:rsid w:val="006D2F28"/>
    <w:rsid w:val="006D3DC6"/>
    <w:rsid w:val="006D5964"/>
    <w:rsid w:val="006E5371"/>
    <w:rsid w:val="006E564B"/>
    <w:rsid w:val="0070234F"/>
    <w:rsid w:val="00702831"/>
    <w:rsid w:val="007052FB"/>
    <w:rsid w:val="00711DFC"/>
    <w:rsid w:val="00715D77"/>
    <w:rsid w:val="0072632A"/>
    <w:rsid w:val="0072728A"/>
    <w:rsid w:val="00744622"/>
    <w:rsid w:val="00754B63"/>
    <w:rsid w:val="00760107"/>
    <w:rsid w:val="00764038"/>
    <w:rsid w:val="00773382"/>
    <w:rsid w:val="00777B4D"/>
    <w:rsid w:val="00790C3E"/>
    <w:rsid w:val="007975AF"/>
    <w:rsid w:val="007A396D"/>
    <w:rsid w:val="007B6BA5"/>
    <w:rsid w:val="007C3390"/>
    <w:rsid w:val="007C4F4B"/>
    <w:rsid w:val="007C5A3F"/>
    <w:rsid w:val="007D527D"/>
    <w:rsid w:val="007F6611"/>
    <w:rsid w:val="008139DA"/>
    <w:rsid w:val="008175E9"/>
    <w:rsid w:val="008242D7"/>
    <w:rsid w:val="0082434C"/>
    <w:rsid w:val="00824891"/>
    <w:rsid w:val="0083270E"/>
    <w:rsid w:val="00834204"/>
    <w:rsid w:val="00837921"/>
    <w:rsid w:val="00871FD5"/>
    <w:rsid w:val="008721E1"/>
    <w:rsid w:val="0087413B"/>
    <w:rsid w:val="0088166A"/>
    <w:rsid w:val="00882B02"/>
    <w:rsid w:val="00887D03"/>
    <w:rsid w:val="00891D4E"/>
    <w:rsid w:val="00892878"/>
    <w:rsid w:val="008969C3"/>
    <w:rsid w:val="008979B1"/>
    <w:rsid w:val="008A489C"/>
    <w:rsid w:val="008A6B25"/>
    <w:rsid w:val="008A6C4F"/>
    <w:rsid w:val="008C0F43"/>
    <w:rsid w:val="008C52CE"/>
    <w:rsid w:val="008E0E46"/>
    <w:rsid w:val="008E2D17"/>
    <w:rsid w:val="00910B57"/>
    <w:rsid w:val="0094081B"/>
    <w:rsid w:val="00940C8B"/>
    <w:rsid w:val="00944E4D"/>
    <w:rsid w:val="00945FFB"/>
    <w:rsid w:val="00963CBA"/>
    <w:rsid w:val="009768A4"/>
    <w:rsid w:val="00985EF1"/>
    <w:rsid w:val="00991261"/>
    <w:rsid w:val="009913B5"/>
    <w:rsid w:val="00992B1D"/>
    <w:rsid w:val="009A623A"/>
    <w:rsid w:val="009B2339"/>
    <w:rsid w:val="009B6A1D"/>
    <w:rsid w:val="009D40D6"/>
    <w:rsid w:val="009F7210"/>
    <w:rsid w:val="00A002B1"/>
    <w:rsid w:val="00A0447D"/>
    <w:rsid w:val="00A1427D"/>
    <w:rsid w:val="00A17ACA"/>
    <w:rsid w:val="00A17B0A"/>
    <w:rsid w:val="00A220FE"/>
    <w:rsid w:val="00A30FAA"/>
    <w:rsid w:val="00A37C5B"/>
    <w:rsid w:val="00A442E9"/>
    <w:rsid w:val="00A44875"/>
    <w:rsid w:val="00A53246"/>
    <w:rsid w:val="00A60F27"/>
    <w:rsid w:val="00A72F22"/>
    <w:rsid w:val="00A748A6"/>
    <w:rsid w:val="00A7751E"/>
    <w:rsid w:val="00A879A4"/>
    <w:rsid w:val="00A924D9"/>
    <w:rsid w:val="00A9606C"/>
    <w:rsid w:val="00AA2F64"/>
    <w:rsid w:val="00AA4AA1"/>
    <w:rsid w:val="00AB0D9E"/>
    <w:rsid w:val="00AB54B5"/>
    <w:rsid w:val="00AB58A6"/>
    <w:rsid w:val="00AE594B"/>
    <w:rsid w:val="00AF2A4E"/>
    <w:rsid w:val="00AF5189"/>
    <w:rsid w:val="00B02344"/>
    <w:rsid w:val="00B0309A"/>
    <w:rsid w:val="00B0570B"/>
    <w:rsid w:val="00B30179"/>
    <w:rsid w:val="00B315C7"/>
    <w:rsid w:val="00B32575"/>
    <w:rsid w:val="00B3317B"/>
    <w:rsid w:val="00B54DE1"/>
    <w:rsid w:val="00B660B9"/>
    <w:rsid w:val="00B81E12"/>
    <w:rsid w:val="00B83B6D"/>
    <w:rsid w:val="00B8529F"/>
    <w:rsid w:val="00B92C31"/>
    <w:rsid w:val="00B92D0D"/>
    <w:rsid w:val="00B93068"/>
    <w:rsid w:val="00B94CD2"/>
    <w:rsid w:val="00BB46D8"/>
    <w:rsid w:val="00BC45B8"/>
    <w:rsid w:val="00BC74E9"/>
    <w:rsid w:val="00BD3ECC"/>
    <w:rsid w:val="00BE618E"/>
    <w:rsid w:val="00BF691E"/>
    <w:rsid w:val="00C0210B"/>
    <w:rsid w:val="00C122C5"/>
    <w:rsid w:val="00C13F9F"/>
    <w:rsid w:val="00C153BB"/>
    <w:rsid w:val="00C353F2"/>
    <w:rsid w:val="00C36400"/>
    <w:rsid w:val="00C36E5B"/>
    <w:rsid w:val="00C463DD"/>
    <w:rsid w:val="00C52108"/>
    <w:rsid w:val="00C573C0"/>
    <w:rsid w:val="00C57585"/>
    <w:rsid w:val="00C604CD"/>
    <w:rsid w:val="00C64E5D"/>
    <w:rsid w:val="00C745C3"/>
    <w:rsid w:val="00C82FFC"/>
    <w:rsid w:val="00C93C17"/>
    <w:rsid w:val="00C975BB"/>
    <w:rsid w:val="00CA2702"/>
    <w:rsid w:val="00CA2C40"/>
    <w:rsid w:val="00CA4A4A"/>
    <w:rsid w:val="00CC415B"/>
    <w:rsid w:val="00CC7CC2"/>
    <w:rsid w:val="00CD5161"/>
    <w:rsid w:val="00CE08A5"/>
    <w:rsid w:val="00CE107C"/>
    <w:rsid w:val="00CE4A8F"/>
    <w:rsid w:val="00CE6B49"/>
    <w:rsid w:val="00CF0A44"/>
    <w:rsid w:val="00D04566"/>
    <w:rsid w:val="00D2031B"/>
    <w:rsid w:val="00D20477"/>
    <w:rsid w:val="00D25FE2"/>
    <w:rsid w:val="00D30612"/>
    <w:rsid w:val="00D316AA"/>
    <w:rsid w:val="00D43252"/>
    <w:rsid w:val="00D43F59"/>
    <w:rsid w:val="00D6141F"/>
    <w:rsid w:val="00D80FF7"/>
    <w:rsid w:val="00D840BF"/>
    <w:rsid w:val="00D84673"/>
    <w:rsid w:val="00D85889"/>
    <w:rsid w:val="00D8795D"/>
    <w:rsid w:val="00D93782"/>
    <w:rsid w:val="00D978C6"/>
    <w:rsid w:val="00DA67AD"/>
    <w:rsid w:val="00DA7B1E"/>
    <w:rsid w:val="00DB2F41"/>
    <w:rsid w:val="00DB3CB5"/>
    <w:rsid w:val="00DC0325"/>
    <w:rsid w:val="00DC0FB5"/>
    <w:rsid w:val="00DD170C"/>
    <w:rsid w:val="00DE3724"/>
    <w:rsid w:val="00DF5B54"/>
    <w:rsid w:val="00E026D0"/>
    <w:rsid w:val="00E10804"/>
    <w:rsid w:val="00E130AB"/>
    <w:rsid w:val="00E2351C"/>
    <w:rsid w:val="00E24432"/>
    <w:rsid w:val="00E3583C"/>
    <w:rsid w:val="00E5644E"/>
    <w:rsid w:val="00E629BB"/>
    <w:rsid w:val="00E664AA"/>
    <w:rsid w:val="00E7260F"/>
    <w:rsid w:val="00E87D5A"/>
    <w:rsid w:val="00E90B8A"/>
    <w:rsid w:val="00E94B55"/>
    <w:rsid w:val="00E96405"/>
    <w:rsid w:val="00E96630"/>
    <w:rsid w:val="00EA1E85"/>
    <w:rsid w:val="00EA4678"/>
    <w:rsid w:val="00EA4B65"/>
    <w:rsid w:val="00EB655F"/>
    <w:rsid w:val="00EC6FCB"/>
    <w:rsid w:val="00ED7A2A"/>
    <w:rsid w:val="00EE0B08"/>
    <w:rsid w:val="00EF1D7F"/>
    <w:rsid w:val="00EF327E"/>
    <w:rsid w:val="00F047A3"/>
    <w:rsid w:val="00F20BA3"/>
    <w:rsid w:val="00F23E66"/>
    <w:rsid w:val="00F35792"/>
    <w:rsid w:val="00F40E75"/>
    <w:rsid w:val="00F51FDD"/>
    <w:rsid w:val="00F5538B"/>
    <w:rsid w:val="00F75655"/>
    <w:rsid w:val="00F75CC8"/>
    <w:rsid w:val="00F9267D"/>
    <w:rsid w:val="00FA0682"/>
    <w:rsid w:val="00FB72B9"/>
    <w:rsid w:val="00FC0072"/>
    <w:rsid w:val="00FC589D"/>
    <w:rsid w:val="00FC68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E5895"/>
  <w15:chartTrackingRefBased/>
  <w15:docId w15:val="{B9EE8C49-FB1A-487E-8414-8A79FDED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08"/>
    <w:pPr>
      <w:suppressAutoHyphens/>
      <w:spacing w:line="240" w:lineRule="atLeast"/>
    </w:pPr>
    <w:rPr>
      <w:lang w:eastAsia="en-US"/>
    </w:rPr>
  </w:style>
  <w:style w:type="paragraph" w:styleId="Heading1">
    <w:name w:val="heading 1"/>
    <w:aliases w:val="Table_G"/>
    <w:basedOn w:val="SingleTxtG"/>
    <w:next w:val="SingleTxtG"/>
    <w:link w:val="Heading1Char"/>
    <w:qFormat/>
    <w:rsid w:val="00C52108"/>
    <w:pPr>
      <w:spacing w:after="0" w:line="240" w:lineRule="auto"/>
      <w:ind w:right="0"/>
      <w:jc w:val="left"/>
      <w:outlineLvl w:val="0"/>
    </w:pPr>
  </w:style>
  <w:style w:type="paragraph" w:styleId="Heading2">
    <w:name w:val="heading 2"/>
    <w:basedOn w:val="Normal"/>
    <w:next w:val="Normal"/>
    <w:link w:val="Heading2Char"/>
    <w:qFormat/>
    <w:rsid w:val="00C52108"/>
    <w:pPr>
      <w:spacing w:line="240" w:lineRule="auto"/>
      <w:outlineLvl w:val="1"/>
    </w:pPr>
  </w:style>
  <w:style w:type="paragraph" w:styleId="Heading3">
    <w:name w:val="heading 3"/>
    <w:basedOn w:val="Normal"/>
    <w:next w:val="Normal"/>
    <w:link w:val="Heading3Char"/>
    <w:qFormat/>
    <w:rsid w:val="00C52108"/>
    <w:pPr>
      <w:spacing w:line="240" w:lineRule="auto"/>
      <w:outlineLvl w:val="2"/>
    </w:pPr>
  </w:style>
  <w:style w:type="paragraph" w:styleId="Heading4">
    <w:name w:val="heading 4"/>
    <w:basedOn w:val="Normal"/>
    <w:next w:val="Normal"/>
    <w:link w:val="Heading4Char"/>
    <w:qFormat/>
    <w:rsid w:val="00C52108"/>
    <w:pPr>
      <w:spacing w:line="240" w:lineRule="auto"/>
      <w:outlineLvl w:val="3"/>
    </w:pPr>
  </w:style>
  <w:style w:type="paragraph" w:styleId="Heading5">
    <w:name w:val="heading 5"/>
    <w:basedOn w:val="Normal"/>
    <w:next w:val="Normal"/>
    <w:link w:val="Heading5Char"/>
    <w:qFormat/>
    <w:rsid w:val="00C52108"/>
    <w:pPr>
      <w:spacing w:line="240" w:lineRule="auto"/>
      <w:outlineLvl w:val="4"/>
    </w:pPr>
  </w:style>
  <w:style w:type="paragraph" w:styleId="Heading6">
    <w:name w:val="heading 6"/>
    <w:basedOn w:val="Normal"/>
    <w:next w:val="Normal"/>
    <w:link w:val="Heading6Char"/>
    <w:qFormat/>
    <w:rsid w:val="00C52108"/>
    <w:pPr>
      <w:spacing w:line="240" w:lineRule="auto"/>
      <w:outlineLvl w:val="5"/>
    </w:pPr>
  </w:style>
  <w:style w:type="paragraph" w:styleId="Heading7">
    <w:name w:val="heading 7"/>
    <w:basedOn w:val="Normal"/>
    <w:next w:val="Normal"/>
    <w:link w:val="Heading7Char"/>
    <w:qFormat/>
    <w:rsid w:val="00C52108"/>
    <w:pPr>
      <w:spacing w:line="240" w:lineRule="auto"/>
      <w:outlineLvl w:val="6"/>
    </w:pPr>
  </w:style>
  <w:style w:type="paragraph" w:styleId="Heading8">
    <w:name w:val="heading 8"/>
    <w:basedOn w:val="Normal"/>
    <w:next w:val="Normal"/>
    <w:link w:val="Heading8Char"/>
    <w:qFormat/>
    <w:rsid w:val="00C52108"/>
    <w:pPr>
      <w:spacing w:line="240" w:lineRule="auto"/>
      <w:outlineLvl w:val="7"/>
    </w:pPr>
  </w:style>
  <w:style w:type="paragraph" w:styleId="Heading9">
    <w:name w:val="heading 9"/>
    <w:basedOn w:val="Normal"/>
    <w:next w:val="Normal"/>
    <w:link w:val="Heading9Char"/>
    <w:qFormat/>
    <w:rsid w:val="00C5210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C5210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52108"/>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C5210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5210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5210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52108"/>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C52108"/>
    <w:pPr>
      <w:spacing w:after="120"/>
      <w:ind w:left="1134" w:right="1134"/>
      <w:jc w:val="both"/>
    </w:pPr>
  </w:style>
  <w:style w:type="paragraph" w:customStyle="1" w:styleId="SLG">
    <w:name w:val="__S_L_G"/>
    <w:basedOn w:val="Normal"/>
    <w:next w:val="Normal"/>
    <w:rsid w:val="00C52108"/>
    <w:pPr>
      <w:keepNext/>
      <w:keepLines/>
      <w:spacing w:before="240" w:after="240" w:line="580" w:lineRule="exact"/>
      <w:ind w:left="1134" w:right="1134"/>
    </w:pPr>
    <w:rPr>
      <w:b/>
      <w:sz w:val="56"/>
    </w:rPr>
  </w:style>
  <w:style w:type="paragraph" w:customStyle="1" w:styleId="SMG">
    <w:name w:val="__S_M_G"/>
    <w:basedOn w:val="Normal"/>
    <w:next w:val="Normal"/>
    <w:rsid w:val="00C52108"/>
    <w:pPr>
      <w:keepNext/>
      <w:keepLines/>
      <w:spacing w:before="240" w:after="240" w:line="420" w:lineRule="exact"/>
      <w:ind w:left="1134" w:right="1134"/>
    </w:pPr>
    <w:rPr>
      <w:b/>
      <w:sz w:val="40"/>
    </w:rPr>
  </w:style>
  <w:style w:type="paragraph" w:customStyle="1" w:styleId="SSG">
    <w:name w:val="__S_S_G"/>
    <w:basedOn w:val="Normal"/>
    <w:next w:val="Normal"/>
    <w:rsid w:val="00C52108"/>
    <w:pPr>
      <w:keepNext/>
      <w:keepLines/>
      <w:spacing w:before="240" w:after="240" w:line="300" w:lineRule="exact"/>
      <w:ind w:left="1134" w:right="1134"/>
    </w:pPr>
    <w:rPr>
      <w:b/>
      <w:sz w:val="28"/>
    </w:rPr>
  </w:style>
  <w:style w:type="paragraph" w:customStyle="1" w:styleId="XLargeG">
    <w:name w:val="__XLarge_G"/>
    <w:basedOn w:val="Normal"/>
    <w:next w:val="Normal"/>
    <w:rsid w:val="00C52108"/>
    <w:pPr>
      <w:keepNext/>
      <w:keepLines/>
      <w:spacing w:before="240" w:after="240" w:line="420" w:lineRule="exact"/>
      <w:ind w:left="1134" w:right="1134"/>
    </w:pPr>
    <w:rPr>
      <w:b/>
      <w:sz w:val="40"/>
    </w:rPr>
  </w:style>
  <w:style w:type="paragraph" w:customStyle="1" w:styleId="Bullet1G">
    <w:name w:val="_Bullet 1_G"/>
    <w:basedOn w:val="Normal"/>
    <w:rsid w:val="00C52108"/>
    <w:pPr>
      <w:numPr>
        <w:numId w:val="1"/>
      </w:numPr>
      <w:spacing w:after="120"/>
      <w:ind w:right="1134"/>
      <w:jc w:val="both"/>
    </w:pPr>
  </w:style>
  <w:style w:type="paragraph" w:customStyle="1" w:styleId="Bullet2G">
    <w:name w:val="_Bullet 2_G"/>
    <w:basedOn w:val="Normal"/>
    <w:rsid w:val="00C52108"/>
    <w:pPr>
      <w:numPr>
        <w:numId w:val="2"/>
      </w:numPr>
      <w:spacing w:after="120"/>
      <w:ind w:right="1134"/>
      <w:jc w:val="both"/>
    </w:pPr>
  </w:style>
  <w:style w:type="character" w:styleId="FootnoteReference">
    <w:name w:val="footnote reference"/>
    <w:aliases w:val="4_G,Footnotes refss,Texto de nota al pie,referencia nota al pie,Appel note de bas de page,Footnote number,callout,Fago Fußnotenzeichen"/>
    <w:link w:val="ftrefChar"/>
    <w:uiPriority w:val="99"/>
    <w:qFormat/>
    <w:rsid w:val="00C52108"/>
    <w:rPr>
      <w:rFonts w:ascii="Times New Roman" w:hAnsi="Times New Roman"/>
      <w:sz w:val="18"/>
      <w:vertAlign w:val="superscript"/>
    </w:rPr>
  </w:style>
  <w:style w:type="character" w:styleId="EndnoteReference">
    <w:name w:val="endnote reference"/>
    <w:aliases w:val="1_G"/>
    <w:basedOn w:val="FootnoteReference"/>
    <w:rsid w:val="00C52108"/>
    <w:rPr>
      <w:rFonts w:ascii="Times New Roman" w:hAnsi="Times New Roman"/>
      <w:sz w:val="18"/>
      <w:vertAlign w:val="superscript"/>
    </w:rPr>
  </w:style>
  <w:style w:type="paragraph" w:styleId="Header">
    <w:name w:val="header"/>
    <w:aliases w:val="6_G"/>
    <w:basedOn w:val="Normal"/>
    <w:link w:val="HeaderChar"/>
    <w:rsid w:val="00C52108"/>
    <w:pPr>
      <w:pBdr>
        <w:bottom w:val="single" w:sz="4" w:space="4" w:color="auto"/>
      </w:pBdr>
      <w:spacing w:line="240" w:lineRule="auto"/>
    </w:pPr>
    <w:rPr>
      <w:b/>
      <w:sz w:val="18"/>
    </w:rPr>
  </w:style>
  <w:style w:type="table" w:styleId="TableGrid">
    <w:name w:val="Table Grid"/>
    <w:basedOn w:val="TableNormal"/>
    <w:semiHidden/>
    <w:rsid w:val="00C521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52108"/>
    <w:rPr>
      <w:color w:val="auto"/>
      <w:u w:val="none"/>
    </w:rPr>
  </w:style>
  <w:style w:type="character" w:styleId="FollowedHyperlink">
    <w:name w:val="FollowedHyperlink"/>
    <w:semiHidden/>
    <w:rsid w:val="00C52108"/>
    <w:rPr>
      <w:color w:val="auto"/>
      <w:u w:val="none"/>
    </w:rPr>
  </w:style>
  <w:style w:type="paragraph" w:styleId="FootnoteText">
    <w:name w:val="footnote text"/>
    <w:aliases w:val="5_G,Footnote reference,FA Fu,Footnote Text Char Char Char Char Char,Footnote Text Char Char Char Char,Footnote Text Char1,Footnote Text Char Char,Char,Footnote Reference1,single space Char,ft Char"/>
    <w:basedOn w:val="Normal"/>
    <w:link w:val="FootnoteTextChar"/>
    <w:qFormat/>
    <w:rsid w:val="00C5210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52108"/>
  </w:style>
  <w:style w:type="character" w:styleId="PageNumber">
    <w:name w:val="page number"/>
    <w:aliases w:val="7_G"/>
    <w:rsid w:val="00C52108"/>
    <w:rPr>
      <w:rFonts w:ascii="Times New Roman" w:hAnsi="Times New Roman"/>
      <w:b/>
      <w:sz w:val="18"/>
    </w:rPr>
  </w:style>
  <w:style w:type="paragraph" w:styleId="Footer">
    <w:name w:val="footer"/>
    <w:aliases w:val="3_G"/>
    <w:basedOn w:val="Normal"/>
    <w:link w:val="FooterChar"/>
    <w:rsid w:val="00C52108"/>
    <w:pPr>
      <w:spacing w:line="240" w:lineRule="auto"/>
    </w:pPr>
    <w:rPr>
      <w:sz w:val="16"/>
    </w:rPr>
  </w:style>
  <w:style w:type="character" w:customStyle="1" w:styleId="FootnoteTextChar">
    <w:name w:val="Footnote Text Char"/>
    <w:aliases w:val="5_G Char,Footnote reference Char,FA Fu Char,Footnote Text Char Char Char Char Char Char,Footnote Text Char Char Char Char Char1,Footnote Text Char1 Char,Footnote Text Char Char Char,Char Char,Footnote Reference1 Char,ft Char Char"/>
    <w:link w:val="FootnoteText"/>
    <w:rsid w:val="008E2D17"/>
    <w:rPr>
      <w:sz w:val="18"/>
      <w:lang w:val="en-GB" w:eastAsia="en-US" w:bidi="ar-SA"/>
    </w:rPr>
  </w:style>
  <w:style w:type="paragraph" w:styleId="BalloonText">
    <w:name w:val="Balloon Text"/>
    <w:basedOn w:val="Normal"/>
    <w:link w:val="BalloonTextChar"/>
    <w:semiHidden/>
    <w:rsid w:val="00CD5161"/>
    <w:rPr>
      <w:rFonts w:ascii="Tahoma" w:hAnsi="Tahoma" w:cs="Tahoma"/>
      <w:sz w:val="16"/>
      <w:szCs w:val="16"/>
    </w:rPr>
  </w:style>
  <w:style w:type="paragraph" w:customStyle="1" w:styleId="Default">
    <w:name w:val="Default"/>
    <w:rsid w:val="00702831"/>
    <w:pPr>
      <w:autoSpaceDE w:val="0"/>
      <w:autoSpaceDN w:val="0"/>
      <w:adjustRightInd w:val="0"/>
    </w:pPr>
    <w:rPr>
      <w:color w:val="000000"/>
      <w:sz w:val="24"/>
      <w:szCs w:val="24"/>
    </w:rPr>
  </w:style>
  <w:style w:type="character" w:styleId="CommentReference">
    <w:name w:val="annotation reference"/>
    <w:rsid w:val="007C5A3F"/>
    <w:rPr>
      <w:sz w:val="16"/>
      <w:szCs w:val="16"/>
    </w:rPr>
  </w:style>
  <w:style w:type="paragraph" w:styleId="CommentText">
    <w:name w:val="annotation text"/>
    <w:basedOn w:val="Normal"/>
    <w:link w:val="CommentTextChar"/>
    <w:rsid w:val="007C5A3F"/>
  </w:style>
  <w:style w:type="character" w:customStyle="1" w:styleId="CommentTextChar">
    <w:name w:val="Comment Text Char"/>
    <w:link w:val="CommentText"/>
    <w:rsid w:val="007C5A3F"/>
    <w:rPr>
      <w:lang w:eastAsia="en-US"/>
    </w:rPr>
  </w:style>
  <w:style w:type="paragraph" w:styleId="CommentSubject">
    <w:name w:val="annotation subject"/>
    <w:basedOn w:val="CommentText"/>
    <w:next w:val="CommentText"/>
    <w:link w:val="CommentSubjectChar"/>
    <w:rsid w:val="007C5A3F"/>
    <w:rPr>
      <w:b/>
      <w:bCs/>
    </w:rPr>
  </w:style>
  <w:style w:type="character" w:customStyle="1" w:styleId="CommentSubjectChar">
    <w:name w:val="Comment Subject Char"/>
    <w:link w:val="CommentSubject"/>
    <w:rsid w:val="007C5A3F"/>
    <w:rPr>
      <w:b/>
      <w:bCs/>
      <w:lang w:eastAsia="en-US"/>
    </w:rPr>
  </w:style>
  <w:style w:type="character" w:customStyle="1" w:styleId="Heading1Char">
    <w:name w:val="Heading 1 Char"/>
    <w:aliases w:val="Table_G Char"/>
    <w:link w:val="Heading1"/>
    <w:locked/>
    <w:rsid w:val="002A039C"/>
    <w:rPr>
      <w:lang w:eastAsia="en-US"/>
    </w:rPr>
  </w:style>
  <w:style w:type="character" w:customStyle="1" w:styleId="Heading2Char">
    <w:name w:val="Heading 2 Char"/>
    <w:link w:val="Heading2"/>
    <w:locked/>
    <w:rsid w:val="002A039C"/>
    <w:rPr>
      <w:lang w:eastAsia="en-US"/>
    </w:rPr>
  </w:style>
  <w:style w:type="character" w:customStyle="1" w:styleId="Heading3Char">
    <w:name w:val="Heading 3 Char"/>
    <w:link w:val="Heading3"/>
    <w:locked/>
    <w:rsid w:val="002A039C"/>
    <w:rPr>
      <w:lang w:eastAsia="en-US"/>
    </w:rPr>
  </w:style>
  <w:style w:type="character" w:customStyle="1" w:styleId="Heading4Char">
    <w:name w:val="Heading 4 Char"/>
    <w:link w:val="Heading4"/>
    <w:locked/>
    <w:rsid w:val="002A039C"/>
    <w:rPr>
      <w:lang w:eastAsia="en-US"/>
    </w:rPr>
  </w:style>
  <w:style w:type="character" w:customStyle="1" w:styleId="Heading5Char">
    <w:name w:val="Heading 5 Char"/>
    <w:link w:val="Heading5"/>
    <w:locked/>
    <w:rsid w:val="002A039C"/>
    <w:rPr>
      <w:lang w:eastAsia="en-US"/>
    </w:rPr>
  </w:style>
  <w:style w:type="character" w:customStyle="1" w:styleId="Heading6Char">
    <w:name w:val="Heading 6 Char"/>
    <w:link w:val="Heading6"/>
    <w:locked/>
    <w:rsid w:val="002A039C"/>
    <w:rPr>
      <w:lang w:eastAsia="en-US"/>
    </w:rPr>
  </w:style>
  <w:style w:type="character" w:customStyle="1" w:styleId="Heading7Char">
    <w:name w:val="Heading 7 Char"/>
    <w:link w:val="Heading7"/>
    <w:locked/>
    <w:rsid w:val="002A039C"/>
    <w:rPr>
      <w:lang w:eastAsia="en-US"/>
    </w:rPr>
  </w:style>
  <w:style w:type="character" w:customStyle="1" w:styleId="Heading8Char">
    <w:name w:val="Heading 8 Char"/>
    <w:link w:val="Heading8"/>
    <w:locked/>
    <w:rsid w:val="002A039C"/>
    <w:rPr>
      <w:lang w:eastAsia="en-US"/>
    </w:rPr>
  </w:style>
  <w:style w:type="character" w:customStyle="1" w:styleId="Heading9Char">
    <w:name w:val="Heading 9 Char"/>
    <w:link w:val="Heading9"/>
    <w:locked/>
    <w:rsid w:val="002A039C"/>
    <w:rPr>
      <w:lang w:eastAsia="en-US"/>
    </w:rPr>
  </w:style>
  <w:style w:type="character" w:customStyle="1" w:styleId="SingleTxtGChar">
    <w:name w:val="_ Single Txt_G Char"/>
    <w:link w:val="SingleTxtG"/>
    <w:locked/>
    <w:rsid w:val="002A039C"/>
    <w:rPr>
      <w:lang w:eastAsia="en-US"/>
    </w:rPr>
  </w:style>
  <w:style w:type="character" w:customStyle="1" w:styleId="HChGChar">
    <w:name w:val="_ H _Ch_G Char"/>
    <w:link w:val="HChG"/>
    <w:locked/>
    <w:rsid w:val="002A039C"/>
    <w:rPr>
      <w:b/>
      <w:sz w:val="28"/>
      <w:lang w:eastAsia="en-US"/>
    </w:rPr>
  </w:style>
  <w:style w:type="character" w:customStyle="1" w:styleId="HeaderChar">
    <w:name w:val="Header Char"/>
    <w:aliases w:val="6_G Char"/>
    <w:link w:val="Header"/>
    <w:locked/>
    <w:rsid w:val="002A039C"/>
    <w:rPr>
      <w:b/>
      <w:sz w:val="18"/>
      <w:lang w:eastAsia="en-US"/>
    </w:rPr>
  </w:style>
  <w:style w:type="character" w:customStyle="1" w:styleId="EndnoteTextChar">
    <w:name w:val="Endnote Text Char"/>
    <w:aliases w:val="2_G Char"/>
    <w:link w:val="EndnoteText"/>
    <w:locked/>
    <w:rsid w:val="002A039C"/>
    <w:rPr>
      <w:sz w:val="18"/>
      <w:lang w:eastAsia="en-US"/>
    </w:rPr>
  </w:style>
  <w:style w:type="character" w:customStyle="1" w:styleId="FooterChar">
    <w:name w:val="Footer Char"/>
    <w:aliases w:val="3_G Char"/>
    <w:link w:val="Footer"/>
    <w:locked/>
    <w:rsid w:val="002A039C"/>
    <w:rPr>
      <w:sz w:val="16"/>
      <w:lang w:eastAsia="en-US"/>
    </w:rPr>
  </w:style>
  <w:style w:type="character" w:customStyle="1" w:styleId="BalloonTextChar">
    <w:name w:val="Balloon Text Char"/>
    <w:link w:val="BalloonText"/>
    <w:semiHidden/>
    <w:locked/>
    <w:rsid w:val="002A039C"/>
    <w:rPr>
      <w:rFonts w:ascii="Tahoma" w:hAnsi="Tahoma" w:cs="Tahoma"/>
      <w:sz w:val="16"/>
      <w:szCs w:val="16"/>
      <w:lang w:eastAsia="en-US"/>
    </w:rPr>
  </w:style>
  <w:style w:type="character" w:styleId="Strong">
    <w:name w:val="Strong"/>
    <w:qFormat/>
    <w:rsid w:val="002A039C"/>
    <w:rPr>
      <w:rFonts w:cs="Times New Roman"/>
      <w:b/>
      <w:bCs/>
    </w:rPr>
  </w:style>
  <w:style w:type="character" w:customStyle="1" w:styleId="document">
    <w:name w:val="document"/>
    <w:rsid w:val="002A039C"/>
    <w:rPr>
      <w:rFonts w:cs="Times New Roman"/>
      <w:color w:val="4A88C2"/>
      <w:sz w:val="22"/>
      <w:szCs w:val="22"/>
    </w:rPr>
  </w:style>
  <w:style w:type="character" w:customStyle="1" w:styleId="paragraph">
    <w:name w:val="paragraph"/>
    <w:rsid w:val="002A039C"/>
    <w:rPr>
      <w:rFonts w:cs="Times New Roman"/>
      <w:color w:val="4A88C2"/>
      <w:sz w:val="22"/>
      <w:szCs w:val="22"/>
    </w:rPr>
  </w:style>
  <w:style w:type="character" w:styleId="Emphasis">
    <w:name w:val="Emphasis"/>
    <w:qFormat/>
    <w:rsid w:val="002A039C"/>
    <w:rPr>
      <w:rFonts w:cs="Times New Roman"/>
      <w:b/>
      <w:bCs/>
    </w:rPr>
  </w:style>
  <w:style w:type="character" w:customStyle="1" w:styleId="stdnobr">
    <w:name w:val="std nobr"/>
    <w:rsid w:val="002A039C"/>
    <w:rPr>
      <w:rFonts w:cs="Times New Roman"/>
    </w:rPr>
  </w:style>
  <w:style w:type="character" w:customStyle="1" w:styleId="Typografi10pkt">
    <w:name w:val="Typografi 10 pkt"/>
    <w:rsid w:val="002A039C"/>
    <w:rPr>
      <w:rFonts w:ascii="Times New Roman" w:hAnsi="Times New Roman" w:cs="Times New Roman"/>
      <w:sz w:val="16"/>
    </w:rPr>
  </w:style>
  <w:style w:type="paragraph" w:styleId="TOC1">
    <w:name w:val="toc 1"/>
    <w:basedOn w:val="Normal"/>
    <w:next w:val="Normal"/>
    <w:autoRedefine/>
    <w:rsid w:val="002A039C"/>
    <w:pPr>
      <w:suppressAutoHyphens w:val="0"/>
      <w:spacing w:before="360" w:line="240" w:lineRule="auto"/>
    </w:pPr>
    <w:rPr>
      <w:rFonts w:ascii="Arial" w:eastAsia="SimSun" w:hAnsi="Arial" w:cs="Arial"/>
      <w:b/>
      <w:bCs/>
      <w:caps/>
      <w:sz w:val="24"/>
      <w:szCs w:val="28"/>
      <w:lang w:val="en-US" w:eastAsia="zh-CN"/>
    </w:rPr>
  </w:style>
  <w:style w:type="paragraph" w:styleId="ListParagraph">
    <w:name w:val="List Paragraph"/>
    <w:basedOn w:val="Normal"/>
    <w:qFormat/>
    <w:rsid w:val="002A039C"/>
    <w:pPr>
      <w:suppressAutoHyphens w:val="0"/>
      <w:spacing w:after="200" w:line="276" w:lineRule="auto"/>
      <w:ind w:left="720"/>
      <w:contextualSpacing/>
    </w:pPr>
    <w:rPr>
      <w:rFonts w:ascii="Calibri" w:eastAsia="Calibri" w:hAnsi="Calibri"/>
      <w:sz w:val="22"/>
      <w:szCs w:val="22"/>
    </w:rPr>
  </w:style>
  <w:style w:type="paragraph" w:customStyle="1" w:styleId="ParaNoG">
    <w:name w:val="_ParaNo._G"/>
    <w:basedOn w:val="SingleTxtG"/>
    <w:rsid w:val="004429CE"/>
    <w:pPr>
      <w:ind w:left="0"/>
    </w:pPr>
    <w:rPr>
      <w:rFonts w:eastAsia="SimSun"/>
      <w:lang w:eastAsia="zh-CN"/>
    </w:rPr>
  </w:style>
  <w:style w:type="paragraph" w:customStyle="1" w:styleId="ftrefChar">
    <w:name w:val="ftref Char"/>
    <w:aliases w:val="Footnotes refss Char,BVI fnr Car Char Char1 Char Char Char Char Char,BVI fnr Car Char Char Char Char Char Char Char,BVI fnr Car Car Car Char Char Char Char Char Char Char"/>
    <w:basedOn w:val="Normal"/>
    <w:link w:val="FootnoteReference"/>
    <w:uiPriority w:val="99"/>
    <w:rsid w:val="001E6482"/>
    <w:pPr>
      <w:suppressAutoHyphens w:val="0"/>
      <w:spacing w:after="160" w:line="240" w:lineRule="exact"/>
    </w:pPr>
    <w:rPr>
      <w:sz w:val="18"/>
      <w:vertAlign w:val="superscript"/>
      <w:lang w:eastAsia="en-GB"/>
    </w:rPr>
  </w:style>
  <w:style w:type="paragraph" w:styleId="Revision">
    <w:name w:val="Revision"/>
    <w:hidden/>
    <w:uiPriority w:val="99"/>
    <w:semiHidden/>
    <w:rsid w:val="002150A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16809cfa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64E489-9777-476D-BE6D-318627079A01}">
  <ds:schemaRefs>
    <ds:schemaRef ds:uri="http://schemas.openxmlformats.org/officeDocument/2006/bibliography"/>
  </ds:schemaRefs>
</ds:datastoreItem>
</file>

<file path=customXml/itemProps2.xml><?xml version="1.0" encoding="utf-8"?>
<ds:datastoreItem xmlns:ds="http://schemas.openxmlformats.org/officeDocument/2006/customXml" ds:itemID="{0645AFF0-F901-445D-BB6D-52C053D2F7D3}"/>
</file>

<file path=customXml/itemProps3.xml><?xml version="1.0" encoding="utf-8"?>
<ds:datastoreItem xmlns:ds="http://schemas.openxmlformats.org/officeDocument/2006/customXml" ds:itemID="{71163137-7510-4579-AC1B-D9E5BFB59B07}"/>
</file>

<file path=customXml/itemProps4.xml><?xml version="1.0" encoding="utf-8"?>
<ds:datastoreItem xmlns:ds="http://schemas.openxmlformats.org/officeDocument/2006/customXml" ds:itemID="{B2102353-4ECC-4D8D-B1BA-07C5D285D1AC}"/>
</file>

<file path=docProps/app.xml><?xml version="1.0" encoding="utf-8"?>
<Properties xmlns="http://schemas.openxmlformats.org/officeDocument/2006/extended-properties" xmlns:vt="http://schemas.openxmlformats.org/officeDocument/2006/docPropsVTypes">
  <Template>Normal.dotm</Template>
  <TotalTime>1</TotalTime>
  <Pages>5</Pages>
  <Words>2227</Words>
  <Characters>12699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CAT/OP/</vt:lpstr>
    </vt:vector>
  </TitlesOfParts>
  <Company>CSD</Company>
  <LinksUpToDate>false</LinksUpToDate>
  <CharactersWithSpaces>14897</CharactersWithSpaces>
  <SharedDoc>false</SharedDoc>
  <HLinks>
    <vt:vector size="12" baseType="variant">
      <vt:variant>
        <vt:i4>327756</vt:i4>
      </vt:variant>
      <vt:variant>
        <vt:i4>3</vt:i4>
      </vt:variant>
      <vt:variant>
        <vt:i4>0</vt:i4>
      </vt:variant>
      <vt:variant>
        <vt:i4>5</vt:i4>
      </vt:variant>
      <vt:variant>
        <vt:lpwstr>http://www.coe.int/en/web/cpt/-/covid-19-council-of-europe-anti-torture-committee-issues-statement-of-principles-relating-to-the-treatment-of-persons-deprived-of-their-liberty-</vt:lpwstr>
      </vt:variant>
      <vt:variant>
        <vt:lpwstr/>
      </vt:variant>
      <vt:variant>
        <vt:i4>1769498</vt:i4>
      </vt:variant>
      <vt:variant>
        <vt:i4>0</vt:i4>
      </vt:variant>
      <vt:variant>
        <vt:i4>0</vt:i4>
      </vt:variant>
      <vt:variant>
        <vt:i4>5</vt:i4>
      </vt:variant>
      <vt:variant>
        <vt:lpwstr>https://www.ohchr.org/Documents/HRBodies/OPCAT/NPM/2020.03.03-Advice_UK_NPM.pdf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CAT/OP/</dc:title>
  <dc:subject/>
  <dc:creator>valdivia de fyfe</dc:creator>
  <cp:keywords/>
  <cp:lastModifiedBy>Britta Nicolmann</cp:lastModifiedBy>
  <cp:revision>2</cp:revision>
  <cp:lastPrinted>2020-03-30T08:48:00Z</cp:lastPrinted>
  <dcterms:created xsi:type="dcterms:W3CDTF">2020-06-02T13:47:00Z</dcterms:created>
  <dcterms:modified xsi:type="dcterms:W3CDTF">2020-06-02T13:47:00Z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