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760A60" w14:textId="77777777" w:rsidR="00D067E1" w:rsidRPr="00D067E1" w:rsidRDefault="00D067E1" w:rsidP="00EC67C5">
      <w:pPr>
        <w:pStyle w:val="RTFrontcovermaintitle"/>
        <w:spacing w:before="0" w:after="0" w:line="240" w:lineRule="auto"/>
        <w:rPr>
          <w:bCs/>
          <w:sz w:val="20"/>
          <w:szCs w:val="20"/>
          <w:lang w:val="en-US"/>
        </w:rPr>
      </w:pPr>
    </w:p>
    <w:p w14:paraId="4AFBDA93" w14:textId="77777777" w:rsidR="00FF53C1" w:rsidRPr="00FF53C1" w:rsidRDefault="00FF53C1" w:rsidP="00EC67C5">
      <w:pPr>
        <w:pStyle w:val="RTFrontcovermaintitle"/>
        <w:spacing w:before="0" w:after="0" w:line="240" w:lineRule="auto"/>
        <w:rPr>
          <w:bCs/>
          <w:sz w:val="16"/>
          <w:szCs w:val="16"/>
          <w:lang w:val="en-US"/>
        </w:rPr>
      </w:pPr>
    </w:p>
    <w:p w14:paraId="5B3ECF95" w14:textId="4E172826" w:rsidR="00EC67C5" w:rsidRPr="00EA3F1F" w:rsidRDefault="00EC67C5" w:rsidP="00EA3F1F">
      <w:pPr>
        <w:pStyle w:val="Heading1"/>
        <w:rPr>
          <w:sz w:val="72"/>
          <w:szCs w:val="72"/>
          <w:highlight w:val="yellow"/>
        </w:rPr>
      </w:pPr>
      <w:r w:rsidRPr="00EA3F1F">
        <w:rPr>
          <w:sz w:val="72"/>
          <w:szCs w:val="72"/>
          <w:highlight w:val="yellow"/>
        </w:rPr>
        <w:t xml:space="preserve">TREATY BODY </w:t>
      </w:r>
      <w:r w:rsidRPr="00EA3F1F">
        <w:rPr>
          <w:sz w:val="72"/>
          <w:szCs w:val="72"/>
          <w:highlight w:val="yellow"/>
          <w:lang w:val="en"/>
        </w:rPr>
        <w:t>Strengthening</w:t>
      </w:r>
    </w:p>
    <w:p w14:paraId="13AE7953" w14:textId="77777777" w:rsidR="00EC67C5" w:rsidRPr="001455F7" w:rsidRDefault="00EC67C5" w:rsidP="00EC67C5">
      <w:pPr>
        <w:pStyle w:val="RTSubheadinglightCAPS"/>
        <w:spacing w:before="0" w:line="240" w:lineRule="auto"/>
        <w:rPr>
          <w:rFonts w:ascii="Amnesty Trade Gothic Bold Conde" w:hAnsi="Amnesty Trade Gothic Bold Conde"/>
          <w:b/>
          <w:lang w:val="en-US"/>
        </w:rPr>
      </w:pPr>
    </w:p>
    <w:p w14:paraId="277111BD" w14:textId="77777777" w:rsidR="00EC67C5" w:rsidRPr="0092284E" w:rsidRDefault="00EC67C5" w:rsidP="00EA3F1F">
      <w:pPr>
        <w:pStyle w:val="Heading3"/>
        <w:rPr>
          <w:b/>
          <w:sz w:val="44"/>
          <w:szCs w:val="44"/>
        </w:rPr>
      </w:pPr>
      <w:r w:rsidRPr="0092284E">
        <w:rPr>
          <w:b/>
          <w:sz w:val="44"/>
          <w:szCs w:val="44"/>
        </w:rPr>
        <w:t xml:space="preserve">SUBMISSION AHEAD OF THE THIRD BIENNIAL REPORT OF THE SECRETARY-GENERAL </w:t>
      </w:r>
    </w:p>
    <w:p w14:paraId="37C2360F" w14:textId="77777777" w:rsidR="00EC67C5" w:rsidRPr="00EA3F1F" w:rsidRDefault="00EC67C5" w:rsidP="00EA3F1F">
      <w:pPr>
        <w:pStyle w:val="Heading3"/>
        <w:rPr>
          <w:color w:val="808080" w:themeColor="background1" w:themeShade="80"/>
          <w:sz w:val="32"/>
          <w:szCs w:val="32"/>
        </w:rPr>
      </w:pPr>
      <w:r w:rsidRPr="00EA3F1F">
        <w:rPr>
          <w:color w:val="808080" w:themeColor="background1" w:themeShade="80"/>
          <w:sz w:val="32"/>
          <w:szCs w:val="32"/>
        </w:rPr>
        <w:t>May 2019</w:t>
      </w:r>
    </w:p>
    <w:p w14:paraId="30A0B258" w14:textId="77777777" w:rsidR="00EC67C5" w:rsidRDefault="00EC67C5" w:rsidP="00EC67C5">
      <w:pPr>
        <w:pStyle w:val="AILetterText"/>
        <w:spacing w:after="0" w:line="240" w:lineRule="auto"/>
        <w:rPr>
          <w:rFonts w:ascii="Amnesty Trade Gothic Light" w:hAnsi="Amnesty Trade Gothic Light"/>
          <w:b/>
          <w:sz w:val="21"/>
          <w:szCs w:val="21"/>
          <w:lang w:val="en-US"/>
        </w:rPr>
      </w:pPr>
    </w:p>
    <w:p w14:paraId="1FE6AC18" w14:textId="77777777" w:rsidR="00EC67C5" w:rsidRPr="00CC6CF1" w:rsidRDefault="00EC67C5" w:rsidP="00EC67C5">
      <w:pPr>
        <w:pStyle w:val="AILetterText"/>
        <w:spacing w:after="0" w:line="240" w:lineRule="auto"/>
        <w:rPr>
          <w:rFonts w:ascii="Amnesty Trade Gothic Light" w:hAnsi="Amnesty Trade Gothic Light"/>
          <w:b/>
          <w:sz w:val="21"/>
          <w:szCs w:val="21"/>
        </w:rPr>
      </w:pPr>
      <w:r w:rsidRPr="001A2127">
        <w:rPr>
          <w:rFonts w:ascii="Amnesty Trade Gothic Light" w:hAnsi="Amnesty Trade Gothic Light"/>
          <w:b/>
          <w:sz w:val="21"/>
          <w:szCs w:val="21"/>
          <w:lang w:val="en-US"/>
        </w:rPr>
        <w:t xml:space="preserve">General Assembly resolution </w:t>
      </w:r>
      <w:hyperlink r:id="rId11" w:history="1">
        <w:r w:rsidRPr="001A2127">
          <w:rPr>
            <w:rStyle w:val="Hyperlink"/>
            <w:rFonts w:ascii="Amnesty Trade Gothic Light" w:hAnsi="Amnesty Trade Gothic Light"/>
            <w:b/>
            <w:sz w:val="21"/>
            <w:szCs w:val="21"/>
            <w:lang w:val="en-US"/>
          </w:rPr>
          <w:t>68/268</w:t>
        </w:r>
      </w:hyperlink>
      <w:r w:rsidRPr="001A2127">
        <w:rPr>
          <w:rFonts w:ascii="Amnesty Trade Gothic Light" w:hAnsi="Amnesty Trade Gothic Light"/>
          <w:b/>
          <w:sz w:val="21"/>
          <w:szCs w:val="21"/>
          <w:lang w:val="en-US"/>
        </w:rPr>
        <w:t xml:space="preserve"> requests the Secretary-General to submit to the General Assembly, a third “</w:t>
      </w:r>
      <w:r w:rsidRPr="00CC6CF1">
        <w:rPr>
          <w:rFonts w:ascii="Amnesty Trade Gothic Light" w:hAnsi="Amnesty Trade Gothic Light"/>
          <w:b/>
          <w:sz w:val="21"/>
          <w:szCs w:val="21"/>
        </w:rPr>
        <w:t>comprehensive report on the status of the human rights treaty body system and the progress achieved by the human rights treaty bodies in realizing greater efficiency and effectiveness in their work”</w:t>
      </w:r>
      <w:r w:rsidRPr="00CC6CF1" w:rsidDel="000F16F1">
        <w:rPr>
          <w:rFonts w:ascii="Amnesty Trade Gothic Light" w:hAnsi="Amnesty Trade Gothic Light"/>
          <w:b/>
          <w:sz w:val="21"/>
          <w:szCs w:val="21"/>
        </w:rPr>
        <w:t xml:space="preserve"> </w:t>
      </w:r>
      <w:r w:rsidRPr="00CC6CF1">
        <w:rPr>
          <w:rFonts w:ascii="Amnesty Trade Gothic Light" w:hAnsi="Amnesty Trade Gothic Light"/>
          <w:b/>
          <w:sz w:val="21"/>
          <w:szCs w:val="21"/>
        </w:rPr>
        <w:t xml:space="preserve">in 2019. This report will be the third and last ahead of the review, due in April 2020, of “the effectiveness of the measures taken </w:t>
      </w:r>
      <w:proofErr w:type="gramStart"/>
      <w:r w:rsidRPr="00CC6CF1">
        <w:rPr>
          <w:rFonts w:ascii="Amnesty Trade Gothic Light" w:hAnsi="Amnesty Trade Gothic Light"/>
          <w:b/>
          <w:sz w:val="21"/>
          <w:szCs w:val="21"/>
        </w:rPr>
        <w:t>in order to</w:t>
      </w:r>
      <w:proofErr w:type="gramEnd"/>
      <w:r w:rsidRPr="00CC6CF1">
        <w:rPr>
          <w:rFonts w:ascii="Amnesty Trade Gothic Light" w:hAnsi="Amnesty Trade Gothic Light"/>
          <w:b/>
          <w:sz w:val="21"/>
          <w:szCs w:val="21"/>
        </w:rPr>
        <w:t xml:space="preserve"> ensure their sustainability, and, if appropriate, to decide on further action to strengthen and enhance the effective functioning of the human rights treaty body system” (the 2020 review).</w:t>
      </w:r>
    </w:p>
    <w:p w14:paraId="6F64CB30" w14:textId="77777777" w:rsidR="00EC67C5" w:rsidRPr="00CC6CF1" w:rsidRDefault="00EC67C5" w:rsidP="00EC67C5">
      <w:pPr>
        <w:pStyle w:val="AILetterText"/>
        <w:spacing w:after="0" w:line="240" w:lineRule="auto"/>
        <w:rPr>
          <w:rFonts w:ascii="Amnesty Trade Gothic Light" w:hAnsi="Amnesty Trade Gothic Light"/>
          <w:b/>
          <w:sz w:val="21"/>
          <w:szCs w:val="21"/>
        </w:rPr>
      </w:pPr>
    </w:p>
    <w:p w14:paraId="537B3971" w14:textId="326F94EE" w:rsidR="009C445D" w:rsidRPr="00CC6CF1" w:rsidRDefault="00EC67C5" w:rsidP="00EC67C5">
      <w:pPr>
        <w:rPr>
          <w:b/>
          <w:sz w:val="21"/>
          <w:szCs w:val="21"/>
          <w:lang w:val="en-GB"/>
        </w:rPr>
      </w:pPr>
      <w:r w:rsidRPr="00CC6CF1">
        <w:rPr>
          <w:b/>
          <w:sz w:val="21"/>
          <w:szCs w:val="21"/>
          <w:lang w:val="en-GB"/>
        </w:rPr>
        <w:t>In responding to the call for contributions, this submission, on behalf of Amnesty International, the Centre for Civil and Political Rights</w:t>
      </w:r>
      <w:r w:rsidR="00E865C7" w:rsidRPr="00CC6CF1">
        <w:rPr>
          <w:b/>
          <w:sz w:val="21"/>
          <w:szCs w:val="21"/>
          <w:lang w:val="en-GB"/>
        </w:rPr>
        <w:t xml:space="preserve"> (CCPR </w:t>
      </w:r>
      <w:r w:rsidR="00AE037C" w:rsidRPr="00CC6CF1">
        <w:rPr>
          <w:b/>
          <w:sz w:val="21"/>
          <w:szCs w:val="21"/>
          <w:lang w:val="en-GB"/>
        </w:rPr>
        <w:t>C</w:t>
      </w:r>
      <w:r w:rsidR="00E865C7" w:rsidRPr="00CC6CF1">
        <w:rPr>
          <w:b/>
          <w:sz w:val="21"/>
          <w:szCs w:val="21"/>
          <w:lang w:val="en-GB"/>
        </w:rPr>
        <w:t>entre)</w:t>
      </w:r>
      <w:r w:rsidRPr="00CC6CF1">
        <w:rPr>
          <w:b/>
          <w:sz w:val="21"/>
          <w:szCs w:val="21"/>
          <w:lang w:val="en-GB"/>
        </w:rPr>
        <w:t xml:space="preserve">, Child Rights Connect, </w:t>
      </w:r>
      <w:r w:rsidRPr="00CC6CF1">
        <w:rPr>
          <w:rStyle w:val="textexposedshow"/>
          <w:b/>
          <w:sz w:val="21"/>
          <w:szCs w:val="21"/>
          <w:lang w:val="en-GB"/>
        </w:rPr>
        <w:t xml:space="preserve">the International Commission of Jurists (ICJ), the International Disability Alliance (IDA), the International Movement Against All Forms of Discrimination and Racism (IMADR), the International Rehabilitation Council for Torture Victims (IRCT), the International Service for Human Rights, the Global Initiative for Economic, Social and Cultural Rights (GIESCR) and the World Organisation Against Torture (OMCT), </w:t>
      </w:r>
      <w:r w:rsidR="00CC6CF1">
        <w:rPr>
          <w:b/>
          <w:sz w:val="21"/>
          <w:szCs w:val="21"/>
          <w:lang w:val="en-GB"/>
        </w:rPr>
        <w:t>focus</w:t>
      </w:r>
      <w:r w:rsidRPr="00CC6CF1">
        <w:rPr>
          <w:b/>
          <w:sz w:val="21"/>
          <w:szCs w:val="21"/>
          <w:lang w:val="en-GB"/>
        </w:rPr>
        <w:t xml:space="preserve">es on: </w:t>
      </w:r>
    </w:p>
    <w:p w14:paraId="3C74D509" w14:textId="77777777" w:rsidR="009C445D" w:rsidRPr="001A2127" w:rsidRDefault="009C445D" w:rsidP="00EC67C5">
      <w:pPr>
        <w:rPr>
          <w:b/>
          <w:sz w:val="21"/>
          <w:szCs w:val="21"/>
        </w:rPr>
      </w:pPr>
    </w:p>
    <w:p w14:paraId="6D6E3B06" w14:textId="77777777" w:rsidR="009C445D" w:rsidRPr="001A2127" w:rsidRDefault="00EC67C5" w:rsidP="009C445D">
      <w:pPr>
        <w:pStyle w:val="ListParagraph"/>
        <w:numPr>
          <w:ilvl w:val="0"/>
          <w:numId w:val="44"/>
        </w:numPr>
        <w:rPr>
          <w:b/>
          <w:sz w:val="21"/>
          <w:szCs w:val="21"/>
        </w:rPr>
      </w:pPr>
      <w:r w:rsidRPr="001A2127">
        <w:rPr>
          <w:b/>
          <w:sz w:val="21"/>
          <w:szCs w:val="21"/>
        </w:rPr>
        <w:t xml:space="preserve">the objectives and principles for the 2020 review; </w:t>
      </w:r>
    </w:p>
    <w:p w14:paraId="4D4E31A0" w14:textId="77777777" w:rsidR="009C445D" w:rsidRPr="001A2127" w:rsidRDefault="00EC67C5" w:rsidP="009C445D">
      <w:pPr>
        <w:pStyle w:val="ListParagraph"/>
        <w:numPr>
          <w:ilvl w:val="0"/>
          <w:numId w:val="44"/>
        </w:numPr>
        <w:rPr>
          <w:b/>
          <w:sz w:val="21"/>
          <w:szCs w:val="21"/>
        </w:rPr>
      </w:pPr>
      <w:r w:rsidRPr="001A2127">
        <w:rPr>
          <w:b/>
          <w:sz w:val="21"/>
          <w:szCs w:val="21"/>
        </w:rPr>
        <w:t xml:space="preserve">visibility and accessibility; membership; </w:t>
      </w:r>
    </w:p>
    <w:p w14:paraId="6DAEF049" w14:textId="77777777" w:rsidR="009C445D" w:rsidRPr="001A2127" w:rsidRDefault="00EC67C5" w:rsidP="009C445D">
      <w:pPr>
        <w:pStyle w:val="ListParagraph"/>
        <w:numPr>
          <w:ilvl w:val="0"/>
          <w:numId w:val="44"/>
        </w:numPr>
        <w:rPr>
          <w:b/>
          <w:sz w:val="21"/>
          <w:szCs w:val="21"/>
        </w:rPr>
      </w:pPr>
      <w:r w:rsidRPr="001A2127">
        <w:rPr>
          <w:b/>
          <w:sz w:val="21"/>
          <w:szCs w:val="21"/>
        </w:rPr>
        <w:t xml:space="preserve">working methods and inter-committee coordination; and </w:t>
      </w:r>
    </w:p>
    <w:p w14:paraId="512E429E" w14:textId="77777777" w:rsidR="009C445D" w:rsidRPr="001A2127" w:rsidRDefault="00EC67C5" w:rsidP="009C445D">
      <w:pPr>
        <w:pStyle w:val="ListParagraph"/>
        <w:numPr>
          <w:ilvl w:val="0"/>
          <w:numId w:val="44"/>
        </w:numPr>
        <w:rPr>
          <w:b/>
          <w:sz w:val="21"/>
          <w:szCs w:val="21"/>
        </w:rPr>
      </w:pPr>
      <w:r w:rsidRPr="001A2127">
        <w:rPr>
          <w:b/>
          <w:sz w:val="21"/>
          <w:szCs w:val="21"/>
        </w:rPr>
        <w:t xml:space="preserve">the growth of the treaty body system and adequate funding. </w:t>
      </w:r>
    </w:p>
    <w:p w14:paraId="071A3FB2" w14:textId="77777777" w:rsidR="009C445D" w:rsidRPr="001A2127" w:rsidRDefault="009C445D" w:rsidP="00EC67C5">
      <w:pPr>
        <w:rPr>
          <w:b/>
          <w:sz w:val="21"/>
          <w:szCs w:val="21"/>
        </w:rPr>
      </w:pPr>
    </w:p>
    <w:p w14:paraId="461131E8" w14:textId="734A3D92" w:rsidR="00EC67C5" w:rsidRPr="001A2127" w:rsidRDefault="00EC67C5" w:rsidP="00106DEC">
      <w:pPr>
        <w:rPr>
          <w:b/>
          <w:sz w:val="21"/>
          <w:szCs w:val="21"/>
        </w:rPr>
      </w:pPr>
      <w:r w:rsidRPr="001A2127">
        <w:rPr>
          <w:b/>
          <w:sz w:val="21"/>
          <w:szCs w:val="21"/>
        </w:rPr>
        <w:t xml:space="preserve">It should not </w:t>
      </w:r>
      <w:proofErr w:type="gramStart"/>
      <w:r w:rsidRPr="001A2127">
        <w:rPr>
          <w:b/>
          <w:sz w:val="21"/>
          <w:szCs w:val="21"/>
        </w:rPr>
        <w:t>be seen as</w:t>
      </w:r>
      <w:proofErr w:type="gramEnd"/>
      <w:r w:rsidRPr="001A2127">
        <w:rPr>
          <w:b/>
          <w:sz w:val="21"/>
          <w:szCs w:val="21"/>
        </w:rPr>
        <w:t xml:space="preserve"> an exhaustive account of the challenges of the treaty body system. </w:t>
      </w:r>
    </w:p>
    <w:p w14:paraId="2B95FCAD" w14:textId="77777777" w:rsidR="009C445D" w:rsidRDefault="009C445D" w:rsidP="00853EC0">
      <w:pPr>
        <w:pStyle w:val="Heading2"/>
        <w:rPr>
          <w:b w:val="0"/>
        </w:rPr>
      </w:pPr>
    </w:p>
    <w:p w14:paraId="1CB47C6E" w14:textId="691D7ECA" w:rsidR="00EC67C5" w:rsidRPr="00EA3F1F" w:rsidRDefault="00EC67C5" w:rsidP="00853EC0">
      <w:pPr>
        <w:pStyle w:val="Heading2"/>
        <w:rPr>
          <w:rFonts w:ascii="Amnesty Trade Gothic Cn" w:hAnsi="Amnesty Trade Gothic Cn"/>
          <w:b w:val="0"/>
        </w:rPr>
      </w:pPr>
      <w:r w:rsidRPr="00EA3F1F">
        <w:rPr>
          <w:rFonts w:ascii="Amnesty Trade Gothic Cn" w:hAnsi="Amnesty Trade Gothic Cn"/>
        </w:rPr>
        <w:t>OBJECTIVES AND PRINCIPLES FOR THE 2020 REVIEW</w:t>
      </w:r>
    </w:p>
    <w:p w14:paraId="5316580F" w14:textId="198AAA7A" w:rsidR="00EC67C5" w:rsidRPr="00BC3693" w:rsidRDefault="00EC67C5" w:rsidP="00EC67C5">
      <w:pPr>
        <w:pStyle w:val="AILetterText"/>
        <w:spacing w:after="0" w:line="240" w:lineRule="auto"/>
        <w:rPr>
          <w:rFonts w:ascii="Amnesty Trade Gothic Light" w:hAnsi="Amnesty Trade Gothic Light"/>
          <w:sz w:val="21"/>
          <w:szCs w:val="21"/>
          <w:lang w:val="en-US"/>
        </w:rPr>
      </w:pPr>
      <w:r w:rsidRPr="00BC3693">
        <w:rPr>
          <w:rFonts w:ascii="Amnesty Trade Gothic Light" w:hAnsi="Amnesty Trade Gothic Light"/>
          <w:sz w:val="21"/>
          <w:szCs w:val="21"/>
          <w:lang w:val="en-US"/>
        </w:rPr>
        <w:t xml:space="preserve">In advance of the preparation the second biennial report 29 non-governmental organizations published a letter, </w:t>
      </w:r>
      <w:hyperlink r:id="rId12" w:history="1">
        <w:r w:rsidRPr="00400DB2">
          <w:rPr>
            <w:rStyle w:val="Hyperlink"/>
            <w:rFonts w:ascii="Amnesty Trade Gothic Light" w:hAnsi="Amnesty Trade Gothic Light"/>
            <w:bCs/>
            <w:i/>
            <w:color w:val="0070C0"/>
            <w:sz w:val="21"/>
            <w:szCs w:val="21"/>
            <w:lang w:val="en-US"/>
          </w:rPr>
          <w:t>Joint open letter regarding the 2018 biennial report by the UN Secretary-General on the state of the treaty body system</w:t>
        </w:r>
      </w:hyperlink>
      <w:r w:rsidRPr="00BC3693">
        <w:rPr>
          <w:rFonts w:ascii="Amnesty Trade Gothic Light" w:hAnsi="Amnesty Trade Gothic Light"/>
          <w:color w:val="0070C0"/>
          <w:sz w:val="21"/>
          <w:szCs w:val="21"/>
          <w:lang w:val="en-US"/>
        </w:rPr>
        <w:t xml:space="preserve">, </w:t>
      </w:r>
      <w:r w:rsidRPr="00BC3693">
        <w:rPr>
          <w:rFonts w:ascii="Amnesty Trade Gothic Light" w:hAnsi="Amnesty Trade Gothic Light"/>
          <w:bCs/>
          <w:sz w:val="21"/>
          <w:szCs w:val="21"/>
          <w:lang w:val="en-US"/>
        </w:rPr>
        <w:t>drawing attention</w:t>
      </w:r>
      <w:r w:rsidRPr="00BC3693">
        <w:rPr>
          <w:rFonts w:ascii="Amnesty Trade Gothic Light" w:hAnsi="Amnesty Trade Gothic Light"/>
          <w:sz w:val="21"/>
          <w:szCs w:val="21"/>
          <w:lang w:val="en-US"/>
        </w:rPr>
        <w:t xml:space="preserve"> to a series of objectives, principles and recommendations that we consider essential in any efforts to strengthen the human rights treaty bodies (hereafter ‘treaty bodies’, see also </w:t>
      </w:r>
      <w:hyperlink r:id="rId13" w:history="1">
        <w:r w:rsidRPr="00400DB2">
          <w:rPr>
            <w:rStyle w:val="Hyperlink"/>
            <w:rFonts w:ascii="Amnesty Trade Gothic Light" w:hAnsi="Amnesty Trade Gothic Light"/>
            <w:bCs/>
            <w:i/>
            <w:color w:val="0070C0"/>
            <w:sz w:val="21"/>
            <w:szCs w:val="21"/>
            <w:lang w:val="en-US"/>
          </w:rPr>
          <w:t>NGOs call for an inclusive review process on treaty body strengthening</w:t>
        </w:r>
      </w:hyperlink>
      <w:r w:rsidRPr="00BC3693">
        <w:rPr>
          <w:rFonts w:ascii="Amnesty Trade Gothic Light" w:hAnsi="Amnesty Trade Gothic Light"/>
          <w:sz w:val="21"/>
          <w:szCs w:val="21"/>
          <w:lang w:val="en-US"/>
        </w:rPr>
        <w:t>). We reiterate our position that increas</w:t>
      </w:r>
      <w:r w:rsidR="00076FE5" w:rsidRPr="00BC3693">
        <w:rPr>
          <w:rFonts w:ascii="Amnesty Trade Gothic Light" w:hAnsi="Amnesty Trade Gothic Light"/>
          <w:sz w:val="21"/>
          <w:szCs w:val="21"/>
          <w:lang w:val="en-US"/>
        </w:rPr>
        <w:t>ed</w:t>
      </w:r>
      <w:r w:rsidRPr="00BC3693">
        <w:rPr>
          <w:rFonts w:ascii="Amnesty Trade Gothic Light" w:hAnsi="Amnesty Trade Gothic Light"/>
          <w:sz w:val="21"/>
          <w:szCs w:val="21"/>
          <w:lang w:val="en-US"/>
        </w:rPr>
        <w:t xml:space="preserve"> </w:t>
      </w:r>
      <w:r w:rsidR="0016690E" w:rsidRPr="00BC3693">
        <w:rPr>
          <w:rFonts w:ascii="Amnesty Trade Gothic Light" w:hAnsi="Amnesty Trade Gothic Light"/>
          <w:sz w:val="21"/>
          <w:szCs w:val="21"/>
          <w:lang w:val="en-US"/>
        </w:rPr>
        <w:t>promotion</w:t>
      </w:r>
      <w:r w:rsidR="00D64063" w:rsidRPr="00BC3693">
        <w:rPr>
          <w:rFonts w:ascii="Amnesty Trade Gothic Light" w:hAnsi="Amnesty Trade Gothic Light"/>
          <w:sz w:val="21"/>
          <w:szCs w:val="21"/>
          <w:lang w:val="en-US"/>
        </w:rPr>
        <w:t xml:space="preserve"> and protection</w:t>
      </w:r>
      <w:r w:rsidRPr="00BC3693">
        <w:rPr>
          <w:rFonts w:ascii="Amnesty Trade Gothic Light" w:hAnsi="Amnesty Trade Gothic Light"/>
          <w:sz w:val="21"/>
          <w:szCs w:val="21"/>
          <w:lang w:val="en-US"/>
        </w:rPr>
        <w:t xml:space="preserve"> of human rights </w:t>
      </w:r>
      <w:r w:rsidR="0016690E" w:rsidRPr="00BC3693">
        <w:rPr>
          <w:rFonts w:ascii="Amnesty Trade Gothic Light" w:hAnsi="Amnesty Trade Gothic Light"/>
          <w:sz w:val="21"/>
          <w:szCs w:val="21"/>
          <w:lang w:val="en-US"/>
        </w:rPr>
        <w:t>through</w:t>
      </w:r>
      <w:r w:rsidRPr="00BC3693">
        <w:rPr>
          <w:rFonts w:ascii="Amnesty Trade Gothic Light" w:hAnsi="Amnesty Trade Gothic Light"/>
          <w:sz w:val="21"/>
          <w:szCs w:val="21"/>
          <w:lang w:val="en-US"/>
        </w:rPr>
        <w:t xml:space="preserve"> </w:t>
      </w:r>
      <w:r w:rsidR="001A4CE5" w:rsidRPr="00BC3693">
        <w:rPr>
          <w:rFonts w:ascii="Amnesty Trade Gothic Light" w:hAnsi="Amnesty Trade Gothic Light"/>
          <w:sz w:val="21"/>
          <w:szCs w:val="21"/>
          <w:lang w:val="en-US"/>
        </w:rPr>
        <w:t xml:space="preserve">increased </w:t>
      </w:r>
      <w:r w:rsidRPr="00BC3693">
        <w:rPr>
          <w:rFonts w:ascii="Amnesty Trade Gothic Light" w:hAnsi="Amnesty Trade Gothic Light"/>
          <w:sz w:val="21"/>
          <w:szCs w:val="21"/>
          <w:lang w:val="en-US"/>
        </w:rPr>
        <w:t>compliance by States with their human rights obligations at the national level must be the guiding star of the review process.</w:t>
      </w:r>
    </w:p>
    <w:p w14:paraId="1B3D17F6" w14:textId="77777777" w:rsidR="00EC67C5" w:rsidRPr="00BC3693" w:rsidRDefault="00EC67C5" w:rsidP="00EC67C5">
      <w:pPr>
        <w:pStyle w:val="AILetterText"/>
        <w:spacing w:after="0" w:line="240" w:lineRule="auto"/>
        <w:rPr>
          <w:rFonts w:ascii="Amnesty Trade Gothic Light" w:hAnsi="Amnesty Trade Gothic Light"/>
          <w:sz w:val="21"/>
          <w:szCs w:val="21"/>
          <w:lang w:val="en-US"/>
        </w:rPr>
      </w:pPr>
    </w:p>
    <w:p w14:paraId="11CCEA0C" w14:textId="77777777" w:rsidR="00EC67C5" w:rsidRPr="00BC3693" w:rsidRDefault="00EC67C5" w:rsidP="00EC67C5">
      <w:pPr>
        <w:pStyle w:val="AILetterText"/>
        <w:spacing w:after="0" w:line="240" w:lineRule="auto"/>
        <w:rPr>
          <w:rFonts w:ascii="Amnesty Trade Gothic Light" w:hAnsi="Amnesty Trade Gothic Light"/>
          <w:sz w:val="21"/>
          <w:szCs w:val="21"/>
          <w:lang w:val="en-US"/>
        </w:rPr>
      </w:pPr>
      <w:r w:rsidRPr="00BC3693">
        <w:rPr>
          <w:rFonts w:ascii="Amnesty Trade Gothic Light" w:hAnsi="Amnesty Trade Gothic Light"/>
          <w:sz w:val="21"/>
          <w:szCs w:val="21"/>
          <w:lang w:val="en-US"/>
        </w:rPr>
        <w:t xml:space="preserve">Furthermore, the 2020 review ought to build on the General Assembly’s practice regarding non-State stakeholders’ participation in standard-setting processes. All meetings should be open to NGOs and other interested stakeholders, and all stakeholders must be allowed to contribute directly and in a timely manner, including remotely </w:t>
      </w:r>
      <w:proofErr w:type="gramStart"/>
      <w:r w:rsidRPr="00BC3693">
        <w:rPr>
          <w:rFonts w:ascii="Amnesty Trade Gothic Light" w:hAnsi="Amnesty Trade Gothic Light"/>
          <w:sz w:val="21"/>
          <w:szCs w:val="21"/>
          <w:lang w:val="en-US"/>
        </w:rPr>
        <w:t>through the use of</w:t>
      </w:r>
      <w:proofErr w:type="gramEnd"/>
      <w:r w:rsidRPr="00BC3693">
        <w:rPr>
          <w:rFonts w:ascii="Amnesty Trade Gothic Light" w:hAnsi="Amnesty Trade Gothic Light"/>
          <w:sz w:val="21"/>
          <w:szCs w:val="21"/>
          <w:lang w:val="en-US"/>
        </w:rPr>
        <w:t xml:space="preserve"> relevant technology. </w:t>
      </w:r>
    </w:p>
    <w:p w14:paraId="7D3B923E" w14:textId="77777777" w:rsidR="00EC67C5" w:rsidRPr="00BC3693" w:rsidRDefault="00EC67C5" w:rsidP="00EC67C5">
      <w:pPr>
        <w:pStyle w:val="AILetterText"/>
        <w:spacing w:after="0" w:line="240" w:lineRule="auto"/>
        <w:rPr>
          <w:rFonts w:ascii="Amnesty Trade Gothic Light" w:hAnsi="Amnesty Trade Gothic Light"/>
          <w:sz w:val="21"/>
          <w:szCs w:val="21"/>
          <w:lang w:val="en-US"/>
        </w:rPr>
      </w:pPr>
    </w:p>
    <w:p w14:paraId="7B4F1206" w14:textId="22F50EAC" w:rsidR="00EC67C5" w:rsidRPr="00BC3693" w:rsidRDefault="00EC67C5" w:rsidP="00EC67C5">
      <w:pPr>
        <w:pStyle w:val="AILetterText"/>
        <w:spacing w:after="0" w:line="240" w:lineRule="auto"/>
        <w:rPr>
          <w:rFonts w:ascii="Amnesty Trade Gothic Light" w:hAnsi="Amnesty Trade Gothic Light"/>
          <w:sz w:val="21"/>
          <w:szCs w:val="21"/>
          <w:lang w:val="en-US"/>
        </w:rPr>
      </w:pPr>
      <w:r w:rsidRPr="00BC3693">
        <w:rPr>
          <w:rFonts w:ascii="Amnesty Trade Gothic Light" w:hAnsi="Amnesty Trade Gothic Light"/>
          <w:sz w:val="21"/>
          <w:szCs w:val="21"/>
          <w:lang w:val="en-US"/>
        </w:rPr>
        <w:lastRenderedPageBreak/>
        <w:t xml:space="preserve">We welcome and support the Secretary-General’s recommendation in his second biennial report that </w:t>
      </w:r>
      <w:r w:rsidRPr="00BC3693">
        <w:rPr>
          <w:rFonts w:ascii="Amnesty Trade Gothic Light" w:hAnsi="Amnesty Trade Gothic Light"/>
          <w:bCs/>
          <w:sz w:val="21"/>
          <w:szCs w:val="21"/>
          <w:lang w:val="en-US"/>
        </w:rPr>
        <w:t>“it is imperative to enhance the 2020 discussions in an open, transparent and inclusive manner.</w:t>
      </w:r>
      <w:r w:rsidRPr="00BC3693">
        <w:rPr>
          <w:rFonts w:ascii="Amnesty Trade Gothic Light" w:hAnsi="Amnesty Trade Gothic Light"/>
          <w:sz w:val="21"/>
          <w:szCs w:val="21"/>
          <w:lang w:val="en-US"/>
        </w:rPr>
        <w:t>” [UN Doc. A/73/309, para. 89.] We call on the Secretary-General to:</w:t>
      </w:r>
    </w:p>
    <w:p w14:paraId="23737122" w14:textId="77777777" w:rsidR="00EC67C5" w:rsidRPr="00BC3693" w:rsidRDefault="00EC67C5" w:rsidP="00EC67C5">
      <w:pPr>
        <w:pStyle w:val="AILetterText"/>
        <w:spacing w:after="0" w:line="240" w:lineRule="auto"/>
        <w:rPr>
          <w:rFonts w:ascii="Amnesty Trade Gothic Light" w:hAnsi="Amnesty Trade Gothic Light"/>
          <w:sz w:val="21"/>
          <w:szCs w:val="21"/>
          <w:lang w:val="en-US"/>
        </w:rPr>
      </w:pPr>
    </w:p>
    <w:p w14:paraId="1EC7F00F" w14:textId="4742FD8D" w:rsidR="00EC67C5" w:rsidRPr="00BC3693" w:rsidRDefault="00EC67C5" w:rsidP="00EC67C5">
      <w:pPr>
        <w:pStyle w:val="AILetterText"/>
        <w:numPr>
          <w:ilvl w:val="0"/>
          <w:numId w:val="41"/>
        </w:numPr>
        <w:spacing w:after="0" w:line="240" w:lineRule="auto"/>
        <w:rPr>
          <w:rFonts w:ascii="Amnesty Trade Gothic Light" w:hAnsi="Amnesty Trade Gothic Light"/>
          <w:sz w:val="21"/>
          <w:szCs w:val="21"/>
          <w:lang w:val="en-US"/>
        </w:rPr>
      </w:pPr>
      <w:r w:rsidRPr="00BC3693">
        <w:rPr>
          <w:rFonts w:ascii="Amnesty Trade Gothic Light" w:hAnsi="Amnesty Trade Gothic Light"/>
          <w:sz w:val="21"/>
          <w:szCs w:val="21"/>
          <w:lang w:val="en-US"/>
        </w:rPr>
        <w:t xml:space="preserve">affirm that the objective of any review of the treaty body system must be increased </w:t>
      </w:r>
      <w:r w:rsidRPr="00BC3693">
        <w:rPr>
          <w:rFonts w:ascii="Amnesty Trade Gothic Light" w:hAnsi="Amnesty Trade Gothic Light"/>
          <w:bCs/>
          <w:sz w:val="21"/>
          <w:szCs w:val="21"/>
          <w:lang w:val="en-US"/>
        </w:rPr>
        <w:t xml:space="preserve">promotion and protection of human rights at the national level </w:t>
      </w:r>
      <w:r w:rsidR="00BF2CE7">
        <w:rPr>
          <w:rFonts w:ascii="Amnesty Trade Gothic Light" w:hAnsi="Amnesty Trade Gothic Light"/>
          <w:bCs/>
          <w:sz w:val="21"/>
          <w:szCs w:val="21"/>
          <w:lang w:val="en-US"/>
        </w:rPr>
        <w:t>through</w:t>
      </w:r>
      <w:r w:rsidRPr="00BC3693">
        <w:rPr>
          <w:rFonts w:ascii="Amnesty Trade Gothic Light" w:hAnsi="Amnesty Trade Gothic Light"/>
          <w:bCs/>
          <w:sz w:val="21"/>
          <w:szCs w:val="21"/>
          <w:lang w:val="en-US"/>
        </w:rPr>
        <w:t xml:space="preserve"> increased compliance by States with their human rights obligations. </w:t>
      </w:r>
    </w:p>
    <w:p w14:paraId="7F42896E" w14:textId="10AD4083" w:rsidR="00EC67C5" w:rsidRPr="007F41B2" w:rsidRDefault="00EC67C5" w:rsidP="00EC67C5">
      <w:pPr>
        <w:pStyle w:val="AILetterText"/>
        <w:numPr>
          <w:ilvl w:val="0"/>
          <w:numId w:val="41"/>
        </w:numPr>
        <w:spacing w:after="0" w:line="240" w:lineRule="auto"/>
        <w:rPr>
          <w:rFonts w:ascii="Amnesty Trade Gothic Light" w:hAnsi="Amnesty Trade Gothic Light"/>
          <w:sz w:val="21"/>
          <w:szCs w:val="21"/>
          <w:lang w:val="en-US"/>
        </w:rPr>
      </w:pPr>
      <w:r w:rsidRPr="00BC3693">
        <w:rPr>
          <w:rFonts w:ascii="Amnesty Trade Gothic Light" w:hAnsi="Amnesty Trade Gothic Light"/>
          <w:sz w:val="21"/>
          <w:szCs w:val="21"/>
          <w:lang w:val="en-US"/>
        </w:rPr>
        <w:t>reiterate the recommendation for an open, transparent and participatory review process that achieves an outcome that promotes a strong, independent and effective treaty body system which, in turn, pays due regard to the needs and perspectives of rights-holders and victims as well as States.</w:t>
      </w:r>
    </w:p>
    <w:p w14:paraId="651C5C72" w14:textId="77777777" w:rsidR="00183AF6" w:rsidRPr="00183AF6" w:rsidRDefault="00183AF6" w:rsidP="00853EC0">
      <w:pPr>
        <w:pStyle w:val="Heading2"/>
        <w:rPr>
          <w:b w:val="0"/>
          <w:highlight w:val="yellow"/>
        </w:rPr>
      </w:pPr>
    </w:p>
    <w:p w14:paraId="369F36AD" w14:textId="3B91D81B" w:rsidR="00EC67C5" w:rsidRPr="00EA3F1F" w:rsidRDefault="00EC67C5" w:rsidP="00853EC0">
      <w:pPr>
        <w:pStyle w:val="Heading2"/>
        <w:rPr>
          <w:rFonts w:ascii="Amnesty Trade Gothic Cn" w:hAnsi="Amnesty Trade Gothic Cn"/>
          <w:b w:val="0"/>
          <w:highlight w:val="yellow"/>
        </w:rPr>
      </w:pPr>
      <w:r w:rsidRPr="00EA3F1F">
        <w:rPr>
          <w:rFonts w:ascii="Amnesty Trade Gothic Cn" w:hAnsi="Amnesty Trade Gothic Cn"/>
        </w:rPr>
        <w:t xml:space="preserve">VISIBILITY AND ACCESSIBILITY </w:t>
      </w:r>
    </w:p>
    <w:p w14:paraId="15014C1D"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 xml:space="preserve">The treaty bodies perform a crucial function in monitoring implementation of human rights obligations. Yet, their work is little known outside of specialist circles. </w:t>
      </w:r>
    </w:p>
    <w:p w14:paraId="6DD1B007"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p>
    <w:p w14:paraId="205ADEED"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The General Assembly and UN Member States have provided additional funding for the webcasting of treaty body meetings. We welcome the decision to provide webcasting on a permanent basis as of January 2020 [A/RES/73/162], and consider it to be a key tool in ensuring greater visibility, better outreach and improved accessibility of the treaty body system as a whole. We call on the Secretary-General to:</w:t>
      </w:r>
    </w:p>
    <w:p w14:paraId="5926F09B"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p>
    <w:p w14:paraId="45E9413A" w14:textId="77777777" w:rsidR="00EC67C5" w:rsidRPr="001F0056" w:rsidRDefault="00EC67C5" w:rsidP="00EC67C5">
      <w:pPr>
        <w:pStyle w:val="AILetterText"/>
        <w:numPr>
          <w:ilvl w:val="0"/>
          <w:numId w:val="42"/>
        </w:numPr>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 xml:space="preserve">call on States to give greater visibility to the work of treaty bodies, including by promoting their findings at the national level. </w:t>
      </w:r>
    </w:p>
    <w:p w14:paraId="20781C86" w14:textId="77777777" w:rsidR="00EC67C5" w:rsidRPr="001F0056" w:rsidRDefault="00EC67C5" w:rsidP="00EC67C5">
      <w:pPr>
        <w:pStyle w:val="AILetterText"/>
        <w:numPr>
          <w:ilvl w:val="0"/>
          <w:numId w:val="42"/>
        </w:numPr>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 xml:space="preserve">welcome the decision of the General Assembly to provide webcast in all official languages as of 2020 and to encourage the inclusion of national languages when a State party has made arrangements for interpretation and international sign language. </w:t>
      </w:r>
    </w:p>
    <w:p w14:paraId="3AEAFAF9" w14:textId="77777777" w:rsidR="00EC67C5" w:rsidRPr="001F0056" w:rsidRDefault="00EC67C5" w:rsidP="00EC67C5">
      <w:pPr>
        <w:pStyle w:val="AILetterText"/>
        <w:numPr>
          <w:ilvl w:val="0"/>
          <w:numId w:val="42"/>
        </w:numPr>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request additional resources in order to ensure improved videoconference facilities including for persons with disabilities and suitable user-friendly databases to submit individual communications and to access concluding observations and decisions of the treaty bodies.</w:t>
      </w:r>
    </w:p>
    <w:p w14:paraId="336F6C55" w14:textId="1E323ECE" w:rsidR="00EC67C5" w:rsidRPr="007F41B2" w:rsidRDefault="00EC67C5" w:rsidP="00EC67C5">
      <w:pPr>
        <w:pStyle w:val="AILetterText"/>
        <w:numPr>
          <w:ilvl w:val="0"/>
          <w:numId w:val="42"/>
        </w:numPr>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 xml:space="preserve">develop sustainable solutions to improve accessibility to all the treaty bodies for persons with disabilities so as to enable them to attend States’ reviews by all the treaty bodies including by providing the necessary accessibility tools. Currently such accessibility is limited to the Committee on the Rights of Persons with Disabilities. </w:t>
      </w:r>
    </w:p>
    <w:p w14:paraId="62B103F5" w14:textId="77777777" w:rsidR="00183AF6" w:rsidRDefault="00183AF6" w:rsidP="00853EC0">
      <w:pPr>
        <w:pStyle w:val="Heading2"/>
        <w:rPr>
          <w:b w:val="0"/>
        </w:rPr>
      </w:pPr>
    </w:p>
    <w:p w14:paraId="549BC2D5" w14:textId="0C137D0D" w:rsidR="00EC67C5" w:rsidRPr="00EA3F1F" w:rsidRDefault="00EC67C5" w:rsidP="00853EC0">
      <w:pPr>
        <w:pStyle w:val="Heading2"/>
        <w:rPr>
          <w:rFonts w:ascii="Amnesty Trade Gothic Cn" w:hAnsi="Amnesty Trade Gothic Cn"/>
          <w:b w:val="0"/>
        </w:rPr>
      </w:pPr>
      <w:r w:rsidRPr="00EA3F1F">
        <w:rPr>
          <w:rFonts w:ascii="Amnesty Trade Gothic Cn" w:hAnsi="Amnesty Trade Gothic Cn"/>
        </w:rPr>
        <w:t>MEMBERSHIP</w:t>
      </w:r>
    </w:p>
    <w:p w14:paraId="768E49EE" w14:textId="7676EC90" w:rsidR="00EC67C5" w:rsidRPr="001F0056" w:rsidRDefault="00EC67C5" w:rsidP="00EC67C5">
      <w:pPr>
        <w:pStyle w:val="AILetterText"/>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Resolution 68/268 encouraged States to continue efforts to nominate, independent, diverse and expert candidates to the treaty bodie</w:t>
      </w:r>
      <w:r w:rsidR="0042068D">
        <w:rPr>
          <w:rFonts w:ascii="Amnesty Trade Gothic Light" w:hAnsi="Amnesty Trade Gothic Light"/>
          <w:sz w:val="21"/>
          <w:szCs w:val="21"/>
          <w:lang w:val="en-US"/>
        </w:rPr>
        <w:t>s. The second biennial report</w:t>
      </w:r>
      <w:bookmarkStart w:id="0" w:name="_GoBack"/>
      <w:bookmarkEnd w:id="0"/>
      <w:r w:rsidRPr="001F0056">
        <w:rPr>
          <w:rFonts w:ascii="Amnesty Trade Gothic Light" w:hAnsi="Amnesty Trade Gothic Light"/>
          <w:sz w:val="21"/>
          <w:szCs w:val="21"/>
          <w:lang w:val="en-US"/>
        </w:rPr>
        <w:t xml:space="preserve"> reminded States of the lack of progress in setting up national selection mechanisms to strengthen the treaty body membership [UN Doc. A/73/309, para. 87].</w:t>
      </w:r>
      <w:r w:rsidR="007C7014">
        <w:rPr>
          <w:rFonts w:ascii="Amnesty Trade Gothic Light" w:hAnsi="Amnesty Trade Gothic Light"/>
          <w:sz w:val="21"/>
          <w:szCs w:val="21"/>
          <w:lang w:val="en-US"/>
        </w:rPr>
        <w:t xml:space="preserve"> </w:t>
      </w:r>
      <w:r w:rsidRPr="001F0056">
        <w:rPr>
          <w:rFonts w:ascii="Amnesty Trade Gothic Light" w:hAnsi="Amnesty Trade Gothic Light"/>
          <w:sz w:val="21"/>
          <w:szCs w:val="21"/>
          <w:lang w:val="en-US"/>
        </w:rPr>
        <w:t>We call on the Secretary-General to:</w:t>
      </w:r>
    </w:p>
    <w:p w14:paraId="4BB72686"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p>
    <w:p w14:paraId="5B23E48F" w14:textId="39AF3E5A" w:rsidR="00EC67C5" w:rsidRPr="007F41B2" w:rsidRDefault="00EC67C5" w:rsidP="00EC67C5">
      <w:pPr>
        <w:pStyle w:val="AILetterText"/>
        <w:numPr>
          <w:ilvl w:val="0"/>
          <w:numId w:val="43"/>
        </w:numPr>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remind States of their important role in promoting a treaty body membership set out in resolution 68/268 based on expertise, independence and diversity, as per resolution 68/268, by promoting open, transparent and merit-based nomination processes at the national level and by voting only for candidates that fulfil the criteria set out in the respective treaties and resolution.</w:t>
      </w:r>
    </w:p>
    <w:p w14:paraId="43DD1751" w14:textId="77777777" w:rsidR="00183AF6" w:rsidRDefault="00183AF6" w:rsidP="00853EC0">
      <w:pPr>
        <w:pStyle w:val="Heading2"/>
        <w:rPr>
          <w:b w:val="0"/>
        </w:rPr>
      </w:pPr>
    </w:p>
    <w:p w14:paraId="39F54BAC" w14:textId="3BF1BC99" w:rsidR="00EC67C5" w:rsidRPr="00EA3F1F" w:rsidRDefault="00EC67C5" w:rsidP="00853EC0">
      <w:pPr>
        <w:pStyle w:val="Heading2"/>
        <w:rPr>
          <w:rFonts w:ascii="Amnesty Trade Gothic Cn" w:hAnsi="Amnesty Trade Gothic Cn"/>
          <w:b w:val="0"/>
        </w:rPr>
      </w:pPr>
      <w:r w:rsidRPr="00EA3F1F">
        <w:rPr>
          <w:rFonts w:ascii="Amnesty Trade Gothic Cn" w:hAnsi="Amnesty Trade Gothic Cn"/>
        </w:rPr>
        <w:t>WORKING METHODS AND INTER-COMMITTEE COORDINATION</w:t>
      </w:r>
    </w:p>
    <w:p w14:paraId="1264E22C" w14:textId="77777777" w:rsidR="00EC67C5" w:rsidRPr="001F0056" w:rsidRDefault="00EC67C5" w:rsidP="00EC67C5">
      <w:pPr>
        <w:pStyle w:val="AILetterText"/>
        <w:spacing w:after="0" w:line="240" w:lineRule="auto"/>
        <w:rPr>
          <w:rFonts w:ascii="Amnesty Trade Gothic Light" w:hAnsi="Amnesty Trade Gothic Light"/>
          <w:sz w:val="21"/>
          <w:szCs w:val="21"/>
          <w:lang w:eastAsia="ja-JP"/>
        </w:rPr>
      </w:pPr>
      <w:r w:rsidRPr="001F0056">
        <w:rPr>
          <w:rFonts w:ascii="Amnesty Trade Gothic Light" w:hAnsi="Amnesty Trade Gothic Light"/>
          <w:sz w:val="21"/>
          <w:szCs w:val="21"/>
          <w:lang w:val="en-US"/>
        </w:rPr>
        <w:t>Several challenges facing the treaty body system have been identified over the years including but not limited to continuing low reporting compliance. The individual communications present a looming crisis for the treaty body system if not tackled in a timely manner. We</w:t>
      </w:r>
      <w:r w:rsidRPr="001F0056">
        <w:rPr>
          <w:rFonts w:ascii="Amnesty Trade Gothic Light" w:hAnsi="Amnesty Trade Gothic Light"/>
          <w:sz w:val="21"/>
          <w:szCs w:val="21"/>
        </w:rPr>
        <w:t xml:space="preserve"> believe that</w:t>
      </w:r>
      <w:r w:rsidRPr="001F0056">
        <w:rPr>
          <w:rFonts w:ascii="Amnesty Trade Gothic Light" w:hAnsi="Amnesty Trade Gothic Light"/>
          <w:sz w:val="21"/>
          <w:szCs w:val="21"/>
          <w:lang w:val="en-US"/>
        </w:rPr>
        <w:t xml:space="preserve"> </w:t>
      </w:r>
      <w:r w:rsidRPr="001F0056">
        <w:rPr>
          <w:rFonts w:ascii="Amnesty Trade Gothic Light" w:hAnsi="Amnesty Trade Gothic Light"/>
          <w:sz w:val="21"/>
          <w:szCs w:val="21"/>
        </w:rPr>
        <w:t xml:space="preserve">differences in working methods (where not required due to the specificity of the treaty) such as in relation to </w:t>
      </w:r>
      <w:r w:rsidRPr="001F0056">
        <w:rPr>
          <w:rFonts w:ascii="Amnesty Trade Gothic Light" w:hAnsi="Amnesty Trade Gothic Light"/>
          <w:sz w:val="21"/>
          <w:szCs w:val="21"/>
          <w:lang w:val="en-US"/>
        </w:rPr>
        <w:t xml:space="preserve">the structure of the interactive dialogue, consultations with NGOs and NHRIs, follow-up procedures and consultation processes for general comments/recommendations </w:t>
      </w:r>
      <w:r w:rsidRPr="001F0056">
        <w:rPr>
          <w:rFonts w:ascii="Amnesty Trade Gothic Light" w:hAnsi="Amnesty Trade Gothic Light"/>
          <w:sz w:val="21"/>
          <w:szCs w:val="21"/>
          <w:lang w:val="en-US"/>
        </w:rPr>
        <w:lastRenderedPageBreak/>
        <w:t xml:space="preserve">make the treaty bodies difficult for </w:t>
      </w:r>
      <w:r w:rsidRPr="001F0056">
        <w:rPr>
          <w:rFonts w:ascii="Amnesty Trade Gothic Light" w:hAnsi="Amnesty Trade Gothic Light"/>
          <w:sz w:val="21"/>
          <w:szCs w:val="21"/>
        </w:rPr>
        <w:t xml:space="preserve">NGOs and </w:t>
      </w:r>
      <w:r w:rsidRPr="001F0056">
        <w:rPr>
          <w:rFonts w:ascii="Amnesty Trade Gothic Light" w:hAnsi="Amnesty Trade Gothic Light"/>
          <w:sz w:val="21"/>
          <w:szCs w:val="21"/>
          <w:lang w:val="en-US"/>
        </w:rPr>
        <w:t>rights holders to navigate.</w:t>
      </w:r>
      <w:r w:rsidRPr="001F0056">
        <w:rPr>
          <w:rFonts w:ascii="Amnesty Trade Gothic Light" w:hAnsi="Amnesty Trade Gothic Light"/>
          <w:sz w:val="21"/>
          <w:szCs w:val="21"/>
        </w:rPr>
        <w:t xml:space="preserve"> </w:t>
      </w:r>
      <w:r w:rsidRPr="001F0056">
        <w:rPr>
          <w:rFonts w:ascii="Amnesty Trade Gothic Light" w:hAnsi="Amnesty Trade Gothic Light"/>
          <w:sz w:val="21"/>
          <w:szCs w:val="21"/>
          <w:lang w:eastAsia="ja-JP"/>
        </w:rPr>
        <w:t>With a view to ensure and enhance the engagement of rights holders with the treaty bodies, those differences should be closely examined.</w:t>
      </w:r>
    </w:p>
    <w:p w14:paraId="43457FE9" w14:textId="77777777" w:rsidR="00EC67C5" w:rsidRPr="001F0056" w:rsidRDefault="00EC67C5" w:rsidP="00EC67C5">
      <w:pPr>
        <w:pStyle w:val="AILetterText"/>
        <w:spacing w:after="0" w:line="240" w:lineRule="auto"/>
        <w:rPr>
          <w:rFonts w:ascii="Amnesty Trade Gothic Light" w:hAnsi="Amnesty Trade Gothic Light"/>
          <w:sz w:val="21"/>
          <w:szCs w:val="21"/>
          <w:lang w:eastAsia="ja-JP"/>
        </w:rPr>
      </w:pPr>
    </w:p>
    <w:p w14:paraId="5C48E3E3" w14:textId="664DECCB" w:rsidR="00EC67C5" w:rsidRPr="001F0056" w:rsidRDefault="00EC67C5" w:rsidP="00EC67C5">
      <w:pPr>
        <w:pStyle w:val="AILetterText"/>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 xml:space="preserve">The treaty bodies’ legal prerogative to establish their own rules of procedure and working methods is essential to their functions, including their independence. </w:t>
      </w:r>
      <w:bookmarkStart w:id="1" w:name="_Hlk8142564"/>
      <w:r w:rsidRPr="001F0056">
        <w:rPr>
          <w:rFonts w:ascii="Amnesty Trade Gothic Light" w:hAnsi="Amnesty Trade Gothic Light"/>
          <w:sz w:val="21"/>
          <w:szCs w:val="21"/>
          <w:lang w:val="en-US"/>
        </w:rPr>
        <w:t>We strongly consider that the treaty bodies themselves are best placed to tackle some of the challenges in this regard.</w:t>
      </w:r>
    </w:p>
    <w:p w14:paraId="735B57EC" w14:textId="77777777" w:rsidR="00EC67C5" w:rsidRPr="001F0056" w:rsidRDefault="00EC67C5" w:rsidP="00EC67C5">
      <w:pPr>
        <w:pStyle w:val="AILetterText"/>
        <w:spacing w:after="0" w:line="240" w:lineRule="auto"/>
        <w:rPr>
          <w:rFonts w:ascii="Amnesty Trade Gothic Light" w:hAnsi="Amnesty Trade Gothic Light"/>
          <w:sz w:val="21"/>
          <w:szCs w:val="21"/>
          <w:lang w:eastAsia="ja-JP"/>
        </w:rPr>
      </w:pPr>
    </w:p>
    <w:bookmarkEnd w:id="1"/>
    <w:p w14:paraId="1248FE7C"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proofErr w:type="gramStart"/>
      <w:r w:rsidRPr="001F0056">
        <w:rPr>
          <w:rFonts w:ascii="Amnesty Trade Gothic Light" w:hAnsi="Amnesty Trade Gothic Light"/>
          <w:sz w:val="21"/>
          <w:szCs w:val="21"/>
          <w:lang w:val="en-US"/>
        </w:rPr>
        <w:t>In order for</w:t>
      </w:r>
      <w:proofErr w:type="gramEnd"/>
      <w:r w:rsidRPr="001F0056">
        <w:rPr>
          <w:rFonts w:ascii="Amnesty Trade Gothic Light" w:hAnsi="Amnesty Trade Gothic Light"/>
          <w:sz w:val="21"/>
          <w:szCs w:val="21"/>
          <w:lang w:val="en-US"/>
        </w:rPr>
        <w:t xml:space="preserve"> the treaty bodies to be able to coordinate their work and ensure procedural and jurisprudential coherence a forum for such discussions needs to be created. The Chairpersons meeting is an important forum, yet its full potential cannot be reached when the treaty bodies themselves rarely have time to discuss working methods and even less so with other treaty bodies. </w:t>
      </w:r>
    </w:p>
    <w:p w14:paraId="1557975E"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p>
    <w:p w14:paraId="5C56AD17"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The lack of cross committee coordination presents a challenge to the system’s procedural and substantive coherence. The desire to identify more effective ways of working should not be guided by a desire only to remove duplications, but also to discuss mutual reinforcement of States’ human rights obligations, building on the interdependence and indivisibility of rights. We call on the Secretary-General to:</w:t>
      </w:r>
    </w:p>
    <w:p w14:paraId="043B3130"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p>
    <w:p w14:paraId="6DDAAC24" w14:textId="77777777" w:rsidR="00EC67C5" w:rsidRPr="001F0056" w:rsidRDefault="00EC67C5" w:rsidP="00EC67C5">
      <w:pPr>
        <w:pStyle w:val="AILetterText"/>
        <w:numPr>
          <w:ilvl w:val="0"/>
          <w:numId w:val="43"/>
        </w:numPr>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 xml:space="preserve">remind all stakeholders of the independence and impartiality of the treaty bodies, including their legal competence to establish their own rules of procedure and working methods. </w:t>
      </w:r>
    </w:p>
    <w:p w14:paraId="790AD9A2" w14:textId="77777777" w:rsidR="00EC67C5" w:rsidRPr="001F0056" w:rsidRDefault="00EC67C5" w:rsidP="00EC67C5">
      <w:pPr>
        <w:pStyle w:val="AILetterText"/>
        <w:numPr>
          <w:ilvl w:val="0"/>
          <w:numId w:val="43"/>
        </w:numPr>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request adequate resources for the treaty bodies to pilot and test alignment of working methods and evaluation of such initiatives.</w:t>
      </w:r>
    </w:p>
    <w:p w14:paraId="304C2618" w14:textId="77777777" w:rsidR="00EC67C5" w:rsidRPr="001F0056" w:rsidRDefault="00EC67C5" w:rsidP="00EC67C5">
      <w:pPr>
        <w:pStyle w:val="AILetterText"/>
        <w:numPr>
          <w:ilvl w:val="0"/>
          <w:numId w:val="43"/>
        </w:numPr>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 xml:space="preserve">request adequate resources for the treaty bodies and the Secretariat to discuss good practices and methodologies at the Committee level and among all the treaty bodies and to set up inter-committee discussions on a regular basis, including through videoconferencing services, to discuss issues relating to procedural and substantial coherence of the treaty body system. </w:t>
      </w:r>
    </w:p>
    <w:p w14:paraId="55A10AFC" w14:textId="77777777" w:rsidR="00183AF6" w:rsidRDefault="00183AF6" w:rsidP="00183AF6">
      <w:pPr>
        <w:pStyle w:val="Heading2"/>
        <w:numPr>
          <w:ilvl w:val="0"/>
          <w:numId w:val="0"/>
        </w:numPr>
        <w:rPr>
          <w:b w:val="0"/>
        </w:rPr>
      </w:pPr>
    </w:p>
    <w:p w14:paraId="5F9D3715" w14:textId="13D4612F" w:rsidR="00EC67C5" w:rsidRPr="00EA3F1F" w:rsidRDefault="00EC67C5" w:rsidP="00853EC0">
      <w:pPr>
        <w:pStyle w:val="Heading2"/>
        <w:rPr>
          <w:rFonts w:ascii="Amnesty Trade Gothic Cn" w:hAnsi="Amnesty Trade Gothic Cn"/>
          <w:b w:val="0"/>
        </w:rPr>
      </w:pPr>
      <w:r w:rsidRPr="00EA3F1F">
        <w:rPr>
          <w:rFonts w:ascii="Amnesty Trade Gothic Cn" w:hAnsi="Amnesty Trade Gothic Cn"/>
        </w:rPr>
        <w:t>GROWTH OF THE TREATY BODY SYSTEM AND ADEQUATE FUNDING</w:t>
      </w:r>
    </w:p>
    <w:p w14:paraId="2D571CF0"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 xml:space="preserve">The growth of the treaty body system and the increase in ratifications is often raised as big challenge for the system. It should however </w:t>
      </w:r>
      <w:proofErr w:type="gramStart"/>
      <w:r w:rsidRPr="001F0056">
        <w:rPr>
          <w:rFonts w:ascii="Amnesty Trade Gothic Light" w:hAnsi="Amnesty Trade Gothic Light"/>
          <w:sz w:val="21"/>
          <w:szCs w:val="21"/>
          <w:lang w:val="en-US"/>
        </w:rPr>
        <w:t>be seen as</w:t>
      </w:r>
      <w:proofErr w:type="gramEnd"/>
      <w:r w:rsidRPr="001F0056">
        <w:rPr>
          <w:rFonts w:ascii="Amnesty Trade Gothic Light" w:hAnsi="Amnesty Trade Gothic Light"/>
          <w:sz w:val="21"/>
          <w:szCs w:val="21"/>
          <w:lang w:val="en-US"/>
        </w:rPr>
        <w:t xml:space="preserve"> a positive development and a sign of States’ commitment to promotion and protection of human rights at the national level. </w:t>
      </w:r>
    </w:p>
    <w:p w14:paraId="01FDE3C8"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p>
    <w:p w14:paraId="041812CD" w14:textId="12EDE8AA" w:rsidR="00EC67C5" w:rsidRDefault="00EC67C5" w:rsidP="00EC67C5">
      <w:pPr>
        <w:pStyle w:val="AILetterText"/>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 xml:space="preserve">None of the above measures can be taken unless UN Member States also fund the increasing activities of the treaty bodies sufficiently. </w:t>
      </w:r>
      <w:r w:rsidR="004B78E0" w:rsidRPr="001F0056">
        <w:rPr>
          <w:rFonts w:ascii="Amnesty Trade Gothic Light" w:hAnsi="Amnesty Trade Gothic Light"/>
          <w:sz w:val="21"/>
          <w:szCs w:val="21"/>
          <w:lang w:val="en-US"/>
        </w:rPr>
        <w:t xml:space="preserve">The creation of the formula was a welcomed step by the General Assembly </w:t>
      </w:r>
      <w:r w:rsidR="004B78E0">
        <w:rPr>
          <w:rFonts w:ascii="Amnesty Trade Gothic Light" w:hAnsi="Amnesty Trade Gothic Light"/>
          <w:sz w:val="21"/>
          <w:szCs w:val="21"/>
          <w:lang w:val="en-US"/>
        </w:rPr>
        <w:t>and r</w:t>
      </w:r>
      <w:r w:rsidRPr="001F0056">
        <w:rPr>
          <w:rFonts w:ascii="Amnesty Trade Gothic Light" w:hAnsi="Amnesty Trade Gothic Light"/>
          <w:sz w:val="21"/>
          <w:szCs w:val="21"/>
          <w:lang w:val="en-US"/>
        </w:rPr>
        <w:t xml:space="preserve">esolution 68/268 is unique in providing a formula to assess resource allocation for the treaty bodies but it contains gaps in resource allocation that the General Assembly should seek to fill. </w:t>
      </w:r>
    </w:p>
    <w:p w14:paraId="3BA7FA59" w14:textId="77777777" w:rsidR="00AC7022" w:rsidRPr="001F0056" w:rsidRDefault="00AC7022" w:rsidP="00EC67C5">
      <w:pPr>
        <w:pStyle w:val="AILetterText"/>
        <w:spacing w:after="0" w:line="240" w:lineRule="auto"/>
        <w:rPr>
          <w:rFonts w:ascii="Amnesty Trade Gothic Light" w:hAnsi="Amnesty Trade Gothic Light"/>
          <w:sz w:val="21"/>
          <w:szCs w:val="21"/>
          <w:lang w:val="en-US"/>
        </w:rPr>
      </w:pPr>
    </w:p>
    <w:p w14:paraId="2A95FD38" w14:textId="7343FD4A" w:rsidR="00EC67C5" w:rsidRPr="001F0056" w:rsidRDefault="00C85051" w:rsidP="00EC67C5">
      <w:pPr>
        <w:pStyle w:val="AILetterText"/>
        <w:spacing w:after="0" w:line="240" w:lineRule="auto"/>
        <w:rPr>
          <w:rFonts w:ascii="Amnesty Trade Gothic Light" w:hAnsi="Amnesty Trade Gothic Light"/>
          <w:sz w:val="21"/>
          <w:szCs w:val="21"/>
          <w:lang w:val="en-US"/>
        </w:rPr>
      </w:pPr>
      <w:r>
        <w:rPr>
          <w:rFonts w:ascii="Amnesty Trade Gothic Light" w:hAnsi="Amnesty Trade Gothic Light"/>
          <w:sz w:val="21"/>
          <w:szCs w:val="21"/>
          <w:lang w:val="en-US"/>
        </w:rPr>
        <w:t>The</w:t>
      </w:r>
      <w:r w:rsidR="00EC67C5" w:rsidRPr="001F0056">
        <w:rPr>
          <w:rFonts w:ascii="Amnesty Trade Gothic Light" w:hAnsi="Amnesty Trade Gothic Light"/>
          <w:sz w:val="21"/>
          <w:szCs w:val="21"/>
          <w:lang w:val="en-US"/>
        </w:rPr>
        <w:t xml:space="preserve"> 2020 review needs to ensure that the formula adequately addresses all functions of the treaty bodies, such as visits by the Subcommittee on the Prevention of Torture, individual and inter-State communications, urgent actions, inquiries, general comments/recommendations, simplified reporting procedure, follow-up procedures, efforts to prevent and combat intimidation and reprisals and discussions on working methods. We call on the Secretary-General to:</w:t>
      </w:r>
    </w:p>
    <w:p w14:paraId="57202766" w14:textId="77777777" w:rsidR="00EC67C5" w:rsidRPr="001F0056" w:rsidRDefault="00EC67C5" w:rsidP="00EC67C5">
      <w:pPr>
        <w:pStyle w:val="AILetterText"/>
        <w:spacing w:after="0" w:line="240" w:lineRule="auto"/>
        <w:rPr>
          <w:rFonts w:ascii="Amnesty Trade Gothic Light" w:hAnsi="Amnesty Trade Gothic Light"/>
          <w:sz w:val="21"/>
          <w:szCs w:val="21"/>
          <w:lang w:val="en-US"/>
        </w:rPr>
      </w:pPr>
    </w:p>
    <w:p w14:paraId="07944B63" w14:textId="77777777" w:rsidR="00EC67C5" w:rsidRPr="001F0056" w:rsidRDefault="00EC67C5" w:rsidP="00EC67C5">
      <w:pPr>
        <w:pStyle w:val="AILetterText"/>
        <w:numPr>
          <w:ilvl w:val="0"/>
          <w:numId w:val="42"/>
        </w:numPr>
        <w:spacing w:after="0" w:line="240" w:lineRule="auto"/>
        <w:rPr>
          <w:rFonts w:ascii="Amnesty Trade Gothic Light" w:hAnsi="Amnesty Trade Gothic Light"/>
          <w:sz w:val="21"/>
          <w:szCs w:val="21"/>
          <w:lang w:val="en-US"/>
        </w:rPr>
      </w:pPr>
      <w:r w:rsidRPr="001F0056">
        <w:rPr>
          <w:rFonts w:ascii="Amnesty Trade Gothic Light" w:hAnsi="Amnesty Trade Gothic Light"/>
          <w:sz w:val="21"/>
          <w:szCs w:val="21"/>
          <w:lang w:val="en-US"/>
        </w:rPr>
        <w:t xml:space="preserve">request that the General Assembly fully funds all functions of the treaty bodies. </w:t>
      </w:r>
    </w:p>
    <w:p w14:paraId="5F1CD028" w14:textId="77777777" w:rsidR="00A85B7F" w:rsidRPr="00D26B22" w:rsidRDefault="00A85B7F" w:rsidP="00D26B22"/>
    <w:sectPr w:rsidR="00A85B7F" w:rsidRPr="00D26B22" w:rsidSect="00EC67C5">
      <w:headerReference w:type="even" r:id="rId14"/>
      <w:headerReference w:type="default" r:id="rId15"/>
      <w:footerReference w:type="default" r:id="rId16"/>
      <w:headerReference w:type="first" r:id="rId17"/>
      <w:footerReference w:type="first" r:id="rId18"/>
      <w:footnotePr>
        <w:pos w:val="beneathText"/>
      </w:footnotePr>
      <w:endnotePr>
        <w:numFmt w:val="decimal"/>
      </w:endnotePr>
      <w:pgSz w:w="11900" w:h="16837" w:code="9"/>
      <w:pgMar w:top="1440" w:right="851" w:bottom="1440" w:left="851"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E4B6F" w14:textId="77777777" w:rsidR="00EC67C5" w:rsidRDefault="00EC67C5">
      <w:r>
        <w:separator/>
      </w:r>
    </w:p>
  </w:endnote>
  <w:endnote w:type="continuationSeparator" w:id="0">
    <w:p w14:paraId="0311AB8C" w14:textId="77777777" w:rsidR="00EC67C5" w:rsidRDefault="00EC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Light">
    <w:panose1 w:val="020B04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Bold Conde">
    <w:altName w:val="Franklin Gothic Demi Cond"/>
    <w:panose1 w:val="020B0806040303020004"/>
    <w:charset w:val="4D"/>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A407" w14:textId="77777777" w:rsidR="00EC67C5" w:rsidRPr="004C36C4" w:rsidRDefault="00EC67C5" w:rsidP="00EC67C5">
    <w:pPr>
      <w:pStyle w:val="RTSubheadinglightCAPS"/>
      <w:rPr>
        <w:b/>
        <w:sz w:val="16"/>
        <w:szCs w:val="16"/>
      </w:rPr>
    </w:pPr>
    <w:r w:rsidRPr="004C36C4">
      <w:rPr>
        <w:b/>
        <w:sz w:val="16"/>
        <w:szCs w:val="16"/>
      </w:rPr>
      <w:t>TREATY BODY STRENGTHENING</w:t>
    </w:r>
  </w:p>
  <w:p w14:paraId="660D9F18" w14:textId="77777777" w:rsidR="00EC67C5" w:rsidRPr="004C36C4" w:rsidRDefault="00EC67C5" w:rsidP="00EC67C5">
    <w:pPr>
      <w:pStyle w:val="RTSubheadinglightCAPS"/>
      <w:spacing w:before="0" w:line="240" w:lineRule="auto"/>
      <w:rPr>
        <w:sz w:val="16"/>
        <w:szCs w:val="16"/>
        <w:lang w:val="en-US"/>
      </w:rPr>
    </w:pPr>
    <w:r w:rsidRPr="00AE716B">
      <w:rPr>
        <w:sz w:val="16"/>
        <w:szCs w:val="16"/>
        <w:lang w:val="en-US"/>
      </w:rPr>
      <w:t>SUBMISSION AHEAD OF THE THIRD BIENNIAL REPORT OF THE SECRETARY</w:t>
    </w:r>
    <w:r>
      <w:rPr>
        <w:sz w:val="16"/>
        <w:szCs w:val="16"/>
        <w:lang w:val="en-US"/>
      </w:rPr>
      <w:t>-</w:t>
    </w:r>
    <w:r w:rsidRPr="00AE716B">
      <w:rPr>
        <w:sz w:val="16"/>
        <w:szCs w:val="16"/>
        <w:lang w:val="en-US"/>
      </w:rPr>
      <w:t>GENERAL</w:t>
    </w:r>
    <w:r w:rsidRPr="004C36C4">
      <w:rPr>
        <w:sz w:val="16"/>
        <w:szCs w:val="16"/>
        <w:lang w:val="en-US"/>
      </w:rPr>
      <w:t xml:space="preserve"> </w:t>
    </w:r>
  </w:p>
  <w:p w14:paraId="339D53FB" w14:textId="77777777" w:rsidR="00EC67C5" w:rsidRPr="00AE716B" w:rsidRDefault="00EC67C5" w:rsidP="00EC67C5">
    <w:pPr>
      <w:pStyle w:val="RTFooterreportsubtitle"/>
      <w:spacing w:after="60"/>
      <w:rPr>
        <w:sz w:val="16"/>
        <w:szCs w:val="16"/>
      </w:rPr>
    </w:pPr>
    <w:r w:rsidRPr="00550207">
      <w:rPr>
        <w:color w:val="808080"/>
        <w:sz w:val="16"/>
        <w:szCs w:val="16"/>
      </w:rPr>
      <w:t>may 2019</w:t>
    </w:r>
    <w:r w:rsidRPr="00AE716B">
      <w:rPr>
        <w:sz w:val="16"/>
        <w:szCs w:val="16"/>
      </w:rPr>
      <w:tab/>
    </w:r>
  </w:p>
  <w:p w14:paraId="35AB8C1E" w14:textId="77777777" w:rsidR="00EC67C5" w:rsidRPr="00EC67C5" w:rsidRDefault="00EC67C5" w:rsidP="00EC67C5">
    <w:pPr>
      <w:pStyle w:val="BasicParagraph"/>
      <w:spacing w:line="204" w:lineRule="auto"/>
      <w:rPr>
        <w:rFonts w:ascii="Amnesty Trade Gothic Cn" w:hAnsi="Amnesty Trade Gothic Cn"/>
        <w:sz w:val="16"/>
        <w:szCs w:val="16"/>
      </w:rPr>
    </w:pPr>
    <w:r w:rsidRPr="00206925">
      <w:rPr>
        <w:rFonts w:ascii="Amnesty Trade Gothic Cn" w:hAnsi="Amnesty Trade Gothic Cn"/>
        <w:sz w:val="16"/>
        <w:szCs w:val="16"/>
      </w:rPr>
      <w:t xml:space="preserve">Amnesty International Index: </w:t>
    </w:r>
    <w:r w:rsidRPr="00206925">
      <w:rPr>
        <w:rFonts w:ascii="Amnesty Trade Gothic Cn" w:hAnsi="Amnesty Trade Gothic Cn"/>
        <w:bCs/>
        <w:sz w:val="16"/>
        <w:szCs w:val="16"/>
        <w:lang w:val="en-US"/>
      </w:rPr>
      <w:t>IOR 40/0329/2019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89F4" w14:textId="77777777" w:rsidR="00EC67C5" w:rsidRPr="004C36C4" w:rsidRDefault="00EC67C5" w:rsidP="00EC67C5">
    <w:pPr>
      <w:pStyle w:val="RTSubheadinglightCAPS"/>
      <w:rPr>
        <w:b/>
        <w:sz w:val="16"/>
        <w:szCs w:val="16"/>
      </w:rPr>
    </w:pPr>
    <w:r w:rsidRPr="004C36C4">
      <w:rPr>
        <w:b/>
        <w:sz w:val="16"/>
        <w:szCs w:val="16"/>
      </w:rPr>
      <w:t>TREATY BODY STRENGTHENING</w:t>
    </w:r>
  </w:p>
  <w:p w14:paraId="03F138ED" w14:textId="77777777" w:rsidR="00EC67C5" w:rsidRPr="004C36C4" w:rsidRDefault="00EC67C5" w:rsidP="00EC67C5">
    <w:pPr>
      <w:pStyle w:val="RTSubheadinglightCAPS"/>
      <w:spacing w:before="0" w:line="240" w:lineRule="auto"/>
      <w:rPr>
        <w:sz w:val="16"/>
        <w:szCs w:val="16"/>
        <w:lang w:val="en-US"/>
      </w:rPr>
    </w:pPr>
    <w:r w:rsidRPr="00AE716B">
      <w:rPr>
        <w:sz w:val="16"/>
        <w:szCs w:val="16"/>
        <w:lang w:val="en-US"/>
      </w:rPr>
      <w:t>SUBMISSION AHEAD OF THE THIRD BIENNIAL REPORT OF THE SECRETARY</w:t>
    </w:r>
    <w:r>
      <w:rPr>
        <w:sz w:val="16"/>
        <w:szCs w:val="16"/>
        <w:lang w:val="en-US"/>
      </w:rPr>
      <w:t>-</w:t>
    </w:r>
    <w:r w:rsidRPr="00AE716B">
      <w:rPr>
        <w:sz w:val="16"/>
        <w:szCs w:val="16"/>
        <w:lang w:val="en-US"/>
      </w:rPr>
      <w:t>GENERAL</w:t>
    </w:r>
    <w:r w:rsidRPr="004C36C4">
      <w:rPr>
        <w:sz w:val="16"/>
        <w:szCs w:val="16"/>
        <w:lang w:val="en-US"/>
      </w:rPr>
      <w:t xml:space="preserve"> </w:t>
    </w:r>
  </w:p>
  <w:p w14:paraId="58218322" w14:textId="77777777" w:rsidR="00EC67C5" w:rsidRPr="00AE716B" w:rsidRDefault="00EC67C5" w:rsidP="00EC67C5">
    <w:pPr>
      <w:pStyle w:val="RTFooterreportsubtitle"/>
      <w:spacing w:after="60"/>
      <w:rPr>
        <w:sz w:val="16"/>
        <w:szCs w:val="16"/>
      </w:rPr>
    </w:pPr>
    <w:r w:rsidRPr="00550207">
      <w:rPr>
        <w:color w:val="808080"/>
        <w:sz w:val="16"/>
        <w:szCs w:val="16"/>
      </w:rPr>
      <w:t>may 2019</w:t>
    </w:r>
    <w:r w:rsidRPr="00AE716B">
      <w:rPr>
        <w:sz w:val="16"/>
        <w:szCs w:val="16"/>
      </w:rPr>
      <w:tab/>
    </w:r>
  </w:p>
  <w:p w14:paraId="18B0A18C" w14:textId="77777777" w:rsidR="00EC67C5" w:rsidRPr="00EC67C5" w:rsidRDefault="00EC67C5" w:rsidP="00EC67C5">
    <w:pPr>
      <w:pStyle w:val="BasicParagraph"/>
      <w:spacing w:line="204" w:lineRule="auto"/>
      <w:rPr>
        <w:rFonts w:ascii="Amnesty Trade Gothic Cn" w:hAnsi="Amnesty Trade Gothic Cn"/>
        <w:sz w:val="16"/>
        <w:szCs w:val="16"/>
      </w:rPr>
    </w:pPr>
    <w:r w:rsidRPr="00206925">
      <w:rPr>
        <w:rFonts w:ascii="Amnesty Trade Gothic Cn" w:hAnsi="Amnesty Trade Gothic Cn"/>
        <w:sz w:val="16"/>
        <w:szCs w:val="16"/>
      </w:rPr>
      <w:t xml:space="preserve">Amnesty International Index: </w:t>
    </w:r>
    <w:r w:rsidRPr="00206925">
      <w:rPr>
        <w:rFonts w:ascii="Amnesty Trade Gothic Cn" w:hAnsi="Amnesty Trade Gothic Cn"/>
        <w:bCs/>
        <w:sz w:val="16"/>
        <w:szCs w:val="16"/>
        <w:lang w:val="en-US"/>
      </w:rPr>
      <w:t>IOR 40/0329/2019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13CC" w14:textId="77777777" w:rsidR="00EC67C5" w:rsidRDefault="00EC67C5">
      <w:r>
        <w:separator/>
      </w:r>
    </w:p>
  </w:footnote>
  <w:footnote w:type="continuationSeparator" w:id="0">
    <w:p w14:paraId="2E2E3490" w14:textId="77777777" w:rsidR="00EC67C5" w:rsidRDefault="00EC6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CBD4" w14:textId="77777777" w:rsidR="00E865C7" w:rsidRDefault="00E86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3353" w14:textId="77777777" w:rsidR="00E865C7" w:rsidRDefault="00E86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6" w:type="dxa"/>
      <w:jc w:val="center"/>
      <w:tblLook w:val="04A0" w:firstRow="1" w:lastRow="0" w:firstColumn="1" w:lastColumn="0" w:noHBand="0" w:noVBand="1"/>
    </w:tblPr>
    <w:tblGrid>
      <w:gridCol w:w="1886"/>
      <w:gridCol w:w="2292"/>
      <w:gridCol w:w="1602"/>
      <w:gridCol w:w="2041"/>
      <w:gridCol w:w="1885"/>
    </w:tblGrid>
    <w:tr w:rsidR="00EC67C5" w14:paraId="1C258D6E" w14:textId="77777777" w:rsidTr="00EC67C5">
      <w:trPr>
        <w:trHeight w:val="589"/>
        <w:jc w:val="center"/>
      </w:trPr>
      <w:tc>
        <w:tcPr>
          <w:tcW w:w="0" w:type="auto"/>
          <w:shd w:val="clear" w:color="auto" w:fill="auto"/>
        </w:tcPr>
        <w:p w14:paraId="3DFB31B7" w14:textId="77777777" w:rsidR="00EC67C5" w:rsidRDefault="00EC67C5" w:rsidP="00EC67C5">
          <w:pPr>
            <w:pStyle w:val="Header"/>
            <w:tabs>
              <w:tab w:val="left" w:pos="9542"/>
            </w:tabs>
            <w:jc w:val="center"/>
          </w:pPr>
          <w:r w:rsidRPr="00BA646A">
            <w:rPr>
              <w:noProof/>
            </w:rPr>
            <w:drawing>
              <wp:inline distT="0" distB="0" distL="0" distR="0" wp14:anchorId="6308AC35" wp14:editId="5EC36AE8">
                <wp:extent cx="764540" cy="329565"/>
                <wp:effectExtent l="0" t="0" r="0" b="0"/>
                <wp:docPr id="14" name="Picture 14" descr="https://www.amnesty.org.au/wp-content/uploads/2016/09/YELLOW_RGB_Web_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www.amnesty.org.au/wp-content/uploads/2016/09/YELLOW_RGB_Web_U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329565"/>
                        </a:xfrm>
                        <a:prstGeom prst="rect">
                          <a:avLst/>
                        </a:prstGeom>
                        <a:noFill/>
                        <a:ln>
                          <a:noFill/>
                        </a:ln>
                      </pic:spPr>
                    </pic:pic>
                  </a:graphicData>
                </a:graphic>
              </wp:inline>
            </w:drawing>
          </w:r>
        </w:p>
      </w:tc>
      <w:tc>
        <w:tcPr>
          <w:tcW w:w="0" w:type="auto"/>
          <w:shd w:val="clear" w:color="auto" w:fill="auto"/>
        </w:tcPr>
        <w:p w14:paraId="68AF2141" w14:textId="77777777" w:rsidR="00EC67C5" w:rsidRDefault="00EC67C5" w:rsidP="00EC67C5">
          <w:pPr>
            <w:pStyle w:val="Header"/>
            <w:tabs>
              <w:tab w:val="left" w:pos="9542"/>
            </w:tabs>
            <w:jc w:val="center"/>
          </w:pPr>
          <w:r w:rsidRPr="00CC6DFC">
            <w:rPr>
              <w:rFonts w:ascii="Calibri Light" w:hAnsi="Calibri Light"/>
              <w:b/>
              <w:noProof/>
              <w:color w:val="2F5496"/>
              <w:sz w:val="40"/>
              <w:szCs w:val="40"/>
            </w:rPr>
            <w:drawing>
              <wp:inline distT="0" distB="0" distL="0" distR="0" wp14:anchorId="09E93794" wp14:editId="5305CE74">
                <wp:extent cx="959485" cy="29972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9485" cy="299720"/>
                        </a:xfrm>
                        <a:prstGeom prst="rect">
                          <a:avLst/>
                        </a:prstGeom>
                        <a:noFill/>
                        <a:ln>
                          <a:noFill/>
                        </a:ln>
                      </pic:spPr>
                    </pic:pic>
                  </a:graphicData>
                </a:graphic>
              </wp:inline>
            </w:drawing>
          </w:r>
        </w:p>
      </w:tc>
      <w:tc>
        <w:tcPr>
          <w:tcW w:w="0" w:type="auto"/>
          <w:shd w:val="clear" w:color="auto" w:fill="auto"/>
        </w:tcPr>
        <w:p w14:paraId="219BAA69" w14:textId="77777777" w:rsidR="00EC67C5" w:rsidRDefault="00EC67C5" w:rsidP="00EC67C5">
          <w:pPr>
            <w:pStyle w:val="Header"/>
            <w:tabs>
              <w:tab w:val="left" w:pos="9542"/>
            </w:tabs>
          </w:pPr>
          <w:r w:rsidRPr="00CC6DFC">
            <w:rPr>
              <w:rFonts w:ascii="Calibri Light" w:hAnsi="Calibri Light"/>
              <w:noProof/>
              <w:color w:val="2F5496"/>
              <w:sz w:val="40"/>
              <w:szCs w:val="40"/>
            </w:rPr>
            <w:drawing>
              <wp:inline distT="0" distB="0" distL="0" distR="0" wp14:anchorId="20CE1FFE" wp14:editId="1EAE23AD">
                <wp:extent cx="629285" cy="3600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285" cy="360045"/>
                        </a:xfrm>
                        <a:prstGeom prst="rect">
                          <a:avLst/>
                        </a:prstGeom>
                        <a:noFill/>
                        <a:ln>
                          <a:noFill/>
                        </a:ln>
                      </pic:spPr>
                    </pic:pic>
                  </a:graphicData>
                </a:graphic>
              </wp:inline>
            </w:drawing>
          </w:r>
        </w:p>
      </w:tc>
      <w:tc>
        <w:tcPr>
          <w:tcW w:w="0" w:type="auto"/>
          <w:shd w:val="clear" w:color="auto" w:fill="auto"/>
        </w:tcPr>
        <w:p w14:paraId="6BE531EB" w14:textId="77777777" w:rsidR="00EC67C5" w:rsidRDefault="00EC67C5" w:rsidP="00EC67C5">
          <w:pPr>
            <w:pStyle w:val="Header"/>
            <w:tabs>
              <w:tab w:val="left" w:pos="9542"/>
            </w:tabs>
          </w:pPr>
          <w:r w:rsidRPr="00CC6DFC">
            <w:rPr>
              <w:rFonts w:ascii="Calibri Light" w:hAnsi="Calibri Light"/>
              <w:noProof/>
              <w:color w:val="2F5496"/>
              <w:sz w:val="40"/>
              <w:szCs w:val="40"/>
            </w:rPr>
            <w:drawing>
              <wp:inline distT="0" distB="0" distL="0" distR="0" wp14:anchorId="199B5381" wp14:editId="76DF436B">
                <wp:extent cx="839470" cy="31496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9470" cy="314960"/>
                        </a:xfrm>
                        <a:prstGeom prst="rect">
                          <a:avLst/>
                        </a:prstGeom>
                        <a:noFill/>
                        <a:ln>
                          <a:noFill/>
                        </a:ln>
                      </pic:spPr>
                    </pic:pic>
                  </a:graphicData>
                </a:graphic>
              </wp:inline>
            </w:drawing>
          </w:r>
        </w:p>
      </w:tc>
      <w:tc>
        <w:tcPr>
          <w:tcW w:w="0" w:type="auto"/>
          <w:shd w:val="clear" w:color="auto" w:fill="auto"/>
        </w:tcPr>
        <w:p w14:paraId="52B8F1EA" w14:textId="77777777" w:rsidR="00EC67C5" w:rsidRDefault="00EC67C5" w:rsidP="00EC67C5">
          <w:pPr>
            <w:pStyle w:val="Header"/>
            <w:tabs>
              <w:tab w:val="left" w:pos="9542"/>
            </w:tabs>
          </w:pPr>
          <w:r w:rsidRPr="00CC6DFC">
            <w:rPr>
              <w:rFonts w:ascii="Calibri Light" w:hAnsi="Calibri Light"/>
              <w:noProof/>
              <w:color w:val="2F5496"/>
              <w:sz w:val="40"/>
              <w:szCs w:val="40"/>
            </w:rPr>
            <w:drawing>
              <wp:inline distT="0" distB="0" distL="0" distR="0" wp14:anchorId="6E2A4B9E" wp14:editId="67A3CE07">
                <wp:extent cx="764540" cy="31496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540" cy="314960"/>
                        </a:xfrm>
                        <a:prstGeom prst="rect">
                          <a:avLst/>
                        </a:prstGeom>
                        <a:noFill/>
                        <a:ln>
                          <a:noFill/>
                        </a:ln>
                      </pic:spPr>
                    </pic:pic>
                  </a:graphicData>
                </a:graphic>
              </wp:inline>
            </w:drawing>
          </w:r>
        </w:p>
      </w:tc>
    </w:tr>
    <w:tr w:rsidR="00EC67C5" w14:paraId="4FD8FBC3" w14:textId="77777777" w:rsidTr="00EC67C5">
      <w:trPr>
        <w:trHeight w:val="542"/>
        <w:jc w:val="center"/>
      </w:trPr>
      <w:tc>
        <w:tcPr>
          <w:tcW w:w="0" w:type="auto"/>
          <w:gridSpan w:val="5"/>
          <w:shd w:val="clear" w:color="auto" w:fill="auto"/>
          <w:vAlign w:val="center"/>
        </w:tcPr>
        <w:p w14:paraId="67AF6C42" w14:textId="77777777" w:rsidR="00EC67C5" w:rsidRPr="00CC6DFC" w:rsidRDefault="00EC67C5" w:rsidP="00EC67C5">
          <w:pPr>
            <w:pStyle w:val="Header"/>
            <w:tabs>
              <w:tab w:val="left" w:pos="9542"/>
            </w:tabs>
            <w:jc w:val="center"/>
            <w:rPr>
              <w:rFonts w:ascii="Calibri Light" w:eastAsia="Times New Roman" w:hAnsi="Calibri Light" w:cs="Times New Roman"/>
              <w:noProof/>
              <w:color w:val="2F5496"/>
              <w:sz w:val="40"/>
              <w:szCs w:val="40"/>
            </w:rPr>
          </w:pPr>
          <w:r w:rsidRPr="00CC6DFC">
            <w:rPr>
              <w:rFonts w:ascii="Calibri Light" w:hAnsi="Calibri Light"/>
              <w:noProof/>
              <w:color w:val="2F5496"/>
              <w:sz w:val="40"/>
              <w:szCs w:val="40"/>
            </w:rPr>
            <w:drawing>
              <wp:inline distT="0" distB="0" distL="0" distR="0" wp14:anchorId="1223D676" wp14:editId="03E72046">
                <wp:extent cx="794385" cy="299720"/>
                <wp:effectExtent l="0" t="0" r="5715"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4385" cy="299720"/>
                        </a:xfrm>
                        <a:prstGeom prst="rect">
                          <a:avLst/>
                        </a:prstGeom>
                        <a:noFill/>
                        <a:ln>
                          <a:noFill/>
                        </a:ln>
                      </pic:spPr>
                    </pic:pic>
                  </a:graphicData>
                </a:graphic>
              </wp:inline>
            </w:drawing>
          </w:r>
          <w:r w:rsidRPr="00CC6DFC">
            <w:rPr>
              <w:rFonts w:ascii="Calibri Light" w:hAnsi="Calibri Light"/>
              <w:noProof/>
              <w:color w:val="2F5496"/>
              <w:sz w:val="40"/>
              <w:szCs w:val="40"/>
            </w:rPr>
            <w:drawing>
              <wp:inline distT="0" distB="0" distL="0" distR="0" wp14:anchorId="54CDC1C5" wp14:editId="748F8013">
                <wp:extent cx="899160" cy="3448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160" cy="344805"/>
                        </a:xfrm>
                        <a:prstGeom prst="rect">
                          <a:avLst/>
                        </a:prstGeom>
                        <a:noFill/>
                        <a:ln>
                          <a:noFill/>
                        </a:ln>
                      </pic:spPr>
                    </pic:pic>
                  </a:graphicData>
                </a:graphic>
              </wp:inline>
            </w:drawing>
          </w:r>
          <w:r w:rsidRPr="007A706C">
            <w:rPr>
              <w:noProof/>
            </w:rPr>
            <w:drawing>
              <wp:inline distT="0" distB="0" distL="0" distR="0" wp14:anchorId="40314D1E" wp14:editId="3E68473F">
                <wp:extent cx="1094105" cy="224790"/>
                <wp:effectExtent l="0" t="0" r="0" b="3810"/>
                <wp:docPr id="21" name="Picture 21" descr="C:\Users\Helen\Documents\Sync\External Shares (Helen)\Grupo ONG-LAC\Interna\Logos\ISHR-logo-colour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C:\Users\Helen\Documents\Sync\External Shares (Helen)\Grupo ONG-LAC\Interna\Logos\ISHR-logo-colour_low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105" cy="224790"/>
                        </a:xfrm>
                        <a:prstGeom prst="rect">
                          <a:avLst/>
                        </a:prstGeom>
                        <a:noFill/>
                        <a:ln>
                          <a:noFill/>
                        </a:ln>
                      </pic:spPr>
                    </pic:pic>
                  </a:graphicData>
                </a:graphic>
              </wp:inline>
            </w:drawing>
          </w:r>
          <w:r w:rsidRPr="00CC6DFC">
            <w:rPr>
              <w:rFonts w:ascii="Calibri Light" w:hAnsi="Calibri Light"/>
              <w:noProof/>
              <w:color w:val="2F5496"/>
              <w:sz w:val="40"/>
              <w:szCs w:val="40"/>
              <w:lang w:eastAsia="en-GB"/>
            </w:rPr>
            <w:drawing>
              <wp:inline distT="0" distB="0" distL="0" distR="0" wp14:anchorId="41822370" wp14:editId="38965A94">
                <wp:extent cx="1243965" cy="3448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344805"/>
                        </a:xfrm>
                        <a:prstGeom prst="rect">
                          <a:avLst/>
                        </a:prstGeom>
                        <a:noFill/>
                        <a:ln>
                          <a:noFill/>
                        </a:ln>
                      </pic:spPr>
                    </pic:pic>
                  </a:graphicData>
                </a:graphic>
              </wp:inline>
            </w:drawing>
          </w:r>
          <w:r w:rsidRPr="00CC6DFC">
            <w:rPr>
              <w:rFonts w:ascii="Calibri Light" w:hAnsi="Calibri Light"/>
              <w:noProof/>
              <w:color w:val="2F5496"/>
              <w:sz w:val="40"/>
              <w:szCs w:val="40"/>
            </w:rPr>
            <w:drawing>
              <wp:inline distT="0" distB="0" distL="0" distR="0" wp14:anchorId="7B1D9FE7" wp14:editId="3A8C4D57">
                <wp:extent cx="659765" cy="374650"/>
                <wp:effectExtent l="0" t="0" r="698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765" cy="374650"/>
                        </a:xfrm>
                        <a:prstGeom prst="rect">
                          <a:avLst/>
                        </a:prstGeom>
                        <a:noFill/>
                        <a:ln>
                          <a:noFill/>
                        </a:ln>
                      </pic:spPr>
                    </pic:pic>
                  </a:graphicData>
                </a:graphic>
              </wp:inline>
            </w:drawing>
          </w:r>
        </w:p>
      </w:tc>
    </w:tr>
  </w:tbl>
  <w:p w14:paraId="523F553C" w14:textId="77777777" w:rsidR="00EC67C5" w:rsidRDefault="00EC67C5" w:rsidP="00EC6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50A4647"/>
    <w:multiLevelType w:val="hybridMultilevel"/>
    <w:tmpl w:val="CF06D19C"/>
    <w:lvl w:ilvl="0" w:tplc="ABE03712">
      <w:start w:val="1"/>
      <w:numFmt w:val="bullet"/>
      <w:lvlText w:val=""/>
      <w:lvlJc w:val="left"/>
      <w:pPr>
        <w:ind w:left="720" w:hanging="360"/>
      </w:pPr>
      <w:rPr>
        <w:rFonts w:ascii="Wingdings" w:hAnsi="Wingdings" w:hint="default"/>
        <w:color w:val="99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275252F"/>
    <w:multiLevelType w:val="hybridMultilevel"/>
    <w:tmpl w:val="8E84C578"/>
    <w:lvl w:ilvl="0" w:tplc="ABE03712">
      <w:start w:val="1"/>
      <w:numFmt w:val="bullet"/>
      <w:lvlText w:val=""/>
      <w:lvlJc w:val="left"/>
      <w:pPr>
        <w:ind w:left="720" w:hanging="360"/>
      </w:pPr>
      <w:rPr>
        <w:rFonts w:ascii="Wingdings" w:hAnsi="Wingdings"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AA77098"/>
    <w:multiLevelType w:val="hybridMultilevel"/>
    <w:tmpl w:val="71043962"/>
    <w:lvl w:ilvl="0" w:tplc="ABE03712">
      <w:start w:val="1"/>
      <w:numFmt w:val="bullet"/>
      <w:lvlText w:val=""/>
      <w:lvlJc w:val="left"/>
      <w:pPr>
        <w:ind w:left="720" w:hanging="360"/>
      </w:pPr>
      <w:rPr>
        <w:rFonts w:ascii="Wingdings" w:hAnsi="Wingdings" w:hint="default"/>
        <w:color w:val="99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E6A302B"/>
    <w:multiLevelType w:val="hybridMultilevel"/>
    <w:tmpl w:val="545A5544"/>
    <w:lvl w:ilvl="0" w:tplc="ABE03712">
      <w:start w:val="1"/>
      <w:numFmt w:val="bullet"/>
      <w:lvlText w:val=""/>
      <w:lvlJc w:val="left"/>
      <w:pPr>
        <w:ind w:left="720" w:hanging="360"/>
      </w:pPr>
      <w:rPr>
        <w:rFonts w:ascii="Wingdings" w:hAnsi="Wingdings" w:hint="default"/>
        <w:color w:val="99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7"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6A44978"/>
    <w:multiLevelType w:val="multilevel"/>
    <w:tmpl w:val="5B58B218"/>
    <w:numStyleLink w:val="AIBulletList"/>
  </w:abstractNum>
  <w:abstractNum w:abstractNumId="39"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0"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7"/>
  </w:num>
  <w:num w:numId="7">
    <w:abstractNumId w:val="8"/>
  </w:num>
  <w:num w:numId="8">
    <w:abstractNumId w:val="27"/>
  </w:num>
  <w:num w:numId="9">
    <w:abstractNumId w:val="22"/>
  </w:num>
  <w:num w:numId="10">
    <w:abstractNumId w:val="4"/>
  </w:num>
  <w:num w:numId="11">
    <w:abstractNumId w:val="15"/>
  </w:num>
  <w:num w:numId="12">
    <w:abstractNumId w:val="5"/>
  </w:num>
  <w:num w:numId="13">
    <w:abstractNumId w:val="40"/>
  </w:num>
  <w:num w:numId="14">
    <w:abstractNumId w:val="18"/>
  </w:num>
  <w:num w:numId="15">
    <w:abstractNumId w:val="28"/>
  </w:num>
  <w:num w:numId="16">
    <w:abstractNumId w:val="33"/>
  </w:num>
  <w:num w:numId="17">
    <w:abstractNumId w:val="41"/>
  </w:num>
  <w:num w:numId="18">
    <w:abstractNumId w:val="32"/>
  </w:num>
  <w:num w:numId="19">
    <w:abstractNumId w:val="25"/>
  </w:num>
  <w:num w:numId="20">
    <w:abstractNumId w:val="23"/>
  </w:num>
  <w:num w:numId="21">
    <w:abstractNumId w:val="29"/>
  </w:num>
  <w:num w:numId="22">
    <w:abstractNumId w:val="37"/>
  </w:num>
  <w:num w:numId="23">
    <w:abstractNumId w:val="36"/>
  </w:num>
  <w:num w:numId="24">
    <w:abstractNumId w:val="12"/>
  </w:num>
  <w:num w:numId="25">
    <w:abstractNumId w:val="20"/>
  </w:num>
  <w:num w:numId="26">
    <w:abstractNumId w:val="42"/>
  </w:num>
  <w:num w:numId="27">
    <w:abstractNumId w:val="9"/>
  </w:num>
  <w:num w:numId="28">
    <w:abstractNumId w:val="30"/>
  </w:num>
  <w:num w:numId="29">
    <w:abstractNumId w:val="17"/>
  </w:num>
  <w:num w:numId="30">
    <w:abstractNumId w:val="39"/>
  </w:num>
  <w:num w:numId="31">
    <w:abstractNumId w:val="13"/>
  </w:num>
  <w:num w:numId="32">
    <w:abstractNumId w:val="34"/>
  </w:num>
  <w:num w:numId="33">
    <w:abstractNumId w:val="3"/>
  </w:num>
  <w:num w:numId="34">
    <w:abstractNumId w:val="38"/>
  </w:num>
  <w:num w:numId="35">
    <w:abstractNumId w:val="24"/>
  </w:num>
  <w:num w:numId="36">
    <w:abstractNumId w:val="43"/>
  </w:num>
  <w:num w:numId="37">
    <w:abstractNumId w:val="26"/>
  </w:num>
  <w:num w:numId="38">
    <w:abstractNumId w:val="19"/>
  </w:num>
  <w:num w:numId="39">
    <w:abstractNumId w:val="21"/>
  </w:num>
  <w:num w:numId="40">
    <w:abstractNumId w:val="6"/>
  </w:num>
  <w:num w:numId="41">
    <w:abstractNumId w:val="31"/>
  </w:num>
  <w:num w:numId="42">
    <w:abstractNumId w:val="14"/>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C5"/>
    <w:rsid w:val="00003D21"/>
    <w:rsid w:val="0000500A"/>
    <w:rsid w:val="00013F07"/>
    <w:rsid w:val="00022540"/>
    <w:rsid w:val="00025B55"/>
    <w:rsid w:val="00032461"/>
    <w:rsid w:val="0005771F"/>
    <w:rsid w:val="00062A30"/>
    <w:rsid w:val="00076FE5"/>
    <w:rsid w:val="00092096"/>
    <w:rsid w:val="000A1AB5"/>
    <w:rsid w:val="000B0E17"/>
    <w:rsid w:val="000B28F3"/>
    <w:rsid w:val="000C6C1C"/>
    <w:rsid w:val="000D1D9A"/>
    <w:rsid w:val="000F0007"/>
    <w:rsid w:val="001011BA"/>
    <w:rsid w:val="00106DEC"/>
    <w:rsid w:val="001151EC"/>
    <w:rsid w:val="0011579A"/>
    <w:rsid w:val="001455F7"/>
    <w:rsid w:val="00162298"/>
    <w:rsid w:val="0016690E"/>
    <w:rsid w:val="00171FAA"/>
    <w:rsid w:val="0017566E"/>
    <w:rsid w:val="00180B32"/>
    <w:rsid w:val="00183AF6"/>
    <w:rsid w:val="001A1321"/>
    <w:rsid w:val="001A2127"/>
    <w:rsid w:val="001A4CE5"/>
    <w:rsid w:val="001B6144"/>
    <w:rsid w:val="001C51CA"/>
    <w:rsid w:val="001F0056"/>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B51F8"/>
    <w:rsid w:val="003E781B"/>
    <w:rsid w:val="00400DB2"/>
    <w:rsid w:val="004027CF"/>
    <w:rsid w:val="0042068D"/>
    <w:rsid w:val="00464128"/>
    <w:rsid w:val="0047076A"/>
    <w:rsid w:val="00470A72"/>
    <w:rsid w:val="00483DCA"/>
    <w:rsid w:val="004A2E46"/>
    <w:rsid w:val="004B1B46"/>
    <w:rsid w:val="004B78E0"/>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0513"/>
    <w:rsid w:val="006B1EBF"/>
    <w:rsid w:val="006B2B70"/>
    <w:rsid w:val="006C16CE"/>
    <w:rsid w:val="006E29FF"/>
    <w:rsid w:val="00723001"/>
    <w:rsid w:val="00726498"/>
    <w:rsid w:val="00727A99"/>
    <w:rsid w:val="007321BD"/>
    <w:rsid w:val="0077060D"/>
    <w:rsid w:val="0077125B"/>
    <w:rsid w:val="00771940"/>
    <w:rsid w:val="0078045D"/>
    <w:rsid w:val="00786F3A"/>
    <w:rsid w:val="007C7014"/>
    <w:rsid w:val="007C7F1F"/>
    <w:rsid w:val="007E0910"/>
    <w:rsid w:val="007E7456"/>
    <w:rsid w:val="007F41B2"/>
    <w:rsid w:val="0080103C"/>
    <w:rsid w:val="00826312"/>
    <w:rsid w:val="00853EC0"/>
    <w:rsid w:val="0086333C"/>
    <w:rsid w:val="00865824"/>
    <w:rsid w:val="008B584E"/>
    <w:rsid w:val="0092284E"/>
    <w:rsid w:val="00947A19"/>
    <w:rsid w:val="009624C7"/>
    <w:rsid w:val="00982544"/>
    <w:rsid w:val="009C445D"/>
    <w:rsid w:val="00A06B14"/>
    <w:rsid w:val="00A11210"/>
    <w:rsid w:val="00A2699E"/>
    <w:rsid w:val="00A26FCC"/>
    <w:rsid w:val="00A62A67"/>
    <w:rsid w:val="00A65A98"/>
    <w:rsid w:val="00A75017"/>
    <w:rsid w:val="00A85B7F"/>
    <w:rsid w:val="00A86FBF"/>
    <w:rsid w:val="00A96E32"/>
    <w:rsid w:val="00AA189C"/>
    <w:rsid w:val="00AB046B"/>
    <w:rsid w:val="00AC7022"/>
    <w:rsid w:val="00AE037C"/>
    <w:rsid w:val="00B072A2"/>
    <w:rsid w:val="00B512C4"/>
    <w:rsid w:val="00B52929"/>
    <w:rsid w:val="00B6765C"/>
    <w:rsid w:val="00B75FBA"/>
    <w:rsid w:val="00B77EDD"/>
    <w:rsid w:val="00BB586B"/>
    <w:rsid w:val="00BC3693"/>
    <w:rsid w:val="00BC4C43"/>
    <w:rsid w:val="00BD0C67"/>
    <w:rsid w:val="00BD5B66"/>
    <w:rsid w:val="00BE1F83"/>
    <w:rsid w:val="00BE797E"/>
    <w:rsid w:val="00BE7FD6"/>
    <w:rsid w:val="00BF2CE7"/>
    <w:rsid w:val="00C5605A"/>
    <w:rsid w:val="00C85051"/>
    <w:rsid w:val="00CA1F6D"/>
    <w:rsid w:val="00CA4292"/>
    <w:rsid w:val="00CB053B"/>
    <w:rsid w:val="00CB352F"/>
    <w:rsid w:val="00CB3802"/>
    <w:rsid w:val="00CC6CF1"/>
    <w:rsid w:val="00CC7E9D"/>
    <w:rsid w:val="00D067E1"/>
    <w:rsid w:val="00D12218"/>
    <w:rsid w:val="00D15EC5"/>
    <w:rsid w:val="00D26B22"/>
    <w:rsid w:val="00D3431C"/>
    <w:rsid w:val="00D35685"/>
    <w:rsid w:val="00D54BCD"/>
    <w:rsid w:val="00D64063"/>
    <w:rsid w:val="00D649F2"/>
    <w:rsid w:val="00D85DA5"/>
    <w:rsid w:val="00D9003F"/>
    <w:rsid w:val="00D90DAF"/>
    <w:rsid w:val="00D90E5C"/>
    <w:rsid w:val="00DE6FAC"/>
    <w:rsid w:val="00DF0354"/>
    <w:rsid w:val="00E052FB"/>
    <w:rsid w:val="00E1436F"/>
    <w:rsid w:val="00E25D16"/>
    <w:rsid w:val="00E42145"/>
    <w:rsid w:val="00E4789E"/>
    <w:rsid w:val="00E47C2B"/>
    <w:rsid w:val="00E5133E"/>
    <w:rsid w:val="00E865C7"/>
    <w:rsid w:val="00E91CDD"/>
    <w:rsid w:val="00EA3F1F"/>
    <w:rsid w:val="00EA5F1B"/>
    <w:rsid w:val="00EB094C"/>
    <w:rsid w:val="00EB6DC1"/>
    <w:rsid w:val="00EC67C5"/>
    <w:rsid w:val="00ED48B1"/>
    <w:rsid w:val="00ED5C45"/>
    <w:rsid w:val="00EE443B"/>
    <w:rsid w:val="00EE5863"/>
    <w:rsid w:val="00EE66DA"/>
    <w:rsid w:val="00EF0FF2"/>
    <w:rsid w:val="00F10D98"/>
    <w:rsid w:val="00F15D23"/>
    <w:rsid w:val="00F16E1B"/>
    <w:rsid w:val="00F220EB"/>
    <w:rsid w:val="00F266D7"/>
    <w:rsid w:val="00F26A94"/>
    <w:rsid w:val="00F3341E"/>
    <w:rsid w:val="00F455D2"/>
    <w:rsid w:val="00F46AAC"/>
    <w:rsid w:val="00F528DB"/>
    <w:rsid w:val="00F752A3"/>
    <w:rsid w:val="00F85AF9"/>
    <w:rsid w:val="00F86786"/>
    <w:rsid w:val="00FD5BBC"/>
    <w:rsid w:val="00FF2A19"/>
    <w:rsid w:val="00FF5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FD627"/>
  <w15:chartTrackingRefBased/>
  <w15:docId w15:val="{37033A0F-D06F-4D78-9DD0-0ED5CEE8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67C5"/>
    <w:rPr>
      <w:rFonts w:ascii="Amnesty Trade Gothic Light" w:eastAsia="MS Mincho" w:hAnsi="Amnesty Trade Gothic Light" w:cs="Arial"/>
      <w:color w:val="000000"/>
      <w:lang w:val="en-US" w:eastAsia="en-US"/>
    </w:rPr>
  </w:style>
  <w:style w:type="paragraph" w:styleId="Heading1">
    <w:name w:val="heading 1"/>
    <w:basedOn w:val="Normal"/>
    <w:next w:val="Normal"/>
    <w:link w:val="Heading1Char"/>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A86FBF"/>
    <w:pPr>
      <w:keepNext/>
      <w:numPr>
        <w:ilvl w:val="1"/>
        <w:numId w:val="1"/>
      </w:numPr>
      <w:spacing w:after="120"/>
      <w:outlineLvl w:val="1"/>
    </w:pPr>
    <w:rPr>
      <w:rFonts w:ascii="Amnesty Trade Gothic Bold Conde" w:hAnsi="Amnesty Trade Gothic Bold Conde"/>
      <w:b/>
      <w:caps/>
      <w:sz w:val="26"/>
      <w:szCs w:val="28"/>
    </w:rPr>
  </w:style>
  <w:style w:type="paragraph" w:styleId="Heading3">
    <w:name w:val="heading 3"/>
    <w:basedOn w:val="Normal"/>
    <w:next w:val="Normal"/>
    <w:link w:val="Heading3Char"/>
    <w:qFormat/>
    <w:rsid w:val="00574CC8"/>
    <w:pPr>
      <w:keepNext/>
      <w:numPr>
        <w:ilvl w:val="2"/>
        <w:numId w:val="1"/>
      </w:numPr>
      <w:outlineLvl w:val="2"/>
    </w:pPr>
    <w:rPr>
      <w:rFonts w:ascii="Amnesty Trade Gothic Cn" w:hAnsi="Amnesty Trade Gothic Cn"/>
      <w:caps/>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locked/>
    <w:rsid w:val="00A86FBF"/>
    <w:rPr>
      <w:rFonts w:ascii="Amnesty Trade Gothic Bold Conde" w:eastAsia="MS Mincho" w:hAnsi="Amnesty Trade Gothic Bold Conde" w:cs="Arial"/>
      <w:b/>
      <w:caps/>
      <w:color w:val="000000"/>
      <w:sz w:val="26"/>
      <w:szCs w:val="28"/>
      <w:lang w:val="en-US" w:eastAsia="en-US"/>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color w:val="auto"/>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LetterText">
    <w:name w:val="AI Letter Text"/>
    <w:basedOn w:val="Normal"/>
    <w:rsid w:val="00EC67C5"/>
    <w:pPr>
      <w:snapToGrid w:val="0"/>
      <w:spacing w:after="240" w:line="240" w:lineRule="atLeast"/>
    </w:pPr>
    <w:rPr>
      <w:rFonts w:ascii="Amnesty Trade Gothic" w:eastAsia="Times New Roman" w:hAnsi="Amnesty Trade Gothic" w:cs="Times New Roman"/>
      <w:szCs w:val="24"/>
      <w:lang w:val="en-GB"/>
    </w:rPr>
  </w:style>
  <w:style w:type="paragraph" w:customStyle="1" w:styleId="RTSubheadinglightCAPS">
    <w:name w:val="RT Subheading light CAPS"/>
    <w:basedOn w:val="Normal"/>
    <w:uiPriority w:val="5"/>
    <w:qFormat/>
    <w:rsid w:val="00EC67C5"/>
    <w:pPr>
      <w:suppressAutoHyphens/>
      <w:spacing w:before="40" w:line="245" w:lineRule="auto"/>
    </w:pPr>
    <w:rPr>
      <w:rFonts w:ascii="Amnesty Trade Gothic Cn" w:hAnsi="Amnesty Trade Gothic Cn"/>
      <w:bCs/>
      <w:caps/>
      <w:sz w:val="44"/>
      <w:szCs w:val="44"/>
      <w:lang w:val="en-GB"/>
    </w:rPr>
  </w:style>
  <w:style w:type="character" w:customStyle="1" w:styleId="textexposedshow">
    <w:name w:val="text_exposed_show"/>
    <w:rsid w:val="00EC67C5"/>
  </w:style>
  <w:style w:type="paragraph" w:customStyle="1" w:styleId="RTFrontcovermaintitle">
    <w:name w:val="RT Front cover main title"/>
    <w:next w:val="RTSubheadinglightCAPS"/>
    <w:qFormat/>
    <w:rsid w:val="00EC67C5"/>
    <w:pPr>
      <w:spacing w:before="3680" w:after="60" w:line="540" w:lineRule="exact"/>
    </w:pPr>
    <w:rPr>
      <w:rFonts w:ascii="Amnesty Trade Gothic Cn" w:eastAsia="MS Mincho" w:hAnsi="Amnesty Trade Gothic Cn" w:cs="Arial"/>
      <w:b/>
      <w:caps/>
      <w:noProof/>
      <w:color w:val="000000"/>
      <w:sz w:val="96"/>
      <w:szCs w:val="96"/>
      <w:shd w:val="clear" w:color="auto" w:fill="FFFF00"/>
    </w:rPr>
  </w:style>
  <w:style w:type="paragraph" w:customStyle="1" w:styleId="BasicParagraph">
    <w:name w:val="[Basic Paragraph]"/>
    <w:basedOn w:val="Normal"/>
    <w:uiPriority w:val="99"/>
    <w:semiHidden/>
    <w:rsid w:val="00EC67C5"/>
    <w:pPr>
      <w:widowControl w:val="0"/>
      <w:autoSpaceDE w:val="0"/>
      <w:autoSpaceDN w:val="0"/>
      <w:adjustRightInd w:val="0"/>
      <w:spacing w:line="288" w:lineRule="auto"/>
      <w:textAlignment w:val="center"/>
    </w:pPr>
    <w:rPr>
      <w:rFonts w:ascii="MinionPro-Regular" w:hAnsi="MinionPro-Regular" w:cs="MinionPro-Regular"/>
      <w:sz w:val="24"/>
      <w:szCs w:val="24"/>
      <w:lang w:val="en-GB"/>
    </w:rPr>
  </w:style>
  <w:style w:type="paragraph" w:customStyle="1" w:styleId="RTFooterreportsubtitle">
    <w:name w:val="RT Footer report subtitle"/>
    <w:basedOn w:val="Footer"/>
    <w:uiPriority w:val="99"/>
    <w:qFormat/>
    <w:rsid w:val="00EC67C5"/>
    <w:pPr>
      <w:tabs>
        <w:tab w:val="clear" w:pos="4153"/>
        <w:tab w:val="clear" w:pos="8306"/>
        <w:tab w:val="right" w:pos="8278"/>
      </w:tabs>
      <w:spacing w:line="150" w:lineRule="exact"/>
    </w:pPr>
    <w:rPr>
      <w:rFonts w:ascii="Amnesty Trade Gothic Cn" w:hAnsi="Amnesty Trade Gothic Cn"/>
      <w:caps/>
      <w:sz w:val="15"/>
      <w:szCs w:val="15"/>
    </w:rPr>
  </w:style>
  <w:style w:type="paragraph" w:styleId="BalloonText">
    <w:name w:val="Balloon Text"/>
    <w:basedOn w:val="Normal"/>
    <w:link w:val="BalloonTextChar"/>
    <w:semiHidden/>
    <w:unhideWhenUsed/>
    <w:rsid w:val="00E865C7"/>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E865C7"/>
    <w:rPr>
      <w:rFonts w:eastAsia="MS Mincho"/>
      <w:color w:val="000000"/>
      <w:sz w:val="18"/>
      <w:szCs w:val="18"/>
      <w:lang w:val="en-US" w:eastAsia="en-US"/>
    </w:rPr>
  </w:style>
  <w:style w:type="paragraph" w:styleId="ListParagraph">
    <w:name w:val="List Paragraph"/>
    <w:basedOn w:val="Normal"/>
    <w:uiPriority w:val="34"/>
    <w:qFormat/>
    <w:rsid w:val="009C445D"/>
    <w:pPr>
      <w:ind w:left="720"/>
      <w:contextualSpacing/>
    </w:pPr>
  </w:style>
  <w:style w:type="character" w:styleId="FollowedHyperlink">
    <w:name w:val="FollowedHyperlink"/>
    <w:basedOn w:val="DefaultParagraphFont"/>
    <w:rsid w:val="00400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2363">
      <w:bodyDiv w:val="1"/>
      <w:marLeft w:val="0"/>
      <w:marRight w:val="0"/>
      <w:marTop w:val="0"/>
      <w:marBottom w:val="0"/>
      <w:divBdr>
        <w:top w:val="none" w:sz="0" w:space="0" w:color="auto"/>
        <w:left w:val="none" w:sz="0" w:space="0" w:color="auto"/>
        <w:bottom w:val="none" w:sz="0" w:space="0" w:color="auto"/>
        <w:right w:val="none" w:sz="0" w:space="0" w:color="auto"/>
      </w:divBdr>
      <w:divsChild>
        <w:div w:id="204567233">
          <w:marLeft w:val="0"/>
          <w:marRight w:val="0"/>
          <w:marTop w:val="0"/>
          <w:marBottom w:val="0"/>
          <w:divBdr>
            <w:top w:val="single" w:sz="6" w:space="0" w:color="B8B8B8"/>
            <w:left w:val="none" w:sz="0" w:space="0" w:color="auto"/>
            <w:bottom w:val="single" w:sz="6" w:space="0" w:color="B8B8B8"/>
            <w:right w:val="none" w:sz="0" w:space="0" w:color="auto"/>
          </w:divBdr>
        </w:div>
        <w:div w:id="1214852041">
          <w:marLeft w:val="240"/>
          <w:marRight w:val="240"/>
          <w:marTop w:val="0"/>
          <w:marBottom w:val="0"/>
          <w:divBdr>
            <w:top w:val="none" w:sz="0" w:space="0" w:color="auto"/>
            <w:left w:val="none" w:sz="0" w:space="0" w:color="auto"/>
            <w:bottom w:val="none" w:sz="0" w:space="0" w:color="auto"/>
            <w:right w:val="none" w:sz="0" w:space="0" w:color="auto"/>
          </w:divBdr>
        </w:div>
        <w:div w:id="1984002055">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documents/ior40/9859/2019/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nesty.org/en/documents/ior40/7959/2018/en/" TargetMode="External"/><Relationship Id="rId17" Type="http://schemas.openxmlformats.org/officeDocument/2006/relationships/header" Target="header3.xml"/><Relationship Id="rId20" Type="http://schemas.openxmlformats.org/officeDocument/2006/relationships/theme" Target="theme/theme1.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RES/68/26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emf"/><Relationship Id="rId7" Type="http://schemas.openxmlformats.org/officeDocument/2006/relationships/image" Target="media/image8.emf"/><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7.emf"/><Relationship Id="rId5" Type="http://schemas.openxmlformats.org/officeDocument/2006/relationships/image" Target="media/image6.tiff"/><Relationship Id="rId10" Type="http://schemas.openxmlformats.org/officeDocument/2006/relationships/image" Target="media/image11.emf"/><Relationship Id="rId4" Type="http://schemas.openxmlformats.org/officeDocument/2006/relationships/image" Target="media/image5.tiff"/><Relationship Id="rId9" Type="http://schemas.openxmlformats.org/officeDocument/2006/relationships/image" Target="media/image1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3C5AD-65A3-4F6A-8D10-C5130F503A5D}">
  <ds:schemaRefs>
    <ds:schemaRef ds:uri="http://purl.org/dc/dcmitype/"/>
    <ds:schemaRef ds:uri="b9e52a15-8fce-43d3-9ff2-f6bd6a140a3c"/>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2B6C174-42CA-4F14-BABC-D2D07B958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5D088-8B8C-4199-919D-567C3565170E}"/>
</file>

<file path=customXml/itemProps4.xml><?xml version="1.0" encoding="utf-8"?>
<ds:datastoreItem xmlns:ds="http://schemas.openxmlformats.org/officeDocument/2006/customXml" ds:itemID="{D7ABEBFC-241A-4C61-B7B4-98B7B41D8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Treaty body strengthening- Joint NGO submission to the third biennial report of the Secretary General</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Treaty body strengthening- Joint NGO submission to the third biennial report of the Secretary General</dc:title>
  <dc:subject/>
  <dc:creator>Anna-Karin Holmlund</dc:creator>
  <cp:keywords/>
  <dc:description/>
  <cp:lastModifiedBy>Anna-Karin Holmlund</cp:lastModifiedBy>
  <cp:revision>2</cp:revision>
  <cp:lastPrinted>2008-10-01T16:32:00Z</cp:lastPrinted>
  <dcterms:created xsi:type="dcterms:W3CDTF">2019-05-09T12:06:00Z</dcterms:created>
  <dcterms:modified xsi:type="dcterms:W3CDTF">2019-05-09T12:06:00Z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AIContentAuthors">
    <vt:lpwstr>357;#Amnesty International|f4dc13e0-2dfe-4eaf-b7b4-4513dcf381b3</vt:lpwstr>
  </property>
  <property fmtid="{D5CDD505-2E9C-101B-9397-08002B2CF9AE}" pid="4" name="AIProjectName">
    <vt:lpwstr>403;#IGO Reform UN Institution Building|ab89a02f-413f-4ca1-827e-5c6531e08711</vt:lpwstr>
  </property>
  <property fmtid="{D5CDD505-2E9C-101B-9397-08002B2CF9AE}" pid="5" name="AIBudgetCode">
    <vt:lpwstr/>
  </property>
  <property fmtid="{D5CDD505-2E9C-101B-9397-08002B2CF9AE}" pid="6" name="AIDocumentType">
    <vt:lpwstr>300;#Public Statement|8661e0c5-fd20-4f27-8774-317b6de873ef</vt:lpwstr>
  </property>
  <property fmtid="{D5CDD505-2E9C-101B-9397-08002B2CF9AE}" pid="7" name="AIHumanRightsKeywords">
    <vt:lpwstr>41;#UN|ed4e1b44-9211-4e63-8341-d2845ee77112</vt:lpwstr>
  </property>
  <property fmtid="{D5CDD505-2E9C-101B-9397-08002B2CF9AE}" pid="8" name="AIRegional">
    <vt:lpwstr/>
  </property>
  <property fmtid="{D5CDD505-2E9C-101B-9397-08002B2CF9AE}" pid="9" name="AIInternalKeywords">
    <vt:lpwstr/>
  </property>
  <property fmtid="{D5CDD505-2E9C-101B-9397-08002B2CF9AE}" pid="10" name="AIOriginatingLocation">
    <vt:lpwstr>370;#Geneva - IS|2b059364-4f9e-4be2-8599-f9de4cbfe42c</vt:lpwstr>
  </property>
  <property fmtid="{D5CDD505-2E9C-101B-9397-08002B2CF9AE}" pid="11" name="AILeadAuthor">
    <vt:lpwstr/>
  </property>
  <property fmtid="{D5CDD505-2E9C-101B-9397-08002B2CF9AE}" pid="12" name="AISupportingAuthor">
    <vt:lpwstr/>
  </property>
  <property fmtid="{D5CDD505-2E9C-101B-9397-08002B2CF9AE}" pid="13" name="Order">
    <vt:r8>2560500</vt:r8>
  </property>
</Properties>
</file>