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C57F4" w14:textId="77777777" w:rsidR="00EE73E9" w:rsidRDefault="00EE73E9" w:rsidP="00EE73E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EE73E9">
        <w:rPr>
          <w:b/>
          <w:sz w:val="24"/>
          <w:szCs w:val="24"/>
          <w:u w:val="single"/>
        </w:rPr>
        <w:t>QUESTIONNAIRE IN RELATION TO GENERAL ASSEMBLY RESOLUTION 68/268</w:t>
      </w:r>
    </w:p>
    <w:p w14:paraId="464C57F5" w14:textId="77777777" w:rsidR="008A2820" w:rsidRPr="00EE73E9" w:rsidRDefault="008A2820" w:rsidP="00EE73E9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COMMENTS BY BRAZIL</w:t>
      </w:r>
    </w:p>
    <w:p w14:paraId="464C57F6" w14:textId="77777777" w:rsidR="00254140" w:rsidRDefault="00041788" w:rsidP="00EE73E9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br/>
      </w:r>
    </w:p>
    <w:p w14:paraId="464C57F7" w14:textId="77777777" w:rsidR="00254140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a) Comments by States on the implementation of General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Assembly resolution 68/268, including those provisions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addressed to States.</w:t>
      </w:r>
    </w:p>
    <w:p w14:paraId="464C57F8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Overview</w:t>
      </w:r>
      <w:r w:rsidRPr="00041788">
        <w:rPr>
          <w:sz w:val="24"/>
          <w:szCs w:val="24"/>
        </w:rPr>
        <w:br/>
      </w:r>
      <w:r w:rsidRPr="00041788">
        <w:rPr>
          <w:sz w:val="24"/>
          <w:szCs w:val="24"/>
        </w:rPr>
        <w:br/>
        <w:t>The GA Res. 68/268 identified various instruments that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can help us improve the reporting system, the election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process, as well as the resource allocation.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implementation phase has resulted in a significant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reduction in operating costs and cost-savings, which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translated into meeting time. It has also provided for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simplification of procedures for dialogue with</w:t>
      </w:r>
      <w:r w:rsidRPr="00041788">
        <w:rPr>
          <w:sz w:val="24"/>
          <w:szCs w:val="24"/>
        </w:rPr>
        <w:br/>
        <w:t>states and non-governmental organizations, as well as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for the possibility of simplified reporting procedures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(SRP). The innovations contained in the resolution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must be seen as an important step towards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effective functioning of the TB, but they have proven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to be insufficient.</w:t>
      </w:r>
      <w:r w:rsidRPr="00041788">
        <w:rPr>
          <w:sz w:val="24"/>
          <w:szCs w:val="24"/>
        </w:rPr>
        <w:br/>
      </w:r>
      <w:r w:rsidRPr="00041788">
        <w:rPr>
          <w:sz w:val="24"/>
          <w:szCs w:val="24"/>
        </w:rPr>
        <w:br/>
        <w:t>Concerning the provisions addressed to states, in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Brazil, the Ministry of Wom</w:t>
      </w:r>
      <w:r>
        <w:rPr>
          <w:sz w:val="24"/>
          <w:szCs w:val="24"/>
        </w:rPr>
        <w:t>e</w:t>
      </w:r>
      <w:r w:rsidRPr="00041788">
        <w:rPr>
          <w:sz w:val="24"/>
          <w:szCs w:val="24"/>
        </w:rPr>
        <w:t>n, Family and Human Rights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is charged with the role of gathering the information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for the production of the periodic reports, including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for the Common Core Document. It conducts extensive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consultations with the national bodies, as well as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civil society, in an open and transparent debate on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challenges faced in each area and on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successful experiences to be shared with the</w:t>
      </w:r>
      <w:r w:rsidRPr="00041788">
        <w:rPr>
          <w:sz w:val="24"/>
          <w:szCs w:val="24"/>
        </w:rPr>
        <w:br/>
        <w:t>international community. It is a time consuming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costly task, which requires constant oversight, in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order to ensure satisfactory results.</w:t>
      </w:r>
    </w:p>
    <w:p w14:paraId="464C57F9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Reporting activities</w:t>
      </w:r>
    </w:p>
    <w:p w14:paraId="464C57FA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There is still room for improvement in the TB in terms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of designing concrete policies and programs to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streamline reporting. The realization of this common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goal requires cooperation with states and other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stakeholders, and it is this objective that should be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pursued, as countries continue to share information on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their best practices.</w:t>
      </w:r>
    </w:p>
    <w:p w14:paraId="464C57FB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Brazil attaches great importance in assuring results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based on accurate and thorough data. Overall, most of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statistics on the implementation of GA Res. 68/268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are based on a quantitative approach to reporting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measurement. The analysis typically compiles the</w:t>
      </w:r>
      <w:r w:rsidRPr="00041788">
        <w:rPr>
          <w:sz w:val="24"/>
          <w:szCs w:val="24"/>
        </w:rPr>
        <w:br/>
        <w:t>number of reports to be submitted and to be assessed,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which results in a high level of non-compliance with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reporting obligations.</w:t>
      </w:r>
    </w:p>
    <w:p w14:paraId="464C57FC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For a better, tailor-made evaluation, states could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receive a mix of quantitative and qualitative</w:t>
      </w:r>
      <w:r w:rsidRPr="00041788">
        <w:rPr>
          <w:sz w:val="24"/>
          <w:szCs w:val="24"/>
        </w:rPr>
        <w:br/>
        <w:t>information. For instance, it would be possible to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merge reporting analysis with the level of income of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reporting countries (LDCs,.), or the number of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years since the accession to the treaty, or other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institutional capacity indicators, which would allow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 xml:space="preserve">state parties to address </w:t>
      </w:r>
      <w:r w:rsidRPr="00041788">
        <w:rPr>
          <w:sz w:val="24"/>
          <w:szCs w:val="24"/>
        </w:rPr>
        <w:lastRenderedPageBreak/>
        <w:t>different aspects of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issue at hand in examining the strengths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weaknesses of the system, based on new ideas on how to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increase compliance and reduce the structural backlog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of the TB.</w:t>
      </w:r>
      <w:r w:rsidRPr="00041788">
        <w:rPr>
          <w:sz w:val="24"/>
          <w:szCs w:val="24"/>
        </w:rPr>
        <w:br/>
      </w:r>
      <w:r w:rsidRPr="00041788">
        <w:rPr>
          <w:sz w:val="24"/>
          <w:szCs w:val="24"/>
        </w:rPr>
        <w:br/>
        <w:t>Accountability</w:t>
      </w:r>
      <w:r w:rsidRPr="00041788">
        <w:rPr>
          <w:sz w:val="24"/>
          <w:szCs w:val="24"/>
        </w:rPr>
        <w:br/>
      </w:r>
      <w:r w:rsidRPr="00041788">
        <w:rPr>
          <w:sz w:val="24"/>
          <w:szCs w:val="24"/>
        </w:rPr>
        <w:br/>
        <w:t>Also associated with the implementation of the GA Res.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 xml:space="preserve">68/268 is the lack of an accountability </w:t>
      </w:r>
      <w:r>
        <w:rPr>
          <w:sz w:val="24"/>
          <w:szCs w:val="24"/>
        </w:rPr>
        <w:t xml:space="preserve"> f</w:t>
      </w:r>
      <w:r w:rsidRPr="00041788">
        <w:rPr>
          <w:sz w:val="24"/>
          <w:szCs w:val="24"/>
        </w:rPr>
        <w:t>ramework for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TB experts in their activities, in the form of a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proper institutional arrangement, which would not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threaten their independence and impartiality.</w:t>
      </w:r>
    </w:p>
    <w:p w14:paraId="464C57FD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Methods of work</w:t>
      </w:r>
      <w:r>
        <w:rPr>
          <w:sz w:val="24"/>
          <w:szCs w:val="24"/>
        </w:rPr>
        <w:t xml:space="preserve"> </w:t>
      </w:r>
    </w:p>
    <w:p w14:paraId="464C57FE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In terms of calendar, it would be advisable to hold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annual organizational meetings of all human rights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treaty bodies, inviting states, civil society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other relevant actors. Making the calendars broadly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available could be of use to states and to other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stakeholders to enhance their collaboration with human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rights mechanisms. Furthermore, these meetings would</w:t>
      </w:r>
      <w:r w:rsidRPr="00041788">
        <w:rPr>
          <w:sz w:val="24"/>
          <w:szCs w:val="24"/>
        </w:rPr>
        <w:br/>
        <w:t>help publicize the work of the treaty bodies,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bring it closer to states.</w:t>
      </w:r>
    </w:p>
    <w:p w14:paraId="464C57FF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Brazil stresses the relevance of more cooperation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dialogue between TB and member states, the legal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subjects of international obligations emanating from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treaties. In that regard, we would like to highlight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following:</w:t>
      </w:r>
    </w:p>
    <w:p w14:paraId="464C5800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- the fact that approximately only 15% of state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parties meet their reporting obligations, and yet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nine treaty bodies with reporting procedures still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have a structural backlog of reports, even after being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granted additional meeting time in 2015, leading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system to "reach its functional ceiling"; and</w:t>
      </w:r>
      <w:r>
        <w:rPr>
          <w:sz w:val="24"/>
          <w:szCs w:val="24"/>
        </w:rPr>
        <w:t xml:space="preserve"> </w:t>
      </w:r>
    </w:p>
    <w:p w14:paraId="464C5801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- states` limited capability to follow up on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implement multiple TB recommendations in addition to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Universal Periodic Review and Special Procedure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recommendations, as well as by regional systems,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ensuing constraints and "cost implications" for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"implementing the human rights agenda in the first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place".</w:t>
      </w:r>
    </w:p>
    <w:p w14:paraId="464C5802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In addition, resolution 68/268 also invites the TB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Office of the United Nations High Commissioner for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Human Rights (OHCHR) to continue to work to increase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coordination and predictability in the reporting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process, with the aim of achieving a regular schedule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for reporting by states parties. Brazil supports such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goal.</w:t>
      </w:r>
    </w:p>
    <w:p w14:paraId="464C5803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In order to enhance follow-up measures, another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suggestion is that the experts also meet with state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parties before presenting the List of Issues (LOI) or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List of Issues Prior to Reporting (LOIPR).</w:t>
      </w:r>
      <w:r>
        <w:rPr>
          <w:sz w:val="24"/>
          <w:szCs w:val="24"/>
        </w:rPr>
        <w:t xml:space="preserve"> </w:t>
      </w:r>
    </w:p>
    <w:p w14:paraId="464C5804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b) Comments by States on the state of the human rights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treaty body system in view of the upcoming review by 9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April 2020, of the effectiveness of the measures taken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in order to ensure their sustainability, and, on any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further action to strengthen and enhance the effective</w:t>
      </w:r>
      <w:r w:rsidRPr="00041788">
        <w:rPr>
          <w:sz w:val="24"/>
          <w:szCs w:val="24"/>
        </w:rPr>
        <w:br/>
        <w:t>functioning of the human rights treaty body system.</w:t>
      </w:r>
    </w:p>
    <w:p w14:paraId="464C5805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The 2020 review should aim at supporting the human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rights treaties to reach their full potential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addressing reporting disparities in accordance with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each country`s capabilities. Helping States onto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path of implementation and follow-up is, ultimately,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best way for the United Nations to contribute to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long-term protection and promotion of human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rights.</w:t>
      </w:r>
      <w:r w:rsidRPr="00041788">
        <w:rPr>
          <w:sz w:val="24"/>
          <w:szCs w:val="24"/>
        </w:rPr>
        <w:br/>
      </w:r>
      <w:r w:rsidRPr="00041788">
        <w:rPr>
          <w:sz w:val="24"/>
          <w:szCs w:val="24"/>
        </w:rPr>
        <w:br/>
        <w:t>On the road to 2020, some aspects deserve careful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attention:</w:t>
      </w:r>
    </w:p>
    <w:p w14:paraId="464C5806" w14:textId="77777777" w:rsidR="00041788" w:rsidRDefault="00041788" w:rsidP="000417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the review should include an intergovernmental process;</w:t>
      </w:r>
    </w:p>
    <w:p w14:paraId="464C5807" w14:textId="77777777" w:rsidR="00041788" w:rsidRPr="00041788" w:rsidRDefault="00041788" w:rsidP="00041788">
      <w:pPr>
        <w:pStyle w:val="ListParagraph"/>
        <w:jc w:val="both"/>
        <w:rPr>
          <w:sz w:val="24"/>
          <w:szCs w:val="24"/>
        </w:rPr>
      </w:pPr>
    </w:p>
    <w:p w14:paraId="464C5808" w14:textId="77777777" w:rsidR="00041788" w:rsidRDefault="00041788" w:rsidP="000417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the General Assembly should reaffirm the role of the TB in the prevention of human rights violations. Yet, it must recognize that their revitalization depends upon a high level of political support;</w:t>
      </w:r>
    </w:p>
    <w:p w14:paraId="464C5809" w14:textId="77777777" w:rsidR="00041788" w:rsidRDefault="00041788" w:rsidP="00041788">
      <w:pPr>
        <w:pStyle w:val="ListParagraph"/>
        <w:jc w:val="both"/>
        <w:rPr>
          <w:sz w:val="24"/>
          <w:szCs w:val="24"/>
        </w:rPr>
      </w:pPr>
    </w:p>
    <w:p w14:paraId="464C580A" w14:textId="77777777" w:rsidR="00041788" w:rsidRDefault="00041788" w:rsidP="000417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treaty bodies should be consulted individually and jointly, without compromising their independence, and in full compliance with the instruments that inform their actions; and</w:t>
      </w:r>
    </w:p>
    <w:p w14:paraId="464C580B" w14:textId="77777777" w:rsidR="00041788" w:rsidRDefault="00041788" w:rsidP="00041788">
      <w:pPr>
        <w:pStyle w:val="ListParagraph"/>
        <w:jc w:val="both"/>
        <w:rPr>
          <w:sz w:val="24"/>
          <w:szCs w:val="24"/>
        </w:rPr>
      </w:pPr>
    </w:p>
    <w:p w14:paraId="464C580C" w14:textId="77777777" w:rsidR="00041788" w:rsidRPr="00041788" w:rsidRDefault="00041788" w:rsidP="000417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41788">
        <w:rPr>
          <w:sz w:val="24"/>
          <w:szCs w:val="24"/>
        </w:rPr>
        <w:t xml:space="preserve">the work of these bodies should contribute to dealing, in a constructive manner, with the challenges faced by states and, to the extent possible, stimulate the adoption of measures that contribute to non-repetition of violations. </w:t>
      </w:r>
    </w:p>
    <w:p w14:paraId="464C580D" w14:textId="77777777" w:rsid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Brazil believes that a preventive, long-term,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sustainable approach, capable of mustering existing UN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mechanisms, agendas and resources, would work for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benefit of treaty bodies and the international human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rights system at large. The benefits of preventive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solutions concerning specific TB challenges, such as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work overload and resource constraints are clear and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straightforward.</w:t>
      </w:r>
      <w:r w:rsidRPr="00041788">
        <w:rPr>
          <w:sz w:val="24"/>
          <w:szCs w:val="24"/>
        </w:rPr>
        <w:br/>
      </w:r>
      <w:r w:rsidRPr="00041788">
        <w:rPr>
          <w:sz w:val="24"/>
          <w:szCs w:val="24"/>
        </w:rPr>
        <w:br/>
        <w:t>We therefore encourage this process to better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"communicate" with other ongoing UN processes such as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the OHCHR 2018-2021 Management Plan, or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implementation of the 2030 Agenda for Sustainable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Development. This could not only meet the OHCHR`s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concerns with regard to mainstreaming human rights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across the system, but also its primary mission of</w:t>
      </w:r>
      <w:r w:rsidRPr="00041788">
        <w:rPr>
          <w:sz w:val="24"/>
          <w:szCs w:val="24"/>
        </w:rPr>
        <w:br/>
        <w:t>ensuring their universal promotion and protection.</w:t>
      </w:r>
    </w:p>
    <w:p w14:paraId="464C580E" w14:textId="77777777" w:rsidR="00552E35" w:rsidRPr="00041788" w:rsidRDefault="00041788" w:rsidP="00041788">
      <w:pPr>
        <w:jc w:val="both"/>
        <w:rPr>
          <w:sz w:val="24"/>
          <w:szCs w:val="24"/>
        </w:rPr>
      </w:pPr>
      <w:r w:rsidRPr="00041788">
        <w:rPr>
          <w:sz w:val="24"/>
          <w:szCs w:val="24"/>
        </w:rPr>
        <w:t>Another aspect that deserves attention is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complementarity amongst the TB system, the Universal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Periodic Review (UPR) and Special Procedures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mechanism. Brazil supports further reflection on the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relationship between recommendations produced by these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three mechanisms. Likewise, we acknowledge the idea of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giving further attention to the relation among binding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treaty body reporting and the UPR and Special</w:t>
      </w:r>
      <w:r>
        <w:rPr>
          <w:sz w:val="24"/>
          <w:szCs w:val="24"/>
        </w:rPr>
        <w:t xml:space="preserve"> </w:t>
      </w:r>
      <w:r w:rsidRPr="00041788">
        <w:rPr>
          <w:sz w:val="24"/>
          <w:szCs w:val="24"/>
        </w:rPr>
        <w:t>Procedures engagement.</w:t>
      </w:r>
    </w:p>
    <w:sectPr w:rsidR="00552E35" w:rsidRPr="000417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8671F"/>
    <w:multiLevelType w:val="hybridMultilevel"/>
    <w:tmpl w:val="FE26B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88"/>
    <w:rsid w:val="00041788"/>
    <w:rsid w:val="00254140"/>
    <w:rsid w:val="007B4CCE"/>
    <w:rsid w:val="008A2820"/>
    <w:rsid w:val="00CA6C13"/>
    <w:rsid w:val="00E22BE0"/>
    <w:rsid w:val="00E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57F4"/>
  <w15:chartTrackingRefBased/>
  <w15:docId w15:val="{75C70E59-D005-438E-8E0B-79FB63E1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04213-EBDE-4B84-8D77-357EA101D6A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8D198D-474E-4839-AE20-85537CA31199}"/>
</file>

<file path=customXml/itemProps3.xml><?xml version="1.0" encoding="utf-8"?>
<ds:datastoreItem xmlns:ds="http://schemas.openxmlformats.org/officeDocument/2006/customXml" ds:itemID="{F3CB3F1D-B97C-42F9-A8EC-7F163AC0C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BRAZIL</dc:creator>
  <cp:keywords/>
  <dc:description/>
  <cp:lastModifiedBy>BROWN Helen</cp:lastModifiedBy>
  <cp:revision>2</cp:revision>
  <dcterms:created xsi:type="dcterms:W3CDTF">2019-05-14T16:35:00Z</dcterms:created>
  <dcterms:modified xsi:type="dcterms:W3CDTF">2019-05-14T16:35:00Z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