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3853"/>
      </w:tblGrid>
      <w:tr w:rsidR="00980239" w:rsidRPr="00E5340B" w14:paraId="7767AD5A" w14:textId="77777777" w:rsidTr="00980239">
        <w:trPr>
          <w:jc w:val="center"/>
        </w:trPr>
        <w:tc>
          <w:tcPr>
            <w:tcW w:w="3794" w:type="dxa"/>
            <w:vAlign w:val="center"/>
          </w:tcPr>
          <w:p w14:paraId="3F96154D" w14:textId="4E86778E" w:rsidR="00980239" w:rsidRDefault="00980239" w:rsidP="00980239">
            <w:pPr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Helvetica" w:eastAsiaTheme="minorHAnsi" w:hAnsi="Helvetica" w:cs="Helvetic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7A55CA7" wp14:editId="3DE032E2">
                  <wp:extent cx="3177243" cy="9124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99" cy="91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14:paraId="17703180" w14:textId="77777777" w:rsidR="00980239" w:rsidRPr="00091DF0" w:rsidRDefault="00980239" w:rsidP="0098023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91DF0">
              <w:rPr>
                <w:b/>
                <w:bCs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35A35051" wp14:editId="5EB56C1D">
                  <wp:extent cx="1039495" cy="1064317"/>
                  <wp:effectExtent l="0" t="0" r="1905" b="2540"/>
                  <wp:docPr id="2" name="Image 1" descr="F:\armoiri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armoiri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629" cy="106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7A755" w14:textId="77777777" w:rsidR="00980239" w:rsidRPr="00980239" w:rsidRDefault="00980239" w:rsidP="00980239">
            <w:pPr>
              <w:jc w:val="center"/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</w:pPr>
            <w:r w:rsidRPr="00980239"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  <w:t>Permanent Mission of the</w:t>
            </w:r>
          </w:p>
          <w:p w14:paraId="7A4B4BAE" w14:textId="77777777" w:rsidR="00980239" w:rsidRPr="00980239" w:rsidRDefault="00980239" w:rsidP="00980239">
            <w:pPr>
              <w:jc w:val="center"/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</w:pPr>
            <w:r w:rsidRPr="00980239"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  <w:t>Kingdom of Morocco to the UN</w:t>
            </w:r>
          </w:p>
          <w:p w14:paraId="7BBC070E" w14:textId="4126FEB5" w:rsidR="00980239" w:rsidRDefault="00980239" w:rsidP="00B406E0">
            <w:pPr>
              <w:jc w:val="both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</w:tc>
      </w:tr>
    </w:tbl>
    <w:p w14:paraId="6E55F147" w14:textId="77777777" w:rsidR="00166F86" w:rsidRDefault="00166F86" w:rsidP="000448B6">
      <w:pPr>
        <w:jc w:val="right"/>
        <w:rPr>
          <w:rFonts w:ascii="Times New Roman" w:hAnsi="Times New Roman" w:cs="Arial"/>
          <w:sz w:val="24"/>
          <w:szCs w:val="24"/>
          <w:lang w:val="en-US"/>
        </w:rPr>
      </w:pPr>
    </w:p>
    <w:p w14:paraId="64B043DF" w14:textId="6EEB7D3A" w:rsidR="00980239" w:rsidRDefault="006B46FF" w:rsidP="000448B6">
      <w:pPr>
        <w:jc w:val="right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>18</w:t>
      </w:r>
      <w:r w:rsidR="005026BE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 w:rsidR="008E7728">
        <w:rPr>
          <w:rFonts w:ascii="Times New Roman" w:hAnsi="Times New Roman" w:cs="Arial"/>
          <w:sz w:val="24"/>
          <w:szCs w:val="24"/>
          <w:lang w:val="en-US"/>
        </w:rPr>
        <w:t>August</w:t>
      </w:r>
      <w:r w:rsidR="000448B6">
        <w:rPr>
          <w:rFonts w:ascii="Times New Roman" w:hAnsi="Times New Roman" w:cs="Arial"/>
          <w:sz w:val="24"/>
          <w:szCs w:val="24"/>
          <w:lang w:val="en-US"/>
        </w:rPr>
        <w:t xml:space="preserve"> 2020</w:t>
      </w:r>
    </w:p>
    <w:p w14:paraId="3CDC6686" w14:textId="77777777" w:rsidR="00166F86" w:rsidRDefault="00166F86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4F7F2DB6" w14:textId="364E8CAD" w:rsidR="00B406E0" w:rsidRDefault="00B406E0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980239">
        <w:rPr>
          <w:rFonts w:ascii="Times New Roman" w:hAnsi="Times New Roman" w:cs="Arial"/>
          <w:sz w:val="24"/>
          <w:szCs w:val="24"/>
          <w:lang w:val="en-US"/>
        </w:rPr>
        <w:t>Excellency,</w:t>
      </w:r>
    </w:p>
    <w:p w14:paraId="7E7794AC" w14:textId="77777777" w:rsidR="00D777EA" w:rsidRPr="00980239" w:rsidRDefault="00D777EA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2C1EB35B" w14:textId="047815CF" w:rsidR="00B36AD0" w:rsidRDefault="000D22B1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proofErr w:type="gramStart"/>
      <w:r w:rsidRPr="000D22B1">
        <w:rPr>
          <w:rFonts w:ascii="Times New Roman" w:hAnsi="Times New Roman" w:cs="Arial"/>
          <w:sz w:val="24"/>
          <w:szCs w:val="24"/>
          <w:lang w:val="en-US"/>
        </w:rPr>
        <w:t>In our capacity as co-facilitators of the process of the consideration of the state of the UN h</w:t>
      </w:r>
      <w:r w:rsidR="00B36AD0">
        <w:rPr>
          <w:rFonts w:ascii="Times New Roman" w:hAnsi="Times New Roman" w:cs="Arial"/>
          <w:sz w:val="24"/>
          <w:szCs w:val="24"/>
          <w:lang w:val="en-US"/>
        </w:rPr>
        <w:t xml:space="preserve">uman rights treaty body system, we are pleased to share with you further details on the modalities of </w:t>
      </w:r>
      <w:r>
        <w:rPr>
          <w:rFonts w:ascii="Times New Roman" w:hAnsi="Times New Roman" w:cs="Arial"/>
          <w:sz w:val="24"/>
          <w:szCs w:val="24"/>
          <w:lang w:val="en-US"/>
        </w:rPr>
        <w:t xml:space="preserve">the </w:t>
      </w:r>
      <w:r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informal consultation with Member States </w:t>
      </w:r>
      <w:r w:rsidR="00B36AD0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in </w:t>
      </w:r>
      <w:r w:rsidR="008E7728">
        <w:rPr>
          <w:rFonts w:ascii="Times New Roman" w:hAnsi="Times New Roman" w:cs="Arial"/>
          <w:sz w:val="24"/>
          <w:szCs w:val="24"/>
          <w:u w:val="single"/>
          <w:lang w:val="en-US"/>
        </w:rPr>
        <w:t>Geneva</w:t>
      </w:r>
      <w:r w:rsidR="00B36AD0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, scheduled </w:t>
      </w:r>
      <w:r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on </w:t>
      </w:r>
      <w:r w:rsidR="008E7728">
        <w:rPr>
          <w:rFonts w:ascii="Times New Roman" w:hAnsi="Times New Roman" w:cs="Arial"/>
          <w:sz w:val="24"/>
          <w:szCs w:val="24"/>
          <w:u w:val="single"/>
          <w:lang w:val="en-US"/>
        </w:rPr>
        <w:t>Friday</w:t>
      </w:r>
      <w:r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>, 2</w:t>
      </w:r>
      <w:r w:rsidR="008E7728">
        <w:rPr>
          <w:rFonts w:ascii="Times New Roman" w:hAnsi="Times New Roman" w:cs="Arial"/>
          <w:sz w:val="24"/>
          <w:szCs w:val="24"/>
          <w:u w:val="single"/>
          <w:lang w:val="en-US"/>
        </w:rPr>
        <w:t>8 August</w:t>
      </w:r>
      <w:r w:rsidR="00CA59D7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2020</w:t>
      </w:r>
      <w:r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, from </w:t>
      </w:r>
      <w:r w:rsidR="00BC05C2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>10</w:t>
      </w:r>
      <w:r w:rsidR="00922372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>:00</w:t>
      </w:r>
      <w:r w:rsidR="005A3D99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</w:t>
      </w:r>
      <w:r w:rsidR="00922372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>a</w:t>
      </w:r>
      <w:r w:rsidR="005A3D99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>.</w:t>
      </w:r>
      <w:r w:rsidR="00922372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>m</w:t>
      </w:r>
      <w:r w:rsidR="005A3D99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>.</w:t>
      </w:r>
      <w:r w:rsidR="00922372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to</w:t>
      </w:r>
      <w:r w:rsidR="00A04B90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</w:t>
      </w:r>
      <w:r w:rsidR="00146804">
        <w:rPr>
          <w:rFonts w:ascii="Times New Roman" w:hAnsi="Times New Roman" w:cs="Arial"/>
          <w:sz w:val="24"/>
          <w:szCs w:val="24"/>
          <w:u w:val="single"/>
          <w:lang w:val="en-US"/>
        </w:rPr>
        <w:t>01:00</w:t>
      </w:r>
      <w:r w:rsidR="00A04B90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</w:t>
      </w:r>
      <w:r w:rsidR="00E8622F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>p.m.</w:t>
      </w:r>
      <w:r w:rsidR="008E7728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in Room XX in the Palais des Nations</w:t>
      </w:r>
      <w:r w:rsidR="005A3D99" w:rsidRPr="00B36AD0">
        <w:rPr>
          <w:rFonts w:ascii="Times New Roman" w:hAnsi="Times New Roman" w:cs="Arial"/>
          <w:sz w:val="24"/>
          <w:szCs w:val="24"/>
          <w:lang w:val="en-US"/>
        </w:rPr>
        <w:t>.</w:t>
      </w:r>
      <w:proofErr w:type="gramEnd"/>
      <w:r w:rsidR="00C72E66" w:rsidRPr="00B36AD0">
        <w:rPr>
          <w:rFonts w:ascii="Times New Roman" w:hAnsi="Times New Roman" w:cs="Arial"/>
          <w:sz w:val="24"/>
          <w:szCs w:val="24"/>
          <w:lang w:val="en-US"/>
        </w:rPr>
        <w:t xml:space="preserve"> </w:t>
      </w:r>
    </w:p>
    <w:p w14:paraId="11B5977E" w14:textId="77777777" w:rsidR="009B0DB1" w:rsidRDefault="009B0DB1" w:rsidP="00B221C4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2CF880B6" w14:textId="03B3544C" w:rsidR="00600CA0" w:rsidRDefault="006B46FF" w:rsidP="00B221C4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6B46FF">
        <w:rPr>
          <w:rFonts w:ascii="Times New Roman" w:hAnsi="Times New Roman" w:cs="Arial"/>
          <w:sz w:val="24"/>
          <w:szCs w:val="24"/>
          <w:lang w:val="en-US"/>
        </w:rPr>
        <w:t>All delegates wishing to participate in the informal consultation either in person in</w:t>
      </w:r>
      <w:r>
        <w:rPr>
          <w:rFonts w:ascii="Times New Roman" w:hAnsi="Times New Roman" w:cs="Arial"/>
          <w:sz w:val="24"/>
          <w:szCs w:val="24"/>
          <w:lang w:val="en-US"/>
        </w:rPr>
        <w:t xml:space="preserve"> room XX, Palais des Nations, or</w:t>
      </w:r>
      <w:r w:rsidR="004C232F">
        <w:rPr>
          <w:rFonts w:ascii="Times New Roman" w:hAnsi="Times New Roman" w:cs="Arial"/>
          <w:sz w:val="24"/>
          <w:szCs w:val="24"/>
          <w:lang w:val="en-US"/>
        </w:rPr>
        <w:t xml:space="preserve"> on-line on </w:t>
      </w:r>
      <w:proofErr w:type="spellStart"/>
      <w:r w:rsidR="004C232F">
        <w:rPr>
          <w:rFonts w:ascii="Times New Roman" w:hAnsi="Times New Roman" w:cs="Arial"/>
          <w:sz w:val="24"/>
          <w:szCs w:val="24"/>
          <w:lang w:val="en-US"/>
        </w:rPr>
        <w:t>webex</w:t>
      </w:r>
      <w:proofErr w:type="spellEnd"/>
      <w:r w:rsidR="004C232F">
        <w:rPr>
          <w:rFonts w:ascii="Times New Roman" w:hAnsi="Times New Roman" w:cs="Arial"/>
          <w:sz w:val="24"/>
          <w:szCs w:val="24"/>
          <w:lang w:val="en-US"/>
        </w:rPr>
        <w:t xml:space="preserve">, </w:t>
      </w:r>
      <w:proofErr w:type="gramStart"/>
      <w:r w:rsidRPr="006B46FF">
        <w:rPr>
          <w:rFonts w:ascii="Times New Roman" w:hAnsi="Times New Roman" w:cs="Arial"/>
          <w:sz w:val="24"/>
          <w:szCs w:val="24"/>
          <w:lang w:val="en-US"/>
        </w:rPr>
        <w:t>are requested</w:t>
      </w:r>
      <w:proofErr w:type="gramEnd"/>
      <w:r w:rsidRPr="006B46FF">
        <w:rPr>
          <w:rFonts w:ascii="Times New Roman" w:hAnsi="Times New Roman" w:cs="Arial"/>
          <w:sz w:val="24"/>
          <w:szCs w:val="24"/>
          <w:lang w:val="en-US"/>
        </w:rPr>
        <w:t xml:space="preserve"> to register their participation with</w:t>
      </w:r>
      <w:r>
        <w:rPr>
          <w:rFonts w:ascii="Times New Roman" w:hAnsi="Times New Roman" w:cs="Arial"/>
          <w:sz w:val="24"/>
          <w:szCs w:val="24"/>
          <w:lang w:val="en-US"/>
        </w:rPr>
        <w:t xml:space="preserve"> the Secretariat through INDICO</w:t>
      </w:r>
      <w:r w:rsidR="00B221C4" w:rsidRPr="00D777EA">
        <w:rPr>
          <w:rFonts w:ascii="Times New Roman" w:hAnsi="Times New Roman" w:cs="Arial"/>
          <w:sz w:val="24"/>
          <w:szCs w:val="24"/>
          <w:lang w:val="en-US"/>
        </w:rPr>
        <w:t>. Please note that due to COVID-19 physica</w:t>
      </w:r>
      <w:r w:rsidR="004C232F">
        <w:rPr>
          <w:rFonts w:ascii="Times New Roman" w:hAnsi="Times New Roman" w:cs="Arial"/>
          <w:sz w:val="24"/>
          <w:szCs w:val="24"/>
          <w:lang w:val="en-US"/>
        </w:rPr>
        <w:t xml:space="preserve">l distancing restrictions </w:t>
      </w:r>
      <w:r w:rsidR="00B221C4" w:rsidRPr="00D777EA">
        <w:rPr>
          <w:rFonts w:ascii="Times New Roman" w:hAnsi="Times New Roman" w:cs="Arial"/>
          <w:sz w:val="24"/>
          <w:szCs w:val="24"/>
          <w:lang w:val="en-US"/>
        </w:rPr>
        <w:t>in place at UNOG, the capacity of room XX is limited to 101 participants at desks with microphones. Therefore, participation will be limited to one person per delegation. If you w</w:t>
      </w:r>
      <w:r w:rsidR="00AC05A9">
        <w:rPr>
          <w:rFonts w:ascii="Times New Roman" w:hAnsi="Times New Roman" w:cs="Arial"/>
          <w:sz w:val="24"/>
          <w:szCs w:val="24"/>
          <w:lang w:val="en-US"/>
        </w:rPr>
        <w:t>ish to observe the consultation</w:t>
      </w:r>
      <w:r w:rsidR="00B221C4" w:rsidRPr="00D777EA">
        <w:rPr>
          <w:rFonts w:ascii="Times New Roman" w:hAnsi="Times New Roman" w:cs="Arial"/>
          <w:sz w:val="24"/>
          <w:szCs w:val="24"/>
          <w:lang w:val="en-US"/>
        </w:rPr>
        <w:t xml:space="preserve">, i.e. not to take the floor, the meeting will be </w:t>
      </w:r>
      <w:r w:rsidR="004C232F">
        <w:rPr>
          <w:rFonts w:ascii="Times New Roman" w:hAnsi="Times New Roman" w:cs="Arial"/>
          <w:sz w:val="24"/>
          <w:szCs w:val="24"/>
          <w:lang w:val="en-US"/>
        </w:rPr>
        <w:t xml:space="preserve">on webcast and </w:t>
      </w:r>
      <w:r w:rsidR="00B221C4" w:rsidRPr="00D777EA">
        <w:rPr>
          <w:rFonts w:ascii="Times New Roman" w:hAnsi="Times New Roman" w:cs="Arial"/>
          <w:sz w:val="24"/>
          <w:szCs w:val="24"/>
          <w:lang w:val="en-US"/>
        </w:rPr>
        <w:t>acc</w:t>
      </w:r>
      <w:r w:rsidR="004C232F">
        <w:rPr>
          <w:rFonts w:ascii="Times New Roman" w:hAnsi="Times New Roman" w:cs="Arial"/>
          <w:sz w:val="24"/>
          <w:szCs w:val="24"/>
          <w:lang w:val="en-US"/>
        </w:rPr>
        <w:t>essible to the public on UN Web TV.</w:t>
      </w:r>
    </w:p>
    <w:p w14:paraId="365812BB" w14:textId="77777777" w:rsidR="009B0DB1" w:rsidRDefault="009B0DB1" w:rsidP="009B0DB1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7A6E8EC0" w14:textId="63B87472" w:rsidR="009B0DB1" w:rsidRDefault="009B0DB1" w:rsidP="009B0DB1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 xml:space="preserve">The meeting </w:t>
      </w:r>
      <w:proofErr w:type="gramStart"/>
      <w:r>
        <w:rPr>
          <w:rFonts w:ascii="Times New Roman" w:hAnsi="Times New Roman" w:cs="Arial"/>
          <w:sz w:val="24"/>
          <w:szCs w:val="24"/>
          <w:lang w:val="en-US"/>
        </w:rPr>
        <w:t>will be structured</w:t>
      </w:r>
      <w:proofErr w:type="gramEnd"/>
      <w:r>
        <w:rPr>
          <w:rFonts w:ascii="Times New Roman" w:hAnsi="Times New Roman" w:cs="Arial"/>
          <w:sz w:val="24"/>
          <w:szCs w:val="24"/>
          <w:lang w:val="en-US"/>
        </w:rPr>
        <w:t xml:space="preserve"> into discussions on the following issues:</w:t>
      </w:r>
    </w:p>
    <w:p w14:paraId="7E67562E" w14:textId="77777777" w:rsidR="009B0DB1" w:rsidRPr="00AB601F" w:rsidRDefault="009B0DB1" w:rsidP="009B0DB1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AB601F">
        <w:rPr>
          <w:rFonts w:ascii="Times New Roman" w:hAnsi="Times New Roman" w:cs="Arial"/>
          <w:sz w:val="24"/>
          <w:szCs w:val="24"/>
          <w:lang w:val="en-US"/>
        </w:rPr>
        <w:t xml:space="preserve">Simplified reporting procedures; </w:t>
      </w:r>
    </w:p>
    <w:p w14:paraId="5D621B6B" w14:textId="77777777" w:rsidR="009B0DB1" w:rsidRPr="00AB601F" w:rsidRDefault="009B0DB1" w:rsidP="009B0DB1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AB601F">
        <w:rPr>
          <w:rFonts w:ascii="Times New Roman" w:hAnsi="Times New Roman" w:cs="Arial"/>
          <w:sz w:val="24"/>
          <w:szCs w:val="24"/>
          <w:lang w:val="en-US"/>
        </w:rPr>
        <w:t xml:space="preserve">Harmonization and working methods; </w:t>
      </w:r>
    </w:p>
    <w:p w14:paraId="17C2C9B1" w14:textId="77777777" w:rsidR="009B0DB1" w:rsidRPr="00AB601F" w:rsidRDefault="009B0DB1" w:rsidP="009B0DB1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AB601F">
        <w:rPr>
          <w:rFonts w:ascii="Times New Roman" w:hAnsi="Times New Roman" w:cs="Arial"/>
          <w:sz w:val="24"/>
          <w:szCs w:val="24"/>
          <w:lang w:val="en-US"/>
        </w:rPr>
        <w:t xml:space="preserve">Aligned methodology for constructive dialogue; </w:t>
      </w:r>
    </w:p>
    <w:p w14:paraId="26C03B68" w14:textId="77777777" w:rsidR="009B0DB1" w:rsidRPr="00AB601F" w:rsidRDefault="009B0DB1" w:rsidP="009B0DB1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AB601F">
        <w:rPr>
          <w:rFonts w:ascii="Times New Roman" w:hAnsi="Times New Roman" w:cs="Arial"/>
          <w:sz w:val="24"/>
          <w:szCs w:val="24"/>
          <w:lang w:val="en-US"/>
        </w:rPr>
        <w:t xml:space="preserve">Fixed calendar; </w:t>
      </w:r>
    </w:p>
    <w:p w14:paraId="37B3CFC9" w14:textId="77777777" w:rsidR="009B0DB1" w:rsidRPr="00AB601F" w:rsidRDefault="009B0DB1" w:rsidP="009B0DB1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AB601F">
        <w:rPr>
          <w:rFonts w:ascii="Times New Roman" w:hAnsi="Times New Roman" w:cs="Arial"/>
          <w:sz w:val="24"/>
          <w:szCs w:val="24"/>
          <w:lang w:val="en-US"/>
        </w:rPr>
        <w:t xml:space="preserve">Periodicity of the human rights treaty bodies sessions; </w:t>
      </w:r>
    </w:p>
    <w:p w14:paraId="0837250B" w14:textId="77777777" w:rsidR="009B0DB1" w:rsidRPr="00AB601F" w:rsidRDefault="009B0DB1" w:rsidP="009B0DB1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AB601F">
        <w:rPr>
          <w:rFonts w:ascii="Times New Roman" w:hAnsi="Times New Roman" w:cs="Arial"/>
          <w:sz w:val="24"/>
          <w:szCs w:val="24"/>
          <w:lang w:val="en-US"/>
        </w:rPr>
        <w:t xml:space="preserve">Concluding observations and recommendations, including their follow-up. </w:t>
      </w:r>
    </w:p>
    <w:p w14:paraId="4694D45D" w14:textId="77777777" w:rsidR="009B0DB1" w:rsidRDefault="009B0DB1" w:rsidP="009B0DB1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0833D628" w14:textId="3BA4EA5E" w:rsidR="00D353F0" w:rsidRPr="00D353F0" w:rsidRDefault="009B0DB1" w:rsidP="00D353F0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B36AD0">
        <w:rPr>
          <w:rFonts w:ascii="Times New Roman" w:hAnsi="Times New Roman" w:cs="Arial"/>
          <w:sz w:val="24"/>
          <w:szCs w:val="24"/>
          <w:lang w:val="en-US"/>
        </w:rPr>
        <w:t xml:space="preserve">For each </w:t>
      </w:r>
      <w:r>
        <w:rPr>
          <w:rFonts w:ascii="Times New Roman" w:hAnsi="Times New Roman" w:cs="Arial"/>
          <w:sz w:val="24"/>
          <w:szCs w:val="24"/>
          <w:lang w:val="en-US"/>
        </w:rPr>
        <w:t xml:space="preserve">of the above-mentioned </w:t>
      </w:r>
      <w:r w:rsidRPr="00B36AD0">
        <w:rPr>
          <w:rFonts w:ascii="Times New Roman" w:hAnsi="Times New Roman" w:cs="Arial"/>
          <w:sz w:val="24"/>
          <w:szCs w:val="24"/>
          <w:lang w:val="en-US"/>
        </w:rPr>
        <w:t>item</w:t>
      </w:r>
      <w:r>
        <w:rPr>
          <w:rFonts w:ascii="Times New Roman" w:hAnsi="Times New Roman" w:cs="Arial"/>
          <w:sz w:val="24"/>
          <w:szCs w:val="24"/>
          <w:lang w:val="en-US"/>
        </w:rPr>
        <w:t>s</w:t>
      </w:r>
      <w:r w:rsidRPr="00B36AD0">
        <w:rPr>
          <w:rFonts w:ascii="Times New Roman" w:hAnsi="Times New Roman" w:cs="Arial"/>
          <w:sz w:val="24"/>
          <w:szCs w:val="24"/>
          <w:lang w:val="en-US"/>
        </w:rPr>
        <w:t>, the co-facilitators will m</w:t>
      </w:r>
      <w:r>
        <w:rPr>
          <w:rFonts w:ascii="Times New Roman" w:hAnsi="Times New Roman" w:cs="Arial"/>
          <w:sz w:val="24"/>
          <w:szCs w:val="24"/>
          <w:lang w:val="en-US"/>
        </w:rPr>
        <w:t>ake a brief presentation based on the</w:t>
      </w:r>
      <w:r w:rsidR="009F615E">
        <w:rPr>
          <w:rFonts w:ascii="Times New Roman" w:hAnsi="Times New Roman" w:cs="Arial"/>
          <w:sz w:val="24"/>
          <w:szCs w:val="24"/>
          <w:lang w:val="en-US"/>
        </w:rPr>
        <w:t xml:space="preserve"> written contributions received. After each </w:t>
      </w:r>
      <w:proofErr w:type="gramStart"/>
      <w:r w:rsidR="009F615E">
        <w:rPr>
          <w:rFonts w:ascii="Times New Roman" w:hAnsi="Times New Roman" w:cs="Arial"/>
          <w:sz w:val="24"/>
          <w:szCs w:val="24"/>
          <w:lang w:val="en-US"/>
        </w:rPr>
        <w:t>agenda</w:t>
      </w:r>
      <w:proofErr w:type="gramEnd"/>
      <w:r w:rsidR="009F615E">
        <w:rPr>
          <w:rFonts w:ascii="Times New Roman" w:hAnsi="Times New Roman" w:cs="Arial"/>
          <w:sz w:val="24"/>
          <w:szCs w:val="24"/>
          <w:lang w:val="en-US"/>
        </w:rPr>
        <w:t xml:space="preserve"> item</w:t>
      </w:r>
      <w:r>
        <w:rPr>
          <w:rFonts w:ascii="Times New Roman" w:hAnsi="Times New Roman" w:cs="Arial"/>
          <w:sz w:val="24"/>
          <w:szCs w:val="24"/>
          <w:lang w:val="en-US"/>
        </w:rPr>
        <w:t xml:space="preserve"> the floor will be opened for delegations. Statements should not exceed 2 minutes for individual delegations and </w:t>
      </w:r>
      <w:r>
        <w:rPr>
          <w:rFonts w:ascii="Times New Roman" w:hAnsi="Times New Roman" w:cs="Arial"/>
          <w:sz w:val="24"/>
          <w:szCs w:val="24"/>
          <w:lang w:val="en-US"/>
        </w:rPr>
        <w:br/>
        <w:t xml:space="preserve">3 minutes for groups. </w:t>
      </w:r>
      <w:r w:rsidR="00D353F0" w:rsidRPr="00D353F0">
        <w:rPr>
          <w:rFonts w:ascii="Times New Roman" w:hAnsi="Times New Roman" w:cs="Arial"/>
          <w:sz w:val="24"/>
          <w:szCs w:val="24"/>
          <w:lang w:val="en-US"/>
        </w:rPr>
        <w:t xml:space="preserve">Please note that interpretation in all six UN languages </w:t>
      </w:r>
      <w:proofErr w:type="gramStart"/>
      <w:r w:rsidR="00D353F0" w:rsidRPr="00D353F0">
        <w:rPr>
          <w:rFonts w:ascii="Times New Roman" w:hAnsi="Times New Roman" w:cs="Arial"/>
          <w:sz w:val="24"/>
          <w:szCs w:val="24"/>
          <w:lang w:val="en-US"/>
        </w:rPr>
        <w:t>will be provided</w:t>
      </w:r>
      <w:proofErr w:type="gramEnd"/>
      <w:r w:rsidR="00D353F0" w:rsidRPr="00D353F0">
        <w:rPr>
          <w:rFonts w:ascii="Times New Roman" w:hAnsi="Times New Roman" w:cs="Arial"/>
          <w:sz w:val="24"/>
          <w:szCs w:val="24"/>
          <w:lang w:val="en-US"/>
        </w:rPr>
        <w:t xml:space="preserve"> in room XX, however due to technical reasons </w:t>
      </w:r>
      <w:r w:rsidR="00D353F0">
        <w:rPr>
          <w:rFonts w:ascii="Times New Roman" w:hAnsi="Times New Roman" w:cs="Arial"/>
          <w:sz w:val="24"/>
          <w:szCs w:val="24"/>
          <w:lang w:val="en-US"/>
        </w:rPr>
        <w:t xml:space="preserve">interpretation is not possible on </w:t>
      </w:r>
      <w:proofErr w:type="spellStart"/>
      <w:r w:rsidR="00D353F0" w:rsidRPr="00D353F0">
        <w:rPr>
          <w:rFonts w:ascii="Times New Roman" w:hAnsi="Times New Roman" w:cs="Arial"/>
          <w:sz w:val="24"/>
          <w:szCs w:val="24"/>
          <w:lang w:val="en-US"/>
        </w:rPr>
        <w:t>webex</w:t>
      </w:r>
      <w:proofErr w:type="spellEnd"/>
      <w:r w:rsidR="00D353F0" w:rsidRPr="00D353F0">
        <w:rPr>
          <w:rFonts w:ascii="Times New Roman" w:hAnsi="Times New Roman" w:cs="Arial"/>
          <w:sz w:val="24"/>
          <w:szCs w:val="24"/>
          <w:lang w:val="en-US"/>
        </w:rPr>
        <w:t xml:space="preserve">. </w:t>
      </w:r>
      <w:r w:rsidR="00D353F0">
        <w:rPr>
          <w:rFonts w:ascii="Times New Roman" w:hAnsi="Times New Roman" w:cs="Arial"/>
          <w:sz w:val="24"/>
          <w:szCs w:val="24"/>
          <w:lang w:val="en-US"/>
        </w:rPr>
        <w:t>Therefore, delegates</w:t>
      </w:r>
      <w:r w:rsidR="00D353F0" w:rsidRPr="00D353F0">
        <w:rPr>
          <w:rFonts w:ascii="Times New Roman" w:hAnsi="Times New Roman" w:cs="Arial"/>
          <w:sz w:val="24"/>
          <w:szCs w:val="24"/>
          <w:lang w:val="en-US"/>
        </w:rPr>
        <w:t xml:space="preserve"> wishing to speak in another UN language than English </w:t>
      </w:r>
      <w:proofErr w:type="gramStart"/>
      <w:r w:rsidR="00D353F0" w:rsidRPr="00D353F0">
        <w:rPr>
          <w:rFonts w:ascii="Times New Roman" w:hAnsi="Times New Roman" w:cs="Arial"/>
          <w:sz w:val="24"/>
          <w:szCs w:val="24"/>
          <w:lang w:val="en-US"/>
        </w:rPr>
        <w:t>are kindly requested</w:t>
      </w:r>
      <w:proofErr w:type="gramEnd"/>
      <w:r w:rsidR="00D353F0" w:rsidRPr="00D353F0">
        <w:rPr>
          <w:rFonts w:ascii="Times New Roman" w:hAnsi="Times New Roman" w:cs="Arial"/>
          <w:sz w:val="24"/>
          <w:szCs w:val="24"/>
          <w:lang w:val="en-US"/>
        </w:rPr>
        <w:t xml:space="preserve"> to participate in person in room XX. Otherwise, </w:t>
      </w:r>
      <w:r w:rsidR="00D353F0">
        <w:rPr>
          <w:rFonts w:ascii="Times New Roman" w:hAnsi="Times New Roman" w:cs="Arial"/>
          <w:sz w:val="24"/>
          <w:szCs w:val="24"/>
          <w:lang w:val="en-US"/>
        </w:rPr>
        <w:t xml:space="preserve">please </w:t>
      </w:r>
      <w:r w:rsidR="00D353F0" w:rsidRPr="00D353F0">
        <w:rPr>
          <w:rFonts w:ascii="Times New Roman" w:hAnsi="Times New Roman" w:cs="Arial"/>
          <w:sz w:val="24"/>
          <w:szCs w:val="24"/>
          <w:lang w:val="en-US"/>
        </w:rPr>
        <w:t>indicate in</w:t>
      </w:r>
      <w:r w:rsidR="00D353F0">
        <w:rPr>
          <w:rFonts w:ascii="Times New Roman" w:hAnsi="Times New Roman" w:cs="Arial"/>
          <w:sz w:val="24"/>
          <w:szCs w:val="24"/>
          <w:lang w:val="en-US"/>
        </w:rPr>
        <w:t xml:space="preserve"> advance in which UN language you wish to deliver the statements</w:t>
      </w:r>
      <w:r w:rsidR="00D353F0" w:rsidRPr="00D353F0">
        <w:rPr>
          <w:rFonts w:ascii="Times New Roman" w:hAnsi="Times New Roman" w:cs="Arial"/>
          <w:sz w:val="24"/>
          <w:szCs w:val="24"/>
          <w:lang w:val="en-US"/>
        </w:rPr>
        <w:t>.</w:t>
      </w:r>
    </w:p>
    <w:p w14:paraId="35DECD2A" w14:textId="69A8B4FA" w:rsidR="00600CA0" w:rsidRPr="00600CA0" w:rsidRDefault="00600CA0" w:rsidP="00600CA0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73204CFD" w14:textId="439F8E60" w:rsidR="00B221C4" w:rsidRDefault="00B221C4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5B25CFA4" w14:textId="549BAD74" w:rsidR="00600CA0" w:rsidRDefault="00600CA0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735A240A" w14:textId="642578DC" w:rsidR="00600CA0" w:rsidRDefault="00600CA0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70AA73B7" w14:textId="77777777" w:rsidR="00E5340B" w:rsidRDefault="00E5340B" w:rsidP="00E5340B">
      <w:pPr>
        <w:rPr>
          <w:rFonts w:ascii="Times New Roman" w:eastAsiaTheme="minorHAnsi" w:hAnsi="Times New Roman"/>
          <w:sz w:val="24"/>
          <w:szCs w:val="24"/>
          <w:lang w:val="en-US"/>
        </w:rPr>
      </w:pPr>
    </w:p>
    <w:p w14:paraId="56261C4E" w14:textId="77777777" w:rsidR="00E5340B" w:rsidRDefault="00E5340B" w:rsidP="00E5340B">
      <w:pPr>
        <w:rPr>
          <w:rFonts w:ascii="Times New Roman" w:eastAsiaTheme="minorHAnsi" w:hAnsi="Times New Roman"/>
          <w:sz w:val="24"/>
          <w:szCs w:val="24"/>
          <w:lang w:val="en-US"/>
        </w:rPr>
      </w:pPr>
      <w:r w:rsidRPr="009F2AFD">
        <w:rPr>
          <w:rFonts w:ascii="Times New Roman" w:eastAsiaTheme="minorHAnsi" w:hAnsi="Times New Roman"/>
          <w:sz w:val="24"/>
          <w:szCs w:val="24"/>
          <w:lang w:val="en-US"/>
        </w:rPr>
        <w:t xml:space="preserve">All Permanent Representatives and </w:t>
      </w:r>
    </w:p>
    <w:p w14:paraId="0F18BAAD" w14:textId="77777777" w:rsidR="00E5340B" w:rsidRPr="009F2AFD" w:rsidRDefault="00E5340B" w:rsidP="00E5340B">
      <w:pPr>
        <w:rPr>
          <w:rFonts w:ascii="Times New Roman" w:eastAsiaTheme="minorHAnsi" w:hAnsi="Times New Roman"/>
          <w:sz w:val="24"/>
          <w:szCs w:val="24"/>
          <w:lang w:val="en-US"/>
        </w:rPr>
      </w:pPr>
      <w:r w:rsidRPr="009F2AFD">
        <w:rPr>
          <w:rFonts w:ascii="Times New Roman" w:eastAsiaTheme="minorHAnsi" w:hAnsi="Times New Roman"/>
          <w:sz w:val="24"/>
          <w:szCs w:val="24"/>
          <w:lang w:val="en-US"/>
        </w:rPr>
        <w:t xml:space="preserve">Permanent Observers to the United Nations </w:t>
      </w:r>
    </w:p>
    <w:p w14:paraId="42BE2643" w14:textId="77777777" w:rsidR="00E5340B" w:rsidRPr="00980239" w:rsidRDefault="00E5340B" w:rsidP="00E5340B">
      <w:pPr>
        <w:rPr>
          <w:rFonts w:ascii="Times New Roman" w:hAnsi="Times New Roman" w:cs="Arial"/>
          <w:sz w:val="24"/>
          <w:szCs w:val="24"/>
          <w:lang w:val="en-US"/>
        </w:rPr>
      </w:pPr>
      <w:r w:rsidRPr="009F2AFD">
        <w:rPr>
          <w:rFonts w:ascii="Times New Roman" w:eastAsiaTheme="minorHAnsi" w:hAnsi="Times New Roman"/>
          <w:sz w:val="24"/>
          <w:szCs w:val="24"/>
          <w:lang w:val="en-US"/>
        </w:rPr>
        <w:t xml:space="preserve">New York </w:t>
      </w:r>
    </w:p>
    <w:p w14:paraId="0C9A790D" w14:textId="1D229522" w:rsidR="00600CA0" w:rsidRDefault="00600CA0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7035EED1" w14:textId="069F9E94" w:rsidR="00600CA0" w:rsidRDefault="00600CA0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5122D9E2" w14:textId="41CBEA91" w:rsidR="00166F86" w:rsidRDefault="008E7728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 xml:space="preserve">The Office of the High Commissioner for </w:t>
      </w:r>
      <w:r w:rsidR="00B221C4">
        <w:rPr>
          <w:rFonts w:ascii="Times New Roman" w:hAnsi="Times New Roman" w:cs="Arial"/>
          <w:sz w:val="24"/>
          <w:szCs w:val="24"/>
          <w:lang w:val="en-US"/>
        </w:rPr>
        <w:t>H</w:t>
      </w:r>
      <w:r>
        <w:rPr>
          <w:rFonts w:ascii="Times New Roman" w:hAnsi="Times New Roman" w:cs="Arial"/>
          <w:sz w:val="24"/>
          <w:szCs w:val="24"/>
          <w:lang w:val="en-US"/>
        </w:rPr>
        <w:t>uman Rights will soon circulate a detailed information note in this regard to Permanent Missions in Geneva.</w:t>
      </w:r>
    </w:p>
    <w:p w14:paraId="76251EC6" w14:textId="77777777" w:rsidR="004C232F" w:rsidRDefault="004C232F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3AB219B0" w14:textId="05B11952" w:rsidR="00166F86" w:rsidRDefault="00B406E0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980239">
        <w:rPr>
          <w:rFonts w:ascii="Times New Roman" w:hAnsi="Times New Roman" w:cs="Arial"/>
          <w:sz w:val="24"/>
          <w:szCs w:val="24"/>
          <w:lang w:val="en-US"/>
        </w:rPr>
        <w:t>Please accept, Excellency, the assurances of our highest consideration.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472"/>
      </w:tblGrid>
      <w:tr w:rsidR="00C628AA" w:rsidRPr="00E5340B" w14:paraId="2F070E69" w14:textId="77777777" w:rsidTr="00D929C6">
        <w:trPr>
          <w:trHeight w:val="1736"/>
          <w:jc w:val="center"/>
        </w:trPr>
        <w:tc>
          <w:tcPr>
            <w:tcW w:w="4644" w:type="dxa"/>
          </w:tcPr>
          <w:p w14:paraId="751ABCF8" w14:textId="77777777" w:rsidR="00C628AA" w:rsidRDefault="00C628AA" w:rsidP="009802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76A92A54" w14:textId="77777777" w:rsidR="00C628AA" w:rsidRPr="00C628AA" w:rsidRDefault="00C628AA" w:rsidP="00C628AA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 w:rsidRPr="00C628AA">
              <w:rPr>
                <w:rFonts w:ascii="Times New Roman" w:hAnsi="Times New Roman" w:cs="Arial"/>
                <w:sz w:val="24"/>
                <w:szCs w:val="24"/>
                <w:lang w:val="en-US"/>
              </w:rPr>
              <w:t>Pascale Baeriswyl</w:t>
            </w:r>
          </w:p>
          <w:p w14:paraId="52C9C755" w14:textId="37EAB839" w:rsidR="00C628AA" w:rsidRPr="00C628AA" w:rsidRDefault="00146804" w:rsidP="00C628AA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051FFEC" wp14:editId="403121CE">
                  <wp:extent cx="2329180" cy="7073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CA7695" w14:textId="77777777" w:rsidR="00C628AA" w:rsidRPr="00C628AA" w:rsidRDefault="00C628AA" w:rsidP="00C628AA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 w:rsidRPr="00C628AA">
              <w:rPr>
                <w:rFonts w:ascii="Times New Roman" w:hAnsi="Times New Roman" w:cs="Arial"/>
                <w:sz w:val="24"/>
                <w:szCs w:val="24"/>
                <w:lang w:val="en-US"/>
              </w:rPr>
              <w:t>Ambassador, Permanent Representative of</w:t>
            </w:r>
          </w:p>
          <w:p w14:paraId="2C64EC6D" w14:textId="706899DB" w:rsidR="00980239" w:rsidRDefault="00C628AA" w:rsidP="00D929C6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 w:rsidRPr="00C628AA">
              <w:rPr>
                <w:rFonts w:ascii="Times New Roman" w:hAnsi="Times New Roman" w:cs="Arial"/>
                <w:sz w:val="24"/>
                <w:szCs w:val="24"/>
                <w:lang w:val="en-US"/>
              </w:rPr>
              <w:t>Switzerland to the UN</w:t>
            </w:r>
          </w:p>
          <w:p w14:paraId="08C22919" w14:textId="21D96784" w:rsidR="00C628AA" w:rsidRDefault="00C628AA" w:rsidP="00B406E0">
            <w:pPr>
              <w:jc w:val="both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4644" w:type="dxa"/>
          </w:tcPr>
          <w:p w14:paraId="16949B37" w14:textId="77777777" w:rsidR="00C628AA" w:rsidRDefault="00C628AA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686C1C02" w14:textId="76381710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3"/>
                <w:szCs w:val="23"/>
                <w:lang w:val="en-GB" w:eastAsia="en-GB"/>
              </w:rPr>
              <w:drawing>
                <wp:anchor distT="0" distB="0" distL="114300" distR="114300" simplePos="0" relativeHeight="251657215" behindDoc="1" locked="0" layoutInCell="1" allowOverlap="1" wp14:anchorId="026129D7" wp14:editId="4EBCC543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96520</wp:posOffset>
                  </wp:positionV>
                  <wp:extent cx="1852295" cy="46291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46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Omar Hilale</w:t>
            </w:r>
          </w:p>
          <w:p w14:paraId="167B6035" w14:textId="42AA3B1F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17AAFAFE" w14:textId="156B96E0" w:rsidR="00146804" w:rsidRDefault="00146804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5B87D67B" w14:textId="053C14FD" w:rsidR="00146804" w:rsidRDefault="00146804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6CFDDB64" w14:textId="77777777" w:rsidR="00146804" w:rsidRDefault="00146804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1F2DB94F" w14:textId="77777777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Ambassador, Permanent Representative of</w:t>
            </w:r>
          </w:p>
          <w:p w14:paraId="1BAF4C19" w14:textId="1166C5D8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The Kingdom of Morocco to the UN</w:t>
            </w:r>
          </w:p>
        </w:tc>
      </w:tr>
    </w:tbl>
    <w:p w14:paraId="41D271E0" w14:textId="5A842F41" w:rsidR="00166F86" w:rsidRDefault="00166F86" w:rsidP="009F2AFD">
      <w:pPr>
        <w:rPr>
          <w:rFonts w:ascii="Times New Roman" w:eastAsiaTheme="minorHAnsi" w:hAnsi="Times New Roman"/>
          <w:sz w:val="24"/>
          <w:szCs w:val="24"/>
          <w:lang w:val="en-US"/>
        </w:rPr>
      </w:pPr>
    </w:p>
    <w:p w14:paraId="1C15C2A8" w14:textId="09D96C0B" w:rsidR="00146804" w:rsidRDefault="00146804" w:rsidP="009F2AFD">
      <w:pPr>
        <w:rPr>
          <w:rFonts w:ascii="Times New Roman" w:eastAsiaTheme="minorHAnsi" w:hAnsi="Times New Roman"/>
          <w:sz w:val="24"/>
          <w:szCs w:val="24"/>
          <w:lang w:val="en-US"/>
        </w:rPr>
      </w:pPr>
    </w:p>
    <w:p w14:paraId="22DC09EE" w14:textId="4D2A73D4" w:rsidR="00980239" w:rsidRPr="00980239" w:rsidRDefault="009F2AFD" w:rsidP="009F2AFD">
      <w:pPr>
        <w:rPr>
          <w:rFonts w:ascii="Times New Roman" w:hAnsi="Times New Roman" w:cs="Arial"/>
          <w:sz w:val="24"/>
          <w:szCs w:val="24"/>
          <w:lang w:val="en-US"/>
        </w:rPr>
      </w:pPr>
      <w:r w:rsidRPr="009F2AF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sectPr w:rsidR="00980239" w:rsidRPr="00980239" w:rsidSect="000448B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D74C8"/>
    <w:multiLevelType w:val="hybridMultilevel"/>
    <w:tmpl w:val="E082596A"/>
    <w:lvl w:ilvl="0" w:tplc="92FE872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30A5C"/>
    <w:multiLevelType w:val="hybridMultilevel"/>
    <w:tmpl w:val="46B601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72AE7"/>
    <w:multiLevelType w:val="hybridMultilevel"/>
    <w:tmpl w:val="47AE5680"/>
    <w:lvl w:ilvl="0" w:tplc="D9BCA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67CF1"/>
    <w:multiLevelType w:val="hybridMultilevel"/>
    <w:tmpl w:val="EBE671B6"/>
    <w:lvl w:ilvl="0" w:tplc="A2B238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E0"/>
    <w:rsid w:val="000448B6"/>
    <w:rsid w:val="000D22B1"/>
    <w:rsid w:val="00123087"/>
    <w:rsid w:val="00146804"/>
    <w:rsid w:val="00146FE6"/>
    <w:rsid w:val="0015146F"/>
    <w:rsid w:val="00166F86"/>
    <w:rsid w:val="00250DDB"/>
    <w:rsid w:val="00280298"/>
    <w:rsid w:val="002A0013"/>
    <w:rsid w:val="003A071B"/>
    <w:rsid w:val="003D3C1F"/>
    <w:rsid w:val="003F115F"/>
    <w:rsid w:val="003F6A4A"/>
    <w:rsid w:val="00427F7A"/>
    <w:rsid w:val="0046516E"/>
    <w:rsid w:val="004C232F"/>
    <w:rsid w:val="005026BE"/>
    <w:rsid w:val="00525D47"/>
    <w:rsid w:val="005A3D99"/>
    <w:rsid w:val="00600CA0"/>
    <w:rsid w:val="006411FF"/>
    <w:rsid w:val="006A17B5"/>
    <w:rsid w:val="006B46FF"/>
    <w:rsid w:val="007353ED"/>
    <w:rsid w:val="007447EC"/>
    <w:rsid w:val="00776839"/>
    <w:rsid w:val="007A2841"/>
    <w:rsid w:val="007D2FC4"/>
    <w:rsid w:val="007F18C8"/>
    <w:rsid w:val="008666FD"/>
    <w:rsid w:val="00886240"/>
    <w:rsid w:val="0088798B"/>
    <w:rsid w:val="008E7728"/>
    <w:rsid w:val="00922372"/>
    <w:rsid w:val="009657AD"/>
    <w:rsid w:val="00971A03"/>
    <w:rsid w:val="00980239"/>
    <w:rsid w:val="009B0DB1"/>
    <w:rsid w:val="009D4C0B"/>
    <w:rsid w:val="009F2AFD"/>
    <w:rsid w:val="009F615E"/>
    <w:rsid w:val="00A04B90"/>
    <w:rsid w:val="00A452A1"/>
    <w:rsid w:val="00A461C2"/>
    <w:rsid w:val="00AB601F"/>
    <w:rsid w:val="00AC05A9"/>
    <w:rsid w:val="00B047D6"/>
    <w:rsid w:val="00B221C4"/>
    <w:rsid w:val="00B27C79"/>
    <w:rsid w:val="00B36AD0"/>
    <w:rsid w:val="00B406E0"/>
    <w:rsid w:val="00B517D1"/>
    <w:rsid w:val="00BC05C2"/>
    <w:rsid w:val="00BD3C25"/>
    <w:rsid w:val="00C06AC8"/>
    <w:rsid w:val="00C628AA"/>
    <w:rsid w:val="00C72E66"/>
    <w:rsid w:val="00C8590D"/>
    <w:rsid w:val="00CA59D7"/>
    <w:rsid w:val="00CF6392"/>
    <w:rsid w:val="00D07D13"/>
    <w:rsid w:val="00D35315"/>
    <w:rsid w:val="00D353F0"/>
    <w:rsid w:val="00D44C85"/>
    <w:rsid w:val="00D75E18"/>
    <w:rsid w:val="00D777EA"/>
    <w:rsid w:val="00D82942"/>
    <w:rsid w:val="00D929C6"/>
    <w:rsid w:val="00E209C1"/>
    <w:rsid w:val="00E5340B"/>
    <w:rsid w:val="00E8622F"/>
    <w:rsid w:val="00EA7AE8"/>
    <w:rsid w:val="00ED709D"/>
    <w:rsid w:val="00ED76B4"/>
    <w:rsid w:val="00FA2995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ED692"/>
  <w15:docId w15:val="{AF62F3BD-B6F9-4099-B659-7B1CD905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E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0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6E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E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E0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17B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71A03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8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90D"/>
    <w:pPr>
      <w:ind w:left="720"/>
      <w:contextualSpacing/>
    </w:pPr>
  </w:style>
  <w:style w:type="paragraph" w:customStyle="1" w:styleId="Default">
    <w:name w:val="Default"/>
    <w:rsid w:val="00B36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133B24-EAB9-49FE-9C7B-E3243E17D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7D517-5279-44BF-82B7-4A3DB0E83A3C}"/>
</file>

<file path=customXml/itemProps3.xml><?xml version="1.0" encoding="utf-8"?>
<ds:datastoreItem xmlns:ds="http://schemas.openxmlformats.org/officeDocument/2006/customXml" ds:itemID="{9E5F01A4-7466-4C24-B896-3590F5582A6D}"/>
</file>

<file path=customXml/itemProps4.xml><?xml version="1.0" encoding="utf-8"?>
<ds:datastoreItem xmlns:ds="http://schemas.openxmlformats.org/officeDocument/2006/customXml" ds:itemID="{66A37214-B0AB-4550-A978-3BBD153A15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Valérie EDA WAV</dc:creator>
  <cp:keywords/>
  <dc:description/>
  <cp:lastModifiedBy>THODIYIL Sindu</cp:lastModifiedBy>
  <cp:revision>2</cp:revision>
  <cp:lastPrinted>2020-07-17T19:34:00Z</cp:lastPrinted>
  <dcterms:created xsi:type="dcterms:W3CDTF">2020-08-21T09:09:00Z</dcterms:created>
  <dcterms:modified xsi:type="dcterms:W3CDTF">2020-08-21T09:09:00Z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