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D8750" w14:textId="77777777" w:rsidR="00383CB1" w:rsidRDefault="00383CB1">
      <w:bookmarkStart w:id="0" w:name="_GoBack"/>
      <w:bookmarkEnd w:id="0"/>
    </w:p>
    <w:p w14:paraId="0BA185DF" w14:textId="05224625" w:rsidR="00383CB1" w:rsidRDefault="00383CB1"/>
    <w:p w14:paraId="1B0A5391" w14:textId="480A77EA" w:rsidR="00383CB1" w:rsidRDefault="00383CB1" w:rsidP="00383CB1">
      <w:pPr>
        <w:spacing w:after="40"/>
        <w:jc w:val="center"/>
        <w:rPr>
          <w:rFonts w:ascii="Tahoma" w:hAnsi="Tahoma" w:cs="Tahoma"/>
          <w:b/>
          <w:sz w:val="34"/>
          <w:szCs w:val="34"/>
          <w:shd w:val="clear" w:color="auto" w:fill="FFFFFF"/>
        </w:rPr>
      </w:pPr>
      <w:bookmarkStart w:id="1" w:name="_Hlk15459582"/>
    </w:p>
    <w:p w14:paraId="5B39601B" w14:textId="4399E74A" w:rsidR="00383CB1" w:rsidRPr="00C45FD1" w:rsidRDefault="00DE44A8" w:rsidP="00383CB1">
      <w:pPr>
        <w:spacing w:after="40"/>
        <w:jc w:val="center"/>
        <w:rPr>
          <w:rFonts w:ascii="Tahoma" w:hAnsi="Tahoma" w:cs="Tahoma"/>
          <w:b/>
          <w:sz w:val="34"/>
          <w:szCs w:val="34"/>
          <w:shd w:val="clear" w:color="auto" w:fill="FFFFFF"/>
        </w:rPr>
      </w:pPr>
      <w:r w:rsidRPr="00C45FD1">
        <w:rPr>
          <w:rFonts w:ascii="Arial" w:hAnsi="Arial"/>
          <w:b/>
          <w:noProof/>
          <w:color w:val="000000"/>
          <w:sz w:val="24"/>
          <w:szCs w:val="24"/>
          <w:shd w:val="clear" w:color="auto" w:fill="FFFFFF"/>
          <w:lang w:val="en-GB" w:eastAsia="en-GB"/>
        </w:rPr>
        <mc:AlternateContent>
          <mc:Choice Requires="wps">
            <w:drawing>
              <wp:anchor distT="45720" distB="45720" distL="114300" distR="114300" simplePos="0" relativeHeight="251669504" behindDoc="0" locked="0" layoutInCell="1" allowOverlap="1" wp14:anchorId="42A2F038" wp14:editId="7CA10683">
                <wp:simplePos x="0" y="0"/>
                <wp:positionH relativeFrom="margin">
                  <wp:posOffset>1905</wp:posOffset>
                </wp:positionH>
                <wp:positionV relativeFrom="paragraph">
                  <wp:posOffset>340995</wp:posOffset>
                </wp:positionV>
                <wp:extent cx="6750685" cy="1869440"/>
                <wp:effectExtent l="0" t="0" r="31115" b="355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685" cy="1869440"/>
                        </a:xfrm>
                        <a:prstGeom prst="rect">
                          <a:avLst/>
                        </a:prstGeom>
                        <a:solidFill>
                          <a:srgbClr val="FFFFFF"/>
                        </a:solidFill>
                        <a:ln w="9525">
                          <a:solidFill>
                            <a:srgbClr val="000000"/>
                          </a:solidFill>
                          <a:miter lim="800000"/>
                          <a:headEnd/>
                          <a:tailEnd/>
                        </a:ln>
                      </wps:spPr>
                      <wps:txbx>
                        <w:txbxContent>
                          <w:p w14:paraId="1EE2D9BC" w14:textId="1962A5AE" w:rsidR="00B536A2" w:rsidRPr="004F2616" w:rsidRDefault="00B536A2" w:rsidP="00DE44A8">
                            <w:pPr>
                              <w:spacing w:after="40"/>
                              <w:jc w:val="center"/>
                              <w:rPr>
                                <w:rFonts w:ascii="Tahoma" w:hAnsi="Tahoma" w:cs="Tahoma"/>
                                <w:b/>
                                <w:sz w:val="34"/>
                                <w:szCs w:val="34"/>
                                <w:shd w:val="clear" w:color="auto" w:fill="FFFFFF"/>
                              </w:rPr>
                            </w:pPr>
                            <w:r>
                              <w:rPr>
                                <w:rFonts w:ascii="Tahoma" w:hAnsi="Tahoma"/>
                                <w:b/>
                                <w:sz w:val="34"/>
                                <w:shd w:val="clear" w:color="auto" w:fill="FFFFFF"/>
                              </w:rPr>
                              <w:t xml:space="preserve">NOTE CONCEPTUELLE ET </w:t>
                            </w:r>
                            <w:r w:rsidRPr="00CD301E">
                              <w:rPr>
                                <w:rFonts w:ascii="Tahoma" w:hAnsi="Tahoma"/>
                                <w:b/>
                                <w:sz w:val="34"/>
                                <w:shd w:val="clear" w:color="auto" w:fill="FFFFFF"/>
                              </w:rPr>
                              <w:t>DONNÉES PRÉLIMINAIRES</w:t>
                            </w:r>
                          </w:p>
                          <w:p w14:paraId="3BBBD44F" w14:textId="33D74614" w:rsidR="00B536A2" w:rsidRDefault="0098688D" w:rsidP="00DE44A8">
                            <w:pPr>
                              <w:spacing w:after="0"/>
                              <w:jc w:val="center"/>
                              <w:rPr>
                                <w:rFonts w:ascii="Tahoma" w:hAnsi="Tahoma" w:cs="Tahoma"/>
                                <w:b/>
                                <w:color w:val="000000"/>
                                <w:sz w:val="24"/>
                                <w:szCs w:val="24"/>
                                <w:shd w:val="clear" w:color="auto" w:fill="FFFFFF"/>
                              </w:rPr>
                            </w:pPr>
                            <w:r>
                              <w:rPr>
                                <w:rFonts w:ascii="Tahoma" w:hAnsi="Tahoma"/>
                                <w:b/>
                                <w:color w:val="000000"/>
                                <w:sz w:val="24"/>
                                <w:shd w:val="clear" w:color="auto" w:fill="FFFFFF"/>
                              </w:rPr>
                              <w:t>L</w:t>
                            </w:r>
                            <w:r w:rsidR="00B536A2">
                              <w:rPr>
                                <w:rFonts w:ascii="Tahoma" w:hAnsi="Tahoma"/>
                                <w:b/>
                                <w:color w:val="000000"/>
                                <w:sz w:val="24"/>
                                <w:shd w:val="clear" w:color="auto" w:fill="FFFFFF"/>
                              </w:rPr>
                              <w:t>’élimination des pratiques néfastes : accusations (d’utilisation malveillante) de sorcellerie</w:t>
                            </w:r>
                            <w:r w:rsidR="00CB2F50">
                              <w:rPr>
                                <w:rFonts w:ascii="Tahoma" w:hAnsi="Tahoma"/>
                                <w:b/>
                                <w:color w:val="000000"/>
                                <w:sz w:val="24"/>
                                <w:shd w:val="clear" w:color="auto" w:fill="FFFFFF"/>
                              </w:rPr>
                              <w:t xml:space="preserve"> et ag</w:t>
                            </w:r>
                            <w:r w:rsidR="00B536A2">
                              <w:rPr>
                                <w:rFonts w:ascii="Tahoma" w:hAnsi="Tahoma"/>
                                <w:b/>
                                <w:color w:val="000000"/>
                                <w:sz w:val="24"/>
                                <w:shd w:val="clear" w:color="auto" w:fill="FFFFFF"/>
                              </w:rPr>
                              <w:t>ressions rituelles</w:t>
                            </w:r>
                          </w:p>
                          <w:p w14:paraId="0B6C7AE5" w14:textId="77777777" w:rsidR="00B536A2" w:rsidRDefault="00B536A2" w:rsidP="0029094E">
                            <w:pPr>
                              <w:pStyle w:val="SingleTxtG"/>
                              <w:ind w:left="0" w:right="0"/>
                              <w:jc w:val="center"/>
                              <w:rPr>
                                <w:rFonts w:ascii="Arial" w:eastAsia="Times New Roman" w:hAnsi="Arial" w:cs="Arial"/>
                                <w:b/>
                                <w:sz w:val="24"/>
                                <w:szCs w:val="24"/>
                              </w:rPr>
                            </w:pPr>
                          </w:p>
                          <w:p w14:paraId="47CCEA1D" w14:textId="716E10A5" w:rsidR="00B536A2" w:rsidRDefault="00B536A2" w:rsidP="00DE44A8">
                            <w:pPr>
                              <w:pStyle w:val="SingleTxtG"/>
                              <w:ind w:left="0" w:right="0"/>
                              <w:jc w:val="center"/>
                              <w:rPr>
                                <w:rFonts w:ascii="Arial" w:eastAsia="Times New Roman" w:hAnsi="Arial" w:cs="Arial"/>
                                <w:b/>
                                <w:sz w:val="24"/>
                                <w:szCs w:val="24"/>
                              </w:rPr>
                            </w:pPr>
                            <w:r>
                              <w:rPr>
                                <w:rFonts w:ascii="Arial" w:eastAsia="Times New Roman" w:hAnsi="Arial" w:cs="Arial"/>
                                <w:b/>
                                <w:sz w:val="24"/>
                                <w:szCs w:val="24"/>
                              </w:rPr>
                              <w:t>Mars 2020</w:t>
                            </w:r>
                          </w:p>
                          <w:p w14:paraId="74AF30E5" w14:textId="5851C575" w:rsidR="00B536A2" w:rsidRDefault="00B536A2" w:rsidP="002909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2F038" id="_x0000_t202" coordsize="21600,21600" o:spt="202" path="m,l,21600r21600,l21600,xe">
                <v:stroke joinstyle="miter"/>
                <v:path gradientshapeok="t" o:connecttype="rect"/>
              </v:shapetype>
              <v:shape id="Text Box 2" o:spid="_x0000_s1026" type="#_x0000_t202" style="position:absolute;left:0;text-align:left;margin-left:.15pt;margin-top:26.85pt;width:531.55pt;height:147.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">
                <v:textbox>
                  <w:txbxContent>
                    <w:p w14:paraId="1EE2D9BC" w14:textId="1962A5AE" w:rsidR="00B536A2" w:rsidRPr="004F2616" w:rsidRDefault="00B536A2" w:rsidP="00DE44A8">
                      <w:pPr>
                        <w:spacing w:after="40"/>
                        <w:jc w:val="center"/>
                        <w:rPr>
                          <w:rFonts w:ascii="Tahoma" w:hAnsi="Tahoma" w:cs="Tahoma"/>
                          <w:b/>
                          <w:sz w:val="34"/>
                          <w:szCs w:val="34"/>
                          <w:shd w:val="clear" w:color="auto" w:fill="FFFFFF"/>
                        </w:rPr>
                      </w:pPr>
                      <w:r>
                        <w:rPr>
                          <w:rFonts w:ascii="Tahoma" w:hAnsi="Tahoma"/>
                          <w:b/>
                          <w:sz w:val="34"/>
                          <w:shd w:val="clear" w:color="auto" w:fill="FFFFFF"/>
                        </w:rPr>
                        <w:t xml:space="preserve">NOTE CONCEPTUELLE ET </w:t>
                      </w:r>
                      <w:r w:rsidRPr="00CD301E">
                        <w:rPr>
                          <w:rFonts w:ascii="Tahoma" w:hAnsi="Tahoma"/>
                          <w:b/>
                          <w:sz w:val="34"/>
                          <w:shd w:val="clear" w:color="auto" w:fill="FFFFFF"/>
                        </w:rPr>
                        <w:t>DONNÉES PRÉLIMINAIRES</w:t>
                      </w:r>
                    </w:p>
                    <w:p w14:paraId="3BBBD44F" w14:textId="33D74614" w:rsidR="00B536A2" w:rsidRDefault="0098688D" w:rsidP="00DE44A8">
                      <w:pPr>
                        <w:spacing w:after="0"/>
                        <w:jc w:val="center"/>
                        <w:rPr>
                          <w:rFonts w:ascii="Tahoma" w:hAnsi="Tahoma" w:cs="Tahoma"/>
                          <w:b/>
                          <w:color w:val="000000"/>
                          <w:sz w:val="24"/>
                          <w:szCs w:val="24"/>
                          <w:shd w:val="clear" w:color="auto" w:fill="FFFFFF"/>
                        </w:rPr>
                      </w:pPr>
                      <w:r>
                        <w:rPr>
                          <w:rFonts w:ascii="Tahoma" w:hAnsi="Tahoma"/>
                          <w:b/>
                          <w:color w:val="000000"/>
                          <w:sz w:val="24"/>
                          <w:shd w:val="clear" w:color="auto" w:fill="FFFFFF"/>
                        </w:rPr>
                        <w:t>L</w:t>
                      </w:r>
                      <w:r w:rsidR="00B536A2">
                        <w:rPr>
                          <w:rFonts w:ascii="Tahoma" w:hAnsi="Tahoma"/>
                          <w:b/>
                          <w:color w:val="000000"/>
                          <w:sz w:val="24"/>
                          <w:shd w:val="clear" w:color="auto" w:fill="FFFFFF"/>
                        </w:rPr>
                        <w:t>’élimination des pratiques néfastes : accusations (d’utilisation malveillante) de sorcellerie</w:t>
                      </w:r>
                      <w:r w:rsidR="00CB2F50">
                        <w:rPr>
                          <w:rFonts w:ascii="Tahoma" w:hAnsi="Tahoma"/>
                          <w:b/>
                          <w:color w:val="000000"/>
                          <w:sz w:val="24"/>
                          <w:shd w:val="clear" w:color="auto" w:fill="FFFFFF"/>
                        </w:rPr>
                        <w:t xml:space="preserve"> et ag</w:t>
                      </w:r>
                      <w:r w:rsidR="00B536A2">
                        <w:rPr>
                          <w:rFonts w:ascii="Tahoma" w:hAnsi="Tahoma"/>
                          <w:b/>
                          <w:color w:val="000000"/>
                          <w:sz w:val="24"/>
                          <w:shd w:val="clear" w:color="auto" w:fill="FFFFFF"/>
                        </w:rPr>
                        <w:t>ressions rituelles</w:t>
                      </w:r>
                    </w:p>
                    <w:p w14:paraId="0B6C7AE5" w14:textId="77777777" w:rsidR="00B536A2" w:rsidRDefault="00B536A2" w:rsidP="0029094E">
                      <w:pPr>
                        <w:pStyle w:val="SingleTxtG"/>
                        <w:ind w:left="0" w:right="0"/>
                        <w:jc w:val="center"/>
                        <w:rPr>
                          <w:rFonts w:ascii="Arial" w:eastAsia="Times New Roman" w:hAnsi="Arial" w:cs="Arial"/>
                          <w:b/>
                          <w:sz w:val="24"/>
                          <w:szCs w:val="24"/>
                        </w:rPr>
                      </w:pPr>
                    </w:p>
                    <w:p w14:paraId="47CCEA1D" w14:textId="716E10A5" w:rsidR="00B536A2" w:rsidRDefault="00B536A2" w:rsidP="00DE44A8">
                      <w:pPr>
                        <w:pStyle w:val="SingleTxtG"/>
                        <w:ind w:left="0" w:right="0"/>
                        <w:jc w:val="center"/>
                        <w:rPr>
                          <w:rFonts w:ascii="Arial" w:eastAsia="Times New Roman" w:hAnsi="Arial" w:cs="Arial"/>
                          <w:b/>
                          <w:sz w:val="24"/>
                          <w:szCs w:val="24"/>
                        </w:rPr>
                      </w:pPr>
                      <w:r>
                        <w:rPr>
                          <w:rFonts w:ascii="Arial" w:eastAsia="Times New Roman" w:hAnsi="Arial" w:cs="Arial"/>
                          <w:b/>
                          <w:sz w:val="24"/>
                          <w:szCs w:val="24"/>
                        </w:rPr>
                        <w:t>Mars 2020</w:t>
                      </w:r>
                    </w:p>
                    <w:p w14:paraId="74AF30E5" w14:textId="5851C575" w:rsidR="00B536A2" w:rsidRDefault="00B536A2" w:rsidP="0029094E">
                      <w:pPr>
                        <w:jc w:val="center"/>
                      </w:pPr>
                    </w:p>
                  </w:txbxContent>
                </v:textbox>
                <w10:wrap type="square" anchorx="margin"/>
              </v:shape>
            </w:pict>
          </mc:Fallback>
        </mc:AlternateContent>
      </w:r>
    </w:p>
    <w:bookmarkEnd w:id="1"/>
    <w:p w14:paraId="6EEA1E62" w14:textId="699CE8BF" w:rsidR="0000325D" w:rsidRDefault="0000325D" w:rsidP="0000325D">
      <w:pPr>
        <w:spacing w:after="0"/>
        <w:rPr>
          <w:rFonts w:ascii="Arial" w:hAnsi="Arial" w:cs="Arial"/>
          <w:b/>
          <w:sz w:val="24"/>
          <w:szCs w:val="24"/>
          <w:shd w:val="clear" w:color="auto" w:fill="FFFFFF"/>
        </w:rPr>
      </w:pPr>
    </w:p>
    <w:p w14:paraId="18D539A9" w14:textId="77777777" w:rsidR="0000325D" w:rsidRPr="0000325D" w:rsidRDefault="0000325D" w:rsidP="0000325D">
      <w:pPr>
        <w:rPr>
          <w:rFonts w:ascii="Arial" w:hAnsi="Arial" w:cs="Arial"/>
          <w:sz w:val="24"/>
          <w:szCs w:val="24"/>
        </w:rPr>
      </w:pPr>
    </w:p>
    <w:p w14:paraId="0FAE9CAF" w14:textId="77777777" w:rsidR="0000325D" w:rsidRPr="0000325D" w:rsidRDefault="0000325D" w:rsidP="0000325D">
      <w:pPr>
        <w:rPr>
          <w:rFonts w:ascii="Arial" w:hAnsi="Arial" w:cs="Arial"/>
          <w:sz w:val="24"/>
          <w:szCs w:val="24"/>
        </w:rPr>
      </w:pPr>
    </w:p>
    <w:p w14:paraId="5FAD767A" w14:textId="77777777" w:rsidR="0000325D" w:rsidRPr="0000325D" w:rsidRDefault="0000325D" w:rsidP="0000325D">
      <w:pPr>
        <w:rPr>
          <w:rFonts w:ascii="Arial" w:hAnsi="Arial" w:cs="Arial"/>
          <w:sz w:val="24"/>
          <w:szCs w:val="24"/>
        </w:rPr>
      </w:pPr>
    </w:p>
    <w:p w14:paraId="4DA6F79A" w14:textId="77777777" w:rsidR="0000325D" w:rsidRPr="0000325D" w:rsidRDefault="0000325D" w:rsidP="0000325D">
      <w:pPr>
        <w:rPr>
          <w:rFonts w:ascii="Arial" w:hAnsi="Arial" w:cs="Arial"/>
          <w:sz w:val="24"/>
          <w:szCs w:val="24"/>
        </w:rPr>
      </w:pPr>
    </w:p>
    <w:p w14:paraId="50F8C2C7" w14:textId="77777777" w:rsidR="0000325D" w:rsidRPr="0000325D" w:rsidRDefault="0000325D" w:rsidP="0000325D">
      <w:pPr>
        <w:rPr>
          <w:rFonts w:ascii="Arial" w:hAnsi="Arial" w:cs="Arial"/>
          <w:sz w:val="24"/>
          <w:szCs w:val="24"/>
        </w:rPr>
      </w:pPr>
    </w:p>
    <w:p w14:paraId="49C11FB6" w14:textId="77777777" w:rsidR="0000325D" w:rsidRPr="0000325D" w:rsidRDefault="0000325D" w:rsidP="0000325D">
      <w:pPr>
        <w:rPr>
          <w:rFonts w:ascii="Arial" w:hAnsi="Arial" w:cs="Arial"/>
          <w:sz w:val="24"/>
          <w:szCs w:val="24"/>
        </w:rPr>
      </w:pPr>
    </w:p>
    <w:p w14:paraId="24A90CAA" w14:textId="77777777" w:rsidR="0000325D" w:rsidRDefault="0000325D" w:rsidP="0000325D">
      <w:pPr>
        <w:tabs>
          <w:tab w:val="left" w:pos="2100"/>
        </w:tabs>
        <w:rPr>
          <w:rFonts w:ascii="Arial" w:hAnsi="Arial" w:cs="Arial"/>
          <w:sz w:val="24"/>
          <w:szCs w:val="24"/>
        </w:rPr>
      </w:pPr>
    </w:p>
    <w:p w14:paraId="64A1B2E9" w14:textId="5EB773E6" w:rsidR="0000325D" w:rsidRDefault="0000325D" w:rsidP="0000325D">
      <w:pPr>
        <w:tabs>
          <w:tab w:val="left" w:pos="2100"/>
        </w:tabs>
        <w:rPr>
          <w:rFonts w:ascii="Arial" w:hAnsi="Arial" w:cs="Arial"/>
          <w:sz w:val="24"/>
          <w:szCs w:val="24"/>
        </w:rPr>
      </w:pPr>
    </w:p>
    <w:p w14:paraId="3EE61F23" w14:textId="3AFE1872" w:rsidR="007B5057" w:rsidRDefault="00016FBA" w:rsidP="0000325D">
      <w:pPr>
        <w:tabs>
          <w:tab w:val="left" w:pos="2100"/>
        </w:tabs>
        <w:rPr>
          <w:rFonts w:ascii="Arial" w:hAnsi="Arial" w:cs="Arial"/>
          <w:sz w:val="24"/>
          <w:szCs w:val="24"/>
        </w:rPr>
      </w:pPr>
      <w:r>
        <w:rPr>
          <w:rFonts w:ascii="Arial" w:hAnsi="Arial" w:cs="Arial"/>
          <w:sz w:val="24"/>
          <w:szCs w:val="24"/>
        </w:rPr>
        <w:t>Rédigée par l'E</w:t>
      </w:r>
      <w:r w:rsidR="00AB091A" w:rsidRPr="00AB091A">
        <w:rPr>
          <w:rFonts w:ascii="Arial" w:hAnsi="Arial" w:cs="Arial"/>
          <w:sz w:val="24"/>
          <w:szCs w:val="24"/>
        </w:rPr>
        <w:t>xpert</w:t>
      </w:r>
      <w:r>
        <w:rPr>
          <w:rFonts w:ascii="Arial" w:hAnsi="Arial" w:cs="Arial"/>
          <w:sz w:val="24"/>
          <w:szCs w:val="24"/>
        </w:rPr>
        <w:t>e I</w:t>
      </w:r>
      <w:r w:rsidR="00AB091A" w:rsidRPr="00AB091A">
        <w:rPr>
          <w:rFonts w:ascii="Arial" w:hAnsi="Arial" w:cs="Arial"/>
          <w:sz w:val="24"/>
          <w:szCs w:val="24"/>
        </w:rPr>
        <w:t>ndépendant</w:t>
      </w:r>
      <w:r>
        <w:rPr>
          <w:rFonts w:ascii="Arial" w:hAnsi="Arial" w:cs="Arial"/>
          <w:sz w:val="24"/>
          <w:szCs w:val="24"/>
        </w:rPr>
        <w:t>e</w:t>
      </w:r>
      <w:r w:rsidR="00AB091A" w:rsidRPr="00AB091A">
        <w:rPr>
          <w:rFonts w:ascii="Arial" w:hAnsi="Arial" w:cs="Arial"/>
          <w:sz w:val="24"/>
          <w:szCs w:val="24"/>
        </w:rPr>
        <w:t xml:space="preserve"> des Nations Unies sur la jouissance des droits de l'homme par les personnes atteintes d'albinisme, en collaboration avec le </w:t>
      </w:r>
      <w:r w:rsidR="00EE390D">
        <w:rPr>
          <w:rFonts w:ascii="Arial" w:hAnsi="Arial" w:cs="Arial"/>
          <w:sz w:val="24"/>
          <w:szCs w:val="24"/>
        </w:rPr>
        <w:t xml:space="preserve">Réseau d’Information sur la Sorcellerie et les Droits de l’Homme (WHRIN) </w:t>
      </w:r>
      <w:r w:rsidR="00AB091A" w:rsidRPr="00AB091A">
        <w:rPr>
          <w:rFonts w:ascii="Arial" w:hAnsi="Arial" w:cs="Arial"/>
          <w:sz w:val="24"/>
          <w:szCs w:val="24"/>
        </w:rPr>
        <w:t xml:space="preserve">et ses organisations membres, Under the Same Sun, The National FGM Centre, Royaume-Uni, Doughty Street </w:t>
      </w:r>
      <w:r>
        <w:rPr>
          <w:rFonts w:ascii="Arial" w:hAnsi="Arial" w:cs="Arial"/>
          <w:sz w:val="24"/>
          <w:szCs w:val="24"/>
        </w:rPr>
        <w:t>Chambers, Royaume-Uni, Australia</w:t>
      </w:r>
      <w:r w:rsidR="00AB091A" w:rsidRPr="00AB091A">
        <w:rPr>
          <w:rFonts w:ascii="Arial" w:hAnsi="Arial" w:cs="Arial"/>
          <w:sz w:val="24"/>
          <w:szCs w:val="24"/>
        </w:rPr>
        <w:t xml:space="preserve"> National University, Divine Word University, Papouasie-Nouvelle-Guinée, Lancaster University, Staffordshire University, </w:t>
      </w:r>
      <w:r w:rsidR="00EE390D">
        <w:rPr>
          <w:rFonts w:ascii="Arial" w:hAnsi="Arial" w:cs="Arial"/>
          <w:sz w:val="24"/>
          <w:szCs w:val="24"/>
        </w:rPr>
        <w:t xml:space="preserve">le </w:t>
      </w:r>
      <w:r w:rsidR="00AB091A" w:rsidRPr="00AB091A">
        <w:rPr>
          <w:rFonts w:ascii="Arial" w:hAnsi="Arial" w:cs="Arial"/>
          <w:sz w:val="24"/>
          <w:szCs w:val="24"/>
        </w:rPr>
        <w:t xml:space="preserve">Centre </w:t>
      </w:r>
      <w:r w:rsidR="00EE390D">
        <w:rPr>
          <w:rFonts w:ascii="Arial" w:hAnsi="Arial" w:cs="Arial"/>
          <w:sz w:val="24"/>
          <w:szCs w:val="24"/>
        </w:rPr>
        <w:t xml:space="preserve">des Droits de l’Homme </w:t>
      </w:r>
      <w:r w:rsidR="00AB091A" w:rsidRPr="00AB091A">
        <w:rPr>
          <w:rFonts w:ascii="Arial" w:hAnsi="Arial" w:cs="Arial"/>
          <w:sz w:val="24"/>
          <w:szCs w:val="24"/>
        </w:rPr>
        <w:t xml:space="preserve">de l'Université de Pretoria et </w:t>
      </w:r>
      <w:r w:rsidR="00EE390D">
        <w:rPr>
          <w:rFonts w:ascii="Arial" w:hAnsi="Arial" w:cs="Arial"/>
          <w:sz w:val="24"/>
          <w:szCs w:val="24"/>
        </w:rPr>
        <w:t xml:space="preserve">le Programme International pour les Droits de l’Homme </w:t>
      </w:r>
      <w:r w:rsidR="00AB091A" w:rsidRPr="00AB091A">
        <w:rPr>
          <w:rFonts w:ascii="Arial" w:hAnsi="Arial" w:cs="Arial"/>
          <w:sz w:val="24"/>
          <w:szCs w:val="24"/>
        </w:rPr>
        <w:t>de l'Université de Toronto</w:t>
      </w:r>
    </w:p>
    <w:p w14:paraId="099C7F57" w14:textId="459895B5" w:rsidR="007B5057" w:rsidRDefault="007B5057" w:rsidP="0000325D">
      <w:pPr>
        <w:tabs>
          <w:tab w:val="left" w:pos="2100"/>
        </w:tabs>
        <w:rPr>
          <w:rFonts w:ascii="Arial" w:hAnsi="Arial" w:cs="Arial"/>
          <w:sz w:val="24"/>
          <w:szCs w:val="24"/>
        </w:rPr>
      </w:pPr>
    </w:p>
    <w:p w14:paraId="09B41CFF" w14:textId="24318BB6" w:rsidR="007B5057" w:rsidRDefault="007B5057" w:rsidP="0000325D">
      <w:pPr>
        <w:tabs>
          <w:tab w:val="left" w:pos="2100"/>
        </w:tabs>
        <w:rPr>
          <w:rFonts w:ascii="Arial" w:hAnsi="Arial" w:cs="Arial"/>
          <w:sz w:val="24"/>
          <w:szCs w:val="24"/>
        </w:rPr>
      </w:pPr>
    </w:p>
    <w:p w14:paraId="1BC98449" w14:textId="4F1C3633" w:rsidR="007B5057" w:rsidRDefault="007B5057" w:rsidP="0000325D">
      <w:pPr>
        <w:tabs>
          <w:tab w:val="left" w:pos="2100"/>
        </w:tabs>
        <w:rPr>
          <w:rFonts w:ascii="Arial" w:hAnsi="Arial" w:cs="Arial"/>
          <w:sz w:val="24"/>
          <w:szCs w:val="24"/>
        </w:rPr>
      </w:pPr>
    </w:p>
    <w:p w14:paraId="0858285C" w14:textId="29332996" w:rsidR="007B5057" w:rsidRDefault="007B5057" w:rsidP="0000325D">
      <w:pPr>
        <w:tabs>
          <w:tab w:val="left" w:pos="2100"/>
        </w:tabs>
        <w:rPr>
          <w:rFonts w:ascii="Arial" w:hAnsi="Arial" w:cs="Arial"/>
          <w:sz w:val="24"/>
          <w:szCs w:val="24"/>
        </w:rPr>
      </w:pPr>
    </w:p>
    <w:p w14:paraId="2753CFAC" w14:textId="5479C372" w:rsidR="0000325D" w:rsidRDefault="0000325D" w:rsidP="0029094E">
      <w:pPr>
        <w:tabs>
          <w:tab w:val="left" w:pos="2100"/>
        </w:tabs>
        <w:jc w:val="both"/>
        <w:rPr>
          <w:rFonts w:ascii="Arial" w:hAnsi="Arial"/>
          <w:sz w:val="24"/>
          <w:szCs w:val="24"/>
        </w:rPr>
      </w:pPr>
      <w:r w:rsidRPr="00137ABD">
        <w:rPr>
          <w:rFonts w:ascii="Arial" w:hAnsi="Arial"/>
          <w:b/>
          <w:sz w:val="24"/>
          <w:szCs w:val="24"/>
        </w:rPr>
        <w:t>RÉSUMÉ DES CAS:</w:t>
      </w:r>
      <w:r w:rsidRPr="00137ABD">
        <w:rPr>
          <w:rFonts w:ascii="Arial" w:hAnsi="Arial"/>
          <w:bCs/>
          <w:color w:val="FF0000"/>
          <w:sz w:val="24"/>
          <w:szCs w:val="24"/>
        </w:rPr>
        <w:t xml:space="preserve"> </w:t>
      </w:r>
      <w:r w:rsidRPr="00137ABD">
        <w:rPr>
          <w:rFonts w:ascii="Arial" w:hAnsi="Arial"/>
          <w:bCs/>
          <w:sz w:val="24"/>
          <w:szCs w:val="24"/>
        </w:rPr>
        <w:t>Plus de</w:t>
      </w:r>
      <w:r w:rsidRPr="00137ABD">
        <w:rPr>
          <w:rFonts w:ascii="Arial" w:hAnsi="Arial"/>
          <w:sz w:val="24"/>
          <w:szCs w:val="24"/>
        </w:rPr>
        <w:t xml:space="preserve"> 20 000 victimes de pratiques </w:t>
      </w:r>
      <w:r>
        <w:rPr>
          <w:rFonts w:ascii="Arial" w:hAnsi="Arial"/>
          <w:sz w:val="24"/>
          <w:szCs w:val="24"/>
        </w:rPr>
        <w:t>néfastes: accusations (d’utilisation malveillante) de sorcellerie et agressions rituelles</w:t>
      </w:r>
      <w:r w:rsidRPr="00137ABD">
        <w:rPr>
          <w:rFonts w:ascii="Arial" w:hAnsi="Arial"/>
          <w:sz w:val="24"/>
          <w:szCs w:val="24"/>
        </w:rPr>
        <w:t xml:space="preserve"> ont été signalées au cours de la dernière décennie, et ce dans 60 pays. Un nombre important de victimes sont des personnes atteintes d’albinisme, des personnes âgées, des femmes et des enfants. La carte suivante indique tous les pays où des cas ont été signalés et </w:t>
      </w:r>
      <w:r>
        <w:rPr>
          <w:rFonts w:ascii="Arial" w:hAnsi="Arial"/>
          <w:sz w:val="24"/>
          <w:szCs w:val="24"/>
        </w:rPr>
        <w:t xml:space="preserve">où </w:t>
      </w:r>
      <w:r w:rsidRPr="00137ABD">
        <w:rPr>
          <w:rFonts w:ascii="Arial" w:hAnsi="Arial"/>
          <w:sz w:val="24"/>
          <w:szCs w:val="24"/>
        </w:rPr>
        <w:t xml:space="preserve">des données sont disponibles. </w:t>
      </w:r>
    </w:p>
    <w:p w14:paraId="35004FA1" w14:textId="3E82123C" w:rsidR="0000325D" w:rsidRPr="0000325D" w:rsidRDefault="00992693" w:rsidP="0029094E">
      <w:pPr>
        <w:tabs>
          <w:tab w:val="left" w:pos="2100"/>
        </w:tabs>
        <w:jc w:val="both"/>
        <w:rPr>
          <w:rFonts w:ascii="Arial" w:hAnsi="Arial"/>
          <w:sz w:val="24"/>
          <w:szCs w:val="24"/>
        </w:rPr>
      </w:pPr>
      <w:r w:rsidRPr="00137ABD">
        <w:rPr>
          <w:rFonts w:ascii="Arial" w:hAnsi="Arial"/>
          <w:sz w:val="24"/>
          <w:szCs w:val="24"/>
        </w:rPr>
        <w:t xml:space="preserve">Pour d’autres représentations visuelles des données </w:t>
      </w:r>
      <w:r w:rsidR="007B5057" w:rsidRPr="00C45FD1">
        <w:rPr>
          <w:noProof/>
          <w:lang w:val="en-GB" w:eastAsia="en-GB"/>
        </w:rPr>
        <w:drawing>
          <wp:anchor distT="0" distB="0" distL="114300" distR="114300" simplePos="0" relativeHeight="251717632" behindDoc="0" locked="0" layoutInCell="1" allowOverlap="1" wp14:anchorId="5681B2D0" wp14:editId="3AC6E451">
            <wp:simplePos x="0" y="0"/>
            <wp:positionH relativeFrom="margin">
              <wp:posOffset>-400050</wp:posOffset>
            </wp:positionH>
            <wp:positionV relativeFrom="paragraph">
              <wp:posOffset>249555</wp:posOffset>
            </wp:positionV>
            <wp:extent cx="7378700" cy="3571875"/>
            <wp:effectExtent l="0" t="0" r="0" b="9525"/>
            <wp:wrapThrough wrapText="bothSides">
              <wp:wrapPolygon edited="0">
                <wp:start x="0" y="0"/>
                <wp:lineTo x="0" y="21542"/>
                <wp:lineTo x="21526" y="21542"/>
                <wp:lineTo x="2152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nch countries with dat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8700" cy="35718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4"/>
          <w:szCs w:val="24"/>
        </w:rPr>
        <w:t>voir</w:t>
      </w:r>
      <w:r w:rsidR="0000325D" w:rsidRPr="00137ABD">
        <w:rPr>
          <w:rFonts w:ascii="Arial" w:hAnsi="Arial"/>
          <w:sz w:val="24"/>
          <w:szCs w:val="24"/>
        </w:rPr>
        <w:t xml:space="preserve"> l’</w:t>
      </w:r>
      <w:r w:rsidR="0000325D" w:rsidRPr="00137ABD">
        <w:rPr>
          <w:rFonts w:ascii="Arial" w:hAnsi="Arial"/>
          <w:sz w:val="24"/>
          <w:szCs w:val="24"/>
          <w:u w:val="single"/>
        </w:rPr>
        <w:t xml:space="preserve">annexe : </w:t>
      </w:r>
      <w:r>
        <w:rPr>
          <w:rFonts w:ascii="Arial" w:hAnsi="Arial"/>
          <w:sz w:val="24"/>
          <w:szCs w:val="24"/>
          <w:u w:val="single"/>
        </w:rPr>
        <w:t>C</w:t>
      </w:r>
      <w:r w:rsidR="0000325D" w:rsidRPr="00137ABD">
        <w:rPr>
          <w:rFonts w:ascii="Arial" w:hAnsi="Arial"/>
          <w:sz w:val="24"/>
          <w:szCs w:val="24"/>
          <w:u w:val="single"/>
        </w:rPr>
        <w:t>artes de données</w:t>
      </w:r>
    </w:p>
    <w:p w14:paraId="3C41AE07" w14:textId="77E4A7CC" w:rsidR="0000325D" w:rsidRPr="0029094E" w:rsidRDefault="007B5057" w:rsidP="007B5057">
      <w:pPr>
        <w:tabs>
          <w:tab w:val="left" w:pos="4395"/>
        </w:tabs>
        <w:spacing w:after="0"/>
        <w:rPr>
          <w:rFonts w:ascii="Arial" w:hAnsi="Arial" w:cs="Arial"/>
          <w:sz w:val="24"/>
          <w:szCs w:val="24"/>
        </w:rPr>
      </w:pPr>
      <w:r>
        <w:rPr>
          <w:rFonts w:ascii="Arial" w:hAnsi="Arial" w:cs="Arial"/>
          <w:sz w:val="24"/>
          <w:szCs w:val="24"/>
        </w:rPr>
        <w:tab/>
      </w:r>
    </w:p>
    <w:p w14:paraId="7CBA04C2" w14:textId="3B402E81" w:rsidR="0000325D" w:rsidRPr="0029094E" w:rsidRDefault="0000325D" w:rsidP="0029094E">
      <w:pPr>
        <w:tabs>
          <w:tab w:val="left" w:pos="2700"/>
        </w:tabs>
        <w:rPr>
          <w:rFonts w:ascii="Arial" w:hAnsi="Arial" w:cs="Arial"/>
          <w:sz w:val="24"/>
          <w:szCs w:val="24"/>
        </w:rPr>
      </w:pPr>
      <w:r>
        <w:rPr>
          <w:rFonts w:ascii="Arial" w:hAnsi="Arial" w:cs="Arial"/>
          <w:sz w:val="24"/>
          <w:szCs w:val="24"/>
        </w:rPr>
        <w:tab/>
      </w:r>
    </w:p>
    <w:p w14:paraId="027E30F3" w14:textId="48CEA942" w:rsidR="002819CE" w:rsidRPr="0029094E" w:rsidRDefault="006D55D7" w:rsidP="0029094E">
      <w:pPr>
        <w:jc w:val="both"/>
        <w:rPr>
          <w:rFonts w:ascii="Arial" w:hAnsi="Arial" w:cs="Arial"/>
          <w:i/>
          <w:sz w:val="20"/>
          <w:szCs w:val="20"/>
        </w:rPr>
      </w:pPr>
      <w:r w:rsidRPr="0029094E">
        <w:rPr>
          <w:rFonts w:ascii="Arial" w:hAnsi="Arial" w:cs="Arial"/>
          <w:i/>
          <w:sz w:val="20"/>
          <w:szCs w:val="20"/>
        </w:rPr>
        <w:t>VALIDATIONS: Cette note conceptuelle et les données préliminaires ont été approuvées par des experts, des chercheurs, des acteurs de terrain expérimentés et des organisations non gouvernementales travaillant sur la question des PNASAR. Il s'agit notamment de : The Pagan</w:t>
      </w:r>
      <w:r w:rsidR="00916428" w:rsidRPr="0029094E">
        <w:rPr>
          <w:rFonts w:ascii="Arial" w:hAnsi="Arial" w:cs="Arial"/>
          <w:i/>
          <w:sz w:val="20"/>
          <w:szCs w:val="20"/>
        </w:rPr>
        <w:t xml:space="preserve"> Federation (Royaume-Uni) ;</w:t>
      </w:r>
      <w:r w:rsidRPr="0029094E">
        <w:rPr>
          <w:rFonts w:ascii="Arial" w:hAnsi="Arial" w:cs="Arial"/>
          <w:i/>
          <w:sz w:val="20"/>
          <w:szCs w:val="20"/>
        </w:rPr>
        <w:t xml:space="preserve"> Alzheimer’s Disease and Related Dementia in Zambia; Institut de Surveillance des Droits de l'Homme; Equipe Pastorale auprès des Enfants en Détresse; Ethnolog</w:t>
      </w:r>
      <w:r w:rsidR="001E4022" w:rsidRPr="0029094E">
        <w:rPr>
          <w:rFonts w:ascii="Arial" w:hAnsi="Arial" w:cs="Arial"/>
          <w:i/>
          <w:sz w:val="20"/>
          <w:szCs w:val="20"/>
        </w:rPr>
        <w:t>e-Politische Bildung; Doyen et P</w:t>
      </w:r>
      <w:r w:rsidRPr="0029094E">
        <w:rPr>
          <w:rFonts w:ascii="Arial" w:hAnsi="Arial" w:cs="Arial"/>
          <w:i/>
          <w:sz w:val="20"/>
          <w:szCs w:val="20"/>
        </w:rPr>
        <w:t>rofesseur, École des sciences infirmières, Université Trinity Western; Département de science politique; Université de l'Indiana Université Purdue d'Indianapolis;</w:t>
      </w:r>
      <w:r w:rsidR="00AE3260" w:rsidRPr="0029094E">
        <w:rPr>
          <w:rFonts w:ascii="Arial" w:hAnsi="Arial" w:cs="Arial"/>
          <w:i/>
          <w:sz w:val="20"/>
          <w:szCs w:val="20"/>
        </w:rPr>
        <w:t xml:space="preserve"> Université de Londres; Réseau A</w:t>
      </w:r>
      <w:r w:rsidR="002819CE" w:rsidRPr="0029094E">
        <w:rPr>
          <w:rFonts w:ascii="Arial" w:hAnsi="Arial" w:cs="Arial"/>
          <w:i/>
          <w:sz w:val="20"/>
          <w:szCs w:val="20"/>
        </w:rPr>
        <w:t xml:space="preserve">fricain pour la Protection et la Prévention Contre la Maltraitance </w:t>
      </w:r>
      <w:r w:rsidR="002819CE" w:rsidRPr="0029094E">
        <w:rPr>
          <w:rFonts w:ascii="Arial" w:hAnsi="Arial" w:cs="Arial"/>
          <w:i/>
          <w:sz w:val="20"/>
          <w:szCs w:val="20"/>
        </w:rPr>
        <w:lastRenderedPageBreak/>
        <w:t>et la N</w:t>
      </w:r>
      <w:r w:rsidRPr="0029094E">
        <w:rPr>
          <w:rFonts w:ascii="Arial" w:hAnsi="Arial" w:cs="Arial"/>
          <w:i/>
          <w:sz w:val="20"/>
          <w:szCs w:val="20"/>
        </w:rPr>
        <w:t xml:space="preserve">égligence </w:t>
      </w:r>
      <w:r w:rsidR="00C85D85" w:rsidRPr="0029094E">
        <w:rPr>
          <w:rFonts w:ascii="Arial" w:hAnsi="Arial" w:cs="Arial"/>
          <w:i/>
          <w:sz w:val="20"/>
          <w:szCs w:val="20"/>
        </w:rPr>
        <w:t xml:space="preserve">à l’égard </w:t>
      </w:r>
      <w:r w:rsidR="00816A69" w:rsidRPr="0029094E">
        <w:rPr>
          <w:rFonts w:ascii="Arial" w:hAnsi="Arial" w:cs="Arial"/>
          <w:i/>
          <w:sz w:val="20"/>
          <w:szCs w:val="20"/>
        </w:rPr>
        <w:t>des E</w:t>
      </w:r>
      <w:r w:rsidRPr="0029094E">
        <w:rPr>
          <w:rFonts w:ascii="Arial" w:hAnsi="Arial" w:cs="Arial"/>
          <w:i/>
          <w:sz w:val="20"/>
          <w:szCs w:val="20"/>
        </w:rPr>
        <w:t>nfants, Malawi; Professeur associé, Section d’anthropologie, Département d’études africaines et de genre, Université du Cap; Freedom N</w:t>
      </w:r>
      <w:r w:rsidR="00816A69" w:rsidRPr="0029094E">
        <w:rPr>
          <w:rFonts w:ascii="Arial" w:hAnsi="Arial" w:cs="Arial"/>
          <w:i/>
          <w:sz w:val="20"/>
          <w:szCs w:val="20"/>
        </w:rPr>
        <w:t>ow Africa, Fondation I</w:t>
      </w:r>
      <w:r w:rsidRPr="0029094E">
        <w:rPr>
          <w:rFonts w:ascii="Arial" w:hAnsi="Arial" w:cs="Arial"/>
          <w:i/>
          <w:sz w:val="20"/>
          <w:szCs w:val="20"/>
        </w:rPr>
        <w:t>nternationale Freedom Now; Andhra Shraddha; Nirmulan Samiti; MSc</w:t>
      </w:r>
      <w:r w:rsidR="00A53260" w:rsidRPr="0029094E">
        <w:rPr>
          <w:rFonts w:ascii="Arial" w:hAnsi="Arial" w:cs="Arial"/>
          <w:i/>
          <w:sz w:val="20"/>
          <w:szCs w:val="20"/>
        </w:rPr>
        <w:t xml:space="preserve"> Safeguarding</w:t>
      </w:r>
      <w:r w:rsidRPr="0029094E">
        <w:rPr>
          <w:rFonts w:ascii="Arial" w:hAnsi="Arial" w:cs="Arial"/>
          <w:i/>
          <w:sz w:val="20"/>
          <w:szCs w:val="20"/>
        </w:rPr>
        <w:t>; Assistance médica</w:t>
      </w:r>
      <w:r w:rsidR="00A53260" w:rsidRPr="0029094E">
        <w:rPr>
          <w:rFonts w:ascii="Arial" w:hAnsi="Arial" w:cs="Arial"/>
          <w:i/>
          <w:sz w:val="20"/>
          <w:szCs w:val="20"/>
        </w:rPr>
        <w:t>le Sierra Leone; Association d'É</w:t>
      </w:r>
      <w:r w:rsidRPr="0029094E">
        <w:rPr>
          <w:rFonts w:ascii="Arial" w:hAnsi="Arial" w:cs="Arial"/>
          <w:i/>
          <w:sz w:val="20"/>
          <w:szCs w:val="20"/>
        </w:rPr>
        <w:t>p</w:t>
      </w:r>
      <w:r w:rsidR="002819CE" w:rsidRPr="0029094E">
        <w:rPr>
          <w:rFonts w:ascii="Arial" w:hAnsi="Arial" w:cs="Arial"/>
          <w:i/>
          <w:sz w:val="20"/>
          <w:szCs w:val="20"/>
        </w:rPr>
        <w:t>ilepsie de la Sierra Leone; Stepping Foward</w:t>
      </w:r>
      <w:r w:rsidRPr="0029094E">
        <w:rPr>
          <w:rFonts w:ascii="Arial" w:hAnsi="Arial" w:cs="Arial"/>
          <w:i/>
          <w:sz w:val="20"/>
          <w:szCs w:val="20"/>
        </w:rPr>
        <w:t>; Éducation pour le développement; PDG Storychangers e.V; Nyande</w:t>
      </w:r>
      <w:r w:rsidR="00816A69" w:rsidRPr="0029094E">
        <w:rPr>
          <w:rFonts w:ascii="Arial" w:hAnsi="Arial" w:cs="Arial"/>
          <w:i/>
          <w:sz w:val="20"/>
          <w:szCs w:val="20"/>
        </w:rPr>
        <w:t>ngoh; Institut Afro-C</w:t>
      </w:r>
      <w:r w:rsidRPr="0029094E">
        <w:rPr>
          <w:rFonts w:ascii="Arial" w:hAnsi="Arial" w:cs="Arial"/>
          <w:i/>
          <w:sz w:val="20"/>
          <w:szCs w:val="20"/>
        </w:rPr>
        <w:t>aribé</w:t>
      </w:r>
      <w:r w:rsidR="002819CE" w:rsidRPr="0029094E">
        <w:rPr>
          <w:rFonts w:ascii="Arial" w:hAnsi="Arial" w:cs="Arial"/>
          <w:i/>
          <w:sz w:val="20"/>
          <w:szCs w:val="20"/>
        </w:rPr>
        <w:t>en; Association des P</w:t>
      </w:r>
      <w:r w:rsidRPr="0029094E">
        <w:rPr>
          <w:rFonts w:ascii="Arial" w:hAnsi="Arial" w:cs="Arial"/>
          <w:i/>
          <w:sz w:val="20"/>
          <w:szCs w:val="20"/>
        </w:rPr>
        <w:t xml:space="preserve">ersonnes </w:t>
      </w:r>
      <w:r w:rsidR="002819CE" w:rsidRPr="0029094E">
        <w:rPr>
          <w:rFonts w:ascii="Arial" w:hAnsi="Arial" w:cs="Arial"/>
          <w:i/>
          <w:sz w:val="20"/>
          <w:szCs w:val="20"/>
        </w:rPr>
        <w:t>Atteintes d'A</w:t>
      </w:r>
      <w:r w:rsidRPr="0029094E">
        <w:rPr>
          <w:rFonts w:ascii="Arial" w:hAnsi="Arial" w:cs="Arial"/>
          <w:i/>
          <w:sz w:val="20"/>
          <w:szCs w:val="20"/>
        </w:rPr>
        <w:t>lbinisme</w:t>
      </w:r>
      <w:r w:rsidR="002819CE" w:rsidRPr="0029094E">
        <w:rPr>
          <w:rFonts w:ascii="Arial" w:hAnsi="Arial" w:cs="Arial"/>
          <w:i/>
          <w:sz w:val="20"/>
          <w:szCs w:val="20"/>
        </w:rPr>
        <w:t xml:space="preserve"> de Sierra Leone</w:t>
      </w:r>
      <w:r w:rsidRPr="0029094E">
        <w:rPr>
          <w:rFonts w:ascii="Arial" w:hAnsi="Arial" w:cs="Arial"/>
          <w:i/>
          <w:sz w:val="20"/>
          <w:szCs w:val="20"/>
        </w:rPr>
        <w:t>;</w:t>
      </w:r>
      <w:r w:rsidR="00816A69" w:rsidRPr="0029094E">
        <w:rPr>
          <w:rFonts w:ascii="Arial" w:hAnsi="Arial" w:cs="Arial"/>
          <w:i/>
          <w:sz w:val="20"/>
          <w:szCs w:val="20"/>
        </w:rPr>
        <w:t xml:space="preserve"> EACO Ouganda; Université de Pré</w:t>
      </w:r>
      <w:r w:rsidRPr="0029094E">
        <w:rPr>
          <w:rFonts w:ascii="Arial" w:hAnsi="Arial" w:cs="Arial"/>
          <w:i/>
          <w:sz w:val="20"/>
          <w:szCs w:val="20"/>
        </w:rPr>
        <w:t>toria; Coalition</w:t>
      </w:r>
      <w:r w:rsidR="002819CE" w:rsidRPr="0029094E">
        <w:rPr>
          <w:rFonts w:ascii="Arial" w:hAnsi="Arial" w:cs="Arial"/>
          <w:i/>
          <w:sz w:val="20"/>
          <w:szCs w:val="20"/>
        </w:rPr>
        <w:t xml:space="preserve"> Halte aux Accusations Contre les Enfants Sorciers</w:t>
      </w:r>
    </w:p>
    <w:sdt>
      <w:sdtPr>
        <w:rPr>
          <w:rFonts w:asciiTheme="minorHAnsi" w:eastAsiaTheme="minorHAnsi" w:hAnsiTheme="minorHAnsi" w:cstheme="minorBidi"/>
          <w:color w:val="auto"/>
          <w:sz w:val="22"/>
          <w:szCs w:val="22"/>
        </w:rPr>
        <w:id w:val="-687985420"/>
        <w:docPartObj>
          <w:docPartGallery w:val="Table of Contents"/>
          <w:docPartUnique/>
        </w:docPartObj>
      </w:sdtPr>
      <w:sdtEndPr>
        <w:rPr>
          <w:b/>
          <w:bCs/>
        </w:rPr>
      </w:sdtEndPr>
      <w:sdtContent>
        <w:p w14:paraId="774BE4B5" w14:textId="70D958DF" w:rsidR="00101130" w:rsidRPr="00C45FD1" w:rsidRDefault="00101130">
          <w:pPr>
            <w:pStyle w:val="TOCHeading"/>
          </w:pPr>
          <w:r w:rsidRPr="00C45FD1">
            <w:t>Table des matières</w:t>
          </w:r>
        </w:p>
        <w:p w14:paraId="5D335ECB" w14:textId="199BC772" w:rsidR="00101130" w:rsidRPr="00C45FD1" w:rsidRDefault="00101130" w:rsidP="00101130"/>
        <w:p w14:paraId="083F1F82" w14:textId="77777777" w:rsidR="00101130" w:rsidRPr="00C45FD1" w:rsidRDefault="00101130" w:rsidP="00101130"/>
        <w:p w14:paraId="7542B9B9" w14:textId="77777777" w:rsidR="004F2616" w:rsidRDefault="00101130">
          <w:pPr>
            <w:pStyle w:val="TOC1"/>
            <w:tabs>
              <w:tab w:val="right" w:leader="dot" w:pos="9710"/>
            </w:tabs>
            <w:rPr>
              <w:rFonts w:eastAsiaTheme="minorEastAsia"/>
              <w:noProof/>
              <w:sz w:val="24"/>
              <w:szCs w:val="24"/>
              <w:lang w:eastAsia="fr-FR"/>
            </w:rPr>
          </w:pPr>
          <w:r w:rsidRPr="00C45FD1">
            <w:fldChar w:fldCharType="begin"/>
          </w:r>
          <w:r w:rsidRPr="00C45FD1">
            <w:instrText xml:space="preserve"> TOC \o "1-3" \h \z \u </w:instrText>
          </w:r>
          <w:r w:rsidRPr="00C45FD1">
            <w:fldChar w:fldCharType="separate"/>
          </w:r>
          <w:hyperlink w:anchor="_Toc77849367" w:history="1">
            <w:r w:rsidR="004F2616" w:rsidRPr="00A866DA">
              <w:rPr>
                <w:rStyle w:val="Hyperlink"/>
                <w:noProof/>
                <w:shd w:val="clear" w:color="auto" w:fill="FFFFFF"/>
              </w:rPr>
              <w:t>LES ENJEUX</w:t>
            </w:r>
            <w:r w:rsidR="004F2616">
              <w:rPr>
                <w:noProof/>
                <w:webHidden/>
              </w:rPr>
              <w:tab/>
            </w:r>
            <w:r w:rsidR="004F2616">
              <w:rPr>
                <w:noProof/>
                <w:webHidden/>
              </w:rPr>
              <w:fldChar w:fldCharType="begin"/>
            </w:r>
            <w:r w:rsidR="004F2616">
              <w:rPr>
                <w:noProof/>
                <w:webHidden/>
              </w:rPr>
              <w:instrText xml:space="preserve"> PAGEREF _Toc77849367 \h </w:instrText>
            </w:r>
            <w:r w:rsidR="004F2616">
              <w:rPr>
                <w:noProof/>
                <w:webHidden/>
              </w:rPr>
            </w:r>
            <w:r w:rsidR="004F2616">
              <w:rPr>
                <w:noProof/>
                <w:webHidden/>
              </w:rPr>
              <w:fldChar w:fldCharType="separate"/>
            </w:r>
            <w:r w:rsidR="004F2616">
              <w:rPr>
                <w:noProof/>
                <w:webHidden/>
              </w:rPr>
              <w:t>4</w:t>
            </w:r>
            <w:r w:rsidR="004F2616">
              <w:rPr>
                <w:noProof/>
                <w:webHidden/>
              </w:rPr>
              <w:fldChar w:fldCharType="end"/>
            </w:r>
          </w:hyperlink>
        </w:p>
        <w:p w14:paraId="1BDBD204" w14:textId="77777777" w:rsidR="004F2616" w:rsidRDefault="004F2616">
          <w:pPr>
            <w:pStyle w:val="TOC1"/>
            <w:tabs>
              <w:tab w:val="right" w:leader="dot" w:pos="9710"/>
            </w:tabs>
            <w:rPr>
              <w:rFonts w:eastAsiaTheme="minorEastAsia"/>
              <w:noProof/>
              <w:sz w:val="24"/>
              <w:szCs w:val="24"/>
              <w:lang w:eastAsia="fr-FR"/>
            </w:rPr>
          </w:pPr>
          <w:hyperlink w:anchor="_Toc77849368" w:history="1">
            <w:r w:rsidRPr="00A866DA">
              <w:rPr>
                <w:rStyle w:val="Hyperlink"/>
                <w:noProof/>
              </w:rPr>
              <w:t>DONNÉES</w:t>
            </w:r>
            <w:r>
              <w:rPr>
                <w:noProof/>
                <w:webHidden/>
              </w:rPr>
              <w:tab/>
            </w:r>
            <w:r>
              <w:rPr>
                <w:noProof/>
                <w:webHidden/>
              </w:rPr>
              <w:fldChar w:fldCharType="begin"/>
            </w:r>
            <w:r>
              <w:rPr>
                <w:noProof/>
                <w:webHidden/>
              </w:rPr>
              <w:instrText xml:space="preserve"> PAGEREF _Toc77849368 \h </w:instrText>
            </w:r>
            <w:r>
              <w:rPr>
                <w:noProof/>
                <w:webHidden/>
              </w:rPr>
            </w:r>
            <w:r>
              <w:rPr>
                <w:noProof/>
                <w:webHidden/>
              </w:rPr>
              <w:fldChar w:fldCharType="separate"/>
            </w:r>
            <w:r>
              <w:rPr>
                <w:noProof/>
                <w:webHidden/>
              </w:rPr>
              <w:t>7</w:t>
            </w:r>
            <w:r>
              <w:rPr>
                <w:noProof/>
                <w:webHidden/>
              </w:rPr>
              <w:fldChar w:fldCharType="end"/>
            </w:r>
          </w:hyperlink>
        </w:p>
        <w:p w14:paraId="5B1494D4" w14:textId="4411AE16" w:rsidR="004F2616" w:rsidRDefault="004F2616">
          <w:pPr>
            <w:pStyle w:val="TOC1"/>
            <w:tabs>
              <w:tab w:val="right" w:leader="dot" w:pos="9710"/>
            </w:tabs>
            <w:rPr>
              <w:rFonts w:eastAsiaTheme="minorEastAsia"/>
              <w:noProof/>
              <w:sz w:val="24"/>
              <w:szCs w:val="24"/>
              <w:lang w:eastAsia="fr-FR"/>
            </w:rPr>
          </w:pPr>
          <w:hyperlink r:id="rId9" w:anchor="_Toc77849369" w:history="1">
            <w:r w:rsidRPr="00A866DA">
              <w:rPr>
                <w:rStyle w:val="Hyperlink"/>
                <w:noProof/>
              </w:rPr>
              <w:t>ANNEXE : Toutes les cartes de donnÉes</w:t>
            </w:r>
            <w:r>
              <w:rPr>
                <w:noProof/>
                <w:webHidden/>
              </w:rPr>
              <w:tab/>
            </w:r>
            <w:r>
              <w:rPr>
                <w:noProof/>
                <w:webHidden/>
              </w:rPr>
              <w:fldChar w:fldCharType="begin"/>
            </w:r>
            <w:r>
              <w:rPr>
                <w:noProof/>
                <w:webHidden/>
              </w:rPr>
              <w:instrText xml:space="preserve"> PAGEREF _Toc77849369 \h </w:instrText>
            </w:r>
            <w:r>
              <w:rPr>
                <w:noProof/>
                <w:webHidden/>
              </w:rPr>
            </w:r>
            <w:r>
              <w:rPr>
                <w:noProof/>
                <w:webHidden/>
              </w:rPr>
              <w:fldChar w:fldCharType="separate"/>
            </w:r>
            <w:r>
              <w:rPr>
                <w:noProof/>
                <w:webHidden/>
              </w:rPr>
              <w:t>12</w:t>
            </w:r>
            <w:r>
              <w:rPr>
                <w:noProof/>
                <w:webHidden/>
              </w:rPr>
              <w:fldChar w:fldCharType="end"/>
            </w:r>
          </w:hyperlink>
        </w:p>
        <w:p w14:paraId="3591E499" w14:textId="173CD64E" w:rsidR="00101130" w:rsidRPr="00C45FD1" w:rsidRDefault="00101130">
          <w:r w:rsidRPr="00C45FD1">
            <w:rPr>
              <w:b/>
              <w:bCs/>
            </w:rPr>
            <w:fldChar w:fldCharType="end"/>
          </w:r>
        </w:p>
      </w:sdtContent>
    </w:sdt>
    <w:p w14:paraId="435ECBA6" w14:textId="77777777" w:rsidR="00AD1C75" w:rsidRPr="00C45FD1" w:rsidRDefault="00AD1C75" w:rsidP="00383CB1">
      <w:pPr>
        <w:spacing w:after="0"/>
        <w:rPr>
          <w:rFonts w:ascii="Arial" w:hAnsi="Arial" w:cs="Arial"/>
          <w:b/>
          <w:color w:val="000000"/>
          <w:sz w:val="24"/>
          <w:szCs w:val="24"/>
          <w:shd w:val="clear" w:color="auto" w:fill="FFFFFF"/>
        </w:rPr>
      </w:pPr>
    </w:p>
    <w:p w14:paraId="360BFA50" w14:textId="77777777" w:rsidR="00AD1C75" w:rsidRPr="00C45FD1" w:rsidRDefault="00AD1C75" w:rsidP="00AD1C75">
      <w:pPr>
        <w:spacing w:after="0"/>
        <w:rPr>
          <w:rFonts w:ascii="Arial" w:hAnsi="Arial" w:cs="Arial"/>
          <w:b/>
          <w:color w:val="000000"/>
          <w:sz w:val="24"/>
          <w:szCs w:val="24"/>
          <w:shd w:val="clear" w:color="auto" w:fill="FFFFFF"/>
        </w:rPr>
      </w:pPr>
    </w:p>
    <w:p w14:paraId="7045D3D6" w14:textId="77777777" w:rsidR="00AD1C75" w:rsidRPr="00C45FD1" w:rsidRDefault="00AD1C75" w:rsidP="00AD1C75">
      <w:pPr>
        <w:spacing w:after="0"/>
        <w:rPr>
          <w:rFonts w:ascii="Arial" w:hAnsi="Arial" w:cs="Arial"/>
          <w:b/>
          <w:color w:val="000000"/>
          <w:sz w:val="24"/>
          <w:szCs w:val="24"/>
          <w:shd w:val="clear" w:color="auto" w:fill="FFFFFF"/>
        </w:rPr>
      </w:pPr>
    </w:p>
    <w:p w14:paraId="4AF51624" w14:textId="77777777" w:rsidR="00AD1C75" w:rsidRPr="00C45FD1" w:rsidRDefault="00AD1C75" w:rsidP="00AD1C75">
      <w:pPr>
        <w:spacing w:after="0"/>
        <w:rPr>
          <w:rFonts w:ascii="Arial" w:hAnsi="Arial" w:cs="Arial"/>
          <w:b/>
          <w:color w:val="000000"/>
          <w:sz w:val="24"/>
          <w:szCs w:val="24"/>
          <w:shd w:val="clear" w:color="auto" w:fill="FFFFFF"/>
        </w:rPr>
      </w:pPr>
    </w:p>
    <w:p w14:paraId="5D9C5EED" w14:textId="77777777" w:rsidR="00AD1C75" w:rsidRPr="00C45FD1" w:rsidRDefault="00AD1C75" w:rsidP="00AD1C75">
      <w:pPr>
        <w:spacing w:after="0"/>
        <w:rPr>
          <w:rFonts w:ascii="Arial" w:hAnsi="Arial" w:cs="Arial"/>
          <w:b/>
          <w:color w:val="000000"/>
          <w:sz w:val="24"/>
          <w:szCs w:val="24"/>
          <w:shd w:val="clear" w:color="auto" w:fill="FFFFFF"/>
        </w:rPr>
      </w:pPr>
    </w:p>
    <w:p w14:paraId="404B96DD" w14:textId="77777777" w:rsidR="00AD1C75" w:rsidRPr="00C45FD1" w:rsidRDefault="00AD1C75" w:rsidP="00AD1C75">
      <w:pPr>
        <w:spacing w:after="0"/>
        <w:rPr>
          <w:rFonts w:ascii="Arial" w:hAnsi="Arial" w:cs="Arial"/>
          <w:b/>
          <w:color w:val="000000"/>
          <w:sz w:val="24"/>
          <w:szCs w:val="24"/>
          <w:shd w:val="clear" w:color="auto" w:fill="FFFFFF"/>
        </w:rPr>
      </w:pPr>
    </w:p>
    <w:p w14:paraId="004C9F92" w14:textId="77777777" w:rsidR="00AD1C75" w:rsidRPr="00C45FD1" w:rsidRDefault="00AD1C75" w:rsidP="00AD1C75">
      <w:pPr>
        <w:spacing w:after="0"/>
        <w:rPr>
          <w:rFonts w:ascii="Arial" w:hAnsi="Arial" w:cs="Arial"/>
          <w:b/>
          <w:color w:val="000000"/>
          <w:sz w:val="24"/>
          <w:szCs w:val="24"/>
          <w:shd w:val="clear" w:color="auto" w:fill="FFFFFF"/>
        </w:rPr>
      </w:pPr>
    </w:p>
    <w:p w14:paraId="0485338A" w14:textId="77777777" w:rsidR="00AD1C75" w:rsidRPr="00C45FD1" w:rsidRDefault="00AD1C75" w:rsidP="00AD1C75">
      <w:pPr>
        <w:spacing w:after="0"/>
        <w:rPr>
          <w:rFonts w:ascii="Arial" w:hAnsi="Arial" w:cs="Arial"/>
          <w:b/>
          <w:color w:val="000000"/>
          <w:sz w:val="24"/>
          <w:szCs w:val="24"/>
          <w:shd w:val="clear" w:color="auto" w:fill="FFFFFF"/>
        </w:rPr>
      </w:pPr>
    </w:p>
    <w:p w14:paraId="5B1C5FEB" w14:textId="77777777" w:rsidR="00AD1C75" w:rsidRPr="00C45FD1" w:rsidRDefault="00AD1C75" w:rsidP="00AD1C75">
      <w:pPr>
        <w:spacing w:after="0"/>
        <w:rPr>
          <w:rFonts w:ascii="Arial" w:hAnsi="Arial" w:cs="Arial"/>
          <w:b/>
          <w:color w:val="000000"/>
          <w:sz w:val="24"/>
          <w:szCs w:val="24"/>
          <w:shd w:val="clear" w:color="auto" w:fill="FFFFFF"/>
        </w:rPr>
      </w:pPr>
    </w:p>
    <w:p w14:paraId="7BC48677" w14:textId="77777777" w:rsidR="00AD1C75" w:rsidRPr="00C45FD1" w:rsidRDefault="00AD1C75" w:rsidP="00AD1C75">
      <w:pPr>
        <w:spacing w:after="0"/>
        <w:rPr>
          <w:rFonts w:ascii="Arial" w:hAnsi="Arial" w:cs="Arial"/>
          <w:b/>
          <w:color w:val="000000"/>
          <w:sz w:val="24"/>
          <w:szCs w:val="24"/>
          <w:shd w:val="clear" w:color="auto" w:fill="FFFFFF"/>
        </w:rPr>
      </w:pPr>
    </w:p>
    <w:p w14:paraId="457ADE78" w14:textId="77777777" w:rsidR="00AD1C75" w:rsidRPr="00C45FD1" w:rsidRDefault="00AD1C75" w:rsidP="00AD1C75">
      <w:pPr>
        <w:spacing w:after="0"/>
        <w:rPr>
          <w:rFonts w:ascii="Arial" w:hAnsi="Arial" w:cs="Arial"/>
          <w:b/>
          <w:color w:val="000000"/>
          <w:sz w:val="24"/>
          <w:szCs w:val="24"/>
          <w:shd w:val="clear" w:color="auto" w:fill="FFFFFF"/>
        </w:rPr>
      </w:pPr>
    </w:p>
    <w:p w14:paraId="6FEDF03E" w14:textId="77777777" w:rsidR="00AD1C75" w:rsidRPr="00C45FD1" w:rsidRDefault="00AD1C75" w:rsidP="00AD1C75">
      <w:pPr>
        <w:spacing w:after="0"/>
        <w:rPr>
          <w:rFonts w:ascii="Arial" w:hAnsi="Arial" w:cs="Arial"/>
          <w:b/>
          <w:color w:val="000000"/>
          <w:sz w:val="24"/>
          <w:szCs w:val="24"/>
          <w:shd w:val="clear" w:color="auto" w:fill="FFFFFF"/>
        </w:rPr>
      </w:pPr>
    </w:p>
    <w:p w14:paraId="59DDCA51" w14:textId="77777777" w:rsidR="00AD1C75" w:rsidRPr="00C45FD1" w:rsidRDefault="00AD1C75" w:rsidP="00AD1C75">
      <w:pPr>
        <w:spacing w:after="0"/>
        <w:rPr>
          <w:rFonts w:ascii="Arial" w:hAnsi="Arial" w:cs="Arial"/>
          <w:b/>
          <w:color w:val="000000"/>
          <w:sz w:val="24"/>
          <w:szCs w:val="24"/>
          <w:shd w:val="clear" w:color="auto" w:fill="FFFFFF"/>
        </w:rPr>
      </w:pPr>
    </w:p>
    <w:p w14:paraId="2FEF77FC" w14:textId="77777777" w:rsidR="00AD1C75" w:rsidRPr="00C45FD1" w:rsidRDefault="00AD1C75" w:rsidP="00AD1C75">
      <w:pPr>
        <w:spacing w:after="0"/>
        <w:rPr>
          <w:rFonts w:ascii="Arial" w:hAnsi="Arial" w:cs="Arial"/>
          <w:b/>
          <w:color w:val="000000"/>
          <w:sz w:val="24"/>
          <w:szCs w:val="24"/>
          <w:shd w:val="clear" w:color="auto" w:fill="FFFFFF"/>
        </w:rPr>
      </w:pPr>
    </w:p>
    <w:p w14:paraId="5199BD9E" w14:textId="77777777" w:rsidR="00101130" w:rsidRPr="00C45FD1" w:rsidRDefault="00101130" w:rsidP="001D5B46">
      <w:pPr>
        <w:pStyle w:val="Heading1"/>
        <w:rPr>
          <w:shd w:val="clear" w:color="auto" w:fill="FFFFFF"/>
        </w:rPr>
      </w:pPr>
    </w:p>
    <w:p w14:paraId="44AC4FE1" w14:textId="21813ECF" w:rsidR="00101130" w:rsidRPr="00C45FD1" w:rsidRDefault="00101130" w:rsidP="001D5B46">
      <w:pPr>
        <w:pStyle w:val="Heading1"/>
        <w:rPr>
          <w:shd w:val="clear" w:color="auto" w:fill="FFFFFF"/>
        </w:rPr>
      </w:pPr>
    </w:p>
    <w:p w14:paraId="76535D64" w14:textId="7732CF7E" w:rsidR="00101130" w:rsidRPr="00C45FD1" w:rsidRDefault="00101130" w:rsidP="00101130"/>
    <w:p w14:paraId="734F12E0" w14:textId="3B941030" w:rsidR="00101130" w:rsidRPr="00C45FD1" w:rsidRDefault="00101130" w:rsidP="00101130"/>
    <w:p w14:paraId="3A3DE22C" w14:textId="7052FA64" w:rsidR="00101130" w:rsidRDefault="00101130" w:rsidP="00101130"/>
    <w:p w14:paraId="3A5CC2FE" w14:textId="4280DF26" w:rsidR="007B5057" w:rsidRDefault="007B5057" w:rsidP="00101130"/>
    <w:p w14:paraId="64FD8068" w14:textId="77777777" w:rsidR="007B5057" w:rsidRPr="00C45FD1" w:rsidRDefault="007B5057" w:rsidP="00101130"/>
    <w:p w14:paraId="5990308F" w14:textId="2B9F791C" w:rsidR="00101130" w:rsidRDefault="00101130" w:rsidP="00101130"/>
    <w:p w14:paraId="6D01117B" w14:textId="77777777" w:rsidR="00AB091A" w:rsidRPr="00C45FD1" w:rsidRDefault="00AB091A" w:rsidP="00101130"/>
    <w:p w14:paraId="3005BAAC" w14:textId="77777777" w:rsidR="004F2616" w:rsidRPr="004F2616" w:rsidRDefault="004F2616" w:rsidP="004F2616"/>
    <w:p w14:paraId="31356A2E" w14:textId="3A3CCA7A" w:rsidR="00383CB1" w:rsidRPr="00C45FD1" w:rsidRDefault="00234CD6" w:rsidP="001D5B46">
      <w:pPr>
        <w:pStyle w:val="Heading1"/>
        <w:rPr>
          <w:shd w:val="clear" w:color="auto" w:fill="FFFFFF"/>
        </w:rPr>
      </w:pPr>
      <w:bookmarkStart w:id="2" w:name="_Toc77849367"/>
      <w:r w:rsidRPr="00C45FD1">
        <w:rPr>
          <w:shd w:val="clear" w:color="auto" w:fill="FFFFFF"/>
        </w:rPr>
        <w:t>LES ENJEUX</w:t>
      </w:r>
      <w:bookmarkEnd w:id="2"/>
    </w:p>
    <w:p w14:paraId="69373562" w14:textId="77777777" w:rsidR="00383CB1" w:rsidRPr="00C45FD1" w:rsidRDefault="00383CB1" w:rsidP="00383CB1">
      <w:pPr>
        <w:spacing w:after="0"/>
        <w:rPr>
          <w:rFonts w:ascii="Arial" w:hAnsi="Arial" w:cs="Arial"/>
          <w:b/>
          <w:color w:val="000000"/>
          <w:sz w:val="24"/>
          <w:szCs w:val="24"/>
          <w:shd w:val="clear" w:color="auto" w:fill="FFFFFF"/>
        </w:rPr>
      </w:pPr>
    </w:p>
    <w:p w14:paraId="0607E62B" w14:textId="0A10CFC1" w:rsidR="00383CB1" w:rsidRPr="00C45FD1" w:rsidRDefault="00383CB1" w:rsidP="00383CB1">
      <w:pPr>
        <w:spacing w:after="0" w:line="240" w:lineRule="auto"/>
        <w:jc w:val="both"/>
        <w:rPr>
          <w:rFonts w:ascii="Arial" w:hAnsi="Arial" w:cs="Arial"/>
          <w:b/>
          <w:color w:val="000000" w:themeColor="text1"/>
          <w:sz w:val="24"/>
          <w:szCs w:val="24"/>
        </w:rPr>
      </w:pPr>
      <w:r w:rsidRPr="00C45FD1">
        <w:rPr>
          <w:rFonts w:ascii="Arial" w:hAnsi="Arial"/>
          <w:b/>
          <w:color w:val="000000" w:themeColor="text1"/>
          <w:sz w:val="24"/>
        </w:rPr>
        <w:t xml:space="preserve">Contexte : </w:t>
      </w:r>
    </w:p>
    <w:p w14:paraId="41FED9EF" w14:textId="77777777" w:rsidR="00C2228D" w:rsidRPr="00C45FD1" w:rsidRDefault="00C2228D" w:rsidP="00383CB1">
      <w:pPr>
        <w:spacing w:after="0" w:line="240" w:lineRule="auto"/>
        <w:jc w:val="both"/>
        <w:rPr>
          <w:rFonts w:ascii="Arial" w:hAnsi="Arial" w:cs="Arial"/>
          <w:b/>
          <w:color w:val="000000" w:themeColor="text1"/>
          <w:sz w:val="24"/>
          <w:szCs w:val="24"/>
        </w:rPr>
      </w:pPr>
    </w:p>
    <w:p w14:paraId="7815B2DE" w14:textId="32522478" w:rsidR="00383CB1" w:rsidRPr="00C45FD1" w:rsidRDefault="00383CB1" w:rsidP="00383CB1">
      <w:pPr>
        <w:spacing w:after="0" w:line="240" w:lineRule="auto"/>
        <w:jc w:val="both"/>
        <w:rPr>
          <w:rFonts w:ascii="Arial" w:hAnsi="Arial" w:cs="Arial"/>
          <w:color w:val="000000" w:themeColor="text1"/>
          <w:sz w:val="24"/>
          <w:szCs w:val="24"/>
        </w:rPr>
      </w:pPr>
      <w:r w:rsidRPr="00C45FD1">
        <w:rPr>
          <w:rFonts w:ascii="Arial" w:hAnsi="Arial"/>
          <w:color w:val="000000" w:themeColor="text1"/>
          <w:sz w:val="24"/>
        </w:rPr>
        <w:t xml:space="preserve">Dans de nombreux pays du monde, les </w:t>
      </w:r>
      <w:r w:rsidR="003E3878" w:rsidRPr="00C45FD1">
        <w:rPr>
          <w:rFonts w:ascii="Arial" w:hAnsi="Arial"/>
          <w:color w:val="000000" w:themeColor="text1"/>
          <w:sz w:val="24"/>
        </w:rPr>
        <w:t xml:space="preserve">PN-ASAR </w:t>
      </w:r>
      <w:r w:rsidRPr="00C45FD1">
        <w:rPr>
          <w:rFonts w:ascii="Arial" w:hAnsi="Arial"/>
          <w:color w:val="000000" w:themeColor="text1"/>
          <w:sz w:val="24"/>
        </w:rPr>
        <w:t>ont entraîné de graves violations des droits de l’homme, notamment la discrimination et la stigmatisation, le bannissement des familles et des communautés et d</w:t>
      </w:r>
      <w:r w:rsidR="00375C7A" w:rsidRPr="00C45FD1">
        <w:rPr>
          <w:rFonts w:ascii="Arial" w:hAnsi="Arial"/>
          <w:color w:val="000000" w:themeColor="text1"/>
          <w:sz w:val="24"/>
        </w:rPr>
        <w:t xml:space="preserve">e diverses formes de torture et de </w:t>
      </w:r>
      <w:r w:rsidRPr="00C45FD1">
        <w:rPr>
          <w:rFonts w:ascii="Arial" w:hAnsi="Arial"/>
          <w:color w:val="000000" w:themeColor="text1"/>
          <w:sz w:val="24"/>
        </w:rPr>
        <w:t>mauvais traitements</w:t>
      </w:r>
      <w:r w:rsidR="006622B6" w:rsidRPr="00C45FD1">
        <w:rPr>
          <w:rFonts w:ascii="Arial" w:hAnsi="Arial"/>
          <w:color w:val="000000" w:themeColor="text1"/>
          <w:sz w:val="24"/>
        </w:rPr>
        <w:t xml:space="preserve"> </w:t>
      </w:r>
      <w:r w:rsidRPr="00C45FD1">
        <w:rPr>
          <w:rFonts w:ascii="Arial" w:hAnsi="Arial"/>
          <w:color w:val="000000" w:themeColor="text1"/>
          <w:sz w:val="24"/>
        </w:rPr>
        <w:t>notamment les sévices,</w:t>
      </w:r>
      <w:r w:rsidR="006622B6" w:rsidRPr="00C45FD1">
        <w:rPr>
          <w:rFonts w:ascii="Arial" w:hAnsi="Arial"/>
          <w:color w:val="000000" w:themeColor="text1"/>
          <w:sz w:val="24"/>
        </w:rPr>
        <w:t xml:space="preserve"> l’enchainement,</w:t>
      </w:r>
      <w:r w:rsidRPr="00C45FD1">
        <w:rPr>
          <w:rFonts w:ascii="Arial" w:hAnsi="Arial"/>
          <w:color w:val="000000" w:themeColor="text1"/>
          <w:sz w:val="24"/>
        </w:rPr>
        <w:t xml:space="preserve"> les </w:t>
      </w:r>
      <w:r w:rsidR="00163285" w:rsidRPr="00C45FD1">
        <w:rPr>
          <w:rFonts w:ascii="Arial" w:hAnsi="Arial"/>
          <w:color w:val="000000" w:themeColor="text1"/>
          <w:sz w:val="24"/>
        </w:rPr>
        <w:t>immolations par le feu</w:t>
      </w:r>
      <w:r w:rsidRPr="00C45FD1">
        <w:rPr>
          <w:rFonts w:ascii="Arial" w:hAnsi="Arial"/>
          <w:color w:val="000000" w:themeColor="text1"/>
          <w:sz w:val="24"/>
        </w:rPr>
        <w:t xml:space="preserve">, les coupures de parties du corps et les amputations de membres, les profanations </w:t>
      </w:r>
      <w:r w:rsidR="006622B6" w:rsidRPr="00C45FD1">
        <w:rPr>
          <w:rFonts w:ascii="Arial" w:hAnsi="Arial"/>
          <w:color w:val="000000" w:themeColor="text1"/>
          <w:sz w:val="24"/>
        </w:rPr>
        <w:t>de sépultures</w:t>
      </w:r>
      <w:r w:rsidRPr="00C45FD1">
        <w:rPr>
          <w:rFonts w:ascii="Arial" w:hAnsi="Arial"/>
          <w:color w:val="000000" w:themeColor="text1"/>
          <w:sz w:val="24"/>
        </w:rPr>
        <w:t>, l’exploitation dans le contexte d</w:t>
      </w:r>
      <w:r w:rsidR="006622B6" w:rsidRPr="00C45FD1">
        <w:rPr>
          <w:rFonts w:ascii="Arial" w:hAnsi="Arial"/>
          <w:color w:val="000000" w:themeColor="text1"/>
          <w:sz w:val="24"/>
        </w:rPr>
        <w:t>u trafic</w:t>
      </w:r>
      <w:r w:rsidRPr="00C45FD1">
        <w:rPr>
          <w:rFonts w:ascii="Arial" w:hAnsi="Arial"/>
          <w:color w:val="000000" w:themeColor="text1"/>
          <w:sz w:val="24"/>
        </w:rPr>
        <w:t xml:space="preserve"> </w:t>
      </w:r>
      <w:r w:rsidR="006622B6" w:rsidRPr="00C45FD1">
        <w:rPr>
          <w:rFonts w:ascii="Arial" w:hAnsi="Arial"/>
          <w:color w:val="000000" w:themeColor="text1"/>
          <w:sz w:val="24"/>
        </w:rPr>
        <w:t>d’</w:t>
      </w:r>
      <w:r w:rsidRPr="00C45FD1">
        <w:rPr>
          <w:rFonts w:ascii="Arial" w:hAnsi="Arial"/>
          <w:color w:val="000000" w:themeColor="text1"/>
          <w:sz w:val="24"/>
        </w:rPr>
        <w:t xml:space="preserve">êtres humains, la torture et les meurtres. Les femmes, les enfants, les personnes âgées et les personnes handicapées, y compris les personnes atteintes d’albinisme, sont particulièrement vulnérables. Malgré la gravité de ces violations des droits </w:t>
      </w:r>
      <w:r w:rsidR="00DD2E3C" w:rsidRPr="00C45FD1">
        <w:rPr>
          <w:rFonts w:ascii="Arial" w:hAnsi="Arial"/>
          <w:color w:val="000000" w:themeColor="text1"/>
          <w:sz w:val="24"/>
        </w:rPr>
        <w:t>de l’homme</w:t>
      </w:r>
      <w:r w:rsidRPr="00C45FD1">
        <w:rPr>
          <w:rFonts w:ascii="Arial" w:hAnsi="Arial"/>
          <w:color w:val="000000" w:themeColor="text1"/>
          <w:sz w:val="24"/>
        </w:rPr>
        <w:t xml:space="preserve">, il n’y a souvent pas de réaction énergique menée par l’État. Souvent, les systèmes judiciaires nationaux n’agissent pas pour prévenir ou poursuivre les violations des droits liées aux </w:t>
      </w:r>
      <w:r w:rsidR="006622B6" w:rsidRPr="00C45FD1">
        <w:rPr>
          <w:rFonts w:ascii="Arial" w:hAnsi="Arial"/>
          <w:color w:val="000000" w:themeColor="text1"/>
          <w:sz w:val="24"/>
        </w:rPr>
        <w:t xml:space="preserve">PN-ASAR </w:t>
      </w:r>
      <w:r w:rsidRPr="00C45FD1">
        <w:rPr>
          <w:rFonts w:ascii="Arial" w:hAnsi="Arial"/>
          <w:color w:val="000000" w:themeColor="text1"/>
          <w:sz w:val="24"/>
        </w:rPr>
        <w:t>ni pour enquêter à leur sujet. Cet échec institutionnel perpétue l’impunité.</w:t>
      </w:r>
    </w:p>
    <w:p w14:paraId="737BF824" w14:textId="77777777" w:rsidR="00383CB1" w:rsidRPr="00C45FD1" w:rsidRDefault="00383CB1" w:rsidP="00383CB1">
      <w:pPr>
        <w:spacing w:after="0" w:line="240" w:lineRule="auto"/>
        <w:jc w:val="both"/>
        <w:rPr>
          <w:rFonts w:ascii="Arial" w:hAnsi="Arial" w:cs="Arial"/>
          <w:color w:val="000000" w:themeColor="text1"/>
          <w:sz w:val="24"/>
          <w:szCs w:val="24"/>
        </w:rPr>
      </w:pPr>
    </w:p>
    <w:p w14:paraId="75EB62E7" w14:textId="144DDE32" w:rsidR="00383CB1" w:rsidRPr="00C45FD1" w:rsidRDefault="00383CB1" w:rsidP="00807A10">
      <w:pPr>
        <w:spacing w:after="0" w:line="240" w:lineRule="auto"/>
        <w:jc w:val="both"/>
        <w:rPr>
          <w:rFonts w:ascii="Arial" w:hAnsi="Arial" w:cs="Arial"/>
          <w:color w:val="000000" w:themeColor="text1"/>
          <w:sz w:val="24"/>
          <w:szCs w:val="24"/>
        </w:rPr>
      </w:pPr>
      <w:r w:rsidRPr="00C45FD1">
        <w:rPr>
          <w:rFonts w:ascii="Arial" w:hAnsi="Arial"/>
          <w:color w:val="000000" w:themeColor="text1"/>
          <w:sz w:val="24"/>
        </w:rPr>
        <w:t xml:space="preserve">Les croyances et les pratiques liées </w:t>
      </w:r>
      <w:r w:rsidR="006622B6" w:rsidRPr="00C45FD1">
        <w:rPr>
          <w:rFonts w:ascii="Arial" w:hAnsi="Arial"/>
          <w:color w:val="000000" w:themeColor="text1"/>
          <w:sz w:val="24"/>
        </w:rPr>
        <w:t xml:space="preserve">aux PN-ASAR </w:t>
      </w:r>
      <w:r w:rsidRPr="00C45FD1">
        <w:rPr>
          <w:rFonts w:ascii="Arial" w:hAnsi="Arial"/>
          <w:color w:val="000000" w:themeColor="text1"/>
          <w:sz w:val="24"/>
        </w:rPr>
        <w:t>varient considérablement d’un pays à l’autre et même au sein des ethnies d</w:t>
      </w:r>
      <w:r w:rsidR="00DD2E3C" w:rsidRPr="00C45FD1">
        <w:rPr>
          <w:rFonts w:ascii="Arial" w:hAnsi="Arial"/>
          <w:color w:val="000000" w:themeColor="text1"/>
          <w:sz w:val="24"/>
        </w:rPr>
        <w:t>’un</w:t>
      </w:r>
      <w:r w:rsidRPr="00C45FD1">
        <w:rPr>
          <w:rFonts w:ascii="Arial" w:hAnsi="Arial"/>
          <w:color w:val="000000" w:themeColor="text1"/>
          <w:sz w:val="24"/>
        </w:rPr>
        <w:t xml:space="preserve"> même pays. On comprend mal la croyance </w:t>
      </w:r>
      <w:r w:rsidR="006622B6" w:rsidRPr="00C45FD1">
        <w:rPr>
          <w:rFonts w:ascii="Arial" w:hAnsi="Arial"/>
          <w:color w:val="000000" w:themeColor="text1"/>
          <w:sz w:val="24"/>
        </w:rPr>
        <w:t>dans les PN-ASAR</w:t>
      </w:r>
      <w:r w:rsidRPr="00C45FD1">
        <w:rPr>
          <w:rFonts w:ascii="Arial" w:hAnsi="Arial"/>
          <w:color w:val="000000" w:themeColor="text1"/>
          <w:sz w:val="24"/>
        </w:rPr>
        <w:t xml:space="preserve">, comment elle peut être pratiquée dans certaines cultures et pourquoi elle est liée à la violence et </w:t>
      </w:r>
      <w:r w:rsidR="00DD2E3C" w:rsidRPr="00C45FD1">
        <w:rPr>
          <w:rFonts w:ascii="Arial" w:hAnsi="Arial"/>
          <w:color w:val="000000" w:themeColor="text1"/>
          <w:sz w:val="24"/>
        </w:rPr>
        <w:t xml:space="preserve">à des </w:t>
      </w:r>
      <w:r w:rsidRPr="00C45FD1">
        <w:rPr>
          <w:rFonts w:ascii="Arial" w:hAnsi="Arial"/>
          <w:color w:val="000000" w:themeColor="text1"/>
          <w:sz w:val="24"/>
        </w:rPr>
        <w:t xml:space="preserve">pratiques </w:t>
      </w:r>
      <w:r w:rsidR="006622B6" w:rsidRPr="00C45FD1">
        <w:rPr>
          <w:rFonts w:ascii="Arial" w:hAnsi="Arial"/>
          <w:color w:val="000000" w:themeColor="text1"/>
          <w:sz w:val="24"/>
        </w:rPr>
        <w:t>néfastes</w:t>
      </w:r>
      <w:r w:rsidR="00DD2E3C" w:rsidRPr="00C45FD1">
        <w:rPr>
          <w:rFonts w:ascii="Arial" w:hAnsi="Arial"/>
          <w:color w:val="000000" w:themeColor="text1"/>
          <w:sz w:val="24"/>
        </w:rPr>
        <w:t xml:space="preserve"> </w:t>
      </w:r>
      <w:r w:rsidRPr="00C45FD1">
        <w:rPr>
          <w:rFonts w:ascii="Arial" w:hAnsi="Arial"/>
          <w:color w:val="000000" w:themeColor="text1"/>
          <w:sz w:val="24"/>
        </w:rPr>
        <w:t xml:space="preserve">dans certains endroits plus que d’autres. Le Rapporteur </w:t>
      </w:r>
      <w:r w:rsidR="00465453" w:rsidRPr="00C45FD1">
        <w:rPr>
          <w:rFonts w:ascii="Arial" w:hAnsi="Arial"/>
          <w:color w:val="000000" w:themeColor="text1"/>
          <w:sz w:val="24"/>
        </w:rPr>
        <w:t>S</w:t>
      </w:r>
      <w:r w:rsidRPr="00C45FD1">
        <w:rPr>
          <w:rFonts w:ascii="Arial" w:hAnsi="Arial"/>
          <w:color w:val="000000" w:themeColor="text1"/>
          <w:sz w:val="24"/>
        </w:rPr>
        <w:t xml:space="preserve">pécial sur les exécutions extrajudiciaires, sommaires ou arbitraires, Philip Alston, a déclaré dans son rapport de 2009 au Conseil des </w:t>
      </w:r>
      <w:r w:rsidR="00465453" w:rsidRPr="00C45FD1">
        <w:rPr>
          <w:rFonts w:ascii="Arial" w:hAnsi="Arial"/>
          <w:color w:val="000000" w:themeColor="text1"/>
          <w:sz w:val="24"/>
        </w:rPr>
        <w:t>D</w:t>
      </w:r>
      <w:r w:rsidRPr="00C45FD1">
        <w:rPr>
          <w:rFonts w:ascii="Arial" w:hAnsi="Arial"/>
          <w:color w:val="000000" w:themeColor="text1"/>
          <w:sz w:val="24"/>
        </w:rPr>
        <w:t>roits de l’</w:t>
      </w:r>
      <w:r w:rsidR="00465453" w:rsidRPr="00C45FD1">
        <w:rPr>
          <w:rFonts w:ascii="Arial" w:hAnsi="Arial"/>
          <w:color w:val="000000" w:themeColor="text1"/>
          <w:sz w:val="24"/>
        </w:rPr>
        <w:t>H</w:t>
      </w:r>
      <w:r w:rsidRPr="00C45FD1">
        <w:rPr>
          <w:rFonts w:ascii="Arial" w:hAnsi="Arial"/>
          <w:color w:val="000000" w:themeColor="text1"/>
          <w:sz w:val="24"/>
        </w:rPr>
        <w:t>omme que les violations des droits commises en raison de croyances en la sorcellerie</w:t>
      </w:r>
      <w:r w:rsidR="00DF6572" w:rsidRPr="00C45FD1">
        <w:rPr>
          <w:rFonts w:ascii="Arial" w:hAnsi="Arial"/>
          <w:color w:val="000000" w:themeColor="text1"/>
          <w:sz w:val="24"/>
        </w:rPr>
        <w:t xml:space="preserve"> « </w:t>
      </w:r>
      <w:r w:rsidR="00A27321" w:rsidRPr="00C45FD1">
        <w:rPr>
          <w:rFonts w:ascii="Arial" w:hAnsi="Arial"/>
          <w:color w:val="000000" w:themeColor="text1"/>
          <w:sz w:val="24"/>
        </w:rPr>
        <w:t>ne figuraient pas</w:t>
      </w:r>
      <w:r w:rsidR="00DD2E3C" w:rsidRPr="00C45FD1">
        <w:rPr>
          <w:rFonts w:ascii="Arial" w:hAnsi="Arial"/>
          <w:color w:val="000000" w:themeColor="text1"/>
          <w:sz w:val="24"/>
        </w:rPr>
        <w:t xml:space="preserve"> de manière visible  sur les écrans radar des organes des droits de l’homme »</w:t>
      </w:r>
      <w:r w:rsidRPr="00C45FD1">
        <w:rPr>
          <w:rFonts w:ascii="Arial" w:hAnsi="Arial"/>
          <w:color w:val="000000" w:themeColor="text1"/>
          <w:sz w:val="24"/>
        </w:rPr>
        <w:t xml:space="preserve"> et que </w:t>
      </w:r>
      <w:r w:rsidR="00DF6572" w:rsidRPr="00C45FD1">
        <w:rPr>
          <w:rFonts w:ascii="Arial" w:hAnsi="Arial"/>
          <w:color w:val="000000" w:themeColor="text1"/>
          <w:sz w:val="24"/>
        </w:rPr>
        <w:t>« </w:t>
      </w:r>
      <w:r w:rsidR="00807A10" w:rsidRPr="00C45FD1">
        <w:rPr>
          <w:rFonts w:ascii="Arial" w:hAnsi="Arial"/>
          <w:color w:val="000000" w:themeColor="text1"/>
          <w:sz w:val="24"/>
        </w:rPr>
        <w:t>cette lacune pouvait</w:t>
      </w:r>
      <w:r w:rsidR="00A27321" w:rsidRPr="00C45FD1">
        <w:rPr>
          <w:rFonts w:ascii="Arial" w:hAnsi="Arial"/>
          <w:color w:val="000000" w:themeColor="text1"/>
          <w:sz w:val="24"/>
        </w:rPr>
        <w:t xml:space="preserve"> </w:t>
      </w:r>
      <w:r w:rsidR="00807A10" w:rsidRPr="00C45FD1">
        <w:rPr>
          <w:rFonts w:ascii="Arial" w:hAnsi="Arial"/>
          <w:color w:val="000000" w:themeColor="text1"/>
          <w:sz w:val="24"/>
        </w:rPr>
        <w:t xml:space="preserve">être en partie dû[e] à la difficulté de définir les termes «sorciers» ou «sorcières» et «sorcellerie» à travers les cultures − termes qui, </w:t>
      </w:r>
      <w:r w:rsidR="00AD4D14" w:rsidRPr="00C45FD1">
        <w:rPr>
          <w:rFonts w:ascii="Arial" w:hAnsi="Arial"/>
          <w:color w:val="000000" w:themeColor="text1"/>
          <w:sz w:val="24"/>
        </w:rPr>
        <w:t xml:space="preserve">mis </w:t>
      </w:r>
      <w:r w:rsidR="00807A10" w:rsidRPr="00C45FD1">
        <w:rPr>
          <w:rFonts w:ascii="Arial" w:hAnsi="Arial"/>
          <w:color w:val="000000" w:themeColor="text1"/>
          <w:sz w:val="24"/>
        </w:rPr>
        <w:t>à part le fait qu’ils sont connotés dans la culture populaire, peuvent recouvrir un éventail de pratiques traditionnelles ou de pratiques de guérisseurs, et qui ne sont pas faciles à définir »</w:t>
      </w:r>
      <w:r w:rsidRPr="00C45FD1">
        <w:rPr>
          <w:rFonts w:ascii="Arial" w:hAnsi="Arial"/>
          <w:color w:val="000000" w:themeColor="text1"/>
          <w:sz w:val="24"/>
        </w:rPr>
        <w:t xml:space="preserve">. Il a </w:t>
      </w:r>
      <w:r w:rsidR="00DD2E3C" w:rsidRPr="00C45FD1">
        <w:rPr>
          <w:rFonts w:ascii="Arial" w:hAnsi="Arial"/>
          <w:color w:val="000000" w:themeColor="text1"/>
          <w:sz w:val="24"/>
        </w:rPr>
        <w:t>observé</w:t>
      </w:r>
      <w:r w:rsidRPr="00C45FD1">
        <w:rPr>
          <w:rFonts w:ascii="Arial" w:hAnsi="Arial"/>
          <w:color w:val="000000" w:themeColor="text1"/>
          <w:sz w:val="24"/>
        </w:rPr>
        <w:t xml:space="preserve"> </w:t>
      </w:r>
      <w:r w:rsidR="00EE5CDB" w:rsidRPr="00C45FD1">
        <w:rPr>
          <w:rFonts w:ascii="Arial" w:hAnsi="Arial"/>
          <w:color w:val="000000" w:themeColor="text1"/>
          <w:sz w:val="24"/>
        </w:rPr>
        <w:t>qu’</w:t>
      </w:r>
      <w:r w:rsidR="00807A10" w:rsidRPr="00C45FD1">
        <w:rPr>
          <w:rFonts w:ascii="Arial" w:hAnsi="Arial"/>
          <w:color w:val="000000" w:themeColor="text1"/>
          <w:sz w:val="24"/>
        </w:rPr>
        <w:t>« il n’en demeure pas moins que, sous couvert du terme imprécis et malléable de</w:t>
      </w:r>
      <w:r w:rsidR="00EE5CDB" w:rsidRPr="00C45FD1">
        <w:rPr>
          <w:rFonts w:ascii="Arial" w:hAnsi="Arial"/>
          <w:color w:val="000000" w:themeColor="text1"/>
          <w:sz w:val="24"/>
        </w:rPr>
        <w:t> ‘</w:t>
      </w:r>
      <w:r w:rsidR="00807A10" w:rsidRPr="00C45FD1">
        <w:rPr>
          <w:rFonts w:ascii="Arial" w:hAnsi="Arial"/>
          <w:color w:val="000000" w:themeColor="text1"/>
          <w:sz w:val="24"/>
        </w:rPr>
        <w:t>sorcellerie</w:t>
      </w:r>
      <w:r w:rsidR="00EE5CDB" w:rsidRPr="00C45FD1">
        <w:rPr>
          <w:rFonts w:ascii="Arial" w:hAnsi="Arial"/>
          <w:color w:val="000000" w:themeColor="text1"/>
          <w:sz w:val="24"/>
        </w:rPr>
        <w:t>’</w:t>
      </w:r>
      <w:r w:rsidR="00807A10" w:rsidRPr="00C45FD1">
        <w:rPr>
          <w:rFonts w:ascii="Arial" w:hAnsi="Arial"/>
          <w:color w:val="000000" w:themeColor="text1"/>
          <w:sz w:val="24"/>
        </w:rPr>
        <w:t>, des personnes (qui sont souvent, en quelque sorte, différentes, craintes ou rejetées) sont spécifiquement visées par des actes de violence arbitraires commis par des particuliers ou soutenus ou tolérés par le gouvernement »</w:t>
      </w:r>
      <w:r w:rsidRPr="00C45FD1">
        <w:rPr>
          <w:rFonts w:ascii="Arial" w:hAnsi="Arial"/>
          <w:color w:val="000000" w:themeColor="text1"/>
          <w:sz w:val="24"/>
        </w:rPr>
        <w:t>.</w:t>
      </w:r>
      <w:r w:rsidRPr="00C45FD1">
        <w:rPr>
          <w:rStyle w:val="FootnoteReference"/>
          <w:rFonts w:ascii="Arial" w:hAnsi="Arial"/>
          <w:color w:val="000000" w:themeColor="text1"/>
          <w:sz w:val="24"/>
          <w:szCs w:val="24"/>
        </w:rPr>
        <w:footnoteReference w:id="1"/>
      </w:r>
      <w:r w:rsidRPr="00C45FD1">
        <w:rPr>
          <w:rFonts w:ascii="Arial" w:hAnsi="Arial"/>
          <w:color w:val="000000" w:themeColor="text1"/>
          <w:sz w:val="24"/>
        </w:rPr>
        <w:t xml:space="preserve"> </w:t>
      </w:r>
    </w:p>
    <w:p w14:paraId="623E326D" w14:textId="77777777" w:rsidR="00383CB1" w:rsidRPr="00C45FD1" w:rsidRDefault="00383CB1" w:rsidP="00383CB1">
      <w:pPr>
        <w:spacing w:after="0" w:line="240" w:lineRule="auto"/>
        <w:jc w:val="both"/>
        <w:rPr>
          <w:rFonts w:ascii="Arial" w:hAnsi="Arial" w:cs="Arial"/>
          <w:color w:val="000000" w:themeColor="text1"/>
          <w:sz w:val="24"/>
          <w:szCs w:val="24"/>
        </w:rPr>
      </w:pPr>
    </w:p>
    <w:p w14:paraId="072158D7" w14:textId="7ED4C933" w:rsidR="00383CB1" w:rsidRPr="00C45FD1" w:rsidRDefault="00383CB1" w:rsidP="00383CB1">
      <w:pPr>
        <w:autoSpaceDE w:val="0"/>
        <w:autoSpaceDN w:val="0"/>
        <w:adjustRightInd w:val="0"/>
        <w:spacing w:after="0" w:line="240" w:lineRule="auto"/>
        <w:jc w:val="both"/>
        <w:rPr>
          <w:rFonts w:ascii="Arial" w:hAnsi="Arial" w:cs="Arial"/>
          <w:color w:val="000000" w:themeColor="text1"/>
          <w:sz w:val="24"/>
          <w:szCs w:val="24"/>
        </w:rPr>
      </w:pPr>
      <w:r w:rsidRPr="00C45FD1">
        <w:rPr>
          <w:rFonts w:ascii="Arial" w:hAnsi="Arial"/>
          <w:color w:val="000000" w:themeColor="text1"/>
          <w:sz w:val="24"/>
        </w:rPr>
        <w:t>On ne connaît pas le nombre exact de victimes de ces sévices et l</w:t>
      </w:r>
      <w:r w:rsidR="00AE1FCE" w:rsidRPr="00C45FD1">
        <w:rPr>
          <w:rFonts w:ascii="Arial" w:hAnsi="Arial"/>
          <w:color w:val="000000" w:themeColor="text1"/>
          <w:sz w:val="24"/>
        </w:rPr>
        <w:t>’</w:t>
      </w:r>
      <w:r w:rsidRPr="00C45FD1">
        <w:rPr>
          <w:rFonts w:ascii="Arial" w:hAnsi="Arial"/>
          <w:color w:val="000000" w:themeColor="text1"/>
          <w:sz w:val="24"/>
        </w:rPr>
        <w:t>on pense généralement qu’il est sous-déclaré.</w:t>
      </w:r>
      <w:r w:rsidRPr="00C45FD1">
        <w:rPr>
          <w:rStyle w:val="FootnoteReference"/>
          <w:rFonts w:ascii="Arial" w:hAnsi="Arial"/>
          <w:color w:val="000000" w:themeColor="text1"/>
          <w:sz w:val="24"/>
          <w:szCs w:val="24"/>
        </w:rPr>
        <w:footnoteReference w:id="2"/>
      </w:r>
      <w:r w:rsidRPr="00C45FD1">
        <w:rPr>
          <w:rFonts w:ascii="Arial" w:hAnsi="Arial"/>
          <w:color w:val="000000" w:themeColor="text1"/>
          <w:sz w:val="24"/>
        </w:rPr>
        <w:t xml:space="preserve"> </w:t>
      </w:r>
      <w:r w:rsidR="00807A10" w:rsidRPr="00C45FD1">
        <w:rPr>
          <w:rFonts w:ascii="Arial" w:hAnsi="Arial"/>
          <w:color w:val="000000" w:themeColor="text1"/>
          <w:sz w:val="24"/>
        </w:rPr>
        <w:t>Au minimum</w:t>
      </w:r>
      <w:r w:rsidRPr="00C45FD1">
        <w:rPr>
          <w:rFonts w:ascii="Arial" w:hAnsi="Arial"/>
          <w:color w:val="000000" w:themeColor="text1"/>
          <w:sz w:val="24"/>
        </w:rPr>
        <w:t>, on pense que, dans le monde, il y a des milliers de cas de personnes accusées de sorcellerie chaque année, souvent avec des conséquences fatales, et que d’autres sont mutilées et tuées pour des rituels liés à la sorcellerie.</w:t>
      </w:r>
      <w:r w:rsidRPr="00C45FD1">
        <w:rPr>
          <w:rStyle w:val="FootnoteReference"/>
          <w:rFonts w:ascii="Arial" w:hAnsi="Arial"/>
          <w:color w:val="000000" w:themeColor="text1"/>
          <w:sz w:val="24"/>
          <w:szCs w:val="24"/>
        </w:rPr>
        <w:footnoteReference w:id="3"/>
      </w:r>
      <w:r w:rsidRPr="00C45FD1">
        <w:rPr>
          <w:rFonts w:ascii="Arial" w:hAnsi="Arial"/>
          <w:color w:val="000000" w:themeColor="text1"/>
          <w:sz w:val="24"/>
        </w:rPr>
        <w:t xml:space="preserve"> La littérature affirme que ce nombre augmente, que les cas deviennent plus violents, que les pratiques se répandent et que de nouvelles catégories de victimes sont créées</w:t>
      </w:r>
      <w:r w:rsidR="0025364C" w:rsidRPr="00C45FD1">
        <w:rPr>
          <w:rStyle w:val="FootnoteReference"/>
          <w:rFonts w:ascii="Arial" w:hAnsi="Arial"/>
          <w:color w:val="000000" w:themeColor="text1"/>
          <w:sz w:val="24"/>
          <w:szCs w:val="24"/>
        </w:rPr>
        <w:footnoteReference w:id="4"/>
      </w:r>
      <w:r w:rsidRPr="00C45FD1">
        <w:rPr>
          <w:rFonts w:ascii="Arial" w:hAnsi="Arial"/>
          <w:color w:val="000000" w:themeColor="text1"/>
          <w:sz w:val="24"/>
        </w:rPr>
        <w:t>, bien qu</w:t>
      </w:r>
      <w:r w:rsidR="00AE1FCE" w:rsidRPr="00C45FD1">
        <w:rPr>
          <w:rFonts w:ascii="Arial" w:hAnsi="Arial"/>
          <w:color w:val="000000" w:themeColor="text1"/>
          <w:sz w:val="24"/>
        </w:rPr>
        <w:t>’</w:t>
      </w:r>
      <w:r w:rsidRPr="00C45FD1">
        <w:rPr>
          <w:rFonts w:ascii="Arial" w:hAnsi="Arial"/>
          <w:color w:val="000000" w:themeColor="text1"/>
          <w:sz w:val="24"/>
        </w:rPr>
        <w:t>il soit difficile de prouver quantitativement ces allégations.</w:t>
      </w:r>
      <w:r w:rsidR="0025364C" w:rsidRPr="00C45FD1">
        <w:rPr>
          <w:rStyle w:val="FootnoteReference"/>
          <w:rFonts w:ascii="Arial" w:hAnsi="Arial"/>
          <w:color w:val="000000" w:themeColor="text1"/>
          <w:sz w:val="24"/>
          <w:szCs w:val="24"/>
        </w:rPr>
        <w:footnoteReference w:id="5"/>
      </w:r>
      <w:r w:rsidRPr="00C45FD1">
        <w:rPr>
          <w:rFonts w:ascii="Arial" w:hAnsi="Arial"/>
          <w:color w:val="000000" w:themeColor="text1"/>
          <w:sz w:val="24"/>
        </w:rPr>
        <w:t xml:space="preserve"> Ces pratiques constituent également un problème de plus en plus grave pour les pays du Nord, principalement </w:t>
      </w:r>
      <w:r w:rsidR="00043A70" w:rsidRPr="00C45FD1">
        <w:rPr>
          <w:rFonts w:ascii="Arial" w:hAnsi="Arial"/>
          <w:color w:val="000000" w:themeColor="text1"/>
          <w:sz w:val="24"/>
        </w:rPr>
        <w:t xml:space="preserve">au sein des communautés de </w:t>
      </w:r>
      <w:r w:rsidRPr="00C45FD1">
        <w:rPr>
          <w:rFonts w:ascii="Arial" w:hAnsi="Arial"/>
          <w:color w:val="000000" w:themeColor="text1"/>
          <w:sz w:val="24"/>
        </w:rPr>
        <w:t xml:space="preserve"> migrants.</w:t>
      </w:r>
      <w:r w:rsidR="0025364C" w:rsidRPr="00C45FD1">
        <w:rPr>
          <w:rStyle w:val="FootnoteReference"/>
          <w:rFonts w:ascii="Arial" w:hAnsi="Arial"/>
          <w:color w:val="000000" w:themeColor="text1"/>
          <w:sz w:val="24"/>
          <w:szCs w:val="24"/>
        </w:rPr>
        <w:footnoteReference w:id="6"/>
      </w:r>
      <w:r w:rsidRPr="00C45FD1">
        <w:rPr>
          <w:rFonts w:ascii="Arial" w:hAnsi="Arial"/>
          <w:color w:val="000000" w:themeColor="text1"/>
          <w:sz w:val="24"/>
        </w:rPr>
        <w:t xml:space="preserve"> </w:t>
      </w:r>
    </w:p>
    <w:p w14:paraId="2559F065" w14:textId="77777777" w:rsidR="00383CB1" w:rsidRPr="00C45FD1" w:rsidRDefault="00383CB1" w:rsidP="00383CB1">
      <w:pPr>
        <w:autoSpaceDE w:val="0"/>
        <w:autoSpaceDN w:val="0"/>
        <w:adjustRightInd w:val="0"/>
        <w:spacing w:after="0" w:line="240" w:lineRule="auto"/>
        <w:jc w:val="both"/>
        <w:rPr>
          <w:rFonts w:ascii="Arial" w:hAnsi="Arial" w:cs="Arial"/>
          <w:color w:val="000000" w:themeColor="text1"/>
          <w:sz w:val="24"/>
          <w:szCs w:val="24"/>
        </w:rPr>
      </w:pPr>
    </w:p>
    <w:p w14:paraId="066826B1" w14:textId="316389E0" w:rsidR="00383CB1" w:rsidRPr="00C45FD1" w:rsidRDefault="00AD72EC" w:rsidP="00383CB1">
      <w:pPr>
        <w:spacing w:after="0" w:line="240" w:lineRule="auto"/>
        <w:jc w:val="both"/>
        <w:rPr>
          <w:rFonts w:ascii="Arial" w:hAnsi="Arial"/>
          <w:color w:val="000000" w:themeColor="text1"/>
          <w:sz w:val="24"/>
        </w:rPr>
      </w:pPr>
      <w:r w:rsidRPr="00C45FD1">
        <w:rPr>
          <w:rFonts w:ascii="Arial" w:hAnsi="Arial"/>
          <w:color w:val="000000" w:themeColor="text1"/>
          <w:sz w:val="24"/>
        </w:rPr>
        <w:t xml:space="preserve">Diverses formes de PN-ASAR ont été </w:t>
      </w:r>
      <w:r w:rsidR="001C6B0B" w:rsidRPr="00C45FD1">
        <w:rPr>
          <w:rFonts w:ascii="Arial" w:hAnsi="Arial"/>
          <w:color w:val="000000" w:themeColor="text1"/>
          <w:sz w:val="24"/>
        </w:rPr>
        <w:t>traitées par</w:t>
      </w:r>
      <w:r w:rsidR="001E4781" w:rsidRPr="00C45FD1">
        <w:rPr>
          <w:rFonts w:ascii="Arial" w:hAnsi="Arial"/>
          <w:color w:val="000000" w:themeColor="text1"/>
          <w:sz w:val="24"/>
        </w:rPr>
        <w:t xml:space="preserve"> des organes de</w:t>
      </w:r>
      <w:r w:rsidR="00383CB1" w:rsidRPr="00C45FD1">
        <w:rPr>
          <w:rFonts w:ascii="Arial" w:hAnsi="Arial"/>
          <w:color w:val="000000" w:themeColor="text1"/>
          <w:sz w:val="24"/>
        </w:rPr>
        <w:t xml:space="preserve"> l</w:t>
      </w:r>
      <w:r w:rsidR="00AE1FCE" w:rsidRPr="00C45FD1">
        <w:rPr>
          <w:rFonts w:ascii="Arial" w:hAnsi="Arial"/>
          <w:color w:val="000000" w:themeColor="text1"/>
          <w:sz w:val="24"/>
        </w:rPr>
        <w:t>’</w:t>
      </w:r>
      <w:r w:rsidR="00383CB1" w:rsidRPr="00C45FD1">
        <w:rPr>
          <w:rFonts w:ascii="Arial" w:hAnsi="Arial"/>
          <w:color w:val="000000" w:themeColor="text1"/>
          <w:sz w:val="24"/>
        </w:rPr>
        <w:t xml:space="preserve">ONU, bien que d’un point de vue particulier et souvent dans un pays et un contexte précis. Ces </w:t>
      </w:r>
      <w:r w:rsidR="001E4781" w:rsidRPr="00C45FD1">
        <w:rPr>
          <w:rFonts w:ascii="Arial" w:hAnsi="Arial"/>
          <w:color w:val="000000" w:themeColor="text1"/>
          <w:sz w:val="24"/>
        </w:rPr>
        <w:t>organes</w:t>
      </w:r>
      <w:r w:rsidR="00383CB1" w:rsidRPr="00C45FD1">
        <w:rPr>
          <w:rFonts w:ascii="Arial" w:hAnsi="Arial"/>
          <w:color w:val="000000" w:themeColor="text1"/>
          <w:sz w:val="24"/>
        </w:rPr>
        <w:t xml:space="preserve"> </w:t>
      </w:r>
      <w:r w:rsidR="00043A70" w:rsidRPr="00C45FD1">
        <w:rPr>
          <w:rFonts w:ascii="Arial" w:hAnsi="Arial"/>
          <w:color w:val="000000" w:themeColor="text1"/>
          <w:sz w:val="24"/>
        </w:rPr>
        <w:t xml:space="preserve">incluent </w:t>
      </w:r>
      <w:r w:rsidR="00383CB1" w:rsidRPr="00C45FD1">
        <w:rPr>
          <w:rFonts w:ascii="Arial" w:hAnsi="Arial"/>
          <w:color w:val="000000" w:themeColor="text1"/>
          <w:sz w:val="24"/>
        </w:rPr>
        <w:t xml:space="preserve">le Représentant </w:t>
      </w:r>
      <w:r w:rsidR="001E4781" w:rsidRPr="00C45FD1">
        <w:rPr>
          <w:rFonts w:ascii="Arial" w:hAnsi="Arial"/>
          <w:color w:val="000000" w:themeColor="text1"/>
          <w:sz w:val="24"/>
        </w:rPr>
        <w:t>S</w:t>
      </w:r>
      <w:r w:rsidR="00383CB1" w:rsidRPr="00C45FD1">
        <w:rPr>
          <w:rFonts w:ascii="Arial" w:hAnsi="Arial"/>
          <w:color w:val="000000" w:themeColor="text1"/>
          <w:sz w:val="24"/>
        </w:rPr>
        <w:t xml:space="preserve">pécial du Secrétaire </w:t>
      </w:r>
      <w:r w:rsidR="001E4781" w:rsidRPr="00C45FD1">
        <w:rPr>
          <w:rFonts w:ascii="Arial" w:hAnsi="Arial"/>
          <w:color w:val="000000" w:themeColor="text1"/>
          <w:sz w:val="24"/>
        </w:rPr>
        <w:t>G</w:t>
      </w:r>
      <w:r w:rsidR="00383CB1" w:rsidRPr="00C45FD1">
        <w:rPr>
          <w:rFonts w:ascii="Arial" w:hAnsi="Arial"/>
          <w:color w:val="000000" w:themeColor="text1"/>
          <w:sz w:val="24"/>
        </w:rPr>
        <w:t>énéral</w:t>
      </w:r>
      <w:r w:rsidR="001E4781" w:rsidRPr="00C45FD1">
        <w:rPr>
          <w:rFonts w:ascii="Arial" w:hAnsi="Arial"/>
          <w:color w:val="000000" w:themeColor="text1"/>
          <w:sz w:val="24"/>
        </w:rPr>
        <w:t xml:space="preserve"> (RSSG)</w:t>
      </w:r>
      <w:r w:rsidR="00383CB1" w:rsidRPr="00C45FD1">
        <w:rPr>
          <w:rFonts w:ascii="Arial" w:hAnsi="Arial"/>
          <w:color w:val="000000" w:themeColor="text1"/>
          <w:sz w:val="24"/>
        </w:rPr>
        <w:t xml:space="preserve"> </w:t>
      </w:r>
      <w:r w:rsidR="00043A70" w:rsidRPr="00C45FD1">
        <w:rPr>
          <w:rFonts w:ascii="Arial" w:hAnsi="Arial"/>
          <w:color w:val="000000" w:themeColor="text1"/>
          <w:sz w:val="24"/>
        </w:rPr>
        <w:t xml:space="preserve">chargé de la question de </w:t>
      </w:r>
      <w:r w:rsidR="00383CB1" w:rsidRPr="00C45FD1">
        <w:rPr>
          <w:rFonts w:ascii="Arial" w:hAnsi="Arial"/>
          <w:color w:val="000000" w:themeColor="text1"/>
          <w:sz w:val="24"/>
        </w:rPr>
        <w:t xml:space="preserve">la violence </w:t>
      </w:r>
      <w:r w:rsidR="00043A70" w:rsidRPr="00C45FD1">
        <w:rPr>
          <w:rFonts w:ascii="Arial" w:hAnsi="Arial"/>
          <w:color w:val="000000" w:themeColor="text1"/>
          <w:sz w:val="24"/>
        </w:rPr>
        <w:t>à l’encontre des</w:t>
      </w:r>
      <w:r w:rsidR="00383CB1" w:rsidRPr="00C45FD1">
        <w:rPr>
          <w:rFonts w:ascii="Arial" w:hAnsi="Arial"/>
          <w:color w:val="000000" w:themeColor="text1"/>
          <w:sz w:val="24"/>
        </w:rPr>
        <w:t xml:space="preserve"> enfants</w:t>
      </w:r>
      <w:r w:rsidR="00383CB1" w:rsidRPr="00C45FD1">
        <w:rPr>
          <w:rStyle w:val="FootnoteReference"/>
          <w:rFonts w:ascii="Arial" w:hAnsi="Arial"/>
          <w:color w:val="000000" w:themeColor="text1"/>
          <w:sz w:val="24"/>
          <w:szCs w:val="24"/>
        </w:rPr>
        <w:footnoteReference w:id="7"/>
      </w:r>
      <w:r w:rsidR="00F252EF" w:rsidRPr="00C45FD1">
        <w:rPr>
          <w:rFonts w:ascii="Arial" w:hAnsi="Arial"/>
          <w:color w:val="000000" w:themeColor="text1"/>
          <w:sz w:val="24"/>
        </w:rPr>
        <w:t xml:space="preserve">, </w:t>
      </w:r>
      <w:r w:rsidR="006C7C31" w:rsidRPr="00C45FD1">
        <w:rPr>
          <w:rFonts w:ascii="Arial" w:hAnsi="Arial"/>
          <w:color w:val="000000" w:themeColor="text1"/>
          <w:sz w:val="24"/>
        </w:rPr>
        <w:t>l</w:t>
      </w:r>
      <w:r w:rsidR="00CE113B" w:rsidRPr="00C45FD1">
        <w:rPr>
          <w:rFonts w:ascii="Arial" w:hAnsi="Arial"/>
          <w:color w:val="000000" w:themeColor="text1"/>
          <w:sz w:val="24"/>
        </w:rPr>
        <w:t>e Groupe de Travail</w:t>
      </w:r>
      <w:r w:rsidR="001E4781" w:rsidRPr="00C45FD1">
        <w:rPr>
          <w:rFonts w:ascii="Arial" w:hAnsi="Arial"/>
          <w:color w:val="000000" w:themeColor="text1"/>
          <w:sz w:val="24"/>
        </w:rPr>
        <w:t xml:space="preserve"> </w:t>
      </w:r>
      <w:r w:rsidR="006C7C31" w:rsidRPr="00C45FD1">
        <w:rPr>
          <w:rFonts w:ascii="Arial" w:hAnsi="Arial"/>
          <w:color w:val="000000" w:themeColor="text1"/>
          <w:sz w:val="24"/>
        </w:rPr>
        <w:t>chargé de la question de la discrimination à l’égard des femmes, dans la législation et dans la pratique</w:t>
      </w:r>
      <w:r w:rsidR="006C7C31" w:rsidRPr="00C45FD1">
        <w:rPr>
          <w:rStyle w:val="FootnoteReference"/>
          <w:rFonts w:ascii="Arial" w:hAnsi="Arial"/>
          <w:color w:val="000000" w:themeColor="text1"/>
          <w:sz w:val="24"/>
        </w:rPr>
        <w:footnoteReference w:id="8"/>
      </w:r>
      <w:r w:rsidR="006C7C31" w:rsidRPr="00C45FD1">
        <w:rPr>
          <w:rFonts w:ascii="Arial" w:hAnsi="Arial"/>
          <w:color w:val="000000" w:themeColor="text1"/>
          <w:sz w:val="24"/>
        </w:rPr>
        <w:t xml:space="preserve">, </w:t>
      </w:r>
      <w:r w:rsidR="00F252EF" w:rsidRPr="00C45FD1">
        <w:rPr>
          <w:rFonts w:ascii="Arial" w:hAnsi="Arial"/>
          <w:color w:val="000000" w:themeColor="text1"/>
          <w:sz w:val="24"/>
        </w:rPr>
        <w:t>la</w:t>
      </w:r>
      <w:r w:rsidR="00383CB1" w:rsidRPr="00C45FD1">
        <w:rPr>
          <w:rFonts w:ascii="Arial" w:hAnsi="Arial"/>
          <w:color w:val="000000" w:themeColor="text1"/>
          <w:sz w:val="24"/>
        </w:rPr>
        <w:t xml:space="preserve"> Rapporteur spécial </w:t>
      </w:r>
      <w:r w:rsidR="00043A70" w:rsidRPr="00C45FD1">
        <w:rPr>
          <w:rFonts w:ascii="Arial" w:hAnsi="Arial"/>
          <w:color w:val="000000" w:themeColor="text1"/>
          <w:sz w:val="24"/>
        </w:rPr>
        <w:t>chargé</w:t>
      </w:r>
      <w:r w:rsidR="00F252EF" w:rsidRPr="00C45FD1">
        <w:rPr>
          <w:rFonts w:ascii="Arial" w:hAnsi="Arial"/>
          <w:color w:val="000000" w:themeColor="text1"/>
          <w:sz w:val="24"/>
        </w:rPr>
        <w:t>e</w:t>
      </w:r>
      <w:r w:rsidR="00043A70" w:rsidRPr="00C45FD1">
        <w:rPr>
          <w:rFonts w:ascii="Arial" w:hAnsi="Arial"/>
          <w:color w:val="000000" w:themeColor="text1"/>
          <w:sz w:val="24"/>
        </w:rPr>
        <w:t xml:space="preserve"> de la question de </w:t>
      </w:r>
      <w:r w:rsidR="00383CB1" w:rsidRPr="00C45FD1">
        <w:rPr>
          <w:rFonts w:ascii="Arial" w:hAnsi="Arial"/>
          <w:color w:val="000000" w:themeColor="text1"/>
          <w:sz w:val="24"/>
        </w:rPr>
        <w:t>la violence contre les femmes</w:t>
      </w:r>
      <w:r w:rsidR="00806CD7" w:rsidRPr="00C45FD1">
        <w:rPr>
          <w:rFonts w:ascii="Arial" w:hAnsi="Arial"/>
          <w:color w:val="000000" w:themeColor="text1"/>
          <w:sz w:val="24"/>
        </w:rPr>
        <w:t xml:space="preserve"> </w:t>
      </w:r>
      <w:r w:rsidR="000C07A1" w:rsidRPr="00C45FD1">
        <w:rPr>
          <w:rFonts w:ascii="Arial" w:hAnsi="Arial"/>
          <w:color w:val="000000" w:themeColor="text1"/>
          <w:sz w:val="24"/>
        </w:rPr>
        <w:t>(RS VCF</w:t>
      </w:r>
      <w:r w:rsidR="00BC1AD3" w:rsidRPr="00C45FD1">
        <w:rPr>
          <w:rFonts w:ascii="Arial" w:hAnsi="Arial"/>
          <w:color w:val="000000" w:themeColor="text1"/>
          <w:sz w:val="24"/>
        </w:rPr>
        <w:t>)</w:t>
      </w:r>
      <w:r w:rsidR="00383CB1" w:rsidRPr="00C45FD1">
        <w:rPr>
          <w:rFonts w:ascii="Arial" w:hAnsi="Arial"/>
          <w:color w:val="000000" w:themeColor="text1"/>
          <w:sz w:val="24"/>
        </w:rPr>
        <w:t>, ses causes et ses conséquences</w:t>
      </w:r>
      <w:r w:rsidR="006C7C31" w:rsidRPr="00C45FD1">
        <w:rPr>
          <w:rStyle w:val="FootnoteReference"/>
          <w:rFonts w:ascii="Arial" w:hAnsi="Arial"/>
          <w:color w:val="000000" w:themeColor="text1"/>
          <w:sz w:val="24"/>
        </w:rPr>
        <w:footnoteReference w:id="9"/>
      </w:r>
      <w:r w:rsidR="00383CB1" w:rsidRPr="00C45FD1">
        <w:rPr>
          <w:rFonts w:ascii="Arial" w:hAnsi="Arial"/>
          <w:color w:val="000000" w:themeColor="text1"/>
          <w:sz w:val="24"/>
        </w:rPr>
        <w:t xml:space="preserve">, le Rapporteur spécial sur la liberté de religion ou de </w:t>
      </w:r>
      <w:r w:rsidR="00043A70" w:rsidRPr="00C45FD1">
        <w:rPr>
          <w:rFonts w:ascii="Arial" w:hAnsi="Arial"/>
          <w:color w:val="000000" w:themeColor="text1"/>
          <w:sz w:val="24"/>
        </w:rPr>
        <w:t>conviction</w:t>
      </w:r>
      <w:r w:rsidR="006C7C31" w:rsidRPr="00C45FD1">
        <w:rPr>
          <w:rStyle w:val="FootnoteReference"/>
          <w:rFonts w:ascii="Arial" w:hAnsi="Arial"/>
          <w:color w:val="000000" w:themeColor="text1"/>
          <w:sz w:val="24"/>
        </w:rPr>
        <w:footnoteReference w:id="10"/>
      </w:r>
      <w:r w:rsidR="00383CB1" w:rsidRPr="00C45FD1">
        <w:rPr>
          <w:rFonts w:ascii="Arial" w:hAnsi="Arial"/>
          <w:color w:val="000000" w:themeColor="text1"/>
          <w:sz w:val="24"/>
        </w:rPr>
        <w:t>, le Rapporteur spécial sur la torture et autres peines ou traitements cruels, inhumains ou dégradants</w:t>
      </w:r>
      <w:r w:rsidR="006C7C31" w:rsidRPr="00C45FD1">
        <w:rPr>
          <w:rStyle w:val="FootnoteReference"/>
          <w:rFonts w:ascii="Arial" w:hAnsi="Arial"/>
          <w:color w:val="000000" w:themeColor="text1"/>
          <w:sz w:val="24"/>
        </w:rPr>
        <w:footnoteReference w:id="11"/>
      </w:r>
      <w:r w:rsidR="00383CB1" w:rsidRPr="00C45FD1">
        <w:rPr>
          <w:rFonts w:ascii="Arial" w:hAnsi="Arial"/>
          <w:color w:val="000000" w:themeColor="text1"/>
          <w:sz w:val="24"/>
        </w:rPr>
        <w:t xml:space="preserve"> et le Rapporteur spécial sur les exécutions extrajudiciaires, sommaires ou arbitraires</w:t>
      </w:r>
      <w:r w:rsidR="00337019" w:rsidRPr="00C45FD1">
        <w:rPr>
          <w:rFonts w:ascii="Arial" w:hAnsi="Arial"/>
          <w:color w:val="000000" w:themeColor="text1"/>
          <w:sz w:val="24"/>
        </w:rPr>
        <w:t xml:space="preserve"> (SR Summex). </w:t>
      </w:r>
      <w:r w:rsidR="006C7C31" w:rsidRPr="00C45FD1">
        <w:rPr>
          <w:rStyle w:val="FootnoteReference"/>
          <w:rFonts w:ascii="Arial" w:hAnsi="Arial"/>
          <w:color w:val="000000" w:themeColor="text1"/>
          <w:sz w:val="24"/>
        </w:rPr>
        <w:footnoteReference w:id="12"/>
      </w:r>
    </w:p>
    <w:p w14:paraId="0E843D2F" w14:textId="77777777" w:rsidR="006C7C31" w:rsidRPr="00C45FD1" w:rsidRDefault="006C7C31" w:rsidP="00383CB1">
      <w:pPr>
        <w:spacing w:after="0" w:line="240" w:lineRule="auto"/>
        <w:jc w:val="both"/>
        <w:rPr>
          <w:rFonts w:ascii="Arial" w:hAnsi="Arial" w:cs="Arial"/>
          <w:color w:val="000000" w:themeColor="text1"/>
          <w:sz w:val="24"/>
          <w:szCs w:val="24"/>
        </w:rPr>
      </w:pPr>
    </w:p>
    <w:p w14:paraId="64A0F92A" w14:textId="53B59385" w:rsidR="00383CB1" w:rsidRPr="00C45FD1" w:rsidRDefault="00383CB1" w:rsidP="00383CB1">
      <w:pPr>
        <w:spacing w:after="0" w:line="240" w:lineRule="auto"/>
        <w:jc w:val="both"/>
        <w:rPr>
          <w:rFonts w:ascii="Arial" w:hAnsi="Arial" w:cs="Arial"/>
          <w:color w:val="000000" w:themeColor="text1"/>
          <w:sz w:val="24"/>
          <w:szCs w:val="24"/>
        </w:rPr>
      </w:pPr>
      <w:r w:rsidRPr="00C45FD1">
        <w:rPr>
          <w:rFonts w:ascii="Arial" w:hAnsi="Arial"/>
          <w:color w:val="000000" w:themeColor="text1"/>
          <w:sz w:val="24"/>
        </w:rPr>
        <w:t xml:space="preserve">Certains experts ont également envoyé des communications à ce sujet aux États membres, notamment le Rapporteur </w:t>
      </w:r>
      <w:r w:rsidR="00861622" w:rsidRPr="00C45FD1">
        <w:rPr>
          <w:rFonts w:ascii="Arial" w:hAnsi="Arial"/>
          <w:color w:val="000000" w:themeColor="text1"/>
          <w:sz w:val="24"/>
        </w:rPr>
        <w:t>S</w:t>
      </w:r>
      <w:r w:rsidRPr="00C45FD1">
        <w:rPr>
          <w:rFonts w:ascii="Arial" w:hAnsi="Arial"/>
          <w:color w:val="000000" w:themeColor="text1"/>
          <w:sz w:val="24"/>
        </w:rPr>
        <w:t>pécial sur l’indépendance des juges et des avocats, ainsi qu</w:t>
      </w:r>
      <w:r w:rsidR="00D12628" w:rsidRPr="00C45FD1">
        <w:rPr>
          <w:rFonts w:ascii="Arial" w:hAnsi="Arial"/>
          <w:color w:val="000000" w:themeColor="text1"/>
          <w:sz w:val="24"/>
        </w:rPr>
        <w:t>e</w:t>
      </w:r>
      <w:r w:rsidRPr="00C45FD1">
        <w:rPr>
          <w:rFonts w:ascii="Arial" w:hAnsi="Arial"/>
          <w:color w:val="000000" w:themeColor="text1"/>
          <w:sz w:val="24"/>
        </w:rPr>
        <w:t xml:space="preserve"> l’</w:t>
      </w:r>
      <w:r w:rsidR="00861622" w:rsidRPr="00C45FD1">
        <w:rPr>
          <w:rFonts w:ascii="Arial" w:hAnsi="Arial"/>
          <w:color w:val="000000" w:themeColor="text1"/>
          <w:sz w:val="24"/>
        </w:rPr>
        <w:t>E</w:t>
      </w:r>
      <w:r w:rsidRPr="00C45FD1">
        <w:rPr>
          <w:rFonts w:ascii="Arial" w:hAnsi="Arial"/>
          <w:color w:val="000000" w:themeColor="text1"/>
          <w:sz w:val="24"/>
        </w:rPr>
        <w:t xml:space="preserve">xperte </w:t>
      </w:r>
      <w:r w:rsidR="00861622" w:rsidRPr="00C45FD1">
        <w:rPr>
          <w:rFonts w:ascii="Arial" w:hAnsi="Arial"/>
          <w:color w:val="000000" w:themeColor="text1"/>
          <w:sz w:val="24"/>
        </w:rPr>
        <w:t>I</w:t>
      </w:r>
      <w:r w:rsidRPr="00C45FD1">
        <w:rPr>
          <w:rFonts w:ascii="Arial" w:hAnsi="Arial"/>
          <w:color w:val="000000" w:themeColor="text1"/>
          <w:sz w:val="24"/>
        </w:rPr>
        <w:t>ndépendante sur la coopération technique et les services consultatifs au Libéria. L’</w:t>
      </w:r>
      <w:r w:rsidR="00861622" w:rsidRPr="00C45FD1">
        <w:rPr>
          <w:rFonts w:ascii="Arial" w:hAnsi="Arial"/>
          <w:color w:val="000000" w:themeColor="text1"/>
          <w:sz w:val="24"/>
        </w:rPr>
        <w:t>E</w:t>
      </w:r>
      <w:r w:rsidRPr="00C45FD1">
        <w:rPr>
          <w:rFonts w:ascii="Arial" w:hAnsi="Arial"/>
          <w:color w:val="000000" w:themeColor="text1"/>
          <w:sz w:val="24"/>
        </w:rPr>
        <w:t xml:space="preserve">xperte </w:t>
      </w:r>
      <w:r w:rsidR="00861622" w:rsidRPr="00C45FD1">
        <w:rPr>
          <w:rFonts w:ascii="Arial" w:hAnsi="Arial"/>
          <w:color w:val="000000" w:themeColor="text1"/>
          <w:sz w:val="24"/>
        </w:rPr>
        <w:t>I</w:t>
      </w:r>
      <w:r w:rsidRPr="00C45FD1">
        <w:rPr>
          <w:rFonts w:ascii="Arial" w:hAnsi="Arial"/>
          <w:color w:val="000000" w:themeColor="text1"/>
          <w:sz w:val="24"/>
        </w:rPr>
        <w:t xml:space="preserve">ndépendante de l’ONU sur l’exercice des droits de l’homme </w:t>
      </w:r>
      <w:r w:rsidR="00D12628" w:rsidRPr="00C45FD1">
        <w:rPr>
          <w:rFonts w:ascii="Arial" w:hAnsi="Arial"/>
          <w:color w:val="000000" w:themeColor="text1"/>
          <w:sz w:val="24"/>
        </w:rPr>
        <w:t xml:space="preserve">par les </w:t>
      </w:r>
      <w:r w:rsidRPr="00C45FD1">
        <w:rPr>
          <w:rFonts w:ascii="Arial" w:hAnsi="Arial"/>
          <w:color w:val="000000" w:themeColor="text1"/>
          <w:sz w:val="24"/>
        </w:rPr>
        <w:t xml:space="preserve">personnes atteintes d’albinisme a également abordé le sujet dans ses deux derniers rapports et estime qu’une approche plus globale de ces phénomènes est nécessaire. </w:t>
      </w:r>
    </w:p>
    <w:p w14:paraId="0E83A830" w14:textId="77777777" w:rsidR="00383CB1" w:rsidRPr="00C45FD1" w:rsidRDefault="00383CB1" w:rsidP="00383CB1">
      <w:pPr>
        <w:pStyle w:val="SingleTxtG"/>
        <w:ind w:left="0" w:right="0"/>
        <w:rPr>
          <w:rFonts w:ascii="Arial" w:eastAsia="Times New Roman" w:hAnsi="Arial" w:cs="Arial"/>
          <w:b/>
          <w:sz w:val="24"/>
          <w:szCs w:val="24"/>
        </w:rPr>
      </w:pPr>
    </w:p>
    <w:p w14:paraId="630E992A" w14:textId="01B9B86D" w:rsidR="00FD458F" w:rsidRPr="0029094E" w:rsidRDefault="00FD458F" w:rsidP="0029094E">
      <w:pPr>
        <w:jc w:val="both"/>
        <w:rPr>
          <w:rFonts w:ascii="Arial" w:hAnsi="Arial" w:cs="Arial"/>
          <w:sz w:val="24"/>
          <w:szCs w:val="24"/>
        </w:rPr>
      </w:pPr>
      <w:r w:rsidRPr="0029094E">
        <w:rPr>
          <w:rFonts w:ascii="Arial" w:hAnsi="Arial" w:cs="Arial"/>
          <w:sz w:val="24"/>
          <w:szCs w:val="24"/>
        </w:rPr>
        <w:t>Au niveau régi</w:t>
      </w:r>
      <w:r w:rsidRPr="00FD458F">
        <w:rPr>
          <w:rFonts w:ascii="Arial" w:hAnsi="Arial" w:cs="Arial"/>
          <w:sz w:val="24"/>
          <w:szCs w:val="24"/>
        </w:rPr>
        <w:t>onal, les membres du Parlement P</w:t>
      </w:r>
      <w:r w:rsidRPr="0029094E">
        <w:rPr>
          <w:rFonts w:ascii="Arial" w:hAnsi="Arial" w:cs="Arial"/>
          <w:sz w:val="24"/>
          <w:szCs w:val="24"/>
        </w:rPr>
        <w:t>anafricain on</w:t>
      </w:r>
      <w:r w:rsidRPr="00FD458F">
        <w:rPr>
          <w:rFonts w:ascii="Arial" w:hAnsi="Arial" w:cs="Arial"/>
          <w:sz w:val="24"/>
          <w:szCs w:val="24"/>
        </w:rPr>
        <w:t>t tenu une consultation avec l'E</w:t>
      </w:r>
      <w:r w:rsidRPr="0029094E">
        <w:rPr>
          <w:rFonts w:ascii="Arial" w:hAnsi="Arial" w:cs="Arial"/>
          <w:sz w:val="24"/>
          <w:szCs w:val="24"/>
        </w:rPr>
        <w:t>xpert</w:t>
      </w:r>
      <w:r>
        <w:rPr>
          <w:rFonts w:ascii="Arial" w:hAnsi="Arial" w:cs="Arial"/>
          <w:sz w:val="24"/>
          <w:szCs w:val="24"/>
        </w:rPr>
        <w:t>e</w:t>
      </w:r>
      <w:r w:rsidRPr="00FD458F">
        <w:rPr>
          <w:rFonts w:ascii="Arial" w:hAnsi="Arial" w:cs="Arial"/>
          <w:sz w:val="24"/>
          <w:szCs w:val="24"/>
        </w:rPr>
        <w:t xml:space="preserve"> I</w:t>
      </w:r>
      <w:r w:rsidRPr="0029094E">
        <w:rPr>
          <w:rFonts w:ascii="Arial" w:hAnsi="Arial" w:cs="Arial"/>
          <w:sz w:val="24"/>
          <w:szCs w:val="24"/>
        </w:rPr>
        <w:t>ndépendant</w:t>
      </w:r>
      <w:r>
        <w:rPr>
          <w:rFonts w:ascii="Arial" w:hAnsi="Arial" w:cs="Arial"/>
          <w:sz w:val="24"/>
          <w:szCs w:val="24"/>
        </w:rPr>
        <w:t>e</w:t>
      </w:r>
      <w:r w:rsidRPr="0029094E">
        <w:rPr>
          <w:rFonts w:ascii="Arial" w:hAnsi="Arial" w:cs="Arial"/>
          <w:sz w:val="24"/>
          <w:szCs w:val="24"/>
        </w:rPr>
        <w:t xml:space="preserve"> sur l'albinisme les 19 et </w:t>
      </w:r>
      <w:r w:rsidRPr="00FD458F">
        <w:rPr>
          <w:rFonts w:ascii="Arial" w:hAnsi="Arial" w:cs="Arial"/>
          <w:sz w:val="24"/>
          <w:szCs w:val="24"/>
        </w:rPr>
        <w:t xml:space="preserve">20 avril 2021, pour valider un </w:t>
      </w:r>
      <w:r w:rsidRPr="0029094E">
        <w:rPr>
          <w:rFonts w:ascii="Arial" w:hAnsi="Arial" w:cs="Arial"/>
          <w:b/>
          <w:sz w:val="24"/>
          <w:szCs w:val="24"/>
        </w:rPr>
        <w:t>Rapport P</w:t>
      </w:r>
      <w:r w:rsidR="00313EBB" w:rsidRPr="00313EBB">
        <w:rPr>
          <w:rFonts w:ascii="Arial" w:hAnsi="Arial" w:cs="Arial"/>
          <w:b/>
          <w:sz w:val="24"/>
          <w:szCs w:val="24"/>
        </w:rPr>
        <w:t>réliminaire et</w:t>
      </w:r>
      <w:r w:rsidRPr="0029094E">
        <w:rPr>
          <w:rFonts w:ascii="Arial" w:hAnsi="Arial" w:cs="Arial"/>
          <w:b/>
          <w:sz w:val="24"/>
          <w:szCs w:val="24"/>
        </w:rPr>
        <w:t xml:space="preserve"> Lignes Directrices à l'Intention des Parlementaires sur les Accusations de Sorcellerie et d'Attaques Rituelles: Vers l'Élimination des P</w:t>
      </w:r>
      <w:r w:rsidR="007250EA" w:rsidRPr="0029094E">
        <w:rPr>
          <w:rFonts w:ascii="Arial" w:hAnsi="Arial" w:cs="Arial"/>
          <w:b/>
          <w:sz w:val="24"/>
          <w:szCs w:val="24"/>
        </w:rPr>
        <w:t>ratiques Néfastes et Autres Violations des Droits de l'H</w:t>
      </w:r>
      <w:r w:rsidRPr="0029094E">
        <w:rPr>
          <w:rFonts w:ascii="Arial" w:hAnsi="Arial" w:cs="Arial"/>
          <w:b/>
          <w:sz w:val="24"/>
          <w:szCs w:val="24"/>
        </w:rPr>
        <w:t>omme</w:t>
      </w:r>
      <w:r w:rsidRPr="0029094E">
        <w:rPr>
          <w:rFonts w:ascii="Arial" w:hAnsi="Arial" w:cs="Arial"/>
          <w:sz w:val="24"/>
          <w:szCs w:val="24"/>
        </w:rPr>
        <w:t xml:space="preserve">. Les </w:t>
      </w:r>
      <w:r w:rsidR="00313EBB">
        <w:rPr>
          <w:rFonts w:ascii="Arial" w:hAnsi="Arial" w:cs="Arial"/>
          <w:sz w:val="24"/>
          <w:szCs w:val="24"/>
        </w:rPr>
        <w:t xml:space="preserve">lignes </w:t>
      </w:r>
      <w:r w:rsidR="00313EBB" w:rsidRPr="00313EBB">
        <w:rPr>
          <w:rFonts w:ascii="Arial" w:hAnsi="Arial" w:cs="Arial"/>
          <w:sz w:val="24"/>
          <w:szCs w:val="24"/>
        </w:rPr>
        <w:t>directrices</w:t>
      </w:r>
      <w:r w:rsidRPr="0029094E">
        <w:rPr>
          <w:rFonts w:ascii="Arial" w:hAnsi="Arial" w:cs="Arial"/>
          <w:sz w:val="24"/>
          <w:szCs w:val="24"/>
        </w:rPr>
        <w:t xml:space="preserve"> sont le premier document du genre </w:t>
      </w:r>
      <w:r w:rsidR="00313EBB" w:rsidRPr="00313EBB">
        <w:rPr>
          <w:rFonts w:ascii="Arial" w:hAnsi="Arial" w:cs="Arial"/>
          <w:sz w:val="24"/>
          <w:szCs w:val="24"/>
        </w:rPr>
        <w:t>à aborder le phénomène des PNASAR</w:t>
      </w:r>
      <w:r w:rsidRPr="0029094E">
        <w:rPr>
          <w:rFonts w:ascii="Arial" w:hAnsi="Arial" w:cs="Arial"/>
          <w:sz w:val="24"/>
          <w:szCs w:val="24"/>
        </w:rPr>
        <w:t xml:space="preserve"> de manière exhaustive.</w:t>
      </w:r>
      <w:r w:rsidR="00313EBB" w:rsidRPr="00313EBB">
        <w:rPr>
          <w:rFonts w:ascii="Arial" w:hAnsi="Arial" w:cs="Arial"/>
          <w:sz w:val="24"/>
          <w:szCs w:val="24"/>
        </w:rPr>
        <w:t xml:space="preserve"> Au cours de la consultation, une </w:t>
      </w:r>
      <w:r w:rsidRPr="0029094E">
        <w:rPr>
          <w:rFonts w:ascii="Arial" w:hAnsi="Arial" w:cs="Arial"/>
          <w:sz w:val="24"/>
          <w:szCs w:val="24"/>
        </w:rPr>
        <w:t>approbation préliminaire a été obtenue des membres du PAP, avec un processus de validation pl</w:t>
      </w:r>
      <w:r w:rsidR="00313EBB" w:rsidRPr="00313EBB">
        <w:rPr>
          <w:rFonts w:ascii="Arial" w:hAnsi="Arial" w:cs="Arial"/>
          <w:sz w:val="24"/>
          <w:szCs w:val="24"/>
        </w:rPr>
        <w:t>us formel et officiel à suive</w:t>
      </w:r>
      <w:r w:rsidRPr="0029094E">
        <w:rPr>
          <w:rFonts w:ascii="Arial" w:hAnsi="Arial" w:cs="Arial"/>
          <w:sz w:val="24"/>
          <w:szCs w:val="24"/>
        </w:rPr>
        <w:t xml:space="preserve"> </w:t>
      </w:r>
      <w:r w:rsidR="00313EBB">
        <w:rPr>
          <w:rFonts w:ascii="Arial" w:hAnsi="Arial" w:cs="Arial"/>
          <w:sz w:val="24"/>
          <w:szCs w:val="24"/>
        </w:rPr>
        <w:t xml:space="preserve">en mai 2021 lors de </w:t>
      </w:r>
      <w:r w:rsidR="00313EBB" w:rsidRPr="00313EBB">
        <w:rPr>
          <w:rFonts w:ascii="Arial" w:hAnsi="Arial" w:cs="Arial"/>
          <w:sz w:val="24"/>
          <w:szCs w:val="24"/>
        </w:rPr>
        <w:t>la Session Plénière du Parlement Panafricain</w:t>
      </w:r>
      <w:r w:rsidR="00C44B66">
        <w:rPr>
          <w:rFonts w:ascii="Arial" w:hAnsi="Arial" w:cs="Arial"/>
          <w:sz w:val="24"/>
          <w:szCs w:val="24"/>
        </w:rPr>
        <w:t>. L'élaboration de ces</w:t>
      </w:r>
      <w:r w:rsidR="00313EBB" w:rsidRPr="00313EBB">
        <w:rPr>
          <w:rFonts w:ascii="Arial" w:hAnsi="Arial" w:cs="Arial"/>
          <w:sz w:val="24"/>
          <w:szCs w:val="24"/>
        </w:rPr>
        <w:t xml:space="preserve"> Lignes D</w:t>
      </w:r>
      <w:r w:rsidRPr="0029094E">
        <w:rPr>
          <w:rFonts w:ascii="Arial" w:hAnsi="Arial" w:cs="Arial"/>
          <w:sz w:val="24"/>
          <w:szCs w:val="24"/>
        </w:rPr>
        <w:t>irectrices pour la région Afrique souligne la gravité d</w:t>
      </w:r>
      <w:r w:rsidR="00313EBB" w:rsidRPr="00C44B66">
        <w:rPr>
          <w:rFonts w:ascii="Arial" w:hAnsi="Arial" w:cs="Arial"/>
          <w:sz w:val="24"/>
          <w:szCs w:val="24"/>
        </w:rPr>
        <w:t>es PNASAR</w:t>
      </w:r>
      <w:r w:rsidRPr="0029094E">
        <w:rPr>
          <w:rFonts w:ascii="Arial" w:hAnsi="Arial" w:cs="Arial"/>
          <w:sz w:val="24"/>
          <w:szCs w:val="24"/>
        </w:rPr>
        <w:t xml:space="preserve"> dans la région africaine et deviendra une bonne pratique précieuse pour d'autres régions.</w:t>
      </w:r>
    </w:p>
    <w:p w14:paraId="4216C3C3" w14:textId="77777777" w:rsidR="00FD458F" w:rsidRDefault="00FD458F" w:rsidP="00383CB1">
      <w:pPr>
        <w:pStyle w:val="SingleTxtG"/>
        <w:ind w:left="0" w:right="0"/>
        <w:rPr>
          <w:rFonts w:ascii="Arial" w:hAnsi="Arial"/>
          <w:b/>
          <w:sz w:val="24"/>
        </w:rPr>
      </w:pPr>
    </w:p>
    <w:p w14:paraId="6BD7EA70" w14:textId="0A51EC66" w:rsidR="00383CB1" w:rsidRPr="00C45FD1" w:rsidRDefault="00383CB1" w:rsidP="00383CB1">
      <w:pPr>
        <w:pStyle w:val="SingleTxtG"/>
        <w:ind w:left="0" w:right="0"/>
        <w:rPr>
          <w:rFonts w:ascii="Arial" w:eastAsia="Times New Roman" w:hAnsi="Arial" w:cs="Arial"/>
          <w:b/>
          <w:sz w:val="24"/>
          <w:szCs w:val="24"/>
        </w:rPr>
      </w:pPr>
      <w:r w:rsidRPr="00C45FD1">
        <w:rPr>
          <w:rFonts w:ascii="Arial" w:hAnsi="Arial"/>
          <w:b/>
          <w:sz w:val="24"/>
        </w:rPr>
        <w:t xml:space="preserve">Pratiques </w:t>
      </w:r>
      <w:r w:rsidR="00632B16" w:rsidRPr="00C45FD1">
        <w:rPr>
          <w:rFonts w:ascii="Arial" w:hAnsi="Arial"/>
          <w:b/>
          <w:sz w:val="24"/>
        </w:rPr>
        <w:t>néfastes</w:t>
      </w:r>
    </w:p>
    <w:p w14:paraId="5549C2F2" w14:textId="45D7845A" w:rsidR="00383CB1" w:rsidRPr="00C45FD1" w:rsidRDefault="00383CB1" w:rsidP="00383CB1">
      <w:pPr>
        <w:autoSpaceDE w:val="0"/>
        <w:autoSpaceDN w:val="0"/>
        <w:adjustRightInd w:val="0"/>
        <w:spacing w:after="0" w:line="240" w:lineRule="auto"/>
        <w:jc w:val="both"/>
        <w:rPr>
          <w:rFonts w:ascii="Arial" w:hAnsi="Arial" w:cs="Arial"/>
          <w:sz w:val="24"/>
          <w:szCs w:val="24"/>
        </w:rPr>
      </w:pPr>
      <w:r w:rsidRPr="00C45FD1">
        <w:rPr>
          <w:rFonts w:ascii="Arial" w:hAnsi="Arial"/>
          <w:sz w:val="24"/>
        </w:rPr>
        <w:t xml:space="preserve">Selon l’Observation générale no 31 sur les pratiques </w:t>
      </w:r>
      <w:r w:rsidR="00632B16" w:rsidRPr="00C45FD1">
        <w:rPr>
          <w:rFonts w:ascii="Arial" w:hAnsi="Arial"/>
          <w:sz w:val="24"/>
        </w:rPr>
        <w:t>néfastes</w:t>
      </w:r>
      <w:r w:rsidRPr="00C45FD1">
        <w:rPr>
          <w:rFonts w:ascii="Arial" w:hAnsi="Arial"/>
          <w:sz w:val="24"/>
        </w:rPr>
        <w:t xml:space="preserve"> adoptée par le Comité des </w:t>
      </w:r>
      <w:r w:rsidR="00F5545B" w:rsidRPr="00C45FD1">
        <w:rPr>
          <w:rFonts w:ascii="Arial" w:hAnsi="Arial"/>
          <w:sz w:val="24"/>
        </w:rPr>
        <w:t>D</w:t>
      </w:r>
      <w:r w:rsidRPr="00C45FD1">
        <w:rPr>
          <w:rFonts w:ascii="Arial" w:hAnsi="Arial"/>
          <w:sz w:val="24"/>
        </w:rPr>
        <w:t>roits de l’</w:t>
      </w:r>
      <w:r w:rsidR="00F5545B" w:rsidRPr="00C45FD1">
        <w:rPr>
          <w:rFonts w:ascii="Arial" w:hAnsi="Arial"/>
          <w:sz w:val="24"/>
        </w:rPr>
        <w:t>E</w:t>
      </w:r>
      <w:r w:rsidRPr="00C45FD1">
        <w:rPr>
          <w:rFonts w:ascii="Arial" w:hAnsi="Arial"/>
          <w:sz w:val="24"/>
        </w:rPr>
        <w:t>nfant et le Comité pour l’</w:t>
      </w:r>
      <w:r w:rsidR="00F5545B" w:rsidRPr="00C45FD1">
        <w:rPr>
          <w:rFonts w:ascii="Arial" w:hAnsi="Arial"/>
          <w:sz w:val="24"/>
        </w:rPr>
        <w:t>E</w:t>
      </w:r>
      <w:r w:rsidRPr="00C45FD1">
        <w:rPr>
          <w:rFonts w:ascii="Arial" w:hAnsi="Arial"/>
          <w:sz w:val="24"/>
        </w:rPr>
        <w:t xml:space="preserve">limination de la </w:t>
      </w:r>
      <w:r w:rsidR="00F5545B" w:rsidRPr="00C45FD1">
        <w:rPr>
          <w:rFonts w:ascii="Arial" w:hAnsi="Arial"/>
          <w:sz w:val="24"/>
        </w:rPr>
        <w:t>D</w:t>
      </w:r>
      <w:r w:rsidRPr="00C45FD1">
        <w:rPr>
          <w:rFonts w:ascii="Arial" w:hAnsi="Arial"/>
          <w:sz w:val="24"/>
        </w:rPr>
        <w:t>iscrimination à l’</w:t>
      </w:r>
      <w:r w:rsidR="00F5545B" w:rsidRPr="00C45FD1">
        <w:rPr>
          <w:rFonts w:ascii="Arial" w:hAnsi="Arial"/>
          <w:sz w:val="24"/>
        </w:rPr>
        <w:t>É</w:t>
      </w:r>
      <w:r w:rsidRPr="00C45FD1">
        <w:rPr>
          <w:rFonts w:ascii="Arial" w:hAnsi="Arial"/>
          <w:sz w:val="24"/>
        </w:rPr>
        <w:t xml:space="preserve">gard des </w:t>
      </w:r>
      <w:r w:rsidR="00F5545B" w:rsidRPr="00C45FD1">
        <w:rPr>
          <w:rFonts w:ascii="Arial" w:hAnsi="Arial"/>
          <w:sz w:val="24"/>
        </w:rPr>
        <w:t>F</w:t>
      </w:r>
      <w:r w:rsidRPr="00C45FD1">
        <w:rPr>
          <w:rFonts w:ascii="Arial" w:hAnsi="Arial"/>
          <w:sz w:val="24"/>
        </w:rPr>
        <w:t>emmes, les violations des droits de l’homme</w:t>
      </w:r>
      <w:r w:rsidR="00F5545B" w:rsidRPr="00C45FD1">
        <w:rPr>
          <w:rFonts w:ascii="Arial" w:hAnsi="Arial"/>
          <w:sz w:val="24"/>
        </w:rPr>
        <w:t xml:space="preserve"> inhérentes à et qui émanent d’accusations de sorcellerie et d’agression rituelles </w:t>
      </w:r>
      <w:r w:rsidRPr="00C45FD1">
        <w:rPr>
          <w:rFonts w:ascii="Arial" w:hAnsi="Arial"/>
          <w:sz w:val="24"/>
        </w:rPr>
        <w:t xml:space="preserve">sont des pratiques </w:t>
      </w:r>
      <w:r w:rsidR="00F5545B" w:rsidRPr="00C45FD1">
        <w:rPr>
          <w:rFonts w:ascii="Arial" w:hAnsi="Arial"/>
          <w:sz w:val="24"/>
        </w:rPr>
        <w:t>néfastes</w:t>
      </w:r>
      <w:r w:rsidRPr="00C45FD1">
        <w:rPr>
          <w:rFonts w:ascii="Arial" w:hAnsi="Arial"/>
          <w:sz w:val="24"/>
        </w:rPr>
        <w:t>.</w:t>
      </w:r>
    </w:p>
    <w:p w14:paraId="09C8AC49" w14:textId="77777777" w:rsidR="00383CB1" w:rsidRPr="00C45FD1" w:rsidRDefault="00383CB1" w:rsidP="00383CB1">
      <w:pPr>
        <w:autoSpaceDE w:val="0"/>
        <w:autoSpaceDN w:val="0"/>
        <w:adjustRightInd w:val="0"/>
        <w:spacing w:after="0" w:line="240" w:lineRule="auto"/>
        <w:jc w:val="both"/>
        <w:rPr>
          <w:rFonts w:ascii="Arial" w:hAnsi="Arial" w:cs="Arial"/>
          <w:sz w:val="24"/>
          <w:szCs w:val="24"/>
        </w:rPr>
      </w:pPr>
    </w:p>
    <w:p w14:paraId="6567D200" w14:textId="4F0EA219" w:rsidR="00383CB1" w:rsidRPr="00C45FD1" w:rsidRDefault="00F5545B" w:rsidP="009122CB">
      <w:pPr>
        <w:autoSpaceDE w:val="0"/>
        <w:autoSpaceDN w:val="0"/>
        <w:adjustRightInd w:val="0"/>
        <w:spacing w:after="0" w:line="240" w:lineRule="auto"/>
        <w:jc w:val="both"/>
        <w:rPr>
          <w:rFonts w:ascii="Arial" w:hAnsi="Arial" w:cs="Arial"/>
          <w:sz w:val="24"/>
          <w:szCs w:val="24"/>
        </w:rPr>
      </w:pPr>
      <w:r w:rsidRPr="00C45FD1">
        <w:rPr>
          <w:rFonts w:ascii="Arial" w:hAnsi="Arial"/>
          <w:sz w:val="24"/>
        </w:rPr>
        <w:t xml:space="preserve">Les PN-ASAR </w:t>
      </w:r>
      <w:r w:rsidR="00383CB1" w:rsidRPr="00C45FD1">
        <w:rPr>
          <w:rFonts w:ascii="Arial" w:hAnsi="Arial"/>
          <w:sz w:val="24"/>
        </w:rPr>
        <w:t xml:space="preserve">se manifestent </w:t>
      </w:r>
      <w:r w:rsidR="00AE6073" w:rsidRPr="00C45FD1">
        <w:rPr>
          <w:rFonts w:ascii="Arial" w:hAnsi="Arial"/>
          <w:sz w:val="24"/>
        </w:rPr>
        <w:t>de différentes manières</w:t>
      </w:r>
      <w:r w:rsidR="00383CB1" w:rsidRPr="00C45FD1">
        <w:rPr>
          <w:rFonts w:ascii="Arial" w:hAnsi="Arial"/>
          <w:sz w:val="24"/>
        </w:rPr>
        <w:t xml:space="preserve">. </w:t>
      </w:r>
      <w:r w:rsidR="00AE6073" w:rsidRPr="00C45FD1">
        <w:rPr>
          <w:rFonts w:ascii="Arial" w:hAnsi="Arial"/>
          <w:sz w:val="24"/>
        </w:rPr>
        <w:t>D’un côté il y a la croyance dans l</w:t>
      </w:r>
      <w:r w:rsidR="00383CB1" w:rsidRPr="00C45FD1">
        <w:rPr>
          <w:rFonts w:ascii="Arial" w:hAnsi="Arial"/>
          <w:sz w:val="24"/>
        </w:rPr>
        <w:t>a capacité d’une personne à causer des dommages ou du tort à des personnes ou à des choses par l’utilisation d’un pouvoir surnaturel.</w:t>
      </w:r>
      <w:bookmarkStart w:id="3" w:name="_Ref17449384"/>
      <w:r w:rsidR="00383CB1" w:rsidRPr="00C45FD1">
        <w:rPr>
          <w:rStyle w:val="FootnoteReference"/>
          <w:rFonts w:ascii="Arial" w:hAnsi="Arial"/>
          <w:sz w:val="24"/>
          <w:szCs w:val="24"/>
        </w:rPr>
        <w:footnoteReference w:id="13"/>
      </w:r>
      <w:bookmarkEnd w:id="3"/>
      <w:r w:rsidR="00383CB1" w:rsidRPr="00C45FD1">
        <w:rPr>
          <w:rFonts w:ascii="Arial" w:hAnsi="Arial"/>
          <w:sz w:val="24"/>
        </w:rPr>
        <w:t xml:space="preserve"> Cette croyance conduit à des accusations de sorcellerie, souvent suivies de violence, de rejet social ou de discrimination. Il n’est pas rare qu</w:t>
      </w:r>
      <w:r w:rsidR="00AE1FCE" w:rsidRPr="00C45FD1">
        <w:rPr>
          <w:rFonts w:ascii="Arial" w:hAnsi="Arial"/>
          <w:sz w:val="24"/>
        </w:rPr>
        <w:t>’</w:t>
      </w:r>
      <w:r w:rsidR="00383CB1" w:rsidRPr="00C45FD1">
        <w:rPr>
          <w:rFonts w:ascii="Arial" w:hAnsi="Arial"/>
          <w:sz w:val="24"/>
        </w:rPr>
        <w:t>elle entraîne la mort, les mutilations, les blessures ou l’ostracisme, la stigmatisation, ainsi que le déplacement des accusés et des membres de leur famille. Dans bon nombre de ces cas, les femmes âgées</w:t>
      </w:r>
      <w:bookmarkStart w:id="4" w:name="_Ref17449370"/>
      <w:r w:rsidR="00383CB1" w:rsidRPr="00C45FD1">
        <w:rPr>
          <w:rStyle w:val="FootnoteReference"/>
          <w:rFonts w:ascii="Arial" w:hAnsi="Arial"/>
          <w:sz w:val="24"/>
          <w:szCs w:val="24"/>
        </w:rPr>
        <w:footnoteReference w:id="14"/>
      </w:r>
      <w:bookmarkEnd w:id="4"/>
      <w:r w:rsidR="00383CB1" w:rsidRPr="00C45FD1">
        <w:rPr>
          <w:rFonts w:ascii="Arial" w:hAnsi="Arial"/>
          <w:sz w:val="24"/>
        </w:rPr>
        <w:t xml:space="preserve"> et les enfants handicapés sont les plus touchés.</w:t>
      </w:r>
      <w:r w:rsidR="00383CB1" w:rsidRPr="00C45FD1">
        <w:rPr>
          <w:rStyle w:val="FootnoteReference"/>
          <w:rFonts w:ascii="Arial" w:hAnsi="Arial"/>
          <w:sz w:val="24"/>
          <w:szCs w:val="24"/>
        </w:rPr>
        <w:footnoteReference w:id="15"/>
      </w:r>
      <w:r w:rsidR="00383CB1" w:rsidRPr="00C45FD1">
        <w:rPr>
          <w:rFonts w:ascii="Arial" w:hAnsi="Arial"/>
          <w:sz w:val="24"/>
        </w:rPr>
        <w:t xml:space="preserve"> Par exemple, on signale que plus de 2</w:t>
      </w:r>
      <w:r w:rsidR="00AE1FCE" w:rsidRPr="00C45FD1">
        <w:rPr>
          <w:rFonts w:ascii="Arial" w:hAnsi="Arial"/>
          <w:sz w:val="24"/>
        </w:rPr>
        <w:t> </w:t>
      </w:r>
      <w:r w:rsidR="00383CB1" w:rsidRPr="00C45FD1">
        <w:rPr>
          <w:rFonts w:ascii="Arial" w:hAnsi="Arial"/>
          <w:sz w:val="24"/>
        </w:rPr>
        <w:t>586 femmes âgées ont été tuées en Tanzanie entre 2004 et 2009 et que plus de 20 femmes âgées ont été tuées au Zimbabwe à la suite d’accusations de sorcellerie.</w:t>
      </w:r>
      <w:bookmarkStart w:id="5" w:name="_Ref17449332"/>
      <w:r w:rsidR="00383CB1" w:rsidRPr="00C45FD1">
        <w:rPr>
          <w:rStyle w:val="FootnoteReference"/>
          <w:rFonts w:ascii="Arial" w:hAnsi="Arial"/>
          <w:sz w:val="24"/>
          <w:szCs w:val="24"/>
        </w:rPr>
        <w:footnoteReference w:id="16"/>
      </w:r>
      <w:bookmarkEnd w:id="5"/>
      <w:r w:rsidR="00383CB1" w:rsidRPr="00C45FD1">
        <w:rPr>
          <w:rFonts w:ascii="Arial" w:hAnsi="Arial"/>
          <w:sz w:val="24"/>
        </w:rPr>
        <w:t xml:space="preserve"> Au Royaume-Uni, on a signalé en 2017-2018 1</w:t>
      </w:r>
      <w:r w:rsidR="00AE1FCE" w:rsidRPr="00C45FD1">
        <w:rPr>
          <w:rFonts w:ascii="Arial" w:hAnsi="Arial"/>
          <w:sz w:val="24"/>
        </w:rPr>
        <w:t> </w:t>
      </w:r>
      <w:r w:rsidR="00383CB1" w:rsidRPr="00C45FD1">
        <w:rPr>
          <w:rFonts w:ascii="Arial" w:hAnsi="Arial"/>
          <w:sz w:val="24"/>
        </w:rPr>
        <w:t>630 cas d’enfants victimes de mauvais traitements liés à des</w:t>
      </w:r>
      <w:r w:rsidR="00035BF0" w:rsidRPr="00C45FD1">
        <w:rPr>
          <w:rFonts w:ascii="Arial" w:hAnsi="Arial"/>
          <w:sz w:val="24"/>
        </w:rPr>
        <w:t xml:space="preserve"> accusations de </w:t>
      </w:r>
      <w:r w:rsidR="00383CB1" w:rsidRPr="00C45FD1">
        <w:rPr>
          <w:rFonts w:ascii="Arial" w:hAnsi="Arial"/>
          <w:sz w:val="24"/>
        </w:rPr>
        <w:t>sorcellerie. Ce nombre a augmenté de 11 % par rapport à l’année précédente.</w:t>
      </w:r>
      <w:r w:rsidR="00383CB1" w:rsidRPr="00C45FD1">
        <w:rPr>
          <w:rStyle w:val="FootnoteReference"/>
          <w:rFonts w:ascii="Arial" w:hAnsi="Arial"/>
          <w:sz w:val="24"/>
          <w:szCs w:val="24"/>
        </w:rPr>
        <w:footnoteReference w:id="17"/>
      </w:r>
      <w:r w:rsidR="00383CB1" w:rsidRPr="00C45FD1">
        <w:rPr>
          <w:rFonts w:ascii="Arial" w:hAnsi="Arial"/>
          <w:sz w:val="24"/>
        </w:rPr>
        <w:t xml:space="preserve"> En Papouasie–Nouvelle-Guinée, le caractère </w:t>
      </w:r>
      <w:r w:rsidR="005C290B" w:rsidRPr="00C45FD1">
        <w:rPr>
          <w:rFonts w:ascii="Arial" w:hAnsi="Arial"/>
          <w:sz w:val="24"/>
        </w:rPr>
        <w:t xml:space="preserve">genré </w:t>
      </w:r>
      <w:r w:rsidR="00383CB1" w:rsidRPr="00C45FD1">
        <w:rPr>
          <w:rFonts w:ascii="Arial" w:hAnsi="Arial"/>
          <w:sz w:val="24"/>
        </w:rPr>
        <w:t>de</w:t>
      </w:r>
      <w:r w:rsidR="00035BF0" w:rsidRPr="00C45FD1">
        <w:rPr>
          <w:rFonts w:ascii="Arial" w:hAnsi="Arial"/>
          <w:sz w:val="24"/>
        </w:rPr>
        <w:t xml:space="preserve">s </w:t>
      </w:r>
      <w:r w:rsidR="00383CB1" w:rsidRPr="00C45FD1">
        <w:rPr>
          <w:rFonts w:ascii="Arial" w:hAnsi="Arial"/>
          <w:sz w:val="24"/>
        </w:rPr>
        <w:t>accusations de sorcellerie</w:t>
      </w:r>
      <w:r w:rsidR="00804859" w:rsidRPr="00C45FD1">
        <w:rPr>
          <w:rFonts w:ascii="Arial" w:hAnsi="Arial"/>
          <w:sz w:val="24"/>
        </w:rPr>
        <w:t>, leur inhérente brutalité et la stigmatisation qui en découle ont</w:t>
      </w:r>
      <w:r w:rsidR="00383CB1" w:rsidRPr="00C45FD1">
        <w:rPr>
          <w:rFonts w:ascii="Arial" w:hAnsi="Arial"/>
          <w:sz w:val="24"/>
        </w:rPr>
        <w:t xml:space="preserve"> été </w:t>
      </w:r>
      <w:r w:rsidR="00462E87" w:rsidRPr="00C45FD1">
        <w:rPr>
          <w:rFonts w:ascii="Arial" w:hAnsi="Arial"/>
          <w:sz w:val="24"/>
        </w:rPr>
        <w:t>constaté</w:t>
      </w:r>
      <w:r w:rsidR="00011037" w:rsidRPr="00C45FD1">
        <w:rPr>
          <w:rStyle w:val="FootnoteReference"/>
          <w:rFonts w:ascii="Arial" w:hAnsi="Arial"/>
          <w:sz w:val="24"/>
          <w:szCs w:val="24"/>
        </w:rPr>
        <w:footnoteReference w:id="18"/>
      </w:r>
      <w:r w:rsidR="00383CB1" w:rsidRPr="00C45FD1">
        <w:rPr>
          <w:rFonts w:ascii="Arial" w:hAnsi="Arial"/>
          <w:sz w:val="24"/>
        </w:rPr>
        <w:t xml:space="preserve"> entre 2016 et 2019, </w:t>
      </w:r>
      <w:r w:rsidR="00462E87" w:rsidRPr="00C45FD1">
        <w:rPr>
          <w:rFonts w:ascii="Arial" w:hAnsi="Arial"/>
          <w:sz w:val="24"/>
        </w:rPr>
        <w:t xml:space="preserve">par </w:t>
      </w:r>
      <w:r w:rsidR="00383CB1" w:rsidRPr="00C45FD1">
        <w:rPr>
          <w:rFonts w:ascii="Arial" w:hAnsi="Arial"/>
          <w:sz w:val="24"/>
        </w:rPr>
        <w:t xml:space="preserve">des chercheurs locaux ayant observé des accusations de sorcellerie visant plus de 300 femmes dans </w:t>
      </w:r>
      <w:r w:rsidR="005C290B" w:rsidRPr="00C45FD1">
        <w:rPr>
          <w:rFonts w:ascii="Arial" w:hAnsi="Arial"/>
          <w:sz w:val="24"/>
        </w:rPr>
        <w:t xml:space="preserve">seulement </w:t>
      </w:r>
      <w:r w:rsidR="00383CB1" w:rsidRPr="00C45FD1">
        <w:rPr>
          <w:rFonts w:ascii="Arial" w:hAnsi="Arial"/>
          <w:sz w:val="24"/>
        </w:rPr>
        <w:t xml:space="preserve">trois provinces. Parmi celles-ci, 103 ont été tuées ou ont survécu à d’autres sévices graves. En outre, en 2009, </w:t>
      </w:r>
      <w:r w:rsidR="005C290B" w:rsidRPr="00C45FD1">
        <w:rPr>
          <w:rFonts w:ascii="Arial" w:hAnsi="Arial"/>
          <w:sz w:val="24"/>
        </w:rPr>
        <w:t>Amnesty International</w:t>
      </w:r>
      <w:r w:rsidR="00383CB1" w:rsidRPr="00C45FD1">
        <w:rPr>
          <w:rFonts w:ascii="Arial" w:hAnsi="Arial"/>
          <w:sz w:val="24"/>
        </w:rPr>
        <w:t xml:space="preserve"> a signalé que 1</w:t>
      </w:r>
      <w:r w:rsidR="00AE1FCE" w:rsidRPr="00C45FD1">
        <w:rPr>
          <w:rFonts w:ascii="Arial" w:hAnsi="Arial"/>
          <w:sz w:val="24"/>
        </w:rPr>
        <w:t> </w:t>
      </w:r>
      <w:r w:rsidR="00383CB1" w:rsidRPr="00C45FD1">
        <w:rPr>
          <w:rFonts w:ascii="Arial" w:hAnsi="Arial"/>
          <w:sz w:val="24"/>
        </w:rPr>
        <w:t xml:space="preserve">006 personnes avaient été accusées de sorcellerie en Gambie dans un seul </w:t>
      </w:r>
      <w:r w:rsidR="005C290B" w:rsidRPr="00C45FD1">
        <w:rPr>
          <w:rFonts w:ascii="Arial" w:hAnsi="Arial"/>
          <w:sz w:val="24"/>
        </w:rPr>
        <w:t>et même cas</w:t>
      </w:r>
      <w:r w:rsidR="00383CB1" w:rsidRPr="00C45FD1">
        <w:rPr>
          <w:rFonts w:ascii="Arial" w:hAnsi="Arial"/>
          <w:sz w:val="24"/>
        </w:rPr>
        <w:t>. Elles ont ensuite été détenues et contraintes de boire des concoctions hallucinogènes. D’autres accusé</w:t>
      </w:r>
      <w:r w:rsidR="00F252EF" w:rsidRPr="00C45FD1">
        <w:rPr>
          <w:rFonts w:ascii="Arial" w:hAnsi="Arial"/>
          <w:sz w:val="24"/>
        </w:rPr>
        <w:t>e</w:t>
      </w:r>
      <w:r w:rsidR="00383CB1" w:rsidRPr="00C45FD1">
        <w:rPr>
          <w:rFonts w:ascii="Arial" w:hAnsi="Arial"/>
          <w:sz w:val="24"/>
        </w:rPr>
        <w:t>s sont agressé</w:t>
      </w:r>
      <w:r w:rsidR="00E577CA" w:rsidRPr="00C45FD1">
        <w:rPr>
          <w:rFonts w:ascii="Arial" w:hAnsi="Arial"/>
          <w:sz w:val="24"/>
        </w:rPr>
        <w:t>e</w:t>
      </w:r>
      <w:r w:rsidR="00383CB1" w:rsidRPr="00C45FD1">
        <w:rPr>
          <w:rFonts w:ascii="Arial" w:hAnsi="Arial"/>
          <w:sz w:val="24"/>
        </w:rPr>
        <w:t>s physiquement, banni</w:t>
      </w:r>
      <w:r w:rsidR="00FC00C5" w:rsidRPr="00C45FD1">
        <w:rPr>
          <w:rFonts w:ascii="Arial" w:hAnsi="Arial"/>
          <w:sz w:val="24"/>
        </w:rPr>
        <w:t>e</w:t>
      </w:r>
      <w:r w:rsidR="00383CB1" w:rsidRPr="00C45FD1">
        <w:rPr>
          <w:rFonts w:ascii="Arial" w:hAnsi="Arial"/>
          <w:sz w:val="24"/>
        </w:rPr>
        <w:t>s ou maltraité</w:t>
      </w:r>
      <w:r w:rsidR="00FC00C5" w:rsidRPr="00C45FD1">
        <w:rPr>
          <w:rFonts w:ascii="Arial" w:hAnsi="Arial"/>
          <w:sz w:val="24"/>
        </w:rPr>
        <w:t>e</w:t>
      </w:r>
      <w:r w:rsidR="00383CB1" w:rsidRPr="00C45FD1">
        <w:rPr>
          <w:rFonts w:ascii="Arial" w:hAnsi="Arial"/>
          <w:sz w:val="24"/>
        </w:rPr>
        <w:t xml:space="preserve">s psychologiquement. Par exemple, en </w:t>
      </w:r>
      <w:r w:rsidR="00FC00C5" w:rsidRPr="00C45FD1">
        <w:rPr>
          <w:rFonts w:ascii="Arial" w:hAnsi="Arial"/>
          <w:sz w:val="24"/>
        </w:rPr>
        <w:t xml:space="preserve">l’espace de </w:t>
      </w:r>
      <w:r w:rsidR="00383CB1" w:rsidRPr="00C45FD1">
        <w:rPr>
          <w:rFonts w:ascii="Arial" w:hAnsi="Arial"/>
          <w:sz w:val="24"/>
        </w:rPr>
        <w:t>cinq ans, dans le nord du Ghana, plus de 1</w:t>
      </w:r>
      <w:r w:rsidR="00AE1FCE" w:rsidRPr="00C45FD1">
        <w:rPr>
          <w:rFonts w:ascii="Arial" w:hAnsi="Arial"/>
          <w:sz w:val="24"/>
        </w:rPr>
        <w:t> </w:t>
      </w:r>
      <w:r w:rsidR="00383CB1" w:rsidRPr="00C45FD1">
        <w:rPr>
          <w:rFonts w:ascii="Arial" w:hAnsi="Arial"/>
          <w:sz w:val="24"/>
        </w:rPr>
        <w:t xml:space="preserve">000 femmes âgées accusées d’être des sorcières ont été bannies pour vivre dans des camps de </w:t>
      </w:r>
      <w:r w:rsidR="009F1923" w:rsidRPr="00C45FD1">
        <w:rPr>
          <w:rFonts w:ascii="Arial" w:hAnsi="Arial"/>
          <w:sz w:val="24"/>
        </w:rPr>
        <w:t>‘</w:t>
      </w:r>
      <w:r w:rsidR="00383CB1" w:rsidRPr="00C45FD1">
        <w:rPr>
          <w:rFonts w:ascii="Arial" w:hAnsi="Arial"/>
          <w:sz w:val="24"/>
        </w:rPr>
        <w:t>sorcières</w:t>
      </w:r>
      <w:r w:rsidR="009F1923" w:rsidRPr="00C45FD1">
        <w:rPr>
          <w:rFonts w:ascii="Arial" w:hAnsi="Arial"/>
          <w:sz w:val="24"/>
        </w:rPr>
        <w:t>’</w:t>
      </w:r>
      <w:r w:rsidR="00383CB1" w:rsidRPr="00C45FD1">
        <w:rPr>
          <w:rFonts w:ascii="Arial" w:hAnsi="Arial"/>
          <w:sz w:val="24"/>
        </w:rPr>
        <w:t xml:space="preserve"> dans des conditions intolérables.</w:t>
      </w:r>
      <w:r w:rsidR="00383CB1" w:rsidRPr="00C45FD1">
        <w:rPr>
          <w:rStyle w:val="FootnoteReference"/>
          <w:rFonts w:ascii="Arial" w:hAnsi="Arial"/>
          <w:sz w:val="24"/>
          <w:szCs w:val="24"/>
        </w:rPr>
        <w:footnoteReference w:id="19"/>
      </w:r>
      <w:r w:rsidR="00383CB1" w:rsidRPr="00C45FD1">
        <w:rPr>
          <w:rFonts w:ascii="Arial" w:hAnsi="Arial"/>
          <w:sz w:val="24"/>
        </w:rPr>
        <w:t xml:space="preserve"> </w:t>
      </w:r>
    </w:p>
    <w:p w14:paraId="5AF03D3D" w14:textId="77777777" w:rsidR="00383CB1" w:rsidRPr="00C45FD1" w:rsidRDefault="00383CB1" w:rsidP="00383CB1">
      <w:pPr>
        <w:spacing w:after="0" w:line="240" w:lineRule="auto"/>
        <w:jc w:val="both"/>
        <w:rPr>
          <w:rFonts w:ascii="Arial" w:hAnsi="Arial" w:cs="Arial"/>
          <w:sz w:val="24"/>
          <w:szCs w:val="24"/>
        </w:rPr>
      </w:pPr>
    </w:p>
    <w:p w14:paraId="4D6A34EF" w14:textId="77FD59F7" w:rsidR="00383CB1" w:rsidRPr="00C45FD1" w:rsidRDefault="00AE6073" w:rsidP="00383CB1">
      <w:pPr>
        <w:autoSpaceDE w:val="0"/>
        <w:autoSpaceDN w:val="0"/>
        <w:adjustRightInd w:val="0"/>
        <w:spacing w:after="0" w:line="240" w:lineRule="auto"/>
        <w:jc w:val="both"/>
        <w:rPr>
          <w:rFonts w:ascii="Arial" w:hAnsi="Arial" w:cs="Arial"/>
          <w:sz w:val="24"/>
          <w:szCs w:val="24"/>
        </w:rPr>
      </w:pPr>
      <w:r w:rsidRPr="00C45FD1">
        <w:rPr>
          <w:rFonts w:ascii="Arial" w:hAnsi="Arial"/>
          <w:sz w:val="24"/>
        </w:rPr>
        <w:t xml:space="preserve">Une autre forme </w:t>
      </w:r>
      <w:r w:rsidR="009F1923" w:rsidRPr="00C45FD1">
        <w:rPr>
          <w:rFonts w:ascii="Arial" w:hAnsi="Arial"/>
          <w:sz w:val="24"/>
        </w:rPr>
        <w:t xml:space="preserve">de pratique néfaste </w:t>
      </w:r>
      <w:r w:rsidRPr="00C45FD1">
        <w:rPr>
          <w:rFonts w:ascii="Arial" w:hAnsi="Arial"/>
          <w:sz w:val="24"/>
        </w:rPr>
        <w:t xml:space="preserve">se manifeste à travers la croyance en </w:t>
      </w:r>
      <w:r w:rsidR="00A42DB3" w:rsidRPr="00C45FD1">
        <w:rPr>
          <w:rFonts w:ascii="Arial" w:hAnsi="Arial"/>
          <w:sz w:val="24"/>
        </w:rPr>
        <w:t xml:space="preserve">la capacité perçue d’acquérir la fortune ou le pouvoir ou de l’accroître en ayant recours au surnaturel. Elle conduit à des attaques violentes et à des meurtres rituels, </w:t>
      </w:r>
      <w:r w:rsidR="007223FB" w:rsidRPr="00C45FD1">
        <w:rPr>
          <w:rFonts w:ascii="Arial" w:hAnsi="Arial"/>
          <w:sz w:val="24"/>
        </w:rPr>
        <w:t>dans le but de</w:t>
      </w:r>
      <w:r w:rsidR="00A42DB3" w:rsidRPr="00C45FD1">
        <w:rPr>
          <w:rFonts w:ascii="Arial" w:hAnsi="Arial"/>
          <w:sz w:val="24"/>
        </w:rPr>
        <w:t xml:space="preserve"> se procurer à des fins rituelles des parties </w:t>
      </w:r>
      <w:r w:rsidR="005C290B" w:rsidRPr="00C45FD1">
        <w:rPr>
          <w:rFonts w:ascii="Arial" w:hAnsi="Arial"/>
          <w:sz w:val="24"/>
        </w:rPr>
        <w:t xml:space="preserve">du corps </w:t>
      </w:r>
      <w:r w:rsidR="00A42DB3" w:rsidRPr="00C45FD1">
        <w:rPr>
          <w:rFonts w:ascii="Arial" w:hAnsi="Arial"/>
          <w:sz w:val="24"/>
        </w:rPr>
        <w:t xml:space="preserve">de personnes appartenant à certains groupes. On croit souvent que les groupes désignés possèdent des qualités (surnaturelles) qui peuvent faciliter l’acquisition de la fortune. Ces cas vont jusqu’au viol rituel et à la profanation </w:t>
      </w:r>
      <w:r w:rsidR="007223FB" w:rsidRPr="00C45FD1">
        <w:rPr>
          <w:rFonts w:ascii="Arial" w:hAnsi="Arial"/>
          <w:sz w:val="24"/>
        </w:rPr>
        <w:t>de sépulture</w:t>
      </w:r>
      <w:r w:rsidR="00A42DB3" w:rsidRPr="00C45FD1">
        <w:rPr>
          <w:rFonts w:ascii="Arial" w:hAnsi="Arial"/>
          <w:sz w:val="24"/>
        </w:rPr>
        <w:t xml:space="preserve"> à des fins de vol et de </w:t>
      </w:r>
      <w:r w:rsidR="0054317A" w:rsidRPr="00C45FD1">
        <w:rPr>
          <w:rFonts w:ascii="Arial" w:hAnsi="Arial"/>
          <w:sz w:val="24"/>
        </w:rPr>
        <w:t xml:space="preserve">trafic </w:t>
      </w:r>
      <w:r w:rsidR="00A42DB3" w:rsidRPr="00C45FD1">
        <w:rPr>
          <w:rFonts w:ascii="Arial" w:hAnsi="Arial"/>
          <w:sz w:val="24"/>
        </w:rPr>
        <w:t>des dépouilles de personnes ciblées. Par exemple, l’</w:t>
      </w:r>
      <w:r w:rsidR="0007160F" w:rsidRPr="00C45FD1">
        <w:rPr>
          <w:rFonts w:ascii="Arial" w:hAnsi="Arial"/>
          <w:sz w:val="24"/>
        </w:rPr>
        <w:t>E</w:t>
      </w:r>
      <w:r w:rsidR="00A42DB3" w:rsidRPr="00C45FD1">
        <w:rPr>
          <w:rFonts w:ascii="Arial" w:hAnsi="Arial"/>
          <w:sz w:val="24"/>
        </w:rPr>
        <w:t xml:space="preserve">xperte </w:t>
      </w:r>
      <w:r w:rsidR="0007160F" w:rsidRPr="00C45FD1">
        <w:rPr>
          <w:rFonts w:ascii="Arial" w:hAnsi="Arial"/>
          <w:sz w:val="24"/>
        </w:rPr>
        <w:t>I</w:t>
      </w:r>
      <w:r w:rsidR="00A42DB3" w:rsidRPr="00C45FD1">
        <w:rPr>
          <w:rFonts w:ascii="Arial" w:hAnsi="Arial"/>
          <w:sz w:val="24"/>
        </w:rPr>
        <w:t xml:space="preserve">ndépendante sur l’exercice des droits de l’homme </w:t>
      </w:r>
      <w:r w:rsidR="00D12628" w:rsidRPr="00C45FD1">
        <w:rPr>
          <w:rFonts w:ascii="Arial" w:hAnsi="Arial"/>
          <w:sz w:val="24"/>
        </w:rPr>
        <w:t xml:space="preserve">par les </w:t>
      </w:r>
      <w:r w:rsidR="00A42DB3" w:rsidRPr="00C45FD1">
        <w:rPr>
          <w:rFonts w:ascii="Arial" w:hAnsi="Arial"/>
          <w:sz w:val="24"/>
        </w:rPr>
        <w:t xml:space="preserve">personnes atteintes d’albinisme a reçu des centaines de rapports faisant état de personnes atteintes d’albinisme </w:t>
      </w:r>
      <w:r w:rsidR="0007160F" w:rsidRPr="00C45FD1">
        <w:rPr>
          <w:rFonts w:ascii="Arial" w:hAnsi="Arial"/>
          <w:sz w:val="24"/>
        </w:rPr>
        <w:t xml:space="preserve">ayant été </w:t>
      </w:r>
      <w:r w:rsidR="00A42DB3" w:rsidRPr="00C45FD1">
        <w:rPr>
          <w:rFonts w:ascii="Arial" w:hAnsi="Arial"/>
          <w:sz w:val="24"/>
        </w:rPr>
        <w:t xml:space="preserve">ciblées ou attaquées dans de nombreuses régions d’Afrique, </w:t>
      </w:r>
      <w:r w:rsidR="00EC6272" w:rsidRPr="00C45FD1">
        <w:rPr>
          <w:rFonts w:ascii="Arial" w:hAnsi="Arial"/>
          <w:sz w:val="24"/>
        </w:rPr>
        <w:t>selon la conviction</w:t>
      </w:r>
      <w:r w:rsidR="00A42DB3" w:rsidRPr="00C45FD1">
        <w:rPr>
          <w:rFonts w:ascii="Arial" w:hAnsi="Arial"/>
          <w:sz w:val="24"/>
        </w:rPr>
        <w:t xml:space="preserve"> que certaines parties de leur corps peuvent servir à des rituels de sorcellerie ou de médecine traditionnelle pour « induire divers avantages, généralement la richesse, la chance et le succès politique ».</w:t>
      </w:r>
      <w:r w:rsidR="00383CB1" w:rsidRPr="00C45FD1">
        <w:rPr>
          <w:rStyle w:val="FootnoteReference"/>
          <w:rFonts w:ascii="Arial" w:hAnsi="Arial"/>
          <w:sz w:val="24"/>
          <w:szCs w:val="24"/>
        </w:rPr>
        <w:footnoteReference w:id="20"/>
      </w:r>
      <w:r w:rsidR="00A42DB3" w:rsidRPr="00C45FD1">
        <w:rPr>
          <w:rFonts w:ascii="Arial" w:hAnsi="Arial"/>
          <w:sz w:val="24"/>
        </w:rPr>
        <w:t xml:space="preserve"> Les enfants sont particulièrement vulnérables à ces formes d’attaques rituelles et à ces pratiques </w:t>
      </w:r>
      <w:r w:rsidR="00632B16" w:rsidRPr="00C45FD1">
        <w:rPr>
          <w:rFonts w:ascii="Arial" w:hAnsi="Arial"/>
          <w:sz w:val="24"/>
        </w:rPr>
        <w:t>néfastes</w:t>
      </w:r>
      <w:r w:rsidR="00A42DB3" w:rsidRPr="00C45FD1">
        <w:rPr>
          <w:rFonts w:ascii="Arial" w:hAnsi="Arial"/>
          <w:sz w:val="24"/>
        </w:rPr>
        <w:t>.</w:t>
      </w:r>
    </w:p>
    <w:p w14:paraId="7ECD4FBD" w14:textId="73A03A66" w:rsidR="00EE70A7" w:rsidRPr="00C45FD1" w:rsidRDefault="00EE70A7" w:rsidP="00383CB1">
      <w:pPr>
        <w:autoSpaceDE w:val="0"/>
        <w:autoSpaceDN w:val="0"/>
        <w:adjustRightInd w:val="0"/>
        <w:spacing w:after="0" w:line="240" w:lineRule="auto"/>
        <w:jc w:val="both"/>
        <w:rPr>
          <w:rFonts w:ascii="Arial" w:hAnsi="Arial" w:cs="Arial"/>
          <w:sz w:val="24"/>
          <w:szCs w:val="24"/>
        </w:rPr>
      </w:pPr>
    </w:p>
    <w:p w14:paraId="6AEA37B1" w14:textId="25A70BE9" w:rsidR="00A868A6" w:rsidRPr="00C45FD1" w:rsidRDefault="00AE6073" w:rsidP="00A868A6">
      <w:pPr>
        <w:rPr>
          <w:rFonts w:ascii="Arial" w:hAnsi="Arial" w:cs="Arial"/>
          <w:sz w:val="24"/>
          <w:szCs w:val="24"/>
        </w:rPr>
      </w:pPr>
      <w:r w:rsidRPr="00C45FD1">
        <w:rPr>
          <w:rFonts w:ascii="Arial" w:hAnsi="Arial"/>
          <w:sz w:val="24"/>
        </w:rPr>
        <w:t>Un autre</w:t>
      </w:r>
      <w:r w:rsidR="00EE70A7" w:rsidRPr="00C45FD1">
        <w:rPr>
          <w:rFonts w:ascii="Arial" w:hAnsi="Arial"/>
          <w:sz w:val="24"/>
        </w:rPr>
        <w:t xml:space="preserve"> type de </w:t>
      </w:r>
      <w:r w:rsidR="00FF25B4" w:rsidRPr="00C45FD1">
        <w:rPr>
          <w:rFonts w:ascii="Arial" w:hAnsi="Arial"/>
          <w:sz w:val="24"/>
        </w:rPr>
        <w:t xml:space="preserve">ces </w:t>
      </w:r>
      <w:r w:rsidR="00EE70A7" w:rsidRPr="00C45FD1">
        <w:rPr>
          <w:rFonts w:ascii="Arial" w:hAnsi="Arial"/>
          <w:sz w:val="24"/>
        </w:rPr>
        <w:t>pratiques</w:t>
      </w:r>
      <w:r w:rsidR="00EC6272" w:rsidRPr="00C45FD1">
        <w:rPr>
          <w:rFonts w:ascii="Arial" w:hAnsi="Arial"/>
          <w:sz w:val="24"/>
        </w:rPr>
        <w:t xml:space="preserve"> néfastes</w:t>
      </w:r>
      <w:r w:rsidR="00EE70A7" w:rsidRPr="00C45FD1">
        <w:rPr>
          <w:rFonts w:ascii="Arial" w:hAnsi="Arial"/>
          <w:sz w:val="24"/>
        </w:rPr>
        <w:t xml:space="preserve"> </w:t>
      </w:r>
      <w:r w:rsidRPr="00C45FD1">
        <w:rPr>
          <w:rFonts w:ascii="Arial" w:hAnsi="Arial"/>
          <w:sz w:val="24"/>
        </w:rPr>
        <w:t>se manifeste à travers</w:t>
      </w:r>
      <w:r w:rsidR="00EE70A7" w:rsidRPr="00C45FD1">
        <w:rPr>
          <w:rFonts w:ascii="Arial" w:hAnsi="Arial"/>
          <w:sz w:val="24"/>
        </w:rPr>
        <w:t xml:space="preserve"> </w:t>
      </w:r>
      <w:r w:rsidR="00FF25B4" w:rsidRPr="00C45FD1">
        <w:rPr>
          <w:rFonts w:ascii="Arial" w:hAnsi="Arial"/>
          <w:sz w:val="24"/>
        </w:rPr>
        <w:t>l</w:t>
      </w:r>
      <w:r w:rsidR="00EE70A7" w:rsidRPr="00C45FD1">
        <w:rPr>
          <w:rFonts w:ascii="Arial" w:hAnsi="Arial"/>
          <w:sz w:val="24"/>
        </w:rPr>
        <w:t xml:space="preserve">es rituels « juju » </w:t>
      </w:r>
      <w:r w:rsidRPr="00C45FD1">
        <w:rPr>
          <w:rFonts w:ascii="Arial" w:hAnsi="Arial"/>
          <w:sz w:val="24"/>
        </w:rPr>
        <w:t xml:space="preserve">qui sont utilisés pour contraindre une personne à </w:t>
      </w:r>
      <w:r w:rsidR="00BF195B" w:rsidRPr="00C45FD1">
        <w:rPr>
          <w:rFonts w:ascii="Arial" w:hAnsi="Arial"/>
          <w:sz w:val="24"/>
        </w:rPr>
        <w:t xml:space="preserve">se soumettre </w:t>
      </w:r>
      <w:r w:rsidR="009037D0" w:rsidRPr="00C45FD1">
        <w:rPr>
          <w:rFonts w:ascii="Arial" w:hAnsi="Arial"/>
          <w:sz w:val="24"/>
        </w:rPr>
        <w:t>aux trafiquants</w:t>
      </w:r>
      <w:r w:rsidRPr="00C45FD1">
        <w:rPr>
          <w:rFonts w:ascii="Arial" w:hAnsi="Arial"/>
          <w:sz w:val="24"/>
        </w:rPr>
        <w:t>, en assurant son obéissance et en l'empêchant de dénoncer ou d</w:t>
      </w:r>
      <w:r w:rsidR="009037D0" w:rsidRPr="00C45FD1">
        <w:rPr>
          <w:rFonts w:ascii="Arial" w:hAnsi="Arial"/>
          <w:sz w:val="24"/>
        </w:rPr>
        <w:t>e s’</w:t>
      </w:r>
      <w:r w:rsidRPr="00C45FD1">
        <w:rPr>
          <w:rFonts w:ascii="Arial" w:hAnsi="Arial"/>
          <w:sz w:val="24"/>
        </w:rPr>
        <w:t>échapper.</w:t>
      </w:r>
      <w:r w:rsidR="00EE70A7" w:rsidRPr="00C45FD1">
        <w:rPr>
          <w:rFonts w:ascii="Arial" w:hAnsi="Arial"/>
          <w:sz w:val="24"/>
        </w:rPr>
        <w:t xml:space="preserve"> </w:t>
      </w:r>
      <w:r w:rsidR="0054317A" w:rsidRPr="00C45FD1">
        <w:rPr>
          <w:rFonts w:ascii="Arial" w:hAnsi="Arial"/>
          <w:sz w:val="24"/>
        </w:rPr>
        <w:t>De</w:t>
      </w:r>
      <w:r w:rsidR="00EE70A7" w:rsidRPr="00C45FD1">
        <w:rPr>
          <w:rFonts w:ascii="Arial" w:hAnsi="Arial"/>
          <w:sz w:val="24"/>
        </w:rPr>
        <w:t xml:space="preserve"> jeunes femmes, souvent originaires des États d’Edo et de Delta au Nigeria,</w:t>
      </w:r>
      <w:r w:rsidR="0054317A" w:rsidRPr="00C45FD1">
        <w:rPr>
          <w:rFonts w:ascii="Arial" w:hAnsi="Arial"/>
          <w:sz w:val="24"/>
        </w:rPr>
        <w:t xml:space="preserve"> sont ciblées pour être vendues</w:t>
      </w:r>
      <w:r w:rsidR="00EE70A7" w:rsidRPr="00C45FD1">
        <w:rPr>
          <w:rFonts w:ascii="Arial" w:hAnsi="Arial"/>
          <w:sz w:val="24"/>
        </w:rPr>
        <w:t xml:space="preserve"> à des fins d’exploitation sexuelle en Europe. La Nigerian National Agency for Prohibition of Traffic in Persons (Agence nationale nigériane pour l’interdiction de la traite des êtres humains) a noté que 90 % des filles des États de Delta et d’Edo envoyées en esclavage en Europe avaient </w:t>
      </w:r>
      <w:r w:rsidR="00555076" w:rsidRPr="00C45FD1">
        <w:rPr>
          <w:rFonts w:ascii="Arial" w:hAnsi="Arial"/>
          <w:sz w:val="24"/>
        </w:rPr>
        <w:t>e</w:t>
      </w:r>
      <w:r w:rsidR="00ED639B" w:rsidRPr="00C45FD1">
        <w:rPr>
          <w:rFonts w:ascii="Arial" w:hAnsi="Arial"/>
          <w:sz w:val="24"/>
        </w:rPr>
        <w:t>ffectué</w:t>
      </w:r>
      <w:r w:rsidR="00EE70A7" w:rsidRPr="00C45FD1">
        <w:rPr>
          <w:rFonts w:ascii="Arial" w:hAnsi="Arial"/>
          <w:sz w:val="24"/>
        </w:rPr>
        <w:t xml:space="preserve"> des rituels de ce genre.</w:t>
      </w:r>
      <w:r w:rsidR="00A868A6" w:rsidRPr="00C45FD1">
        <w:rPr>
          <w:rStyle w:val="FootnoteReference"/>
          <w:rFonts w:ascii="Arial" w:hAnsi="Arial"/>
          <w:sz w:val="24"/>
          <w:szCs w:val="24"/>
        </w:rPr>
        <w:footnoteReference w:id="21"/>
      </w:r>
      <w:r w:rsidR="00EE70A7" w:rsidRPr="00C45FD1">
        <w:rPr>
          <w:rFonts w:ascii="Arial" w:hAnsi="Arial"/>
          <w:sz w:val="24"/>
        </w:rPr>
        <w:t xml:space="preserve"> Bien que les systèmes d’enregistrement soient insuffisants, il existe des </w:t>
      </w:r>
      <w:r w:rsidR="000C0321" w:rsidRPr="00C45FD1">
        <w:rPr>
          <w:rFonts w:ascii="Arial" w:hAnsi="Arial"/>
          <w:sz w:val="24"/>
        </w:rPr>
        <w:t xml:space="preserve">traces de </w:t>
      </w:r>
      <w:r w:rsidR="00EE70A7" w:rsidRPr="00C45FD1">
        <w:rPr>
          <w:rFonts w:ascii="Arial" w:hAnsi="Arial"/>
          <w:sz w:val="24"/>
        </w:rPr>
        <w:t xml:space="preserve">poursuites engagées dans des affaires impliquant ces femmes dans un grand nombre de pays européens. </w:t>
      </w:r>
    </w:p>
    <w:p w14:paraId="7AD3C050" w14:textId="773A5B22" w:rsidR="00A42DB3" w:rsidRPr="00C45FD1" w:rsidRDefault="00A868A6" w:rsidP="00976B89">
      <w:pPr>
        <w:rPr>
          <w:rFonts w:ascii="Arial" w:hAnsi="Arial"/>
          <w:sz w:val="24"/>
        </w:rPr>
      </w:pPr>
      <w:r w:rsidRPr="00C45FD1">
        <w:rPr>
          <w:rFonts w:ascii="Arial" w:hAnsi="Arial"/>
          <w:sz w:val="24"/>
        </w:rPr>
        <w:t xml:space="preserve">Les trois formes de </w:t>
      </w:r>
      <w:r w:rsidR="00FA44A1" w:rsidRPr="00C45FD1">
        <w:rPr>
          <w:rFonts w:ascii="Arial" w:hAnsi="Arial"/>
          <w:sz w:val="24"/>
        </w:rPr>
        <w:t xml:space="preserve">PN-ASAR </w:t>
      </w:r>
      <w:r w:rsidRPr="00C45FD1">
        <w:rPr>
          <w:rFonts w:ascii="Arial" w:hAnsi="Arial"/>
          <w:sz w:val="24"/>
        </w:rPr>
        <w:t>ont mené à des violations flagrantes des droits de l’homme sur de multiples continents, comme le montrent les données disponibles. Rien n’indique que la situation s’améliore à l’échelle mondiale. Au contraire, il existe de nombreux exemples documentés d’augmentation localisée de la violence et de nouvelles formes d’exploitation, par exemple au Royaume-Uni.</w:t>
      </w:r>
    </w:p>
    <w:p w14:paraId="14C711FA" w14:textId="77777777" w:rsidR="00217278" w:rsidRPr="00C45FD1" w:rsidRDefault="00217278" w:rsidP="00976B89">
      <w:pPr>
        <w:rPr>
          <w:rFonts w:ascii="Arial" w:hAnsi="Arial"/>
          <w:sz w:val="24"/>
        </w:rPr>
      </w:pPr>
    </w:p>
    <w:p w14:paraId="2D2BB096" w14:textId="1E3760A9" w:rsidR="00383CB1" w:rsidRPr="00C45FD1" w:rsidRDefault="00383CB1" w:rsidP="001D5B46">
      <w:pPr>
        <w:pStyle w:val="Heading1"/>
        <w:rPr>
          <w:rFonts w:eastAsia="Times New Roman"/>
        </w:rPr>
      </w:pPr>
      <w:bookmarkStart w:id="6" w:name="_Toc77849368"/>
      <w:r w:rsidRPr="00C45FD1">
        <w:t>DONNÉES</w:t>
      </w:r>
      <w:r w:rsidR="00AE6073" w:rsidRPr="00C45FD1">
        <w:rPr>
          <w:rStyle w:val="FootnoteReference"/>
        </w:rPr>
        <w:footnoteReference w:id="22"/>
      </w:r>
      <w:bookmarkEnd w:id="6"/>
    </w:p>
    <w:p w14:paraId="200A16B5" w14:textId="2485836E" w:rsidR="00C05BF4" w:rsidRPr="00C45FD1" w:rsidRDefault="00C05BF4" w:rsidP="00383CB1">
      <w:pPr>
        <w:spacing w:after="0" w:line="240" w:lineRule="auto"/>
        <w:jc w:val="both"/>
        <w:rPr>
          <w:rFonts w:ascii="Arial" w:eastAsia="Times New Roman" w:hAnsi="Arial" w:cs="Arial"/>
          <w:sz w:val="24"/>
          <w:szCs w:val="24"/>
        </w:rPr>
      </w:pPr>
    </w:p>
    <w:p w14:paraId="310FD619" w14:textId="56BF1E3C" w:rsidR="00C05BF4" w:rsidRPr="00C45FD1" w:rsidRDefault="00C05BF4" w:rsidP="00383CB1">
      <w:pPr>
        <w:spacing w:after="0" w:line="240" w:lineRule="auto"/>
        <w:jc w:val="both"/>
        <w:rPr>
          <w:rFonts w:ascii="Arial" w:eastAsia="Times New Roman" w:hAnsi="Arial" w:cs="Arial"/>
          <w:b/>
          <w:bCs/>
          <w:sz w:val="24"/>
          <w:szCs w:val="24"/>
        </w:rPr>
      </w:pPr>
      <w:r w:rsidRPr="00C45FD1">
        <w:rPr>
          <w:rFonts w:ascii="Arial" w:hAnsi="Arial"/>
          <w:b/>
          <w:sz w:val="24"/>
        </w:rPr>
        <w:t>Introduction</w:t>
      </w:r>
    </w:p>
    <w:p w14:paraId="7CF7BB29" w14:textId="77777777" w:rsidR="00C05BF4" w:rsidRPr="00C45FD1" w:rsidRDefault="00C05BF4" w:rsidP="00383CB1">
      <w:pPr>
        <w:spacing w:after="0" w:line="240" w:lineRule="auto"/>
        <w:jc w:val="both"/>
        <w:rPr>
          <w:rFonts w:ascii="Arial" w:eastAsia="Times New Roman" w:hAnsi="Arial" w:cs="Arial"/>
          <w:sz w:val="24"/>
          <w:szCs w:val="24"/>
        </w:rPr>
      </w:pPr>
    </w:p>
    <w:p w14:paraId="16E168F1" w14:textId="7A1536D2" w:rsidR="00976B89" w:rsidRPr="00C45FD1" w:rsidRDefault="00AF172C" w:rsidP="00976B89">
      <w:pPr>
        <w:spacing w:after="0" w:line="240" w:lineRule="auto"/>
        <w:rPr>
          <w:rFonts w:ascii="Times New Roman" w:hAnsi="Times New Roman" w:cs="Times New Roman"/>
          <w:sz w:val="24"/>
          <w:szCs w:val="24"/>
        </w:rPr>
      </w:pPr>
      <w:r w:rsidRPr="00C45FD1">
        <w:rPr>
          <w:rFonts w:ascii="Arial" w:hAnsi="Arial"/>
          <w:sz w:val="24"/>
        </w:rPr>
        <w:t xml:space="preserve">Les données actuelles sur ces violations des droits de l’homme sont incomplètes et les données existantes sont diffusées </w:t>
      </w:r>
      <w:r w:rsidR="0034377A" w:rsidRPr="00C45FD1">
        <w:rPr>
          <w:rFonts w:ascii="Arial" w:hAnsi="Arial"/>
          <w:sz w:val="24"/>
        </w:rPr>
        <w:t xml:space="preserve">à travers </w:t>
      </w:r>
      <w:r w:rsidRPr="00C45FD1">
        <w:rPr>
          <w:rFonts w:ascii="Arial" w:hAnsi="Arial"/>
          <w:sz w:val="24"/>
        </w:rPr>
        <w:t>diverses disciplines et agences sans qu’</w:t>
      </w:r>
      <w:r w:rsidR="00E77F41" w:rsidRPr="00C45FD1">
        <w:rPr>
          <w:rFonts w:ascii="Arial" w:hAnsi="Arial"/>
          <w:sz w:val="24"/>
        </w:rPr>
        <w:t>auc</w:t>
      </w:r>
      <w:r w:rsidRPr="00C45FD1">
        <w:rPr>
          <w:rFonts w:ascii="Arial" w:hAnsi="Arial"/>
          <w:sz w:val="24"/>
        </w:rPr>
        <w:t xml:space="preserve">une organisation </w:t>
      </w:r>
      <w:r w:rsidR="00E77F41" w:rsidRPr="00C45FD1">
        <w:rPr>
          <w:rFonts w:ascii="Arial" w:hAnsi="Arial"/>
          <w:sz w:val="24"/>
        </w:rPr>
        <w:t xml:space="preserve">ne </w:t>
      </w:r>
      <w:r w:rsidRPr="00C45FD1">
        <w:rPr>
          <w:rFonts w:ascii="Arial" w:hAnsi="Arial"/>
          <w:sz w:val="24"/>
        </w:rPr>
        <w:t xml:space="preserve">surveille </w:t>
      </w:r>
      <w:r w:rsidR="00E77F41" w:rsidRPr="00C45FD1">
        <w:rPr>
          <w:rFonts w:ascii="Arial" w:hAnsi="Arial"/>
          <w:sz w:val="24"/>
        </w:rPr>
        <w:t>ni n’</w:t>
      </w:r>
      <w:r w:rsidRPr="00C45FD1">
        <w:rPr>
          <w:rFonts w:ascii="Arial" w:hAnsi="Arial"/>
          <w:sz w:val="24"/>
        </w:rPr>
        <w:t xml:space="preserve">intègre systématiquement ces violations à l’échelle internationale. </w:t>
      </w:r>
    </w:p>
    <w:p w14:paraId="38D03A29" w14:textId="5D76383F" w:rsidR="00383CB1" w:rsidRPr="00C45FD1" w:rsidRDefault="00097761" w:rsidP="00383CB1">
      <w:pPr>
        <w:spacing w:after="0" w:line="240" w:lineRule="auto"/>
        <w:jc w:val="both"/>
        <w:rPr>
          <w:rFonts w:ascii="Arial" w:eastAsia="Times New Roman" w:hAnsi="Arial" w:cs="Arial"/>
          <w:sz w:val="24"/>
          <w:szCs w:val="24"/>
        </w:rPr>
      </w:pPr>
      <w:r w:rsidRPr="00C45FD1">
        <w:rPr>
          <w:rFonts w:ascii="Arial" w:hAnsi="Arial"/>
          <w:sz w:val="24"/>
        </w:rPr>
        <w:t xml:space="preserve">La nature </w:t>
      </w:r>
      <w:r w:rsidR="00E4229A" w:rsidRPr="00C45FD1">
        <w:rPr>
          <w:rFonts w:ascii="Arial" w:hAnsi="Arial"/>
          <w:sz w:val="24"/>
        </w:rPr>
        <w:t xml:space="preserve">confidentielle </w:t>
      </w:r>
      <w:r w:rsidRPr="00C45FD1">
        <w:rPr>
          <w:rFonts w:ascii="Arial" w:hAnsi="Arial"/>
          <w:sz w:val="24"/>
        </w:rPr>
        <w:t xml:space="preserve">des </w:t>
      </w:r>
      <w:r w:rsidR="009B77D0" w:rsidRPr="00C45FD1">
        <w:rPr>
          <w:rFonts w:ascii="Arial" w:hAnsi="Arial"/>
          <w:sz w:val="24"/>
        </w:rPr>
        <w:t xml:space="preserve">PN-ASAR </w:t>
      </w:r>
      <w:r w:rsidRPr="00C45FD1">
        <w:rPr>
          <w:rFonts w:ascii="Arial" w:hAnsi="Arial"/>
          <w:sz w:val="24"/>
        </w:rPr>
        <w:t>rend particulièrement difficile le suivi systématique par l’entremise de sources de données normalisées</w:t>
      </w:r>
      <w:r w:rsidR="009B77D0" w:rsidRPr="00C45FD1">
        <w:rPr>
          <w:rFonts w:ascii="Arial" w:hAnsi="Arial"/>
          <w:sz w:val="24"/>
        </w:rPr>
        <w:t xml:space="preserve"> et résulte </w:t>
      </w:r>
      <w:r w:rsidR="00AF79FE" w:rsidRPr="00C45FD1">
        <w:rPr>
          <w:rFonts w:ascii="Arial" w:hAnsi="Arial"/>
          <w:sz w:val="24"/>
        </w:rPr>
        <w:t>en une sous-estimation de leur nombre</w:t>
      </w:r>
      <w:r w:rsidRPr="00C45FD1">
        <w:rPr>
          <w:rFonts w:ascii="Arial" w:hAnsi="Arial"/>
          <w:sz w:val="24"/>
        </w:rPr>
        <w:t xml:space="preserve">. </w:t>
      </w:r>
    </w:p>
    <w:p w14:paraId="275417A1" w14:textId="77777777" w:rsidR="00383CB1" w:rsidRPr="00C45FD1" w:rsidRDefault="00383CB1" w:rsidP="00383CB1">
      <w:pPr>
        <w:spacing w:after="0" w:line="240" w:lineRule="auto"/>
        <w:jc w:val="both"/>
        <w:rPr>
          <w:rFonts w:ascii="Arial" w:eastAsia="Times New Roman" w:hAnsi="Arial" w:cs="Arial"/>
          <w:sz w:val="24"/>
          <w:szCs w:val="24"/>
        </w:rPr>
      </w:pPr>
    </w:p>
    <w:p w14:paraId="12EA7199" w14:textId="0453A67D" w:rsidR="00383CB1" w:rsidRPr="00C45FD1" w:rsidRDefault="00C2228D" w:rsidP="00383CB1">
      <w:pPr>
        <w:spacing w:after="0" w:line="240" w:lineRule="auto"/>
        <w:jc w:val="both"/>
        <w:rPr>
          <w:rFonts w:ascii="Arial" w:eastAsia="Times New Roman" w:hAnsi="Arial" w:cs="Arial"/>
          <w:b/>
          <w:bCs/>
          <w:sz w:val="24"/>
          <w:szCs w:val="24"/>
        </w:rPr>
      </w:pPr>
      <w:r w:rsidRPr="00C45FD1">
        <w:rPr>
          <w:rFonts w:ascii="Arial" w:hAnsi="Arial"/>
          <w:b/>
          <w:sz w:val="24"/>
        </w:rPr>
        <w:t>Notes explicatives et mises en garde</w:t>
      </w:r>
    </w:p>
    <w:p w14:paraId="1F82C799" w14:textId="2CADE798" w:rsidR="00C2228D" w:rsidRPr="00C45FD1" w:rsidRDefault="00C2228D" w:rsidP="00383CB1">
      <w:pPr>
        <w:spacing w:after="0" w:line="240" w:lineRule="auto"/>
        <w:jc w:val="both"/>
        <w:rPr>
          <w:rFonts w:ascii="Arial" w:eastAsia="Times New Roman" w:hAnsi="Arial" w:cs="Arial"/>
          <w:sz w:val="24"/>
          <w:szCs w:val="24"/>
        </w:rPr>
      </w:pPr>
    </w:p>
    <w:p w14:paraId="4E51A9AB" w14:textId="0A1E3F35" w:rsidR="00C46FC5" w:rsidRPr="00C45FD1" w:rsidRDefault="00C46FC5">
      <w:pPr>
        <w:rPr>
          <w:rFonts w:ascii="Arial" w:hAnsi="Arial" w:cs="Arial"/>
          <w:sz w:val="24"/>
          <w:szCs w:val="24"/>
          <w:u w:val="single"/>
        </w:rPr>
      </w:pPr>
      <w:r w:rsidRPr="00C45FD1">
        <w:rPr>
          <w:rFonts w:ascii="Arial" w:hAnsi="Arial"/>
          <w:sz w:val="24"/>
          <w:u w:val="single"/>
        </w:rPr>
        <w:t>Source</w:t>
      </w:r>
    </w:p>
    <w:p w14:paraId="456B931E" w14:textId="375DD297" w:rsidR="00C46FC5" w:rsidRPr="00C45FD1" w:rsidRDefault="00C46FC5">
      <w:pPr>
        <w:rPr>
          <w:rFonts w:ascii="Arial" w:hAnsi="Arial" w:cs="Arial"/>
          <w:sz w:val="24"/>
          <w:szCs w:val="24"/>
        </w:rPr>
      </w:pPr>
      <w:r w:rsidRPr="00C45FD1">
        <w:rPr>
          <w:rFonts w:ascii="Arial" w:hAnsi="Arial"/>
          <w:sz w:val="24"/>
        </w:rPr>
        <w:t xml:space="preserve">Les sources des cas de </w:t>
      </w:r>
      <w:r w:rsidR="00AF79FE" w:rsidRPr="00C45FD1">
        <w:rPr>
          <w:rFonts w:ascii="Arial" w:hAnsi="Arial"/>
          <w:sz w:val="24"/>
        </w:rPr>
        <w:t xml:space="preserve">PN-ASAR </w:t>
      </w:r>
      <w:r w:rsidRPr="00C45FD1">
        <w:rPr>
          <w:rFonts w:ascii="Arial" w:hAnsi="Arial"/>
          <w:sz w:val="24"/>
        </w:rPr>
        <w:t xml:space="preserve">ont variées. Il s’agit notamment de sources gouvernementales, d’organisations intergouvernementales, notamment d’agences des Nations Unies, d’organisations non gouvernementales, de sources universitaires et </w:t>
      </w:r>
      <w:r w:rsidR="00E77F41" w:rsidRPr="00C45FD1">
        <w:rPr>
          <w:rFonts w:ascii="Arial" w:hAnsi="Arial"/>
          <w:sz w:val="24"/>
        </w:rPr>
        <w:t>de sources médiatiques</w:t>
      </w:r>
      <w:r w:rsidRPr="00C45FD1">
        <w:rPr>
          <w:rFonts w:ascii="Arial" w:hAnsi="Arial"/>
          <w:sz w:val="24"/>
        </w:rPr>
        <w:t xml:space="preserve"> (presse écrite et en ligne). </w:t>
      </w:r>
    </w:p>
    <w:p w14:paraId="66811494" w14:textId="686F9062" w:rsidR="00097761" w:rsidRPr="00C45FD1" w:rsidRDefault="00097761">
      <w:pPr>
        <w:rPr>
          <w:rFonts w:ascii="Arial" w:hAnsi="Arial" w:cs="Arial"/>
          <w:sz w:val="24"/>
          <w:szCs w:val="24"/>
          <w:u w:val="single"/>
        </w:rPr>
      </w:pPr>
      <w:r w:rsidRPr="00C45FD1">
        <w:rPr>
          <w:rFonts w:ascii="Arial" w:hAnsi="Arial"/>
          <w:sz w:val="24"/>
          <w:u w:val="single"/>
        </w:rPr>
        <w:t>Échelonnement des cas</w:t>
      </w:r>
      <w:r w:rsidR="00E77F41" w:rsidRPr="00C45FD1">
        <w:rPr>
          <w:rFonts w:ascii="Arial" w:hAnsi="Arial"/>
          <w:sz w:val="24"/>
          <w:u w:val="single"/>
        </w:rPr>
        <w:t xml:space="preserve"> </w:t>
      </w:r>
    </w:p>
    <w:p w14:paraId="07AD2172" w14:textId="0CAF27CD" w:rsidR="00097761" w:rsidRPr="00C45FD1" w:rsidRDefault="00AF172C">
      <w:pPr>
        <w:rPr>
          <w:rFonts w:ascii="Arial" w:hAnsi="Arial" w:cs="Arial"/>
          <w:sz w:val="24"/>
          <w:szCs w:val="24"/>
        </w:rPr>
      </w:pPr>
      <w:r w:rsidRPr="00C45FD1">
        <w:rPr>
          <w:rFonts w:ascii="Arial" w:hAnsi="Arial"/>
          <w:sz w:val="24"/>
        </w:rPr>
        <w:t>La majorité des cas inclus dans la base de données sont ceux signalés entre le 1er janvier 2009 et le 25 août 2019</w:t>
      </w:r>
      <w:r w:rsidR="00AE6073" w:rsidRPr="00C45FD1">
        <w:rPr>
          <w:rFonts w:ascii="Arial" w:hAnsi="Arial"/>
          <w:sz w:val="24"/>
        </w:rPr>
        <w:t>.</w:t>
      </w:r>
    </w:p>
    <w:p w14:paraId="344D9F26" w14:textId="7CB35BF4" w:rsidR="0041306F" w:rsidRPr="00C45FD1" w:rsidRDefault="0041306F">
      <w:pPr>
        <w:rPr>
          <w:rFonts w:ascii="Arial" w:hAnsi="Arial" w:cs="Arial"/>
          <w:sz w:val="24"/>
          <w:szCs w:val="24"/>
          <w:u w:val="single"/>
        </w:rPr>
      </w:pPr>
      <w:r w:rsidRPr="00C45FD1">
        <w:rPr>
          <w:rFonts w:ascii="Arial" w:hAnsi="Arial"/>
          <w:sz w:val="24"/>
          <w:u w:val="single"/>
        </w:rPr>
        <w:t>Critères d’inclusion</w:t>
      </w:r>
    </w:p>
    <w:p w14:paraId="5F042262" w14:textId="2564C3CC" w:rsidR="00C05BF4" w:rsidRPr="00C45FD1" w:rsidRDefault="0041306F">
      <w:pPr>
        <w:rPr>
          <w:rFonts w:ascii="Arial" w:hAnsi="Arial" w:cs="Arial"/>
          <w:sz w:val="24"/>
          <w:szCs w:val="24"/>
        </w:rPr>
      </w:pPr>
      <w:r w:rsidRPr="00C45FD1">
        <w:rPr>
          <w:rFonts w:ascii="Arial" w:hAnsi="Arial"/>
          <w:sz w:val="24"/>
        </w:rPr>
        <w:t>On</w:t>
      </w:r>
      <w:r w:rsidR="00E77F41" w:rsidRPr="00C45FD1">
        <w:rPr>
          <w:rFonts w:ascii="Arial" w:hAnsi="Arial"/>
          <w:sz w:val="24"/>
        </w:rPr>
        <w:t>t été</w:t>
      </w:r>
      <w:r w:rsidRPr="00C45FD1">
        <w:rPr>
          <w:rFonts w:ascii="Arial" w:hAnsi="Arial"/>
          <w:sz w:val="24"/>
        </w:rPr>
        <w:t xml:space="preserve"> inclus </w:t>
      </w:r>
      <w:r w:rsidR="00E77F41" w:rsidRPr="00C45FD1">
        <w:rPr>
          <w:rFonts w:ascii="Arial" w:hAnsi="Arial"/>
          <w:sz w:val="24"/>
        </w:rPr>
        <w:t xml:space="preserve">dans la base de données </w:t>
      </w:r>
      <w:r w:rsidRPr="00C45FD1">
        <w:rPr>
          <w:rFonts w:ascii="Arial" w:hAnsi="Arial"/>
          <w:sz w:val="24"/>
        </w:rPr>
        <w:t>les cas</w:t>
      </w:r>
      <w:r w:rsidR="00E77F41" w:rsidRPr="00C45FD1">
        <w:rPr>
          <w:rFonts w:ascii="Arial" w:hAnsi="Arial"/>
          <w:sz w:val="24"/>
        </w:rPr>
        <w:t xml:space="preserve"> publiés par une source crédible à première vue et contenant</w:t>
      </w:r>
      <w:r w:rsidRPr="00C45FD1">
        <w:rPr>
          <w:rFonts w:ascii="Arial" w:hAnsi="Arial"/>
          <w:sz w:val="24"/>
        </w:rPr>
        <w:t xml:space="preserve"> des informations fiables.</w:t>
      </w:r>
    </w:p>
    <w:p w14:paraId="0D713C11" w14:textId="4D7160CD" w:rsidR="008D7590" w:rsidRPr="00C45FD1" w:rsidRDefault="00C05BF4" w:rsidP="00C45FD1">
      <w:pPr>
        <w:rPr>
          <w:rFonts w:ascii="Arial" w:eastAsia="Times New Roman" w:hAnsi="Arial" w:cs="Arial"/>
          <w:sz w:val="24"/>
          <w:szCs w:val="24"/>
          <w:u w:val="single"/>
        </w:rPr>
      </w:pPr>
      <w:r w:rsidRPr="00C45FD1">
        <w:rPr>
          <w:rFonts w:ascii="Arial" w:hAnsi="Arial"/>
          <w:sz w:val="24"/>
        </w:rPr>
        <w:t xml:space="preserve">Les facteurs permettant d’évaluer la crédibilité sont, entre autres, la nature de la source, sa mission ou son éthique, sa durée d’existence, les rapports antérieurs, et les travaux actuels et passés. Les facteurs permettant d’évaluer la fiabilité sont, entre autres, la crédibilité de la source ainsi que l’indication du nom de la ou des victimes ainsi que d’autres détails qui pourraient permettre la traçabilité. </w:t>
      </w:r>
    </w:p>
    <w:p w14:paraId="3CBC0F70" w14:textId="1D9F9058" w:rsidR="00C05BF4" w:rsidRPr="00C45FD1" w:rsidRDefault="00C05BF4" w:rsidP="00C05BF4">
      <w:pPr>
        <w:spacing w:after="0" w:line="240" w:lineRule="auto"/>
        <w:jc w:val="both"/>
        <w:rPr>
          <w:rFonts w:ascii="Arial" w:eastAsia="Times New Roman" w:hAnsi="Arial" w:cs="Arial"/>
          <w:sz w:val="24"/>
          <w:szCs w:val="24"/>
          <w:u w:val="single"/>
        </w:rPr>
      </w:pPr>
      <w:r w:rsidRPr="00C45FD1">
        <w:rPr>
          <w:rFonts w:ascii="Arial" w:hAnsi="Arial"/>
          <w:sz w:val="24"/>
          <w:u w:val="single"/>
        </w:rPr>
        <w:t>Cas signalés</w:t>
      </w:r>
    </w:p>
    <w:p w14:paraId="15A9014C" w14:textId="77777777" w:rsidR="00C05BF4" w:rsidRPr="00C45FD1" w:rsidRDefault="00C05BF4" w:rsidP="00C05BF4">
      <w:pPr>
        <w:spacing w:after="0" w:line="240" w:lineRule="auto"/>
        <w:jc w:val="both"/>
        <w:rPr>
          <w:rFonts w:ascii="Arial" w:hAnsi="Arial" w:cs="Arial"/>
          <w:sz w:val="24"/>
          <w:szCs w:val="24"/>
        </w:rPr>
      </w:pPr>
    </w:p>
    <w:p w14:paraId="0FA390A3" w14:textId="25B833E4" w:rsidR="00C05BF4" w:rsidRPr="00C45FD1" w:rsidRDefault="00C05BF4" w:rsidP="00C05BF4">
      <w:pPr>
        <w:spacing w:after="0" w:line="240" w:lineRule="auto"/>
        <w:jc w:val="both"/>
        <w:rPr>
          <w:rFonts w:ascii="Arial" w:eastAsia="Times New Roman" w:hAnsi="Arial" w:cs="Arial"/>
          <w:b/>
          <w:bCs/>
          <w:sz w:val="24"/>
          <w:szCs w:val="24"/>
        </w:rPr>
      </w:pPr>
      <w:r w:rsidRPr="00C45FD1">
        <w:rPr>
          <w:rFonts w:ascii="Arial" w:hAnsi="Arial"/>
          <w:sz w:val="24"/>
        </w:rPr>
        <w:t xml:space="preserve">Récit parlé ou écrit de </w:t>
      </w:r>
      <w:r w:rsidR="00D16834" w:rsidRPr="00C45FD1">
        <w:rPr>
          <w:rFonts w:ascii="Arial" w:hAnsi="Arial"/>
          <w:sz w:val="24"/>
        </w:rPr>
        <w:t xml:space="preserve">PN-ASAR </w:t>
      </w:r>
      <w:r w:rsidRPr="00C45FD1">
        <w:rPr>
          <w:rFonts w:ascii="Arial" w:hAnsi="Arial"/>
          <w:sz w:val="24"/>
        </w:rPr>
        <w:t xml:space="preserve">qui ont été observées ou entendues, </w:t>
      </w:r>
      <w:r w:rsidR="00E77F41" w:rsidRPr="00C45FD1">
        <w:rPr>
          <w:rFonts w:ascii="Arial" w:hAnsi="Arial"/>
          <w:sz w:val="24"/>
        </w:rPr>
        <w:t xml:space="preserve">commises ou </w:t>
      </w:r>
      <w:r w:rsidR="0084242E" w:rsidRPr="00C45FD1">
        <w:rPr>
          <w:rFonts w:ascii="Arial" w:hAnsi="Arial"/>
          <w:sz w:val="24"/>
        </w:rPr>
        <w:t xml:space="preserve">encore </w:t>
      </w:r>
      <w:r w:rsidR="00E77F41" w:rsidRPr="00C45FD1">
        <w:rPr>
          <w:rFonts w:ascii="Arial" w:hAnsi="Arial"/>
          <w:sz w:val="24"/>
        </w:rPr>
        <w:t>qui ont fait l’objet d’une enquête</w:t>
      </w:r>
      <w:r w:rsidRPr="00C45FD1">
        <w:rPr>
          <w:rFonts w:ascii="Arial" w:hAnsi="Arial"/>
          <w:sz w:val="24"/>
        </w:rPr>
        <w:t>.</w:t>
      </w:r>
    </w:p>
    <w:p w14:paraId="73E1E932" w14:textId="77777777" w:rsidR="00C05BF4" w:rsidRPr="00C45FD1" w:rsidRDefault="00C05BF4">
      <w:pPr>
        <w:rPr>
          <w:rFonts w:ascii="Arial" w:hAnsi="Arial" w:cs="Arial"/>
          <w:sz w:val="24"/>
          <w:szCs w:val="24"/>
        </w:rPr>
      </w:pPr>
    </w:p>
    <w:p w14:paraId="04BF1309" w14:textId="19F260A5" w:rsidR="001A460F" w:rsidRPr="00C45FD1" w:rsidRDefault="001A460F">
      <w:pPr>
        <w:rPr>
          <w:rFonts w:ascii="Arial" w:hAnsi="Arial" w:cs="Arial"/>
          <w:sz w:val="24"/>
          <w:szCs w:val="24"/>
          <w:u w:val="single"/>
        </w:rPr>
      </w:pPr>
      <w:r w:rsidRPr="00C45FD1">
        <w:rPr>
          <w:rFonts w:ascii="Arial" w:hAnsi="Arial"/>
          <w:sz w:val="24"/>
          <w:u w:val="single"/>
        </w:rPr>
        <w:t xml:space="preserve">Catégories de </w:t>
      </w:r>
      <w:r w:rsidR="00EF20AA" w:rsidRPr="00C45FD1">
        <w:rPr>
          <w:rFonts w:ascii="Arial" w:hAnsi="Arial"/>
          <w:sz w:val="24"/>
          <w:u w:val="single"/>
        </w:rPr>
        <w:t xml:space="preserve">PN-ASAR </w:t>
      </w:r>
    </w:p>
    <w:p w14:paraId="72FD2524" w14:textId="75FBDBC6" w:rsidR="001A460F" w:rsidRPr="00C45FD1" w:rsidRDefault="001A460F" w:rsidP="001A460F">
      <w:pPr>
        <w:rPr>
          <w:rFonts w:ascii="Arial" w:hAnsi="Arial" w:cs="Arial"/>
          <w:sz w:val="24"/>
          <w:szCs w:val="24"/>
        </w:rPr>
      </w:pPr>
      <w:r w:rsidRPr="00C45FD1">
        <w:rPr>
          <w:rFonts w:ascii="Arial" w:hAnsi="Arial"/>
          <w:sz w:val="24"/>
        </w:rPr>
        <w:t xml:space="preserve">Les catégories d’attaques sont inspirées des catégories utilisées dans le droit pénal ainsi que </w:t>
      </w:r>
      <w:r w:rsidR="00074FC3" w:rsidRPr="00C45FD1">
        <w:rPr>
          <w:rFonts w:ascii="Arial" w:hAnsi="Arial"/>
          <w:sz w:val="24"/>
        </w:rPr>
        <w:t>de</w:t>
      </w:r>
      <w:r w:rsidRPr="00C45FD1">
        <w:rPr>
          <w:rFonts w:ascii="Arial" w:hAnsi="Arial"/>
          <w:sz w:val="24"/>
        </w:rPr>
        <w:t xml:space="preserve"> définitions </w:t>
      </w:r>
      <w:r w:rsidR="00074FC3" w:rsidRPr="00C45FD1">
        <w:rPr>
          <w:rFonts w:ascii="Arial" w:hAnsi="Arial"/>
          <w:sz w:val="24"/>
        </w:rPr>
        <w:t>issues de</w:t>
      </w:r>
      <w:r w:rsidRPr="00C45FD1">
        <w:rPr>
          <w:rFonts w:ascii="Arial" w:hAnsi="Arial"/>
          <w:sz w:val="24"/>
        </w:rPr>
        <w:t xml:space="preserve"> dictionnaires. Toutes les catégories ont été signalées dans des circonstances</w:t>
      </w:r>
      <w:r w:rsidR="00730099" w:rsidRPr="00C45FD1">
        <w:rPr>
          <w:rFonts w:ascii="Arial" w:hAnsi="Arial"/>
          <w:sz w:val="24"/>
        </w:rPr>
        <w:t xml:space="preserve"> de PN-ASAR</w:t>
      </w:r>
      <w:r w:rsidRPr="00C45FD1">
        <w:rPr>
          <w:rFonts w:ascii="Arial" w:hAnsi="Arial"/>
          <w:sz w:val="24"/>
        </w:rPr>
        <w:t>.</w:t>
      </w:r>
    </w:p>
    <w:tbl>
      <w:tblPr>
        <w:tblStyle w:val="TableGrid"/>
        <w:tblW w:w="9805" w:type="dxa"/>
        <w:tblLook w:val="04A0" w:firstRow="1" w:lastRow="0" w:firstColumn="1" w:lastColumn="0" w:noHBand="0" w:noVBand="1"/>
      </w:tblPr>
      <w:tblGrid>
        <w:gridCol w:w="1951"/>
        <w:gridCol w:w="7854"/>
      </w:tblGrid>
      <w:tr w:rsidR="001A460F" w:rsidRPr="00C45FD1" w14:paraId="6E872BC9" w14:textId="77777777" w:rsidTr="006F23F9">
        <w:tc>
          <w:tcPr>
            <w:tcW w:w="1951" w:type="dxa"/>
          </w:tcPr>
          <w:p w14:paraId="7486D5FA" w14:textId="34142273" w:rsidR="001A460F" w:rsidRPr="00C45FD1" w:rsidRDefault="001A460F" w:rsidP="00043A70">
            <w:pPr>
              <w:rPr>
                <w:rFonts w:ascii="Arial" w:hAnsi="Arial" w:cs="Arial"/>
                <w:b/>
                <w:bCs/>
                <w:sz w:val="24"/>
                <w:szCs w:val="24"/>
              </w:rPr>
            </w:pPr>
            <w:r w:rsidRPr="00C45FD1">
              <w:rPr>
                <w:rFonts w:ascii="Arial" w:hAnsi="Arial"/>
                <w:b/>
                <w:sz w:val="24"/>
              </w:rPr>
              <w:t>Catégorie</w:t>
            </w:r>
          </w:p>
        </w:tc>
        <w:tc>
          <w:tcPr>
            <w:tcW w:w="7854" w:type="dxa"/>
          </w:tcPr>
          <w:p w14:paraId="73CBDA6B" w14:textId="36CC6A59" w:rsidR="001A460F" w:rsidRPr="00C45FD1" w:rsidRDefault="001A460F" w:rsidP="00043A70">
            <w:pPr>
              <w:rPr>
                <w:rFonts w:ascii="Arial" w:hAnsi="Arial" w:cs="Arial"/>
                <w:b/>
                <w:bCs/>
                <w:sz w:val="24"/>
                <w:szCs w:val="24"/>
              </w:rPr>
            </w:pPr>
            <w:r w:rsidRPr="00C45FD1">
              <w:rPr>
                <w:rFonts w:ascii="Arial" w:hAnsi="Arial"/>
                <w:b/>
                <w:sz w:val="24"/>
              </w:rPr>
              <w:t>Définition utilisée dans cette base de données</w:t>
            </w:r>
            <w:r w:rsidR="00730099" w:rsidRPr="00C45FD1">
              <w:rPr>
                <w:rFonts w:ascii="Arial" w:hAnsi="Arial"/>
                <w:b/>
                <w:sz w:val="24"/>
              </w:rPr>
              <w:br/>
            </w:r>
          </w:p>
        </w:tc>
      </w:tr>
      <w:tr w:rsidR="001A460F" w:rsidRPr="00C45FD1" w14:paraId="071A9B5F" w14:textId="77777777" w:rsidTr="006F23F9">
        <w:tc>
          <w:tcPr>
            <w:tcW w:w="1951" w:type="dxa"/>
          </w:tcPr>
          <w:p w14:paraId="52A7B408" w14:textId="37696B86" w:rsidR="001A460F" w:rsidRPr="00C45FD1" w:rsidRDefault="00A868A6" w:rsidP="00043A70">
            <w:pPr>
              <w:rPr>
                <w:rFonts w:ascii="Arial" w:hAnsi="Arial" w:cs="Arial"/>
                <w:sz w:val="24"/>
                <w:szCs w:val="24"/>
              </w:rPr>
            </w:pPr>
            <w:r w:rsidRPr="00C45FD1">
              <w:rPr>
                <w:rFonts w:ascii="Arial" w:hAnsi="Arial"/>
                <w:sz w:val="24"/>
              </w:rPr>
              <w:t>Meurtres</w:t>
            </w:r>
          </w:p>
        </w:tc>
        <w:tc>
          <w:tcPr>
            <w:tcW w:w="7854" w:type="dxa"/>
          </w:tcPr>
          <w:p w14:paraId="06B2740C" w14:textId="7CAB306E" w:rsidR="00451BAE" w:rsidRPr="00C45FD1" w:rsidRDefault="00451BAE" w:rsidP="009E22B8">
            <w:pPr>
              <w:rPr>
                <w:rFonts w:ascii="Arial" w:hAnsi="Arial" w:cs="Arial"/>
                <w:sz w:val="24"/>
                <w:szCs w:val="24"/>
              </w:rPr>
            </w:pPr>
            <w:r w:rsidRPr="00C45FD1">
              <w:rPr>
                <w:rFonts w:ascii="Arial" w:hAnsi="Arial"/>
                <w:sz w:val="24"/>
              </w:rPr>
              <w:t xml:space="preserve">Meurtre illégal ou illicite d’un être humain causé par </w:t>
            </w:r>
            <w:r w:rsidR="00074FC3" w:rsidRPr="00C45FD1">
              <w:rPr>
                <w:rFonts w:ascii="Arial" w:hAnsi="Arial"/>
                <w:sz w:val="24"/>
              </w:rPr>
              <w:t xml:space="preserve">l’acte, </w:t>
            </w:r>
            <w:r w:rsidR="0084242E" w:rsidRPr="00C45FD1">
              <w:rPr>
                <w:rFonts w:ascii="Arial" w:hAnsi="Arial"/>
                <w:sz w:val="24"/>
              </w:rPr>
              <w:t>l’aide</w:t>
            </w:r>
            <w:r w:rsidR="00074FC3" w:rsidRPr="00C45FD1">
              <w:rPr>
                <w:rFonts w:ascii="Arial" w:hAnsi="Arial"/>
                <w:sz w:val="24"/>
              </w:rPr>
              <w:t xml:space="preserve"> ou l’omission d’un autre être humain</w:t>
            </w:r>
            <w:r w:rsidRPr="00C45FD1">
              <w:rPr>
                <w:rFonts w:ascii="Arial" w:hAnsi="Arial"/>
                <w:sz w:val="24"/>
              </w:rPr>
              <w:t>. Toutes les formes de meurtres ont été incluses.</w:t>
            </w:r>
          </w:p>
        </w:tc>
      </w:tr>
      <w:tr w:rsidR="001A460F" w:rsidRPr="00C45FD1" w14:paraId="7985BB10" w14:textId="77777777" w:rsidTr="006F23F9">
        <w:tc>
          <w:tcPr>
            <w:tcW w:w="1951" w:type="dxa"/>
          </w:tcPr>
          <w:p w14:paraId="23F7E318" w14:textId="2B5F57BA" w:rsidR="001A460F" w:rsidRPr="00C45FD1" w:rsidRDefault="001A460F" w:rsidP="00043A70">
            <w:pPr>
              <w:rPr>
                <w:rFonts w:ascii="Arial" w:hAnsi="Arial" w:cs="Arial"/>
                <w:sz w:val="24"/>
                <w:szCs w:val="24"/>
              </w:rPr>
            </w:pPr>
            <w:r w:rsidRPr="00C45FD1">
              <w:rPr>
                <w:rFonts w:ascii="Arial" w:hAnsi="Arial"/>
                <w:sz w:val="24"/>
              </w:rPr>
              <w:t>Survivant</w:t>
            </w:r>
            <w:r w:rsidR="00074FC3" w:rsidRPr="00C45FD1">
              <w:rPr>
                <w:rFonts w:ascii="Arial" w:hAnsi="Arial"/>
                <w:sz w:val="24"/>
              </w:rPr>
              <w:t>s</w:t>
            </w:r>
          </w:p>
        </w:tc>
        <w:tc>
          <w:tcPr>
            <w:tcW w:w="7854" w:type="dxa"/>
          </w:tcPr>
          <w:p w14:paraId="77CFCA03" w14:textId="13B1FE80" w:rsidR="001A460F" w:rsidRPr="00C45FD1" w:rsidRDefault="001A460F" w:rsidP="00097761">
            <w:pPr>
              <w:rPr>
                <w:rFonts w:ascii="Arial" w:hAnsi="Arial" w:cs="Arial"/>
                <w:sz w:val="24"/>
                <w:szCs w:val="24"/>
              </w:rPr>
            </w:pPr>
            <w:r w:rsidRPr="00C45FD1">
              <w:rPr>
                <w:rFonts w:ascii="Arial" w:hAnsi="Arial"/>
                <w:sz w:val="24"/>
              </w:rPr>
              <w:t>Quiconque survit à une attaque physique ou à une tentative de meurtre</w:t>
            </w:r>
            <w:r w:rsidR="000B332B" w:rsidRPr="00C45FD1">
              <w:rPr>
                <w:rFonts w:ascii="Arial" w:hAnsi="Arial"/>
                <w:sz w:val="24"/>
              </w:rPr>
              <w:br/>
            </w:r>
          </w:p>
        </w:tc>
      </w:tr>
      <w:tr w:rsidR="001A460F" w:rsidRPr="00C45FD1" w14:paraId="2B6416D4" w14:textId="77777777" w:rsidTr="006F23F9">
        <w:tc>
          <w:tcPr>
            <w:tcW w:w="1951" w:type="dxa"/>
          </w:tcPr>
          <w:p w14:paraId="55DACA77" w14:textId="03B55084" w:rsidR="001A460F" w:rsidRPr="00C45FD1" w:rsidRDefault="001A460F" w:rsidP="00043A70">
            <w:pPr>
              <w:rPr>
                <w:rFonts w:ascii="Arial" w:hAnsi="Arial" w:cs="Arial"/>
                <w:sz w:val="24"/>
                <w:szCs w:val="24"/>
              </w:rPr>
            </w:pPr>
            <w:r w:rsidRPr="00C45FD1">
              <w:rPr>
                <w:rFonts w:ascii="Arial" w:hAnsi="Arial"/>
                <w:sz w:val="24"/>
              </w:rPr>
              <w:t>Disparition</w:t>
            </w:r>
            <w:r w:rsidR="00074FC3" w:rsidRPr="00C45FD1">
              <w:rPr>
                <w:rFonts w:ascii="Arial" w:hAnsi="Arial"/>
                <w:sz w:val="24"/>
              </w:rPr>
              <w:t>s</w:t>
            </w:r>
          </w:p>
        </w:tc>
        <w:tc>
          <w:tcPr>
            <w:tcW w:w="7854" w:type="dxa"/>
          </w:tcPr>
          <w:p w14:paraId="4596205B" w14:textId="60E91DD4" w:rsidR="00824514" w:rsidRPr="00C45FD1" w:rsidRDefault="000B332B" w:rsidP="00C05EAB">
            <w:pPr>
              <w:rPr>
                <w:rFonts w:ascii="Arial" w:hAnsi="Arial" w:cs="Arial"/>
                <w:sz w:val="24"/>
                <w:szCs w:val="24"/>
              </w:rPr>
            </w:pPr>
            <w:r w:rsidRPr="00C45FD1">
              <w:rPr>
                <w:rFonts w:ascii="Arial" w:hAnsi="Arial"/>
                <w:sz w:val="24"/>
              </w:rPr>
              <w:t>P</w:t>
            </w:r>
            <w:r w:rsidR="001A460F" w:rsidRPr="00C45FD1">
              <w:rPr>
                <w:rFonts w:ascii="Arial" w:hAnsi="Arial"/>
                <w:sz w:val="24"/>
              </w:rPr>
              <w:t>ersonne signalée disparue dans des circonstances suspectes</w:t>
            </w:r>
            <w:r w:rsidRPr="00C45FD1">
              <w:rPr>
                <w:rFonts w:ascii="Arial" w:hAnsi="Arial"/>
                <w:sz w:val="24"/>
              </w:rPr>
              <w:br/>
            </w:r>
          </w:p>
        </w:tc>
      </w:tr>
      <w:tr w:rsidR="001A460F" w:rsidRPr="00C45FD1" w14:paraId="7632E886" w14:textId="77777777" w:rsidTr="006F23F9">
        <w:tc>
          <w:tcPr>
            <w:tcW w:w="1951" w:type="dxa"/>
          </w:tcPr>
          <w:p w14:paraId="6C8D36EE" w14:textId="3F8ED600" w:rsidR="001A460F" w:rsidRPr="00C45FD1" w:rsidRDefault="001A460F" w:rsidP="00043A70">
            <w:pPr>
              <w:rPr>
                <w:rFonts w:ascii="Arial" w:hAnsi="Arial" w:cs="Arial"/>
                <w:sz w:val="24"/>
                <w:szCs w:val="24"/>
              </w:rPr>
            </w:pPr>
            <w:r w:rsidRPr="00C45FD1">
              <w:rPr>
                <w:rFonts w:ascii="Arial" w:hAnsi="Arial"/>
                <w:sz w:val="24"/>
              </w:rPr>
              <w:t>Pillage</w:t>
            </w:r>
            <w:r w:rsidR="00074FC3" w:rsidRPr="00C45FD1">
              <w:rPr>
                <w:rFonts w:ascii="Arial" w:hAnsi="Arial"/>
                <w:sz w:val="24"/>
              </w:rPr>
              <w:t>s</w:t>
            </w:r>
            <w:r w:rsidRPr="00C45FD1">
              <w:rPr>
                <w:rFonts w:ascii="Arial" w:hAnsi="Arial"/>
                <w:sz w:val="24"/>
              </w:rPr>
              <w:t xml:space="preserve"> de tombe</w:t>
            </w:r>
            <w:r w:rsidR="00074FC3" w:rsidRPr="00C45FD1">
              <w:rPr>
                <w:rFonts w:ascii="Arial" w:hAnsi="Arial"/>
                <w:sz w:val="24"/>
              </w:rPr>
              <w:t>s</w:t>
            </w:r>
          </w:p>
        </w:tc>
        <w:tc>
          <w:tcPr>
            <w:tcW w:w="7854" w:type="dxa"/>
          </w:tcPr>
          <w:p w14:paraId="008129F2" w14:textId="12BA87F2" w:rsidR="001A460F" w:rsidRPr="00C45FD1" w:rsidRDefault="00C05EAB" w:rsidP="00C05EAB">
            <w:pPr>
              <w:rPr>
                <w:rFonts w:ascii="Arial" w:hAnsi="Arial" w:cs="Arial"/>
                <w:sz w:val="24"/>
                <w:szCs w:val="24"/>
              </w:rPr>
            </w:pPr>
            <w:r w:rsidRPr="00C45FD1">
              <w:rPr>
                <w:rFonts w:ascii="Arial" w:hAnsi="Arial"/>
                <w:sz w:val="24"/>
              </w:rPr>
              <w:t>Fait de prendre illégalement les restes ou une partie des restes d’une personne décédée d’un lieu de sépulture ou de crémation.</w:t>
            </w:r>
          </w:p>
        </w:tc>
      </w:tr>
    </w:tbl>
    <w:p w14:paraId="7951F74E" w14:textId="77777777" w:rsidR="00A9030A" w:rsidRPr="00C45FD1" w:rsidRDefault="00A9030A">
      <w:pPr>
        <w:rPr>
          <w:rFonts w:ascii="Arial" w:hAnsi="Arial" w:cs="Arial"/>
          <w:sz w:val="24"/>
          <w:szCs w:val="24"/>
          <w:u w:val="single"/>
        </w:rPr>
      </w:pPr>
    </w:p>
    <w:p w14:paraId="4E356198" w14:textId="2705D7FE" w:rsidR="00A9030A" w:rsidRPr="00C45FD1" w:rsidRDefault="00A9030A" w:rsidP="00A9030A">
      <w:pPr>
        <w:rPr>
          <w:rFonts w:ascii="Arial" w:hAnsi="Arial" w:cs="Arial"/>
          <w:sz w:val="24"/>
          <w:szCs w:val="24"/>
          <w:u w:val="single"/>
        </w:rPr>
      </w:pPr>
      <w:r w:rsidRPr="00C45FD1">
        <w:rPr>
          <w:rFonts w:ascii="Arial" w:hAnsi="Arial"/>
          <w:sz w:val="24"/>
          <w:u w:val="single"/>
        </w:rPr>
        <w:t>Facteurs à prendre en compte en interprétant les données ci-dessous</w:t>
      </w:r>
    </w:p>
    <w:tbl>
      <w:tblPr>
        <w:tblStyle w:val="TableGrid"/>
        <w:tblW w:w="9805" w:type="dxa"/>
        <w:tblLook w:val="04A0" w:firstRow="1" w:lastRow="0" w:firstColumn="1" w:lastColumn="0" w:noHBand="0" w:noVBand="1"/>
      </w:tblPr>
      <w:tblGrid>
        <w:gridCol w:w="1885"/>
        <w:gridCol w:w="7920"/>
      </w:tblGrid>
      <w:tr w:rsidR="00A9030A" w:rsidRPr="00C45FD1" w14:paraId="13D315BD" w14:textId="77777777" w:rsidTr="00043A70">
        <w:tc>
          <w:tcPr>
            <w:tcW w:w="1885" w:type="dxa"/>
          </w:tcPr>
          <w:p w14:paraId="70EDDB5C" w14:textId="77777777" w:rsidR="00A9030A" w:rsidRPr="00C45FD1" w:rsidRDefault="00A9030A" w:rsidP="00043A70">
            <w:pPr>
              <w:rPr>
                <w:rFonts w:ascii="Arial" w:hAnsi="Arial" w:cs="Arial"/>
                <w:b/>
                <w:bCs/>
                <w:sz w:val="24"/>
                <w:szCs w:val="24"/>
              </w:rPr>
            </w:pPr>
            <w:r w:rsidRPr="00C45FD1">
              <w:rPr>
                <w:rFonts w:ascii="Arial" w:hAnsi="Arial"/>
                <w:b/>
                <w:sz w:val="24"/>
              </w:rPr>
              <w:t>Catégorie</w:t>
            </w:r>
          </w:p>
        </w:tc>
        <w:tc>
          <w:tcPr>
            <w:tcW w:w="7920" w:type="dxa"/>
          </w:tcPr>
          <w:p w14:paraId="70053BC6" w14:textId="71150C89" w:rsidR="00A9030A" w:rsidRPr="00C45FD1" w:rsidRDefault="00A9030A" w:rsidP="00043A70">
            <w:pPr>
              <w:rPr>
                <w:rFonts w:ascii="Arial" w:hAnsi="Arial" w:cs="Arial"/>
                <w:b/>
                <w:bCs/>
                <w:sz w:val="24"/>
                <w:szCs w:val="24"/>
              </w:rPr>
            </w:pPr>
            <w:r w:rsidRPr="00C45FD1">
              <w:rPr>
                <w:rFonts w:ascii="Arial" w:hAnsi="Arial"/>
                <w:b/>
                <w:sz w:val="24"/>
              </w:rPr>
              <w:t>Définition utilisée dans cette base de données</w:t>
            </w:r>
            <w:r w:rsidR="00F02D6A" w:rsidRPr="00C45FD1">
              <w:rPr>
                <w:rFonts w:ascii="Arial" w:hAnsi="Arial"/>
                <w:b/>
                <w:sz w:val="24"/>
              </w:rPr>
              <w:br/>
            </w:r>
          </w:p>
        </w:tc>
      </w:tr>
      <w:tr w:rsidR="00A9030A" w:rsidRPr="00C45FD1" w14:paraId="1C552E8F" w14:textId="77777777" w:rsidTr="00043A70">
        <w:tc>
          <w:tcPr>
            <w:tcW w:w="1885" w:type="dxa"/>
          </w:tcPr>
          <w:p w14:paraId="23F5C269" w14:textId="1B4D1F98" w:rsidR="00A9030A" w:rsidRPr="00C45FD1" w:rsidRDefault="00FF3D71" w:rsidP="00043A70">
            <w:pPr>
              <w:rPr>
                <w:rFonts w:ascii="Arial" w:hAnsi="Arial" w:cs="Arial"/>
                <w:sz w:val="24"/>
                <w:szCs w:val="24"/>
              </w:rPr>
            </w:pPr>
            <w:r w:rsidRPr="00C45FD1">
              <w:rPr>
                <w:rFonts w:ascii="Arial" w:hAnsi="Arial"/>
                <w:sz w:val="24"/>
              </w:rPr>
              <w:t>Généralités</w:t>
            </w:r>
          </w:p>
        </w:tc>
        <w:tc>
          <w:tcPr>
            <w:tcW w:w="7920" w:type="dxa"/>
          </w:tcPr>
          <w:p w14:paraId="26300C50" w14:textId="7024F8C2" w:rsidR="00A9030A" w:rsidRPr="00C45FD1" w:rsidRDefault="00433D79" w:rsidP="00B536A2">
            <w:pPr>
              <w:rPr>
                <w:rFonts w:ascii="Arial" w:hAnsi="Arial" w:cs="Arial"/>
                <w:sz w:val="24"/>
                <w:szCs w:val="24"/>
              </w:rPr>
            </w:pPr>
            <w:r w:rsidRPr="00C45FD1">
              <w:rPr>
                <w:rFonts w:ascii="Arial" w:hAnsi="Arial"/>
                <w:sz w:val="24"/>
              </w:rPr>
              <w:t xml:space="preserve">L’objectif de cette base de données est de démontrer qu’il existe des violations importantes et généralisées des droits de </w:t>
            </w:r>
            <w:r w:rsidR="00C7119E" w:rsidRPr="00C45FD1">
              <w:rPr>
                <w:rFonts w:ascii="Arial" w:hAnsi="Arial"/>
                <w:sz w:val="24"/>
              </w:rPr>
              <w:t>l’homme</w:t>
            </w:r>
            <w:r w:rsidRPr="00C45FD1">
              <w:rPr>
                <w:rFonts w:ascii="Arial" w:hAnsi="Arial"/>
                <w:sz w:val="24"/>
              </w:rPr>
              <w:t xml:space="preserve"> associées aux </w:t>
            </w:r>
            <w:r w:rsidR="00B536A2" w:rsidRPr="00C45FD1">
              <w:rPr>
                <w:rFonts w:ascii="Arial" w:hAnsi="Arial"/>
                <w:sz w:val="24"/>
              </w:rPr>
              <w:t xml:space="preserve">PN-ASAR </w:t>
            </w:r>
            <w:r w:rsidRPr="00C45FD1">
              <w:rPr>
                <w:rFonts w:ascii="Arial" w:hAnsi="Arial"/>
                <w:sz w:val="24"/>
              </w:rPr>
              <w:t xml:space="preserve">dans le monde entier. Elle ne montre pas ou ne prétend pas montrer l’étendue complète du problème. Il est probable que ce qui est signalé dans les médias et </w:t>
            </w:r>
            <w:r w:rsidR="00074FC3" w:rsidRPr="00C45FD1">
              <w:rPr>
                <w:rFonts w:ascii="Arial" w:hAnsi="Arial"/>
                <w:sz w:val="24"/>
              </w:rPr>
              <w:t xml:space="preserve">par </w:t>
            </w:r>
            <w:r w:rsidRPr="00C45FD1">
              <w:rPr>
                <w:rFonts w:ascii="Arial" w:hAnsi="Arial"/>
                <w:sz w:val="24"/>
              </w:rPr>
              <w:t xml:space="preserve">d’autres sources </w:t>
            </w:r>
            <w:r w:rsidR="00636BD0" w:rsidRPr="00C45FD1">
              <w:rPr>
                <w:rFonts w:ascii="Arial" w:hAnsi="Arial"/>
                <w:sz w:val="24"/>
              </w:rPr>
              <w:t>ne reflète qu’un petit pan</w:t>
            </w:r>
            <w:r w:rsidR="008A459D" w:rsidRPr="00C45FD1">
              <w:rPr>
                <w:rFonts w:ascii="Arial" w:hAnsi="Arial"/>
                <w:sz w:val="24"/>
              </w:rPr>
              <w:t xml:space="preserve"> </w:t>
            </w:r>
            <w:r w:rsidRPr="00C45FD1">
              <w:rPr>
                <w:rFonts w:ascii="Arial" w:hAnsi="Arial"/>
                <w:sz w:val="24"/>
              </w:rPr>
              <w:t xml:space="preserve">de la réalité. De plus, cet ensemble de données ne prend pas en compte les </w:t>
            </w:r>
            <w:r w:rsidR="00B536A2" w:rsidRPr="00C45FD1">
              <w:rPr>
                <w:rFonts w:ascii="Arial" w:hAnsi="Arial"/>
                <w:sz w:val="24"/>
              </w:rPr>
              <w:t xml:space="preserve">PN-ASAR </w:t>
            </w:r>
            <w:r w:rsidRPr="00C45FD1">
              <w:rPr>
                <w:rFonts w:ascii="Arial" w:hAnsi="Arial"/>
                <w:sz w:val="24"/>
              </w:rPr>
              <w:t>entraînant des violences non physiques telles que la stigmatisation, souvent intergénérationnelle, le déplacement continu de</w:t>
            </w:r>
            <w:r w:rsidR="008A459D" w:rsidRPr="00C45FD1">
              <w:rPr>
                <w:rFonts w:ascii="Arial" w:hAnsi="Arial"/>
                <w:sz w:val="24"/>
              </w:rPr>
              <w:t>s</w:t>
            </w:r>
            <w:r w:rsidRPr="00C45FD1">
              <w:rPr>
                <w:rFonts w:ascii="Arial" w:hAnsi="Arial"/>
                <w:sz w:val="24"/>
              </w:rPr>
              <w:t xml:space="preserve"> personnes accusées et de leur</w:t>
            </w:r>
            <w:r w:rsidR="008A459D" w:rsidRPr="00C45FD1">
              <w:rPr>
                <w:rFonts w:ascii="Arial" w:hAnsi="Arial"/>
                <w:sz w:val="24"/>
              </w:rPr>
              <w:t>s</w:t>
            </w:r>
            <w:r w:rsidRPr="00C45FD1">
              <w:rPr>
                <w:rFonts w:ascii="Arial" w:hAnsi="Arial"/>
                <w:sz w:val="24"/>
              </w:rPr>
              <w:t xml:space="preserve"> famille</w:t>
            </w:r>
            <w:r w:rsidR="008A459D" w:rsidRPr="00C45FD1">
              <w:rPr>
                <w:rFonts w:ascii="Arial" w:hAnsi="Arial"/>
                <w:sz w:val="24"/>
              </w:rPr>
              <w:t>s</w:t>
            </w:r>
            <w:r w:rsidRPr="00C45FD1">
              <w:rPr>
                <w:rFonts w:ascii="Arial" w:hAnsi="Arial"/>
                <w:sz w:val="24"/>
              </w:rPr>
              <w:t>, ainsi que la destruction de maisons et de biens. En général, ces cas sont révélateurs de violations extrêmes des droits de l’homme, ainsi que de problèmes sous-jacents dans l’exercice des droits de l’homme par différents groupes marginalisés dans le monde.</w:t>
            </w:r>
            <w:r w:rsidR="00D65F8E" w:rsidRPr="00C45FD1">
              <w:rPr>
                <w:rFonts w:ascii="Arial" w:hAnsi="Arial"/>
                <w:sz w:val="24"/>
              </w:rPr>
              <w:br/>
            </w:r>
          </w:p>
        </w:tc>
      </w:tr>
      <w:tr w:rsidR="00FF3D71" w:rsidRPr="00C45FD1" w14:paraId="36F109DB" w14:textId="77777777" w:rsidTr="00043A70">
        <w:tc>
          <w:tcPr>
            <w:tcW w:w="1885" w:type="dxa"/>
          </w:tcPr>
          <w:p w14:paraId="71CA44DD" w14:textId="066B2FD4" w:rsidR="00FF3D71" w:rsidRPr="00C45FD1" w:rsidRDefault="00E4380F" w:rsidP="00043A70">
            <w:pPr>
              <w:rPr>
                <w:rFonts w:ascii="Arial" w:hAnsi="Arial" w:cs="Arial"/>
                <w:sz w:val="24"/>
                <w:szCs w:val="24"/>
              </w:rPr>
            </w:pPr>
            <w:r w:rsidRPr="00C45FD1">
              <w:rPr>
                <w:rFonts w:ascii="Arial" w:hAnsi="Arial"/>
                <w:sz w:val="24"/>
              </w:rPr>
              <w:t>Afrique</w:t>
            </w:r>
          </w:p>
        </w:tc>
        <w:tc>
          <w:tcPr>
            <w:tcW w:w="7920" w:type="dxa"/>
          </w:tcPr>
          <w:p w14:paraId="77C0B51D" w14:textId="6AD4D16B" w:rsidR="00FF3D71" w:rsidRPr="00C45FD1" w:rsidRDefault="00FF3D71" w:rsidP="00043A70">
            <w:pPr>
              <w:rPr>
                <w:rFonts w:ascii="Arial" w:hAnsi="Arial" w:cs="Arial"/>
                <w:sz w:val="24"/>
                <w:szCs w:val="24"/>
              </w:rPr>
            </w:pPr>
            <w:r w:rsidRPr="00C45FD1">
              <w:rPr>
                <w:rFonts w:ascii="Arial" w:hAnsi="Arial"/>
                <w:sz w:val="24"/>
              </w:rPr>
              <w:t>Bien que la région de l’Afrique semble avoir un nombre élevé de cas par rapport à d’autres régions, il est important de noter qu</w:t>
            </w:r>
            <w:r w:rsidR="00AE1FCE" w:rsidRPr="00C45FD1">
              <w:rPr>
                <w:rFonts w:ascii="Arial" w:hAnsi="Arial"/>
                <w:sz w:val="24"/>
              </w:rPr>
              <w:t>’</w:t>
            </w:r>
            <w:r w:rsidRPr="00C45FD1">
              <w:rPr>
                <w:rFonts w:ascii="Arial" w:hAnsi="Arial"/>
                <w:sz w:val="24"/>
              </w:rPr>
              <w:t>il y existe une importante prise de conscience et qu’on y trouve une quantité relativement élevée de recherche et de collecte de données de qualité. Bien qu’il s’agi</w:t>
            </w:r>
            <w:r w:rsidR="008A459D" w:rsidRPr="00C45FD1">
              <w:rPr>
                <w:rFonts w:ascii="Arial" w:hAnsi="Arial"/>
                <w:sz w:val="24"/>
              </w:rPr>
              <w:t>sse</w:t>
            </w:r>
            <w:r w:rsidRPr="00C45FD1">
              <w:rPr>
                <w:rFonts w:ascii="Arial" w:hAnsi="Arial"/>
                <w:sz w:val="24"/>
              </w:rPr>
              <w:t xml:space="preserve"> là d’un indicateur potentiel du nombre relativement élevé de ces cas dans la région, il est également important de noter que la sensibilisation relative a tendance à donner lieu à un plus grand nombre de rapports. Prenons par exemple la différence entre les cas signalés au Royaume-Uni et en France. </w:t>
            </w:r>
            <w:r w:rsidR="008A459D" w:rsidRPr="00C45FD1">
              <w:rPr>
                <w:rFonts w:ascii="Arial" w:hAnsi="Arial"/>
                <w:sz w:val="24"/>
              </w:rPr>
              <w:t>Le nombre de cas</w:t>
            </w:r>
            <w:r w:rsidRPr="00C45FD1">
              <w:rPr>
                <w:rFonts w:ascii="Arial" w:hAnsi="Arial"/>
                <w:sz w:val="24"/>
              </w:rPr>
              <w:t xml:space="preserve"> était beaucoup plus élevé dans le premier pays que dans le second. Cette différence est probablement due au fait que des données ont été recueillies sur la question au Royaume-Uni et qu</w:t>
            </w:r>
            <w:r w:rsidR="00AE1FCE" w:rsidRPr="00C45FD1">
              <w:rPr>
                <w:rFonts w:ascii="Arial" w:hAnsi="Arial"/>
                <w:sz w:val="24"/>
              </w:rPr>
              <w:t>’</w:t>
            </w:r>
            <w:r w:rsidRPr="00C45FD1">
              <w:rPr>
                <w:rFonts w:ascii="Arial" w:hAnsi="Arial"/>
                <w:sz w:val="24"/>
              </w:rPr>
              <w:t>elles étaient facilement disponibles et accessibles pour cette compilation de données.</w:t>
            </w:r>
            <w:r w:rsidR="00FB6895" w:rsidRPr="00C45FD1">
              <w:rPr>
                <w:rFonts w:ascii="Arial" w:hAnsi="Arial"/>
                <w:sz w:val="24"/>
              </w:rPr>
              <w:br/>
            </w:r>
          </w:p>
        </w:tc>
      </w:tr>
      <w:tr w:rsidR="00FF3D71" w:rsidRPr="00C45FD1" w14:paraId="764C4012" w14:textId="77777777" w:rsidTr="00043A70">
        <w:tc>
          <w:tcPr>
            <w:tcW w:w="1885" w:type="dxa"/>
          </w:tcPr>
          <w:p w14:paraId="2F1F28BF" w14:textId="30483BDC" w:rsidR="00FF3D71" w:rsidRPr="00C45FD1" w:rsidRDefault="00FF3D71" w:rsidP="00043A70">
            <w:pPr>
              <w:rPr>
                <w:rFonts w:ascii="Arial" w:hAnsi="Arial" w:cs="Arial"/>
                <w:sz w:val="24"/>
                <w:szCs w:val="24"/>
              </w:rPr>
            </w:pPr>
            <w:r w:rsidRPr="00C45FD1">
              <w:rPr>
                <w:rFonts w:ascii="Arial" w:hAnsi="Arial"/>
                <w:sz w:val="24"/>
              </w:rPr>
              <w:t>Écarts régionaux</w:t>
            </w:r>
          </w:p>
        </w:tc>
        <w:tc>
          <w:tcPr>
            <w:tcW w:w="7920" w:type="dxa"/>
          </w:tcPr>
          <w:p w14:paraId="596AEE7E" w14:textId="2E177B1D" w:rsidR="00FF3D71" w:rsidRPr="00C45FD1" w:rsidRDefault="00786CD6" w:rsidP="00355C42">
            <w:pPr>
              <w:rPr>
                <w:rFonts w:ascii="Arial" w:hAnsi="Arial" w:cs="Arial"/>
                <w:sz w:val="24"/>
                <w:szCs w:val="24"/>
              </w:rPr>
            </w:pPr>
            <w:r w:rsidRPr="00C45FD1">
              <w:rPr>
                <w:rFonts w:ascii="Arial" w:hAnsi="Arial"/>
                <w:sz w:val="24"/>
              </w:rPr>
              <w:t>L’</w:t>
            </w:r>
            <w:r w:rsidR="00355C42" w:rsidRPr="00C45FD1">
              <w:rPr>
                <w:rFonts w:ascii="Arial" w:hAnsi="Arial"/>
                <w:sz w:val="24"/>
              </w:rPr>
              <w:t xml:space="preserve">existence de PN-ASAR </w:t>
            </w:r>
            <w:r w:rsidRPr="00C45FD1">
              <w:rPr>
                <w:rFonts w:ascii="Arial" w:hAnsi="Arial"/>
                <w:sz w:val="24"/>
              </w:rPr>
              <w:t xml:space="preserve">est plus </w:t>
            </w:r>
            <w:r w:rsidR="00355C42" w:rsidRPr="00C45FD1">
              <w:rPr>
                <w:rFonts w:ascii="Arial" w:hAnsi="Arial"/>
                <w:sz w:val="24"/>
              </w:rPr>
              <w:t>largement admise</w:t>
            </w:r>
            <w:r w:rsidRPr="00C45FD1">
              <w:rPr>
                <w:rFonts w:ascii="Arial" w:hAnsi="Arial"/>
                <w:sz w:val="24"/>
              </w:rPr>
              <w:t xml:space="preserve"> dans certains pays que dans d’autres, ce qui influe sur la façon dont les cas sont enregistrés dans les médias et les rapports gouvernementaux. En Afrique, par exemple, un article pourrait dire qu’un homme a assassiné son enfant parce qu’il croyait que l’enfant était un sorcier, alors que, dans les pays occidentaux, on dirait que l</w:t>
            </w:r>
            <w:r w:rsidR="00AE1FCE" w:rsidRPr="00C45FD1">
              <w:rPr>
                <w:rFonts w:ascii="Arial" w:hAnsi="Arial"/>
                <w:sz w:val="24"/>
              </w:rPr>
              <w:t>’</w:t>
            </w:r>
            <w:r w:rsidRPr="00C45FD1">
              <w:rPr>
                <w:rFonts w:ascii="Arial" w:hAnsi="Arial"/>
                <w:sz w:val="24"/>
              </w:rPr>
              <w:t>homme l</w:t>
            </w:r>
            <w:r w:rsidR="00AE1FCE" w:rsidRPr="00C45FD1">
              <w:rPr>
                <w:rFonts w:ascii="Arial" w:hAnsi="Arial"/>
                <w:sz w:val="24"/>
              </w:rPr>
              <w:t>’</w:t>
            </w:r>
            <w:r w:rsidRPr="00C45FD1">
              <w:rPr>
                <w:rFonts w:ascii="Arial" w:hAnsi="Arial"/>
                <w:sz w:val="24"/>
              </w:rPr>
              <w:t>a tué parce qu</w:t>
            </w:r>
            <w:r w:rsidR="00AE1FCE" w:rsidRPr="00C45FD1">
              <w:rPr>
                <w:rFonts w:ascii="Arial" w:hAnsi="Arial"/>
                <w:sz w:val="24"/>
              </w:rPr>
              <w:t>’</w:t>
            </w:r>
            <w:r w:rsidRPr="00C45FD1">
              <w:rPr>
                <w:rFonts w:ascii="Arial" w:hAnsi="Arial"/>
                <w:sz w:val="24"/>
              </w:rPr>
              <w:t>il souffrait d’une maladie mentale. Il est donc difficile de trouver des cas pertinents dans certains pays occidentaux (ce qui souligne l’importance du P</w:t>
            </w:r>
            <w:r w:rsidR="00BE6BFA" w:rsidRPr="00C45FD1">
              <w:rPr>
                <w:rFonts w:ascii="Arial" w:hAnsi="Arial"/>
                <w:sz w:val="24"/>
              </w:rPr>
              <w:t>O</w:t>
            </w:r>
            <w:r w:rsidRPr="00C45FD1">
              <w:rPr>
                <w:rFonts w:ascii="Arial" w:hAnsi="Arial"/>
                <w:sz w:val="24"/>
              </w:rPr>
              <w:t> 5)</w:t>
            </w:r>
            <w:r w:rsidR="00AE1FCE" w:rsidRPr="00C45FD1">
              <w:rPr>
                <w:rFonts w:ascii="Arial" w:hAnsi="Arial"/>
                <w:sz w:val="24"/>
              </w:rPr>
              <w:t>.</w:t>
            </w:r>
            <w:r w:rsidR="00355C42" w:rsidRPr="00C45FD1">
              <w:rPr>
                <w:rFonts w:ascii="Arial" w:hAnsi="Arial"/>
                <w:sz w:val="24"/>
              </w:rPr>
              <w:br/>
            </w:r>
          </w:p>
        </w:tc>
      </w:tr>
      <w:tr w:rsidR="00FF3D71" w:rsidRPr="00C45FD1" w14:paraId="10361728" w14:textId="77777777" w:rsidTr="00043A70">
        <w:tc>
          <w:tcPr>
            <w:tcW w:w="1885" w:type="dxa"/>
          </w:tcPr>
          <w:p w14:paraId="18BA3CB5" w14:textId="35801311" w:rsidR="00FF3D71" w:rsidRPr="00C45FD1" w:rsidRDefault="00FF3D71" w:rsidP="00043A70">
            <w:pPr>
              <w:rPr>
                <w:rFonts w:ascii="Arial" w:hAnsi="Arial" w:cs="Arial"/>
                <w:sz w:val="24"/>
                <w:szCs w:val="24"/>
              </w:rPr>
            </w:pPr>
            <w:r w:rsidRPr="00C45FD1">
              <w:rPr>
                <w:rFonts w:ascii="Arial" w:hAnsi="Arial"/>
                <w:sz w:val="24"/>
              </w:rPr>
              <w:t>Obstacles linguistiques</w:t>
            </w:r>
          </w:p>
        </w:tc>
        <w:tc>
          <w:tcPr>
            <w:tcW w:w="7920" w:type="dxa"/>
          </w:tcPr>
          <w:p w14:paraId="3BB7AB5E" w14:textId="363550C6" w:rsidR="00FF3D71" w:rsidRPr="00C45FD1" w:rsidRDefault="00E4380F" w:rsidP="00043A70">
            <w:pPr>
              <w:rPr>
                <w:rFonts w:ascii="Arial" w:hAnsi="Arial" w:cs="Arial"/>
                <w:sz w:val="24"/>
                <w:szCs w:val="24"/>
              </w:rPr>
            </w:pPr>
            <w:r w:rsidRPr="00C45FD1">
              <w:rPr>
                <w:rFonts w:ascii="Arial" w:hAnsi="Arial"/>
                <w:sz w:val="24"/>
              </w:rPr>
              <w:t xml:space="preserve">En raison du temps et des conditions de financement limités, les processus de collecte de données ont été axés sur les sources anglophones. Bien que des données provenant de sources non anglophones telles que des sources en français, en espagnol et en portugais soient </w:t>
            </w:r>
            <w:r w:rsidR="00BE6BFA" w:rsidRPr="00C45FD1">
              <w:rPr>
                <w:rFonts w:ascii="Arial" w:hAnsi="Arial"/>
                <w:sz w:val="24"/>
              </w:rPr>
              <w:t xml:space="preserve">finalement </w:t>
            </w:r>
            <w:r w:rsidRPr="00C45FD1">
              <w:rPr>
                <w:rFonts w:ascii="Arial" w:hAnsi="Arial"/>
                <w:sz w:val="24"/>
              </w:rPr>
              <w:t>incluses, il faut, en interprétant les données, savoir que les chiffres peuvent être faussés du fait qu</w:t>
            </w:r>
            <w:r w:rsidR="00AE1FCE" w:rsidRPr="00C45FD1">
              <w:rPr>
                <w:rFonts w:ascii="Arial" w:hAnsi="Arial"/>
                <w:sz w:val="24"/>
              </w:rPr>
              <w:t>’</w:t>
            </w:r>
            <w:r w:rsidRPr="00C45FD1">
              <w:rPr>
                <w:rFonts w:ascii="Arial" w:hAnsi="Arial"/>
                <w:sz w:val="24"/>
              </w:rPr>
              <w:t xml:space="preserve">ils </w:t>
            </w:r>
            <w:r w:rsidR="00BE6BFA" w:rsidRPr="00C45FD1">
              <w:rPr>
                <w:rFonts w:ascii="Arial" w:hAnsi="Arial"/>
                <w:sz w:val="24"/>
              </w:rPr>
              <w:t>pro</w:t>
            </w:r>
            <w:r w:rsidRPr="00C45FD1">
              <w:rPr>
                <w:rFonts w:ascii="Arial" w:hAnsi="Arial"/>
                <w:sz w:val="24"/>
              </w:rPr>
              <w:t>viennent surtout d</w:t>
            </w:r>
            <w:r w:rsidR="00AE1FCE" w:rsidRPr="00C45FD1">
              <w:rPr>
                <w:rFonts w:ascii="Arial" w:hAnsi="Arial"/>
                <w:sz w:val="24"/>
              </w:rPr>
              <w:t>’</w:t>
            </w:r>
            <w:r w:rsidRPr="00C45FD1">
              <w:rPr>
                <w:rFonts w:ascii="Arial" w:hAnsi="Arial"/>
                <w:sz w:val="24"/>
              </w:rPr>
              <w:t xml:space="preserve">États anglophones. </w:t>
            </w:r>
            <w:r w:rsidR="00355C42" w:rsidRPr="00C45FD1">
              <w:rPr>
                <w:rFonts w:ascii="Arial" w:hAnsi="Arial"/>
                <w:sz w:val="24"/>
              </w:rPr>
              <w:br/>
            </w:r>
          </w:p>
        </w:tc>
      </w:tr>
      <w:tr w:rsidR="00FF3D71" w:rsidRPr="00C45FD1" w14:paraId="0937DBD2" w14:textId="77777777" w:rsidTr="00043A70">
        <w:tc>
          <w:tcPr>
            <w:tcW w:w="1885" w:type="dxa"/>
          </w:tcPr>
          <w:p w14:paraId="71946104" w14:textId="1201E03F" w:rsidR="00FF3D71" w:rsidRPr="00C45FD1" w:rsidRDefault="00FF3D71" w:rsidP="00043A70">
            <w:pPr>
              <w:rPr>
                <w:rFonts w:ascii="Arial" w:hAnsi="Arial" w:cs="Arial"/>
                <w:sz w:val="24"/>
                <w:szCs w:val="24"/>
              </w:rPr>
            </w:pPr>
            <w:r w:rsidRPr="00C45FD1">
              <w:rPr>
                <w:rFonts w:ascii="Arial" w:hAnsi="Arial"/>
                <w:sz w:val="24"/>
              </w:rPr>
              <w:t>Liberté de</w:t>
            </w:r>
            <w:r w:rsidR="00BE6BFA" w:rsidRPr="00C45FD1">
              <w:rPr>
                <w:rFonts w:ascii="Arial" w:hAnsi="Arial"/>
                <w:sz w:val="24"/>
              </w:rPr>
              <w:t xml:space="preserve"> la</w:t>
            </w:r>
            <w:r w:rsidRPr="00C45FD1">
              <w:rPr>
                <w:rFonts w:ascii="Arial" w:hAnsi="Arial"/>
                <w:sz w:val="24"/>
              </w:rPr>
              <w:t xml:space="preserve"> presse</w:t>
            </w:r>
          </w:p>
        </w:tc>
        <w:tc>
          <w:tcPr>
            <w:tcW w:w="7920" w:type="dxa"/>
          </w:tcPr>
          <w:p w14:paraId="645AC4AC" w14:textId="55DAC68D" w:rsidR="00FF3D71" w:rsidRPr="00C45FD1" w:rsidRDefault="00FF3D71" w:rsidP="00043A70">
            <w:pPr>
              <w:rPr>
                <w:rFonts w:ascii="Arial" w:hAnsi="Arial" w:cs="Arial"/>
                <w:sz w:val="24"/>
                <w:szCs w:val="24"/>
              </w:rPr>
            </w:pPr>
            <w:r w:rsidRPr="00C45FD1">
              <w:rPr>
                <w:rFonts w:ascii="Arial" w:hAnsi="Arial"/>
                <w:sz w:val="24"/>
              </w:rPr>
              <w:t xml:space="preserve">La mesure dans laquelle </w:t>
            </w:r>
            <w:r w:rsidR="00355C42" w:rsidRPr="00C45FD1">
              <w:rPr>
                <w:rFonts w:ascii="Arial" w:hAnsi="Arial"/>
                <w:sz w:val="24"/>
              </w:rPr>
              <w:t>l</w:t>
            </w:r>
            <w:r w:rsidRPr="00C45FD1">
              <w:rPr>
                <w:rFonts w:ascii="Arial" w:hAnsi="Arial"/>
                <w:sz w:val="24"/>
              </w:rPr>
              <w:t xml:space="preserve">es cas sont signalés peut varier en fonction de la liberté de presse. </w:t>
            </w:r>
            <w:r w:rsidR="00355C42" w:rsidRPr="00C45FD1">
              <w:rPr>
                <w:rFonts w:ascii="Arial" w:hAnsi="Arial"/>
                <w:sz w:val="24"/>
              </w:rPr>
              <w:br/>
            </w:r>
          </w:p>
        </w:tc>
      </w:tr>
    </w:tbl>
    <w:p w14:paraId="22D4ECEE" w14:textId="77777777" w:rsidR="00A9030A" w:rsidRPr="00C45FD1" w:rsidRDefault="00A9030A">
      <w:pPr>
        <w:rPr>
          <w:rFonts w:ascii="Arial" w:hAnsi="Arial" w:cs="Arial"/>
          <w:sz w:val="24"/>
          <w:szCs w:val="24"/>
          <w:u w:val="single"/>
        </w:rPr>
      </w:pPr>
    </w:p>
    <w:p w14:paraId="6E158347" w14:textId="6B5479E3" w:rsidR="0041306F" w:rsidRPr="00C45FD1" w:rsidRDefault="0041306F">
      <w:pPr>
        <w:rPr>
          <w:rFonts w:ascii="Arial" w:hAnsi="Arial" w:cs="Arial"/>
          <w:sz w:val="24"/>
          <w:szCs w:val="24"/>
          <w:u w:val="single"/>
        </w:rPr>
      </w:pPr>
      <w:r w:rsidRPr="00C45FD1">
        <w:rPr>
          <w:rFonts w:ascii="Arial" w:hAnsi="Arial"/>
          <w:sz w:val="24"/>
          <w:u w:val="single"/>
        </w:rPr>
        <w:t>Mises en garde :</w:t>
      </w:r>
    </w:p>
    <w:p w14:paraId="11FE0E9F" w14:textId="273B4C65" w:rsidR="0041306F" w:rsidRPr="00C45FD1" w:rsidRDefault="00011F6D">
      <w:pPr>
        <w:rPr>
          <w:rFonts w:ascii="Arial" w:hAnsi="Arial" w:cs="Arial"/>
          <w:sz w:val="24"/>
          <w:szCs w:val="24"/>
        </w:rPr>
      </w:pPr>
      <w:r w:rsidRPr="00C45FD1">
        <w:rPr>
          <w:rFonts w:ascii="Arial" w:hAnsi="Arial"/>
          <w:sz w:val="24"/>
        </w:rPr>
        <w:t>L</w:t>
      </w:r>
      <w:r w:rsidR="00786CD6" w:rsidRPr="00C45FD1">
        <w:rPr>
          <w:rFonts w:ascii="Arial" w:hAnsi="Arial"/>
          <w:sz w:val="24"/>
        </w:rPr>
        <w:t xml:space="preserve">es données </w:t>
      </w:r>
      <w:r w:rsidRPr="00C45FD1">
        <w:rPr>
          <w:rFonts w:ascii="Arial" w:hAnsi="Arial"/>
          <w:sz w:val="24"/>
        </w:rPr>
        <w:t xml:space="preserve">doivent être relativisées selon les restrictions </w:t>
      </w:r>
      <w:r w:rsidR="00786CD6" w:rsidRPr="00C45FD1">
        <w:rPr>
          <w:rFonts w:ascii="Arial" w:hAnsi="Arial"/>
          <w:sz w:val="24"/>
        </w:rPr>
        <w:t>suivantes :</w:t>
      </w:r>
    </w:p>
    <w:tbl>
      <w:tblPr>
        <w:tblStyle w:val="TableGrid"/>
        <w:tblW w:w="9805" w:type="dxa"/>
        <w:tblLook w:val="04A0" w:firstRow="1" w:lastRow="0" w:firstColumn="1" w:lastColumn="0" w:noHBand="0" w:noVBand="1"/>
      </w:tblPr>
      <w:tblGrid>
        <w:gridCol w:w="1471"/>
        <w:gridCol w:w="8334"/>
      </w:tblGrid>
      <w:tr w:rsidR="00C46FC5" w:rsidRPr="00C45FD1" w14:paraId="2448F068" w14:textId="77777777" w:rsidTr="00A41706">
        <w:tc>
          <w:tcPr>
            <w:tcW w:w="1458" w:type="dxa"/>
          </w:tcPr>
          <w:p w14:paraId="2E78F037" w14:textId="4A20C018" w:rsidR="00C46FC5" w:rsidRPr="00C45FD1" w:rsidRDefault="0041306F">
            <w:pPr>
              <w:rPr>
                <w:rFonts w:ascii="Arial" w:hAnsi="Arial" w:cs="Arial"/>
                <w:b/>
                <w:bCs/>
                <w:sz w:val="24"/>
                <w:szCs w:val="24"/>
              </w:rPr>
            </w:pPr>
            <w:r w:rsidRPr="00C45FD1">
              <w:rPr>
                <w:rFonts w:ascii="Arial" w:hAnsi="Arial"/>
                <w:b/>
                <w:sz w:val="24"/>
              </w:rPr>
              <w:t>Élément</w:t>
            </w:r>
          </w:p>
        </w:tc>
        <w:tc>
          <w:tcPr>
            <w:tcW w:w="8347" w:type="dxa"/>
          </w:tcPr>
          <w:p w14:paraId="70A43A68" w14:textId="67272825" w:rsidR="00C46FC5" w:rsidRPr="00C45FD1" w:rsidRDefault="0041306F">
            <w:pPr>
              <w:rPr>
                <w:rFonts w:ascii="Arial" w:hAnsi="Arial" w:cs="Arial"/>
                <w:b/>
                <w:bCs/>
                <w:sz w:val="24"/>
                <w:szCs w:val="24"/>
              </w:rPr>
            </w:pPr>
            <w:r w:rsidRPr="00C45FD1">
              <w:rPr>
                <w:rFonts w:ascii="Arial" w:hAnsi="Arial"/>
                <w:b/>
                <w:sz w:val="24"/>
              </w:rPr>
              <w:t>Détails de l’élément</w:t>
            </w:r>
            <w:r w:rsidR="00355C42" w:rsidRPr="00C45FD1">
              <w:rPr>
                <w:rFonts w:ascii="Arial" w:hAnsi="Arial"/>
                <w:b/>
                <w:sz w:val="24"/>
              </w:rPr>
              <w:br/>
            </w:r>
          </w:p>
        </w:tc>
      </w:tr>
      <w:tr w:rsidR="00B06BF8" w:rsidRPr="00C45FD1" w14:paraId="25A61179" w14:textId="77777777" w:rsidTr="00A41706">
        <w:tc>
          <w:tcPr>
            <w:tcW w:w="1458" w:type="dxa"/>
          </w:tcPr>
          <w:p w14:paraId="5EDD1061" w14:textId="4AFD5891" w:rsidR="00B06BF8" w:rsidRPr="00C45FD1" w:rsidRDefault="00B06BF8">
            <w:pPr>
              <w:rPr>
                <w:rFonts w:ascii="Arial" w:hAnsi="Arial" w:cs="Arial"/>
                <w:sz w:val="24"/>
                <w:szCs w:val="24"/>
              </w:rPr>
            </w:pPr>
            <w:r w:rsidRPr="00C45FD1">
              <w:rPr>
                <w:rFonts w:ascii="Arial" w:hAnsi="Arial"/>
                <w:sz w:val="24"/>
              </w:rPr>
              <w:t>Travail en cours</w:t>
            </w:r>
          </w:p>
        </w:tc>
        <w:tc>
          <w:tcPr>
            <w:tcW w:w="8347" w:type="dxa"/>
          </w:tcPr>
          <w:p w14:paraId="61CA36D2" w14:textId="28EE79E3" w:rsidR="00B06BF8" w:rsidRPr="00C45FD1" w:rsidRDefault="00B06BF8">
            <w:pPr>
              <w:rPr>
                <w:rFonts w:ascii="Arial" w:hAnsi="Arial" w:cs="Arial"/>
                <w:sz w:val="24"/>
                <w:szCs w:val="24"/>
              </w:rPr>
            </w:pPr>
            <w:r w:rsidRPr="00C45FD1">
              <w:rPr>
                <w:rFonts w:ascii="Arial" w:hAnsi="Arial"/>
                <w:sz w:val="24"/>
              </w:rPr>
              <w:t>En raison du temps et du financement limités, ainsi que du besoin de données actuelles, l’accent</w:t>
            </w:r>
            <w:r w:rsidR="00BE6BFA" w:rsidRPr="00C45FD1">
              <w:rPr>
                <w:rFonts w:ascii="Arial" w:hAnsi="Arial"/>
                <w:sz w:val="24"/>
              </w:rPr>
              <w:t xml:space="preserve"> a été mis</w:t>
            </w:r>
            <w:r w:rsidRPr="00C45FD1">
              <w:rPr>
                <w:rFonts w:ascii="Arial" w:hAnsi="Arial"/>
                <w:sz w:val="24"/>
              </w:rPr>
              <w:t xml:space="preserve"> sur les cas signalés au cours de la dernière décennie, soit de 2009 à 2019. Par conséquent, certains cas signalés n’ont pas été saisis dans la base de données. </w:t>
            </w:r>
            <w:r w:rsidR="00011F6D" w:rsidRPr="00C45FD1">
              <w:rPr>
                <w:rFonts w:ascii="Arial" w:hAnsi="Arial"/>
                <w:sz w:val="24"/>
              </w:rPr>
              <w:t xml:space="preserve">Ceci est </w:t>
            </w:r>
            <w:r w:rsidRPr="00C45FD1">
              <w:rPr>
                <w:rFonts w:ascii="Arial" w:hAnsi="Arial"/>
                <w:sz w:val="24"/>
              </w:rPr>
              <w:t>un travail en cours.</w:t>
            </w:r>
            <w:r w:rsidR="00541C5A" w:rsidRPr="00C45FD1">
              <w:rPr>
                <w:rFonts w:ascii="Arial" w:hAnsi="Arial"/>
                <w:sz w:val="24"/>
              </w:rPr>
              <w:br/>
            </w:r>
          </w:p>
        </w:tc>
      </w:tr>
      <w:tr w:rsidR="00C46FC5" w:rsidRPr="00C45FD1" w14:paraId="5854F402" w14:textId="77777777" w:rsidTr="00A41706">
        <w:tc>
          <w:tcPr>
            <w:tcW w:w="1458" w:type="dxa"/>
          </w:tcPr>
          <w:p w14:paraId="0BB1799D" w14:textId="47DD7C89" w:rsidR="00C46FC5" w:rsidRPr="00C45FD1" w:rsidRDefault="0098346C">
            <w:pPr>
              <w:rPr>
                <w:rFonts w:ascii="Arial" w:hAnsi="Arial" w:cs="Arial"/>
                <w:sz w:val="24"/>
                <w:szCs w:val="24"/>
              </w:rPr>
            </w:pPr>
            <w:r w:rsidRPr="00C45FD1">
              <w:rPr>
                <w:rFonts w:ascii="Arial" w:hAnsi="Arial"/>
                <w:sz w:val="24"/>
              </w:rPr>
              <w:t>Cas signalés unique</w:t>
            </w:r>
            <w:r w:rsidR="00BE6BFA" w:rsidRPr="00C45FD1">
              <w:rPr>
                <w:rFonts w:ascii="Arial" w:hAnsi="Arial"/>
                <w:sz w:val="24"/>
              </w:rPr>
              <w:t>ment</w:t>
            </w:r>
          </w:p>
        </w:tc>
        <w:tc>
          <w:tcPr>
            <w:tcW w:w="8347" w:type="dxa"/>
          </w:tcPr>
          <w:p w14:paraId="32933DB6" w14:textId="7ED3FEBB" w:rsidR="00C46FC5" w:rsidRPr="00C45FD1" w:rsidRDefault="009B4419" w:rsidP="00011F6D">
            <w:pPr>
              <w:rPr>
                <w:rFonts w:ascii="Arial" w:hAnsi="Arial" w:cs="Arial"/>
                <w:sz w:val="24"/>
                <w:szCs w:val="24"/>
              </w:rPr>
            </w:pPr>
            <w:r w:rsidRPr="00C45FD1">
              <w:rPr>
                <w:rFonts w:ascii="Arial" w:hAnsi="Arial"/>
                <w:sz w:val="24"/>
              </w:rPr>
              <w:t>L</w:t>
            </w:r>
            <w:r w:rsidR="0098346C" w:rsidRPr="00C45FD1">
              <w:rPr>
                <w:rFonts w:ascii="Arial" w:hAnsi="Arial"/>
                <w:sz w:val="24"/>
              </w:rPr>
              <w:t xml:space="preserve">es cas </w:t>
            </w:r>
            <w:r w:rsidRPr="00C45FD1">
              <w:rPr>
                <w:rFonts w:ascii="Arial" w:hAnsi="Arial"/>
                <w:sz w:val="24"/>
              </w:rPr>
              <w:t xml:space="preserve">cités </w:t>
            </w:r>
            <w:r w:rsidR="0098346C" w:rsidRPr="00C45FD1">
              <w:rPr>
                <w:rFonts w:ascii="Arial" w:hAnsi="Arial"/>
                <w:sz w:val="24"/>
              </w:rPr>
              <w:t>sont unique</w:t>
            </w:r>
            <w:r w:rsidR="001719B8" w:rsidRPr="00C45FD1">
              <w:rPr>
                <w:rFonts w:ascii="Arial" w:hAnsi="Arial"/>
                <w:sz w:val="24"/>
              </w:rPr>
              <w:t>ment</w:t>
            </w:r>
            <w:r w:rsidRPr="00C45FD1">
              <w:rPr>
                <w:rFonts w:ascii="Arial" w:hAnsi="Arial"/>
                <w:sz w:val="24"/>
              </w:rPr>
              <w:t xml:space="preserve"> ceux qui nous ont été signalés</w:t>
            </w:r>
            <w:r w:rsidR="0098346C" w:rsidRPr="00C45FD1">
              <w:rPr>
                <w:rFonts w:ascii="Arial" w:hAnsi="Arial"/>
                <w:sz w:val="24"/>
              </w:rPr>
              <w:t xml:space="preserve">. On </w:t>
            </w:r>
            <w:r w:rsidRPr="00C45FD1">
              <w:rPr>
                <w:rFonts w:ascii="Arial" w:hAnsi="Arial"/>
                <w:sz w:val="24"/>
              </w:rPr>
              <w:t xml:space="preserve">estime </w:t>
            </w:r>
            <w:r w:rsidR="00541C5A" w:rsidRPr="00C45FD1">
              <w:rPr>
                <w:rFonts w:ascii="Arial" w:hAnsi="Arial"/>
                <w:sz w:val="24"/>
              </w:rPr>
              <w:t xml:space="preserve">que le nombre des </w:t>
            </w:r>
            <w:r w:rsidR="0098346C" w:rsidRPr="00C45FD1">
              <w:rPr>
                <w:rFonts w:ascii="Arial" w:hAnsi="Arial"/>
                <w:sz w:val="24"/>
              </w:rPr>
              <w:t xml:space="preserve">atrocités </w:t>
            </w:r>
            <w:r w:rsidR="00541C5A" w:rsidRPr="00C45FD1">
              <w:rPr>
                <w:rFonts w:ascii="Arial" w:hAnsi="Arial"/>
                <w:sz w:val="24"/>
              </w:rPr>
              <w:t xml:space="preserve">qui </w:t>
            </w:r>
            <w:r w:rsidR="0098346C" w:rsidRPr="00C45FD1">
              <w:rPr>
                <w:rFonts w:ascii="Arial" w:hAnsi="Arial"/>
                <w:sz w:val="24"/>
              </w:rPr>
              <w:t>se sont produites</w:t>
            </w:r>
            <w:r w:rsidR="00541C5A" w:rsidRPr="00C45FD1">
              <w:rPr>
                <w:rFonts w:ascii="Arial" w:hAnsi="Arial"/>
                <w:sz w:val="24"/>
              </w:rPr>
              <w:t xml:space="preserve"> est bien plus élevé que celui des cas </w:t>
            </w:r>
            <w:r w:rsidR="0098346C" w:rsidRPr="00C45FD1">
              <w:rPr>
                <w:rFonts w:ascii="Arial" w:hAnsi="Arial"/>
                <w:sz w:val="24"/>
              </w:rPr>
              <w:t>signalés pour plusieurs raisons</w:t>
            </w:r>
            <w:r w:rsidR="00541C5A" w:rsidRPr="00C45FD1">
              <w:rPr>
                <w:rFonts w:ascii="Arial" w:hAnsi="Arial"/>
                <w:sz w:val="24"/>
              </w:rPr>
              <w:t>:</w:t>
            </w:r>
            <w:r w:rsidR="0098346C" w:rsidRPr="00C45FD1">
              <w:rPr>
                <w:rFonts w:ascii="Arial" w:hAnsi="Arial"/>
                <w:sz w:val="24"/>
              </w:rPr>
              <w:t xml:space="preserve"> notamment les problèmes de collecte de données, une faible capacité de surveillance par la société civile, le silence qui entoure souvent les </w:t>
            </w:r>
            <w:r w:rsidR="00011F6D" w:rsidRPr="00C45FD1">
              <w:rPr>
                <w:rFonts w:ascii="Arial" w:hAnsi="Arial"/>
                <w:sz w:val="24"/>
              </w:rPr>
              <w:t xml:space="preserve">PN-ASAR </w:t>
            </w:r>
            <w:r w:rsidR="0098346C" w:rsidRPr="00C45FD1">
              <w:rPr>
                <w:rFonts w:ascii="Arial" w:hAnsi="Arial"/>
                <w:sz w:val="24"/>
              </w:rPr>
              <w:t xml:space="preserve">et la participation </w:t>
            </w:r>
            <w:r w:rsidR="00BE6BFA" w:rsidRPr="00C45FD1">
              <w:rPr>
                <w:rFonts w:ascii="Arial" w:hAnsi="Arial"/>
                <w:sz w:val="24"/>
              </w:rPr>
              <w:t xml:space="preserve">rapportée </w:t>
            </w:r>
            <w:r w:rsidR="0098346C" w:rsidRPr="00C45FD1">
              <w:rPr>
                <w:rFonts w:ascii="Arial" w:hAnsi="Arial"/>
                <w:sz w:val="24"/>
              </w:rPr>
              <w:t xml:space="preserve">de membres de la famille </w:t>
            </w:r>
            <w:r w:rsidR="009E22B8" w:rsidRPr="00C45FD1">
              <w:rPr>
                <w:rFonts w:ascii="Arial" w:hAnsi="Arial"/>
                <w:sz w:val="24"/>
              </w:rPr>
              <w:t xml:space="preserve">dans </w:t>
            </w:r>
            <w:r w:rsidR="0098346C" w:rsidRPr="00C45FD1">
              <w:rPr>
                <w:rFonts w:ascii="Arial" w:hAnsi="Arial"/>
                <w:sz w:val="24"/>
              </w:rPr>
              <w:t xml:space="preserve">certains cas liés aux attaques rituelles. </w:t>
            </w:r>
            <w:r w:rsidR="00541C5A" w:rsidRPr="00C45FD1">
              <w:rPr>
                <w:rFonts w:ascii="Arial" w:hAnsi="Arial"/>
                <w:sz w:val="24"/>
              </w:rPr>
              <w:br/>
            </w:r>
          </w:p>
        </w:tc>
      </w:tr>
      <w:tr w:rsidR="00C46FC5" w:rsidRPr="00C45FD1" w14:paraId="24D18BE3" w14:textId="77777777" w:rsidTr="00A41706">
        <w:tc>
          <w:tcPr>
            <w:tcW w:w="1458" w:type="dxa"/>
          </w:tcPr>
          <w:p w14:paraId="235E8169" w14:textId="53CE6065" w:rsidR="00C46FC5" w:rsidRPr="00C45FD1" w:rsidRDefault="0098346C">
            <w:pPr>
              <w:rPr>
                <w:rFonts w:ascii="Arial" w:hAnsi="Arial" w:cs="Arial"/>
                <w:sz w:val="24"/>
                <w:szCs w:val="24"/>
              </w:rPr>
            </w:pPr>
            <w:r w:rsidRPr="00C45FD1">
              <w:rPr>
                <w:rFonts w:ascii="Arial" w:hAnsi="Arial"/>
                <w:sz w:val="24"/>
              </w:rPr>
              <w:t>Vérification</w:t>
            </w:r>
          </w:p>
        </w:tc>
        <w:tc>
          <w:tcPr>
            <w:tcW w:w="8347" w:type="dxa"/>
          </w:tcPr>
          <w:p w14:paraId="7B976CC3" w14:textId="25DECE9B" w:rsidR="00C46FC5" w:rsidRPr="00C45FD1" w:rsidRDefault="0098346C" w:rsidP="001719B8">
            <w:pPr>
              <w:rPr>
                <w:rFonts w:ascii="Arial" w:hAnsi="Arial" w:cs="Arial"/>
                <w:sz w:val="24"/>
                <w:szCs w:val="24"/>
              </w:rPr>
            </w:pPr>
            <w:r w:rsidRPr="00C45FD1">
              <w:rPr>
                <w:rFonts w:ascii="Arial" w:hAnsi="Arial"/>
                <w:sz w:val="24"/>
              </w:rPr>
              <w:t xml:space="preserve">L’enregistrement des cas signalés satisfait aux critères d’inclusion énoncés ci-dessus. </w:t>
            </w:r>
            <w:r w:rsidR="009E22B8" w:rsidRPr="00C45FD1">
              <w:rPr>
                <w:rFonts w:ascii="Arial" w:hAnsi="Arial"/>
                <w:sz w:val="24"/>
              </w:rPr>
              <w:t xml:space="preserve">La majorité d’entre eux n’ont pas été vérifié en termes de retraçage ou de recoupement sur le terrain </w:t>
            </w:r>
            <w:r w:rsidR="001719B8" w:rsidRPr="00C45FD1">
              <w:rPr>
                <w:rFonts w:ascii="Arial" w:hAnsi="Arial"/>
                <w:sz w:val="24"/>
              </w:rPr>
              <w:t>par</w:t>
            </w:r>
            <w:r w:rsidR="009E22B8" w:rsidRPr="00C45FD1">
              <w:rPr>
                <w:rFonts w:ascii="Arial" w:hAnsi="Arial"/>
                <w:sz w:val="24"/>
              </w:rPr>
              <w:t xml:space="preserve"> les personnes ayant compilé les données.</w:t>
            </w:r>
            <w:r w:rsidR="00541C5A" w:rsidRPr="00C45FD1">
              <w:rPr>
                <w:rFonts w:ascii="Arial" w:hAnsi="Arial"/>
                <w:sz w:val="24"/>
              </w:rPr>
              <w:br/>
            </w:r>
          </w:p>
        </w:tc>
      </w:tr>
      <w:tr w:rsidR="001A460F" w:rsidRPr="00C45FD1" w14:paraId="104D783B" w14:textId="77777777" w:rsidTr="00A41706">
        <w:tc>
          <w:tcPr>
            <w:tcW w:w="1458" w:type="dxa"/>
          </w:tcPr>
          <w:p w14:paraId="3196FD72" w14:textId="4CF082D6" w:rsidR="001A460F" w:rsidRPr="00C45FD1" w:rsidRDefault="001A460F">
            <w:pPr>
              <w:rPr>
                <w:rFonts w:ascii="Arial" w:hAnsi="Arial" w:cs="Arial"/>
                <w:sz w:val="24"/>
                <w:szCs w:val="24"/>
              </w:rPr>
            </w:pPr>
            <w:r w:rsidRPr="00C45FD1">
              <w:rPr>
                <w:rFonts w:ascii="Arial" w:hAnsi="Arial"/>
                <w:sz w:val="24"/>
              </w:rPr>
              <w:t>Entrée incomplète</w:t>
            </w:r>
          </w:p>
        </w:tc>
        <w:tc>
          <w:tcPr>
            <w:tcW w:w="8347" w:type="dxa"/>
          </w:tcPr>
          <w:p w14:paraId="0885CE71" w14:textId="6FA8D816" w:rsidR="001A460F" w:rsidRPr="00C45FD1" w:rsidRDefault="001A460F" w:rsidP="00786CD6">
            <w:pPr>
              <w:rPr>
                <w:rFonts w:ascii="Arial" w:hAnsi="Arial" w:cs="Arial"/>
                <w:sz w:val="24"/>
                <w:szCs w:val="24"/>
              </w:rPr>
            </w:pPr>
            <w:r w:rsidRPr="00C45FD1">
              <w:rPr>
                <w:rFonts w:ascii="Arial" w:hAnsi="Arial"/>
                <w:sz w:val="24"/>
              </w:rPr>
              <w:t>Bien que nous ayons le nom des victimes, l’emplacement et d’autres éléments clés</w:t>
            </w:r>
            <w:r w:rsidR="009E22B8" w:rsidRPr="00C45FD1">
              <w:rPr>
                <w:rFonts w:ascii="Arial" w:hAnsi="Arial"/>
                <w:sz w:val="24"/>
              </w:rPr>
              <w:t xml:space="preserve"> mentionnés dans la base de données pour un bon nombre de cas</w:t>
            </w:r>
            <w:r w:rsidRPr="00C45FD1">
              <w:rPr>
                <w:rFonts w:ascii="Arial" w:hAnsi="Arial"/>
                <w:sz w:val="24"/>
              </w:rPr>
              <w:t>, ces éléments étaient inconnus ou indisponibles dans certains cas. Toutefois, les critères d’inclusion dans la base de données signifient que, pour la quasi-totalité des cas enregistrés dans cette base de données, on dispose d’informations suffisantes pour assurer la traçabilité.</w:t>
            </w:r>
            <w:r w:rsidR="00541C5A" w:rsidRPr="00C45FD1">
              <w:rPr>
                <w:rFonts w:ascii="Arial" w:hAnsi="Arial"/>
                <w:sz w:val="24"/>
              </w:rPr>
              <w:br/>
            </w:r>
          </w:p>
        </w:tc>
      </w:tr>
      <w:tr w:rsidR="0098346C" w:rsidRPr="00C45FD1" w14:paraId="06725F8C" w14:textId="77777777" w:rsidTr="00A41706">
        <w:tc>
          <w:tcPr>
            <w:tcW w:w="1458" w:type="dxa"/>
          </w:tcPr>
          <w:p w14:paraId="74013428" w14:textId="40FB76EE" w:rsidR="0098346C" w:rsidRPr="00C45FD1" w:rsidRDefault="0098346C">
            <w:pPr>
              <w:rPr>
                <w:rFonts w:ascii="Arial" w:hAnsi="Arial" w:cs="Arial"/>
                <w:sz w:val="24"/>
                <w:szCs w:val="24"/>
              </w:rPr>
            </w:pPr>
            <w:r w:rsidRPr="00C45FD1">
              <w:rPr>
                <w:rFonts w:ascii="Arial" w:hAnsi="Arial"/>
                <w:sz w:val="24"/>
              </w:rPr>
              <w:t>Erreurs sur le plan de la saisie des données</w:t>
            </w:r>
          </w:p>
        </w:tc>
        <w:tc>
          <w:tcPr>
            <w:tcW w:w="8347" w:type="dxa"/>
          </w:tcPr>
          <w:p w14:paraId="156EC690" w14:textId="25E4DD59" w:rsidR="0098346C" w:rsidRPr="00C45FD1" w:rsidRDefault="001A460F" w:rsidP="00C17E76">
            <w:pPr>
              <w:rPr>
                <w:rFonts w:ascii="Arial" w:hAnsi="Arial"/>
                <w:sz w:val="24"/>
              </w:rPr>
            </w:pPr>
            <w:r w:rsidRPr="00C45FD1">
              <w:rPr>
                <w:rFonts w:ascii="Arial" w:hAnsi="Arial"/>
                <w:sz w:val="24"/>
              </w:rPr>
              <w:t xml:space="preserve">Il est possible que de légères divergences sur le plan du signalement, p. ex. des orthographes différentes pour le nom d’une victime ou le nom d’un emplacement, puissent avoir causé une double saisie. Cependant, ces cas sont plus rares que communs </w:t>
            </w:r>
            <w:r w:rsidR="00541C5A" w:rsidRPr="00C45FD1">
              <w:rPr>
                <w:rFonts w:ascii="Arial" w:hAnsi="Arial"/>
                <w:sz w:val="24"/>
              </w:rPr>
              <w:t>car</w:t>
            </w:r>
            <w:r w:rsidRPr="00C45FD1">
              <w:rPr>
                <w:rFonts w:ascii="Arial" w:hAnsi="Arial"/>
                <w:sz w:val="24"/>
              </w:rPr>
              <w:t xml:space="preserve"> les outils intégrés dans Excel atténuent cette erreur. </w:t>
            </w:r>
            <w:r w:rsidR="00C17E76" w:rsidRPr="00C45FD1">
              <w:rPr>
                <w:rFonts w:ascii="Arial" w:hAnsi="Arial"/>
                <w:sz w:val="24"/>
              </w:rPr>
              <w:t>En outre</w:t>
            </w:r>
            <w:r w:rsidRPr="00C45FD1">
              <w:rPr>
                <w:rFonts w:ascii="Arial" w:hAnsi="Arial"/>
                <w:sz w:val="24"/>
              </w:rPr>
              <w:t>, la catégorie de « survivant » qui est ordinairement retenue pour les survivants de tentatives de meurtres, de mutilations et d’agressions physiques peut également comprendre des victimes de</w:t>
            </w:r>
            <w:r w:rsidR="00541C5A" w:rsidRPr="00C45FD1">
              <w:rPr>
                <w:rFonts w:ascii="Arial" w:hAnsi="Arial"/>
                <w:sz w:val="24"/>
              </w:rPr>
              <w:t xml:space="preserve"> trafic d’être humain</w:t>
            </w:r>
            <w:r w:rsidRPr="00C45FD1">
              <w:rPr>
                <w:rFonts w:ascii="Arial" w:hAnsi="Arial"/>
                <w:sz w:val="24"/>
              </w:rPr>
              <w:t xml:space="preserve"> et de viol rituel. Cette erreur serait également plus rare que commune.</w:t>
            </w:r>
          </w:p>
          <w:p w14:paraId="6D3ADE63" w14:textId="65D7734A" w:rsidR="00541C5A" w:rsidRPr="00C45FD1" w:rsidRDefault="00541C5A" w:rsidP="00C17E76">
            <w:pPr>
              <w:rPr>
                <w:rFonts w:ascii="Arial" w:hAnsi="Arial" w:cs="Arial"/>
                <w:sz w:val="24"/>
                <w:szCs w:val="24"/>
              </w:rPr>
            </w:pPr>
          </w:p>
        </w:tc>
      </w:tr>
    </w:tbl>
    <w:p w14:paraId="1BBC12B9" w14:textId="77777777" w:rsidR="00F80EFE" w:rsidRPr="00C45FD1" w:rsidRDefault="00F80EFE">
      <w:pPr>
        <w:rPr>
          <w:rFonts w:ascii="Arial" w:hAnsi="Arial" w:cs="Arial"/>
          <w:sz w:val="24"/>
          <w:szCs w:val="24"/>
        </w:rPr>
        <w:sectPr w:rsidR="00F80EFE" w:rsidRPr="00C45FD1" w:rsidSect="00F80EFE">
          <w:footerReference w:type="default" r:id="rId10"/>
          <w:headerReference w:type="first" r:id="rId11"/>
          <w:pgSz w:w="12240" w:h="15840"/>
          <w:pgMar w:top="1440" w:right="1440" w:bottom="1440" w:left="1080" w:header="720" w:footer="720" w:gutter="0"/>
          <w:cols w:space="720"/>
          <w:titlePg/>
          <w:docGrid w:linePitch="360"/>
        </w:sectPr>
      </w:pPr>
    </w:p>
    <w:p w14:paraId="4E203AB8" w14:textId="3565AAAD" w:rsidR="00B575E9" w:rsidRPr="00C45FD1" w:rsidRDefault="00F41EC8">
      <w:pPr>
        <w:rPr>
          <w:b/>
          <w:bCs/>
        </w:rPr>
      </w:pPr>
      <w:r w:rsidRPr="00C45FD1">
        <w:rPr>
          <w:b/>
          <w:bCs/>
          <w:noProof/>
          <w:lang w:val="en-GB" w:eastAsia="en-GB"/>
        </w:rPr>
        <mc:AlternateContent>
          <mc:Choice Requires="wps">
            <w:drawing>
              <wp:anchor distT="45720" distB="45720" distL="114300" distR="114300" simplePos="0" relativeHeight="251723776" behindDoc="0" locked="0" layoutInCell="1" allowOverlap="1" wp14:anchorId="1A44E230" wp14:editId="5D6F7144">
                <wp:simplePos x="0" y="0"/>
                <wp:positionH relativeFrom="column">
                  <wp:posOffset>-406823</wp:posOffset>
                </wp:positionH>
                <wp:positionV relativeFrom="paragraph">
                  <wp:posOffset>0</wp:posOffset>
                </wp:positionV>
                <wp:extent cx="6019800" cy="66992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69925"/>
                        </a:xfrm>
                        <a:prstGeom prst="rect">
                          <a:avLst/>
                        </a:prstGeom>
                        <a:solidFill>
                          <a:srgbClr val="FFFFFF"/>
                        </a:solidFill>
                        <a:ln w="9525">
                          <a:noFill/>
                          <a:miter lim="800000"/>
                          <a:headEnd/>
                          <a:tailEnd/>
                        </a:ln>
                      </wps:spPr>
                      <wps:txbx>
                        <w:txbxContent>
                          <w:p w14:paraId="30DE5534" w14:textId="09AD3A0C" w:rsidR="00B536A2" w:rsidRDefault="00B536A2" w:rsidP="00137ABD">
                            <w:pPr>
                              <w:pStyle w:val="Heading1"/>
                            </w:pPr>
                            <w:bookmarkStart w:id="7" w:name="_Toc77849369"/>
                            <w:r>
                              <w:t>ANNEXE : Toutes les cartes de donnÉes</w:t>
                            </w:r>
                            <w:bookmarkEnd w:id="7"/>
                          </w:p>
                          <w:p w14:paraId="38D0F58A" w14:textId="217B13A4" w:rsidR="00B536A2" w:rsidRDefault="00B53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A44E230" id="_x0000_s1027" type="#_x0000_t202" style="position:absolute;margin-left:-32.05pt;margin-top:0;width:474pt;height:52.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" stroked="f">
                <v:textbox>
                  <w:txbxContent>
                    <w:p w14:paraId="30DE5534" w14:textId="09AD3A0C" w:rsidR="00B536A2" w:rsidRDefault="00B536A2" w:rsidP="00137ABD">
                      <w:pPr>
                        <w:pStyle w:val="Titre1"/>
                      </w:pPr>
                      <w:bookmarkStart w:id="159" w:name="_Toc77849369"/>
                      <w:r>
                        <w:t>ANNEXE : Toutes les cartes de donnÉes</w:t>
                      </w:r>
                      <w:bookmarkEnd w:id="159"/>
                    </w:p>
                    <w:p w14:paraId="38D0F58A" w14:textId="217B13A4" w:rsidR="00B536A2" w:rsidRDefault="00B536A2"/>
                  </w:txbxContent>
                </v:textbox>
                <w10:wrap type="square"/>
              </v:shape>
            </w:pict>
          </mc:Fallback>
        </mc:AlternateContent>
      </w:r>
    </w:p>
    <w:p w14:paraId="6BA15E08" w14:textId="7132F262" w:rsidR="00D44D53" w:rsidRPr="00C45FD1" w:rsidRDefault="009015D7">
      <w:pPr>
        <w:rPr>
          <w:rFonts w:ascii="Arial" w:hAnsi="Arial" w:cs="Arial"/>
          <w:sz w:val="24"/>
          <w:szCs w:val="24"/>
        </w:rPr>
      </w:pPr>
      <w:r w:rsidRPr="00C45FD1">
        <w:rPr>
          <w:noProof/>
          <w:lang w:val="en-GB" w:eastAsia="en-GB"/>
        </w:rPr>
        <w:drawing>
          <wp:anchor distT="0" distB="0" distL="114300" distR="114300" simplePos="0" relativeHeight="251724800" behindDoc="0" locked="0" layoutInCell="1" allowOverlap="1" wp14:anchorId="19E398EF" wp14:editId="191F2B95">
            <wp:simplePos x="0" y="0"/>
            <wp:positionH relativeFrom="margin">
              <wp:align>center</wp:align>
            </wp:positionH>
            <wp:positionV relativeFrom="paragraph">
              <wp:posOffset>371475</wp:posOffset>
            </wp:positionV>
            <wp:extent cx="8772525" cy="5133975"/>
            <wp:effectExtent l="0" t="0" r="9525" b="9525"/>
            <wp:wrapThrough wrapText="bothSides">
              <wp:wrapPolygon edited="0">
                <wp:start x="0" y="0"/>
                <wp:lineTo x="0" y="21560"/>
                <wp:lineTo x="21577" y="21560"/>
                <wp:lineTo x="21577"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PAWR Killings French.tif"/>
                    <pic:cNvPicPr/>
                  </pic:nvPicPr>
                  <pic:blipFill rotWithShape="1">
                    <a:blip r:embed="rId12" cstate="print">
                      <a:extLst>
                        <a:ext uri="{28A0092B-C50C-407E-A947-70E740481C1C}">
                          <a14:useLocalDpi xmlns:a14="http://schemas.microsoft.com/office/drawing/2010/main" val="0"/>
                        </a:ext>
                      </a:extLst>
                    </a:blip>
                    <a:srcRect b="11755"/>
                    <a:stretch/>
                  </pic:blipFill>
                  <pic:spPr bwMode="auto">
                    <a:xfrm>
                      <a:off x="0" y="0"/>
                      <a:ext cx="8772525" cy="513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FCE" w:rsidRPr="00C45FD1">
        <w:rPr>
          <w:rFonts w:ascii="Arial" w:hAnsi="Arial"/>
          <w:noProof/>
          <w:sz w:val="24"/>
          <w:szCs w:val="24"/>
          <w:lang w:val="en-GB" w:eastAsia="en-GB"/>
        </w:rPr>
        <mc:AlternateContent>
          <mc:Choice Requires="wps">
            <w:drawing>
              <wp:anchor distT="0" distB="0" distL="114300" distR="114300" simplePos="0" relativeHeight="251682816" behindDoc="0" locked="0" layoutInCell="1" allowOverlap="1" wp14:anchorId="5BFB2FC2" wp14:editId="6550F9B5">
                <wp:simplePos x="0" y="0"/>
                <wp:positionH relativeFrom="column">
                  <wp:posOffset>66675</wp:posOffset>
                </wp:positionH>
                <wp:positionV relativeFrom="paragraph">
                  <wp:posOffset>-5397500</wp:posOffset>
                </wp:positionV>
                <wp:extent cx="6238875" cy="4476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47675"/>
                        </a:xfrm>
                        <a:prstGeom prst="rect">
                          <a:avLst/>
                        </a:prstGeom>
                        <a:solidFill>
                          <a:srgbClr val="FFFFFF"/>
                        </a:solidFill>
                        <a:ln w="9525">
                          <a:solidFill>
                            <a:srgbClr val="000000"/>
                          </a:solidFill>
                          <a:miter lim="800000"/>
                          <a:headEnd/>
                          <a:tailEnd/>
                        </a:ln>
                      </wps:spPr>
                      <wps:txbx>
                        <w:txbxContent>
                          <w:p w14:paraId="028613AC" w14:textId="365D6C88" w:rsidR="00B536A2" w:rsidRDefault="00B536A2" w:rsidP="00230118">
                            <w:r>
                              <w:t xml:space="preserve">Cas documentés de pratiques nocives liées à la manifestation de croyance dans la sorcellerie, 2009 à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FB2FC2" id="_x0000_s1028" type="#_x0000_t202" style="position:absolute;margin-left:5.25pt;margin-top:-424.95pt;width:491.2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">
                <v:textbox>
                  <w:txbxContent>
                    <w:p w14:paraId="028613AC" w14:textId="365D6C88" w:rsidR="00B536A2" w:rsidRDefault="00B536A2" w:rsidP="00230118">
                      <w:r>
                        <w:t xml:space="preserve">Cas documentés de pratiques nocives liées à la manifestation de croyance dans la sorcellerie, 2009 à 2019 </w:t>
                      </w:r>
                    </w:p>
                  </w:txbxContent>
                </v:textbox>
              </v:shape>
            </w:pict>
          </mc:Fallback>
        </mc:AlternateContent>
      </w:r>
      <w:r w:rsidR="00AE1FCE" w:rsidRPr="00C45FD1">
        <w:rPr>
          <w:rFonts w:ascii="Arial" w:hAnsi="Arial"/>
          <w:noProof/>
          <w:sz w:val="24"/>
          <w:szCs w:val="24"/>
          <w:lang w:val="en-GB" w:eastAsia="en-GB"/>
        </w:rPr>
        <mc:AlternateContent>
          <mc:Choice Requires="wps">
            <w:drawing>
              <wp:anchor distT="0" distB="0" distL="114300" distR="114300" simplePos="0" relativeHeight="251691008" behindDoc="0" locked="0" layoutInCell="1" allowOverlap="1" wp14:anchorId="47A2338F" wp14:editId="10DB0FD6">
                <wp:simplePos x="0" y="0"/>
                <wp:positionH relativeFrom="column">
                  <wp:posOffset>6524625</wp:posOffset>
                </wp:positionH>
                <wp:positionV relativeFrom="paragraph">
                  <wp:posOffset>-4197350</wp:posOffset>
                </wp:positionV>
                <wp:extent cx="2040890" cy="457200"/>
                <wp:effectExtent l="0" t="0" r="1651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457200"/>
                        </a:xfrm>
                        <a:prstGeom prst="rect">
                          <a:avLst/>
                        </a:prstGeom>
                        <a:solidFill>
                          <a:srgbClr val="FFFFFF"/>
                        </a:solidFill>
                        <a:ln w="9525">
                          <a:solidFill>
                            <a:srgbClr val="000000"/>
                          </a:solidFill>
                          <a:miter lim="800000"/>
                          <a:headEnd/>
                          <a:tailEnd/>
                        </a:ln>
                      </wps:spPr>
                      <wps:txbx>
                        <w:txbxContent>
                          <w:p w14:paraId="601F820D" w14:textId="77777777" w:rsidR="00B536A2" w:rsidRDefault="00B536A2" w:rsidP="00230118">
                            <w:r>
                              <w:t>Pays où les données sont disponibles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A2338F" id="_x0000_s1029" type="#_x0000_t202" style="position:absolute;margin-left:513.75pt;margin-top:-330.45pt;width:160.7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">
                <v:textbox>
                  <w:txbxContent>
                    <w:p w14:paraId="601F820D" w14:textId="77777777" w:rsidR="00B536A2" w:rsidRDefault="00B536A2" w:rsidP="00230118">
                      <w:r>
                        <w:t>Pays où les données sont disponibles</w:t>
                      </w:r>
                    </w:p>
                  </w:txbxContent>
                </v:textbox>
              </v:shape>
            </w:pict>
          </mc:Fallback>
        </mc:AlternateContent>
      </w:r>
      <w:r w:rsidR="00230118" w:rsidRPr="00C45FD1">
        <w:rPr>
          <w:rFonts w:ascii="Arial" w:hAnsi="Arial"/>
          <w:noProof/>
          <w:sz w:val="24"/>
          <w:szCs w:val="24"/>
          <w:lang w:val="en-GB" w:eastAsia="en-GB"/>
        </w:rPr>
        <mc:AlternateContent>
          <mc:Choice Requires="wps">
            <w:drawing>
              <wp:anchor distT="0" distB="0" distL="114300" distR="114300" simplePos="0" relativeHeight="251699200" behindDoc="0" locked="0" layoutInCell="1" allowOverlap="1" wp14:anchorId="6928A76C" wp14:editId="4DC71E9B">
                <wp:simplePos x="0" y="0"/>
                <wp:positionH relativeFrom="column">
                  <wp:posOffset>6364605</wp:posOffset>
                </wp:positionH>
                <wp:positionV relativeFrom="paragraph">
                  <wp:posOffset>-5367655</wp:posOffset>
                </wp:positionV>
                <wp:extent cx="1158875" cy="307975"/>
                <wp:effectExtent l="0" t="0" r="22225"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07975"/>
                        </a:xfrm>
                        <a:prstGeom prst="rect">
                          <a:avLst/>
                        </a:prstGeom>
                        <a:solidFill>
                          <a:srgbClr val="FFFFFF"/>
                        </a:solidFill>
                        <a:ln w="9525">
                          <a:solidFill>
                            <a:srgbClr val="000000"/>
                          </a:solidFill>
                          <a:miter lim="800000"/>
                          <a:headEnd/>
                          <a:tailEnd/>
                        </a:ln>
                      </wps:spPr>
                      <wps:txbx>
                        <w:txbxContent>
                          <w:p w14:paraId="63A24A68" w14:textId="77777777" w:rsidR="00B536A2" w:rsidRDefault="00B536A2" w:rsidP="00230118">
                            <w:r>
                              <w:t>Personnes disparues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28A76C" id="_x0000_s1030" type="#_x0000_t202" style="position:absolute;margin-left:501.15pt;margin-top:-422.6pt;width:91.25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">
                <v:textbox>
                  <w:txbxContent>
                    <w:p w14:paraId="63A24A68" w14:textId="77777777" w:rsidR="00B536A2" w:rsidRDefault="00B536A2" w:rsidP="00230118">
                      <w:r>
                        <w:t>Personnes disparues</w:t>
                      </w:r>
                    </w:p>
                  </w:txbxContent>
                </v:textbox>
              </v:shape>
            </w:pict>
          </mc:Fallback>
        </mc:AlternateContent>
      </w:r>
    </w:p>
    <w:p w14:paraId="674748C3" w14:textId="2736BD85" w:rsidR="00D44D53" w:rsidRPr="00C45FD1" w:rsidRDefault="00D44D53"/>
    <w:p w14:paraId="3A033ABC" w14:textId="4AB23A31" w:rsidR="00D44D53" w:rsidRPr="00C45FD1" w:rsidRDefault="00D44D53"/>
    <w:p w14:paraId="45A4D7F6" w14:textId="13BF731C" w:rsidR="00D44D53" w:rsidRPr="00C45FD1" w:rsidRDefault="00CB2F50">
      <w:r w:rsidRPr="00C45FD1">
        <w:rPr>
          <w:noProof/>
          <w:lang w:val="en-GB" w:eastAsia="en-GB"/>
        </w:rPr>
        <w:drawing>
          <wp:inline distT="0" distB="0" distL="0" distR="0" wp14:anchorId="32AFB4AB" wp14:editId="49899F7D">
            <wp:extent cx="8553450" cy="57531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PAWR Disappearances French.tif"/>
                    <pic:cNvPicPr/>
                  </pic:nvPicPr>
                  <pic:blipFill rotWithShape="1">
                    <a:blip r:embed="rId13" cstate="print">
                      <a:extLst>
                        <a:ext uri="{28A0092B-C50C-407E-A947-70E740481C1C}">
                          <a14:useLocalDpi xmlns:a14="http://schemas.microsoft.com/office/drawing/2010/main" val="0"/>
                        </a:ext>
                      </a:extLst>
                    </a:blip>
                    <a:srcRect b="11592"/>
                    <a:stretch/>
                  </pic:blipFill>
                  <pic:spPr bwMode="auto">
                    <a:xfrm>
                      <a:off x="0" y="0"/>
                      <a:ext cx="8553450" cy="5753100"/>
                    </a:xfrm>
                    <a:prstGeom prst="rect">
                      <a:avLst/>
                    </a:prstGeom>
                    <a:ln>
                      <a:noFill/>
                    </a:ln>
                    <a:extLst>
                      <a:ext uri="{53640926-AAD7-44D8-BBD7-CCE9431645EC}">
                        <a14:shadowObscured xmlns:a14="http://schemas.microsoft.com/office/drawing/2010/main"/>
                      </a:ext>
                    </a:extLst>
                  </pic:spPr>
                </pic:pic>
              </a:graphicData>
            </a:graphic>
          </wp:inline>
        </w:drawing>
      </w:r>
    </w:p>
    <w:p w14:paraId="2972D609" w14:textId="06763B9F" w:rsidR="00D44D53" w:rsidRPr="00C45FD1" w:rsidRDefault="00D44D53"/>
    <w:p w14:paraId="07CE3287" w14:textId="6E7AAAD6" w:rsidR="00D44D53" w:rsidRPr="00C45FD1" w:rsidRDefault="00CB2F50">
      <w:r w:rsidRPr="00C45FD1">
        <w:rPr>
          <w:noProof/>
          <w:lang w:val="en-GB" w:eastAsia="en-GB"/>
        </w:rPr>
        <w:drawing>
          <wp:anchor distT="0" distB="0" distL="114300" distR="114300" simplePos="0" relativeHeight="251725824" behindDoc="0" locked="0" layoutInCell="1" allowOverlap="1" wp14:anchorId="72F8B4FF" wp14:editId="3024C24F">
            <wp:simplePos x="0" y="0"/>
            <wp:positionH relativeFrom="margin">
              <wp:align>center</wp:align>
            </wp:positionH>
            <wp:positionV relativeFrom="paragraph">
              <wp:posOffset>323850</wp:posOffset>
            </wp:positionV>
            <wp:extent cx="8543925" cy="5181600"/>
            <wp:effectExtent l="0" t="0" r="9525" b="0"/>
            <wp:wrapThrough wrapText="bothSides">
              <wp:wrapPolygon edited="0">
                <wp:start x="0" y="0"/>
                <wp:lineTo x="0" y="21521"/>
                <wp:lineTo x="21576" y="21521"/>
                <wp:lineTo x="21576"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PAWR Grave Robberies French.tif"/>
                    <pic:cNvPicPr/>
                  </pic:nvPicPr>
                  <pic:blipFill rotWithShape="1">
                    <a:blip r:embed="rId14" cstate="print">
                      <a:extLst>
                        <a:ext uri="{28A0092B-C50C-407E-A947-70E740481C1C}">
                          <a14:useLocalDpi xmlns:a14="http://schemas.microsoft.com/office/drawing/2010/main" val="0"/>
                        </a:ext>
                      </a:extLst>
                    </a:blip>
                    <a:srcRect b="10937"/>
                    <a:stretch/>
                  </pic:blipFill>
                  <pic:spPr bwMode="auto">
                    <a:xfrm>
                      <a:off x="0" y="0"/>
                      <a:ext cx="8543925"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0BE84" w14:textId="61338401" w:rsidR="00D44D53" w:rsidRPr="00C45FD1" w:rsidRDefault="00D44D53"/>
    <w:p w14:paraId="0AF75625" w14:textId="114F37D9" w:rsidR="00D44D53" w:rsidRPr="00C45FD1" w:rsidRDefault="00CB2F50">
      <w:r w:rsidRPr="00C45FD1">
        <w:rPr>
          <w:noProof/>
          <w:lang w:val="en-GB" w:eastAsia="en-GB"/>
        </w:rPr>
        <w:drawing>
          <wp:anchor distT="0" distB="0" distL="114300" distR="114300" simplePos="0" relativeHeight="251726848" behindDoc="0" locked="0" layoutInCell="1" allowOverlap="1" wp14:anchorId="13CAF917" wp14:editId="4D77BF2E">
            <wp:simplePos x="0" y="0"/>
            <wp:positionH relativeFrom="margin">
              <wp:posOffset>-247650</wp:posOffset>
            </wp:positionH>
            <wp:positionV relativeFrom="paragraph">
              <wp:posOffset>190500</wp:posOffset>
            </wp:positionV>
            <wp:extent cx="8610600" cy="5495925"/>
            <wp:effectExtent l="0" t="0" r="0" b="9525"/>
            <wp:wrapThrough wrapText="bothSides">
              <wp:wrapPolygon edited="0">
                <wp:start x="0" y="0"/>
                <wp:lineTo x="0" y="21563"/>
                <wp:lineTo x="21552" y="21563"/>
                <wp:lineTo x="21552"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PAWR Survivals French.tif"/>
                    <pic:cNvPicPr/>
                  </pic:nvPicPr>
                  <pic:blipFill rotWithShape="1">
                    <a:blip r:embed="rId15" cstate="print">
                      <a:extLst>
                        <a:ext uri="{28A0092B-C50C-407E-A947-70E740481C1C}">
                          <a14:useLocalDpi xmlns:a14="http://schemas.microsoft.com/office/drawing/2010/main" val="0"/>
                        </a:ext>
                      </a:extLst>
                    </a:blip>
                    <a:srcRect b="11755"/>
                    <a:stretch/>
                  </pic:blipFill>
                  <pic:spPr bwMode="auto">
                    <a:xfrm>
                      <a:off x="0" y="0"/>
                      <a:ext cx="8610600" cy="549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CD0B5" w14:textId="4B6C96B7" w:rsidR="00D44D53" w:rsidRPr="00C45FD1" w:rsidRDefault="00D44D53"/>
    <w:p w14:paraId="765CF355" w14:textId="118667F7" w:rsidR="00D44D53" w:rsidRDefault="00CB2F50" w:rsidP="00F80EFE">
      <w:r w:rsidRPr="00C45FD1">
        <w:rPr>
          <w:noProof/>
          <w:lang w:val="en-GB" w:eastAsia="en-GB"/>
        </w:rPr>
        <w:drawing>
          <wp:anchor distT="0" distB="0" distL="114300" distR="114300" simplePos="0" relativeHeight="251727872" behindDoc="0" locked="0" layoutInCell="1" allowOverlap="1" wp14:anchorId="2ADDB275" wp14:editId="589CA95A">
            <wp:simplePos x="0" y="0"/>
            <wp:positionH relativeFrom="margin">
              <wp:posOffset>-342900</wp:posOffset>
            </wp:positionH>
            <wp:positionV relativeFrom="paragraph">
              <wp:posOffset>0</wp:posOffset>
            </wp:positionV>
            <wp:extent cx="8763000" cy="5562600"/>
            <wp:effectExtent l="0" t="0" r="0" b="0"/>
            <wp:wrapThrough wrapText="bothSides">
              <wp:wrapPolygon edited="0">
                <wp:start x="0" y="0"/>
                <wp:lineTo x="0" y="21526"/>
                <wp:lineTo x="21553" y="21526"/>
                <wp:lineTo x="21553"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PAWR Trafficking French.tif"/>
                    <pic:cNvPicPr/>
                  </pic:nvPicPr>
                  <pic:blipFill rotWithShape="1">
                    <a:blip r:embed="rId16" cstate="print">
                      <a:extLst>
                        <a:ext uri="{28A0092B-C50C-407E-A947-70E740481C1C}">
                          <a14:useLocalDpi xmlns:a14="http://schemas.microsoft.com/office/drawing/2010/main" val="0"/>
                        </a:ext>
                      </a:extLst>
                    </a:blip>
                    <a:srcRect b="11755"/>
                    <a:stretch/>
                  </pic:blipFill>
                  <pic:spPr bwMode="auto">
                    <a:xfrm>
                      <a:off x="0" y="0"/>
                      <a:ext cx="8763000" cy="556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44D53" w:rsidSect="00F80EFE">
      <w:pgSz w:w="15840" w:h="12240" w:orient="landscape"/>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2641E" w14:textId="77777777" w:rsidR="00894B0E" w:rsidRDefault="00894B0E" w:rsidP="00383CB1">
      <w:pPr>
        <w:spacing w:after="0" w:line="240" w:lineRule="auto"/>
      </w:pPr>
      <w:r>
        <w:separator/>
      </w:r>
    </w:p>
  </w:endnote>
  <w:endnote w:type="continuationSeparator" w:id="0">
    <w:p w14:paraId="6DEC8BD8" w14:textId="77777777" w:rsidR="00894B0E" w:rsidRDefault="00894B0E" w:rsidP="0038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945512"/>
      <w:docPartObj>
        <w:docPartGallery w:val="Page Numbers (Bottom of Page)"/>
        <w:docPartUnique/>
      </w:docPartObj>
    </w:sdtPr>
    <w:sdtEndPr/>
    <w:sdtContent>
      <w:p w14:paraId="367AC13B" w14:textId="1678D7CC" w:rsidR="00B536A2" w:rsidRDefault="00B536A2">
        <w:pPr>
          <w:pStyle w:val="Footer"/>
          <w:jc w:val="right"/>
        </w:pPr>
        <w:r>
          <w:fldChar w:fldCharType="begin"/>
        </w:r>
        <w:r>
          <w:instrText xml:space="preserve"> PAGE   \* MERGEFORMAT </w:instrText>
        </w:r>
        <w:r>
          <w:fldChar w:fldCharType="separate"/>
        </w:r>
        <w:r w:rsidR="00CD301E">
          <w:rPr>
            <w:noProof/>
          </w:rPr>
          <w:t>5</w:t>
        </w:r>
        <w:r>
          <w:fldChar w:fldCharType="end"/>
        </w:r>
      </w:p>
    </w:sdtContent>
  </w:sdt>
  <w:p w14:paraId="20726F0E" w14:textId="77777777" w:rsidR="00B536A2" w:rsidRDefault="00B53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98897" w14:textId="77777777" w:rsidR="00894B0E" w:rsidRDefault="00894B0E" w:rsidP="00383CB1">
      <w:pPr>
        <w:spacing w:after="0" w:line="240" w:lineRule="auto"/>
      </w:pPr>
      <w:r>
        <w:separator/>
      </w:r>
    </w:p>
  </w:footnote>
  <w:footnote w:type="continuationSeparator" w:id="0">
    <w:p w14:paraId="6EBC9000" w14:textId="77777777" w:rsidR="00894B0E" w:rsidRDefault="00894B0E" w:rsidP="00383CB1">
      <w:pPr>
        <w:spacing w:after="0" w:line="240" w:lineRule="auto"/>
      </w:pPr>
      <w:r>
        <w:continuationSeparator/>
      </w:r>
    </w:p>
  </w:footnote>
  <w:footnote w:id="1">
    <w:p w14:paraId="1C7095CD" w14:textId="6B8CDCE1" w:rsidR="00B536A2" w:rsidRPr="00AE6073" w:rsidRDefault="00B536A2" w:rsidP="00383CB1">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color w:val="000000" w:themeColor="text1"/>
          <w:sz w:val="16"/>
          <w:szCs w:val="16"/>
          <w:lang w:val="en-US"/>
        </w:rPr>
        <w:t xml:space="preserve"> A/HRC/11/2, 2009</w:t>
      </w:r>
    </w:p>
  </w:footnote>
  <w:footnote w:id="2">
    <w:p w14:paraId="61D4EB99" w14:textId="3F1D256E" w:rsidR="00B536A2" w:rsidRPr="00AE6073" w:rsidRDefault="00B536A2" w:rsidP="006C7C31">
      <w:pPr>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Voir par example Karen McVeigh, “Child Witchcraft claims increasing as “hidden crime” is investigated”, le 8 octobre 2014, </w:t>
      </w:r>
      <w:hyperlink r:id="rId1" w:history="1">
        <w:r w:rsidRPr="00AE6073">
          <w:rPr>
            <w:rStyle w:val="Hyperlink"/>
            <w:rFonts w:ascii="Arial" w:hAnsi="Arial" w:cs="Arial"/>
            <w:sz w:val="16"/>
            <w:szCs w:val="16"/>
            <w:lang w:val="en-US"/>
          </w:rPr>
          <w:t>HTTPS://WWW.THEGUARDIAN.COM/UK-NEWS/2014/OCT/08/CHILD-WITCHCRAFT-CLAIMS-HIDDEN-CRIME-MET-POLICE-UNDER-REPORTED</w:t>
        </w:r>
      </w:hyperlink>
      <w:r w:rsidRPr="00AE6073">
        <w:rPr>
          <w:rFonts w:ascii="Arial" w:hAnsi="Arial" w:cs="Arial"/>
          <w:sz w:val="16"/>
          <w:szCs w:val="16"/>
          <w:lang w:val="en-US"/>
        </w:rPr>
        <w:t>, voir aussi Ruth Evans, “Witchcraft abuse on the rise”, le 11 October 2015, HTTP://WWW.BBC.COM/NEWS/UK-34475424.</w:t>
      </w:r>
    </w:p>
  </w:footnote>
  <w:footnote w:id="3">
    <w:p w14:paraId="0C7AF2B5" w14:textId="77777777" w:rsidR="00B536A2" w:rsidRPr="00AE6073" w:rsidRDefault="00B536A2" w:rsidP="00383CB1">
      <w:pPr>
        <w:pStyle w:val="FootnoteText"/>
        <w:rPr>
          <w:rFonts w:ascii="Arial" w:hAnsi="Arial" w:cs="Arial"/>
          <w:b/>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Voir Philip Alston, « Of witches and robots: the diverse challenges of responding to unlawful killings in the twenty-first century », </w:t>
      </w:r>
      <w:r w:rsidRPr="00AE6073">
        <w:rPr>
          <w:rFonts w:ascii="Arial" w:hAnsi="Arial" w:cs="Arial"/>
          <w:i/>
          <w:sz w:val="16"/>
          <w:szCs w:val="16"/>
          <w:lang w:val="en-US"/>
        </w:rPr>
        <w:t>Macalester International</w:t>
      </w:r>
      <w:r w:rsidRPr="00AE6073">
        <w:rPr>
          <w:rFonts w:ascii="Arial" w:hAnsi="Arial" w:cs="Arial"/>
          <w:sz w:val="16"/>
          <w:szCs w:val="16"/>
          <w:lang w:val="en-US"/>
        </w:rPr>
        <w:t>, vol. 28 (2012) et Jill Shnoebelen, « Witchcraft allegations, refugee protection and human rights: a review of the evidence », Haut Commissariat des Nations Unies pour les réfugiés, rapport de recherche no 169, http://www.unhcr.org/4981ca712.pdf.</w:t>
      </w:r>
    </w:p>
  </w:footnote>
  <w:footnote w:id="4">
    <w:p w14:paraId="375A5FF8" w14:textId="1FCC9476" w:rsidR="00B536A2" w:rsidRPr="00AE6073" w:rsidRDefault="00B536A2">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color w:val="000000" w:themeColor="text1"/>
          <w:sz w:val="16"/>
          <w:szCs w:val="16"/>
          <w:lang w:val="en-US"/>
        </w:rPr>
        <w:t xml:space="preserve"> (Adinkrah 2004, Bussien et coll. 2011, Cohan 2011, Gardini 2013, Geschiere 2008, Horowitz 2014, Jorgensen 2014),</w:t>
      </w:r>
    </w:p>
  </w:footnote>
  <w:footnote w:id="5">
    <w:p w14:paraId="09FF5B5D" w14:textId="50EAA548" w:rsidR="00B536A2" w:rsidRPr="00AE6073" w:rsidRDefault="00B536A2">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color w:val="000000" w:themeColor="text1"/>
          <w:sz w:val="16"/>
          <w:szCs w:val="16"/>
          <w:lang w:val="en-US"/>
        </w:rPr>
        <w:t xml:space="preserve"> (Forsyth 2016).</w:t>
      </w:r>
    </w:p>
  </w:footnote>
  <w:footnote w:id="6">
    <w:p w14:paraId="40D9D9E5" w14:textId="547515EA" w:rsidR="00B536A2" w:rsidRPr="00AE6073" w:rsidRDefault="00B536A2" w:rsidP="00230118">
      <w:pPr>
        <w:autoSpaceDE w:val="0"/>
        <w:autoSpaceDN w:val="0"/>
        <w:adjustRightInd w:val="0"/>
        <w:spacing w:after="0" w:line="240" w:lineRule="auto"/>
        <w:jc w:val="both"/>
        <w:rPr>
          <w:rFonts w:ascii="Arial" w:hAnsi="Arial" w:cs="Arial"/>
          <w:color w:val="000000" w:themeColor="text1"/>
          <w:sz w:val="16"/>
          <w:szCs w:val="16"/>
          <w:lang w:val="en-US"/>
        </w:rPr>
      </w:pPr>
      <w:r w:rsidRPr="00AE6073">
        <w:rPr>
          <w:rStyle w:val="FootnoteReference"/>
          <w:rFonts w:ascii="Arial" w:hAnsi="Arial" w:cs="Arial"/>
          <w:sz w:val="16"/>
          <w:szCs w:val="16"/>
        </w:rPr>
        <w:footnoteRef/>
      </w:r>
      <w:r w:rsidRPr="00AE6073">
        <w:rPr>
          <w:rFonts w:ascii="Arial" w:hAnsi="Arial" w:cs="Arial"/>
          <w:color w:val="000000" w:themeColor="text1"/>
          <w:sz w:val="16"/>
          <w:szCs w:val="16"/>
          <w:lang w:val="en-US"/>
        </w:rPr>
        <w:t xml:space="preserve"> (Edwards 2013, Garcia 2013, Powles et Deakin 2012, </w:t>
      </w:r>
      <w:r w:rsidRPr="00AE6073">
        <w:rPr>
          <w:rFonts w:ascii="Arial" w:hAnsi="Arial" w:cs="Arial"/>
          <w:i/>
          <w:color w:val="000000" w:themeColor="text1"/>
          <w:sz w:val="16"/>
          <w:szCs w:val="16"/>
          <w:lang w:val="en-US"/>
        </w:rPr>
        <w:t xml:space="preserve">The Economist </w:t>
      </w:r>
      <w:r w:rsidRPr="00AE6073">
        <w:rPr>
          <w:rFonts w:ascii="Arial" w:hAnsi="Arial" w:cs="Arial"/>
          <w:color w:val="000000" w:themeColor="text1"/>
          <w:sz w:val="16"/>
          <w:szCs w:val="16"/>
          <w:lang w:val="en-US"/>
        </w:rPr>
        <w:t xml:space="preserve">2015). </w:t>
      </w:r>
    </w:p>
  </w:footnote>
  <w:footnote w:id="7">
    <w:p w14:paraId="63BDBF2D" w14:textId="77777777" w:rsidR="00B536A2" w:rsidRPr="00CD301E" w:rsidRDefault="00B536A2" w:rsidP="00383CB1">
      <w:pPr>
        <w:pStyle w:val="FootnoteText"/>
        <w:rPr>
          <w:rFonts w:ascii="Arial" w:hAnsi="Arial" w:cs="Arial"/>
          <w:sz w:val="16"/>
          <w:szCs w:val="16"/>
          <w:lang w:val="fr-BE"/>
        </w:rPr>
      </w:pPr>
      <w:r w:rsidRPr="00AE6073">
        <w:rPr>
          <w:rStyle w:val="FootnoteReference"/>
          <w:rFonts w:ascii="Arial" w:hAnsi="Arial" w:cs="Arial"/>
          <w:sz w:val="16"/>
          <w:szCs w:val="16"/>
        </w:rPr>
        <w:footnoteRef/>
      </w:r>
      <w:r w:rsidRPr="00CD301E">
        <w:rPr>
          <w:rFonts w:ascii="Arial" w:hAnsi="Arial" w:cs="Arial"/>
          <w:sz w:val="16"/>
          <w:szCs w:val="16"/>
          <w:lang w:val="fr-BE"/>
        </w:rPr>
        <w:t xml:space="preserve">Voir </w:t>
      </w:r>
      <w:hyperlink r:id="rId2" w:history="1">
        <w:r w:rsidRPr="00CD301E">
          <w:rPr>
            <w:rStyle w:val="Hyperlink"/>
            <w:rFonts w:ascii="Arial" w:hAnsi="Arial" w:cs="Arial"/>
            <w:sz w:val="16"/>
            <w:szCs w:val="16"/>
            <w:lang w:val="fr-BE"/>
          </w:rPr>
          <w:t>http://srsg.violenceagainstchildren.org/page/850</w:t>
        </w:r>
      </w:hyperlink>
      <w:r w:rsidRPr="00CD301E">
        <w:rPr>
          <w:rFonts w:ascii="Arial" w:hAnsi="Arial" w:cs="Arial"/>
          <w:sz w:val="16"/>
          <w:szCs w:val="16"/>
          <w:lang w:val="fr-BE"/>
        </w:rPr>
        <w:t>.</w:t>
      </w:r>
    </w:p>
  </w:footnote>
  <w:footnote w:id="8">
    <w:p w14:paraId="046C6255" w14:textId="4EF3CF62" w:rsidR="00B536A2" w:rsidRPr="00AE6073" w:rsidRDefault="00B536A2">
      <w:pPr>
        <w:pStyle w:val="FootnoteText"/>
        <w:rPr>
          <w:rFonts w:ascii="Arial" w:hAnsi="Arial" w:cs="Arial"/>
          <w:sz w:val="16"/>
          <w:szCs w:val="16"/>
        </w:rPr>
      </w:pPr>
      <w:r w:rsidRPr="00AE6073">
        <w:rPr>
          <w:rStyle w:val="FootnoteReference"/>
          <w:rFonts w:ascii="Arial" w:hAnsi="Arial" w:cs="Arial"/>
          <w:sz w:val="16"/>
          <w:szCs w:val="16"/>
        </w:rPr>
        <w:footnoteRef/>
      </w:r>
      <w:r w:rsidRPr="00AE6073">
        <w:rPr>
          <w:rFonts w:ascii="Arial" w:hAnsi="Arial" w:cs="Arial"/>
          <w:sz w:val="16"/>
          <w:szCs w:val="16"/>
        </w:rPr>
        <w:t xml:space="preserve"> A/HRC//41/33, para 28 </w:t>
      </w:r>
    </w:p>
  </w:footnote>
  <w:footnote w:id="9">
    <w:p w14:paraId="4DF14CCA" w14:textId="740CFB34" w:rsidR="00B536A2" w:rsidRPr="00AE6073" w:rsidRDefault="00B536A2" w:rsidP="006C7C31">
      <w:pPr>
        <w:pStyle w:val="FootnoteText"/>
        <w:rPr>
          <w:rFonts w:ascii="Arial" w:hAnsi="Arial" w:cs="Arial"/>
          <w:sz w:val="16"/>
          <w:szCs w:val="16"/>
          <w:lang w:val="fr-CH"/>
        </w:rPr>
      </w:pPr>
      <w:r w:rsidRPr="00AE6073">
        <w:rPr>
          <w:rStyle w:val="FootnoteReference"/>
          <w:rFonts w:ascii="Arial" w:hAnsi="Arial" w:cs="Arial"/>
          <w:sz w:val="16"/>
          <w:szCs w:val="16"/>
        </w:rPr>
        <w:footnoteRef/>
      </w:r>
      <w:r w:rsidRPr="00AE6073">
        <w:rPr>
          <w:rFonts w:ascii="Arial" w:hAnsi="Arial" w:cs="Arial"/>
          <w:sz w:val="16"/>
          <w:szCs w:val="16"/>
          <w:lang w:val="fr-CH"/>
        </w:rPr>
        <w:t xml:space="preserve"> A/HRC/20/16), section 2, ou bien A/HRC/23/49/Add.2</w:t>
      </w:r>
    </w:p>
  </w:footnote>
  <w:footnote w:id="10">
    <w:p w14:paraId="695789F4" w14:textId="24E6BDE3" w:rsidR="00B536A2" w:rsidRPr="00AE6073" w:rsidRDefault="00B536A2">
      <w:pPr>
        <w:pStyle w:val="FootnoteText"/>
        <w:rPr>
          <w:rFonts w:ascii="Arial" w:hAnsi="Arial" w:cs="Arial"/>
          <w:sz w:val="16"/>
          <w:szCs w:val="16"/>
          <w:lang w:val="en-GB"/>
        </w:rPr>
      </w:pPr>
      <w:r w:rsidRPr="00AE6073">
        <w:rPr>
          <w:rStyle w:val="FootnoteReference"/>
          <w:rFonts w:ascii="Arial" w:hAnsi="Arial" w:cs="Arial"/>
          <w:sz w:val="16"/>
          <w:szCs w:val="16"/>
        </w:rPr>
        <w:footnoteRef/>
      </w:r>
      <w:r w:rsidRPr="00AE6073">
        <w:rPr>
          <w:rFonts w:ascii="Arial" w:hAnsi="Arial" w:cs="Arial"/>
          <w:sz w:val="16"/>
          <w:szCs w:val="16"/>
          <w:lang w:val="en-GB"/>
        </w:rPr>
        <w:t xml:space="preserve"> A/HRC/25/58/Add.1</w:t>
      </w:r>
    </w:p>
  </w:footnote>
  <w:footnote w:id="11">
    <w:p w14:paraId="004979B4" w14:textId="5B8D1DED" w:rsidR="00B536A2" w:rsidRPr="00AE6073" w:rsidRDefault="00B536A2">
      <w:pPr>
        <w:pStyle w:val="FootnoteText"/>
        <w:rPr>
          <w:rFonts w:ascii="Arial" w:hAnsi="Arial" w:cs="Arial"/>
          <w:sz w:val="16"/>
          <w:szCs w:val="16"/>
          <w:lang w:val="en-GB"/>
        </w:rPr>
      </w:pPr>
      <w:r w:rsidRPr="00AE6073">
        <w:rPr>
          <w:rStyle w:val="FootnoteReference"/>
          <w:rFonts w:ascii="Arial" w:hAnsi="Arial" w:cs="Arial"/>
          <w:sz w:val="16"/>
          <w:szCs w:val="16"/>
        </w:rPr>
        <w:footnoteRef/>
      </w:r>
      <w:r w:rsidRPr="00AE6073">
        <w:rPr>
          <w:rFonts w:ascii="Arial" w:hAnsi="Arial" w:cs="Arial"/>
          <w:sz w:val="16"/>
          <w:szCs w:val="16"/>
          <w:lang w:val="en-GB"/>
        </w:rPr>
        <w:t xml:space="preserve"> </w:t>
      </w:r>
      <w:r w:rsidRPr="00AE6073">
        <w:rPr>
          <w:rFonts w:ascii="Arial" w:hAnsi="Arial" w:cs="Arial"/>
          <w:sz w:val="16"/>
          <w:szCs w:val="16"/>
          <w:lang w:val="en-CA"/>
        </w:rPr>
        <w:t>A/HRC/31/57, para. 14</w:t>
      </w:r>
    </w:p>
  </w:footnote>
  <w:footnote w:id="12">
    <w:p w14:paraId="71274E53" w14:textId="7363EBCD" w:rsidR="00B536A2" w:rsidRPr="00AE6073" w:rsidRDefault="00B536A2">
      <w:pPr>
        <w:pStyle w:val="FootnoteText"/>
        <w:rPr>
          <w:rFonts w:ascii="Arial" w:hAnsi="Arial" w:cs="Arial"/>
          <w:sz w:val="16"/>
          <w:szCs w:val="16"/>
          <w:lang w:val="en-GB"/>
        </w:rPr>
      </w:pPr>
      <w:r w:rsidRPr="00AE6073">
        <w:rPr>
          <w:rStyle w:val="FootnoteReference"/>
          <w:rFonts w:ascii="Arial" w:hAnsi="Arial" w:cs="Arial"/>
          <w:sz w:val="16"/>
          <w:szCs w:val="16"/>
        </w:rPr>
        <w:footnoteRef/>
      </w:r>
      <w:r w:rsidRPr="00AE6073">
        <w:rPr>
          <w:rFonts w:ascii="Arial" w:hAnsi="Arial" w:cs="Arial"/>
          <w:sz w:val="16"/>
          <w:szCs w:val="16"/>
          <w:lang w:val="en-GB"/>
        </w:rPr>
        <w:t xml:space="preserve"> </w:t>
      </w:r>
      <w:r w:rsidRPr="00AE6073">
        <w:rPr>
          <w:rFonts w:ascii="Arial" w:hAnsi="Arial" w:cs="Arial"/>
          <w:sz w:val="16"/>
          <w:szCs w:val="16"/>
          <w:lang w:val="en-CA"/>
        </w:rPr>
        <w:t>A/HRC/11/2</w:t>
      </w:r>
    </w:p>
  </w:footnote>
  <w:footnote w:id="13">
    <w:p w14:paraId="015C0EBF" w14:textId="77777777" w:rsidR="00B536A2" w:rsidRPr="00AE6073" w:rsidRDefault="00B536A2" w:rsidP="00383CB1">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A Cimpric, Children accused of witchcraft: An anthological study of contemporary practices in Africa (2010) 1.</w:t>
      </w:r>
    </w:p>
  </w:footnote>
  <w:footnote w:id="14">
    <w:p w14:paraId="43AE705B" w14:textId="4E808E2C" w:rsidR="00B536A2" w:rsidRPr="00AE6073" w:rsidRDefault="00B536A2" w:rsidP="00383CB1">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FA Eboiyehi, “Convicted without evidence: Elderly women and witchcraft accusations in contemporary Nigeria ”, (2017) Journal of International Women Studies 247.</w:t>
      </w:r>
    </w:p>
  </w:footnote>
  <w:footnote w:id="15">
    <w:p w14:paraId="16192B07" w14:textId="691CB408" w:rsidR="00B536A2" w:rsidRPr="00AE6073" w:rsidRDefault="00B536A2" w:rsidP="00383CB1">
      <w:pPr>
        <w:pStyle w:val="FootnoteText"/>
        <w:rPr>
          <w:rFonts w:ascii="Arial" w:hAnsi="Arial" w:cs="Arial"/>
          <w:sz w:val="16"/>
          <w:szCs w:val="16"/>
        </w:rPr>
      </w:pPr>
      <w:r w:rsidRPr="00AE6073">
        <w:rPr>
          <w:rStyle w:val="FootnoteReference"/>
          <w:rFonts w:ascii="Arial" w:hAnsi="Arial" w:cs="Arial"/>
          <w:sz w:val="16"/>
          <w:szCs w:val="16"/>
        </w:rPr>
        <w:footnoteRef/>
      </w:r>
      <w:r w:rsidRPr="00AE6073">
        <w:rPr>
          <w:rFonts w:ascii="Arial" w:hAnsi="Arial" w:cs="Arial"/>
          <w:sz w:val="16"/>
          <w:szCs w:val="16"/>
        </w:rPr>
        <w:t xml:space="preserve"> Cimpric, note </w:t>
      </w:r>
      <w:r w:rsidRPr="00AE6073">
        <w:rPr>
          <w:rFonts w:ascii="Arial" w:hAnsi="Arial" w:cs="Arial"/>
          <w:sz w:val="16"/>
          <w:szCs w:val="16"/>
        </w:rPr>
        <w:fldChar w:fldCharType="begin"/>
      </w:r>
      <w:r w:rsidRPr="00AE6073">
        <w:rPr>
          <w:rFonts w:ascii="Arial" w:hAnsi="Arial" w:cs="Arial"/>
          <w:sz w:val="16"/>
          <w:szCs w:val="16"/>
        </w:rPr>
        <w:instrText xml:space="preserve"> NOTEREF _Ref17449384 \h  \* MERGEFORMAT </w:instrText>
      </w:r>
      <w:r w:rsidRPr="00AE6073">
        <w:rPr>
          <w:rFonts w:ascii="Arial" w:hAnsi="Arial" w:cs="Arial"/>
          <w:sz w:val="16"/>
          <w:szCs w:val="16"/>
        </w:rPr>
      </w:r>
      <w:r w:rsidRPr="00AE6073">
        <w:rPr>
          <w:rFonts w:ascii="Arial" w:hAnsi="Arial" w:cs="Arial"/>
          <w:sz w:val="16"/>
          <w:szCs w:val="16"/>
        </w:rPr>
        <w:fldChar w:fldCharType="separate"/>
      </w:r>
      <w:r w:rsidR="00C45FD1">
        <w:rPr>
          <w:rFonts w:ascii="Arial" w:hAnsi="Arial" w:cs="Arial"/>
          <w:sz w:val="16"/>
          <w:szCs w:val="16"/>
        </w:rPr>
        <w:t>18</w:t>
      </w:r>
      <w:r w:rsidRPr="00AE6073">
        <w:rPr>
          <w:rFonts w:ascii="Arial" w:hAnsi="Arial" w:cs="Arial"/>
          <w:sz w:val="16"/>
          <w:szCs w:val="16"/>
        </w:rPr>
        <w:fldChar w:fldCharType="end"/>
      </w:r>
      <w:r w:rsidRPr="00AE6073">
        <w:rPr>
          <w:rFonts w:ascii="Arial" w:hAnsi="Arial" w:cs="Arial"/>
          <w:sz w:val="16"/>
          <w:szCs w:val="16"/>
        </w:rPr>
        <w:t xml:space="preserve"> ci-dessus. </w:t>
      </w:r>
    </w:p>
  </w:footnote>
  <w:footnote w:id="16">
    <w:p w14:paraId="5E9473EC" w14:textId="0C368182" w:rsidR="00B536A2" w:rsidRPr="00AE6073" w:rsidRDefault="00B536A2" w:rsidP="00383CB1">
      <w:pPr>
        <w:pStyle w:val="FootnoteText"/>
        <w:rPr>
          <w:rFonts w:ascii="Arial" w:hAnsi="Arial" w:cs="Arial"/>
          <w:sz w:val="16"/>
          <w:szCs w:val="16"/>
        </w:rPr>
      </w:pPr>
      <w:r w:rsidRPr="00AE6073">
        <w:rPr>
          <w:rStyle w:val="FootnoteReference"/>
          <w:rFonts w:ascii="Arial" w:hAnsi="Arial" w:cs="Arial"/>
          <w:sz w:val="16"/>
          <w:szCs w:val="16"/>
        </w:rPr>
        <w:footnoteRef/>
      </w:r>
      <w:r w:rsidRPr="00AE6073">
        <w:rPr>
          <w:rFonts w:ascii="Arial" w:hAnsi="Arial" w:cs="Arial"/>
          <w:sz w:val="16"/>
          <w:szCs w:val="16"/>
        </w:rPr>
        <w:t xml:space="preserve"> Eboiyehi, note </w:t>
      </w:r>
      <w:r w:rsidRPr="00AE6073">
        <w:rPr>
          <w:rFonts w:ascii="Arial" w:hAnsi="Arial" w:cs="Arial"/>
          <w:sz w:val="16"/>
          <w:szCs w:val="16"/>
        </w:rPr>
        <w:fldChar w:fldCharType="begin"/>
      </w:r>
      <w:r w:rsidRPr="00AE6073">
        <w:rPr>
          <w:rFonts w:ascii="Arial" w:hAnsi="Arial" w:cs="Arial"/>
          <w:sz w:val="16"/>
          <w:szCs w:val="16"/>
        </w:rPr>
        <w:instrText xml:space="preserve"> NOTEREF _Ref17449370 \h  \* MERGEFORMAT </w:instrText>
      </w:r>
      <w:r w:rsidRPr="00AE6073">
        <w:rPr>
          <w:rFonts w:ascii="Arial" w:hAnsi="Arial" w:cs="Arial"/>
          <w:sz w:val="16"/>
          <w:szCs w:val="16"/>
        </w:rPr>
      </w:r>
      <w:r w:rsidRPr="00AE6073">
        <w:rPr>
          <w:rFonts w:ascii="Arial" w:hAnsi="Arial" w:cs="Arial"/>
          <w:sz w:val="16"/>
          <w:szCs w:val="16"/>
        </w:rPr>
        <w:fldChar w:fldCharType="separate"/>
      </w:r>
      <w:r w:rsidR="00C45FD1">
        <w:rPr>
          <w:rFonts w:ascii="Arial" w:hAnsi="Arial" w:cs="Arial"/>
          <w:sz w:val="16"/>
          <w:szCs w:val="16"/>
        </w:rPr>
        <w:t>19</w:t>
      </w:r>
      <w:r w:rsidRPr="00AE6073">
        <w:rPr>
          <w:rFonts w:ascii="Arial" w:hAnsi="Arial" w:cs="Arial"/>
          <w:sz w:val="16"/>
          <w:szCs w:val="16"/>
        </w:rPr>
        <w:fldChar w:fldCharType="end"/>
      </w:r>
      <w:r w:rsidRPr="00AE6073">
        <w:rPr>
          <w:rFonts w:ascii="Arial" w:hAnsi="Arial" w:cs="Arial"/>
          <w:sz w:val="16"/>
          <w:szCs w:val="16"/>
        </w:rPr>
        <w:t xml:space="preserve"> ci-dessus </w:t>
      </w:r>
    </w:p>
  </w:footnote>
  <w:footnote w:id="17">
    <w:p w14:paraId="00301069" w14:textId="77777777" w:rsidR="00B536A2" w:rsidRPr="00AE6073" w:rsidRDefault="00B536A2" w:rsidP="00383CB1">
      <w:pPr>
        <w:pStyle w:val="FootnoteText"/>
        <w:rPr>
          <w:rFonts w:ascii="Arial" w:hAnsi="Arial" w:cs="Arial"/>
          <w:sz w:val="16"/>
          <w:szCs w:val="16"/>
        </w:rPr>
      </w:pPr>
      <w:r w:rsidRPr="00AE6073">
        <w:rPr>
          <w:rStyle w:val="FootnoteReference"/>
          <w:rFonts w:ascii="Arial" w:hAnsi="Arial" w:cs="Arial"/>
          <w:sz w:val="16"/>
          <w:szCs w:val="16"/>
        </w:rPr>
        <w:footnoteRef/>
      </w:r>
      <w:r w:rsidRPr="00AE6073">
        <w:rPr>
          <w:rFonts w:ascii="Arial" w:hAnsi="Arial" w:cs="Arial"/>
          <w:sz w:val="16"/>
          <w:szCs w:val="16"/>
        </w:rPr>
        <w:t xml:space="preserve"> FGM Centre. Voir également </w:t>
      </w:r>
      <w:hyperlink r:id="rId3" w:history="1">
        <w:r w:rsidRPr="00AE6073">
          <w:rPr>
            <w:rStyle w:val="Hyperlink"/>
            <w:rFonts w:ascii="Arial" w:hAnsi="Arial" w:cs="Arial"/>
            <w:sz w:val="16"/>
            <w:szCs w:val="16"/>
          </w:rPr>
          <w:t>https://vcf-uk.org/census-suggests-11-increase-in-cases-of-child-abuse-linked-to-faith-or-belief/</w:t>
        </w:r>
      </w:hyperlink>
      <w:r w:rsidRPr="00AE6073">
        <w:rPr>
          <w:rFonts w:ascii="Arial" w:hAnsi="Arial" w:cs="Arial"/>
          <w:sz w:val="16"/>
          <w:szCs w:val="16"/>
        </w:rPr>
        <w:t>.</w:t>
      </w:r>
    </w:p>
  </w:footnote>
  <w:footnote w:id="18">
    <w:p w14:paraId="13795DB5" w14:textId="4D14F79D" w:rsidR="00B536A2" w:rsidRPr="00AE6073" w:rsidRDefault="00B536A2">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P. Gibbs, « Engendered Violence and Witch-killing in Simbu », </w:t>
      </w:r>
      <w:r w:rsidRPr="00AE6073">
        <w:rPr>
          <w:rFonts w:ascii="Arial" w:hAnsi="Arial" w:cs="Arial"/>
          <w:i/>
          <w:sz w:val="16"/>
          <w:szCs w:val="16"/>
          <w:lang w:val="en-US"/>
        </w:rPr>
        <w:t>Engendering Violence in Papua New Guinea</w:t>
      </w:r>
      <w:r w:rsidRPr="00AE6073">
        <w:rPr>
          <w:rFonts w:ascii="Arial" w:hAnsi="Arial" w:cs="Arial"/>
          <w:sz w:val="16"/>
          <w:szCs w:val="16"/>
          <w:lang w:val="en-US"/>
        </w:rPr>
        <w:t>, Sous la direction de M. Jolly, C. Stewart et C. Brewer, (2012) 107-136, Canberra : Australian National University E-Press. http://epress.anu.edu.au/wp-content/uploads/2012/06/ch032.pdf.</w:t>
      </w:r>
    </w:p>
  </w:footnote>
  <w:footnote w:id="19">
    <w:p w14:paraId="4EF2404B" w14:textId="4E6D18CE" w:rsidR="00B536A2" w:rsidRPr="00AE6073" w:rsidRDefault="00B536A2" w:rsidP="00383CB1">
      <w:pPr>
        <w:pStyle w:val="Footnote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Eboiyehi, note </w:t>
      </w:r>
      <w:r w:rsidRPr="00AE6073">
        <w:rPr>
          <w:rFonts w:ascii="Arial" w:hAnsi="Arial" w:cs="Arial"/>
          <w:sz w:val="16"/>
          <w:szCs w:val="16"/>
        </w:rPr>
        <w:fldChar w:fldCharType="begin"/>
      </w:r>
      <w:r w:rsidRPr="00AE6073">
        <w:rPr>
          <w:rFonts w:ascii="Arial" w:hAnsi="Arial" w:cs="Arial"/>
          <w:sz w:val="16"/>
          <w:szCs w:val="16"/>
          <w:lang w:val="en-US"/>
        </w:rPr>
        <w:instrText xml:space="preserve"> NOTEREF _Ref17449370 \h </w:instrText>
      </w:r>
      <w:r w:rsidRPr="00217278">
        <w:rPr>
          <w:rFonts w:ascii="Arial" w:hAnsi="Arial" w:cs="Arial"/>
          <w:sz w:val="16"/>
          <w:szCs w:val="16"/>
          <w:lang w:val="en-US"/>
        </w:rPr>
        <w:instrText xml:space="preserve"> \* MERGEFORMAT </w:instrText>
      </w:r>
      <w:r w:rsidRPr="00AE6073">
        <w:rPr>
          <w:rFonts w:ascii="Arial" w:hAnsi="Arial" w:cs="Arial"/>
          <w:sz w:val="16"/>
          <w:szCs w:val="16"/>
        </w:rPr>
      </w:r>
      <w:r w:rsidRPr="00AE6073">
        <w:rPr>
          <w:rFonts w:ascii="Arial" w:hAnsi="Arial" w:cs="Arial"/>
          <w:sz w:val="16"/>
          <w:szCs w:val="16"/>
        </w:rPr>
        <w:fldChar w:fldCharType="separate"/>
      </w:r>
      <w:r w:rsidR="00C45FD1">
        <w:rPr>
          <w:rFonts w:ascii="Arial" w:hAnsi="Arial" w:cs="Arial"/>
          <w:sz w:val="16"/>
          <w:szCs w:val="16"/>
          <w:lang w:val="en-US"/>
        </w:rPr>
        <w:t>19</w:t>
      </w:r>
      <w:r w:rsidRPr="00AE6073">
        <w:rPr>
          <w:rFonts w:ascii="Arial" w:hAnsi="Arial" w:cs="Arial"/>
          <w:sz w:val="16"/>
          <w:szCs w:val="16"/>
        </w:rPr>
        <w:fldChar w:fldCharType="end"/>
      </w:r>
    </w:p>
  </w:footnote>
  <w:footnote w:id="20">
    <w:p w14:paraId="1E1BAB1E" w14:textId="77777777" w:rsidR="00B536A2" w:rsidRPr="00AE6073" w:rsidRDefault="00B536A2" w:rsidP="00383CB1">
      <w:pPr>
        <w:autoSpaceDE w:val="0"/>
        <w:autoSpaceDN w:val="0"/>
        <w:adjustRightInd w:val="0"/>
        <w:spacing w:after="0" w:line="240" w:lineRule="auto"/>
        <w:rPr>
          <w:rFonts w:ascii="Arial" w:hAnsi="Arial" w:cs="Arial"/>
          <w:color w:val="12326E"/>
          <w:sz w:val="16"/>
          <w:szCs w:val="16"/>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International Bar Association’ Waiting to disappear: International and regional standards for the protection and promotion of the human rights of persons with albinism (2017) 20.  </w:t>
      </w:r>
      <w:r w:rsidRPr="00AE6073">
        <w:rPr>
          <w:rFonts w:ascii="Arial" w:hAnsi="Arial" w:cs="Arial"/>
          <w:sz w:val="16"/>
          <w:szCs w:val="16"/>
        </w:rPr>
        <w:t xml:space="preserve">Voir également les notes explicatives et les données sur la façon dont l’experte indépendante a recueilli ces données : </w:t>
      </w:r>
      <w:hyperlink r:id="rId4" w:history="1">
        <w:r w:rsidRPr="00AE6073">
          <w:rPr>
            <w:rStyle w:val="Hyperlink"/>
            <w:rFonts w:ascii="Arial" w:hAnsi="Arial" w:cs="Arial"/>
            <w:sz w:val="16"/>
            <w:szCs w:val="16"/>
          </w:rPr>
          <w:t>https://actiononalbinism.org/page/xgr7osblfukwn9ghmwj98uxr</w:t>
        </w:r>
      </w:hyperlink>
      <w:r w:rsidRPr="00AE6073">
        <w:rPr>
          <w:rFonts w:ascii="Arial" w:hAnsi="Arial" w:cs="Arial"/>
          <w:sz w:val="16"/>
          <w:szCs w:val="16"/>
        </w:rPr>
        <w:t>.</w:t>
      </w:r>
    </w:p>
  </w:footnote>
  <w:footnote w:id="21">
    <w:p w14:paraId="45F931D4" w14:textId="703CB12C" w:rsidR="00B536A2" w:rsidRPr="00AE6073" w:rsidRDefault="00B536A2" w:rsidP="00AE6073">
      <w:pPr>
        <w:pStyle w:val="CommentText"/>
        <w:rPr>
          <w:rFonts w:ascii="Arial" w:hAnsi="Arial" w:cs="Arial"/>
          <w:sz w:val="16"/>
          <w:szCs w:val="16"/>
          <w:lang w:val="en-US"/>
        </w:rPr>
      </w:pPr>
      <w:r w:rsidRPr="00AE6073">
        <w:rPr>
          <w:rStyle w:val="FootnoteReference"/>
          <w:rFonts w:ascii="Arial" w:hAnsi="Arial" w:cs="Arial"/>
          <w:sz w:val="16"/>
          <w:szCs w:val="16"/>
        </w:rPr>
        <w:footnoteRef/>
      </w:r>
      <w:r w:rsidRPr="00AE6073">
        <w:rPr>
          <w:rFonts w:ascii="Arial" w:hAnsi="Arial" w:cs="Arial"/>
          <w:sz w:val="16"/>
          <w:szCs w:val="16"/>
          <w:lang w:val="en-US"/>
        </w:rPr>
        <w:t xml:space="preserve"> Voir par example : « When the occult meets the criminal: the connection between human trafficking and witchcraft »,  </w:t>
      </w:r>
      <w:hyperlink r:id="rId5" w:history="1">
        <w:r w:rsidRPr="00AE6073">
          <w:rPr>
            <w:rStyle w:val="Hyperlink"/>
            <w:rFonts w:ascii="Arial" w:hAnsi="Arial" w:cs="Arial"/>
            <w:sz w:val="16"/>
            <w:szCs w:val="16"/>
            <w:lang w:val="en-US"/>
          </w:rPr>
          <w:t>https://www.polity.org.za/article/when-the-occult-meets-the-criminal-the-connection-between-human-trafficking-and-witchcraft-2012-11-16</w:t>
        </w:r>
      </w:hyperlink>
      <w:r w:rsidRPr="00AE6073">
        <w:rPr>
          <w:rFonts w:ascii="Arial" w:hAnsi="Arial" w:cs="Arial"/>
          <w:sz w:val="16"/>
          <w:szCs w:val="16"/>
          <w:lang w:val="en-US"/>
        </w:rPr>
        <w:t>, consulté le 21 août 2019.</w:t>
      </w:r>
    </w:p>
  </w:footnote>
  <w:footnote w:id="22">
    <w:p w14:paraId="4D83FB66" w14:textId="2BA2D4E0" w:rsidR="00B536A2" w:rsidRPr="00AE6073" w:rsidRDefault="00B536A2" w:rsidP="00AE6073">
      <w:pPr>
        <w:pStyle w:val="FootnoteText"/>
        <w:rPr>
          <w:rFonts w:ascii="Arial" w:hAnsi="Arial" w:cs="Arial"/>
          <w:sz w:val="16"/>
          <w:szCs w:val="16"/>
        </w:rPr>
      </w:pPr>
      <w:r w:rsidRPr="00AE6073">
        <w:rPr>
          <w:rStyle w:val="FootnoteReference"/>
          <w:rFonts w:ascii="Arial" w:hAnsi="Arial" w:cs="Arial"/>
          <w:sz w:val="16"/>
          <w:szCs w:val="16"/>
        </w:rPr>
        <w:footnoteRef/>
      </w:r>
      <w:r w:rsidRPr="00AE6073">
        <w:rPr>
          <w:rFonts w:ascii="Arial" w:hAnsi="Arial" w:cs="Arial"/>
          <w:sz w:val="16"/>
          <w:szCs w:val="16"/>
        </w:rPr>
        <w:t xml:space="preserve"> Compilées par ; L’experte indépendante de l’ONU sur l’exercice des droits de l’homme par les personnes atteintes d’albinisme, en collaboration avec le Witchcraft and Human Rights Information Network et ses organisations membres, Under the Same Sun, le National FGM Centre, au Royaume-Uni, Doughty Street Chambers, au Royaume-Uni, l’Université nationale australienne, l’Université Divine Word, en Papouasie–Nouvelle-Guinée, l’Université de Lancaster, </w:t>
      </w:r>
      <w:r w:rsidR="00141036">
        <w:rPr>
          <w:rFonts w:ascii="Arial" w:hAnsi="Arial" w:cs="Arial"/>
          <w:sz w:val="16"/>
          <w:szCs w:val="16"/>
        </w:rPr>
        <w:t>l’Université de Staffordhire,</w:t>
      </w:r>
      <w:r w:rsidRPr="00AE6073">
        <w:rPr>
          <w:rFonts w:ascii="Arial" w:hAnsi="Arial" w:cs="Arial"/>
          <w:sz w:val="16"/>
          <w:szCs w:val="16"/>
        </w:rPr>
        <w:t>au Royaume-Uni, le Centre for Human Rights de l’Université de Pretoria, en Afrique du Sud, et le programme international des droits de la personne de la faculté de droit de l’Université de Toronto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3A329" w14:textId="783508BC" w:rsidR="00B536A2" w:rsidRDefault="00B536A2">
    <w:pPr>
      <w:pStyle w:val="Header"/>
      <w:jc w:val="center"/>
    </w:pPr>
  </w:p>
  <w:p w14:paraId="568056F6" w14:textId="77777777" w:rsidR="00B536A2" w:rsidRDefault="00B53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79A0"/>
    <w:multiLevelType w:val="hybridMultilevel"/>
    <w:tmpl w:val="2074771A"/>
    <w:lvl w:ilvl="0" w:tplc="7CCE5C8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A0775E"/>
    <w:multiLevelType w:val="hybridMultilevel"/>
    <w:tmpl w:val="696E387E"/>
    <w:lvl w:ilvl="0" w:tplc="AE70808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A46122"/>
    <w:multiLevelType w:val="multilevel"/>
    <w:tmpl w:val="2B02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F577D3"/>
    <w:multiLevelType w:val="hybridMultilevel"/>
    <w:tmpl w:val="5BBEFB10"/>
    <w:lvl w:ilvl="0" w:tplc="AE70808E">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fr-FR" w:vendorID="64" w:dllVersion="131078" w:nlCheck="1" w:checkStyle="0"/>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C5"/>
    <w:rsid w:val="0000325D"/>
    <w:rsid w:val="00011037"/>
    <w:rsid w:val="00011F6D"/>
    <w:rsid w:val="00016FBA"/>
    <w:rsid w:val="000241FF"/>
    <w:rsid w:val="000330B0"/>
    <w:rsid w:val="000346AE"/>
    <w:rsid w:val="00035BF0"/>
    <w:rsid w:val="00043A70"/>
    <w:rsid w:val="0004437E"/>
    <w:rsid w:val="00050190"/>
    <w:rsid w:val="0007160F"/>
    <w:rsid w:val="00074FC3"/>
    <w:rsid w:val="00097761"/>
    <w:rsid w:val="000A3F26"/>
    <w:rsid w:val="000B332B"/>
    <w:rsid w:val="000C0321"/>
    <w:rsid w:val="000C07A1"/>
    <w:rsid w:val="000C3311"/>
    <w:rsid w:val="00100591"/>
    <w:rsid w:val="00101130"/>
    <w:rsid w:val="0010622A"/>
    <w:rsid w:val="001116A0"/>
    <w:rsid w:val="00114267"/>
    <w:rsid w:val="00117A1D"/>
    <w:rsid w:val="00121CED"/>
    <w:rsid w:val="00126C0C"/>
    <w:rsid w:val="00137ABD"/>
    <w:rsid w:val="00141036"/>
    <w:rsid w:val="00142C54"/>
    <w:rsid w:val="00163285"/>
    <w:rsid w:val="001719B8"/>
    <w:rsid w:val="001A460F"/>
    <w:rsid w:val="001C1925"/>
    <w:rsid w:val="001C5EA8"/>
    <w:rsid w:val="001C6B0B"/>
    <w:rsid w:val="001D013E"/>
    <w:rsid w:val="001D5B46"/>
    <w:rsid w:val="001E4022"/>
    <w:rsid w:val="001E4781"/>
    <w:rsid w:val="00215005"/>
    <w:rsid w:val="00217278"/>
    <w:rsid w:val="00230118"/>
    <w:rsid w:val="00234CD6"/>
    <w:rsid w:val="0025364C"/>
    <w:rsid w:val="00270CD8"/>
    <w:rsid w:val="0027643C"/>
    <w:rsid w:val="002819CE"/>
    <w:rsid w:val="00287218"/>
    <w:rsid w:val="00290942"/>
    <w:rsid w:val="0029094E"/>
    <w:rsid w:val="0029630E"/>
    <w:rsid w:val="00296AFE"/>
    <w:rsid w:val="002E2730"/>
    <w:rsid w:val="002E46EA"/>
    <w:rsid w:val="002F75D0"/>
    <w:rsid w:val="00313EBB"/>
    <w:rsid w:val="00333EFC"/>
    <w:rsid w:val="00337019"/>
    <w:rsid w:val="0034377A"/>
    <w:rsid w:val="00352DE6"/>
    <w:rsid w:val="00355C42"/>
    <w:rsid w:val="003644D4"/>
    <w:rsid w:val="00375C7A"/>
    <w:rsid w:val="00383CB1"/>
    <w:rsid w:val="003A6E56"/>
    <w:rsid w:val="003B4B8B"/>
    <w:rsid w:val="003C4CB8"/>
    <w:rsid w:val="003D6C50"/>
    <w:rsid w:val="003E3878"/>
    <w:rsid w:val="003F49CD"/>
    <w:rsid w:val="003F4B6A"/>
    <w:rsid w:val="004016AA"/>
    <w:rsid w:val="00405C39"/>
    <w:rsid w:val="0041306F"/>
    <w:rsid w:val="00417F23"/>
    <w:rsid w:val="00433D79"/>
    <w:rsid w:val="004350C6"/>
    <w:rsid w:val="00451BAE"/>
    <w:rsid w:val="00462E87"/>
    <w:rsid w:val="00463D67"/>
    <w:rsid w:val="00465453"/>
    <w:rsid w:val="00476423"/>
    <w:rsid w:val="00484D82"/>
    <w:rsid w:val="004870C4"/>
    <w:rsid w:val="004A277D"/>
    <w:rsid w:val="004A6BD8"/>
    <w:rsid w:val="004B54E0"/>
    <w:rsid w:val="004F2616"/>
    <w:rsid w:val="0050213A"/>
    <w:rsid w:val="0051191C"/>
    <w:rsid w:val="00526E06"/>
    <w:rsid w:val="00536844"/>
    <w:rsid w:val="00541C5A"/>
    <w:rsid w:val="0054317A"/>
    <w:rsid w:val="00555076"/>
    <w:rsid w:val="00575F05"/>
    <w:rsid w:val="005834D8"/>
    <w:rsid w:val="00587DC7"/>
    <w:rsid w:val="005A5630"/>
    <w:rsid w:val="005C290B"/>
    <w:rsid w:val="005D54BC"/>
    <w:rsid w:val="005D762B"/>
    <w:rsid w:val="005E6DC6"/>
    <w:rsid w:val="005F3C69"/>
    <w:rsid w:val="00625012"/>
    <w:rsid w:val="006328DC"/>
    <w:rsid w:val="00632B16"/>
    <w:rsid w:val="00636BD0"/>
    <w:rsid w:val="00654783"/>
    <w:rsid w:val="006622B6"/>
    <w:rsid w:val="00667576"/>
    <w:rsid w:val="00673DAB"/>
    <w:rsid w:val="0068135B"/>
    <w:rsid w:val="0069716A"/>
    <w:rsid w:val="006B65BF"/>
    <w:rsid w:val="006C702B"/>
    <w:rsid w:val="006C7C31"/>
    <w:rsid w:val="006D53D8"/>
    <w:rsid w:val="006D55D7"/>
    <w:rsid w:val="006D75F6"/>
    <w:rsid w:val="006E380D"/>
    <w:rsid w:val="006F23F9"/>
    <w:rsid w:val="006F63A9"/>
    <w:rsid w:val="007223FB"/>
    <w:rsid w:val="007250EA"/>
    <w:rsid w:val="00730099"/>
    <w:rsid w:val="00741D0C"/>
    <w:rsid w:val="00741DAF"/>
    <w:rsid w:val="007428FB"/>
    <w:rsid w:val="00764277"/>
    <w:rsid w:val="00773B1B"/>
    <w:rsid w:val="00781688"/>
    <w:rsid w:val="00786CD6"/>
    <w:rsid w:val="007925F0"/>
    <w:rsid w:val="007938E4"/>
    <w:rsid w:val="0079557E"/>
    <w:rsid w:val="007A144F"/>
    <w:rsid w:val="007A6F29"/>
    <w:rsid w:val="007B3A6D"/>
    <w:rsid w:val="007B5057"/>
    <w:rsid w:val="007D51FB"/>
    <w:rsid w:val="007F152F"/>
    <w:rsid w:val="007F794E"/>
    <w:rsid w:val="00804859"/>
    <w:rsid w:val="00806CD7"/>
    <w:rsid w:val="00807A10"/>
    <w:rsid w:val="00816A69"/>
    <w:rsid w:val="00822F0E"/>
    <w:rsid w:val="00824514"/>
    <w:rsid w:val="0084242E"/>
    <w:rsid w:val="00844F0C"/>
    <w:rsid w:val="00847ADF"/>
    <w:rsid w:val="00851B25"/>
    <w:rsid w:val="00861622"/>
    <w:rsid w:val="00867E88"/>
    <w:rsid w:val="00875DAC"/>
    <w:rsid w:val="00876554"/>
    <w:rsid w:val="00886981"/>
    <w:rsid w:val="00894B0E"/>
    <w:rsid w:val="00895BA4"/>
    <w:rsid w:val="008A459D"/>
    <w:rsid w:val="008B6E4C"/>
    <w:rsid w:val="008D7590"/>
    <w:rsid w:val="008E3D59"/>
    <w:rsid w:val="008F6EF6"/>
    <w:rsid w:val="009015D7"/>
    <w:rsid w:val="009037D0"/>
    <w:rsid w:val="009122CB"/>
    <w:rsid w:val="00916428"/>
    <w:rsid w:val="00923175"/>
    <w:rsid w:val="009632D2"/>
    <w:rsid w:val="00971308"/>
    <w:rsid w:val="00976B89"/>
    <w:rsid w:val="0098346C"/>
    <w:rsid w:val="0098484E"/>
    <w:rsid w:val="0098688D"/>
    <w:rsid w:val="00992693"/>
    <w:rsid w:val="009B4419"/>
    <w:rsid w:val="009B77D0"/>
    <w:rsid w:val="009C2505"/>
    <w:rsid w:val="009C50AF"/>
    <w:rsid w:val="009C620A"/>
    <w:rsid w:val="009C7842"/>
    <w:rsid w:val="009D31D2"/>
    <w:rsid w:val="009D45ED"/>
    <w:rsid w:val="009E22B8"/>
    <w:rsid w:val="009F1923"/>
    <w:rsid w:val="009F2B3B"/>
    <w:rsid w:val="009F4441"/>
    <w:rsid w:val="00A216EE"/>
    <w:rsid w:val="00A27321"/>
    <w:rsid w:val="00A37C2D"/>
    <w:rsid w:val="00A41706"/>
    <w:rsid w:val="00A42DB3"/>
    <w:rsid w:val="00A42F81"/>
    <w:rsid w:val="00A5295E"/>
    <w:rsid w:val="00A529D7"/>
    <w:rsid w:val="00A53260"/>
    <w:rsid w:val="00A65498"/>
    <w:rsid w:val="00A80E01"/>
    <w:rsid w:val="00A868A6"/>
    <w:rsid w:val="00A9030A"/>
    <w:rsid w:val="00A95F2A"/>
    <w:rsid w:val="00AB091A"/>
    <w:rsid w:val="00AC3D35"/>
    <w:rsid w:val="00AC3D49"/>
    <w:rsid w:val="00AC5AA6"/>
    <w:rsid w:val="00AD1C75"/>
    <w:rsid w:val="00AD4D14"/>
    <w:rsid w:val="00AD72EC"/>
    <w:rsid w:val="00AE1FCE"/>
    <w:rsid w:val="00AE3260"/>
    <w:rsid w:val="00AE6073"/>
    <w:rsid w:val="00AF172C"/>
    <w:rsid w:val="00AF79FE"/>
    <w:rsid w:val="00B05721"/>
    <w:rsid w:val="00B06BF8"/>
    <w:rsid w:val="00B15788"/>
    <w:rsid w:val="00B165F7"/>
    <w:rsid w:val="00B27BA2"/>
    <w:rsid w:val="00B402BD"/>
    <w:rsid w:val="00B536A2"/>
    <w:rsid w:val="00B575E9"/>
    <w:rsid w:val="00B60423"/>
    <w:rsid w:val="00B9214A"/>
    <w:rsid w:val="00B92B2A"/>
    <w:rsid w:val="00B96267"/>
    <w:rsid w:val="00BA359B"/>
    <w:rsid w:val="00BA3932"/>
    <w:rsid w:val="00BA615C"/>
    <w:rsid w:val="00BB12BF"/>
    <w:rsid w:val="00BB7223"/>
    <w:rsid w:val="00BC1AD3"/>
    <w:rsid w:val="00BE4156"/>
    <w:rsid w:val="00BE4FF3"/>
    <w:rsid w:val="00BE6BFA"/>
    <w:rsid w:val="00BE7D30"/>
    <w:rsid w:val="00BF195B"/>
    <w:rsid w:val="00C05BF4"/>
    <w:rsid w:val="00C05EAB"/>
    <w:rsid w:val="00C07033"/>
    <w:rsid w:val="00C07AC0"/>
    <w:rsid w:val="00C17E76"/>
    <w:rsid w:val="00C2228D"/>
    <w:rsid w:val="00C44B66"/>
    <w:rsid w:val="00C45FD1"/>
    <w:rsid w:val="00C46FC5"/>
    <w:rsid w:val="00C504DF"/>
    <w:rsid w:val="00C53791"/>
    <w:rsid w:val="00C5563A"/>
    <w:rsid w:val="00C57A3A"/>
    <w:rsid w:val="00C7119E"/>
    <w:rsid w:val="00C80D33"/>
    <w:rsid w:val="00C85D85"/>
    <w:rsid w:val="00C95D23"/>
    <w:rsid w:val="00C97900"/>
    <w:rsid w:val="00CB2F50"/>
    <w:rsid w:val="00CD301E"/>
    <w:rsid w:val="00CE113B"/>
    <w:rsid w:val="00CE1FB4"/>
    <w:rsid w:val="00CF1C8D"/>
    <w:rsid w:val="00D12628"/>
    <w:rsid w:val="00D128BA"/>
    <w:rsid w:val="00D16834"/>
    <w:rsid w:val="00D21363"/>
    <w:rsid w:val="00D42AA3"/>
    <w:rsid w:val="00D44D53"/>
    <w:rsid w:val="00D513CC"/>
    <w:rsid w:val="00D6320F"/>
    <w:rsid w:val="00D65F8E"/>
    <w:rsid w:val="00D6664E"/>
    <w:rsid w:val="00D84BD8"/>
    <w:rsid w:val="00D857D8"/>
    <w:rsid w:val="00D869F2"/>
    <w:rsid w:val="00D92CA3"/>
    <w:rsid w:val="00DA6298"/>
    <w:rsid w:val="00DB3E83"/>
    <w:rsid w:val="00DC27BD"/>
    <w:rsid w:val="00DD2E3C"/>
    <w:rsid w:val="00DE44A8"/>
    <w:rsid w:val="00DF3EE9"/>
    <w:rsid w:val="00DF5F78"/>
    <w:rsid w:val="00DF6572"/>
    <w:rsid w:val="00E0483C"/>
    <w:rsid w:val="00E05AC5"/>
    <w:rsid w:val="00E4229A"/>
    <w:rsid w:val="00E4380F"/>
    <w:rsid w:val="00E5309F"/>
    <w:rsid w:val="00E542B2"/>
    <w:rsid w:val="00E577CA"/>
    <w:rsid w:val="00E7447F"/>
    <w:rsid w:val="00E77F41"/>
    <w:rsid w:val="00E811F8"/>
    <w:rsid w:val="00E873B3"/>
    <w:rsid w:val="00E978B6"/>
    <w:rsid w:val="00EA161D"/>
    <w:rsid w:val="00EA5776"/>
    <w:rsid w:val="00EC19E4"/>
    <w:rsid w:val="00EC5779"/>
    <w:rsid w:val="00EC6272"/>
    <w:rsid w:val="00ED639B"/>
    <w:rsid w:val="00EE357D"/>
    <w:rsid w:val="00EE390D"/>
    <w:rsid w:val="00EE5CDB"/>
    <w:rsid w:val="00EE70A7"/>
    <w:rsid w:val="00EF20AA"/>
    <w:rsid w:val="00F02D6A"/>
    <w:rsid w:val="00F252EF"/>
    <w:rsid w:val="00F343C5"/>
    <w:rsid w:val="00F41EC8"/>
    <w:rsid w:val="00F5311C"/>
    <w:rsid w:val="00F5545B"/>
    <w:rsid w:val="00F6237A"/>
    <w:rsid w:val="00F65B8A"/>
    <w:rsid w:val="00F67412"/>
    <w:rsid w:val="00F80EFE"/>
    <w:rsid w:val="00F8180F"/>
    <w:rsid w:val="00F857E8"/>
    <w:rsid w:val="00FA0ED5"/>
    <w:rsid w:val="00FA44A1"/>
    <w:rsid w:val="00FB6895"/>
    <w:rsid w:val="00FC00C5"/>
    <w:rsid w:val="00FD458F"/>
    <w:rsid w:val="00FD7260"/>
    <w:rsid w:val="00FF25B4"/>
    <w:rsid w:val="00FF3D71"/>
    <w:rsid w:val="00FF4D2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4004F"/>
  <w15:docId w15:val="{97FA9A9C-2CA8-4DD8-BCD8-C63E8D8A7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5B46"/>
    <w:pPr>
      <w:keepNext/>
      <w:keepLines/>
      <w:spacing w:before="480" w:after="0" w:line="276" w:lineRule="auto"/>
      <w:outlineLvl w:val="0"/>
    </w:pPr>
    <w:rPr>
      <w:rFonts w:ascii="Arial" w:eastAsiaTheme="majorEastAsia" w:hAnsi="Arial" w:cstheme="majorBidi"/>
      <w:b/>
      <w:bCs/>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6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1306F"/>
    <w:rPr>
      <w:sz w:val="16"/>
      <w:szCs w:val="16"/>
    </w:rPr>
  </w:style>
  <w:style w:type="paragraph" w:styleId="CommentText">
    <w:name w:val="annotation text"/>
    <w:basedOn w:val="Normal"/>
    <w:link w:val="CommentTextChar"/>
    <w:uiPriority w:val="99"/>
    <w:unhideWhenUsed/>
    <w:rsid w:val="0041306F"/>
    <w:pPr>
      <w:spacing w:line="240" w:lineRule="auto"/>
    </w:pPr>
    <w:rPr>
      <w:sz w:val="20"/>
      <w:szCs w:val="20"/>
    </w:rPr>
  </w:style>
  <w:style w:type="character" w:customStyle="1" w:styleId="CommentTextChar">
    <w:name w:val="Comment Text Char"/>
    <w:basedOn w:val="DefaultParagraphFont"/>
    <w:link w:val="CommentText"/>
    <w:uiPriority w:val="99"/>
    <w:rsid w:val="0041306F"/>
    <w:rPr>
      <w:sz w:val="20"/>
      <w:szCs w:val="20"/>
    </w:rPr>
  </w:style>
  <w:style w:type="paragraph" w:styleId="CommentSubject">
    <w:name w:val="annotation subject"/>
    <w:basedOn w:val="CommentText"/>
    <w:next w:val="CommentText"/>
    <w:link w:val="CommentSubjectChar"/>
    <w:uiPriority w:val="99"/>
    <w:semiHidden/>
    <w:unhideWhenUsed/>
    <w:rsid w:val="0041306F"/>
    <w:rPr>
      <w:b/>
      <w:bCs/>
    </w:rPr>
  </w:style>
  <w:style w:type="character" w:customStyle="1" w:styleId="CommentSubjectChar">
    <w:name w:val="Comment Subject Char"/>
    <w:basedOn w:val="CommentTextChar"/>
    <w:link w:val="CommentSubject"/>
    <w:uiPriority w:val="99"/>
    <w:semiHidden/>
    <w:rsid w:val="0041306F"/>
    <w:rPr>
      <w:b/>
      <w:bCs/>
      <w:sz w:val="20"/>
      <w:szCs w:val="20"/>
    </w:rPr>
  </w:style>
  <w:style w:type="paragraph" w:styleId="BalloonText">
    <w:name w:val="Balloon Text"/>
    <w:basedOn w:val="Normal"/>
    <w:link w:val="BalloonTextChar"/>
    <w:uiPriority w:val="99"/>
    <w:semiHidden/>
    <w:unhideWhenUsed/>
    <w:rsid w:val="00413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06F"/>
    <w:rPr>
      <w:rFonts w:ascii="Segoe UI" w:hAnsi="Segoe UI" w:cs="Segoe UI"/>
      <w:sz w:val="18"/>
      <w:szCs w:val="18"/>
    </w:rPr>
  </w:style>
  <w:style w:type="character" w:customStyle="1" w:styleId="Heading1Char">
    <w:name w:val="Heading 1 Char"/>
    <w:basedOn w:val="DefaultParagraphFont"/>
    <w:link w:val="Heading1"/>
    <w:uiPriority w:val="9"/>
    <w:rsid w:val="001D5B46"/>
    <w:rPr>
      <w:rFonts w:ascii="Arial" w:eastAsiaTheme="majorEastAsia" w:hAnsi="Arial" w:cstheme="majorBidi"/>
      <w:b/>
      <w:bCs/>
      <w:caps/>
      <w:sz w:val="28"/>
      <w:szCs w:val="28"/>
      <w:lang w:val="fr-FR"/>
    </w:rPr>
  </w:style>
  <w:style w:type="paragraph" w:styleId="FootnoteText">
    <w:name w:val="footnote text"/>
    <w:basedOn w:val="Normal"/>
    <w:link w:val="FootnoteTextChar"/>
    <w:uiPriority w:val="99"/>
    <w:unhideWhenUsed/>
    <w:rsid w:val="00383CB1"/>
    <w:pPr>
      <w:spacing w:after="0" w:line="240" w:lineRule="auto"/>
    </w:pPr>
    <w:rPr>
      <w:sz w:val="20"/>
      <w:szCs w:val="20"/>
    </w:rPr>
  </w:style>
  <w:style w:type="character" w:customStyle="1" w:styleId="FootnoteTextChar">
    <w:name w:val="Footnote Text Char"/>
    <w:basedOn w:val="DefaultParagraphFont"/>
    <w:link w:val="FootnoteText"/>
    <w:uiPriority w:val="99"/>
    <w:rsid w:val="00383CB1"/>
    <w:rPr>
      <w:sz w:val="20"/>
      <w:szCs w:val="20"/>
      <w:lang w:val="fr-FR"/>
    </w:rPr>
  </w:style>
  <w:style w:type="character" w:styleId="FootnoteReference">
    <w:name w:val="footnote reference"/>
    <w:basedOn w:val="DefaultParagraphFont"/>
    <w:uiPriority w:val="99"/>
    <w:unhideWhenUsed/>
    <w:rsid w:val="00383CB1"/>
    <w:rPr>
      <w:vertAlign w:val="superscript"/>
    </w:rPr>
  </w:style>
  <w:style w:type="character" w:styleId="Hyperlink">
    <w:name w:val="Hyperlink"/>
    <w:basedOn w:val="DefaultParagraphFont"/>
    <w:uiPriority w:val="99"/>
    <w:unhideWhenUsed/>
    <w:rsid w:val="00383CB1"/>
    <w:rPr>
      <w:color w:val="0563C1" w:themeColor="hyperlink"/>
      <w:u w:val="single"/>
    </w:rPr>
  </w:style>
  <w:style w:type="character" w:customStyle="1" w:styleId="SingleTxtGChar">
    <w:name w:val="_ Single Txt_G Char"/>
    <w:link w:val="SingleTxtG"/>
    <w:locked/>
    <w:rsid w:val="00383CB1"/>
  </w:style>
  <w:style w:type="paragraph" w:customStyle="1" w:styleId="SingleTxtG">
    <w:name w:val="_ Single Txt_G"/>
    <w:basedOn w:val="Normal"/>
    <w:link w:val="SingleTxtGChar"/>
    <w:rsid w:val="00383CB1"/>
    <w:pPr>
      <w:suppressAutoHyphens/>
      <w:spacing w:after="120" w:line="240" w:lineRule="atLeast"/>
      <w:ind w:left="1134" w:right="1134"/>
      <w:jc w:val="both"/>
    </w:pPr>
  </w:style>
  <w:style w:type="paragraph" w:styleId="EndnoteText">
    <w:name w:val="endnote text"/>
    <w:basedOn w:val="Normal"/>
    <w:link w:val="EndnoteTextChar"/>
    <w:uiPriority w:val="99"/>
    <w:unhideWhenUsed/>
    <w:rsid w:val="00C2228D"/>
    <w:pPr>
      <w:spacing w:after="0" w:line="240" w:lineRule="auto"/>
    </w:pPr>
    <w:rPr>
      <w:sz w:val="20"/>
      <w:szCs w:val="20"/>
    </w:rPr>
  </w:style>
  <w:style w:type="character" w:customStyle="1" w:styleId="EndnoteTextChar">
    <w:name w:val="Endnote Text Char"/>
    <w:basedOn w:val="DefaultParagraphFont"/>
    <w:link w:val="EndnoteText"/>
    <w:uiPriority w:val="99"/>
    <w:rsid w:val="00C2228D"/>
    <w:rPr>
      <w:sz w:val="20"/>
      <w:szCs w:val="20"/>
    </w:rPr>
  </w:style>
  <w:style w:type="character" w:styleId="EndnoteReference">
    <w:name w:val="endnote reference"/>
    <w:basedOn w:val="DefaultParagraphFont"/>
    <w:uiPriority w:val="99"/>
    <w:unhideWhenUsed/>
    <w:rsid w:val="00C2228D"/>
    <w:rPr>
      <w:vertAlign w:val="superscript"/>
    </w:rPr>
  </w:style>
  <w:style w:type="paragraph" w:styleId="TOCHeading">
    <w:name w:val="TOC Heading"/>
    <w:basedOn w:val="Heading1"/>
    <w:next w:val="Normal"/>
    <w:uiPriority w:val="39"/>
    <w:unhideWhenUsed/>
    <w:qFormat/>
    <w:rsid w:val="00101130"/>
    <w:pPr>
      <w:spacing w:before="240" w:line="259" w:lineRule="auto"/>
      <w:outlineLvl w:val="9"/>
    </w:pPr>
    <w:rPr>
      <w:rFonts w:asciiTheme="majorHAnsi" w:hAnsiTheme="majorHAnsi"/>
      <w:b w:val="0"/>
      <w:bCs w:val="0"/>
      <w:caps w:val="0"/>
      <w:color w:val="2F5496" w:themeColor="accent1" w:themeShade="BF"/>
      <w:sz w:val="32"/>
      <w:szCs w:val="32"/>
    </w:rPr>
  </w:style>
  <w:style w:type="paragraph" w:styleId="TOC1">
    <w:name w:val="toc 1"/>
    <w:basedOn w:val="Normal"/>
    <w:next w:val="Normal"/>
    <w:autoRedefine/>
    <w:uiPriority w:val="39"/>
    <w:unhideWhenUsed/>
    <w:rsid w:val="00101130"/>
    <w:pPr>
      <w:spacing w:after="100"/>
    </w:pPr>
  </w:style>
  <w:style w:type="paragraph" w:styleId="Header">
    <w:name w:val="header"/>
    <w:basedOn w:val="Normal"/>
    <w:link w:val="HeaderChar"/>
    <w:uiPriority w:val="99"/>
    <w:unhideWhenUsed/>
    <w:rsid w:val="00C57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A3A"/>
  </w:style>
  <w:style w:type="paragraph" w:styleId="Footer">
    <w:name w:val="footer"/>
    <w:basedOn w:val="Normal"/>
    <w:link w:val="FooterChar"/>
    <w:uiPriority w:val="99"/>
    <w:unhideWhenUsed/>
    <w:rsid w:val="00C57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A3A"/>
  </w:style>
  <w:style w:type="character" w:customStyle="1" w:styleId="UnresolvedMention1">
    <w:name w:val="Unresolved Mention1"/>
    <w:basedOn w:val="DefaultParagraphFont"/>
    <w:uiPriority w:val="99"/>
    <w:semiHidden/>
    <w:unhideWhenUsed/>
    <w:rsid w:val="005A5630"/>
    <w:rPr>
      <w:color w:val="605E5C"/>
      <w:shd w:val="clear" w:color="auto" w:fill="E1DFDD"/>
    </w:rPr>
  </w:style>
  <w:style w:type="paragraph" w:styleId="ListParagraph">
    <w:name w:val="List Paragraph"/>
    <w:basedOn w:val="Normal"/>
    <w:uiPriority w:val="34"/>
    <w:qFormat/>
    <w:rsid w:val="00137ABD"/>
    <w:pPr>
      <w:ind w:left="720"/>
      <w:contextualSpacing/>
    </w:pPr>
  </w:style>
  <w:style w:type="character" w:styleId="FollowedHyperlink">
    <w:name w:val="FollowedHyperlink"/>
    <w:basedOn w:val="DefaultParagraphFont"/>
    <w:uiPriority w:val="99"/>
    <w:semiHidden/>
    <w:unhideWhenUsed/>
    <w:rsid w:val="00043A70"/>
    <w:rPr>
      <w:color w:val="954F72" w:themeColor="followedHyperlink"/>
      <w:u w:val="single"/>
    </w:rPr>
  </w:style>
  <w:style w:type="paragraph" w:styleId="Revision">
    <w:name w:val="Revision"/>
    <w:hidden/>
    <w:uiPriority w:val="99"/>
    <w:semiHidden/>
    <w:rsid w:val="00F252EF"/>
    <w:pPr>
      <w:spacing w:after="0" w:line="240" w:lineRule="auto"/>
    </w:pPr>
  </w:style>
  <w:style w:type="paragraph" w:styleId="DocumentMap">
    <w:name w:val="Document Map"/>
    <w:basedOn w:val="Normal"/>
    <w:link w:val="DocumentMapChar"/>
    <w:uiPriority w:val="99"/>
    <w:semiHidden/>
    <w:unhideWhenUsed/>
    <w:rsid w:val="00C80D3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80D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38824">
      <w:bodyDiv w:val="1"/>
      <w:marLeft w:val="0"/>
      <w:marRight w:val="0"/>
      <w:marTop w:val="0"/>
      <w:marBottom w:val="0"/>
      <w:divBdr>
        <w:top w:val="none" w:sz="0" w:space="0" w:color="auto"/>
        <w:left w:val="none" w:sz="0" w:space="0" w:color="auto"/>
        <w:bottom w:val="none" w:sz="0" w:space="0" w:color="auto"/>
        <w:right w:val="none" w:sz="0" w:space="0" w:color="auto"/>
      </w:divBdr>
    </w:div>
    <w:div w:id="153842292">
      <w:bodyDiv w:val="1"/>
      <w:marLeft w:val="0"/>
      <w:marRight w:val="0"/>
      <w:marTop w:val="0"/>
      <w:marBottom w:val="0"/>
      <w:divBdr>
        <w:top w:val="none" w:sz="0" w:space="0" w:color="auto"/>
        <w:left w:val="none" w:sz="0" w:space="0" w:color="auto"/>
        <w:bottom w:val="none" w:sz="0" w:space="0" w:color="auto"/>
        <w:right w:val="none" w:sz="0" w:space="0" w:color="auto"/>
      </w:divBdr>
    </w:div>
    <w:div w:id="852573040">
      <w:bodyDiv w:val="1"/>
      <w:marLeft w:val="0"/>
      <w:marRight w:val="0"/>
      <w:marTop w:val="0"/>
      <w:marBottom w:val="0"/>
      <w:divBdr>
        <w:top w:val="none" w:sz="0" w:space="0" w:color="auto"/>
        <w:left w:val="none" w:sz="0" w:space="0" w:color="auto"/>
        <w:bottom w:val="none" w:sz="0" w:space="0" w:color="auto"/>
        <w:right w:val="none" w:sz="0" w:space="0" w:color="auto"/>
      </w:divBdr>
    </w:div>
    <w:div w:id="1014185099">
      <w:bodyDiv w:val="1"/>
      <w:marLeft w:val="0"/>
      <w:marRight w:val="0"/>
      <w:marTop w:val="0"/>
      <w:marBottom w:val="0"/>
      <w:divBdr>
        <w:top w:val="none" w:sz="0" w:space="0" w:color="auto"/>
        <w:left w:val="none" w:sz="0" w:space="0" w:color="auto"/>
        <w:bottom w:val="none" w:sz="0" w:space="0" w:color="auto"/>
        <w:right w:val="none" w:sz="0" w:space="0" w:color="auto"/>
      </w:divBdr>
      <w:divsChild>
        <w:div w:id="1255019643">
          <w:marLeft w:val="0"/>
          <w:marRight w:val="0"/>
          <w:marTop w:val="0"/>
          <w:marBottom w:val="0"/>
          <w:divBdr>
            <w:top w:val="none" w:sz="0" w:space="0" w:color="auto"/>
            <w:left w:val="none" w:sz="0" w:space="0" w:color="auto"/>
            <w:bottom w:val="none" w:sz="0" w:space="0" w:color="auto"/>
            <w:right w:val="none" w:sz="0" w:space="0" w:color="auto"/>
          </w:divBdr>
          <w:divsChild>
            <w:div w:id="18117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4591">
      <w:bodyDiv w:val="1"/>
      <w:marLeft w:val="0"/>
      <w:marRight w:val="0"/>
      <w:marTop w:val="0"/>
      <w:marBottom w:val="0"/>
      <w:divBdr>
        <w:top w:val="none" w:sz="0" w:space="0" w:color="auto"/>
        <w:left w:val="none" w:sz="0" w:space="0" w:color="auto"/>
        <w:bottom w:val="none" w:sz="0" w:space="0" w:color="auto"/>
        <w:right w:val="none" w:sz="0" w:space="0" w:color="auto"/>
      </w:divBdr>
    </w:div>
    <w:div w:id="189130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Users/Marika/Library/Containers/com.apple.mail/Data/Library/Mail%20Downloads/5CCD5B83-6FC5-42C1-B853-8571B8FC2837/FR_Concept%20Note_final%20for%20website.docx" TargetMode="External"/><Relationship Id="rId14" Type="http://schemas.openxmlformats.org/officeDocument/2006/relationships/image" Target="media/image4.tif"/></Relationships>
</file>

<file path=word/_rels/footnotes.xml.rels><?xml version="1.0" encoding="UTF-8" standalone="yes"?>
<Relationships xmlns="http://schemas.openxmlformats.org/package/2006/relationships"><Relationship Id="rId3" Type="http://schemas.openxmlformats.org/officeDocument/2006/relationships/hyperlink" Target="https://vcf-uk.org/census-suggests-11-increase-in-cases-of-child-abuse-linked-to-faith-or-belief/" TargetMode="External"/><Relationship Id="rId2" Type="http://schemas.openxmlformats.org/officeDocument/2006/relationships/hyperlink" Target="http://srsg.violenceagainstchildren.org/page/850" TargetMode="External"/><Relationship Id="rId1" Type="http://schemas.openxmlformats.org/officeDocument/2006/relationships/hyperlink" Target="HTTPS://WWW.THEGUARDIAN.COM/UK-NEWS/2014/OCT/08/CHILD-WITCHCRAFT-CLAIMS-HIDDEN-CRIME-MET-POLICE-UNDER-REPORTED" TargetMode="External"/><Relationship Id="rId5" Type="http://schemas.openxmlformats.org/officeDocument/2006/relationships/hyperlink" Target="https://www.polity.org.za/article/when-the-occult-meets-the-criminal-the-connection-between-human-trafficking-and-witchcraft-2012-11-16" TargetMode="External"/><Relationship Id="rId4" Type="http://schemas.openxmlformats.org/officeDocument/2006/relationships/hyperlink" Target="https://actiononalbinism.org/page/xgr7osblfukwn9ghmwj98ux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7BBDE1-5002-4CBC-AF80-3EE54427B931}">
  <ds:schemaRefs>
    <ds:schemaRef ds:uri="http://schemas.openxmlformats.org/officeDocument/2006/bibliography"/>
  </ds:schemaRefs>
</ds:datastoreItem>
</file>

<file path=customXml/itemProps2.xml><?xml version="1.0" encoding="utf-8"?>
<ds:datastoreItem xmlns:ds="http://schemas.openxmlformats.org/officeDocument/2006/customXml" ds:itemID="{6D2695BE-E463-49D4-BD77-692F731931F1}"/>
</file>

<file path=customXml/itemProps3.xml><?xml version="1.0" encoding="utf-8"?>
<ds:datastoreItem xmlns:ds="http://schemas.openxmlformats.org/officeDocument/2006/customXml" ds:itemID="{FE858CDA-CCBA-41CD-9910-B3C726DCC7A0}"/>
</file>

<file path=customXml/itemProps4.xml><?xml version="1.0" encoding="utf-8"?>
<ds:datastoreItem xmlns:ds="http://schemas.openxmlformats.org/officeDocument/2006/customXml" ds:itemID="{54F22F56-3FEF-418D-8951-4699A7A32411}"/>
</file>

<file path=docProps/app.xml><?xml version="1.0" encoding="utf-8"?>
<Properties xmlns="http://schemas.openxmlformats.org/officeDocument/2006/extended-properties" xmlns:vt="http://schemas.openxmlformats.org/officeDocument/2006/docPropsVTypes">
  <Template>Normal.dotm</Template>
  <TotalTime>11</TotalTime>
  <Pages>16</Pages>
  <Words>3128</Words>
  <Characters>17830</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dc:creator>
  <cp:keywords/>
  <dc:description/>
  <cp:lastModifiedBy>TAUTAKITAKI Jolene</cp:lastModifiedBy>
  <cp:revision>4</cp:revision>
  <cp:lastPrinted>2020-03-03T09:17:00Z</cp:lastPrinted>
  <dcterms:created xsi:type="dcterms:W3CDTF">2021-07-22T10:39:00Z</dcterms:created>
  <dcterms:modified xsi:type="dcterms:W3CDTF">2021-07-23T11:00:00Z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