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5F5BA" w14:textId="77777777" w:rsidR="008A590C" w:rsidRDefault="008A590C" w:rsidP="008A59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A590C">
        <w:rPr>
          <w:rFonts w:ascii="Arial" w:hAnsi="Arial" w:cs="Arial"/>
          <w:sz w:val="24"/>
          <w:szCs w:val="24"/>
        </w:rPr>
        <w:t>Le 6 février 2020</w:t>
      </w:r>
    </w:p>
    <w:p w14:paraId="14F09360" w14:textId="77777777" w:rsidR="009250A5" w:rsidRPr="008A590C" w:rsidRDefault="009250A5" w:rsidP="008A59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Alfonso de Salas</w:t>
      </w:r>
    </w:p>
    <w:p w14:paraId="6C528331" w14:textId="77777777" w:rsidR="008A590C" w:rsidRDefault="008A590C" w:rsidP="008A59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7FED48" w14:textId="77777777" w:rsidR="008A590C" w:rsidRDefault="008A590C" w:rsidP="00925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Eléments pour la </w:t>
      </w:r>
      <w:r w:rsidR="009250A5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ontribution de la DGI</w:t>
      </w:r>
    </w:p>
    <w:p w14:paraId="2ABEAE03" w14:textId="77777777" w:rsidR="009250A5" w:rsidRDefault="008A590C" w:rsidP="00925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à la préparation</w:t>
      </w:r>
      <w:r w:rsidR="009250A5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250A5">
        <w:rPr>
          <w:rFonts w:ascii="Arial" w:hAnsi="Arial" w:cs="Arial"/>
          <w:b/>
          <w:bCs/>
          <w:sz w:val="24"/>
          <w:szCs w:val="24"/>
        </w:rPr>
        <w:t xml:space="preserve">au sein du HCDH, du rapport </w:t>
      </w:r>
    </w:p>
    <w:p w14:paraId="70266E2C" w14:textId="77777777" w:rsidR="009250A5" w:rsidRDefault="008A590C" w:rsidP="00925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 </w:t>
      </w:r>
      <w:r w:rsidRPr="008A590C">
        <w:rPr>
          <w:rFonts w:ascii="Arial" w:hAnsi="Arial" w:cs="Arial"/>
          <w:b/>
          <w:bCs/>
          <w:i/>
          <w:iCs/>
          <w:sz w:val="24"/>
          <w:szCs w:val="24"/>
        </w:rPr>
        <w:t xml:space="preserve">Lier l’agenda des entreprises et des droits de l’homme </w:t>
      </w:r>
    </w:p>
    <w:p w14:paraId="0D5D79F6" w14:textId="77777777" w:rsidR="008A590C" w:rsidRDefault="008A590C" w:rsidP="00925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590C">
        <w:rPr>
          <w:rFonts w:ascii="Arial" w:hAnsi="Arial" w:cs="Arial"/>
          <w:b/>
          <w:bCs/>
          <w:i/>
          <w:iCs/>
          <w:sz w:val="24"/>
          <w:szCs w:val="24"/>
        </w:rPr>
        <w:t>à la lutte contre la corruption</w:t>
      </w:r>
      <w:r>
        <w:rPr>
          <w:rFonts w:ascii="Arial" w:hAnsi="Arial" w:cs="Arial"/>
          <w:b/>
          <w:bCs/>
          <w:sz w:val="24"/>
          <w:szCs w:val="24"/>
        </w:rPr>
        <w:t xml:space="preserve"> » </w:t>
      </w:r>
    </w:p>
    <w:p w14:paraId="561C7C1A" w14:textId="77777777" w:rsidR="008A590C" w:rsidRDefault="008A590C" w:rsidP="009250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D1D1F5" w14:textId="77777777" w:rsidR="009250A5" w:rsidRPr="009250A5" w:rsidRDefault="008A590C" w:rsidP="009250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0A5">
        <w:rPr>
          <w:rFonts w:ascii="Arial" w:hAnsi="Arial" w:cs="Arial"/>
          <w:sz w:val="24"/>
          <w:szCs w:val="24"/>
        </w:rPr>
        <w:t xml:space="preserve">L’impact que la corruption peut avoir </w:t>
      </w:r>
      <w:r w:rsidR="009250A5" w:rsidRPr="009250A5">
        <w:rPr>
          <w:rFonts w:ascii="Arial" w:hAnsi="Arial" w:cs="Arial"/>
          <w:sz w:val="24"/>
          <w:szCs w:val="24"/>
        </w:rPr>
        <w:t xml:space="preserve">en tant que </w:t>
      </w:r>
      <w:r w:rsidRPr="009250A5">
        <w:rPr>
          <w:rFonts w:ascii="Arial" w:hAnsi="Arial" w:cs="Arial"/>
          <w:sz w:val="24"/>
          <w:szCs w:val="24"/>
        </w:rPr>
        <w:t xml:space="preserve">cause de violation des droits de l’homme par les </w:t>
      </w:r>
      <w:r w:rsidR="009250A5" w:rsidRPr="009250A5">
        <w:rPr>
          <w:rFonts w:ascii="Arial" w:hAnsi="Arial" w:cs="Arial"/>
          <w:sz w:val="24"/>
          <w:szCs w:val="24"/>
        </w:rPr>
        <w:t xml:space="preserve">entreprises </w:t>
      </w:r>
      <w:r w:rsidRPr="009250A5">
        <w:rPr>
          <w:rFonts w:ascii="Arial" w:hAnsi="Arial" w:cs="Arial"/>
          <w:sz w:val="24"/>
          <w:szCs w:val="24"/>
        </w:rPr>
        <w:t xml:space="preserve">a été pris en compte dans les </w:t>
      </w:r>
      <w:r w:rsidR="009250A5" w:rsidRPr="009250A5">
        <w:rPr>
          <w:rFonts w:ascii="Arial" w:hAnsi="Arial" w:cs="Arial"/>
          <w:sz w:val="24"/>
          <w:szCs w:val="24"/>
        </w:rPr>
        <w:t>travaux</w:t>
      </w:r>
      <w:r w:rsidRPr="009250A5">
        <w:rPr>
          <w:rFonts w:ascii="Arial" w:hAnsi="Arial" w:cs="Arial"/>
          <w:sz w:val="24"/>
          <w:szCs w:val="24"/>
        </w:rPr>
        <w:t xml:space="preserve"> intergouvernementaux du Conseil de l’Europe menés </w:t>
      </w:r>
      <w:r w:rsidR="009250A5" w:rsidRPr="009250A5">
        <w:rPr>
          <w:rFonts w:ascii="Arial" w:hAnsi="Arial" w:cs="Arial"/>
          <w:sz w:val="24"/>
          <w:szCs w:val="24"/>
        </w:rPr>
        <w:t xml:space="preserve">en 2014 et 2015 sur la question plus générale de la responsabilité sociale des entreprises. </w:t>
      </w:r>
    </w:p>
    <w:p w14:paraId="157055AF" w14:textId="77777777" w:rsidR="009250A5" w:rsidRDefault="009250A5" w:rsidP="008A59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93DE76" w14:textId="77777777" w:rsidR="009250A5" w:rsidRDefault="009250A5" w:rsidP="008A590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50A5">
        <w:rPr>
          <w:rFonts w:ascii="Arial" w:hAnsi="Arial" w:cs="Arial"/>
          <w:sz w:val="24"/>
          <w:szCs w:val="24"/>
        </w:rPr>
        <w:t xml:space="preserve">Ces travaux ont abouti à l’adoption de la </w:t>
      </w:r>
      <w:r w:rsidR="008A590C" w:rsidRPr="009250A5">
        <w:rPr>
          <w:rFonts w:ascii="Arial" w:hAnsi="Arial" w:cs="Arial"/>
          <w:sz w:val="24"/>
          <w:szCs w:val="24"/>
        </w:rPr>
        <w:t>Recommandation CM/Rec(2016)3 du Comité des Ministres</w:t>
      </w:r>
      <w:r>
        <w:rPr>
          <w:rFonts w:ascii="Arial" w:hAnsi="Arial" w:cs="Arial"/>
          <w:sz w:val="24"/>
          <w:szCs w:val="24"/>
        </w:rPr>
        <w:t xml:space="preserve"> </w:t>
      </w:r>
      <w:r w:rsidR="008A590C" w:rsidRPr="009250A5">
        <w:rPr>
          <w:rFonts w:ascii="Arial" w:hAnsi="Arial" w:cs="Arial"/>
          <w:sz w:val="24"/>
          <w:szCs w:val="24"/>
        </w:rPr>
        <w:t>aux Etats membres sur les droits de l’homme</w:t>
      </w:r>
      <w:r w:rsidRPr="009250A5">
        <w:rPr>
          <w:rFonts w:ascii="Arial" w:hAnsi="Arial" w:cs="Arial"/>
          <w:sz w:val="24"/>
          <w:szCs w:val="24"/>
        </w:rPr>
        <w:t xml:space="preserve"> </w:t>
      </w:r>
      <w:r w:rsidR="008A590C" w:rsidRPr="009250A5">
        <w:rPr>
          <w:rFonts w:ascii="Arial" w:hAnsi="Arial" w:cs="Arial"/>
          <w:sz w:val="24"/>
          <w:szCs w:val="24"/>
        </w:rPr>
        <w:t>et les entreprises</w:t>
      </w:r>
      <w:r>
        <w:rPr>
          <w:rFonts w:ascii="Arial" w:hAnsi="Arial" w:cs="Arial"/>
          <w:sz w:val="24"/>
          <w:szCs w:val="24"/>
        </w:rPr>
        <w:t xml:space="preserve"> (2 mars 2016). L’annexe à cet instrument contient une disposition spécifique portant sur la « responsabilité pénale ou équivalente pour les violations des droits de l’homme causées par les entreprises » dans laquelle il est signalé que :</w:t>
      </w:r>
    </w:p>
    <w:p w14:paraId="70CA1E12" w14:textId="77777777" w:rsidR="009250A5" w:rsidRPr="009250A5" w:rsidRDefault="009250A5" w:rsidP="009250A5">
      <w:pPr>
        <w:pStyle w:val="ListParagraph"/>
        <w:rPr>
          <w:rFonts w:ascii="Arial" w:hAnsi="Arial" w:cs="Arial"/>
          <w:sz w:val="24"/>
          <w:szCs w:val="24"/>
        </w:rPr>
      </w:pPr>
    </w:p>
    <w:p w14:paraId="14F08424" w14:textId="77777777" w:rsidR="008A590C" w:rsidRPr="008A590C" w:rsidRDefault="009F6854" w:rsidP="009250A5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 </w:t>
      </w:r>
      <w:r w:rsidR="008A590C" w:rsidRPr="008A590C">
        <w:rPr>
          <w:rFonts w:ascii="Arial" w:hAnsi="Arial" w:cs="Arial"/>
          <w:color w:val="000000"/>
          <w:sz w:val="24"/>
          <w:szCs w:val="24"/>
        </w:rPr>
        <w:t>44. Les Etats membres devraient examiner la possibilité d’appliquer</w:t>
      </w:r>
    </w:p>
    <w:p w14:paraId="6A0A0642" w14:textId="77777777" w:rsidR="009F6854" w:rsidRDefault="008A590C" w:rsidP="009F6854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 w:rsidRPr="008A590C">
        <w:rPr>
          <w:rFonts w:ascii="Arial" w:hAnsi="Arial" w:cs="Arial"/>
          <w:color w:val="000000"/>
          <w:sz w:val="24"/>
          <w:szCs w:val="24"/>
        </w:rPr>
        <w:t>les mesures législatives et autres mesures nécessaires pour</w:t>
      </w:r>
      <w:r w:rsidR="009250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>s’assurer que les entreprises peuvent être tenues responsables</w:t>
      </w:r>
      <w:r w:rsidR="009250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>en vertu de leur droit pénal ou de tout autre droit équivalent</w:t>
      </w:r>
      <w:r w:rsidR="009250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 xml:space="preserve">pour </w:t>
      </w:r>
      <w:r w:rsidR="009250A5">
        <w:rPr>
          <w:rFonts w:ascii="Arial" w:hAnsi="Arial" w:cs="Arial"/>
          <w:color w:val="000000"/>
          <w:sz w:val="24"/>
          <w:szCs w:val="24"/>
        </w:rPr>
        <w:t>[…]</w:t>
      </w:r>
      <w:r w:rsidR="009F68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>les infractions établies conformément à des traités tels</w:t>
      </w:r>
      <w:r w:rsidR="009F68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 xml:space="preserve">que la Convention pénale sur la corruption (STE no 173), </w:t>
      </w:r>
      <w:r w:rsidR="009F6854">
        <w:rPr>
          <w:rFonts w:ascii="Arial" w:hAnsi="Arial" w:cs="Arial"/>
          <w:color w:val="000000"/>
          <w:sz w:val="24"/>
          <w:szCs w:val="24"/>
        </w:rPr>
        <w:t xml:space="preserve">[…], </w:t>
      </w:r>
      <w:r w:rsidRPr="008A590C">
        <w:rPr>
          <w:rFonts w:ascii="Arial" w:hAnsi="Arial" w:cs="Arial"/>
          <w:color w:val="000000"/>
          <w:sz w:val="24"/>
          <w:szCs w:val="24"/>
        </w:rPr>
        <w:t>la</w:t>
      </w:r>
      <w:r w:rsidR="009F68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>Convention des Nations Unies contre la corruption,</w:t>
      </w:r>
      <w:r w:rsidR="009F68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A590C">
        <w:rPr>
          <w:rFonts w:ascii="Arial" w:hAnsi="Arial" w:cs="Arial"/>
          <w:color w:val="000000"/>
          <w:sz w:val="24"/>
          <w:szCs w:val="24"/>
        </w:rPr>
        <w:t xml:space="preserve">du 31 octobre 2003 </w:t>
      </w:r>
      <w:r w:rsidR="009F6854">
        <w:rPr>
          <w:rFonts w:ascii="Arial" w:hAnsi="Arial" w:cs="Arial"/>
          <w:color w:val="000000"/>
          <w:sz w:val="24"/>
          <w:szCs w:val="24"/>
        </w:rPr>
        <w:t>[…]. »</w:t>
      </w:r>
    </w:p>
    <w:p w14:paraId="1D9F0020" w14:textId="77777777" w:rsidR="009F6854" w:rsidRDefault="009F6854" w:rsidP="009F68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7D47F8C" w14:textId="303DC197" w:rsidR="00C615A1" w:rsidRDefault="009F6854" w:rsidP="00C61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Ainsi, dans cet instrument qui porte spécifiquement sur les droits de l’homme et les entreprises, </w:t>
      </w:r>
      <w:r w:rsidR="00931392">
        <w:rPr>
          <w:rFonts w:ascii="Arial" w:hAnsi="Arial" w:cs="Arial"/>
          <w:color w:val="000000"/>
          <w:sz w:val="24"/>
          <w:szCs w:val="24"/>
        </w:rPr>
        <w:t>l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es 47 Etats membres de l’Organisation ont été invités à se pencher sur la responsabilité pénale des entreprises qui</w:t>
      </w:r>
      <w:r w:rsidR="00C615A1">
        <w:rPr>
          <w:rFonts w:ascii="Arial" w:hAnsi="Arial" w:cs="Arial"/>
          <w:color w:val="000000"/>
          <w:sz w:val="24"/>
          <w:szCs w:val="24"/>
        </w:rPr>
        <w:t>, du fait d’avoir en</w:t>
      </w:r>
      <w:r>
        <w:rPr>
          <w:rFonts w:ascii="Arial" w:hAnsi="Arial" w:cs="Arial"/>
          <w:color w:val="000000"/>
          <w:sz w:val="24"/>
          <w:szCs w:val="24"/>
        </w:rPr>
        <w:t>frein</w:t>
      </w:r>
      <w:r w:rsidR="00C615A1"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615A1">
        <w:rPr>
          <w:rFonts w:ascii="Arial" w:hAnsi="Arial" w:cs="Arial"/>
          <w:color w:val="000000"/>
          <w:sz w:val="24"/>
          <w:szCs w:val="24"/>
        </w:rPr>
        <w:t>des normes prévues dans l</w:t>
      </w:r>
      <w:r>
        <w:rPr>
          <w:rFonts w:ascii="Arial" w:hAnsi="Arial" w:cs="Arial"/>
          <w:color w:val="000000"/>
          <w:sz w:val="24"/>
          <w:szCs w:val="24"/>
        </w:rPr>
        <w:t>es conventions internationales sur la corruption</w:t>
      </w:r>
      <w:r w:rsidR="00C615A1">
        <w:rPr>
          <w:rFonts w:ascii="Arial" w:hAnsi="Arial" w:cs="Arial"/>
          <w:color w:val="000000"/>
          <w:sz w:val="24"/>
          <w:szCs w:val="24"/>
        </w:rPr>
        <w:t xml:space="preserve">, ont commis des </w:t>
      </w:r>
      <w:r>
        <w:rPr>
          <w:rFonts w:ascii="Arial" w:hAnsi="Arial" w:cs="Arial"/>
          <w:color w:val="000000"/>
          <w:sz w:val="24"/>
          <w:szCs w:val="24"/>
        </w:rPr>
        <w:t>infractions constituant des violations graves des droits de l’homme</w:t>
      </w:r>
      <w:r w:rsidR="00C615A1">
        <w:rPr>
          <w:rFonts w:ascii="Arial" w:hAnsi="Arial" w:cs="Arial"/>
          <w:color w:val="000000"/>
          <w:sz w:val="24"/>
          <w:szCs w:val="24"/>
        </w:rPr>
        <w:t>.</w:t>
      </w:r>
    </w:p>
    <w:p w14:paraId="2E2E1958" w14:textId="77777777" w:rsidR="00C615A1" w:rsidRDefault="00C615A1" w:rsidP="00C615A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8F05A2" w14:textId="77777777" w:rsidR="00C615A1" w:rsidRPr="00C615A1" w:rsidRDefault="00C615A1" w:rsidP="00C61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615A1">
        <w:rPr>
          <w:rFonts w:ascii="Arial" w:hAnsi="Arial" w:cs="Arial"/>
          <w:color w:val="000000"/>
          <w:sz w:val="24"/>
          <w:szCs w:val="24"/>
        </w:rPr>
        <w:t xml:space="preserve">Le Conseil de ‘l’Europe a mis en place une Plateforme numérique </w:t>
      </w:r>
      <w:r>
        <w:rPr>
          <w:rFonts w:ascii="Arial" w:hAnsi="Arial" w:cs="Arial"/>
          <w:color w:val="000000"/>
          <w:sz w:val="24"/>
          <w:szCs w:val="24"/>
        </w:rPr>
        <w:t xml:space="preserve">qui permet aux </w:t>
      </w:r>
      <w:r w:rsidRPr="00C615A1">
        <w:rPr>
          <w:rFonts w:ascii="Arial" w:hAnsi="Arial" w:cs="Arial"/>
          <w:color w:val="000000"/>
          <w:sz w:val="24"/>
          <w:szCs w:val="24"/>
        </w:rPr>
        <w:t xml:space="preserve">Etats membres </w:t>
      </w:r>
      <w:r>
        <w:rPr>
          <w:rFonts w:ascii="Arial" w:hAnsi="Arial" w:cs="Arial"/>
          <w:color w:val="000000"/>
          <w:sz w:val="24"/>
          <w:szCs w:val="24"/>
        </w:rPr>
        <w:t>de p</w:t>
      </w:r>
      <w:r w:rsidRPr="00C615A1">
        <w:rPr>
          <w:rFonts w:ascii="Arial" w:hAnsi="Arial" w:cs="Arial"/>
          <w:color w:val="000000"/>
          <w:sz w:val="24"/>
          <w:szCs w:val="24"/>
        </w:rPr>
        <w:t xml:space="preserve">artager leur expérience dans la mise en œuvre de la Recommandation </w:t>
      </w:r>
      <w:r w:rsidRPr="00C615A1">
        <w:rPr>
          <w:rFonts w:ascii="Arial" w:hAnsi="Arial" w:cs="Arial"/>
          <w:sz w:val="24"/>
          <w:szCs w:val="24"/>
        </w:rPr>
        <w:t>CM/Rec(2016)3</w:t>
      </w:r>
      <w:r>
        <w:rPr>
          <w:rFonts w:ascii="Arial" w:hAnsi="Arial" w:cs="Arial"/>
          <w:sz w:val="24"/>
          <w:szCs w:val="24"/>
        </w:rPr>
        <w:t xml:space="preserve"> précitée</w:t>
      </w:r>
      <w:r w:rsidRPr="00C615A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Dans ce cadre, un accent particulier pourrait être mis à l’avenir sur le sujet spécifique </w:t>
      </w:r>
      <w:r w:rsidRPr="00C615A1">
        <w:rPr>
          <w:rFonts w:ascii="Arial" w:hAnsi="Arial" w:cs="Arial"/>
          <w:sz w:val="24"/>
          <w:szCs w:val="24"/>
        </w:rPr>
        <w:t>« lier l’agenda des entreprises et des droits de l’homme à la lutte contre la corruption »</w:t>
      </w:r>
      <w:r>
        <w:rPr>
          <w:rFonts w:ascii="Arial" w:hAnsi="Arial" w:cs="Arial"/>
          <w:sz w:val="24"/>
          <w:szCs w:val="24"/>
        </w:rPr>
        <w:t>.</w:t>
      </w:r>
    </w:p>
    <w:p w14:paraId="3ED7E853" w14:textId="77777777" w:rsidR="00C615A1" w:rsidRPr="00C615A1" w:rsidRDefault="00C615A1" w:rsidP="00C615A1">
      <w:pPr>
        <w:pStyle w:val="ListParagraph"/>
        <w:rPr>
          <w:rFonts w:ascii="Arial" w:hAnsi="Arial" w:cs="Arial"/>
          <w:sz w:val="24"/>
          <w:szCs w:val="24"/>
        </w:rPr>
      </w:pPr>
    </w:p>
    <w:p w14:paraId="7BF89523" w14:textId="77777777" w:rsidR="008A590C" w:rsidRPr="00C615A1" w:rsidRDefault="00C615A1" w:rsidP="00C615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15A1">
        <w:rPr>
          <w:rFonts w:ascii="Arial" w:hAnsi="Arial" w:cs="Arial"/>
          <w:sz w:val="24"/>
          <w:szCs w:val="24"/>
        </w:rPr>
        <w:t xml:space="preserve">Il est rappelé que les travaux du Conseil de l’Europe en matière de droits de l’homme et entreprises s’inscrivent pleinement dans le </w:t>
      </w:r>
      <w:r w:rsidR="008A590C" w:rsidRPr="00C615A1">
        <w:rPr>
          <w:rFonts w:ascii="Arial" w:hAnsi="Arial" w:cs="Arial"/>
          <w:sz w:val="24"/>
          <w:szCs w:val="24"/>
        </w:rPr>
        <w:t>Cadre de référence « protéger, respecter et réparer » des</w:t>
      </w:r>
      <w:r w:rsidRPr="00C615A1">
        <w:rPr>
          <w:rFonts w:ascii="Arial" w:hAnsi="Arial" w:cs="Arial"/>
          <w:sz w:val="24"/>
          <w:szCs w:val="24"/>
        </w:rPr>
        <w:t xml:space="preserve"> </w:t>
      </w:r>
      <w:r w:rsidR="008A590C" w:rsidRPr="00C615A1">
        <w:rPr>
          <w:rFonts w:ascii="Arial" w:hAnsi="Arial" w:cs="Arial"/>
          <w:sz w:val="24"/>
          <w:szCs w:val="24"/>
        </w:rPr>
        <w:t>Nations Unies, salué le 18 juin 2008 par le Conseil des droits de</w:t>
      </w:r>
      <w:r w:rsidRPr="00C615A1">
        <w:rPr>
          <w:rFonts w:ascii="Arial" w:hAnsi="Arial" w:cs="Arial"/>
          <w:sz w:val="24"/>
          <w:szCs w:val="24"/>
        </w:rPr>
        <w:t xml:space="preserve"> </w:t>
      </w:r>
      <w:r w:rsidR="008A590C" w:rsidRPr="00C615A1">
        <w:rPr>
          <w:rFonts w:ascii="Arial" w:hAnsi="Arial" w:cs="Arial"/>
          <w:sz w:val="24"/>
          <w:szCs w:val="24"/>
        </w:rPr>
        <w:t>l’homme des Nations Unies, et les « Principes directeurs relatifs aux</w:t>
      </w:r>
      <w:r w:rsidRPr="00C615A1">
        <w:rPr>
          <w:rFonts w:ascii="Arial" w:hAnsi="Arial" w:cs="Arial"/>
          <w:sz w:val="24"/>
          <w:szCs w:val="24"/>
        </w:rPr>
        <w:t xml:space="preserve"> </w:t>
      </w:r>
      <w:r w:rsidR="008A590C" w:rsidRPr="00C615A1">
        <w:rPr>
          <w:rFonts w:ascii="Arial" w:hAnsi="Arial" w:cs="Arial"/>
          <w:sz w:val="24"/>
          <w:szCs w:val="24"/>
        </w:rPr>
        <w:t>entreprises et aux droits de l’homme : mise en oeuvre du cadre de référence</w:t>
      </w:r>
      <w:r w:rsidRPr="00C615A1">
        <w:rPr>
          <w:rFonts w:ascii="Arial" w:hAnsi="Arial" w:cs="Arial"/>
          <w:sz w:val="24"/>
          <w:szCs w:val="24"/>
        </w:rPr>
        <w:t xml:space="preserve">  </w:t>
      </w:r>
      <w:r w:rsidR="008A590C" w:rsidRPr="00C615A1">
        <w:rPr>
          <w:rFonts w:ascii="Arial" w:hAnsi="Arial" w:cs="Arial"/>
          <w:sz w:val="24"/>
          <w:szCs w:val="24"/>
        </w:rPr>
        <w:t>« protéger, respecter et réparer » des Nations Unies », approuvés</w:t>
      </w:r>
    </w:p>
    <w:p w14:paraId="0A7E4984" w14:textId="77777777" w:rsidR="008A590C" w:rsidRPr="008A590C" w:rsidRDefault="008A590C" w:rsidP="00C615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A590C">
        <w:rPr>
          <w:rFonts w:ascii="Arial" w:hAnsi="Arial" w:cs="Arial"/>
          <w:sz w:val="24"/>
          <w:szCs w:val="24"/>
        </w:rPr>
        <w:t>le 16 juin 2011 par le Conseil des droits de l’homme des Nations Unies</w:t>
      </w:r>
      <w:r w:rsidR="00C615A1">
        <w:rPr>
          <w:rFonts w:ascii="Arial" w:hAnsi="Arial" w:cs="Arial"/>
          <w:sz w:val="24"/>
          <w:szCs w:val="24"/>
        </w:rPr>
        <w:t xml:space="preserve"> </w:t>
      </w:r>
      <w:r w:rsidRPr="008A590C">
        <w:rPr>
          <w:rFonts w:ascii="Arial" w:hAnsi="Arial" w:cs="Arial"/>
          <w:sz w:val="24"/>
          <w:szCs w:val="24"/>
        </w:rPr>
        <w:t>(« Principes directeurs des Nations Unies relatifs aux entreprises et aux</w:t>
      </w:r>
      <w:r w:rsidR="00C615A1">
        <w:rPr>
          <w:rFonts w:ascii="Arial" w:hAnsi="Arial" w:cs="Arial"/>
          <w:sz w:val="24"/>
          <w:szCs w:val="24"/>
        </w:rPr>
        <w:t xml:space="preserve"> </w:t>
      </w:r>
      <w:r w:rsidRPr="008A590C">
        <w:rPr>
          <w:rFonts w:ascii="Arial" w:hAnsi="Arial" w:cs="Arial"/>
          <w:sz w:val="24"/>
          <w:szCs w:val="24"/>
        </w:rPr>
        <w:t>droits de l’homme »)</w:t>
      </w:r>
      <w:r w:rsidR="00C615A1">
        <w:rPr>
          <w:rFonts w:ascii="Arial" w:hAnsi="Arial" w:cs="Arial"/>
          <w:sz w:val="24"/>
          <w:szCs w:val="24"/>
        </w:rPr>
        <w:t>.</w:t>
      </w:r>
      <w:r w:rsidRPr="008A590C">
        <w:rPr>
          <w:rFonts w:ascii="Arial" w:hAnsi="Arial" w:cs="Arial"/>
          <w:sz w:val="24"/>
          <w:szCs w:val="24"/>
        </w:rPr>
        <w:t xml:space="preserve"> </w:t>
      </w:r>
    </w:p>
    <w:sectPr w:rsidR="008A590C" w:rsidRPr="008A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11B2"/>
    <w:multiLevelType w:val="hybridMultilevel"/>
    <w:tmpl w:val="6B9219EE"/>
    <w:lvl w:ilvl="0" w:tplc="C660D6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C"/>
    <w:rsid w:val="008A590C"/>
    <w:rsid w:val="009250A5"/>
    <w:rsid w:val="00931392"/>
    <w:rsid w:val="009F6854"/>
    <w:rsid w:val="00A25530"/>
    <w:rsid w:val="00A804E5"/>
    <w:rsid w:val="00BC4DD1"/>
    <w:rsid w:val="00C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8E9"/>
  <w15:chartTrackingRefBased/>
  <w15:docId w15:val="{F9E622B8-5D3E-4042-98CA-BFBBA623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915DB-A057-4551-90F2-BA2430E445BB}"/>
</file>

<file path=customXml/itemProps2.xml><?xml version="1.0" encoding="utf-8"?>
<ds:datastoreItem xmlns:ds="http://schemas.openxmlformats.org/officeDocument/2006/customXml" ds:itemID="{ABB2E0F0-1E55-408A-9D49-A23ED56F26F3}"/>
</file>

<file path=customXml/itemProps3.xml><?xml version="1.0" encoding="utf-8"?>
<ds:datastoreItem xmlns:ds="http://schemas.openxmlformats.org/officeDocument/2006/customXml" ds:itemID="{6F847102-2A1A-4050-8FD0-D0EA7DDF84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SALAS Alfonso</dc:creator>
  <cp:keywords/>
  <dc:description/>
  <cp:lastModifiedBy>CLAUS Jean</cp:lastModifiedBy>
  <cp:revision>2</cp:revision>
  <dcterms:created xsi:type="dcterms:W3CDTF">2020-02-07T14:39:00Z</dcterms:created>
  <dcterms:modified xsi:type="dcterms:W3CDTF">2020-02-07T14:39:00Z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