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18E15" w14:textId="52FE04B8" w:rsidR="00C0270E" w:rsidRDefault="00834A97" w:rsidP="00695750">
      <w:pPr>
        <w:jc w:val="center"/>
        <w:rPr>
          <w:rFonts w:ascii="Times New Roman" w:hAnsi="Times New Roman" w:cs="Times New Roman"/>
          <w:b/>
          <w:sz w:val="24"/>
          <w:lang w:val="en-US"/>
        </w:rPr>
      </w:pPr>
      <w:bookmarkStart w:id="0" w:name="_GoBack"/>
      <w:bookmarkEnd w:id="0"/>
      <w:r w:rsidRPr="00FB4C8E">
        <w:rPr>
          <w:rFonts w:ascii="Times New Roman" w:hAnsi="Times New Roman"/>
          <w:noProof/>
          <w:sz w:val="14"/>
          <w:lang w:eastAsia="en-GB"/>
        </w:rPr>
        <w:drawing>
          <wp:anchor distT="0" distB="0" distL="114300" distR="114300" simplePos="0" relativeHeight="251661312" behindDoc="0" locked="0" layoutInCell="1" allowOverlap="1" wp14:anchorId="7607EE04" wp14:editId="599DE0C0">
            <wp:simplePos x="0" y="0"/>
            <wp:positionH relativeFrom="margin">
              <wp:align>right</wp:align>
            </wp:positionH>
            <wp:positionV relativeFrom="paragraph">
              <wp:posOffset>-419735</wp:posOffset>
            </wp:positionV>
            <wp:extent cx="2464435" cy="450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00960D90">
        <w:rPr>
          <w:noProof/>
          <w:lang w:eastAsia="en-GB"/>
        </w:rPr>
        <w:drawing>
          <wp:anchor distT="0" distB="0" distL="114300" distR="114300" simplePos="0" relativeHeight="251659264" behindDoc="0" locked="0" layoutInCell="1" allowOverlap="1" wp14:anchorId="5BE9B670" wp14:editId="4BC05896">
            <wp:simplePos x="0" y="0"/>
            <wp:positionH relativeFrom="margin">
              <wp:align>left</wp:align>
            </wp:positionH>
            <wp:positionV relativeFrom="paragraph">
              <wp:posOffset>-476885</wp:posOffset>
            </wp:positionV>
            <wp:extent cx="1205036" cy="628650"/>
            <wp:effectExtent l="0" t="0" r="0" b="0"/>
            <wp:wrapNone/>
            <wp:docPr id="1" name="Picture 1" descr="C:\Users\Miguel\Desktop\HRBDT Logo black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Desktop\HRBDT Logo black and whi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036"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5AD087" w14:textId="77777777" w:rsidR="00C0270E" w:rsidRDefault="00C0270E" w:rsidP="00695750">
      <w:pPr>
        <w:jc w:val="center"/>
        <w:rPr>
          <w:rFonts w:ascii="Times New Roman" w:hAnsi="Times New Roman" w:cs="Times New Roman"/>
          <w:b/>
          <w:sz w:val="24"/>
          <w:lang w:val="en-US"/>
        </w:rPr>
      </w:pPr>
    </w:p>
    <w:p w14:paraId="46CDA97D" w14:textId="77777777" w:rsidR="00FC51A3" w:rsidRPr="00D521B5" w:rsidRDefault="00FC51A3" w:rsidP="00FC51A3">
      <w:pPr>
        <w:rPr>
          <w:b/>
        </w:rPr>
      </w:pPr>
    </w:p>
    <w:p w14:paraId="5D363370" w14:textId="426A4E70" w:rsidR="00FC51A3" w:rsidRPr="00386A42" w:rsidRDefault="00FC51A3" w:rsidP="00834A97">
      <w:pPr>
        <w:jc w:val="both"/>
        <w:rPr>
          <w:rFonts w:ascii="Times New Roman" w:hAnsi="Times New Roman" w:cs="Times New Roman"/>
          <w:b/>
        </w:rPr>
      </w:pPr>
      <w:r w:rsidRPr="00386A42">
        <w:rPr>
          <w:rFonts w:ascii="Times New Roman" w:hAnsi="Times New Roman" w:cs="Times New Roman"/>
          <w:b/>
        </w:rPr>
        <w:t xml:space="preserve">Session 4: Role of States and </w:t>
      </w:r>
      <w:r w:rsidR="00827EBE" w:rsidRPr="00386A42">
        <w:rPr>
          <w:rFonts w:ascii="Times New Roman" w:hAnsi="Times New Roman" w:cs="Times New Roman"/>
          <w:b/>
        </w:rPr>
        <w:t>b</w:t>
      </w:r>
      <w:r w:rsidRPr="00386A42">
        <w:rPr>
          <w:rFonts w:ascii="Times New Roman" w:hAnsi="Times New Roman" w:cs="Times New Roman"/>
          <w:b/>
        </w:rPr>
        <w:t xml:space="preserve">usinesses in human rights </w:t>
      </w:r>
      <w:r w:rsidR="00827EBE" w:rsidRPr="00386A42">
        <w:rPr>
          <w:rFonts w:ascii="Times New Roman" w:hAnsi="Times New Roman" w:cs="Times New Roman"/>
          <w:b/>
        </w:rPr>
        <w:t>a</w:t>
      </w:r>
      <w:r w:rsidRPr="00386A42">
        <w:rPr>
          <w:rFonts w:ascii="Times New Roman" w:hAnsi="Times New Roman" w:cs="Times New Roman"/>
          <w:b/>
        </w:rPr>
        <w:t xml:space="preserve">ccountability and </w:t>
      </w:r>
      <w:r w:rsidR="00827EBE" w:rsidRPr="00386A42">
        <w:rPr>
          <w:rFonts w:ascii="Times New Roman" w:hAnsi="Times New Roman" w:cs="Times New Roman"/>
          <w:b/>
        </w:rPr>
        <w:t>r</w:t>
      </w:r>
      <w:r w:rsidRPr="00386A42">
        <w:rPr>
          <w:rFonts w:ascii="Times New Roman" w:hAnsi="Times New Roman" w:cs="Times New Roman"/>
          <w:b/>
        </w:rPr>
        <w:t>emedy</w:t>
      </w:r>
    </w:p>
    <w:p w14:paraId="65773C65" w14:textId="637D0A57" w:rsidR="00C0270E" w:rsidRPr="00386A42" w:rsidRDefault="00FC51A3" w:rsidP="00834A97">
      <w:pPr>
        <w:jc w:val="both"/>
        <w:rPr>
          <w:rFonts w:ascii="Times New Roman" w:hAnsi="Times New Roman" w:cs="Times New Roman"/>
          <w:b/>
          <w:bCs/>
          <w:color w:val="000000"/>
        </w:rPr>
      </w:pPr>
      <w:r w:rsidRPr="00386A42">
        <w:rPr>
          <w:rFonts w:ascii="Times New Roman" w:hAnsi="Times New Roman" w:cs="Times New Roman"/>
          <w:b/>
          <w:bCs/>
          <w:color w:val="000000"/>
        </w:rPr>
        <w:t>Session 5: Enhancing the effectiveness of non-State-based grievance mechanisms for business</w:t>
      </w:r>
      <w:r w:rsidR="00827EBE" w:rsidRPr="00386A42">
        <w:rPr>
          <w:rFonts w:ascii="Times New Roman" w:hAnsi="Times New Roman" w:cs="Times New Roman"/>
          <w:b/>
          <w:bCs/>
          <w:color w:val="000000"/>
        </w:rPr>
        <w:t>-</w:t>
      </w:r>
      <w:r w:rsidRPr="00386A42">
        <w:rPr>
          <w:rFonts w:ascii="Times New Roman" w:hAnsi="Times New Roman" w:cs="Times New Roman"/>
          <w:b/>
          <w:bCs/>
          <w:color w:val="000000"/>
        </w:rPr>
        <w:t xml:space="preserve">related human rights abuse </w:t>
      </w:r>
    </w:p>
    <w:p w14:paraId="1DF355D1" w14:textId="77777777" w:rsidR="00D521B5" w:rsidRPr="00D521B5" w:rsidRDefault="00D521B5" w:rsidP="00834A97">
      <w:pPr>
        <w:spacing w:line="276" w:lineRule="auto"/>
        <w:jc w:val="both"/>
        <w:rPr>
          <w:rFonts w:ascii="Times New Roman" w:hAnsi="Times New Roman" w:cs="Times New Roman"/>
          <w:b/>
          <w:lang w:val="en-US"/>
        </w:rPr>
      </w:pPr>
      <w:r w:rsidRPr="00D521B5">
        <w:rPr>
          <w:rFonts w:ascii="Times New Roman" w:hAnsi="Times New Roman" w:cs="Times New Roman"/>
          <w:b/>
          <w:lang w:val="en-US"/>
        </w:rPr>
        <w:t xml:space="preserve">Session 6: Access to remedy through non-State-based grievance mechanisms in the technology sector </w:t>
      </w:r>
    </w:p>
    <w:p w14:paraId="4F028512" w14:textId="77777777" w:rsidR="00D521B5" w:rsidRPr="00386A42" w:rsidRDefault="00D521B5" w:rsidP="00834A97">
      <w:pPr>
        <w:jc w:val="both"/>
        <w:rPr>
          <w:rFonts w:ascii="Times New Roman" w:hAnsi="Times New Roman" w:cs="Times New Roman"/>
          <w:b/>
          <w:lang w:val="en-US"/>
        </w:rPr>
      </w:pPr>
    </w:p>
    <w:p w14:paraId="47454F59" w14:textId="0CB1B1C8" w:rsidR="00CB4923" w:rsidRPr="00386A42" w:rsidRDefault="00CB4923" w:rsidP="00695750">
      <w:pPr>
        <w:rPr>
          <w:rFonts w:ascii="Times New Roman" w:hAnsi="Times New Roman" w:cs="Times New Roman"/>
          <w:bCs/>
          <w:iCs/>
          <w:lang w:val="en-US"/>
        </w:rPr>
      </w:pPr>
    </w:p>
    <w:p w14:paraId="04FC8C80" w14:textId="262A6C16" w:rsidR="00CB4923" w:rsidRPr="00386A42" w:rsidRDefault="00CA2AC6" w:rsidP="00CB4923">
      <w:pPr>
        <w:rPr>
          <w:rFonts w:ascii="Times New Roman" w:hAnsi="Times New Roman" w:cs="Times New Roman"/>
          <w:b/>
          <w:bCs/>
          <w:u w:val="single"/>
          <w:lang w:val="en-US"/>
        </w:rPr>
      </w:pPr>
      <w:r w:rsidRPr="00386A42">
        <w:rPr>
          <w:rFonts w:ascii="Times New Roman" w:hAnsi="Times New Roman" w:cs="Times New Roman"/>
          <w:b/>
          <w:bCs/>
          <w:u w:val="single"/>
          <w:lang w:val="en-US"/>
        </w:rPr>
        <w:t>Background</w:t>
      </w:r>
      <w:r w:rsidR="00D521B5" w:rsidRPr="00386A42">
        <w:rPr>
          <w:rFonts w:ascii="Times New Roman" w:hAnsi="Times New Roman" w:cs="Times New Roman"/>
          <w:b/>
          <w:bCs/>
          <w:u w:val="single"/>
          <w:lang w:val="en-US"/>
        </w:rPr>
        <w:t xml:space="preserve"> for session 4, </w:t>
      </w:r>
      <w:r w:rsidR="00FC4E54" w:rsidRPr="00386A42">
        <w:rPr>
          <w:rFonts w:ascii="Times New Roman" w:hAnsi="Times New Roman" w:cs="Times New Roman"/>
          <w:b/>
          <w:bCs/>
          <w:u w:val="single"/>
          <w:lang w:val="en-US"/>
        </w:rPr>
        <w:t>5</w:t>
      </w:r>
      <w:r w:rsidR="00D521B5" w:rsidRPr="00386A42">
        <w:rPr>
          <w:rFonts w:ascii="Times New Roman" w:hAnsi="Times New Roman" w:cs="Times New Roman"/>
          <w:b/>
          <w:bCs/>
          <w:u w:val="single"/>
          <w:lang w:val="en-US"/>
        </w:rPr>
        <w:t xml:space="preserve"> and </w:t>
      </w:r>
      <w:proofErr w:type="gramStart"/>
      <w:r w:rsidR="00D521B5" w:rsidRPr="00386A42">
        <w:rPr>
          <w:rFonts w:ascii="Times New Roman" w:hAnsi="Times New Roman" w:cs="Times New Roman"/>
          <w:b/>
          <w:bCs/>
          <w:u w:val="single"/>
          <w:lang w:val="en-US"/>
        </w:rPr>
        <w:t xml:space="preserve">6 </w:t>
      </w:r>
      <w:r w:rsidR="00CB4923" w:rsidRPr="00386A42">
        <w:rPr>
          <w:rFonts w:ascii="Times New Roman" w:hAnsi="Times New Roman" w:cs="Times New Roman"/>
          <w:b/>
          <w:bCs/>
          <w:u w:val="single"/>
          <w:lang w:val="en-US"/>
        </w:rPr>
        <w:t>:</w:t>
      </w:r>
      <w:proofErr w:type="gramEnd"/>
    </w:p>
    <w:p w14:paraId="53D91BAE" w14:textId="6460737E" w:rsidR="00CB4923" w:rsidRPr="00386A42" w:rsidRDefault="00CB4923" w:rsidP="00695750">
      <w:pPr>
        <w:rPr>
          <w:rFonts w:ascii="Times New Roman" w:hAnsi="Times New Roman" w:cs="Times New Roman"/>
          <w:bCs/>
          <w:iCs/>
          <w:lang w:val="en-US"/>
        </w:rPr>
      </w:pPr>
    </w:p>
    <w:p w14:paraId="07727FD6" w14:textId="2E905488" w:rsidR="00FC51A3" w:rsidRPr="00386A42" w:rsidRDefault="00234166" w:rsidP="00FC51A3">
      <w:pPr>
        <w:jc w:val="both"/>
        <w:rPr>
          <w:rFonts w:ascii="Times New Roman" w:hAnsi="Times New Roman" w:cs="Times New Roman"/>
        </w:rPr>
      </w:pPr>
      <w:r w:rsidRPr="00386A42">
        <w:rPr>
          <w:rFonts w:ascii="Times New Roman" w:hAnsi="Times New Roman" w:cs="Times New Roman"/>
          <w:lang w:val="en-US"/>
        </w:rPr>
        <w:t xml:space="preserve">The </w:t>
      </w:r>
      <w:r w:rsidRPr="00386A42">
        <w:rPr>
          <w:rFonts w:ascii="Times New Roman" w:hAnsi="Times New Roman" w:cs="Times New Roman"/>
          <w:b/>
          <w:lang w:val="en-US"/>
        </w:rPr>
        <w:t>United Nations Guiding Principles on Business and Human Rights (UNGPs)</w:t>
      </w:r>
      <w:r w:rsidRPr="00386A42">
        <w:rPr>
          <w:rFonts w:ascii="Times New Roman" w:hAnsi="Times New Roman" w:cs="Times New Roman"/>
          <w:lang w:val="en-US"/>
        </w:rPr>
        <w:t xml:space="preserve"> recognize that when business enterprises are involved in human rights abuses, those harmed must have access to effective remedy.</w:t>
      </w:r>
      <w:r w:rsidR="00B94780" w:rsidRPr="00386A42">
        <w:rPr>
          <w:rFonts w:ascii="Times New Roman" w:hAnsi="Times New Roman" w:cs="Times New Roman"/>
        </w:rPr>
        <w:t xml:space="preserve"> </w:t>
      </w:r>
    </w:p>
    <w:p w14:paraId="2A0FA94A" w14:textId="173A468C" w:rsidR="00FC51A3" w:rsidRPr="00386A42" w:rsidRDefault="00FC51A3" w:rsidP="00FC51A3">
      <w:pPr>
        <w:spacing w:before="100" w:beforeAutospacing="1" w:after="100" w:afterAutospacing="1"/>
        <w:jc w:val="both"/>
        <w:rPr>
          <w:rFonts w:ascii="Times New Roman" w:hAnsi="Times New Roman" w:cs="Times New Roman"/>
        </w:rPr>
      </w:pPr>
      <w:r w:rsidRPr="00386A42">
        <w:rPr>
          <w:rFonts w:ascii="Times New Roman" w:eastAsia="Times New Roman" w:hAnsi="Times New Roman" w:cs="Times New Roman"/>
          <w:lang w:eastAsia="en-GB"/>
        </w:rPr>
        <w:t xml:space="preserve">However, extensive research has shown that in cases where business enterprises are involved in human rights abuses, victims often struggle to access remedy. The challenges that victims face are both practical and legal in nature. To begin to address </w:t>
      </w:r>
      <w:r w:rsidR="005057ED" w:rsidRPr="00386A42">
        <w:rPr>
          <w:rFonts w:ascii="Times New Roman" w:eastAsia="Times New Roman" w:hAnsi="Times New Roman" w:cs="Times New Roman"/>
          <w:lang w:eastAsia="en-GB"/>
        </w:rPr>
        <w:t>these challenges, OHCHR launched th</w:t>
      </w:r>
      <w:r w:rsidR="005057ED" w:rsidRPr="00386A42">
        <w:rPr>
          <w:rFonts w:ascii="Times New Roman" w:hAnsi="Times New Roman" w:cs="Times New Roman"/>
        </w:rPr>
        <w:t xml:space="preserve">e </w:t>
      </w:r>
      <w:hyperlink r:id="rId10" w:history="1">
        <w:r w:rsidR="005057ED" w:rsidRPr="00386A42">
          <w:rPr>
            <w:rStyle w:val="Hyperlink"/>
            <w:rFonts w:ascii="Times New Roman" w:hAnsi="Times New Roman" w:cs="Times New Roman"/>
          </w:rPr>
          <w:t>Accountability and Remedy Project</w:t>
        </w:r>
      </w:hyperlink>
      <w:r w:rsidR="005057ED" w:rsidRPr="00386A42">
        <w:rPr>
          <w:rFonts w:ascii="Times New Roman" w:hAnsi="Times New Roman" w:cs="Times New Roman"/>
        </w:rPr>
        <w:t xml:space="preserve"> (ARP), a multi</w:t>
      </w:r>
      <w:r w:rsidR="00827EBE" w:rsidRPr="00386A42">
        <w:rPr>
          <w:rFonts w:ascii="Times New Roman" w:hAnsi="Times New Roman" w:cs="Times New Roman"/>
        </w:rPr>
        <w:t>-</w:t>
      </w:r>
      <w:r w:rsidR="005057ED" w:rsidRPr="00386A42">
        <w:rPr>
          <w:rFonts w:ascii="Times New Roman" w:hAnsi="Times New Roman" w:cs="Times New Roman"/>
        </w:rPr>
        <w:t xml:space="preserve">year initiative of three phases focusing on enhancing the effectiveness of judicial mechanisms, State-based non-judicial grievance mechanisms, and non-State-based grievance mechanisms. The overall aim of this project </w:t>
      </w:r>
      <w:r w:rsidR="00827EBE" w:rsidRPr="00386A42">
        <w:rPr>
          <w:rFonts w:ascii="Times New Roman" w:hAnsi="Times New Roman" w:cs="Times New Roman"/>
        </w:rPr>
        <w:t xml:space="preserve">has been </w:t>
      </w:r>
      <w:r w:rsidR="005057ED" w:rsidRPr="00386A42">
        <w:rPr>
          <w:rFonts w:ascii="Times New Roman" w:hAnsi="Times New Roman" w:cs="Times New Roman"/>
        </w:rPr>
        <w:t xml:space="preserve">to identify practical measures that </w:t>
      </w:r>
      <w:proofErr w:type="gramStart"/>
      <w:r w:rsidR="005057ED" w:rsidRPr="00386A42">
        <w:rPr>
          <w:rFonts w:ascii="Times New Roman" w:hAnsi="Times New Roman" w:cs="Times New Roman"/>
        </w:rPr>
        <w:t>can be taken</w:t>
      </w:r>
      <w:proofErr w:type="gramEnd"/>
      <w:r w:rsidR="005057ED" w:rsidRPr="00386A42">
        <w:rPr>
          <w:rFonts w:ascii="Times New Roman" w:hAnsi="Times New Roman" w:cs="Times New Roman"/>
        </w:rPr>
        <w:t xml:space="preserve"> to improve corporate accountability and access to remedy for victims of business-related human rights abuses.</w:t>
      </w:r>
    </w:p>
    <w:p w14:paraId="40CDDF0A" w14:textId="28BA24E0" w:rsidR="00CA2AC6" w:rsidRPr="00386A42" w:rsidRDefault="005057ED" w:rsidP="005057ED">
      <w:pPr>
        <w:jc w:val="both"/>
        <w:rPr>
          <w:rFonts w:ascii="Times New Roman" w:hAnsi="Times New Roman" w:cs="Times New Roman"/>
        </w:rPr>
      </w:pPr>
      <w:r w:rsidRPr="00386A42">
        <w:rPr>
          <w:rFonts w:ascii="Times New Roman" w:hAnsi="Times New Roman" w:cs="Times New Roman"/>
          <w:b/>
        </w:rPr>
        <w:t>The first phase</w:t>
      </w:r>
      <w:r w:rsidRPr="00386A42">
        <w:rPr>
          <w:rFonts w:ascii="Times New Roman" w:hAnsi="Times New Roman" w:cs="Times New Roman"/>
        </w:rPr>
        <w:t xml:space="preserve"> of the project </w:t>
      </w:r>
      <w:r w:rsidR="00827EBE" w:rsidRPr="00386A42">
        <w:rPr>
          <w:rFonts w:ascii="Times New Roman" w:hAnsi="Times New Roman" w:cs="Times New Roman"/>
        </w:rPr>
        <w:t xml:space="preserve">(ARP I) </w:t>
      </w:r>
      <w:r w:rsidRPr="00386A42">
        <w:rPr>
          <w:rFonts w:ascii="Times New Roman" w:hAnsi="Times New Roman" w:cs="Times New Roman"/>
        </w:rPr>
        <w:t>focus</w:t>
      </w:r>
      <w:r w:rsidR="00827EBE" w:rsidRPr="00386A42">
        <w:rPr>
          <w:rFonts w:ascii="Times New Roman" w:hAnsi="Times New Roman" w:cs="Times New Roman"/>
        </w:rPr>
        <w:t>ed</w:t>
      </w:r>
      <w:r w:rsidRPr="00386A42">
        <w:rPr>
          <w:rFonts w:ascii="Times New Roman" w:hAnsi="Times New Roman" w:cs="Times New Roman"/>
        </w:rPr>
        <w:t xml:space="preserve"> on </w:t>
      </w:r>
      <w:hyperlink r:id="rId11" w:history="1">
        <w:r w:rsidR="00827EBE" w:rsidRPr="00386A42">
          <w:rPr>
            <w:rFonts w:ascii="Times New Roman" w:eastAsia="Times New Roman" w:hAnsi="Times New Roman" w:cs="Times New Roman"/>
            <w:lang w:eastAsia="en-GB"/>
          </w:rPr>
          <w:t>e</w:t>
        </w:r>
        <w:r w:rsidRPr="00386A42">
          <w:rPr>
            <w:rFonts w:ascii="Times New Roman" w:eastAsia="Times New Roman" w:hAnsi="Times New Roman" w:cs="Times New Roman"/>
            <w:lang w:eastAsia="en-GB"/>
          </w:rPr>
          <w:t xml:space="preserve">nhancing </w:t>
        </w:r>
        <w:r w:rsidR="00827EBE" w:rsidRPr="00386A42">
          <w:rPr>
            <w:rFonts w:ascii="Times New Roman" w:eastAsia="Times New Roman" w:hAnsi="Times New Roman" w:cs="Times New Roman"/>
            <w:lang w:eastAsia="en-GB"/>
          </w:rPr>
          <w:t xml:space="preserve">the </w:t>
        </w:r>
        <w:r w:rsidRPr="00386A42">
          <w:rPr>
            <w:rFonts w:ascii="Times New Roman" w:eastAsia="Times New Roman" w:hAnsi="Times New Roman" w:cs="Times New Roman"/>
            <w:lang w:eastAsia="en-GB"/>
          </w:rPr>
          <w:t xml:space="preserve">effectiveness of </w:t>
        </w:r>
        <w:r w:rsidRPr="00386A42">
          <w:rPr>
            <w:rFonts w:ascii="Times New Roman" w:eastAsia="Times New Roman" w:hAnsi="Times New Roman" w:cs="Times New Roman"/>
            <w:b/>
            <w:bCs/>
            <w:lang w:eastAsia="en-GB"/>
          </w:rPr>
          <w:t>judicial mechanisms</w:t>
        </w:r>
        <w:r w:rsidRPr="00386A42">
          <w:rPr>
            <w:rFonts w:ascii="Times New Roman" w:eastAsia="Times New Roman" w:hAnsi="Times New Roman" w:cs="Times New Roman"/>
            <w:lang w:eastAsia="en-GB"/>
          </w:rPr>
          <w:t xml:space="preserve"> in cases of business-related human rights abuse</w:t>
        </w:r>
      </w:hyperlink>
      <w:r w:rsidRPr="00386A42">
        <w:rPr>
          <w:rFonts w:ascii="Times New Roman" w:eastAsia="Times New Roman" w:hAnsi="Times New Roman" w:cs="Times New Roman"/>
          <w:lang w:eastAsia="en-GB"/>
        </w:rPr>
        <w:t xml:space="preserve"> </w:t>
      </w:r>
      <w:r w:rsidR="00827EBE" w:rsidRPr="00386A42">
        <w:rPr>
          <w:rFonts w:ascii="Times New Roman" w:eastAsia="Times New Roman" w:hAnsi="Times New Roman" w:cs="Times New Roman"/>
          <w:lang w:eastAsia="en-GB"/>
        </w:rPr>
        <w:t xml:space="preserve">and </w:t>
      </w:r>
      <w:r w:rsidRPr="00386A42">
        <w:rPr>
          <w:rFonts w:ascii="Times New Roman" w:eastAsia="Times New Roman" w:hAnsi="Times New Roman" w:cs="Times New Roman"/>
          <w:lang w:eastAsia="en-GB"/>
        </w:rPr>
        <w:t xml:space="preserve">was completed in June 2016 when </w:t>
      </w:r>
      <w:r w:rsidRPr="00386A42">
        <w:rPr>
          <w:rFonts w:ascii="Times New Roman" w:hAnsi="Times New Roman" w:cs="Times New Roman"/>
        </w:rPr>
        <w:t xml:space="preserve">OHCHR submitted its </w:t>
      </w:r>
      <w:r w:rsidRPr="00386A42">
        <w:rPr>
          <w:rFonts w:ascii="Times New Roman" w:hAnsi="Times New Roman" w:cs="Times New Roman"/>
          <w:b/>
        </w:rPr>
        <w:t>ARP I report to the Human Rights Council</w:t>
      </w:r>
      <w:r w:rsidRPr="00386A42">
        <w:rPr>
          <w:rFonts w:ascii="Times New Roman" w:hAnsi="Times New Roman" w:cs="Times New Roman"/>
        </w:rPr>
        <w:t>.</w:t>
      </w:r>
      <w:r w:rsidRPr="00386A42">
        <w:rPr>
          <w:rStyle w:val="FootnoteReference"/>
          <w:rFonts w:ascii="Times New Roman" w:hAnsi="Times New Roman" w:cs="Times New Roman"/>
        </w:rPr>
        <w:footnoteReference w:id="1"/>
      </w:r>
      <w:r w:rsidRPr="00386A42">
        <w:rPr>
          <w:rFonts w:ascii="Times New Roman" w:hAnsi="Times New Roman" w:cs="Times New Roman"/>
        </w:rPr>
        <w:t xml:space="preserve">  The report recognized the </w:t>
      </w:r>
      <w:r w:rsidRPr="00386A42">
        <w:rPr>
          <w:rFonts w:ascii="Times New Roman" w:hAnsi="Times New Roman" w:cs="Times New Roman"/>
          <w:b/>
        </w:rPr>
        <w:t>urgent need for action by States</w:t>
      </w:r>
      <w:r w:rsidRPr="00386A42">
        <w:rPr>
          <w:rFonts w:ascii="Times New Roman" w:hAnsi="Times New Roman" w:cs="Times New Roman"/>
        </w:rPr>
        <w:t xml:space="preserve"> to ensure that victims of human rights harms connected to business activities have </w:t>
      </w:r>
      <w:r w:rsidRPr="00386A42">
        <w:rPr>
          <w:rFonts w:ascii="Times New Roman" w:hAnsi="Times New Roman" w:cs="Times New Roman"/>
          <w:b/>
        </w:rPr>
        <w:t>access to effective remedy</w:t>
      </w:r>
      <w:r w:rsidRPr="00386A42">
        <w:rPr>
          <w:rFonts w:ascii="Times New Roman" w:hAnsi="Times New Roman" w:cs="Times New Roman"/>
        </w:rPr>
        <w:t xml:space="preserve">.  </w:t>
      </w:r>
    </w:p>
    <w:p w14:paraId="38D281E7" w14:textId="18006B84" w:rsidR="00FC51A3" w:rsidRPr="00386A42" w:rsidRDefault="005057ED" w:rsidP="00CA2AC6">
      <w:pPr>
        <w:spacing w:before="100" w:beforeAutospacing="1" w:after="100" w:afterAutospacing="1"/>
        <w:jc w:val="both"/>
        <w:rPr>
          <w:rFonts w:ascii="Times New Roman" w:eastAsia="Times New Roman" w:hAnsi="Times New Roman" w:cs="Times New Roman"/>
          <w:lang w:eastAsia="en-GB"/>
        </w:rPr>
      </w:pPr>
      <w:r w:rsidRPr="00386A42">
        <w:rPr>
          <w:rFonts w:ascii="Times New Roman" w:hAnsi="Times New Roman" w:cs="Times New Roman"/>
        </w:rPr>
        <w:t xml:space="preserve">The </w:t>
      </w:r>
      <w:r w:rsidRPr="00386A42">
        <w:rPr>
          <w:rFonts w:ascii="Times New Roman" w:hAnsi="Times New Roman" w:cs="Times New Roman"/>
          <w:b/>
        </w:rPr>
        <w:t>second phase</w:t>
      </w:r>
      <w:r w:rsidRPr="00386A42">
        <w:rPr>
          <w:rFonts w:ascii="Times New Roman" w:hAnsi="Times New Roman" w:cs="Times New Roman"/>
        </w:rPr>
        <w:t xml:space="preserve"> of the project </w:t>
      </w:r>
      <w:r w:rsidR="00827EBE" w:rsidRPr="00386A42">
        <w:rPr>
          <w:rFonts w:ascii="Times New Roman" w:hAnsi="Times New Roman" w:cs="Times New Roman"/>
        </w:rPr>
        <w:t xml:space="preserve">(ARP II) </w:t>
      </w:r>
      <w:r w:rsidRPr="00386A42">
        <w:rPr>
          <w:rFonts w:ascii="Times New Roman" w:hAnsi="Times New Roman" w:cs="Times New Roman"/>
        </w:rPr>
        <w:t>focus</w:t>
      </w:r>
      <w:r w:rsidR="00827EBE" w:rsidRPr="00386A42">
        <w:rPr>
          <w:rFonts w:ascii="Times New Roman" w:hAnsi="Times New Roman" w:cs="Times New Roman"/>
        </w:rPr>
        <w:t>ed</w:t>
      </w:r>
      <w:r w:rsidRPr="00386A42">
        <w:rPr>
          <w:rFonts w:ascii="Times New Roman" w:hAnsi="Times New Roman" w:cs="Times New Roman"/>
        </w:rPr>
        <w:t xml:space="preserve"> on enhancing</w:t>
      </w:r>
      <w:hyperlink r:id="rId12" w:history="1">
        <w:r w:rsidRPr="00386A42">
          <w:rPr>
            <w:rFonts w:ascii="Times New Roman" w:eastAsia="Times New Roman" w:hAnsi="Times New Roman" w:cs="Times New Roman"/>
            <w:lang w:eastAsia="en-GB"/>
          </w:rPr>
          <w:t xml:space="preserve"> </w:t>
        </w:r>
        <w:r w:rsidR="00827EBE" w:rsidRPr="00386A42">
          <w:rPr>
            <w:rFonts w:ascii="Times New Roman" w:eastAsia="Times New Roman" w:hAnsi="Times New Roman" w:cs="Times New Roman"/>
            <w:lang w:eastAsia="en-GB"/>
          </w:rPr>
          <w:t xml:space="preserve">the </w:t>
        </w:r>
        <w:r w:rsidRPr="00386A42">
          <w:rPr>
            <w:rFonts w:ascii="Times New Roman" w:eastAsia="Times New Roman" w:hAnsi="Times New Roman" w:cs="Times New Roman"/>
            <w:lang w:eastAsia="en-GB"/>
          </w:rPr>
          <w:t xml:space="preserve">effectiveness of </w:t>
        </w:r>
        <w:r w:rsidRPr="00386A42">
          <w:rPr>
            <w:rFonts w:ascii="Times New Roman" w:eastAsia="Times New Roman" w:hAnsi="Times New Roman" w:cs="Times New Roman"/>
            <w:b/>
            <w:bCs/>
            <w:lang w:eastAsia="en-GB"/>
          </w:rPr>
          <w:t>State-based non-judicial mechanisms</w:t>
        </w:r>
        <w:r w:rsidRPr="00386A42">
          <w:rPr>
            <w:rFonts w:ascii="Times New Roman" w:eastAsia="Times New Roman" w:hAnsi="Times New Roman" w:cs="Times New Roman"/>
            <w:lang w:eastAsia="en-GB"/>
          </w:rPr>
          <w:t xml:space="preserve"> in cases of business-related human rights abuse</w:t>
        </w:r>
      </w:hyperlink>
      <w:r w:rsidRPr="00386A42">
        <w:rPr>
          <w:rFonts w:ascii="Times New Roman" w:eastAsia="Times New Roman" w:hAnsi="Times New Roman" w:cs="Times New Roman"/>
          <w:lang w:eastAsia="en-GB"/>
        </w:rPr>
        <w:t xml:space="preserve"> </w:t>
      </w:r>
      <w:r w:rsidR="00827EBE" w:rsidRPr="00386A42">
        <w:rPr>
          <w:rFonts w:ascii="Times New Roman" w:eastAsia="Times New Roman" w:hAnsi="Times New Roman" w:cs="Times New Roman"/>
          <w:lang w:eastAsia="en-GB"/>
        </w:rPr>
        <w:t xml:space="preserve">and </w:t>
      </w:r>
      <w:proofErr w:type="gramStart"/>
      <w:r w:rsidRPr="00386A42">
        <w:rPr>
          <w:rFonts w:ascii="Times New Roman" w:eastAsia="Times New Roman" w:hAnsi="Times New Roman" w:cs="Times New Roman"/>
          <w:lang w:eastAsia="en-GB"/>
        </w:rPr>
        <w:t>was completed</w:t>
      </w:r>
      <w:proofErr w:type="gramEnd"/>
      <w:r w:rsidRPr="00386A42">
        <w:rPr>
          <w:rFonts w:ascii="Times New Roman" w:eastAsia="Times New Roman" w:hAnsi="Times New Roman" w:cs="Times New Roman"/>
          <w:lang w:eastAsia="en-GB"/>
        </w:rPr>
        <w:t xml:space="preserve"> in June 2018 </w:t>
      </w:r>
      <w:r w:rsidR="00CA2AC6" w:rsidRPr="00386A42">
        <w:rPr>
          <w:rFonts w:ascii="Times New Roman" w:eastAsia="Times New Roman" w:hAnsi="Times New Roman" w:cs="Times New Roman"/>
          <w:lang w:eastAsia="en-GB"/>
        </w:rPr>
        <w:t xml:space="preserve">when </w:t>
      </w:r>
      <w:r w:rsidR="00FC51A3" w:rsidRPr="00386A42">
        <w:rPr>
          <w:rFonts w:ascii="Times New Roman" w:hAnsi="Times New Roman" w:cs="Times New Roman"/>
        </w:rPr>
        <w:t xml:space="preserve">OHCHR submitted its </w:t>
      </w:r>
      <w:r w:rsidR="00FC51A3" w:rsidRPr="00386A42">
        <w:rPr>
          <w:rFonts w:ascii="Times New Roman" w:hAnsi="Times New Roman" w:cs="Times New Roman"/>
          <w:b/>
        </w:rPr>
        <w:t>ARP II report to the Human Rights Council</w:t>
      </w:r>
      <w:r w:rsidR="00827EBE" w:rsidRPr="00386A42">
        <w:rPr>
          <w:rFonts w:ascii="Times New Roman" w:hAnsi="Times New Roman" w:cs="Times New Roman"/>
          <w:b/>
        </w:rPr>
        <w:t>.</w:t>
      </w:r>
      <w:r w:rsidR="00AE52F1" w:rsidRPr="00386A42">
        <w:rPr>
          <w:rStyle w:val="FootnoteReference"/>
          <w:rFonts w:ascii="Times New Roman" w:hAnsi="Times New Roman" w:cs="Times New Roman"/>
          <w:b/>
        </w:rPr>
        <w:footnoteReference w:id="2"/>
      </w:r>
      <w:r w:rsidR="00FC51A3" w:rsidRPr="00386A42">
        <w:rPr>
          <w:rFonts w:ascii="Times New Roman" w:hAnsi="Times New Roman" w:cs="Times New Roman"/>
        </w:rPr>
        <w:t xml:space="preserve"> </w:t>
      </w:r>
    </w:p>
    <w:p w14:paraId="703F8BE1" w14:textId="43F00F49" w:rsidR="00CA2AC6" w:rsidRPr="00386A42" w:rsidRDefault="00CA2AC6" w:rsidP="00CA2AC6">
      <w:pPr>
        <w:jc w:val="both"/>
        <w:rPr>
          <w:rFonts w:ascii="Times New Roman" w:hAnsi="Times New Roman" w:cs="Times New Roman"/>
          <w:lang w:val="en-US"/>
        </w:rPr>
      </w:pPr>
      <w:r w:rsidRPr="00386A42">
        <w:rPr>
          <w:rFonts w:ascii="Times New Roman" w:hAnsi="Times New Roman" w:cs="Times New Roman"/>
          <w:lang w:val="en-US"/>
        </w:rPr>
        <w:t xml:space="preserve">In July 2018, the Human Rights Council requested UN Human Rights to identify and </w:t>
      </w:r>
      <w:proofErr w:type="spellStart"/>
      <w:r w:rsidRPr="00386A42">
        <w:rPr>
          <w:rFonts w:ascii="Times New Roman" w:hAnsi="Times New Roman" w:cs="Times New Roman"/>
          <w:lang w:val="en-US"/>
        </w:rPr>
        <w:t>analyse</w:t>
      </w:r>
      <w:proofErr w:type="spellEnd"/>
      <w:r w:rsidRPr="00386A42">
        <w:rPr>
          <w:rFonts w:ascii="Times New Roman" w:hAnsi="Times New Roman" w:cs="Times New Roman"/>
          <w:lang w:val="en-US"/>
        </w:rPr>
        <w:t xml:space="preserve"> challenges, opportunities, best practices and lessons learned with regard to </w:t>
      </w:r>
      <w:r w:rsidRPr="00386A42">
        <w:rPr>
          <w:rFonts w:ascii="Times New Roman" w:hAnsi="Times New Roman" w:cs="Times New Roman"/>
          <w:b/>
          <w:lang w:val="en-US"/>
        </w:rPr>
        <w:t>non-state-based grievance mechanisms</w:t>
      </w:r>
      <w:r w:rsidRPr="00386A42">
        <w:rPr>
          <w:rFonts w:ascii="Times New Roman" w:hAnsi="Times New Roman" w:cs="Times New Roman"/>
          <w:lang w:val="en-US"/>
        </w:rPr>
        <w:t xml:space="preserve">, and, consequently, UN Human Rights started work on </w:t>
      </w:r>
      <w:r w:rsidRPr="00386A42">
        <w:rPr>
          <w:rFonts w:ascii="Times New Roman" w:hAnsi="Times New Roman" w:cs="Times New Roman"/>
          <w:b/>
          <w:lang w:val="en-US"/>
        </w:rPr>
        <w:t>the third phase of its Accountability and Remedy Project (ARP III)</w:t>
      </w:r>
      <w:r w:rsidRPr="00386A42">
        <w:rPr>
          <w:rFonts w:ascii="Times New Roman" w:hAnsi="Times New Roman" w:cs="Times New Roman"/>
          <w:lang w:val="en-US"/>
        </w:rPr>
        <w:t>.</w:t>
      </w:r>
      <w:r w:rsidRPr="00386A42">
        <w:rPr>
          <w:rStyle w:val="FootnoteReference"/>
          <w:rFonts w:ascii="Times New Roman" w:hAnsi="Times New Roman" w:cs="Times New Roman"/>
          <w:lang w:val="en-US"/>
        </w:rPr>
        <w:footnoteReference w:id="3"/>
      </w:r>
      <w:r w:rsidRPr="00386A42">
        <w:rPr>
          <w:rFonts w:ascii="Times New Roman" w:hAnsi="Times New Roman" w:cs="Times New Roman"/>
          <w:lang w:val="en-US"/>
        </w:rPr>
        <w:t xml:space="preserve">  </w:t>
      </w:r>
      <w:r w:rsidRPr="00386A42">
        <w:rPr>
          <w:rFonts w:ascii="Times New Roman" w:hAnsi="Times New Roman" w:cs="Times New Roman"/>
        </w:rPr>
        <w:t xml:space="preserve">The third phase of the project is based on the premise that </w:t>
      </w:r>
      <w:r w:rsidRPr="00386A42">
        <w:rPr>
          <w:rFonts w:ascii="Times New Roman" w:hAnsi="Times New Roman" w:cs="Times New Roman"/>
          <w:lang w:val="en-US"/>
        </w:rPr>
        <w:t xml:space="preserve">while State-based (judicial and non-judicial) grievance mechanisms form the foundation of a wider system of remedy, within such a system, </w:t>
      </w:r>
      <w:r w:rsidRPr="00386A42">
        <w:rPr>
          <w:rFonts w:ascii="Times New Roman" w:hAnsi="Times New Roman" w:cs="Times New Roman"/>
          <w:b/>
          <w:lang w:val="en-US"/>
        </w:rPr>
        <w:t>non-State-based (or private) grievance mechanisms</w:t>
      </w:r>
      <w:r w:rsidRPr="00386A42">
        <w:rPr>
          <w:rFonts w:ascii="Times New Roman" w:hAnsi="Times New Roman" w:cs="Times New Roman"/>
          <w:lang w:val="en-US"/>
        </w:rPr>
        <w:t xml:space="preserve"> can play an important role. In November 2018, UN Human Rights released a paper detailing the main issues to </w:t>
      </w:r>
      <w:proofErr w:type="gramStart"/>
      <w:r w:rsidRPr="00386A42">
        <w:rPr>
          <w:rFonts w:ascii="Times New Roman" w:hAnsi="Times New Roman" w:cs="Times New Roman"/>
          <w:lang w:val="en-US"/>
        </w:rPr>
        <w:t>be prioritized</w:t>
      </w:r>
      <w:proofErr w:type="gramEnd"/>
      <w:r w:rsidRPr="00386A42">
        <w:rPr>
          <w:rFonts w:ascii="Times New Roman" w:hAnsi="Times New Roman" w:cs="Times New Roman"/>
          <w:lang w:val="en-US"/>
        </w:rPr>
        <w:t xml:space="preserve"> for ARP III and explaining the types of mechanisms to be focused on:</w:t>
      </w:r>
    </w:p>
    <w:p w14:paraId="50E62C9A" w14:textId="77777777" w:rsidR="00CA2AC6" w:rsidRPr="00386A42" w:rsidRDefault="00CA2AC6" w:rsidP="00CA2AC6">
      <w:pPr>
        <w:pStyle w:val="ListParagraph"/>
        <w:numPr>
          <w:ilvl w:val="0"/>
          <w:numId w:val="13"/>
        </w:numPr>
        <w:jc w:val="both"/>
        <w:rPr>
          <w:rFonts w:ascii="Times New Roman" w:hAnsi="Times New Roman" w:cs="Times New Roman"/>
          <w:lang w:val="en-US"/>
        </w:rPr>
      </w:pPr>
      <w:r w:rsidRPr="00386A42">
        <w:rPr>
          <w:rFonts w:ascii="Times New Roman" w:hAnsi="Times New Roman" w:cs="Times New Roman"/>
          <w:b/>
          <w:lang w:val="en-US"/>
        </w:rPr>
        <w:t>Company-based</w:t>
      </w:r>
      <w:r w:rsidRPr="00386A42">
        <w:rPr>
          <w:rFonts w:ascii="Times New Roman" w:hAnsi="Times New Roman" w:cs="Times New Roman"/>
          <w:lang w:val="en-US"/>
        </w:rPr>
        <w:t xml:space="preserve"> grievance mechanisms (such as operational-level grievance mechanisms);</w:t>
      </w:r>
    </w:p>
    <w:p w14:paraId="2949DF25" w14:textId="77777777" w:rsidR="00CA2AC6" w:rsidRPr="00386A42" w:rsidRDefault="00CA2AC6" w:rsidP="00CA2AC6">
      <w:pPr>
        <w:pStyle w:val="ListParagraph"/>
        <w:numPr>
          <w:ilvl w:val="0"/>
          <w:numId w:val="13"/>
        </w:numPr>
        <w:jc w:val="both"/>
        <w:rPr>
          <w:rFonts w:ascii="Times New Roman" w:hAnsi="Times New Roman" w:cs="Times New Roman"/>
          <w:lang w:val="en-US"/>
        </w:rPr>
      </w:pPr>
      <w:r w:rsidRPr="00386A42">
        <w:rPr>
          <w:rFonts w:ascii="Times New Roman" w:hAnsi="Times New Roman" w:cs="Times New Roman"/>
          <w:lang w:val="en-US"/>
        </w:rPr>
        <w:lastRenderedPageBreak/>
        <w:t xml:space="preserve">Grievance mechanisms developed by </w:t>
      </w:r>
      <w:r w:rsidRPr="00386A42">
        <w:rPr>
          <w:rFonts w:ascii="Times New Roman" w:hAnsi="Times New Roman" w:cs="Times New Roman"/>
          <w:b/>
          <w:lang w:val="en-US"/>
        </w:rPr>
        <w:t>industry, multi-stakeholder or other collaborative initiatives</w:t>
      </w:r>
      <w:r w:rsidRPr="00386A42">
        <w:rPr>
          <w:rFonts w:ascii="Times New Roman" w:hAnsi="Times New Roman" w:cs="Times New Roman"/>
          <w:lang w:val="en-US"/>
        </w:rPr>
        <w:t>; and</w:t>
      </w:r>
    </w:p>
    <w:p w14:paraId="1202680F" w14:textId="252E53C9" w:rsidR="00CA2AC6" w:rsidRPr="00386A42" w:rsidRDefault="00CA2AC6" w:rsidP="00CA2AC6">
      <w:pPr>
        <w:pStyle w:val="ListParagraph"/>
        <w:numPr>
          <w:ilvl w:val="0"/>
          <w:numId w:val="13"/>
        </w:numPr>
        <w:jc w:val="both"/>
        <w:rPr>
          <w:rFonts w:ascii="Times New Roman" w:hAnsi="Times New Roman" w:cs="Times New Roman"/>
          <w:lang w:val="en-US"/>
        </w:rPr>
      </w:pPr>
      <w:r w:rsidRPr="00386A42">
        <w:rPr>
          <w:rFonts w:ascii="Times New Roman" w:hAnsi="Times New Roman" w:cs="Times New Roman"/>
          <w:lang w:val="en-US"/>
        </w:rPr>
        <w:t xml:space="preserve">Grievance mechanisms associated with development finance institutions (such as </w:t>
      </w:r>
      <w:r w:rsidRPr="00386A42">
        <w:rPr>
          <w:rFonts w:ascii="Times New Roman" w:hAnsi="Times New Roman" w:cs="Times New Roman"/>
          <w:b/>
          <w:lang w:val="en-US"/>
        </w:rPr>
        <w:t>independent accountability mechanisms</w:t>
      </w:r>
      <w:r w:rsidRPr="00386A42">
        <w:rPr>
          <w:rFonts w:ascii="Times New Roman" w:hAnsi="Times New Roman" w:cs="Times New Roman"/>
          <w:lang w:val="en-US"/>
        </w:rPr>
        <w:t>).</w:t>
      </w:r>
    </w:p>
    <w:p w14:paraId="015EC438" w14:textId="10D0E231" w:rsidR="00CA2AC6" w:rsidRPr="00386A42" w:rsidRDefault="00CA2AC6" w:rsidP="00CA2AC6">
      <w:pPr>
        <w:jc w:val="both"/>
        <w:rPr>
          <w:rFonts w:ascii="Times New Roman" w:hAnsi="Times New Roman" w:cs="Times New Roman"/>
          <w:lang w:val="en-US"/>
        </w:rPr>
      </w:pPr>
    </w:p>
    <w:p w14:paraId="14FD98C0" w14:textId="77777777" w:rsidR="00B833A1" w:rsidRPr="00386A42" w:rsidRDefault="00B833A1" w:rsidP="00B833A1">
      <w:pPr>
        <w:jc w:val="both"/>
        <w:rPr>
          <w:rFonts w:ascii="Times New Roman" w:hAnsi="Times New Roman" w:cs="Times New Roman"/>
        </w:rPr>
      </w:pPr>
      <w:r w:rsidRPr="005E29D1">
        <w:rPr>
          <w:rFonts w:ascii="Times New Roman" w:hAnsi="Times New Roman" w:cs="Times New Roman"/>
        </w:rPr>
        <w:t xml:space="preserve">In a context of increased demands from companies for authoritative guidance on the application of the United Nations Guiding Principles on Business and Human Rights in the tech sector, </w:t>
      </w:r>
      <w:r w:rsidRPr="00386A42">
        <w:rPr>
          <w:rFonts w:ascii="Times New Roman" w:hAnsi="Times New Roman" w:cs="Times New Roman"/>
        </w:rPr>
        <w:t xml:space="preserve">OHCHR </w:t>
      </w:r>
      <w:r w:rsidRPr="005E29D1">
        <w:rPr>
          <w:rFonts w:ascii="Times New Roman" w:hAnsi="Times New Roman" w:cs="Times New Roman"/>
        </w:rPr>
        <w:t>has launched</w:t>
      </w:r>
      <w:r w:rsidRPr="00386A42">
        <w:rPr>
          <w:rFonts w:ascii="Times New Roman" w:hAnsi="Times New Roman" w:cs="Times New Roman"/>
        </w:rPr>
        <w:t xml:space="preserve"> the </w:t>
      </w:r>
      <w:hyperlink r:id="rId13" w:history="1">
        <w:r w:rsidRPr="00386A42">
          <w:rPr>
            <w:rStyle w:val="Hyperlink"/>
            <w:rFonts w:ascii="Times New Roman" w:hAnsi="Times New Roman" w:cs="Times New Roman"/>
            <w:b/>
            <w:color w:val="auto"/>
          </w:rPr>
          <w:t>B-Tech projec</w:t>
        </w:r>
        <w:r w:rsidRPr="00386A42">
          <w:rPr>
            <w:rStyle w:val="Hyperlink"/>
            <w:rFonts w:ascii="Times New Roman" w:hAnsi="Times New Roman" w:cs="Times New Roman"/>
            <w:color w:val="auto"/>
          </w:rPr>
          <w:t>t</w:t>
        </w:r>
      </w:hyperlink>
      <w:r w:rsidRPr="00386A42">
        <w:rPr>
          <w:rFonts w:ascii="Times New Roman" w:hAnsi="Times New Roman" w:cs="Times New Roman"/>
        </w:rPr>
        <w:t xml:space="preserve"> which will seek to provide </w:t>
      </w:r>
      <w:r w:rsidRPr="00386A42">
        <w:rPr>
          <w:rFonts w:ascii="Times New Roman" w:hAnsi="Times New Roman" w:cs="Times New Roman"/>
          <w:b/>
        </w:rPr>
        <w:t>authoritative guidance and resources to enhance the quality of implementation of the United National Guiding Principles on Business and Human rights with respect to a selected number of strategic focus areas in the technology space</w:t>
      </w:r>
      <w:r w:rsidRPr="00386A42">
        <w:rPr>
          <w:rFonts w:ascii="Times New Roman" w:hAnsi="Times New Roman" w:cs="Times New Roman"/>
        </w:rPr>
        <w:t xml:space="preserve"> </w:t>
      </w:r>
      <w:r w:rsidRPr="005E29D1">
        <w:rPr>
          <w:rFonts w:ascii="Times New Roman" w:hAnsi="Times New Roman" w:cs="Times New Roman"/>
        </w:rPr>
        <w:t xml:space="preserve">. </w:t>
      </w:r>
    </w:p>
    <w:p w14:paraId="16CE80B4" w14:textId="77777777" w:rsidR="00B833A1" w:rsidRPr="00386A42" w:rsidRDefault="00B833A1" w:rsidP="00B833A1">
      <w:pPr>
        <w:jc w:val="both"/>
        <w:rPr>
          <w:rFonts w:ascii="Times New Roman" w:hAnsi="Times New Roman" w:cs="Times New Roman"/>
        </w:rPr>
      </w:pPr>
    </w:p>
    <w:p w14:paraId="66B9A970" w14:textId="15B65DFA" w:rsidR="00B833A1" w:rsidRPr="00386A42" w:rsidRDefault="00B833A1" w:rsidP="00B833A1">
      <w:pPr>
        <w:jc w:val="both"/>
        <w:rPr>
          <w:rFonts w:ascii="Times New Roman" w:hAnsi="Times New Roman" w:cs="Times New Roman"/>
        </w:rPr>
      </w:pPr>
      <w:r w:rsidRPr="005E29D1">
        <w:rPr>
          <w:rFonts w:ascii="Times New Roman" w:hAnsi="Times New Roman" w:cs="Times New Roman"/>
        </w:rPr>
        <w:t xml:space="preserve">The </w:t>
      </w:r>
      <w:r w:rsidRPr="00386A42">
        <w:rPr>
          <w:rFonts w:ascii="Times New Roman" w:hAnsi="Times New Roman" w:cs="Times New Roman"/>
        </w:rPr>
        <w:t xml:space="preserve">B-Tech project </w:t>
      </w:r>
      <w:r w:rsidRPr="005E29D1">
        <w:rPr>
          <w:rFonts w:ascii="Times New Roman" w:hAnsi="Times New Roman" w:cs="Times New Roman"/>
        </w:rPr>
        <w:t xml:space="preserve">seeks to address the growing urgency from companies, civil society and policy makers to find </w:t>
      </w:r>
      <w:r w:rsidRPr="005E29D1">
        <w:rPr>
          <w:rFonts w:ascii="Times New Roman" w:hAnsi="Times New Roman" w:cs="Times New Roman"/>
          <w:bCs/>
        </w:rPr>
        <w:t>principled and pragmatic ways to address the socio-political harms</w:t>
      </w:r>
      <w:r w:rsidRPr="005E29D1">
        <w:rPr>
          <w:rFonts w:ascii="Times New Roman" w:hAnsi="Times New Roman" w:cs="Times New Roman"/>
        </w:rPr>
        <w:t xml:space="preserve"> that might, or do, occur during the application of digital technologies, including AI, by the private and public sectors. </w:t>
      </w:r>
      <w:r w:rsidRPr="00386A42">
        <w:rPr>
          <w:rFonts w:ascii="Times New Roman" w:hAnsi="Times New Roman" w:cs="Times New Roman"/>
        </w:rPr>
        <w:t xml:space="preserve">The project’s premise is that </w:t>
      </w:r>
      <w:r w:rsidRPr="00386A42">
        <w:rPr>
          <w:rFonts w:ascii="Times New Roman" w:hAnsi="Times New Roman" w:cs="Times New Roman"/>
          <w:b/>
        </w:rPr>
        <w:t xml:space="preserve">using the lens of all three pillars – Protect, Respect, </w:t>
      </w:r>
      <w:proofErr w:type="gramStart"/>
      <w:r w:rsidRPr="00386A42">
        <w:rPr>
          <w:rFonts w:ascii="Times New Roman" w:hAnsi="Times New Roman" w:cs="Times New Roman"/>
          <w:b/>
        </w:rPr>
        <w:t>Remedy</w:t>
      </w:r>
      <w:proofErr w:type="gramEnd"/>
      <w:r w:rsidRPr="00386A42">
        <w:rPr>
          <w:rFonts w:ascii="Times New Roman" w:hAnsi="Times New Roman" w:cs="Times New Roman"/>
          <w:b/>
        </w:rPr>
        <w:t xml:space="preserve"> - of the UNGPs can help clarify the respective roles and responsibilities of States and the private sector</w:t>
      </w:r>
      <w:r w:rsidRPr="00386A42">
        <w:rPr>
          <w:rFonts w:ascii="Times New Roman" w:hAnsi="Times New Roman" w:cs="Times New Roman"/>
        </w:rPr>
        <w:t xml:space="preserve"> in relation to specific issues, as well as offering road maps to:</w:t>
      </w:r>
      <w:r w:rsidRPr="00386A42">
        <w:rPr>
          <w:rFonts w:ascii="Times New Roman" w:eastAsia="Times New Roman" w:hAnsi="Times New Roman" w:cs="Times New Roman"/>
        </w:rPr>
        <w:t xml:space="preserve"> </w:t>
      </w:r>
    </w:p>
    <w:p w14:paraId="7BA6123D" w14:textId="77777777" w:rsidR="00B833A1" w:rsidRPr="00386A42" w:rsidRDefault="00B833A1" w:rsidP="00B833A1">
      <w:pPr>
        <w:pStyle w:val="ListParagraph"/>
        <w:numPr>
          <w:ilvl w:val="0"/>
          <w:numId w:val="28"/>
        </w:numPr>
        <w:pBdr>
          <w:top w:val="nil"/>
          <w:left w:val="nil"/>
          <w:bottom w:val="nil"/>
          <w:right w:val="nil"/>
          <w:between w:val="nil"/>
          <w:bar w:val="nil"/>
        </w:pBdr>
        <w:spacing w:line="280" w:lineRule="exact"/>
        <w:contextualSpacing w:val="0"/>
        <w:jc w:val="both"/>
        <w:rPr>
          <w:rFonts w:ascii="Times New Roman" w:hAnsi="Times New Roman" w:cs="Times New Roman"/>
        </w:rPr>
      </w:pPr>
      <w:r w:rsidRPr="00386A42">
        <w:rPr>
          <w:rFonts w:ascii="Times New Roman" w:hAnsi="Times New Roman" w:cs="Times New Roman"/>
        </w:rPr>
        <w:t>Guide what responsible business conduct looks like in practice regarding the development, application, sale and use of digital technologies;</w:t>
      </w:r>
    </w:p>
    <w:p w14:paraId="2D16A539" w14:textId="77777777" w:rsidR="00B833A1" w:rsidRPr="00386A42" w:rsidRDefault="00B833A1" w:rsidP="00B833A1">
      <w:pPr>
        <w:pStyle w:val="ListParagraph"/>
        <w:numPr>
          <w:ilvl w:val="0"/>
          <w:numId w:val="28"/>
        </w:numPr>
        <w:pBdr>
          <w:top w:val="nil"/>
          <w:left w:val="nil"/>
          <w:bottom w:val="nil"/>
          <w:right w:val="nil"/>
          <w:between w:val="nil"/>
          <w:bar w:val="nil"/>
        </w:pBdr>
        <w:spacing w:line="280" w:lineRule="exact"/>
        <w:contextualSpacing w:val="0"/>
        <w:jc w:val="both"/>
        <w:rPr>
          <w:rFonts w:ascii="Times New Roman" w:hAnsi="Times New Roman" w:cs="Times New Roman"/>
        </w:rPr>
      </w:pPr>
      <w:r w:rsidRPr="00386A42">
        <w:rPr>
          <w:rFonts w:ascii="Times New Roman" w:hAnsi="Times New Roman" w:cs="Times New Roman"/>
        </w:rPr>
        <w:t>Guide policy makers in applying a smart mix of regulation, incentives and public policy tools - providing human rights safeguards and accountability without hampering the potential of digital technologies to address social, ecological and other challenges; and</w:t>
      </w:r>
    </w:p>
    <w:p w14:paraId="58CD474F" w14:textId="77777777" w:rsidR="00B833A1" w:rsidRPr="00386A42" w:rsidRDefault="00B833A1" w:rsidP="00B833A1">
      <w:pPr>
        <w:pStyle w:val="ListParagraph"/>
        <w:numPr>
          <w:ilvl w:val="0"/>
          <w:numId w:val="28"/>
        </w:numPr>
        <w:pBdr>
          <w:top w:val="nil"/>
          <w:left w:val="nil"/>
          <w:bottom w:val="nil"/>
          <w:right w:val="nil"/>
          <w:between w:val="nil"/>
          <w:bar w:val="nil"/>
        </w:pBdr>
        <w:spacing w:line="280" w:lineRule="exact"/>
        <w:contextualSpacing w:val="0"/>
        <w:jc w:val="both"/>
        <w:rPr>
          <w:rFonts w:ascii="Times New Roman" w:hAnsi="Times New Roman" w:cs="Times New Roman"/>
        </w:rPr>
      </w:pPr>
      <w:r w:rsidRPr="00386A42">
        <w:rPr>
          <w:rFonts w:ascii="Times New Roman" w:hAnsi="Times New Roman" w:cs="Times New Roman"/>
        </w:rPr>
        <w:t>Develop workable models for remedy and accountability when harm has occurred.</w:t>
      </w:r>
    </w:p>
    <w:p w14:paraId="5635861A" w14:textId="77777777" w:rsidR="00B833A1" w:rsidRPr="005E29D1" w:rsidRDefault="00B833A1" w:rsidP="00B833A1">
      <w:pPr>
        <w:jc w:val="both"/>
        <w:rPr>
          <w:rFonts w:ascii="Times New Roman" w:hAnsi="Times New Roman" w:cs="Times New Roman"/>
        </w:rPr>
      </w:pPr>
    </w:p>
    <w:p w14:paraId="5E667C91" w14:textId="77777777" w:rsidR="00B833A1" w:rsidRPr="00386A42" w:rsidRDefault="00B833A1" w:rsidP="00B833A1">
      <w:pPr>
        <w:jc w:val="both"/>
        <w:rPr>
          <w:rFonts w:ascii="Times New Roman" w:hAnsi="Times New Roman" w:cs="Times New Roman"/>
        </w:rPr>
      </w:pPr>
      <w:r w:rsidRPr="005E29D1">
        <w:rPr>
          <w:rFonts w:ascii="Times New Roman" w:hAnsi="Times New Roman" w:cs="Times New Roman"/>
        </w:rPr>
        <w:t xml:space="preserve">Through convening an inclusive process of consultations and research involving key actors (public and private), the project will ultimately provide a </w:t>
      </w:r>
      <w:r w:rsidRPr="005E29D1">
        <w:rPr>
          <w:rFonts w:ascii="Times New Roman" w:hAnsi="Times New Roman" w:cs="Times New Roman"/>
          <w:b/>
        </w:rPr>
        <w:t xml:space="preserve">roadmap to </w:t>
      </w:r>
      <w:r w:rsidRPr="00386A42">
        <w:rPr>
          <w:rFonts w:ascii="Times New Roman" w:hAnsi="Times New Roman" w:cs="Times New Roman"/>
          <w:b/>
          <w:bCs/>
        </w:rPr>
        <w:t xml:space="preserve">the application of the UNGPs </w:t>
      </w:r>
      <w:r w:rsidRPr="005E29D1">
        <w:rPr>
          <w:rFonts w:ascii="Times New Roman" w:hAnsi="Times New Roman" w:cs="Times New Roman"/>
          <w:b/>
          <w:bCs/>
        </w:rPr>
        <w:t>to the development and use of digital technologies</w:t>
      </w:r>
      <w:r w:rsidRPr="005E29D1">
        <w:rPr>
          <w:rFonts w:ascii="Times New Roman" w:hAnsi="Times New Roman" w:cs="Times New Roman"/>
          <w:b/>
        </w:rPr>
        <w:t>, comprising policy guidance and public policy recommendation to realize a rights-based approach to the application and governance of digital technologies</w:t>
      </w:r>
      <w:r w:rsidRPr="005E29D1">
        <w:rPr>
          <w:rFonts w:ascii="Times New Roman" w:hAnsi="Times New Roman" w:cs="Times New Roman"/>
        </w:rPr>
        <w:t xml:space="preserve">. </w:t>
      </w:r>
    </w:p>
    <w:p w14:paraId="1CC5C0D0" w14:textId="77777777" w:rsidR="00B833A1" w:rsidRPr="00386A42" w:rsidRDefault="00B833A1" w:rsidP="00B833A1">
      <w:pPr>
        <w:jc w:val="both"/>
        <w:rPr>
          <w:rFonts w:ascii="Times New Roman" w:hAnsi="Times New Roman" w:cs="Times New Roman"/>
        </w:rPr>
      </w:pPr>
    </w:p>
    <w:p w14:paraId="574B8B03" w14:textId="34C04DF6" w:rsidR="00D521B5" w:rsidRPr="00386A42" w:rsidRDefault="00D521B5" w:rsidP="00CA2AC6">
      <w:pPr>
        <w:jc w:val="both"/>
        <w:rPr>
          <w:rFonts w:ascii="Times New Roman" w:hAnsi="Times New Roman" w:cs="Times New Roman"/>
        </w:rPr>
      </w:pPr>
    </w:p>
    <w:p w14:paraId="0B25AEFD" w14:textId="77777777" w:rsidR="00CA2AC6" w:rsidRPr="00386A42" w:rsidRDefault="00CA2AC6" w:rsidP="00CA2AC6">
      <w:pPr>
        <w:jc w:val="both"/>
        <w:rPr>
          <w:rFonts w:ascii="Times New Roman" w:hAnsi="Times New Roman" w:cs="Times New Roman"/>
          <w:lang w:val="en-US"/>
        </w:rPr>
      </w:pPr>
    </w:p>
    <w:p w14:paraId="609A6884" w14:textId="745888D8" w:rsidR="00CA2AC6" w:rsidRPr="00386A42" w:rsidRDefault="00CA2AC6" w:rsidP="00CA2AC6">
      <w:pPr>
        <w:rPr>
          <w:rFonts w:ascii="Times New Roman" w:hAnsi="Times New Roman" w:cs="Times New Roman"/>
          <w:b/>
          <w:u w:val="single"/>
        </w:rPr>
      </w:pPr>
      <w:r w:rsidRPr="00386A42">
        <w:rPr>
          <w:rFonts w:ascii="Times New Roman" w:hAnsi="Times New Roman" w:cs="Times New Roman"/>
          <w:b/>
          <w:u w:val="single"/>
        </w:rPr>
        <w:t xml:space="preserve">Session 4: Role of States and </w:t>
      </w:r>
      <w:r w:rsidR="008678C0" w:rsidRPr="00386A42">
        <w:rPr>
          <w:rFonts w:ascii="Times New Roman" w:hAnsi="Times New Roman" w:cs="Times New Roman"/>
          <w:b/>
          <w:u w:val="single"/>
        </w:rPr>
        <w:t>b</w:t>
      </w:r>
      <w:r w:rsidRPr="00386A42">
        <w:rPr>
          <w:rFonts w:ascii="Times New Roman" w:hAnsi="Times New Roman" w:cs="Times New Roman"/>
          <w:b/>
          <w:u w:val="single"/>
        </w:rPr>
        <w:t xml:space="preserve">usinesses in human rights </w:t>
      </w:r>
      <w:r w:rsidR="008678C0" w:rsidRPr="00386A42">
        <w:rPr>
          <w:rFonts w:ascii="Times New Roman" w:hAnsi="Times New Roman" w:cs="Times New Roman"/>
          <w:b/>
          <w:u w:val="single"/>
        </w:rPr>
        <w:t>a</w:t>
      </w:r>
      <w:r w:rsidRPr="00386A42">
        <w:rPr>
          <w:rFonts w:ascii="Times New Roman" w:hAnsi="Times New Roman" w:cs="Times New Roman"/>
          <w:b/>
          <w:u w:val="single"/>
        </w:rPr>
        <w:t xml:space="preserve">ccountability and </w:t>
      </w:r>
      <w:r w:rsidR="008678C0" w:rsidRPr="00386A42">
        <w:rPr>
          <w:rFonts w:ascii="Times New Roman" w:hAnsi="Times New Roman" w:cs="Times New Roman"/>
          <w:b/>
          <w:u w:val="single"/>
        </w:rPr>
        <w:t>r</w:t>
      </w:r>
      <w:r w:rsidRPr="00386A42">
        <w:rPr>
          <w:rFonts w:ascii="Times New Roman" w:hAnsi="Times New Roman" w:cs="Times New Roman"/>
          <w:b/>
          <w:u w:val="single"/>
        </w:rPr>
        <w:t>emedy</w:t>
      </w:r>
    </w:p>
    <w:p w14:paraId="2575038B" w14:textId="411A8029" w:rsidR="00D4390D" w:rsidRPr="00386A42" w:rsidRDefault="00D4390D" w:rsidP="008D5096">
      <w:pPr>
        <w:jc w:val="both"/>
        <w:rPr>
          <w:rFonts w:ascii="Times New Roman" w:hAnsi="Times New Roman" w:cs="Times New Roman"/>
          <w:b/>
          <w:u w:val="single"/>
        </w:rPr>
      </w:pPr>
    </w:p>
    <w:p w14:paraId="54218C17" w14:textId="45D7D683" w:rsidR="001A3803" w:rsidRPr="00386A42" w:rsidRDefault="00AE52F1" w:rsidP="001A3803">
      <w:pPr>
        <w:jc w:val="both"/>
        <w:rPr>
          <w:rFonts w:ascii="Times New Roman" w:hAnsi="Times New Roman" w:cs="Times New Roman"/>
        </w:rPr>
      </w:pPr>
      <w:r w:rsidRPr="00386A42">
        <w:rPr>
          <w:rFonts w:ascii="Times New Roman" w:hAnsi="Times New Roman" w:cs="Times New Roman"/>
        </w:rPr>
        <w:t>The ses</w:t>
      </w:r>
      <w:r w:rsidR="00443A32" w:rsidRPr="00386A42">
        <w:rPr>
          <w:rFonts w:ascii="Times New Roman" w:hAnsi="Times New Roman" w:cs="Times New Roman"/>
        </w:rPr>
        <w:t>sion will</w:t>
      </w:r>
      <w:r w:rsidRPr="00386A42">
        <w:rPr>
          <w:rFonts w:ascii="Times New Roman" w:hAnsi="Times New Roman" w:cs="Times New Roman"/>
        </w:rPr>
        <w:t xml:space="preserve"> discuss </w:t>
      </w:r>
      <w:r w:rsidRPr="00386A42">
        <w:rPr>
          <w:rFonts w:ascii="Times New Roman" w:hAnsi="Times New Roman" w:cs="Times New Roman"/>
          <w:b/>
        </w:rPr>
        <w:t xml:space="preserve">the current state of play </w:t>
      </w:r>
      <w:r w:rsidR="00443A32" w:rsidRPr="00386A42">
        <w:rPr>
          <w:rFonts w:ascii="Times New Roman" w:hAnsi="Times New Roman" w:cs="Times New Roman"/>
          <w:b/>
        </w:rPr>
        <w:t xml:space="preserve">of access to remedy through State-based and non-State-based grievances mechanisms for business related human rights abuse. </w:t>
      </w:r>
      <w:r w:rsidRPr="00386A42">
        <w:rPr>
          <w:rFonts w:ascii="Times New Roman" w:hAnsi="Times New Roman" w:cs="Times New Roman"/>
        </w:rPr>
        <w:t xml:space="preserve"> As such, it will </w:t>
      </w:r>
      <w:r w:rsidRPr="00386A42">
        <w:rPr>
          <w:rFonts w:ascii="Times New Roman" w:hAnsi="Times New Roman" w:cs="Times New Roman"/>
          <w:lang w:val="en-US"/>
        </w:rPr>
        <w:t xml:space="preserve">explore the extent </w:t>
      </w:r>
      <w:r w:rsidR="008678C0" w:rsidRPr="00386A42">
        <w:rPr>
          <w:rFonts w:ascii="Times New Roman" w:hAnsi="Times New Roman" w:cs="Times New Roman"/>
          <w:lang w:val="en-US"/>
        </w:rPr>
        <w:t xml:space="preserve">to which </w:t>
      </w:r>
      <w:r w:rsidR="00443A32" w:rsidRPr="00386A42">
        <w:rPr>
          <w:rFonts w:ascii="Times New Roman" w:hAnsi="Times New Roman" w:cs="Times New Roman"/>
          <w:lang w:val="en-US"/>
        </w:rPr>
        <w:t xml:space="preserve">these mechanisms </w:t>
      </w:r>
      <w:r w:rsidRPr="00386A42">
        <w:rPr>
          <w:rFonts w:ascii="Times New Roman" w:hAnsi="Times New Roman" w:cs="Times New Roman"/>
          <w:lang w:val="en-US"/>
        </w:rPr>
        <w:t>are fulfilling their role of providing remedy in business and human rights cases</w:t>
      </w:r>
      <w:r w:rsidR="006276BD" w:rsidRPr="00386A42">
        <w:rPr>
          <w:rFonts w:ascii="Times New Roman" w:hAnsi="Times New Roman" w:cs="Times New Roman"/>
          <w:lang w:val="en-US"/>
        </w:rPr>
        <w:t xml:space="preserve"> in </w:t>
      </w:r>
      <w:r w:rsidR="006276BD" w:rsidRPr="00386A42">
        <w:rPr>
          <w:rFonts w:ascii="Times New Roman" w:hAnsi="Times New Roman" w:cs="Times New Roman"/>
        </w:rPr>
        <w:t>East and Southeast Asia</w:t>
      </w:r>
      <w:r w:rsidR="00443A32" w:rsidRPr="00386A42">
        <w:rPr>
          <w:rFonts w:ascii="Times New Roman" w:hAnsi="Times New Roman" w:cs="Times New Roman"/>
          <w:lang w:val="en-US"/>
        </w:rPr>
        <w:t>.</w:t>
      </w:r>
      <w:r w:rsidR="001A3803" w:rsidRPr="00386A42">
        <w:rPr>
          <w:rFonts w:ascii="Times New Roman" w:hAnsi="Times New Roman" w:cs="Times New Roman"/>
          <w:lang w:val="en-US"/>
        </w:rPr>
        <w:t xml:space="preserve"> T</w:t>
      </w:r>
      <w:r w:rsidR="00443A32" w:rsidRPr="00386A42">
        <w:rPr>
          <w:rFonts w:ascii="Times New Roman" w:hAnsi="Times New Roman" w:cs="Times New Roman"/>
          <w:lang w:val="en-US"/>
        </w:rPr>
        <w:t>he session will primarily focus</w:t>
      </w:r>
      <w:r w:rsidRPr="00386A42">
        <w:rPr>
          <w:rFonts w:ascii="Times New Roman" w:hAnsi="Times New Roman" w:cs="Times New Roman"/>
          <w:lang w:val="en-US"/>
        </w:rPr>
        <w:t xml:space="preserve"> </w:t>
      </w:r>
      <w:r w:rsidR="008678C0" w:rsidRPr="00386A42">
        <w:rPr>
          <w:rFonts w:ascii="Times New Roman" w:hAnsi="Times New Roman" w:cs="Times New Roman"/>
          <w:lang w:val="en-US"/>
        </w:rPr>
        <w:t>on</w:t>
      </w:r>
      <w:r w:rsidRPr="00386A42">
        <w:rPr>
          <w:rFonts w:ascii="Times New Roman" w:hAnsi="Times New Roman" w:cs="Times New Roman"/>
          <w:lang w:val="en-US"/>
        </w:rPr>
        <w:t xml:space="preserve"> how States and other relevant stakeholders can help enhance the </w:t>
      </w:r>
      <w:r w:rsidRPr="00386A42">
        <w:rPr>
          <w:rFonts w:ascii="Times New Roman" w:hAnsi="Times New Roman" w:cs="Times New Roman"/>
          <w:b/>
          <w:lang w:val="en-US"/>
        </w:rPr>
        <w:t>effectiveness of State-based mechanisms</w:t>
      </w:r>
      <w:r w:rsidR="00443A32" w:rsidRPr="00386A42">
        <w:rPr>
          <w:rFonts w:ascii="Times New Roman" w:hAnsi="Times New Roman" w:cs="Times New Roman"/>
          <w:lang w:val="en-US"/>
        </w:rPr>
        <w:t xml:space="preserve"> </w:t>
      </w:r>
      <w:r w:rsidRPr="00386A42">
        <w:rPr>
          <w:rFonts w:ascii="Times New Roman" w:hAnsi="Times New Roman" w:cs="Times New Roman"/>
          <w:lang w:val="en-US"/>
        </w:rPr>
        <w:t xml:space="preserve">in practice, including through </w:t>
      </w:r>
      <w:r w:rsidRPr="00386A42">
        <w:rPr>
          <w:rFonts w:ascii="Times New Roman" w:hAnsi="Times New Roman" w:cs="Times New Roman"/>
          <w:b/>
          <w:lang w:val="en-US"/>
        </w:rPr>
        <w:t>boosting the linkages between judicial and non-judicial mechanisms</w:t>
      </w:r>
      <w:r w:rsidRPr="00386A42">
        <w:rPr>
          <w:rFonts w:ascii="Times New Roman" w:hAnsi="Times New Roman" w:cs="Times New Roman"/>
          <w:lang w:val="en-US"/>
        </w:rPr>
        <w:t>.</w:t>
      </w:r>
      <w:r w:rsidR="00443A32" w:rsidRPr="00386A42">
        <w:rPr>
          <w:rFonts w:ascii="Times New Roman" w:hAnsi="Times New Roman" w:cs="Times New Roman"/>
          <w:lang w:val="en-US"/>
        </w:rPr>
        <w:t xml:space="preserve"> </w:t>
      </w:r>
      <w:r w:rsidR="001A3803" w:rsidRPr="00386A42">
        <w:rPr>
          <w:rFonts w:ascii="Times New Roman" w:hAnsi="Times New Roman" w:cs="Times New Roman"/>
          <w:lang w:val="en-US"/>
        </w:rPr>
        <w:t xml:space="preserve">It will also touch upon </w:t>
      </w:r>
      <w:r w:rsidR="001A3803" w:rsidRPr="00386A42">
        <w:rPr>
          <w:rFonts w:ascii="Times New Roman" w:hAnsi="Times New Roman" w:cs="Times New Roman"/>
          <w:b/>
          <w:lang w:val="en-US"/>
        </w:rPr>
        <w:t xml:space="preserve">how </w:t>
      </w:r>
      <w:r w:rsidR="001A3803" w:rsidRPr="00386A42">
        <w:rPr>
          <w:rFonts w:ascii="Times New Roman" w:hAnsi="Times New Roman" w:cs="Times New Roman"/>
          <w:b/>
        </w:rPr>
        <w:t>non-State-based grievance mechanisms can play an important role</w:t>
      </w:r>
      <w:r w:rsidR="00E36D8A" w:rsidRPr="00386A42">
        <w:rPr>
          <w:rFonts w:ascii="Times New Roman" w:hAnsi="Times New Roman" w:cs="Times New Roman"/>
          <w:b/>
        </w:rPr>
        <w:t xml:space="preserve"> </w:t>
      </w:r>
      <w:r w:rsidR="00E36D8A" w:rsidRPr="00386A42">
        <w:rPr>
          <w:rFonts w:ascii="Times New Roman" w:hAnsi="Times New Roman" w:cs="Times New Roman"/>
        </w:rPr>
        <w:t>(operational-level grievances mechanisms will be the focus of session 5)</w:t>
      </w:r>
      <w:r w:rsidR="001A3803" w:rsidRPr="00386A42">
        <w:rPr>
          <w:rFonts w:ascii="Times New Roman" w:hAnsi="Times New Roman" w:cs="Times New Roman"/>
        </w:rPr>
        <w:t xml:space="preserve">. For instance, operational-level grievance mechanisms of companies can make it possible for grievances to </w:t>
      </w:r>
      <w:proofErr w:type="gramStart"/>
      <w:r w:rsidR="001A3803" w:rsidRPr="00386A42">
        <w:rPr>
          <w:rFonts w:ascii="Times New Roman" w:hAnsi="Times New Roman" w:cs="Times New Roman"/>
        </w:rPr>
        <w:t>be addressed</w:t>
      </w:r>
      <w:proofErr w:type="gramEnd"/>
      <w:r w:rsidR="001A3803" w:rsidRPr="00386A42">
        <w:rPr>
          <w:rFonts w:ascii="Times New Roman" w:hAnsi="Times New Roman" w:cs="Times New Roman"/>
        </w:rPr>
        <w:t xml:space="preserve"> and for adverse impacts to be remediated early and directly by the companies, thereby preventing harms from compounding and grievances from escalating. </w:t>
      </w:r>
    </w:p>
    <w:p w14:paraId="7DC5F5B9" w14:textId="77777777" w:rsidR="001A3803" w:rsidRPr="00386A42" w:rsidRDefault="001A3803" w:rsidP="001A3803">
      <w:pPr>
        <w:jc w:val="both"/>
        <w:rPr>
          <w:rFonts w:ascii="Times New Roman" w:hAnsi="Times New Roman" w:cs="Times New Roman"/>
          <w:lang w:val="en-US"/>
        </w:rPr>
      </w:pPr>
    </w:p>
    <w:p w14:paraId="6E57B4AA" w14:textId="39B451F4" w:rsidR="00CA2AC6" w:rsidRPr="00386A42" w:rsidRDefault="00CA2AC6" w:rsidP="008D5096">
      <w:pPr>
        <w:jc w:val="both"/>
        <w:rPr>
          <w:rFonts w:ascii="Times New Roman" w:hAnsi="Times New Roman" w:cs="Times New Roman"/>
          <w:b/>
          <w:u w:val="single"/>
        </w:rPr>
      </w:pPr>
      <w:r w:rsidRPr="00386A42">
        <w:rPr>
          <w:rFonts w:ascii="Times New Roman" w:hAnsi="Times New Roman" w:cs="Times New Roman"/>
          <w:b/>
          <w:bCs/>
          <w:color w:val="000000"/>
          <w:u w:val="single"/>
        </w:rPr>
        <w:t xml:space="preserve">Session 5: Enhancing the effectiveness of non-State-based grievance mechanisms for business related human rights abuse </w:t>
      </w:r>
    </w:p>
    <w:p w14:paraId="6869279F" w14:textId="22BFC548" w:rsidR="00CA2AC6" w:rsidRPr="00386A42" w:rsidRDefault="00CA2AC6" w:rsidP="008D5096">
      <w:pPr>
        <w:jc w:val="both"/>
        <w:rPr>
          <w:rFonts w:ascii="Times New Roman" w:hAnsi="Times New Roman" w:cs="Times New Roman"/>
          <w:b/>
        </w:rPr>
      </w:pPr>
    </w:p>
    <w:p w14:paraId="7926FCA9" w14:textId="77777777" w:rsidR="001A3803" w:rsidRPr="00386A42" w:rsidRDefault="001A3803" w:rsidP="001A3803">
      <w:pPr>
        <w:jc w:val="both"/>
        <w:rPr>
          <w:rFonts w:ascii="Times New Roman" w:hAnsi="Times New Roman" w:cs="Times New Roman"/>
        </w:rPr>
      </w:pPr>
      <w:r w:rsidRPr="00386A42">
        <w:rPr>
          <w:rFonts w:ascii="Times New Roman" w:hAnsi="Times New Roman" w:cs="Times New Roman"/>
        </w:rPr>
        <w:t>To make it possible for grievances to be addressed early and remediated directly, the Guiding Principles call on companies to “establish or participate in” effective operational-level grievance mechanisms. The Guiding Principles also consider the use of other non-State-based grievance mechanisms, such as multi-stakeholder or other collaborative initiatives, as important means through which companies can meet their responsibility to respect human rights.</w:t>
      </w:r>
    </w:p>
    <w:p w14:paraId="7D53F84A" w14:textId="17F2E99D" w:rsidR="001A3803" w:rsidRPr="00386A42" w:rsidRDefault="001A3803" w:rsidP="008D5096">
      <w:pPr>
        <w:jc w:val="both"/>
        <w:rPr>
          <w:rFonts w:ascii="Times New Roman" w:hAnsi="Times New Roman" w:cs="Times New Roman"/>
          <w:lang w:val="en-US"/>
        </w:rPr>
      </w:pPr>
    </w:p>
    <w:p w14:paraId="7E49769F" w14:textId="3578FB78" w:rsidR="00491355" w:rsidRPr="00386A42" w:rsidRDefault="00CA2AC6" w:rsidP="008D5096">
      <w:pPr>
        <w:jc w:val="both"/>
        <w:rPr>
          <w:rFonts w:ascii="Times New Roman" w:hAnsi="Times New Roman" w:cs="Times New Roman"/>
          <w:lang w:val="en-US"/>
        </w:rPr>
      </w:pPr>
      <w:r w:rsidRPr="00386A42">
        <w:rPr>
          <w:rFonts w:ascii="Times New Roman" w:hAnsi="Times New Roman" w:cs="Times New Roman"/>
          <w:lang w:val="en-US"/>
        </w:rPr>
        <w:t xml:space="preserve">The session will be focusing on the </w:t>
      </w:r>
      <w:r w:rsidRPr="00386A42">
        <w:rPr>
          <w:rFonts w:ascii="Times New Roman" w:hAnsi="Times New Roman" w:cs="Times New Roman"/>
          <w:b/>
          <w:lang w:val="en-US"/>
        </w:rPr>
        <w:t>availability and use of non-State-based grievance mechanisms</w:t>
      </w:r>
      <w:r w:rsidRPr="00386A42">
        <w:rPr>
          <w:rFonts w:ascii="Times New Roman" w:hAnsi="Times New Roman" w:cs="Times New Roman"/>
          <w:lang w:val="en-US"/>
        </w:rPr>
        <w:t xml:space="preserve"> (such as operational-level grievance mechanisms or independent accountability mechanisms) </w:t>
      </w:r>
      <w:r w:rsidR="006276BD" w:rsidRPr="00386A42">
        <w:rPr>
          <w:rFonts w:ascii="Times New Roman" w:hAnsi="Times New Roman" w:cs="Times New Roman"/>
          <w:lang w:val="en-US"/>
        </w:rPr>
        <w:t xml:space="preserve">in </w:t>
      </w:r>
      <w:r w:rsidR="006276BD" w:rsidRPr="00386A42">
        <w:rPr>
          <w:rFonts w:ascii="Times New Roman" w:hAnsi="Times New Roman" w:cs="Times New Roman"/>
        </w:rPr>
        <w:t xml:space="preserve">East and Southeast </w:t>
      </w:r>
      <w:r w:rsidR="00944051" w:rsidRPr="00386A42">
        <w:rPr>
          <w:rFonts w:ascii="Times New Roman" w:hAnsi="Times New Roman" w:cs="Times New Roman"/>
          <w:lang w:val="en-US"/>
        </w:rPr>
        <w:t>Asia</w:t>
      </w:r>
      <w:r w:rsidRPr="00386A42">
        <w:rPr>
          <w:rFonts w:ascii="Times New Roman" w:hAnsi="Times New Roman" w:cs="Times New Roman"/>
          <w:lang w:val="en-US"/>
        </w:rPr>
        <w:t xml:space="preserve">.  More specifically, the session will be exploring the </w:t>
      </w:r>
      <w:r w:rsidRPr="00386A42">
        <w:rPr>
          <w:rFonts w:ascii="Times New Roman" w:hAnsi="Times New Roman" w:cs="Times New Roman"/>
          <w:b/>
          <w:lang w:val="en-US"/>
        </w:rPr>
        <w:t>challenges associated with the use and administration of such mechanisms</w:t>
      </w:r>
      <w:r w:rsidRPr="00386A42">
        <w:rPr>
          <w:rFonts w:ascii="Times New Roman" w:hAnsi="Times New Roman" w:cs="Times New Roman"/>
          <w:lang w:val="en-US"/>
        </w:rPr>
        <w:t xml:space="preserve">, and </w:t>
      </w:r>
      <w:r w:rsidR="008D0582" w:rsidRPr="00386A42">
        <w:rPr>
          <w:rFonts w:ascii="Times New Roman" w:hAnsi="Times New Roman" w:cs="Times New Roman"/>
          <w:b/>
          <w:lang w:val="en-US"/>
        </w:rPr>
        <w:t xml:space="preserve">ways of </w:t>
      </w:r>
      <w:r w:rsidRPr="00386A42">
        <w:rPr>
          <w:rFonts w:ascii="Times New Roman" w:hAnsi="Times New Roman" w:cs="Times New Roman"/>
          <w:b/>
          <w:lang w:val="en-US"/>
        </w:rPr>
        <w:t xml:space="preserve">enhancing the effectiveness of such mechanisms </w:t>
      </w:r>
      <w:r w:rsidRPr="00386A42">
        <w:rPr>
          <w:rFonts w:ascii="Times New Roman" w:hAnsi="Times New Roman" w:cs="Times New Roman"/>
          <w:lang w:val="en-US"/>
        </w:rPr>
        <w:t xml:space="preserve">going forward. </w:t>
      </w:r>
      <w:r w:rsidR="00491355" w:rsidRPr="00386A42">
        <w:rPr>
          <w:rFonts w:ascii="Times New Roman" w:hAnsi="Times New Roman" w:cs="Times New Roman"/>
          <w:lang w:val="en-US"/>
        </w:rPr>
        <w:t xml:space="preserve">Both panelists and participants </w:t>
      </w:r>
      <w:proofErr w:type="gramStart"/>
      <w:r w:rsidR="00491355" w:rsidRPr="00386A42">
        <w:rPr>
          <w:rFonts w:ascii="Times New Roman" w:hAnsi="Times New Roman" w:cs="Times New Roman"/>
          <w:lang w:val="en-US"/>
        </w:rPr>
        <w:t>will be invited</w:t>
      </w:r>
      <w:proofErr w:type="gramEnd"/>
      <w:r w:rsidR="00491355" w:rsidRPr="00386A42">
        <w:rPr>
          <w:rFonts w:ascii="Times New Roman" w:hAnsi="Times New Roman" w:cs="Times New Roman"/>
          <w:lang w:val="en-US"/>
        </w:rPr>
        <w:t xml:space="preserve"> to share lessons learned and ideas for enhancing the effectiveness of non-State-based grievance mechanisms in order to improve victims’ options for obtaining effective remedy.</w:t>
      </w:r>
      <w:r w:rsidR="00974AB8" w:rsidRPr="00386A42">
        <w:rPr>
          <w:rFonts w:ascii="Times New Roman" w:hAnsi="Times New Roman" w:cs="Times New Roman"/>
          <w:lang w:val="en-US"/>
        </w:rPr>
        <w:t xml:space="preserve"> </w:t>
      </w:r>
    </w:p>
    <w:p w14:paraId="0CB47607" w14:textId="77777777" w:rsidR="00D521B5" w:rsidRPr="00386A42" w:rsidRDefault="00D521B5" w:rsidP="00D521B5">
      <w:pPr>
        <w:spacing w:line="276" w:lineRule="auto"/>
        <w:jc w:val="both"/>
        <w:rPr>
          <w:rFonts w:ascii="Times New Roman" w:hAnsi="Times New Roman" w:cs="Times New Roman"/>
          <w:u w:val="single"/>
          <w:lang w:val="en-US"/>
        </w:rPr>
      </w:pPr>
    </w:p>
    <w:p w14:paraId="288EF4A0" w14:textId="3495FE95" w:rsidR="005E29D1" w:rsidRPr="00386A42" w:rsidRDefault="00D521B5" w:rsidP="005E29D1">
      <w:pPr>
        <w:spacing w:line="276" w:lineRule="auto"/>
        <w:rPr>
          <w:rFonts w:ascii="Times New Roman" w:hAnsi="Times New Roman" w:cs="Times New Roman"/>
          <w:b/>
          <w:lang w:val="en-US"/>
        </w:rPr>
      </w:pPr>
      <w:r w:rsidRPr="00D521B5">
        <w:rPr>
          <w:rFonts w:ascii="Times New Roman" w:hAnsi="Times New Roman" w:cs="Times New Roman"/>
          <w:b/>
          <w:u w:val="single"/>
          <w:lang w:val="en-US"/>
        </w:rPr>
        <w:t>Session 6: Access to remedy through non-State-based grievance mechanisms in the technology sector</w:t>
      </w:r>
      <w:r w:rsidRPr="00D521B5">
        <w:rPr>
          <w:rFonts w:ascii="Times New Roman" w:hAnsi="Times New Roman" w:cs="Times New Roman"/>
          <w:b/>
          <w:lang w:val="en-US"/>
        </w:rPr>
        <w:t xml:space="preserve"> </w:t>
      </w:r>
      <w:r w:rsidR="005E29D1" w:rsidRPr="00386A42">
        <w:rPr>
          <w:rFonts w:ascii="Times New Roman" w:hAnsi="Times New Roman" w:cs="Times New Roman"/>
          <w:b/>
          <w:lang w:val="en-US"/>
        </w:rPr>
        <w:t>(organized by t</w:t>
      </w:r>
      <w:r w:rsidRPr="00D521B5">
        <w:rPr>
          <w:rFonts w:ascii="Times New Roman" w:hAnsi="Times New Roman" w:cs="Times New Roman"/>
          <w:b/>
          <w:lang w:val="en-US"/>
        </w:rPr>
        <w:t>he Human Rights, B</w:t>
      </w:r>
      <w:r w:rsidR="005E29D1" w:rsidRPr="00386A42">
        <w:rPr>
          <w:rFonts w:ascii="Times New Roman" w:hAnsi="Times New Roman" w:cs="Times New Roman"/>
          <w:b/>
          <w:lang w:val="en-US"/>
        </w:rPr>
        <w:t xml:space="preserve">ig Data and Technology Project </w:t>
      </w:r>
      <w:r w:rsidRPr="00D521B5">
        <w:rPr>
          <w:rFonts w:ascii="Times New Roman" w:hAnsi="Times New Roman" w:cs="Times New Roman"/>
          <w:b/>
          <w:lang w:val="en-US"/>
        </w:rPr>
        <w:t>at the University of Essex and OHCHR</w:t>
      </w:r>
      <w:r w:rsidR="005E29D1" w:rsidRPr="00386A42">
        <w:rPr>
          <w:rFonts w:ascii="Times New Roman" w:hAnsi="Times New Roman" w:cs="Times New Roman"/>
          <w:b/>
          <w:lang w:val="en-US"/>
        </w:rPr>
        <w:t>)</w:t>
      </w:r>
    </w:p>
    <w:p w14:paraId="3A90F97F" w14:textId="35825AC6" w:rsidR="00B833A1" w:rsidRPr="00386A42" w:rsidRDefault="005E29D1" w:rsidP="00386A42">
      <w:pPr>
        <w:pStyle w:val="NormalWeb"/>
        <w:spacing w:line="280" w:lineRule="exact"/>
        <w:jc w:val="both"/>
        <w:rPr>
          <w:sz w:val="22"/>
          <w:szCs w:val="22"/>
        </w:rPr>
      </w:pPr>
      <w:r w:rsidRPr="00386A42">
        <w:rPr>
          <w:sz w:val="22"/>
          <w:szCs w:val="22"/>
        </w:rPr>
        <w:t xml:space="preserve">This session </w:t>
      </w:r>
      <w:r w:rsidR="002A4C9C" w:rsidRPr="00386A42">
        <w:rPr>
          <w:sz w:val="22"/>
          <w:szCs w:val="22"/>
        </w:rPr>
        <w:t xml:space="preserve">will focus on Focus Area 3 of the project, </w:t>
      </w:r>
      <w:proofErr w:type="spellStart"/>
      <w:r w:rsidR="002A4C9C" w:rsidRPr="00386A42">
        <w:rPr>
          <w:sz w:val="22"/>
          <w:szCs w:val="22"/>
        </w:rPr>
        <w:t>i.e</w:t>
      </w:r>
      <w:proofErr w:type="spellEnd"/>
      <w:r w:rsidR="002A4C9C" w:rsidRPr="00386A42">
        <w:rPr>
          <w:sz w:val="22"/>
          <w:szCs w:val="22"/>
        </w:rPr>
        <w:t xml:space="preserve"> “accountability and remedy”, and will look at </w:t>
      </w:r>
      <w:r w:rsidRPr="00D521B5">
        <w:rPr>
          <w:sz w:val="22"/>
          <w:szCs w:val="22"/>
          <w:lang w:val="en-US"/>
        </w:rPr>
        <w:t xml:space="preserve">issues related to the </w:t>
      </w:r>
      <w:r w:rsidRPr="00D521B5">
        <w:rPr>
          <w:b/>
          <w:sz w:val="22"/>
          <w:szCs w:val="22"/>
          <w:lang w:val="en-US"/>
        </w:rPr>
        <w:t xml:space="preserve">technology sector and access to effective remedy </w:t>
      </w:r>
      <w:proofErr w:type="gramStart"/>
      <w:r w:rsidRPr="00D521B5">
        <w:rPr>
          <w:b/>
          <w:sz w:val="22"/>
          <w:szCs w:val="22"/>
          <w:lang w:val="en-US"/>
        </w:rPr>
        <w:t>through the use of</w:t>
      </w:r>
      <w:proofErr w:type="gramEnd"/>
      <w:r w:rsidRPr="00D521B5">
        <w:rPr>
          <w:b/>
          <w:sz w:val="22"/>
          <w:szCs w:val="22"/>
          <w:lang w:val="en-US"/>
        </w:rPr>
        <w:t xml:space="preserve"> non-State-based grievance mechanisms.</w:t>
      </w:r>
      <w:r w:rsidRPr="00386A42">
        <w:rPr>
          <w:sz w:val="22"/>
          <w:szCs w:val="22"/>
          <w:lang w:val="en-US"/>
        </w:rPr>
        <w:t xml:space="preserve"> </w:t>
      </w:r>
      <w:r w:rsidR="00B833A1" w:rsidRPr="00386A42">
        <w:rPr>
          <w:sz w:val="22"/>
          <w:szCs w:val="22"/>
        </w:rPr>
        <w:t xml:space="preserve">Delivering on access to remedy – regardless of the mechanism - can be challenging no matter the industry or operating context. When it comes to the development and use of digital technologies, certain seemingly unique issues will need to be addressed such as guaranteeing remedy when abuses result from decisions made by machines and algorithms, rather than humans; providing effective operational-level grievance mechanisms when there may be hundreds </w:t>
      </w:r>
      <w:proofErr w:type="spellStart"/>
      <w:r w:rsidR="00B833A1" w:rsidRPr="00386A42">
        <w:rPr>
          <w:sz w:val="22"/>
          <w:szCs w:val="22"/>
        </w:rPr>
        <w:t>or</w:t>
      </w:r>
      <w:proofErr w:type="spellEnd"/>
      <w:r w:rsidR="00B833A1" w:rsidRPr="00386A42">
        <w:rPr>
          <w:sz w:val="22"/>
          <w:szCs w:val="22"/>
        </w:rPr>
        <w:t xml:space="preserve"> millions of adversely affected rights-holders; and safeguarding access to remedy when dozens of companies, rather than a single corporate actor, are linked to a human rights abuse via the interaction of different technology products and services. </w:t>
      </w:r>
    </w:p>
    <w:p w14:paraId="49336D96" w14:textId="77777777" w:rsidR="00B833A1" w:rsidRPr="00386A42" w:rsidRDefault="00B833A1" w:rsidP="00386A42">
      <w:pPr>
        <w:spacing w:line="276" w:lineRule="auto"/>
        <w:jc w:val="both"/>
        <w:rPr>
          <w:rFonts w:ascii="Times New Roman" w:hAnsi="Times New Roman" w:cs="Times New Roman"/>
        </w:rPr>
      </w:pPr>
    </w:p>
    <w:p w14:paraId="0503F18B" w14:textId="77777777" w:rsidR="00386A42" w:rsidRPr="00386A42" w:rsidRDefault="002A4C9C" w:rsidP="00386A42">
      <w:pPr>
        <w:jc w:val="both"/>
        <w:rPr>
          <w:rFonts w:ascii="Times New Roman" w:hAnsi="Times New Roman" w:cs="Times New Roman"/>
          <w:color w:val="000000" w:themeColor="text1"/>
          <w:lang w:val="en-US"/>
        </w:rPr>
      </w:pPr>
      <w:r w:rsidRPr="00D521B5">
        <w:rPr>
          <w:rFonts w:ascii="Times New Roman" w:hAnsi="Times New Roman" w:cs="Times New Roman"/>
          <w:color w:val="000000" w:themeColor="text1"/>
          <w:lang w:val="en-US"/>
        </w:rPr>
        <w:t xml:space="preserve">The aim of this meeting will be to explore (1) </w:t>
      </w:r>
      <w:r w:rsidRPr="00D521B5">
        <w:rPr>
          <w:rFonts w:ascii="Times New Roman" w:hAnsi="Times New Roman" w:cs="Times New Roman"/>
          <w:b/>
          <w:color w:val="000000" w:themeColor="text1"/>
          <w:lang w:val="en-US"/>
        </w:rPr>
        <w:t>the different ways that technology companies can and should make use of and participate in private grievance mechanisms in order to meet their responsibilities under the UNGPs</w:t>
      </w:r>
      <w:r w:rsidRPr="00D521B5">
        <w:rPr>
          <w:rFonts w:ascii="Times New Roman" w:hAnsi="Times New Roman" w:cs="Times New Roman"/>
          <w:color w:val="000000" w:themeColor="text1"/>
          <w:lang w:val="en-US"/>
        </w:rPr>
        <w:t xml:space="preserve">, and (2) the </w:t>
      </w:r>
      <w:r w:rsidRPr="00D521B5">
        <w:rPr>
          <w:rFonts w:ascii="Times New Roman" w:hAnsi="Times New Roman" w:cs="Times New Roman"/>
          <w:b/>
          <w:color w:val="000000" w:themeColor="text1"/>
          <w:lang w:val="en-US"/>
        </w:rPr>
        <w:t>challenges and opportunities involved in this field</w:t>
      </w:r>
      <w:r w:rsidRPr="00D521B5">
        <w:rPr>
          <w:rFonts w:ascii="Times New Roman" w:hAnsi="Times New Roman" w:cs="Times New Roman"/>
          <w:color w:val="000000" w:themeColor="text1"/>
          <w:lang w:val="en-US"/>
        </w:rPr>
        <w:t xml:space="preserve">.  </w:t>
      </w:r>
    </w:p>
    <w:p w14:paraId="0FB3B9E5" w14:textId="34D4FF04" w:rsidR="00CF22E6" w:rsidRPr="00386A42" w:rsidRDefault="00386A42" w:rsidP="00386A42">
      <w:pPr>
        <w:jc w:val="both"/>
        <w:rPr>
          <w:rFonts w:ascii="Times New Roman" w:hAnsi="Times New Roman" w:cs="Times New Roman"/>
          <w:color w:val="000000" w:themeColor="text1"/>
          <w:lang w:val="en-US"/>
        </w:rPr>
      </w:pPr>
      <w:r w:rsidRPr="00386A42">
        <w:rPr>
          <w:rFonts w:ascii="Times New Roman" w:hAnsi="Times New Roman" w:cs="Times New Roman"/>
          <w:color w:val="000000" w:themeColor="text1"/>
          <w:lang w:val="en-US"/>
        </w:rPr>
        <w:t xml:space="preserve">In addition to the B-Tech project, </w:t>
      </w:r>
      <w:r w:rsidRPr="00386A42">
        <w:rPr>
          <w:rFonts w:ascii="Times New Roman" w:hAnsi="Times New Roman" w:cs="Times New Roman"/>
          <w:lang w:val="en-US"/>
        </w:rPr>
        <w:t>the discussions will also feed into</w:t>
      </w:r>
      <w:r w:rsidR="005A69DD">
        <w:rPr>
          <w:rFonts w:ascii="Times New Roman" w:hAnsi="Times New Roman" w:cs="Times New Roman"/>
          <w:lang w:val="en-US"/>
        </w:rPr>
        <w:t xml:space="preserve"> phase III of</w:t>
      </w:r>
      <w:r w:rsidRPr="00386A42">
        <w:rPr>
          <w:rFonts w:ascii="Times New Roman" w:hAnsi="Times New Roman" w:cs="Times New Roman"/>
          <w:lang w:val="en-US"/>
        </w:rPr>
        <w:t xml:space="preserve"> OHCHR’s Accountability and Remedy Project on non-State-based grievances mechanisms as they related to the tech sector. </w:t>
      </w:r>
    </w:p>
    <w:p w14:paraId="52EE3AAA" w14:textId="4DEA365F" w:rsidR="005E29D1" w:rsidRPr="00D521B5" w:rsidRDefault="005E29D1" w:rsidP="00386A42">
      <w:pPr>
        <w:spacing w:line="276" w:lineRule="auto"/>
        <w:jc w:val="both"/>
        <w:rPr>
          <w:rFonts w:ascii="Times New Roman" w:hAnsi="Times New Roman" w:cs="Times New Roman"/>
          <w:lang w:val="en-US"/>
        </w:rPr>
      </w:pPr>
    </w:p>
    <w:p w14:paraId="27A9A1A8" w14:textId="148E50FF" w:rsidR="00D521B5" w:rsidRPr="00386A42" w:rsidRDefault="002A4C9C" w:rsidP="00386A42">
      <w:pPr>
        <w:spacing w:line="276" w:lineRule="auto"/>
        <w:jc w:val="both"/>
        <w:rPr>
          <w:rFonts w:ascii="Times New Roman" w:hAnsi="Times New Roman" w:cs="Times New Roman"/>
          <w:b/>
          <w:lang w:val="en-US"/>
        </w:rPr>
      </w:pPr>
      <w:r w:rsidRPr="00386A42">
        <w:rPr>
          <w:rFonts w:ascii="Times New Roman" w:hAnsi="Times New Roman" w:cs="Times New Roman"/>
          <w:b/>
          <w:lang w:val="en-US"/>
        </w:rPr>
        <w:t xml:space="preserve">Key questions discussed </w:t>
      </w:r>
      <w:r w:rsidR="00F07774" w:rsidRPr="00386A42">
        <w:rPr>
          <w:rFonts w:ascii="Times New Roman" w:hAnsi="Times New Roman" w:cs="Times New Roman"/>
          <w:b/>
          <w:lang w:val="en-US"/>
        </w:rPr>
        <w:t>during the session will include</w:t>
      </w:r>
      <w:r w:rsidRPr="00386A42">
        <w:rPr>
          <w:rFonts w:ascii="Times New Roman" w:hAnsi="Times New Roman" w:cs="Times New Roman"/>
          <w:b/>
          <w:lang w:val="en-US"/>
        </w:rPr>
        <w:t xml:space="preserve">: </w:t>
      </w:r>
    </w:p>
    <w:p w14:paraId="7DFFAC9E" w14:textId="77777777" w:rsidR="002A4C9C" w:rsidRPr="00D521B5" w:rsidRDefault="002A4C9C" w:rsidP="00386A42">
      <w:pPr>
        <w:spacing w:line="276" w:lineRule="auto"/>
        <w:jc w:val="both"/>
        <w:rPr>
          <w:rFonts w:ascii="Times New Roman" w:hAnsi="Times New Roman" w:cs="Times New Roman"/>
          <w:b/>
          <w:lang w:val="en-US"/>
        </w:rPr>
      </w:pPr>
    </w:p>
    <w:p w14:paraId="7C8BEE23" w14:textId="0ABC65AF" w:rsidR="00B833A1" w:rsidRPr="00386A42" w:rsidRDefault="002A4C9C" w:rsidP="00386A42">
      <w:pPr>
        <w:pStyle w:val="NormalWeb"/>
        <w:numPr>
          <w:ilvl w:val="0"/>
          <w:numId w:val="32"/>
        </w:numPr>
        <w:pBdr>
          <w:top w:val="nil"/>
          <w:left w:val="nil"/>
          <w:bottom w:val="nil"/>
          <w:right w:val="nil"/>
          <w:between w:val="nil"/>
          <w:bar w:val="nil"/>
        </w:pBdr>
        <w:spacing w:beforeAutospacing="0" w:afterAutospacing="0" w:line="280" w:lineRule="exact"/>
        <w:jc w:val="both"/>
        <w:rPr>
          <w:iCs/>
          <w:sz w:val="22"/>
          <w:szCs w:val="22"/>
        </w:rPr>
      </w:pPr>
      <w:r w:rsidRPr="00386A42">
        <w:rPr>
          <w:iCs/>
          <w:sz w:val="22"/>
          <w:szCs w:val="22"/>
        </w:rPr>
        <w:t xml:space="preserve">To what extent are technology companies making use of company-based grievance mechanisms </w:t>
      </w:r>
    </w:p>
    <w:p w14:paraId="61BFCE75" w14:textId="77777777" w:rsidR="00B833A1" w:rsidRPr="00386A42" w:rsidRDefault="002A4C9C" w:rsidP="00386A42">
      <w:pPr>
        <w:pStyle w:val="NormalWeb"/>
        <w:numPr>
          <w:ilvl w:val="0"/>
          <w:numId w:val="32"/>
        </w:numPr>
        <w:pBdr>
          <w:top w:val="nil"/>
          <w:left w:val="nil"/>
          <w:bottom w:val="nil"/>
          <w:right w:val="nil"/>
          <w:between w:val="nil"/>
          <w:bar w:val="nil"/>
        </w:pBdr>
        <w:spacing w:beforeAutospacing="0" w:afterAutospacing="0" w:line="280" w:lineRule="exact"/>
        <w:jc w:val="both"/>
        <w:rPr>
          <w:iCs/>
          <w:sz w:val="22"/>
          <w:szCs w:val="22"/>
        </w:rPr>
      </w:pPr>
      <w:r w:rsidRPr="00386A42">
        <w:rPr>
          <w:iCs/>
          <w:sz w:val="22"/>
          <w:szCs w:val="22"/>
        </w:rPr>
        <w:t xml:space="preserve">What challenges have been encountered thus far and how have they been addressed in practice? </w:t>
      </w:r>
    </w:p>
    <w:p w14:paraId="7104A7EC" w14:textId="6FF58C54" w:rsidR="002A4C9C" w:rsidRPr="00386A42" w:rsidRDefault="00B833A1" w:rsidP="00386A42">
      <w:pPr>
        <w:pStyle w:val="NormalWeb"/>
        <w:numPr>
          <w:ilvl w:val="0"/>
          <w:numId w:val="32"/>
        </w:numPr>
        <w:pBdr>
          <w:top w:val="nil"/>
          <w:left w:val="nil"/>
          <w:bottom w:val="nil"/>
          <w:right w:val="nil"/>
          <w:between w:val="nil"/>
          <w:bar w:val="nil"/>
        </w:pBdr>
        <w:spacing w:beforeAutospacing="0" w:afterAutospacing="0" w:line="280" w:lineRule="exact"/>
        <w:jc w:val="both"/>
        <w:rPr>
          <w:iCs/>
          <w:sz w:val="22"/>
          <w:szCs w:val="22"/>
        </w:rPr>
      </w:pPr>
      <w:r w:rsidRPr="00386A42">
        <w:rPr>
          <w:iCs/>
          <w:sz w:val="22"/>
          <w:szCs w:val="22"/>
        </w:rPr>
        <w:t xml:space="preserve">How may technology companies </w:t>
      </w:r>
      <w:r w:rsidR="002A4C9C" w:rsidRPr="00386A42">
        <w:rPr>
          <w:iCs/>
          <w:sz w:val="22"/>
          <w:szCs w:val="22"/>
        </w:rPr>
        <w:t xml:space="preserve">play a role in enabling access to remedy in situations where they are only directly linked to a harm? If so, what might enabling remedy look like in practice?  </w:t>
      </w:r>
    </w:p>
    <w:p w14:paraId="6A55610B" w14:textId="6903E2B2" w:rsidR="002A4C9C" w:rsidRPr="00386A42" w:rsidRDefault="002A4C9C" w:rsidP="00386A42">
      <w:pPr>
        <w:pStyle w:val="NormalWeb"/>
        <w:numPr>
          <w:ilvl w:val="0"/>
          <w:numId w:val="30"/>
        </w:numPr>
        <w:pBdr>
          <w:top w:val="nil"/>
          <w:left w:val="nil"/>
          <w:bottom w:val="nil"/>
          <w:right w:val="nil"/>
          <w:between w:val="nil"/>
          <w:bar w:val="nil"/>
        </w:pBdr>
        <w:spacing w:beforeAutospacing="0" w:afterAutospacing="0" w:line="280" w:lineRule="exact"/>
        <w:jc w:val="both"/>
        <w:rPr>
          <w:iCs/>
          <w:sz w:val="22"/>
          <w:szCs w:val="22"/>
        </w:rPr>
      </w:pPr>
      <w:r w:rsidRPr="00386A42">
        <w:rPr>
          <w:iCs/>
          <w:sz w:val="22"/>
          <w:szCs w:val="22"/>
        </w:rPr>
        <w:t xml:space="preserve">If necessary, how </w:t>
      </w:r>
      <w:r w:rsidR="005A69DD" w:rsidRPr="00386A42">
        <w:rPr>
          <w:iCs/>
          <w:sz w:val="22"/>
          <w:szCs w:val="22"/>
        </w:rPr>
        <w:t>can companies</w:t>
      </w:r>
      <w:r w:rsidRPr="00386A42">
        <w:rPr>
          <w:iCs/>
          <w:sz w:val="22"/>
          <w:szCs w:val="22"/>
        </w:rPr>
        <w:t xml:space="preserve">  prioritize among hundreds of thousands, or even multiple millions, of potentially impacted individuals and human rights issues if they are to establish genuinely effective remedy mechanisms? </w:t>
      </w:r>
    </w:p>
    <w:p w14:paraId="6878C1DA" w14:textId="77777777" w:rsidR="002A4C9C" w:rsidRPr="00386A42" w:rsidRDefault="002A4C9C" w:rsidP="00386A42">
      <w:pPr>
        <w:pStyle w:val="NormalWeb"/>
        <w:numPr>
          <w:ilvl w:val="0"/>
          <w:numId w:val="30"/>
        </w:numPr>
        <w:pBdr>
          <w:top w:val="nil"/>
          <w:left w:val="nil"/>
          <w:bottom w:val="nil"/>
          <w:right w:val="nil"/>
          <w:between w:val="nil"/>
          <w:bar w:val="nil"/>
        </w:pBdr>
        <w:spacing w:beforeAutospacing="0" w:afterAutospacing="0" w:line="280" w:lineRule="exact"/>
        <w:jc w:val="both"/>
        <w:rPr>
          <w:iCs/>
          <w:sz w:val="22"/>
          <w:szCs w:val="22"/>
        </w:rPr>
      </w:pPr>
      <w:r w:rsidRPr="00386A42">
        <w:rPr>
          <w:iCs/>
          <w:sz w:val="22"/>
          <w:szCs w:val="22"/>
        </w:rPr>
        <w:t>Do conflicting regulatory requirements in different jurisdiction pose problems for accountability and remedy pursued through company-level grievance mechanisms?  If so, how can these be resolved?</w:t>
      </w:r>
    </w:p>
    <w:p w14:paraId="59C1B820" w14:textId="77777777" w:rsidR="005A69DD" w:rsidRDefault="002A4C9C" w:rsidP="00386A42">
      <w:pPr>
        <w:pStyle w:val="BodyA"/>
        <w:numPr>
          <w:ilvl w:val="0"/>
          <w:numId w:val="32"/>
        </w:numPr>
        <w:spacing w:line="280" w:lineRule="exact"/>
        <w:jc w:val="both"/>
        <w:rPr>
          <w:rFonts w:ascii="Times New Roman" w:hAnsi="Times New Roman" w:cs="Times New Roman"/>
          <w:iCs/>
          <w:sz w:val="22"/>
          <w:szCs w:val="22"/>
        </w:rPr>
      </w:pPr>
      <w:r w:rsidRPr="00386A42">
        <w:rPr>
          <w:rFonts w:ascii="Times New Roman" w:hAnsi="Times New Roman" w:cs="Times New Roman"/>
          <w:iCs/>
          <w:sz w:val="22"/>
          <w:szCs w:val="22"/>
        </w:rPr>
        <w:t xml:space="preserve">What are the responsibilities of corporate providers of digital technologies regarding the provision of effective remedies in cases of misuse of their products or services by individual users – versus public or private entities? </w:t>
      </w:r>
    </w:p>
    <w:p w14:paraId="45F2C237" w14:textId="2F59ADF6" w:rsidR="00F6600C" w:rsidRPr="005A69DD" w:rsidRDefault="002A4C9C" w:rsidP="00780A36">
      <w:pPr>
        <w:pStyle w:val="BodyA"/>
        <w:numPr>
          <w:ilvl w:val="0"/>
          <w:numId w:val="32"/>
        </w:numPr>
        <w:spacing w:line="280" w:lineRule="exact"/>
        <w:jc w:val="both"/>
        <w:rPr>
          <w:rFonts w:ascii="Times New Roman" w:hAnsi="Times New Roman" w:cs="Times New Roman"/>
        </w:rPr>
      </w:pPr>
      <w:r w:rsidRPr="005A69DD">
        <w:rPr>
          <w:rFonts w:ascii="Times New Roman" w:hAnsi="Times New Roman" w:cs="Times New Roman"/>
          <w:iCs/>
          <w:sz w:val="22"/>
          <w:szCs w:val="22"/>
        </w:rPr>
        <w:t xml:space="preserve">What is the role of State regulation in supporting remedial efforts by technology companies? </w:t>
      </w:r>
    </w:p>
    <w:sectPr w:rsidR="00F6600C" w:rsidRPr="005A69DD" w:rsidSect="008436F0">
      <w:headerReference w:type="default" r:id="rId14"/>
      <w:headerReference w:type="first" r:id="rId15"/>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01068" w14:textId="77777777" w:rsidR="008436F0" w:rsidRDefault="008436F0" w:rsidP="008436F0">
      <w:r>
        <w:separator/>
      </w:r>
    </w:p>
  </w:endnote>
  <w:endnote w:type="continuationSeparator" w:id="0">
    <w:p w14:paraId="39FF9C95" w14:textId="77777777" w:rsidR="008436F0" w:rsidRDefault="008436F0" w:rsidP="008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9AC64" w14:textId="77777777" w:rsidR="008436F0" w:rsidRDefault="008436F0" w:rsidP="008436F0">
      <w:r>
        <w:separator/>
      </w:r>
    </w:p>
  </w:footnote>
  <w:footnote w:type="continuationSeparator" w:id="0">
    <w:p w14:paraId="4DDECB79" w14:textId="77777777" w:rsidR="008436F0" w:rsidRDefault="008436F0" w:rsidP="008436F0">
      <w:r>
        <w:continuationSeparator/>
      </w:r>
    </w:p>
  </w:footnote>
  <w:footnote w:id="1">
    <w:p w14:paraId="215EEC54" w14:textId="77777777" w:rsidR="005057ED" w:rsidRPr="00AE52F1" w:rsidRDefault="005057ED" w:rsidP="005057ED">
      <w:pPr>
        <w:pStyle w:val="FootnoteText"/>
        <w:jc w:val="both"/>
        <w:rPr>
          <w:rFonts w:ascii="Times New Roman" w:hAnsi="Times New Roman" w:cs="Times New Roman"/>
        </w:rPr>
      </w:pPr>
      <w:r w:rsidRPr="00AE52F1">
        <w:rPr>
          <w:rStyle w:val="FootnoteReference"/>
          <w:rFonts w:ascii="Times New Roman" w:hAnsi="Times New Roman" w:cs="Times New Roman"/>
        </w:rPr>
        <w:footnoteRef/>
      </w:r>
      <w:r w:rsidRPr="00AE52F1">
        <w:rPr>
          <w:rFonts w:ascii="Times New Roman" w:hAnsi="Times New Roman" w:cs="Times New Roman"/>
        </w:rPr>
        <w:t xml:space="preserve"> A/HRC/32/19 and A/HRC/32/19/Add.1.</w:t>
      </w:r>
    </w:p>
  </w:footnote>
  <w:footnote w:id="2">
    <w:p w14:paraId="4F0A0BB1" w14:textId="50436114" w:rsidR="00AE52F1" w:rsidRPr="00AE52F1" w:rsidRDefault="00AE52F1">
      <w:pPr>
        <w:pStyle w:val="FootnoteText"/>
        <w:rPr>
          <w:rFonts w:ascii="Times New Roman" w:hAnsi="Times New Roman" w:cs="Times New Roman"/>
        </w:rPr>
      </w:pPr>
      <w:r w:rsidRPr="00AE52F1">
        <w:rPr>
          <w:rStyle w:val="FootnoteReference"/>
          <w:rFonts w:ascii="Times New Roman" w:hAnsi="Times New Roman" w:cs="Times New Roman"/>
        </w:rPr>
        <w:footnoteRef/>
      </w:r>
      <w:r w:rsidRPr="00AE52F1">
        <w:rPr>
          <w:rFonts w:ascii="Times New Roman" w:hAnsi="Times New Roman" w:cs="Times New Roman"/>
        </w:rPr>
        <w:t xml:space="preserve"> A/HRC/38/20 and A/HRC/38/20/Add.1</w:t>
      </w:r>
    </w:p>
  </w:footnote>
  <w:footnote w:id="3">
    <w:p w14:paraId="5B249466" w14:textId="77777777" w:rsidR="00CA2AC6" w:rsidRPr="00491355" w:rsidRDefault="00CA2AC6" w:rsidP="00CA2AC6">
      <w:pPr>
        <w:pStyle w:val="FootnoteText"/>
        <w:rPr>
          <w:rFonts w:ascii="Times New Roman" w:hAnsi="Times New Roman" w:cs="Times New Roman"/>
        </w:rPr>
      </w:pPr>
      <w:r w:rsidRPr="00AE52F1">
        <w:rPr>
          <w:rStyle w:val="FootnoteReference"/>
          <w:rFonts w:ascii="Times New Roman" w:hAnsi="Times New Roman" w:cs="Times New Roman"/>
        </w:rPr>
        <w:footnoteRef/>
      </w:r>
      <w:r w:rsidRPr="00AE52F1">
        <w:rPr>
          <w:rFonts w:ascii="Times New Roman" w:hAnsi="Times New Roman" w:cs="Times New Roman"/>
        </w:rPr>
        <w:t xml:space="preserve"> https://www.ohchr.org/EN/Issues/Business/Pages/ARP_III.aspx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1295F80B" w14:textId="2597AA76" w:rsidR="00FB4C8E" w:rsidRPr="00FB4C8E" w:rsidRDefault="00FB4C8E"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10E9BDB8" wp14:editId="75DCA009">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Pr="00FB4C8E">
          <w:rPr>
            <w:rFonts w:ascii="Times New Roman" w:hAnsi="Times New Roman"/>
            <w:sz w:val="14"/>
          </w:rPr>
          <w:t xml:space="preserve">PAGE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834A97">
          <w:rPr>
            <w:rFonts w:ascii="Times New Roman" w:hAnsi="Times New Roman"/>
            <w:noProof/>
            <w:sz w:val="14"/>
          </w:rPr>
          <w:t>3</w:t>
        </w:r>
        <w:r w:rsidRPr="00FB4C8E">
          <w:rPr>
            <w:rFonts w:ascii="Times New Roman" w:hAnsi="Times New Roman"/>
            <w:noProof/>
            <w:sz w:val="14"/>
          </w:rPr>
          <w:fldChar w:fldCharType="end"/>
        </w:r>
      </w:p>
    </w:sdtContent>
  </w:sdt>
  <w:p w14:paraId="62E88721" w14:textId="77777777" w:rsidR="008436F0" w:rsidRDefault="0084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A94E" w14:textId="795CA91C" w:rsidR="008436F0" w:rsidRPr="004A2644" w:rsidRDefault="008436F0" w:rsidP="00960D90">
    <w:pPr>
      <w:pStyle w:val="Header"/>
      <w:rPr>
        <w:b/>
        <w:noProof/>
        <w:lang w:eastAsia="en-GB"/>
      </w:rPr>
    </w:pPr>
  </w:p>
  <w:p w14:paraId="0354C1B2" w14:textId="6578BEB6" w:rsidR="008436F0" w:rsidRPr="002963F8" w:rsidRDefault="00960D90" w:rsidP="008436F0">
    <w:pPr>
      <w:pStyle w:val="Header"/>
      <w:tabs>
        <w:tab w:val="right" w:pos="3686"/>
        <w:tab w:val="left" w:pos="5812"/>
      </w:tabs>
      <w:jc w:val="center"/>
      <w:rPr>
        <w:rStyle w:val="Hyperlink"/>
      </w:rPr>
    </w:pPr>
    <w:r w:rsidRPr="002963F8">
      <w:rPr>
        <w:rStyle w:val="Hyperlink"/>
      </w:rPr>
      <w:t xml:space="preserve"> </w:t>
    </w:r>
  </w:p>
  <w:p w14:paraId="0933A4B9" w14:textId="77777777" w:rsidR="008436F0" w:rsidRDefault="0084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76E"/>
    <w:multiLevelType w:val="hybridMultilevel"/>
    <w:tmpl w:val="1E96ADC6"/>
    <w:lvl w:ilvl="0" w:tplc="F4841B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A6B32"/>
    <w:multiLevelType w:val="hybridMultilevel"/>
    <w:tmpl w:val="4454BF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652C36"/>
    <w:multiLevelType w:val="hybridMultilevel"/>
    <w:tmpl w:val="A52C14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13294"/>
    <w:multiLevelType w:val="hybridMultilevel"/>
    <w:tmpl w:val="056C6116"/>
    <w:styleLink w:val="ImportedStyle1"/>
    <w:lvl w:ilvl="0" w:tplc="EB4A2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4E2C7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A7AD3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EB410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8AA54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DE480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10A4A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56C7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2F6BD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2A74F18"/>
    <w:multiLevelType w:val="hybridMultilevel"/>
    <w:tmpl w:val="056C6116"/>
    <w:numStyleLink w:val="ImportedStyle1"/>
  </w:abstractNum>
  <w:abstractNum w:abstractNumId="5"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8622A"/>
    <w:multiLevelType w:val="hybridMultilevel"/>
    <w:tmpl w:val="548E32C8"/>
    <w:lvl w:ilvl="0" w:tplc="A33820B6">
      <w:start w:val="1"/>
      <w:numFmt w:val="decimal"/>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DB3C7D"/>
    <w:multiLevelType w:val="hybridMultilevel"/>
    <w:tmpl w:val="A97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71CE9"/>
    <w:multiLevelType w:val="hybridMultilevel"/>
    <w:tmpl w:val="C1E894EE"/>
    <w:lvl w:ilvl="0" w:tplc="9CA0177E">
      <w:start w:val="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0C265C"/>
    <w:multiLevelType w:val="hybridMultilevel"/>
    <w:tmpl w:val="AFDC3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33B75"/>
    <w:multiLevelType w:val="hybridMultilevel"/>
    <w:tmpl w:val="6016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17756"/>
    <w:multiLevelType w:val="hybridMultilevel"/>
    <w:tmpl w:val="74A66022"/>
    <w:numStyleLink w:val="ImportedStyle30"/>
  </w:abstractNum>
  <w:abstractNum w:abstractNumId="14" w15:restartNumberingAfterBreak="0">
    <w:nsid w:val="36B916D8"/>
    <w:multiLevelType w:val="hybridMultilevel"/>
    <w:tmpl w:val="1E14424E"/>
    <w:lvl w:ilvl="0" w:tplc="04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256739"/>
    <w:multiLevelType w:val="hybridMultilevel"/>
    <w:tmpl w:val="F1BA2B32"/>
    <w:lvl w:ilvl="0" w:tplc="110656A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D0596"/>
    <w:multiLevelType w:val="multilevel"/>
    <w:tmpl w:val="F882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BB40B7"/>
    <w:multiLevelType w:val="hybridMultilevel"/>
    <w:tmpl w:val="DB3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656AE"/>
    <w:multiLevelType w:val="hybridMultilevel"/>
    <w:tmpl w:val="2C1A5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B65B04"/>
    <w:multiLevelType w:val="hybridMultilevel"/>
    <w:tmpl w:val="87740620"/>
    <w:lvl w:ilvl="0" w:tplc="08090005">
      <w:start w:val="1"/>
      <w:numFmt w:val="bullet"/>
      <w:lvlText w:val=""/>
      <w:lvlJc w:val="left"/>
      <w:pPr>
        <w:ind w:left="720" w:hanging="360"/>
      </w:pPr>
      <w:rPr>
        <w:rFonts w:ascii="Wingdings" w:hAnsi="Wingding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6A27E77"/>
    <w:multiLevelType w:val="hybridMultilevel"/>
    <w:tmpl w:val="F45062C6"/>
    <w:styleLink w:val="ImportedStyle4"/>
    <w:lvl w:ilvl="0" w:tplc="BB8A3E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DAB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3F4B2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98FD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1A7A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8D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78D5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5C8C6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001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7322D0"/>
    <w:multiLevelType w:val="hybridMultilevel"/>
    <w:tmpl w:val="6F487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6280B"/>
    <w:multiLevelType w:val="hybridMultilevel"/>
    <w:tmpl w:val="EC8439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E5D1416"/>
    <w:multiLevelType w:val="hybridMultilevel"/>
    <w:tmpl w:val="74A66022"/>
    <w:styleLink w:val="ImportedStyle30"/>
    <w:lvl w:ilvl="0" w:tplc="4EB6F342">
      <w:start w:val="1"/>
      <w:numFmt w:val="bullet"/>
      <w:lvlText w:val="·"/>
      <w:lvlJc w:val="left"/>
      <w:pPr>
        <w:ind w:left="77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2A832E">
      <w:start w:val="1"/>
      <w:numFmt w:val="bullet"/>
      <w:lvlText w:val="o"/>
      <w:lvlJc w:val="left"/>
      <w:pPr>
        <w:ind w:left="14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F46F22">
      <w:start w:val="1"/>
      <w:numFmt w:val="bullet"/>
      <w:lvlText w:val="▪"/>
      <w:lvlJc w:val="left"/>
      <w:pPr>
        <w:ind w:left="22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405638">
      <w:start w:val="1"/>
      <w:numFmt w:val="bullet"/>
      <w:lvlText w:val="·"/>
      <w:lvlJc w:val="left"/>
      <w:pPr>
        <w:ind w:left="29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5E3500">
      <w:start w:val="1"/>
      <w:numFmt w:val="bullet"/>
      <w:lvlText w:val="o"/>
      <w:lvlJc w:val="left"/>
      <w:pPr>
        <w:ind w:left="36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00CE62">
      <w:start w:val="1"/>
      <w:numFmt w:val="bullet"/>
      <w:lvlText w:val="▪"/>
      <w:lvlJc w:val="left"/>
      <w:pPr>
        <w:ind w:left="43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BC9A4E">
      <w:start w:val="1"/>
      <w:numFmt w:val="bullet"/>
      <w:lvlText w:val="·"/>
      <w:lvlJc w:val="left"/>
      <w:pPr>
        <w:ind w:left="50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7C191C">
      <w:start w:val="1"/>
      <w:numFmt w:val="bullet"/>
      <w:lvlText w:val="o"/>
      <w:lvlJc w:val="left"/>
      <w:pPr>
        <w:ind w:left="58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60B088">
      <w:start w:val="1"/>
      <w:numFmt w:val="bullet"/>
      <w:lvlText w:val="▪"/>
      <w:lvlJc w:val="left"/>
      <w:pPr>
        <w:ind w:left="65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4952968"/>
    <w:multiLevelType w:val="hybridMultilevel"/>
    <w:tmpl w:val="4E1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AA6DA8"/>
    <w:multiLevelType w:val="hybridMultilevel"/>
    <w:tmpl w:val="4280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63F5E"/>
    <w:multiLevelType w:val="hybridMultilevel"/>
    <w:tmpl w:val="1BC6D976"/>
    <w:lvl w:ilvl="0" w:tplc="08090001">
      <w:start w:val="1"/>
      <w:numFmt w:val="bullet"/>
      <w:lvlText w:val=""/>
      <w:lvlJc w:val="left"/>
      <w:pPr>
        <w:ind w:left="990" w:hanging="63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754F2"/>
    <w:multiLevelType w:val="hybridMultilevel"/>
    <w:tmpl w:val="88C685BE"/>
    <w:lvl w:ilvl="0" w:tplc="2DF6A19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CA2616"/>
    <w:multiLevelType w:val="hybridMultilevel"/>
    <w:tmpl w:val="F45062C6"/>
    <w:numStyleLink w:val="ImportedStyle4"/>
  </w:abstractNum>
  <w:abstractNum w:abstractNumId="31" w15:restartNumberingAfterBreak="0">
    <w:nsid w:val="77775FD8"/>
    <w:multiLevelType w:val="hybridMultilevel"/>
    <w:tmpl w:val="4F5E3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8"/>
  </w:num>
  <w:num w:numId="5">
    <w:abstractNumId w:val="26"/>
  </w:num>
  <w:num w:numId="6">
    <w:abstractNumId w:val="1"/>
  </w:num>
  <w:num w:numId="7">
    <w:abstractNumId w:val="19"/>
  </w:num>
  <w:num w:numId="8">
    <w:abstractNumId w:val="9"/>
  </w:num>
  <w:num w:numId="9">
    <w:abstractNumId w:val="12"/>
  </w:num>
  <w:num w:numId="10">
    <w:abstractNumId w:val="17"/>
  </w:num>
  <w:num w:numId="11">
    <w:abstractNumId w:val="8"/>
  </w:num>
  <w:num w:numId="12">
    <w:abstractNumId w:val="27"/>
  </w:num>
  <w:num w:numId="13">
    <w:abstractNumId w:val="0"/>
  </w:num>
  <w:num w:numId="14">
    <w:abstractNumId w:val="16"/>
  </w:num>
  <w:num w:numId="15">
    <w:abstractNumId w:val="11"/>
  </w:num>
  <w:num w:numId="16">
    <w:abstractNumId w:val="28"/>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5"/>
  </w:num>
  <w:num w:numId="21">
    <w:abstractNumId w:val="25"/>
  </w:num>
  <w:num w:numId="22">
    <w:abstractNumId w:val="14"/>
  </w:num>
  <w:num w:numId="23">
    <w:abstractNumId w:val="20"/>
  </w:num>
  <w:num w:numId="24">
    <w:abstractNumId w:val="10"/>
  </w:num>
  <w:num w:numId="25">
    <w:abstractNumId w:val="31"/>
  </w:num>
  <w:num w:numId="26">
    <w:abstractNumId w:val="29"/>
  </w:num>
  <w:num w:numId="27">
    <w:abstractNumId w:val="3"/>
  </w:num>
  <w:num w:numId="28">
    <w:abstractNumId w:val="4"/>
  </w:num>
  <w:num w:numId="29">
    <w:abstractNumId w:val="24"/>
  </w:num>
  <w:num w:numId="30">
    <w:abstractNumId w:val="13"/>
  </w:num>
  <w:num w:numId="31">
    <w:abstractNumId w:val="21"/>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47033"/>
    <w:rsid w:val="000752E2"/>
    <w:rsid w:val="00091D52"/>
    <w:rsid w:val="00094DBD"/>
    <w:rsid w:val="00097C4A"/>
    <w:rsid w:val="000E1BF9"/>
    <w:rsid w:val="001015B5"/>
    <w:rsid w:val="00143A44"/>
    <w:rsid w:val="0017741F"/>
    <w:rsid w:val="001937A8"/>
    <w:rsid w:val="001A0F49"/>
    <w:rsid w:val="001A3803"/>
    <w:rsid w:val="001F1D51"/>
    <w:rsid w:val="002064C1"/>
    <w:rsid w:val="00222E85"/>
    <w:rsid w:val="00234166"/>
    <w:rsid w:val="00253DC8"/>
    <w:rsid w:val="002574DC"/>
    <w:rsid w:val="002673F7"/>
    <w:rsid w:val="002A3FF9"/>
    <w:rsid w:val="002A4C9C"/>
    <w:rsid w:val="002A6085"/>
    <w:rsid w:val="002B66C9"/>
    <w:rsid w:val="002C5AB6"/>
    <w:rsid w:val="002D6101"/>
    <w:rsid w:val="002D639F"/>
    <w:rsid w:val="002F4BC2"/>
    <w:rsid w:val="003130AB"/>
    <w:rsid w:val="00376ED5"/>
    <w:rsid w:val="00386A42"/>
    <w:rsid w:val="003B6745"/>
    <w:rsid w:val="003C7456"/>
    <w:rsid w:val="004051E3"/>
    <w:rsid w:val="004149D2"/>
    <w:rsid w:val="00443A32"/>
    <w:rsid w:val="004714F7"/>
    <w:rsid w:val="00491355"/>
    <w:rsid w:val="005057ED"/>
    <w:rsid w:val="00515450"/>
    <w:rsid w:val="0055513F"/>
    <w:rsid w:val="00585821"/>
    <w:rsid w:val="00590204"/>
    <w:rsid w:val="00594EB4"/>
    <w:rsid w:val="005A06DA"/>
    <w:rsid w:val="005A5A39"/>
    <w:rsid w:val="005A69DD"/>
    <w:rsid w:val="005E29D1"/>
    <w:rsid w:val="00614054"/>
    <w:rsid w:val="00621126"/>
    <w:rsid w:val="006276BD"/>
    <w:rsid w:val="00635D13"/>
    <w:rsid w:val="00681E8E"/>
    <w:rsid w:val="00695750"/>
    <w:rsid w:val="006F4020"/>
    <w:rsid w:val="006F67B0"/>
    <w:rsid w:val="007C3043"/>
    <w:rsid w:val="007F2DA2"/>
    <w:rsid w:val="0080075A"/>
    <w:rsid w:val="0082593D"/>
    <w:rsid w:val="00827EBE"/>
    <w:rsid w:val="00834A97"/>
    <w:rsid w:val="008436F0"/>
    <w:rsid w:val="00854FCC"/>
    <w:rsid w:val="00863164"/>
    <w:rsid w:val="00866B9D"/>
    <w:rsid w:val="008678C0"/>
    <w:rsid w:val="008A1912"/>
    <w:rsid w:val="008B5633"/>
    <w:rsid w:val="008B5BAD"/>
    <w:rsid w:val="008D0582"/>
    <w:rsid w:val="008D5096"/>
    <w:rsid w:val="008E4A7F"/>
    <w:rsid w:val="0094202C"/>
    <w:rsid w:val="00944051"/>
    <w:rsid w:val="00960D90"/>
    <w:rsid w:val="00974AB8"/>
    <w:rsid w:val="009A42BD"/>
    <w:rsid w:val="009D3D23"/>
    <w:rsid w:val="00A75B3C"/>
    <w:rsid w:val="00A76EB7"/>
    <w:rsid w:val="00A83A92"/>
    <w:rsid w:val="00AB0AAB"/>
    <w:rsid w:val="00AE3C42"/>
    <w:rsid w:val="00AE52F1"/>
    <w:rsid w:val="00AF65C0"/>
    <w:rsid w:val="00B064FD"/>
    <w:rsid w:val="00B11B12"/>
    <w:rsid w:val="00B66C59"/>
    <w:rsid w:val="00B833A1"/>
    <w:rsid w:val="00B835BB"/>
    <w:rsid w:val="00B94780"/>
    <w:rsid w:val="00C0270E"/>
    <w:rsid w:val="00C52566"/>
    <w:rsid w:val="00C725D2"/>
    <w:rsid w:val="00C754C6"/>
    <w:rsid w:val="00C9374B"/>
    <w:rsid w:val="00CA2AC6"/>
    <w:rsid w:val="00CB1B2E"/>
    <w:rsid w:val="00CB4923"/>
    <w:rsid w:val="00CF22E6"/>
    <w:rsid w:val="00CF5F84"/>
    <w:rsid w:val="00D2408C"/>
    <w:rsid w:val="00D42061"/>
    <w:rsid w:val="00D4390D"/>
    <w:rsid w:val="00D521B5"/>
    <w:rsid w:val="00DC623C"/>
    <w:rsid w:val="00E31DA5"/>
    <w:rsid w:val="00E325A0"/>
    <w:rsid w:val="00E36D8A"/>
    <w:rsid w:val="00E51DD7"/>
    <w:rsid w:val="00E72F51"/>
    <w:rsid w:val="00E840D7"/>
    <w:rsid w:val="00E94A1F"/>
    <w:rsid w:val="00E970D5"/>
    <w:rsid w:val="00EE3A80"/>
    <w:rsid w:val="00F07774"/>
    <w:rsid w:val="00F6600C"/>
    <w:rsid w:val="00FA43F4"/>
    <w:rsid w:val="00FB4C8E"/>
    <w:rsid w:val="00FC4E54"/>
    <w:rsid w:val="00FC51A3"/>
    <w:rsid w:val="00FC6C1D"/>
    <w:rsid w:val="00FD7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280939"/>
  <w15:docId w15:val="{C9783148-3805-46FC-BD68-A10D26BE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750"/>
    <w:pPr>
      <w:spacing w:after="0" w:line="240" w:lineRule="auto"/>
    </w:pPr>
    <w:rPr>
      <w:rFonts w:ascii="Calibri" w:hAnsi="Calibri" w:cs="Calibri"/>
    </w:rPr>
  </w:style>
  <w:style w:type="paragraph" w:styleId="Heading1">
    <w:name w:val="heading 1"/>
    <w:basedOn w:val="Normal"/>
    <w:next w:val="Normal"/>
    <w:link w:val="Heading1Char"/>
    <w:uiPriority w:val="9"/>
    <w:qFormat/>
    <w:rsid w:val="00253D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53DC8"/>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numbered (a)),Bullets,References,Liste 1,Numbered List Paragraph,ReferencesCxSpLast,Lapis Bulleted List,F5 List Paragraph,No Spacing1,List Paragraph Char Char Char,Indicator Text,Numbered Para 1,Colorful List Accent 1,????"/>
    <w:basedOn w:val="Normal"/>
    <w:link w:val="ListParagraphChar"/>
    <w:qFormat/>
    <w:rsid w:val="007F2DA2"/>
    <w:pPr>
      <w:ind w:left="720"/>
      <w:contextualSpacing/>
    </w:pPr>
  </w:style>
  <w:style w:type="character" w:styleId="CommentReference">
    <w:name w:val="annotation reference"/>
    <w:basedOn w:val="DefaultParagraphFont"/>
    <w:uiPriority w:val="99"/>
    <w:semiHidden/>
    <w:unhideWhenUsed/>
    <w:rsid w:val="00515450"/>
    <w:rPr>
      <w:sz w:val="16"/>
      <w:szCs w:val="16"/>
    </w:rPr>
  </w:style>
  <w:style w:type="paragraph" w:styleId="CommentText">
    <w:name w:val="annotation text"/>
    <w:basedOn w:val="Normal"/>
    <w:link w:val="CommentTextChar"/>
    <w:uiPriority w:val="99"/>
    <w:semiHidden/>
    <w:unhideWhenUsed/>
    <w:rsid w:val="00515450"/>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pPr>
  </w:style>
  <w:style w:type="character" w:customStyle="1" w:styleId="FooterChar">
    <w:name w:val="Footer Char"/>
    <w:basedOn w:val="DefaultParagraphFont"/>
    <w:link w:val="Footer"/>
    <w:uiPriority w:val="99"/>
    <w:rsid w:val="008436F0"/>
  </w:style>
  <w:style w:type="paragraph" w:styleId="FootnoteText">
    <w:name w:val="footnote text"/>
    <w:basedOn w:val="Normal"/>
    <w:link w:val="FootnoteTextChar"/>
    <w:uiPriority w:val="99"/>
    <w:unhideWhenUsed/>
    <w:rsid w:val="00695750"/>
    <w:rPr>
      <w:sz w:val="20"/>
      <w:szCs w:val="20"/>
    </w:rPr>
  </w:style>
  <w:style w:type="character" w:customStyle="1" w:styleId="FootnoteTextChar">
    <w:name w:val="Footnote Text Char"/>
    <w:basedOn w:val="DefaultParagraphFont"/>
    <w:link w:val="FootnoteText"/>
    <w:uiPriority w:val="99"/>
    <w:rsid w:val="00695750"/>
    <w:rPr>
      <w:rFonts w:ascii="Calibri" w:hAnsi="Calibri" w:cs="Calibri"/>
      <w:sz w:val="20"/>
      <w:szCs w:val="20"/>
    </w:rPr>
  </w:style>
  <w:style w:type="character" w:styleId="FootnoteReference">
    <w:name w:val="footnote reference"/>
    <w:basedOn w:val="DefaultParagraphFont"/>
    <w:uiPriority w:val="99"/>
    <w:unhideWhenUsed/>
    <w:rsid w:val="00695750"/>
    <w:rPr>
      <w:vertAlign w:val="superscript"/>
    </w:rPr>
  </w:style>
  <w:style w:type="paragraph" w:customStyle="1" w:styleId="Default">
    <w:name w:val="Default"/>
    <w:uiPriority w:val="99"/>
    <w:rsid w:val="001A38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 (numbered (a)) Char,Bullets Char,References Char,Liste 1 Char,Numbered List Paragraph Char,ReferencesCxSpLast Char,Lapis Bulleted List Char,F5 List Paragraph Char,No Spacing1 Char,List Paragraph Char Char Char Char"/>
    <w:basedOn w:val="DefaultParagraphFont"/>
    <w:link w:val="ListParagraph"/>
    <w:uiPriority w:val="34"/>
    <w:locked/>
    <w:rsid w:val="005E29D1"/>
    <w:rPr>
      <w:rFonts w:ascii="Calibri" w:hAnsi="Calibri" w:cs="Calibri"/>
    </w:rPr>
  </w:style>
  <w:style w:type="paragraph" w:customStyle="1" w:styleId="BodyA">
    <w:name w:val="Body A"/>
    <w:rsid w:val="002A4C9C"/>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2A4C9C"/>
    <w:pPr>
      <w:numPr>
        <w:numId w:val="27"/>
      </w:numPr>
    </w:pPr>
  </w:style>
  <w:style w:type="numbering" w:customStyle="1" w:styleId="ImportedStyle30">
    <w:name w:val="Imported Style 3.0"/>
    <w:rsid w:val="002A4C9C"/>
    <w:pPr>
      <w:numPr>
        <w:numId w:val="29"/>
      </w:numPr>
    </w:pPr>
  </w:style>
  <w:style w:type="numbering" w:customStyle="1" w:styleId="ImportedStyle4">
    <w:name w:val="Imported Style 4"/>
    <w:rsid w:val="002A4C9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55049">
      <w:bodyDiv w:val="1"/>
      <w:marLeft w:val="0"/>
      <w:marRight w:val="0"/>
      <w:marTop w:val="0"/>
      <w:marBottom w:val="0"/>
      <w:divBdr>
        <w:top w:val="none" w:sz="0" w:space="0" w:color="auto"/>
        <w:left w:val="none" w:sz="0" w:space="0" w:color="auto"/>
        <w:bottom w:val="none" w:sz="0" w:space="0" w:color="auto"/>
        <w:right w:val="none" w:sz="0" w:space="0" w:color="auto"/>
      </w:divBdr>
      <w:divsChild>
        <w:div w:id="232813097">
          <w:marLeft w:val="0"/>
          <w:marRight w:val="0"/>
          <w:marTop w:val="0"/>
          <w:marBottom w:val="0"/>
          <w:divBdr>
            <w:top w:val="none" w:sz="0" w:space="0" w:color="auto"/>
            <w:left w:val="none" w:sz="0" w:space="0" w:color="auto"/>
            <w:bottom w:val="none" w:sz="0" w:space="0" w:color="auto"/>
            <w:right w:val="none" w:sz="0" w:space="0" w:color="auto"/>
          </w:divBdr>
          <w:divsChild>
            <w:div w:id="1961064770">
              <w:marLeft w:val="0"/>
              <w:marRight w:val="0"/>
              <w:marTop w:val="0"/>
              <w:marBottom w:val="0"/>
              <w:divBdr>
                <w:top w:val="none" w:sz="0" w:space="0" w:color="auto"/>
                <w:left w:val="none" w:sz="0" w:space="0" w:color="auto"/>
                <w:bottom w:val="none" w:sz="0" w:space="0" w:color="auto"/>
                <w:right w:val="none" w:sz="0" w:space="0" w:color="auto"/>
              </w:divBdr>
              <w:divsChild>
                <w:div w:id="1881356335">
                  <w:marLeft w:val="0"/>
                  <w:marRight w:val="0"/>
                  <w:marTop w:val="0"/>
                  <w:marBottom w:val="0"/>
                  <w:divBdr>
                    <w:top w:val="none" w:sz="0" w:space="0" w:color="auto"/>
                    <w:left w:val="none" w:sz="0" w:space="0" w:color="auto"/>
                    <w:bottom w:val="none" w:sz="0" w:space="0" w:color="auto"/>
                    <w:right w:val="none" w:sz="0" w:space="0" w:color="auto"/>
                  </w:divBdr>
                  <w:divsChild>
                    <w:div w:id="640617042">
                      <w:marLeft w:val="0"/>
                      <w:marRight w:val="0"/>
                      <w:marTop w:val="0"/>
                      <w:marBottom w:val="0"/>
                      <w:divBdr>
                        <w:top w:val="none" w:sz="0" w:space="0" w:color="auto"/>
                        <w:left w:val="none" w:sz="0" w:space="0" w:color="auto"/>
                        <w:bottom w:val="none" w:sz="0" w:space="0" w:color="auto"/>
                        <w:right w:val="none" w:sz="0" w:space="0" w:color="auto"/>
                      </w:divBdr>
                      <w:divsChild>
                        <w:div w:id="871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53319">
      <w:bodyDiv w:val="1"/>
      <w:marLeft w:val="0"/>
      <w:marRight w:val="0"/>
      <w:marTop w:val="0"/>
      <w:marBottom w:val="0"/>
      <w:divBdr>
        <w:top w:val="none" w:sz="0" w:space="0" w:color="auto"/>
        <w:left w:val="none" w:sz="0" w:space="0" w:color="auto"/>
        <w:bottom w:val="none" w:sz="0" w:space="0" w:color="auto"/>
        <w:right w:val="none" w:sz="0" w:space="0" w:color="auto"/>
      </w:divBdr>
      <w:divsChild>
        <w:div w:id="591284274">
          <w:marLeft w:val="0"/>
          <w:marRight w:val="0"/>
          <w:marTop w:val="0"/>
          <w:marBottom w:val="0"/>
          <w:divBdr>
            <w:top w:val="none" w:sz="0" w:space="0" w:color="auto"/>
            <w:left w:val="none" w:sz="0" w:space="0" w:color="auto"/>
            <w:bottom w:val="none" w:sz="0" w:space="0" w:color="auto"/>
            <w:right w:val="none" w:sz="0" w:space="0" w:color="auto"/>
          </w:divBdr>
          <w:divsChild>
            <w:div w:id="545063093">
              <w:marLeft w:val="0"/>
              <w:marRight w:val="0"/>
              <w:marTop w:val="0"/>
              <w:marBottom w:val="0"/>
              <w:divBdr>
                <w:top w:val="none" w:sz="0" w:space="0" w:color="auto"/>
                <w:left w:val="none" w:sz="0" w:space="0" w:color="auto"/>
                <w:bottom w:val="none" w:sz="0" w:space="0" w:color="auto"/>
                <w:right w:val="none" w:sz="0" w:space="0" w:color="auto"/>
              </w:divBdr>
              <w:divsChild>
                <w:div w:id="1235623559">
                  <w:marLeft w:val="0"/>
                  <w:marRight w:val="0"/>
                  <w:marTop w:val="0"/>
                  <w:marBottom w:val="0"/>
                  <w:divBdr>
                    <w:top w:val="none" w:sz="0" w:space="0" w:color="auto"/>
                    <w:left w:val="none" w:sz="0" w:space="0" w:color="auto"/>
                    <w:bottom w:val="none" w:sz="0" w:space="0" w:color="auto"/>
                    <w:right w:val="none" w:sz="0" w:space="0" w:color="auto"/>
                  </w:divBdr>
                  <w:divsChild>
                    <w:div w:id="901215789">
                      <w:marLeft w:val="0"/>
                      <w:marRight w:val="0"/>
                      <w:marTop w:val="0"/>
                      <w:marBottom w:val="0"/>
                      <w:divBdr>
                        <w:top w:val="none" w:sz="0" w:space="0" w:color="auto"/>
                        <w:left w:val="none" w:sz="0" w:space="0" w:color="auto"/>
                        <w:bottom w:val="none" w:sz="0" w:space="0" w:color="auto"/>
                        <w:right w:val="none" w:sz="0" w:space="0" w:color="auto"/>
                      </w:divBdr>
                      <w:divsChild>
                        <w:div w:id="262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706523">
      <w:bodyDiv w:val="1"/>
      <w:marLeft w:val="0"/>
      <w:marRight w:val="0"/>
      <w:marTop w:val="0"/>
      <w:marBottom w:val="0"/>
      <w:divBdr>
        <w:top w:val="none" w:sz="0" w:space="0" w:color="auto"/>
        <w:left w:val="none" w:sz="0" w:space="0" w:color="auto"/>
        <w:bottom w:val="none" w:sz="0" w:space="0" w:color="auto"/>
        <w:right w:val="none" w:sz="0" w:space="0" w:color="auto"/>
      </w:divBdr>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 w:id="2066028114">
      <w:bodyDiv w:val="1"/>
      <w:marLeft w:val="0"/>
      <w:marRight w:val="0"/>
      <w:marTop w:val="0"/>
      <w:marBottom w:val="0"/>
      <w:divBdr>
        <w:top w:val="none" w:sz="0" w:space="0" w:color="auto"/>
        <w:left w:val="none" w:sz="0" w:space="0" w:color="auto"/>
        <w:bottom w:val="none" w:sz="0" w:space="0" w:color="auto"/>
        <w:right w:val="none" w:sz="0" w:space="0" w:color="auto"/>
      </w:divBdr>
    </w:div>
    <w:div w:id="21077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EN/Issues/Business/Pages/B-TechProject.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Issues/Business/Pages/ARP_II.aspx" TargetMode="External"/><Relationship Id="rId17" Type="http://schemas.openxmlformats.org/officeDocument/2006/relationships/theme" Target="theme/theme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Business/Pages/ARP_I.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hyperlink" Target="https://www.ohchr.org/EN/Issues/Business/Pages/OHCHRaccountabilityandremedyprojec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792196-EC10-4F9C-A034-6DE080A99988}">
  <ds:schemaRefs>
    <ds:schemaRef ds:uri="http://schemas.openxmlformats.org/officeDocument/2006/bibliography"/>
  </ds:schemaRefs>
</ds:datastoreItem>
</file>

<file path=customXml/itemProps2.xml><?xml version="1.0" encoding="utf-8"?>
<ds:datastoreItem xmlns:ds="http://schemas.openxmlformats.org/officeDocument/2006/customXml" ds:itemID="{F8348552-8CC7-446C-992C-D8CDD35067FC}"/>
</file>

<file path=customXml/itemProps3.xml><?xml version="1.0" encoding="utf-8"?>
<ds:datastoreItem xmlns:ds="http://schemas.openxmlformats.org/officeDocument/2006/customXml" ds:itemID="{D6614D1A-3481-4052-9C1D-016D35DD350A}"/>
</file>

<file path=customXml/itemProps4.xml><?xml version="1.0" encoding="utf-8"?>
<ds:datastoreItem xmlns:ds="http://schemas.openxmlformats.org/officeDocument/2006/customXml" ds:itemID="{9C5895AC-C068-4791-9E45-FAADB06D21F5}"/>
</file>

<file path=docProps/app.xml><?xml version="1.0" encoding="utf-8"?>
<Properties xmlns="http://schemas.openxmlformats.org/officeDocument/2006/extended-properties" xmlns:vt="http://schemas.openxmlformats.org/officeDocument/2006/docPropsVTypes">
  <Template>Normal.dotm</Template>
  <TotalTime>87</TotalTime>
  <Pages>3</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nathalie stadelmann</cp:lastModifiedBy>
  <cp:revision>55</cp:revision>
  <cp:lastPrinted>2019-09-19T08:58:00Z</cp:lastPrinted>
  <dcterms:created xsi:type="dcterms:W3CDTF">2019-09-18T16:23:00Z</dcterms:created>
  <dcterms:modified xsi:type="dcterms:W3CDTF">2019-09-19T14:21:00Z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