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369F" w14:textId="2C594E86" w:rsidR="00204A34" w:rsidRPr="0011291B" w:rsidRDefault="00204A34">
      <w:pPr>
        <w:rPr>
          <w:rFonts w:cs="Times New Roman"/>
        </w:rPr>
      </w:pPr>
    </w:p>
    <w:p w14:paraId="711D1A0B" w14:textId="77777777" w:rsidR="00204A34" w:rsidRDefault="00204A34" w:rsidP="00204A34">
      <w:pPr>
        <w:pStyle w:val="BodyA"/>
        <w:spacing w:line="280" w:lineRule="exact"/>
        <w:jc w:val="center"/>
        <w:rPr>
          <w:rFonts w:ascii="Times New Roman" w:hAnsi="Times New Roman"/>
          <w:b/>
          <w:bCs/>
          <w:color w:val="404040"/>
          <w:sz w:val="28"/>
          <w:szCs w:val="28"/>
          <w:u w:color="404040"/>
          <w:lang w:val="pt-PT"/>
        </w:rPr>
      </w:pPr>
      <w:r w:rsidRPr="00204A34">
        <w:rPr>
          <w:rFonts w:ascii="Times New Roman" w:hAnsi="Times New Roman"/>
          <w:b/>
          <w:bCs/>
          <w:color w:val="404040"/>
          <w:sz w:val="28"/>
          <w:szCs w:val="28"/>
          <w:u w:color="404040"/>
        </w:rPr>
        <w:t xml:space="preserve">UN Human Rights Business and Human Rights in Technology </w:t>
      </w:r>
      <w:r w:rsidRPr="00204A34">
        <w:rPr>
          <w:rFonts w:ascii="Times New Roman" w:hAnsi="Times New Roman"/>
          <w:b/>
          <w:bCs/>
          <w:color w:val="404040"/>
          <w:sz w:val="28"/>
          <w:szCs w:val="28"/>
          <w:u w:color="404040"/>
          <w:lang w:val="pt-PT"/>
        </w:rPr>
        <w:t xml:space="preserve">Project </w:t>
      </w:r>
    </w:p>
    <w:p w14:paraId="540CD045" w14:textId="41D70665" w:rsidR="00204A34" w:rsidRPr="00204A34" w:rsidRDefault="00204A34" w:rsidP="00204A34">
      <w:pPr>
        <w:pStyle w:val="BodyA"/>
        <w:spacing w:line="280" w:lineRule="exact"/>
        <w:jc w:val="center"/>
        <w:rPr>
          <w:rFonts w:ascii="Times New Roman" w:eastAsia="Times New Roman" w:hAnsi="Times New Roman" w:cs="Times New Roman"/>
          <w:b/>
          <w:bCs/>
          <w:color w:val="404040"/>
          <w:sz w:val="28"/>
          <w:szCs w:val="28"/>
          <w:u w:color="404040"/>
        </w:rPr>
      </w:pPr>
      <w:r w:rsidRPr="00204A34">
        <w:rPr>
          <w:rFonts w:ascii="Times New Roman" w:hAnsi="Times New Roman"/>
          <w:b/>
          <w:bCs/>
          <w:color w:val="404040"/>
          <w:sz w:val="28"/>
          <w:szCs w:val="28"/>
          <w:u w:color="404040"/>
          <w:lang w:val="pt-PT"/>
        </w:rPr>
        <w:t>(“B-Tech Projet”)</w:t>
      </w:r>
    </w:p>
    <w:p w14:paraId="3BDE5A69" w14:textId="3877EE3E" w:rsidR="009724D6" w:rsidRPr="00204A34" w:rsidRDefault="009724D6" w:rsidP="009724D6">
      <w:pPr>
        <w:jc w:val="center"/>
        <w:rPr>
          <w:rFonts w:cs="Times New Roman"/>
          <w:b/>
          <w:sz w:val="28"/>
        </w:rPr>
      </w:pPr>
    </w:p>
    <w:p w14:paraId="791057C3" w14:textId="35B9F517" w:rsidR="009724D6" w:rsidRPr="00204A34" w:rsidRDefault="00204A34" w:rsidP="00204A34">
      <w:pPr>
        <w:ind w:firstLine="720"/>
        <w:jc w:val="center"/>
        <w:rPr>
          <w:rFonts w:cs="Times New Roman"/>
          <w:b/>
          <w:lang w:val="en-GB"/>
        </w:rPr>
      </w:pPr>
      <w:r w:rsidRPr="00204A34">
        <w:rPr>
          <w:color w:val="404040"/>
          <w:u w:color="404040"/>
        </w:rPr>
        <w:t xml:space="preserve">Applying the </w:t>
      </w:r>
      <w:r w:rsidRPr="00204A34">
        <w:rPr>
          <w:i/>
          <w:iCs/>
          <w:color w:val="404040"/>
          <w:u w:color="404040"/>
        </w:rPr>
        <w:t>UN Guiding Principles on Business and Human Rights</w:t>
      </w:r>
      <w:r w:rsidRPr="00204A34">
        <w:rPr>
          <w:color w:val="404040"/>
          <w:u w:color="404040"/>
        </w:rPr>
        <w:t xml:space="preserve"> to digital technologies</w:t>
      </w:r>
    </w:p>
    <w:p w14:paraId="59530DE8" w14:textId="77777777" w:rsidR="00204A34" w:rsidRDefault="00204A34" w:rsidP="00204A34">
      <w:pPr>
        <w:jc w:val="center"/>
        <w:rPr>
          <w:rFonts w:cs="Times New Roman"/>
          <w:i/>
        </w:rPr>
      </w:pPr>
    </w:p>
    <w:p w14:paraId="1DEDAB57" w14:textId="1C1202CB" w:rsidR="00780F7F" w:rsidRDefault="00841ADE" w:rsidP="00780F7F">
      <w:pPr>
        <w:jc w:val="center"/>
        <w:rPr>
          <w:rFonts w:cs="Times New Roman"/>
          <w:i/>
        </w:rPr>
      </w:pPr>
      <w:r>
        <w:rPr>
          <w:rFonts w:cs="Times New Roman"/>
          <w:i/>
        </w:rPr>
        <w:t>C</w:t>
      </w:r>
      <w:r w:rsidR="00204A34" w:rsidRPr="00A05D64">
        <w:rPr>
          <w:rFonts w:cs="Times New Roman"/>
          <w:i/>
        </w:rPr>
        <w:t xml:space="preserve">oncept note and agenda </w:t>
      </w:r>
    </w:p>
    <w:p w14:paraId="1CFCA1A8" w14:textId="77777777" w:rsidR="00780F7F" w:rsidRDefault="00780F7F" w:rsidP="00780F7F">
      <w:pPr>
        <w:jc w:val="center"/>
        <w:rPr>
          <w:rFonts w:cs="Times New Roman"/>
          <w:i/>
        </w:rPr>
      </w:pPr>
    </w:p>
    <w:p w14:paraId="1E63F1C3" w14:textId="2795A2C5" w:rsidR="00204A34" w:rsidRPr="00780F7F" w:rsidRDefault="00204A34" w:rsidP="00780F7F">
      <w:pPr>
        <w:jc w:val="center"/>
        <w:rPr>
          <w:rFonts w:cs="Times New Roman"/>
          <w:i/>
        </w:rPr>
      </w:pPr>
      <w:r w:rsidRPr="00A05D64">
        <w:rPr>
          <w:rFonts w:cs="Times New Roman"/>
        </w:rPr>
        <w:t>So</w:t>
      </w:r>
      <w:r w:rsidR="00AB54E9">
        <w:rPr>
          <w:rFonts w:cs="Times New Roman"/>
        </w:rPr>
        <w:t>uth Africa Regional Consultation</w:t>
      </w:r>
    </w:p>
    <w:p w14:paraId="2A274356" w14:textId="77777777" w:rsidR="009724D6" w:rsidRPr="001A0CD2" w:rsidRDefault="009724D6" w:rsidP="009724D6">
      <w:pPr>
        <w:jc w:val="center"/>
        <w:rPr>
          <w:rFonts w:cs="Times New Roman"/>
          <w:b/>
          <w:i/>
          <w:u w:val="single"/>
          <w:lang w:val="en-GB"/>
        </w:rPr>
      </w:pPr>
    </w:p>
    <w:p w14:paraId="3C9B7C7D" w14:textId="2AA8FFA4" w:rsidR="001A0CD2" w:rsidRPr="00697337" w:rsidRDefault="001A0CD2" w:rsidP="001A0CD2">
      <w:pPr>
        <w:spacing w:line="280" w:lineRule="exact"/>
        <w:jc w:val="both"/>
        <w:rPr>
          <w:rFonts w:cs="Times New Roman"/>
          <w:b/>
          <w:i/>
          <w:sz w:val="22"/>
          <w:szCs w:val="22"/>
          <w:u w:val="single"/>
        </w:rPr>
      </w:pPr>
      <w:r w:rsidRPr="00697337">
        <w:rPr>
          <w:rFonts w:cs="Times New Roman"/>
          <w:b/>
          <w:i/>
          <w:sz w:val="22"/>
          <w:szCs w:val="22"/>
          <w:u w:val="single"/>
        </w:rPr>
        <w:t xml:space="preserve">Context </w:t>
      </w:r>
    </w:p>
    <w:p w14:paraId="3063F465" w14:textId="05A39AEA" w:rsidR="00F406D4" w:rsidRPr="00697337" w:rsidRDefault="00F406D4" w:rsidP="001A0CD2">
      <w:pPr>
        <w:spacing w:line="280" w:lineRule="exact"/>
        <w:jc w:val="both"/>
        <w:rPr>
          <w:rFonts w:cs="Times New Roman"/>
          <w:b/>
          <w:i/>
          <w:sz w:val="22"/>
          <w:szCs w:val="22"/>
          <w:u w:val="single"/>
        </w:rPr>
      </w:pPr>
    </w:p>
    <w:p w14:paraId="00861F34" w14:textId="77777777" w:rsidR="00F406D4" w:rsidRPr="00697337" w:rsidRDefault="00F406D4" w:rsidP="00F406D4">
      <w:pPr>
        <w:pStyle w:val="Body"/>
        <w:spacing w:line="280" w:lineRule="exact"/>
        <w:jc w:val="both"/>
        <w:rPr>
          <w:sz w:val="22"/>
          <w:szCs w:val="22"/>
        </w:rPr>
      </w:pPr>
      <w:r w:rsidRPr="00697337">
        <w:rPr>
          <w:sz w:val="22"/>
          <w:szCs w:val="22"/>
          <w:lang w:val="en-US"/>
        </w:rPr>
        <w:t xml:space="preserve">The past decade has seen many examples of the positive social, economic and political impact of the internet, social media, mobile technologies, automation, artificial intelligence and other new digital technologies. These positive impacts include empowering civil and human rights activism, healthcare breakthroughs, making transport and logistics more environmentally sustainable, to name but a few. But more recently, the shadow sides of these very same innovations have come sharply into focus, including infringements on privacy, contributing to exacerbating ethnic conflict and dissemination of hate speech, undermining democratic processes, enhancing state surveillance, putting children at risk, facilitating live-streaming of abhorrent acts like the Christchurch terrorist attack, online violence against women and LGBTI persons and others, and </w:t>
      </w:r>
      <w:r w:rsidRPr="00697337">
        <w:rPr>
          <w:sz w:val="22"/>
          <w:szCs w:val="22"/>
        </w:rPr>
        <w:t>“</w:t>
      </w:r>
      <w:r w:rsidRPr="00697337">
        <w:rPr>
          <w:sz w:val="22"/>
          <w:szCs w:val="22"/>
          <w:lang w:val="en-US"/>
        </w:rPr>
        <w:t>algorithmic discrimination</w:t>
      </w:r>
      <w:r w:rsidRPr="00697337">
        <w:rPr>
          <w:sz w:val="22"/>
          <w:szCs w:val="22"/>
        </w:rPr>
        <w:t xml:space="preserve">” </w:t>
      </w:r>
      <w:r w:rsidRPr="00697337">
        <w:rPr>
          <w:sz w:val="22"/>
          <w:szCs w:val="22"/>
          <w:lang w:val="en-US"/>
        </w:rPr>
        <w:t xml:space="preserve">(whether in the job market, the criminal justice system or in access to public services). </w:t>
      </w:r>
    </w:p>
    <w:p w14:paraId="3467BCCC" w14:textId="77777777" w:rsidR="00F406D4" w:rsidRPr="00697337" w:rsidRDefault="00F406D4" w:rsidP="00F406D4">
      <w:pPr>
        <w:pStyle w:val="Body"/>
        <w:spacing w:line="280" w:lineRule="exact"/>
        <w:jc w:val="both"/>
        <w:rPr>
          <w:sz w:val="22"/>
          <w:szCs w:val="22"/>
        </w:rPr>
      </w:pPr>
    </w:p>
    <w:p w14:paraId="0AC2ACB7" w14:textId="77777777" w:rsidR="00F406D4" w:rsidRPr="00697337" w:rsidRDefault="00F406D4" w:rsidP="00F406D4">
      <w:pPr>
        <w:pStyle w:val="Body"/>
        <w:spacing w:line="280" w:lineRule="exact"/>
        <w:jc w:val="both"/>
        <w:rPr>
          <w:sz w:val="22"/>
          <w:szCs w:val="22"/>
        </w:rPr>
      </w:pPr>
      <w:r w:rsidRPr="00697337">
        <w:rPr>
          <w:sz w:val="22"/>
          <w:szCs w:val="22"/>
          <w:lang w:val="en-US"/>
        </w:rPr>
        <w:t xml:space="preserve">These challenges are increasingly seen through the lens of human rights risks, not just ethical dilemmas. The lens has widened to bring into view issues related to corporate responsibility and accountability and associated questions of governance and public policy. </w:t>
      </w:r>
    </w:p>
    <w:p w14:paraId="696895D9" w14:textId="77777777" w:rsidR="00F406D4" w:rsidRPr="00697337" w:rsidRDefault="00F406D4" w:rsidP="00F406D4">
      <w:pPr>
        <w:pStyle w:val="Body"/>
        <w:spacing w:line="280" w:lineRule="exact"/>
        <w:jc w:val="both"/>
        <w:rPr>
          <w:sz w:val="22"/>
          <w:szCs w:val="22"/>
        </w:rPr>
      </w:pPr>
    </w:p>
    <w:p w14:paraId="6C499237" w14:textId="77777777" w:rsidR="00F406D4" w:rsidRPr="00697337" w:rsidRDefault="00F406D4" w:rsidP="00F406D4">
      <w:pPr>
        <w:pStyle w:val="Body"/>
        <w:spacing w:line="276" w:lineRule="auto"/>
        <w:jc w:val="both"/>
        <w:rPr>
          <w:sz w:val="22"/>
          <w:szCs w:val="22"/>
        </w:rPr>
      </w:pPr>
      <w:r w:rsidRPr="00697337">
        <w:rPr>
          <w:sz w:val="22"/>
          <w:szCs w:val="22"/>
          <w:lang w:val="en-US"/>
        </w:rPr>
        <w:t>Understandable public concern has led to calls on both policy makers and tech companies to take effective action to prevent and address harm, resulting in a broad range of regulatory and policy initiatives. However, as such demands for regulation and other interventions in the digital space grow, public and private responses</w:t>
      </w:r>
      <w:r w:rsidRPr="00697337">
        <w:rPr>
          <w:sz w:val="22"/>
          <w:szCs w:val="22"/>
        </w:rPr>
        <w:t> </w:t>
      </w:r>
      <w:r w:rsidRPr="00697337">
        <w:rPr>
          <w:sz w:val="22"/>
          <w:szCs w:val="22"/>
          <w:lang w:val="en-US"/>
        </w:rPr>
        <w:t xml:space="preserve">risk being ad hoc, fragmented and not aligned with international standards. </w:t>
      </w:r>
    </w:p>
    <w:p w14:paraId="5D7B2B2F" w14:textId="77777777" w:rsidR="00F406D4" w:rsidRPr="00697337" w:rsidRDefault="00F406D4" w:rsidP="00F406D4">
      <w:pPr>
        <w:pStyle w:val="Body"/>
        <w:spacing w:line="276" w:lineRule="auto"/>
        <w:jc w:val="both"/>
        <w:rPr>
          <w:sz w:val="22"/>
          <w:szCs w:val="22"/>
        </w:rPr>
      </w:pPr>
    </w:p>
    <w:p w14:paraId="593496CB" w14:textId="0B35A5FF" w:rsidR="00F406D4" w:rsidRPr="00697337" w:rsidRDefault="00F406D4" w:rsidP="00F406D4">
      <w:pPr>
        <w:pStyle w:val="Body"/>
        <w:spacing w:line="280" w:lineRule="exact"/>
        <w:jc w:val="both"/>
        <w:rPr>
          <w:sz w:val="22"/>
          <w:szCs w:val="22"/>
        </w:rPr>
      </w:pPr>
      <w:r w:rsidRPr="00697337">
        <w:rPr>
          <w:sz w:val="22"/>
          <w:szCs w:val="22"/>
          <w:lang w:val="en-US"/>
        </w:rPr>
        <w:t xml:space="preserve">It is in this context that UN Human Rights has initiated the Business and Human Rights in Technology Project (hereinafter </w:t>
      </w:r>
      <w:r w:rsidRPr="00697337">
        <w:rPr>
          <w:sz w:val="22"/>
          <w:szCs w:val="22"/>
        </w:rPr>
        <w:t>“</w:t>
      </w:r>
      <w:r w:rsidRPr="00697337">
        <w:rPr>
          <w:sz w:val="22"/>
          <w:szCs w:val="22"/>
          <w:lang w:val="en-US"/>
        </w:rPr>
        <w:t>the B-Tech Project</w:t>
      </w:r>
      <w:r w:rsidRPr="00697337">
        <w:rPr>
          <w:sz w:val="22"/>
          <w:szCs w:val="22"/>
        </w:rPr>
        <w:t xml:space="preserve">”). </w:t>
      </w:r>
      <w:r w:rsidRPr="00697337">
        <w:rPr>
          <w:b/>
          <w:bCs/>
          <w:sz w:val="22"/>
          <w:szCs w:val="22"/>
          <w:lang w:val="en-US"/>
        </w:rPr>
        <w:t>The B-Tech Project will contribute to addressing the urgent need voiced by companies, civil society and policy makers to find principled and pragmatic ways to prevent and address human rights harms connected with the development of digital technologies and their use by corporate, government and non-governmental actors, including individual users.</w:t>
      </w:r>
      <w:r w:rsidRPr="00697337">
        <w:rPr>
          <w:sz w:val="22"/>
          <w:szCs w:val="22"/>
        </w:rPr>
        <w:t xml:space="preserve"> </w:t>
      </w:r>
    </w:p>
    <w:p w14:paraId="2A2FE60D" w14:textId="2FB651E7" w:rsidR="00F406D4" w:rsidRDefault="00F406D4" w:rsidP="00F406D4">
      <w:pPr>
        <w:pStyle w:val="BodyA"/>
        <w:spacing w:line="280" w:lineRule="exact"/>
        <w:jc w:val="both"/>
        <w:rPr>
          <w:rFonts w:ascii="Times New Roman" w:eastAsia="Times New Roman" w:hAnsi="Times New Roman" w:cs="Times New Roman"/>
          <w:sz w:val="22"/>
          <w:szCs w:val="22"/>
        </w:rPr>
      </w:pPr>
    </w:p>
    <w:p w14:paraId="0070CFEE" w14:textId="02E59C1B" w:rsidR="00AB54E9" w:rsidRDefault="00AB54E9" w:rsidP="00F406D4">
      <w:pPr>
        <w:pStyle w:val="BodyA"/>
        <w:spacing w:line="280" w:lineRule="exact"/>
        <w:jc w:val="both"/>
        <w:rPr>
          <w:rFonts w:ascii="Times New Roman" w:eastAsia="Times New Roman" w:hAnsi="Times New Roman" w:cs="Times New Roman"/>
          <w:sz w:val="22"/>
          <w:szCs w:val="22"/>
        </w:rPr>
      </w:pPr>
    </w:p>
    <w:p w14:paraId="3DA26597" w14:textId="77777777" w:rsidR="00AB54E9" w:rsidRPr="00697337" w:rsidRDefault="00AB54E9" w:rsidP="00F406D4">
      <w:pPr>
        <w:pStyle w:val="BodyA"/>
        <w:spacing w:line="280" w:lineRule="exact"/>
        <w:jc w:val="both"/>
        <w:rPr>
          <w:rFonts w:ascii="Times New Roman" w:hAnsi="Times New Roman" w:cs="Times New Roman"/>
          <w:sz w:val="22"/>
          <w:szCs w:val="22"/>
        </w:rPr>
      </w:pPr>
    </w:p>
    <w:p w14:paraId="353A5A42" w14:textId="32B6F761" w:rsidR="00F406D4" w:rsidRPr="00697337" w:rsidRDefault="00F406D4" w:rsidP="00F406D4">
      <w:pPr>
        <w:spacing w:line="280" w:lineRule="exact"/>
        <w:rPr>
          <w:rFonts w:cs="Times New Roman"/>
          <w:i/>
          <w:sz w:val="22"/>
          <w:szCs w:val="22"/>
          <w:u w:val="single"/>
        </w:rPr>
      </w:pPr>
      <w:r w:rsidRPr="00697337">
        <w:rPr>
          <w:rFonts w:cs="Times New Roman"/>
          <w:b/>
          <w:i/>
          <w:sz w:val="22"/>
          <w:szCs w:val="22"/>
          <w:u w:val="single"/>
        </w:rPr>
        <w:lastRenderedPageBreak/>
        <w:t xml:space="preserve">Project Focus </w:t>
      </w:r>
    </w:p>
    <w:p w14:paraId="549D7AAE" w14:textId="77777777" w:rsidR="00F406D4" w:rsidRPr="00697337" w:rsidRDefault="00F406D4" w:rsidP="00F406D4">
      <w:pPr>
        <w:pStyle w:val="BodyA"/>
        <w:spacing w:line="280" w:lineRule="exact"/>
        <w:jc w:val="both"/>
        <w:rPr>
          <w:rFonts w:ascii="Times New Roman" w:hAnsi="Times New Roman" w:cs="Times New Roman"/>
          <w:sz w:val="22"/>
          <w:szCs w:val="22"/>
        </w:rPr>
      </w:pPr>
    </w:p>
    <w:p w14:paraId="305A1E0C" w14:textId="1AA55AEA" w:rsidR="00F406D4" w:rsidRPr="00697337" w:rsidRDefault="00F406D4" w:rsidP="00F406D4">
      <w:pPr>
        <w:pStyle w:val="BodyA"/>
        <w:spacing w:line="280" w:lineRule="exact"/>
        <w:jc w:val="both"/>
        <w:rPr>
          <w:rFonts w:ascii="Times New Roman" w:eastAsia="Times New Roman" w:hAnsi="Times New Roman" w:cs="Times New Roman"/>
          <w:sz w:val="22"/>
          <w:szCs w:val="22"/>
        </w:rPr>
      </w:pPr>
      <w:r w:rsidRPr="00697337">
        <w:rPr>
          <w:rFonts w:ascii="Times New Roman" w:hAnsi="Times New Roman" w:cs="Times New Roman"/>
          <w:sz w:val="22"/>
          <w:szCs w:val="22"/>
        </w:rPr>
        <w:t xml:space="preserve">The </w:t>
      </w:r>
      <w:r w:rsidRPr="00697337">
        <w:rPr>
          <w:rFonts w:ascii="Times New Roman" w:hAnsi="Times New Roman" w:cs="Times New Roman"/>
          <w:b/>
          <w:bCs/>
          <w:i/>
          <w:iCs/>
          <w:sz w:val="22"/>
          <w:szCs w:val="22"/>
        </w:rPr>
        <w:t xml:space="preserve">UN Guiding Principles on Business and Human Rights </w:t>
      </w:r>
      <w:r w:rsidRPr="00697337">
        <w:rPr>
          <w:rFonts w:ascii="Times New Roman" w:hAnsi="Times New Roman" w:cs="Times New Roman"/>
          <w:b/>
          <w:bCs/>
          <w:sz w:val="22"/>
          <w:szCs w:val="22"/>
        </w:rPr>
        <w:t>(UNGPs)</w:t>
      </w:r>
      <w:r w:rsidRPr="00697337">
        <w:rPr>
          <w:rFonts w:ascii="Times New Roman" w:hAnsi="Times New Roman" w:cs="Times New Roman"/>
          <w:sz w:val="22"/>
          <w:szCs w:val="22"/>
        </w:rPr>
        <w:t xml:space="preserve"> provide a comprehensive and authoritative framework that can inform efforts by a range of actors, including governments and companies, to identify, prevent, mitigate and remedy human rights harm related to digital technologies. </w:t>
      </w:r>
    </w:p>
    <w:p w14:paraId="61B8336C" w14:textId="303D0A99" w:rsidR="00F406D4" w:rsidRPr="00697337" w:rsidRDefault="00F406D4" w:rsidP="00F406D4">
      <w:pPr>
        <w:pStyle w:val="BodyA"/>
        <w:spacing w:line="280" w:lineRule="exact"/>
        <w:jc w:val="both"/>
        <w:rPr>
          <w:rFonts w:ascii="Times New Roman" w:eastAsia="Times New Roman" w:hAnsi="Times New Roman" w:cs="Times New Roman"/>
          <w:sz w:val="22"/>
          <w:szCs w:val="22"/>
        </w:rPr>
      </w:pPr>
    </w:p>
    <w:p w14:paraId="72999624" w14:textId="77777777" w:rsidR="00F406D4" w:rsidRPr="00697337" w:rsidRDefault="00F406D4" w:rsidP="00F406D4">
      <w:pPr>
        <w:pStyle w:val="BodyA"/>
        <w:spacing w:line="280" w:lineRule="exact"/>
        <w:jc w:val="both"/>
        <w:rPr>
          <w:rFonts w:ascii="Times New Roman" w:eastAsia="Times New Roman" w:hAnsi="Times New Roman" w:cs="Times New Roman"/>
          <w:sz w:val="22"/>
          <w:szCs w:val="22"/>
        </w:rPr>
      </w:pPr>
      <w:r w:rsidRPr="00697337">
        <w:rPr>
          <w:rFonts w:ascii="Times New Roman" w:hAnsi="Times New Roman" w:cs="Times New Roman"/>
          <w:sz w:val="22"/>
          <w:szCs w:val="22"/>
        </w:rPr>
        <w:t>The premise of the B-Tech Project is that using the lens of all three pillars – Protect, Respect, Remedy - of the UNGPs can help clarify the respective roles and responsibilities of States and the private sector in relation to specific issues, as well as offering road maps to:</w:t>
      </w:r>
    </w:p>
    <w:p w14:paraId="0921D01A" w14:textId="77777777" w:rsidR="00F406D4" w:rsidRPr="00697337" w:rsidRDefault="00F406D4" w:rsidP="00F406D4">
      <w:pPr>
        <w:pStyle w:val="BodyA"/>
        <w:spacing w:line="280" w:lineRule="exact"/>
        <w:jc w:val="both"/>
        <w:rPr>
          <w:rFonts w:ascii="Times New Roman" w:eastAsia="Times New Roman" w:hAnsi="Times New Roman" w:cs="Times New Roman"/>
          <w:sz w:val="22"/>
          <w:szCs w:val="22"/>
        </w:rPr>
      </w:pPr>
    </w:p>
    <w:p w14:paraId="71393402" w14:textId="77777777" w:rsidR="00F406D4" w:rsidRPr="00697337" w:rsidRDefault="00F406D4" w:rsidP="00F406D4">
      <w:pPr>
        <w:pStyle w:val="ListParagraph"/>
        <w:numPr>
          <w:ilvl w:val="0"/>
          <w:numId w:val="13"/>
        </w:numPr>
        <w:pBdr>
          <w:top w:val="nil"/>
          <w:left w:val="nil"/>
          <w:bottom w:val="nil"/>
          <w:right w:val="nil"/>
          <w:between w:val="nil"/>
          <w:bar w:val="nil"/>
        </w:pBdr>
        <w:spacing w:line="280" w:lineRule="exact"/>
        <w:contextualSpacing w:val="0"/>
        <w:jc w:val="both"/>
        <w:rPr>
          <w:rFonts w:cs="Times New Roman"/>
          <w:sz w:val="22"/>
          <w:szCs w:val="22"/>
        </w:rPr>
      </w:pPr>
      <w:r w:rsidRPr="00697337">
        <w:rPr>
          <w:rFonts w:cs="Times New Roman"/>
          <w:sz w:val="22"/>
          <w:szCs w:val="22"/>
        </w:rPr>
        <w:t>Guide what responsible business conduct looks like in practice regarding the development, application, sale and use of digital technologies;</w:t>
      </w:r>
    </w:p>
    <w:p w14:paraId="3A8D2444" w14:textId="77777777" w:rsidR="00F406D4" w:rsidRPr="00697337" w:rsidRDefault="00F406D4" w:rsidP="00F406D4">
      <w:pPr>
        <w:pStyle w:val="ListParagraph"/>
        <w:numPr>
          <w:ilvl w:val="0"/>
          <w:numId w:val="13"/>
        </w:numPr>
        <w:pBdr>
          <w:top w:val="nil"/>
          <w:left w:val="nil"/>
          <w:bottom w:val="nil"/>
          <w:right w:val="nil"/>
          <w:between w:val="nil"/>
          <w:bar w:val="nil"/>
        </w:pBdr>
        <w:spacing w:line="280" w:lineRule="exact"/>
        <w:contextualSpacing w:val="0"/>
        <w:jc w:val="both"/>
        <w:rPr>
          <w:rFonts w:cs="Times New Roman"/>
          <w:sz w:val="22"/>
          <w:szCs w:val="22"/>
        </w:rPr>
      </w:pPr>
      <w:r w:rsidRPr="00697337">
        <w:rPr>
          <w:rFonts w:cs="Times New Roman"/>
          <w:sz w:val="22"/>
          <w:szCs w:val="22"/>
        </w:rPr>
        <w:t>Guide policy makers in applying a smart mix of regulation, incentives and public policy tools - providing human rights safeguards and accountability without hampering the potential of digital technologies to address social, ecological and other challenges; and</w:t>
      </w:r>
    </w:p>
    <w:p w14:paraId="10239485" w14:textId="3A7FD748" w:rsidR="005E72D0" w:rsidRPr="00697337" w:rsidRDefault="00F406D4" w:rsidP="005E72D0">
      <w:pPr>
        <w:pStyle w:val="ListParagraph"/>
        <w:numPr>
          <w:ilvl w:val="0"/>
          <w:numId w:val="13"/>
        </w:numPr>
        <w:pBdr>
          <w:top w:val="nil"/>
          <w:left w:val="nil"/>
          <w:bottom w:val="nil"/>
          <w:right w:val="nil"/>
          <w:between w:val="nil"/>
          <w:bar w:val="nil"/>
        </w:pBdr>
        <w:spacing w:line="280" w:lineRule="exact"/>
        <w:contextualSpacing w:val="0"/>
        <w:jc w:val="both"/>
        <w:rPr>
          <w:rFonts w:cs="Times New Roman"/>
          <w:sz w:val="22"/>
          <w:szCs w:val="22"/>
        </w:rPr>
      </w:pPr>
      <w:r w:rsidRPr="00697337">
        <w:rPr>
          <w:rFonts w:cs="Times New Roman"/>
          <w:sz w:val="22"/>
          <w:szCs w:val="22"/>
        </w:rPr>
        <w:t>Develop workable models for remedy and accountability when harm has occurred.</w:t>
      </w:r>
    </w:p>
    <w:p w14:paraId="5572ABE3" w14:textId="140677C4" w:rsidR="005E72D0" w:rsidRPr="00697337" w:rsidRDefault="005E72D0" w:rsidP="005E72D0">
      <w:pPr>
        <w:pBdr>
          <w:top w:val="nil"/>
          <w:left w:val="nil"/>
          <w:bottom w:val="nil"/>
          <w:right w:val="nil"/>
          <w:between w:val="nil"/>
          <w:bar w:val="nil"/>
        </w:pBdr>
        <w:spacing w:line="280" w:lineRule="exact"/>
        <w:jc w:val="both"/>
        <w:rPr>
          <w:rFonts w:cs="Times New Roman"/>
          <w:sz w:val="22"/>
          <w:szCs w:val="22"/>
        </w:rPr>
      </w:pPr>
    </w:p>
    <w:p w14:paraId="7002C03D" w14:textId="29E4B16D" w:rsidR="00697337" w:rsidRPr="00697337" w:rsidRDefault="005E72D0" w:rsidP="005E72D0">
      <w:pPr>
        <w:pBdr>
          <w:top w:val="nil"/>
          <w:left w:val="nil"/>
          <w:bottom w:val="nil"/>
          <w:right w:val="nil"/>
          <w:between w:val="nil"/>
          <w:bar w:val="nil"/>
        </w:pBdr>
        <w:spacing w:line="280" w:lineRule="exact"/>
        <w:jc w:val="both"/>
        <w:rPr>
          <w:rFonts w:cs="Times New Roman"/>
          <w:sz w:val="22"/>
          <w:szCs w:val="22"/>
        </w:rPr>
      </w:pPr>
      <w:r w:rsidRPr="00697337">
        <w:rPr>
          <w:rFonts w:cs="Times New Roman"/>
          <w:sz w:val="22"/>
          <w:szCs w:val="22"/>
        </w:rPr>
        <w:t>The project will focus on</w:t>
      </w:r>
      <w:r w:rsidR="00AB54E9">
        <w:rPr>
          <w:rFonts w:cs="Times New Roman"/>
          <w:sz w:val="22"/>
          <w:szCs w:val="22"/>
        </w:rPr>
        <w:t xml:space="preserve"> </w:t>
      </w:r>
      <w:r w:rsidRPr="00697337">
        <w:rPr>
          <w:rFonts w:cs="Times New Roman"/>
          <w:b/>
          <w:sz w:val="22"/>
          <w:szCs w:val="22"/>
        </w:rPr>
        <w:t xml:space="preserve">four areas spanning </w:t>
      </w:r>
      <w:r w:rsidRPr="00697337">
        <w:rPr>
          <w:rFonts w:cs="Times New Roman"/>
          <w:b/>
          <w:bCs/>
          <w:sz w:val="22"/>
          <w:szCs w:val="22"/>
        </w:rPr>
        <w:t xml:space="preserve">all three </w:t>
      </w:r>
      <w:r w:rsidRPr="00D1424C">
        <w:rPr>
          <w:rFonts w:cs="Times New Roman"/>
          <w:b/>
          <w:bCs/>
          <w:sz w:val="22"/>
          <w:szCs w:val="22"/>
        </w:rPr>
        <w:t>pillars</w:t>
      </w:r>
      <w:r w:rsidRPr="00D1424C">
        <w:rPr>
          <w:rFonts w:cs="Times New Roman"/>
          <w:b/>
          <w:sz w:val="22"/>
          <w:szCs w:val="22"/>
        </w:rPr>
        <w:t xml:space="preserve"> of the</w:t>
      </w:r>
      <w:r w:rsidR="00FF7A0F" w:rsidRPr="00D1424C">
        <w:rPr>
          <w:rFonts w:cs="Times New Roman"/>
          <w:b/>
          <w:sz w:val="22"/>
          <w:szCs w:val="22"/>
        </w:rPr>
        <w:t xml:space="preserve"> UNGPs</w:t>
      </w:r>
      <w:r w:rsidRPr="00697337">
        <w:rPr>
          <w:rFonts w:cs="Times New Roman"/>
          <w:sz w:val="22"/>
          <w:szCs w:val="22"/>
        </w:rPr>
        <w:t xml:space="preserve">. This is critical given the central role that State interests play in creating the context for the development of digital technologies – whether as end-users of technologies, as regulators, or when incentivizing investment and commercial innovation.  </w:t>
      </w:r>
    </w:p>
    <w:p w14:paraId="30904CE7" w14:textId="3D3888BC" w:rsidR="00D1424C" w:rsidRPr="00367C78" w:rsidRDefault="005E72D0" w:rsidP="00367C78">
      <w:pPr>
        <w:pStyle w:val="NormalWeb"/>
        <w:numPr>
          <w:ilvl w:val="0"/>
          <w:numId w:val="23"/>
        </w:numPr>
        <w:spacing w:line="280" w:lineRule="exact"/>
        <w:rPr>
          <w:rFonts w:cs="Times New Roman"/>
          <w:i/>
          <w:iCs/>
          <w:sz w:val="22"/>
          <w:szCs w:val="22"/>
        </w:rPr>
      </w:pPr>
      <w:r w:rsidRPr="00697337">
        <w:rPr>
          <w:rFonts w:cs="Times New Roman"/>
          <w:b/>
          <w:bCs/>
          <w:i/>
          <w:iCs/>
          <w:sz w:val="22"/>
          <w:szCs w:val="22"/>
        </w:rPr>
        <w:t xml:space="preserve">Focus Area 1: Addressing Human Rights Risks in Business Models </w:t>
      </w:r>
    </w:p>
    <w:p w14:paraId="4F5642D4" w14:textId="05536B81" w:rsidR="00466248" w:rsidRPr="00367C78" w:rsidRDefault="00FF7A0F" w:rsidP="00466248">
      <w:pPr>
        <w:pStyle w:val="BodyA"/>
        <w:numPr>
          <w:ilvl w:val="0"/>
          <w:numId w:val="23"/>
        </w:numPr>
        <w:spacing w:line="280" w:lineRule="exact"/>
        <w:jc w:val="both"/>
        <w:rPr>
          <w:rFonts w:ascii="Times New Roman" w:eastAsia="Times New Roman" w:hAnsi="Times New Roman" w:cs="Times New Roman"/>
          <w:b/>
          <w:bCs/>
          <w:i/>
          <w:iCs/>
          <w:sz w:val="22"/>
          <w:szCs w:val="22"/>
        </w:rPr>
      </w:pPr>
      <w:r w:rsidRPr="00697337">
        <w:rPr>
          <w:rFonts w:ascii="Times New Roman" w:hAnsi="Times New Roman" w:cs="Times New Roman"/>
          <w:b/>
          <w:bCs/>
          <w:i/>
          <w:iCs/>
          <w:sz w:val="22"/>
          <w:szCs w:val="22"/>
        </w:rPr>
        <w:t xml:space="preserve">Focus Area 2: Human Rigths Due Diligence and End-Use </w:t>
      </w:r>
    </w:p>
    <w:p w14:paraId="1F7E8CA1" w14:textId="08766A3C" w:rsidR="00466248" w:rsidRPr="00367C78" w:rsidRDefault="00FF7A0F" w:rsidP="00367C78">
      <w:pPr>
        <w:pStyle w:val="NormalWeb"/>
        <w:numPr>
          <w:ilvl w:val="0"/>
          <w:numId w:val="23"/>
        </w:numPr>
        <w:spacing w:line="280" w:lineRule="exact"/>
        <w:rPr>
          <w:rFonts w:cs="Times New Roman"/>
          <w:i/>
          <w:iCs/>
          <w:sz w:val="22"/>
          <w:szCs w:val="22"/>
        </w:rPr>
      </w:pPr>
      <w:r w:rsidRPr="00697337">
        <w:rPr>
          <w:rFonts w:cs="Times New Roman"/>
          <w:b/>
          <w:bCs/>
          <w:i/>
          <w:iCs/>
          <w:sz w:val="22"/>
          <w:szCs w:val="22"/>
        </w:rPr>
        <w:t>Focus Area 3: Accountability and Remedy</w:t>
      </w:r>
    </w:p>
    <w:p w14:paraId="332B65AC" w14:textId="425345E7" w:rsidR="00367C78" w:rsidRDefault="00FF7A0F" w:rsidP="00A03E61">
      <w:pPr>
        <w:pStyle w:val="NormalWeb"/>
        <w:numPr>
          <w:ilvl w:val="0"/>
          <w:numId w:val="23"/>
        </w:numPr>
        <w:shd w:val="clear" w:color="auto" w:fill="FFFFFF"/>
        <w:spacing w:line="280" w:lineRule="exact"/>
        <w:jc w:val="both"/>
        <w:rPr>
          <w:rFonts w:cs="Times New Roman"/>
          <w:b/>
          <w:bCs/>
          <w:i/>
          <w:iCs/>
          <w:color w:val="auto"/>
          <w:sz w:val="22"/>
          <w:szCs w:val="22"/>
          <w:u w:color="404040"/>
        </w:rPr>
      </w:pPr>
      <w:r w:rsidRPr="00697337">
        <w:rPr>
          <w:rFonts w:cs="Times New Roman"/>
          <w:b/>
          <w:bCs/>
          <w:i/>
          <w:iCs/>
          <w:color w:val="auto"/>
          <w:sz w:val="22"/>
          <w:szCs w:val="22"/>
          <w:u w:color="404040"/>
        </w:rPr>
        <w:t>Focus Area 4: “A Smart Mix of Measures”: Exploring regulatory and policy responses to human rights challenges linked to digital technologies</w:t>
      </w:r>
    </w:p>
    <w:p w14:paraId="456F4FDF" w14:textId="47190F6E" w:rsidR="00367C78" w:rsidRDefault="00367C78" w:rsidP="00367C78">
      <w:pPr>
        <w:pStyle w:val="CommentText"/>
      </w:pPr>
      <w:r>
        <w:rPr>
          <w:rFonts w:cs="Times New Roman"/>
          <w:bCs/>
          <w:iCs/>
          <w:sz w:val="22"/>
          <w:szCs w:val="22"/>
          <w:u w:color="404040"/>
        </w:rPr>
        <w:t>For a detailed explanation of each of the focus areas</w:t>
      </w:r>
      <w:r w:rsidR="00A26C4F">
        <w:rPr>
          <w:rFonts w:cs="Times New Roman"/>
          <w:bCs/>
          <w:iCs/>
          <w:sz w:val="22"/>
          <w:szCs w:val="22"/>
          <w:u w:color="404040"/>
        </w:rPr>
        <w:t xml:space="preserve"> of the project</w:t>
      </w:r>
      <w:r>
        <w:rPr>
          <w:rFonts w:cs="Times New Roman"/>
          <w:bCs/>
          <w:iCs/>
          <w:sz w:val="22"/>
          <w:szCs w:val="22"/>
          <w:u w:color="404040"/>
        </w:rPr>
        <w:t xml:space="preserve">, please see the </w:t>
      </w:r>
      <w:hyperlink r:id="rId8" w:history="1">
        <w:r w:rsidRPr="00367C78">
          <w:rPr>
            <w:rStyle w:val="Hyperlink"/>
            <w:rFonts w:cs="Times New Roman"/>
            <w:bCs/>
            <w:iCs/>
            <w:sz w:val="22"/>
            <w:szCs w:val="22"/>
            <w:u w:color="404040"/>
          </w:rPr>
          <w:t>draft scoping paper for the B-Tech project</w:t>
        </w:r>
      </w:hyperlink>
      <w:r>
        <w:rPr>
          <w:rFonts w:cs="Times New Roman"/>
          <w:bCs/>
          <w:iCs/>
          <w:sz w:val="22"/>
          <w:szCs w:val="22"/>
          <w:u w:color="404040"/>
        </w:rPr>
        <w:t xml:space="preserve"> (page 4-9). </w:t>
      </w:r>
    </w:p>
    <w:p w14:paraId="0FAD797A" w14:textId="2E6C9ECE" w:rsidR="00367C78" w:rsidRPr="00367C78" w:rsidRDefault="00367C78" w:rsidP="00367C78">
      <w:pPr>
        <w:pStyle w:val="NormalWeb"/>
        <w:shd w:val="clear" w:color="auto" w:fill="FFFFFF"/>
        <w:spacing w:line="280" w:lineRule="exact"/>
        <w:jc w:val="both"/>
        <w:rPr>
          <w:rFonts w:cs="Times New Roman"/>
          <w:bCs/>
          <w:iCs/>
          <w:color w:val="auto"/>
          <w:sz w:val="22"/>
          <w:szCs w:val="22"/>
          <w:u w:color="404040"/>
        </w:rPr>
      </w:pPr>
    </w:p>
    <w:p w14:paraId="108585FF" w14:textId="44C4D753" w:rsidR="00FF7A0F" w:rsidRDefault="00FF7A0F" w:rsidP="00FF7A0F">
      <w:pPr>
        <w:spacing w:line="280" w:lineRule="exact"/>
        <w:jc w:val="both"/>
        <w:rPr>
          <w:rFonts w:cs="Times New Roman"/>
          <w:b/>
          <w:i/>
          <w:sz w:val="22"/>
          <w:szCs w:val="22"/>
          <w:u w:val="single"/>
        </w:rPr>
      </w:pPr>
      <w:r w:rsidRPr="00697337">
        <w:rPr>
          <w:rFonts w:cs="Times New Roman"/>
          <w:b/>
          <w:i/>
          <w:sz w:val="22"/>
          <w:szCs w:val="22"/>
          <w:u w:val="single"/>
        </w:rPr>
        <w:t xml:space="preserve">Aim of the consultation </w:t>
      </w:r>
    </w:p>
    <w:p w14:paraId="4E856E95" w14:textId="77777777" w:rsidR="00FF7A0F" w:rsidRPr="00697337" w:rsidRDefault="00FF7A0F" w:rsidP="00FF7A0F">
      <w:pPr>
        <w:spacing w:line="280" w:lineRule="exact"/>
        <w:jc w:val="both"/>
        <w:rPr>
          <w:rFonts w:cs="Times New Roman"/>
          <w:b/>
          <w:i/>
          <w:sz w:val="22"/>
          <w:szCs w:val="22"/>
          <w:u w:val="single"/>
        </w:rPr>
      </w:pPr>
    </w:p>
    <w:p w14:paraId="0AA5DC5C" w14:textId="37DA22E9" w:rsidR="00F450FA" w:rsidRDefault="008B629B" w:rsidP="008B629B">
      <w:pPr>
        <w:spacing w:line="280" w:lineRule="exact"/>
        <w:jc w:val="both"/>
        <w:rPr>
          <w:rFonts w:cs="Times New Roman"/>
          <w:sz w:val="22"/>
          <w:szCs w:val="22"/>
        </w:rPr>
      </w:pPr>
      <w:r w:rsidRPr="008B629B">
        <w:rPr>
          <w:rFonts w:cs="Times New Roman"/>
          <w:sz w:val="22"/>
          <w:szCs w:val="22"/>
        </w:rPr>
        <w:t xml:space="preserve">At the very early phase of implementation of the B-tech project, the consultation will provide an opportunity to present and </w:t>
      </w:r>
      <w:r w:rsidR="00FF7A0F" w:rsidRPr="008B629B">
        <w:rPr>
          <w:rFonts w:cs="Times New Roman"/>
          <w:sz w:val="22"/>
          <w:szCs w:val="22"/>
        </w:rPr>
        <w:t>familiarize participants with the</w:t>
      </w:r>
      <w:r w:rsidRPr="008B629B">
        <w:rPr>
          <w:rFonts w:cs="Times New Roman"/>
          <w:sz w:val="22"/>
          <w:szCs w:val="22"/>
        </w:rPr>
        <w:t xml:space="preserve"> scope and overall purpose of the project. </w:t>
      </w:r>
      <w:r>
        <w:rPr>
          <w:rFonts w:cs="Times New Roman"/>
          <w:sz w:val="22"/>
          <w:szCs w:val="22"/>
        </w:rPr>
        <w:t xml:space="preserve">The project’s </w:t>
      </w:r>
      <w:r w:rsidRPr="008B629B">
        <w:rPr>
          <w:rFonts w:cs="Times New Roman"/>
          <w:sz w:val="22"/>
          <w:szCs w:val="22"/>
        </w:rPr>
        <w:t xml:space="preserve">methodology very much emphasizes the need </w:t>
      </w:r>
      <w:r>
        <w:rPr>
          <w:rFonts w:cs="Times New Roman"/>
          <w:sz w:val="22"/>
          <w:szCs w:val="22"/>
        </w:rPr>
        <w:t>to understand and reflect differentiated impact from new technologies in diverse geographies. As such, the consultation will also provide the opportunity to have an initial dialogue around key questions for each focus areas of the project</w:t>
      </w:r>
      <w:r w:rsidR="00F450FA">
        <w:rPr>
          <w:rFonts w:cs="Times New Roman"/>
          <w:sz w:val="22"/>
          <w:szCs w:val="22"/>
        </w:rPr>
        <w:t xml:space="preserve"> </w:t>
      </w:r>
      <w:r>
        <w:rPr>
          <w:rFonts w:cs="Times New Roman"/>
          <w:sz w:val="22"/>
          <w:szCs w:val="22"/>
        </w:rPr>
        <w:t>and gather initial input on how</w:t>
      </w:r>
      <w:r w:rsidR="00F450FA">
        <w:rPr>
          <w:rFonts w:cs="Times New Roman"/>
          <w:sz w:val="22"/>
          <w:szCs w:val="22"/>
        </w:rPr>
        <w:t>/which of</w:t>
      </w:r>
      <w:r>
        <w:rPr>
          <w:rFonts w:cs="Times New Roman"/>
          <w:sz w:val="22"/>
          <w:szCs w:val="22"/>
        </w:rPr>
        <w:t xml:space="preserve"> these questions are </w:t>
      </w:r>
      <w:r w:rsidR="00F450FA">
        <w:rPr>
          <w:rFonts w:cs="Times New Roman"/>
          <w:sz w:val="22"/>
          <w:szCs w:val="22"/>
        </w:rPr>
        <w:t xml:space="preserve">the most interesting to explore/most challenging </w:t>
      </w:r>
      <w:r>
        <w:rPr>
          <w:rFonts w:cs="Times New Roman"/>
          <w:sz w:val="22"/>
          <w:szCs w:val="22"/>
        </w:rPr>
        <w:t>in the Southern African context.</w:t>
      </w:r>
      <w:r w:rsidRPr="008B629B">
        <w:rPr>
          <w:rFonts w:cs="Times New Roman"/>
          <w:sz w:val="22"/>
          <w:szCs w:val="22"/>
        </w:rPr>
        <w:t xml:space="preserve"> </w:t>
      </w:r>
    </w:p>
    <w:p w14:paraId="524065F9" w14:textId="77777777" w:rsidR="00F450FA" w:rsidRDefault="00F450FA" w:rsidP="008B629B">
      <w:pPr>
        <w:spacing w:line="280" w:lineRule="exact"/>
        <w:jc w:val="both"/>
        <w:rPr>
          <w:rFonts w:cs="Times New Roman"/>
          <w:sz w:val="22"/>
          <w:szCs w:val="22"/>
        </w:rPr>
      </w:pPr>
    </w:p>
    <w:p w14:paraId="6DC1F2B3" w14:textId="77777777" w:rsidR="00F450FA" w:rsidRDefault="00F450FA" w:rsidP="008B629B">
      <w:pPr>
        <w:spacing w:line="280" w:lineRule="exact"/>
        <w:jc w:val="both"/>
        <w:rPr>
          <w:rFonts w:cs="Times New Roman"/>
          <w:sz w:val="22"/>
          <w:szCs w:val="22"/>
        </w:rPr>
      </w:pPr>
    </w:p>
    <w:p w14:paraId="48983591" w14:textId="0438434C" w:rsidR="008B629B" w:rsidRPr="00CD0161" w:rsidRDefault="008B629B" w:rsidP="008B629B">
      <w:pPr>
        <w:spacing w:line="280" w:lineRule="exact"/>
        <w:jc w:val="both"/>
        <w:rPr>
          <w:rFonts w:cs="Times New Roman"/>
          <w:sz w:val="22"/>
          <w:szCs w:val="22"/>
        </w:rPr>
      </w:pPr>
      <w:r>
        <w:rPr>
          <w:rFonts w:cs="Times New Roman"/>
          <w:sz w:val="22"/>
          <w:szCs w:val="22"/>
        </w:rPr>
        <w:t xml:space="preserve">Therefore, the key questions listed below </w:t>
      </w:r>
      <w:r w:rsidR="00780F7F">
        <w:rPr>
          <w:rFonts w:cs="Times New Roman"/>
          <w:sz w:val="22"/>
          <w:szCs w:val="22"/>
        </w:rPr>
        <w:t xml:space="preserve">for each focus area </w:t>
      </w:r>
      <w:r>
        <w:rPr>
          <w:rFonts w:cs="Times New Roman"/>
          <w:sz w:val="22"/>
          <w:szCs w:val="22"/>
        </w:rPr>
        <w:t xml:space="preserve">are meant to trigger and guide the debate but are in no way meant to be answered at this stage. Inputs gather at the consultation will </w:t>
      </w:r>
      <w:r w:rsidR="00CD0161">
        <w:rPr>
          <w:rFonts w:cs="Times New Roman"/>
          <w:sz w:val="22"/>
          <w:szCs w:val="22"/>
        </w:rPr>
        <w:t xml:space="preserve">inform </w:t>
      </w:r>
      <w:r>
        <w:rPr>
          <w:rFonts w:cs="Times New Roman"/>
          <w:sz w:val="22"/>
          <w:szCs w:val="22"/>
        </w:rPr>
        <w:t xml:space="preserve">further research and discussions. </w:t>
      </w:r>
    </w:p>
    <w:p w14:paraId="1248C119" w14:textId="47E9C6B3" w:rsidR="00466248" w:rsidRDefault="00466248" w:rsidP="005E72D0">
      <w:pPr>
        <w:pStyle w:val="NormalWeb"/>
        <w:spacing w:line="280" w:lineRule="exact"/>
        <w:jc w:val="both"/>
        <w:rPr>
          <w:rFonts w:cs="Times New Roman"/>
          <w:sz w:val="22"/>
          <w:szCs w:val="22"/>
        </w:rPr>
      </w:pPr>
      <w:r>
        <w:rPr>
          <w:rFonts w:cs="Times New Roman"/>
          <w:sz w:val="22"/>
          <w:szCs w:val="22"/>
        </w:rPr>
        <w:t xml:space="preserve">Key questions to </w:t>
      </w:r>
      <w:r w:rsidR="00F450FA">
        <w:rPr>
          <w:rFonts w:cs="Times New Roman"/>
          <w:sz w:val="22"/>
          <w:szCs w:val="22"/>
        </w:rPr>
        <w:t>help guide</w:t>
      </w:r>
      <w:r w:rsidR="00406234">
        <w:rPr>
          <w:rFonts w:cs="Times New Roman"/>
          <w:sz w:val="22"/>
          <w:szCs w:val="22"/>
        </w:rPr>
        <w:t xml:space="preserve"> the</w:t>
      </w:r>
      <w:r w:rsidR="00F450FA">
        <w:rPr>
          <w:rFonts w:cs="Times New Roman"/>
          <w:sz w:val="22"/>
          <w:szCs w:val="22"/>
        </w:rPr>
        <w:t xml:space="preserve"> discussion under Focus Area 1 include</w:t>
      </w:r>
      <w:r>
        <w:rPr>
          <w:rFonts w:cs="Times New Roman"/>
          <w:sz w:val="22"/>
          <w:szCs w:val="22"/>
        </w:rPr>
        <w:t xml:space="preserve">: </w:t>
      </w:r>
    </w:p>
    <w:p w14:paraId="1569934F"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To what extent are the business models’ underlying technological development and sales generating human rights risks? What are some examples of this phenomenon? </w:t>
      </w:r>
    </w:p>
    <w:p w14:paraId="0E450748"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What should human rights due diligence in relation to business models and competitive strategies look like in practice? </w:t>
      </w:r>
    </w:p>
    <w:p w14:paraId="093516DF"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What are the implication for thinking about what good practice looks like when business models are designed around a technological innovation, not vice-versa? </w:t>
      </w:r>
    </w:p>
    <w:p w14:paraId="412CF7A3" w14:textId="1EDE7FE6" w:rsidR="00466248" w:rsidRPr="00CD0161" w:rsidRDefault="005E72D0" w:rsidP="00466248">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How do we navigate situations where some sections of the population gain from business models that provide them access to technological benefit, while others are put at risk by those same business models? </w:t>
      </w:r>
    </w:p>
    <w:p w14:paraId="11CD9335" w14:textId="6A84B118" w:rsidR="005E72D0" w:rsidRPr="00466248" w:rsidRDefault="00466248" w:rsidP="00466248">
      <w:pPr>
        <w:pStyle w:val="NormalWeb"/>
        <w:spacing w:line="280" w:lineRule="exact"/>
        <w:jc w:val="both"/>
        <w:rPr>
          <w:rFonts w:cs="Times New Roman"/>
          <w:sz w:val="22"/>
          <w:szCs w:val="22"/>
        </w:rPr>
      </w:pPr>
      <w:r>
        <w:rPr>
          <w:rFonts w:cs="Times New Roman"/>
          <w:sz w:val="22"/>
          <w:szCs w:val="22"/>
        </w:rPr>
        <w:t xml:space="preserve">Key questions to </w:t>
      </w:r>
      <w:r w:rsidR="00F450FA">
        <w:rPr>
          <w:rFonts w:cs="Times New Roman"/>
          <w:sz w:val="22"/>
          <w:szCs w:val="22"/>
        </w:rPr>
        <w:t xml:space="preserve">help guide </w:t>
      </w:r>
      <w:r w:rsidR="00406234">
        <w:rPr>
          <w:rFonts w:cs="Times New Roman"/>
          <w:sz w:val="22"/>
          <w:szCs w:val="22"/>
        </w:rPr>
        <w:t xml:space="preserve">the </w:t>
      </w:r>
      <w:r w:rsidR="00F450FA">
        <w:rPr>
          <w:rFonts w:cs="Times New Roman"/>
          <w:sz w:val="22"/>
          <w:szCs w:val="22"/>
        </w:rPr>
        <w:t xml:space="preserve">discussion under </w:t>
      </w:r>
      <w:r w:rsidR="00780F7F">
        <w:rPr>
          <w:rFonts w:cs="Times New Roman"/>
          <w:sz w:val="22"/>
          <w:szCs w:val="22"/>
        </w:rPr>
        <w:t>Focus Area 2 include</w:t>
      </w:r>
      <w:r>
        <w:rPr>
          <w:rFonts w:cs="Times New Roman"/>
          <w:sz w:val="22"/>
          <w:szCs w:val="22"/>
        </w:rPr>
        <w:t xml:space="preserve">: </w:t>
      </w:r>
    </w:p>
    <w:p w14:paraId="15EFA09C"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How can companies understand the potential and actual impacts of their products early and on an ongoing basis? </w:t>
      </w:r>
    </w:p>
    <w:p w14:paraId="24F144EF"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How can companies engage external experts and affected stakeholders? </w:t>
      </w:r>
    </w:p>
    <w:p w14:paraId="56EE4A82"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How can companies developing and selling technologies establish and exercise leverage to prevent and mitigate harm associated with the use of their products?</w:t>
      </w:r>
    </w:p>
    <w:p w14:paraId="0EAD3439"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How can technology companies reflect – in their own human rights due diligence – the critical importance of responsible use of their products and services to their contribution to sustainable development? </w:t>
      </w:r>
    </w:p>
    <w:p w14:paraId="25B91DC4"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To what extent can insights from other sectors (such as pharmaceuticals/drug safety, mobile medical equipment, agricultural products, finance and logistics/shipping) about the corporate responsibility to respect vis-a-vis the impacts of products and services be applied to the tech sector?</w:t>
      </w:r>
    </w:p>
    <w:p w14:paraId="49B79E60"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How can companies individually or collectively exercise leverage to seek to prevent and mitigate the harms that may arise through States using technologies in ways that violate human rights?</w:t>
      </w:r>
    </w:p>
    <w:p w14:paraId="2443AF3B"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 xml:space="preserve">What are the implications for the human rights due diligence process of the particular structure of digital technology value chains, taking into account that: a) It can often be end-users beyond the technology sector that are (in the language of the UNGPs) causing adverse human rights impacts; and b) Small and Medium technology companies might bring to market a specific technological application, piece of code or number of users that have impacts on people that are disproportional to the number of employees in their organization? </w:t>
      </w:r>
    </w:p>
    <w:p w14:paraId="53A6228E" w14:textId="77777777" w:rsidR="005E72D0" w:rsidRPr="00697337" w:rsidRDefault="005E72D0" w:rsidP="005E72D0">
      <w:pPr>
        <w:pStyle w:val="BodyA"/>
        <w:numPr>
          <w:ilvl w:val="0"/>
          <w:numId w:val="17"/>
        </w:numPr>
        <w:spacing w:line="280" w:lineRule="exact"/>
        <w:jc w:val="both"/>
        <w:rPr>
          <w:rFonts w:ascii="Times New Roman" w:hAnsi="Times New Roman" w:cs="Times New Roman"/>
          <w:i/>
          <w:iCs/>
          <w:sz w:val="22"/>
          <w:szCs w:val="22"/>
        </w:rPr>
      </w:pPr>
      <w:r w:rsidRPr="00697337">
        <w:rPr>
          <w:rFonts w:ascii="Times New Roman" w:hAnsi="Times New Roman" w:cs="Times New Roman"/>
          <w:i/>
          <w:iCs/>
          <w:sz w:val="22"/>
          <w:szCs w:val="22"/>
        </w:rPr>
        <w:t xml:space="preserve">What does responsible transparency and effective communication about potential and actual harms related to end-use look like in practice? </w:t>
      </w:r>
    </w:p>
    <w:p w14:paraId="3A3BB309" w14:textId="63F21D97" w:rsidR="005E72D0" w:rsidRPr="00466248"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What can we learn from the existing models – such as the Global Network Initiative – about good practice when it comes to multi-stakeholder and multi-lateral standard setting to address challenges arising from risk to human rights arising from State use of technologies?</w:t>
      </w:r>
    </w:p>
    <w:p w14:paraId="2ADC0756" w14:textId="77777777" w:rsidR="00466248" w:rsidRDefault="005E72D0" w:rsidP="00466248">
      <w:pPr>
        <w:pStyle w:val="NormalWeb"/>
        <w:spacing w:line="280" w:lineRule="exact"/>
        <w:jc w:val="both"/>
        <w:rPr>
          <w:rFonts w:cs="Times New Roman"/>
          <w:sz w:val="22"/>
          <w:szCs w:val="22"/>
        </w:rPr>
      </w:pPr>
      <w:r w:rsidRPr="00697337">
        <w:rPr>
          <w:rFonts w:cs="Times New Roman"/>
          <w:i/>
          <w:iCs/>
          <w:sz w:val="22"/>
          <w:szCs w:val="22"/>
        </w:rPr>
        <w:t xml:space="preserve"> </w:t>
      </w:r>
    </w:p>
    <w:p w14:paraId="56123D97" w14:textId="30EC441C" w:rsidR="00466248" w:rsidRPr="00466248" w:rsidRDefault="00F450FA" w:rsidP="00466248">
      <w:pPr>
        <w:pStyle w:val="NormalWeb"/>
        <w:spacing w:line="280" w:lineRule="exact"/>
        <w:jc w:val="both"/>
        <w:rPr>
          <w:rFonts w:cs="Times New Roman"/>
          <w:sz w:val="22"/>
          <w:szCs w:val="22"/>
        </w:rPr>
      </w:pPr>
      <w:r>
        <w:rPr>
          <w:rFonts w:cs="Times New Roman"/>
          <w:sz w:val="22"/>
          <w:szCs w:val="22"/>
        </w:rPr>
        <w:t>Key questions to help guide</w:t>
      </w:r>
      <w:r w:rsidR="00406234">
        <w:rPr>
          <w:rFonts w:cs="Times New Roman"/>
          <w:sz w:val="22"/>
          <w:szCs w:val="22"/>
        </w:rPr>
        <w:t xml:space="preserve"> the </w:t>
      </w:r>
      <w:r>
        <w:rPr>
          <w:rFonts w:cs="Times New Roman"/>
          <w:sz w:val="22"/>
          <w:szCs w:val="22"/>
        </w:rPr>
        <w:t xml:space="preserve">discussion under </w:t>
      </w:r>
      <w:r w:rsidR="00780F7F">
        <w:rPr>
          <w:rFonts w:cs="Times New Roman"/>
          <w:sz w:val="22"/>
          <w:szCs w:val="22"/>
        </w:rPr>
        <w:t>Focus Area 3 include</w:t>
      </w:r>
      <w:r w:rsidR="00466248">
        <w:rPr>
          <w:rFonts w:cs="Times New Roman"/>
          <w:sz w:val="22"/>
          <w:szCs w:val="22"/>
        </w:rPr>
        <w:t xml:space="preserve">: </w:t>
      </w:r>
    </w:p>
    <w:p w14:paraId="3640D36D" w14:textId="77777777" w:rsidR="005E72D0" w:rsidRPr="00697337" w:rsidRDefault="005E72D0" w:rsidP="005E72D0">
      <w:pPr>
        <w:pStyle w:val="NormalWeb"/>
        <w:numPr>
          <w:ilvl w:val="0"/>
          <w:numId w:val="19"/>
        </w:numPr>
        <w:spacing w:line="280" w:lineRule="exact"/>
        <w:jc w:val="both"/>
        <w:rPr>
          <w:rFonts w:cs="Times New Roman"/>
          <w:i/>
          <w:iCs/>
          <w:sz w:val="22"/>
          <w:szCs w:val="22"/>
        </w:rPr>
      </w:pPr>
      <w:r w:rsidRPr="00697337">
        <w:rPr>
          <w:rFonts w:cs="Times New Roman"/>
          <w:i/>
          <w:iCs/>
          <w:sz w:val="22"/>
          <w:szCs w:val="22"/>
        </w:rPr>
        <w:t xml:space="preserve">To what extent are technology companies presently making use of company-based grievance mechanisms to resolve instances in which they are alleged to have caused or contributed to human rights abuses of individuals, or where adverse impacts are alleged to be directly linked to their operations, products or services by a business relationships? What challenges have been encountered thus far and how have they been addressed in practice? How may technology companies  play a role in enabling access to remedy in situations where they are only directly linked to a harm? If so, what might enabling remedy look like in practice?  </w:t>
      </w:r>
    </w:p>
    <w:p w14:paraId="6FFBCCFE" w14:textId="77777777" w:rsidR="005E72D0" w:rsidRPr="00697337" w:rsidRDefault="005E72D0" w:rsidP="005E72D0">
      <w:pPr>
        <w:pStyle w:val="NormalWeb"/>
        <w:numPr>
          <w:ilvl w:val="0"/>
          <w:numId w:val="19"/>
        </w:numPr>
        <w:spacing w:line="280" w:lineRule="exact"/>
        <w:jc w:val="both"/>
        <w:rPr>
          <w:rFonts w:cs="Times New Roman"/>
          <w:i/>
          <w:iCs/>
          <w:sz w:val="22"/>
          <w:szCs w:val="22"/>
        </w:rPr>
      </w:pPr>
      <w:r w:rsidRPr="00697337">
        <w:rPr>
          <w:rFonts w:cs="Times New Roman"/>
          <w:i/>
          <w:iCs/>
          <w:sz w:val="22"/>
          <w:szCs w:val="22"/>
        </w:rPr>
        <w:t>What is the interplay between mechanisms created to enable users to flag harmful content or practices through technologies (for example discriminatory content targeted at identified groups), and mechanisms created to provide remedy for individual victims who have suffered harm as a result of such content or practices?</w:t>
      </w:r>
    </w:p>
    <w:p w14:paraId="29F428A8"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If necessary, how can  companies  prioritize among hundreds of thousands, or even multiple millions, of potentially impacted individuals and human rights issues if they are to establish genuinely effective remedy mechanisms? In a given geography, might different actors that make up the technology sector (e.g. ISPs, Telcos, social media platforms, researchers) need to establish some form of joint grievance mechanism, and collaboration on remedy?</w:t>
      </w:r>
    </w:p>
    <w:p w14:paraId="16C87C97" w14:textId="77777777" w:rsidR="005E72D0" w:rsidRPr="00697337" w:rsidRDefault="005E72D0" w:rsidP="005E72D0">
      <w:pPr>
        <w:pStyle w:val="NormalWeb"/>
        <w:numPr>
          <w:ilvl w:val="0"/>
          <w:numId w:val="17"/>
        </w:numPr>
        <w:spacing w:line="280" w:lineRule="exact"/>
        <w:jc w:val="both"/>
        <w:rPr>
          <w:rFonts w:cs="Times New Roman"/>
          <w:i/>
          <w:iCs/>
          <w:sz w:val="22"/>
          <w:szCs w:val="22"/>
        </w:rPr>
      </w:pPr>
      <w:r w:rsidRPr="00697337">
        <w:rPr>
          <w:rFonts w:cs="Times New Roman"/>
          <w:i/>
          <w:iCs/>
          <w:sz w:val="22"/>
          <w:szCs w:val="22"/>
        </w:rPr>
        <w:t>Do conflicting regulatory requirements in different jurisdiction pose problems for accountability and remedy pursued through company-level grievance mechanisms?  If so, how can these be resolved?</w:t>
      </w:r>
    </w:p>
    <w:p w14:paraId="2460723E" w14:textId="77777777" w:rsidR="005E72D0" w:rsidRPr="00697337" w:rsidRDefault="005E72D0" w:rsidP="005E72D0">
      <w:pPr>
        <w:pStyle w:val="BodyA"/>
        <w:numPr>
          <w:ilvl w:val="0"/>
          <w:numId w:val="19"/>
        </w:numPr>
        <w:spacing w:line="280" w:lineRule="exact"/>
        <w:rPr>
          <w:rFonts w:ascii="Times New Roman" w:hAnsi="Times New Roman" w:cs="Times New Roman"/>
          <w:i/>
          <w:iCs/>
          <w:sz w:val="22"/>
          <w:szCs w:val="22"/>
        </w:rPr>
      </w:pPr>
      <w:r w:rsidRPr="00697337">
        <w:rPr>
          <w:rFonts w:ascii="Times New Roman" w:hAnsi="Times New Roman" w:cs="Times New Roman"/>
          <w:i/>
          <w:iCs/>
          <w:sz w:val="22"/>
          <w:szCs w:val="22"/>
        </w:rPr>
        <w:t>What are the responsibilities of corporate providers of digital technologies regarding the provision of effective remedies in cases of misuse of their products or services by individual users – versus public or private entities? What bearing does the guidance in the UNGPs have on the analysis by companies of their responsibilities for remediation? What is the role of State regulation in supporting remedial efforts by technology companies? What can we learn from recent developments such as the EU General Data Protection Regulation’s “right to explanation” for machine-based decision-making?</w:t>
      </w:r>
    </w:p>
    <w:p w14:paraId="230B6FA5" w14:textId="77777777" w:rsidR="005E72D0" w:rsidRPr="00697337" w:rsidRDefault="005E72D0" w:rsidP="005E72D0">
      <w:pPr>
        <w:pStyle w:val="NormalWeb"/>
        <w:shd w:val="clear" w:color="auto" w:fill="FFFFFF"/>
        <w:spacing w:line="280" w:lineRule="exact"/>
        <w:jc w:val="both"/>
        <w:rPr>
          <w:rFonts w:cs="Times New Roman"/>
          <w:b/>
          <w:bCs/>
          <w:i/>
          <w:iCs/>
          <w:color w:val="404040"/>
          <w:sz w:val="22"/>
          <w:szCs w:val="22"/>
          <w:u w:color="404040"/>
        </w:rPr>
      </w:pPr>
    </w:p>
    <w:p w14:paraId="3809E58A" w14:textId="704E880A" w:rsidR="005E72D0" w:rsidRPr="00697337" w:rsidRDefault="00F450FA" w:rsidP="005E72D0">
      <w:pPr>
        <w:pStyle w:val="NormalWeb"/>
        <w:shd w:val="clear" w:color="auto" w:fill="FFFFFF"/>
        <w:spacing w:line="280" w:lineRule="exact"/>
        <w:rPr>
          <w:rFonts w:cs="Times New Roman"/>
          <w:sz w:val="22"/>
          <w:szCs w:val="22"/>
        </w:rPr>
      </w:pPr>
      <w:r>
        <w:rPr>
          <w:rFonts w:cs="Times New Roman"/>
          <w:sz w:val="22"/>
          <w:szCs w:val="22"/>
        </w:rPr>
        <w:t xml:space="preserve">Key questions to help guide </w:t>
      </w:r>
      <w:r w:rsidR="00406234">
        <w:rPr>
          <w:rFonts w:cs="Times New Roman"/>
          <w:sz w:val="22"/>
          <w:szCs w:val="22"/>
        </w:rPr>
        <w:t xml:space="preserve">the </w:t>
      </w:r>
      <w:r>
        <w:rPr>
          <w:rFonts w:cs="Times New Roman"/>
          <w:sz w:val="22"/>
          <w:szCs w:val="22"/>
        </w:rPr>
        <w:t>discussion under</w:t>
      </w:r>
      <w:r w:rsidR="002E34B5">
        <w:rPr>
          <w:rFonts w:cs="Times New Roman"/>
          <w:sz w:val="22"/>
          <w:szCs w:val="22"/>
        </w:rPr>
        <w:t xml:space="preserve"> Focus A</w:t>
      </w:r>
      <w:r w:rsidR="00466248">
        <w:rPr>
          <w:rFonts w:cs="Times New Roman"/>
          <w:sz w:val="22"/>
          <w:szCs w:val="22"/>
        </w:rPr>
        <w:t xml:space="preserve">rea 4 </w:t>
      </w:r>
      <w:r w:rsidR="005E72D0" w:rsidRPr="00697337">
        <w:rPr>
          <w:rFonts w:cs="Times New Roman"/>
          <w:sz w:val="22"/>
          <w:szCs w:val="22"/>
        </w:rPr>
        <w:t>include:</w:t>
      </w:r>
    </w:p>
    <w:p w14:paraId="6EB79FF1" w14:textId="77777777" w:rsidR="005E72D0" w:rsidRPr="00697337" w:rsidRDefault="005E72D0" w:rsidP="005E72D0">
      <w:pPr>
        <w:pStyle w:val="NormalWeb"/>
        <w:numPr>
          <w:ilvl w:val="0"/>
          <w:numId w:val="21"/>
        </w:numPr>
        <w:shd w:val="clear" w:color="auto" w:fill="FFFFFF"/>
        <w:spacing w:line="280" w:lineRule="exact"/>
        <w:jc w:val="both"/>
        <w:rPr>
          <w:rFonts w:cs="Times New Roman"/>
          <w:i/>
          <w:iCs/>
          <w:sz w:val="22"/>
          <w:szCs w:val="22"/>
        </w:rPr>
      </w:pPr>
      <w:r w:rsidRPr="00697337">
        <w:rPr>
          <w:rFonts w:cs="Times New Roman"/>
          <w:i/>
          <w:iCs/>
          <w:sz w:val="22"/>
          <w:szCs w:val="22"/>
        </w:rPr>
        <w:t>To what extent do regulatory regimes presently address the risk of human rights harms associated with the design or use of digital technologies?</w:t>
      </w:r>
    </w:p>
    <w:p w14:paraId="157FE554" w14:textId="77777777" w:rsidR="005E72D0" w:rsidRPr="00697337" w:rsidRDefault="005E72D0" w:rsidP="005E72D0">
      <w:pPr>
        <w:pStyle w:val="NormalWeb"/>
        <w:numPr>
          <w:ilvl w:val="0"/>
          <w:numId w:val="21"/>
        </w:numPr>
        <w:shd w:val="clear" w:color="auto" w:fill="FFFFFF"/>
        <w:spacing w:line="280" w:lineRule="exact"/>
        <w:jc w:val="both"/>
        <w:rPr>
          <w:rFonts w:cs="Times New Roman"/>
          <w:i/>
          <w:iCs/>
          <w:sz w:val="22"/>
          <w:szCs w:val="22"/>
        </w:rPr>
      </w:pPr>
      <w:r w:rsidRPr="00697337">
        <w:rPr>
          <w:rFonts w:cs="Times New Roman"/>
          <w:i/>
          <w:iCs/>
          <w:sz w:val="22"/>
          <w:szCs w:val="22"/>
        </w:rPr>
        <w:t>What issues do legislators need to be aware of when designing regulatory regimes? How might these regimes interconnect with other regimes relevant to business respect for human rights (e.g. privacy, data protection, freedom of expression etc.)? What tensions exist between different human rights (and how are these resolved in practice)?</w:t>
      </w:r>
    </w:p>
    <w:p w14:paraId="668D75E5" w14:textId="77777777" w:rsidR="005E72D0" w:rsidRPr="00697337" w:rsidRDefault="005E72D0" w:rsidP="005E72D0">
      <w:pPr>
        <w:pStyle w:val="NormalWeb"/>
        <w:numPr>
          <w:ilvl w:val="0"/>
          <w:numId w:val="21"/>
        </w:numPr>
        <w:shd w:val="clear" w:color="auto" w:fill="FFFFFF"/>
        <w:spacing w:line="280" w:lineRule="exact"/>
        <w:jc w:val="both"/>
        <w:rPr>
          <w:rFonts w:cs="Times New Roman"/>
          <w:i/>
          <w:iCs/>
          <w:sz w:val="22"/>
          <w:szCs w:val="22"/>
        </w:rPr>
      </w:pPr>
      <w:r w:rsidRPr="00697337">
        <w:rPr>
          <w:rFonts w:cs="Times New Roman"/>
          <w:i/>
          <w:iCs/>
          <w:sz w:val="22"/>
          <w:szCs w:val="22"/>
        </w:rPr>
        <w:t>How can States incentivize greater respect for human rights by digital companies (e.g. export credit, investment guarantees, public procurement, and trade facilitation)?</w:t>
      </w:r>
    </w:p>
    <w:p w14:paraId="5BF0BCBD" w14:textId="77777777" w:rsidR="005E72D0" w:rsidRPr="00697337" w:rsidRDefault="005E72D0" w:rsidP="005E72D0">
      <w:pPr>
        <w:pStyle w:val="NormalWeb"/>
        <w:numPr>
          <w:ilvl w:val="0"/>
          <w:numId w:val="21"/>
        </w:numPr>
        <w:shd w:val="clear" w:color="auto" w:fill="FFFFFF"/>
        <w:spacing w:line="280" w:lineRule="exact"/>
        <w:jc w:val="both"/>
        <w:rPr>
          <w:rFonts w:cs="Times New Roman"/>
          <w:i/>
          <w:iCs/>
          <w:sz w:val="22"/>
          <w:szCs w:val="22"/>
        </w:rPr>
      </w:pPr>
      <w:r w:rsidRPr="00697337">
        <w:rPr>
          <w:rFonts w:cs="Times New Roman"/>
          <w:i/>
          <w:iCs/>
          <w:sz w:val="22"/>
          <w:szCs w:val="22"/>
        </w:rPr>
        <w:t>What is the relevance of human rights due diligence in regulatory regimes relating to digital companies? How might human rights due diligence (as defined in the UNGPs) be better promoted and incentivized within the context of regulatory regimes?</w:t>
      </w:r>
    </w:p>
    <w:p w14:paraId="40686E11" w14:textId="78CC9742" w:rsidR="001A0CD2" w:rsidRDefault="005E72D0" w:rsidP="001A0CD2">
      <w:pPr>
        <w:pStyle w:val="NormalWeb"/>
        <w:numPr>
          <w:ilvl w:val="0"/>
          <w:numId w:val="21"/>
        </w:numPr>
        <w:shd w:val="clear" w:color="auto" w:fill="FFFFFF"/>
        <w:spacing w:line="280" w:lineRule="exact"/>
        <w:jc w:val="both"/>
        <w:rPr>
          <w:rFonts w:cs="Times New Roman"/>
          <w:i/>
          <w:iCs/>
          <w:sz w:val="22"/>
          <w:szCs w:val="22"/>
        </w:rPr>
      </w:pPr>
      <w:r w:rsidRPr="00697337">
        <w:rPr>
          <w:rFonts w:cs="Times New Roman"/>
          <w:i/>
          <w:iCs/>
          <w:sz w:val="22"/>
          <w:szCs w:val="22"/>
        </w:rPr>
        <w:t>What cross-border and multi-lateral arrangements are needed to make law enforcement (including through private law actions) more effective? Is there potential for new multi-lateral initiatives for effective prevention and remediation of human rights abuses connected with the design, provision and use of digital technologies?  If so, what models should be looked to for inspiration (e.g</w:t>
      </w:r>
      <w:r w:rsidR="00406234">
        <w:rPr>
          <w:rFonts w:cs="Times New Roman"/>
          <w:i/>
          <w:iCs/>
          <w:sz w:val="22"/>
          <w:szCs w:val="22"/>
        </w:rPr>
        <w:t>. OECD’s Going Digital Project)?</w:t>
      </w:r>
    </w:p>
    <w:p w14:paraId="2E942601" w14:textId="6D4F0187" w:rsidR="00A51B3B" w:rsidRPr="00A51B3B" w:rsidRDefault="00841ADE" w:rsidP="00A51B3B">
      <w:pPr>
        <w:pStyle w:val="NormalWeb"/>
        <w:shd w:val="clear" w:color="auto" w:fill="FFFFFF"/>
        <w:spacing w:line="280" w:lineRule="exact"/>
        <w:jc w:val="both"/>
        <w:rPr>
          <w:rFonts w:cs="Times New Roman"/>
          <w:iCs/>
          <w:sz w:val="22"/>
          <w:szCs w:val="22"/>
        </w:rPr>
      </w:pPr>
      <w:r>
        <w:rPr>
          <w:rFonts w:cs="Times New Roman"/>
          <w:iCs/>
          <w:sz w:val="22"/>
          <w:szCs w:val="22"/>
        </w:rPr>
        <w:t xml:space="preserve">The last part of the consultation will be devoted to the </w:t>
      </w:r>
      <w:r w:rsidR="00A51B3B">
        <w:rPr>
          <w:rFonts w:cs="Times New Roman"/>
          <w:iCs/>
          <w:sz w:val="22"/>
          <w:szCs w:val="22"/>
        </w:rPr>
        <w:t xml:space="preserve">next phases of the project’s implementation and opportunities for engagement and collaboration will be </w:t>
      </w:r>
      <w:r>
        <w:rPr>
          <w:rFonts w:cs="Times New Roman"/>
          <w:iCs/>
          <w:sz w:val="22"/>
          <w:szCs w:val="22"/>
        </w:rPr>
        <w:t xml:space="preserve">presented. </w:t>
      </w:r>
    </w:p>
    <w:p w14:paraId="1B2BB03D" w14:textId="77777777" w:rsidR="005B2BE8" w:rsidRPr="00AD14A2" w:rsidRDefault="005B2BE8" w:rsidP="003F7D2A">
      <w:pPr>
        <w:rPr>
          <w:rFonts w:cs="Times New Roman"/>
          <w:b/>
          <w:lang w:val="en-GB"/>
        </w:rPr>
      </w:pPr>
    </w:p>
    <w:tbl>
      <w:tblPr>
        <w:tblStyle w:val="GridTable5Dark-Accent11"/>
        <w:tblW w:w="0" w:type="auto"/>
        <w:tblLook w:val="04A0" w:firstRow="1" w:lastRow="0" w:firstColumn="1" w:lastColumn="0" w:noHBand="0" w:noVBand="1"/>
      </w:tblPr>
      <w:tblGrid>
        <w:gridCol w:w="1705"/>
        <w:gridCol w:w="7645"/>
      </w:tblGrid>
      <w:tr w:rsidR="00C41CEB" w:rsidRPr="0011291B" w14:paraId="4F33F7E6" w14:textId="77777777" w:rsidTr="00FC7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113B490" w14:textId="77777777" w:rsidR="00C41CEB" w:rsidRPr="00AD14A2" w:rsidRDefault="00C41CEB" w:rsidP="00C41CEB">
            <w:pPr>
              <w:jc w:val="center"/>
              <w:rPr>
                <w:rFonts w:cs="Times New Roman"/>
                <w:sz w:val="22"/>
                <w:szCs w:val="22"/>
                <w:lang w:val="en-GB"/>
              </w:rPr>
            </w:pPr>
          </w:p>
          <w:p w14:paraId="4E31B0EF" w14:textId="75A91D69" w:rsidR="00C41CEB" w:rsidRPr="002C2AEB" w:rsidRDefault="00204A34" w:rsidP="00C41CEB">
            <w:pPr>
              <w:jc w:val="center"/>
              <w:rPr>
                <w:rFonts w:cs="Times New Roman"/>
                <w:sz w:val="22"/>
                <w:szCs w:val="22"/>
              </w:rPr>
            </w:pPr>
            <w:r>
              <w:rPr>
                <w:rFonts w:cs="Times New Roman"/>
                <w:sz w:val="22"/>
                <w:szCs w:val="22"/>
                <w:u w:val="single"/>
              </w:rPr>
              <w:t>MORNING</w:t>
            </w:r>
            <w:r w:rsidR="00C41CEB" w:rsidRPr="002C2AEB">
              <w:rPr>
                <w:rFonts w:cs="Times New Roman"/>
                <w:sz w:val="22"/>
                <w:szCs w:val="22"/>
              </w:rPr>
              <w:t xml:space="preserve">:    </w:t>
            </w:r>
          </w:p>
          <w:p w14:paraId="240872EE" w14:textId="6010D3BB" w:rsidR="00C41CEB" w:rsidRPr="002C2AEB" w:rsidRDefault="00C6034F" w:rsidP="00C41CEB">
            <w:pPr>
              <w:jc w:val="center"/>
              <w:rPr>
                <w:rFonts w:cs="Times New Roman"/>
                <w:b w:val="0"/>
                <w:sz w:val="22"/>
                <w:szCs w:val="22"/>
              </w:rPr>
            </w:pPr>
            <w:r>
              <w:rPr>
                <w:rFonts w:cs="Times New Roman"/>
                <w:b w:val="0"/>
                <w:sz w:val="22"/>
                <w:szCs w:val="22"/>
              </w:rPr>
              <w:t>Friday</w:t>
            </w:r>
            <w:bookmarkStart w:id="0" w:name="_GoBack"/>
            <w:bookmarkEnd w:id="0"/>
            <w:r w:rsidR="00C41CEB" w:rsidRPr="002C2AEB">
              <w:rPr>
                <w:rFonts w:cs="Times New Roman"/>
                <w:b w:val="0"/>
                <w:sz w:val="22"/>
                <w:szCs w:val="22"/>
              </w:rPr>
              <w:t xml:space="preserve">, </w:t>
            </w:r>
            <w:r w:rsidR="00204A34">
              <w:rPr>
                <w:rFonts w:cs="Times New Roman"/>
                <w:b w:val="0"/>
                <w:sz w:val="22"/>
                <w:szCs w:val="22"/>
              </w:rPr>
              <w:t>6 September 2019</w:t>
            </w:r>
          </w:p>
          <w:p w14:paraId="6124789D" w14:textId="77777777" w:rsidR="00C41CEB" w:rsidRPr="002C2AEB" w:rsidRDefault="00C41CEB" w:rsidP="00C41CEB">
            <w:pPr>
              <w:jc w:val="center"/>
              <w:rPr>
                <w:rFonts w:cs="Times New Roman"/>
                <w:sz w:val="22"/>
                <w:szCs w:val="22"/>
              </w:rPr>
            </w:pPr>
          </w:p>
        </w:tc>
      </w:tr>
      <w:tr w:rsidR="008D7E25" w:rsidRPr="0011291B" w14:paraId="2E7453DB" w14:textId="77777777" w:rsidTr="0097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8B9ADC6" w14:textId="4BD2E53A" w:rsidR="00993854" w:rsidRPr="0011291B" w:rsidRDefault="00204A34" w:rsidP="007A7B85">
            <w:pPr>
              <w:spacing w:before="240" w:after="240"/>
              <w:jc w:val="center"/>
              <w:rPr>
                <w:rFonts w:cs="Times New Roman"/>
                <w:b w:val="0"/>
              </w:rPr>
            </w:pPr>
            <w:r>
              <w:rPr>
                <w:rFonts w:cs="Times New Roman"/>
                <w:b w:val="0"/>
              </w:rPr>
              <w:t>09</w:t>
            </w:r>
            <w:r w:rsidR="00E27599" w:rsidRPr="0011291B">
              <w:rPr>
                <w:rFonts w:cs="Times New Roman"/>
                <w:b w:val="0"/>
              </w:rPr>
              <w:t>:</w:t>
            </w:r>
            <w:r>
              <w:rPr>
                <w:rFonts w:cs="Times New Roman"/>
                <w:b w:val="0"/>
              </w:rPr>
              <w:t>0</w:t>
            </w:r>
            <w:r w:rsidR="005128FF" w:rsidRPr="0011291B">
              <w:rPr>
                <w:rFonts w:cs="Times New Roman"/>
                <w:b w:val="0"/>
              </w:rPr>
              <w:t xml:space="preserve">0 – </w:t>
            </w:r>
            <w:r w:rsidR="005960CD">
              <w:rPr>
                <w:rFonts w:cs="Times New Roman"/>
                <w:b w:val="0"/>
              </w:rPr>
              <w:t>09</w:t>
            </w:r>
            <w:r w:rsidR="00E27599" w:rsidRPr="0011291B">
              <w:rPr>
                <w:rFonts w:cs="Times New Roman"/>
                <w:b w:val="0"/>
              </w:rPr>
              <w:t>:</w:t>
            </w:r>
            <w:r w:rsidR="005960CD">
              <w:rPr>
                <w:rFonts w:cs="Times New Roman"/>
                <w:b w:val="0"/>
              </w:rPr>
              <w:t>3</w:t>
            </w:r>
            <w:r w:rsidR="009724D6">
              <w:rPr>
                <w:rFonts w:cs="Times New Roman"/>
                <w:b w:val="0"/>
              </w:rPr>
              <w:t>0</w:t>
            </w:r>
          </w:p>
        </w:tc>
        <w:tc>
          <w:tcPr>
            <w:tcW w:w="7645" w:type="dxa"/>
          </w:tcPr>
          <w:p w14:paraId="364C76BF" w14:textId="0E1BE6D0" w:rsidR="00DD0EDD" w:rsidRPr="009724D6" w:rsidRDefault="009724D6" w:rsidP="007A7B85">
            <w:pPr>
              <w:spacing w:before="240" w:after="240"/>
              <w:jc w:val="cente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9724D6">
              <w:rPr>
                <w:rFonts w:cs="Times New Roman"/>
                <w:i/>
                <w:sz w:val="22"/>
                <w:szCs w:val="22"/>
              </w:rPr>
              <w:t>Coffee and registration</w:t>
            </w:r>
          </w:p>
        </w:tc>
      </w:tr>
      <w:tr w:rsidR="008D7E25" w:rsidRPr="0011291B" w14:paraId="2AFC269C" w14:textId="77777777" w:rsidTr="009724D6">
        <w:tc>
          <w:tcPr>
            <w:cnfStyle w:val="001000000000" w:firstRow="0" w:lastRow="0" w:firstColumn="1" w:lastColumn="0" w:oddVBand="0" w:evenVBand="0" w:oddHBand="0" w:evenHBand="0" w:firstRowFirstColumn="0" w:firstRowLastColumn="0" w:lastRowFirstColumn="0" w:lastRowLastColumn="0"/>
            <w:tcW w:w="1705" w:type="dxa"/>
          </w:tcPr>
          <w:p w14:paraId="3FC1C390" w14:textId="7D62CE66" w:rsidR="00993854" w:rsidRPr="0011291B" w:rsidRDefault="005960CD" w:rsidP="002C3456">
            <w:pPr>
              <w:spacing w:before="240" w:after="240"/>
              <w:jc w:val="center"/>
              <w:rPr>
                <w:rFonts w:cs="Times New Roman"/>
                <w:b w:val="0"/>
              </w:rPr>
            </w:pPr>
            <w:r>
              <w:rPr>
                <w:rFonts w:cs="Times New Roman"/>
                <w:b w:val="0"/>
              </w:rPr>
              <w:t>09</w:t>
            </w:r>
            <w:r w:rsidR="0039132E" w:rsidRPr="0011291B">
              <w:rPr>
                <w:rFonts w:cs="Times New Roman"/>
                <w:b w:val="0"/>
              </w:rPr>
              <w:t>:</w:t>
            </w:r>
            <w:r>
              <w:rPr>
                <w:rFonts w:cs="Times New Roman"/>
                <w:b w:val="0"/>
              </w:rPr>
              <w:t>3</w:t>
            </w:r>
            <w:r w:rsidR="009724D6">
              <w:rPr>
                <w:rFonts w:cs="Times New Roman"/>
                <w:b w:val="0"/>
              </w:rPr>
              <w:t>0</w:t>
            </w:r>
            <w:r>
              <w:rPr>
                <w:rFonts w:cs="Times New Roman"/>
                <w:b w:val="0"/>
              </w:rPr>
              <w:t xml:space="preserve"> – 10</w:t>
            </w:r>
            <w:r w:rsidR="0039132E" w:rsidRPr="0011291B">
              <w:rPr>
                <w:rFonts w:cs="Times New Roman"/>
                <w:b w:val="0"/>
              </w:rPr>
              <w:t>:</w:t>
            </w:r>
            <w:r w:rsidR="00CD0161">
              <w:rPr>
                <w:rFonts w:cs="Times New Roman"/>
                <w:b w:val="0"/>
              </w:rPr>
              <w:t>00</w:t>
            </w:r>
          </w:p>
        </w:tc>
        <w:tc>
          <w:tcPr>
            <w:tcW w:w="7645" w:type="dxa"/>
          </w:tcPr>
          <w:p w14:paraId="0AFBA902" w14:textId="6BEB69EA" w:rsidR="009724D6" w:rsidRDefault="00B02D83" w:rsidP="007A7B85">
            <w:p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Pr>
                <w:rFonts w:cs="Times New Roman"/>
                <w:b/>
                <w:sz w:val="22"/>
                <w:szCs w:val="22"/>
              </w:rPr>
              <w:t>Wel</w:t>
            </w:r>
            <w:r w:rsidR="005960CD">
              <w:rPr>
                <w:rFonts w:cs="Times New Roman"/>
                <w:b/>
                <w:sz w:val="22"/>
                <w:szCs w:val="22"/>
              </w:rPr>
              <w:t xml:space="preserve">come and introduction to the B-Tech project </w:t>
            </w:r>
          </w:p>
          <w:p w14:paraId="5E6F9F83" w14:textId="77777777" w:rsidR="00B02D83" w:rsidRDefault="00FE12F5" w:rsidP="002C3456">
            <w:pPr>
              <w:pStyle w:val="ListParagraph"/>
              <w:numPr>
                <w:ilvl w:val="0"/>
                <w:numId w:val="4"/>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Why the B-tech project</w:t>
            </w:r>
          </w:p>
          <w:p w14:paraId="0270D7FE" w14:textId="77777777" w:rsidR="00FE12F5" w:rsidRDefault="00FE12F5" w:rsidP="002C3456">
            <w:pPr>
              <w:pStyle w:val="ListParagraph"/>
              <w:numPr>
                <w:ilvl w:val="0"/>
                <w:numId w:val="4"/>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Why UN Human Rights</w:t>
            </w:r>
          </w:p>
          <w:p w14:paraId="5965FCBA" w14:textId="77777777" w:rsidR="00FE12F5" w:rsidRDefault="00FE12F5" w:rsidP="002C3456">
            <w:pPr>
              <w:pStyle w:val="ListParagraph"/>
              <w:numPr>
                <w:ilvl w:val="0"/>
                <w:numId w:val="4"/>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How will the project work</w:t>
            </w:r>
          </w:p>
          <w:p w14:paraId="1B46578A" w14:textId="77777777" w:rsidR="00FE12F5" w:rsidRDefault="00FE12F5" w:rsidP="002C3456">
            <w:pPr>
              <w:pStyle w:val="ListParagraph"/>
              <w:numPr>
                <w:ilvl w:val="0"/>
                <w:numId w:val="4"/>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What is the process</w:t>
            </w:r>
          </w:p>
          <w:p w14:paraId="07783E56" w14:textId="101AB7FB" w:rsidR="00FE12F5" w:rsidRPr="002C3456" w:rsidRDefault="00FE12F5" w:rsidP="002C3456">
            <w:pPr>
              <w:pStyle w:val="ListParagraph"/>
              <w:numPr>
                <w:ilvl w:val="0"/>
                <w:numId w:val="4"/>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Aim of the meeting</w:t>
            </w:r>
          </w:p>
        </w:tc>
      </w:tr>
      <w:tr w:rsidR="008D7E25" w:rsidRPr="0011291B" w14:paraId="228AE5F6" w14:textId="77777777" w:rsidTr="0097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661FF72" w14:textId="09397406" w:rsidR="00A56F15" w:rsidRPr="0011291B" w:rsidRDefault="009724D6" w:rsidP="002C3456">
            <w:pPr>
              <w:spacing w:before="240" w:after="240"/>
              <w:jc w:val="center"/>
              <w:rPr>
                <w:rFonts w:cs="Times New Roman"/>
                <w:b w:val="0"/>
              </w:rPr>
            </w:pPr>
            <w:r>
              <w:rPr>
                <w:rFonts w:cs="Times New Roman"/>
                <w:b w:val="0"/>
              </w:rPr>
              <w:t>1</w:t>
            </w:r>
            <w:r w:rsidR="005960CD">
              <w:rPr>
                <w:rFonts w:cs="Times New Roman"/>
                <w:b w:val="0"/>
              </w:rPr>
              <w:t>0</w:t>
            </w:r>
            <w:r>
              <w:rPr>
                <w:rFonts w:cs="Times New Roman"/>
                <w:b w:val="0"/>
              </w:rPr>
              <w:t>:</w:t>
            </w:r>
            <w:r w:rsidR="00CD0161">
              <w:rPr>
                <w:rFonts w:cs="Times New Roman"/>
                <w:b w:val="0"/>
              </w:rPr>
              <w:t>00</w:t>
            </w:r>
            <w:r w:rsidR="00FE12F5">
              <w:rPr>
                <w:rFonts w:cs="Times New Roman"/>
                <w:b w:val="0"/>
              </w:rPr>
              <w:t xml:space="preserve"> – 11</w:t>
            </w:r>
            <w:r w:rsidR="00A56F15" w:rsidRPr="0011291B">
              <w:rPr>
                <w:rFonts w:cs="Times New Roman"/>
                <w:b w:val="0"/>
              </w:rPr>
              <w:t>:00</w:t>
            </w:r>
          </w:p>
        </w:tc>
        <w:tc>
          <w:tcPr>
            <w:tcW w:w="7645" w:type="dxa"/>
          </w:tcPr>
          <w:p w14:paraId="78F8B159" w14:textId="36A421CC" w:rsidR="009724D6" w:rsidRDefault="00AE2841" w:rsidP="00FE12F5">
            <w:pPr>
              <w:spacing w:before="240" w:after="240"/>
              <w:jc w:val="both"/>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Focus area</w:t>
            </w:r>
            <w:r w:rsidR="00CD0161">
              <w:rPr>
                <w:rFonts w:cs="Times New Roman"/>
                <w:b/>
                <w:sz w:val="22"/>
                <w:szCs w:val="22"/>
              </w:rPr>
              <w:t>s</w:t>
            </w:r>
            <w:r w:rsidR="00FE12F5">
              <w:rPr>
                <w:rFonts w:cs="Times New Roman"/>
                <w:b/>
                <w:sz w:val="22"/>
                <w:szCs w:val="22"/>
              </w:rPr>
              <w:t xml:space="preserve"> 1</w:t>
            </w:r>
            <w:r w:rsidR="00CD0161">
              <w:rPr>
                <w:rFonts w:cs="Times New Roman"/>
                <w:b/>
                <w:sz w:val="22"/>
                <w:szCs w:val="22"/>
              </w:rPr>
              <w:t xml:space="preserve"> and 2</w:t>
            </w:r>
            <w:r w:rsidR="00FE12F5">
              <w:rPr>
                <w:rFonts w:cs="Times New Roman"/>
                <w:b/>
                <w:sz w:val="22"/>
                <w:szCs w:val="22"/>
              </w:rPr>
              <w:t xml:space="preserve"> : Addressing Human Rights Risks in Business Models</w:t>
            </w:r>
            <w:r w:rsidR="00CD0161">
              <w:rPr>
                <w:rFonts w:cs="Times New Roman"/>
                <w:b/>
                <w:sz w:val="22"/>
                <w:szCs w:val="22"/>
              </w:rPr>
              <w:t xml:space="preserve"> / Human Rights Due Diligence and End-Use</w:t>
            </w:r>
          </w:p>
          <w:p w14:paraId="1E754FA2" w14:textId="16BFDB71" w:rsidR="00AE2841" w:rsidRDefault="00AE2841" w:rsidP="00FE12F5">
            <w:pPr>
              <w:pStyle w:val="ListParagraph"/>
              <w:numPr>
                <w:ilvl w:val="0"/>
                <w:numId w:val="4"/>
              </w:numPr>
              <w:spacing w:before="240" w:after="24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Introduction to Focus area</w:t>
            </w:r>
            <w:r w:rsidR="00CD0161">
              <w:rPr>
                <w:rFonts w:cs="Times New Roman"/>
                <w:sz w:val="22"/>
                <w:szCs w:val="22"/>
              </w:rPr>
              <w:t>s</w:t>
            </w:r>
            <w:r>
              <w:rPr>
                <w:rFonts w:cs="Times New Roman"/>
                <w:sz w:val="22"/>
                <w:szCs w:val="22"/>
              </w:rPr>
              <w:t xml:space="preserve"> 1</w:t>
            </w:r>
            <w:r w:rsidR="00CD0161">
              <w:rPr>
                <w:rFonts w:cs="Times New Roman"/>
                <w:sz w:val="22"/>
                <w:szCs w:val="22"/>
              </w:rPr>
              <w:t xml:space="preserve"> and 2</w:t>
            </w:r>
          </w:p>
          <w:p w14:paraId="18918AEA" w14:textId="586553DB" w:rsidR="00FE12F5" w:rsidRPr="00CD0161" w:rsidRDefault="00FE12F5" w:rsidP="00CD0161">
            <w:pPr>
              <w:pStyle w:val="ListParagraph"/>
              <w:numPr>
                <w:ilvl w:val="0"/>
                <w:numId w:val="4"/>
              </w:numPr>
              <w:spacing w:before="240" w:after="24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Discussion on local and regional perspectives</w:t>
            </w:r>
          </w:p>
        </w:tc>
      </w:tr>
      <w:tr w:rsidR="008D7E25" w:rsidRPr="0011291B" w14:paraId="38126A9A" w14:textId="77777777" w:rsidTr="009724D6">
        <w:tc>
          <w:tcPr>
            <w:cnfStyle w:val="001000000000" w:firstRow="0" w:lastRow="0" w:firstColumn="1" w:lastColumn="0" w:oddVBand="0" w:evenVBand="0" w:oddHBand="0" w:evenHBand="0" w:firstRowFirstColumn="0" w:firstRowLastColumn="0" w:lastRowFirstColumn="0" w:lastRowLastColumn="0"/>
            <w:tcW w:w="1705" w:type="dxa"/>
          </w:tcPr>
          <w:p w14:paraId="45A4D5A0" w14:textId="39703454" w:rsidR="00A56F15" w:rsidRPr="0011291B" w:rsidRDefault="00FE12F5" w:rsidP="007A7B85">
            <w:pPr>
              <w:spacing w:before="240" w:after="240"/>
              <w:jc w:val="center"/>
              <w:rPr>
                <w:rFonts w:cs="Times New Roman"/>
                <w:b w:val="0"/>
              </w:rPr>
            </w:pPr>
            <w:r>
              <w:rPr>
                <w:rFonts w:cs="Times New Roman"/>
                <w:b w:val="0"/>
              </w:rPr>
              <w:t>11</w:t>
            </w:r>
            <w:r w:rsidR="00A56F15" w:rsidRPr="0011291B">
              <w:rPr>
                <w:rFonts w:cs="Times New Roman"/>
                <w:b w:val="0"/>
              </w:rPr>
              <w:t>:00 – 1</w:t>
            </w:r>
            <w:r>
              <w:rPr>
                <w:rFonts w:cs="Times New Roman"/>
                <w:b w:val="0"/>
              </w:rPr>
              <w:t>1:15</w:t>
            </w:r>
          </w:p>
        </w:tc>
        <w:tc>
          <w:tcPr>
            <w:tcW w:w="7645" w:type="dxa"/>
          </w:tcPr>
          <w:p w14:paraId="5FA42AFF" w14:textId="2A11900B" w:rsidR="00B02996" w:rsidRPr="009724D6" w:rsidRDefault="00AE2841" w:rsidP="00AE2841">
            <w:pPr>
              <w:spacing w:before="240" w:after="240"/>
              <w:jc w:val="cente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Pr>
                <w:rFonts w:cs="Times New Roman"/>
                <w:i/>
                <w:sz w:val="22"/>
                <w:szCs w:val="22"/>
              </w:rPr>
              <w:t xml:space="preserve">Coffee </w:t>
            </w:r>
            <w:r w:rsidR="007E7C89">
              <w:rPr>
                <w:rFonts w:cs="Times New Roman"/>
                <w:i/>
                <w:sz w:val="22"/>
                <w:szCs w:val="22"/>
              </w:rPr>
              <w:t xml:space="preserve">Break </w:t>
            </w:r>
          </w:p>
        </w:tc>
      </w:tr>
      <w:tr w:rsidR="008D7E25" w:rsidRPr="0011291B" w14:paraId="17830947" w14:textId="77777777" w:rsidTr="0097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5907A5A" w14:textId="7979482C" w:rsidR="00A56F15" w:rsidRPr="0011291B" w:rsidRDefault="00AE2841" w:rsidP="007A7B85">
            <w:pPr>
              <w:spacing w:before="240" w:after="240"/>
              <w:jc w:val="center"/>
              <w:rPr>
                <w:rFonts w:cs="Times New Roman"/>
                <w:b w:val="0"/>
              </w:rPr>
            </w:pPr>
            <w:r>
              <w:rPr>
                <w:rFonts w:cs="Times New Roman"/>
                <w:b w:val="0"/>
              </w:rPr>
              <w:t>11:15</w:t>
            </w:r>
            <w:r w:rsidR="0039132E" w:rsidRPr="0011291B">
              <w:rPr>
                <w:rFonts w:cs="Times New Roman"/>
                <w:b w:val="0"/>
              </w:rPr>
              <w:t xml:space="preserve"> – 1</w:t>
            </w:r>
            <w:r>
              <w:rPr>
                <w:rFonts w:cs="Times New Roman"/>
                <w:b w:val="0"/>
              </w:rPr>
              <w:t>2</w:t>
            </w:r>
            <w:r w:rsidR="0039132E" w:rsidRPr="0011291B">
              <w:rPr>
                <w:rFonts w:cs="Times New Roman"/>
                <w:b w:val="0"/>
              </w:rPr>
              <w:t>:</w:t>
            </w:r>
            <w:r w:rsidR="00CD0161">
              <w:rPr>
                <w:rFonts w:cs="Times New Roman"/>
                <w:b w:val="0"/>
              </w:rPr>
              <w:t>15</w:t>
            </w:r>
          </w:p>
        </w:tc>
        <w:tc>
          <w:tcPr>
            <w:tcW w:w="7645" w:type="dxa"/>
          </w:tcPr>
          <w:p w14:paraId="6E503538" w14:textId="57DDDD6C" w:rsidR="009C047F" w:rsidRDefault="00AE2841" w:rsidP="00AE2841">
            <w:pPr>
              <w:spacing w:before="240" w:after="240"/>
              <w:jc w:val="both"/>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Focus area</w:t>
            </w:r>
            <w:r w:rsidR="00CD0161">
              <w:rPr>
                <w:rFonts w:cs="Times New Roman"/>
                <w:b/>
                <w:sz w:val="22"/>
                <w:szCs w:val="22"/>
              </w:rPr>
              <w:t>s</w:t>
            </w:r>
            <w:r>
              <w:rPr>
                <w:rFonts w:cs="Times New Roman"/>
                <w:b/>
                <w:sz w:val="22"/>
                <w:szCs w:val="22"/>
              </w:rPr>
              <w:t xml:space="preserve"> 3</w:t>
            </w:r>
            <w:r w:rsidR="00CD0161">
              <w:rPr>
                <w:rFonts w:cs="Times New Roman"/>
                <w:b/>
                <w:sz w:val="22"/>
                <w:szCs w:val="22"/>
              </w:rPr>
              <w:t xml:space="preserve"> and 4</w:t>
            </w:r>
            <w:r>
              <w:rPr>
                <w:rFonts w:cs="Times New Roman"/>
                <w:b/>
                <w:sz w:val="22"/>
                <w:szCs w:val="22"/>
              </w:rPr>
              <w:t xml:space="preserve"> : Accountability and Remedy</w:t>
            </w:r>
            <w:r w:rsidR="00CD0161">
              <w:rPr>
                <w:rFonts w:cs="Times New Roman"/>
                <w:b/>
                <w:sz w:val="22"/>
                <w:szCs w:val="22"/>
              </w:rPr>
              <w:t xml:space="preserve"> / “A Smart Mix of Measures” : exploring regulatory and policy responses to human rights challenges linked to digital technologies</w:t>
            </w:r>
          </w:p>
          <w:p w14:paraId="5F95FD8B" w14:textId="299B268F" w:rsidR="00AE2841" w:rsidRPr="00AE2841" w:rsidRDefault="00AE2841" w:rsidP="00AE2841">
            <w:pPr>
              <w:pStyle w:val="ListParagraph"/>
              <w:numPr>
                <w:ilvl w:val="0"/>
                <w:numId w:val="4"/>
              </w:numPr>
              <w:spacing w:before="240" w:after="24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Introduction to Focus area</w:t>
            </w:r>
            <w:r w:rsidR="00CD0161">
              <w:rPr>
                <w:rFonts w:cs="Times New Roman"/>
                <w:sz w:val="22"/>
                <w:szCs w:val="22"/>
              </w:rPr>
              <w:t>s</w:t>
            </w:r>
            <w:r>
              <w:rPr>
                <w:rFonts w:cs="Times New Roman"/>
                <w:sz w:val="22"/>
                <w:szCs w:val="22"/>
              </w:rPr>
              <w:t xml:space="preserve"> 3</w:t>
            </w:r>
            <w:r w:rsidR="00CD0161">
              <w:rPr>
                <w:rFonts w:cs="Times New Roman"/>
                <w:sz w:val="22"/>
                <w:szCs w:val="22"/>
              </w:rPr>
              <w:t xml:space="preserve"> and 4</w:t>
            </w:r>
          </w:p>
          <w:p w14:paraId="02B29176" w14:textId="18EFCE2A" w:rsidR="00AE2841" w:rsidRPr="00CD0161" w:rsidRDefault="00AE2841" w:rsidP="00CD0161">
            <w:pPr>
              <w:pStyle w:val="ListParagraph"/>
              <w:numPr>
                <w:ilvl w:val="0"/>
                <w:numId w:val="4"/>
              </w:numPr>
              <w:spacing w:before="240" w:after="24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Discussion on local and regional perspectives</w:t>
            </w:r>
          </w:p>
        </w:tc>
      </w:tr>
      <w:tr w:rsidR="008D7E25" w:rsidRPr="0011291B" w14:paraId="6D8E6030" w14:textId="77777777" w:rsidTr="009724D6">
        <w:tc>
          <w:tcPr>
            <w:cnfStyle w:val="001000000000" w:firstRow="0" w:lastRow="0" w:firstColumn="1" w:lastColumn="0" w:oddVBand="0" w:evenVBand="0" w:oddHBand="0" w:evenHBand="0" w:firstRowFirstColumn="0" w:firstRowLastColumn="0" w:lastRowFirstColumn="0" w:lastRowLastColumn="0"/>
            <w:tcW w:w="1705" w:type="dxa"/>
          </w:tcPr>
          <w:p w14:paraId="19079F1F" w14:textId="41E5873D" w:rsidR="00A56F15" w:rsidRPr="0011291B" w:rsidRDefault="0039132E" w:rsidP="0090270E">
            <w:pPr>
              <w:spacing w:before="240" w:after="240"/>
              <w:jc w:val="center"/>
              <w:rPr>
                <w:rFonts w:cs="Times New Roman"/>
                <w:b w:val="0"/>
              </w:rPr>
            </w:pPr>
            <w:r w:rsidRPr="0011291B">
              <w:rPr>
                <w:rFonts w:cs="Times New Roman"/>
                <w:b w:val="0"/>
              </w:rPr>
              <w:t>1</w:t>
            </w:r>
            <w:r w:rsidR="00AE2841">
              <w:rPr>
                <w:rFonts w:cs="Times New Roman"/>
                <w:b w:val="0"/>
              </w:rPr>
              <w:t>2</w:t>
            </w:r>
            <w:r w:rsidRPr="0011291B">
              <w:rPr>
                <w:rFonts w:cs="Times New Roman"/>
                <w:b w:val="0"/>
              </w:rPr>
              <w:t>:</w:t>
            </w:r>
            <w:r w:rsidR="007A7B85">
              <w:rPr>
                <w:rFonts w:cs="Times New Roman"/>
                <w:b w:val="0"/>
              </w:rPr>
              <w:t>0</w:t>
            </w:r>
            <w:r w:rsidR="00A56F15" w:rsidRPr="0011291B">
              <w:rPr>
                <w:rFonts w:cs="Times New Roman"/>
                <w:b w:val="0"/>
              </w:rPr>
              <w:t>0 – 1</w:t>
            </w:r>
            <w:r w:rsidR="00AE2841">
              <w:rPr>
                <w:rFonts w:cs="Times New Roman"/>
                <w:b w:val="0"/>
              </w:rPr>
              <w:t>2</w:t>
            </w:r>
            <w:r w:rsidR="00A56F15" w:rsidRPr="0011291B">
              <w:rPr>
                <w:rFonts w:cs="Times New Roman"/>
                <w:b w:val="0"/>
              </w:rPr>
              <w:t>:</w:t>
            </w:r>
            <w:r w:rsidR="0090270E">
              <w:rPr>
                <w:rFonts w:cs="Times New Roman"/>
                <w:b w:val="0"/>
              </w:rPr>
              <w:t>3</w:t>
            </w:r>
            <w:r w:rsidR="001B18B5">
              <w:rPr>
                <w:rFonts w:cs="Times New Roman"/>
                <w:b w:val="0"/>
              </w:rPr>
              <w:t>0</w:t>
            </w:r>
          </w:p>
        </w:tc>
        <w:tc>
          <w:tcPr>
            <w:tcW w:w="7645" w:type="dxa"/>
          </w:tcPr>
          <w:p w14:paraId="590530E7" w14:textId="53397873" w:rsidR="002B7A21" w:rsidRDefault="002B7A21" w:rsidP="002B7A21">
            <w:p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Pr>
                <w:rFonts w:cs="Times New Roman"/>
                <w:b/>
                <w:sz w:val="22"/>
                <w:szCs w:val="22"/>
              </w:rPr>
              <w:t xml:space="preserve">Closing session </w:t>
            </w:r>
          </w:p>
          <w:p w14:paraId="5ECEAB5E" w14:textId="74FDD2BC" w:rsidR="002B7A21" w:rsidRPr="002B7A21" w:rsidRDefault="002B7A21" w:rsidP="002B7A21">
            <w:pPr>
              <w:pStyle w:val="ListParagraph"/>
              <w:numPr>
                <w:ilvl w:val="0"/>
                <w:numId w:val="3"/>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Pr>
                <w:rFonts w:cs="Times New Roman"/>
                <w:sz w:val="22"/>
                <w:szCs w:val="22"/>
              </w:rPr>
              <w:t xml:space="preserve">What’s next </w:t>
            </w:r>
          </w:p>
          <w:p w14:paraId="547026D3" w14:textId="0E6997A9" w:rsidR="0040366C" w:rsidRPr="0040366C" w:rsidRDefault="002B7A21" w:rsidP="0090270E">
            <w:pPr>
              <w:pStyle w:val="ListParagraph"/>
              <w:numPr>
                <w:ilvl w:val="0"/>
                <w:numId w:val="3"/>
              </w:numPr>
              <w:spacing w:before="240" w:after="24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 xml:space="preserve">Opportunities for engagement and collaboration </w:t>
            </w:r>
          </w:p>
        </w:tc>
      </w:tr>
      <w:tr w:rsidR="007F0C96" w:rsidRPr="0040366C" w14:paraId="423AB004" w14:textId="77777777" w:rsidTr="00FF2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48D99E8" w14:textId="077CA6CF" w:rsidR="007F0C96" w:rsidRPr="0011291B" w:rsidRDefault="007F0C96" w:rsidP="00FF2EA6">
            <w:pPr>
              <w:spacing w:before="240" w:after="240"/>
              <w:jc w:val="center"/>
              <w:rPr>
                <w:rFonts w:cs="Times New Roman"/>
                <w:b w:val="0"/>
              </w:rPr>
            </w:pPr>
            <w:r w:rsidRPr="0011291B">
              <w:rPr>
                <w:rFonts w:cs="Times New Roman"/>
                <w:b w:val="0"/>
              </w:rPr>
              <w:t>1</w:t>
            </w:r>
            <w:r>
              <w:rPr>
                <w:rFonts w:cs="Times New Roman"/>
                <w:b w:val="0"/>
              </w:rPr>
              <w:t>2</w:t>
            </w:r>
            <w:r w:rsidRPr="0011291B">
              <w:rPr>
                <w:rFonts w:cs="Times New Roman"/>
                <w:b w:val="0"/>
              </w:rPr>
              <w:t>:</w:t>
            </w:r>
            <w:r w:rsidR="00AD14A2">
              <w:rPr>
                <w:rFonts w:cs="Times New Roman"/>
                <w:b w:val="0"/>
              </w:rPr>
              <w:t>3</w:t>
            </w:r>
            <w:r w:rsidRPr="0011291B">
              <w:rPr>
                <w:rFonts w:cs="Times New Roman"/>
                <w:b w:val="0"/>
              </w:rPr>
              <w:t>0 – 1</w:t>
            </w:r>
            <w:r w:rsidR="00AD14A2">
              <w:rPr>
                <w:rFonts w:cs="Times New Roman"/>
                <w:b w:val="0"/>
              </w:rPr>
              <w:t>4</w:t>
            </w:r>
            <w:r w:rsidRPr="0011291B">
              <w:rPr>
                <w:rFonts w:cs="Times New Roman"/>
                <w:b w:val="0"/>
              </w:rPr>
              <w:t>:</w:t>
            </w:r>
            <w:r w:rsidR="00AD14A2">
              <w:rPr>
                <w:rFonts w:cs="Times New Roman"/>
                <w:b w:val="0"/>
              </w:rPr>
              <w:t>0</w:t>
            </w:r>
            <w:r>
              <w:rPr>
                <w:rFonts w:cs="Times New Roman"/>
                <w:b w:val="0"/>
              </w:rPr>
              <w:t>0</w:t>
            </w:r>
          </w:p>
        </w:tc>
        <w:tc>
          <w:tcPr>
            <w:tcW w:w="7645" w:type="dxa"/>
          </w:tcPr>
          <w:p w14:paraId="2E2AFD0D" w14:textId="6F58C44A" w:rsidR="007F0C96" w:rsidRPr="007F0C96" w:rsidRDefault="007F0C96" w:rsidP="007F0C96">
            <w:pPr>
              <w:pStyle w:val="ListParagraph"/>
              <w:spacing w:before="240" w:after="240"/>
              <w:jc w:val="cente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Pr>
                <w:rFonts w:cs="Times New Roman"/>
                <w:i/>
                <w:sz w:val="22"/>
                <w:szCs w:val="22"/>
              </w:rPr>
              <w:t xml:space="preserve">Lunch Break and end of the meeting </w:t>
            </w:r>
          </w:p>
        </w:tc>
      </w:tr>
    </w:tbl>
    <w:p w14:paraId="7009284C" w14:textId="47ADC86D" w:rsidR="00FC719B" w:rsidRPr="0011291B" w:rsidRDefault="00FC719B" w:rsidP="003F7D2A">
      <w:pPr>
        <w:rPr>
          <w:rFonts w:cs="Times New Roman"/>
          <w:b/>
        </w:rPr>
      </w:pPr>
    </w:p>
    <w:sectPr w:rsidR="00FC719B" w:rsidRPr="0011291B" w:rsidSect="007D2C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374B3" w16cid:durableId="210D2899"/>
  <w16cid:commentId w16cid:paraId="3D859567" w16cid:durableId="210E1A85"/>
  <w16cid:commentId w16cid:paraId="172B9955" w16cid:durableId="210E1AFE"/>
  <w16cid:commentId w16cid:paraId="20149E95" w16cid:durableId="210E1DAE"/>
  <w16cid:commentId w16cid:paraId="7797CAE8" w16cid:durableId="210E1DC3"/>
  <w16cid:commentId w16cid:paraId="7FD486E8" w16cid:durableId="210E1E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E5CB" w14:textId="77777777" w:rsidR="00851B6F" w:rsidRDefault="00851B6F" w:rsidP="00254B9A">
      <w:r>
        <w:separator/>
      </w:r>
    </w:p>
  </w:endnote>
  <w:endnote w:type="continuationSeparator" w:id="0">
    <w:p w14:paraId="33BACAED" w14:textId="77777777" w:rsidR="00851B6F" w:rsidRDefault="00851B6F" w:rsidP="002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nduitITCStd">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D2D9" w14:textId="77777777" w:rsidR="00395805" w:rsidRDefault="00395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326500"/>
      <w:docPartObj>
        <w:docPartGallery w:val="Page Numbers (Bottom of Page)"/>
        <w:docPartUnique/>
      </w:docPartObj>
    </w:sdtPr>
    <w:sdtEndPr>
      <w:rPr>
        <w:color w:val="7F7F7F" w:themeColor="background1" w:themeShade="7F"/>
        <w:spacing w:val="60"/>
      </w:rPr>
    </w:sdtEndPr>
    <w:sdtContent>
      <w:p w14:paraId="400B8954" w14:textId="5F6F80CE" w:rsidR="00395805" w:rsidRDefault="003958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034F">
          <w:rPr>
            <w:noProof/>
          </w:rPr>
          <w:t>5</w:t>
        </w:r>
        <w:r>
          <w:rPr>
            <w:noProof/>
          </w:rPr>
          <w:fldChar w:fldCharType="end"/>
        </w:r>
        <w:r>
          <w:t xml:space="preserve"> | </w:t>
        </w:r>
        <w:r>
          <w:rPr>
            <w:color w:val="7F7F7F" w:themeColor="background1" w:themeShade="7F"/>
            <w:spacing w:val="60"/>
          </w:rPr>
          <w:t>Page</w:t>
        </w:r>
      </w:p>
    </w:sdtContent>
  </w:sdt>
  <w:p w14:paraId="4789E3A2" w14:textId="77777777" w:rsidR="00395805" w:rsidRDefault="00395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BC73" w14:textId="77777777" w:rsidR="00395805" w:rsidRDefault="0039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BE17A" w14:textId="77777777" w:rsidR="00851B6F" w:rsidRDefault="00851B6F" w:rsidP="00254B9A">
      <w:r>
        <w:separator/>
      </w:r>
    </w:p>
  </w:footnote>
  <w:footnote w:type="continuationSeparator" w:id="0">
    <w:p w14:paraId="546B8883" w14:textId="77777777" w:rsidR="00851B6F" w:rsidRDefault="00851B6F" w:rsidP="0025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E16E" w14:textId="77777777" w:rsidR="00395805" w:rsidRDefault="00395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C9E9" w14:textId="77777777" w:rsidR="00254B9A" w:rsidRDefault="00254B9A" w:rsidP="00254B9A">
    <w:pPr>
      <w:pStyle w:val="Header"/>
      <w:jc w:val="center"/>
    </w:pPr>
    <w:r>
      <w:rPr>
        <w:noProof/>
        <w:lang w:val="en-GB" w:eastAsia="en-GB"/>
      </w:rPr>
      <w:drawing>
        <wp:inline distT="0" distB="0" distL="0" distR="0" wp14:anchorId="1E5BBE3B" wp14:editId="409DA331">
          <wp:extent cx="3963035" cy="725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3035" cy="725170"/>
                  </a:xfrm>
                  <a:prstGeom prst="rect">
                    <a:avLst/>
                  </a:prstGeom>
                  <a:noFill/>
                </pic:spPr>
              </pic:pic>
            </a:graphicData>
          </a:graphic>
        </wp:inline>
      </w:drawing>
    </w:r>
  </w:p>
  <w:p w14:paraId="22E52903" w14:textId="77777777" w:rsidR="00204A34" w:rsidRPr="00925A9D" w:rsidRDefault="00204A34" w:rsidP="00204A34">
    <w:pPr>
      <w:pStyle w:val="Header"/>
      <w:jc w:val="center"/>
      <w:rPr>
        <w:sz w:val="14"/>
        <w:szCs w:val="14"/>
      </w:rPr>
    </w:pPr>
    <w:r w:rsidRPr="00925A9D">
      <w:rPr>
        <w:sz w:val="14"/>
        <w:szCs w:val="14"/>
      </w:rPr>
      <w:t>HAUT-COMMISSARIAT AUX DROITS DE L’HOMME • OFFICE OF THE HIGH COMMISSIONER FOR HUMAN RIGHTS</w:t>
    </w:r>
  </w:p>
  <w:p w14:paraId="4C63239E" w14:textId="77777777" w:rsidR="00204A34" w:rsidRPr="00FD583B" w:rsidRDefault="00204A34" w:rsidP="00204A34">
    <w:pPr>
      <w:pStyle w:val="Header"/>
      <w:tabs>
        <w:tab w:val="left" w:pos="0"/>
      </w:tabs>
      <w:jc w:val="center"/>
      <w:rPr>
        <w:sz w:val="14"/>
        <w:szCs w:val="14"/>
        <w:lang w:val="fr-CH"/>
      </w:rPr>
    </w:pPr>
    <w:r w:rsidRPr="00FD583B">
      <w:rPr>
        <w:sz w:val="14"/>
        <w:szCs w:val="14"/>
        <w:lang w:val="fr-CH"/>
      </w:rPr>
      <w:t>PALAIS DES NATIONS • 1211 GENEVA 10, SWITZERLAND</w:t>
    </w:r>
  </w:p>
  <w:p w14:paraId="125A41D6" w14:textId="77777777" w:rsidR="00204A34" w:rsidRPr="006D718F" w:rsidRDefault="00204A34" w:rsidP="00204A34">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2B9C75A0" w14:textId="77777777" w:rsidR="00204A34" w:rsidRPr="00E151E7" w:rsidRDefault="00204A34" w:rsidP="00204A34">
    <w:pPr>
      <w:pStyle w:val="Header"/>
      <w:tabs>
        <w:tab w:val="right" w:pos="3686"/>
        <w:tab w:val="left" w:pos="5812"/>
      </w:tabs>
      <w:jc w:val="center"/>
      <w:rPr>
        <w:rStyle w:val="Hyperlink"/>
        <w:lang w:val="fr-FR"/>
      </w:rPr>
    </w:pPr>
    <w:r w:rsidRPr="006D718F">
      <w:rPr>
        <w:sz w:val="14"/>
        <w:szCs w:val="14"/>
        <w:lang w:val="fr-CH"/>
      </w:rPr>
      <w:t xml:space="preserve">• E-MAIL:  </w:t>
    </w:r>
    <w:r>
      <w:rPr>
        <w:sz w:val="14"/>
        <w:szCs w:val="14"/>
        <w:lang w:val="fr-CH"/>
      </w:rPr>
      <w:t>b-techproject@ohchr.org</w:t>
    </w:r>
  </w:p>
  <w:p w14:paraId="728EA73D" w14:textId="77777777" w:rsidR="00254B9A" w:rsidRPr="00E151E7" w:rsidRDefault="00254B9A">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85DB" w14:textId="77777777" w:rsidR="00395805" w:rsidRDefault="00395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A20"/>
    <w:multiLevelType w:val="hybridMultilevel"/>
    <w:tmpl w:val="2F065202"/>
    <w:lvl w:ilvl="0" w:tplc="0BB21710">
      <w:start w:val="3"/>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5CDC"/>
    <w:multiLevelType w:val="hybridMultilevel"/>
    <w:tmpl w:val="7382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490B"/>
    <w:multiLevelType w:val="hybridMultilevel"/>
    <w:tmpl w:val="CE3A42DE"/>
    <w:lvl w:ilvl="0" w:tplc="F59E65C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64E04"/>
    <w:multiLevelType w:val="hybridMultilevel"/>
    <w:tmpl w:val="2CD409D4"/>
    <w:lvl w:ilvl="0" w:tplc="1AF6C050">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13294"/>
    <w:multiLevelType w:val="hybridMultilevel"/>
    <w:tmpl w:val="056C6116"/>
    <w:styleLink w:val="ImportedStyle1"/>
    <w:lvl w:ilvl="0" w:tplc="EB4A2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E2C7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7AD3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EB410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8AA54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DE4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0A4A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156C7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F6BD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2A74F18"/>
    <w:multiLevelType w:val="hybridMultilevel"/>
    <w:tmpl w:val="056C6116"/>
    <w:numStyleLink w:val="ImportedStyle1"/>
  </w:abstractNum>
  <w:abstractNum w:abstractNumId="6" w15:restartNumberingAfterBreak="0">
    <w:nsid w:val="14275AF3"/>
    <w:multiLevelType w:val="hybridMultilevel"/>
    <w:tmpl w:val="DCF2D1F2"/>
    <w:lvl w:ilvl="0" w:tplc="6AEA138A">
      <w:start w:val="20"/>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234A7"/>
    <w:multiLevelType w:val="hybridMultilevel"/>
    <w:tmpl w:val="55065B30"/>
    <w:lvl w:ilvl="0" w:tplc="0BB21710">
      <w:start w:val="3"/>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BB21710">
      <w:start w:val="3"/>
      <w:numFmt w:val="bullet"/>
      <w:lvlText w:val="-"/>
      <w:lvlJc w:val="left"/>
      <w:pPr>
        <w:ind w:left="2160" w:hanging="360"/>
      </w:pPr>
      <w:rPr>
        <w:rFonts w:ascii="Times" w:eastAsiaTheme="minorHAnsi" w:hAnsi="Time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845D7"/>
    <w:multiLevelType w:val="hybridMultilevel"/>
    <w:tmpl w:val="0E3A0ABC"/>
    <w:lvl w:ilvl="0" w:tplc="3D461FB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3EF"/>
    <w:multiLevelType w:val="hybridMultilevel"/>
    <w:tmpl w:val="EB4ECB38"/>
    <w:lvl w:ilvl="0" w:tplc="6AEA138A">
      <w:start w:val="2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17756"/>
    <w:multiLevelType w:val="hybridMultilevel"/>
    <w:tmpl w:val="74A66022"/>
    <w:numStyleLink w:val="ImportedStyle30"/>
  </w:abstractNum>
  <w:abstractNum w:abstractNumId="11" w15:restartNumberingAfterBreak="0">
    <w:nsid w:val="41C201DF"/>
    <w:multiLevelType w:val="hybridMultilevel"/>
    <w:tmpl w:val="F6AA7C68"/>
    <w:lvl w:ilvl="0" w:tplc="4EDCA18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E77"/>
    <w:multiLevelType w:val="hybridMultilevel"/>
    <w:tmpl w:val="F45062C6"/>
    <w:styleLink w:val="ImportedStyle4"/>
    <w:lvl w:ilvl="0" w:tplc="BB8A3E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DAB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F4B2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98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1A7A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8D6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78D5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C6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01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BC4273"/>
    <w:multiLevelType w:val="hybridMultilevel"/>
    <w:tmpl w:val="B75E16EC"/>
    <w:numStyleLink w:val="ImportedStyle2"/>
  </w:abstractNum>
  <w:abstractNum w:abstractNumId="14" w15:restartNumberingAfterBreak="0">
    <w:nsid w:val="47E71C76"/>
    <w:multiLevelType w:val="hybridMultilevel"/>
    <w:tmpl w:val="497C9E0C"/>
    <w:lvl w:ilvl="0" w:tplc="0BB21710">
      <w:start w:val="3"/>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D1416"/>
    <w:multiLevelType w:val="hybridMultilevel"/>
    <w:tmpl w:val="74A66022"/>
    <w:styleLink w:val="ImportedStyle30"/>
    <w:lvl w:ilvl="0" w:tplc="4EB6F342">
      <w:start w:val="1"/>
      <w:numFmt w:val="bullet"/>
      <w:lvlText w:val="·"/>
      <w:lvlJc w:val="left"/>
      <w:pPr>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2A832E">
      <w:start w:val="1"/>
      <w:numFmt w:val="bullet"/>
      <w:lvlText w:val="o"/>
      <w:lvlJc w:val="left"/>
      <w:pPr>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F46F22">
      <w:start w:val="1"/>
      <w:numFmt w:val="bullet"/>
      <w:lvlText w:val="▪"/>
      <w:lvlJc w:val="left"/>
      <w:pPr>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405638">
      <w:start w:val="1"/>
      <w:numFmt w:val="bullet"/>
      <w:lvlText w:val="·"/>
      <w:lvlJc w:val="left"/>
      <w:pPr>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5E3500">
      <w:start w:val="1"/>
      <w:numFmt w:val="bullet"/>
      <w:lvlText w:val="o"/>
      <w:lvlJc w:val="left"/>
      <w:pPr>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00CE62">
      <w:start w:val="1"/>
      <w:numFmt w:val="bullet"/>
      <w:lvlText w:val="▪"/>
      <w:lvlJc w:val="left"/>
      <w:pPr>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BC9A4E">
      <w:start w:val="1"/>
      <w:numFmt w:val="bullet"/>
      <w:lvlText w:val="·"/>
      <w:lvlJc w:val="left"/>
      <w:pPr>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7C191C">
      <w:start w:val="1"/>
      <w:numFmt w:val="bullet"/>
      <w:lvlText w:val="o"/>
      <w:lvlJc w:val="left"/>
      <w:pPr>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60B088">
      <w:start w:val="1"/>
      <w:numFmt w:val="bullet"/>
      <w:lvlText w:val="▪"/>
      <w:lvlJc w:val="left"/>
      <w:pPr>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7D41DF"/>
    <w:multiLevelType w:val="hybridMultilevel"/>
    <w:tmpl w:val="7EAAB2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A52B5"/>
    <w:multiLevelType w:val="hybridMultilevel"/>
    <w:tmpl w:val="50DEC092"/>
    <w:lvl w:ilvl="0" w:tplc="0BB21710">
      <w:start w:val="3"/>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BB21710">
      <w:start w:val="3"/>
      <w:numFmt w:val="bullet"/>
      <w:lvlText w:val="-"/>
      <w:lvlJc w:val="left"/>
      <w:pPr>
        <w:ind w:left="2160" w:hanging="360"/>
      </w:pPr>
      <w:rPr>
        <w:rFonts w:ascii="Times" w:eastAsiaTheme="minorHAnsi" w:hAnsi="Time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F49B4"/>
    <w:multiLevelType w:val="hybridMultilevel"/>
    <w:tmpl w:val="06821CFC"/>
    <w:numStyleLink w:val="ImportedStyle5"/>
  </w:abstractNum>
  <w:abstractNum w:abstractNumId="19" w15:restartNumberingAfterBreak="0">
    <w:nsid w:val="6BB82EE9"/>
    <w:multiLevelType w:val="hybridMultilevel"/>
    <w:tmpl w:val="0926350A"/>
    <w:lvl w:ilvl="0" w:tplc="4B50C7B6">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A2616"/>
    <w:multiLevelType w:val="hybridMultilevel"/>
    <w:tmpl w:val="F45062C6"/>
    <w:numStyleLink w:val="ImportedStyle4"/>
  </w:abstractNum>
  <w:abstractNum w:abstractNumId="21" w15:restartNumberingAfterBreak="0">
    <w:nsid w:val="74872BE3"/>
    <w:multiLevelType w:val="hybridMultilevel"/>
    <w:tmpl w:val="B75E16EC"/>
    <w:styleLink w:val="ImportedStyle2"/>
    <w:lvl w:ilvl="0" w:tplc="A9E2EC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AEA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6A31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A426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D0B9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58C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2A5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8688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FC0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BB10D33"/>
    <w:multiLevelType w:val="hybridMultilevel"/>
    <w:tmpl w:val="06821CFC"/>
    <w:styleLink w:val="ImportedStyle5"/>
    <w:lvl w:ilvl="0" w:tplc="788C0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F2FC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1CD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AE59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A6E8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E0E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BEE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8E04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A606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1"/>
  </w:num>
  <w:num w:numId="3">
    <w:abstractNumId w:val="6"/>
  </w:num>
  <w:num w:numId="4">
    <w:abstractNumId w:val="2"/>
  </w:num>
  <w:num w:numId="5">
    <w:abstractNumId w:val="11"/>
  </w:num>
  <w:num w:numId="6">
    <w:abstractNumId w:val="3"/>
  </w:num>
  <w:num w:numId="7">
    <w:abstractNumId w:val="14"/>
  </w:num>
  <w:num w:numId="8">
    <w:abstractNumId w:val="0"/>
  </w:num>
  <w:num w:numId="9">
    <w:abstractNumId w:val="8"/>
  </w:num>
  <w:num w:numId="10">
    <w:abstractNumId w:val="7"/>
  </w:num>
  <w:num w:numId="11">
    <w:abstractNumId w:val="17"/>
  </w:num>
  <w:num w:numId="12">
    <w:abstractNumId w:val="4"/>
  </w:num>
  <w:num w:numId="13">
    <w:abstractNumId w:val="5"/>
  </w:num>
  <w:num w:numId="14">
    <w:abstractNumId w:val="21"/>
  </w:num>
  <w:num w:numId="15">
    <w:abstractNumId w:val="13"/>
  </w:num>
  <w:num w:numId="16">
    <w:abstractNumId w:val="15"/>
  </w:num>
  <w:num w:numId="17">
    <w:abstractNumId w:val="10"/>
  </w:num>
  <w:num w:numId="18">
    <w:abstractNumId w:val="12"/>
  </w:num>
  <w:num w:numId="19">
    <w:abstractNumId w:val="20"/>
  </w:num>
  <w:num w:numId="20">
    <w:abstractNumId w:val="22"/>
  </w:num>
  <w:num w:numId="21">
    <w:abstractNumId w:val="18"/>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A"/>
    <w:rsid w:val="00014B53"/>
    <w:rsid w:val="00035BBF"/>
    <w:rsid w:val="000E6BBD"/>
    <w:rsid w:val="000E7B43"/>
    <w:rsid w:val="0011291B"/>
    <w:rsid w:val="00140150"/>
    <w:rsid w:val="00142179"/>
    <w:rsid w:val="00180101"/>
    <w:rsid w:val="001A0CD2"/>
    <w:rsid w:val="001B18B5"/>
    <w:rsid w:val="001E7A95"/>
    <w:rsid w:val="00204A34"/>
    <w:rsid w:val="00231D75"/>
    <w:rsid w:val="00243456"/>
    <w:rsid w:val="002531BF"/>
    <w:rsid w:val="00254B9A"/>
    <w:rsid w:val="002815D6"/>
    <w:rsid w:val="002A736C"/>
    <w:rsid w:val="002B7A21"/>
    <w:rsid w:val="002C2AEB"/>
    <w:rsid w:val="002C3456"/>
    <w:rsid w:val="002E2C8E"/>
    <w:rsid w:val="002E34B5"/>
    <w:rsid w:val="002F00B5"/>
    <w:rsid w:val="00356081"/>
    <w:rsid w:val="00367C78"/>
    <w:rsid w:val="0039132E"/>
    <w:rsid w:val="00393446"/>
    <w:rsid w:val="00395805"/>
    <w:rsid w:val="003A216E"/>
    <w:rsid w:val="003C7559"/>
    <w:rsid w:val="003D7C55"/>
    <w:rsid w:val="003F7D2A"/>
    <w:rsid w:val="0040366C"/>
    <w:rsid w:val="00405325"/>
    <w:rsid w:val="00406234"/>
    <w:rsid w:val="00413D79"/>
    <w:rsid w:val="00425354"/>
    <w:rsid w:val="00427537"/>
    <w:rsid w:val="00427F46"/>
    <w:rsid w:val="00466248"/>
    <w:rsid w:val="00471DEA"/>
    <w:rsid w:val="004A3D31"/>
    <w:rsid w:val="004E0290"/>
    <w:rsid w:val="005128FF"/>
    <w:rsid w:val="00543C90"/>
    <w:rsid w:val="005808AA"/>
    <w:rsid w:val="00583459"/>
    <w:rsid w:val="005960CD"/>
    <w:rsid w:val="005B2BE8"/>
    <w:rsid w:val="005C5C7A"/>
    <w:rsid w:val="005E72D0"/>
    <w:rsid w:val="0061548A"/>
    <w:rsid w:val="00637954"/>
    <w:rsid w:val="0066380E"/>
    <w:rsid w:val="00697337"/>
    <w:rsid w:val="006B453C"/>
    <w:rsid w:val="006B6557"/>
    <w:rsid w:val="00780F7F"/>
    <w:rsid w:val="00795A52"/>
    <w:rsid w:val="007A1600"/>
    <w:rsid w:val="007A7B85"/>
    <w:rsid w:val="007B17A3"/>
    <w:rsid w:val="007B4E94"/>
    <w:rsid w:val="007D2C3C"/>
    <w:rsid w:val="007D34B2"/>
    <w:rsid w:val="007E4839"/>
    <w:rsid w:val="007E7C89"/>
    <w:rsid w:val="007F0C96"/>
    <w:rsid w:val="00824D6F"/>
    <w:rsid w:val="00826947"/>
    <w:rsid w:val="00841ADE"/>
    <w:rsid w:val="00851B6F"/>
    <w:rsid w:val="0085628D"/>
    <w:rsid w:val="008612C8"/>
    <w:rsid w:val="008631FA"/>
    <w:rsid w:val="008B629B"/>
    <w:rsid w:val="008D0E6B"/>
    <w:rsid w:val="008D7E25"/>
    <w:rsid w:val="008F6DDB"/>
    <w:rsid w:val="0090270E"/>
    <w:rsid w:val="00923125"/>
    <w:rsid w:val="009363E0"/>
    <w:rsid w:val="0095714F"/>
    <w:rsid w:val="009724D6"/>
    <w:rsid w:val="009900DD"/>
    <w:rsid w:val="0099363F"/>
    <w:rsid w:val="00993854"/>
    <w:rsid w:val="009A3E95"/>
    <w:rsid w:val="009C047F"/>
    <w:rsid w:val="009E797D"/>
    <w:rsid w:val="00A03E61"/>
    <w:rsid w:val="00A26C4F"/>
    <w:rsid w:val="00A51B3B"/>
    <w:rsid w:val="00A56F15"/>
    <w:rsid w:val="00A81D34"/>
    <w:rsid w:val="00AB54E9"/>
    <w:rsid w:val="00AD14A2"/>
    <w:rsid w:val="00AE2841"/>
    <w:rsid w:val="00B02996"/>
    <w:rsid w:val="00B02D83"/>
    <w:rsid w:val="00B04725"/>
    <w:rsid w:val="00B11FE9"/>
    <w:rsid w:val="00B87370"/>
    <w:rsid w:val="00BC5C3D"/>
    <w:rsid w:val="00BE70E1"/>
    <w:rsid w:val="00BF1AEF"/>
    <w:rsid w:val="00C10571"/>
    <w:rsid w:val="00C41141"/>
    <w:rsid w:val="00C41CEB"/>
    <w:rsid w:val="00C6034F"/>
    <w:rsid w:val="00C608AE"/>
    <w:rsid w:val="00C73C01"/>
    <w:rsid w:val="00CC2A7D"/>
    <w:rsid w:val="00CC3A8F"/>
    <w:rsid w:val="00CC462E"/>
    <w:rsid w:val="00CC57D3"/>
    <w:rsid w:val="00CD0161"/>
    <w:rsid w:val="00CE2541"/>
    <w:rsid w:val="00D119AA"/>
    <w:rsid w:val="00D124CF"/>
    <w:rsid w:val="00D1424C"/>
    <w:rsid w:val="00D32264"/>
    <w:rsid w:val="00DA1C2E"/>
    <w:rsid w:val="00DD0EDD"/>
    <w:rsid w:val="00E1313C"/>
    <w:rsid w:val="00E151E7"/>
    <w:rsid w:val="00E27599"/>
    <w:rsid w:val="00E70382"/>
    <w:rsid w:val="00E9283D"/>
    <w:rsid w:val="00E95BC8"/>
    <w:rsid w:val="00EB307E"/>
    <w:rsid w:val="00F406D4"/>
    <w:rsid w:val="00F450FA"/>
    <w:rsid w:val="00F4797A"/>
    <w:rsid w:val="00F67A01"/>
    <w:rsid w:val="00F7291D"/>
    <w:rsid w:val="00F76A5A"/>
    <w:rsid w:val="00F8077A"/>
    <w:rsid w:val="00F80BE8"/>
    <w:rsid w:val="00FC719B"/>
    <w:rsid w:val="00FE12F5"/>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4623"/>
  <w14:defaultImageDpi w14:val="32767"/>
  <w15:docId w15:val="{1A290DBF-6472-416E-AEB2-4CBEE5B2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9A"/>
    <w:pPr>
      <w:tabs>
        <w:tab w:val="center" w:pos="4680"/>
        <w:tab w:val="right" w:pos="9360"/>
      </w:tabs>
    </w:pPr>
  </w:style>
  <w:style w:type="character" w:customStyle="1" w:styleId="HeaderChar">
    <w:name w:val="Header Char"/>
    <w:basedOn w:val="DefaultParagraphFont"/>
    <w:link w:val="Header"/>
    <w:uiPriority w:val="99"/>
    <w:rsid w:val="00254B9A"/>
  </w:style>
  <w:style w:type="paragraph" w:styleId="Footer">
    <w:name w:val="footer"/>
    <w:basedOn w:val="Normal"/>
    <w:link w:val="FooterChar"/>
    <w:uiPriority w:val="99"/>
    <w:unhideWhenUsed/>
    <w:rsid w:val="00254B9A"/>
    <w:pPr>
      <w:tabs>
        <w:tab w:val="center" w:pos="4680"/>
        <w:tab w:val="right" w:pos="9360"/>
      </w:tabs>
    </w:pPr>
  </w:style>
  <w:style w:type="character" w:customStyle="1" w:styleId="FooterChar">
    <w:name w:val="Footer Char"/>
    <w:basedOn w:val="DefaultParagraphFont"/>
    <w:link w:val="Footer"/>
    <w:uiPriority w:val="99"/>
    <w:rsid w:val="00254B9A"/>
  </w:style>
  <w:style w:type="table" w:styleId="TableGrid">
    <w:name w:val="Table Grid"/>
    <w:basedOn w:val="TableNormal"/>
    <w:uiPriority w:val="39"/>
    <w:rsid w:val="009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427F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B02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61">
    <w:name w:val="Grid Table 5 Dark - Accent 61"/>
    <w:basedOn w:val="TableNormal"/>
    <w:uiPriority w:val="50"/>
    <w:rsid w:val="00FC71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FC71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142179"/>
    <w:rPr>
      <w:rFonts w:ascii="Tahoma" w:hAnsi="Tahoma" w:cs="Tahoma"/>
      <w:sz w:val="16"/>
      <w:szCs w:val="16"/>
    </w:rPr>
  </w:style>
  <w:style w:type="character" w:customStyle="1" w:styleId="BalloonTextChar">
    <w:name w:val="Balloon Text Char"/>
    <w:basedOn w:val="DefaultParagraphFont"/>
    <w:link w:val="BalloonText"/>
    <w:uiPriority w:val="99"/>
    <w:semiHidden/>
    <w:rsid w:val="0014217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D0EDD"/>
    <w:rPr>
      <w:sz w:val="16"/>
      <w:szCs w:val="16"/>
    </w:rPr>
  </w:style>
  <w:style w:type="paragraph" w:styleId="CommentText">
    <w:name w:val="annotation text"/>
    <w:basedOn w:val="Normal"/>
    <w:link w:val="CommentTextChar"/>
    <w:uiPriority w:val="99"/>
    <w:unhideWhenUsed/>
    <w:rsid w:val="00DD0EDD"/>
    <w:rPr>
      <w:sz w:val="20"/>
      <w:szCs w:val="20"/>
    </w:rPr>
  </w:style>
  <w:style w:type="character" w:customStyle="1" w:styleId="CommentTextChar">
    <w:name w:val="Comment Text Char"/>
    <w:basedOn w:val="DefaultParagraphFont"/>
    <w:link w:val="CommentText"/>
    <w:uiPriority w:val="99"/>
    <w:rsid w:val="00DD0E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D0EDD"/>
    <w:rPr>
      <w:b/>
      <w:bCs/>
    </w:rPr>
  </w:style>
  <w:style w:type="character" w:customStyle="1" w:styleId="CommentSubjectChar">
    <w:name w:val="Comment Subject Char"/>
    <w:basedOn w:val="CommentTextChar"/>
    <w:link w:val="CommentSubject"/>
    <w:uiPriority w:val="99"/>
    <w:semiHidden/>
    <w:rsid w:val="00DD0EDD"/>
    <w:rPr>
      <w:rFonts w:eastAsiaTheme="minorEastAsia"/>
      <w:b/>
      <w:bCs/>
      <w:sz w:val="20"/>
      <w:szCs w:val="20"/>
    </w:rPr>
  </w:style>
  <w:style w:type="paragraph" w:styleId="ListParagraph">
    <w:name w:val="List Paragraph"/>
    <w:basedOn w:val="Normal"/>
    <w:uiPriority w:val="34"/>
    <w:qFormat/>
    <w:rsid w:val="002C2AEB"/>
    <w:pPr>
      <w:ind w:left="720"/>
      <w:contextualSpacing/>
    </w:pPr>
  </w:style>
  <w:style w:type="paragraph" w:customStyle="1" w:styleId="BodyA">
    <w:name w:val="Body A"/>
    <w:rsid w:val="00204A34"/>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unhideWhenUsed/>
    <w:rsid w:val="00204A34"/>
    <w:rPr>
      <w:color w:val="0000FF"/>
      <w:u w:val="single"/>
    </w:rPr>
  </w:style>
  <w:style w:type="paragraph" w:customStyle="1" w:styleId="Body">
    <w:name w:val="Body"/>
    <w:rsid w:val="00F406D4"/>
    <w:pPr>
      <w:pBdr>
        <w:top w:val="nil"/>
        <w:left w:val="nil"/>
        <w:bottom w:val="nil"/>
        <w:right w:val="nil"/>
        <w:between w:val="nil"/>
        <w:bar w:val="nil"/>
      </w:pBdr>
    </w:pPr>
    <w:rPr>
      <w:rFonts w:eastAsia="Times New Roman" w:cs="Times New Roman"/>
      <w:color w:val="000000"/>
      <w:u w:color="000000"/>
      <w:bdr w:val="nil"/>
      <w:lang w:val="en-GB" w:eastAsia="en-GB"/>
      <w14:textOutline w14:w="0" w14:cap="flat" w14:cmpd="sng" w14:algn="ctr">
        <w14:noFill/>
        <w14:prstDash w14:val="solid"/>
        <w14:bevel/>
      </w14:textOutline>
    </w:rPr>
  </w:style>
  <w:style w:type="paragraph" w:styleId="FootnoteText">
    <w:name w:val="footnote text"/>
    <w:link w:val="FootnoteTextChar"/>
    <w:uiPriority w:val="99"/>
    <w:rsid w:val="00F406D4"/>
    <w:pPr>
      <w:pBdr>
        <w:top w:val="nil"/>
        <w:left w:val="nil"/>
        <w:bottom w:val="nil"/>
        <w:right w:val="nil"/>
        <w:between w:val="nil"/>
        <w:bar w:val="nil"/>
      </w:pBdr>
    </w:pPr>
    <w:rPr>
      <w:rFonts w:eastAsia="Times New Roman" w:cs="Times New Roman"/>
      <w:color w:val="000000"/>
      <w:sz w:val="20"/>
      <w:szCs w:val="20"/>
      <w:u w:color="000000"/>
      <w:bdr w:val="nil"/>
      <w:lang w:eastAsia="en-GB"/>
    </w:rPr>
  </w:style>
  <w:style w:type="character" w:customStyle="1" w:styleId="FootnoteTextChar">
    <w:name w:val="Footnote Text Char"/>
    <w:basedOn w:val="DefaultParagraphFont"/>
    <w:link w:val="FootnoteText"/>
    <w:uiPriority w:val="99"/>
    <w:rsid w:val="00F406D4"/>
    <w:rPr>
      <w:rFonts w:eastAsia="Times New Roman" w:cs="Times New Roman"/>
      <w:color w:val="000000"/>
      <w:sz w:val="20"/>
      <w:szCs w:val="20"/>
      <w:u w:color="000000"/>
      <w:bdr w:val="nil"/>
      <w:lang w:eastAsia="en-GB"/>
    </w:rPr>
  </w:style>
  <w:style w:type="paragraph" w:customStyle="1" w:styleId="Pa1">
    <w:name w:val="Pa1"/>
    <w:rsid w:val="00F406D4"/>
    <w:pPr>
      <w:pBdr>
        <w:top w:val="nil"/>
        <w:left w:val="nil"/>
        <w:bottom w:val="nil"/>
        <w:right w:val="nil"/>
        <w:between w:val="nil"/>
        <w:bar w:val="nil"/>
      </w:pBdr>
      <w:spacing w:line="181" w:lineRule="atLeast"/>
    </w:pPr>
    <w:rPr>
      <w:rFonts w:ascii="ConduitITCStd" w:eastAsia="ConduitITCStd" w:hAnsi="ConduitITCStd" w:cs="ConduitITCStd"/>
      <w:color w:val="000000"/>
      <w:u w:color="000000"/>
      <w:bdr w:val="nil"/>
      <w:lang w:eastAsia="en-GB"/>
    </w:rPr>
  </w:style>
  <w:style w:type="numbering" w:customStyle="1" w:styleId="ImportedStyle1">
    <w:name w:val="Imported Style 1"/>
    <w:rsid w:val="00F406D4"/>
    <w:pPr>
      <w:numPr>
        <w:numId w:val="12"/>
      </w:numPr>
    </w:pPr>
  </w:style>
  <w:style w:type="paragraph" w:styleId="NormalWeb">
    <w:name w:val="Normal (Web)"/>
    <w:rsid w:val="005E72D0"/>
    <w:pPr>
      <w:pBdr>
        <w:top w:val="nil"/>
        <w:left w:val="nil"/>
        <w:bottom w:val="nil"/>
        <w:right w:val="nil"/>
        <w:between w:val="nil"/>
        <w:bar w:val="nil"/>
      </w:pBdr>
      <w:spacing w:before="100" w:after="100"/>
    </w:pPr>
    <w:rPr>
      <w:rFonts w:eastAsia="Arial Unicode MS" w:cs="Arial Unicode MS"/>
      <w:color w:val="000000"/>
      <w:u w:color="000000"/>
      <w:bdr w:val="nil"/>
      <w:lang w:eastAsia="en-GB"/>
    </w:rPr>
  </w:style>
  <w:style w:type="numbering" w:customStyle="1" w:styleId="ImportedStyle2">
    <w:name w:val="Imported Style 2"/>
    <w:rsid w:val="005E72D0"/>
    <w:pPr>
      <w:numPr>
        <w:numId w:val="14"/>
      </w:numPr>
    </w:pPr>
  </w:style>
  <w:style w:type="numbering" w:customStyle="1" w:styleId="ImportedStyle30">
    <w:name w:val="Imported Style 3.0"/>
    <w:rsid w:val="005E72D0"/>
    <w:pPr>
      <w:numPr>
        <w:numId w:val="16"/>
      </w:numPr>
    </w:pPr>
  </w:style>
  <w:style w:type="numbering" w:customStyle="1" w:styleId="ImportedStyle4">
    <w:name w:val="Imported Style 4"/>
    <w:rsid w:val="005E72D0"/>
    <w:pPr>
      <w:numPr>
        <w:numId w:val="18"/>
      </w:numPr>
    </w:pPr>
  </w:style>
  <w:style w:type="numbering" w:customStyle="1" w:styleId="ImportedStyle5">
    <w:name w:val="Imported Style 5"/>
    <w:rsid w:val="005E72D0"/>
    <w:pPr>
      <w:numPr>
        <w:numId w:val="20"/>
      </w:numPr>
    </w:pPr>
  </w:style>
  <w:style w:type="character" w:styleId="FootnoteReference">
    <w:name w:val="footnote reference"/>
    <w:basedOn w:val="DefaultParagraphFont"/>
    <w:uiPriority w:val="99"/>
    <w:semiHidden/>
    <w:unhideWhenUsed/>
    <w:rsid w:val="00697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3499">
      <w:bodyDiv w:val="1"/>
      <w:marLeft w:val="0"/>
      <w:marRight w:val="0"/>
      <w:marTop w:val="0"/>
      <w:marBottom w:val="0"/>
      <w:divBdr>
        <w:top w:val="none" w:sz="0" w:space="0" w:color="auto"/>
        <w:left w:val="none" w:sz="0" w:space="0" w:color="auto"/>
        <w:bottom w:val="none" w:sz="0" w:space="0" w:color="auto"/>
        <w:right w:val="none" w:sz="0" w:space="0" w:color="auto"/>
      </w:divBdr>
    </w:div>
    <w:div w:id="550926891">
      <w:bodyDiv w:val="1"/>
      <w:marLeft w:val="0"/>
      <w:marRight w:val="0"/>
      <w:marTop w:val="0"/>
      <w:marBottom w:val="0"/>
      <w:divBdr>
        <w:top w:val="none" w:sz="0" w:space="0" w:color="auto"/>
        <w:left w:val="none" w:sz="0" w:space="0" w:color="auto"/>
        <w:bottom w:val="none" w:sz="0" w:space="0" w:color="auto"/>
        <w:right w:val="none" w:sz="0" w:space="0" w:color="auto"/>
      </w:divBdr>
    </w:div>
    <w:div w:id="1406875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Business/B-Tech/B-Tech_Scoping_paper.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017938-1E14-4316-BACD-B3B8D95B1408}">
  <ds:schemaRefs>
    <ds:schemaRef ds:uri="http://schemas.openxmlformats.org/officeDocument/2006/bibliography"/>
  </ds:schemaRefs>
</ds:datastoreItem>
</file>

<file path=customXml/itemProps2.xml><?xml version="1.0" encoding="utf-8"?>
<ds:datastoreItem xmlns:ds="http://schemas.openxmlformats.org/officeDocument/2006/customXml" ds:itemID="{757D22C9-6EC3-4DAD-B04D-7B8B8ACF89D2}"/>
</file>

<file path=customXml/itemProps3.xml><?xml version="1.0" encoding="utf-8"?>
<ds:datastoreItem xmlns:ds="http://schemas.openxmlformats.org/officeDocument/2006/customXml" ds:itemID="{E1263E24-6136-4056-B680-FCD24CAB74AC}"/>
</file>

<file path=customXml/itemProps4.xml><?xml version="1.0" encoding="utf-8"?>
<ds:datastoreItem xmlns:ds="http://schemas.openxmlformats.org/officeDocument/2006/customXml" ds:itemID="{94F3623E-AAEA-4564-8076-2A77DF3EC8C3}"/>
</file>

<file path=docProps/app.xml><?xml version="1.0" encoding="utf-8"?>
<Properties xmlns="http://schemas.openxmlformats.org/officeDocument/2006/extended-properties" xmlns:vt="http://schemas.openxmlformats.org/officeDocument/2006/docPropsVTypes">
  <Template>Normal.dotm</Template>
  <TotalTime>12</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shea</dc:creator>
  <cp:lastModifiedBy>nathalie stadelmann</cp:lastModifiedBy>
  <cp:revision>18</cp:revision>
  <cp:lastPrinted>2019-08-27T14:36:00Z</cp:lastPrinted>
  <dcterms:created xsi:type="dcterms:W3CDTF">2019-08-27T15:06:00Z</dcterms:created>
  <dcterms:modified xsi:type="dcterms:W3CDTF">2019-08-29T17:08:00Z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