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9C" w:rsidRPr="0038639C" w:rsidRDefault="0038639C" w:rsidP="0038639C">
      <w:pPr>
        <w:spacing w:after="0"/>
        <w:jc w:val="both"/>
        <w:rPr>
          <w:rFonts w:ascii="Maiandra GD" w:eastAsia="Times New Roman" w:hAnsi="Maiandra GD" w:cs="Times New Roman"/>
          <w:b/>
          <w:sz w:val="24"/>
          <w:szCs w:val="24"/>
          <w:lang w:val="pt-PT" w:eastAsia="en-GB" w:bidi="he-IL"/>
        </w:rPr>
      </w:pPr>
    </w:p>
    <w:p w:rsidR="0038639C" w:rsidRPr="0038639C" w:rsidRDefault="0038639C" w:rsidP="0038639C">
      <w:pPr>
        <w:jc w:val="center"/>
        <w:rPr>
          <w:rFonts w:ascii="Maiandra GD" w:hAnsi="Maiandra GD"/>
          <w:b/>
          <w:sz w:val="24"/>
          <w:szCs w:val="24"/>
        </w:rPr>
      </w:pPr>
      <w:r w:rsidRPr="0038639C">
        <w:rPr>
          <w:rFonts w:ascii="Maiandra GD" w:hAnsi="Maiandra GD"/>
          <w:i/>
          <w:noProof/>
          <w:sz w:val="24"/>
          <w:szCs w:val="24"/>
        </w:rPr>
        <w:drawing>
          <wp:inline distT="0" distB="0" distL="0" distR="0" wp14:anchorId="1775D8A7" wp14:editId="1F052C74">
            <wp:extent cx="628650" cy="523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00" cy="52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39C" w:rsidRPr="0038639C" w:rsidRDefault="0038639C" w:rsidP="0038639C">
      <w:pPr>
        <w:jc w:val="center"/>
        <w:rPr>
          <w:rFonts w:ascii="Maiandra GD" w:hAnsi="Maiandra GD"/>
          <w:sz w:val="24"/>
          <w:szCs w:val="24"/>
          <w:lang w:val="nb-NO"/>
        </w:rPr>
      </w:pPr>
      <w:r w:rsidRPr="0038639C">
        <w:rPr>
          <w:rFonts w:ascii="Maiandra GD" w:hAnsi="Maiandra GD"/>
          <w:sz w:val="24"/>
          <w:szCs w:val="24"/>
          <w:lang w:val="nb-NO"/>
        </w:rPr>
        <w:t>Republic of Mozambique</w:t>
      </w:r>
    </w:p>
    <w:p w:rsidR="0038639C" w:rsidRPr="0038639C" w:rsidRDefault="0038639C" w:rsidP="0038639C">
      <w:pPr>
        <w:jc w:val="center"/>
        <w:rPr>
          <w:rFonts w:ascii="Maiandra GD" w:hAnsi="Maiandra GD"/>
          <w:b/>
          <w:sz w:val="24"/>
          <w:szCs w:val="24"/>
          <w:lang w:val="nb-NO"/>
        </w:rPr>
      </w:pPr>
      <w:r w:rsidRPr="0038639C">
        <w:rPr>
          <w:rFonts w:ascii="Maiandra GD" w:hAnsi="Maiandra GD"/>
          <w:b/>
          <w:sz w:val="24"/>
          <w:szCs w:val="24"/>
          <w:lang w:val="nb-NO"/>
        </w:rPr>
        <w:t>National Human Rights Commission</w:t>
      </w:r>
    </w:p>
    <w:p w:rsidR="0038639C" w:rsidRPr="0038639C" w:rsidRDefault="0038639C" w:rsidP="0038639C">
      <w:pPr>
        <w:jc w:val="both"/>
        <w:rPr>
          <w:rFonts w:ascii="Maiandra GD" w:hAnsi="Maiandra GD"/>
          <w:b/>
          <w:sz w:val="24"/>
          <w:szCs w:val="24"/>
          <w:u w:val="single"/>
          <w:lang w:val="nb-NO"/>
        </w:rPr>
      </w:pPr>
      <w:bookmarkStart w:id="0" w:name="_GoBack"/>
      <w:r w:rsidRPr="0038639C">
        <w:rPr>
          <w:rFonts w:ascii="Maiandra GD" w:hAnsi="Maiandra GD"/>
          <w:b/>
          <w:sz w:val="24"/>
          <w:szCs w:val="24"/>
          <w:u w:val="single"/>
          <w:lang w:val="nb-NO"/>
        </w:rPr>
        <w:t>The Role of National Human Rights Institutions in Facilitating Access to Effective Remedy for Business-Related Human Rights Abuse</w:t>
      </w:r>
    </w:p>
    <w:bookmarkEnd w:id="0"/>
    <w:p w:rsidR="0038639C" w:rsidRPr="0038639C" w:rsidRDefault="0038639C" w:rsidP="0038639C">
      <w:pPr>
        <w:spacing w:after="0"/>
        <w:jc w:val="both"/>
        <w:rPr>
          <w:rFonts w:ascii="Maiandra GD" w:eastAsia="Times New Roman" w:hAnsi="Maiandra GD" w:cs="Times New Roman"/>
          <w:b/>
          <w:sz w:val="24"/>
          <w:szCs w:val="24"/>
          <w:lang w:eastAsia="en-GB" w:bidi="he-IL"/>
        </w:rPr>
      </w:pPr>
    </w:p>
    <w:p w:rsidR="00301A7B" w:rsidRDefault="002B0358" w:rsidP="00882AD9">
      <w:pPr>
        <w:pStyle w:val="ListParagraph"/>
        <w:numPr>
          <w:ilvl w:val="0"/>
          <w:numId w:val="6"/>
        </w:numPr>
        <w:spacing w:after="0"/>
        <w:jc w:val="both"/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</w:pP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In w</w:t>
      </w:r>
      <w:r w:rsidR="008665BA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hat ways could NHRIs facilitate – both directly and indirectly ac</w:t>
      </w: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c</w:t>
      </w:r>
      <w:r w:rsidR="008665BA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ess to effective remedy</w:t>
      </w:r>
      <w:r w:rsidR="00301A7B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 </w:t>
      </w:r>
      <w:r w:rsidR="008665BA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for business related-human rights abuses? Please provide concrete examples if possible.</w:t>
      </w:r>
    </w:p>
    <w:p w:rsidR="00301A7B" w:rsidRPr="00A4391A" w:rsidRDefault="00A4391A" w:rsidP="00A4391A">
      <w:pPr>
        <w:pStyle w:val="ListParagraph"/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NHRIs facilitate using the following ways:</w:t>
      </w:r>
    </w:p>
    <w:p w:rsidR="00E13C0A" w:rsidRDefault="00A4391A" w:rsidP="00134E9D">
      <w:pPr>
        <w:pStyle w:val="ListParagraph"/>
        <w:numPr>
          <w:ilvl w:val="0"/>
          <w:numId w:val="8"/>
        </w:num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Mediation and reconciliation t</w:t>
      </w:r>
      <w:r w:rsidR="00E13C0A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o all the parties involved;</w:t>
      </w:r>
    </w:p>
    <w:p w:rsidR="00B00EF0" w:rsidRDefault="00E13C0A" w:rsidP="00134E9D">
      <w:pPr>
        <w:pStyle w:val="ListParagraph"/>
        <w:numPr>
          <w:ilvl w:val="0"/>
          <w:numId w:val="8"/>
        </w:num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In case of crime, we investigate and forward to competent entities </w:t>
      </w:r>
      <w:r w:rsidR="00B00EF0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for all legal proceedings; and</w:t>
      </w:r>
    </w:p>
    <w:p w:rsidR="006A519B" w:rsidRPr="00574E65" w:rsidRDefault="00B00EF0" w:rsidP="00134E9D">
      <w:pPr>
        <w:pStyle w:val="ListParagraph"/>
        <w:numPr>
          <w:ilvl w:val="0"/>
          <w:numId w:val="8"/>
        </w:num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Make recommendations for various entities in order to take all the necessary measurement to correct. </w:t>
      </w:r>
      <w:r w:rsidR="00E13C0A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 </w:t>
      </w:r>
      <w:r w:rsidR="00134E9D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</w:t>
      </w:r>
    </w:p>
    <w:p w:rsidR="00301A7B" w:rsidRPr="00574E65" w:rsidRDefault="00301A7B" w:rsidP="00882AD9">
      <w:pPr>
        <w:pStyle w:val="ListParagraph"/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</w:p>
    <w:p w:rsidR="00301A7B" w:rsidRDefault="001E72FB" w:rsidP="00882AD9">
      <w:pPr>
        <w:pStyle w:val="ListParagraph"/>
        <w:numPr>
          <w:ilvl w:val="0"/>
          <w:numId w:val="6"/>
        </w:numPr>
        <w:spacing w:after="0"/>
        <w:jc w:val="both"/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</w:pP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What</w:t>
      </w:r>
      <w:r w:rsidR="003206DC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 measures sho</w:t>
      </w:r>
      <w:r w:rsidR="00301A7B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u</w:t>
      </w:r>
      <w:r w:rsidR="003206DC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l</w:t>
      </w:r>
      <w:r w:rsidR="00301A7B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d be taken to strengthen the mandate, role and capacity of NHRIs in facilitating a</w:t>
      </w:r>
      <w:r w:rsidR="002B0358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c</w:t>
      </w:r>
      <w:r w:rsidR="00301A7B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cess to </w:t>
      </w:r>
      <w:r w:rsidR="003206DC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remedy for business-related </w:t>
      </w:r>
      <w:r w:rsidR="0019495A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human’s</w:t>
      </w:r>
      <w:r w:rsidR="003206DC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 rights abuse?</w:t>
      </w:r>
    </w:p>
    <w:p w:rsidR="001E72FB" w:rsidRDefault="00B00EF0" w:rsidP="00B00EF0">
      <w:pPr>
        <w:pStyle w:val="ListParagraph"/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For increasing the mandate, </w:t>
      </w:r>
      <w:r w:rsidR="001E72FB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role and capacity of NHRIs should be taken all the measures below:</w:t>
      </w:r>
    </w:p>
    <w:p w:rsidR="00B00EF0" w:rsidRDefault="00721B8F" w:rsidP="001E72FB">
      <w:pPr>
        <w:pStyle w:val="ListParagraph"/>
        <w:numPr>
          <w:ilvl w:val="0"/>
          <w:numId w:val="9"/>
        </w:num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Give the e</w:t>
      </w:r>
      <w:r w:rsidR="001E72FB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nforcement of power, including the binding power to its decisions;</w:t>
      </w:r>
    </w:p>
    <w:p w:rsidR="002B0358" w:rsidRPr="00513575" w:rsidRDefault="00721B8F" w:rsidP="00513575">
      <w:pPr>
        <w:pStyle w:val="ListParagraph"/>
        <w:numPr>
          <w:ilvl w:val="0"/>
          <w:numId w:val="9"/>
        </w:num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Permanent t</w:t>
      </w:r>
      <w:r w:rsidR="001E72FB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raining staff on</w:t>
      </w:r>
      <w:r w:rsidR="0051357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content related to</w:t>
      </w:r>
      <w:r w:rsidR="001E72FB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human rights</w:t>
      </w: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and </w:t>
      </w:r>
      <w:r w:rsidR="001E72FB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business</w:t>
      </w:r>
      <w:r w:rsidR="0051357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;</w:t>
      </w:r>
      <w:r w:rsidR="001E72FB" w:rsidRPr="0051357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</w:t>
      </w:r>
    </w:p>
    <w:p w:rsidR="00882AD9" w:rsidRPr="00574E65" w:rsidRDefault="002B0358" w:rsidP="00882AD9">
      <w:pPr>
        <w:pStyle w:val="ListParagraph"/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</w:t>
      </w:r>
    </w:p>
    <w:p w:rsidR="005825B0" w:rsidRDefault="00882AD9" w:rsidP="005825B0">
      <w:pPr>
        <w:pStyle w:val="ListParagraph"/>
        <w:numPr>
          <w:ilvl w:val="0"/>
          <w:numId w:val="6"/>
        </w:numPr>
        <w:spacing w:after="0"/>
        <w:jc w:val="both"/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</w:pP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How could the current interplay between the role of NHRIs and other judicial or </w:t>
      </w:r>
      <w:r w:rsidR="0019495A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non-judicial</w:t>
      </w: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 remedial mechanisms (e.g. courts, labour tribunals, National contact Points and operational level grievance mechanisms) be improved to facilitate ac</w:t>
      </w:r>
      <w:r w:rsidR="00D169FF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c</w:t>
      </w: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ess to remedy?</w:t>
      </w:r>
    </w:p>
    <w:p w:rsidR="00513575" w:rsidRDefault="00EB0E88" w:rsidP="00513575">
      <w:pPr>
        <w:pStyle w:val="ListParagraph"/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 w:rsidRPr="00EB0E88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They could be improved to facilitate access to remedy as following:</w:t>
      </w:r>
    </w:p>
    <w:p w:rsidR="00EB0E88" w:rsidRDefault="00EB0E88" w:rsidP="00EB0E88">
      <w:pPr>
        <w:pStyle w:val="ListParagraph"/>
        <w:numPr>
          <w:ilvl w:val="0"/>
          <w:numId w:val="10"/>
        </w:num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Training the judicial actors on content related to human rights</w:t>
      </w:r>
      <w:r w:rsidR="00721B8F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and </w:t>
      </w:r>
      <w:r w:rsidR="006B0ADA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Business</w:t>
      </w: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;</w:t>
      </w:r>
    </w:p>
    <w:p w:rsidR="00863AF7" w:rsidRDefault="00EB0E88" w:rsidP="00EB0E88">
      <w:pPr>
        <w:pStyle w:val="ListParagraph"/>
        <w:numPr>
          <w:ilvl w:val="0"/>
          <w:numId w:val="10"/>
        </w:num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NHRIs </w:t>
      </w:r>
      <w:r w:rsidR="00721B8F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can be</w:t>
      </w: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</w:t>
      </w:r>
      <w:r w:rsidR="00721B8F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invited to work as </w:t>
      </w:r>
      <w:r w:rsidR="00721B8F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technica</w:t>
      </w:r>
      <w:r w:rsidR="00721B8F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l advisers for the judicial </w:t>
      </w:r>
      <w:r w:rsidR="006B0ADA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mechanisms on</w:t>
      </w: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human rights </w:t>
      </w:r>
      <w:r w:rsidR="006B0ADA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and business issues</w:t>
      </w:r>
      <w:r w:rsidR="00863AF7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;</w:t>
      </w:r>
    </w:p>
    <w:p w:rsidR="005825B0" w:rsidRDefault="00863AF7" w:rsidP="00863AF7">
      <w:pPr>
        <w:pStyle w:val="ListParagraph"/>
        <w:numPr>
          <w:ilvl w:val="0"/>
          <w:numId w:val="10"/>
        </w:num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The system of communication and collaboration between NHRIs and other judicial or non-judicial remedial mechanisms must be improved. </w:t>
      </w:r>
      <w:r w:rsidR="00EB0E88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</w:t>
      </w:r>
    </w:p>
    <w:p w:rsidR="006B0ADA" w:rsidRPr="00863AF7" w:rsidRDefault="006B0ADA" w:rsidP="00863AF7">
      <w:pPr>
        <w:pStyle w:val="ListParagraph"/>
        <w:numPr>
          <w:ilvl w:val="0"/>
          <w:numId w:val="10"/>
        </w:num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Creation of specialized divisions of human rights and business in courts;</w:t>
      </w:r>
    </w:p>
    <w:p w:rsidR="003206DC" w:rsidRPr="00863AF7" w:rsidRDefault="003206DC" w:rsidP="00863AF7">
      <w:pPr>
        <w:spacing w:after="0" w:line="240" w:lineRule="auto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</w:p>
    <w:p w:rsidR="00885E6E" w:rsidRDefault="003206DC" w:rsidP="00882AD9">
      <w:pPr>
        <w:pStyle w:val="ListParagraph"/>
        <w:numPr>
          <w:ilvl w:val="0"/>
          <w:numId w:val="6"/>
        </w:numPr>
        <w:spacing w:after="0"/>
        <w:jc w:val="both"/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</w:pP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What are the main challe</w:t>
      </w:r>
      <w:r w:rsidR="00973A08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n</w:t>
      </w: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ges that NHRIs face in dealing with complaints </w:t>
      </w:r>
      <w:r w:rsidR="0019495A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concerning</w:t>
      </w: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 human rights abuses </w:t>
      </w:r>
      <w:r w:rsidR="0019495A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implicating</w:t>
      </w: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 parent and subsidiary</w:t>
      </w:r>
      <w:r w:rsidR="00973A08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 companies, busi</w:t>
      </w:r>
      <w:r w:rsidR="00885E6E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ness operations in other jurisdictions, or the supply chain of a company?</w:t>
      </w:r>
    </w:p>
    <w:p w:rsidR="00360C99" w:rsidRDefault="00360C99" w:rsidP="00360C99">
      <w:pPr>
        <w:pStyle w:val="ListParagraph"/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The main challenges that NHRIs face in dealing with complaints concerning human rights abuses </w:t>
      </w:r>
      <w:r w:rsidR="00732E1C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are:</w:t>
      </w:r>
    </w:p>
    <w:p w:rsidR="00732E1C" w:rsidRDefault="006B0ADA" w:rsidP="00732E1C">
      <w:pPr>
        <w:pStyle w:val="ListParagraph"/>
        <w:numPr>
          <w:ilvl w:val="0"/>
          <w:numId w:val="11"/>
        </w:num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Conflict of la</w:t>
      </w:r>
      <w:r w:rsidR="00732E1C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ws in different countries; </w:t>
      </w:r>
    </w:p>
    <w:p w:rsidR="00732E1C" w:rsidRDefault="00732E1C" w:rsidP="00732E1C">
      <w:pPr>
        <w:pStyle w:val="ListParagraph"/>
        <w:numPr>
          <w:ilvl w:val="0"/>
          <w:numId w:val="11"/>
        </w:num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Barriers on information access, because brunch</w:t>
      </w:r>
      <w:r w:rsidR="006B0ADA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es</w:t>
      </w: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office</w:t>
      </w:r>
      <w:r w:rsidR="006B0ADA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rs have</w:t>
      </w: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no power;</w:t>
      </w:r>
      <w:r w:rsidR="00705E27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and</w:t>
      </w:r>
    </w:p>
    <w:p w:rsidR="00732E1C" w:rsidRDefault="00705E27" w:rsidP="00732E1C">
      <w:pPr>
        <w:pStyle w:val="ListParagraph"/>
        <w:numPr>
          <w:ilvl w:val="0"/>
          <w:numId w:val="11"/>
        </w:num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Procedural Default</w:t>
      </w:r>
      <w:r w:rsidR="00732E1C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 </w:t>
      </w:r>
    </w:p>
    <w:p w:rsidR="006B0ADA" w:rsidRPr="00360C99" w:rsidRDefault="006B0ADA" w:rsidP="006B0ADA">
      <w:pPr>
        <w:pStyle w:val="ListParagraph"/>
        <w:numPr>
          <w:ilvl w:val="0"/>
          <w:numId w:val="11"/>
        </w:num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 w:rsidRPr="006B0ADA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Difficulties in identifying the competent court to file the complaint</w:t>
      </w: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;</w:t>
      </w:r>
    </w:p>
    <w:p w:rsidR="003206DC" w:rsidRPr="00705E27" w:rsidRDefault="003206DC" w:rsidP="00705E27">
      <w:p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</w:p>
    <w:p w:rsidR="0086677B" w:rsidRPr="00574E65" w:rsidRDefault="0086677B" w:rsidP="00882AD9">
      <w:pPr>
        <w:pStyle w:val="ListParagraph"/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</w:p>
    <w:p w:rsidR="006414F6" w:rsidRDefault="006414F6" w:rsidP="006414F6">
      <w:pPr>
        <w:pStyle w:val="ListParagraph"/>
        <w:numPr>
          <w:ilvl w:val="0"/>
          <w:numId w:val="6"/>
        </w:numPr>
        <w:spacing w:after="0"/>
        <w:jc w:val="both"/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</w:pP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What could be done to </w:t>
      </w:r>
      <w:r w:rsidR="0019495A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strengthen the</w:t>
      </w: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 role of NHRIs in dealing with alleged business-related human rights abuses </w:t>
      </w:r>
      <w:r w:rsidR="00383AB7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with a transnational or cross-border dimension?</w:t>
      </w:r>
    </w:p>
    <w:p w:rsidR="00F675A9" w:rsidRDefault="00F675A9" w:rsidP="00F675A9">
      <w:pPr>
        <w:pStyle w:val="ListParagraph"/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In order to strengthen the role of NHRIs, we have to take the following actions:</w:t>
      </w:r>
    </w:p>
    <w:p w:rsidR="00AB27A0" w:rsidRDefault="00F675A9" w:rsidP="00F675A9">
      <w:pPr>
        <w:pStyle w:val="ListParagraph"/>
        <w:numPr>
          <w:ilvl w:val="0"/>
          <w:numId w:val="12"/>
        </w:num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Strengthen the cooperation and collaboration between NHRIs cross border</w:t>
      </w:r>
      <w:r w:rsidR="00AB27A0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;</w:t>
      </w:r>
    </w:p>
    <w:p w:rsidR="00F675A9" w:rsidRPr="00F675A9" w:rsidRDefault="00AB27A0" w:rsidP="00F675A9">
      <w:pPr>
        <w:pStyle w:val="ListParagraph"/>
        <w:numPr>
          <w:ilvl w:val="0"/>
          <w:numId w:val="12"/>
        </w:num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We need expert</w:t>
      </w:r>
      <w:r w:rsidR="00721B8F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i</w:t>
      </w: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s</w:t>
      </w:r>
      <w:r w:rsidR="00721B8F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e</w:t>
      </w: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in international </w:t>
      </w:r>
      <w:r w:rsidR="00721B8F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Law and other issues to demand </w:t>
      </w:r>
      <w:r w:rsidR="006B0ADA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in </w:t>
      </w:r>
      <w:r w:rsidR="00721B8F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other institutions</w:t>
      </w:r>
    </w:p>
    <w:p w:rsidR="0086677B" w:rsidRPr="00AB27A0" w:rsidRDefault="0086677B" w:rsidP="00AB27A0">
      <w:p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</w:p>
    <w:p w:rsidR="00EE67AC" w:rsidRPr="00574E65" w:rsidRDefault="00EE67AC" w:rsidP="0086677B">
      <w:pPr>
        <w:pStyle w:val="ListParagraph"/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</w:p>
    <w:p w:rsidR="00EE67AC" w:rsidRPr="00574E65" w:rsidRDefault="00EE67AC" w:rsidP="00EE67AC">
      <w:pPr>
        <w:pStyle w:val="ListParagraph"/>
        <w:numPr>
          <w:ilvl w:val="0"/>
          <w:numId w:val="6"/>
        </w:num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Can you share any good practice examples in </w:t>
      </w:r>
      <w:r w:rsidR="0019495A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which</w:t>
      </w: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 your organization or institution was able to work collaboratively with NHRIs to facilitate directly or indirectly, effective remedies for business-related human rights abuses</w:t>
      </w: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?</w:t>
      </w:r>
    </w:p>
    <w:p w:rsidR="00626B54" w:rsidRPr="00574E65" w:rsidRDefault="00626B54" w:rsidP="00626B54">
      <w:pPr>
        <w:pStyle w:val="ListParagraph"/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</w:p>
    <w:p w:rsidR="004E2A99" w:rsidRPr="00574E65" w:rsidRDefault="00EE67AC" w:rsidP="004E2A99">
      <w:pPr>
        <w:pStyle w:val="ListParagraph"/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We</w:t>
      </w:r>
      <w:r w:rsidR="00626B54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have </w:t>
      </w:r>
      <w:r w:rsidR="00AB27A0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mediated</w:t>
      </w:r>
      <w:r w:rsidR="00B04DF2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</w:t>
      </w:r>
      <w:r w:rsidR="006B0ADA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a </w:t>
      </w:r>
      <w:r w:rsidR="0019495A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conflict</w:t>
      </w:r>
      <w:r w:rsidR="00B04DF2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between </w:t>
      </w:r>
      <w:r w:rsidR="00626B54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mining </w:t>
      </w:r>
      <w:r w:rsidR="00B04DF2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compan</w:t>
      </w:r>
      <w:r w:rsidR="00626B54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y</w:t>
      </w:r>
      <w:r w:rsidR="00B04DF2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</w:t>
      </w: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and </w:t>
      </w:r>
      <w:r w:rsidR="00AB27A0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displaced</w:t>
      </w:r>
      <w:r w:rsidR="00626B54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community in central part of the country. </w:t>
      </w:r>
      <w:r w:rsidR="00894616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During the monitoring process, the Commission</w:t>
      </w:r>
      <w:r w:rsidR="004E2A99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verified that non plan of </w:t>
      </w:r>
      <w:r w:rsidR="0019495A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resettlement</w:t>
      </w:r>
      <w:r w:rsidR="004E2A99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, compensation and </w:t>
      </w:r>
      <w:r w:rsidR="00AB27A0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indeminiza</w:t>
      </w:r>
      <w:r w:rsidR="00AB27A0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tion</w:t>
      </w:r>
      <w:r w:rsidR="004E2A99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was established</w:t>
      </w:r>
      <w:r w:rsidR="00894616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.</w:t>
      </w:r>
    </w:p>
    <w:p w:rsidR="004E2A99" w:rsidRPr="00574E65" w:rsidRDefault="004E2A99" w:rsidP="00EE67AC">
      <w:pPr>
        <w:pStyle w:val="ListParagraph"/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</w:p>
    <w:p w:rsidR="00EE67AC" w:rsidRPr="00574E65" w:rsidRDefault="00EE67AC" w:rsidP="00EE67AC">
      <w:pPr>
        <w:pStyle w:val="ListParagraph"/>
        <w:spacing w:after="0"/>
        <w:jc w:val="both"/>
        <w:rPr>
          <w:rFonts w:ascii="Maiandra GD" w:eastAsia="Times New Roman" w:hAnsi="Maiandra GD" w:cs="Times New Roman"/>
          <w:color w:val="FF0000"/>
          <w:sz w:val="24"/>
          <w:szCs w:val="24"/>
          <w:lang w:val="en-GB" w:eastAsia="en-GB" w:bidi="he-IL"/>
        </w:rPr>
      </w:pPr>
    </w:p>
    <w:p w:rsidR="00487287" w:rsidRDefault="00894616" w:rsidP="00B04DF2">
      <w:pPr>
        <w:pStyle w:val="ListParagraph"/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In addition, the Commission </w:t>
      </w:r>
      <w:r w:rsidR="0019495A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recommended</w:t>
      </w:r>
      <w:r w:rsidR="00FF1693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the G</w:t>
      </w:r>
      <w:r w:rsidR="00B04DF2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overnment to The </w:t>
      </w:r>
      <w:r w:rsidR="004E2A99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C</w:t>
      </w:r>
      <w:r w:rsidR="00B04DF2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ommis</w:t>
      </w: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s</w:t>
      </w:r>
      <w:r w:rsidR="00B04DF2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ion </w:t>
      </w:r>
      <w:r w:rsidR="00487287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made the </w:t>
      </w:r>
      <w:r w:rsidR="0019495A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following</w:t>
      </w:r>
      <w:r w:rsidR="00487287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</w:t>
      </w:r>
      <w:r w:rsidR="0019495A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reco</w:t>
      </w:r>
      <w:r w:rsidR="0019495A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mmendations</w:t>
      </w:r>
      <w:r w:rsidR="00487287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:</w:t>
      </w:r>
    </w:p>
    <w:p w:rsidR="0019495A" w:rsidRPr="00574E65" w:rsidRDefault="0019495A" w:rsidP="00B04DF2">
      <w:pPr>
        <w:pStyle w:val="ListParagraph"/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</w:p>
    <w:p w:rsidR="00487287" w:rsidRPr="00574E65" w:rsidRDefault="00487287" w:rsidP="00487287">
      <w:pPr>
        <w:pStyle w:val="ListParagraph"/>
        <w:numPr>
          <w:ilvl w:val="0"/>
          <w:numId w:val="7"/>
        </w:num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For the </w:t>
      </w:r>
      <w:r w:rsidR="0019495A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government</w:t>
      </w:r>
      <w:r w:rsidR="00EF2FB7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:</w:t>
      </w:r>
    </w:p>
    <w:p w:rsidR="00EF2FB7" w:rsidRPr="00574E65" w:rsidRDefault="00EF2FB7" w:rsidP="00EF2FB7">
      <w:pPr>
        <w:pStyle w:val="ListParagraph"/>
        <w:spacing w:after="0"/>
        <w:ind w:left="144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notify the company to </w:t>
      </w:r>
      <w:r w:rsidR="0019495A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submit the</w:t>
      </w: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plans and also to include the community in all phases of the process; and  </w:t>
      </w:r>
    </w:p>
    <w:p w:rsidR="00EF2FB7" w:rsidRPr="00574E65" w:rsidRDefault="00EF2FB7" w:rsidP="00EF2FB7">
      <w:pPr>
        <w:pStyle w:val="ListParagraph"/>
        <w:spacing w:after="0"/>
        <w:ind w:left="144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Monitoring the</w:t>
      </w:r>
      <w:r w:rsidR="00AB27A0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implementation of the indeminiz</w:t>
      </w: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ation and compensation process. </w:t>
      </w:r>
    </w:p>
    <w:p w:rsidR="00EF2FB7" w:rsidRPr="00574E65" w:rsidRDefault="00EF2FB7" w:rsidP="0019495A">
      <w:pPr>
        <w:pStyle w:val="ListParagraph"/>
        <w:spacing w:after="0" w:line="240" w:lineRule="auto"/>
        <w:ind w:left="144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</w:p>
    <w:p w:rsidR="00EF2FB7" w:rsidRPr="00574E65" w:rsidRDefault="00EF2FB7" w:rsidP="0019495A">
      <w:pPr>
        <w:pStyle w:val="ListParagraph"/>
        <w:spacing w:after="0" w:line="240" w:lineRule="auto"/>
        <w:ind w:left="144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</w:p>
    <w:p w:rsidR="00487287" w:rsidRPr="00574E65" w:rsidRDefault="00487287" w:rsidP="00D5122F">
      <w:pPr>
        <w:pStyle w:val="ListParagraph"/>
        <w:numPr>
          <w:ilvl w:val="0"/>
          <w:numId w:val="7"/>
        </w:num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lastRenderedPageBreak/>
        <w:t>For the company</w:t>
      </w:r>
      <w:r w:rsidR="00EF2FB7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:</w:t>
      </w:r>
    </w:p>
    <w:p w:rsidR="00D5122F" w:rsidRPr="00574E65" w:rsidRDefault="0019495A" w:rsidP="00D5122F">
      <w:pPr>
        <w:pStyle w:val="ListParagraph"/>
        <w:spacing w:after="0"/>
        <w:ind w:left="144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Re</w:t>
      </w: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i</w:t>
      </w: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nforce</w:t>
      </w:r>
      <w:r w:rsidR="00D5122F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its action on social </w:t>
      </w: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responsibility</w:t>
      </w:r>
      <w:r w:rsidR="00D5122F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to solve basic problems, such as water supply, school and hospitals;</w:t>
      </w:r>
    </w:p>
    <w:p w:rsidR="00EF2FB7" w:rsidRPr="00574E65" w:rsidRDefault="00D5122F" w:rsidP="00D5122F">
      <w:pPr>
        <w:pStyle w:val="ListParagraph"/>
        <w:spacing w:after="0"/>
        <w:ind w:left="144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To take urgent measures in order to reduce the </w:t>
      </w:r>
      <w:r w:rsidR="0019495A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pollution</w:t>
      </w: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in the community </w:t>
      </w:r>
      <w:r w:rsidR="0019495A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affected</w:t>
      </w: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by mining exploitation</w:t>
      </w:r>
      <w:r w:rsidR="00EF2FB7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; and</w:t>
      </w:r>
    </w:p>
    <w:p w:rsidR="00EF2FB7" w:rsidRPr="00574E65" w:rsidRDefault="00D5122F" w:rsidP="00EF2FB7">
      <w:pPr>
        <w:pStyle w:val="ListParagraph"/>
        <w:spacing w:after="0"/>
        <w:ind w:left="144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</w:t>
      </w:r>
      <w:r w:rsidR="00EF2FB7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Make an agreement between the community and company about the house standard.</w:t>
      </w:r>
    </w:p>
    <w:p w:rsidR="00487287" w:rsidRPr="00574E65" w:rsidRDefault="00487287" w:rsidP="00487287">
      <w:pPr>
        <w:spacing w:after="0"/>
        <w:ind w:left="108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</w:p>
    <w:p w:rsidR="00487287" w:rsidRPr="00574E65" w:rsidRDefault="00EF2FB7" w:rsidP="00487287">
      <w:pPr>
        <w:pStyle w:val="ListParagraph"/>
        <w:numPr>
          <w:ilvl w:val="0"/>
          <w:numId w:val="7"/>
        </w:num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For the community</w:t>
      </w:r>
      <w:r w:rsidR="00573760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:</w:t>
      </w: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</w:t>
      </w:r>
    </w:p>
    <w:p w:rsidR="00EF2FB7" w:rsidRPr="00574E65" w:rsidRDefault="00573760" w:rsidP="00EF2FB7">
      <w:pPr>
        <w:pStyle w:val="ListParagraph"/>
        <w:spacing w:after="0"/>
        <w:ind w:left="144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Participate to the </w:t>
      </w:r>
      <w:r w:rsidR="0019495A"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government</w:t>
      </w: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any action of human rights abuse.</w:t>
      </w:r>
    </w:p>
    <w:p w:rsidR="00487287" w:rsidRPr="00574E65" w:rsidRDefault="00487287" w:rsidP="00487287">
      <w:pPr>
        <w:spacing w:after="0"/>
        <w:ind w:left="108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</w:p>
    <w:p w:rsidR="00EE67AC" w:rsidRPr="00574E65" w:rsidRDefault="00EE67AC" w:rsidP="00EE67AC">
      <w:p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</w:p>
    <w:p w:rsidR="00CB794B" w:rsidRPr="00574E65" w:rsidRDefault="00CB794B" w:rsidP="00EE67AC">
      <w:pPr>
        <w:pStyle w:val="ListParagraph"/>
        <w:numPr>
          <w:ilvl w:val="0"/>
          <w:numId w:val="6"/>
        </w:numPr>
        <w:spacing w:after="0"/>
        <w:jc w:val="both"/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</w:pP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A</w:t>
      </w:r>
      <w:r w:rsidR="00EE67AC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re you aware of any good</w:t>
      </w:r>
      <w:r w:rsidR="00202268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 </w:t>
      </w:r>
      <w:r w:rsidR="00EE67AC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practices </w:t>
      </w:r>
      <w:r w:rsidR="00BE5DC5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related to NHRIs </w:t>
      </w:r>
      <w:r w:rsidR="00B8124F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supporting </w:t>
      </w:r>
      <w:r w:rsidR="00202268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civil</w:t>
      </w:r>
      <w:r w:rsidR="00B8124F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 society and </w:t>
      </w:r>
      <w:r w:rsidR="0019495A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human’s</w:t>
      </w:r>
      <w:r w:rsidR="00B8124F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 rights </w:t>
      </w:r>
      <w:r w:rsidR="00202268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defenders (</w:t>
      </w: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including women human rights defenders) working to </w:t>
      </w:r>
      <w:r w:rsidR="00202268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secure access</w:t>
      </w: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 to </w:t>
      </w:r>
      <w:r w:rsidR="00202268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effective</w:t>
      </w: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 remedy for business –related human rights?</w:t>
      </w:r>
    </w:p>
    <w:p w:rsidR="006B0ADA" w:rsidRDefault="006B0ADA" w:rsidP="00573760">
      <w:pPr>
        <w:pStyle w:val="ListParagraph"/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</w:p>
    <w:p w:rsidR="00573760" w:rsidRDefault="006B0ADA" w:rsidP="00573760">
      <w:pPr>
        <w:pStyle w:val="ListParagraph"/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yes,</w:t>
      </w:r>
      <w:r w:rsidR="00EB3D61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we are, </w:t>
      </w: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the commission supported</w:t>
      </w:r>
      <w:r w:rsidR="00EB3D61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one organization of civil society</w:t>
      </w:r>
      <w:r w:rsidR="00FA0B3E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(oil Association)</w:t>
      </w:r>
      <w:r w:rsidR="00EB3D61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to get the understanding with VALE</w:t>
      </w: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, a </w:t>
      </w:r>
      <w:proofErr w:type="spellStart"/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minning</w:t>
      </w:r>
      <w:proofErr w:type="spellEnd"/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company in </w:t>
      </w:r>
      <w:proofErr w:type="spellStart"/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Tete</w:t>
      </w:r>
      <w:proofErr w:type="spellEnd"/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Province in Mozambique</w:t>
      </w:r>
      <w:r w:rsidR="00EB3D61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.</w:t>
      </w:r>
      <w:r w:rsidR="00FA0B3E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</w:t>
      </w:r>
    </w:p>
    <w:p w:rsidR="00FA0B3E" w:rsidRPr="00EB3D61" w:rsidRDefault="001664AA" w:rsidP="00573760">
      <w:pPr>
        <w:pStyle w:val="ListParagraph"/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In addition, the commission supported</w:t>
      </w:r>
      <w:r w:rsidR="00FA0B3E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</w:t>
      </w:r>
      <w:proofErr w:type="spellStart"/>
      <w:r w:rsidR="00FA0B3E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Cateme</w:t>
      </w:r>
      <w:proofErr w:type="spellEnd"/>
      <w:r w:rsidR="00FA0B3E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Community (</w:t>
      </w:r>
      <w:proofErr w:type="spellStart"/>
      <w:r w:rsidR="00FA0B3E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T</w:t>
      </w: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e</w:t>
      </w:r>
      <w:r w:rsidR="00FA0B3E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te</w:t>
      </w:r>
      <w:proofErr w:type="spellEnd"/>
      <w:r w:rsidR="00FA0B3E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Province) to get the </w:t>
      </w: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properly compensation </w:t>
      </w:r>
      <w:proofErr w:type="gramStart"/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and </w:t>
      </w:r>
      <w:r w:rsidR="00FA0B3E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</w:t>
      </w:r>
      <w:proofErr w:type="spellStart"/>
      <w:r w:rsidR="00FA0B3E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indeminization</w:t>
      </w:r>
      <w:proofErr w:type="spellEnd"/>
      <w:proofErr w:type="gramEnd"/>
      <w:r w:rsidR="00FA0B3E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.</w:t>
      </w:r>
    </w:p>
    <w:p w:rsidR="00CB794B" w:rsidRPr="00FA0B3E" w:rsidRDefault="00CB794B" w:rsidP="00FA0B3E">
      <w:p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</w:p>
    <w:p w:rsidR="00CB794B" w:rsidRDefault="00CB794B" w:rsidP="00CB794B">
      <w:pPr>
        <w:pStyle w:val="ListParagraph"/>
        <w:numPr>
          <w:ilvl w:val="0"/>
          <w:numId w:val="6"/>
        </w:numPr>
        <w:spacing w:after="0"/>
        <w:jc w:val="both"/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</w:pP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How could NHRIs collaborate better with regional </w:t>
      </w:r>
      <w:r w:rsidR="00574E65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and international</w:t>
      </w: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 human rights </w:t>
      </w:r>
      <w:r w:rsidR="00B8124F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monitoring </w:t>
      </w:r>
      <w:r w:rsidR="00574E65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mechanism</w:t>
      </w: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 (including UN special procedures, treaty bodies and the Universal Periodic Review) to facilitate access to remedy for business-related human rights abuses?</w:t>
      </w:r>
    </w:p>
    <w:p w:rsidR="00A92420" w:rsidRDefault="00A92420" w:rsidP="00A92420">
      <w:pPr>
        <w:pStyle w:val="ListParagraph"/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NHRIs could collaborate better with regional and international human rights monitoring mechanism by:</w:t>
      </w:r>
    </w:p>
    <w:p w:rsidR="00A92420" w:rsidRDefault="00A92420" w:rsidP="005F4A16">
      <w:pPr>
        <w:pStyle w:val="ListParagraph"/>
        <w:numPr>
          <w:ilvl w:val="0"/>
          <w:numId w:val="13"/>
        </w:num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Improving the information and communicat</w:t>
      </w:r>
      <w:r w:rsidR="001664AA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ion </w:t>
      </w: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mechanism;</w:t>
      </w:r>
    </w:p>
    <w:p w:rsidR="005F4A16" w:rsidRDefault="005F4A16" w:rsidP="005F4A16">
      <w:pPr>
        <w:pStyle w:val="ListParagraph"/>
        <w:numPr>
          <w:ilvl w:val="0"/>
          <w:numId w:val="13"/>
        </w:num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Regular meeting with different bodies</w:t>
      </w:r>
      <w:r w:rsidR="001664AA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to </w:t>
      </w: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</w:t>
      </w:r>
    </w:p>
    <w:p w:rsidR="005B5267" w:rsidRPr="005F4A16" w:rsidRDefault="005B5267" w:rsidP="005F4A16">
      <w:pPr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</w:p>
    <w:p w:rsidR="005B5267" w:rsidRPr="00574E65" w:rsidRDefault="005B5267" w:rsidP="005B5267">
      <w:pPr>
        <w:pStyle w:val="ListParagraph"/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</w:p>
    <w:p w:rsidR="00626B54" w:rsidRPr="00574E65" w:rsidRDefault="00EB3D61" w:rsidP="005B5267">
      <w:pPr>
        <w:pStyle w:val="ListParagraph"/>
        <w:spacing w:after="0"/>
        <w:jc w:val="both"/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9. </w:t>
      </w:r>
      <w:r w:rsidR="00A92420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What</w:t>
      </w:r>
      <w:r w:rsidR="00CB794B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 role should NHRIs have under a National Action Plan on Business and Human Rights to facilitate </w:t>
      </w:r>
      <w:r w:rsidR="00626B54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access to effective remedy in case </w:t>
      </w:r>
      <w:r w:rsidR="00574E65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of business</w:t>
      </w:r>
      <w:r w:rsidR="00626B54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-related human rights abuses?</w:t>
      </w:r>
    </w:p>
    <w:p w:rsidR="00CB794B" w:rsidRPr="00574E65" w:rsidRDefault="00574E65" w:rsidP="00626B54">
      <w:pPr>
        <w:pStyle w:val="ListParagraph"/>
        <w:spacing w:after="0"/>
        <w:jc w:val="both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Beyond </w:t>
      </w:r>
      <w:r w:rsidR="00A92420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>promotion, monitory and protection of human rights, the</w:t>
      </w:r>
      <w:r w:rsidRPr="00574E65"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  <w:t xml:space="preserve"> NHRIs should work as government advisory in order to avoid the human rights abuses.</w:t>
      </w:r>
    </w:p>
    <w:p w:rsidR="00301A7B" w:rsidRPr="00574E65" w:rsidRDefault="00301A7B" w:rsidP="00882AD9">
      <w:pPr>
        <w:pStyle w:val="ListParagraph"/>
        <w:spacing w:after="0"/>
        <w:jc w:val="both"/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</w:pPr>
    </w:p>
    <w:p w:rsidR="00301A7B" w:rsidRPr="00574E65" w:rsidRDefault="00301A7B" w:rsidP="00301A7B">
      <w:pPr>
        <w:spacing w:after="0"/>
        <w:rPr>
          <w:rFonts w:ascii="Maiandra GD" w:eastAsia="Times New Roman" w:hAnsi="Maiandra GD" w:cs="Times New Roman"/>
          <w:sz w:val="24"/>
          <w:szCs w:val="24"/>
          <w:lang w:val="en-GB" w:eastAsia="en-GB" w:bidi="he-IL"/>
        </w:rPr>
      </w:pPr>
    </w:p>
    <w:p w:rsidR="006A519B" w:rsidRPr="00574E65" w:rsidRDefault="006A519B" w:rsidP="00607DF3">
      <w:pPr>
        <w:spacing w:after="0"/>
        <w:ind w:left="6480"/>
        <w:jc w:val="center"/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</w:pPr>
    </w:p>
    <w:p w:rsidR="006A519B" w:rsidRPr="00574E65" w:rsidRDefault="006A519B" w:rsidP="00607DF3">
      <w:pPr>
        <w:spacing w:after="0"/>
        <w:ind w:left="6480"/>
        <w:jc w:val="center"/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</w:pPr>
    </w:p>
    <w:p w:rsidR="006A519B" w:rsidRPr="00574E65" w:rsidRDefault="006A519B" w:rsidP="00A96095">
      <w:pPr>
        <w:spacing w:after="0"/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</w:pPr>
    </w:p>
    <w:p w:rsidR="006A519B" w:rsidRPr="00574E65" w:rsidRDefault="006A519B" w:rsidP="00607DF3">
      <w:pPr>
        <w:spacing w:after="0"/>
        <w:ind w:left="6480"/>
        <w:jc w:val="center"/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</w:pPr>
    </w:p>
    <w:p w:rsidR="006A519B" w:rsidRPr="00574E65" w:rsidRDefault="006A519B" w:rsidP="00607DF3">
      <w:pPr>
        <w:spacing w:after="0"/>
        <w:ind w:left="6480"/>
        <w:jc w:val="center"/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</w:pPr>
    </w:p>
    <w:p w:rsidR="006A519B" w:rsidRPr="00574E65" w:rsidRDefault="006A519B" w:rsidP="00607DF3">
      <w:pPr>
        <w:spacing w:after="0"/>
        <w:ind w:left="6480"/>
        <w:jc w:val="center"/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</w:pPr>
    </w:p>
    <w:p w:rsidR="00231091" w:rsidRPr="00574E65" w:rsidRDefault="004A7AFA" w:rsidP="00BC6A3B">
      <w:pPr>
        <w:spacing w:after="0"/>
        <w:jc w:val="center"/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</w:pPr>
      <w:proofErr w:type="spellStart"/>
      <w:r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Xadreque</w:t>
      </w:r>
      <w:proofErr w:type="spellEnd"/>
      <w:r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 </w:t>
      </w:r>
      <w:proofErr w:type="spellStart"/>
      <w:r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Titos</w:t>
      </w:r>
      <w:proofErr w:type="spellEnd"/>
      <w:r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 </w:t>
      </w:r>
      <w:proofErr w:type="spellStart"/>
      <w:r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Muiambo</w:t>
      </w:r>
      <w:proofErr w:type="spellEnd"/>
      <w:r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 xml:space="preserve"> </w:t>
      </w:r>
    </w:p>
    <w:p w:rsidR="00BC6A3B" w:rsidRPr="00574E65" w:rsidRDefault="00BC6A3B" w:rsidP="00EB00E0">
      <w:pPr>
        <w:spacing w:after="0" w:line="240" w:lineRule="auto"/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</w:pPr>
    </w:p>
    <w:p w:rsidR="00BC6A3B" w:rsidRPr="00574E65" w:rsidRDefault="00EB00E0" w:rsidP="00BC6A3B">
      <w:pPr>
        <w:spacing w:after="0" w:line="240" w:lineRule="auto"/>
        <w:jc w:val="center"/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</w:pPr>
      <w:r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__________</w:t>
      </w:r>
      <w:r w:rsidR="00BC6A3B" w:rsidRPr="00574E65"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____________________</w:t>
      </w:r>
    </w:p>
    <w:p w:rsidR="00BC6A3B" w:rsidRPr="00574E65" w:rsidRDefault="004A7AFA" w:rsidP="00BC6A3B">
      <w:pPr>
        <w:spacing w:after="0" w:line="240" w:lineRule="auto"/>
        <w:jc w:val="center"/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</w:pPr>
      <w:r>
        <w:rPr>
          <w:rFonts w:ascii="Maiandra GD" w:eastAsia="Times New Roman" w:hAnsi="Maiandra GD" w:cs="Times New Roman"/>
          <w:b/>
          <w:sz w:val="24"/>
          <w:szCs w:val="24"/>
          <w:lang w:val="en-GB" w:eastAsia="en-GB" w:bidi="he-IL"/>
        </w:rPr>
        <w:t>Administrative Secretary</w:t>
      </w:r>
    </w:p>
    <w:sectPr w:rsidR="00BC6A3B" w:rsidRPr="00574E65" w:rsidSect="00BC6A3B">
      <w:footerReference w:type="default" r:id="rId9"/>
      <w:pgSz w:w="12240" w:h="15840"/>
      <w:pgMar w:top="90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A4" w:rsidRDefault="002E5EA4" w:rsidP="00FE2E99">
      <w:pPr>
        <w:spacing w:after="0" w:line="240" w:lineRule="auto"/>
      </w:pPr>
      <w:r>
        <w:separator/>
      </w:r>
    </w:p>
  </w:endnote>
  <w:endnote w:type="continuationSeparator" w:id="0">
    <w:p w:rsidR="002E5EA4" w:rsidRDefault="002E5EA4" w:rsidP="00FE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A3B" w:rsidRPr="00BC6A3B" w:rsidRDefault="00BC6A3B" w:rsidP="00BC6A3B">
    <w:pPr>
      <w:pStyle w:val="Footer"/>
      <w:rPr>
        <w:lang w:val="pt-PT"/>
      </w:rPr>
    </w:pPr>
    <w:r w:rsidRPr="00BC6A3B">
      <w:rPr>
        <w:lang w:val="pt-PT"/>
      </w:rPr>
      <w:t>____________________________________________________________________________________</w:t>
    </w:r>
  </w:p>
  <w:p w:rsidR="00BC6A3B" w:rsidRPr="00BC6A3B" w:rsidRDefault="00BC6A3B" w:rsidP="00BC6A3B">
    <w:pPr>
      <w:pStyle w:val="Footer"/>
      <w:rPr>
        <w:lang w:val="pt-PT"/>
      </w:rPr>
    </w:pPr>
  </w:p>
  <w:p w:rsidR="00BC6A3B" w:rsidRPr="00BC6A3B" w:rsidRDefault="00BC6A3B" w:rsidP="00BC6A3B">
    <w:pPr>
      <w:pStyle w:val="Footer"/>
      <w:jc w:val="center"/>
      <w:rPr>
        <w:lang w:val="pt-PT"/>
      </w:rPr>
    </w:pPr>
    <w:r w:rsidRPr="00BC6A3B">
      <w:rPr>
        <w:lang w:val="pt-PT"/>
      </w:rPr>
      <w:t xml:space="preserve">AV. Fernão de Magalhães n° 63 Primeiro Andar, </w:t>
    </w:r>
    <w:proofErr w:type="spellStart"/>
    <w:r w:rsidRPr="00BC6A3B">
      <w:rPr>
        <w:lang w:val="pt-PT"/>
      </w:rPr>
      <w:t>Tel</w:t>
    </w:r>
    <w:proofErr w:type="spellEnd"/>
    <w:r w:rsidRPr="00BC6A3B">
      <w:rPr>
        <w:lang w:val="pt-PT"/>
      </w:rPr>
      <w:t>/Fax 21321100,872698089</w:t>
    </w:r>
  </w:p>
  <w:p w:rsidR="00BC6A3B" w:rsidRPr="00BC6A3B" w:rsidRDefault="00BC6A3B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A4" w:rsidRDefault="002E5EA4" w:rsidP="00FE2E99">
      <w:pPr>
        <w:spacing w:after="0" w:line="240" w:lineRule="auto"/>
      </w:pPr>
      <w:r>
        <w:separator/>
      </w:r>
    </w:p>
  </w:footnote>
  <w:footnote w:type="continuationSeparator" w:id="0">
    <w:p w:rsidR="002E5EA4" w:rsidRDefault="002E5EA4" w:rsidP="00FE2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F6C"/>
    <w:multiLevelType w:val="hybridMultilevel"/>
    <w:tmpl w:val="C84482D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B3EBA"/>
    <w:multiLevelType w:val="hybridMultilevel"/>
    <w:tmpl w:val="7FA6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F5AB7"/>
    <w:multiLevelType w:val="hybridMultilevel"/>
    <w:tmpl w:val="D018CF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C17267"/>
    <w:multiLevelType w:val="hybridMultilevel"/>
    <w:tmpl w:val="4F6AF32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777FB9"/>
    <w:multiLevelType w:val="hybridMultilevel"/>
    <w:tmpl w:val="430C70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50A4F"/>
    <w:multiLevelType w:val="hybridMultilevel"/>
    <w:tmpl w:val="78E42040"/>
    <w:lvl w:ilvl="0" w:tplc="08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5747181C"/>
    <w:multiLevelType w:val="hybridMultilevel"/>
    <w:tmpl w:val="1D885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4B3B70"/>
    <w:multiLevelType w:val="hybridMultilevel"/>
    <w:tmpl w:val="E81402A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D1897"/>
    <w:multiLevelType w:val="hybridMultilevel"/>
    <w:tmpl w:val="7764928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E0630"/>
    <w:multiLevelType w:val="hybridMultilevel"/>
    <w:tmpl w:val="FCA0423E"/>
    <w:lvl w:ilvl="0" w:tplc="C9A2DFB6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0" w15:restartNumberingAfterBreak="0">
    <w:nsid w:val="6F154A37"/>
    <w:multiLevelType w:val="hybridMultilevel"/>
    <w:tmpl w:val="D11E276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807367"/>
    <w:multiLevelType w:val="hybridMultilevel"/>
    <w:tmpl w:val="1794FAB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EC1328"/>
    <w:multiLevelType w:val="hybridMultilevel"/>
    <w:tmpl w:val="24CC22E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91"/>
    <w:rsid w:val="00050B99"/>
    <w:rsid w:val="000862CB"/>
    <w:rsid w:val="000F4615"/>
    <w:rsid w:val="001047E0"/>
    <w:rsid w:val="00105FBB"/>
    <w:rsid w:val="00134E9D"/>
    <w:rsid w:val="001664AA"/>
    <w:rsid w:val="00171A15"/>
    <w:rsid w:val="0019495A"/>
    <w:rsid w:val="001D5103"/>
    <w:rsid w:val="001E72FB"/>
    <w:rsid w:val="001F7F93"/>
    <w:rsid w:val="00202268"/>
    <w:rsid w:val="00206CA4"/>
    <w:rsid w:val="00231091"/>
    <w:rsid w:val="00244271"/>
    <w:rsid w:val="002841A1"/>
    <w:rsid w:val="002B0358"/>
    <w:rsid w:val="002E25FF"/>
    <w:rsid w:val="002E5EA4"/>
    <w:rsid w:val="00301A7B"/>
    <w:rsid w:val="00316CCC"/>
    <w:rsid w:val="003206DC"/>
    <w:rsid w:val="00334B99"/>
    <w:rsid w:val="00360C99"/>
    <w:rsid w:val="00383AB7"/>
    <w:rsid w:val="0038639C"/>
    <w:rsid w:val="00422CE3"/>
    <w:rsid w:val="0043346C"/>
    <w:rsid w:val="0046456A"/>
    <w:rsid w:val="00487287"/>
    <w:rsid w:val="004A7AFA"/>
    <w:rsid w:val="004C00A7"/>
    <w:rsid w:val="004E2A99"/>
    <w:rsid w:val="00513575"/>
    <w:rsid w:val="00573760"/>
    <w:rsid w:val="00574E65"/>
    <w:rsid w:val="005825B0"/>
    <w:rsid w:val="005A2078"/>
    <w:rsid w:val="005B5267"/>
    <w:rsid w:val="005E0362"/>
    <w:rsid w:val="005F4A16"/>
    <w:rsid w:val="00607DF3"/>
    <w:rsid w:val="00615F91"/>
    <w:rsid w:val="00626B54"/>
    <w:rsid w:val="006414F6"/>
    <w:rsid w:val="0069262F"/>
    <w:rsid w:val="006A417A"/>
    <w:rsid w:val="006A519B"/>
    <w:rsid w:val="006A797B"/>
    <w:rsid w:val="006B0ADA"/>
    <w:rsid w:val="006E4657"/>
    <w:rsid w:val="00705E27"/>
    <w:rsid w:val="00706770"/>
    <w:rsid w:val="00715A8B"/>
    <w:rsid w:val="00721B8F"/>
    <w:rsid w:val="00732E1C"/>
    <w:rsid w:val="007522B8"/>
    <w:rsid w:val="00786450"/>
    <w:rsid w:val="00822FA6"/>
    <w:rsid w:val="00863AF7"/>
    <w:rsid w:val="008665BA"/>
    <w:rsid w:val="0086677B"/>
    <w:rsid w:val="00882AD9"/>
    <w:rsid w:val="00885E6E"/>
    <w:rsid w:val="00894616"/>
    <w:rsid w:val="008D25BC"/>
    <w:rsid w:val="008E2A42"/>
    <w:rsid w:val="008E6990"/>
    <w:rsid w:val="008E7B69"/>
    <w:rsid w:val="00973A08"/>
    <w:rsid w:val="009C3505"/>
    <w:rsid w:val="00A4391A"/>
    <w:rsid w:val="00A92420"/>
    <w:rsid w:val="00A96095"/>
    <w:rsid w:val="00AA2EFE"/>
    <w:rsid w:val="00AA6AE5"/>
    <w:rsid w:val="00AB27A0"/>
    <w:rsid w:val="00B00EF0"/>
    <w:rsid w:val="00B04DF2"/>
    <w:rsid w:val="00B44E4B"/>
    <w:rsid w:val="00B456A9"/>
    <w:rsid w:val="00B8124F"/>
    <w:rsid w:val="00BC6A3B"/>
    <w:rsid w:val="00BD0C44"/>
    <w:rsid w:val="00BE5DC5"/>
    <w:rsid w:val="00BE79EF"/>
    <w:rsid w:val="00C22DEA"/>
    <w:rsid w:val="00C63AE7"/>
    <w:rsid w:val="00C96FF7"/>
    <w:rsid w:val="00CB37B3"/>
    <w:rsid w:val="00CB794B"/>
    <w:rsid w:val="00CE2673"/>
    <w:rsid w:val="00CF21DB"/>
    <w:rsid w:val="00D169FF"/>
    <w:rsid w:val="00D20A59"/>
    <w:rsid w:val="00D22AC2"/>
    <w:rsid w:val="00D5122F"/>
    <w:rsid w:val="00DC55BE"/>
    <w:rsid w:val="00E13C0A"/>
    <w:rsid w:val="00E2460D"/>
    <w:rsid w:val="00E53860"/>
    <w:rsid w:val="00E90C21"/>
    <w:rsid w:val="00EB00E0"/>
    <w:rsid w:val="00EB0E88"/>
    <w:rsid w:val="00EB3D61"/>
    <w:rsid w:val="00EE67AC"/>
    <w:rsid w:val="00EF2FB7"/>
    <w:rsid w:val="00F37071"/>
    <w:rsid w:val="00F5417B"/>
    <w:rsid w:val="00F655B3"/>
    <w:rsid w:val="00F675A9"/>
    <w:rsid w:val="00FA0B3E"/>
    <w:rsid w:val="00FE2E99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67B5D"/>
  <w15:docId w15:val="{F5CD0C3C-1EFA-4BFB-88E8-E3D773C2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9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9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2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9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46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9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D165BE-BCD4-4F7D-A054-7BF091C6B5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6EB242-224D-4D97-887B-85B6B9C3B138}"/>
</file>

<file path=customXml/itemProps3.xml><?xml version="1.0" encoding="utf-8"?>
<ds:datastoreItem xmlns:ds="http://schemas.openxmlformats.org/officeDocument/2006/customXml" ds:itemID="{36529B4F-0F7F-4E00-A2F0-7CBF221B43D4}"/>
</file>

<file path=customXml/itemProps4.xml><?xml version="1.0" encoding="utf-8"?>
<ds:datastoreItem xmlns:ds="http://schemas.openxmlformats.org/officeDocument/2006/customXml" ds:itemID="{61A3AF15-CC53-46D6-B1B7-17ADEBBD7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Energy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National_Human_Rights_Commission_Mozambique</dc:title>
  <dc:creator>Crisalda Salvador Machavate</dc:creator>
  <cp:lastModifiedBy>User</cp:lastModifiedBy>
  <cp:revision>2</cp:revision>
  <cp:lastPrinted>2019-08-09T08:38:00Z</cp:lastPrinted>
  <dcterms:created xsi:type="dcterms:W3CDTF">2019-08-09T08:43:00Z</dcterms:created>
  <dcterms:modified xsi:type="dcterms:W3CDTF">2019-08-09T08:43:00Z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