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309"/>
        <w:gridCol w:w="2835"/>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2F4AB5" w:rsidP="00A773A1">
            <w:pPr>
              <w:jc w:val="right"/>
            </w:pPr>
            <w:r w:rsidRPr="002F4AB5">
              <w:rPr>
                <w:sz w:val="40"/>
              </w:rPr>
              <w:t>A</w:t>
            </w:r>
            <w:r w:rsidR="00F0505B">
              <w:t>/HRC/</w:t>
            </w:r>
            <w:r w:rsidR="00DC7777">
              <w:t>WG.12/11</w:t>
            </w:r>
            <w:r w:rsidR="00A773A1" w:rsidRPr="00A773A1">
              <w:t>/1</w:t>
            </w:r>
          </w:p>
        </w:tc>
      </w:tr>
      <w:tr w:rsidR="003107FA" w:rsidTr="002950EF">
        <w:trPr>
          <w:trHeight w:val="2835"/>
        </w:trPr>
        <w:tc>
          <w:tcPr>
            <w:tcW w:w="1259" w:type="dxa"/>
            <w:tcBorders>
              <w:top w:val="single" w:sz="4" w:space="0" w:color="auto"/>
              <w:left w:val="nil"/>
              <w:bottom w:val="single" w:sz="12" w:space="0" w:color="auto"/>
              <w:right w:val="nil"/>
            </w:tcBorders>
          </w:tcPr>
          <w:p w:rsidR="003107FA" w:rsidRDefault="00281D94"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5" w:type="dxa"/>
            <w:gridSpan w:val="2"/>
            <w:tcBorders>
              <w:top w:val="single" w:sz="4" w:space="0" w:color="auto"/>
              <w:left w:val="nil"/>
              <w:bottom w:val="single" w:sz="12" w:space="0" w:color="auto"/>
              <w:right w:val="nil"/>
            </w:tcBorders>
          </w:tcPr>
          <w:p w:rsidR="003107FA" w:rsidRDefault="00B3317B" w:rsidP="00EF5BDB">
            <w:pPr>
              <w:spacing w:before="120" w:line="420" w:lineRule="exact"/>
              <w:rPr>
                <w:b/>
                <w:sz w:val="40"/>
                <w:szCs w:val="40"/>
              </w:rPr>
            </w:pPr>
            <w:r>
              <w:rPr>
                <w:b/>
                <w:sz w:val="40"/>
                <w:szCs w:val="40"/>
              </w:rPr>
              <w:t>General Assembly</w:t>
            </w:r>
          </w:p>
          <w:p w:rsidR="00544292" w:rsidRPr="00B3317B" w:rsidRDefault="00544292" w:rsidP="00EF5BDB">
            <w:pPr>
              <w:spacing w:before="120" w:line="420" w:lineRule="exact"/>
              <w:rPr>
                <w:b/>
                <w:sz w:val="40"/>
                <w:szCs w:val="40"/>
              </w:rPr>
            </w:pPr>
          </w:p>
        </w:tc>
        <w:tc>
          <w:tcPr>
            <w:tcW w:w="2835" w:type="dxa"/>
            <w:tcBorders>
              <w:top w:val="single" w:sz="4" w:space="0" w:color="auto"/>
              <w:left w:val="nil"/>
              <w:bottom w:val="single" w:sz="12" w:space="0" w:color="auto"/>
              <w:right w:val="nil"/>
            </w:tcBorders>
          </w:tcPr>
          <w:p w:rsidR="003107FA" w:rsidRDefault="002F4AB5" w:rsidP="002F4AB5">
            <w:pPr>
              <w:spacing w:before="240" w:line="240" w:lineRule="exact"/>
            </w:pPr>
            <w:r>
              <w:t>Distr.: General</w:t>
            </w:r>
          </w:p>
          <w:p w:rsidR="002F4AB5" w:rsidRDefault="000D500A" w:rsidP="002F4AB5">
            <w:pPr>
              <w:spacing w:line="240" w:lineRule="exact"/>
            </w:pPr>
            <w:r>
              <w:t>8</w:t>
            </w:r>
            <w:r w:rsidR="00DC7777">
              <w:t xml:space="preserve"> June</w:t>
            </w:r>
            <w:r w:rsidR="008113F3">
              <w:t xml:space="preserve"> 2015</w:t>
            </w:r>
          </w:p>
          <w:p w:rsidR="002F4AB5" w:rsidRDefault="002F4AB5" w:rsidP="002F4AB5">
            <w:pPr>
              <w:spacing w:line="240" w:lineRule="exact"/>
            </w:pPr>
          </w:p>
          <w:p w:rsidR="00CA3C7A" w:rsidRDefault="002F4AB5" w:rsidP="002950EF">
            <w:pPr>
              <w:spacing w:line="240" w:lineRule="exact"/>
            </w:pPr>
            <w:r>
              <w:t>English</w:t>
            </w:r>
            <w:r w:rsidR="002950EF">
              <w:t xml:space="preserve"> only</w:t>
            </w:r>
          </w:p>
        </w:tc>
      </w:tr>
    </w:tbl>
    <w:p w:rsidR="002950EF" w:rsidRPr="007138CE" w:rsidRDefault="002950EF" w:rsidP="002950EF">
      <w:pPr>
        <w:spacing w:before="120"/>
        <w:rPr>
          <w:b/>
          <w:bCs/>
          <w:sz w:val="24"/>
          <w:szCs w:val="24"/>
        </w:rPr>
      </w:pPr>
      <w:r w:rsidRPr="007138CE">
        <w:rPr>
          <w:b/>
          <w:bCs/>
          <w:sz w:val="24"/>
          <w:szCs w:val="24"/>
        </w:rPr>
        <w:t>Human Rights Council</w:t>
      </w:r>
    </w:p>
    <w:p w:rsidR="00092975" w:rsidRPr="007138CE" w:rsidRDefault="00092975" w:rsidP="00092975">
      <w:pPr>
        <w:rPr>
          <w:b/>
          <w:bCs/>
        </w:rPr>
      </w:pPr>
      <w:r w:rsidRPr="007138CE">
        <w:rPr>
          <w:b/>
          <w:bCs/>
        </w:rPr>
        <w:t>Working Group on the issue of human rights and trans</w:t>
      </w:r>
      <w:r w:rsidR="00A25C93">
        <w:rPr>
          <w:b/>
          <w:bCs/>
        </w:rPr>
        <w:t>national</w:t>
      </w:r>
      <w:r w:rsidRPr="007138CE">
        <w:rPr>
          <w:b/>
          <w:bCs/>
        </w:rPr>
        <w:t xml:space="preserve"> </w:t>
      </w:r>
      <w:r w:rsidRPr="007138CE">
        <w:rPr>
          <w:b/>
          <w:bCs/>
        </w:rPr>
        <w:br/>
        <w:t>corporations and other business enterprises</w:t>
      </w:r>
    </w:p>
    <w:p w:rsidR="00092975" w:rsidRPr="007138CE" w:rsidRDefault="00322830" w:rsidP="00092975">
      <w:pPr>
        <w:rPr>
          <w:b/>
          <w:bCs/>
        </w:rPr>
      </w:pPr>
      <w:r>
        <w:rPr>
          <w:b/>
          <w:bCs/>
        </w:rPr>
        <w:t>Eleve</w:t>
      </w:r>
      <w:r w:rsidR="007775AA">
        <w:rPr>
          <w:b/>
          <w:bCs/>
        </w:rPr>
        <w:t>n</w:t>
      </w:r>
      <w:r w:rsidR="00DD0D8F">
        <w:rPr>
          <w:b/>
          <w:bCs/>
        </w:rPr>
        <w:t>t</w:t>
      </w:r>
      <w:r w:rsidR="00AE6B8F">
        <w:rPr>
          <w:b/>
          <w:bCs/>
        </w:rPr>
        <w:t>h</w:t>
      </w:r>
      <w:r w:rsidR="00092975" w:rsidRPr="007138CE">
        <w:rPr>
          <w:b/>
          <w:bCs/>
        </w:rPr>
        <w:t xml:space="preserve"> session</w:t>
      </w:r>
    </w:p>
    <w:p w:rsidR="00092975" w:rsidRPr="005D7888" w:rsidRDefault="00AE6B8F" w:rsidP="00092975">
      <w:r>
        <w:t xml:space="preserve">Geneva, </w:t>
      </w:r>
      <w:r w:rsidR="00DC7777">
        <w:t>4</w:t>
      </w:r>
      <w:r>
        <w:t xml:space="preserve"> </w:t>
      </w:r>
      <w:r w:rsidR="00092975">
        <w:t>–</w:t>
      </w:r>
      <w:r>
        <w:t xml:space="preserve"> </w:t>
      </w:r>
      <w:r w:rsidR="00DC7777">
        <w:t>8</w:t>
      </w:r>
      <w:r w:rsidR="00136A0E">
        <w:t xml:space="preserve"> </w:t>
      </w:r>
      <w:r w:rsidR="00DC7777">
        <w:t>Ma</w:t>
      </w:r>
      <w:r w:rsidR="00B42B62">
        <w:t>y</w:t>
      </w:r>
      <w:r w:rsidR="00802523">
        <w:t xml:space="preserve"> </w:t>
      </w:r>
      <w:r w:rsidR="00B42B62">
        <w:t>2015</w:t>
      </w:r>
    </w:p>
    <w:p w:rsidR="00092975" w:rsidRPr="00D9011B" w:rsidRDefault="0011075D" w:rsidP="00B97240">
      <w:pPr>
        <w:pStyle w:val="HChG"/>
      </w:pPr>
      <w:r>
        <w:tab/>
      </w:r>
      <w:r>
        <w:tab/>
      </w:r>
      <w:r w:rsidR="00092975" w:rsidRPr="00D9011B">
        <w:t xml:space="preserve">Outcome of the </w:t>
      </w:r>
      <w:r w:rsidR="005A4541" w:rsidRPr="00D9011B">
        <w:t>e</w:t>
      </w:r>
      <w:r w:rsidR="00DC7777" w:rsidRPr="00D9011B">
        <w:t>leve</w:t>
      </w:r>
      <w:r w:rsidR="007775AA" w:rsidRPr="00D9011B">
        <w:t>n</w:t>
      </w:r>
      <w:r w:rsidRPr="00D9011B">
        <w:t>th</w:t>
      </w:r>
      <w:r w:rsidR="00092975" w:rsidRPr="00D9011B">
        <w:t xml:space="preserve"> session of the Working Group on the issue of human rights and trans</w:t>
      </w:r>
      <w:r w:rsidR="00A25C93" w:rsidRPr="00D9011B">
        <w:t>national</w:t>
      </w:r>
      <w:r w:rsidR="00092975" w:rsidRPr="00D9011B">
        <w:t xml:space="preserve"> corporations and other business enterprises</w:t>
      </w:r>
    </w:p>
    <w:p w:rsidR="00D04E0D" w:rsidRPr="00D9011B" w:rsidRDefault="00281D94" w:rsidP="00D04E0D">
      <w:pPr>
        <w:spacing w:after="120"/>
        <w:rPr>
          <w:sz w:val="28"/>
          <w:lang w:val="fr-CH"/>
        </w:rPr>
      </w:pPr>
      <w:r>
        <w:rPr>
          <w:noProof/>
          <w:lang w:eastAsia="en-GB"/>
        </w:rPr>
        <w:drawing>
          <wp:anchor distT="0" distB="0" distL="114300" distR="114300" simplePos="0" relativeHeight="251658240" behindDoc="0" locked="0" layoutInCell="1" allowOverlap="0">
            <wp:simplePos x="0" y="0"/>
            <wp:positionH relativeFrom="margin">
              <wp:posOffset>5485765</wp:posOffset>
            </wp:positionH>
            <wp:positionV relativeFrom="margin">
              <wp:posOffset>8028305</wp:posOffset>
            </wp:positionV>
            <wp:extent cx="638175" cy="638175"/>
            <wp:effectExtent l="0" t="0" r="9525" b="9525"/>
            <wp:wrapNone/>
            <wp:docPr id="3" name="Picture 2" descr="http://undocs.org/m2/QRCode.ashx?DS=A/HRC/WG.12/1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WG.12/11/1&amp;Size=2 &amp;Lan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C93" w:rsidRPr="002950EF">
        <w:rPr>
          <w:lang w:val="fr-CH"/>
        </w:rPr>
        <w:br w:type="page"/>
      </w:r>
      <w:r w:rsidR="00D04E0D" w:rsidRPr="00D9011B">
        <w:rPr>
          <w:sz w:val="28"/>
          <w:lang w:val="fr-CH"/>
        </w:rPr>
        <w:lastRenderedPageBreak/>
        <w:t>Contents</w:t>
      </w:r>
    </w:p>
    <w:p w:rsidR="00D04E0D" w:rsidRPr="00D9011B" w:rsidRDefault="00D04E0D" w:rsidP="00D04E0D">
      <w:pPr>
        <w:tabs>
          <w:tab w:val="right" w:pos="8929"/>
          <w:tab w:val="right" w:pos="9638"/>
        </w:tabs>
        <w:spacing w:after="120"/>
        <w:ind w:left="283"/>
        <w:rPr>
          <w:lang w:val="fr-CH"/>
        </w:rPr>
      </w:pPr>
      <w:r w:rsidRPr="00D9011B">
        <w:rPr>
          <w:i/>
          <w:sz w:val="18"/>
          <w:lang w:val="fr-CH"/>
        </w:rPr>
        <w:tab/>
      </w:r>
      <w:proofErr w:type="spellStart"/>
      <w:r w:rsidRPr="00D9011B">
        <w:rPr>
          <w:i/>
          <w:sz w:val="18"/>
          <w:lang w:val="fr-CH"/>
        </w:rPr>
        <w:t>Paragraphs</w:t>
      </w:r>
      <w:proofErr w:type="spellEnd"/>
      <w:r w:rsidRPr="00D9011B">
        <w:rPr>
          <w:i/>
          <w:sz w:val="18"/>
          <w:lang w:val="fr-CH"/>
        </w:rPr>
        <w:tab/>
        <w:t>Page</w:t>
      </w:r>
    </w:p>
    <w:p w:rsidR="00D04E0D" w:rsidRPr="002950EF" w:rsidRDefault="00D04E0D" w:rsidP="00D04E0D">
      <w:pPr>
        <w:tabs>
          <w:tab w:val="right" w:pos="850"/>
          <w:tab w:val="left" w:pos="1134"/>
          <w:tab w:val="left" w:pos="1559"/>
          <w:tab w:val="left" w:pos="1984"/>
          <w:tab w:val="left" w:leader="dot" w:pos="7654"/>
          <w:tab w:val="right" w:pos="8929"/>
          <w:tab w:val="right" w:pos="9638"/>
        </w:tabs>
        <w:spacing w:after="120"/>
      </w:pPr>
      <w:r w:rsidRPr="00D9011B">
        <w:rPr>
          <w:lang w:val="fr-CH"/>
        </w:rPr>
        <w:tab/>
      </w:r>
      <w:r w:rsidRPr="002950EF">
        <w:t>I.</w:t>
      </w:r>
      <w:r w:rsidRPr="002950EF">
        <w:tab/>
      </w:r>
      <w:r w:rsidR="00E175CB" w:rsidRPr="002950EF">
        <w:t>Summary</w:t>
      </w:r>
      <w:r w:rsidRPr="002950EF">
        <w:tab/>
      </w:r>
      <w:r w:rsidR="00E175CB" w:rsidRPr="002950EF">
        <w:tab/>
      </w:r>
      <w:r w:rsidR="002950EF" w:rsidRPr="002950EF">
        <w:tab/>
      </w:r>
      <w:r w:rsidR="0066017A" w:rsidRPr="002950EF">
        <w:t>1–3</w:t>
      </w:r>
      <w:r w:rsidRPr="002950EF">
        <w:tab/>
      </w:r>
      <w:r w:rsidR="00E175CB" w:rsidRPr="002950EF">
        <w:t>3</w:t>
      </w:r>
    </w:p>
    <w:p w:rsidR="00D04E0D" w:rsidRPr="00D9011B" w:rsidRDefault="00D04E0D" w:rsidP="00D04E0D">
      <w:pPr>
        <w:tabs>
          <w:tab w:val="right" w:pos="850"/>
          <w:tab w:val="left" w:pos="1134"/>
          <w:tab w:val="left" w:pos="1559"/>
          <w:tab w:val="left" w:pos="1984"/>
          <w:tab w:val="left" w:leader="dot" w:pos="7654"/>
          <w:tab w:val="right" w:pos="8929"/>
          <w:tab w:val="right" w:pos="9638"/>
        </w:tabs>
        <w:spacing w:after="120"/>
      </w:pPr>
      <w:r w:rsidRPr="002950EF">
        <w:tab/>
      </w:r>
      <w:r w:rsidRPr="00D9011B">
        <w:t>II.</w:t>
      </w:r>
      <w:r w:rsidRPr="00D9011B">
        <w:tab/>
      </w:r>
      <w:r w:rsidR="00F729A2" w:rsidRPr="00F729A2">
        <w:t>Working Group pr</w:t>
      </w:r>
      <w:r w:rsidR="00F729A2">
        <w:t>iorities and projects for 2015</w:t>
      </w:r>
      <w:r w:rsidRPr="00D9011B">
        <w:tab/>
      </w:r>
      <w:r w:rsidR="004F546A" w:rsidRPr="00D9011B">
        <w:tab/>
      </w:r>
      <w:r w:rsidR="000E78AE">
        <w:t>4–</w:t>
      </w:r>
      <w:r w:rsidR="00F729A2">
        <w:t>7</w:t>
      </w:r>
      <w:r w:rsidRPr="00D9011B">
        <w:tab/>
      </w:r>
      <w:r w:rsidR="00E175CB" w:rsidRPr="00D9011B">
        <w:t>3</w:t>
      </w:r>
    </w:p>
    <w:p w:rsidR="00D04E0D" w:rsidRPr="00D9011B" w:rsidRDefault="00D04E0D" w:rsidP="00D04E0D">
      <w:pPr>
        <w:tabs>
          <w:tab w:val="right" w:pos="850"/>
          <w:tab w:val="left" w:pos="1134"/>
          <w:tab w:val="left" w:pos="1559"/>
          <w:tab w:val="left" w:pos="1984"/>
          <w:tab w:val="left" w:leader="dot" w:pos="7654"/>
          <w:tab w:val="right" w:pos="8929"/>
          <w:tab w:val="right" w:pos="9638"/>
        </w:tabs>
        <w:spacing w:after="120"/>
      </w:pPr>
      <w:r w:rsidRPr="00D9011B">
        <w:tab/>
        <w:t>III.</w:t>
      </w:r>
      <w:r w:rsidRPr="00D9011B">
        <w:tab/>
      </w:r>
      <w:r w:rsidR="00795F49" w:rsidRPr="00795F49">
        <w:t>Forthcoming State survey</w:t>
      </w:r>
      <w:r w:rsidRPr="00D9011B">
        <w:tab/>
      </w:r>
      <w:r w:rsidRPr="00D9011B">
        <w:tab/>
      </w:r>
      <w:r w:rsidR="00F729A2">
        <w:t>8–1</w:t>
      </w:r>
      <w:r w:rsidR="000E78AE">
        <w:t>1</w:t>
      </w:r>
      <w:r w:rsidRPr="00D9011B">
        <w:tab/>
      </w:r>
      <w:r w:rsidR="00E175CB" w:rsidRPr="00D9011B">
        <w:t>4</w:t>
      </w:r>
    </w:p>
    <w:p w:rsidR="00D04E0D" w:rsidRPr="00D9011B" w:rsidRDefault="002950EF" w:rsidP="002950EF">
      <w:pPr>
        <w:tabs>
          <w:tab w:val="right" w:pos="851"/>
          <w:tab w:val="left" w:pos="1134"/>
          <w:tab w:val="left" w:pos="1559"/>
          <w:tab w:val="left" w:pos="1984"/>
          <w:tab w:val="left" w:leader="dot" w:pos="7654"/>
          <w:tab w:val="right" w:pos="8929"/>
          <w:tab w:val="right" w:pos="9638"/>
        </w:tabs>
        <w:spacing w:after="120"/>
        <w:ind w:left="1134" w:hanging="1134"/>
      </w:pPr>
      <w:r>
        <w:tab/>
        <w:t>IV.</w:t>
      </w:r>
      <w:r>
        <w:tab/>
      </w:r>
      <w:r w:rsidR="00795F49" w:rsidRPr="00795F49">
        <w:t xml:space="preserve">One-day expert consultation on measuring and monitoring progress in the </w:t>
      </w:r>
      <w:r>
        <w:br/>
      </w:r>
      <w:r w:rsidR="00795F49" w:rsidRPr="00795F49">
        <w:t xml:space="preserve">implementation </w:t>
      </w:r>
      <w:r w:rsidR="00795F49">
        <w:t>o</w:t>
      </w:r>
      <w:r>
        <w:t xml:space="preserve">f the </w:t>
      </w:r>
      <w:r w:rsidR="00795F49" w:rsidRPr="00795F49">
        <w:t>Guiding Principl</w:t>
      </w:r>
      <w:r w:rsidR="00ED33FA">
        <w:t>es on Business and Human Rights</w:t>
      </w:r>
      <w:r w:rsidR="00D04E0D" w:rsidRPr="00D9011B">
        <w:tab/>
      </w:r>
      <w:r w:rsidR="00D04E0D" w:rsidRPr="00D9011B">
        <w:tab/>
      </w:r>
      <w:r w:rsidR="00F729A2">
        <w:t>1</w:t>
      </w:r>
      <w:r w:rsidR="000E78AE">
        <w:t>2</w:t>
      </w:r>
      <w:r w:rsidR="00F729A2">
        <w:t>–1</w:t>
      </w:r>
      <w:r w:rsidR="000E78AE">
        <w:t>4</w:t>
      </w:r>
      <w:r w:rsidR="00D04E0D" w:rsidRPr="00D9011B">
        <w:tab/>
      </w:r>
      <w:r w:rsidR="00FC3EC4">
        <w:t>5</w:t>
      </w:r>
    </w:p>
    <w:p w:rsidR="00D04E0D" w:rsidRPr="00D9011B" w:rsidRDefault="00D04E0D" w:rsidP="002950EF">
      <w:pPr>
        <w:tabs>
          <w:tab w:val="right" w:pos="850"/>
          <w:tab w:val="left" w:pos="1134"/>
          <w:tab w:val="left" w:pos="1559"/>
          <w:tab w:val="left" w:pos="1984"/>
          <w:tab w:val="left" w:leader="dot" w:pos="7654"/>
          <w:tab w:val="right" w:pos="8929"/>
          <w:tab w:val="right" w:pos="9638"/>
        </w:tabs>
        <w:spacing w:after="120"/>
        <w:ind w:left="1134" w:hanging="1134"/>
      </w:pPr>
      <w:r w:rsidRPr="00D9011B">
        <w:tab/>
        <w:t>V.</w:t>
      </w:r>
      <w:r w:rsidRPr="00D9011B">
        <w:tab/>
      </w:r>
      <w:r w:rsidR="00795F49">
        <w:t>Fourth annual Forum on Business a</w:t>
      </w:r>
      <w:r w:rsidR="002950EF">
        <w:t>nd Human Rights and a proposed</w:t>
      </w:r>
      <w:r w:rsidR="002950EF">
        <w:br/>
      </w:r>
      <w:r w:rsidR="00233BF3">
        <w:t>third R</w:t>
      </w:r>
      <w:r w:rsidR="00795F49">
        <w:t>egional Forum</w:t>
      </w:r>
      <w:r w:rsidRPr="00D9011B">
        <w:tab/>
      </w:r>
      <w:r w:rsidRPr="00D9011B">
        <w:tab/>
      </w:r>
      <w:r w:rsidR="00F729A2">
        <w:t>1</w:t>
      </w:r>
      <w:r w:rsidR="000E78AE">
        <w:t>5</w:t>
      </w:r>
      <w:r w:rsidR="00F729A2">
        <w:t>–1</w:t>
      </w:r>
      <w:r w:rsidR="000E78AE">
        <w:t>8</w:t>
      </w:r>
      <w:r w:rsidRPr="00D9011B">
        <w:tab/>
      </w:r>
      <w:r w:rsidR="00AA43AC">
        <w:t>6</w:t>
      </w:r>
    </w:p>
    <w:p w:rsidR="00795F49" w:rsidRDefault="00D04E0D" w:rsidP="00D04E0D">
      <w:pPr>
        <w:tabs>
          <w:tab w:val="right" w:pos="850"/>
          <w:tab w:val="left" w:pos="1134"/>
          <w:tab w:val="left" w:pos="1559"/>
          <w:tab w:val="left" w:pos="1984"/>
          <w:tab w:val="left" w:leader="dot" w:pos="7654"/>
          <w:tab w:val="right" w:pos="8929"/>
          <w:tab w:val="right" w:pos="9638"/>
        </w:tabs>
        <w:spacing w:after="120"/>
      </w:pPr>
      <w:r w:rsidRPr="00D9011B">
        <w:tab/>
        <w:t>VI.</w:t>
      </w:r>
      <w:r w:rsidRPr="00D9011B">
        <w:tab/>
      </w:r>
      <w:r w:rsidR="00F40382">
        <w:t>Meetings and br</w:t>
      </w:r>
      <w:r w:rsidR="00795F49" w:rsidRPr="00795F49">
        <w:t>ie</w:t>
      </w:r>
      <w:r w:rsidR="00F40382">
        <w:t>fings with stakeholders</w:t>
      </w:r>
      <w:r w:rsidRPr="00D9011B">
        <w:tab/>
      </w:r>
      <w:r w:rsidRPr="00D9011B">
        <w:tab/>
      </w:r>
      <w:r w:rsidR="00E175CB" w:rsidRPr="00D9011B">
        <w:t>1</w:t>
      </w:r>
      <w:r w:rsidR="000E78AE">
        <w:t>9–</w:t>
      </w:r>
      <w:r w:rsidR="002B6FEF">
        <w:t>2</w:t>
      </w:r>
      <w:r w:rsidR="000E78AE">
        <w:t>8</w:t>
      </w:r>
      <w:r w:rsidRPr="00D9011B">
        <w:tab/>
      </w:r>
      <w:r w:rsidR="00E84F68">
        <w:t>7</w:t>
      </w:r>
    </w:p>
    <w:p w:rsidR="00D04E0D" w:rsidRDefault="00795F49" w:rsidP="00D04E0D">
      <w:pPr>
        <w:tabs>
          <w:tab w:val="right" w:pos="850"/>
          <w:tab w:val="left" w:pos="1134"/>
          <w:tab w:val="left" w:pos="1559"/>
          <w:tab w:val="left" w:pos="1984"/>
          <w:tab w:val="left" w:leader="dot" w:pos="7654"/>
          <w:tab w:val="right" w:pos="8929"/>
          <w:tab w:val="right" w:pos="9638"/>
        </w:tabs>
        <w:spacing w:after="120"/>
      </w:pPr>
      <w:r>
        <w:tab/>
      </w:r>
      <w:r w:rsidRPr="00795F49">
        <w:t>V</w:t>
      </w:r>
      <w:r>
        <w:t>I</w:t>
      </w:r>
      <w:r w:rsidRPr="00795F49">
        <w:t>I.</w:t>
      </w:r>
      <w:r w:rsidRPr="00795F49">
        <w:tab/>
        <w:t>Chairperson and Vice-Chairperson</w:t>
      </w:r>
      <w:r w:rsidRPr="00795F49">
        <w:tab/>
      </w:r>
      <w:r w:rsidRPr="00795F49">
        <w:tab/>
      </w:r>
      <w:r w:rsidR="002B6FEF">
        <w:t>2</w:t>
      </w:r>
      <w:r w:rsidR="000E78AE">
        <w:t>9</w:t>
      </w:r>
      <w:r w:rsidRPr="00795F49">
        <w:tab/>
      </w:r>
      <w:r w:rsidR="00E14928">
        <w:t>9</w:t>
      </w:r>
    </w:p>
    <w:p w:rsidR="00275E24" w:rsidRPr="00D9011B" w:rsidRDefault="00D04E0D" w:rsidP="002950EF">
      <w:pPr>
        <w:pStyle w:val="HChG"/>
        <w:tabs>
          <w:tab w:val="left" w:pos="1134"/>
          <w:tab w:val="left" w:pos="1701"/>
          <w:tab w:val="left" w:pos="2268"/>
          <w:tab w:val="left" w:pos="6150"/>
        </w:tabs>
        <w:rPr>
          <w:rFonts w:eastAsia="Calibri"/>
        </w:rPr>
      </w:pPr>
      <w:r w:rsidRPr="00D9011B">
        <w:br w:type="page"/>
      </w:r>
      <w:r w:rsidR="00275E24" w:rsidRPr="00D9011B">
        <w:rPr>
          <w:rFonts w:eastAsia="Calibri"/>
        </w:rPr>
        <w:lastRenderedPageBreak/>
        <w:tab/>
        <w:t>I.</w:t>
      </w:r>
      <w:r w:rsidR="00275E24" w:rsidRPr="00D9011B">
        <w:rPr>
          <w:rFonts w:eastAsia="Calibri"/>
        </w:rPr>
        <w:tab/>
        <w:t>Summary</w:t>
      </w:r>
    </w:p>
    <w:p w:rsidR="00E2534D" w:rsidRDefault="00D5799D" w:rsidP="00D5799D">
      <w:pPr>
        <w:pStyle w:val="SingleTxtG"/>
        <w:tabs>
          <w:tab w:val="left" w:pos="1701"/>
        </w:tabs>
        <w:rPr>
          <w:rFonts w:eastAsia="Calibri"/>
        </w:rPr>
      </w:pPr>
      <w:r w:rsidRPr="00DC38B9">
        <w:rPr>
          <w:rFonts w:eastAsia="Calibri"/>
        </w:rPr>
        <w:t>1.</w:t>
      </w:r>
      <w:r w:rsidRPr="00DC38B9">
        <w:rPr>
          <w:rFonts w:eastAsia="Calibri"/>
        </w:rPr>
        <w:tab/>
      </w:r>
      <w:r w:rsidR="00136A0E" w:rsidRPr="00DC38B9">
        <w:rPr>
          <w:rFonts w:eastAsia="Calibri"/>
        </w:rPr>
        <w:t>The Working Group on the issue of human rights and trans</w:t>
      </w:r>
      <w:r w:rsidR="00A25C93" w:rsidRPr="00DC38B9">
        <w:rPr>
          <w:rFonts w:eastAsia="Calibri"/>
        </w:rPr>
        <w:t>national</w:t>
      </w:r>
      <w:r w:rsidR="00136A0E" w:rsidRPr="00DC38B9">
        <w:rPr>
          <w:rFonts w:eastAsia="Calibri"/>
        </w:rPr>
        <w:t xml:space="preserve"> corporations and other business enterprises </w:t>
      </w:r>
      <w:r w:rsidR="001C6E87" w:rsidRPr="00DC38B9">
        <w:rPr>
          <w:rFonts w:eastAsia="Calibri"/>
        </w:rPr>
        <w:t xml:space="preserve">held </w:t>
      </w:r>
      <w:r w:rsidR="00136A0E" w:rsidRPr="00DC38B9">
        <w:rPr>
          <w:rFonts w:eastAsia="Calibri"/>
        </w:rPr>
        <w:t xml:space="preserve">its </w:t>
      </w:r>
      <w:r w:rsidR="009C0251" w:rsidRPr="00DC38B9">
        <w:rPr>
          <w:rFonts w:eastAsia="Calibri"/>
        </w:rPr>
        <w:t>e</w:t>
      </w:r>
      <w:r w:rsidR="003861E7" w:rsidRPr="00DC38B9">
        <w:rPr>
          <w:rFonts w:eastAsia="Calibri"/>
        </w:rPr>
        <w:t>leve</w:t>
      </w:r>
      <w:r w:rsidR="00AE44B1" w:rsidRPr="00DC38B9">
        <w:rPr>
          <w:rFonts w:eastAsia="Calibri"/>
        </w:rPr>
        <w:t>n</w:t>
      </w:r>
      <w:r w:rsidR="00136A0E" w:rsidRPr="00DC38B9">
        <w:rPr>
          <w:rFonts w:eastAsia="Calibri"/>
        </w:rPr>
        <w:t>t</w:t>
      </w:r>
      <w:r w:rsidR="001C6E87" w:rsidRPr="00DC38B9">
        <w:rPr>
          <w:rFonts w:eastAsia="Calibri"/>
        </w:rPr>
        <w:t>h</w:t>
      </w:r>
      <w:r w:rsidR="00136A0E" w:rsidRPr="00DC38B9">
        <w:rPr>
          <w:rFonts w:eastAsia="Calibri"/>
        </w:rPr>
        <w:t xml:space="preserve"> session</w:t>
      </w:r>
      <w:r w:rsidR="002E657E" w:rsidRPr="00DC38B9">
        <w:rPr>
          <w:rFonts w:eastAsia="Calibri"/>
        </w:rPr>
        <w:t xml:space="preserve"> in Geneva</w:t>
      </w:r>
      <w:r w:rsidR="002F6025" w:rsidRPr="00DC38B9">
        <w:rPr>
          <w:rFonts w:eastAsia="Calibri"/>
        </w:rPr>
        <w:t>, Switzerland</w:t>
      </w:r>
      <w:r w:rsidR="00136A0E" w:rsidRPr="00DC38B9">
        <w:rPr>
          <w:rFonts w:eastAsia="Calibri"/>
        </w:rPr>
        <w:t xml:space="preserve"> from</w:t>
      </w:r>
      <w:r w:rsidR="003861E7" w:rsidRPr="00DC38B9">
        <w:rPr>
          <w:rFonts w:eastAsia="Calibri"/>
        </w:rPr>
        <w:t xml:space="preserve"> 4</w:t>
      </w:r>
      <w:r w:rsidR="00136A0E" w:rsidRPr="00DC38B9">
        <w:rPr>
          <w:rFonts w:eastAsia="Calibri"/>
        </w:rPr>
        <w:t xml:space="preserve"> to </w:t>
      </w:r>
      <w:r w:rsidR="003861E7" w:rsidRPr="00DC38B9">
        <w:rPr>
          <w:rFonts w:eastAsia="Calibri"/>
        </w:rPr>
        <w:t>8 Ma</w:t>
      </w:r>
      <w:r w:rsidR="009C0251" w:rsidRPr="00DC38B9">
        <w:rPr>
          <w:rFonts w:eastAsia="Calibri"/>
        </w:rPr>
        <w:t>y</w:t>
      </w:r>
      <w:r w:rsidR="00AE44B1" w:rsidRPr="00DC38B9">
        <w:rPr>
          <w:rFonts w:eastAsia="Calibri"/>
        </w:rPr>
        <w:t xml:space="preserve"> </w:t>
      </w:r>
      <w:r w:rsidR="009C0251" w:rsidRPr="00DC38B9">
        <w:rPr>
          <w:rFonts w:eastAsia="Calibri"/>
        </w:rPr>
        <w:t>2015</w:t>
      </w:r>
      <w:r w:rsidR="00136A0E" w:rsidRPr="00DC38B9">
        <w:rPr>
          <w:rFonts w:eastAsia="Calibri"/>
        </w:rPr>
        <w:t xml:space="preserve">. </w:t>
      </w:r>
      <w:r w:rsidR="00E2534D" w:rsidRPr="00257309">
        <w:rPr>
          <w:rFonts w:eastAsia="Calibri"/>
        </w:rPr>
        <w:t>This session was the first attende</w:t>
      </w:r>
      <w:r w:rsidR="00E2534D">
        <w:rPr>
          <w:rFonts w:eastAsia="Calibri"/>
        </w:rPr>
        <w:t xml:space="preserve">d by the new member of the Working Group, Mr. Dante Pesce, who took up his functions on 1 May 2015. </w:t>
      </w:r>
      <w:r w:rsidR="00E2534D" w:rsidRPr="00257309">
        <w:rPr>
          <w:rFonts w:eastAsia="Calibri"/>
        </w:rPr>
        <w:t xml:space="preserve">The </w:t>
      </w:r>
      <w:r w:rsidR="00E2534D">
        <w:rPr>
          <w:rFonts w:eastAsia="Calibri"/>
        </w:rPr>
        <w:t xml:space="preserve">other </w:t>
      </w:r>
      <w:r w:rsidR="00E2534D" w:rsidRPr="00257309">
        <w:rPr>
          <w:rFonts w:eastAsia="Calibri"/>
        </w:rPr>
        <w:t xml:space="preserve">Working Group </w:t>
      </w:r>
      <w:r w:rsidR="00E2534D">
        <w:rPr>
          <w:rFonts w:eastAsia="Calibri"/>
        </w:rPr>
        <w:t xml:space="preserve">members </w:t>
      </w:r>
      <w:r w:rsidR="00E2534D" w:rsidRPr="00257309">
        <w:rPr>
          <w:rFonts w:eastAsia="Calibri"/>
        </w:rPr>
        <w:t>welcomed Mr. Pesce</w:t>
      </w:r>
      <w:r w:rsidR="00E2534D">
        <w:rPr>
          <w:rFonts w:eastAsia="Calibri"/>
        </w:rPr>
        <w:t xml:space="preserve"> and noted that they</w:t>
      </w:r>
      <w:r w:rsidR="00E2534D" w:rsidRPr="00257309">
        <w:rPr>
          <w:rFonts w:eastAsia="Calibri"/>
        </w:rPr>
        <w:t xml:space="preserve"> looked forward to </w:t>
      </w:r>
      <w:r w:rsidR="00E2534D">
        <w:rPr>
          <w:rFonts w:eastAsia="Calibri"/>
        </w:rPr>
        <w:t>his</w:t>
      </w:r>
      <w:r w:rsidR="00E2534D" w:rsidRPr="00257309">
        <w:rPr>
          <w:rFonts w:eastAsia="Calibri"/>
        </w:rPr>
        <w:t xml:space="preserve"> participation in the work of the Working Group going forward.</w:t>
      </w:r>
      <w:r w:rsidR="00E2534D">
        <w:rPr>
          <w:rFonts w:eastAsia="Calibri"/>
        </w:rPr>
        <w:t xml:space="preserve"> </w:t>
      </w:r>
    </w:p>
    <w:p w:rsidR="00136A0E" w:rsidRPr="00DC38B9" w:rsidRDefault="00E2534D" w:rsidP="00D5799D">
      <w:pPr>
        <w:pStyle w:val="SingleTxtG"/>
        <w:tabs>
          <w:tab w:val="left" w:pos="1701"/>
        </w:tabs>
        <w:rPr>
          <w:rFonts w:eastAsia="Calibri"/>
        </w:rPr>
      </w:pPr>
      <w:r>
        <w:rPr>
          <w:rFonts w:eastAsia="Calibri"/>
        </w:rPr>
        <w:t>2.</w:t>
      </w:r>
      <w:r>
        <w:rPr>
          <w:rFonts w:eastAsia="Calibri"/>
        </w:rPr>
        <w:tab/>
        <w:t>During the session, the Working Group</w:t>
      </w:r>
      <w:r w:rsidR="00593222" w:rsidRPr="00DC38B9">
        <w:rPr>
          <w:rFonts w:eastAsia="Calibri"/>
        </w:rPr>
        <w:t xml:space="preserve"> </w:t>
      </w:r>
      <w:r w:rsidR="001C6E87" w:rsidRPr="00DC38B9">
        <w:rPr>
          <w:rFonts w:eastAsia="Calibri"/>
        </w:rPr>
        <w:t xml:space="preserve">convened </w:t>
      </w:r>
      <w:r w:rsidR="00784387" w:rsidRPr="00DC38B9">
        <w:rPr>
          <w:rFonts w:eastAsia="Calibri"/>
        </w:rPr>
        <w:t xml:space="preserve">meetings </w:t>
      </w:r>
      <w:r w:rsidR="001C6E87" w:rsidRPr="00DC38B9">
        <w:rPr>
          <w:rFonts w:eastAsia="Calibri"/>
        </w:rPr>
        <w:t xml:space="preserve">and discussions </w:t>
      </w:r>
      <w:r w:rsidR="00784387" w:rsidRPr="00DC38B9">
        <w:rPr>
          <w:rFonts w:eastAsia="Calibri"/>
        </w:rPr>
        <w:t>on the following</w:t>
      </w:r>
      <w:r w:rsidR="00136A0E" w:rsidRPr="00DC38B9">
        <w:rPr>
          <w:rFonts w:eastAsia="Calibri"/>
        </w:rPr>
        <w:t>:</w:t>
      </w:r>
    </w:p>
    <w:p w:rsidR="00DC668D" w:rsidRDefault="00885B5B" w:rsidP="00885B5B">
      <w:pPr>
        <w:pStyle w:val="SingleTxtG"/>
        <w:ind w:firstLine="567"/>
        <w:rPr>
          <w:rFonts w:eastAsia="Calibri"/>
        </w:rPr>
      </w:pPr>
      <w:r>
        <w:rPr>
          <w:rFonts w:eastAsia="Calibri"/>
        </w:rPr>
        <w:t>(a</w:t>
      </w:r>
      <w:r w:rsidR="00DC668D">
        <w:rPr>
          <w:rFonts w:eastAsia="Calibri"/>
        </w:rPr>
        <w:t>)</w:t>
      </w:r>
      <w:r>
        <w:rPr>
          <w:rFonts w:eastAsia="Calibri"/>
        </w:rPr>
        <w:tab/>
      </w:r>
      <w:r w:rsidR="00136A0E" w:rsidRPr="00DC38B9">
        <w:rPr>
          <w:rFonts w:eastAsia="Calibri"/>
        </w:rPr>
        <w:t xml:space="preserve">The </w:t>
      </w:r>
      <w:r w:rsidR="006B4877" w:rsidRPr="006B4877">
        <w:rPr>
          <w:rFonts w:eastAsia="Calibri"/>
        </w:rPr>
        <w:t>Working Group</w:t>
      </w:r>
      <w:r w:rsidR="006B4877">
        <w:rPr>
          <w:rFonts w:eastAsia="Calibri"/>
        </w:rPr>
        <w:t>’s</w:t>
      </w:r>
      <w:r w:rsidR="006B4877" w:rsidRPr="006B4877">
        <w:rPr>
          <w:rFonts w:eastAsia="Calibri"/>
        </w:rPr>
        <w:t xml:space="preserve"> priorities and projects for 2015</w:t>
      </w:r>
      <w:r w:rsidR="007038D4">
        <w:rPr>
          <w:rFonts w:eastAsia="Calibri"/>
        </w:rPr>
        <w:t>;</w:t>
      </w:r>
    </w:p>
    <w:p w:rsidR="00136A0E" w:rsidRPr="009879EF" w:rsidRDefault="00885B5B" w:rsidP="000145E8">
      <w:pPr>
        <w:pStyle w:val="SingleTxtG"/>
        <w:ind w:firstLine="567"/>
        <w:rPr>
          <w:rFonts w:eastAsia="Calibri"/>
          <w:lang w:val="en-US"/>
        </w:rPr>
      </w:pPr>
      <w:r>
        <w:rPr>
          <w:rFonts w:eastAsia="Calibri"/>
        </w:rPr>
        <w:t>(b)</w:t>
      </w:r>
      <w:r>
        <w:rPr>
          <w:rFonts w:eastAsia="Calibri"/>
        </w:rPr>
        <w:tab/>
      </w:r>
      <w:r w:rsidR="00DC668D">
        <w:rPr>
          <w:rFonts w:eastAsia="Calibri"/>
        </w:rPr>
        <w:t>A</w:t>
      </w:r>
      <w:r w:rsidR="00B81803" w:rsidRPr="00DC38B9">
        <w:rPr>
          <w:rFonts w:eastAsia="Calibri"/>
        </w:rPr>
        <w:t xml:space="preserve"> forthcoming State </w:t>
      </w:r>
      <w:r w:rsidR="00E4237C" w:rsidRPr="00DC38B9">
        <w:rPr>
          <w:rFonts w:eastAsia="Calibri"/>
        </w:rPr>
        <w:t>s</w:t>
      </w:r>
      <w:r w:rsidR="00B81803" w:rsidRPr="00DC38B9">
        <w:rPr>
          <w:rFonts w:eastAsia="Calibri"/>
        </w:rPr>
        <w:t>urvey</w:t>
      </w:r>
      <w:r w:rsidR="00DC38B9">
        <w:rPr>
          <w:rFonts w:eastAsia="Calibri"/>
        </w:rPr>
        <w:t xml:space="preserve"> </w:t>
      </w:r>
      <w:r w:rsidR="000145E8">
        <w:rPr>
          <w:rFonts w:eastAsia="Calibri"/>
        </w:rPr>
        <w:t xml:space="preserve">focusing on State practice relating to the implementation of Guiding Principle 4 </w:t>
      </w:r>
      <w:r w:rsidR="00DC38B9" w:rsidRPr="00DC38B9">
        <w:rPr>
          <w:rFonts w:eastAsia="Calibri"/>
          <w:lang w:val="en-US"/>
        </w:rPr>
        <w:t xml:space="preserve">on the roles and responsibilities of States as economic actors, including with regard to business enterprises owned, operated, or managed by the State, business enterprises in which the State is a majority shareholder or exercises substantial control, and financial institutions such as sovereign wealth or pension </w:t>
      </w:r>
      <w:r w:rsidR="00DC38B9" w:rsidRPr="00442863">
        <w:rPr>
          <w:rFonts w:eastAsia="Calibri"/>
          <w:lang w:val="en-US"/>
        </w:rPr>
        <w:t>funds, development banks, export credit agencies and official investment and insurance guarantee agencies</w:t>
      </w:r>
      <w:r w:rsidR="0069077E">
        <w:rPr>
          <w:rFonts w:eastAsia="Calibri"/>
          <w:lang w:val="en-US"/>
        </w:rPr>
        <w:t xml:space="preserve">. </w:t>
      </w:r>
      <w:r w:rsidR="009813F3">
        <w:rPr>
          <w:rFonts w:eastAsia="Calibri"/>
          <w:lang w:val="en-US"/>
        </w:rPr>
        <w:t xml:space="preserve">The survey will </w:t>
      </w:r>
      <w:r w:rsidR="000145E8">
        <w:rPr>
          <w:rFonts w:eastAsia="Calibri"/>
          <w:lang w:val="en-US"/>
        </w:rPr>
        <w:t xml:space="preserve">examine the </w:t>
      </w:r>
      <w:r w:rsidR="007038D4">
        <w:rPr>
          <w:rFonts w:eastAsia="Calibri"/>
          <w:lang w:val="en-US"/>
        </w:rPr>
        <w:t xml:space="preserve">integration of human rights considerations by such entities, and </w:t>
      </w:r>
      <w:r w:rsidR="000145E8">
        <w:rPr>
          <w:rFonts w:eastAsia="Calibri"/>
          <w:lang w:val="en-US"/>
        </w:rPr>
        <w:t>feed into a discussion on this subject at the 2015 annual Forum</w:t>
      </w:r>
      <w:r w:rsidR="003A6548" w:rsidRPr="00442863">
        <w:rPr>
          <w:rFonts w:eastAsia="Calibri"/>
        </w:rPr>
        <w:t>;</w:t>
      </w:r>
    </w:p>
    <w:p w:rsidR="00136A0E" w:rsidRPr="00442863" w:rsidRDefault="00885B5B" w:rsidP="00A773A1">
      <w:pPr>
        <w:pStyle w:val="SingleTxtG"/>
        <w:ind w:firstLine="567"/>
        <w:rPr>
          <w:rFonts w:eastAsia="Calibri"/>
        </w:rPr>
      </w:pPr>
      <w:r>
        <w:rPr>
          <w:rFonts w:eastAsia="Calibri"/>
        </w:rPr>
        <w:t>(c)</w:t>
      </w:r>
      <w:r>
        <w:rPr>
          <w:rFonts w:eastAsia="Calibri"/>
        </w:rPr>
        <w:tab/>
      </w:r>
      <w:r w:rsidR="00442863" w:rsidRPr="00442863">
        <w:rPr>
          <w:rFonts w:eastAsia="Calibri"/>
        </w:rPr>
        <w:t>Three</w:t>
      </w:r>
      <w:r w:rsidR="00B82FF7" w:rsidRPr="00442863">
        <w:rPr>
          <w:rFonts w:eastAsia="Calibri"/>
        </w:rPr>
        <w:t xml:space="preserve"> open consultation meetings, respectively </w:t>
      </w:r>
      <w:r w:rsidR="00C04221" w:rsidRPr="00442863">
        <w:rPr>
          <w:rFonts w:eastAsia="Calibri"/>
        </w:rPr>
        <w:t>with States</w:t>
      </w:r>
      <w:r w:rsidR="00442863" w:rsidRPr="00442863">
        <w:rPr>
          <w:rFonts w:eastAsia="Calibri"/>
        </w:rPr>
        <w:t xml:space="preserve"> </w:t>
      </w:r>
      <w:r w:rsidR="0081394B" w:rsidRPr="00442863">
        <w:rPr>
          <w:rFonts w:eastAsia="Calibri"/>
        </w:rPr>
        <w:t xml:space="preserve">and intergovernmental </w:t>
      </w:r>
      <w:r w:rsidR="00A773A1" w:rsidRPr="00442863">
        <w:rPr>
          <w:rFonts w:eastAsia="Calibri"/>
        </w:rPr>
        <w:t>organizations</w:t>
      </w:r>
      <w:r w:rsidR="00C04221" w:rsidRPr="00442863">
        <w:rPr>
          <w:rFonts w:eastAsia="Calibri"/>
        </w:rPr>
        <w:t xml:space="preserve">, </w:t>
      </w:r>
      <w:r w:rsidR="00442863" w:rsidRPr="00442863">
        <w:rPr>
          <w:rFonts w:eastAsia="Calibri"/>
        </w:rPr>
        <w:t xml:space="preserve">business associations, </w:t>
      </w:r>
      <w:r w:rsidR="00C04221" w:rsidRPr="00442863">
        <w:rPr>
          <w:rFonts w:eastAsia="Calibri"/>
        </w:rPr>
        <w:t xml:space="preserve">and civil society </w:t>
      </w:r>
      <w:r w:rsidR="00A773A1" w:rsidRPr="00442863">
        <w:rPr>
          <w:rFonts w:eastAsia="Calibri"/>
        </w:rPr>
        <w:t>organizations</w:t>
      </w:r>
      <w:r w:rsidR="00E4792A" w:rsidRPr="00442863">
        <w:rPr>
          <w:rFonts w:eastAsia="Calibri"/>
        </w:rPr>
        <w:t>,</w:t>
      </w:r>
      <w:r w:rsidR="00C04221" w:rsidRPr="00442863">
        <w:rPr>
          <w:rFonts w:eastAsia="Calibri"/>
        </w:rPr>
        <w:t xml:space="preserve"> </w:t>
      </w:r>
      <w:r w:rsidR="006F5694" w:rsidRPr="00442863">
        <w:rPr>
          <w:rFonts w:eastAsia="Calibri"/>
        </w:rPr>
        <w:t xml:space="preserve">to </w:t>
      </w:r>
      <w:r w:rsidR="009E2688" w:rsidRPr="00442863">
        <w:rPr>
          <w:rFonts w:eastAsia="Calibri"/>
        </w:rPr>
        <w:t>consult</w:t>
      </w:r>
      <w:r w:rsidR="00D74CDD" w:rsidRPr="00442863">
        <w:rPr>
          <w:rFonts w:eastAsia="Calibri"/>
        </w:rPr>
        <w:t xml:space="preserve"> on the Working</w:t>
      </w:r>
      <w:r w:rsidR="009E2688" w:rsidRPr="00442863">
        <w:rPr>
          <w:rFonts w:eastAsia="Calibri"/>
        </w:rPr>
        <w:t xml:space="preserve"> </w:t>
      </w:r>
      <w:r w:rsidR="00D74CDD" w:rsidRPr="00442863">
        <w:rPr>
          <w:rFonts w:eastAsia="Calibri"/>
        </w:rPr>
        <w:t xml:space="preserve">Group’s plans </w:t>
      </w:r>
      <w:r w:rsidR="009E2688" w:rsidRPr="00442863">
        <w:rPr>
          <w:rFonts w:eastAsia="Calibri"/>
        </w:rPr>
        <w:t xml:space="preserve">and </w:t>
      </w:r>
      <w:r w:rsidR="003E413E" w:rsidRPr="00442863">
        <w:rPr>
          <w:rFonts w:eastAsia="Calibri"/>
        </w:rPr>
        <w:t xml:space="preserve">to </w:t>
      </w:r>
      <w:r w:rsidR="009E2688" w:rsidRPr="00442863">
        <w:rPr>
          <w:rFonts w:eastAsia="Calibri"/>
        </w:rPr>
        <w:t>seek</w:t>
      </w:r>
      <w:r w:rsidR="00C04221" w:rsidRPr="00442863">
        <w:rPr>
          <w:rFonts w:eastAsia="Calibri"/>
        </w:rPr>
        <w:t xml:space="preserve"> </w:t>
      </w:r>
      <w:r w:rsidR="00D74CDD" w:rsidRPr="00442863">
        <w:rPr>
          <w:rFonts w:eastAsia="Calibri"/>
        </w:rPr>
        <w:t>input on specific projects</w:t>
      </w:r>
      <w:r w:rsidR="00DD6B90" w:rsidRPr="00442863">
        <w:rPr>
          <w:rFonts w:eastAsia="Calibri"/>
        </w:rPr>
        <w:t>;</w:t>
      </w:r>
    </w:p>
    <w:p w:rsidR="00136A0E" w:rsidRPr="00E52907" w:rsidRDefault="00136A0E" w:rsidP="00A773A1">
      <w:pPr>
        <w:pStyle w:val="SingleTxtG"/>
        <w:ind w:firstLine="567"/>
        <w:rPr>
          <w:rFonts w:eastAsia="Calibri"/>
          <w:highlight w:val="red"/>
        </w:rPr>
      </w:pPr>
      <w:r w:rsidRPr="000A5520">
        <w:rPr>
          <w:rFonts w:eastAsia="Calibri"/>
        </w:rPr>
        <w:t>(</w:t>
      </w:r>
      <w:r w:rsidR="00885B5B">
        <w:rPr>
          <w:rFonts w:eastAsia="Calibri"/>
        </w:rPr>
        <w:t>d)</w:t>
      </w:r>
      <w:r w:rsidR="00885B5B">
        <w:rPr>
          <w:rFonts w:eastAsia="Calibri"/>
        </w:rPr>
        <w:tab/>
      </w:r>
      <w:r w:rsidR="000145E8">
        <w:rPr>
          <w:rFonts w:eastAsia="Calibri"/>
        </w:rPr>
        <w:t>A o</w:t>
      </w:r>
      <w:r w:rsidR="000A5520" w:rsidRPr="000A5520">
        <w:rPr>
          <w:rFonts w:eastAsia="Calibri"/>
        </w:rPr>
        <w:t xml:space="preserve">ne-day expert consultation on </w:t>
      </w:r>
      <w:r w:rsidR="000A5520" w:rsidRPr="000A5520">
        <w:rPr>
          <w:rFonts w:eastAsia="Calibri"/>
          <w:lang w:val="en-US"/>
        </w:rPr>
        <w:t xml:space="preserve">measuring and monitoring progress in the </w:t>
      </w:r>
      <w:r w:rsidR="004E5EB6">
        <w:rPr>
          <w:rFonts w:eastAsia="Calibri"/>
          <w:lang w:val="en-US"/>
        </w:rPr>
        <w:t xml:space="preserve">uptake and </w:t>
      </w:r>
      <w:r w:rsidR="000A5520" w:rsidRPr="000A5520">
        <w:rPr>
          <w:rFonts w:eastAsia="Calibri"/>
          <w:lang w:val="en-US"/>
        </w:rPr>
        <w:t>implementation of the Guiding Principles</w:t>
      </w:r>
      <w:r w:rsidR="000A5520" w:rsidRPr="000A5520">
        <w:rPr>
          <w:rFonts w:eastAsia="Calibri"/>
          <w:b/>
        </w:rPr>
        <w:t xml:space="preserve"> </w:t>
      </w:r>
      <w:r w:rsidR="000A5520" w:rsidRPr="000A5520">
        <w:rPr>
          <w:rFonts w:eastAsia="Calibri"/>
        </w:rPr>
        <w:t>on Business and Human Rights</w:t>
      </w:r>
      <w:r w:rsidR="00F33D01" w:rsidRPr="000A5520">
        <w:rPr>
          <w:rFonts w:eastAsia="Calibri"/>
        </w:rPr>
        <w:t xml:space="preserve">; </w:t>
      </w:r>
    </w:p>
    <w:p w:rsidR="00136A0E" w:rsidRPr="00603A52" w:rsidRDefault="00136A0E" w:rsidP="00A773A1">
      <w:pPr>
        <w:pStyle w:val="SingleTxtG"/>
        <w:ind w:firstLine="567"/>
        <w:rPr>
          <w:rFonts w:eastAsia="Calibri"/>
        </w:rPr>
      </w:pPr>
      <w:r w:rsidRPr="00603A52">
        <w:rPr>
          <w:rFonts w:eastAsia="Calibri"/>
        </w:rPr>
        <w:t>(</w:t>
      </w:r>
      <w:r w:rsidR="00885B5B">
        <w:rPr>
          <w:rFonts w:eastAsia="Calibri"/>
        </w:rPr>
        <w:t>e)</w:t>
      </w:r>
      <w:r w:rsidR="00885B5B">
        <w:rPr>
          <w:rFonts w:eastAsia="Calibri"/>
        </w:rPr>
        <w:tab/>
      </w:r>
      <w:r w:rsidR="00603A52" w:rsidRPr="00603A52">
        <w:rPr>
          <w:rFonts w:eastAsia="Calibri"/>
        </w:rPr>
        <w:t>P</w:t>
      </w:r>
      <w:r w:rsidR="00281B96" w:rsidRPr="00603A52">
        <w:rPr>
          <w:rFonts w:eastAsia="Calibri"/>
        </w:rPr>
        <w:t>lan</w:t>
      </w:r>
      <w:r w:rsidR="009E2688" w:rsidRPr="00603A52">
        <w:rPr>
          <w:rFonts w:eastAsia="Calibri"/>
        </w:rPr>
        <w:t>s</w:t>
      </w:r>
      <w:r w:rsidR="00281B96" w:rsidRPr="00603A52">
        <w:rPr>
          <w:rFonts w:eastAsia="Calibri"/>
        </w:rPr>
        <w:t xml:space="preserve"> to hold</w:t>
      </w:r>
      <w:r w:rsidR="003C482D" w:rsidRPr="00603A52">
        <w:rPr>
          <w:rFonts w:eastAsia="Calibri"/>
        </w:rPr>
        <w:t xml:space="preserve"> a regional Forum on Business and </w:t>
      </w:r>
      <w:r w:rsidR="00F07729" w:rsidRPr="00603A52">
        <w:rPr>
          <w:rFonts w:eastAsia="Calibri"/>
        </w:rPr>
        <w:t>Human Rights in Asia</w:t>
      </w:r>
      <w:r w:rsidR="00603A52" w:rsidRPr="00603A52">
        <w:rPr>
          <w:rFonts w:eastAsia="Calibri"/>
        </w:rPr>
        <w:t xml:space="preserve"> in 2016</w:t>
      </w:r>
      <w:r w:rsidR="002A4B07" w:rsidRPr="00603A52">
        <w:rPr>
          <w:rFonts w:eastAsia="Calibri"/>
        </w:rPr>
        <w:t>;</w:t>
      </w:r>
      <w:r w:rsidR="002F266E" w:rsidRPr="00603A52">
        <w:rPr>
          <w:rFonts w:eastAsia="Calibri"/>
        </w:rPr>
        <w:t xml:space="preserve"> and </w:t>
      </w:r>
      <w:r w:rsidR="002A4B07" w:rsidRPr="00603A52">
        <w:rPr>
          <w:rFonts w:eastAsia="Calibri"/>
        </w:rPr>
        <w:t xml:space="preserve">planning in relation to </w:t>
      </w:r>
      <w:r w:rsidR="002F266E" w:rsidRPr="00603A52">
        <w:rPr>
          <w:rFonts w:eastAsia="Calibri"/>
        </w:rPr>
        <w:t>the fourth annual Forum on Business and Human Rights</w:t>
      </w:r>
      <w:r w:rsidR="002A4B07" w:rsidRPr="00603A52">
        <w:rPr>
          <w:rFonts w:eastAsia="Calibri"/>
        </w:rPr>
        <w:t xml:space="preserve"> to be held in Geneva</w:t>
      </w:r>
      <w:r w:rsidR="00205C04" w:rsidRPr="00603A52">
        <w:rPr>
          <w:rFonts w:eastAsia="Calibri"/>
        </w:rPr>
        <w:t>, Switzerland</w:t>
      </w:r>
      <w:r w:rsidR="00A60B73" w:rsidRPr="00603A52">
        <w:rPr>
          <w:rFonts w:eastAsia="Calibri"/>
        </w:rPr>
        <w:t xml:space="preserve"> 16 -</w:t>
      </w:r>
      <w:r w:rsidR="002F266E" w:rsidRPr="00603A52">
        <w:rPr>
          <w:rFonts w:eastAsia="Calibri"/>
        </w:rPr>
        <w:t xml:space="preserve"> 18 November 2015</w:t>
      </w:r>
      <w:r w:rsidR="00F33D01" w:rsidRPr="00603A52">
        <w:rPr>
          <w:rFonts w:eastAsia="Calibri"/>
        </w:rPr>
        <w:t>;</w:t>
      </w:r>
    </w:p>
    <w:p w:rsidR="00087BAB" w:rsidRPr="00D9011B" w:rsidRDefault="00481587" w:rsidP="00A773A1">
      <w:pPr>
        <w:pStyle w:val="SingleTxtG"/>
        <w:ind w:firstLine="567"/>
        <w:rPr>
          <w:rFonts w:eastAsia="Calibri"/>
        </w:rPr>
      </w:pPr>
      <w:r w:rsidRPr="00D512A6">
        <w:rPr>
          <w:rFonts w:eastAsia="Calibri"/>
        </w:rPr>
        <w:t>(</w:t>
      </w:r>
      <w:r w:rsidR="00885B5B">
        <w:rPr>
          <w:rFonts w:eastAsia="Calibri"/>
        </w:rPr>
        <w:t>f)</w:t>
      </w:r>
      <w:r w:rsidR="00885B5B">
        <w:rPr>
          <w:rFonts w:eastAsia="Calibri"/>
        </w:rPr>
        <w:tab/>
      </w:r>
      <w:r w:rsidR="00136A0E" w:rsidRPr="00D512A6">
        <w:rPr>
          <w:rFonts w:eastAsia="Calibri"/>
        </w:rPr>
        <w:t>Other Working Group projects</w:t>
      </w:r>
      <w:r w:rsidR="003A6548" w:rsidRPr="00D512A6">
        <w:rPr>
          <w:rFonts w:eastAsia="Calibri"/>
        </w:rPr>
        <w:t>, meetings</w:t>
      </w:r>
      <w:r w:rsidR="00136A0E" w:rsidRPr="00D512A6">
        <w:rPr>
          <w:rFonts w:eastAsia="Calibri"/>
        </w:rPr>
        <w:t xml:space="preserve"> and salient issues</w:t>
      </w:r>
      <w:r w:rsidR="00AE6B8F" w:rsidRPr="00D512A6">
        <w:rPr>
          <w:rFonts w:eastAsia="Calibri"/>
        </w:rPr>
        <w:t>,</w:t>
      </w:r>
      <w:r w:rsidR="00136A0E" w:rsidRPr="00D512A6">
        <w:rPr>
          <w:rFonts w:eastAsia="Calibri"/>
        </w:rPr>
        <w:t xml:space="preserve"> including </w:t>
      </w:r>
      <w:r w:rsidR="00340356" w:rsidRPr="00D512A6">
        <w:rPr>
          <w:rFonts w:eastAsia="Calibri"/>
        </w:rPr>
        <w:t>its propo</w:t>
      </w:r>
      <w:r w:rsidR="0021370E" w:rsidRPr="00D512A6">
        <w:rPr>
          <w:rFonts w:eastAsia="Calibri"/>
        </w:rPr>
        <w:t>sed country visits</w:t>
      </w:r>
      <w:r w:rsidR="005F37F8" w:rsidRPr="00D512A6">
        <w:rPr>
          <w:rFonts w:eastAsia="Calibri"/>
        </w:rPr>
        <w:t xml:space="preserve">; </w:t>
      </w:r>
      <w:r w:rsidR="003C64DF" w:rsidRPr="00D512A6">
        <w:rPr>
          <w:rFonts w:eastAsia="Calibri"/>
        </w:rPr>
        <w:t xml:space="preserve">its communications </w:t>
      </w:r>
      <w:r w:rsidR="00136A0E" w:rsidRPr="00D512A6">
        <w:rPr>
          <w:rFonts w:eastAsia="Calibri"/>
        </w:rPr>
        <w:t>to States</w:t>
      </w:r>
      <w:r w:rsidR="00802058" w:rsidRPr="00D512A6">
        <w:rPr>
          <w:rFonts w:eastAsia="Calibri"/>
        </w:rPr>
        <w:t xml:space="preserve"> and businesses, where appropriate, in relation to pressing human rights issues</w:t>
      </w:r>
      <w:r w:rsidR="008F1FCB" w:rsidRPr="00D512A6">
        <w:rPr>
          <w:rFonts w:eastAsia="Calibri"/>
        </w:rPr>
        <w:t>;</w:t>
      </w:r>
      <w:r w:rsidR="003C64DF" w:rsidRPr="00D512A6">
        <w:rPr>
          <w:rFonts w:eastAsia="Calibri"/>
        </w:rPr>
        <w:t xml:space="preserve"> </w:t>
      </w:r>
      <w:r w:rsidR="006A3C59" w:rsidRPr="00D512A6">
        <w:rPr>
          <w:rFonts w:eastAsia="Calibri"/>
        </w:rPr>
        <w:t xml:space="preserve">the </w:t>
      </w:r>
      <w:r w:rsidR="00D512A6" w:rsidRPr="00D512A6">
        <w:rPr>
          <w:rFonts w:eastAsia="Calibri"/>
        </w:rPr>
        <w:t xml:space="preserve">forthcoming first session of the open-ended intergovernmental working group on transnational corporations and other business enterprises with respect to human </w:t>
      </w:r>
      <w:r w:rsidR="00D512A6" w:rsidRPr="004E5EB6">
        <w:rPr>
          <w:rFonts w:eastAsia="Calibri"/>
        </w:rPr>
        <w:t>rights</w:t>
      </w:r>
      <w:r w:rsidR="006A3C59" w:rsidRPr="004E5EB6">
        <w:rPr>
          <w:rFonts w:eastAsia="Calibri"/>
        </w:rPr>
        <w:t xml:space="preserve">; </w:t>
      </w:r>
      <w:r w:rsidR="004E5EB6">
        <w:rPr>
          <w:rFonts w:eastAsia="Calibri"/>
        </w:rPr>
        <w:t xml:space="preserve">the Working Group’s cooperation with other Special Procedures mechanisms, </w:t>
      </w:r>
      <w:r w:rsidR="006A3C59" w:rsidRPr="004E5EB6">
        <w:rPr>
          <w:rFonts w:eastAsia="Calibri"/>
        </w:rPr>
        <w:t xml:space="preserve">the Working Group’s upcoming report to the General Assembly; </w:t>
      </w:r>
      <w:r w:rsidR="005F6154" w:rsidRPr="004E5EB6">
        <w:rPr>
          <w:rFonts w:eastAsia="Calibri"/>
        </w:rPr>
        <w:t xml:space="preserve">and </w:t>
      </w:r>
      <w:r w:rsidR="001C6E87" w:rsidRPr="004E5EB6">
        <w:rPr>
          <w:rFonts w:eastAsia="Calibri"/>
        </w:rPr>
        <w:t>t</w:t>
      </w:r>
      <w:r w:rsidR="004E5EB6">
        <w:rPr>
          <w:rFonts w:eastAsia="Calibri"/>
        </w:rPr>
        <w:t>he Working Group’</w:t>
      </w:r>
      <w:r w:rsidR="001C6E87" w:rsidRPr="004E5EB6">
        <w:rPr>
          <w:rFonts w:eastAsia="Calibri"/>
        </w:rPr>
        <w:t xml:space="preserve">s </w:t>
      </w:r>
      <w:r w:rsidR="00B24ADF" w:rsidRPr="004E5EB6">
        <w:rPr>
          <w:rFonts w:eastAsia="Calibri"/>
        </w:rPr>
        <w:t xml:space="preserve">cooperation </w:t>
      </w:r>
      <w:r w:rsidR="001C6E87" w:rsidRPr="004E5EB6">
        <w:rPr>
          <w:rFonts w:eastAsia="Calibri"/>
        </w:rPr>
        <w:t>with the International Labour Organization (ILO).</w:t>
      </w:r>
      <w:r w:rsidR="001C6E87" w:rsidRPr="00D9011B">
        <w:rPr>
          <w:rFonts w:eastAsia="Calibri"/>
        </w:rPr>
        <w:t xml:space="preserve"> </w:t>
      </w:r>
    </w:p>
    <w:p w:rsidR="000B0AC7" w:rsidRPr="00D9011B" w:rsidRDefault="00F33171" w:rsidP="000B0AC7">
      <w:pPr>
        <w:pStyle w:val="SingleTxtG"/>
        <w:rPr>
          <w:rFonts w:eastAsia="Calibri"/>
        </w:rPr>
      </w:pPr>
      <w:r>
        <w:rPr>
          <w:rFonts w:eastAsia="Calibri"/>
        </w:rPr>
        <w:t>3</w:t>
      </w:r>
      <w:r w:rsidR="00A773A1" w:rsidRPr="00D9011B">
        <w:rPr>
          <w:rFonts w:eastAsia="Calibri"/>
        </w:rPr>
        <w:t>.</w:t>
      </w:r>
      <w:r w:rsidR="00A773A1" w:rsidRPr="00D9011B">
        <w:rPr>
          <w:rFonts w:eastAsia="Calibri"/>
        </w:rPr>
        <w:tab/>
      </w:r>
      <w:r w:rsidR="006D4AC7" w:rsidRPr="00D9011B">
        <w:rPr>
          <w:rFonts w:eastAsia="Calibri"/>
        </w:rPr>
        <w:t xml:space="preserve">The </w:t>
      </w:r>
      <w:r w:rsidR="00087BAB" w:rsidRPr="00D9011B">
        <w:rPr>
          <w:rFonts w:eastAsia="Calibri"/>
        </w:rPr>
        <w:t xml:space="preserve">present </w:t>
      </w:r>
      <w:r w:rsidR="00136A0E" w:rsidRPr="00D9011B">
        <w:rPr>
          <w:rFonts w:eastAsia="Calibri"/>
        </w:rPr>
        <w:t xml:space="preserve">report </w:t>
      </w:r>
      <w:r w:rsidR="00470D20" w:rsidRPr="00D9011B">
        <w:rPr>
          <w:rFonts w:eastAsia="Calibri"/>
        </w:rPr>
        <w:t xml:space="preserve">summarizes </w:t>
      </w:r>
      <w:r w:rsidR="00136A0E" w:rsidRPr="00D9011B">
        <w:rPr>
          <w:rFonts w:eastAsia="Calibri"/>
        </w:rPr>
        <w:t>some of the key items discussed.</w:t>
      </w:r>
    </w:p>
    <w:p w:rsidR="00912A75" w:rsidRPr="00D9011B" w:rsidRDefault="00136A0E" w:rsidP="00912A75">
      <w:pPr>
        <w:pStyle w:val="HChG"/>
        <w:spacing w:line="240" w:lineRule="atLeast"/>
        <w:rPr>
          <w:rFonts w:eastAsia="Calibri"/>
        </w:rPr>
      </w:pPr>
      <w:r w:rsidRPr="00D9011B">
        <w:rPr>
          <w:rFonts w:eastAsia="Calibri"/>
        </w:rPr>
        <w:tab/>
        <w:t>II.</w:t>
      </w:r>
      <w:r w:rsidRPr="00D9011B">
        <w:rPr>
          <w:rFonts w:eastAsia="Calibri"/>
        </w:rPr>
        <w:tab/>
      </w:r>
      <w:r w:rsidR="00F33171">
        <w:rPr>
          <w:rFonts w:eastAsia="Calibri"/>
        </w:rPr>
        <w:t>Working Group</w:t>
      </w:r>
      <w:r w:rsidR="00F33171" w:rsidRPr="00F33171">
        <w:rPr>
          <w:rFonts w:eastAsia="Calibri"/>
        </w:rPr>
        <w:t xml:space="preserve"> priorities and projects for 2015</w:t>
      </w:r>
      <w:r w:rsidR="00F33171">
        <w:rPr>
          <w:rFonts w:eastAsia="Calibri"/>
        </w:rPr>
        <w:t xml:space="preserve"> </w:t>
      </w:r>
      <w:r w:rsidR="00ED3536" w:rsidRPr="00D9011B">
        <w:rPr>
          <w:rFonts w:eastAsia="Calibri"/>
          <w:szCs w:val="28"/>
        </w:rPr>
        <w:t xml:space="preserve"> </w:t>
      </w:r>
    </w:p>
    <w:p w:rsidR="007B02B3" w:rsidRDefault="00F33171" w:rsidP="00DC668D">
      <w:pPr>
        <w:pStyle w:val="SingleTxtG"/>
      </w:pPr>
      <w:r>
        <w:rPr>
          <w:lang w:val="en-US"/>
        </w:rPr>
        <w:t>4</w:t>
      </w:r>
      <w:r w:rsidR="000A0226" w:rsidRPr="00D9011B">
        <w:rPr>
          <w:lang w:val="en-US"/>
        </w:rPr>
        <w:t>.</w:t>
      </w:r>
      <w:r w:rsidR="000A0226" w:rsidRPr="00D9011B">
        <w:rPr>
          <w:lang w:val="en-US"/>
        </w:rPr>
        <w:tab/>
        <w:t xml:space="preserve">The Working Group </w:t>
      </w:r>
      <w:r w:rsidR="00CB620C" w:rsidRPr="00D9011B">
        <w:rPr>
          <w:lang w:val="en-US"/>
        </w:rPr>
        <w:t>reflected on that fact</w:t>
      </w:r>
      <w:r w:rsidR="000A0226" w:rsidRPr="00D9011B">
        <w:rPr>
          <w:lang w:val="en-US"/>
        </w:rPr>
        <w:t xml:space="preserve"> that an </w:t>
      </w:r>
      <w:r w:rsidR="00CB620C" w:rsidRPr="00D9011B">
        <w:rPr>
          <w:lang w:val="en-US"/>
        </w:rPr>
        <w:t>increasing number of States a</w:t>
      </w:r>
      <w:r w:rsidR="000A0226" w:rsidRPr="00D9011B">
        <w:rPr>
          <w:lang w:val="en-US"/>
        </w:rPr>
        <w:t xml:space="preserve">re </w:t>
      </w:r>
      <w:proofErr w:type="spellStart"/>
      <w:r w:rsidR="007038D4">
        <w:rPr>
          <w:lang w:val="en-US"/>
        </w:rPr>
        <w:t>recognising</w:t>
      </w:r>
      <w:proofErr w:type="spellEnd"/>
      <w:r w:rsidR="000A0226" w:rsidRPr="00D9011B">
        <w:rPr>
          <w:lang w:val="en-US"/>
        </w:rPr>
        <w:t xml:space="preserve"> the value of developing a national action plan on business of human rights, and </w:t>
      </w:r>
      <w:r w:rsidR="00CB620C" w:rsidRPr="00D9011B">
        <w:rPr>
          <w:lang w:val="en-US"/>
        </w:rPr>
        <w:t>a</w:t>
      </w:r>
      <w:r w:rsidR="000A0226" w:rsidRPr="00D9011B">
        <w:rPr>
          <w:lang w:val="en-US"/>
        </w:rPr>
        <w:t xml:space="preserve">re either </w:t>
      </w:r>
      <w:r w:rsidR="000A0226" w:rsidRPr="00D9011B">
        <w:t xml:space="preserve">finalising </w:t>
      </w:r>
      <w:r w:rsidR="000A0226" w:rsidRPr="00D9011B">
        <w:rPr>
          <w:lang w:val="en-US"/>
        </w:rPr>
        <w:t>th</w:t>
      </w:r>
      <w:r w:rsidR="00CB620C" w:rsidRPr="00D9011B">
        <w:rPr>
          <w:lang w:val="en-US"/>
        </w:rPr>
        <w:t xml:space="preserve">eir national action plans, or </w:t>
      </w:r>
      <w:r w:rsidR="000A0226" w:rsidRPr="00D9011B">
        <w:rPr>
          <w:lang w:val="en-US"/>
        </w:rPr>
        <w:t>announcing their intentions to start the process of formulating a national action plan on the basis of multi-stakeholder dialogues. The Working Group emphasized</w:t>
      </w:r>
      <w:r w:rsidR="00CB620C" w:rsidRPr="00D9011B">
        <w:rPr>
          <w:lang w:val="en-US"/>
        </w:rPr>
        <w:t xml:space="preserve"> its long-held view</w:t>
      </w:r>
      <w:r w:rsidR="000A0226" w:rsidRPr="00D9011B">
        <w:rPr>
          <w:lang w:val="en-US"/>
        </w:rPr>
        <w:t xml:space="preserve"> that the development of national action plans on</w:t>
      </w:r>
      <w:r w:rsidR="00CB620C" w:rsidRPr="00D9011B">
        <w:rPr>
          <w:lang w:val="en-US"/>
        </w:rPr>
        <w:t xml:space="preserve"> business and human rights is an essential tool to help</w:t>
      </w:r>
      <w:r w:rsidR="000A0226" w:rsidRPr="00D9011B">
        <w:rPr>
          <w:lang w:val="en-US"/>
        </w:rPr>
        <w:t xml:space="preserve"> increas</w:t>
      </w:r>
      <w:r w:rsidR="00CB620C" w:rsidRPr="00D9011B">
        <w:rPr>
          <w:lang w:val="en-US"/>
        </w:rPr>
        <w:t>e</w:t>
      </w:r>
      <w:r w:rsidR="000A0226" w:rsidRPr="00D9011B">
        <w:rPr>
          <w:lang w:val="en-US"/>
        </w:rPr>
        <w:t xml:space="preserve"> implementation of, and awareness of, the Guiding Principles on Business and Human Rights by States, civil society organizations, </w:t>
      </w:r>
      <w:r w:rsidR="000A0226" w:rsidRPr="00D9011B">
        <w:t xml:space="preserve">national human rights institutions, </w:t>
      </w:r>
      <w:r w:rsidR="000A0226" w:rsidRPr="00D9011B">
        <w:rPr>
          <w:lang w:val="en-US"/>
        </w:rPr>
        <w:t>and business enterprises.</w:t>
      </w:r>
      <w:r w:rsidR="000A0226" w:rsidRPr="00D9011B">
        <w:t xml:space="preserve"> </w:t>
      </w:r>
    </w:p>
    <w:p w:rsidR="00DC38B9" w:rsidRDefault="000A0226" w:rsidP="00DC668D">
      <w:pPr>
        <w:pStyle w:val="SingleTxtG"/>
      </w:pPr>
      <w:r w:rsidRPr="00D9011B">
        <w:lastRenderedPageBreak/>
        <w:t xml:space="preserve">The Working Group </w:t>
      </w:r>
      <w:r w:rsidR="000145E8">
        <w:t>decided to prioritize its participation and engagement in meetings and discussions related to the development process of national action plans</w:t>
      </w:r>
      <w:r w:rsidR="00E94477">
        <w:t xml:space="preserve">, and to continue to use its convening power to facilitate a sharing of </w:t>
      </w:r>
      <w:r w:rsidR="000145E8">
        <w:t xml:space="preserve">experiences. </w:t>
      </w:r>
      <w:r w:rsidR="00E94477">
        <w:t xml:space="preserve"> I</w:t>
      </w:r>
      <w:r w:rsidR="00537117">
        <w:t>t</w:t>
      </w:r>
      <w:r w:rsidR="00E94477">
        <w:t xml:space="preserve"> also </w:t>
      </w:r>
      <w:r w:rsidR="007B02B3">
        <w:t>reiterated that it would</w:t>
      </w:r>
      <w:r w:rsidR="00812526" w:rsidRPr="00D9011B">
        <w:t xml:space="preserve"> continue to serve as </w:t>
      </w:r>
      <w:r w:rsidR="00CB620C" w:rsidRPr="00D9011B">
        <w:t>a point o</w:t>
      </w:r>
      <w:r w:rsidRPr="00D9011B">
        <w:t>f</w:t>
      </w:r>
      <w:r w:rsidR="00CB620C" w:rsidRPr="00D9011B">
        <w:t xml:space="preserve"> r</w:t>
      </w:r>
      <w:r w:rsidRPr="00D9011B">
        <w:t>e</w:t>
      </w:r>
      <w:r w:rsidR="00CB620C" w:rsidRPr="00D9011B">
        <w:t xml:space="preserve">ference for States that seek assistance </w:t>
      </w:r>
      <w:r w:rsidR="00567A91">
        <w:t xml:space="preserve">and guidance </w:t>
      </w:r>
      <w:r w:rsidR="00E94477">
        <w:t xml:space="preserve">in </w:t>
      </w:r>
      <w:r w:rsidR="00CB620C" w:rsidRPr="00D9011B">
        <w:t>developing national action plans on business and human rights</w:t>
      </w:r>
      <w:r w:rsidR="00E94477">
        <w:t>, including by facilitating contacts and sharing of experiences amongst States</w:t>
      </w:r>
      <w:r w:rsidR="006B1B59">
        <w:t xml:space="preserve">. </w:t>
      </w:r>
      <w:r w:rsidR="006B1B59" w:rsidRPr="006B1B59">
        <w:t>While encouraged by the positive emerging trend of an increasing number of States in different regions taking steps towards national action plans on business and human rights, the Working Group observed that so far the greatest progress with regard to uptake of the Guiding Principles has been the integration of key elements in global standards and initiatives relating to responsible business conduct. Among the most notable and with potential for spurring further progress, the Working Group reflected on the contributions of frameworks such as the OECD Guidelines for Multinational Enterprises (as well as emerging, related guidance within the OECD system), ISO 26000, GRI-G4, as well as sector-specific initiatives by industry bodies (e.g. ICMM and IPIECA) or involving the United Nations (e.g. the Global Compact and the UNEP Finance Initiative).</w:t>
      </w:r>
    </w:p>
    <w:p w:rsidR="00F33171" w:rsidRPr="00F33171" w:rsidRDefault="00F33171" w:rsidP="00F33171">
      <w:pPr>
        <w:pStyle w:val="SingleTxtG"/>
      </w:pPr>
      <w:r>
        <w:t>5</w:t>
      </w:r>
      <w:r w:rsidRPr="00F33171">
        <w:t>.</w:t>
      </w:r>
      <w:r w:rsidRPr="00F33171">
        <w:tab/>
        <w:t xml:space="preserve">The Working Group discussed its proposed country visits in 2015 and maintained its position that it would prioritize a visit to a country in the Latin America and the Caribbean region during 2015, having </w:t>
      </w:r>
      <w:r w:rsidR="00696990">
        <w:t xml:space="preserve">previously </w:t>
      </w:r>
      <w:r w:rsidRPr="00F33171">
        <w:t xml:space="preserve">undertaken visits to </w:t>
      </w:r>
      <w:r w:rsidR="00537117">
        <w:t>countries in Asia, North America, Africa and Eastern Europe</w:t>
      </w:r>
      <w:r w:rsidR="00696990">
        <w:t>.</w:t>
      </w:r>
      <w:r w:rsidRPr="00F33171">
        <w:t xml:space="preserve"> It noted that certain States from the Latin America and the Caribbean region had agreed, in principle, to a visit by the Working Group and that dates were in the process of being negotiated.  </w:t>
      </w:r>
    </w:p>
    <w:p w:rsidR="00F33171" w:rsidRPr="00F33171" w:rsidRDefault="00F33171" w:rsidP="00F33171">
      <w:pPr>
        <w:pStyle w:val="SingleTxtG"/>
      </w:pPr>
      <w:r>
        <w:t>6</w:t>
      </w:r>
      <w:r w:rsidRPr="00F33171">
        <w:t>.</w:t>
      </w:r>
      <w:r w:rsidRPr="00F33171">
        <w:tab/>
        <w:t>The Working Group reiterated its plan to continue sending communications to States, business enterprises and other relevant stakeholders.</w:t>
      </w:r>
      <w:r w:rsidR="00537117">
        <w:t xml:space="preserve"> It also stressed the continued importance of sending communications to both home and host states where relevant, and its on-going commitment to raising awareness among other special procedures mandates of the need to communicate directly with business in communications involving allegations of corporate abuse or negative impacts.</w:t>
      </w:r>
      <w:r w:rsidRPr="00F33171">
        <w:t xml:space="preserve"> It noted that information about the communications procedure is available on the website of the Working Group.</w:t>
      </w:r>
    </w:p>
    <w:p w:rsidR="00F33171" w:rsidRPr="00D9011B" w:rsidRDefault="00F33171" w:rsidP="00F33171">
      <w:pPr>
        <w:pStyle w:val="SingleTxtG"/>
      </w:pPr>
      <w:r>
        <w:t>7</w:t>
      </w:r>
      <w:r w:rsidRPr="00F33171">
        <w:t>.</w:t>
      </w:r>
      <w:r w:rsidRPr="00F33171">
        <w:tab/>
        <w:t>The Working Group discussed its priorities</w:t>
      </w:r>
      <w:r w:rsidR="00927154">
        <w:t>, in addition to</w:t>
      </w:r>
      <w:r w:rsidR="00927154" w:rsidRPr="00927154">
        <w:t xml:space="preserve"> country visits</w:t>
      </w:r>
      <w:r w:rsidR="00927154">
        <w:t>,</w:t>
      </w:r>
      <w:r w:rsidRPr="00F33171">
        <w:t xml:space="preserve"> for the second term of its mandate</w:t>
      </w:r>
      <w:r w:rsidR="00DF6CF6">
        <w:t xml:space="preserve">. </w:t>
      </w:r>
      <w:r w:rsidR="00CF5280">
        <w:t>T</w:t>
      </w:r>
      <w:r w:rsidRPr="00F33171">
        <w:t xml:space="preserve">his included a discussion on the thematic focus of its reports to the General Assembly in 2015 and the Human Rights Council in 2016, </w:t>
      </w:r>
      <w:r w:rsidR="00927154">
        <w:t xml:space="preserve">and </w:t>
      </w:r>
      <w:r w:rsidRPr="00F33171">
        <w:t>a possible visit to a business enterprise or other non-State entity.</w:t>
      </w:r>
      <w:r w:rsidRPr="00F33171" w:rsidDel="00650CB2">
        <w:t xml:space="preserve"> </w:t>
      </w:r>
      <w:r w:rsidRPr="00F33171">
        <w:t>The Working Group also discussed the importance of the post-2015 sustainable development framework for advancing business and human rights issues, as also discussed in its 2015 report to the Human Rights Council (A/HRC/29/28). The Working Group noted in this regard the importance of monitoring business contributions</w:t>
      </w:r>
      <w:r w:rsidR="009C0DDB">
        <w:t xml:space="preserve"> and obstacles</w:t>
      </w:r>
      <w:r w:rsidRPr="00F33171">
        <w:t xml:space="preserve"> to the achievements of the SDGs</w:t>
      </w:r>
      <w:r w:rsidR="009D183F">
        <w:t xml:space="preserve">. </w:t>
      </w:r>
      <w:r w:rsidRPr="00F33171">
        <w:t>The Working Group decided that it would continue to engage in this process and make specific contributions as entry points are identified.</w:t>
      </w:r>
    </w:p>
    <w:p w:rsidR="00DC38B9" w:rsidRPr="00D9011B" w:rsidRDefault="00DC38B9" w:rsidP="00DC38B9">
      <w:pPr>
        <w:pStyle w:val="HChG"/>
        <w:spacing w:line="240" w:lineRule="atLeast"/>
        <w:rPr>
          <w:rFonts w:eastAsia="Calibri"/>
        </w:rPr>
      </w:pPr>
      <w:r w:rsidRPr="00D9011B">
        <w:rPr>
          <w:rFonts w:eastAsia="Calibri"/>
        </w:rPr>
        <w:tab/>
        <w:t>II</w:t>
      </w:r>
      <w:r>
        <w:rPr>
          <w:rFonts w:eastAsia="Calibri"/>
        </w:rPr>
        <w:t>I</w:t>
      </w:r>
      <w:r w:rsidRPr="00D9011B">
        <w:rPr>
          <w:rFonts w:eastAsia="Calibri"/>
        </w:rPr>
        <w:t>.</w:t>
      </w:r>
      <w:r w:rsidRPr="00D9011B">
        <w:rPr>
          <w:rFonts w:eastAsia="Calibri"/>
        </w:rPr>
        <w:tab/>
      </w:r>
      <w:r>
        <w:rPr>
          <w:rFonts w:eastAsia="Calibri"/>
        </w:rPr>
        <w:t>F</w:t>
      </w:r>
      <w:r w:rsidRPr="00D9011B">
        <w:rPr>
          <w:rFonts w:eastAsia="Calibri"/>
        </w:rPr>
        <w:t xml:space="preserve">orthcoming State survey </w:t>
      </w:r>
    </w:p>
    <w:p w:rsidR="006B1B59" w:rsidRDefault="00F33171" w:rsidP="007B02B3">
      <w:pPr>
        <w:pStyle w:val="SingleTxtG"/>
        <w:rPr>
          <w:rFonts w:eastAsia="Calibri"/>
          <w:lang w:val="en-US"/>
        </w:rPr>
      </w:pPr>
      <w:r>
        <w:rPr>
          <w:lang w:val="en-US"/>
        </w:rPr>
        <w:t>8</w:t>
      </w:r>
      <w:r w:rsidR="00DC38B9" w:rsidRPr="00D9011B">
        <w:rPr>
          <w:lang w:val="en-US"/>
        </w:rPr>
        <w:t>.</w:t>
      </w:r>
      <w:r w:rsidR="00DC38B9" w:rsidRPr="00D9011B">
        <w:rPr>
          <w:lang w:val="en-US"/>
        </w:rPr>
        <w:tab/>
      </w:r>
      <w:r w:rsidR="00DC38B9">
        <w:t xml:space="preserve"> </w:t>
      </w:r>
      <w:r w:rsidR="007038D4">
        <w:rPr>
          <w:lang w:val="en-US"/>
        </w:rPr>
        <w:t xml:space="preserve">A key priority for the </w:t>
      </w:r>
      <w:r w:rsidR="000A0226" w:rsidRPr="00D9011B">
        <w:rPr>
          <w:lang w:val="en-US"/>
        </w:rPr>
        <w:t xml:space="preserve">Working Group </w:t>
      </w:r>
      <w:r w:rsidR="007038D4">
        <w:rPr>
          <w:lang w:val="en-US"/>
        </w:rPr>
        <w:t xml:space="preserve">is to </w:t>
      </w:r>
      <w:r w:rsidR="00A07F20">
        <w:rPr>
          <w:lang w:val="en-US"/>
        </w:rPr>
        <w:t xml:space="preserve">contribute to enhancing efforts to </w:t>
      </w:r>
      <w:r w:rsidR="00CB620C" w:rsidRPr="00D9011B">
        <w:rPr>
          <w:lang w:val="en-US"/>
        </w:rPr>
        <w:t xml:space="preserve">track progress in the field of business and human rights. It </w:t>
      </w:r>
      <w:r w:rsidR="000A0226" w:rsidRPr="00D9011B">
        <w:rPr>
          <w:lang w:val="en-US"/>
        </w:rPr>
        <w:t>resolved that f</w:t>
      </w:r>
      <w:r w:rsidR="000A0226" w:rsidRPr="00D9011B">
        <w:rPr>
          <w:rFonts w:eastAsia="Calibri"/>
          <w:lang w:val="en-US"/>
        </w:rPr>
        <w:t>ollowing on from previous efforts by the Working Group to map State practice and lessons learned on implementation of the Guiding Principles</w:t>
      </w:r>
      <w:r w:rsidR="00002E88">
        <w:rPr>
          <w:rFonts w:eastAsia="Calibri"/>
          <w:lang w:val="en-US"/>
        </w:rPr>
        <w:t xml:space="preserve"> on Business and Human Rights</w:t>
      </w:r>
      <w:r w:rsidR="000A0226" w:rsidRPr="00D9011B">
        <w:rPr>
          <w:rFonts w:eastAsia="Calibri"/>
          <w:lang w:val="en-US"/>
        </w:rPr>
        <w:t xml:space="preserve">, it will again shortly distribute a survey to all States. The focus of the survey will be on the roles and responsibilities of States as economic actors, including with regard to business enterprises owned, operated, or managed by the State, business enterprises in which the State is a majority shareholder or exercises substantial control, and financial institutions such as sovereign wealth or pension funds, development banks, export credit agencies and official </w:t>
      </w:r>
      <w:r w:rsidR="000A0226" w:rsidRPr="00D9011B">
        <w:rPr>
          <w:rFonts w:eastAsia="Calibri"/>
          <w:lang w:val="en-US"/>
        </w:rPr>
        <w:lastRenderedPageBreak/>
        <w:t xml:space="preserve">investment and insurance guarantee agencies. </w:t>
      </w:r>
      <w:r w:rsidR="00DF6A81">
        <w:rPr>
          <w:rFonts w:eastAsia="Calibri"/>
          <w:lang w:val="en-US"/>
        </w:rPr>
        <w:t>Specifically, the survey</w:t>
      </w:r>
      <w:r w:rsidR="00DF6A81" w:rsidRPr="00DF6A81">
        <w:rPr>
          <w:rFonts w:eastAsia="Calibri"/>
          <w:lang w:val="en-US"/>
        </w:rPr>
        <w:t xml:space="preserve"> </w:t>
      </w:r>
      <w:r w:rsidR="00DF6A81">
        <w:rPr>
          <w:rFonts w:eastAsia="Calibri"/>
          <w:lang w:val="en-US"/>
        </w:rPr>
        <w:t>will relate</w:t>
      </w:r>
      <w:r w:rsidR="00DF6A81" w:rsidRPr="00DF6A81">
        <w:rPr>
          <w:rFonts w:eastAsia="Calibri"/>
          <w:lang w:val="en-US"/>
        </w:rPr>
        <w:t xml:space="preserve"> to Guiding Principle 4 </w:t>
      </w:r>
      <w:r w:rsidR="00DF6A81">
        <w:rPr>
          <w:rFonts w:eastAsia="Calibri"/>
          <w:lang w:val="en-US"/>
        </w:rPr>
        <w:t xml:space="preserve">which addresses the need for States </w:t>
      </w:r>
      <w:r w:rsidR="00DF6A81" w:rsidRPr="00DF6A81">
        <w:rPr>
          <w:rFonts w:eastAsia="Calibri"/>
          <w:lang w:val="en-US"/>
        </w:rPr>
        <w:t>to protect against human rights abuses by business enterprises that are o</w:t>
      </w:r>
      <w:r w:rsidR="00DF6A81">
        <w:rPr>
          <w:rFonts w:eastAsia="Calibri"/>
          <w:lang w:val="en-US"/>
        </w:rPr>
        <w:t>wned or controlled by the Stat</w:t>
      </w:r>
      <w:r w:rsidR="006B1B59">
        <w:rPr>
          <w:rFonts w:eastAsia="Calibri"/>
          <w:lang w:val="en-US"/>
        </w:rPr>
        <w:t>e</w:t>
      </w:r>
      <w:r w:rsidR="000A0226" w:rsidRPr="00D9011B">
        <w:rPr>
          <w:rFonts w:eastAsia="Calibri"/>
          <w:lang w:val="en-US"/>
        </w:rPr>
        <w:t xml:space="preserve">. </w:t>
      </w:r>
      <w:r w:rsidR="006B1B59" w:rsidRPr="006B1B59">
        <w:rPr>
          <w:rFonts w:eastAsia="Calibri"/>
          <w:lang w:val="en-US"/>
        </w:rPr>
        <w:t xml:space="preserve">While not a specific focus in the survey, the Working Group also noted that </w:t>
      </w:r>
      <w:r w:rsidR="006B1B59">
        <w:rPr>
          <w:rFonts w:eastAsia="Calibri"/>
          <w:lang w:val="en-US"/>
        </w:rPr>
        <w:t>Guiding Principle</w:t>
      </w:r>
      <w:r w:rsidR="006B1B59" w:rsidRPr="006B1B59">
        <w:rPr>
          <w:rFonts w:eastAsia="Calibri"/>
          <w:lang w:val="en-US"/>
        </w:rPr>
        <w:t xml:space="preserve"> 5 (requiring States to exercise adequate oversight when contracting with or legislating for business to provide services that may impact upon human rights) and Guiding Principle 6 (ensuring respect for human rights when conducting commercial transactions, not least through public procurement) were highly pertinent in the context of the role of the State as an economic actor. It resolved that these principles may be the subject of future surveys by the Working Group. </w:t>
      </w:r>
    </w:p>
    <w:p w:rsidR="000A0226" w:rsidRPr="007B02B3" w:rsidRDefault="00885B5B" w:rsidP="007B02B3">
      <w:pPr>
        <w:pStyle w:val="SingleTxtG"/>
      </w:pPr>
      <w:r>
        <w:rPr>
          <w:rFonts w:eastAsia="Calibri"/>
          <w:lang w:val="en-US"/>
        </w:rPr>
        <w:t>9.</w:t>
      </w:r>
      <w:r>
        <w:rPr>
          <w:rFonts w:eastAsia="Calibri"/>
          <w:lang w:val="en-US"/>
        </w:rPr>
        <w:tab/>
      </w:r>
      <w:r w:rsidR="006B1B59" w:rsidRPr="006B1B59">
        <w:rPr>
          <w:rFonts w:eastAsia="Calibri"/>
          <w:lang w:val="en-US"/>
        </w:rPr>
        <w:t>In addition, the Working Group decided that it would also like to receive updates from States on their general approaches to business and human rights</w:t>
      </w:r>
      <w:r w:rsidR="006B1B59">
        <w:rPr>
          <w:rFonts w:eastAsia="Calibri"/>
          <w:lang w:val="en-US"/>
        </w:rPr>
        <w:t xml:space="preserve"> </w:t>
      </w:r>
      <w:r w:rsidR="006B1B59" w:rsidRPr="006B1B59">
        <w:rPr>
          <w:rFonts w:eastAsia="Calibri"/>
          <w:lang w:val="en-US"/>
        </w:rPr>
        <w:t>with a view to both signaling the importance of and understanding better current challenges and innovations relating to government policy coherence. In particular, it would like to receive information from States as to whether they are in the process of, or contemplating the development of, national action plans, given the close relationship between national action plans on business and human rights and other public policy efforts relating to promotion of responsible business practice. The Working Group considered that</w:t>
      </w:r>
      <w:r w:rsidR="006B1B59">
        <w:rPr>
          <w:rFonts w:eastAsia="Calibri"/>
          <w:lang w:val="en-US"/>
        </w:rPr>
        <w:t xml:space="preserve"> </w:t>
      </w:r>
      <w:r w:rsidR="006B1B59" w:rsidRPr="006B1B59">
        <w:rPr>
          <w:rFonts w:eastAsia="Calibri"/>
          <w:lang w:val="en-US"/>
        </w:rPr>
        <w:t>States in all regions will have relevant practice and lessons to share with regard to these aspects</w:t>
      </w:r>
      <w:r w:rsidR="006B1B59">
        <w:rPr>
          <w:rFonts w:eastAsia="Calibri"/>
          <w:lang w:val="en-US"/>
        </w:rPr>
        <w:t>.</w:t>
      </w:r>
    </w:p>
    <w:p w:rsidR="000A0226" w:rsidRPr="00D9011B" w:rsidRDefault="00885B5B" w:rsidP="000A0226">
      <w:pPr>
        <w:pStyle w:val="SingleTxtG"/>
        <w:rPr>
          <w:lang w:val="en-US"/>
        </w:rPr>
      </w:pPr>
      <w:r>
        <w:rPr>
          <w:rFonts w:eastAsia="Calibri"/>
          <w:lang w:val="en-US"/>
        </w:rPr>
        <w:t>10</w:t>
      </w:r>
      <w:r w:rsidR="00DC668D">
        <w:rPr>
          <w:rFonts w:eastAsia="Calibri"/>
          <w:lang w:val="en-US"/>
        </w:rPr>
        <w:t>.</w:t>
      </w:r>
      <w:r w:rsidR="00DC668D">
        <w:rPr>
          <w:rFonts w:eastAsia="Calibri"/>
          <w:lang w:val="en-US"/>
        </w:rPr>
        <w:tab/>
      </w:r>
      <w:r w:rsidR="000A0226" w:rsidRPr="00D9011B">
        <w:rPr>
          <w:rFonts w:eastAsia="Calibri"/>
          <w:lang w:val="en-US"/>
        </w:rPr>
        <w:t>The results of the survey will inform a dedicated session at the 4</w:t>
      </w:r>
      <w:r w:rsidR="000A0226" w:rsidRPr="00D9011B">
        <w:rPr>
          <w:rFonts w:eastAsia="Calibri"/>
          <w:vertAlign w:val="superscript"/>
          <w:lang w:val="en-US"/>
        </w:rPr>
        <w:t>th</w:t>
      </w:r>
      <w:r w:rsidR="000A0226" w:rsidRPr="00D9011B">
        <w:rPr>
          <w:rFonts w:eastAsia="Calibri"/>
          <w:lang w:val="en-US"/>
        </w:rPr>
        <w:t xml:space="preserve"> annual Forum on Business and Human Rights. This session will involve panels addressing both national action plans and the topic of human rights and State-owned enterprises and other business controlled by the State. It will be an opportunity for participating States to share their experiences with the Forum audience and engage in multi-stakeholder dialogue</w:t>
      </w:r>
      <w:r w:rsidR="00A07F20">
        <w:rPr>
          <w:rFonts w:eastAsia="Calibri"/>
          <w:lang w:val="en-US"/>
        </w:rPr>
        <w:t xml:space="preserve"> on this topic</w:t>
      </w:r>
      <w:r w:rsidR="000A0226" w:rsidRPr="00D9011B">
        <w:rPr>
          <w:rFonts w:eastAsia="Calibri"/>
          <w:lang w:val="en-US"/>
        </w:rPr>
        <w:t xml:space="preserve">. </w:t>
      </w:r>
    </w:p>
    <w:p w:rsidR="000A0226" w:rsidRPr="000A0226" w:rsidRDefault="00885B5B" w:rsidP="000A0226">
      <w:pPr>
        <w:pStyle w:val="SingleTxtG"/>
        <w:rPr>
          <w:rFonts w:eastAsia="Calibri"/>
          <w:lang w:val="en-US"/>
        </w:rPr>
      </w:pPr>
      <w:r>
        <w:rPr>
          <w:rFonts w:eastAsia="Calibri"/>
          <w:lang w:val="en-US"/>
        </w:rPr>
        <w:t>11</w:t>
      </w:r>
      <w:r w:rsidR="00DC668D">
        <w:rPr>
          <w:rFonts w:eastAsia="Calibri"/>
          <w:lang w:val="en-US"/>
        </w:rPr>
        <w:t>.</w:t>
      </w:r>
      <w:r w:rsidR="00DC668D">
        <w:rPr>
          <w:rFonts w:eastAsia="Calibri"/>
          <w:lang w:val="en-US"/>
        </w:rPr>
        <w:tab/>
      </w:r>
      <w:r w:rsidR="000A0226" w:rsidRPr="00D9011B">
        <w:rPr>
          <w:rFonts w:eastAsia="Calibri"/>
          <w:lang w:val="en-US"/>
        </w:rPr>
        <w:t>The results</w:t>
      </w:r>
      <w:r w:rsidR="00A07F20">
        <w:rPr>
          <w:rFonts w:eastAsia="Calibri"/>
          <w:lang w:val="en-US"/>
        </w:rPr>
        <w:t xml:space="preserve"> of the survey</w:t>
      </w:r>
      <w:r w:rsidR="000A0226" w:rsidRPr="00D9011B">
        <w:rPr>
          <w:rFonts w:eastAsia="Calibri"/>
          <w:lang w:val="en-US"/>
        </w:rPr>
        <w:t xml:space="preserve"> will </w:t>
      </w:r>
      <w:r w:rsidR="00046241">
        <w:rPr>
          <w:rFonts w:eastAsia="Calibri"/>
          <w:lang w:val="en-US"/>
        </w:rPr>
        <w:t xml:space="preserve">also </w:t>
      </w:r>
      <w:r w:rsidR="000A0226" w:rsidRPr="00D9011B">
        <w:rPr>
          <w:rFonts w:eastAsia="Calibri"/>
          <w:lang w:val="en-US"/>
        </w:rPr>
        <w:t>feed into the Working Group’s tracking and analysis of trends in implementation of the Guiding Principles</w:t>
      </w:r>
      <w:r w:rsidR="00002E88">
        <w:rPr>
          <w:rFonts w:eastAsia="Calibri"/>
          <w:lang w:val="en-US"/>
        </w:rPr>
        <w:t xml:space="preserve"> on Business and Human Rights</w:t>
      </w:r>
      <w:r w:rsidR="000A0226" w:rsidRPr="00D9011B">
        <w:rPr>
          <w:rFonts w:eastAsia="Calibri"/>
          <w:lang w:val="en-US"/>
        </w:rPr>
        <w:t xml:space="preserve">. The Working Group </w:t>
      </w:r>
      <w:proofErr w:type="spellStart"/>
      <w:r w:rsidR="000A0226" w:rsidRPr="00D9011B">
        <w:rPr>
          <w:rFonts w:eastAsia="Calibri"/>
          <w:lang w:val="en-US"/>
        </w:rPr>
        <w:t>emphasised</w:t>
      </w:r>
      <w:proofErr w:type="spellEnd"/>
      <w:r w:rsidR="000A0226" w:rsidRPr="00D9011B">
        <w:rPr>
          <w:rFonts w:eastAsia="Calibri"/>
          <w:lang w:val="en-US"/>
        </w:rPr>
        <w:t xml:space="preserve"> that it welcomes contributions from all States and it appreciates the resources that States will expend in supporting the collective goal of achieving a better understanding of the current state of play, existing challenges and practices, by responding to the survey.</w:t>
      </w:r>
      <w:r w:rsidR="00A07F20">
        <w:rPr>
          <w:rFonts w:eastAsia="Calibri"/>
          <w:lang w:val="en-US"/>
        </w:rPr>
        <w:t xml:space="preserve"> It resolved that future survey efforts should examine practices, challenges and lessons learned with regard to </w:t>
      </w:r>
      <w:r w:rsidR="007E0C1E">
        <w:rPr>
          <w:rFonts w:eastAsia="Calibri"/>
          <w:lang w:val="en-US"/>
        </w:rPr>
        <w:t xml:space="preserve">the </w:t>
      </w:r>
      <w:r w:rsidR="00A07F20">
        <w:rPr>
          <w:rFonts w:eastAsia="Calibri"/>
          <w:lang w:val="en-US"/>
        </w:rPr>
        <w:t>implementation of other specific principles</w:t>
      </w:r>
      <w:r w:rsidR="007E0C1E">
        <w:rPr>
          <w:rFonts w:eastAsia="Calibri"/>
          <w:lang w:val="en-US"/>
        </w:rPr>
        <w:t>,</w:t>
      </w:r>
      <w:r w:rsidR="00A07F20">
        <w:rPr>
          <w:rFonts w:eastAsia="Calibri"/>
          <w:lang w:val="en-US"/>
        </w:rPr>
        <w:t xml:space="preserve"> or clusters of principles</w:t>
      </w:r>
      <w:r w:rsidR="007E0C1E">
        <w:rPr>
          <w:rFonts w:eastAsia="Calibri"/>
          <w:lang w:val="en-US"/>
        </w:rPr>
        <w:t>,</w:t>
      </w:r>
      <w:r w:rsidR="00A07F20">
        <w:rPr>
          <w:rFonts w:eastAsia="Calibri"/>
          <w:lang w:val="en-US"/>
        </w:rPr>
        <w:t xml:space="preserve"> of the </w:t>
      </w:r>
      <w:r w:rsidR="00E94477">
        <w:rPr>
          <w:rFonts w:eastAsia="Calibri"/>
          <w:lang w:val="en-US"/>
        </w:rPr>
        <w:t>Guiding Principles</w:t>
      </w:r>
      <w:r w:rsidR="00A07F20">
        <w:rPr>
          <w:rFonts w:eastAsia="Calibri"/>
          <w:lang w:val="en-US"/>
        </w:rPr>
        <w:t>.</w:t>
      </w:r>
    </w:p>
    <w:p w:rsidR="00136A0E" w:rsidRPr="00030156" w:rsidRDefault="00DC38B9" w:rsidP="00912A75">
      <w:pPr>
        <w:pStyle w:val="HChG"/>
        <w:spacing w:line="240" w:lineRule="atLeast"/>
        <w:rPr>
          <w:rFonts w:eastAsia="Calibri"/>
        </w:rPr>
      </w:pPr>
      <w:r>
        <w:rPr>
          <w:rFonts w:eastAsia="Calibri"/>
        </w:rPr>
        <w:tab/>
        <w:t>IV</w:t>
      </w:r>
      <w:r w:rsidR="00BC026F" w:rsidRPr="00B94163">
        <w:rPr>
          <w:rFonts w:eastAsia="Calibri"/>
        </w:rPr>
        <w:t>.</w:t>
      </w:r>
      <w:r w:rsidR="00BC026F" w:rsidRPr="00B94163">
        <w:rPr>
          <w:rFonts w:eastAsia="Calibri"/>
        </w:rPr>
        <w:tab/>
      </w:r>
      <w:r w:rsidR="009D6547">
        <w:rPr>
          <w:rFonts w:eastAsia="Calibri"/>
        </w:rPr>
        <w:t xml:space="preserve">One-day </w:t>
      </w:r>
      <w:r w:rsidR="009250FA" w:rsidRPr="009D6547">
        <w:rPr>
          <w:rFonts w:eastAsia="Calibri"/>
        </w:rPr>
        <w:t>expert consultation</w:t>
      </w:r>
      <w:r w:rsidR="009D6547">
        <w:rPr>
          <w:rFonts w:eastAsia="Calibri"/>
        </w:rPr>
        <w:t xml:space="preserve"> on </w:t>
      </w:r>
      <w:r w:rsidR="009D6547">
        <w:rPr>
          <w:rFonts w:eastAsia="Calibri"/>
          <w:lang w:val="en-US"/>
        </w:rPr>
        <w:t>m</w:t>
      </w:r>
      <w:r w:rsidR="009D6547" w:rsidRPr="009D6547">
        <w:rPr>
          <w:rFonts w:eastAsia="Calibri"/>
          <w:lang w:val="en-US"/>
        </w:rPr>
        <w:t>easuring and monitoring progress in the implementation of the Guiding Prin</w:t>
      </w:r>
      <w:r w:rsidR="009D6547">
        <w:rPr>
          <w:rFonts w:eastAsia="Calibri"/>
          <w:lang w:val="en-US"/>
        </w:rPr>
        <w:t>ciples</w:t>
      </w:r>
      <w:r w:rsidR="0010541D" w:rsidRPr="0010541D">
        <w:rPr>
          <w:rFonts w:eastAsia="Calibri"/>
          <w:b w:val="0"/>
          <w:sz w:val="20"/>
        </w:rPr>
        <w:t xml:space="preserve"> </w:t>
      </w:r>
      <w:r w:rsidR="0010541D" w:rsidRPr="0010541D">
        <w:rPr>
          <w:rFonts w:eastAsia="Calibri"/>
        </w:rPr>
        <w:t>on Business and Human Rights</w:t>
      </w:r>
    </w:p>
    <w:p w:rsidR="00030156" w:rsidRDefault="00885B5B" w:rsidP="00030156">
      <w:pPr>
        <w:pStyle w:val="SingleTxtG"/>
        <w:rPr>
          <w:rFonts w:eastAsia="Calibri"/>
          <w:lang w:val="en-US"/>
        </w:rPr>
      </w:pPr>
      <w:r>
        <w:rPr>
          <w:rFonts w:eastAsia="Calibri"/>
          <w:lang w:val="en-US"/>
        </w:rPr>
        <w:t>12</w:t>
      </w:r>
      <w:r w:rsidR="00DC668D" w:rsidRPr="00030156">
        <w:rPr>
          <w:rFonts w:eastAsia="Calibri"/>
          <w:lang w:val="en-US"/>
        </w:rPr>
        <w:t>.</w:t>
      </w:r>
      <w:r w:rsidR="00DC668D" w:rsidRPr="00030156">
        <w:rPr>
          <w:rFonts w:eastAsia="Calibri"/>
          <w:lang w:val="en-US"/>
        </w:rPr>
        <w:tab/>
      </w:r>
      <w:r w:rsidR="00030156">
        <w:rPr>
          <w:rFonts w:eastAsia="Calibri"/>
          <w:lang w:val="en-US"/>
        </w:rPr>
        <w:t xml:space="preserve">During its tenth session the Working Group discussed its </w:t>
      </w:r>
      <w:r w:rsidR="00030156" w:rsidRPr="00030156">
        <w:rPr>
          <w:rFonts w:eastAsia="Calibri"/>
          <w:lang w:val="en-US"/>
        </w:rPr>
        <w:t xml:space="preserve">strategy and priorities </w:t>
      </w:r>
      <w:r w:rsidR="00030156">
        <w:rPr>
          <w:rFonts w:eastAsia="Calibri"/>
          <w:lang w:val="en-US"/>
        </w:rPr>
        <w:t>and concluded that measuring progress in relation to the uptake of the Guiding Principles</w:t>
      </w:r>
      <w:r w:rsidR="00002E88">
        <w:rPr>
          <w:rFonts w:eastAsia="Calibri"/>
          <w:lang w:val="en-US"/>
        </w:rPr>
        <w:t xml:space="preserve"> on Business and Human Rights</w:t>
      </w:r>
      <w:r w:rsidR="00030156">
        <w:rPr>
          <w:rFonts w:eastAsia="Calibri"/>
          <w:lang w:val="en-US"/>
        </w:rPr>
        <w:t xml:space="preserve"> would be an important element of its work during its second </w:t>
      </w:r>
      <w:r w:rsidR="00030156" w:rsidRPr="00E2534D">
        <w:rPr>
          <w:rFonts w:eastAsia="Calibri"/>
          <w:lang w:val="en-US"/>
        </w:rPr>
        <w:t>mandate term</w:t>
      </w:r>
      <w:r w:rsidR="008C0383" w:rsidRPr="00717BB9">
        <w:rPr>
          <w:rFonts w:eastAsia="Calibri"/>
          <w:lang w:val="en-US"/>
        </w:rPr>
        <w:t xml:space="preserve">, and </w:t>
      </w:r>
      <w:r w:rsidR="0011039E" w:rsidRPr="009879EF">
        <w:rPr>
          <w:rFonts w:eastAsia="Calibri"/>
          <w:lang w:val="en-US"/>
        </w:rPr>
        <w:t xml:space="preserve">that this topic </w:t>
      </w:r>
      <w:r w:rsidR="008C0383" w:rsidRPr="009879EF">
        <w:rPr>
          <w:rFonts w:eastAsia="Calibri"/>
          <w:lang w:val="en-US"/>
        </w:rPr>
        <w:t>would be addressed in its next report to the General Assembly</w:t>
      </w:r>
      <w:r w:rsidR="00030156" w:rsidRPr="009879EF">
        <w:rPr>
          <w:rFonts w:eastAsia="Calibri"/>
          <w:lang w:val="en-US"/>
        </w:rPr>
        <w:t>. In light of this, t</w:t>
      </w:r>
      <w:r w:rsidR="005B1394" w:rsidRPr="009879EF">
        <w:rPr>
          <w:rFonts w:eastAsia="Calibri"/>
          <w:lang w:val="en-US"/>
        </w:rPr>
        <w:t xml:space="preserve">he </w:t>
      </w:r>
      <w:r w:rsidR="00030156" w:rsidRPr="009879EF">
        <w:rPr>
          <w:rFonts w:eastAsia="Calibri"/>
          <w:lang w:val="en-US"/>
        </w:rPr>
        <w:t xml:space="preserve">Working Group convened a one-day expert consultation during its eleventh session titled “Measuring and monitoring progress in the implementation of the UN Guiding Principles on Business and Human Rights” which explored what kinds of benchmarks, indicators, metrics and statistics are relevant to monitor and evaluate progress towards the implementation of the Guiding Principles. The Working Group invited a group of 17 experts from different regions to join it for a structured consultation </w:t>
      </w:r>
      <w:r w:rsidR="00766904" w:rsidRPr="009879EF">
        <w:rPr>
          <w:rFonts w:eastAsia="Calibri"/>
          <w:lang w:val="en-US"/>
        </w:rPr>
        <w:t xml:space="preserve">and </w:t>
      </w:r>
      <w:r w:rsidR="00A02591" w:rsidRPr="006811A8">
        <w:rPr>
          <w:rFonts w:eastAsia="Calibri"/>
          <w:lang w:val="en-US"/>
        </w:rPr>
        <w:t>exchange of views</w:t>
      </w:r>
      <w:r w:rsidR="00747329" w:rsidRPr="006811A8">
        <w:rPr>
          <w:rFonts w:eastAsia="Calibri"/>
          <w:lang w:val="en-US"/>
        </w:rPr>
        <w:t xml:space="preserve"> under the</w:t>
      </w:r>
      <w:r w:rsidR="00747329" w:rsidRPr="00C811DD">
        <w:rPr>
          <w:rFonts w:ascii="Calibri" w:hAnsi="Arial Unicode MS"/>
          <w:b/>
          <w:sz w:val="22"/>
          <w:szCs w:val="22"/>
          <w:lang w:val="en-US" w:eastAsia="en-GB"/>
        </w:rPr>
        <w:t xml:space="preserve"> </w:t>
      </w:r>
      <w:r w:rsidR="00747329" w:rsidRPr="00C811DD">
        <w:rPr>
          <w:rFonts w:eastAsia="Calibri"/>
          <w:lang w:val="en-US"/>
        </w:rPr>
        <w:t>Chatham House Rule</w:t>
      </w:r>
      <w:r w:rsidR="00766904" w:rsidRPr="00C811DD">
        <w:rPr>
          <w:rFonts w:eastAsia="Calibri"/>
          <w:lang w:val="en-US"/>
        </w:rPr>
        <w:t>.</w:t>
      </w:r>
    </w:p>
    <w:p w:rsidR="00A116DE" w:rsidRDefault="00885B5B" w:rsidP="00A116DE">
      <w:pPr>
        <w:pStyle w:val="SingleTxtG"/>
        <w:rPr>
          <w:rFonts w:eastAsia="Calibri"/>
          <w:lang w:val="en-US"/>
        </w:rPr>
      </w:pPr>
      <w:r>
        <w:rPr>
          <w:rFonts w:eastAsia="Calibri"/>
          <w:lang w:val="en-US"/>
        </w:rPr>
        <w:lastRenderedPageBreak/>
        <w:t>13</w:t>
      </w:r>
      <w:r w:rsidR="00A116DE">
        <w:rPr>
          <w:rFonts w:eastAsia="Calibri"/>
          <w:lang w:val="en-US"/>
        </w:rPr>
        <w:t>.</w:t>
      </w:r>
      <w:r w:rsidR="00A116DE">
        <w:rPr>
          <w:rFonts w:eastAsia="Calibri"/>
          <w:lang w:val="en-US"/>
        </w:rPr>
        <w:tab/>
      </w:r>
      <w:r w:rsidR="00A116DE" w:rsidRPr="00A116DE">
        <w:rPr>
          <w:rFonts w:eastAsia="Calibri"/>
          <w:lang w:val="en-US"/>
        </w:rPr>
        <w:t>The consultation had a broad focus to include key ini</w:t>
      </w:r>
      <w:r w:rsidR="00A116DE">
        <w:rPr>
          <w:rFonts w:eastAsia="Calibri"/>
          <w:lang w:val="en-US"/>
        </w:rPr>
        <w:t xml:space="preserve">tiatives aimed at measuring not </w:t>
      </w:r>
      <w:r w:rsidR="00A116DE" w:rsidRPr="00A116DE">
        <w:rPr>
          <w:rFonts w:eastAsia="Calibri"/>
          <w:lang w:val="en-US"/>
        </w:rPr>
        <w:t>only the general uptake of the Guiding Principles on Business and Human Rights but also the level of implementation of the Guiding Principles</w:t>
      </w:r>
      <w:r w:rsidR="00A116DE" w:rsidRPr="00A116DE">
        <w:rPr>
          <w:rFonts w:eastAsia="Calibri"/>
        </w:rPr>
        <w:t xml:space="preserve">. </w:t>
      </w:r>
      <w:r w:rsidR="00A116DE" w:rsidRPr="00A116DE">
        <w:rPr>
          <w:rFonts w:eastAsia="Calibri"/>
          <w:lang w:val="en-US"/>
        </w:rPr>
        <w:t xml:space="preserve">The first session discussed a wide range of initiatives which set out to measure progress in the human rights and business field, by both States and businesses, with the aim of identifying their methodologies, their strengths and weaknesses, and potential gaps. The second session looked at initiatives beyond the human rights and business field that seek to measure States’ progress or rank businesses, such as those related to measuring progress in the </w:t>
      </w:r>
      <w:r w:rsidR="00A116DE" w:rsidRPr="00A116DE">
        <w:rPr>
          <w:rFonts w:eastAsia="Calibri"/>
        </w:rPr>
        <w:t>implementation of international human rights norms and principles</w:t>
      </w:r>
      <w:r w:rsidR="00A116DE" w:rsidRPr="00A116DE">
        <w:rPr>
          <w:rFonts w:eastAsia="Calibri"/>
          <w:lang w:val="en-US"/>
        </w:rPr>
        <w:t>, human development and sustainability indexes and reporting. The final sessions discussed challenges related to identifying meaningful indicators to assess progress in the implementation of the Guiding Principles with respect to all three pillars (State duty to protect, corporate responsibility to respect, and access to remedy for victims).</w:t>
      </w:r>
    </w:p>
    <w:p w:rsidR="00DF08F4" w:rsidRPr="00914AF6" w:rsidRDefault="00885B5B" w:rsidP="00914AF6">
      <w:pPr>
        <w:pStyle w:val="SingleTxtG"/>
        <w:rPr>
          <w:rFonts w:eastAsia="Calibri"/>
          <w:lang w:val="en-US"/>
        </w:rPr>
      </w:pPr>
      <w:r>
        <w:rPr>
          <w:rFonts w:eastAsia="Calibri"/>
          <w:lang w:val="en-US"/>
        </w:rPr>
        <w:t>14</w:t>
      </w:r>
      <w:r w:rsidR="00A773A1" w:rsidRPr="00030156">
        <w:rPr>
          <w:rFonts w:eastAsia="Calibri"/>
          <w:lang w:val="en-US"/>
        </w:rPr>
        <w:t>.</w:t>
      </w:r>
      <w:r w:rsidR="00A773A1" w:rsidRPr="00030156">
        <w:rPr>
          <w:rFonts w:eastAsia="Calibri"/>
          <w:lang w:val="en-US"/>
        </w:rPr>
        <w:tab/>
      </w:r>
      <w:r w:rsidR="00A807BD" w:rsidRPr="00030156">
        <w:rPr>
          <w:rFonts w:eastAsia="Calibri"/>
        </w:rPr>
        <w:t xml:space="preserve"> </w:t>
      </w:r>
      <w:r w:rsidR="00914AF6" w:rsidRPr="00914AF6">
        <w:rPr>
          <w:rFonts w:eastAsia="Calibri"/>
          <w:lang w:val="en-US"/>
        </w:rPr>
        <w:t xml:space="preserve">The </w:t>
      </w:r>
      <w:r w:rsidR="009E49E1">
        <w:rPr>
          <w:rFonts w:eastAsia="Calibri"/>
          <w:lang w:val="en-US"/>
        </w:rPr>
        <w:t xml:space="preserve">fruitful </w:t>
      </w:r>
      <w:r w:rsidR="00914AF6" w:rsidRPr="00914AF6">
        <w:rPr>
          <w:rFonts w:eastAsia="Calibri"/>
          <w:lang w:val="en-US"/>
        </w:rPr>
        <w:t xml:space="preserve">discussions </w:t>
      </w:r>
      <w:r w:rsidR="00914AF6">
        <w:rPr>
          <w:rFonts w:eastAsia="Calibri"/>
          <w:lang w:val="en-US"/>
        </w:rPr>
        <w:t xml:space="preserve">undertaken </w:t>
      </w:r>
      <w:r w:rsidR="00914AF6" w:rsidRPr="00914AF6">
        <w:rPr>
          <w:rFonts w:eastAsia="Calibri"/>
          <w:lang w:val="en-US"/>
        </w:rPr>
        <w:t xml:space="preserve">during the consultation will inform the Working Group’s next report to the General Assembly which will be </w:t>
      </w:r>
      <w:r w:rsidR="00E86745">
        <w:rPr>
          <w:rFonts w:eastAsia="Calibri"/>
          <w:lang w:val="en-US"/>
        </w:rPr>
        <w:t>presented at the 70</w:t>
      </w:r>
      <w:r w:rsidR="00E86745" w:rsidRPr="00432F7E">
        <w:rPr>
          <w:rFonts w:eastAsia="Calibri"/>
          <w:vertAlign w:val="superscript"/>
          <w:lang w:val="en-US"/>
        </w:rPr>
        <w:t>th</w:t>
      </w:r>
      <w:r w:rsidR="00E86745">
        <w:rPr>
          <w:rFonts w:eastAsia="Calibri"/>
          <w:lang w:val="en-US"/>
        </w:rPr>
        <w:t xml:space="preserve"> session of the General Assembly</w:t>
      </w:r>
      <w:r w:rsidR="001234D8">
        <w:rPr>
          <w:rFonts w:eastAsia="Calibri"/>
          <w:lang w:val="en-US"/>
        </w:rPr>
        <w:t xml:space="preserve"> in October 2015</w:t>
      </w:r>
      <w:r w:rsidR="00914AF6">
        <w:rPr>
          <w:rFonts w:eastAsia="Calibri"/>
          <w:lang w:val="en-US"/>
        </w:rPr>
        <w:t xml:space="preserve">. </w:t>
      </w:r>
      <w:r w:rsidR="00CC305E">
        <w:rPr>
          <w:rFonts w:eastAsia="Calibri"/>
          <w:lang w:val="en-US"/>
        </w:rPr>
        <w:t>The Working Group records</w:t>
      </w:r>
      <w:r w:rsidR="001D5710">
        <w:rPr>
          <w:rFonts w:eastAsia="Calibri"/>
          <w:lang w:val="en-US"/>
        </w:rPr>
        <w:t xml:space="preserve"> its thanks to the experts for participating in the consultation and for generously and enthusiastically engaging with the topic.</w:t>
      </w:r>
    </w:p>
    <w:p w:rsidR="00136A0E" w:rsidRPr="00D9011B" w:rsidRDefault="00BC026F" w:rsidP="004922A6">
      <w:pPr>
        <w:pStyle w:val="HChG"/>
        <w:spacing w:line="240" w:lineRule="atLeast"/>
        <w:rPr>
          <w:rFonts w:eastAsia="Calibri"/>
        </w:rPr>
      </w:pPr>
      <w:r w:rsidRPr="00B813B1">
        <w:rPr>
          <w:rFonts w:eastAsia="Calibri"/>
        </w:rPr>
        <w:tab/>
        <w:t>V.</w:t>
      </w:r>
      <w:r w:rsidRPr="00B813B1">
        <w:rPr>
          <w:rFonts w:eastAsia="Calibri"/>
        </w:rPr>
        <w:tab/>
      </w:r>
      <w:r w:rsidR="008A446D" w:rsidRPr="00D9011B">
        <w:rPr>
          <w:rFonts w:eastAsia="Calibri"/>
        </w:rPr>
        <w:t>Fourth</w:t>
      </w:r>
      <w:r w:rsidR="00136A0E" w:rsidRPr="00D9011B">
        <w:rPr>
          <w:rFonts w:eastAsia="Calibri"/>
        </w:rPr>
        <w:t xml:space="preserve"> annual Forum on Business </w:t>
      </w:r>
      <w:r w:rsidR="00534584" w:rsidRPr="00D9011B">
        <w:rPr>
          <w:rFonts w:eastAsia="Calibri"/>
        </w:rPr>
        <w:t xml:space="preserve">and Human Rights and </w:t>
      </w:r>
      <w:r w:rsidR="008A446D" w:rsidRPr="00D9011B">
        <w:rPr>
          <w:rFonts w:eastAsia="Calibri"/>
        </w:rPr>
        <w:t>a propo</w:t>
      </w:r>
      <w:r w:rsidR="00534584" w:rsidRPr="00D9011B">
        <w:rPr>
          <w:rFonts w:eastAsia="Calibri"/>
        </w:rPr>
        <w:t>se</w:t>
      </w:r>
      <w:r w:rsidR="008A446D" w:rsidRPr="00D9011B">
        <w:rPr>
          <w:rFonts w:eastAsia="Calibri"/>
        </w:rPr>
        <w:t>d thir</w:t>
      </w:r>
      <w:r w:rsidR="00534584" w:rsidRPr="00D9011B">
        <w:rPr>
          <w:rFonts w:eastAsia="Calibri"/>
        </w:rPr>
        <w:t xml:space="preserve">d </w:t>
      </w:r>
      <w:r w:rsidR="004C211A">
        <w:rPr>
          <w:rFonts w:eastAsia="Calibri"/>
        </w:rPr>
        <w:t>R</w:t>
      </w:r>
      <w:r w:rsidR="00136A0E" w:rsidRPr="00D9011B">
        <w:rPr>
          <w:rFonts w:eastAsia="Calibri"/>
        </w:rPr>
        <w:t xml:space="preserve">egional Forum </w:t>
      </w:r>
      <w:r w:rsidR="009F6AA4" w:rsidRPr="00D9011B">
        <w:rPr>
          <w:rFonts w:eastAsia="Calibri"/>
        </w:rPr>
        <w:t>for the Asia region</w:t>
      </w:r>
    </w:p>
    <w:p w:rsidR="00006D8C" w:rsidRPr="00D9011B" w:rsidRDefault="00885B5B" w:rsidP="00A773A1">
      <w:pPr>
        <w:pStyle w:val="SingleTxtG"/>
        <w:rPr>
          <w:rFonts w:eastAsia="Calibri"/>
          <w:lang w:val="en-US"/>
        </w:rPr>
      </w:pPr>
      <w:r>
        <w:rPr>
          <w:rFonts w:eastAsia="Calibri"/>
        </w:rPr>
        <w:t>15</w:t>
      </w:r>
      <w:r w:rsidR="00DC668D">
        <w:rPr>
          <w:rFonts w:eastAsia="Calibri"/>
        </w:rPr>
        <w:t>.</w:t>
      </w:r>
      <w:r w:rsidR="00DC668D">
        <w:rPr>
          <w:rFonts w:eastAsia="Calibri"/>
        </w:rPr>
        <w:tab/>
      </w:r>
      <w:r w:rsidR="00136A0E" w:rsidRPr="00D9011B">
        <w:rPr>
          <w:rFonts w:eastAsia="Calibri"/>
        </w:rPr>
        <w:t xml:space="preserve">The Working Group, which </w:t>
      </w:r>
      <w:r w:rsidR="00C35E75" w:rsidRPr="00D9011B">
        <w:rPr>
          <w:rFonts w:eastAsia="Calibri"/>
        </w:rPr>
        <w:t xml:space="preserve">is </w:t>
      </w:r>
      <w:r w:rsidR="00136A0E" w:rsidRPr="00D9011B">
        <w:rPr>
          <w:rFonts w:eastAsia="Calibri"/>
        </w:rPr>
        <w:t xml:space="preserve">mandated by the </w:t>
      </w:r>
      <w:r w:rsidR="00E04257" w:rsidRPr="00D9011B">
        <w:rPr>
          <w:rFonts w:eastAsia="Calibri"/>
        </w:rPr>
        <w:t xml:space="preserve">Human Rights </w:t>
      </w:r>
      <w:r w:rsidR="00136A0E" w:rsidRPr="00D9011B">
        <w:rPr>
          <w:rFonts w:eastAsia="Calibri"/>
        </w:rPr>
        <w:t>Council</w:t>
      </w:r>
      <w:r w:rsidR="007B4B8A" w:rsidRPr="00D9011B">
        <w:rPr>
          <w:rFonts w:eastAsia="Calibri"/>
        </w:rPr>
        <w:t xml:space="preserve"> </w:t>
      </w:r>
      <w:r w:rsidR="00136A0E" w:rsidRPr="00D9011B">
        <w:rPr>
          <w:rFonts w:eastAsia="Calibri"/>
        </w:rPr>
        <w:t xml:space="preserve">to guide the annual Forum on Business and Human Rights, discussed </w:t>
      </w:r>
      <w:r w:rsidR="00A66E3A" w:rsidRPr="00D9011B">
        <w:rPr>
          <w:rFonts w:eastAsia="Calibri"/>
        </w:rPr>
        <w:t xml:space="preserve">the </w:t>
      </w:r>
      <w:r w:rsidR="00006D8C" w:rsidRPr="00D9011B">
        <w:rPr>
          <w:rFonts w:eastAsia="Calibri"/>
        </w:rPr>
        <w:t>plans underway for the fourth annual Forum</w:t>
      </w:r>
      <w:r w:rsidR="00C17FFB" w:rsidRPr="00D9011B">
        <w:rPr>
          <w:rFonts w:eastAsia="Calibri"/>
        </w:rPr>
        <w:t>,</w:t>
      </w:r>
      <w:r w:rsidR="00006D8C" w:rsidRPr="00D9011B">
        <w:rPr>
          <w:rFonts w:eastAsia="Calibri"/>
        </w:rPr>
        <w:t xml:space="preserve"> to be held in Geneva, Switzerland 16 - 18 November 2015</w:t>
      </w:r>
      <w:r w:rsidR="00534D44" w:rsidRPr="00D9011B">
        <w:rPr>
          <w:rFonts w:eastAsia="Calibri"/>
        </w:rPr>
        <w:t>.</w:t>
      </w:r>
      <w:r w:rsidR="00CF21EE" w:rsidRPr="00D9011B">
        <w:rPr>
          <w:rFonts w:eastAsia="Calibri"/>
        </w:rPr>
        <w:t xml:space="preserve"> </w:t>
      </w:r>
      <w:r w:rsidR="001049EA" w:rsidRPr="00D9011B">
        <w:rPr>
          <w:rFonts w:eastAsia="Calibri"/>
          <w:lang w:val="en-US"/>
        </w:rPr>
        <w:t xml:space="preserve">The Working </w:t>
      </w:r>
      <w:r w:rsidR="00C743CB" w:rsidRPr="00D9011B">
        <w:rPr>
          <w:rFonts w:eastAsia="Calibri"/>
          <w:lang w:val="en-US"/>
        </w:rPr>
        <w:t>Group</w:t>
      </w:r>
      <w:r w:rsidR="001049EA" w:rsidRPr="00D9011B">
        <w:rPr>
          <w:rFonts w:eastAsia="Calibri"/>
          <w:lang w:val="en-US"/>
        </w:rPr>
        <w:t xml:space="preserve"> noted that it aims to repeat the success of the </w:t>
      </w:r>
      <w:r w:rsidR="001049EA" w:rsidRPr="00D9011B">
        <w:rPr>
          <w:rFonts w:eastAsia="Calibri"/>
        </w:rPr>
        <w:t xml:space="preserve">third annual Forum on Business and Human Rights </w:t>
      </w:r>
      <w:r w:rsidR="001049EA" w:rsidRPr="00D9011B">
        <w:rPr>
          <w:rFonts w:eastAsia="Calibri"/>
          <w:lang w:val="en-US"/>
        </w:rPr>
        <w:t>in involving stakeholders in the organization of parallel sessions.</w:t>
      </w:r>
      <w:r w:rsidR="001049EA" w:rsidRPr="00D9011B">
        <w:rPr>
          <w:rFonts w:eastAsia="Calibri"/>
        </w:rPr>
        <w:t xml:space="preserve"> </w:t>
      </w:r>
      <w:r w:rsidR="009F6AA4" w:rsidRPr="00D9011B">
        <w:rPr>
          <w:rFonts w:eastAsia="Calibri"/>
        </w:rPr>
        <w:t>Following the 10</w:t>
      </w:r>
      <w:r w:rsidR="009F6AA4" w:rsidRPr="00D9011B">
        <w:rPr>
          <w:rFonts w:eastAsia="Calibri"/>
          <w:vertAlign w:val="superscript"/>
        </w:rPr>
        <w:t>th</w:t>
      </w:r>
      <w:r w:rsidR="009F6AA4" w:rsidRPr="00D9011B">
        <w:rPr>
          <w:rFonts w:eastAsia="Calibri"/>
        </w:rPr>
        <w:t xml:space="preserve"> Session at which </w:t>
      </w:r>
      <w:r w:rsidR="00F114BD" w:rsidRPr="00D9011B">
        <w:rPr>
          <w:rFonts w:eastAsia="Calibri"/>
        </w:rPr>
        <w:t>t</w:t>
      </w:r>
      <w:r w:rsidR="00D66FB7" w:rsidRPr="00D9011B">
        <w:rPr>
          <w:rFonts w:eastAsia="Calibri"/>
        </w:rPr>
        <w:t>he Working Group deci</w:t>
      </w:r>
      <w:r w:rsidR="009F6AA4" w:rsidRPr="00D9011B">
        <w:rPr>
          <w:rFonts w:eastAsia="Calibri"/>
        </w:rPr>
        <w:t xml:space="preserve">ded </w:t>
      </w:r>
      <w:r w:rsidR="00F114BD" w:rsidRPr="00D9011B">
        <w:rPr>
          <w:rFonts w:eastAsia="Calibri"/>
        </w:rPr>
        <w:t>t</w:t>
      </w:r>
      <w:r w:rsidR="009F6AA4" w:rsidRPr="00D9011B">
        <w:rPr>
          <w:rFonts w:eastAsia="Calibri"/>
        </w:rPr>
        <w:t>o</w:t>
      </w:r>
      <w:r w:rsidR="00F114BD" w:rsidRPr="00D9011B">
        <w:rPr>
          <w:rFonts w:eastAsia="Calibri"/>
        </w:rPr>
        <w:t xml:space="preserve"> make</w:t>
      </w:r>
      <w:r w:rsidR="00D66FB7" w:rsidRPr="00D9011B">
        <w:rPr>
          <w:rFonts w:eastAsia="Calibri"/>
        </w:rPr>
        <w:t xml:space="preserve"> </w:t>
      </w:r>
      <w:r w:rsidR="00D66FB7" w:rsidRPr="00D9011B">
        <w:rPr>
          <w:rFonts w:eastAsia="Calibri"/>
          <w:lang w:val="en-US"/>
        </w:rPr>
        <w:t>d</w:t>
      </w:r>
      <w:r w:rsidR="001049EA" w:rsidRPr="00D9011B">
        <w:rPr>
          <w:rFonts w:eastAsia="Calibri"/>
          <w:lang w:val="en-US"/>
        </w:rPr>
        <w:t>irect</w:t>
      </w:r>
      <w:r w:rsidR="00F114BD" w:rsidRPr="00D9011B">
        <w:rPr>
          <w:rFonts w:eastAsia="Calibri"/>
          <w:lang w:val="en-US"/>
        </w:rPr>
        <w:t xml:space="preserve"> stakeholder contributions </w:t>
      </w:r>
      <w:r w:rsidR="001049EA" w:rsidRPr="00D9011B">
        <w:rPr>
          <w:rFonts w:eastAsia="Calibri"/>
          <w:lang w:val="en-US"/>
        </w:rPr>
        <w:t>a central feature</w:t>
      </w:r>
      <w:r w:rsidR="00850F34" w:rsidRPr="00D9011B">
        <w:rPr>
          <w:rFonts w:eastAsia="Calibri"/>
          <w:lang w:val="en-US"/>
        </w:rPr>
        <w:t xml:space="preserve"> </w:t>
      </w:r>
      <w:r w:rsidR="001049EA" w:rsidRPr="00D9011B">
        <w:rPr>
          <w:rFonts w:eastAsia="Calibri"/>
          <w:lang w:val="en-US"/>
        </w:rPr>
        <w:t>of th</w:t>
      </w:r>
      <w:r w:rsidR="00D66FB7" w:rsidRPr="00D9011B">
        <w:rPr>
          <w:rFonts w:eastAsia="Calibri"/>
          <w:lang w:val="en-US"/>
        </w:rPr>
        <w:t>e fourth annual</w:t>
      </w:r>
      <w:r w:rsidR="001049EA" w:rsidRPr="00D9011B">
        <w:rPr>
          <w:rFonts w:eastAsia="Calibri"/>
          <w:lang w:val="en-US"/>
        </w:rPr>
        <w:t xml:space="preserve"> Forum</w:t>
      </w:r>
      <w:r w:rsidR="00D66FB7" w:rsidRPr="00D9011B">
        <w:rPr>
          <w:rFonts w:eastAsia="Calibri"/>
          <w:lang w:val="en-US"/>
        </w:rPr>
        <w:t xml:space="preserve"> on Business and Human Rights</w:t>
      </w:r>
      <w:r w:rsidR="00E51F86" w:rsidRPr="00D9011B">
        <w:rPr>
          <w:rFonts w:eastAsia="Calibri"/>
          <w:lang w:val="en-US"/>
        </w:rPr>
        <w:t xml:space="preserve">, </w:t>
      </w:r>
      <w:r w:rsidR="00F114BD" w:rsidRPr="00D9011B">
        <w:rPr>
          <w:rFonts w:eastAsia="Calibri"/>
          <w:lang w:val="en-US"/>
        </w:rPr>
        <w:t>the Working Group</w:t>
      </w:r>
      <w:r w:rsidR="001049EA" w:rsidRPr="00D9011B">
        <w:rPr>
          <w:rFonts w:eastAsia="Calibri"/>
          <w:lang w:val="en-US"/>
        </w:rPr>
        <w:t xml:space="preserve"> issue</w:t>
      </w:r>
      <w:r w:rsidR="00F114BD" w:rsidRPr="00D9011B">
        <w:rPr>
          <w:rFonts w:eastAsia="Calibri"/>
          <w:lang w:val="en-US"/>
        </w:rPr>
        <w:t>d</w:t>
      </w:r>
      <w:r w:rsidR="001049EA" w:rsidRPr="00D9011B">
        <w:rPr>
          <w:rFonts w:eastAsia="Calibri"/>
          <w:lang w:val="en-US"/>
        </w:rPr>
        <w:t xml:space="preserve"> a call to States, business, civil society </w:t>
      </w:r>
      <w:r w:rsidR="00A773A1" w:rsidRPr="00D9011B">
        <w:rPr>
          <w:rFonts w:eastAsia="Calibri"/>
          <w:lang w:val="en-US"/>
        </w:rPr>
        <w:t>organizations</w:t>
      </w:r>
      <w:r w:rsidR="00F24EE8" w:rsidRPr="00D9011B">
        <w:rPr>
          <w:rFonts w:eastAsia="Calibri"/>
          <w:lang w:val="en-US"/>
        </w:rPr>
        <w:t>,</w:t>
      </w:r>
      <w:r w:rsidR="00E51F86" w:rsidRPr="00D9011B">
        <w:rPr>
          <w:rFonts w:eastAsia="Calibri"/>
          <w:lang w:val="en-US"/>
        </w:rPr>
        <w:t xml:space="preserve"> </w:t>
      </w:r>
      <w:r w:rsidR="001049EA" w:rsidRPr="00D9011B">
        <w:rPr>
          <w:rFonts w:eastAsia="Calibri"/>
          <w:lang w:val="en-US"/>
        </w:rPr>
        <w:t>and other stakeholders to submit proposals for parallel sessions</w:t>
      </w:r>
      <w:r w:rsidR="00C76052" w:rsidRPr="00D9011B">
        <w:rPr>
          <w:rFonts w:eastAsia="Calibri"/>
          <w:lang w:val="en-US"/>
        </w:rPr>
        <w:t xml:space="preserve"> to be included in the </w:t>
      </w:r>
      <w:r w:rsidR="00C76052" w:rsidRPr="00D9011B">
        <w:rPr>
          <w:rFonts w:eastAsia="Calibri"/>
        </w:rPr>
        <w:t>programme</w:t>
      </w:r>
      <w:r w:rsidR="00C76052" w:rsidRPr="00D9011B">
        <w:rPr>
          <w:rFonts w:eastAsia="Calibri"/>
          <w:lang w:val="en-US"/>
        </w:rPr>
        <w:t xml:space="preserve"> of the fourth annual Forum on Business and Human Rights</w:t>
      </w:r>
      <w:r w:rsidR="001049EA" w:rsidRPr="00D9011B">
        <w:rPr>
          <w:rFonts w:eastAsia="Calibri"/>
          <w:lang w:val="en-US"/>
        </w:rPr>
        <w:t>.</w:t>
      </w:r>
      <w:r w:rsidR="00B96C46" w:rsidRPr="00D9011B">
        <w:rPr>
          <w:rFonts w:eastAsia="Calibri"/>
          <w:lang w:val="en-US"/>
        </w:rPr>
        <w:t xml:space="preserve"> The deadline for sending submissions was 1 May 20</w:t>
      </w:r>
      <w:r w:rsidR="009F6AA4" w:rsidRPr="00D9011B">
        <w:rPr>
          <w:rFonts w:eastAsia="Calibri"/>
          <w:lang w:val="en-US"/>
        </w:rPr>
        <w:t>15 and the Working Group report</w:t>
      </w:r>
      <w:r w:rsidR="00B96C46" w:rsidRPr="00D9011B">
        <w:rPr>
          <w:rFonts w:eastAsia="Calibri"/>
          <w:lang w:val="en-US"/>
        </w:rPr>
        <w:t>ed that it had received</w:t>
      </w:r>
      <w:r w:rsidR="00CD12E9">
        <w:rPr>
          <w:rFonts w:eastAsia="Calibri"/>
          <w:lang w:val="en-US"/>
        </w:rPr>
        <w:t xml:space="preserve"> around</w:t>
      </w:r>
      <w:r w:rsidR="00B96C46" w:rsidRPr="00D9011B">
        <w:rPr>
          <w:rFonts w:eastAsia="Calibri"/>
          <w:lang w:val="en-US"/>
        </w:rPr>
        <w:t xml:space="preserve"> 140 submissions and there was rich content with which to work. </w:t>
      </w:r>
    </w:p>
    <w:p w:rsidR="00F9061D" w:rsidRPr="00D9011B" w:rsidRDefault="00DC668D" w:rsidP="00F9061D">
      <w:pPr>
        <w:pStyle w:val="SingleTxtG"/>
        <w:rPr>
          <w:rFonts w:eastAsia="Calibri"/>
          <w:lang w:val="en-US"/>
        </w:rPr>
      </w:pPr>
      <w:r>
        <w:rPr>
          <w:rFonts w:eastAsia="Calibri"/>
          <w:lang w:val="en-US"/>
        </w:rPr>
        <w:t>1</w:t>
      </w:r>
      <w:r w:rsidR="00885B5B">
        <w:rPr>
          <w:rFonts w:eastAsia="Calibri"/>
          <w:lang w:val="en-US"/>
        </w:rPr>
        <w:t>6</w:t>
      </w:r>
      <w:r w:rsidR="009A11BF" w:rsidRPr="00D9011B">
        <w:rPr>
          <w:rFonts w:eastAsia="Calibri"/>
          <w:lang w:val="en-US"/>
        </w:rPr>
        <w:t>.</w:t>
      </w:r>
      <w:r>
        <w:rPr>
          <w:rFonts w:ascii="Calibri" w:hAnsi="Calibri"/>
          <w:sz w:val="24"/>
          <w:szCs w:val="24"/>
          <w:lang w:val="en-US" w:eastAsia="en-GB"/>
        </w:rPr>
        <w:tab/>
      </w:r>
      <w:r w:rsidR="009A11BF" w:rsidRPr="00D9011B">
        <w:rPr>
          <w:rFonts w:eastAsia="Calibri"/>
          <w:lang w:val="en-US"/>
        </w:rPr>
        <w:t>The Working Group decided that the title of the Forum will be “Tracking progress and ensuring coherence on business and human rights”. A focus of the Forum will be to track progress in implementation of the Guiding Principles</w:t>
      </w:r>
      <w:r w:rsidR="00002E88">
        <w:rPr>
          <w:rFonts w:eastAsia="Calibri"/>
          <w:lang w:val="en-US"/>
        </w:rPr>
        <w:t xml:space="preserve"> on Business and Human Rights</w:t>
      </w:r>
      <w:r w:rsidR="009A11BF" w:rsidRPr="00D9011B">
        <w:rPr>
          <w:rFonts w:eastAsia="Calibri"/>
          <w:lang w:val="en-US"/>
        </w:rPr>
        <w:t xml:space="preserve">. The other focus will be the need to move towards greater policy coherence at all levels in order to ensure better protection and respect for human rights in the context of business – from global governance through national government policies and down to the level of individual business enterprises. </w:t>
      </w:r>
      <w:r w:rsidR="00F9061D" w:rsidRPr="00D9011B">
        <w:rPr>
          <w:rFonts w:eastAsia="Calibri"/>
          <w:lang w:val="en-US"/>
        </w:rPr>
        <w:t xml:space="preserve">Thematic issues will include: </w:t>
      </w:r>
    </w:p>
    <w:p w:rsidR="00F9061D" w:rsidRPr="00D9011B" w:rsidRDefault="00E4309D" w:rsidP="00885B5B">
      <w:pPr>
        <w:pStyle w:val="Bullet1G"/>
        <w:rPr>
          <w:rFonts w:eastAsia="Calibri"/>
          <w:lang w:val="en-US"/>
        </w:rPr>
      </w:pPr>
      <w:r>
        <w:rPr>
          <w:rFonts w:eastAsia="Calibri"/>
          <w:lang w:val="en-US"/>
        </w:rPr>
        <w:t>C</w:t>
      </w:r>
      <w:r w:rsidR="00F9061D" w:rsidRPr="00D9011B">
        <w:rPr>
          <w:rFonts w:eastAsia="Calibri"/>
          <w:lang w:val="en-US"/>
        </w:rPr>
        <w:t>orporate respect for human rights in practice, addressing challenges and emerging practices in corporate human rights due diligence and operational level grievances as well as multi-stakeholder engagement and collaboration to prevent and address negative impacts in concrete situations;</w:t>
      </w:r>
    </w:p>
    <w:p w:rsidR="00F9061D" w:rsidRPr="00D9011B" w:rsidRDefault="00E4309D" w:rsidP="00885B5B">
      <w:pPr>
        <w:pStyle w:val="Bullet1G"/>
        <w:rPr>
          <w:rFonts w:eastAsia="Calibri"/>
          <w:lang w:val="en-US"/>
        </w:rPr>
      </w:pPr>
      <w:r>
        <w:rPr>
          <w:rFonts w:eastAsia="Calibri"/>
          <w:lang w:val="en-US"/>
        </w:rPr>
        <w:t>P</w:t>
      </w:r>
      <w:r w:rsidR="00F9061D" w:rsidRPr="00D9011B">
        <w:rPr>
          <w:rFonts w:eastAsia="Calibri"/>
          <w:lang w:val="en-US"/>
        </w:rPr>
        <w:t xml:space="preserve">ublic policy and </w:t>
      </w:r>
      <w:r w:rsidR="004C19A8" w:rsidRPr="00D9011B">
        <w:rPr>
          <w:rFonts w:eastAsia="Calibri"/>
          <w:lang w:val="en-US"/>
        </w:rPr>
        <w:t xml:space="preserve">the </w:t>
      </w:r>
      <w:r w:rsidR="00F9061D" w:rsidRPr="00D9011B">
        <w:rPr>
          <w:rFonts w:eastAsia="Calibri"/>
          <w:lang w:val="en-US"/>
        </w:rPr>
        <w:t>State duty to protect human rights, addressing both general approaches – in particular in the form of national action plans – and specifically with regard to issues related to the role of the State as an economic actor, such as integration of human rights by State-owned enterprises;</w:t>
      </w:r>
    </w:p>
    <w:p w:rsidR="00F9061D" w:rsidRPr="00D9011B" w:rsidRDefault="00E4309D" w:rsidP="00885B5B">
      <w:pPr>
        <w:pStyle w:val="Bullet1G"/>
        <w:rPr>
          <w:rFonts w:eastAsia="Calibri"/>
          <w:lang w:val="en-US"/>
        </w:rPr>
      </w:pPr>
      <w:r>
        <w:rPr>
          <w:rFonts w:eastAsia="Calibri"/>
          <w:lang w:val="en-US"/>
        </w:rPr>
        <w:lastRenderedPageBreak/>
        <w:t>A</w:t>
      </w:r>
      <w:r w:rsidR="00F9061D" w:rsidRPr="00D9011B">
        <w:rPr>
          <w:rFonts w:eastAsia="Calibri"/>
          <w:lang w:val="en-US"/>
        </w:rPr>
        <w:t>ccess to remedy, both judicial and non-judicial;</w:t>
      </w:r>
    </w:p>
    <w:p w:rsidR="00F9061D" w:rsidRPr="00D9011B" w:rsidRDefault="00E4309D" w:rsidP="00885B5B">
      <w:pPr>
        <w:pStyle w:val="Bullet1G"/>
        <w:rPr>
          <w:rFonts w:eastAsia="Calibri"/>
          <w:lang w:val="en-US"/>
        </w:rPr>
      </w:pPr>
      <w:r>
        <w:rPr>
          <w:rFonts w:eastAsia="Calibri"/>
          <w:lang w:val="en-US"/>
        </w:rPr>
        <w:t>C</w:t>
      </w:r>
      <w:r w:rsidR="00F9061D" w:rsidRPr="00D9011B">
        <w:rPr>
          <w:rFonts w:eastAsia="Calibri"/>
          <w:lang w:val="en-US"/>
        </w:rPr>
        <w:t>hallenges for vulnerable groups at particular risk;</w:t>
      </w:r>
    </w:p>
    <w:p w:rsidR="00F9061D" w:rsidRPr="00D9011B" w:rsidRDefault="00E4309D" w:rsidP="00885B5B">
      <w:pPr>
        <w:pStyle w:val="Bullet1G"/>
        <w:rPr>
          <w:rFonts w:eastAsia="Calibri"/>
          <w:lang w:val="en-US"/>
        </w:rPr>
      </w:pPr>
      <w:r>
        <w:rPr>
          <w:rFonts w:eastAsia="Calibri"/>
          <w:lang w:val="en-US"/>
        </w:rPr>
        <w:t>C</w:t>
      </w:r>
      <w:r w:rsidR="00F9061D" w:rsidRPr="00D9011B">
        <w:rPr>
          <w:rFonts w:eastAsia="Calibri"/>
          <w:lang w:val="en-US"/>
        </w:rPr>
        <w:t>oherence between frameworks for sustainable development, investment, trade and fin</w:t>
      </w:r>
      <w:r w:rsidR="00D5107F">
        <w:rPr>
          <w:rFonts w:eastAsia="Calibri"/>
          <w:lang w:val="en-US"/>
        </w:rPr>
        <w:t>ance and the Guiding Principles</w:t>
      </w:r>
      <w:r w:rsidR="00D5107F" w:rsidRPr="00D5107F">
        <w:rPr>
          <w:rFonts w:eastAsia="Calibri"/>
          <w:lang w:val="en-US"/>
        </w:rPr>
        <w:t>, including in view of the fact that the Guiding Principles have informed updates in several major international policy initiatives, such as at the OECD, ISO 26000, GRI and the Global Compact.</w:t>
      </w:r>
    </w:p>
    <w:p w:rsidR="00F9061D" w:rsidRPr="00D9011B" w:rsidRDefault="00885B5B" w:rsidP="00F9061D">
      <w:pPr>
        <w:pStyle w:val="SingleTxtG"/>
        <w:rPr>
          <w:rFonts w:eastAsia="Calibri"/>
          <w:lang w:val="en-US"/>
        </w:rPr>
      </w:pPr>
      <w:r>
        <w:rPr>
          <w:rFonts w:eastAsia="Calibri"/>
          <w:lang w:val="en-US"/>
        </w:rPr>
        <w:t>17.</w:t>
      </w:r>
      <w:r>
        <w:rPr>
          <w:rFonts w:eastAsia="Calibri"/>
          <w:lang w:val="en-US"/>
        </w:rPr>
        <w:tab/>
      </w:r>
      <w:r w:rsidR="009A11BF" w:rsidRPr="00D9011B">
        <w:rPr>
          <w:rFonts w:eastAsia="Calibri"/>
          <w:lang w:val="en-US"/>
        </w:rPr>
        <w:t xml:space="preserve">The Working Group encourages all States to participate actively and promote the Forum, including among business constituencies. </w:t>
      </w:r>
      <w:r w:rsidR="00AA2182">
        <w:rPr>
          <w:rFonts w:eastAsia="Calibri"/>
          <w:lang w:val="en-US"/>
        </w:rPr>
        <w:t xml:space="preserve">Information about the </w:t>
      </w:r>
      <w:proofErr w:type="spellStart"/>
      <w:r w:rsidR="00AA2182">
        <w:rPr>
          <w:rFonts w:eastAsia="Calibri"/>
          <w:lang w:val="en-US"/>
        </w:rPr>
        <w:t>programme</w:t>
      </w:r>
      <w:proofErr w:type="spellEnd"/>
      <w:r w:rsidR="00AA2182">
        <w:rPr>
          <w:rFonts w:eastAsia="Calibri"/>
          <w:lang w:val="en-US"/>
        </w:rPr>
        <w:t xml:space="preserve"> and other details concerning the event would be made available at the Forum website on an ongoing basis.</w:t>
      </w:r>
      <w:r w:rsidR="00AA2182">
        <w:rPr>
          <w:rStyle w:val="FootnoteReference"/>
          <w:rFonts w:eastAsia="Calibri"/>
          <w:lang w:val="en-US"/>
        </w:rPr>
        <w:footnoteReference w:id="2"/>
      </w:r>
    </w:p>
    <w:p w:rsidR="00E93224" w:rsidRPr="00D9011B" w:rsidRDefault="00DC668D" w:rsidP="00A773A1">
      <w:pPr>
        <w:pStyle w:val="SingleTxtG"/>
        <w:rPr>
          <w:rFonts w:eastAsia="Calibri"/>
        </w:rPr>
      </w:pPr>
      <w:r>
        <w:rPr>
          <w:rFonts w:eastAsia="Calibri"/>
        </w:rPr>
        <w:t>1</w:t>
      </w:r>
      <w:r w:rsidR="00885B5B">
        <w:rPr>
          <w:rFonts w:eastAsia="Calibri"/>
        </w:rPr>
        <w:t>8</w:t>
      </w:r>
      <w:r>
        <w:rPr>
          <w:rFonts w:eastAsia="Calibri"/>
        </w:rPr>
        <w:t>.</w:t>
      </w:r>
      <w:r>
        <w:rPr>
          <w:rFonts w:eastAsia="Calibri"/>
        </w:rPr>
        <w:tab/>
      </w:r>
      <w:r w:rsidR="00E93224" w:rsidRPr="00D9011B">
        <w:rPr>
          <w:rFonts w:eastAsia="Calibri"/>
        </w:rPr>
        <w:t xml:space="preserve">The Working Group </w:t>
      </w:r>
      <w:r w:rsidR="00207B37" w:rsidRPr="00D9011B">
        <w:rPr>
          <w:rFonts w:eastAsia="Calibri"/>
        </w:rPr>
        <w:t>discussed</w:t>
      </w:r>
      <w:r w:rsidR="007C5A5C" w:rsidRPr="00D9011B">
        <w:rPr>
          <w:rFonts w:eastAsia="Calibri"/>
        </w:rPr>
        <w:t xml:space="preserve"> </w:t>
      </w:r>
      <w:r w:rsidR="00A355D8" w:rsidRPr="00D9011B">
        <w:rPr>
          <w:rFonts w:eastAsia="Calibri"/>
        </w:rPr>
        <w:t>its intention to hold a Regional Forum on Business and H</w:t>
      </w:r>
      <w:r w:rsidR="00B22634" w:rsidRPr="00D9011B">
        <w:rPr>
          <w:rFonts w:eastAsia="Calibri"/>
        </w:rPr>
        <w:t>uman Rights for Asia</w:t>
      </w:r>
      <w:r w:rsidR="00133ABC" w:rsidRPr="00D9011B">
        <w:rPr>
          <w:rFonts w:eastAsia="Calibri"/>
        </w:rPr>
        <w:t xml:space="preserve"> and outlined the practical aspects t</w:t>
      </w:r>
      <w:r w:rsidR="00B22634" w:rsidRPr="00D9011B">
        <w:rPr>
          <w:rFonts w:eastAsia="Calibri"/>
        </w:rPr>
        <w:t>hat are</w:t>
      </w:r>
      <w:r w:rsidR="00133ABC" w:rsidRPr="00D9011B">
        <w:rPr>
          <w:rFonts w:eastAsia="Calibri"/>
        </w:rPr>
        <w:t xml:space="preserve"> be</w:t>
      </w:r>
      <w:r w:rsidR="00B22634" w:rsidRPr="00D9011B">
        <w:rPr>
          <w:rFonts w:eastAsia="Calibri"/>
        </w:rPr>
        <w:t>ing</w:t>
      </w:r>
      <w:r w:rsidR="00133ABC" w:rsidRPr="00D9011B">
        <w:rPr>
          <w:rFonts w:eastAsia="Calibri"/>
        </w:rPr>
        <w:t xml:space="preserve"> resolved</w:t>
      </w:r>
      <w:r w:rsidR="00F74BD0" w:rsidRPr="00D9011B">
        <w:rPr>
          <w:rFonts w:eastAsia="Calibri"/>
        </w:rPr>
        <w:t xml:space="preserve"> to finalise the </w:t>
      </w:r>
      <w:r w:rsidR="00133ABC" w:rsidRPr="00D9011B">
        <w:rPr>
          <w:rFonts w:eastAsia="Calibri"/>
        </w:rPr>
        <w:t xml:space="preserve">plans for a Regional Forum </w:t>
      </w:r>
      <w:r w:rsidR="00F74BD0" w:rsidRPr="00D9011B">
        <w:rPr>
          <w:rFonts w:eastAsia="Calibri"/>
        </w:rPr>
        <w:t xml:space="preserve">which is likely to take place in early 2016. </w:t>
      </w:r>
      <w:r w:rsidR="007807EC" w:rsidRPr="00D9011B">
        <w:rPr>
          <w:rFonts w:eastAsia="Calibri"/>
        </w:rPr>
        <w:t xml:space="preserve">In discussing a Regional Forum for Asia, the Working Group </w:t>
      </w:r>
      <w:r w:rsidR="00A355D8" w:rsidRPr="00D9011B">
        <w:rPr>
          <w:rFonts w:eastAsia="Calibri"/>
        </w:rPr>
        <w:t xml:space="preserve">reflected on the </w:t>
      </w:r>
      <w:r w:rsidR="00303F52" w:rsidRPr="00D9011B">
        <w:rPr>
          <w:rFonts w:eastAsia="Calibri"/>
        </w:rPr>
        <w:t xml:space="preserve">achievements of </w:t>
      </w:r>
      <w:r w:rsidR="0062486A" w:rsidRPr="00D9011B">
        <w:rPr>
          <w:rFonts w:eastAsia="Calibri"/>
        </w:rPr>
        <w:t>the</w:t>
      </w:r>
      <w:r w:rsidR="0064192F" w:rsidRPr="00D9011B">
        <w:rPr>
          <w:rFonts w:eastAsia="Calibri"/>
        </w:rPr>
        <w:t xml:space="preserve"> African R</w:t>
      </w:r>
      <w:r w:rsidR="00E93224" w:rsidRPr="00D9011B">
        <w:rPr>
          <w:rFonts w:eastAsia="Calibri"/>
        </w:rPr>
        <w:t>egional Forum on Busi</w:t>
      </w:r>
      <w:r w:rsidR="0064192F" w:rsidRPr="00D9011B">
        <w:rPr>
          <w:rFonts w:eastAsia="Calibri"/>
        </w:rPr>
        <w:t xml:space="preserve">ness and Human Rights </w:t>
      </w:r>
      <w:r w:rsidR="0062486A" w:rsidRPr="00D9011B">
        <w:rPr>
          <w:rFonts w:eastAsia="Calibri"/>
        </w:rPr>
        <w:t xml:space="preserve">held </w:t>
      </w:r>
      <w:r w:rsidR="00E93224" w:rsidRPr="00D9011B">
        <w:rPr>
          <w:rFonts w:eastAsia="Calibri"/>
        </w:rPr>
        <w:t>in</w:t>
      </w:r>
      <w:r w:rsidR="0062486A" w:rsidRPr="00D9011B">
        <w:rPr>
          <w:rFonts w:eastAsia="Calibri"/>
        </w:rPr>
        <w:t xml:space="preserve"> Addis Ababa, Ethiopia</w:t>
      </w:r>
      <w:r w:rsidR="00B813B1" w:rsidRPr="00D9011B">
        <w:rPr>
          <w:rFonts w:eastAsia="Calibri"/>
        </w:rPr>
        <w:t xml:space="preserve"> 16 -</w:t>
      </w:r>
      <w:r w:rsidR="00EE6AB2" w:rsidRPr="00D9011B">
        <w:rPr>
          <w:rFonts w:eastAsia="Calibri"/>
        </w:rPr>
        <w:t xml:space="preserve"> </w:t>
      </w:r>
      <w:r w:rsidR="00B813B1" w:rsidRPr="00D9011B">
        <w:rPr>
          <w:rFonts w:eastAsia="Calibri"/>
        </w:rPr>
        <w:t>18</w:t>
      </w:r>
      <w:r w:rsidR="0062486A" w:rsidRPr="00D9011B">
        <w:rPr>
          <w:rFonts w:eastAsia="Calibri"/>
        </w:rPr>
        <w:t xml:space="preserve"> September</w:t>
      </w:r>
      <w:r w:rsidR="00E93224" w:rsidRPr="00D9011B">
        <w:rPr>
          <w:rFonts w:eastAsia="Calibri"/>
        </w:rPr>
        <w:t xml:space="preserve"> 2014</w:t>
      </w:r>
      <w:r w:rsidR="00E7081C">
        <w:rPr>
          <w:rFonts w:eastAsia="Calibri"/>
          <w:lang w:eastAsia="en-GB"/>
        </w:rPr>
        <w:t xml:space="preserve">, </w:t>
      </w:r>
      <w:r w:rsidR="009D183F">
        <w:rPr>
          <w:rFonts w:eastAsia="Calibri"/>
          <w:lang w:eastAsia="en-GB"/>
        </w:rPr>
        <w:t xml:space="preserve">and </w:t>
      </w:r>
      <w:r w:rsidR="009D183F" w:rsidRPr="009D183F">
        <w:rPr>
          <w:rFonts w:eastAsia="Calibri"/>
          <w:lang w:eastAsia="en-GB"/>
        </w:rPr>
        <w:t>the Regional Forum on Business and Human Rights for Latin America and the Caribb</w:t>
      </w:r>
      <w:r w:rsidR="000B15AF">
        <w:rPr>
          <w:rFonts w:eastAsia="Calibri"/>
          <w:lang w:eastAsia="en-GB"/>
        </w:rPr>
        <w:t xml:space="preserve">ean held in </w:t>
      </w:r>
      <w:proofErr w:type="spellStart"/>
      <w:r w:rsidR="000B15AF">
        <w:rPr>
          <w:rFonts w:eastAsia="Calibri"/>
          <w:lang w:eastAsia="en-GB"/>
        </w:rPr>
        <w:t>Medellín</w:t>
      </w:r>
      <w:proofErr w:type="spellEnd"/>
      <w:r w:rsidR="000B15AF">
        <w:rPr>
          <w:rFonts w:eastAsia="Calibri"/>
          <w:lang w:eastAsia="en-GB"/>
        </w:rPr>
        <w:t xml:space="preserve">, Colombia </w:t>
      </w:r>
      <w:r w:rsidR="009D183F" w:rsidRPr="009D183F">
        <w:rPr>
          <w:rFonts w:eastAsia="Calibri"/>
          <w:lang w:eastAsia="en-GB"/>
        </w:rPr>
        <w:t xml:space="preserve">28 - 30 August 2013. </w:t>
      </w:r>
    </w:p>
    <w:p w:rsidR="00B1686A" w:rsidRDefault="00912A75" w:rsidP="00F33171">
      <w:pPr>
        <w:pStyle w:val="HChG"/>
        <w:spacing w:line="240" w:lineRule="atLeast"/>
        <w:rPr>
          <w:rFonts w:eastAsia="Calibri"/>
        </w:rPr>
      </w:pPr>
      <w:r w:rsidRPr="00D9011B">
        <w:rPr>
          <w:rFonts w:eastAsia="Calibri"/>
        </w:rPr>
        <w:tab/>
        <w:t>V</w:t>
      </w:r>
      <w:r w:rsidR="00DC38B9">
        <w:rPr>
          <w:rFonts w:eastAsia="Calibri"/>
        </w:rPr>
        <w:t>I</w:t>
      </w:r>
      <w:r w:rsidR="00BC026F" w:rsidRPr="00D9011B">
        <w:rPr>
          <w:rFonts w:eastAsia="Calibri"/>
        </w:rPr>
        <w:t>.</w:t>
      </w:r>
      <w:r w:rsidR="00BC026F" w:rsidRPr="00D9011B">
        <w:rPr>
          <w:rFonts w:eastAsia="Calibri"/>
        </w:rPr>
        <w:tab/>
      </w:r>
      <w:r w:rsidR="00F33171">
        <w:rPr>
          <w:rFonts w:eastAsia="Calibri"/>
        </w:rPr>
        <w:t>M</w:t>
      </w:r>
      <w:r w:rsidR="00E31213" w:rsidRPr="00D9011B">
        <w:rPr>
          <w:rFonts w:eastAsia="Calibri"/>
        </w:rPr>
        <w:t>eetings</w:t>
      </w:r>
      <w:r w:rsidR="00136A0E" w:rsidRPr="00D9011B">
        <w:rPr>
          <w:rFonts w:eastAsia="Calibri"/>
        </w:rPr>
        <w:t xml:space="preserve"> and </w:t>
      </w:r>
      <w:r w:rsidR="00F33171">
        <w:rPr>
          <w:rFonts w:eastAsia="Calibri"/>
        </w:rPr>
        <w:t xml:space="preserve">briefings with </w:t>
      </w:r>
      <w:r w:rsidR="00136A0E" w:rsidRPr="00D9011B">
        <w:rPr>
          <w:rFonts w:eastAsia="Calibri"/>
        </w:rPr>
        <w:t>s</w:t>
      </w:r>
      <w:r w:rsidR="00F33171">
        <w:rPr>
          <w:rFonts w:eastAsia="Calibri"/>
        </w:rPr>
        <w:t>t</w:t>
      </w:r>
      <w:r w:rsidR="00136A0E" w:rsidRPr="00D9011B">
        <w:rPr>
          <w:rFonts w:eastAsia="Calibri"/>
        </w:rPr>
        <w:t>a</w:t>
      </w:r>
      <w:r w:rsidR="00F33171">
        <w:rPr>
          <w:rFonts w:eastAsia="Calibri"/>
        </w:rPr>
        <w:t>keho</w:t>
      </w:r>
      <w:r w:rsidR="00136A0E" w:rsidRPr="00D9011B">
        <w:rPr>
          <w:rFonts w:eastAsia="Calibri"/>
        </w:rPr>
        <w:t>l</w:t>
      </w:r>
      <w:r w:rsidR="00F33171">
        <w:rPr>
          <w:rFonts w:eastAsia="Calibri"/>
        </w:rPr>
        <w:t>ders</w:t>
      </w:r>
    </w:p>
    <w:p w:rsidR="00592A86" w:rsidRDefault="00DC668D" w:rsidP="00A773A1">
      <w:pPr>
        <w:pStyle w:val="SingleTxtG"/>
        <w:rPr>
          <w:rFonts w:eastAsia="Calibri"/>
        </w:rPr>
      </w:pPr>
      <w:r>
        <w:rPr>
          <w:rFonts w:eastAsia="Calibri"/>
        </w:rPr>
        <w:t>1</w:t>
      </w:r>
      <w:r w:rsidR="00885B5B">
        <w:rPr>
          <w:rFonts w:eastAsia="Calibri"/>
        </w:rPr>
        <w:t>9</w:t>
      </w:r>
      <w:r>
        <w:rPr>
          <w:rFonts w:eastAsia="Calibri"/>
        </w:rPr>
        <w:t>.</w:t>
      </w:r>
      <w:r>
        <w:rPr>
          <w:rFonts w:eastAsia="Calibri"/>
        </w:rPr>
        <w:tab/>
      </w:r>
      <w:r w:rsidR="00592A86" w:rsidRPr="00D9011B">
        <w:rPr>
          <w:rFonts w:eastAsia="Calibri"/>
        </w:rPr>
        <w:t xml:space="preserve">The Working Group acknowledged that, in accordance with Human Rights Council resolution 26/9, the open-ended intergovernmental working group on transnational corporations and other business enterprises with respect to human rights will hold its first meeting 6-10 July 2015. </w:t>
      </w:r>
      <w:r w:rsidR="00592A86" w:rsidRPr="00B40A3A">
        <w:rPr>
          <w:rFonts w:eastAsia="Calibri"/>
        </w:rPr>
        <w:t xml:space="preserve">The Working Group </w:t>
      </w:r>
      <w:r w:rsidR="00592A86" w:rsidRPr="00692F4E">
        <w:rPr>
          <w:rFonts w:eastAsia="Calibri"/>
        </w:rPr>
        <w:t xml:space="preserve">met with the Permanent Representative of South Africa and a </w:t>
      </w:r>
      <w:r w:rsidR="00207414" w:rsidRPr="00692F4E">
        <w:rPr>
          <w:rFonts w:eastAsia="Calibri"/>
        </w:rPr>
        <w:t xml:space="preserve">representative </w:t>
      </w:r>
      <w:r w:rsidR="00592A86" w:rsidRPr="00692F4E">
        <w:rPr>
          <w:rFonts w:eastAsia="Calibri"/>
        </w:rPr>
        <w:t>of the Permanent Mission of Ecuador, and</w:t>
      </w:r>
      <w:r w:rsidR="00592A86" w:rsidRPr="00D9011B">
        <w:rPr>
          <w:rFonts w:eastAsia="Calibri"/>
        </w:rPr>
        <w:t xml:space="preserve"> </w:t>
      </w:r>
      <w:r w:rsidR="00E7081C">
        <w:rPr>
          <w:rFonts w:eastAsia="Calibri"/>
        </w:rPr>
        <w:t>reaffirmed its interest</w:t>
      </w:r>
      <w:r w:rsidR="00592A86" w:rsidRPr="00D9011B">
        <w:rPr>
          <w:rFonts w:eastAsia="Calibri"/>
        </w:rPr>
        <w:t xml:space="preserve"> in attending the first meeting of the open-ended intergovernmental working group on transnational corporations and other business enterprises with respect to human rights. It also confirmed that it will stand ready to offer support to the open-ended intergovernmental working group as needed.</w:t>
      </w:r>
    </w:p>
    <w:p w:rsidR="00116A1F" w:rsidRDefault="00885B5B" w:rsidP="00A773A1">
      <w:pPr>
        <w:pStyle w:val="SingleTxtG"/>
        <w:rPr>
          <w:rFonts w:eastAsia="Calibri"/>
        </w:rPr>
      </w:pPr>
      <w:r>
        <w:rPr>
          <w:rFonts w:eastAsia="Calibri"/>
        </w:rPr>
        <w:t>20.</w:t>
      </w:r>
      <w:r>
        <w:rPr>
          <w:rFonts w:eastAsia="Calibri"/>
        </w:rPr>
        <w:tab/>
      </w:r>
      <w:r w:rsidR="00116A1F" w:rsidRPr="00116A1F">
        <w:rPr>
          <w:rFonts w:eastAsia="Calibri"/>
        </w:rPr>
        <w:t xml:space="preserve">The Working Group had a telephone meeting with Olivier De </w:t>
      </w:r>
      <w:proofErr w:type="spellStart"/>
      <w:r w:rsidR="00116A1F" w:rsidRPr="00116A1F">
        <w:rPr>
          <w:rFonts w:eastAsia="Calibri"/>
        </w:rPr>
        <w:t>Schutter</w:t>
      </w:r>
      <w:proofErr w:type="spellEnd"/>
      <w:r w:rsidR="00116A1F" w:rsidRPr="00116A1F">
        <w:rPr>
          <w:rFonts w:eastAsia="Calibri"/>
        </w:rPr>
        <w:t xml:space="preserve">, legal </w:t>
      </w:r>
      <w:r w:rsidR="00FE64FD">
        <w:rPr>
          <w:rFonts w:eastAsia="Calibri"/>
        </w:rPr>
        <w:t>scholar,</w:t>
      </w:r>
      <w:r w:rsidR="00116A1F" w:rsidRPr="00116A1F">
        <w:rPr>
          <w:rFonts w:eastAsia="Calibri"/>
        </w:rPr>
        <w:t xml:space="preserve"> member of the UN Committee on Economic, Social and Cultural Rights, and former Special Rapporteur on the Right to Food, on the possible forms that a binding instrument on transnational corporations could take.</w:t>
      </w:r>
    </w:p>
    <w:p w:rsidR="00116A1F" w:rsidRPr="00D9011B" w:rsidRDefault="00885B5B" w:rsidP="00A773A1">
      <w:pPr>
        <w:pStyle w:val="SingleTxtG"/>
        <w:rPr>
          <w:rFonts w:eastAsia="Calibri"/>
        </w:rPr>
      </w:pPr>
      <w:r>
        <w:rPr>
          <w:rFonts w:eastAsia="Calibri"/>
        </w:rPr>
        <w:t>21.</w:t>
      </w:r>
      <w:r>
        <w:rPr>
          <w:rFonts w:eastAsia="Calibri"/>
        </w:rPr>
        <w:tab/>
      </w:r>
      <w:r w:rsidR="00116A1F" w:rsidRPr="00116A1F">
        <w:rPr>
          <w:rFonts w:eastAsia="Calibri"/>
        </w:rPr>
        <w:t>The Working Group met with staff of the Office of United Nations High Commissioner for Human Rights and received an update on the work of the Office in relation to the implementation of the Guiding Principles on Business and Human Rights, the OHCHR-led project on access to remedy, and plans for the forthcoming first session of the open-ended intergovernmental working group on transnational corporations and other business enterprises, for which OHCHR provides the secretariat</w:t>
      </w:r>
      <w:r w:rsidR="00116A1F">
        <w:rPr>
          <w:rFonts w:eastAsia="Calibri"/>
        </w:rPr>
        <w:t>.</w:t>
      </w:r>
    </w:p>
    <w:p w:rsidR="00A27F4B" w:rsidRPr="00D9011B" w:rsidRDefault="00885B5B" w:rsidP="00592A86">
      <w:pPr>
        <w:pStyle w:val="SingleTxtG"/>
        <w:rPr>
          <w:rFonts w:eastAsia="Calibri"/>
        </w:rPr>
      </w:pPr>
      <w:r>
        <w:rPr>
          <w:rFonts w:eastAsia="Calibri"/>
        </w:rPr>
        <w:t>22</w:t>
      </w:r>
      <w:r w:rsidR="00592A86" w:rsidRPr="00D9011B">
        <w:rPr>
          <w:rFonts w:eastAsia="Calibri"/>
        </w:rPr>
        <w:t>.</w:t>
      </w:r>
      <w:r w:rsidR="00DC668D">
        <w:rPr>
          <w:rFonts w:eastAsia="Calibri"/>
        </w:rPr>
        <w:tab/>
      </w:r>
      <w:r w:rsidR="000C3D4C" w:rsidRPr="00D9011B">
        <w:rPr>
          <w:rFonts w:eastAsia="Calibri"/>
        </w:rPr>
        <w:t xml:space="preserve">The Working Group </w:t>
      </w:r>
      <w:r w:rsidR="00AA2182">
        <w:rPr>
          <w:rFonts w:eastAsia="Calibri"/>
        </w:rPr>
        <w:t>met</w:t>
      </w:r>
      <w:r w:rsidR="000C3D4C" w:rsidRPr="00D9011B">
        <w:rPr>
          <w:rFonts w:eastAsia="Calibri"/>
        </w:rPr>
        <w:t xml:space="preserve"> with </w:t>
      </w:r>
      <w:r w:rsidR="002437FD" w:rsidRPr="00D9011B">
        <w:rPr>
          <w:rFonts w:eastAsia="Calibri"/>
        </w:rPr>
        <w:t>O</w:t>
      </w:r>
      <w:r w:rsidR="000237E9" w:rsidRPr="00D9011B">
        <w:rPr>
          <w:rFonts w:eastAsia="Calibri"/>
        </w:rPr>
        <w:t xml:space="preserve">ffice </w:t>
      </w:r>
      <w:r w:rsidR="00B24ADF" w:rsidRPr="00D9011B">
        <w:rPr>
          <w:rFonts w:eastAsia="Calibri"/>
        </w:rPr>
        <w:t xml:space="preserve">representatives of </w:t>
      </w:r>
      <w:r w:rsidR="00823AC7" w:rsidRPr="00D9011B">
        <w:rPr>
          <w:rFonts w:eastAsia="Calibri"/>
        </w:rPr>
        <w:t xml:space="preserve">the </w:t>
      </w:r>
      <w:r w:rsidR="000C3D4C" w:rsidRPr="00D9011B">
        <w:rPr>
          <w:rFonts w:eastAsia="Calibri"/>
        </w:rPr>
        <w:t>ILO</w:t>
      </w:r>
      <w:r w:rsidR="00595687" w:rsidRPr="00D9011B">
        <w:rPr>
          <w:rFonts w:eastAsia="Calibri"/>
        </w:rPr>
        <w:t xml:space="preserve"> </w:t>
      </w:r>
      <w:r w:rsidR="00256BD5" w:rsidRPr="00D9011B">
        <w:rPr>
          <w:rFonts w:eastAsia="Calibri"/>
        </w:rPr>
        <w:t xml:space="preserve">and </w:t>
      </w:r>
      <w:r w:rsidR="00E62AB4" w:rsidRPr="00D9011B">
        <w:rPr>
          <w:rFonts w:eastAsia="Calibri"/>
        </w:rPr>
        <w:t>d</w:t>
      </w:r>
      <w:r w:rsidR="00B928A4" w:rsidRPr="00D9011B">
        <w:rPr>
          <w:rFonts w:eastAsia="Calibri"/>
        </w:rPr>
        <w:t xml:space="preserve">iscussed </w:t>
      </w:r>
      <w:r w:rsidR="002F1CD0" w:rsidRPr="00D9011B">
        <w:rPr>
          <w:rFonts w:eastAsia="Calibri"/>
        </w:rPr>
        <w:t xml:space="preserve">the on-going </w:t>
      </w:r>
      <w:r w:rsidR="00B928A4" w:rsidRPr="00D9011B">
        <w:rPr>
          <w:rFonts w:eastAsia="Calibri"/>
        </w:rPr>
        <w:t>w</w:t>
      </w:r>
      <w:r w:rsidR="00E62AB4" w:rsidRPr="00D9011B">
        <w:rPr>
          <w:rFonts w:eastAsia="Calibri"/>
        </w:rPr>
        <w:t>orking arrangement</w:t>
      </w:r>
      <w:r w:rsidR="00B928A4" w:rsidRPr="00D9011B">
        <w:rPr>
          <w:rFonts w:eastAsia="Calibri"/>
        </w:rPr>
        <w:t>s</w:t>
      </w:r>
      <w:r w:rsidR="00E62AB4" w:rsidRPr="00D9011B">
        <w:rPr>
          <w:rFonts w:eastAsia="Calibri"/>
        </w:rPr>
        <w:t xml:space="preserve"> </w:t>
      </w:r>
      <w:r w:rsidR="002F1CD0" w:rsidRPr="00D9011B">
        <w:rPr>
          <w:rFonts w:eastAsia="Calibri"/>
        </w:rPr>
        <w:t xml:space="preserve">between the ILO and the Working Group </w:t>
      </w:r>
      <w:r w:rsidR="00E62AB4" w:rsidRPr="00D9011B">
        <w:rPr>
          <w:rFonts w:eastAsia="Calibri"/>
        </w:rPr>
        <w:t xml:space="preserve">to </w:t>
      </w:r>
      <w:r w:rsidR="00B928A4" w:rsidRPr="00D9011B">
        <w:rPr>
          <w:rFonts w:eastAsia="Calibri"/>
        </w:rPr>
        <w:t xml:space="preserve">further </w:t>
      </w:r>
      <w:r w:rsidR="00E62AB4" w:rsidRPr="00D9011B">
        <w:rPr>
          <w:rFonts w:eastAsia="Calibri"/>
        </w:rPr>
        <w:t>e</w:t>
      </w:r>
      <w:r w:rsidR="002F1CD0" w:rsidRPr="00D9011B">
        <w:rPr>
          <w:rFonts w:eastAsia="Calibri"/>
        </w:rPr>
        <w:t>ntrench</w:t>
      </w:r>
      <w:r w:rsidR="00E62AB4" w:rsidRPr="00D9011B">
        <w:rPr>
          <w:rFonts w:eastAsia="Calibri"/>
        </w:rPr>
        <w:t xml:space="preserve"> existing cooperation</w:t>
      </w:r>
      <w:r w:rsidR="002F1CD0" w:rsidRPr="00D9011B">
        <w:rPr>
          <w:rFonts w:eastAsia="Calibri"/>
        </w:rPr>
        <w:t xml:space="preserve"> and information sharing</w:t>
      </w:r>
      <w:r w:rsidR="00851490" w:rsidRPr="00D9011B">
        <w:rPr>
          <w:rFonts w:eastAsia="Calibri"/>
        </w:rPr>
        <w:t xml:space="preserve">, as reflected in the </w:t>
      </w:r>
      <w:r w:rsidR="00A60E58" w:rsidRPr="00D9011B">
        <w:rPr>
          <w:rFonts w:eastAsia="Calibri"/>
        </w:rPr>
        <w:t xml:space="preserve">revised </w:t>
      </w:r>
      <w:r w:rsidR="00303F52" w:rsidRPr="00D9011B">
        <w:rPr>
          <w:rFonts w:eastAsia="Calibri"/>
        </w:rPr>
        <w:t>Methods of Work</w:t>
      </w:r>
      <w:r w:rsidR="00A60E58" w:rsidRPr="00D9011B">
        <w:rPr>
          <w:rFonts w:eastAsia="Calibri"/>
        </w:rPr>
        <w:t xml:space="preserve"> document</w:t>
      </w:r>
      <w:r w:rsidR="00851490" w:rsidRPr="00D9011B">
        <w:rPr>
          <w:rFonts w:eastAsia="Calibri"/>
        </w:rPr>
        <w:t>,</w:t>
      </w:r>
      <w:r w:rsidR="00BD0908" w:rsidRPr="00D9011B">
        <w:rPr>
          <w:rFonts w:eastAsia="Calibri"/>
        </w:rPr>
        <w:t xml:space="preserve"> attached as an annex to the tenth session outcome document, which was</w:t>
      </w:r>
      <w:r w:rsidR="00851490" w:rsidRPr="00D9011B">
        <w:rPr>
          <w:rFonts w:eastAsia="Calibri"/>
        </w:rPr>
        <w:t xml:space="preserve"> </w:t>
      </w:r>
      <w:r w:rsidR="00851490" w:rsidRPr="00D9011B">
        <w:rPr>
          <w:rFonts w:eastAsia="Calibri"/>
        </w:rPr>
        <w:lastRenderedPageBreak/>
        <w:t>adopted during the tenth session</w:t>
      </w:r>
      <w:r w:rsidR="00BD0908" w:rsidRPr="00D9011B">
        <w:rPr>
          <w:rFonts w:eastAsia="Calibri"/>
        </w:rPr>
        <w:t xml:space="preserve"> and</w:t>
      </w:r>
      <w:r w:rsidR="00851490" w:rsidRPr="00D9011B">
        <w:rPr>
          <w:rFonts w:eastAsia="Calibri"/>
        </w:rPr>
        <w:t xml:space="preserve"> </w:t>
      </w:r>
      <w:r w:rsidR="00303F52" w:rsidRPr="00D9011B">
        <w:rPr>
          <w:rFonts w:eastAsia="Calibri"/>
        </w:rPr>
        <w:t>reflect</w:t>
      </w:r>
      <w:r w:rsidR="00851490" w:rsidRPr="00D9011B">
        <w:rPr>
          <w:rFonts w:eastAsia="Calibri"/>
        </w:rPr>
        <w:t xml:space="preserve">ed </w:t>
      </w:r>
      <w:r w:rsidR="00A27F4B" w:rsidRPr="00D9011B">
        <w:rPr>
          <w:rFonts w:eastAsia="Calibri"/>
        </w:rPr>
        <w:t>t</w:t>
      </w:r>
      <w:r w:rsidR="00851490" w:rsidRPr="00D9011B">
        <w:rPr>
          <w:rFonts w:eastAsia="Calibri"/>
        </w:rPr>
        <w:t>he formalization of the</w:t>
      </w:r>
      <w:r w:rsidR="00A27F4B" w:rsidRPr="00D9011B">
        <w:rPr>
          <w:rFonts w:eastAsia="Calibri"/>
        </w:rPr>
        <w:t xml:space="preserve"> exis</w:t>
      </w:r>
      <w:r w:rsidR="00A60E58" w:rsidRPr="00D9011B">
        <w:rPr>
          <w:rFonts w:eastAsia="Calibri"/>
        </w:rPr>
        <w:t>t</w:t>
      </w:r>
      <w:r w:rsidR="00A27F4B" w:rsidRPr="00D9011B">
        <w:rPr>
          <w:rFonts w:eastAsia="Calibri"/>
        </w:rPr>
        <w:t>ing cooperation</w:t>
      </w:r>
      <w:r w:rsidR="00A60E58" w:rsidRPr="00D9011B">
        <w:rPr>
          <w:rFonts w:eastAsia="Calibri"/>
        </w:rPr>
        <w:t xml:space="preserve"> with the ILO</w:t>
      </w:r>
      <w:r w:rsidR="00A27F4B" w:rsidRPr="00D9011B">
        <w:rPr>
          <w:rFonts w:eastAsia="Calibri"/>
        </w:rPr>
        <w:t>.</w:t>
      </w:r>
      <w:r w:rsidR="00BD0908" w:rsidRPr="00D9011B">
        <w:rPr>
          <w:rStyle w:val="FootnoteReference"/>
          <w:rFonts w:eastAsia="Calibri"/>
        </w:rPr>
        <w:footnoteReference w:id="3"/>
      </w:r>
    </w:p>
    <w:p w:rsidR="0037014C" w:rsidRPr="00D9011B" w:rsidRDefault="00885B5B" w:rsidP="00A773A1">
      <w:pPr>
        <w:pStyle w:val="SingleTxtG"/>
        <w:rPr>
          <w:rFonts w:eastAsia="Calibri"/>
        </w:rPr>
      </w:pPr>
      <w:r>
        <w:rPr>
          <w:rFonts w:eastAsia="Calibri"/>
        </w:rPr>
        <w:t>23</w:t>
      </w:r>
      <w:r w:rsidR="00DC668D">
        <w:rPr>
          <w:rFonts w:eastAsia="Calibri"/>
        </w:rPr>
        <w:t>.</w:t>
      </w:r>
      <w:r w:rsidR="00DC668D">
        <w:rPr>
          <w:rFonts w:eastAsia="Calibri"/>
        </w:rPr>
        <w:tab/>
      </w:r>
      <w:r w:rsidR="0037014C" w:rsidRPr="00D9011B">
        <w:rPr>
          <w:rFonts w:eastAsia="Calibri"/>
        </w:rPr>
        <w:t xml:space="preserve">The Working Group </w:t>
      </w:r>
      <w:r w:rsidR="00AA2182">
        <w:rPr>
          <w:rFonts w:eastAsia="Calibri"/>
        </w:rPr>
        <w:t>met</w:t>
      </w:r>
      <w:r w:rsidR="0037014C" w:rsidRPr="00D9011B">
        <w:rPr>
          <w:rFonts w:eastAsia="Calibri"/>
        </w:rPr>
        <w:t xml:space="preserve"> with Linda </w:t>
      </w:r>
      <w:proofErr w:type="spellStart"/>
      <w:r w:rsidR="0037014C" w:rsidRPr="00D9011B">
        <w:rPr>
          <w:rFonts w:eastAsia="Calibri"/>
        </w:rPr>
        <w:t>Kromjong</w:t>
      </w:r>
      <w:proofErr w:type="spellEnd"/>
      <w:r w:rsidR="0037014C" w:rsidRPr="00D9011B">
        <w:rPr>
          <w:rFonts w:eastAsia="Calibri"/>
        </w:rPr>
        <w:t>, the newly appointed Secretary-General of the International Organisation of Employers (IOE)</w:t>
      </w:r>
      <w:r w:rsidR="000A142F" w:rsidRPr="00D9011B">
        <w:rPr>
          <w:rFonts w:eastAsia="Calibri"/>
        </w:rPr>
        <w:t>,</w:t>
      </w:r>
      <w:r w:rsidR="0037014C" w:rsidRPr="00D9011B">
        <w:rPr>
          <w:rFonts w:eastAsia="Calibri"/>
        </w:rPr>
        <w:t xml:space="preserve"> to </w:t>
      </w:r>
      <w:r w:rsidR="0070685A" w:rsidRPr="0070685A">
        <w:rPr>
          <w:rFonts w:eastAsia="Calibri"/>
        </w:rPr>
        <w:t xml:space="preserve">learn about IOE’s </w:t>
      </w:r>
      <w:r w:rsidR="0070685A">
        <w:rPr>
          <w:rFonts w:eastAsia="Calibri"/>
        </w:rPr>
        <w:t xml:space="preserve">involvement in </w:t>
      </w:r>
      <w:r w:rsidR="0070685A" w:rsidRPr="0070685A">
        <w:rPr>
          <w:rFonts w:eastAsia="Calibri"/>
        </w:rPr>
        <w:t>efforts to promote the Guiding Principles among its constituencies</w:t>
      </w:r>
      <w:r w:rsidR="0070685A">
        <w:rPr>
          <w:rFonts w:eastAsia="Calibri"/>
        </w:rPr>
        <w:t xml:space="preserve">. </w:t>
      </w:r>
    </w:p>
    <w:p w:rsidR="007B3C3C" w:rsidRPr="00D9011B" w:rsidRDefault="00885B5B" w:rsidP="009F6AA4">
      <w:pPr>
        <w:pStyle w:val="SingleTxtG"/>
        <w:rPr>
          <w:rFonts w:eastAsia="Calibri"/>
          <w:lang w:val="en-US"/>
        </w:rPr>
      </w:pPr>
      <w:r>
        <w:rPr>
          <w:rFonts w:eastAsia="Calibri"/>
        </w:rPr>
        <w:t>24</w:t>
      </w:r>
      <w:r w:rsidR="00A773A1" w:rsidRPr="00D9011B">
        <w:rPr>
          <w:rFonts w:eastAsia="Calibri"/>
        </w:rPr>
        <w:t>.</w:t>
      </w:r>
      <w:r w:rsidR="00A773A1" w:rsidRPr="00D9011B">
        <w:rPr>
          <w:rFonts w:eastAsia="Calibri"/>
        </w:rPr>
        <w:tab/>
      </w:r>
      <w:r w:rsidR="0068727A" w:rsidRPr="00D9011B">
        <w:rPr>
          <w:rFonts w:eastAsia="Calibri"/>
        </w:rPr>
        <w:t xml:space="preserve">The Working Group </w:t>
      </w:r>
      <w:r w:rsidR="00921A51" w:rsidRPr="00D9011B">
        <w:rPr>
          <w:rFonts w:eastAsia="Calibri"/>
        </w:rPr>
        <w:t xml:space="preserve">held a meeting </w:t>
      </w:r>
      <w:r w:rsidR="009C02CD" w:rsidRPr="00D9011B">
        <w:rPr>
          <w:rFonts w:eastAsia="Calibri"/>
        </w:rPr>
        <w:t xml:space="preserve">open to all </w:t>
      </w:r>
      <w:r w:rsidR="0068727A" w:rsidRPr="00D9011B">
        <w:rPr>
          <w:rFonts w:eastAsia="Calibri"/>
        </w:rPr>
        <w:t>States</w:t>
      </w:r>
      <w:r w:rsidR="00DA6EA7" w:rsidRPr="00D9011B">
        <w:rPr>
          <w:rFonts w:eastAsia="Calibri"/>
        </w:rPr>
        <w:t xml:space="preserve"> and </w:t>
      </w:r>
      <w:r w:rsidR="00DA6EA7" w:rsidRPr="00D9011B">
        <w:rPr>
          <w:rFonts w:eastAsia="Calibri"/>
          <w:lang w:val="en-US"/>
        </w:rPr>
        <w:t>intergovernmental organi</w:t>
      </w:r>
      <w:r w:rsidR="004326A9">
        <w:rPr>
          <w:rFonts w:eastAsia="Calibri"/>
          <w:lang w:val="en-US"/>
        </w:rPr>
        <w:t>z</w:t>
      </w:r>
      <w:r w:rsidR="00DA6EA7" w:rsidRPr="00D9011B">
        <w:rPr>
          <w:rFonts w:eastAsia="Calibri"/>
          <w:lang w:val="en-US"/>
        </w:rPr>
        <w:t>ations</w:t>
      </w:r>
      <w:r w:rsidR="00053FF8" w:rsidRPr="00D9011B">
        <w:rPr>
          <w:rFonts w:eastAsia="Calibri"/>
        </w:rPr>
        <w:t xml:space="preserve">. </w:t>
      </w:r>
      <w:r w:rsidR="00BF2A54" w:rsidRPr="00D9011B">
        <w:rPr>
          <w:rFonts w:eastAsia="Calibri"/>
        </w:rPr>
        <w:t xml:space="preserve">Representatives from 32 States and </w:t>
      </w:r>
      <w:r w:rsidR="00BF2A54" w:rsidRPr="00D9011B">
        <w:rPr>
          <w:rFonts w:eastAsia="Calibri"/>
          <w:lang w:val="en-US"/>
        </w:rPr>
        <w:t xml:space="preserve">intergovernmental </w:t>
      </w:r>
      <w:r w:rsidR="00BF2A54" w:rsidRPr="00D9011B">
        <w:rPr>
          <w:rFonts w:eastAsia="Calibri"/>
        </w:rPr>
        <w:t xml:space="preserve">organizations attended. </w:t>
      </w:r>
      <w:r w:rsidR="00526831" w:rsidRPr="00D9011B">
        <w:rPr>
          <w:rFonts w:eastAsia="Calibri"/>
        </w:rPr>
        <w:t xml:space="preserve">The meeting </w:t>
      </w:r>
      <w:r w:rsidR="003A2709">
        <w:rPr>
          <w:rFonts w:eastAsia="Calibri"/>
        </w:rPr>
        <w:t>provided an opportunity</w:t>
      </w:r>
      <w:r w:rsidR="003A2709" w:rsidRPr="00D9011B">
        <w:rPr>
          <w:rFonts w:eastAsia="Calibri"/>
        </w:rPr>
        <w:t xml:space="preserve"> </w:t>
      </w:r>
      <w:r w:rsidR="003A2709">
        <w:rPr>
          <w:rFonts w:eastAsia="Calibri"/>
        </w:rPr>
        <w:t xml:space="preserve">for </w:t>
      </w:r>
      <w:r w:rsidR="00064194" w:rsidRPr="00D9011B">
        <w:rPr>
          <w:rFonts w:eastAsia="Calibri"/>
        </w:rPr>
        <w:t>Mr. Dante Pesce,</w:t>
      </w:r>
      <w:r w:rsidR="00526831" w:rsidRPr="00D9011B">
        <w:rPr>
          <w:rFonts w:eastAsia="Calibri"/>
        </w:rPr>
        <w:t xml:space="preserve"> the new member of the Working Group</w:t>
      </w:r>
      <w:r w:rsidR="00064194" w:rsidRPr="00D9011B">
        <w:rPr>
          <w:rFonts w:eastAsia="Calibri"/>
        </w:rPr>
        <w:t>,</w:t>
      </w:r>
      <w:r w:rsidR="00D930FD">
        <w:rPr>
          <w:rFonts w:eastAsia="Calibri"/>
        </w:rPr>
        <w:t xml:space="preserve"> </w:t>
      </w:r>
      <w:r w:rsidR="003A2709">
        <w:rPr>
          <w:rFonts w:eastAsia="Calibri"/>
        </w:rPr>
        <w:t xml:space="preserve">to introduce himself and </w:t>
      </w:r>
      <w:r w:rsidR="003F6B44" w:rsidRPr="00D9011B">
        <w:rPr>
          <w:rFonts w:eastAsia="Calibri"/>
        </w:rPr>
        <w:t xml:space="preserve">for the Working Group to present its plans and seek input on specific projects. In </w:t>
      </w:r>
      <w:r w:rsidR="00FC4346" w:rsidRPr="00D9011B">
        <w:rPr>
          <w:rFonts w:eastAsia="Calibri"/>
        </w:rPr>
        <w:t>addition to discussing the</w:t>
      </w:r>
      <w:r w:rsidR="00FC4346" w:rsidRPr="00D9011B">
        <w:rPr>
          <w:rFonts w:eastAsia="Calibri"/>
          <w:lang w:val="en-US"/>
        </w:rPr>
        <w:t xml:space="preserve"> survey of State practice and lessons learned on </w:t>
      </w:r>
      <w:r w:rsidR="00A06C3C" w:rsidRPr="00D9011B">
        <w:rPr>
          <w:rFonts w:eastAsia="Calibri"/>
          <w:lang w:val="en-US"/>
        </w:rPr>
        <w:t xml:space="preserve">the </w:t>
      </w:r>
      <w:r w:rsidR="00FC4346" w:rsidRPr="00D9011B">
        <w:rPr>
          <w:rFonts w:eastAsia="Calibri"/>
          <w:lang w:val="en-US"/>
        </w:rPr>
        <w:t>implementation of the Guiding Principle</w:t>
      </w:r>
      <w:r w:rsidR="00A06C3C" w:rsidRPr="00D9011B">
        <w:rPr>
          <w:rFonts w:eastAsia="Calibri"/>
          <w:lang w:val="en-US"/>
        </w:rPr>
        <w:t>s</w:t>
      </w:r>
      <w:r w:rsidR="00FC4346" w:rsidRPr="00D9011B">
        <w:rPr>
          <w:rFonts w:eastAsia="Calibri"/>
        </w:rPr>
        <w:t xml:space="preserve"> (detailed above)</w:t>
      </w:r>
      <w:r w:rsidR="003F6B44" w:rsidRPr="00D9011B">
        <w:rPr>
          <w:rFonts w:eastAsia="Calibri"/>
        </w:rPr>
        <w:t xml:space="preserve">, </w:t>
      </w:r>
      <w:r w:rsidR="00FC4346" w:rsidRPr="00D9011B">
        <w:rPr>
          <w:rFonts w:eastAsia="Calibri"/>
          <w:lang w:val="en-US"/>
        </w:rPr>
        <w:t>t</w:t>
      </w:r>
      <w:r w:rsidR="009F6AA4" w:rsidRPr="00D9011B">
        <w:rPr>
          <w:rFonts w:eastAsia="Calibri"/>
          <w:lang w:val="en-US"/>
        </w:rPr>
        <w:t>he Working Group outlined its activities for 2015 and discussed with States its plans for the Annual Forum 16-18 November 2015</w:t>
      </w:r>
      <w:r w:rsidR="004326A9">
        <w:rPr>
          <w:rFonts w:eastAsia="Calibri"/>
          <w:lang w:val="en-US"/>
        </w:rPr>
        <w:t>;</w:t>
      </w:r>
      <w:r w:rsidR="009F6AA4" w:rsidRPr="00D9011B">
        <w:rPr>
          <w:rFonts w:eastAsia="Calibri"/>
          <w:lang w:val="en-US"/>
        </w:rPr>
        <w:t xml:space="preserve"> a regional forum on business and human rights in early 2016, country missions to the </w:t>
      </w:r>
      <w:r w:rsidR="00DE78B8" w:rsidRPr="00D9011B">
        <w:rPr>
          <w:rFonts w:eastAsia="Calibri"/>
        </w:rPr>
        <w:t xml:space="preserve">Latin America and the Caribbean </w:t>
      </w:r>
      <w:r w:rsidR="009F6AA4" w:rsidRPr="00D9011B">
        <w:rPr>
          <w:rFonts w:eastAsia="Calibri"/>
          <w:lang w:val="en-US"/>
        </w:rPr>
        <w:t>region</w:t>
      </w:r>
      <w:r w:rsidR="004326A9">
        <w:rPr>
          <w:rFonts w:eastAsia="Calibri"/>
          <w:lang w:val="en-US"/>
        </w:rPr>
        <w:t>;</w:t>
      </w:r>
      <w:r w:rsidR="009F6AA4" w:rsidRPr="00D9011B">
        <w:rPr>
          <w:rFonts w:eastAsia="Calibri"/>
          <w:lang w:val="en-US"/>
        </w:rPr>
        <w:t xml:space="preserve"> po</w:t>
      </w:r>
      <w:r w:rsidR="00555D67">
        <w:rPr>
          <w:rFonts w:eastAsia="Calibri"/>
          <w:lang w:val="en-US"/>
        </w:rPr>
        <w:t>tential visits to companies</w:t>
      </w:r>
      <w:r w:rsidR="004326A9">
        <w:rPr>
          <w:rFonts w:eastAsia="Calibri"/>
          <w:lang w:val="en-US"/>
        </w:rPr>
        <w:t>;</w:t>
      </w:r>
      <w:r w:rsidR="00555D67">
        <w:rPr>
          <w:rFonts w:eastAsia="Calibri"/>
          <w:lang w:val="en-US"/>
        </w:rPr>
        <w:t xml:space="preserve"> its</w:t>
      </w:r>
      <w:r w:rsidR="009F6AA4" w:rsidRPr="00D9011B">
        <w:rPr>
          <w:rFonts w:eastAsia="Calibri"/>
          <w:lang w:val="en-US"/>
        </w:rPr>
        <w:t xml:space="preserve"> report to the H</w:t>
      </w:r>
      <w:r w:rsidR="00124F1C">
        <w:rPr>
          <w:rFonts w:eastAsia="Calibri"/>
          <w:lang w:val="en-US"/>
        </w:rPr>
        <w:t xml:space="preserve">uman </w:t>
      </w:r>
      <w:r w:rsidR="009F6AA4" w:rsidRPr="00D9011B">
        <w:rPr>
          <w:rFonts w:eastAsia="Calibri"/>
          <w:lang w:val="en-US"/>
        </w:rPr>
        <w:t>R</w:t>
      </w:r>
      <w:r w:rsidR="00124F1C">
        <w:rPr>
          <w:rFonts w:eastAsia="Calibri"/>
          <w:lang w:val="en-US"/>
        </w:rPr>
        <w:t xml:space="preserve">ights </w:t>
      </w:r>
      <w:r w:rsidR="009F6AA4" w:rsidRPr="00D9011B">
        <w:rPr>
          <w:rFonts w:eastAsia="Calibri"/>
          <w:lang w:val="en-US"/>
        </w:rPr>
        <w:t>C</w:t>
      </w:r>
      <w:r w:rsidR="00124F1C">
        <w:rPr>
          <w:rFonts w:eastAsia="Calibri"/>
          <w:lang w:val="en-US"/>
        </w:rPr>
        <w:t>ouncil</w:t>
      </w:r>
      <w:r w:rsidR="009F6AA4" w:rsidRPr="00D9011B">
        <w:rPr>
          <w:rFonts w:eastAsia="Calibri"/>
          <w:lang w:val="en-US"/>
        </w:rPr>
        <w:t xml:space="preserve"> </w:t>
      </w:r>
      <w:r w:rsidR="004326A9">
        <w:rPr>
          <w:rFonts w:eastAsia="Calibri"/>
          <w:lang w:val="en-US"/>
        </w:rPr>
        <w:t xml:space="preserve">(A/HRC/19/28), due to </w:t>
      </w:r>
      <w:r w:rsidR="00FC4346" w:rsidRPr="00D9011B">
        <w:rPr>
          <w:rFonts w:eastAsia="Calibri"/>
          <w:lang w:val="en-US"/>
        </w:rPr>
        <w:t>be presented in June 2015</w:t>
      </w:r>
      <w:r w:rsidR="004326A9">
        <w:rPr>
          <w:rFonts w:eastAsia="Calibri"/>
          <w:lang w:val="en-US"/>
        </w:rPr>
        <w:t>, focusing</w:t>
      </w:r>
      <w:r w:rsidR="00FC4346" w:rsidRPr="00D9011B">
        <w:rPr>
          <w:rFonts w:eastAsia="Calibri"/>
          <w:lang w:val="en-US"/>
        </w:rPr>
        <w:t xml:space="preserve"> </w:t>
      </w:r>
      <w:r w:rsidR="002A08C2" w:rsidRPr="00D9011B">
        <w:rPr>
          <w:rFonts w:eastAsia="Calibri"/>
          <w:lang w:val="en-US"/>
        </w:rPr>
        <w:t xml:space="preserve">on </w:t>
      </w:r>
      <w:r w:rsidR="00E746F6">
        <w:rPr>
          <w:rFonts w:eastAsia="Calibri"/>
          <w:lang w:val="en-US"/>
        </w:rPr>
        <w:t>the need to further embed the</w:t>
      </w:r>
      <w:r w:rsidR="002A08C2" w:rsidRPr="00D9011B">
        <w:rPr>
          <w:rFonts w:eastAsia="Calibri"/>
          <w:lang w:val="en-US"/>
        </w:rPr>
        <w:t xml:space="preserve"> Guiding Principles on Business and Human Rights throughout United Nations </w:t>
      </w:r>
      <w:proofErr w:type="spellStart"/>
      <w:r w:rsidR="002A08C2" w:rsidRPr="00D9011B">
        <w:rPr>
          <w:rFonts w:eastAsia="Calibri"/>
          <w:lang w:val="en-US"/>
        </w:rPr>
        <w:t>programmes</w:t>
      </w:r>
      <w:proofErr w:type="spellEnd"/>
      <w:r w:rsidR="002A08C2" w:rsidRPr="00D9011B">
        <w:rPr>
          <w:rFonts w:eastAsia="Calibri"/>
          <w:lang w:val="en-US"/>
        </w:rPr>
        <w:t xml:space="preserve"> and processes in order to improve policy coherence for inclusive and sustainable development</w:t>
      </w:r>
      <w:r w:rsidR="004326A9">
        <w:rPr>
          <w:rFonts w:eastAsia="Calibri"/>
          <w:lang w:val="en-US"/>
        </w:rPr>
        <w:t>;</w:t>
      </w:r>
      <w:r w:rsidR="00555D67">
        <w:rPr>
          <w:rStyle w:val="FootnoteReference"/>
          <w:rFonts w:eastAsia="Calibri"/>
          <w:lang w:val="en-US"/>
        </w:rPr>
        <w:footnoteReference w:id="4"/>
      </w:r>
      <w:r w:rsidR="004326A9">
        <w:rPr>
          <w:rFonts w:eastAsia="Calibri"/>
          <w:lang w:val="en-US"/>
        </w:rPr>
        <w:t xml:space="preserve"> and</w:t>
      </w:r>
      <w:r w:rsidR="009F6AA4" w:rsidRPr="00D9011B">
        <w:rPr>
          <w:rFonts w:eastAsia="Calibri"/>
          <w:lang w:val="en-US"/>
        </w:rPr>
        <w:t xml:space="preserve"> </w:t>
      </w:r>
      <w:r w:rsidR="00AB0785">
        <w:rPr>
          <w:rFonts w:eastAsia="Calibri"/>
          <w:lang w:val="en-US"/>
        </w:rPr>
        <w:t xml:space="preserve">the topic of its forthcoming report to the General Assembly looking </w:t>
      </w:r>
      <w:r w:rsidR="009F6AA4" w:rsidRPr="00D9011B">
        <w:rPr>
          <w:rFonts w:eastAsia="Calibri"/>
          <w:lang w:val="en-US"/>
        </w:rPr>
        <w:t>at uptake of the Guiding Principles on Business and Human Rights</w:t>
      </w:r>
      <w:r w:rsidR="006909C2" w:rsidRPr="00D9011B">
        <w:rPr>
          <w:rFonts w:eastAsia="Calibri"/>
        </w:rPr>
        <w:t>.</w:t>
      </w:r>
      <w:r w:rsidR="007D1E7E" w:rsidRPr="00D9011B">
        <w:rPr>
          <w:rFonts w:eastAsia="Calibri"/>
        </w:rPr>
        <w:t xml:space="preserve"> The Working Group also highlighted its interest in contributing to the first session of the open-ended intergovernmental working group on transnational corporations and other business enterprises</w:t>
      </w:r>
      <w:r w:rsidR="00D512A6">
        <w:rPr>
          <w:rFonts w:eastAsia="Calibri"/>
        </w:rPr>
        <w:t xml:space="preserve"> </w:t>
      </w:r>
      <w:r w:rsidR="00D512A6" w:rsidRPr="00D512A6">
        <w:rPr>
          <w:rFonts w:eastAsia="Calibri"/>
        </w:rPr>
        <w:t>with respect to human rights</w:t>
      </w:r>
      <w:r w:rsidR="00D512A6">
        <w:rPr>
          <w:rFonts w:eastAsia="Calibri"/>
        </w:rPr>
        <w:t>.</w:t>
      </w:r>
    </w:p>
    <w:p w:rsidR="002F36B7" w:rsidRPr="00DC38B9" w:rsidRDefault="00885B5B" w:rsidP="00DC38B9">
      <w:pPr>
        <w:pStyle w:val="SingleTxtG"/>
        <w:rPr>
          <w:rFonts w:eastAsia="Calibri"/>
          <w:lang w:val="en-US"/>
        </w:rPr>
      </w:pPr>
      <w:r>
        <w:rPr>
          <w:rFonts w:eastAsia="Calibri"/>
        </w:rPr>
        <w:t>25</w:t>
      </w:r>
      <w:r w:rsidR="00A773A1" w:rsidRPr="00D9011B">
        <w:rPr>
          <w:rFonts w:eastAsia="Calibri"/>
        </w:rPr>
        <w:t>.</w:t>
      </w:r>
      <w:r w:rsidR="00F347B9" w:rsidRPr="00D9011B">
        <w:rPr>
          <w:rFonts w:eastAsia="Calibri"/>
        </w:rPr>
        <w:t xml:space="preserve"> </w:t>
      </w:r>
      <w:r w:rsidR="00A773A1" w:rsidRPr="00D9011B">
        <w:rPr>
          <w:rFonts w:eastAsia="Calibri"/>
        </w:rPr>
        <w:tab/>
      </w:r>
      <w:r w:rsidR="00F347B9" w:rsidRPr="00D9011B">
        <w:rPr>
          <w:rFonts w:eastAsia="Calibri"/>
          <w:lang w:val="en-US"/>
        </w:rPr>
        <w:t xml:space="preserve">The Working Group held a productive meeting with the </w:t>
      </w:r>
      <w:r w:rsidR="00F347B9" w:rsidRPr="00D9011B">
        <w:rPr>
          <w:rFonts w:eastAsia="Calibri"/>
        </w:rPr>
        <w:t>Working Group on discrimination against women in law and in practice to discuss different areas of cooperation including in relation to the gender aspects of the Working Group’s guidance on national action plans on business and human rights</w:t>
      </w:r>
      <w:r w:rsidR="009F6AA4" w:rsidRPr="00D9011B">
        <w:rPr>
          <w:rFonts w:eastAsia="Calibri"/>
        </w:rPr>
        <w:t xml:space="preserve">, </w:t>
      </w:r>
      <w:r w:rsidR="00002E88">
        <w:rPr>
          <w:rFonts w:eastAsia="Calibri"/>
        </w:rPr>
        <w:t xml:space="preserve">published on 1 December 2014, </w:t>
      </w:r>
      <w:r w:rsidR="009F6AA4" w:rsidRPr="00D9011B">
        <w:rPr>
          <w:rFonts w:eastAsia="Calibri"/>
        </w:rPr>
        <w:t>and the planned revision of that guidance later in 2015</w:t>
      </w:r>
      <w:r w:rsidR="00F347B9" w:rsidRPr="00D9011B">
        <w:rPr>
          <w:rFonts w:eastAsia="Calibri"/>
        </w:rPr>
        <w:t xml:space="preserve">.  </w:t>
      </w:r>
    </w:p>
    <w:p w:rsidR="002B6FEF" w:rsidRDefault="00885B5B" w:rsidP="007D0CC1">
      <w:pPr>
        <w:pStyle w:val="SingleTxtG"/>
        <w:rPr>
          <w:rFonts w:eastAsia="Calibri"/>
        </w:rPr>
      </w:pPr>
      <w:r>
        <w:rPr>
          <w:rFonts w:eastAsia="Calibri"/>
        </w:rPr>
        <w:t>26</w:t>
      </w:r>
      <w:r w:rsidR="00A773A1" w:rsidRPr="00D9011B">
        <w:rPr>
          <w:rFonts w:eastAsia="Calibri"/>
        </w:rPr>
        <w:t>.</w:t>
      </w:r>
      <w:r w:rsidR="00A773A1" w:rsidRPr="00D9011B">
        <w:rPr>
          <w:rFonts w:eastAsia="Calibri"/>
        </w:rPr>
        <w:tab/>
      </w:r>
      <w:r w:rsidR="003F6B44" w:rsidRPr="00D9011B">
        <w:rPr>
          <w:rFonts w:eastAsia="Calibri"/>
        </w:rPr>
        <w:t xml:space="preserve">The Working Group held a consultation with civil society </w:t>
      </w:r>
      <w:r w:rsidR="00A773A1" w:rsidRPr="00D9011B">
        <w:rPr>
          <w:rFonts w:eastAsia="Calibri"/>
        </w:rPr>
        <w:t>organizations</w:t>
      </w:r>
      <w:r w:rsidR="003F6B44" w:rsidRPr="00D9011B">
        <w:rPr>
          <w:rFonts w:eastAsia="Calibri"/>
        </w:rPr>
        <w:t xml:space="preserve"> and met with a wide range of stakeholders. </w:t>
      </w:r>
      <w:r w:rsidR="00DB331C" w:rsidRPr="00D9011B">
        <w:rPr>
          <w:rFonts w:eastAsia="Calibri"/>
        </w:rPr>
        <w:t xml:space="preserve">The Working Group received </w:t>
      </w:r>
      <w:r w:rsidR="00F33AD2" w:rsidRPr="00D9011B">
        <w:rPr>
          <w:rFonts w:eastAsia="Calibri"/>
        </w:rPr>
        <w:t xml:space="preserve">written </w:t>
      </w:r>
      <w:r w:rsidR="00DB331C" w:rsidRPr="00D9011B">
        <w:rPr>
          <w:rFonts w:eastAsia="Calibri"/>
        </w:rPr>
        <w:t xml:space="preserve">input prior to the consultation from civil society </w:t>
      </w:r>
      <w:r w:rsidR="00A773A1" w:rsidRPr="00D9011B">
        <w:rPr>
          <w:rFonts w:eastAsia="Calibri"/>
        </w:rPr>
        <w:t>organizations</w:t>
      </w:r>
      <w:r w:rsidR="00DB331C" w:rsidRPr="00D9011B">
        <w:rPr>
          <w:rFonts w:eastAsia="Calibri"/>
        </w:rPr>
        <w:t>.</w:t>
      </w:r>
      <w:r w:rsidR="00AD274A">
        <w:rPr>
          <w:rFonts w:eastAsia="Calibri"/>
        </w:rPr>
        <w:t xml:space="preserve"> </w:t>
      </w:r>
      <w:r w:rsidR="00FC18CF" w:rsidRPr="00D9011B">
        <w:rPr>
          <w:rFonts w:eastAsia="Calibri"/>
        </w:rPr>
        <w:t xml:space="preserve">Representatives from 15 </w:t>
      </w:r>
      <w:r w:rsidR="00A773A1" w:rsidRPr="00D9011B">
        <w:rPr>
          <w:rFonts w:eastAsia="Calibri"/>
        </w:rPr>
        <w:t>organizations</w:t>
      </w:r>
      <w:r w:rsidR="00FC18CF" w:rsidRPr="00D9011B">
        <w:rPr>
          <w:rFonts w:eastAsia="Calibri"/>
        </w:rPr>
        <w:t xml:space="preserve"> attended</w:t>
      </w:r>
      <w:r w:rsidR="003A2709">
        <w:rPr>
          <w:rFonts w:eastAsia="Calibri"/>
        </w:rPr>
        <w:t xml:space="preserve">. </w:t>
      </w:r>
      <w:r w:rsidR="003A2709" w:rsidRPr="00D9011B">
        <w:rPr>
          <w:rFonts w:eastAsia="Calibri"/>
        </w:rPr>
        <w:t xml:space="preserve">The meeting </w:t>
      </w:r>
      <w:r w:rsidR="003A2709">
        <w:rPr>
          <w:rFonts w:eastAsia="Calibri"/>
        </w:rPr>
        <w:t>provided an opportunity</w:t>
      </w:r>
      <w:r w:rsidR="003A2709" w:rsidRPr="00D9011B">
        <w:rPr>
          <w:rFonts w:eastAsia="Calibri"/>
        </w:rPr>
        <w:t xml:space="preserve"> </w:t>
      </w:r>
      <w:r w:rsidR="003A2709">
        <w:rPr>
          <w:rFonts w:eastAsia="Calibri"/>
        </w:rPr>
        <w:t xml:space="preserve">for </w:t>
      </w:r>
      <w:r w:rsidR="003A2709" w:rsidRPr="00D9011B">
        <w:rPr>
          <w:rFonts w:eastAsia="Calibri"/>
        </w:rPr>
        <w:t>Mr. Dante Pesce</w:t>
      </w:r>
      <w:r w:rsidR="003A2709">
        <w:rPr>
          <w:rFonts w:eastAsia="Calibri"/>
        </w:rPr>
        <w:t xml:space="preserve"> to introduce himself and for </w:t>
      </w:r>
      <w:r w:rsidR="00D94A60" w:rsidRPr="00D9011B">
        <w:rPr>
          <w:rFonts w:eastAsia="Calibri"/>
        </w:rPr>
        <w:t>the Working</w:t>
      </w:r>
      <w:r w:rsidR="00526831" w:rsidRPr="00D9011B">
        <w:rPr>
          <w:rFonts w:eastAsia="Calibri"/>
        </w:rPr>
        <w:t xml:space="preserve"> </w:t>
      </w:r>
      <w:r w:rsidR="00D94A60" w:rsidRPr="00D9011B">
        <w:rPr>
          <w:rFonts w:eastAsia="Calibri"/>
        </w:rPr>
        <w:t>Group to d</w:t>
      </w:r>
      <w:r w:rsidR="00DF4AD6" w:rsidRPr="00D9011B">
        <w:rPr>
          <w:rFonts w:eastAsia="Calibri"/>
        </w:rPr>
        <w:t>iscuss</w:t>
      </w:r>
      <w:r w:rsidR="00D94A60" w:rsidRPr="00D9011B">
        <w:rPr>
          <w:rFonts w:eastAsia="Calibri"/>
        </w:rPr>
        <w:t xml:space="preserve"> the theme of the 4</w:t>
      </w:r>
      <w:r w:rsidR="00D94A60" w:rsidRPr="00D9011B">
        <w:rPr>
          <w:rFonts w:eastAsia="Calibri"/>
          <w:vertAlign w:val="superscript"/>
        </w:rPr>
        <w:t>th</w:t>
      </w:r>
      <w:r w:rsidR="00D94A60" w:rsidRPr="00D9011B">
        <w:rPr>
          <w:rFonts w:eastAsia="Calibri"/>
        </w:rPr>
        <w:t xml:space="preserve"> annual For</w:t>
      </w:r>
      <w:r w:rsidR="00FB311D">
        <w:rPr>
          <w:rFonts w:eastAsia="Calibri"/>
        </w:rPr>
        <w:t>u</w:t>
      </w:r>
      <w:r w:rsidR="00D94A60" w:rsidRPr="00D9011B">
        <w:rPr>
          <w:rFonts w:eastAsia="Calibri"/>
        </w:rPr>
        <w:t>m on Business and Human Rights</w:t>
      </w:r>
      <w:r w:rsidR="00DF4AD6" w:rsidRPr="00D9011B">
        <w:rPr>
          <w:rFonts w:eastAsia="Calibri"/>
        </w:rPr>
        <w:t>, set out</w:t>
      </w:r>
      <w:r w:rsidR="00796727" w:rsidRPr="00D9011B">
        <w:rPr>
          <w:rFonts w:eastAsia="Calibri"/>
        </w:rPr>
        <w:t xml:space="preserve"> the plans for the Regional Forum for Asia in 2016</w:t>
      </w:r>
      <w:r w:rsidR="007E0C7C" w:rsidRPr="00D9011B">
        <w:rPr>
          <w:rFonts w:eastAsia="Calibri"/>
        </w:rPr>
        <w:t>,</w:t>
      </w:r>
      <w:r w:rsidR="00D578B1" w:rsidRPr="00D9011B">
        <w:rPr>
          <w:rFonts w:eastAsia="Calibri"/>
        </w:rPr>
        <w:t xml:space="preserve"> </w:t>
      </w:r>
      <w:r w:rsidR="007E0C7C" w:rsidRPr="00D9011B">
        <w:rPr>
          <w:rFonts w:eastAsia="Calibri"/>
        </w:rPr>
        <w:t xml:space="preserve">talk about </w:t>
      </w:r>
      <w:r w:rsidR="00D578B1" w:rsidRPr="00D9011B">
        <w:rPr>
          <w:rFonts w:eastAsia="Calibri"/>
        </w:rPr>
        <w:t>its</w:t>
      </w:r>
      <w:r w:rsidR="007E0C7C" w:rsidRPr="00D9011B">
        <w:rPr>
          <w:rFonts w:eastAsia="Calibri"/>
        </w:rPr>
        <w:t xml:space="preserve"> aspirations</w:t>
      </w:r>
      <w:r w:rsidR="00D578B1" w:rsidRPr="00D9011B">
        <w:rPr>
          <w:rFonts w:eastAsia="Calibri"/>
        </w:rPr>
        <w:t xml:space="preserve"> for country visits</w:t>
      </w:r>
      <w:r w:rsidR="007E0C7C" w:rsidRPr="00D9011B">
        <w:rPr>
          <w:rFonts w:eastAsia="Calibri"/>
        </w:rPr>
        <w:t xml:space="preserve"> and company visits over the coming years</w:t>
      </w:r>
      <w:r w:rsidR="00796727" w:rsidRPr="00D9011B">
        <w:rPr>
          <w:rFonts w:eastAsia="Calibri"/>
        </w:rPr>
        <w:t xml:space="preserve">, </w:t>
      </w:r>
      <w:r w:rsidR="00A06C3C" w:rsidRPr="00D9011B">
        <w:rPr>
          <w:rFonts w:eastAsia="Calibri"/>
        </w:rPr>
        <w:t xml:space="preserve">introduce the survey that will shortly be sent to States concerning </w:t>
      </w:r>
      <w:r w:rsidR="00A06C3C" w:rsidRPr="00D9011B">
        <w:rPr>
          <w:rFonts w:eastAsia="Calibri"/>
          <w:lang w:val="en-US"/>
        </w:rPr>
        <w:t>State practice and lessons learned on the implementation of the Guiding Principles</w:t>
      </w:r>
      <w:r w:rsidR="00A06C3C" w:rsidRPr="00D9011B">
        <w:rPr>
          <w:rFonts w:eastAsia="Calibri"/>
        </w:rPr>
        <w:t xml:space="preserve">, </w:t>
      </w:r>
      <w:r w:rsidR="00D94A60" w:rsidRPr="00D9011B">
        <w:rPr>
          <w:rFonts w:eastAsia="Calibri"/>
        </w:rPr>
        <w:t xml:space="preserve">and </w:t>
      </w:r>
      <w:r w:rsidR="00493E8C" w:rsidRPr="00D9011B">
        <w:rPr>
          <w:rFonts w:eastAsia="Calibri"/>
        </w:rPr>
        <w:t xml:space="preserve">draw attention to its </w:t>
      </w:r>
      <w:r w:rsidR="00D94A60" w:rsidRPr="00D9011B">
        <w:rPr>
          <w:rFonts w:eastAsia="Calibri"/>
          <w:lang w:val="en-US"/>
        </w:rPr>
        <w:t>report to the H</w:t>
      </w:r>
      <w:r w:rsidR="00124F1C">
        <w:rPr>
          <w:rFonts w:eastAsia="Calibri"/>
          <w:lang w:val="en-US"/>
        </w:rPr>
        <w:t xml:space="preserve">uman </w:t>
      </w:r>
      <w:r w:rsidR="00D94A60" w:rsidRPr="00D9011B">
        <w:rPr>
          <w:rFonts w:eastAsia="Calibri"/>
          <w:lang w:val="en-US"/>
        </w:rPr>
        <w:t>R</w:t>
      </w:r>
      <w:r w:rsidR="00124F1C">
        <w:rPr>
          <w:rFonts w:eastAsia="Calibri"/>
          <w:lang w:val="en-US"/>
        </w:rPr>
        <w:t xml:space="preserve">ights </w:t>
      </w:r>
      <w:r w:rsidR="00D94A60" w:rsidRPr="00D9011B">
        <w:rPr>
          <w:rFonts w:eastAsia="Calibri"/>
          <w:lang w:val="en-US"/>
        </w:rPr>
        <w:t>C</w:t>
      </w:r>
      <w:r w:rsidR="00124F1C">
        <w:rPr>
          <w:rFonts w:eastAsia="Calibri"/>
          <w:lang w:val="en-US"/>
        </w:rPr>
        <w:t>ouncil</w:t>
      </w:r>
      <w:r w:rsidR="00D94A60" w:rsidRPr="00D9011B">
        <w:rPr>
          <w:rFonts w:eastAsia="Calibri"/>
          <w:lang w:val="en-US"/>
        </w:rPr>
        <w:t>.</w:t>
      </w:r>
      <w:r w:rsidR="00526831" w:rsidRPr="00D9011B">
        <w:rPr>
          <w:rFonts w:eastAsia="Calibri"/>
        </w:rPr>
        <w:t xml:space="preserve"> </w:t>
      </w:r>
      <w:r w:rsidR="002B5199" w:rsidRPr="002B5199">
        <w:rPr>
          <w:rFonts w:eastAsia="Calibri"/>
        </w:rPr>
        <w:t>The Working Group</w:t>
      </w:r>
      <w:r w:rsidR="00AD274A">
        <w:rPr>
          <w:rFonts w:eastAsia="Calibri"/>
        </w:rPr>
        <w:t xml:space="preserve"> also</w:t>
      </w:r>
      <w:r w:rsidR="002B5199" w:rsidRPr="002B5199">
        <w:rPr>
          <w:rFonts w:eastAsia="Calibri"/>
        </w:rPr>
        <w:t xml:space="preserve"> highlighted</w:t>
      </w:r>
      <w:r w:rsidR="00914AF6">
        <w:rPr>
          <w:rFonts w:eastAsia="Calibri"/>
        </w:rPr>
        <w:t xml:space="preserve"> to civil society organisations</w:t>
      </w:r>
      <w:r w:rsidR="002B5199" w:rsidRPr="002B5199">
        <w:rPr>
          <w:rFonts w:eastAsia="Calibri"/>
        </w:rPr>
        <w:t xml:space="preserve"> its interest in contributing to the first session of the open-ended intergovernmental working group on transnational corporations and other business enterprises</w:t>
      </w:r>
      <w:r w:rsidR="00D512A6" w:rsidRPr="00D512A6">
        <w:rPr>
          <w:rFonts w:eastAsia="Calibri"/>
        </w:rPr>
        <w:t xml:space="preserve"> with respect to human rights</w:t>
      </w:r>
      <w:r w:rsidR="002B5199" w:rsidRPr="002B5199">
        <w:rPr>
          <w:rFonts w:eastAsia="Calibri"/>
        </w:rPr>
        <w:t>.</w:t>
      </w:r>
      <w:r w:rsidR="00257309">
        <w:rPr>
          <w:rFonts w:eastAsia="Calibri"/>
        </w:rPr>
        <w:t xml:space="preserve"> </w:t>
      </w:r>
    </w:p>
    <w:p w:rsidR="003F6B44" w:rsidRDefault="00885B5B" w:rsidP="007D0CC1">
      <w:pPr>
        <w:pStyle w:val="SingleTxtG"/>
        <w:rPr>
          <w:rFonts w:eastAsia="Calibri"/>
        </w:rPr>
      </w:pPr>
      <w:r>
        <w:rPr>
          <w:rFonts w:eastAsia="Calibri"/>
        </w:rPr>
        <w:t>27.</w:t>
      </w:r>
      <w:r>
        <w:rPr>
          <w:rFonts w:eastAsia="Calibri"/>
        </w:rPr>
        <w:tab/>
      </w:r>
      <w:r w:rsidR="00796727" w:rsidRPr="00D9011B">
        <w:rPr>
          <w:rFonts w:eastAsia="Calibri"/>
        </w:rPr>
        <w:t xml:space="preserve">The consultation also </w:t>
      </w:r>
      <w:r w:rsidR="000E4B03" w:rsidRPr="00D9011B">
        <w:rPr>
          <w:rFonts w:eastAsia="Calibri"/>
        </w:rPr>
        <w:t xml:space="preserve">enabled the Working Group to </w:t>
      </w:r>
      <w:r w:rsidR="00C46763" w:rsidRPr="00D9011B">
        <w:rPr>
          <w:rFonts w:eastAsia="Calibri"/>
        </w:rPr>
        <w:t xml:space="preserve">hear from </w:t>
      </w:r>
      <w:r w:rsidR="00AD7CFB" w:rsidRPr="00D9011B">
        <w:rPr>
          <w:rFonts w:eastAsia="Calibri"/>
        </w:rPr>
        <w:t xml:space="preserve">a range of </w:t>
      </w:r>
      <w:r w:rsidR="00C46763" w:rsidRPr="00D9011B">
        <w:rPr>
          <w:rFonts w:eastAsia="Calibri"/>
        </w:rPr>
        <w:t xml:space="preserve">civil society </w:t>
      </w:r>
      <w:r w:rsidR="00A773A1" w:rsidRPr="00D9011B">
        <w:rPr>
          <w:rFonts w:eastAsia="Calibri"/>
        </w:rPr>
        <w:t>organizations</w:t>
      </w:r>
      <w:r w:rsidR="00C46763" w:rsidRPr="00D9011B">
        <w:rPr>
          <w:rFonts w:eastAsia="Calibri"/>
        </w:rPr>
        <w:t xml:space="preserve"> about the initiatives they are taking in the field of business and human rights</w:t>
      </w:r>
      <w:r w:rsidR="0023091B" w:rsidRPr="00D9011B">
        <w:rPr>
          <w:rFonts w:eastAsia="Calibri"/>
        </w:rPr>
        <w:t xml:space="preserve"> and the areas they would like to see the Working Group focusing on during its mandate</w:t>
      </w:r>
      <w:r w:rsidR="000E4B03" w:rsidRPr="00D9011B">
        <w:rPr>
          <w:rFonts w:eastAsia="Calibri"/>
        </w:rPr>
        <w:t>. One such example was the presentation by the Global Fund</w:t>
      </w:r>
      <w:r w:rsidR="000E4B03" w:rsidRPr="00D9011B">
        <w:rPr>
          <w:b/>
          <w:bCs/>
        </w:rPr>
        <w:t xml:space="preserve"> </w:t>
      </w:r>
      <w:r w:rsidR="000E4B03" w:rsidRPr="00D9011B">
        <w:rPr>
          <w:rFonts w:eastAsia="Calibri"/>
          <w:bCs/>
        </w:rPr>
        <w:t xml:space="preserve">to Fight AIDS, Tuberculosis and Malaria of its </w:t>
      </w:r>
      <w:r w:rsidR="000E4B03" w:rsidRPr="00D9011B">
        <w:rPr>
          <w:rFonts w:eastAsia="Calibri"/>
          <w:lang w:val="en-US"/>
        </w:rPr>
        <w:t>work to incorporate human rights into every aspect of the grant life cycle, from consultation to implementation</w:t>
      </w:r>
      <w:r w:rsidR="00257309">
        <w:rPr>
          <w:rFonts w:eastAsia="Calibri"/>
          <w:lang w:val="en-US"/>
        </w:rPr>
        <w:t>.</w:t>
      </w:r>
      <w:r w:rsidR="000E4B03" w:rsidRPr="00D9011B">
        <w:rPr>
          <w:rFonts w:eastAsia="Calibri"/>
          <w:lang w:val="en-US"/>
        </w:rPr>
        <w:t xml:space="preserve"> </w:t>
      </w:r>
      <w:r w:rsidR="00304A21">
        <w:rPr>
          <w:rFonts w:eastAsia="Calibri"/>
        </w:rPr>
        <w:t>The c</w:t>
      </w:r>
      <w:r w:rsidR="00002E88">
        <w:rPr>
          <w:rFonts w:eastAsia="Calibri"/>
        </w:rPr>
        <w:t>onsultation</w:t>
      </w:r>
      <w:r w:rsidR="003F6B44" w:rsidRPr="00D9011B">
        <w:rPr>
          <w:rFonts w:eastAsia="Calibri"/>
        </w:rPr>
        <w:t xml:space="preserve"> </w:t>
      </w:r>
      <w:r w:rsidR="00304A21" w:rsidRPr="00304A21">
        <w:rPr>
          <w:rFonts w:eastAsia="Calibri"/>
        </w:rPr>
        <w:t xml:space="preserve">with civil society </w:t>
      </w:r>
      <w:r w:rsidR="00304A21" w:rsidRPr="00304A21">
        <w:rPr>
          <w:rFonts w:eastAsia="Calibri"/>
        </w:rPr>
        <w:lastRenderedPageBreak/>
        <w:t xml:space="preserve">organizations </w:t>
      </w:r>
      <w:r w:rsidR="005551C7" w:rsidRPr="00D9011B">
        <w:rPr>
          <w:rFonts w:eastAsia="Calibri"/>
        </w:rPr>
        <w:t xml:space="preserve">also included </w:t>
      </w:r>
      <w:r w:rsidR="00002E88">
        <w:rPr>
          <w:rFonts w:eastAsia="Calibri"/>
        </w:rPr>
        <w:t xml:space="preserve">discussion of </w:t>
      </w:r>
      <w:r w:rsidR="005551C7" w:rsidRPr="00D9011B">
        <w:rPr>
          <w:rFonts w:eastAsia="Calibri"/>
        </w:rPr>
        <w:t xml:space="preserve">the </w:t>
      </w:r>
      <w:r w:rsidR="00584329">
        <w:rPr>
          <w:rFonts w:eastAsia="Calibri"/>
        </w:rPr>
        <w:t xml:space="preserve">nature of the </w:t>
      </w:r>
      <w:r w:rsidR="005551C7" w:rsidRPr="00D9011B">
        <w:rPr>
          <w:rFonts w:eastAsia="Calibri"/>
        </w:rPr>
        <w:t xml:space="preserve">Working Group’s work with national human rights institutions and other Special Procedures mandates. </w:t>
      </w:r>
    </w:p>
    <w:p w:rsidR="00FE2449" w:rsidRPr="00D9011B" w:rsidRDefault="00885B5B" w:rsidP="00FE2449">
      <w:pPr>
        <w:pStyle w:val="SingleTxtG"/>
        <w:rPr>
          <w:rFonts w:eastAsia="Calibri"/>
        </w:rPr>
      </w:pPr>
      <w:r>
        <w:rPr>
          <w:rFonts w:eastAsia="Calibri"/>
        </w:rPr>
        <w:t>28</w:t>
      </w:r>
      <w:r w:rsidR="00FE2449">
        <w:rPr>
          <w:rFonts w:eastAsia="Calibri"/>
        </w:rPr>
        <w:t>.</w:t>
      </w:r>
      <w:r w:rsidR="00FE2449">
        <w:rPr>
          <w:rFonts w:eastAsia="Calibri"/>
        </w:rPr>
        <w:tab/>
      </w:r>
      <w:r w:rsidR="00FE2449" w:rsidRPr="00FE2449">
        <w:rPr>
          <w:rFonts w:eastAsia="Calibri"/>
        </w:rPr>
        <w:t xml:space="preserve">The Working Group held a business stakeholder consultation with business enterprises and representatives of the business community. The Working Group facilitated the meeting with participants attending both in person, and via conference call. The Working Group received input in relation to </w:t>
      </w:r>
      <w:r w:rsidR="00F62127">
        <w:rPr>
          <w:rFonts w:eastAsia="Calibri"/>
        </w:rPr>
        <w:t xml:space="preserve">the </w:t>
      </w:r>
      <w:r w:rsidR="00FE2449" w:rsidRPr="00FE2449">
        <w:rPr>
          <w:rFonts w:eastAsia="Calibri"/>
        </w:rPr>
        <w:t>continued dissemination of the Guiding Principles on Business and Human Rights</w:t>
      </w:r>
      <w:r w:rsidR="00F62127">
        <w:rPr>
          <w:rFonts w:eastAsia="Calibri"/>
        </w:rPr>
        <w:t xml:space="preserve"> and plans for the 4</w:t>
      </w:r>
      <w:r w:rsidR="00F62127" w:rsidRPr="00F62127">
        <w:rPr>
          <w:rFonts w:eastAsia="Calibri"/>
          <w:vertAlign w:val="superscript"/>
        </w:rPr>
        <w:t>th</w:t>
      </w:r>
      <w:r w:rsidR="00F62127">
        <w:rPr>
          <w:rFonts w:eastAsia="Calibri"/>
        </w:rPr>
        <w:t xml:space="preserve"> annual Forum on Business and Human Rights and the participation of business enterprises in this event</w:t>
      </w:r>
      <w:r w:rsidR="00FE2449" w:rsidRPr="00FE2449">
        <w:rPr>
          <w:rFonts w:eastAsia="Calibri"/>
        </w:rPr>
        <w:t xml:space="preserve">. </w:t>
      </w:r>
    </w:p>
    <w:p w:rsidR="001A2E51" w:rsidRPr="00D9011B" w:rsidRDefault="00912A75" w:rsidP="001A2E51">
      <w:pPr>
        <w:pStyle w:val="HChG"/>
        <w:spacing w:line="240" w:lineRule="atLeast"/>
      </w:pPr>
      <w:r w:rsidRPr="00D9011B">
        <w:tab/>
        <w:t>V</w:t>
      </w:r>
      <w:r w:rsidR="00B35A91" w:rsidRPr="00D9011B">
        <w:t>I</w:t>
      </w:r>
      <w:r w:rsidR="00DC38B9">
        <w:t>I</w:t>
      </w:r>
      <w:r w:rsidR="00B35A91" w:rsidRPr="00D9011B">
        <w:t>.</w:t>
      </w:r>
      <w:r w:rsidR="00B35A91" w:rsidRPr="00D9011B">
        <w:tab/>
      </w:r>
      <w:r w:rsidR="000B6CF1" w:rsidRPr="00D9011B">
        <w:t xml:space="preserve">Chairperson and Vice-Chairperson </w:t>
      </w:r>
    </w:p>
    <w:p w:rsidR="00DC7777" w:rsidRPr="00DC7777" w:rsidRDefault="00DC668D" w:rsidP="00DC7777">
      <w:pPr>
        <w:pStyle w:val="SingleTxtG"/>
        <w:rPr>
          <w:rFonts w:eastAsia="Calibri"/>
        </w:rPr>
      </w:pPr>
      <w:r>
        <w:rPr>
          <w:rFonts w:eastAsia="Calibri"/>
        </w:rPr>
        <w:t>2</w:t>
      </w:r>
      <w:r w:rsidR="00885B5B">
        <w:rPr>
          <w:rFonts w:eastAsia="Calibri"/>
        </w:rPr>
        <w:t>9</w:t>
      </w:r>
      <w:r w:rsidR="00A773A1" w:rsidRPr="00D9011B">
        <w:rPr>
          <w:rFonts w:eastAsia="Calibri"/>
        </w:rPr>
        <w:t>.</w:t>
      </w:r>
      <w:r w:rsidR="00A773A1" w:rsidRPr="00D9011B">
        <w:rPr>
          <w:rFonts w:eastAsia="Calibri"/>
        </w:rPr>
        <w:tab/>
      </w:r>
      <w:r w:rsidR="00AE44B1" w:rsidRPr="00D9011B">
        <w:rPr>
          <w:rFonts w:eastAsia="Calibri"/>
        </w:rPr>
        <w:t xml:space="preserve">Michael </w:t>
      </w:r>
      <w:proofErr w:type="spellStart"/>
      <w:r w:rsidR="00AE44B1" w:rsidRPr="00D9011B">
        <w:rPr>
          <w:rFonts w:eastAsia="Calibri"/>
        </w:rPr>
        <w:t>Addo</w:t>
      </w:r>
      <w:proofErr w:type="spellEnd"/>
      <w:r w:rsidR="00AE44B1" w:rsidRPr="00D9011B">
        <w:rPr>
          <w:rFonts w:eastAsia="Calibri"/>
        </w:rPr>
        <w:t xml:space="preserve"> </w:t>
      </w:r>
      <w:r w:rsidR="000B6CF1" w:rsidRPr="00D9011B">
        <w:rPr>
          <w:rFonts w:eastAsia="Calibri"/>
        </w:rPr>
        <w:t>s</w:t>
      </w:r>
      <w:r w:rsidR="00AE44B1" w:rsidRPr="00D9011B">
        <w:rPr>
          <w:rFonts w:eastAsia="Calibri"/>
        </w:rPr>
        <w:t xml:space="preserve">erved as </w:t>
      </w:r>
      <w:r w:rsidR="000B6CF1" w:rsidRPr="00D9011B">
        <w:rPr>
          <w:rFonts w:eastAsia="Calibri"/>
        </w:rPr>
        <w:t xml:space="preserve">Chairperson </w:t>
      </w:r>
      <w:r w:rsidR="00104CF3" w:rsidRPr="00D9011B">
        <w:rPr>
          <w:rFonts w:eastAsia="Calibri"/>
        </w:rPr>
        <w:t>of the Working Group</w:t>
      </w:r>
      <w:r w:rsidR="00AE44B1" w:rsidRPr="00D9011B">
        <w:rPr>
          <w:rFonts w:eastAsia="Calibri"/>
        </w:rPr>
        <w:t xml:space="preserve">, and Margaret Jungk </w:t>
      </w:r>
      <w:r w:rsidR="000B6CF1" w:rsidRPr="00D9011B">
        <w:rPr>
          <w:rFonts w:eastAsia="Calibri"/>
        </w:rPr>
        <w:t>s</w:t>
      </w:r>
      <w:r w:rsidR="00AE44B1" w:rsidRPr="00D9011B">
        <w:rPr>
          <w:rFonts w:eastAsia="Calibri"/>
        </w:rPr>
        <w:t xml:space="preserve">erved as </w:t>
      </w:r>
      <w:r w:rsidR="000B6CF1" w:rsidRPr="00D9011B">
        <w:rPr>
          <w:rFonts w:eastAsia="Calibri"/>
        </w:rPr>
        <w:t>Vice-Chairperson.</w:t>
      </w:r>
      <w:r w:rsidR="00AE44B1" w:rsidRPr="00D9011B">
        <w:rPr>
          <w:rFonts w:eastAsia="Calibri"/>
        </w:rPr>
        <w:t xml:space="preserve"> </w:t>
      </w:r>
      <w:r w:rsidR="00230081" w:rsidRPr="00D9011B">
        <w:rPr>
          <w:rFonts w:eastAsia="Calibri"/>
        </w:rPr>
        <w:t xml:space="preserve">As previously agreed, </w:t>
      </w:r>
      <w:r w:rsidR="00DB138A" w:rsidRPr="00D9011B">
        <w:rPr>
          <w:rFonts w:eastAsia="Calibri"/>
        </w:rPr>
        <w:t xml:space="preserve">Michael </w:t>
      </w:r>
      <w:proofErr w:type="spellStart"/>
      <w:r w:rsidR="00DB138A" w:rsidRPr="00D9011B">
        <w:rPr>
          <w:rFonts w:eastAsia="Calibri"/>
        </w:rPr>
        <w:t>Addo</w:t>
      </w:r>
      <w:proofErr w:type="spellEnd"/>
      <w:r w:rsidR="00DB138A" w:rsidRPr="00D9011B">
        <w:rPr>
          <w:rFonts w:eastAsia="Calibri"/>
        </w:rPr>
        <w:t xml:space="preserve"> and Margaret </w:t>
      </w:r>
      <w:proofErr w:type="spellStart"/>
      <w:r w:rsidR="00DB138A" w:rsidRPr="00D9011B">
        <w:rPr>
          <w:rFonts w:eastAsia="Calibri"/>
        </w:rPr>
        <w:t>Jungk</w:t>
      </w:r>
      <w:proofErr w:type="spellEnd"/>
      <w:r w:rsidR="00DB138A" w:rsidRPr="00D9011B">
        <w:rPr>
          <w:rFonts w:eastAsia="Calibri"/>
        </w:rPr>
        <w:t xml:space="preserve"> will </w:t>
      </w:r>
      <w:r w:rsidR="00FA4CEC" w:rsidRPr="00D9011B">
        <w:rPr>
          <w:rFonts w:eastAsia="Calibri"/>
        </w:rPr>
        <w:t xml:space="preserve">continue </w:t>
      </w:r>
      <w:r w:rsidR="00DB138A" w:rsidRPr="00D9011B">
        <w:rPr>
          <w:rFonts w:eastAsia="Calibri"/>
        </w:rPr>
        <w:t xml:space="preserve">in these functions </w:t>
      </w:r>
      <w:r w:rsidR="00FA4CEC" w:rsidRPr="00D9011B">
        <w:rPr>
          <w:rFonts w:eastAsia="Calibri"/>
        </w:rPr>
        <w:t>until</w:t>
      </w:r>
      <w:r w:rsidR="00F72271" w:rsidRPr="00D9011B">
        <w:rPr>
          <w:rFonts w:eastAsia="Calibri"/>
        </w:rPr>
        <w:t xml:space="preserve"> </w:t>
      </w:r>
      <w:r w:rsidR="00E51C08" w:rsidRPr="00D9011B">
        <w:rPr>
          <w:rFonts w:eastAsia="Calibri"/>
        </w:rPr>
        <w:t>30</w:t>
      </w:r>
      <w:r w:rsidR="00FA4CEC" w:rsidRPr="00D9011B">
        <w:rPr>
          <w:rFonts w:eastAsia="Calibri"/>
        </w:rPr>
        <w:t xml:space="preserve"> June</w:t>
      </w:r>
      <w:r w:rsidR="00F72271" w:rsidRPr="00D9011B">
        <w:rPr>
          <w:rFonts w:eastAsia="Calibri"/>
        </w:rPr>
        <w:t xml:space="preserve"> 2015</w:t>
      </w:r>
      <w:r w:rsidR="00A858B7" w:rsidRPr="00D9011B">
        <w:rPr>
          <w:rFonts w:eastAsia="Calibri"/>
        </w:rPr>
        <w:t>.</w:t>
      </w:r>
      <w:r w:rsidR="00FA4CEC" w:rsidRPr="00D9011B">
        <w:rPr>
          <w:rFonts w:eastAsia="Calibri"/>
        </w:rPr>
        <w:t xml:space="preserve"> </w:t>
      </w:r>
      <w:r w:rsidR="00230081" w:rsidRPr="00D9011B">
        <w:rPr>
          <w:rFonts w:eastAsia="Calibri"/>
        </w:rPr>
        <w:t>From 1 July 2015</w:t>
      </w:r>
      <w:r w:rsidR="00275CB6" w:rsidRPr="00D9011B">
        <w:rPr>
          <w:rFonts w:eastAsia="Calibri"/>
        </w:rPr>
        <w:t>,</w:t>
      </w:r>
      <w:r w:rsidR="00230081" w:rsidRPr="00D9011B">
        <w:rPr>
          <w:rFonts w:eastAsia="Calibri"/>
        </w:rPr>
        <w:t xml:space="preserve"> Margaret Jungk will serve as Chairperson of the Working Group</w:t>
      </w:r>
      <w:r w:rsidR="00DC7777" w:rsidRPr="00D9011B">
        <w:rPr>
          <w:rFonts w:eastAsia="Calibri"/>
        </w:rPr>
        <w:t xml:space="preserve"> until 31 December 2015</w:t>
      </w:r>
      <w:r w:rsidR="00230081" w:rsidRPr="00D9011B">
        <w:rPr>
          <w:rFonts w:eastAsia="Calibri"/>
        </w:rPr>
        <w:t>.</w:t>
      </w:r>
      <w:r w:rsidR="00B03211" w:rsidRPr="00D9011B">
        <w:rPr>
          <w:rFonts w:eastAsia="Calibri"/>
        </w:rPr>
        <w:t xml:space="preserve"> From 1 July 2015 </w:t>
      </w:r>
      <w:proofErr w:type="spellStart"/>
      <w:r w:rsidR="00B03211" w:rsidRPr="00D9011B">
        <w:rPr>
          <w:rFonts w:eastAsia="Calibri"/>
        </w:rPr>
        <w:t>Puvan</w:t>
      </w:r>
      <w:proofErr w:type="spellEnd"/>
      <w:r w:rsidR="00B03211" w:rsidRPr="00D9011B">
        <w:rPr>
          <w:rFonts w:eastAsia="Calibri"/>
        </w:rPr>
        <w:t xml:space="preserve"> </w:t>
      </w:r>
      <w:proofErr w:type="spellStart"/>
      <w:r w:rsidR="00B03211" w:rsidRPr="00D9011B">
        <w:rPr>
          <w:rFonts w:eastAsia="Calibri"/>
        </w:rPr>
        <w:t>Selvanathan</w:t>
      </w:r>
      <w:proofErr w:type="spellEnd"/>
      <w:r w:rsidR="00B03211" w:rsidRPr="00D9011B">
        <w:rPr>
          <w:rFonts w:eastAsia="Calibri"/>
        </w:rPr>
        <w:t xml:space="preserve"> will serve as Vice-Chairperson of the Working Group until 31 December 2015.</w:t>
      </w:r>
      <w:r w:rsidR="00711B9D" w:rsidRPr="00D9011B">
        <w:rPr>
          <w:rFonts w:eastAsia="Calibri"/>
        </w:rPr>
        <w:t xml:space="preserve"> </w:t>
      </w:r>
    </w:p>
    <w:p w:rsidR="00D5799D" w:rsidRPr="00D5799D" w:rsidRDefault="00BD6A9B" w:rsidP="00662733">
      <w:pPr>
        <w:pStyle w:val="SingleTxtG"/>
        <w:jc w:val="center"/>
        <w:rPr>
          <w:u w:val="single"/>
        </w:rPr>
      </w:pPr>
      <w:r w:rsidRPr="00BD6A9B">
        <w:rPr>
          <w:u w:val="single"/>
        </w:rPr>
        <w:tab/>
      </w:r>
      <w:r w:rsidRPr="00BD6A9B">
        <w:rPr>
          <w:u w:val="single"/>
        </w:rPr>
        <w:tab/>
      </w:r>
      <w:r w:rsidRPr="00BD6A9B">
        <w:rPr>
          <w:u w:val="single"/>
        </w:rPr>
        <w:tab/>
      </w:r>
    </w:p>
    <w:sectPr w:rsidR="00D5799D" w:rsidRPr="00D5799D" w:rsidSect="002F4AB5">
      <w:headerReference w:type="even" r:id="rId15"/>
      <w:headerReference w:type="default" r:id="rId16"/>
      <w:footerReference w:type="even" r:id="rId17"/>
      <w:footerReference w:type="default" r:id="rId18"/>
      <w:footerReference w:type="first" r:id="rId19"/>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E1" w:rsidRDefault="006D39E1"/>
  </w:endnote>
  <w:endnote w:type="continuationSeparator" w:id="0">
    <w:p w:rsidR="006D39E1" w:rsidRDefault="006D39E1"/>
  </w:endnote>
  <w:endnote w:type="continuationNotice" w:id="1">
    <w:p w:rsidR="006D39E1" w:rsidRDefault="006D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41" w:rsidRPr="002F4AB5" w:rsidRDefault="00A91041" w:rsidP="002F4AB5">
    <w:pPr>
      <w:pStyle w:val="Footer"/>
      <w:tabs>
        <w:tab w:val="right" w:pos="9638"/>
      </w:tabs>
    </w:pPr>
    <w:r w:rsidRPr="002F4AB5">
      <w:rPr>
        <w:b/>
        <w:sz w:val="18"/>
      </w:rPr>
      <w:fldChar w:fldCharType="begin"/>
    </w:r>
    <w:r w:rsidRPr="002F4AB5">
      <w:rPr>
        <w:b/>
        <w:sz w:val="18"/>
      </w:rPr>
      <w:instrText xml:space="preserve"> PAGE  \* MERGEFORMAT </w:instrText>
    </w:r>
    <w:r w:rsidRPr="002F4AB5">
      <w:rPr>
        <w:b/>
        <w:sz w:val="18"/>
      </w:rPr>
      <w:fldChar w:fldCharType="separate"/>
    </w:r>
    <w:r w:rsidR="0068767F">
      <w:rPr>
        <w:b/>
        <w:noProof/>
        <w:sz w:val="18"/>
      </w:rPr>
      <w:t>8</w:t>
    </w:r>
    <w:r w:rsidRPr="002F4AB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41" w:rsidRPr="002F4AB5" w:rsidRDefault="00A91041" w:rsidP="002F4AB5">
    <w:pPr>
      <w:pStyle w:val="Footer"/>
      <w:tabs>
        <w:tab w:val="right" w:pos="9638"/>
      </w:tabs>
      <w:rPr>
        <w:b/>
        <w:sz w:val="18"/>
      </w:rPr>
    </w:pPr>
    <w:r>
      <w:tab/>
    </w:r>
    <w:r w:rsidRPr="002F4AB5">
      <w:rPr>
        <w:b/>
        <w:sz w:val="18"/>
      </w:rPr>
      <w:fldChar w:fldCharType="begin"/>
    </w:r>
    <w:r w:rsidRPr="002F4AB5">
      <w:rPr>
        <w:b/>
        <w:sz w:val="18"/>
      </w:rPr>
      <w:instrText xml:space="preserve"> PAGE  \* MERGEFORMAT </w:instrText>
    </w:r>
    <w:r w:rsidRPr="002F4AB5">
      <w:rPr>
        <w:b/>
        <w:sz w:val="18"/>
      </w:rPr>
      <w:fldChar w:fldCharType="separate"/>
    </w:r>
    <w:r w:rsidR="0068767F">
      <w:rPr>
        <w:b/>
        <w:noProof/>
        <w:sz w:val="18"/>
      </w:rPr>
      <w:t>9</w:t>
    </w:r>
    <w:r w:rsidRPr="002F4AB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EF" w:rsidRPr="000E5F34" w:rsidRDefault="00281D94" w:rsidP="002950EF">
    <w:pPr>
      <w:rPr>
        <w:lang w:val="fr-CH"/>
      </w:rPr>
    </w:pPr>
    <w:r>
      <w:rPr>
        <w:noProof/>
        <w:lang w:eastAsia="en-GB"/>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50EF">
      <w:rPr>
        <w:lang w:val="fr-CH"/>
      </w:rPr>
      <w:t>GE.15-</w:t>
    </w:r>
    <w:r w:rsidR="00444A02">
      <w:rPr>
        <w:lang w:val="fr-CH"/>
      </w:rPr>
      <w:t>11676 (E)</w:t>
    </w:r>
    <w:r>
      <w:rPr>
        <w:lang w:val="fr-CH"/>
      </w:rPr>
      <w:br/>
    </w:r>
    <w:r w:rsidRPr="00281D94">
      <w:rPr>
        <w:rFonts w:ascii="C39T30Lfz" w:hAnsi="C39T30Lfz"/>
        <w:sz w:val="56"/>
        <w:lang w:val="fr-CH"/>
      </w:rPr>
      <w:t></w:t>
    </w:r>
    <w:r w:rsidRPr="00281D94">
      <w:rPr>
        <w:rFonts w:ascii="C39T30Lfz" w:hAnsi="C39T30Lfz"/>
        <w:sz w:val="56"/>
        <w:lang w:val="fr-CH"/>
      </w:rPr>
      <w:t></w:t>
    </w:r>
    <w:r w:rsidRPr="00281D94">
      <w:rPr>
        <w:rFonts w:ascii="C39T30Lfz" w:hAnsi="C39T30Lfz"/>
        <w:sz w:val="56"/>
        <w:lang w:val="fr-CH"/>
      </w:rPr>
      <w:t></w:t>
    </w:r>
    <w:r w:rsidRPr="00281D94">
      <w:rPr>
        <w:rFonts w:ascii="C39T30Lfz" w:hAnsi="C39T30Lfz"/>
        <w:sz w:val="56"/>
        <w:lang w:val="fr-CH"/>
      </w:rPr>
      <w:t></w:t>
    </w:r>
    <w:r w:rsidRPr="00281D94">
      <w:rPr>
        <w:rFonts w:ascii="C39T30Lfz" w:hAnsi="C39T30Lfz"/>
        <w:sz w:val="56"/>
        <w:lang w:val="fr-CH"/>
      </w:rPr>
      <w:t></w:t>
    </w:r>
    <w:r w:rsidRPr="00281D94">
      <w:rPr>
        <w:rFonts w:ascii="C39T30Lfz" w:hAnsi="C39T30Lfz"/>
        <w:sz w:val="56"/>
        <w:lang w:val="fr-CH"/>
      </w:rPr>
      <w:t></w:t>
    </w:r>
    <w:r w:rsidRPr="00281D94">
      <w:rPr>
        <w:rFonts w:ascii="C39T30Lfz" w:hAnsi="C39T30Lfz"/>
        <w:sz w:val="56"/>
        <w:lang w:val="fr-CH"/>
      </w:rPr>
      <w:t></w:t>
    </w:r>
    <w:r w:rsidRPr="00281D94">
      <w:rPr>
        <w:rFonts w:ascii="C39T30Lfz" w:hAnsi="C39T30Lfz"/>
        <w:sz w:val="56"/>
        <w:lang w:val="fr-CH"/>
      </w:rPr>
      <w:t></w:t>
    </w:r>
    <w:r w:rsidRPr="00281D94">
      <w:rPr>
        <w:rFonts w:ascii="C39T30Lfz" w:hAnsi="C39T30Lfz"/>
        <w:sz w:val="56"/>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E1" w:rsidRPr="000B175B" w:rsidRDefault="006D39E1" w:rsidP="000B175B">
      <w:pPr>
        <w:tabs>
          <w:tab w:val="right" w:pos="2155"/>
        </w:tabs>
        <w:spacing w:after="80"/>
        <w:ind w:left="680"/>
        <w:rPr>
          <w:u w:val="single"/>
        </w:rPr>
      </w:pPr>
      <w:r>
        <w:rPr>
          <w:u w:val="single"/>
        </w:rPr>
        <w:tab/>
      </w:r>
    </w:p>
  </w:footnote>
  <w:footnote w:type="continuationSeparator" w:id="0">
    <w:p w:rsidR="006D39E1" w:rsidRPr="00FC68B7" w:rsidRDefault="006D39E1" w:rsidP="00FC68B7">
      <w:pPr>
        <w:tabs>
          <w:tab w:val="left" w:pos="2155"/>
        </w:tabs>
        <w:spacing w:after="80"/>
        <w:ind w:left="680"/>
        <w:rPr>
          <w:u w:val="single"/>
        </w:rPr>
      </w:pPr>
      <w:r>
        <w:rPr>
          <w:u w:val="single"/>
        </w:rPr>
        <w:tab/>
      </w:r>
    </w:p>
  </w:footnote>
  <w:footnote w:type="continuationNotice" w:id="1">
    <w:p w:rsidR="006D39E1" w:rsidRDefault="006D39E1"/>
  </w:footnote>
  <w:footnote w:id="2">
    <w:p w:rsidR="00AA2182" w:rsidRPr="002950EF" w:rsidRDefault="00885B5B">
      <w:pPr>
        <w:pStyle w:val="FootnoteText"/>
        <w:rPr>
          <w:lang w:val="fr-CH"/>
        </w:rPr>
      </w:pPr>
      <w:r>
        <w:rPr>
          <w:lang w:val="fr-CH"/>
        </w:rPr>
        <w:tab/>
      </w:r>
      <w:r>
        <w:rPr>
          <w:rStyle w:val="FootnoteReference"/>
        </w:rPr>
        <w:footnoteRef/>
      </w:r>
      <w:r>
        <w:rPr>
          <w:lang w:val="fr-CH"/>
        </w:rPr>
        <w:tab/>
      </w:r>
      <w:r w:rsidR="00AA2182" w:rsidRPr="00AA2182">
        <w:t>http://www.ohchr.org/2015ForumBHR</w:t>
      </w:r>
      <w:r w:rsidR="002950EF">
        <w:rPr>
          <w:lang w:val="fr-CH"/>
        </w:rPr>
        <w:t>.</w:t>
      </w:r>
    </w:p>
  </w:footnote>
  <w:footnote w:id="3">
    <w:p w:rsidR="00BD0908" w:rsidRPr="002950EF" w:rsidRDefault="00885B5B">
      <w:pPr>
        <w:pStyle w:val="FootnoteText"/>
        <w:rPr>
          <w:lang w:val="en-GB"/>
        </w:rPr>
      </w:pPr>
      <w:r>
        <w:rPr>
          <w:lang w:val="fr-CH"/>
        </w:rPr>
        <w:tab/>
      </w:r>
      <w:r>
        <w:rPr>
          <w:rStyle w:val="FootnoteReference"/>
        </w:rPr>
        <w:footnoteRef/>
      </w:r>
      <w:r w:rsidRPr="002950EF">
        <w:rPr>
          <w:lang w:val="en-GB"/>
        </w:rPr>
        <w:tab/>
      </w:r>
      <w:r w:rsidR="00555D67" w:rsidRPr="00555D67">
        <w:rPr>
          <w:lang w:val="en-GB"/>
        </w:rPr>
        <w:t xml:space="preserve">Available at </w:t>
      </w:r>
      <w:r w:rsidR="00BD0908" w:rsidRPr="00BD0908">
        <w:t>http://www.ohchr.org/EN/Issues/Business/Pages/Reports.aspx</w:t>
      </w:r>
      <w:r w:rsidR="002950EF" w:rsidRPr="002950EF">
        <w:rPr>
          <w:lang w:val="en-GB"/>
        </w:rPr>
        <w:t>.</w:t>
      </w:r>
    </w:p>
  </w:footnote>
  <w:footnote w:id="4">
    <w:p w:rsidR="00555D67" w:rsidRPr="00555D67" w:rsidRDefault="00885B5B">
      <w:pPr>
        <w:pStyle w:val="FootnoteText"/>
        <w:rPr>
          <w:lang w:val="en-GB"/>
        </w:rPr>
      </w:pPr>
      <w:r w:rsidRPr="002950EF">
        <w:rPr>
          <w:lang w:val="en-GB"/>
        </w:rPr>
        <w:tab/>
      </w:r>
      <w:r>
        <w:rPr>
          <w:rStyle w:val="FootnoteReference"/>
        </w:rPr>
        <w:footnoteRef/>
      </w:r>
      <w:r w:rsidRPr="002950EF">
        <w:rPr>
          <w:lang w:val="en-GB"/>
        </w:rPr>
        <w:tab/>
      </w:r>
      <w:r w:rsidR="00555D67" w:rsidRPr="00555D67">
        <w:rPr>
          <w:lang w:val="en-GB"/>
        </w:rPr>
        <w:t xml:space="preserve">Available at </w:t>
      </w:r>
      <w:r w:rsidR="00555D67" w:rsidRPr="00555D67">
        <w:rPr>
          <w:lang w:val="en-US"/>
        </w:rPr>
        <w:t>http://www.ohchr.org/EN/Issues/Business/Pages/Reports.aspx</w:t>
      </w:r>
      <w:r w:rsidR="002950EF">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EF" w:rsidRDefault="002950EF">
    <w:pPr>
      <w:pStyle w:val="Header"/>
    </w:pPr>
    <w:r>
      <w:t>A/HRC/WG.12/11</w:t>
    </w:r>
    <w:r w:rsidRPr="00A773A1">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41" w:rsidRPr="002F4AB5" w:rsidRDefault="007979FC" w:rsidP="002F4AB5">
    <w:pPr>
      <w:pStyle w:val="Header"/>
      <w:jc w:val="right"/>
    </w:pPr>
    <w:r>
      <w:t>A/HRC</w:t>
    </w:r>
    <w:r w:rsidR="00DC7777">
      <w:t>/WG.12/11</w:t>
    </w:r>
    <w:r w:rsidR="00270C64" w:rsidRPr="00A773A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A46C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EA2D46"/>
    <w:multiLevelType w:val="hybridMultilevel"/>
    <w:tmpl w:val="72268306"/>
    <w:lvl w:ilvl="0" w:tplc="FA02A618">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2A3EE5"/>
    <w:multiLevelType w:val="hybridMultilevel"/>
    <w:tmpl w:val="8BACE1CE"/>
    <w:lvl w:ilvl="0" w:tplc="43B024E8">
      <w:start w:val="1"/>
      <w:numFmt w:val="decimal"/>
      <w:lvlText w:val="%1."/>
      <w:lvlJc w:val="left"/>
      <w:pPr>
        <w:tabs>
          <w:tab w:val="num" w:pos="1701"/>
        </w:tabs>
        <w:ind w:left="1134" w:firstLine="0"/>
      </w:pPr>
      <w:rPr>
        <w:rFonts w:hint="default"/>
        <w:b w:val="0"/>
        <w:lang w:val="en-GB"/>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6">
    <w:nsid w:val="127A1611"/>
    <w:multiLevelType w:val="hybridMultilevel"/>
    <w:tmpl w:val="DB0E3B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36FC5"/>
    <w:multiLevelType w:val="hybridMultilevel"/>
    <w:tmpl w:val="6E68E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857F4D"/>
    <w:multiLevelType w:val="hybridMultilevel"/>
    <w:tmpl w:val="B6D220DC"/>
    <w:lvl w:ilvl="0" w:tplc="31F034E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99D227A"/>
    <w:multiLevelType w:val="hybridMultilevel"/>
    <w:tmpl w:val="67966020"/>
    <w:lvl w:ilvl="0" w:tplc="43B024E8">
      <w:start w:val="1"/>
      <w:numFmt w:val="decimal"/>
      <w:lvlText w:val="%1."/>
      <w:lvlJc w:val="left"/>
      <w:pPr>
        <w:tabs>
          <w:tab w:val="num" w:pos="1701"/>
        </w:tabs>
        <w:ind w:left="1134" w:firstLine="0"/>
      </w:pPr>
      <w:rPr>
        <w:rFonts w:hint="default"/>
        <w:b w:val="0"/>
        <w:lang w:val="en-GB"/>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C32FCB"/>
    <w:multiLevelType w:val="hybridMultilevel"/>
    <w:tmpl w:val="87809ECC"/>
    <w:lvl w:ilvl="0" w:tplc="7BFE4BB4">
      <w:start w:val="1"/>
      <w:numFmt w:val="lowerLetter"/>
      <w:lvlText w:val="%1)"/>
      <w:lvlJc w:val="left"/>
      <w:pPr>
        <w:ind w:left="2061" w:hanging="360"/>
      </w:pPr>
      <w:rPr>
        <w:rFonts w:hint="default"/>
        <w:b w:val="0"/>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
    <w:nsid w:val="357A3F7F"/>
    <w:multiLevelType w:val="hybridMultilevel"/>
    <w:tmpl w:val="3BBAB77E"/>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nsid w:val="3E9D3FCC"/>
    <w:multiLevelType w:val="hybridMultilevel"/>
    <w:tmpl w:val="28BE74AA"/>
    <w:lvl w:ilvl="0" w:tplc="0809000F">
      <w:start w:val="1"/>
      <w:numFmt w:val="decimal"/>
      <w:lvlText w:val="%1."/>
      <w:lvlJc w:val="left"/>
      <w:pPr>
        <w:ind w:left="720" w:hanging="360"/>
      </w:pPr>
      <w:rPr>
        <w:rFonts w:hint="default"/>
      </w:rPr>
    </w:lvl>
    <w:lvl w:ilvl="1" w:tplc="039E0D8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D10F9E"/>
    <w:multiLevelType w:val="hybridMultilevel"/>
    <w:tmpl w:val="A850B6B6"/>
    <w:lvl w:ilvl="0" w:tplc="EBCC7C62">
      <w:start w:val="1"/>
      <w:numFmt w:val="decimal"/>
      <w:lvlText w:val="%1."/>
      <w:lvlJc w:val="left"/>
      <w:pPr>
        <w:tabs>
          <w:tab w:val="num" w:pos="4328"/>
        </w:tabs>
        <w:ind w:left="4328" w:firstLine="0"/>
      </w:pPr>
      <w:rPr>
        <w:rFonts w:hint="default"/>
        <w:b w:val="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6">
    <w:nsid w:val="4F6407F8"/>
    <w:multiLevelType w:val="hybridMultilevel"/>
    <w:tmpl w:val="FB9637E0"/>
    <w:lvl w:ilvl="0" w:tplc="1DB63E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35F3A7D"/>
    <w:multiLevelType w:val="multilevel"/>
    <w:tmpl w:val="3BBAB77E"/>
    <w:lvl w:ilvl="0">
      <w:start w:val="1"/>
      <w:numFmt w:val="decimal"/>
      <w:lvlText w:val="%1."/>
      <w:lvlJc w:val="left"/>
      <w:pPr>
        <w:tabs>
          <w:tab w:val="num" w:pos="2835"/>
        </w:tabs>
        <w:ind w:left="2268" w:firstLine="0"/>
      </w:pPr>
      <w:rPr>
        <w:rFonts w:hint="default"/>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8">
    <w:nsid w:val="555D08FC"/>
    <w:multiLevelType w:val="hybridMultilevel"/>
    <w:tmpl w:val="D2D841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5B6B7495"/>
    <w:multiLevelType w:val="hybridMultilevel"/>
    <w:tmpl w:val="67966020"/>
    <w:lvl w:ilvl="0" w:tplc="43B024E8">
      <w:start w:val="1"/>
      <w:numFmt w:val="decimal"/>
      <w:lvlText w:val="%1."/>
      <w:lvlJc w:val="left"/>
      <w:pPr>
        <w:tabs>
          <w:tab w:val="num" w:pos="1701"/>
        </w:tabs>
        <w:ind w:left="1134" w:firstLine="0"/>
      </w:pPr>
      <w:rPr>
        <w:rFonts w:hint="default"/>
        <w:b w:val="0"/>
        <w:lang w:val="en-GB"/>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0">
    <w:nsid w:val="5F120B24"/>
    <w:multiLevelType w:val="hybridMultilevel"/>
    <w:tmpl w:val="1840967A"/>
    <w:lvl w:ilvl="0" w:tplc="4B7A19B0">
      <w:start w:val="1"/>
      <w:numFmt w:val="lowerRoman"/>
      <w:lvlText w:val="%1."/>
      <w:lvlJc w:val="left"/>
      <w:pPr>
        <w:ind w:left="1488" w:hanging="360"/>
      </w:pPr>
      <w:rPr>
        <w:rFonts w:ascii="Times New Roman" w:eastAsia="Calibri" w:hAnsi="Times New Roman" w:cs="Times New Roman"/>
      </w:rPr>
    </w:lvl>
    <w:lvl w:ilvl="1" w:tplc="04140019">
      <w:start w:val="1"/>
      <w:numFmt w:val="lowerLetter"/>
      <w:lvlText w:val="%2."/>
      <w:lvlJc w:val="left"/>
      <w:pPr>
        <w:ind w:left="2208" w:hanging="360"/>
      </w:pPr>
    </w:lvl>
    <w:lvl w:ilvl="2" w:tplc="0414001B">
      <w:start w:val="1"/>
      <w:numFmt w:val="lowerRoman"/>
      <w:lvlText w:val="%3."/>
      <w:lvlJc w:val="right"/>
      <w:pPr>
        <w:ind w:left="2928" w:hanging="180"/>
      </w:pPr>
    </w:lvl>
    <w:lvl w:ilvl="3" w:tplc="0414000F" w:tentative="1">
      <w:start w:val="1"/>
      <w:numFmt w:val="decimal"/>
      <w:lvlText w:val="%4."/>
      <w:lvlJc w:val="left"/>
      <w:pPr>
        <w:ind w:left="3648" w:hanging="360"/>
      </w:pPr>
    </w:lvl>
    <w:lvl w:ilvl="4" w:tplc="04140019" w:tentative="1">
      <w:start w:val="1"/>
      <w:numFmt w:val="lowerLetter"/>
      <w:lvlText w:val="%5."/>
      <w:lvlJc w:val="left"/>
      <w:pPr>
        <w:ind w:left="4368" w:hanging="360"/>
      </w:pPr>
    </w:lvl>
    <w:lvl w:ilvl="5" w:tplc="0414001B" w:tentative="1">
      <w:start w:val="1"/>
      <w:numFmt w:val="lowerRoman"/>
      <w:lvlText w:val="%6."/>
      <w:lvlJc w:val="right"/>
      <w:pPr>
        <w:ind w:left="5088" w:hanging="180"/>
      </w:pPr>
    </w:lvl>
    <w:lvl w:ilvl="6" w:tplc="0414000F" w:tentative="1">
      <w:start w:val="1"/>
      <w:numFmt w:val="decimal"/>
      <w:lvlText w:val="%7."/>
      <w:lvlJc w:val="left"/>
      <w:pPr>
        <w:ind w:left="5808" w:hanging="360"/>
      </w:pPr>
    </w:lvl>
    <w:lvl w:ilvl="7" w:tplc="04140019" w:tentative="1">
      <w:start w:val="1"/>
      <w:numFmt w:val="lowerLetter"/>
      <w:lvlText w:val="%8."/>
      <w:lvlJc w:val="left"/>
      <w:pPr>
        <w:ind w:left="6528" w:hanging="360"/>
      </w:pPr>
    </w:lvl>
    <w:lvl w:ilvl="8" w:tplc="0414001B" w:tentative="1">
      <w:start w:val="1"/>
      <w:numFmt w:val="lowerRoman"/>
      <w:lvlText w:val="%9."/>
      <w:lvlJc w:val="right"/>
      <w:pPr>
        <w:ind w:left="7248" w:hanging="180"/>
      </w:pPr>
    </w:lvl>
  </w:abstractNum>
  <w:abstractNum w:abstractNumId="21">
    <w:nsid w:val="67E34038"/>
    <w:multiLevelType w:val="hybridMultilevel"/>
    <w:tmpl w:val="B4E89A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E365C19"/>
    <w:multiLevelType w:val="hybridMultilevel"/>
    <w:tmpl w:val="95509054"/>
    <w:lvl w:ilvl="0" w:tplc="C1C8AFE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768105B8"/>
    <w:multiLevelType w:val="hybridMultilevel"/>
    <w:tmpl w:val="1BAE2B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23"/>
  </w:num>
  <w:num w:numId="4">
    <w:abstractNumId w:val="4"/>
  </w:num>
  <w:num w:numId="5">
    <w:abstractNumId w:val="1"/>
  </w:num>
  <w:num w:numId="6">
    <w:abstractNumId w:val="2"/>
  </w:num>
  <w:num w:numId="7">
    <w:abstractNumId w:val="22"/>
  </w:num>
  <w:num w:numId="8">
    <w:abstractNumId w:val="9"/>
  </w:num>
  <w:num w:numId="9">
    <w:abstractNumId w:val="14"/>
  </w:num>
  <w:num w:numId="10">
    <w:abstractNumId w:val="16"/>
  </w:num>
  <w:num w:numId="11">
    <w:abstractNumId w:val="25"/>
  </w:num>
  <w:num w:numId="12">
    <w:abstractNumId w:val="7"/>
  </w:num>
  <w:num w:numId="13">
    <w:abstractNumId w:val="20"/>
  </w:num>
  <w:num w:numId="14">
    <w:abstractNumId w:val="21"/>
  </w:num>
  <w:num w:numId="15">
    <w:abstractNumId w:val="18"/>
  </w:num>
  <w:num w:numId="16">
    <w:abstractNumId w:val="5"/>
  </w:num>
  <w:num w:numId="17">
    <w:abstractNumId w:val="3"/>
  </w:num>
  <w:num w:numId="18">
    <w:abstractNumId w:val="17"/>
  </w:num>
  <w:num w:numId="19">
    <w:abstractNumId w:val="13"/>
  </w:num>
  <w:num w:numId="20">
    <w:abstractNumId w:val="0"/>
  </w:num>
  <w:num w:numId="21">
    <w:abstractNumId w:val="6"/>
  </w:num>
  <w:num w:numId="22">
    <w:abstractNumId w:val="12"/>
  </w:num>
  <w:num w:numId="23">
    <w:abstractNumId w:val="10"/>
  </w:num>
  <w:num w:numId="24">
    <w:abstractNumId w:val="24"/>
  </w:num>
  <w:num w:numId="25">
    <w:abstractNumId w:val="19"/>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B5"/>
    <w:rsid w:val="00001D57"/>
    <w:rsid w:val="0000244D"/>
    <w:rsid w:val="000024B8"/>
    <w:rsid w:val="0000299E"/>
    <w:rsid w:val="00002E88"/>
    <w:rsid w:val="00006793"/>
    <w:rsid w:val="0000685C"/>
    <w:rsid w:val="00006B19"/>
    <w:rsid w:val="00006D8C"/>
    <w:rsid w:val="00007453"/>
    <w:rsid w:val="00007F7F"/>
    <w:rsid w:val="00011133"/>
    <w:rsid w:val="00011FF4"/>
    <w:rsid w:val="0001289C"/>
    <w:rsid w:val="000145E8"/>
    <w:rsid w:val="000164B8"/>
    <w:rsid w:val="0002201E"/>
    <w:rsid w:val="00022DB5"/>
    <w:rsid w:val="00023566"/>
    <w:rsid w:val="000237E9"/>
    <w:rsid w:val="00025A9B"/>
    <w:rsid w:val="000271D7"/>
    <w:rsid w:val="00030156"/>
    <w:rsid w:val="0003135E"/>
    <w:rsid w:val="000320CD"/>
    <w:rsid w:val="000328BC"/>
    <w:rsid w:val="0003416C"/>
    <w:rsid w:val="000367D4"/>
    <w:rsid w:val="00036A3A"/>
    <w:rsid w:val="000403D1"/>
    <w:rsid w:val="00040C51"/>
    <w:rsid w:val="000449AA"/>
    <w:rsid w:val="00046241"/>
    <w:rsid w:val="00050F6B"/>
    <w:rsid w:val="00052D27"/>
    <w:rsid w:val="00053FF8"/>
    <w:rsid w:val="00057BE8"/>
    <w:rsid w:val="00064194"/>
    <w:rsid w:val="000644E9"/>
    <w:rsid w:val="000647FA"/>
    <w:rsid w:val="000650EB"/>
    <w:rsid w:val="00070139"/>
    <w:rsid w:val="000701C6"/>
    <w:rsid w:val="0007098A"/>
    <w:rsid w:val="000709AC"/>
    <w:rsid w:val="000716E6"/>
    <w:rsid w:val="00072C8C"/>
    <w:rsid w:val="00073E70"/>
    <w:rsid w:val="00074459"/>
    <w:rsid w:val="00075266"/>
    <w:rsid w:val="0008255C"/>
    <w:rsid w:val="00082816"/>
    <w:rsid w:val="00083255"/>
    <w:rsid w:val="000847EA"/>
    <w:rsid w:val="00085C7F"/>
    <w:rsid w:val="00086248"/>
    <w:rsid w:val="000864F0"/>
    <w:rsid w:val="000876EB"/>
    <w:rsid w:val="000879E8"/>
    <w:rsid w:val="00087BAB"/>
    <w:rsid w:val="0009060F"/>
    <w:rsid w:val="00090FDD"/>
    <w:rsid w:val="00091419"/>
    <w:rsid w:val="00092975"/>
    <w:rsid w:val="000931C0"/>
    <w:rsid w:val="00094B5E"/>
    <w:rsid w:val="0009521D"/>
    <w:rsid w:val="000A0226"/>
    <w:rsid w:val="000A0F6F"/>
    <w:rsid w:val="000A142F"/>
    <w:rsid w:val="000A5520"/>
    <w:rsid w:val="000A791E"/>
    <w:rsid w:val="000B0AC7"/>
    <w:rsid w:val="000B14BB"/>
    <w:rsid w:val="000B15AF"/>
    <w:rsid w:val="000B175B"/>
    <w:rsid w:val="000B3A0F"/>
    <w:rsid w:val="000B43FD"/>
    <w:rsid w:val="000B45BD"/>
    <w:rsid w:val="000B4A3B"/>
    <w:rsid w:val="000B5455"/>
    <w:rsid w:val="000B578C"/>
    <w:rsid w:val="000B6CF1"/>
    <w:rsid w:val="000B70D1"/>
    <w:rsid w:val="000B7C9B"/>
    <w:rsid w:val="000C137F"/>
    <w:rsid w:val="000C3D4C"/>
    <w:rsid w:val="000C7194"/>
    <w:rsid w:val="000D009F"/>
    <w:rsid w:val="000D08B1"/>
    <w:rsid w:val="000D1851"/>
    <w:rsid w:val="000D3359"/>
    <w:rsid w:val="000D3583"/>
    <w:rsid w:val="000D500A"/>
    <w:rsid w:val="000E0415"/>
    <w:rsid w:val="000E2FDB"/>
    <w:rsid w:val="000E3976"/>
    <w:rsid w:val="000E4B03"/>
    <w:rsid w:val="000E5B66"/>
    <w:rsid w:val="000E60D1"/>
    <w:rsid w:val="000E615D"/>
    <w:rsid w:val="000E6F6B"/>
    <w:rsid w:val="000E78AE"/>
    <w:rsid w:val="000E7FB8"/>
    <w:rsid w:val="000F0360"/>
    <w:rsid w:val="000F0454"/>
    <w:rsid w:val="000F0966"/>
    <w:rsid w:val="000F3E86"/>
    <w:rsid w:val="00101329"/>
    <w:rsid w:val="001049EA"/>
    <w:rsid w:val="00104CF3"/>
    <w:rsid w:val="0010541D"/>
    <w:rsid w:val="00106EC7"/>
    <w:rsid w:val="00107774"/>
    <w:rsid w:val="001102ED"/>
    <w:rsid w:val="0011039E"/>
    <w:rsid w:val="0011075D"/>
    <w:rsid w:val="001117B1"/>
    <w:rsid w:val="00111A3C"/>
    <w:rsid w:val="00112B34"/>
    <w:rsid w:val="00112BE6"/>
    <w:rsid w:val="00114095"/>
    <w:rsid w:val="00116035"/>
    <w:rsid w:val="00116908"/>
    <w:rsid w:val="00116A1F"/>
    <w:rsid w:val="0011777B"/>
    <w:rsid w:val="00117F0D"/>
    <w:rsid w:val="00120674"/>
    <w:rsid w:val="00121A2C"/>
    <w:rsid w:val="001234D8"/>
    <w:rsid w:val="001246A0"/>
    <w:rsid w:val="00124F1C"/>
    <w:rsid w:val="0012644D"/>
    <w:rsid w:val="001302DB"/>
    <w:rsid w:val="0013295C"/>
    <w:rsid w:val="00133716"/>
    <w:rsid w:val="00133ABC"/>
    <w:rsid w:val="00136726"/>
    <w:rsid w:val="00136A0E"/>
    <w:rsid w:val="00136F32"/>
    <w:rsid w:val="001374A5"/>
    <w:rsid w:val="00140529"/>
    <w:rsid w:val="001444CC"/>
    <w:rsid w:val="001452AC"/>
    <w:rsid w:val="00145963"/>
    <w:rsid w:val="0014612F"/>
    <w:rsid w:val="00146D32"/>
    <w:rsid w:val="001509BA"/>
    <w:rsid w:val="00150BA0"/>
    <w:rsid w:val="001545EE"/>
    <w:rsid w:val="001572EE"/>
    <w:rsid w:val="00161329"/>
    <w:rsid w:val="0016308C"/>
    <w:rsid w:val="00165BC1"/>
    <w:rsid w:val="001708C0"/>
    <w:rsid w:val="00171F22"/>
    <w:rsid w:val="00172F48"/>
    <w:rsid w:val="001734ED"/>
    <w:rsid w:val="00175770"/>
    <w:rsid w:val="00177C56"/>
    <w:rsid w:val="00177DC6"/>
    <w:rsid w:val="0018141A"/>
    <w:rsid w:val="00181745"/>
    <w:rsid w:val="00181D53"/>
    <w:rsid w:val="00182354"/>
    <w:rsid w:val="001829F8"/>
    <w:rsid w:val="0018399D"/>
    <w:rsid w:val="00190C7D"/>
    <w:rsid w:val="00191417"/>
    <w:rsid w:val="001921B3"/>
    <w:rsid w:val="001A248A"/>
    <w:rsid w:val="001A274A"/>
    <w:rsid w:val="001A2E51"/>
    <w:rsid w:val="001A37C8"/>
    <w:rsid w:val="001A6111"/>
    <w:rsid w:val="001B3288"/>
    <w:rsid w:val="001B426D"/>
    <w:rsid w:val="001B43D4"/>
    <w:rsid w:val="001B4494"/>
    <w:rsid w:val="001B4B04"/>
    <w:rsid w:val="001B5782"/>
    <w:rsid w:val="001B57B9"/>
    <w:rsid w:val="001C02EA"/>
    <w:rsid w:val="001C3A67"/>
    <w:rsid w:val="001C6663"/>
    <w:rsid w:val="001C6BA3"/>
    <w:rsid w:val="001C6E87"/>
    <w:rsid w:val="001C7895"/>
    <w:rsid w:val="001C793F"/>
    <w:rsid w:val="001D0BB6"/>
    <w:rsid w:val="001D26DF"/>
    <w:rsid w:val="001D46E4"/>
    <w:rsid w:val="001D4FFA"/>
    <w:rsid w:val="001D5710"/>
    <w:rsid w:val="001D573C"/>
    <w:rsid w:val="001D599E"/>
    <w:rsid w:val="001D7802"/>
    <w:rsid w:val="001D7DA3"/>
    <w:rsid w:val="001E1ED3"/>
    <w:rsid w:val="001E2790"/>
    <w:rsid w:val="001E2B0A"/>
    <w:rsid w:val="001E4D09"/>
    <w:rsid w:val="001E5B47"/>
    <w:rsid w:val="001E74F1"/>
    <w:rsid w:val="001F4834"/>
    <w:rsid w:val="001F5B67"/>
    <w:rsid w:val="001F6283"/>
    <w:rsid w:val="001F7FB0"/>
    <w:rsid w:val="00203A73"/>
    <w:rsid w:val="00203E20"/>
    <w:rsid w:val="00205C04"/>
    <w:rsid w:val="00207414"/>
    <w:rsid w:val="00207B37"/>
    <w:rsid w:val="0021077A"/>
    <w:rsid w:val="002119F4"/>
    <w:rsid w:val="00211E0B"/>
    <w:rsid w:val="00211E72"/>
    <w:rsid w:val="00212F50"/>
    <w:rsid w:val="0021370E"/>
    <w:rsid w:val="00214047"/>
    <w:rsid w:val="002144E1"/>
    <w:rsid w:val="00220583"/>
    <w:rsid w:val="00220F99"/>
    <w:rsid w:val="0022130F"/>
    <w:rsid w:val="0022550D"/>
    <w:rsid w:val="00226279"/>
    <w:rsid w:val="002269C1"/>
    <w:rsid w:val="00226BEC"/>
    <w:rsid w:val="00226D09"/>
    <w:rsid w:val="00230081"/>
    <w:rsid w:val="0023091B"/>
    <w:rsid w:val="0023232D"/>
    <w:rsid w:val="00233BF3"/>
    <w:rsid w:val="00236AD8"/>
    <w:rsid w:val="00237785"/>
    <w:rsid w:val="002403EA"/>
    <w:rsid w:val="00240A43"/>
    <w:rsid w:val="002410DD"/>
    <w:rsid w:val="00241466"/>
    <w:rsid w:val="00243676"/>
    <w:rsid w:val="002437FD"/>
    <w:rsid w:val="0024393D"/>
    <w:rsid w:val="0024746E"/>
    <w:rsid w:val="002529FB"/>
    <w:rsid w:val="00253010"/>
    <w:rsid w:val="002530F0"/>
    <w:rsid w:val="00253D58"/>
    <w:rsid w:val="00256BD5"/>
    <w:rsid w:val="00257309"/>
    <w:rsid w:val="00257B01"/>
    <w:rsid w:val="002619D3"/>
    <w:rsid w:val="002629C9"/>
    <w:rsid w:val="002629E6"/>
    <w:rsid w:val="0026323F"/>
    <w:rsid w:val="00263C2C"/>
    <w:rsid w:val="0026539A"/>
    <w:rsid w:val="00270C64"/>
    <w:rsid w:val="00275CB6"/>
    <w:rsid w:val="00275E24"/>
    <w:rsid w:val="0027725F"/>
    <w:rsid w:val="00281B96"/>
    <w:rsid w:val="00281D94"/>
    <w:rsid w:val="00283494"/>
    <w:rsid w:val="00283E18"/>
    <w:rsid w:val="002840D0"/>
    <w:rsid w:val="002847C4"/>
    <w:rsid w:val="00285195"/>
    <w:rsid w:val="002864F9"/>
    <w:rsid w:val="00290A04"/>
    <w:rsid w:val="00293867"/>
    <w:rsid w:val="002950EF"/>
    <w:rsid w:val="00295B92"/>
    <w:rsid w:val="00296770"/>
    <w:rsid w:val="002967CE"/>
    <w:rsid w:val="00297326"/>
    <w:rsid w:val="00297660"/>
    <w:rsid w:val="002978A8"/>
    <w:rsid w:val="002A08C2"/>
    <w:rsid w:val="002A4B07"/>
    <w:rsid w:val="002A60C7"/>
    <w:rsid w:val="002A6254"/>
    <w:rsid w:val="002B1B07"/>
    <w:rsid w:val="002B2F42"/>
    <w:rsid w:val="002B5199"/>
    <w:rsid w:val="002B6FEF"/>
    <w:rsid w:val="002C21F0"/>
    <w:rsid w:val="002C2E40"/>
    <w:rsid w:val="002C3279"/>
    <w:rsid w:val="002D0688"/>
    <w:rsid w:val="002D0EAA"/>
    <w:rsid w:val="002D1145"/>
    <w:rsid w:val="002D2AC1"/>
    <w:rsid w:val="002D4EE3"/>
    <w:rsid w:val="002D5388"/>
    <w:rsid w:val="002D7607"/>
    <w:rsid w:val="002D763F"/>
    <w:rsid w:val="002E0F18"/>
    <w:rsid w:val="002E3E05"/>
    <w:rsid w:val="002E657E"/>
    <w:rsid w:val="002E6F1C"/>
    <w:rsid w:val="002F0A4C"/>
    <w:rsid w:val="002F1CD0"/>
    <w:rsid w:val="002F266E"/>
    <w:rsid w:val="002F2F5A"/>
    <w:rsid w:val="002F35F7"/>
    <w:rsid w:val="002F36B7"/>
    <w:rsid w:val="002F4AB5"/>
    <w:rsid w:val="002F6025"/>
    <w:rsid w:val="002F7C88"/>
    <w:rsid w:val="002F7FA1"/>
    <w:rsid w:val="0030001F"/>
    <w:rsid w:val="0030075D"/>
    <w:rsid w:val="00301720"/>
    <w:rsid w:val="00302124"/>
    <w:rsid w:val="00302586"/>
    <w:rsid w:val="00303F52"/>
    <w:rsid w:val="003048A9"/>
    <w:rsid w:val="00304A21"/>
    <w:rsid w:val="00305F0F"/>
    <w:rsid w:val="00307D45"/>
    <w:rsid w:val="003107FA"/>
    <w:rsid w:val="00310A8A"/>
    <w:rsid w:val="003113B5"/>
    <w:rsid w:val="00315756"/>
    <w:rsid w:val="00317911"/>
    <w:rsid w:val="00317977"/>
    <w:rsid w:val="00317B55"/>
    <w:rsid w:val="0032015A"/>
    <w:rsid w:val="003225A8"/>
    <w:rsid w:val="00322830"/>
    <w:rsid w:val="003229D8"/>
    <w:rsid w:val="00323DEC"/>
    <w:rsid w:val="0032537C"/>
    <w:rsid w:val="00330D2D"/>
    <w:rsid w:val="003314D1"/>
    <w:rsid w:val="0033325A"/>
    <w:rsid w:val="00333637"/>
    <w:rsid w:val="00335A2F"/>
    <w:rsid w:val="00340029"/>
    <w:rsid w:val="00340356"/>
    <w:rsid w:val="00340A7E"/>
    <w:rsid w:val="00341303"/>
    <w:rsid w:val="00341506"/>
    <w:rsid w:val="00341937"/>
    <w:rsid w:val="0034406B"/>
    <w:rsid w:val="003452AE"/>
    <w:rsid w:val="0034556B"/>
    <w:rsid w:val="00346C10"/>
    <w:rsid w:val="003533D6"/>
    <w:rsid w:val="00353978"/>
    <w:rsid w:val="00354A26"/>
    <w:rsid w:val="00355B53"/>
    <w:rsid w:val="00355D5F"/>
    <w:rsid w:val="00356F3E"/>
    <w:rsid w:val="00366A22"/>
    <w:rsid w:val="00366F65"/>
    <w:rsid w:val="00367BBA"/>
    <w:rsid w:val="0037014C"/>
    <w:rsid w:val="00372D2D"/>
    <w:rsid w:val="00374291"/>
    <w:rsid w:val="00374968"/>
    <w:rsid w:val="00374DBB"/>
    <w:rsid w:val="00376F64"/>
    <w:rsid w:val="00383590"/>
    <w:rsid w:val="00385AB2"/>
    <w:rsid w:val="003861E7"/>
    <w:rsid w:val="0039052C"/>
    <w:rsid w:val="00392042"/>
    <w:rsid w:val="0039277A"/>
    <w:rsid w:val="00392DE5"/>
    <w:rsid w:val="00393A50"/>
    <w:rsid w:val="0039464D"/>
    <w:rsid w:val="003972E0"/>
    <w:rsid w:val="003975ED"/>
    <w:rsid w:val="003A06AF"/>
    <w:rsid w:val="003A13C1"/>
    <w:rsid w:val="003A2709"/>
    <w:rsid w:val="003A28CA"/>
    <w:rsid w:val="003A610C"/>
    <w:rsid w:val="003A646C"/>
    <w:rsid w:val="003A6548"/>
    <w:rsid w:val="003A73A6"/>
    <w:rsid w:val="003B11D3"/>
    <w:rsid w:val="003B2BC7"/>
    <w:rsid w:val="003B568C"/>
    <w:rsid w:val="003B7F5F"/>
    <w:rsid w:val="003C00DE"/>
    <w:rsid w:val="003C1429"/>
    <w:rsid w:val="003C1885"/>
    <w:rsid w:val="003C2CC4"/>
    <w:rsid w:val="003C437E"/>
    <w:rsid w:val="003C4816"/>
    <w:rsid w:val="003C482D"/>
    <w:rsid w:val="003C5BFF"/>
    <w:rsid w:val="003C64DF"/>
    <w:rsid w:val="003C7AC9"/>
    <w:rsid w:val="003D01B5"/>
    <w:rsid w:val="003D1F4F"/>
    <w:rsid w:val="003D286C"/>
    <w:rsid w:val="003D295E"/>
    <w:rsid w:val="003D308D"/>
    <w:rsid w:val="003D4B23"/>
    <w:rsid w:val="003D4E29"/>
    <w:rsid w:val="003D7A1A"/>
    <w:rsid w:val="003E413E"/>
    <w:rsid w:val="003F1912"/>
    <w:rsid w:val="003F24F9"/>
    <w:rsid w:val="003F2C99"/>
    <w:rsid w:val="003F6B44"/>
    <w:rsid w:val="003F7A0B"/>
    <w:rsid w:val="004016A1"/>
    <w:rsid w:val="00403649"/>
    <w:rsid w:val="00404095"/>
    <w:rsid w:val="00404B73"/>
    <w:rsid w:val="00404CCB"/>
    <w:rsid w:val="0040585E"/>
    <w:rsid w:val="00406BAA"/>
    <w:rsid w:val="0041015F"/>
    <w:rsid w:val="00412225"/>
    <w:rsid w:val="004130DE"/>
    <w:rsid w:val="0041665C"/>
    <w:rsid w:val="0041756B"/>
    <w:rsid w:val="004179A7"/>
    <w:rsid w:val="0042109A"/>
    <w:rsid w:val="00422233"/>
    <w:rsid w:val="004232CF"/>
    <w:rsid w:val="004242D5"/>
    <w:rsid w:val="00424C80"/>
    <w:rsid w:val="00426A49"/>
    <w:rsid w:val="00427D13"/>
    <w:rsid w:val="0043064F"/>
    <w:rsid w:val="004320DA"/>
    <w:rsid w:val="004325CB"/>
    <w:rsid w:val="004325E4"/>
    <w:rsid w:val="004326A9"/>
    <w:rsid w:val="00432F7E"/>
    <w:rsid w:val="00433CDC"/>
    <w:rsid w:val="004342E4"/>
    <w:rsid w:val="00435977"/>
    <w:rsid w:val="00435BA5"/>
    <w:rsid w:val="00442863"/>
    <w:rsid w:val="00444A02"/>
    <w:rsid w:val="0044503A"/>
    <w:rsid w:val="0044503D"/>
    <w:rsid w:val="00446DE4"/>
    <w:rsid w:val="00447761"/>
    <w:rsid w:val="004500B6"/>
    <w:rsid w:val="00450887"/>
    <w:rsid w:val="00451EC3"/>
    <w:rsid w:val="004522A8"/>
    <w:rsid w:val="004559E7"/>
    <w:rsid w:val="00460554"/>
    <w:rsid w:val="004631B7"/>
    <w:rsid w:val="00465215"/>
    <w:rsid w:val="00465564"/>
    <w:rsid w:val="00470D20"/>
    <w:rsid w:val="0047145F"/>
    <w:rsid w:val="00471646"/>
    <w:rsid w:val="004716DB"/>
    <w:rsid w:val="004721B1"/>
    <w:rsid w:val="0047321E"/>
    <w:rsid w:val="00474E53"/>
    <w:rsid w:val="00477F64"/>
    <w:rsid w:val="00481587"/>
    <w:rsid w:val="00482F58"/>
    <w:rsid w:val="004849F6"/>
    <w:rsid w:val="004859EC"/>
    <w:rsid w:val="00485F5D"/>
    <w:rsid w:val="00487182"/>
    <w:rsid w:val="00487A9D"/>
    <w:rsid w:val="004922A6"/>
    <w:rsid w:val="00492564"/>
    <w:rsid w:val="00492E79"/>
    <w:rsid w:val="00493E8C"/>
    <w:rsid w:val="00494CBC"/>
    <w:rsid w:val="004958EB"/>
    <w:rsid w:val="00496A15"/>
    <w:rsid w:val="004A12EB"/>
    <w:rsid w:val="004A24F7"/>
    <w:rsid w:val="004A285B"/>
    <w:rsid w:val="004A61FD"/>
    <w:rsid w:val="004A652D"/>
    <w:rsid w:val="004A6F5F"/>
    <w:rsid w:val="004A78A9"/>
    <w:rsid w:val="004B1B8A"/>
    <w:rsid w:val="004B4FCD"/>
    <w:rsid w:val="004B55F8"/>
    <w:rsid w:val="004B75D2"/>
    <w:rsid w:val="004C19A8"/>
    <w:rsid w:val="004C1B7A"/>
    <w:rsid w:val="004C211A"/>
    <w:rsid w:val="004C57E4"/>
    <w:rsid w:val="004C64C0"/>
    <w:rsid w:val="004D00A1"/>
    <w:rsid w:val="004D06A9"/>
    <w:rsid w:val="004D1140"/>
    <w:rsid w:val="004D2DED"/>
    <w:rsid w:val="004D2F5C"/>
    <w:rsid w:val="004D41B5"/>
    <w:rsid w:val="004D4C23"/>
    <w:rsid w:val="004D62A7"/>
    <w:rsid w:val="004D6577"/>
    <w:rsid w:val="004D7E2B"/>
    <w:rsid w:val="004E0227"/>
    <w:rsid w:val="004E46EB"/>
    <w:rsid w:val="004E5868"/>
    <w:rsid w:val="004E5922"/>
    <w:rsid w:val="004E5EB6"/>
    <w:rsid w:val="004E7375"/>
    <w:rsid w:val="004E7E60"/>
    <w:rsid w:val="004F0360"/>
    <w:rsid w:val="004F1840"/>
    <w:rsid w:val="004F18E4"/>
    <w:rsid w:val="004F3D06"/>
    <w:rsid w:val="004F546A"/>
    <w:rsid w:val="004F55ED"/>
    <w:rsid w:val="00501929"/>
    <w:rsid w:val="00506278"/>
    <w:rsid w:val="00506765"/>
    <w:rsid w:val="005118EF"/>
    <w:rsid w:val="00512A46"/>
    <w:rsid w:val="00514C3E"/>
    <w:rsid w:val="0051737D"/>
    <w:rsid w:val="00517BE0"/>
    <w:rsid w:val="00520572"/>
    <w:rsid w:val="0052176C"/>
    <w:rsid w:val="00522B4E"/>
    <w:rsid w:val="00522B95"/>
    <w:rsid w:val="00523696"/>
    <w:rsid w:val="005261E5"/>
    <w:rsid w:val="0052640E"/>
    <w:rsid w:val="00526831"/>
    <w:rsid w:val="00527BA9"/>
    <w:rsid w:val="005313DF"/>
    <w:rsid w:val="00533BFE"/>
    <w:rsid w:val="00533E92"/>
    <w:rsid w:val="00534584"/>
    <w:rsid w:val="00534D44"/>
    <w:rsid w:val="00535490"/>
    <w:rsid w:val="00536263"/>
    <w:rsid w:val="00536289"/>
    <w:rsid w:val="00537117"/>
    <w:rsid w:val="005408FB"/>
    <w:rsid w:val="005420F2"/>
    <w:rsid w:val="00542574"/>
    <w:rsid w:val="005429A1"/>
    <w:rsid w:val="00543146"/>
    <w:rsid w:val="005436AB"/>
    <w:rsid w:val="00544292"/>
    <w:rsid w:val="0054606F"/>
    <w:rsid w:val="00546DBF"/>
    <w:rsid w:val="0054727A"/>
    <w:rsid w:val="00547AF7"/>
    <w:rsid w:val="0055180B"/>
    <w:rsid w:val="00551A47"/>
    <w:rsid w:val="00553136"/>
    <w:rsid w:val="00553D76"/>
    <w:rsid w:val="005551C7"/>
    <w:rsid w:val="005552B5"/>
    <w:rsid w:val="00555D67"/>
    <w:rsid w:val="00555E0A"/>
    <w:rsid w:val="00555F52"/>
    <w:rsid w:val="0055625D"/>
    <w:rsid w:val="00557949"/>
    <w:rsid w:val="0056117B"/>
    <w:rsid w:val="00564939"/>
    <w:rsid w:val="00567A91"/>
    <w:rsid w:val="00571365"/>
    <w:rsid w:val="00571781"/>
    <w:rsid w:val="00571810"/>
    <w:rsid w:val="00572252"/>
    <w:rsid w:val="00577C65"/>
    <w:rsid w:val="005802C2"/>
    <w:rsid w:val="00582305"/>
    <w:rsid w:val="005835E3"/>
    <w:rsid w:val="00584329"/>
    <w:rsid w:val="00585FA3"/>
    <w:rsid w:val="00592498"/>
    <w:rsid w:val="00592A86"/>
    <w:rsid w:val="00592B62"/>
    <w:rsid w:val="00593222"/>
    <w:rsid w:val="00593EA2"/>
    <w:rsid w:val="005941E6"/>
    <w:rsid w:val="00595687"/>
    <w:rsid w:val="00596CA3"/>
    <w:rsid w:val="00597950"/>
    <w:rsid w:val="00597D2C"/>
    <w:rsid w:val="005A10A0"/>
    <w:rsid w:val="005A10B5"/>
    <w:rsid w:val="005A12AF"/>
    <w:rsid w:val="005A1A1D"/>
    <w:rsid w:val="005A43B8"/>
    <w:rsid w:val="005A4541"/>
    <w:rsid w:val="005A49ED"/>
    <w:rsid w:val="005A61AB"/>
    <w:rsid w:val="005B1394"/>
    <w:rsid w:val="005B17A0"/>
    <w:rsid w:val="005B1C5E"/>
    <w:rsid w:val="005B3DB3"/>
    <w:rsid w:val="005B48F2"/>
    <w:rsid w:val="005B6E48"/>
    <w:rsid w:val="005B6EEC"/>
    <w:rsid w:val="005C3BD3"/>
    <w:rsid w:val="005C3EFE"/>
    <w:rsid w:val="005C6D0E"/>
    <w:rsid w:val="005C7C1D"/>
    <w:rsid w:val="005D04C7"/>
    <w:rsid w:val="005D32FF"/>
    <w:rsid w:val="005D59DC"/>
    <w:rsid w:val="005E091B"/>
    <w:rsid w:val="005E0C0A"/>
    <w:rsid w:val="005E1712"/>
    <w:rsid w:val="005F0BDC"/>
    <w:rsid w:val="005F37F8"/>
    <w:rsid w:val="005F56D2"/>
    <w:rsid w:val="005F6154"/>
    <w:rsid w:val="005F6DFA"/>
    <w:rsid w:val="005F7C19"/>
    <w:rsid w:val="00603A52"/>
    <w:rsid w:val="00603CFB"/>
    <w:rsid w:val="006045C1"/>
    <w:rsid w:val="006045F5"/>
    <w:rsid w:val="00610793"/>
    <w:rsid w:val="00610AB6"/>
    <w:rsid w:val="00611FC4"/>
    <w:rsid w:val="00612530"/>
    <w:rsid w:val="006135FF"/>
    <w:rsid w:val="006146E0"/>
    <w:rsid w:val="0061621C"/>
    <w:rsid w:val="00616CA7"/>
    <w:rsid w:val="006176FB"/>
    <w:rsid w:val="00617B6C"/>
    <w:rsid w:val="00617F83"/>
    <w:rsid w:val="00620ADE"/>
    <w:rsid w:val="00621BA7"/>
    <w:rsid w:val="0062486A"/>
    <w:rsid w:val="006266B7"/>
    <w:rsid w:val="00632429"/>
    <w:rsid w:val="00640592"/>
    <w:rsid w:val="00640B26"/>
    <w:rsid w:val="0064192F"/>
    <w:rsid w:val="006422BC"/>
    <w:rsid w:val="00644A90"/>
    <w:rsid w:val="00644DE9"/>
    <w:rsid w:val="006452AE"/>
    <w:rsid w:val="00646011"/>
    <w:rsid w:val="00650CB2"/>
    <w:rsid w:val="00651014"/>
    <w:rsid w:val="00651210"/>
    <w:rsid w:val="006517A2"/>
    <w:rsid w:val="006534C1"/>
    <w:rsid w:val="00654D99"/>
    <w:rsid w:val="006557DD"/>
    <w:rsid w:val="00655994"/>
    <w:rsid w:val="00655F8B"/>
    <w:rsid w:val="0066017A"/>
    <w:rsid w:val="00660810"/>
    <w:rsid w:val="00660A89"/>
    <w:rsid w:val="00662733"/>
    <w:rsid w:val="006633FD"/>
    <w:rsid w:val="00663F34"/>
    <w:rsid w:val="006643CE"/>
    <w:rsid w:val="0066474E"/>
    <w:rsid w:val="0066615A"/>
    <w:rsid w:val="00670741"/>
    <w:rsid w:val="00670EF6"/>
    <w:rsid w:val="00671EC9"/>
    <w:rsid w:val="00672802"/>
    <w:rsid w:val="006759AC"/>
    <w:rsid w:val="0067611F"/>
    <w:rsid w:val="0068082A"/>
    <w:rsid w:val="006811A8"/>
    <w:rsid w:val="0068727A"/>
    <w:rsid w:val="0068767F"/>
    <w:rsid w:val="0069077E"/>
    <w:rsid w:val="006909C2"/>
    <w:rsid w:val="006911CA"/>
    <w:rsid w:val="00691EE8"/>
    <w:rsid w:val="00692F4E"/>
    <w:rsid w:val="00694A1B"/>
    <w:rsid w:val="00695B05"/>
    <w:rsid w:val="00696990"/>
    <w:rsid w:val="00696BD6"/>
    <w:rsid w:val="006A02D9"/>
    <w:rsid w:val="006A24A4"/>
    <w:rsid w:val="006A3C59"/>
    <w:rsid w:val="006A51F7"/>
    <w:rsid w:val="006A6548"/>
    <w:rsid w:val="006A68B9"/>
    <w:rsid w:val="006A6B9D"/>
    <w:rsid w:val="006A6FF4"/>
    <w:rsid w:val="006A7392"/>
    <w:rsid w:val="006B1B59"/>
    <w:rsid w:val="006B22D5"/>
    <w:rsid w:val="006B3189"/>
    <w:rsid w:val="006B4877"/>
    <w:rsid w:val="006B5139"/>
    <w:rsid w:val="006B610D"/>
    <w:rsid w:val="006B7D65"/>
    <w:rsid w:val="006C0D1F"/>
    <w:rsid w:val="006C12C6"/>
    <w:rsid w:val="006C37C8"/>
    <w:rsid w:val="006C4111"/>
    <w:rsid w:val="006C69FD"/>
    <w:rsid w:val="006C72EA"/>
    <w:rsid w:val="006C7477"/>
    <w:rsid w:val="006C7897"/>
    <w:rsid w:val="006D1730"/>
    <w:rsid w:val="006D39E1"/>
    <w:rsid w:val="006D40C0"/>
    <w:rsid w:val="006D4AC7"/>
    <w:rsid w:val="006D4EF1"/>
    <w:rsid w:val="006D4F4F"/>
    <w:rsid w:val="006D6DA6"/>
    <w:rsid w:val="006E4992"/>
    <w:rsid w:val="006E564B"/>
    <w:rsid w:val="006E7E91"/>
    <w:rsid w:val="006F13F0"/>
    <w:rsid w:val="006F1DB0"/>
    <w:rsid w:val="006F31DB"/>
    <w:rsid w:val="006F328E"/>
    <w:rsid w:val="006F3684"/>
    <w:rsid w:val="006F459C"/>
    <w:rsid w:val="006F46B6"/>
    <w:rsid w:val="006F5035"/>
    <w:rsid w:val="006F5694"/>
    <w:rsid w:val="00700C61"/>
    <w:rsid w:val="007010E4"/>
    <w:rsid w:val="007038D4"/>
    <w:rsid w:val="00704CA6"/>
    <w:rsid w:val="00705DB5"/>
    <w:rsid w:val="007065EB"/>
    <w:rsid w:val="0070685A"/>
    <w:rsid w:val="00706CE5"/>
    <w:rsid w:val="0071030E"/>
    <w:rsid w:val="00711B9D"/>
    <w:rsid w:val="00711C54"/>
    <w:rsid w:val="00713E18"/>
    <w:rsid w:val="00717BB9"/>
    <w:rsid w:val="00720183"/>
    <w:rsid w:val="007226BA"/>
    <w:rsid w:val="007235BA"/>
    <w:rsid w:val="007239A6"/>
    <w:rsid w:val="007240F3"/>
    <w:rsid w:val="007252FB"/>
    <w:rsid w:val="0072632A"/>
    <w:rsid w:val="00734C0C"/>
    <w:rsid w:val="00735004"/>
    <w:rsid w:val="007367C2"/>
    <w:rsid w:val="007408BE"/>
    <w:rsid w:val="0074200B"/>
    <w:rsid w:val="00742818"/>
    <w:rsid w:val="00747329"/>
    <w:rsid w:val="0075269F"/>
    <w:rsid w:val="007540AC"/>
    <w:rsid w:val="00754EDA"/>
    <w:rsid w:val="007570EC"/>
    <w:rsid w:val="0076183A"/>
    <w:rsid w:val="00762702"/>
    <w:rsid w:val="00762B30"/>
    <w:rsid w:val="00763090"/>
    <w:rsid w:val="007640C1"/>
    <w:rsid w:val="00766904"/>
    <w:rsid w:val="00766DDE"/>
    <w:rsid w:val="00766FD7"/>
    <w:rsid w:val="00770B62"/>
    <w:rsid w:val="00771E00"/>
    <w:rsid w:val="00777266"/>
    <w:rsid w:val="007775AA"/>
    <w:rsid w:val="007807EC"/>
    <w:rsid w:val="00781BE3"/>
    <w:rsid w:val="0078264C"/>
    <w:rsid w:val="007833F1"/>
    <w:rsid w:val="00783886"/>
    <w:rsid w:val="00784387"/>
    <w:rsid w:val="00785C82"/>
    <w:rsid w:val="00786F10"/>
    <w:rsid w:val="00790867"/>
    <w:rsid w:val="007910B1"/>
    <w:rsid w:val="00793D15"/>
    <w:rsid w:val="00794B07"/>
    <w:rsid w:val="00794C32"/>
    <w:rsid w:val="00795F49"/>
    <w:rsid w:val="00796341"/>
    <w:rsid w:val="00796727"/>
    <w:rsid w:val="00796DE8"/>
    <w:rsid w:val="00797082"/>
    <w:rsid w:val="007975A2"/>
    <w:rsid w:val="00797720"/>
    <w:rsid w:val="007979FC"/>
    <w:rsid w:val="007A05AB"/>
    <w:rsid w:val="007A3175"/>
    <w:rsid w:val="007A3AB3"/>
    <w:rsid w:val="007A6296"/>
    <w:rsid w:val="007B02B3"/>
    <w:rsid w:val="007B21BB"/>
    <w:rsid w:val="007B3C3C"/>
    <w:rsid w:val="007B4B8A"/>
    <w:rsid w:val="007B6BA5"/>
    <w:rsid w:val="007C0DBF"/>
    <w:rsid w:val="007C1B62"/>
    <w:rsid w:val="007C3390"/>
    <w:rsid w:val="007C4F4B"/>
    <w:rsid w:val="007C5237"/>
    <w:rsid w:val="007C553D"/>
    <w:rsid w:val="007C5A5C"/>
    <w:rsid w:val="007C7607"/>
    <w:rsid w:val="007D0CC1"/>
    <w:rsid w:val="007D1E7E"/>
    <w:rsid w:val="007D2CDC"/>
    <w:rsid w:val="007D2F13"/>
    <w:rsid w:val="007D5327"/>
    <w:rsid w:val="007D5E9A"/>
    <w:rsid w:val="007D5ECF"/>
    <w:rsid w:val="007E010F"/>
    <w:rsid w:val="007E0C1E"/>
    <w:rsid w:val="007E0C7C"/>
    <w:rsid w:val="007E0CB9"/>
    <w:rsid w:val="007E0F6F"/>
    <w:rsid w:val="007E3BE0"/>
    <w:rsid w:val="007E3C27"/>
    <w:rsid w:val="007E6E73"/>
    <w:rsid w:val="007F391F"/>
    <w:rsid w:val="007F6611"/>
    <w:rsid w:val="00800A86"/>
    <w:rsid w:val="0080197B"/>
    <w:rsid w:val="008019D2"/>
    <w:rsid w:val="00802058"/>
    <w:rsid w:val="00802523"/>
    <w:rsid w:val="00804E3A"/>
    <w:rsid w:val="008113F3"/>
    <w:rsid w:val="00811936"/>
    <w:rsid w:val="00812526"/>
    <w:rsid w:val="0081394B"/>
    <w:rsid w:val="008153C5"/>
    <w:rsid w:val="008155C3"/>
    <w:rsid w:val="008175E9"/>
    <w:rsid w:val="00820706"/>
    <w:rsid w:val="00822170"/>
    <w:rsid w:val="0082243E"/>
    <w:rsid w:val="00823AC7"/>
    <w:rsid w:val="008242D7"/>
    <w:rsid w:val="00825398"/>
    <w:rsid w:val="00826F65"/>
    <w:rsid w:val="0082770B"/>
    <w:rsid w:val="00830A23"/>
    <w:rsid w:val="00830C47"/>
    <w:rsid w:val="0083282A"/>
    <w:rsid w:val="00833FCD"/>
    <w:rsid w:val="00834591"/>
    <w:rsid w:val="008349CA"/>
    <w:rsid w:val="008358EA"/>
    <w:rsid w:val="00837A6D"/>
    <w:rsid w:val="00841FE0"/>
    <w:rsid w:val="00842715"/>
    <w:rsid w:val="008438DF"/>
    <w:rsid w:val="008441EE"/>
    <w:rsid w:val="008455CE"/>
    <w:rsid w:val="00845ECC"/>
    <w:rsid w:val="00846097"/>
    <w:rsid w:val="00847D6C"/>
    <w:rsid w:val="00847F5C"/>
    <w:rsid w:val="00850DDC"/>
    <w:rsid w:val="00850F34"/>
    <w:rsid w:val="00851490"/>
    <w:rsid w:val="008519DF"/>
    <w:rsid w:val="00856CD2"/>
    <w:rsid w:val="00861BC6"/>
    <w:rsid w:val="00863BE0"/>
    <w:rsid w:val="00864934"/>
    <w:rsid w:val="00864B16"/>
    <w:rsid w:val="0086633D"/>
    <w:rsid w:val="00867191"/>
    <w:rsid w:val="0086737D"/>
    <w:rsid w:val="00871811"/>
    <w:rsid w:val="00871FD5"/>
    <w:rsid w:val="008722C0"/>
    <w:rsid w:val="0087248A"/>
    <w:rsid w:val="008729FD"/>
    <w:rsid w:val="00874890"/>
    <w:rsid w:val="00885B5B"/>
    <w:rsid w:val="0088743C"/>
    <w:rsid w:val="0089250E"/>
    <w:rsid w:val="00894608"/>
    <w:rsid w:val="008979B1"/>
    <w:rsid w:val="008A0D66"/>
    <w:rsid w:val="008A3B06"/>
    <w:rsid w:val="008A446D"/>
    <w:rsid w:val="008A4E9A"/>
    <w:rsid w:val="008A5A9F"/>
    <w:rsid w:val="008A5DC4"/>
    <w:rsid w:val="008A6B25"/>
    <w:rsid w:val="008A6C4F"/>
    <w:rsid w:val="008B0C9A"/>
    <w:rsid w:val="008B155E"/>
    <w:rsid w:val="008B6149"/>
    <w:rsid w:val="008B67D3"/>
    <w:rsid w:val="008C0383"/>
    <w:rsid w:val="008C1192"/>
    <w:rsid w:val="008C1DE8"/>
    <w:rsid w:val="008C1E4D"/>
    <w:rsid w:val="008C380F"/>
    <w:rsid w:val="008C517B"/>
    <w:rsid w:val="008C7906"/>
    <w:rsid w:val="008D0BFF"/>
    <w:rsid w:val="008D10FE"/>
    <w:rsid w:val="008D3692"/>
    <w:rsid w:val="008D3D10"/>
    <w:rsid w:val="008E01E0"/>
    <w:rsid w:val="008E0E46"/>
    <w:rsid w:val="008E1540"/>
    <w:rsid w:val="008E164B"/>
    <w:rsid w:val="008F104F"/>
    <w:rsid w:val="008F14FE"/>
    <w:rsid w:val="008F1FCB"/>
    <w:rsid w:val="009006C8"/>
    <w:rsid w:val="0090452C"/>
    <w:rsid w:val="00907C3F"/>
    <w:rsid w:val="00911FFA"/>
    <w:rsid w:val="00912A75"/>
    <w:rsid w:val="00912C0B"/>
    <w:rsid w:val="0091311F"/>
    <w:rsid w:val="00914AF6"/>
    <w:rsid w:val="00921A51"/>
    <w:rsid w:val="0092237C"/>
    <w:rsid w:val="00922A8D"/>
    <w:rsid w:val="00924AD7"/>
    <w:rsid w:val="009250FA"/>
    <w:rsid w:val="00926EF2"/>
    <w:rsid w:val="00927154"/>
    <w:rsid w:val="0092771C"/>
    <w:rsid w:val="0093707B"/>
    <w:rsid w:val="00937581"/>
    <w:rsid w:val="00937A8A"/>
    <w:rsid w:val="009400EB"/>
    <w:rsid w:val="009422A1"/>
    <w:rsid w:val="009427E3"/>
    <w:rsid w:val="00943069"/>
    <w:rsid w:val="00943B54"/>
    <w:rsid w:val="00944E39"/>
    <w:rsid w:val="00946040"/>
    <w:rsid w:val="009505D2"/>
    <w:rsid w:val="0095266B"/>
    <w:rsid w:val="0095329D"/>
    <w:rsid w:val="00953F2B"/>
    <w:rsid w:val="0095474C"/>
    <w:rsid w:val="00955E6C"/>
    <w:rsid w:val="00956D9B"/>
    <w:rsid w:val="00960E18"/>
    <w:rsid w:val="00963CBA"/>
    <w:rsid w:val="009654B7"/>
    <w:rsid w:val="0097127E"/>
    <w:rsid w:val="00972CB3"/>
    <w:rsid w:val="009746B9"/>
    <w:rsid w:val="00975664"/>
    <w:rsid w:val="00975ADF"/>
    <w:rsid w:val="009774C8"/>
    <w:rsid w:val="0098112F"/>
    <w:rsid w:val="009813F3"/>
    <w:rsid w:val="00981F27"/>
    <w:rsid w:val="009823B6"/>
    <w:rsid w:val="00982ABF"/>
    <w:rsid w:val="00982C8D"/>
    <w:rsid w:val="00982CE8"/>
    <w:rsid w:val="009856DC"/>
    <w:rsid w:val="009867C8"/>
    <w:rsid w:val="009879E7"/>
    <w:rsid w:val="009879EF"/>
    <w:rsid w:val="00991261"/>
    <w:rsid w:val="0099229E"/>
    <w:rsid w:val="00992D9A"/>
    <w:rsid w:val="0099550F"/>
    <w:rsid w:val="00995FD7"/>
    <w:rsid w:val="009A0B83"/>
    <w:rsid w:val="009A11BF"/>
    <w:rsid w:val="009A2DE2"/>
    <w:rsid w:val="009A2DEF"/>
    <w:rsid w:val="009A2DFE"/>
    <w:rsid w:val="009A4BD5"/>
    <w:rsid w:val="009A638D"/>
    <w:rsid w:val="009A7386"/>
    <w:rsid w:val="009A7BBB"/>
    <w:rsid w:val="009B3800"/>
    <w:rsid w:val="009B725D"/>
    <w:rsid w:val="009B7D10"/>
    <w:rsid w:val="009C0251"/>
    <w:rsid w:val="009C02CD"/>
    <w:rsid w:val="009C0DDB"/>
    <w:rsid w:val="009C170E"/>
    <w:rsid w:val="009C2334"/>
    <w:rsid w:val="009C29F2"/>
    <w:rsid w:val="009C741C"/>
    <w:rsid w:val="009C7A89"/>
    <w:rsid w:val="009D0989"/>
    <w:rsid w:val="009D13F0"/>
    <w:rsid w:val="009D1777"/>
    <w:rsid w:val="009D183F"/>
    <w:rsid w:val="009D22AC"/>
    <w:rsid w:val="009D2B5D"/>
    <w:rsid w:val="009D4377"/>
    <w:rsid w:val="009D4B09"/>
    <w:rsid w:val="009D50DB"/>
    <w:rsid w:val="009D6547"/>
    <w:rsid w:val="009E1C4E"/>
    <w:rsid w:val="009E2688"/>
    <w:rsid w:val="009E48C8"/>
    <w:rsid w:val="009E49E1"/>
    <w:rsid w:val="009E690E"/>
    <w:rsid w:val="009E6BEE"/>
    <w:rsid w:val="009E7146"/>
    <w:rsid w:val="009F313F"/>
    <w:rsid w:val="009F3932"/>
    <w:rsid w:val="009F4023"/>
    <w:rsid w:val="009F40A5"/>
    <w:rsid w:val="009F6206"/>
    <w:rsid w:val="009F6AA4"/>
    <w:rsid w:val="009F75A8"/>
    <w:rsid w:val="00A01F97"/>
    <w:rsid w:val="00A02591"/>
    <w:rsid w:val="00A05E0B"/>
    <w:rsid w:val="00A06C3C"/>
    <w:rsid w:val="00A07F20"/>
    <w:rsid w:val="00A102EC"/>
    <w:rsid w:val="00A116DE"/>
    <w:rsid w:val="00A1237C"/>
    <w:rsid w:val="00A130C2"/>
    <w:rsid w:val="00A132B4"/>
    <w:rsid w:val="00A1427D"/>
    <w:rsid w:val="00A17441"/>
    <w:rsid w:val="00A22FB8"/>
    <w:rsid w:val="00A2429C"/>
    <w:rsid w:val="00A24334"/>
    <w:rsid w:val="00A25845"/>
    <w:rsid w:val="00A25C93"/>
    <w:rsid w:val="00A25F73"/>
    <w:rsid w:val="00A26D41"/>
    <w:rsid w:val="00A27F4B"/>
    <w:rsid w:val="00A31333"/>
    <w:rsid w:val="00A31917"/>
    <w:rsid w:val="00A355D8"/>
    <w:rsid w:val="00A37C97"/>
    <w:rsid w:val="00A41A73"/>
    <w:rsid w:val="00A42540"/>
    <w:rsid w:val="00A42573"/>
    <w:rsid w:val="00A44767"/>
    <w:rsid w:val="00A44F01"/>
    <w:rsid w:val="00A45812"/>
    <w:rsid w:val="00A4634F"/>
    <w:rsid w:val="00A51CF3"/>
    <w:rsid w:val="00A51D86"/>
    <w:rsid w:val="00A52ED2"/>
    <w:rsid w:val="00A532C9"/>
    <w:rsid w:val="00A537AE"/>
    <w:rsid w:val="00A56397"/>
    <w:rsid w:val="00A567B7"/>
    <w:rsid w:val="00A57C08"/>
    <w:rsid w:val="00A60B73"/>
    <w:rsid w:val="00A60E58"/>
    <w:rsid w:val="00A61074"/>
    <w:rsid w:val="00A62775"/>
    <w:rsid w:val="00A66E3A"/>
    <w:rsid w:val="00A700AF"/>
    <w:rsid w:val="00A72F22"/>
    <w:rsid w:val="00A748A6"/>
    <w:rsid w:val="00A75B0D"/>
    <w:rsid w:val="00A773A1"/>
    <w:rsid w:val="00A807BD"/>
    <w:rsid w:val="00A81E78"/>
    <w:rsid w:val="00A8204D"/>
    <w:rsid w:val="00A8334E"/>
    <w:rsid w:val="00A842DC"/>
    <w:rsid w:val="00A858B7"/>
    <w:rsid w:val="00A85EA5"/>
    <w:rsid w:val="00A86B59"/>
    <w:rsid w:val="00A879A4"/>
    <w:rsid w:val="00A87E95"/>
    <w:rsid w:val="00A91041"/>
    <w:rsid w:val="00A92E29"/>
    <w:rsid w:val="00A936C7"/>
    <w:rsid w:val="00A94287"/>
    <w:rsid w:val="00A94780"/>
    <w:rsid w:val="00A959AD"/>
    <w:rsid w:val="00A95A82"/>
    <w:rsid w:val="00A96327"/>
    <w:rsid w:val="00AA193B"/>
    <w:rsid w:val="00AA2182"/>
    <w:rsid w:val="00AA2F08"/>
    <w:rsid w:val="00AA3321"/>
    <w:rsid w:val="00AA43AC"/>
    <w:rsid w:val="00AA5D05"/>
    <w:rsid w:val="00AA686B"/>
    <w:rsid w:val="00AA6C93"/>
    <w:rsid w:val="00AA7251"/>
    <w:rsid w:val="00AB0785"/>
    <w:rsid w:val="00AB2B35"/>
    <w:rsid w:val="00AB3E37"/>
    <w:rsid w:val="00AB443B"/>
    <w:rsid w:val="00AB4534"/>
    <w:rsid w:val="00AC2B54"/>
    <w:rsid w:val="00AC6D11"/>
    <w:rsid w:val="00AD0952"/>
    <w:rsid w:val="00AD09E9"/>
    <w:rsid w:val="00AD0BB8"/>
    <w:rsid w:val="00AD0EDB"/>
    <w:rsid w:val="00AD274A"/>
    <w:rsid w:val="00AD3635"/>
    <w:rsid w:val="00AD510D"/>
    <w:rsid w:val="00AD5973"/>
    <w:rsid w:val="00AD7CFB"/>
    <w:rsid w:val="00AE21DF"/>
    <w:rsid w:val="00AE328D"/>
    <w:rsid w:val="00AE3AC8"/>
    <w:rsid w:val="00AE44B1"/>
    <w:rsid w:val="00AE4A0A"/>
    <w:rsid w:val="00AE524E"/>
    <w:rsid w:val="00AE6B8F"/>
    <w:rsid w:val="00AE6D07"/>
    <w:rsid w:val="00AF03F3"/>
    <w:rsid w:val="00AF0576"/>
    <w:rsid w:val="00AF0B02"/>
    <w:rsid w:val="00AF30EE"/>
    <w:rsid w:val="00AF3829"/>
    <w:rsid w:val="00AF51AB"/>
    <w:rsid w:val="00AF536D"/>
    <w:rsid w:val="00AF5638"/>
    <w:rsid w:val="00AF658C"/>
    <w:rsid w:val="00B01284"/>
    <w:rsid w:val="00B0198A"/>
    <w:rsid w:val="00B02B48"/>
    <w:rsid w:val="00B03211"/>
    <w:rsid w:val="00B037F0"/>
    <w:rsid w:val="00B03F3D"/>
    <w:rsid w:val="00B11A1A"/>
    <w:rsid w:val="00B14A4E"/>
    <w:rsid w:val="00B1620C"/>
    <w:rsid w:val="00B1686A"/>
    <w:rsid w:val="00B16A5F"/>
    <w:rsid w:val="00B21B36"/>
    <w:rsid w:val="00B22634"/>
    <w:rsid w:val="00B2327D"/>
    <w:rsid w:val="00B24ADF"/>
    <w:rsid w:val="00B26770"/>
    <w:rsid w:val="00B2718F"/>
    <w:rsid w:val="00B30179"/>
    <w:rsid w:val="00B3317B"/>
    <w:rsid w:val="00B33309"/>
    <w:rsid w:val="00B334DC"/>
    <w:rsid w:val="00B34BE2"/>
    <w:rsid w:val="00B34F14"/>
    <w:rsid w:val="00B35128"/>
    <w:rsid w:val="00B35A91"/>
    <w:rsid w:val="00B3631A"/>
    <w:rsid w:val="00B3765E"/>
    <w:rsid w:val="00B40A3A"/>
    <w:rsid w:val="00B42B62"/>
    <w:rsid w:val="00B45D4D"/>
    <w:rsid w:val="00B464BD"/>
    <w:rsid w:val="00B46C07"/>
    <w:rsid w:val="00B46E19"/>
    <w:rsid w:val="00B51EA9"/>
    <w:rsid w:val="00B5208D"/>
    <w:rsid w:val="00B524D4"/>
    <w:rsid w:val="00B52D23"/>
    <w:rsid w:val="00B53013"/>
    <w:rsid w:val="00B53958"/>
    <w:rsid w:val="00B53DF1"/>
    <w:rsid w:val="00B546CA"/>
    <w:rsid w:val="00B618F0"/>
    <w:rsid w:val="00B62FB7"/>
    <w:rsid w:val="00B63A71"/>
    <w:rsid w:val="00B64CE9"/>
    <w:rsid w:val="00B651ED"/>
    <w:rsid w:val="00B65B7D"/>
    <w:rsid w:val="00B664B7"/>
    <w:rsid w:val="00B67F5E"/>
    <w:rsid w:val="00B706BF"/>
    <w:rsid w:val="00B71B1B"/>
    <w:rsid w:val="00B73E65"/>
    <w:rsid w:val="00B74C95"/>
    <w:rsid w:val="00B776EE"/>
    <w:rsid w:val="00B813B1"/>
    <w:rsid w:val="00B81803"/>
    <w:rsid w:val="00B81E12"/>
    <w:rsid w:val="00B82FF7"/>
    <w:rsid w:val="00B83F83"/>
    <w:rsid w:val="00B8476A"/>
    <w:rsid w:val="00B8580E"/>
    <w:rsid w:val="00B87110"/>
    <w:rsid w:val="00B928A4"/>
    <w:rsid w:val="00B93012"/>
    <w:rsid w:val="00B94163"/>
    <w:rsid w:val="00B96043"/>
    <w:rsid w:val="00B96C46"/>
    <w:rsid w:val="00B97240"/>
    <w:rsid w:val="00B97FA8"/>
    <w:rsid w:val="00BA00F1"/>
    <w:rsid w:val="00BA03FA"/>
    <w:rsid w:val="00BA5646"/>
    <w:rsid w:val="00BA5ACA"/>
    <w:rsid w:val="00BA62C5"/>
    <w:rsid w:val="00BA6F0A"/>
    <w:rsid w:val="00BB0B54"/>
    <w:rsid w:val="00BB0FF3"/>
    <w:rsid w:val="00BB271B"/>
    <w:rsid w:val="00BB3122"/>
    <w:rsid w:val="00BC026F"/>
    <w:rsid w:val="00BC0818"/>
    <w:rsid w:val="00BC1385"/>
    <w:rsid w:val="00BC2CA1"/>
    <w:rsid w:val="00BC3DC2"/>
    <w:rsid w:val="00BC4200"/>
    <w:rsid w:val="00BC4AEE"/>
    <w:rsid w:val="00BC74E9"/>
    <w:rsid w:val="00BD0908"/>
    <w:rsid w:val="00BD1C82"/>
    <w:rsid w:val="00BD20B3"/>
    <w:rsid w:val="00BD6263"/>
    <w:rsid w:val="00BD6A9B"/>
    <w:rsid w:val="00BD767F"/>
    <w:rsid w:val="00BE1BAD"/>
    <w:rsid w:val="00BE1E29"/>
    <w:rsid w:val="00BE48F9"/>
    <w:rsid w:val="00BE4920"/>
    <w:rsid w:val="00BE4F94"/>
    <w:rsid w:val="00BE618E"/>
    <w:rsid w:val="00BF2A54"/>
    <w:rsid w:val="00BF7DDF"/>
    <w:rsid w:val="00BF7F17"/>
    <w:rsid w:val="00C03D97"/>
    <w:rsid w:val="00C041D9"/>
    <w:rsid w:val="00C04221"/>
    <w:rsid w:val="00C04649"/>
    <w:rsid w:val="00C0498A"/>
    <w:rsid w:val="00C04BDD"/>
    <w:rsid w:val="00C059E9"/>
    <w:rsid w:val="00C1102E"/>
    <w:rsid w:val="00C15461"/>
    <w:rsid w:val="00C1633C"/>
    <w:rsid w:val="00C1743F"/>
    <w:rsid w:val="00C17FFB"/>
    <w:rsid w:val="00C24693"/>
    <w:rsid w:val="00C259EE"/>
    <w:rsid w:val="00C25EDF"/>
    <w:rsid w:val="00C26F97"/>
    <w:rsid w:val="00C27AEB"/>
    <w:rsid w:val="00C27D19"/>
    <w:rsid w:val="00C3450A"/>
    <w:rsid w:val="00C35E75"/>
    <w:rsid w:val="00C35F0B"/>
    <w:rsid w:val="00C36873"/>
    <w:rsid w:val="00C37A75"/>
    <w:rsid w:val="00C40019"/>
    <w:rsid w:val="00C411AC"/>
    <w:rsid w:val="00C41AF7"/>
    <w:rsid w:val="00C42F7B"/>
    <w:rsid w:val="00C43429"/>
    <w:rsid w:val="00C43AD7"/>
    <w:rsid w:val="00C43CA6"/>
    <w:rsid w:val="00C458FC"/>
    <w:rsid w:val="00C463DD"/>
    <w:rsid w:val="00C46763"/>
    <w:rsid w:val="00C470DF"/>
    <w:rsid w:val="00C5430D"/>
    <w:rsid w:val="00C56763"/>
    <w:rsid w:val="00C5783A"/>
    <w:rsid w:val="00C61014"/>
    <w:rsid w:val="00C641C8"/>
    <w:rsid w:val="00C64458"/>
    <w:rsid w:val="00C645FB"/>
    <w:rsid w:val="00C65986"/>
    <w:rsid w:val="00C66695"/>
    <w:rsid w:val="00C71393"/>
    <w:rsid w:val="00C73878"/>
    <w:rsid w:val="00C7417E"/>
    <w:rsid w:val="00C743CB"/>
    <w:rsid w:val="00C745C3"/>
    <w:rsid w:val="00C75751"/>
    <w:rsid w:val="00C76052"/>
    <w:rsid w:val="00C77029"/>
    <w:rsid w:val="00C80EDA"/>
    <w:rsid w:val="00C811DD"/>
    <w:rsid w:val="00C81F9B"/>
    <w:rsid w:val="00C83648"/>
    <w:rsid w:val="00C90E93"/>
    <w:rsid w:val="00C92199"/>
    <w:rsid w:val="00C9510B"/>
    <w:rsid w:val="00C95533"/>
    <w:rsid w:val="00CA0131"/>
    <w:rsid w:val="00CA0DA4"/>
    <w:rsid w:val="00CA27FF"/>
    <w:rsid w:val="00CA2A58"/>
    <w:rsid w:val="00CA3C7A"/>
    <w:rsid w:val="00CA58D4"/>
    <w:rsid w:val="00CA639B"/>
    <w:rsid w:val="00CB0A36"/>
    <w:rsid w:val="00CB620C"/>
    <w:rsid w:val="00CC0B55"/>
    <w:rsid w:val="00CC14CD"/>
    <w:rsid w:val="00CC1E32"/>
    <w:rsid w:val="00CC305E"/>
    <w:rsid w:val="00CD12E9"/>
    <w:rsid w:val="00CD13C1"/>
    <w:rsid w:val="00CD1A0B"/>
    <w:rsid w:val="00CD2403"/>
    <w:rsid w:val="00CD5572"/>
    <w:rsid w:val="00CD6995"/>
    <w:rsid w:val="00CE0DA0"/>
    <w:rsid w:val="00CE23F1"/>
    <w:rsid w:val="00CE4A8F"/>
    <w:rsid w:val="00CF0214"/>
    <w:rsid w:val="00CF12D5"/>
    <w:rsid w:val="00CF21EE"/>
    <w:rsid w:val="00CF2739"/>
    <w:rsid w:val="00CF4D57"/>
    <w:rsid w:val="00CF5280"/>
    <w:rsid w:val="00CF586F"/>
    <w:rsid w:val="00CF7D43"/>
    <w:rsid w:val="00D02C72"/>
    <w:rsid w:val="00D0341E"/>
    <w:rsid w:val="00D04E0D"/>
    <w:rsid w:val="00D05378"/>
    <w:rsid w:val="00D06863"/>
    <w:rsid w:val="00D073DD"/>
    <w:rsid w:val="00D07EF8"/>
    <w:rsid w:val="00D1066A"/>
    <w:rsid w:val="00D11129"/>
    <w:rsid w:val="00D11E8B"/>
    <w:rsid w:val="00D165A8"/>
    <w:rsid w:val="00D16B23"/>
    <w:rsid w:val="00D17996"/>
    <w:rsid w:val="00D2031B"/>
    <w:rsid w:val="00D2065E"/>
    <w:rsid w:val="00D21E14"/>
    <w:rsid w:val="00D22332"/>
    <w:rsid w:val="00D226FD"/>
    <w:rsid w:val="00D22A33"/>
    <w:rsid w:val="00D25FE2"/>
    <w:rsid w:val="00D27166"/>
    <w:rsid w:val="00D317AF"/>
    <w:rsid w:val="00D32010"/>
    <w:rsid w:val="00D32AB7"/>
    <w:rsid w:val="00D33BD5"/>
    <w:rsid w:val="00D34725"/>
    <w:rsid w:val="00D347F7"/>
    <w:rsid w:val="00D35E4C"/>
    <w:rsid w:val="00D410D5"/>
    <w:rsid w:val="00D41688"/>
    <w:rsid w:val="00D41A6A"/>
    <w:rsid w:val="00D43252"/>
    <w:rsid w:val="00D460E7"/>
    <w:rsid w:val="00D461EA"/>
    <w:rsid w:val="00D46B19"/>
    <w:rsid w:val="00D47168"/>
    <w:rsid w:val="00D5028A"/>
    <w:rsid w:val="00D5107F"/>
    <w:rsid w:val="00D512A6"/>
    <w:rsid w:val="00D529F8"/>
    <w:rsid w:val="00D53841"/>
    <w:rsid w:val="00D550F9"/>
    <w:rsid w:val="00D56FEF"/>
    <w:rsid w:val="00D572B0"/>
    <w:rsid w:val="00D578B1"/>
    <w:rsid w:val="00D5799D"/>
    <w:rsid w:val="00D57F25"/>
    <w:rsid w:val="00D60258"/>
    <w:rsid w:val="00D60353"/>
    <w:rsid w:val="00D605E1"/>
    <w:rsid w:val="00D60A5E"/>
    <w:rsid w:val="00D61474"/>
    <w:rsid w:val="00D62E90"/>
    <w:rsid w:val="00D63815"/>
    <w:rsid w:val="00D66FB7"/>
    <w:rsid w:val="00D67937"/>
    <w:rsid w:val="00D70DCC"/>
    <w:rsid w:val="00D71E3F"/>
    <w:rsid w:val="00D72B55"/>
    <w:rsid w:val="00D74CDD"/>
    <w:rsid w:val="00D76299"/>
    <w:rsid w:val="00D76BE5"/>
    <w:rsid w:val="00D772BB"/>
    <w:rsid w:val="00D83458"/>
    <w:rsid w:val="00D8386A"/>
    <w:rsid w:val="00D83F77"/>
    <w:rsid w:val="00D854B9"/>
    <w:rsid w:val="00D875E6"/>
    <w:rsid w:val="00D87B48"/>
    <w:rsid w:val="00D9011B"/>
    <w:rsid w:val="00D90EB2"/>
    <w:rsid w:val="00D92011"/>
    <w:rsid w:val="00D930FD"/>
    <w:rsid w:val="00D94A60"/>
    <w:rsid w:val="00D95183"/>
    <w:rsid w:val="00D95D0E"/>
    <w:rsid w:val="00D964A1"/>
    <w:rsid w:val="00D978C6"/>
    <w:rsid w:val="00D97EE7"/>
    <w:rsid w:val="00DA3F61"/>
    <w:rsid w:val="00DA5727"/>
    <w:rsid w:val="00DA67AD"/>
    <w:rsid w:val="00DA6EA7"/>
    <w:rsid w:val="00DA7C11"/>
    <w:rsid w:val="00DB030F"/>
    <w:rsid w:val="00DB138A"/>
    <w:rsid w:val="00DB18CE"/>
    <w:rsid w:val="00DB2416"/>
    <w:rsid w:val="00DB2F05"/>
    <w:rsid w:val="00DB331C"/>
    <w:rsid w:val="00DB3B45"/>
    <w:rsid w:val="00DB4166"/>
    <w:rsid w:val="00DC38B9"/>
    <w:rsid w:val="00DC41F1"/>
    <w:rsid w:val="00DC6361"/>
    <w:rsid w:val="00DC668D"/>
    <w:rsid w:val="00DC7777"/>
    <w:rsid w:val="00DC7CF3"/>
    <w:rsid w:val="00DD098B"/>
    <w:rsid w:val="00DD0D8F"/>
    <w:rsid w:val="00DD2A94"/>
    <w:rsid w:val="00DD6B90"/>
    <w:rsid w:val="00DD7747"/>
    <w:rsid w:val="00DE3E97"/>
    <w:rsid w:val="00DE3EC0"/>
    <w:rsid w:val="00DE5933"/>
    <w:rsid w:val="00DE5E15"/>
    <w:rsid w:val="00DE78B8"/>
    <w:rsid w:val="00DF08F4"/>
    <w:rsid w:val="00DF3C51"/>
    <w:rsid w:val="00DF4AD6"/>
    <w:rsid w:val="00DF684D"/>
    <w:rsid w:val="00DF6A81"/>
    <w:rsid w:val="00DF6CF6"/>
    <w:rsid w:val="00DF7AE1"/>
    <w:rsid w:val="00DF7EA6"/>
    <w:rsid w:val="00E00C82"/>
    <w:rsid w:val="00E04257"/>
    <w:rsid w:val="00E05AF7"/>
    <w:rsid w:val="00E0713B"/>
    <w:rsid w:val="00E11593"/>
    <w:rsid w:val="00E119A2"/>
    <w:rsid w:val="00E12635"/>
    <w:rsid w:val="00E126FA"/>
    <w:rsid w:val="00E12B6B"/>
    <w:rsid w:val="00E130AB"/>
    <w:rsid w:val="00E135CF"/>
    <w:rsid w:val="00E13A61"/>
    <w:rsid w:val="00E14928"/>
    <w:rsid w:val="00E1539B"/>
    <w:rsid w:val="00E16106"/>
    <w:rsid w:val="00E175CB"/>
    <w:rsid w:val="00E17C91"/>
    <w:rsid w:val="00E20EC3"/>
    <w:rsid w:val="00E21B79"/>
    <w:rsid w:val="00E232AE"/>
    <w:rsid w:val="00E237DF"/>
    <w:rsid w:val="00E23FD9"/>
    <w:rsid w:val="00E2534D"/>
    <w:rsid w:val="00E257C3"/>
    <w:rsid w:val="00E31213"/>
    <w:rsid w:val="00E32399"/>
    <w:rsid w:val="00E34C89"/>
    <w:rsid w:val="00E34D71"/>
    <w:rsid w:val="00E35494"/>
    <w:rsid w:val="00E366AE"/>
    <w:rsid w:val="00E36C5D"/>
    <w:rsid w:val="00E4237C"/>
    <w:rsid w:val="00E42E3B"/>
    <w:rsid w:val="00E4309D"/>
    <w:rsid w:val="00E438D9"/>
    <w:rsid w:val="00E46767"/>
    <w:rsid w:val="00E46942"/>
    <w:rsid w:val="00E4792A"/>
    <w:rsid w:val="00E51C08"/>
    <w:rsid w:val="00E51F86"/>
    <w:rsid w:val="00E52907"/>
    <w:rsid w:val="00E52CC2"/>
    <w:rsid w:val="00E53ACB"/>
    <w:rsid w:val="00E5644E"/>
    <w:rsid w:val="00E56F85"/>
    <w:rsid w:val="00E57D78"/>
    <w:rsid w:val="00E6070F"/>
    <w:rsid w:val="00E62A73"/>
    <w:rsid w:val="00E62AB4"/>
    <w:rsid w:val="00E657FF"/>
    <w:rsid w:val="00E6685A"/>
    <w:rsid w:val="00E67373"/>
    <w:rsid w:val="00E7081C"/>
    <w:rsid w:val="00E718D1"/>
    <w:rsid w:val="00E71C86"/>
    <w:rsid w:val="00E724A4"/>
    <w:rsid w:val="00E7260F"/>
    <w:rsid w:val="00E736C2"/>
    <w:rsid w:val="00E74291"/>
    <w:rsid w:val="00E7455C"/>
    <w:rsid w:val="00E7458B"/>
    <w:rsid w:val="00E746F6"/>
    <w:rsid w:val="00E757DF"/>
    <w:rsid w:val="00E75BA4"/>
    <w:rsid w:val="00E76A86"/>
    <w:rsid w:val="00E777AC"/>
    <w:rsid w:val="00E77F87"/>
    <w:rsid w:val="00E806EE"/>
    <w:rsid w:val="00E813C2"/>
    <w:rsid w:val="00E81BB9"/>
    <w:rsid w:val="00E83958"/>
    <w:rsid w:val="00E84F68"/>
    <w:rsid w:val="00E8546B"/>
    <w:rsid w:val="00E86745"/>
    <w:rsid w:val="00E87708"/>
    <w:rsid w:val="00E91E10"/>
    <w:rsid w:val="00E93224"/>
    <w:rsid w:val="00E9411A"/>
    <w:rsid w:val="00E9419B"/>
    <w:rsid w:val="00E94477"/>
    <w:rsid w:val="00E9502C"/>
    <w:rsid w:val="00E96630"/>
    <w:rsid w:val="00E96FA7"/>
    <w:rsid w:val="00E97D81"/>
    <w:rsid w:val="00EA4573"/>
    <w:rsid w:val="00EA4F90"/>
    <w:rsid w:val="00EA5550"/>
    <w:rsid w:val="00EA5BE3"/>
    <w:rsid w:val="00EB0DE3"/>
    <w:rsid w:val="00EB0FB9"/>
    <w:rsid w:val="00EB1275"/>
    <w:rsid w:val="00EB24E0"/>
    <w:rsid w:val="00EB2E5E"/>
    <w:rsid w:val="00EB52D1"/>
    <w:rsid w:val="00EB71EE"/>
    <w:rsid w:val="00EB7D59"/>
    <w:rsid w:val="00EC3A47"/>
    <w:rsid w:val="00EC70D8"/>
    <w:rsid w:val="00ED0CA9"/>
    <w:rsid w:val="00ED0E6A"/>
    <w:rsid w:val="00ED33FA"/>
    <w:rsid w:val="00ED3536"/>
    <w:rsid w:val="00ED3A89"/>
    <w:rsid w:val="00ED4E7F"/>
    <w:rsid w:val="00ED52CD"/>
    <w:rsid w:val="00ED6134"/>
    <w:rsid w:val="00ED661B"/>
    <w:rsid w:val="00ED7A2A"/>
    <w:rsid w:val="00ED7A97"/>
    <w:rsid w:val="00EE0CCA"/>
    <w:rsid w:val="00EE21E8"/>
    <w:rsid w:val="00EE567D"/>
    <w:rsid w:val="00EE57F4"/>
    <w:rsid w:val="00EE6AB2"/>
    <w:rsid w:val="00EE735A"/>
    <w:rsid w:val="00EE7902"/>
    <w:rsid w:val="00EF0560"/>
    <w:rsid w:val="00EF14DE"/>
    <w:rsid w:val="00EF1D7F"/>
    <w:rsid w:val="00EF4F54"/>
    <w:rsid w:val="00EF5BDB"/>
    <w:rsid w:val="00F01E3D"/>
    <w:rsid w:val="00F031B8"/>
    <w:rsid w:val="00F04BD5"/>
    <w:rsid w:val="00F0505B"/>
    <w:rsid w:val="00F070BA"/>
    <w:rsid w:val="00F073BA"/>
    <w:rsid w:val="00F07729"/>
    <w:rsid w:val="00F0786B"/>
    <w:rsid w:val="00F07D37"/>
    <w:rsid w:val="00F07E70"/>
    <w:rsid w:val="00F07FD9"/>
    <w:rsid w:val="00F114BD"/>
    <w:rsid w:val="00F1165A"/>
    <w:rsid w:val="00F1568F"/>
    <w:rsid w:val="00F16991"/>
    <w:rsid w:val="00F17CD6"/>
    <w:rsid w:val="00F21E36"/>
    <w:rsid w:val="00F224F5"/>
    <w:rsid w:val="00F23933"/>
    <w:rsid w:val="00F23DC6"/>
    <w:rsid w:val="00F24119"/>
    <w:rsid w:val="00F24EE8"/>
    <w:rsid w:val="00F253B3"/>
    <w:rsid w:val="00F2665A"/>
    <w:rsid w:val="00F30921"/>
    <w:rsid w:val="00F32A9D"/>
    <w:rsid w:val="00F33171"/>
    <w:rsid w:val="00F33AD2"/>
    <w:rsid w:val="00F33D01"/>
    <w:rsid w:val="00F347B9"/>
    <w:rsid w:val="00F35ED3"/>
    <w:rsid w:val="00F364A6"/>
    <w:rsid w:val="00F37FE9"/>
    <w:rsid w:val="00F40382"/>
    <w:rsid w:val="00F40E75"/>
    <w:rsid w:val="00F414F8"/>
    <w:rsid w:val="00F42539"/>
    <w:rsid w:val="00F42CD9"/>
    <w:rsid w:val="00F44632"/>
    <w:rsid w:val="00F500DF"/>
    <w:rsid w:val="00F509FB"/>
    <w:rsid w:val="00F52936"/>
    <w:rsid w:val="00F53172"/>
    <w:rsid w:val="00F53AA5"/>
    <w:rsid w:val="00F54896"/>
    <w:rsid w:val="00F5545F"/>
    <w:rsid w:val="00F5687B"/>
    <w:rsid w:val="00F61253"/>
    <w:rsid w:val="00F62127"/>
    <w:rsid w:val="00F65514"/>
    <w:rsid w:val="00F677CB"/>
    <w:rsid w:val="00F72271"/>
    <w:rsid w:val="00F729A2"/>
    <w:rsid w:val="00F742C2"/>
    <w:rsid w:val="00F74873"/>
    <w:rsid w:val="00F74BD0"/>
    <w:rsid w:val="00F76FFF"/>
    <w:rsid w:val="00F80443"/>
    <w:rsid w:val="00F8065E"/>
    <w:rsid w:val="00F813A6"/>
    <w:rsid w:val="00F8404D"/>
    <w:rsid w:val="00F8456E"/>
    <w:rsid w:val="00F86DDA"/>
    <w:rsid w:val="00F87313"/>
    <w:rsid w:val="00F87E6E"/>
    <w:rsid w:val="00F9061D"/>
    <w:rsid w:val="00F90CD4"/>
    <w:rsid w:val="00F933C1"/>
    <w:rsid w:val="00F97918"/>
    <w:rsid w:val="00F97C5F"/>
    <w:rsid w:val="00FA0F75"/>
    <w:rsid w:val="00FA4CEC"/>
    <w:rsid w:val="00FA54D4"/>
    <w:rsid w:val="00FA623F"/>
    <w:rsid w:val="00FA6703"/>
    <w:rsid w:val="00FA73AC"/>
    <w:rsid w:val="00FA7DF3"/>
    <w:rsid w:val="00FB0EF8"/>
    <w:rsid w:val="00FB171F"/>
    <w:rsid w:val="00FB2E05"/>
    <w:rsid w:val="00FB311D"/>
    <w:rsid w:val="00FB3FFD"/>
    <w:rsid w:val="00FB4672"/>
    <w:rsid w:val="00FB51ED"/>
    <w:rsid w:val="00FB76F9"/>
    <w:rsid w:val="00FC18CF"/>
    <w:rsid w:val="00FC1F88"/>
    <w:rsid w:val="00FC21AC"/>
    <w:rsid w:val="00FC38E8"/>
    <w:rsid w:val="00FC3962"/>
    <w:rsid w:val="00FC3EC4"/>
    <w:rsid w:val="00FC4346"/>
    <w:rsid w:val="00FC68B7"/>
    <w:rsid w:val="00FC6945"/>
    <w:rsid w:val="00FC78BB"/>
    <w:rsid w:val="00FD0684"/>
    <w:rsid w:val="00FD0B8A"/>
    <w:rsid w:val="00FD1463"/>
    <w:rsid w:val="00FD1994"/>
    <w:rsid w:val="00FD231E"/>
    <w:rsid w:val="00FD4BAE"/>
    <w:rsid w:val="00FD6A2A"/>
    <w:rsid w:val="00FD7C12"/>
    <w:rsid w:val="00FE2449"/>
    <w:rsid w:val="00FE64FD"/>
    <w:rsid w:val="00FF1995"/>
    <w:rsid w:val="00FF229D"/>
    <w:rsid w:val="00FF442A"/>
    <w:rsid w:val="00FF455A"/>
    <w:rsid w:val="00FF63BC"/>
    <w:rsid w:val="00FF64ED"/>
    <w:rsid w:val="00FF6C56"/>
    <w:rsid w:val="00FF6CFA"/>
    <w:rsid w:val="00FF6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styleId="CommentReference">
    <w:name w:val="annotation reference"/>
    <w:semiHidden/>
    <w:rsid w:val="00DA3F61"/>
    <w:rPr>
      <w:sz w:val="16"/>
      <w:szCs w:val="16"/>
    </w:rPr>
  </w:style>
  <w:style w:type="paragraph" w:styleId="CommentText">
    <w:name w:val="annotation text"/>
    <w:basedOn w:val="Normal"/>
    <w:semiHidden/>
    <w:rsid w:val="00DA3F61"/>
  </w:style>
  <w:style w:type="paragraph" w:styleId="CommentSubject">
    <w:name w:val="annotation subject"/>
    <w:basedOn w:val="CommentText"/>
    <w:next w:val="CommentText"/>
    <w:semiHidden/>
    <w:rsid w:val="00DA3F61"/>
    <w:rPr>
      <w:b/>
      <w:bCs/>
    </w:rPr>
  </w:style>
  <w:style w:type="paragraph" w:styleId="BalloonText">
    <w:name w:val="Balloon Text"/>
    <w:basedOn w:val="Normal"/>
    <w:semiHidden/>
    <w:rsid w:val="00DA3F61"/>
    <w:rPr>
      <w:rFonts w:ascii="Tahoma" w:hAnsi="Tahoma" w:cs="Tahoma"/>
      <w:sz w:val="16"/>
      <w:szCs w:val="16"/>
    </w:rPr>
  </w:style>
  <w:style w:type="paragraph" w:customStyle="1" w:styleId="Default">
    <w:name w:val="Default"/>
    <w:rsid w:val="000B6CF1"/>
    <w:pPr>
      <w:autoSpaceDE w:val="0"/>
      <w:autoSpaceDN w:val="0"/>
      <w:adjustRightInd w:val="0"/>
    </w:pPr>
    <w:rPr>
      <w:color w:val="000000"/>
      <w:sz w:val="24"/>
      <w:szCs w:val="24"/>
      <w:lang w:eastAsia="en-GB"/>
    </w:rPr>
  </w:style>
  <w:style w:type="paragraph" w:customStyle="1" w:styleId="ColorfulShading-Accent11">
    <w:name w:val="Colorful Shading - Accent 11"/>
    <w:hidden/>
    <w:uiPriority w:val="99"/>
    <w:semiHidden/>
    <w:rsid w:val="00346C10"/>
    <w:rPr>
      <w:lang w:eastAsia="en-US"/>
    </w:rPr>
  </w:style>
  <w:style w:type="character" w:customStyle="1" w:styleId="FootnoteTextChar">
    <w:name w:val="Footnote Text Char"/>
    <w:aliases w:val="5_G Char"/>
    <w:link w:val="FootnoteText"/>
    <w:uiPriority w:val="99"/>
    <w:rsid w:val="004522A8"/>
    <w:rPr>
      <w:sz w:val="18"/>
      <w:lang w:eastAsia="en-US"/>
    </w:rPr>
  </w:style>
  <w:style w:type="character" w:styleId="Emphasis">
    <w:name w:val="Emphasis"/>
    <w:uiPriority w:val="20"/>
    <w:qFormat/>
    <w:rsid w:val="004522A8"/>
    <w:rPr>
      <w:b/>
      <w:bCs/>
      <w:i w:val="0"/>
      <w:iCs w:val="0"/>
    </w:rPr>
  </w:style>
  <w:style w:type="character" w:customStyle="1" w:styleId="st">
    <w:name w:val="st"/>
    <w:rsid w:val="00452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styleId="CommentReference">
    <w:name w:val="annotation reference"/>
    <w:semiHidden/>
    <w:rsid w:val="00DA3F61"/>
    <w:rPr>
      <w:sz w:val="16"/>
      <w:szCs w:val="16"/>
    </w:rPr>
  </w:style>
  <w:style w:type="paragraph" w:styleId="CommentText">
    <w:name w:val="annotation text"/>
    <w:basedOn w:val="Normal"/>
    <w:semiHidden/>
    <w:rsid w:val="00DA3F61"/>
  </w:style>
  <w:style w:type="paragraph" w:styleId="CommentSubject">
    <w:name w:val="annotation subject"/>
    <w:basedOn w:val="CommentText"/>
    <w:next w:val="CommentText"/>
    <w:semiHidden/>
    <w:rsid w:val="00DA3F61"/>
    <w:rPr>
      <w:b/>
      <w:bCs/>
    </w:rPr>
  </w:style>
  <w:style w:type="paragraph" w:styleId="BalloonText">
    <w:name w:val="Balloon Text"/>
    <w:basedOn w:val="Normal"/>
    <w:semiHidden/>
    <w:rsid w:val="00DA3F61"/>
    <w:rPr>
      <w:rFonts w:ascii="Tahoma" w:hAnsi="Tahoma" w:cs="Tahoma"/>
      <w:sz w:val="16"/>
      <w:szCs w:val="16"/>
    </w:rPr>
  </w:style>
  <w:style w:type="paragraph" w:customStyle="1" w:styleId="Default">
    <w:name w:val="Default"/>
    <w:rsid w:val="000B6CF1"/>
    <w:pPr>
      <w:autoSpaceDE w:val="0"/>
      <w:autoSpaceDN w:val="0"/>
      <w:adjustRightInd w:val="0"/>
    </w:pPr>
    <w:rPr>
      <w:color w:val="000000"/>
      <w:sz w:val="24"/>
      <w:szCs w:val="24"/>
      <w:lang w:eastAsia="en-GB"/>
    </w:rPr>
  </w:style>
  <w:style w:type="paragraph" w:customStyle="1" w:styleId="ColorfulShading-Accent11">
    <w:name w:val="Colorful Shading - Accent 11"/>
    <w:hidden/>
    <w:uiPriority w:val="99"/>
    <w:semiHidden/>
    <w:rsid w:val="00346C10"/>
    <w:rPr>
      <w:lang w:eastAsia="en-US"/>
    </w:rPr>
  </w:style>
  <w:style w:type="character" w:customStyle="1" w:styleId="FootnoteTextChar">
    <w:name w:val="Footnote Text Char"/>
    <w:aliases w:val="5_G Char"/>
    <w:link w:val="FootnoteText"/>
    <w:uiPriority w:val="99"/>
    <w:rsid w:val="004522A8"/>
    <w:rPr>
      <w:sz w:val="18"/>
      <w:lang w:eastAsia="en-US"/>
    </w:rPr>
  </w:style>
  <w:style w:type="character" w:styleId="Emphasis">
    <w:name w:val="Emphasis"/>
    <w:uiPriority w:val="20"/>
    <w:qFormat/>
    <w:rsid w:val="004522A8"/>
    <w:rPr>
      <w:b/>
      <w:bCs/>
      <w:i w:val="0"/>
      <w:iCs w:val="0"/>
    </w:rPr>
  </w:style>
  <w:style w:type="character" w:customStyle="1" w:styleId="st">
    <w:name w:val="st"/>
    <w:rsid w:val="0045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54303">
      <w:bodyDiv w:val="1"/>
      <w:marLeft w:val="0"/>
      <w:marRight w:val="0"/>
      <w:marTop w:val="0"/>
      <w:marBottom w:val="0"/>
      <w:divBdr>
        <w:top w:val="none" w:sz="0" w:space="0" w:color="auto"/>
        <w:left w:val="none" w:sz="0" w:space="0" w:color="auto"/>
        <w:bottom w:val="none" w:sz="0" w:space="0" w:color="auto"/>
        <w:right w:val="none" w:sz="0" w:space="0" w:color="auto"/>
      </w:divBdr>
      <w:divsChild>
        <w:div w:id="9380004">
          <w:marLeft w:val="0"/>
          <w:marRight w:val="0"/>
          <w:marTop w:val="0"/>
          <w:marBottom w:val="0"/>
          <w:divBdr>
            <w:top w:val="none" w:sz="0" w:space="0" w:color="auto"/>
            <w:left w:val="none" w:sz="0" w:space="0" w:color="auto"/>
            <w:bottom w:val="none" w:sz="0" w:space="0" w:color="auto"/>
            <w:right w:val="none" w:sz="0" w:space="0" w:color="auto"/>
          </w:divBdr>
        </w:div>
      </w:divsChild>
    </w:div>
    <w:div w:id="1413241052">
      <w:bodyDiv w:val="1"/>
      <w:marLeft w:val="0"/>
      <w:marRight w:val="0"/>
      <w:marTop w:val="0"/>
      <w:marBottom w:val="0"/>
      <w:divBdr>
        <w:top w:val="none" w:sz="0" w:space="0" w:color="auto"/>
        <w:left w:val="none" w:sz="0" w:space="0" w:color="auto"/>
        <w:bottom w:val="none" w:sz="0" w:space="0" w:color="auto"/>
        <w:right w:val="none" w:sz="0" w:space="0" w:color="auto"/>
      </w:divBdr>
      <w:divsChild>
        <w:div w:id="1098479707">
          <w:marLeft w:val="0"/>
          <w:marRight w:val="0"/>
          <w:marTop w:val="0"/>
          <w:marBottom w:val="0"/>
          <w:divBdr>
            <w:top w:val="none" w:sz="0" w:space="0" w:color="auto"/>
            <w:left w:val="none" w:sz="0" w:space="0" w:color="auto"/>
            <w:bottom w:val="none" w:sz="0" w:space="0" w:color="auto"/>
            <w:right w:val="none" w:sz="0" w:space="0" w:color="auto"/>
          </w:divBdr>
          <w:divsChild>
            <w:div w:id="209197923">
              <w:marLeft w:val="0"/>
              <w:marRight w:val="0"/>
              <w:marTop w:val="0"/>
              <w:marBottom w:val="0"/>
              <w:divBdr>
                <w:top w:val="none" w:sz="0" w:space="0" w:color="auto"/>
                <w:left w:val="none" w:sz="0" w:space="0" w:color="auto"/>
                <w:bottom w:val="none" w:sz="0" w:space="0" w:color="auto"/>
                <w:right w:val="none" w:sz="0" w:space="0" w:color="auto"/>
              </w:divBdr>
            </w:div>
            <w:div w:id="1757095722">
              <w:marLeft w:val="0"/>
              <w:marRight w:val="0"/>
              <w:marTop w:val="0"/>
              <w:marBottom w:val="0"/>
              <w:divBdr>
                <w:top w:val="none" w:sz="0" w:space="0" w:color="auto"/>
                <w:left w:val="none" w:sz="0" w:space="0" w:color="auto"/>
                <w:bottom w:val="none" w:sz="0" w:space="0" w:color="auto"/>
                <w:right w:val="none" w:sz="0" w:space="0" w:color="auto"/>
              </w:divBdr>
            </w:div>
            <w:div w:id="1832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5777">
      <w:bodyDiv w:val="1"/>
      <w:marLeft w:val="0"/>
      <w:marRight w:val="0"/>
      <w:marTop w:val="0"/>
      <w:marBottom w:val="0"/>
      <w:divBdr>
        <w:top w:val="none" w:sz="0" w:space="0" w:color="auto"/>
        <w:left w:val="none" w:sz="0" w:space="0" w:color="auto"/>
        <w:bottom w:val="none" w:sz="0" w:space="0" w:color="auto"/>
        <w:right w:val="none" w:sz="0" w:space="0" w:color="auto"/>
      </w:divBdr>
    </w:div>
    <w:div w:id="1635600107">
      <w:bodyDiv w:val="1"/>
      <w:marLeft w:val="60"/>
      <w:marRight w:val="60"/>
      <w:marTop w:val="60"/>
      <w:marBottom w:val="15"/>
      <w:divBdr>
        <w:top w:val="none" w:sz="0" w:space="0" w:color="auto"/>
        <w:left w:val="none" w:sz="0" w:space="0" w:color="auto"/>
        <w:bottom w:val="none" w:sz="0" w:space="0" w:color="auto"/>
        <w:right w:val="none" w:sz="0" w:space="0" w:color="auto"/>
      </w:divBdr>
      <w:divsChild>
        <w:div w:id="1852523434">
          <w:marLeft w:val="0"/>
          <w:marRight w:val="0"/>
          <w:marTop w:val="0"/>
          <w:marBottom w:val="0"/>
          <w:divBdr>
            <w:top w:val="none" w:sz="0" w:space="0" w:color="auto"/>
            <w:left w:val="none" w:sz="0" w:space="0" w:color="auto"/>
            <w:bottom w:val="none" w:sz="0" w:space="0" w:color="auto"/>
            <w:right w:val="none" w:sz="0" w:space="0" w:color="auto"/>
          </w:divBdr>
        </w:div>
      </w:divsChild>
    </w:div>
    <w:div w:id="202120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33795-F75E-4AA6-8229-777896B8B37A}"/>
</file>

<file path=customXml/itemProps2.xml><?xml version="1.0" encoding="utf-8"?>
<ds:datastoreItem xmlns:ds="http://schemas.openxmlformats.org/officeDocument/2006/customXml" ds:itemID="{08A90252-75CE-45A3-8A0C-516C6DC7127E}"/>
</file>

<file path=customXml/itemProps3.xml><?xml version="1.0" encoding="utf-8"?>
<ds:datastoreItem xmlns:ds="http://schemas.openxmlformats.org/officeDocument/2006/customXml" ds:itemID="{CBFDCE6A-C093-4C87-A9AD-824D0570099E}"/>
</file>

<file path=customXml/itemProps4.xml><?xml version="1.0" encoding="utf-8"?>
<ds:datastoreItem xmlns:ds="http://schemas.openxmlformats.org/officeDocument/2006/customXml" ds:itemID="{B5DE31D0-4EBA-4E31-86B8-9748C96EE04E}"/>
</file>

<file path=customXml/itemProps5.xml><?xml version="1.0" encoding="utf-8"?>
<ds:datastoreItem xmlns:ds="http://schemas.openxmlformats.org/officeDocument/2006/customXml" ds:itemID="{C31C1458-1A98-44EF-B6B5-22620C61180E}"/>
</file>

<file path=docProps/app.xml><?xml version="1.0" encoding="utf-8"?>
<Properties xmlns="http://schemas.openxmlformats.org/officeDocument/2006/extended-properties" xmlns:vt="http://schemas.openxmlformats.org/officeDocument/2006/docPropsVTypes">
  <Template>A_E</Template>
  <TotalTime>0</TotalTime>
  <Pages>9</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document of the 11th session in English</dc:title>
  <dc:creator>Milijana Zaric</dc:creator>
  <cp:lastModifiedBy>Ulrik HALSTEEN</cp:lastModifiedBy>
  <cp:revision>2</cp:revision>
  <cp:lastPrinted>2015-06-08T09:59:00Z</cp:lastPrinted>
  <dcterms:created xsi:type="dcterms:W3CDTF">2015-09-18T10:48:00Z</dcterms:created>
  <dcterms:modified xsi:type="dcterms:W3CDTF">2015-09-18T10:48:00Z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3126200</vt:r8>
  </property>
  <property fmtid="{D5CDD505-2E9C-101B-9397-08002B2CF9AE}" pid="12" name="_SharedFileIndex">
    <vt:lpwstr/>
  </property>
</Properties>
</file>